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bCs/>
          <w:color w:val="auto"/>
          <w:sz w:val="22"/>
          <w:highlight w:val="none"/>
        </w:rPr>
      </w:pPr>
      <w:bookmarkStart w:id="0" w:name="ReturnPositionBookmark_9090"/>
      <w:bookmarkEnd w:id="0"/>
      <w:bookmarkStart w:id="1" w:name="gxebdItem_unprotect_2"/>
      <w:bookmarkStart w:id="1128" w:name="_GoBack"/>
    </w:p>
    <w:bookmarkEnd w:id="1128"/>
    <w:p>
      <w:pPr>
        <w:jc w:val="center"/>
        <w:rPr>
          <w:rFonts w:ascii="方正小标宋简体" w:eastAsia="方正小标宋简体"/>
          <w:bCs/>
          <w:color w:val="auto"/>
          <w:sz w:val="84"/>
          <w:highlight w:val="none"/>
          <w:lang w:val="en-US"/>
        </w:rPr>
      </w:pPr>
    </w:p>
    <w:p>
      <w:pPr>
        <w:jc w:val="center"/>
        <w:rPr>
          <w:rFonts w:ascii="方正小标宋简体" w:eastAsia="方正小标宋简体"/>
          <w:bCs/>
          <w:color w:val="auto"/>
          <w:sz w:val="84"/>
          <w:highlight w:val="none"/>
        </w:rPr>
      </w:pPr>
      <w:r>
        <w:rPr>
          <w:rFonts w:hint="eastAsia" w:ascii="方正小标宋简体" w:eastAsia="方正小标宋简体"/>
          <w:bCs/>
          <w:color w:val="auto"/>
          <w:sz w:val="84"/>
          <w:highlight w:val="none"/>
        </w:rPr>
        <w:t>竞争性磋商文件</w:t>
      </w:r>
      <w:r>
        <w:rPr>
          <w:rFonts w:ascii="方正小标宋简体" w:eastAsia="方正小标宋简体"/>
          <w:bCs/>
          <w:color w:val="auto"/>
          <w:sz w:val="84"/>
          <w:highlight w:val="none"/>
        </w:rPr>
        <w:t xml:space="preserve"> </w:t>
      </w:r>
    </w:p>
    <w:p>
      <w:pPr>
        <w:jc w:val="center"/>
        <w:rPr>
          <w:rFonts w:ascii="方正小标宋简体" w:eastAsia="方正小标宋简体"/>
          <w:bCs/>
          <w:color w:val="auto"/>
          <w:sz w:val="84"/>
          <w:highlight w:val="none"/>
        </w:rPr>
      </w:pPr>
    </w:p>
    <w:p>
      <w:pPr>
        <w:spacing w:line="700" w:lineRule="exact"/>
        <w:ind w:firstLine="320" w:firstLineChars="100"/>
        <w:rPr>
          <w:rFonts w:hint="eastAsia" w:ascii="楷体_GB2312" w:eastAsia="楷体_GB2312"/>
          <w:bCs/>
          <w:color w:val="auto"/>
          <w:sz w:val="32"/>
          <w:highlight w:val="none"/>
          <w:lang w:eastAsia="zh-CN"/>
        </w:rPr>
      </w:pPr>
      <w:r>
        <w:rPr>
          <w:rFonts w:hint="eastAsia" w:ascii="楷体_GB2312" w:eastAsia="楷体_GB2312"/>
          <w:bCs/>
          <w:color w:val="auto"/>
          <w:sz w:val="32"/>
          <w:highlight w:val="none"/>
        </w:rPr>
        <w:t>项目编号：</w:t>
      </w:r>
      <w:r>
        <w:rPr>
          <w:rFonts w:hint="eastAsia" w:ascii="楷体_GB2312" w:eastAsia="楷体_GB2312"/>
          <w:bCs/>
          <w:color w:val="auto"/>
          <w:sz w:val="32"/>
          <w:highlight w:val="none"/>
          <w:lang w:eastAsia="zh-CN"/>
        </w:rPr>
        <w:t>HITCS-2022000007</w:t>
      </w:r>
    </w:p>
    <w:p>
      <w:pPr>
        <w:spacing w:line="700" w:lineRule="exact"/>
        <w:ind w:left="1848" w:leftChars="118" w:hanging="1600" w:hangingChars="500"/>
        <w:rPr>
          <w:rFonts w:hint="eastAsia" w:ascii="楷体_GB2312" w:eastAsia="楷体_GB2312"/>
          <w:bCs/>
          <w:color w:val="auto"/>
          <w:sz w:val="30"/>
          <w:highlight w:val="none"/>
          <w:u w:val="single"/>
          <w:lang w:val="en-US" w:eastAsia="zh-CN"/>
        </w:rPr>
      </w:pPr>
      <w:r>
        <w:rPr>
          <w:rFonts w:hint="eastAsia" w:ascii="楷体_GB2312" w:eastAsia="楷体_GB2312"/>
          <w:bCs/>
          <w:color w:val="auto"/>
          <w:sz w:val="32"/>
          <w:highlight w:val="none"/>
        </w:rPr>
        <w:t>项目名称：</w:t>
      </w:r>
      <w:r>
        <w:rPr>
          <w:rFonts w:hint="eastAsia" w:ascii="楷体_GB2312" w:eastAsia="楷体_GB2312"/>
          <w:bCs/>
          <w:color w:val="auto"/>
          <w:sz w:val="32"/>
          <w:highlight w:val="none"/>
          <w:lang w:eastAsia="zh-CN"/>
        </w:rPr>
        <w:t>哈尔滨工业大学科研房间电路改造工程</w:t>
      </w:r>
    </w:p>
    <w:p>
      <w:pPr>
        <w:spacing w:line="700" w:lineRule="exact"/>
        <w:ind w:firstLine="320" w:firstLineChars="100"/>
        <w:rPr>
          <w:rFonts w:ascii="楷体_GB2312" w:eastAsia="楷体_GB2312"/>
          <w:bCs/>
          <w:color w:val="auto"/>
          <w:sz w:val="30"/>
          <w:highlight w:val="none"/>
          <w:u w:val="single"/>
        </w:rPr>
      </w:pPr>
      <w:r>
        <w:rPr>
          <w:rFonts w:hint="eastAsia" w:ascii="楷体_GB2312" w:eastAsia="楷体_GB2312"/>
          <w:bCs/>
          <w:color w:val="auto"/>
          <w:sz w:val="32"/>
          <w:highlight w:val="none"/>
          <w:lang w:val="en-US"/>
        </w:rPr>
        <w:t xml:space="preserve"> </w:t>
      </w:r>
    </w:p>
    <w:p>
      <w:pPr>
        <w:spacing w:line="700" w:lineRule="exact"/>
        <w:ind w:firstLine="600"/>
        <w:rPr>
          <w:rFonts w:hint="default" w:ascii="楷体_GB2312" w:eastAsia="楷体_GB2312"/>
          <w:bCs/>
          <w:color w:val="auto"/>
          <w:sz w:val="32"/>
          <w:highlight w:val="none"/>
          <w:lang w:val="en-US" w:eastAsia="zh-CN"/>
        </w:rPr>
      </w:pPr>
      <w:r>
        <w:rPr>
          <w:rFonts w:hint="eastAsia" w:ascii="楷体_GB2312" w:eastAsia="楷体_GB2312"/>
          <w:bCs/>
          <w:color w:val="auto"/>
          <w:sz w:val="32"/>
          <w:highlight w:val="none"/>
          <w:lang w:val="en-US" w:eastAsia="zh-CN"/>
        </w:rPr>
        <w:t xml:space="preserve">  </w:t>
      </w:r>
    </w:p>
    <w:p>
      <w:pPr>
        <w:spacing w:line="700" w:lineRule="exact"/>
        <w:ind w:firstLine="600"/>
        <w:rPr>
          <w:rFonts w:ascii="楷体_GB2312" w:eastAsia="楷体_GB2312"/>
          <w:bCs/>
          <w:color w:val="auto"/>
          <w:sz w:val="32"/>
          <w:highlight w:val="none"/>
        </w:rPr>
      </w:pPr>
    </w:p>
    <w:p>
      <w:pPr>
        <w:spacing w:line="700" w:lineRule="exact"/>
        <w:jc w:val="center"/>
        <w:rPr>
          <w:rFonts w:ascii="楷体_GB2312" w:eastAsia="楷体_GB2312"/>
          <w:bCs/>
          <w:color w:val="auto"/>
          <w:sz w:val="32"/>
          <w:szCs w:val="32"/>
          <w:highlight w:val="none"/>
        </w:rPr>
      </w:pPr>
    </w:p>
    <w:p>
      <w:pPr>
        <w:spacing w:line="700" w:lineRule="exact"/>
        <w:jc w:val="center"/>
        <w:rPr>
          <w:rFonts w:ascii="楷体_GB2312" w:eastAsia="楷体_GB2312"/>
          <w:bCs/>
          <w:color w:val="auto"/>
          <w:sz w:val="32"/>
          <w:szCs w:val="32"/>
          <w:highlight w:val="none"/>
        </w:rPr>
      </w:pPr>
      <w:r>
        <w:rPr>
          <w:rFonts w:hint="eastAsia" w:ascii="楷体_GB2312" w:eastAsia="楷体_GB2312"/>
          <w:bCs/>
          <w:color w:val="auto"/>
          <w:sz w:val="32"/>
          <w:szCs w:val="32"/>
          <w:highlight w:val="none"/>
        </w:rPr>
        <w:t>宜国发项目管理有限公司</w:t>
      </w:r>
    </w:p>
    <w:p>
      <w:pPr>
        <w:spacing w:line="700" w:lineRule="exact"/>
        <w:jc w:val="center"/>
        <w:rPr>
          <w:bCs/>
          <w:color w:val="auto"/>
          <w:sz w:val="32"/>
          <w:szCs w:val="32"/>
          <w:highlight w:val="none"/>
        </w:rPr>
      </w:pPr>
      <w:r>
        <w:rPr>
          <w:rFonts w:hint="eastAsia"/>
          <w:bCs/>
          <w:color w:val="auto"/>
          <w:sz w:val="32"/>
          <w:szCs w:val="32"/>
          <w:highlight w:val="none"/>
          <w:lang w:val="en-US"/>
        </w:rPr>
        <w:t xml:space="preserve"> </w:t>
      </w:r>
    </w:p>
    <w:p>
      <w:pPr>
        <w:spacing w:line="240" w:lineRule="exact"/>
        <w:ind w:firstLine="420" w:firstLineChars="200"/>
        <w:rPr>
          <w:rFonts w:ascii="微软雅黑"/>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1928" w:right="1531" w:bottom="1871" w:left="1531" w:header="1148" w:footer="709" w:gutter="0"/>
          <w:pgNumType w:start="1"/>
          <w:cols w:space="720" w:num="1"/>
          <w:titlePg/>
          <w:docGrid w:linePitch="360" w:charSpace="0"/>
        </w:sectPr>
      </w:pPr>
      <w:bookmarkStart w:id="2" w:name="_Toc456015585"/>
      <w:r>
        <w:rPr>
          <w:rFonts w:ascii="微软雅黑"/>
          <w:color w:val="auto"/>
          <w:highlight w:val="none"/>
        </w:rPr>
        <w:tab/>
      </w:r>
    </w:p>
    <w:bookmarkEnd w:id="2"/>
    <w:p>
      <w:pPr>
        <w:spacing w:line="360" w:lineRule="auto"/>
        <w:jc w:val="center"/>
        <w:rPr>
          <w:rFonts w:ascii="微软雅黑"/>
          <w:color w:val="auto"/>
          <w:highlight w:val="none"/>
        </w:rPr>
      </w:pPr>
      <w:r>
        <w:rPr>
          <w:rFonts w:hint="eastAsia" w:ascii="微软雅黑" w:hAnsi="微软雅黑"/>
          <w:color w:val="auto"/>
          <w:sz w:val="44"/>
          <w:szCs w:val="44"/>
          <w:highlight w:val="none"/>
        </w:rPr>
        <w:t>目录</w:t>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TOC \o "1-1" \h \z \u</w:instrText>
      </w:r>
      <w:r>
        <w:rPr>
          <w:rFonts w:ascii="微软雅黑" w:hAnsi="微软雅黑"/>
          <w:color w:val="auto"/>
          <w:highlight w:val="none"/>
        </w:rPr>
        <w:fldChar w:fldCharType="separate"/>
      </w:r>
      <w:r>
        <w:rPr>
          <w:rFonts w:ascii="微软雅黑" w:hAnsi="微软雅黑"/>
          <w:color w:val="auto"/>
          <w:highlight w:val="none"/>
        </w:rPr>
        <w:fldChar w:fldCharType="begin"/>
      </w:r>
      <w:r>
        <w:rPr>
          <w:rFonts w:ascii="微软雅黑" w:hAnsi="微软雅黑"/>
          <w:color w:val="auto"/>
          <w:highlight w:val="none"/>
        </w:rPr>
        <w:instrText xml:space="preserve"> HYPERLINK \l _Toc26110 </w:instrText>
      </w:r>
      <w:r>
        <w:rPr>
          <w:rFonts w:ascii="微软雅黑" w:hAnsi="微软雅黑"/>
          <w:color w:val="auto"/>
          <w:highlight w:val="none"/>
        </w:rPr>
        <w:fldChar w:fldCharType="separate"/>
      </w:r>
      <w:r>
        <w:rPr>
          <w:rFonts w:hint="default" w:ascii="微软雅黑" w:cs="Times New Roman"/>
          <w:color w:val="auto"/>
          <w:highlight w:val="none"/>
        </w:rPr>
        <w:t xml:space="preserve">第一部分 </w:t>
      </w:r>
      <w:r>
        <w:rPr>
          <w:rFonts w:hint="eastAsia" w:ascii="微软雅黑" w:hAnsi="微软雅黑"/>
          <w:color w:val="auto"/>
          <w:highlight w:val="none"/>
        </w:rPr>
        <w:t>竞争性磋商邀请</w:t>
      </w:r>
      <w:r>
        <w:rPr>
          <w:color w:val="auto"/>
          <w:highlight w:val="none"/>
        </w:rPr>
        <w:tab/>
      </w:r>
      <w:r>
        <w:rPr>
          <w:color w:val="auto"/>
          <w:highlight w:val="none"/>
        </w:rPr>
        <w:fldChar w:fldCharType="begin"/>
      </w:r>
      <w:r>
        <w:rPr>
          <w:color w:val="auto"/>
          <w:highlight w:val="none"/>
        </w:rPr>
        <w:instrText xml:space="preserve"> PAGEREF _Toc26110 \h </w:instrText>
      </w:r>
      <w:r>
        <w:rPr>
          <w:color w:val="auto"/>
          <w:highlight w:val="none"/>
        </w:rPr>
        <w:fldChar w:fldCharType="separate"/>
      </w:r>
      <w:r>
        <w:rPr>
          <w:color w:val="auto"/>
          <w:highlight w:val="none"/>
        </w:rPr>
        <w:t>1</w:t>
      </w:r>
      <w:r>
        <w:rPr>
          <w:color w:val="auto"/>
          <w:highlight w:val="none"/>
        </w:rPr>
        <w:fldChar w:fldCharType="end"/>
      </w:r>
      <w:r>
        <w:rPr>
          <w:rFonts w:ascii="微软雅黑" w:hAnsi="微软雅黑"/>
          <w:color w:val="auto"/>
          <w:highlight w:val="none"/>
        </w:rPr>
        <w:fldChar w:fldCharType="end"/>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 HYPERLINK \l _Toc31594 </w:instrText>
      </w:r>
      <w:r>
        <w:rPr>
          <w:rFonts w:ascii="微软雅黑" w:hAnsi="微软雅黑"/>
          <w:color w:val="auto"/>
          <w:highlight w:val="none"/>
        </w:rPr>
        <w:fldChar w:fldCharType="separate"/>
      </w:r>
      <w:r>
        <w:rPr>
          <w:rFonts w:hint="default" w:ascii="微软雅黑" w:hAnsi="微软雅黑" w:cs="Times New Roman"/>
          <w:color w:val="auto"/>
          <w:highlight w:val="none"/>
        </w:rPr>
        <w:t xml:space="preserve">第二部分 </w:t>
      </w:r>
      <w:r>
        <w:rPr>
          <w:rFonts w:hint="eastAsia" w:ascii="微软雅黑" w:hAnsi="微软雅黑"/>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_Toc31594 \h </w:instrText>
      </w:r>
      <w:r>
        <w:rPr>
          <w:color w:val="auto"/>
          <w:highlight w:val="none"/>
        </w:rPr>
        <w:fldChar w:fldCharType="separate"/>
      </w:r>
      <w:r>
        <w:rPr>
          <w:color w:val="auto"/>
          <w:highlight w:val="none"/>
        </w:rPr>
        <w:t>7</w:t>
      </w:r>
      <w:r>
        <w:rPr>
          <w:color w:val="auto"/>
          <w:highlight w:val="none"/>
        </w:rPr>
        <w:fldChar w:fldCharType="end"/>
      </w:r>
      <w:r>
        <w:rPr>
          <w:rFonts w:ascii="微软雅黑" w:hAnsi="微软雅黑"/>
          <w:color w:val="auto"/>
          <w:highlight w:val="none"/>
        </w:rPr>
        <w:fldChar w:fldCharType="end"/>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 HYPERLINK \l _Toc13400 </w:instrText>
      </w:r>
      <w:r>
        <w:rPr>
          <w:rFonts w:ascii="微软雅黑" w:hAnsi="微软雅黑"/>
          <w:color w:val="auto"/>
          <w:highlight w:val="none"/>
        </w:rPr>
        <w:fldChar w:fldCharType="separate"/>
      </w:r>
      <w:r>
        <w:rPr>
          <w:rFonts w:hint="default" w:ascii="微软雅黑" w:cs="Times New Roman"/>
          <w:color w:val="auto"/>
          <w:highlight w:val="none"/>
        </w:rPr>
        <w:t xml:space="preserve">第三部分 </w:t>
      </w:r>
      <w:r>
        <w:rPr>
          <w:rFonts w:hint="eastAsia" w:ascii="微软雅黑" w:hAnsi="微软雅黑"/>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_Toc13400 \h </w:instrText>
      </w:r>
      <w:r>
        <w:rPr>
          <w:color w:val="auto"/>
          <w:highlight w:val="none"/>
        </w:rPr>
        <w:fldChar w:fldCharType="separate"/>
      </w:r>
      <w:r>
        <w:rPr>
          <w:color w:val="auto"/>
          <w:highlight w:val="none"/>
        </w:rPr>
        <w:t>19</w:t>
      </w:r>
      <w:r>
        <w:rPr>
          <w:color w:val="auto"/>
          <w:highlight w:val="none"/>
        </w:rPr>
        <w:fldChar w:fldCharType="end"/>
      </w:r>
      <w:r>
        <w:rPr>
          <w:rFonts w:ascii="微软雅黑" w:hAnsi="微软雅黑"/>
          <w:color w:val="auto"/>
          <w:highlight w:val="none"/>
        </w:rPr>
        <w:fldChar w:fldCharType="end"/>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 HYPERLINK \l _Toc18731 </w:instrText>
      </w:r>
      <w:r>
        <w:rPr>
          <w:rFonts w:ascii="微软雅黑" w:hAnsi="微软雅黑"/>
          <w:color w:val="auto"/>
          <w:highlight w:val="none"/>
        </w:rPr>
        <w:fldChar w:fldCharType="separate"/>
      </w:r>
      <w:r>
        <w:rPr>
          <w:rFonts w:hint="default" w:ascii="微软雅黑" w:hAnsi="微软雅黑" w:cs="Times New Roman"/>
          <w:color w:val="auto"/>
          <w:highlight w:val="none"/>
        </w:rPr>
        <w:t xml:space="preserve">第四部分 </w:t>
      </w:r>
      <w:r>
        <w:rPr>
          <w:rFonts w:hint="eastAsia" w:ascii="微软雅黑" w:hAnsi="微软雅黑"/>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_Toc18731 \h </w:instrText>
      </w:r>
      <w:r>
        <w:rPr>
          <w:color w:val="auto"/>
          <w:highlight w:val="none"/>
        </w:rPr>
        <w:fldChar w:fldCharType="separate"/>
      </w:r>
      <w:r>
        <w:rPr>
          <w:color w:val="auto"/>
          <w:highlight w:val="none"/>
        </w:rPr>
        <w:t>35</w:t>
      </w:r>
      <w:r>
        <w:rPr>
          <w:color w:val="auto"/>
          <w:highlight w:val="none"/>
        </w:rPr>
        <w:fldChar w:fldCharType="end"/>
      </w:r>
      <w:r>
        <w:rPr>
          <w:rFonts w:ascii="微软雅黑" w:hAnsi="微软雅黑"/>
          <w:color w:val="auto"/>
          <w:highlight w:val="none"/>
        </w:rPr>
        <w:fldChar w:fldCharType="end"/>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 HYPERLINK \l _Toc2637 </w:instrText>
      </w:r>
      <w:r>
        <w:rPr>
          <w:rFonts w:ascii="微软雅黑" w:hAnsi="微软雅黑"/>
          <w:color w:val="auto"/>
          <w:highlight w:val="none"/>
        </w:rPr>
        <w:fldChar w:fldCharType="separate"/>
      </w:r>
      <w:r>
        <w:rPr>
          <w:rFonts w:hint="default" w:ascii="微软雅黑" w:hAnsi="微软雅黑" w:cs="Times New Roman"/>
          <w:color w:val="auto"/>
          <w:highlight w:val="none"/>
        </w:rPr>
        <w:t xml:space="preserve">第五部分 </w:t>
      </w:r>
      <w:r>
        <w:rPr>
          <w:rFonts w:hint="eastAsia" w:ascii="微软雅黑" w:hAnsi="微软雅黑"/>
          <w:color w:val="auto"/>
          <w:highlight w:val="none"/>
        </w:rPr>
        <w:t>图纸</w:t>
      </w:r>
      <w:r>
        <w:rPr>
          <w:color w:val="auto"/>
          <w:highlight w:val="none"/>
        </w:rPr>
        <w:tab/>
      </w:r>
      <w:r>
        <w:rPr>
          <w:color w:val="auto"/>
          <w:highlight w:val="none"/>
        </w:rPr>
        <w:fldChar w:fldCharType="begin"/>
      </w:r>
      <w:r>
        <w:rPr>
          <w:color w:val="auto"/>
          <w:highlight w:val="none"/>
        </w:rPr>
        <w:instrText xml:space="preserve"> PAGEREF _Toc2637 \h </w:instrText>
      </w:r>
      <w:r>
        <w:rPr>
          <w:color w:val="auto"/>
          <w:highlight w:val="none"/>
        </w:rPr>
        <w:fldChar w:fldCharType="separate"/>
      </w:r>
      <w:r>
        <w:rPr>
          <w:color w:val="auto"/>
          <w:highlight w:val="none"/>
        </w:rPr>
        <w:t>56</w:t>
      </w:r>
      <w:r>
        <w:rPr>
          <w:color w:val="auto"/>
          <w:highlight w:val="none"/>
        </w:rPr>
        <w:fldChar w:fldCharType="end"/>
      </w:r>
      <w:r>
        <w:rPr>
          <w:rFonts w:ascii="微软雅黑" w:hAnsi="微软雅黑"/>
          <w:color w:val="auto"/>
          <w:highlight w:val="none"/>
        </w:rPr>
        <w:fldChar w:fldCharType="end"/>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 HYPERLINK \l _Toc19658 </w:instrText>
      </w:r>
      <w:r>
        <w:rPr>
          <w:rFonts w:ascii="微软雅黑" w:hAnsi="微软雅黑"/>
          <w:color w:val="auto"/>
          <w:highlight w:val="none"/>
        </w:rPr>
        <w:fldChar w:fldCharType="separate"/>
      </w:r>
      <w:r>
        <w:rPr>
          <w:rFonts w:hint="default" w:ascii="微软雅黑" w:hAnsi="微软雅黑" w:cs="Times New Roman"/>
          <w:color w:val="auto"/>
          <w:highlight w:val="none"/>
        </w:rPr>
        <w:t xml:space="preserve">第六部分 </w:t>
      </w:r>
      <w:r>
        <w:rPr>
          <w:rFonts w:hint="eastAsia" w:ascii="微软雅黑" w:hAnsi="微软雅黑"/>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_Toc19658 \h </w:instrText>
      </w:r>
      <w:r>
        <w:rPr>
          <w:color w:val="auto"/>
          <w:highlight w:val="none"/>
        </w:rPr>
        <w:fldChar w:fldCharType="separate"/>
      </w:r>
      <w:r>
        <w:rPr>
          <w:color w:val="auto"/>
          <w:highlight w:val="none"/>
        </w:rPr>
        <w:t>57</w:t>
      </w:r>
      <w:r>
        <w:rPr>
          <w:color w:val="auto"/>
          <w:highlight w:val="none"/>
        </w:rPr>
        <w:fldChar w:fldCharType="end"/>
      </w:r>
      <w:r>
        <w:rPr>
          <w:rFonts w:ascii="微软雅黑" w:hAnsi="微软雅黑"/>
          <w:color w:val="auto"/>
          <w:highlight w:val="none"/>
        </w:rPr>
        <w:fldChar w:fldCharType="end"/>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 HYPERLINK \l _Toc9624 </w:instrText>
      </w:r>
      <w:r>
        <w:rPr>
          <w:rFonts w:ascii="微软雅黑" w:hAnsi="微软雅黑"/>
          <w:color w:val="auto"/>
          <w:highlight w:val="none"/>
        </w:rPr>
        <w:fldChar w:fldCharType="separate"/>
      </w:r>
      <w:r>
        <w:rPr>
          <w:rFonts w:hint="default" w:cs="Times New Roman"/>
          <w:color w:val="auto"/>
          <w:highlight w:val="none"/>
        </w:rPr>
        <w:t xml:space="preserve">第七部分 </w:t>
      </w:r>
      <w:r>
        <w:rPr>
          <w:rFonts w:hint="eastAsia" w:ascii="微软雅黑" w:hAnsi="微软雅黑"/>
          <w:color w:val="auto"/>
          <w:highlight w:val="none"/>
        </w:rPr>
        <w:t>资格审查</w:t>
      </w:r>
      <w:r>
        <w:rPr>
          <w:color w:val="auto"/>
          <w:highlight w:val="none"/>
        </w:rPr>
        <w:tab/>
      </w:r>
      <w:r>
        <w:rPr>
          <w:color w:val="auto"/>
          <w:highlight w:val="none"/>
        </w:rPr>
        <w:fldChar w:fldCharType="begin"/>
      </w:r>
      <w:r>
        <w:rPr>
          <w:color w:val="auto"/>
          <w:highlight w:val="none"/>
        </w:rPr>
        <w:instrText xml:space="preserve"> PAGEREF _Toc9624 \h </w:instrText>
      </w:r>
      <w:r>
        <w:rPr>
          <w:color w:val="auto"/>
          <w:highlight w:val="none"/>
        </w:rPr>
        <w:fldChar w:fldCharType="separate"/>
      </w:r>
      <w:r>
        <w:rPr>
          <w:color w:val="auto"/>
          <w:highlight w:val="none"/>
        </w:rPr>
        <w:t>66</w:t>
      </w:r>
      <w:r>
        <w:rPr>
          <w:color w:val="auto"/>
          <w:highlight w:val="none"/>
        </w:rPr>
        <w:fldChar w:fldCharType="end"/>
      </w:r>
      <w:r>
        <w:rPr>
          <w:rFonts w:ascii="微软雅黑" w:hAnsi="微软雅黑"/>
          <w:color w:val="auto"/>
          <w:highlight w:val="none"/>
        </w:rPr>
        <w:fldChar w:fldCharType="end"/>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 HYPERLINK \l _Toc25743 </w:instrText>
      </w:r>
      <w:r>
        <w:rPr>
          <w:rFonts w:ascii="微软雅黑" w:hAnsi="微软雅黑"/>
          <w:color w:val="auto"/>
          <w:highlight w:val="none"/>
        </w:rPr>
        <w:fldChar w:fldCharType="separate"/>
      </w:r>
      <w:r>
        <w:rPr>
          <w:rFonts w:hint="default" w:ascii="微软雅黑" w:cs="Times New Roman"/>
          <w:color w:val="auto"/>
          <w:highlight w:val="none"/>
        </w:rPr>
        <w:t xml:space="preserve">第八部分 </w:t>
      </w:r>
      <w:r>
        <w:rPr>
          <w:rFonts w:hint="eastAsia" w:ascii="微软雅黑" w:hAnsi="微软雅黑"/>
          <w:color w:val="auto"/>
          <w:highlight w:val="none"/>
        </w:rPr>
        <w:t>评审方法和评审标准</w:t>
      </w:r>
      <w:r>
        <w:rPr>
          <w:color w:val="auto"/>
          <w:highlight w:val="none"/>
        </w:rPr>
        <w:tab/>
      </w:r>
      <w:r>
        <w:rPr>
          <w:color w:val="auto"/>
          <w:highlight w:val="none"/>
        </w:rPr>
        <w:fldChar w:fldCharType="begin"/>
      </w:r>
      <w:r>
        <w:rPr>
          <w:color w:val="auto"/>
          <w:highlight w:val="none"/>
        </w:rPr>
        <w:instrText xml:space="preserve"> PAGEREF _Toc25743 \h </w:instrText>
      </w:r>
      <w:r>
        <w:rPr>
          <w:color w:val="auto"/>
          <w:highlight w:val="none"/>
        </w:rPr>
        <w:fldChar w:fldCharType="separate"/>
      </w:r>
      <w:r>
        <w:rPr>
          <w:color w:val="auto"/>
          <w:highlight w:val="none"/>
        </w:rPr>
        <w:t>71</w:t>
      </w:r>
      <w:r>
        <w:rPr>
          <w:color w:val="auto"/>
          <w:highlight w:val="none"/>
        </w:rPr>
        <w:fldChar w:fldCharType="end"/>
      </w:r>
      <w:r>
        <w:rPr>
          <w:rFonts w:ascii="微软雅黑" w:hAnsi="微软雅黑"/>
          <w:color w:val="auto"/>
          <w:highlight w:val="none"/>
        </w:rPr>
        <w:fldChar w:fldCharType="end"/>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 HYPERLINK \l _Toc3318 </w:instrText>
      </w:r>
      <w:r>
        <w:rPr>
          <w:rFonts w:ascii="微软雅黑" w:hAnsi="微软雅黑"/>
          <w:color w:val="auto"/>
          <w:highlight w:val="none"/>
        </w:rPr>
        <w:fldChar w:fldCharType="separate"/>
      </w:r>
      <w:r>
        <w:rPr>
          <w:rFonts w:hint="default" w:ascii="微软雅黑" w:cs="Times New Roman"/>
          <w:color w:val="auto"/>
          <w:highlight w:val="none"/>
        </w:rPr>
        <w:t xml:space="preserve">第九部分 </w:t>
      </w:r>
      <w:r>
        <w:rPr>
          <w:rFonts w:hint="eastAsia" w:ascii="微软雅黑" w:hAnsi="微软雅黑"/>
          <w:color w:val="auto"/>
          <w:highlight w:val="none"/>
          <w:lang w:val="en-US"/>
        </w:rPr>
        <w:t>合同草案条款</w:t>
      </w:r>
      <w:r>
        <w:rPr>
          <w:color w:val="auto"/>
          <w:highlight w:val="none"/>
        </w:rPr>
        <w:tab/>
      </w:r>
      <w:r>
        <w:rPr>
          <w:color w:val="auto"/>
          <w:highlight w:val="none"/>
        </w:rPr>
        <w:fldChar w:fldCharType="begin"/>
      </w:r>
      <w:r>
        <w:rPr>
          <w:color w:val="auto"/>
          <w:highlight w:val="none"/>
        </w:rPr>
        <w:instrText xml:space="preserve"> PAGEREF _Toc3318 \h </w:instrText>
      </w:r>
      <w:r>
        <w:rPr>
          <w:color w:val="auto"/>
          <w:highlight w:val="none"/>
        </w:rPr>
        <w:fldChar w:fldCharType="separate"/>
      </w:r>
      <w:r>
        <w:rPr>
          <w:color w:val="auto"/>
          <w:highlight w:val="none"/>
        </w:rPr>
        <w:t>77</w:t>
      </w:r>
      <w:r>
        <w:rPr>
          <w:color w:val="auto"/>
          <w:highlight w:val="none"/>
        </w:rPr>
        <w:fldChar w:fldCharType="end"/>
      </w:r>
      <w:r>
        <w:rPr>
          <w:rFonts w:ascii="微软雅黑" w:hAnsi="微软雅黑"/>
          <w:color w:val="auto"/>
          <w:highlight w:val="none"/>
        </w:rPr>
        <w:fldChar w:fldCharType="end"/>
      </w:r>
    </w:p>
    <w:p>
      <w:pPr>
        <w:pStyle w:val="56"/>
        <w:tabs>
          <w:tab w:val="right" w:leader="dot" w:pos="8845"/>
          <w:tab w:val="clear" w:pos="9090"/>
        </w:tabs>
        <w:rPr>
          <w:color w:val="auto"/>
          <w:highlight w:val="none"/>
        </w:rPr>
      </w:pPr>
      <w:r>
        <w:rPr>
          <w:rFonts w:ascii="微软雅黑" w:hAnsi="微软雅黑"/>
          <w:color w:val="auto"/>
          <w:highlight w:val="none"/>
        </w:rPr>
        <w:fldChar w:fldCharType="begin"/>
      </w:r>
      <w:r>
        <w:rPr>
          <w:rFonts w:ascii="微软雅黑" w:hAnsi="微软雅黑"/>
          <w:color w:val="auto"/>
          <w:highlight w:val="none"/>
        </w:rPr>
        <w:instrText xml:space="preserve"> HYPERLINK \l _Toc24463 </w:instrText>
      </w:r>
      <w:r>
        <w:rPr>
          <w:rFonts w:ascii="微软雅黑" w:hAnsi="微软雅黑"/>
          <w:color w:val="auto"/>
          <w:highlight w:val="none"/>
        </w:rPr>
        <w:fldChar w:fldCharType="separate"/>
      </w:r>
      <w:r>
        <w:rPr>
          <w:rFonts w:hint="default" w:ascii="微软雅黑" w:hAnsi="微软雅黑" w:cs="Times New Roman"/>
          <w:color w:val="auto"/>
          <w:highlight w:val="none"/>
          <w:lang w:val="en-US"/>
        </w:rPr>
        <w:t xml:space="preserve">第十部分 </w:t>
      </w:r>
      <w:r>
        <w:rPr>
          <w:rFonts w:hint="eastAsia" w:ascii="微软雅黑" w:hAnsi="微软雅黑"/>
          <w:color w:val="auto"/>
          <w:highlight w:val="none"/>
          <w:lang w:val="en-US"/>
        </w:rPr>
        <w:t>响应文件格式</w:t>
      </w:r>
      <w:r>
        <w:rPr>
          <w:color w:val="auto"/>
          <w:highlight w:val="none"/>
        </w:rPr>
        <w:tab/>
      </w:r>
      <w:r>
        <w:rPr>
          <w:color w:val="auto"/>
          <w:highlight w:val="none"/>
        </w:rPr>
        <w:fldChar w:fldCharType="begin"/>
      </w:r>
      <w:r>
        <w:rPr>
          <w:color w:val="auto"/>
          <w:highlight w:val="none"/>
        </w:rPr>
        <w:instrText xml:space="preserve"> PAGEREF _Toc24463 \h </w:instrText>
      </w:r>
      <w:r>
        <w:rPr>
          <w:color w:val="auto"/>
          <w:highlight w:val="none"/>
        </w:rPr>
        <w:fldChar w:fldCharType="separate"/>
      </w:r>
      <w:r>
        <w:rPr>
          <w:color w:val="auto"/>
          <w:highlight w:val="none"/>
        </w:rPr>
        <w:t>176</w:t>
      </w:r>
      <w:r>
        <w:rPr>
          <w:color w:val="auto"/>
          <w:highlight w:val="none"/>
        </w:rPr>
        <w:fldChar w:fldCharType="end"/>
      </w:r>
      <w:r>
        <w:rPr>
          <w:rFonts w:ascii="微软雅黑" w:hAnsi="微软雅黑"/>
          <w:color w:val="auto"/>
          <w:highlight w:val="none"/>
        </w:rPr>
        <w:fldChar w:fldCharType="end"/>
      </w:r>
    </w:p>
    <w:p>
      <w:pPr>
        <w:rPr>
          <w:rFonts w:ascii="微软雅黑"/>
          <w:color w:val="auto"/>
          <w:highlight w:val="none"/>
        </w:rPr>
      </w:pPr>
      <w:r>
        <w:rPr>
          <w:rFonts w:ascii="微软雅黑" w:hAnsi="微软雅黑"/>
          <w:color w:val="auto"/>
          <w:highlight w:val="none"/>
        </w:rPr>
        <w:fldChar w:fldCharType="end"/>
      </w:r>
    </w:p>
    <w:p>
      <w:pPr>
        <w:rPr>
          <w:rFonts w:ascii="微软雅黑"/>
          <w:color w:val="auto"/>
          <w:highlight w:val="none"/>
        </w:rPr>
        <w:sectPr>
          <w:pgSz w:w="11907" w:h="16839"/>
          <w:pgMar w:top="1928" w:right="1531" w:bottom="1871" w:left="1531" w:header="1148" w:footer="709" w:gutter="0"/>
          <w:pgNumType w:start="1"/>
          <w:cols w:space="720" w:num="1"/>
          <w:titlePg/>
          <w:docGrid w:linePitch="360" w:charSpace="0"/>
        </w:sectPr>
      </w:pPr>
    </w:p>
    <w:p>
      <w:pPr>
        <w:pStyle w:val="4"/>
        <w:numPr>
          <w:ilvl w:val="0"/>
          <w:numId w:val="10"/>
        </w:numPr>
        <w:spacing w:before="2400" w:after="0"/>
        <w:ind w:left="1293" w:hanging="1293"/>
        <w:jc w:val="center"/>
        <w:rPr>
          <w:rFonts w:ascii="微软雅黑"/>
          <w:color w:val="auto"/>
          <w:highlight w:val="none"/>
        </w:rPr>
      </w:pPr>
      <w:bookmarkStart w:id="3" w:name="_Toc20623"/>
      <w:bookmarkStart w:id="4" w:name="_Toc26110"/>
      <w:r>
        <w:rPr>
          <w:rFonts w:hint="eastAsia" w:ascii="微软雅黑" w:hAnsi="微软雅黑"/>
          <w:color w:val="auto"/>
          <w:highlight w:val="none"/>
        </w:rPr>
        <w:t>竞争性磋商邀请</w:t>
      </w:r>
      <w:bookmarkEnd w:id="3"/>
      <w:bookmarkEnd w:id="4"/>
    </w:p>
    <w:p>
      <w:pPr>
        <w:jc w:val="both"/>
        <w:rPr>
          <w:rFonts w:ascii="微软雅黑"/>
          <w:color w:val="auto"/>
          <w:highlight w:val="none"/>
        </w:rPr>
      </w:pPr>
    </w:p>
    <w:p>
      <w:pPr>
        <w:jc w:val="both"/>
        <w:rPr>
          <w:rFonts w:ascii="微软雅黑"/>
          <w:color w:val="auto"/>
          <w:highlight w:val="none"/>
        </w:rPr>
        <w:sectPr>
          <w:type w:val="oddPage"/>
          <w:pgSz w:w="11907" w:h="16839"/>
          <w:pgMar w:top="1928" w:right="1531" w:bottom="1871" w:left="1531" w:header="1145" w:footer="709" w:gutter="0"/>
          <w:pgNumType w:start="1"/>
          <w:cols w:space="720" w:num="1"/>
          <w:docGrid w:linePitch="360" w:charSpace="0"/>
        </w:sectPr>
      </w:pPr>
    </w:p>
    <w:p>
      <w:pPr>
        <w:spacing w:line="240" w:lineRule="atLeast"/>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竞争性磋商邀请</w:t>
      </w:r>
    </w:p>
    <w:p>
      <w:pPr>
        <w:jc w:val="center"/>
        <w:rPr>
          <w:rFonts w:ascii="微软雅黑" w:hAnsi="微软雅黑"/>
          <w:color w:val="auto"/>
          <w:sz w:val="24"/>
          <w:szCs w:val="24"/>
          <w:highlight w:val="none"/>
        </w:rPr>
      </w:pPr>
      <w:r>
        <w:rPr>
          <w:rFonts w:hint="eastAsia" w:ascii="微软雅黑" w:hAnsi="微软雅黑"/>
          <w:bCs/>
          <w:color w:val="auto"/>
          <w:sz w:val="24"/>
          <w:szCs w:val="24"/>
          <w:highlight w:val="none"/>
          <w:lang w:val="en-US" w:eastAsia="zh-CN"/>
        </w:rPr>
        <w:t>哈尔滨工业大学科研房间电路改造工程</w:t>
      </w:r>
      <w:r>
        <w:rPr>
          <w:rFonts w:hint="eastAsia" w:ascii="微软雅黑" w:hAnsi="微软雅黑"/>
          <w:bCs/>
          <w:color w:val="auto"/>
          <w:sz w:val="24"/>
          <w:szCs w:val="24"/>
          <w:highlight w:val="none"/>
          <w:lang w:val="en-US"/>
        </w:rPr>
        <w:t>竞争性磋商公告</w:t>
      </w:r>
    </w:p>
    <w:p>
      <w:pPr>
        <w:pBdr>
          <w:top w:val="single" w:color="auto" w:sz="4" w:space="1"/>
          <w:left w:val="single" w:color="auto" w:sz="4" w:space="4"/>
          <w:bottom w:val="single" w:color="auto" w:sz="4" w:space="1"/>
          <w:right w:val="single" w:color="auto" w:sz="4" w:space="4"/>
        </w:pBdr>
        <w:ind w:firstLine="420" w:firstLineChars="200"/>
        <w:rPr>
          <w:rFonts w:ascii="微软雅黑" w:hAnsi="微软雅黑"/>
          <w:color w:val="auto"/>
          <w:szCs w:val="21"/>
          <w:highlight w:val="none"/>
        </w:rPr>
      </w:pPr>
      <w:bookmarkStart w:id="5" w:name="_Toc28359079"/>
      <w:bookmarkStart w:id="6" w:name="_Toc28359002"/>
      <w:bookmarkStart w:id="7" w:name="_Toc35393790"/>
      <w:bookmarkStart w:id="8" w:name="_Toc35393621"/>
      <w:bookmarkStart w:id="9" w:name="_Hlk24379207"/>
      <w:r>
        <w:rPr>
          <w:rFonts w:hint="eastAsia" w:ascii="微软雅黑" w:hAnsi="微软雅黑"/>
          <w:color w:val="auto"/>
          <w:szCs w:val="21"/>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ascii="微软雅黑" w:hAnsi="微软雅黑"/>
          <w:color w:val="auto"/>
          <w:szCs w:val="21"/>
          <w:highlight w:val="none"/>
        </w:rPr>
      </w:pPr>
      <w:r>
        <w:rPr>
          <w:rFonts w:hint="eastAsia" w:ascii="微软雅黑" w:hAnsi="微软雅黑"/>
          <w:color w:val="auto"/>
          <w:szCs w:val="21"/>
          <w:highlight w:val="none"/>
          <w:u w:val="single"/>
          <w:lang w:val="en-US" w:eastAsia="zh-CN"/>
        </w:rPr>
        <w:t>哈尔滨工业大学科研房间电路改造工程</w:t>
      </w:r>
      <w:r>
        <w:rPr>
          <w:rFonts w:hint="eastAsia" w:ascii="微软雅黑" w:hAnsi="微软雅黑"/>
          <w:color w:val="auto"/>
          <w:szCs w:val="21"/>
          <w:highlight w:val="none"/>
        </w:rPr>
        <w:t>的潜在供应商应在</w:t>
      </w:r>
      <w:r>
        <w:rPr>
          <w:rFonts w:hint="eastAsia" w:ascii="微软雅黑" w:hAnsi="微软雅黑"/>
          <w:color w:val="auto"/>
          <w:szCs w:val="21"/>
          <w:highlight w:val="none"/>
          <w:u w:val="single"/>
        </w:rPr>
        <w:t>中招联合招标采购平台</w:t>
      </w:r>
      <w:r>
        <w:rPr>
          <w:rFonts w:hint="eastAsia" w:ascii="微软雅黑" w:hAnsi="微软雅黑"/>
          <w:color w:val="auto"/>
          <w:szCs w:val="21"/>
          <w:highlight w:val="none"/>
        </w:rPr>
        <w:t>获取采购文件，并于</w:t>
      </w:r>
      <w:r>
        <w:rPr>
          <w:rFonts w:hint="eastAsia" w:ascii="微软雅黑" w:hAnsi="微软雅黑"/>
          <w:color w:val="auto"/>
          <w:szCs w:val="21"/>
          <w:highlight w:val="none"/>
          <w:u w:val="single"/>
          <w:lang w:val="en-US" w:eastAsia="zh-CN"/>
        </w:rPr>
        <w:t>2022年8月15日14点30分</w:t>
      </w:r>
      <w:r>
        <w:rPr>
          <w:rFonts w:hint="eastAsia" w:ascii="微软雅黑" w:hAnsi="微软雅黑"/>
          <w:bCs/>
          <w:color w:val="auto"/>
          <w:szCs w:val="21"/>
          <w:highlight w:val="none"/>
          <w:u w:val="single"/>
        </w:rPr>
        <w:t>（</w:t>
      </w:r>
      <w:r>
        <w:rPr>
          <w:rFonts w:hint="eastAsia" w:ascii="微软雅黑" w:hAnsi="微软雅黑"/>
          <w:bCs/>
          <w:color w:val="auto"/>
          <w:szCs w:val="21"/>
          <w:highlight w:val="none"/>
        </w:rPr>
        <w:t>北京时间）前递交响应</w:t>
      </w:r>
      <w:r>
        <w:rPr>
          <w:rFonts w:ascii="微软雅黑" w:hAnsi="微软雅黑"/>
          <w:bCs/>
          <w:color w:val="auto"/>
          <w:szCs w:val="21"/>
          <w:highlight w:val="none"/>
        </w:rPr>
        <w:t>文件</w:t>
      </w:r>
      <w:r>
        <w:rPr>
          <w:rFonts w:hint="eastAsia" w:ascii="微软雅黑" w:hAnsi="微软雅黑"/>
          <w:color w:val="auto"/>
          <w:szCs w:val="21"/>
          <w:highlight w:val="none"/>
        </w:rPr>
        <w:t>。</w:t>
      </w:r>
    </w:p>
    <w:p>
      <w:pPr>
        <w:pStyle w:val="5"/>
        <w:rPr>
          <w:b w:val="0"/>
          <w:color w:val="auto"/>
          <w:szCs w:val="21"/>
          <w:highlight w:val="none"/>
        </w:rPr>
      </w:pPr>
      <w:bookmarkStart w:id="10" w:name="_Toc24484"/>
      <w:r>
        <w:rPr>
          <w:rFonts w:hint="eastAsia"/>
          <w:b w:val="0"/>
          <w:color w:val="auto"/>
          <w:szCs w:val="21"/>
          <w:highlight w:val="none"/>
        </w:rPr>
        <w:t>一、项目基本情况</w:t>
      </w:r>
      <w:bookmarkEnd w:id="5"/>
      <w:bookmarkEnd w:id="6"/>
      <w:bookmarkEnd w:id="7"/>
      <w:bookmarkEnd w:id="8"/>
      <w:bookmarkEnd w:id="10"/>
    </w:p>
    <w:p>
      <w:pPr>
        <w:ind w:firstLine="420" w:firstLineChars="200"/>
        <w:rPr>
          <w:rFonts w:ascii="微软雅黑" w:hAnsi="微软雅黑"/>
          <w:color w:val="auto"/>
          <w:szCs w:val="21"/>
          <w:highlight w:val="none"/>
        </w:rPr>
      </w:pPr>
      <w:r>
        <w:rPr>
          <w:rFonts w:hint="eastAsia" w:ascii="微软雅黑" w:hAnsi="微软雅黑"/>
          <w:color w:val="auto"/>
          <w:szCs w:val="21"/>
          <w:highlight w:val="none"/>
        </w:rPr>
        <w:t>项目编号：</w:t>
      </w:r>
      <w:r>
        <w:rPr>
          <w:rFonts w:hint="eastAsia" w:ascii="微软雅黑" w:hAnsi="微软雅黑"/>
          <w:color w:val="auto"/>
          <w:szCs w:val="21"/>
          <w:highlight w:val="none"/>
          <w:lang w:eastAsia="zh-CN"/>
        </w:rPr>
        <w:t>HITCS-2022000007</w:t>
      </w:r>
      <w:r>
        <w:rPr>
          <w:rFonts w:hint="eastAsia" w:ascii="微软雅黑" w:hAnsi="微软雅黑"/>
          <w:color w:val="auto"/>
          <w:szCs w:val="21"/>
          <w:highlight w:val="none"/>
        </w:rPr>
        <w:t xml:space="preserve"> </w:t>
      </w:r>
    </w:p>
    <w:p>
      <w:pPr>
        <w:ind w:firstLine="420" w:firstLineChars="200"/>
        <w:rPr>
          <w:rFonts w:hint="eastAsia" w:ascii="微软雅黑" w:hAnsi="微软雅黑" w:eastAsia="微软雅黑"/>
          <w:color w:val="auto"/>
          <w:szCs w:val="21"/>
          <w:highlight w:val="none"/>
          <w:lang w:eastAsia="zh-CN"/>
        </w:rPr>
      </w:pPr>
      <w:r>
        <w:rPr>
          <w:rFonts w:hint="eastAsia" w:ascii="微软雅黑" w:hAnsi="微软雅黑"/>
          <w:color w:val="auto"/>
          <w:szCs w:val="21"/>
          <w:highlight w:val="none"/>
        </w:rPr>
        <w:t>项目名称：</w:t>
      </w:r>
      <w:r>
        <w:rPr>
          <w:rFonts w:hint="eastAsia" w:ascii="微软雅黑" w:hAnsi="微软雅黑"/>
          <w:color w:val="auto"/>
          <w:szCs w:val="21"/>
          <w:highlight w:val="none"/>
          <w:lang w:eastAsia="zh-CN"/>
        </w:rPr>
        <w:t>哈尔滨工业大学科研房间电路改造工程</w:t>
      </w:r>
    </w:p>
    <w:p>
      <w:pPr>
        <w:ind w:firstLine="420" w:firstLineChars="200"/>
        <w:rPr>
          <w:rFonts w:ascii="微软雅黑" w:hAnsi="微软雅黑"/>
          <w:color w:val="auto"/>
          <w:szCs w:val="21"/>
          <w:highlight w:val="none"/>
        </w:rPr>
      </w:pPr>
      <w:r>
        <w:rPr>
          <w:rFonts w:ascii="微软雅黑" w:hAnsi="微软雅黑"/>
          <w:color w:val="auto"/>
          <w:szCs w:val="21"/>
          <w:highlight w:val="none"/>
        </w:rPr>
        <w:t>采购方式</w:t>
      </w:r>
      <w:r>
        <w:rPr>
          <w:rFonts w:hint="eastAsia" w:ascii="微软雅黑" w:hAnsi="微软雅黑"/>
          <w:color w:val="auto"/>
          <w:szCs w:val="21"/>
          <w:highlight w:val="none"/>
        </w:rPr>
        <w:t>：竞争性磋商</w:t>
      </w:r>
    </w:p>
    <w:bookmarkEnd w:id="9"/>
    <w:p>
      <w:pPr>
        <w:ind w:firstLine="420" w:firstLineChars="200"/>
        <w:rPr>
          <w:rFonts w:ascii="微软雅黑" w:hAnsi="微软雅黑"/>
          <w:color w:val="auto"/>
          <w:szCs w:val="21"/>
          <w:highlight w:val="none"/>
        </w:rPr>
      </w:pPr>
      <w:r>
        <w:rPr>
          <w:rFonts w:hint="eastAsia" w:ascii="微软雅黑" w:hAnsi="微软雅黑"/>
          <w:color w:val="auto"/>
          <w:szCs w:val="21"/>
          <w:highlight w:val="none"/>
        </w:rPr>
        <w:t>预算金额：</w:t>
      </w:r>
      <w:bookmarkStart w:id="11" w:name="gxebd_prjbudget_1"/>
      <w:r>
        <w:rPr>
          <w:rFonts w:hint="eastAsia" w:ascii="微软雅黑" w:hAnsi="微软雅黑"/>
          <w:color w:val="auto"/>
          <w:szCs w:val="21"/>
          <w:highlight w:val="none"/>
        </w:rPr>
        <w:t>人民币</w:t>
      </w:r>
      <w:bookmarkEnd w:id="11"/>
      <w:r>
        <w:rPr>
          <w:rFonts w:hint="eastAsia" w:ascii="微软雅黑" w:hAnsi="微软雅黑"/>
          <w:color w:val="auto"/>
          <w:szCs w:val="21"/>
          <w:highlight w:val="none"/>
        </w:rPr>
        <w:t xml:space="preserve"> 3262646.10元</w:t>
      </w:r>
    </w:p>
    <w:p>
      <w:pPr>
        <w:ind w:firstLine="420" w:firstLineChars="200"/>
        <w:rPr>
          <w:rFonts w:ascii="微软雅黑" w:hAnsi="微软雅黑"/>
          <w:color w:val="auto"/>
          <w:szCs w:val="21"/>
          <w:highlight w:val="none"/>
        </w:rPr>
      </w:pPr>
      <w:r>
        <w:rPr>
          <w:rFonts w:hint="eastAsia" w:ascii="微软雅黑" w:hAnsi="微软雅黑"/>
          <w:color w:val="auto"/>
          <w:szCs w:val="21"/>
          <w:highlight w:val="none"/>
        </w:rPr>
        <w:t>最高限价：人民币 3262646.10元</w:t>
      </w:r>
    </w:p>
    <w:p>
      <w:pPr>
        <w:ind w:firstLine="420" w:firstLineChars="200"/>
        <w:rPr>
          <w:rFonts w:hint="eastAsia" w:ascii="微软雅黑" w:hAnsi="微软雅黑"/>
          <w:color w:val="auto"/>
          <w:szCs w:val="21"/>
          <w:highlight w:val="none"/>
        </w:rPr>
      </w:pPr>
      <w:r>
        <w:rPr>
          <w:rFonts w:hint="eastAsia" w:ascii="微软雅黑" w:hAnsi="微软雅黑"/>
          <w:color w:val="auto"/>
          <w:szCs w:val="21"/>
          <w:highlight w:val="none"/>
        </w:rPr>
        <w:t>采购需求：哈尔滨工业大学科研房间电路改造工程，此次改造包括一二校区和科学园校区。主要包括一校区的明德楼、新技术楼、综合楼、理学楼、制造楼、机械楼、电机楼、主楼等楼宇，二校区的土木科研楼、结构楼、环境生物楼等楼宇科研房间的电路改造。主要涉及安装配管、配线、插座、电缆槽盒、荧光灯，拆除配线、打孔洞等施工内容。具体内容详见施工图及招标工程量清单。</w:t>
      </w:r>
    </w:p>
    <w:p>
      <w:pPr>
        <w:ind w:firstLine="420" w:firstLineChars="200"/>
        <w:rPr>
          <w:rFonts w:hint="eastAsia" w:ascii="微软雅黑" w:hAnsi="微软雅黑"/>
          <w:color w:val="auto"/>
          <w:szCs w:val="21"/>
          <w:highlight w:val="none"/>
        </w:rPr>
      </w:pPr>
      <w:r>
        <w:rPr>
          <w:rFonts w:hint="eastAsia" w:ascii="微软雅黑" w:hAnsi="微软雅黑"/>
          <w:color w:val="auto"/>
          <w:szCs w:val="21"/>
          <w:highlight w:val="none"/>
        </w:rPr>
        <w:t>改造范围内报废的给排水及各类管道(不含金属管道）、设备、家具及其建筑结构拆改（包含隐蔽部分）由投标人负责拆除、垃圾清理并外运，涉及学校固定资产物资、残值物品，拆除到采购人指定位置，因此产生费用不论招标工程量清单中是否列项，或项目特征描述中是否载明，都将被视为已包含在投标报价中。请投标人充分了解，此项费用不再调整。</w:t>
      </w:r>
    </w:p>
    <w:p>
      <w:pPr>
        <w:ind w:firstLine="420" w:firstLineChars="200"/>
        <w:rPr>
          <w:rFonts w:ascii="微软雅黑" w:hAnsi="微软雅黑"/>
          <w:color w:val="auto"/>
          <w:szCs w:val="21"/>
          <w:highlight w:val="none"/>
        </w:rPr>
      </w:pPr>
      <w:r>
        <w:rPr>
          <w:rFonts w:hint="eastAsia" w:ascii="微软雅黑" w:hAnsi="微软雅黑"/>
          <w:color w:val="auto"/>
          <w:szCs w:val="21"/>
          <w:highlight w:val="none"/>
        </w:rPr>
        <w:t>投标人需采取有效措施对施工影响区域家具、设备设施、管道线路进行妥善保护，因施工需要确需拆除或局部搬移的，由投标人负责拆除或搬移，施工完毕后投标人需原样恢复；施工过程中造成的室内墙体、天花、地面等环境污染或破坏的，投标人负责无偿清理及恢复；因施工需要需对既有建筑装饰装修进行拆除或造成破坏的，投标人需自行完成并负责无偿原样恢复。上述内容除招标工程量清单中已列项的内容外，其余费用全部由投标人承担，采购人不在另行支付费用，请投标人在测算报价时充分考虑以上因素。</w:t>
      </w:r>
    </w:p>
    <w:p>
      <w:pPr>
        <w:ind w:firstLine="420" w:firstLineChars="200"/>
        <w:rPr>
          <w:rFonts w:ascii="微软雅黑" w:hAnsi="微软雅黑"/>
          <w:color w:val="auto"/>
          <w:szCs w:val="21"/>
          <w:highlight w:val="none"/>
          <w:lang w:val="en-US"/>
        </w:rPr>
      </w:pPr>
      <w:r>
        <w:rPr>
          <w:rFonts w:hint="eastAsia" w:ascii="微软雅黑" w:hAnsi="微软雅黑"/>
          <w:color w:val="auto"/>
          <w:szCs w:val="21"/>
          <w:highlight w:val="none"/>
          <w:lang w:val="en-US"/>
        </w:rPr>
        <w:t>建设规模：包括一校区的明德楼、新技术楼、综合楼、理学楼、制造楼、机械楼、电机楼、主楼等楼宇，二校区的土木科研楼、结构楼、环境生物楼等楼宇科研房间室内低压电力系统改造。</w:t>
      </w:r>
    </w:p>
    <w:p>
      <w:pPr>
        <w:ind w:firstLine="420" w:firstLineChars="200"/>
        <w:rPr>
          <w:rFonts w:ascii="微软雅黑" w:hAnsi="微软雅黑"/>
          <w:color w:val="auto"/>
          <w:szCs w:val="21"/>
          <w:highlight w:val="none"/>
          <w:lang w:val="en-US"/>
        </w:rPr>
      </w:pPr>
      <w:r>
        <w:rPr>
          <w:rFonts w:hint="eastAsia" w:ascii="微软雅黑" w:hAnsi="微软雅黑"/>
          <w:color w:val="auto"/>
          <w:szCs w:val="21"/>
          <w:highlight w:val="none"/>
          <w:lang w:val="en-US"/>
        </w:rPr>
        <w:t xml:space="preserve">项目地点：哈尔滨工业大学各校区 </w:t>
      </w:r>
    </w:p>
    <w:p>
      <w:pPr>
        <w:ind w:firstLine="420" w:firstLineChars="200"/>
        <w:rPr>
          <w:rFonts w:ascii="微软雅黑" w:hAnsi="微软雅黑"/>
          <w:color w:val="auto"/>
          <w:szCs w:val="21"/>
          <w:highlight w:val="none"/>
        </w:rPr>
      </w:pPr>
      <w:r>
        <w:rPr>
          <w:rFonts w:hint="eastAsia" w:ascii="微软雅黑" w:hAnsi="微软雅黑"/>
          <w:color w:val="auto"/>
          <w:szCs w:val="21"/>
          <w:highlight w:val="none"/>
        </w:rPr>
        <w:t>合同履行期限：自合同签订之日起40日内竣工。因投标人原因造成工期延误，每逾期1天将处以合同总价的1%的罚金；超过5天，投标人按合同金额的10%向采购人支付违约金，并赔偿由此造成的损失费用，采购人有权终止合同。</w:t>
      </w:r>
    </w:p>
    <w:p>
      <w:pPr>
        <w:ind w:firstLine="420" w:firstLineChars="200"/>
        <w:rPr>
          <w:rFonts w:ascii="微软雅黑" w:hAnsi="微软雅黑"/>
          <w:color w:val="auto"/>
          <w:szCs w:val="21"/>
          <w:highlight w:val="none"/>
        </w:rPr>
      </w:pPr>
      <w:r>
        <w:rPr>
          <w:rFonts w:hint="eastAsia" w:ascii="微软雅黑" w:hAnsi="微软雅黑"/>
          <w:color w:val="auto"/>
          <w:szCs w:val="21"/>
          <w:highlight w:val="none"/>
        </w:rPr>
        <w:t>本项目不接受联合体。</w:t>
      </w:r>
    </w:p>
    <w:p>
      <w:pPr>
        <w:pStyle w:val="5"/>
        <w:rPr>
          <w:b w:val="0"/>
          <w:color w:val="auto"/>
          <w:szCs w:val="21"/>
          <w:highlight w:val="none"/>
        </w:rPr>
      </w:pPr>
      <w:bookmarkStart w:id="12" w:name="_Toc18073"/>
      <w:bookmarkStart w:id="13" w:name="_Toc35393791"/>
      <w:bookmarkStart w:id="14" w:name="_Toc28359080"/>
      <w:bookmarkStart w:id="15" w:name="_Toc35393622"/>
      <w:bookmarkStart w:id="16" w:name="_Toc28359003"/>
      <w:r>
        <w:rPr>
          <w:rFonts w:hint="eastAsia"/>
          <w:b w:val="0"/>
          <w:color w:val="auto"/>
          <w:szCs w:val="21"/>
          <w:highlight w:val="none"/>
        </w:rPr>
        <w:t>二、申请人的资格要求：</w:t>
      </w:r>
      <w:bookmarkEnd w:id="12"/>
      <w:bookmarkEnd w:id="13"/>
      <w:bookmarkEnd w:id="14"/>
      <w:bookmarkEnd w:id="15"/>
      <w:bookmarkEnd w:id="16"/>
    </w:p>
    <w:p>
      <w:pPr>
        <w:ind w:firstLine="420" w:firstLineChars="200"/>
        <w:rPr>
          <w:rFonts w:ascii="微软雅黑" w:hAnsi="微软雅黑"/>
          <w:color w:val="auto"/>
          <w:szCs w:val="21"/>
          <w:highlight w:val="none"/>
        </w:rPr>
      </w:pPr>
      <w:r>
        <w:rPr>
          <w:rFonts w:hint="eastAsia" w:ascii="微软雅黑" w:hAnsi="微软雅黑"/>
          <w:color w:val="auto"/>
          <w:szCs w:val="21"/>
          <w:highlight w:val="none"/>
        </w:rPr>
        <w:t>1.满足《中华人民共和国政府采购法》第二十二条规定；</w:t>
      </w:r>
    </w:p>
    <w:p>
      <w:pPr>
        <w:ind w:firstLine="420" w:firstLineChars="200"/>
        <w:rPr>
          <w:rFonts w:ascii="微软雅黑" w:hAnsi="微软雅黑"/>
          <w:color w:val="auto"/>
          <w:szCs w:val="21"/>
          <w:highlight w:val="none"/>
        </w:rPr>
      </w:pPr>
      <w:bookmarkStart w:id="17" w:name="_Toc28359004"/>
      <w:bookmarkStart w:id="18" w:name="_Toc28359081"/>
      <w:r>
        <w:rPr>
          <w:rFonts w:hint="eastAsia" w:ascii="微软雅黑" w:hAnsi="微软雅黑"/>
          <w:color w:val="auto"/>
          <w:highlight w:val="none"/>
        </w:rPr>
        <w:t>2.落实政府采购政策需满足的资格要求：</w:t>
      </w:r>
      <w:r>
        <w:rPr>
          <w:rFonts w:hint="eastAsia" w:ascii="微软雅黑" w:hAnsi="微软雅黑"/>
          <w:color w:val="auto"/>
          <w:szCs w:val="21"/>
          <w:highlight w:val="none"/>
        </w:rPr>
        <w:t>依据《政府采购促进中小企业发展管理办法》财库〔2020〕46号规定，</w:t>
      </w:r>
      <w:r>
        <w:rPr>
          <w:rFonts w:hint="eastAsia" w:ascii="微软雅黑" w:hAnsi="微软雅黑"/>
          <w:b/>
          <w:bCs/>
          <w:color w:val="auto"/>
          <w:szCs w:val="21"/>
          <w:highlight w:val="none"/>
        </w:rPr>
        <w:t>本项目为专门面向中小企业采购，供应商须为</w:t>
      </w:r>
      <w:r>
        <w:rPr>
          <w:rFonts w:hint="eastAsia" w:ascii="微软雅黑" w:hAnsi="微软雅黑"/>
          <w:b/>
          <w:bCs/>
          <w:color w:val="auto"/>
          <w:szCs w:val="21"/>
          <w:highlight w:val="none"/>
          <w:lang w:val="en-US"/>
        </w:rPr>
        <w:t>中型、小型、微型</w:t>
      </w:r>
      <w:r>
        <w:rPr>
          <w:rFonts w:hint="eastAsia" w:ascii="微软雅黑" w:hAnsi="微软雅黑"/>
          <w:b/>
          <w:bCs/>
          <w:color w:val="auto"/>
          <w:szCs w:val="21"/>
          <w:highlight w:val="none"/>
        </w:rPr>
        <w:t>企业（但与大企业的负责人为同一人，或者与大企业存在直接控股、管理关系的除外）</w:t>
      </w:r>
      <w:r>
        <w:rPr>
          <w:rFonts w:hint="eastAsia" w:ascii="微软雅黑" w:hAnsi="微软雅黑"/>
          <w:color w:val="auto"/>
          <w:szCs w:val="21"/>
          <w:highlight w:val="none"/>
        </w:rPr>
        <w:t>。中小企业划分标准以工业和信息化部、国家统计局、发展改革委、财政部印发的《关于印发中小企业划型标准规定的通知》（工信部联企业〔2011〕300号）中的划分标准为准。</w:t>
      </w:r>
      <w:r>
        <w:rPr>
          <w:rFonts w:hint="eastAsia" w:ascii="微软雅黑" w:hAnsi="微软雅黑"/>
          <w:b/>
          <w:bCs/>
          <w:color w:val="auto"/>
          <w:szCs w:val="21"/>
          <w:highlight w:val="none"/>
        </w:rPr>
        <w:t>标的名称为“哈尔滨工业大学科研房间电路改造工程”，所属行业为“建筑业”。</w:t>
      </w:r>
      <w:r>
        <w:rPr>
          <w:rFonts w:hint="eastAsia" w:ascii="微软雅黑" w:hAnsi="微软雅黑"/>
          <w:color w:val="auto"/>
          <w:szCs w:val="21"/>
          <w:highlight w:val="none"/>
        </w:rPr>
        <w:t>符合中小企业划分标准的个体工商户，视同中小企业。监狱企业及残疾人福利性单位视同小型、微型企业。</w:t>
      </w:r>
    </w:p>
    <w:p>
      <w:pPr>
        <w:ind w:firstLine="420" w:firstLineChars="200"/>
        <w:rPr>
          <w:rFonts w:ascii="微软雅黑" w:hAnsi="微软雅黑"/>
          <w:color w:val="auto"/>
          <w:highlight w:val="none"/>
        </w:rPr>
      </w:pPr>
      <w:r>
        <w:rPr>
          <w:rFonts w:hint="eastAsia" w:ascii="微软雅黑" w:hAnsi="微软雅黑"/>
          <w:color w:val="auto"/>
          <w:highlight w:val="none"/>
        </w:rPr>
        <w:t>3.本项目的特定资格要求：</w:t>
      </w:r>
    </w:p>
    <w:p>
      <w:pPr>
        <w:ind w:firstLine="420" w:firstLineChars="200"/>
        <w:rPr>
          <w:rFonts w:hint="eastAsia"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1</w:t>
      </w:r>
      <w:r>
        <w:rPr>
          <w:rFonts w:hint="eastAsia" w:ascii="微软雅黑" w:hAnsi="微软雅黑"/>
          <w:color w:val="auto"/>
          <w:szCs w:val="21"/>
          <w:highlight w:val="none"/>
        </w:rPr>
        <w:t>）供应商须具备中华人民共和国境内的独立法人资格，并在人员、设备、资金等方面具有相应的施工能力。须同时具备国家建设行政主管部门颁发的下列资质之一：</w:t>
      </w:r>
    </w:p>
    <w:p>
      <w:pPr>
        <w:pStyle w:val="2"/>
        <w:rPr>
          <w:rFonts w:hint="eastAsia" w:ascii="微软雅黑" w:hAnsi="微软雅黑" w:eastAsia="微软雅黑" w:cs="Times New Roman"/>
          <w:color w:val="auto"/>
          <w:kern w:val="20"/>
          <w:sz w:val="21"/>
          <w:szCs w:val="21"/>
          <w:highlight w:val="none"/>
          <w:lang w:val="zh-CN" w:eastAsia="zh-CN" w:bidi="ar-SA"/>
        </w:rPr>
      </w:pPr>
      <w:r>
        <w:rPr>
          <w:rFonts w:hint="eastAsia" w:ascii="微软雅黑" w:hAnsi="微软雅黑" w:eastAsia="微软雅黑" w:cs="Times New Roman"/>
          <w:color w:val="auto"/>
          <w:kern w:val="20"/>
          <w:sz w:val="21"/>
          <w:szCs w:val="21"/>
          <w:highlight w:val="none"/>
          <w:lang w:val="zh-CN" w:eastAsia="zh-CN" w:bidi="ar-SA"/>
        </w:rPr>
        <w:t>1、</w:t>
      </w:r>
      <w:r>
        <w:rPr>
          <w:rFonts w:hint="eastAsia" w:ascii="微软雅黑" w:hAnsi="微软雅黑" w:eastAsia="微软雅黑" w:cs="Times New Roman"/>
          <w:color w:val="auto"/>
          <w:kern w:val="20"/>
          <w:sz w:val="21"/>
          <w:szCs w:val="21"/>
          <w:highlight w:val="none"/>
          <w:lang w:val="zh-CN" w:eastAsia="zh-CN" w:bidi="ar-SA"/>
        </w:rPr>
        <w:t>机电工程施工总承包三级及以上资质</w:t>
      </w:r>
      <w:r>
        <w:rPr>
          <w:rFonts w:hint="eastAsia" w:ascii="微软雅黑" w:hAnsi="微软雅黑" w:eastAsia="微软雅黑" w:cs="Times New Roman"/>
          <w:color w:val="auto"/>
          <w:kern w:val="20"/>
          <w:sz w:val="21"/>
          <w:szCs w:val="21"/>
          <w:highlight w:val="none"/>
          <w:lang w:val="zh-CN" w:eastAsia="zh-CN" w:bidi="ar-SA"/>
        </w:rPr>
        <w:t>，具备建设行政主管部门颁发的企业</w:t>
      </w:r>
      <w:r>
        <w:rPr>
          <w:rFonts w:hint="eastAsia" w:ascii="微软雅黑" w:hAnsi="微软雅黑" w:eastAsia="微软雅黑" w:cs="Times New Roman"/>
          <w:color w:val="auto"/>
          <w:kern w:val="20"/>
          <w:sz w:val="21"/>
          <w:szCs w:val="21"/>
          <w:highlight w:val="none"/>
          <w:lang w:val="zh-CN" w:eastAsia="zh-CN" w:bidi="ar-SA"/>
        </w:rPr>
        <w:t>安全生产许可证</w:t>
      </w:r>
      <w:r>
        <w:rPr>
          <w:rFonts w:hint="eastAsia" w:ascii="微软雅黑" w:hAnsi="微软雅黑" w:eastAsia="微软雅黑" w:cs="Times New Roman"/>
          <w:color w:val="auto"/>
          <w:kern w:val="20"/>
          <w:sz w:val="21"/>
          <w:szCs w:val="21"/>
          <w:highlight w:val="none"/>
          <w:lang w:val="zh-CN" w:eastAsia="zh-CN" w:bidi="ar-SA"/>
        </w:rPr>
        <w:t>；</w:t>
      </w:r>
    </w:p>
    <w:p>
      <w:pPr>
        <w:pStyle w:val="2"/>
        <w:rPr>
          <w:rFonts w:hint="eastAsia" w:ascii="微软雅黑" w:hAnsi="微软雅黑" w:eastAsia="微软雅黑" w:cs="Times New Roman"/>
          <w:color w:val="auto"/>
          <w:kern w:val="20"/>
          <w:sz w:val="21"/>
          <w:szCs w:val="21"/>
          <w:highlight w:val="none"/>
          <w:lang w:val="zh-CN" w:eastAsia="zh-CN" w:bidi="ar-SA"/>
        </w:rPr>
      </w:pPr>
      <w:r>
        <w:rPr>
          <w:rFonts w:hint="eastAsia" w:ascii="微软雅黑" w:hAnsi="微软雅黑" w:eastAsia="微软雅黑" w:cs="Times New Roman"/>
          <w:color w:val="auto"/>
          <w:kern w:val="20"/>
          <w:sz w:val="21"/>
          <w:szCs w:val="21"/>
          <w:highlight w:val="none"/>
          <w:lang w:val="zh-CN" w:eastAsia="zh-CN" w:bidi="ar-SA"/>
        </w:rPr>
        <w:t>2、</w:t>
      </w:r>
      <w:r>
        <w:rPr>
          <w:rFonts w:hint="eastAsia" w:ascii="微软雅黑" w:hAnsi="微软雅黑" w:eastAsia="微软雅黑" w:cs="Times New Roman"/>
          <w:color w:val="auto"/>
          <w:kern w:val="20"/>
          <w:sz w:val="21"/>
          <w:szCs w:val="21"/>
          <w:highlight w:val="none"/>
          <w:lang w:val="zh-CN" w:eastAsia="zh-CN" w:bidi="ar-SA"/>
        </w:rPr>
        <w:t>建筑机电安装工程专业承包三级及以上资质</w:t>
      </w:r>
      <w:r>
        <w:rPr>
          <w:rFonts w:hint="eastAsia" w:ascii="微软雅黑" w:hAnsi="微软雅黑" w:eastAsia="微软雅黑" w:cs="Times New Roman"/>
          <w:color w:val="auto"/>
          <w:kern w:val="20"/>
          <w:sz w:val="21"/>
          <w:szCs w:val="21"/>
          <w:highlight w:val="none"/>
          <w:lang w:val="zh-CN" w:eastAsia="zh-CN" w:bidi="ar-SA"/>
        </w:rPr>
        <w:t>，具备建设行政主管部门颁发的企业安全生产许可证；</w:t>
      </w:r>
    </w:p>
    <w:p>
      <w:pPr>
        <w:pStyle w:val="2"/>
        <w:rPr>
          <w:rFonts w:hint="default" w:ascii="微软雅黑" w:hAnsi="微软雅黑" w:eastAsia="微软雅黑" w:cs="Times New Roman"/>
          <w:color w:val="auto"/>
          <w:kern w:val="20"/>
          <w:sz w:val="21"/>
          <w:szCs w:val="21"/>
          <w:highlight w:val="none"/>
          <w:lang w:val="en-US" w:eastAsia="zh-CN" w:bidi="ar-SA"/>
        </w:rPr>
      </w:pPr>
      <w:r>
        <w:rPr>
          <w:rFonts w:hint="eastAsia" w:ascii="微软雅黑" w:hAnsi="微软雅黑" w:cs="Times New Roman"/>
          <w:color w:val="auto"/>
          <w:kern w:val="20"/>
          <w:sz w:val="21"/>
          <w:szCs w:val="21"/>
          <w:highlight w:val="none"/>
          <w:lang w:val="en-US" w:eastAsia="zh-CN" w:bidi="ar-SA"/>
        </w:rPr>
        <w:t>3、</w:t>
      </w:r>
      <w:r>
        <w:rPr>
          <w:rFonts w:hint="eastAsia" w:ascii="微软雅黑" w:hAnsi="微软雅黑" w:cs="Times New Roman"/>
          <w:color w:val="auto"/>
          <w:kern w:val="20"/>
          <w:sz w:val="21"/>
          <w:szCs w:val="21"/>
          <w:highlight w:val="none"/>
          <w:lang w:val="en-US" w:eastAsia="zh-CN" w:bidi="ar-SA"/>
        </w:rPr>
        <w:t>建筑工程施工总承包三级及以上资质</w:t>
      </w:r>
      <w:r>
        <w:rPr>
          <w:rFonts w:hint="eastAsia" w:ascii="微软雅黑" w:hAnsi="微软雅黑" w:cs="Times New Roman"/>
          <w:color w:val="auto"/>
          <w:kern w:val="20"/>
          <w:sz w:val="21"/>
          <w:szCs w:val="21"/>
          <w:highlight w:val="none"/>
          <w:lang w:val="en-US" w:eastAsia="zh-CN" w:bidi="ar-SA"/>
        </w:rPr>
        <w:t>，具备建设行政主管部门颁发的企业安全生产许可证；</w:t>
      </w:r>
    </w:p>
    <w:p>
      <w:pPr>
        <w:ind w:firstLine="420" w:firstLineChars="200"/>
        <w:rPr>
          <w:rFonts w:ascii="微软雅黑" w:hAnsi="微软雅黑"/>
          <w:bCs/>
          <w:color w:val="auto"/>
          <w:szCs w:val="21"/>
          <w:highlight w:val="none"/>
          <w:lang w:val="en-US"/>
        </w:rPr>
      </w:pPr>
      <w:r>
        <w:rPr>
          <w:rFonts w:hint="eastAsia" w:ascii="微软雅黑" w:hAnsi="微软雅黑"/>
          <w:color w:val="auto"/>
          <w:szCs w:val="21"/>
          <w:highlight w:val="none"/>
        </w:rPr>
        <w:t>（</w:t>
      </w:r>
      <w:r>
        <w:rPr>
          <w:rFonts w:ascii="微软雅黑" w:hAnsi="微软雅黑"/>
          <w:color w:val="auto"/>
          <w:szCs w:val="21"/>
          <w:highlight w:val="none"/>
        </w:rPr>
        <w:t>2</w:t>
      </w:r>
      <w:r>
        <w:rPr>
          <w:rFonts w:hint="eastAsia" w:ascii="微软雅黑" w:hAnsi="微软雅黑"/>
          <w:color w:val="auto"/>
          <w:szCs w:val="21"/>
          <w:highlight w:val="none"/>
        </w:rPr>
        <w:t>）拟派本项目的</w:t>
      </w:r>
      <w:r>
        <w:rPr>
          <w:rFonts w:hint="eastAsia" w:ascii="微软雅黑" w:hAnsi="微软雅黑"/>
          <w:color w:val="auto"/>
          <w:szCs w:val="21"/>
          <w:highlight w:val="none"/>
        </w:rPr>
        <w:t>项目经理</w:t>
      </w:r>
      <w:r>
        <w:rPr>
          <w:rFonts w:hint="eastAsia" w:ascii="微软雅黑" w:hAnsi="微软雅黑"/>
          <w:color w:val="auto"/>
          <w:szCs w:val="21"/>
          <w:highlight w:val="none"/>
        </w:rPr>
        <w:t>须具备</w:t>
      </w:r>
      <w:r>
        <w:rPr>
          <w:rFonts w:hint="eastAsia" w:ascii="微软雅黑" w:hAnsi="微软雅黑"/>
          <w:color w:val="auto"/>
          <w:szCs w:val="21"/>
          <w:highlight w:val="none"/>
        </w:rPr>
        <w:t>机电工程专业二级及以上</w:t>
      </w:r>
      <w:r>
        <w:rPr>
          <w:rFonts w:hint="eastAsia" w:ascii="微软雅黑" w:hAnsi="微软雅黑"/>
          <w:color w:val="auto"/>
          <w:szCs w:val="21"/>
          <w:highlight w:val="none"/>
        </w:rPr>
        <w:t>国家注册建造师执业资格，同时具有</w:t>
      </w:r>
      <w:r>
        <w:rPr>
          <w:rFonts w:hint="eastAsia" w:ascii="微软雅黑" w:hAnsi="微软雅黑"/>
          <w:color w:val="auto"/>
          <w:szCs w:val="21"/>
          <w:highlight w:val="none"/>
        </w:rPr>
        <w:t>安全生产考核证书，且未担任其他在施建设工程项目的项目经理工作</w:t>
      </w:r>
      <w:r>
        <w:rPr>
          <w:rFonts w:hint="eastAsia" w:ascii="微软雅黑" w:hAnsi="微软雅黑"/>
          <w:color w:val="auto"/>
          <w:szCs w:val="21"/>
          <w:highlight w:val="none"/>
        </w:rPr>
        <w:t>。</w:t>
      </w:r>
    </w:p>
    <w:p>
      <w:pPr>
        <w:pStyle w:val="2"/>
        <w:ind w:left="0"/>
        <w:rPr>
          <w:rFonts w:ascii="微软雅黑" w:hAnsi="微软雅黑" w:cs="微软雅黑"/>
          <w:color w:val="auto"/>
          <w:highlight w:val="none"/>
          <w:lang w:val="en-US"/>
        </w:rPr>
      </w:pPr>
      <w:r>
        <w:rPr>
          <w:rFonts w:hint="eastAsia" w:ascii="宋体" w:hAnsi="宋体" w:cs="宋体"/>
          <w:color w:val="auto"/>
          <w:szCs w:val="21"/>
          <w:highlight w:val="none"/>
        </w:rPr>
        <w:t>（</w:t>
      </w:r>
      <w:r>
        <w:rPr>
          <w:rFonts w:hint="eastAsia" w:ascii="微软雅黑" w:hAnsi="微软雅黑" w:cs="微软雅黑"/>
          <w:color w:val="auto"/>
          <w:highlight w:val="none"/>
        </w:rPr>
        <w:t>3）拟派</w:t>
      </w:r>
      <w:r>
        <w:rPr>
          <w:rFonts w:hint="eastAsia" w:ascii="微软雅黑" w:hAnsi="微软雅黑" w:cs="微软雅黑"/>
          <w:color w:val="auto"/>
          <w:highlight w:val="none"/>
        </w:rPr>
        <w:t>技术负责人</w:t>
      </w:r>
      <w:r>
        <w:rPr>
          <w:rFonts w:hint="eastAsia" w:ascii="微软雅黑" w:hAnsi="微软雅黑" w:cs="微软雅黑"/>
          <w:color w:val="auto"/>
          <w:highlight w:val="none"/>
        </w:rPr>
        <w:t>须具备建安类与本工程相适应的相关专业</w:t>
      </w:r>
      <w:r>
        <w:rPr>
          <w:rFonts w:hint="eastAsia" w:ascii="微软雅黑" w:hAnsi="微软雅黑" w:cs="微软雅黑"/>
          <w:color w:val="auto"/>
          <w:highlight w:val="none"/>
        </w:rPr>
        <w:t>高级</w:t>
      </w:r>
      <w:r>
        <w:rPr>
          <w:rFonts w:hint="eastAsia" w:ascii="微软雅黑" w:hAnsi="微软雅黑" w:cs="微软雅黑"/>
          <w:color w:val="auto"/>
          <w:highlight w:val="none"/>
        </w:rPr>
        <w:t>及以上职称，并具备相应的职称证书。</w:t>
      </w:r>
    </w:p>
    <w:p>
      <w:pPr>
        <w:ind w:firstLine="420" w:firstLineChars="200"/>
        <w:rPr>
          <w:rFonts w:ascii="微软雅黑" w:hAnsi="微软雅黑"/>
          <w:color w:val="auto"/>
          <w:szCs w:val="21"/>
          <w:highlight w:val="none"/>
        </w:rPr>
      </w:pPr>
      <w:r>
        <w:rPr>
          <w:rFonts w:hint="eastAsia" w:ascii="微软雅黑" w:hAnsi="微软雅黑"/>
          <w:color w:val="auto"/>
          <w:szCs w:val="21"/>
          <w:highlight w:val="none"/>
        </w:rPr>
        <w:t>（</w:t>
      </w:r>
      <w:r>
        <w:rPr>
          <w:rFonts w:hint="eastAsia" w:ascii="微软雅黑" w:hAnsi="微软雅黑"/>
          <w:color w:val="auto"/>
          <w:szCs w:val="21"/>
          <w:highlight w:val="none"/>
          <w:lang w:val="en-US"/>
        </w:rPr>
        <w:t>4</w:t>
      </w:r>
      <w:r>
        <w:rPr>
          <w:rFonts w:hint="eastAsia" w:ascii="微软雅黑" w:hAnsi="微软雅黑"/>
          <w:color w:val="auto"/>
          <w:szCs w:val="21"/>
          <w:highlight w:val="none"/>
        </w:rPr>
        <w:t>）拟派本项目管理机构除项目经理外，还须配备</w:t>
      </w:r>
      <w:r>
        <w:rPr>
          <w:rFonts w:hint="eastAsia" w:ascii="微软雅黑" w:hAnsi="微软雅黑"/>
          <w:color w:val="auto"/>
          <w:szCs w:val="21"/>
          <w:highlight w:val="none"/>
        </w:rPr>
        <w:t>施工员（工长）1人、质量员（质量检查员）1人、安全员1 人</w:t>
      </w:r>
      <w:r>
        <w:rPr>
          <w:rFonts w:hint="eastAsia" w:ascii="微软雅黑" w:hAnsi="微软雅黑"/>
          <w:color w:val="auto"/>
          <w:szCs w:val="21"/>
          <w:highlight w:val="none"/>
        </w:rPr>
        <w:t>。施工员具备岗位证书，质量员具备岗位证书，安全员具备有效的C类安全生产考核合格证书（C证）。（注：其他省份专业设置不同的，</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须提供本省“工程项目管理机构人员配置管理”相关文件，按磋商文件人数要求分别配备施工员、质量员。）</w:t>
      </w:r>
    </w:p>
    <w:p>
      <w:pPr>
        <w:pStyle w:val="2"/>
        <w:ind w:left="0"/>
        <w:rPr>
          <w:rFonts w:hint="eastAsia" w:ascii="微软雅黑" w:hAnsi="微软雅黑" w:eastAsia="微软雅黑"/>
          <w:color w:val="auto"/>
          <w:szCs w:val="21"/>
          <w:highlight w:val="none"/>
          <w:lang w:eastAsia="zh-CN"/>
        </w:rPr>
      </w:pPr>
      <w:r>
        <w:rPr>
          <w:rFonts w:hint="eastAsia" w:ascii="微软雅黑" w:hAnsi="微软雅黑"/>
          <w:color w:val="auto"/>
          <w:szCs w:val="21"/>
          <w:highlight w:val="none"/>
        </w:rPr>
        <w:t>（</w:t>
      </w:r>
      <w:r>
        <w:rPr>
          <w:rFonts w:hint="eastAsia" w:ascii="微软雅黑" w:hAnsi="微软雅黑"/>
          <w:color w:val="auto"/>
          <w:szCs w:val="21"/>
          <w:highlight w:val="none"/>
          <w:lang w:val="en-US"/>
        </w:rPr>
        <w:t>5</w:t>
      </w:r>
      <w:r>
        <w:rPr>
          <w:rFonts w:hint="eastAsia" w:ascii="微软雅黑" w:hAnsi="微软雅黑"/>
          <w:color w:val="auto"/>
          <w:szCs w:val="21"/>
          <w:highlight w:val="none"/>
        </w:rPr>
        <w:t>）</w:t>
      </w:r>
      <w:r>
        <w:rPr>
          <w:rFonts w:hint="eastAsia" w:ascii="微软雅黑" w:hAnsi="微软雅黑"/>
          <w:color w:val="auto"/>
          <w:szCs w:val="21"/>
          <w:highlight w:val="none"/>
        </w:rPr>
        <w:t>拟派项目经理、技术负责人及参加本工程投标的授权委托代理人</w:t>
      </w:r>
      <w:r>
        <w:rPr>
          <w:rFonts w:hint="eastAsia" w:ascii="微软雅黑" w:hAnsi="微软雅黑"/>
          <w:color w:val="auto"/>
          <w:szCs w:val="21"/>
          <w:highlight w:val="none"/>
        </w:rPr>
        <w:t>必须是参加本项目投标人的合法在职人员，须提供参加本项目的投标人为其</w:t>
      </w:r>
      <w:r>
        <w:rPr>
          <w:rFonts w:hint="eastAsia" w:ascii="微软雅黑" w:hAnsi="微软雅黑"/>
          <w:color w:val="auto"/>
          <w:szCs w:val="21"/>
          <w:highlight w:val="none"/>
        </w:rPr>
        <w:t>近6个月内任意2个月（2022年1月至今）</w:t>
      </w:r>
      <w:r>
        <w:rPr>
          <w:rFonts w:hint="eastAsia" w:ascii="微软雅黑" w:hAnsi="微软雅黑"/>
          <w:color w:val="auto"/>
          <w:szCs w:val="21"/>
          <w:highlight w:val="none"/>
        </w:rPr>
        <w:t>缴纳职工基本养老保险的证明，缴纳养老保险证明须为在人力资源和社会保障网上打印的带有条形码的打印件并加盖企业公章，哈尔滨市企业应提供社保证明的查询方式及相关信息，包括社保号、身份证号、密码等；外省、市投标企业必须提供查询网址及相关信息，包括社保号、身份证号、密码等。</w:t>
      </w:r>
      <w:r>
        <w:rPr>
          <w:rFonts w:hint="eastAsia" w:ascii="微软雅黑" w:hAnsi="微软雅黑"/>
          <w:color w:val="auto"/>
          <w:szCs w:val="21"/>
          <w:highlight w:val="none"/>
          <w:lang w:eastAsia="zh-CN"/>
        </w:rPr>
        <w:t>（</w:t>
      </w:r>
      <w:r>
        <w:rPr>
          <w:rFonts w:hint="eastAsia" w:ascii="微软雅黑" w:hAnsi="微软雅黑"/>
          <w:color w:val="auto"/>
          <w:szCs w:val="21"/>
          <w:highlight w:val="none"/>
          <w:lang w:val="en-US" w:eastAsia="zh-CN"/>
        </w:rPr>
        <w:t>国家规定的六类人员除外</w:t>
      </w:r>
      <w:r>
        <w:rPr>
          <w:rFonts w:hint="eastAsia" w:ascii="微软雅黑" w:hAnsi="微软雅黑"/>
          <w:color w:val="auto"/>
          <w:szCs w:val="21"/>
          <w:highlight w:val="none"/>
          <w:lang w:eastAsia="zh-CN"/>
        </w:rPr>
        <w:t>）</w:t>
      </w:r>
    </w:p>
    <w:p>
      <w:pPr>
        <w:pStyle w:val="2"/>
        <w:ind w:left="0"/>
        <w:rPr>
          <w:rFonts w:ascii="微软雅黑" w:hAnsi="微软雅黑"/>
          <w:color w:val="auto"/>
          <w:szCs w:val="21"/>
          <w:highlight w:val="none"/>
        </w:rPr>
      </w:pPr>
      <w:r>
        <w:rPr>
          <w:rFonts w:hint="eastAsia" w:ascii="微软雅黑" w:hAnsi="微软雅黑"/>
          <w:color w:val="auto"/>
          <w:szCs w:val="21"/>
          <w:highlight w:val="none"/>
        </w:rPr>
        <w:t>（</w:t>
      </w:r>
      <w:r>
        <w:rPr>
          <w:rFonts w:hint="eastAsia" w:ascii="微软雅黑" w:hAnsi="微软雅黑"/>
          <w:color w:val="auto"/>
          <w:szCs w:val="21"/>
          <w:highlight w:val="none"/>
          <w:lang w:val="en-US"/>
        </w:rPr>
        <w:t>6</w:t>
      </w:r>
      <w:r>
        <w:rPr>
          <w:rFonts w:hint="eastAsia" w:ascii="微软雅黑" w:hAnsi="微软雅黑"/>
          <w:color w:val="auto"/>
          <w:szCs w:val="21"/>
          <w:highlight w:val="none"/>
        </w:rPr>
        <w:t>）</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在参加本次磋商</w:t>
      </w:r>
      <w:r>
        <w:rPr>
          <w:rFonts w:hint="eastAsia" w:ascii="微软雅黑" w:hAnsi="微软雅黑"/>
          <w:color w:val="auto"/>
          <w:szCs w:val="21"/>
          <w:highlight w:val="none"/>
        </w:rPr>
        <w:t>前3年内（2019年7月1日-投标登记截止之日）</w:t>
      </w:r>
      <w:r>
        <w:rPr>
          <w:rFonts w:hint="eastAsia" w:ascii="微软雅黑" w:hAnsi="微软雅黑"/>
          <w:color w:val="auto"/>
          <w:szCs w:val="21"/>
          <w:highlight w:val="none"/>
        </w:rPr>
        <w:t>，完成一项类似</w:t>
      </w:r>
      <w:r>
        <w:rPr>
          <w:rFonts w:hint="eastAsia" w:ascii="微软雅黑" w:hAnsi="微软雅黑"/>
          <w:color w:val="auto"/>
          <w:szCs w:val="21"/>
          <w:highlight w:val="none"/>
        </w:rPr>
        <w:t>电力改造维修工程施工业绩</w:t>
      </w:r>
      <w:r>
        <w:rPr>
          <w:rFonts w:hint="eastAsia" w:ascii="微软雅黑" w:hAnsi="微软雅黑"/>
          <w:color w:val="auto"/>
          <w:szCs w:val="21"/>
          <w:highlight w:val="none"/>
        </w:rPr>
        <w:t>，并提供如下佐证材料：</w:t>
      </w:r>
      <w:r>
        <w:rPr>
          <w:rFonts w:hint="eastAsia" w:ascii="微软雅黑" w:hAnsi="微软雅黑"/>
          <w:color w:val="auto"/>
          <w:szCs w:val="21"/>
          <w:highlight w:val="none"/>
        </w:rPr>
        <w:t>中标通知书、施工合同、竣工验收报告。竣工验收报告必须由建设、设计、监理、施工四方签字盖章，以竣工验收时间为准</w:t>
      </w:r>
      <w:r>
        <w:rPr>
          <w:rFonts w:hint="eastAsia" w:ascii="微软雅黑" w:hAnsi="微软雅黑"/>
          <w:color w:val="auto"/>
          <w:szCs w:val="21"/>
          <w:highlight w:val="none"/>
        </w:rPr>
        <w:t>（注：原件彩色扫描版封装在技术标内）。</w:t>
      </w:r>
      <w:r>
        <w:rPr>
          <w:rFonts w:hint="eastAsia" w:ascii="微软雅黑" w:hAnsi="微软雅黑"/>
          <w:color w:val="auto"/>
          <w:szCs w:val="21"/>
          <w:highlight w:val="none"/>
          <w:lang w:val="en-US" w:eastAsia="zh-CN"/>
        </w:rPr>
        <w:t>采购</w:t>
      </w:r>
      <w:r>
        <w:rPr>
          <w:rFonts w:hint="eastAsia" w:ascii="微软雅黑" w:hAnsi="微软雅黑"/>
          <w:color w:val="auto"/>
          <w:szCs w:val="21"/>
          <w:highlight w:val="none"/>
        </w:rPr>
        <w:t>人有权在响应前对</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施工业绩进行现场核实，</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应给予配合。</w:t>
      </w:r>
    </w:p>
    <w:p>
      <w:pPr>
        <w:pStyle w:val="2"/>
        <w:ind w:left="0"/>
        <w:rPr>
          <w:rFonts w:hint="eastAsia" w:ascii="微软雅黑" w:hAnsi="微软雅黑" w:eastAsia="微软雅黑"/>
          <w:color w:val="auto"/>
          <w:szCs w:val="21"/>
          <w:highlight w:val="none"/>
          <w:lang w:eastAsia="zh-CN"/>
        </w:rPr>
      </w:pPr>
      <w:r>
        <w:rPr>
          <w:rFonts w:hint="eastAsia" w:ascii="微软雅黑" w:hAnsi="微软雅黑"/>
          <w:color w:val="auto"/>
          <w:szCs w:val="21"/>
          <w:highlight w:val="none"/>
        </w:rPr>
        <w:t>（</w:t>
      </w:r>
      <w:r>
        <w:rPr>
          <w:rFonts w:hint="eastAsia" w:ascii="微软雅黑" w:hAnsi="微软雅黑"/>
          <w:color w:val="auto"/>
          <w:szCs w:val="21"/>
          <w:highlight w:val="none"/>
          <w:lang w:val="en-US"/>
        </w:rPr>
        <w:t>7</w:t>
      </w:r>
      <w:r>
        <w:rPr>
          <w:rFonts w:hint="eastAsia" w:ascii="微软雅黑" w:hAnsi="微软雅黑"/>
          <w:color w:val="auto"/>
          <w:szCs w:val="21"/>
          <w:highlight w:val="none"/>
        </w:rPr>
        <w:t>）</w:t>
      </w:r>
      <w:r>
        <w:rPr>
          <w:rFonts w:hint="eastAsia" w:ascii="微软雅黑" w:hAnsi="微软雅黑"/>
          <w:color w:val="auto"/>
          <w:szCs w:val="21"/>
          <w:highlight w:val="none"/>
          <w:lang w:eastAsia="zh-CN"/>
        </w:rPr>
        <w:t>供应商必须具有由有资质的会计师事务所出具的</w:t>
      </w:r>
      <w:r>
        <w:rPr>
          <w:rFonts w:hint="eastAsia" w:ascii="微软雅黑" w:hAnsi="微软雅黑"/>
          <w:color w:val="auto"/>
          <w:szCs w:val="21"/>
          <w:highlight w:val="none"/>
          <w:lang w:eastAsia="zh-CN"/>
        </w:rPr>
        <w:t>2021年度的真实有效的企业审计报告</w:t>
      </w:r>
      <w:r>
        <w:rPr>
          <w:rFonts w:hint="eastAsia" w:ascii="微软雅黑" w:hAnsi="微软雅黑"/>
          <w:color w:val="auto"/>
          <w:szCs w:val="21"/>
          <w:highlight w:val="none"/>
          <w:lang w:eastAsia="zh-CN"/>
        </w:rPr>
        <w:t>（成立年限不足1年的企业，须出具具备良好的商业信誉和健全的财务会计制度承诺函）。</w:t>
      </w:r>
    </w:p>
    <w:p>
      <w:pPr>
        <w:pStyle w:val="5"/>
        <w:rPr>
          <w:b w:val="0"/>
          <w:color w:val="auto"/>
          <w:szCs w:val="21"/>
          <w:highlight w:val="none"/>
        </w:rPr>
      </w:pPr>
      <w:bookmarkStart w:id="19" w:name="_Toc5514"/>
      <w:bookmarkStart w:id="20" w:name="_Toc35393792"/>
      <w:bookmarkStart w:id="21" w:name="_Toc35393623"/>
      <w:r>
        <w:rPr>
          <w:rFonts w:hint="eastAsia"/>
          <w:b w:val="0"/>
          <w:color w:val="auto"/>
          <w:szCs w:val="21"/>
          <w:highlight w:val="none"/>
        </w:rPr>
        <w:t>三、获取采购文件</w:t>
      </w:r>
      <w:bookmarkEnd w:id="17"/>
      <w:bookmarkEnd w:id="18"/>
      <w:bookmarkEnd w:id="19"/>
      <w:bookmarkEnd w:id="20"/>
      <w:bookmarkEnd w:id="21"/>
    </w:p>
    <w:p>
      <w:pPr>
        <w:pStyle w:val="6"/>
        <w:spacing w:line="360" w:lineRule="auto"/>
        <w:rPr>
          <w:rFonts w:ascii="微软雅黑" w:hAnsi="微软雅黑"/>
          <w:color w:val="auto"/>
          <w:szCs w:val="21"/>
          <w:highlight w:val="none"/>
        </w:rPr>
      </w:pPr>
      <w:r>
        <w:rPr>
          <w:rFonts w:hint="eastAsia" w:ascii="微软雅黑" w:hAnsi="微软雅黑"/>
          <w:color w:val="auto"/>
          <w:szCs w:val="21"/>
          <w:highlight w:val="none"/>
          <w:lang w:val="en-US"/>
        </w:rPr>
        <w:t>3</w:t>
      </w:r>
      <w:r>
        <w:rPr>
          <w:rFonts w:hint="eastAsia" w:ascii="微软雅黑" w:hAnsi="微软雅黑"/>
          <w:color w:val="auto"/>
          <w:szCs w:val="21"/>
          <w:highlight w:val="none"/>
        </w:rPr>
        <w:t>.1 凡有意参加者，请于2022年0</w:t>
      </w:r>
      <w:r>
        <w:rPr>
          <w:rFonts w:hint="eastAsia" w:ascii="微软雅黑" w:hAnsi="微软雅黑"/>
          <w:color w:val="auto"/>
          <w:szCs w:val="21"/>
          <w:highlight w:val="none"/>
          <w:lang w:val="en-US" w:eastAsia="zh-CN"/>
        </w:rPr>
        <w:t>8</w:t>
      </w:r>
      <w:r>
        <w:rPr>
          <w:rFonts w:hint="eastAsia" w:ascii="微软雅黑" w:hAnsi="微软雅黑"/>
          <w:color w:val="auto"/>
          <w:szCs w:val="21"/>
          <w:highlight w:val="none"/>
        </w:rPr>
        <w:t>月</w:t>
      </w:r>
      <w:r>
        <w:rPr>
          <w:rFonts w:hint="eastAsia" w:ascii="微软雅黑" w:hAnsi="微软雅黑"/>
          <w:color w:val="auto"/>
          <w:szCs w:val="21"/>
          <w:highlight w:val="none"/>
          <w:lang w:val="en-US" w:eastAsia="zh-CN"/>
        </w:rPr>
        <w:t>04</w:t>
      </w:r>
      <w:r>
        <w:rPr>
          <w:rFonts w:hint="eastAsia" w:ascii="微软雅黑" w:hAnsi="微软雅黑"/>
          <w:color w:val="auto"/>
          <w:szCs w:val="21"/>
          <w:highlight w:val="none"/>
        </w:rPr>
        <w:t>日至2022年0</w:t>
      </w:r>
      <w:r>
        <w:rPr>
          <w:rFonts w:hint="eastAsia" w:ascii="微软雅黑" w:hAnsi="微软雅黑"/>
          <w:color w:val="auto"/>
          <w:szCs w:val="21"/>
          <w:highlight w:val="none"/>
          <w:lang w:val="en-US" w:eastAsia="zh-CN"/>
        </w:rPr>
        <w:t>8</w:t>
      </w:r>
      <w:r>
        <w:rPr>
          <w:rFonts w:hint="eastAsia" w:ascii="微软雅黑" w:hAnsi="微软雅黑"/>
          <w:color w:val="auto"/>
          <w:szCs w:val="21"/>
          <w:highlight w:val="none"/>
        </w:rPr>
        <w:t>月</w:t>
      </w:r>
      <w:r>
        <w:rPr>
          <w:rFonts w:hint="eastAsia" w:ascii="微软雅黑" w:hAnsi="微软雅黑"/>
          <w:color w:val="auto"/>
          <w:szCs w:val="21"/>
          <w:highlight w:val="none"/>
          <w:lang w:val="en-US" w:eastAsia="zh-CN"/>
        </w:rPr>
        <w:t>10</w:t>
      </w:r>
      <w:r>
        <w:rPr>
          <w:rFonts w:hint="eastAsia" w:ascii="微软雅黑" w:hAnsi="微软雅黑"/>
          <w:color w:val="auto"/>
          <w:szCs w:val="21"/>
          <w:highlight w:val="none"/>
        </w:rPr>
        <w:t>日（节假日除外)，每日8时30分至16时30分(北京时间，下同)，登陆中招联合招标采购平台下载电子</w:t>
      </w:r>
      <w:r>
        <w:rPr>
          <w:rFonts w:hint="eastAsia" w:ascii="微软雅黑" w:hAnsi="微软雅黑"/>
          <w:color w:val="auto"/>
          <w:szCs w:val="21"/>
          <w:highlight w:val="none"/>
          <w:lang w:val="en-US"/>
        </w:rPr>
        <w:t>采购</w:t>
      </w:r>
      <w:r>
        <w:rPr>
          <w:rFonts w:hint="eastAsia" w:ascii="微软雅黑" w:hAnsi="微软雅黑"/>
          <w:color w:val="auto"/>
          <w:szCs w:val="21"/>
          <w:highlight w:val="none"/>
        </w:rPr>
        <w:t>文件。下载者请务必至少在文件发售截止时间半个工作日前登录平台完成购买操作，否则将无法保证获取电子</w:t>
      </w:r>
      <w:r>
        <w:rPr>
          <w:rFonts w:hint="eastAsia" w:ascii="微软雅黑" w:hAnsi="微软雅黑"/>
          <w:color w:val="auto"/>
          <w:szCs w:val="21"/>
          <w:highlight w:val="none"/>
          <w:lang w:val="en-US"/>
        </w:rPr>
        <w:t>采购</w:t>
      </w:r>
      <w:r>
        <w:rPr>
          <w:rFonts w:hint="eastAsia" w:ascii="微软雅黑" w:hAnsi="微软雅黑"/>
          <w:color w:val="auto"/>
          <w:szCs w:val="21"/>
          <w:highlight w:val="none"/>
        </w:rPr>
        <w:t>文件；</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lang w:val="en-US"/>
        </w:rPr>
        <w:t>3</w:t>
      </w:r>
      <w:r>
        <w:rPr>
          <w:rFonts w:hint="eastAsia" w:ascii="微软雅黑" w:hAnsi="微软雅黑"/>
          <w:color w:val="auto"/>
          <w:szCs w:val="21"/>
          <w:highlight w:val="none"/>
        </w:rPr>
        <w:t>.</w:t>
      </w:r>
      <w:r>
        <w:rPr>
          <w:rFonts w:hint="eastAsia" w:ascii="微软雅黑" w:hAnsi="微软雅黑"/>
          <w:color w:val="auto"/>
          <w:szCs w:val="21"/>
          <w:highlight w:val="none"/>
          <w:lang w:val="en-US"/>
        </w:rPr>
        <w:t>2</w:t>
      </w:r>
      <w:r>
        <w:rPr>
          <w:rFonts w:hint="eastAsia" w:ascii="微软雅黑" w:hAnsi="微软雅黑"/>
          <w:color w:val="auto"/>
          <w:szCs w:val="21"/>
          <w:highlight w:val="none"/>
        </w:rPr>
        <w:t>下载者登陆平台前，须前往中招联合招标采购平台:http://www .365trade.com .cn/免费注册（平台仅对供应商注册信息与其提供的附件信息进行一致性检查）；注册为一次性工作，以后若有需要只需变更及完善相关信息；注册成功后，可以及时参与平台上所有发布的招标项目。平台注册成功后，登陆平台真实准确完善用户信息，特别是财务信息，及时办理CA数字证书。</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lang w:val="en-US"/>
        </w:rPr>
        <w:t>3</w:t>
      </w:r>
      <w:r>
        <w:rPr>
          <w:rFonts w:hint="eastAsia" w:ascii="微软雅黑" w:hAnsi="微软雅黑"/>
          <w:color w:val="auto"/>
          <w:szCs w:val="21"/>
          <w:highlight w:val="none"/>
        </w:rPr>
        <w:t>.</w:t>
      </w:r>
      <w:r>
        <w:rPr>
          <w:rFonts w:hint="eastAsia" w:ascii="微软雅黑" w:hAnsi="微软雅黑"/>
          <w:color w:val="auto"/>
          <w:szCs w:val="21"/>
          <w:highlight w:val="none"/>
          <w:lang w:val="en-US"/>
        </w:rPr>
        <w:t>3</w:t>
      </w:r>
      <w:r>
        <w:rPr>
          <w:rFonts w:hint="eastAsia" w:ascii="微软雅黑" w:hAnsi="微软雅黑"/>
          <w:color w:val="auto"/>
          <w:szCs w:val="21"/>
          <w:highlight w:val="none"/>
        </w:rPr>
        <w:t>下载者须通过平台填写“购标申请”，并上传公告要求提供的资料，否则购买操作无法完成。</w:t>
      </w:r>
    </w:p>
    <w:p>
      <w:pPr>
        <w:pStyle w:val="2"/>
        <w:ind w:left="0"/>
        <w:rPr>
          <w:rFonts w:ascii="微软雅黑" w:hAnsi="微软雅黑"/>
          <w:color w:val="auto"/>
          <w:szCs w:val="21"/>
          <w:highlight w:val="none"/>
        </w:rPr>
      </w:pPr>
      <w:r>
        <w:rPr>
          <w:rFonts w:hint="eastAsia" w:ascii="微软雅黑" w:hAnsi="微软雅黑"/>
          <w:color w:val="auto"/>
          <w:szCs w:val="21"/>
          <w:highlight w:val="none"/>
          <w:lang w:val="en-US"/>
        </w:rPr>
        <w:t>3</w:t>
      </w:r>
      <w:r>
        <w:rPr>
          <w:rFonts w:hint="eastAsia" w:ascii="微软雅黑" w:hAnsi="微软雅黑"/>
          <w:color w:val="auto"/>
          <w:szCs w:val="21"/>
          <w:highlight w:val="none"/>
        </w:rPr>
        <w:t>.</w:t>
      </w:r>
      <w:r>
        <w:rPr>
          <w:rFonts w:hint="eastAsia" w:ascii="微软雅黑" w:hAnsi="微软雅黑"/>
          <w:color w:val="auto"/>
          <w:szCs w:val="21"/>
          <w:highlight w:val="none"/>
          <w:lang w:val="en-US"/>
        </w:rPr>
        <w:t>4</w:t>
      </w:r>
      <w:r>
        <w:rPr>
          <w:rFonts w:hint="eastAsia" w:ascii="微软雅黑" w:hAnsi="微软雅黑"/>
          <w:color w:val="auto"/>
          <w:szCs w:val="21"/>
          <w:highlight w:val="none"/>
        </w:rPr>
        <w:t>平台统一服务热线：010-86397110，(工作日9:00-12:00，13:30-17:00 )，平台将确保下载者的购买信息在开标前对平台公司有关工作人员保密；如下载者主动与平台公司工作人员联系咨询事宜，则视为下载者主动放弃信息保密的权利，平台公司将不承担任何责任。</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lang w:val="en-US"/>
        </w:rPr>
        <w:t>3</w:t>
      </w:r>
      <w:r>
        <w:rPr>
          <w:rFonts w:hint="eastAsia" w:ascii="微软雅黑" w:hAnsi="微软雅黑"/>
          <w:color w:val="auto"/>
          <w:szCs w:val="21"/>
          <w:highlight w:val="none"/>
        </w:rPr>
        <w:t>.5潜在</w:t>
      </w:r>
      <w:r>
        <w:rPr>
          <w:rFonts w:hint="eastAsia" w:ascii="微软雅黑" w:hAnsi="微软雅黑"/>
          <w:color w:val="auto"/>
          <w:szCs w:val="21"/>
          <w:highlight w:val="none"/>
          <w:lang w:val="en-US"/>
        </w:rPr>
        <w:t>供应商</w:t>
      </w:r>
      <w:r>
        <w:rPr>
          <w:rFonts w:hint="eastAsia" w:ascii="微软雅黑" w:hAnsi="微软雅黑"/>
          <w:color w:val="auto"/>
          <w:szCs w:val="21"/>
          <w:highlight w:val="none"/>
        </w:rPr>
        <w:t>请填写本公告附后的《哈尔滨工业大学招标采购项目投标报名登记表》，获取</w:t>
      </w:r>
      <w:r>
        <w:rPr>
          <w:rFonts w:hint="eastAsia" w:ascii="微软雅黑" w:hAnsi="微软雅黑"/>
          <w:color w:val="auto"/>
          <w:szCs w:val="21"/>
          <w:highlight w:val="none"/>
          <w:lang w:val="en-US"/>
        </w:rPr>
        <w:t>采购</w:t>
      </w:r>
      <w:r>
        <w:rPr>
          <w:rFonts w:hint="eastAsia" w:ascii="微软雅黑" w:hAnsi="微软雅黑"/>
          <w:color w:val="auto"/>
          <w:szCs w:val="21"/>
          <w:highlight w:val="none"/>
        </w:rPr>
        <w:t>文件时需同时上传以下材料（复印件需加盖公章）：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（1）报名登记表（附件1）（原件加盖公章）；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（2）法人授权委托书（加盖企业公章及法定代表人签字，如报名人为法定代表人，则须提供法定代表人身份证明）；</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（3）被授权人身份证（复印件加盖公章）；</w:t>
      </w:r>
    </w:p>
    <w:p>
      <w:pPr>
        <w:pStyle w:val="6"/>
        <w:spacing w:line="480" w:lineRule="exact"/>
        <w:rPr>
          <w:rFonts w:ascii="微软雅黑" w:hAnsi="微软雅黑"/>
          <w:color w:val="auto"/>
          <w:szCs w:val="21"/>
          <w:highlight w:val="none"/>
          <w:lang w:val="en-US"/>
        </w:rPr>
      </w:pPr>
      <w:r>
        <w:rPr>
          <w:rFonts w:hint="eastAsia" w:ascii="微软雅黑" w:hAnsi="微软雅黑"/>
          <w:color w:val="auto"/>
          <w:szCs w:val="21"/>
          <w:highlight w:val="none"/>
        </w:rPr>
        <w:t>（4）法定代表人身份证（加盖企业公章的复印件，如报名人为法定代表人，须提供本人的身份证复印件加盖公章）；</w:t>
      </w:r>
      <w:r>
        <w:rPr>
          <w:rFonts w:hint="eastAsia" w:ascii="微软雅黑" w:hAnsi="微软雅黑"/>
          <w:color w:val="auto"/>
          <w:szCs w:val="21"/>
          <w:highlight w:val="none"/>
          <w:lang w:val="en-US"/>
        </w:rPr>
        <w:t xml:space="preserve">  </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（5）营业执照（复印件加盖公章）；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（6）资质证书（复印件加盖公章）；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（7）安全生产许可证（复印件加盖公章）；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（8）开户许可证或基本存款账户信息单（复印件加盖公章）；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（9）拟派项目经理注册证书、安全生产考核证书、</w:t>
      </w:r>
      <w:r>
        <w:rPr>
          <w:rFonts w:hint="eastAsia" w:ascii="微软雅黑" w:hAnsi="微软雅黑"/>
          <w:bCs/>
          <w:color w:val="auto"/>
          <w:szCs w:val="21"/>
          <w:highlight w:val="none"/>
          <w:lang w:val="en-US"/>
        </w:rPr>
        <w:t>未担任其他在施建设工程项目的项目经理工作</w:t>
      </w:r>
      <w:r>
        <w:rPr>
          <w:rFonts w:hint="eastAsia" w:ascii="微软雅黑" w:hAnsi="微软雅黑"/>
          <w:color w:val="auto"/>
          <w:szCs w:val="21"/>
          <w:highlight w:val="none"/>
        </w:rPr>
        <w:t>承诺书。（复印件加盖公章）；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（10）技术负责人职称证书（复印件加盖公章）；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（11）拟派项目经理、技术负责人及授权委托代理人缴纳职工基本养老保险的证明（复印件加盖公章）；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（12）</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拟派项目管理机构的其他人员岗位证、安全生产考核C证及身份证（复印件加盖公章）；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（13）</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业绩证明材料（复印件加盖公章）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（14）2021年度企业审计报告</w:t>
      </w:r>
      <w:r>
        <w:rPr>
          <w:rFonts w:hint="eastAsia" w:ascii="微软雅黑" w:hAnsi="微软雅黑"/>
          <w:color w:val="auto"/>
          <w:szCs w:val="21"/>
          <w:highlight w:val="none"/>
          <w:lang w:val="en-US"/>
        </w:rPr>
        <w:t>或承诺</w:t>
      </w:r>
      <w:r>
        <w:rPr>
          <w:rFonts w:hint="eastAsia" w:ascii="微软雅黑" w:hAnsi="微软雅黑"/>
          <w:color w:val="auto"/>
          <w:szCs w:val="21"/>
          <w:highlight w:val="none"/>
        </w:rPr>
        <w:t>（复印件加盖公章）</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rPr>
        <w:t>（15）投标人诚信承诺书（附件2）（复印件加盖公章）</w:t>
      </w:r>
    </w:p>
    <w:p>
      <w:pPr>
        <w:pStyle w:val="6"/>
        <w:spacing w:line="480" w:lineRule="exact"/>
        <w:rPr>
          <w:rFonts w:hint="eastAsia" w:ascii="微软雅黑" w:hAnsi="微软雅黑"/>
          <w:color w:val="auto"/>
          <w:szCs w:val="21"/>
          <w:highlight w:val="none"/>
        </w:rPr>
      </w:pPr>
      <w:r>
        <w:rPr>
          <w:rFonts w:hint="eastAsia" w:ascii="微软雅黑" w:hAnsi="微软雅黑"/>
          <w:color w:val="auto"/>
          <w:szCs w:val="21"/>
          <w:highlight w:val="none"/>
        </w:rPr>
        <w:t>以上材料的复印件（或打印件）须清晰、完整且加盖企业公章，潜在</w:t>
      </w:r>
      <w:r>
        <w:rPr>
          <w:rFonts w:hint="eastAsia" w:ascii="微软雅黑" w:hAnsi="微软雅黑"/>
          <w:color w:val="auto"/>
          <w:szCs w:val="21"/>
          <w:highlight w:val="none"/>
          <w:lang w:val="en-US"/>
        </w:rPr>
        <w:t>供应商</w:t>
      </w:r>
      <w:r>
        <w:rPr>
          <w:rFonts w:hint="eastAsia" w:ascii="微软雅黑" w:hAnsi="微软雅黑"/>
          <w:color w:val="auto"/>
          <w:szCs w:val="21"/>
          <w:highlight w:val="none"/>
        </w:rPr>
        <w:t>应对所提供材料的合法性、真实性、完整性负责，资料不全，报名将不予受理。</w:t>
      </w:r>
      <w:r>
        <w:rPr>
          <w:rFonts w:hint="eastAsia" w:ascii="微软雅黑" w:hAnsi="微软雅黑"/>
          <w:color w:val="auto"/>
          <w:szCs w:val="21"/>
          <w:highlight w:val="none"/>
          <w:lang w:val="en-US"/>
        </w:rPr>
        <w:t>采购</w:t>
      </w:r>
      <w:r>
        <w:rPr>
          <w:rFonts w:hint="eastAsia" w:ascii="微软雅黑" w:hAnsi="微软雅黑"/>
          <w:color w:val="auto"/>
          <w:szCs w:val="21"/>
          <w:highlight w:val="none"/>
        </w:rPr>
        <w:t>人将对供应商提供的资料进行核实，一旦发现有弄虚作假的情况，</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登记无效。</w:t>
      </w:r>
    </w:p>
    <w:p>
      <w:pPr>
        <w:pStyle w:val="6"/>
        <w:spacing w:line="480" w:lineRule="exact"/>
        <w:rPr>
          <w:rFonts w:hint="eastAsia" w:ascii="微软雅黑" w:hAnsi="微软雅黑"/>
          <w:color w:val="auto"/>
          <w:szCs w:val="21"/>
          <w:highlight w:val="none"/>
        </w:rPr>
      </w:pPr>
      <w:r>
        <w:rPr>
          <w:rFonts w:hint="eastAsia" w:ascii="微软雅黑" w:hAnsi="微软雅黑"/>
          <w:color w:val="auto"/>
          <w:szCs w:val="21"/>
          <w:highlight w:val="none"/>
          <w:lang w:val="en-US"/>
        </w:rPr>
        <w:t>3</w:t>
      </w:r>
      <w:r>
        <w:rPr>
          <w:rFonts w:hint="eastAsia" w:ascii="微软雅黑" w:hAnsi="微软雅黑"/>
          <w:color w:val="auto"/>
          <w:szCs w:val="21"/>
          <w:highlight w:val="none"/>
        </w:rPr>
        <w:t>.6在受理报名后，不允许更换报名时拟派的项目管理机构所有人员及授权委托代理人，如更换，其响应将被否决。</w:t>
      </w:r>
    </w:p>
    <w:p>
      <w:pPr>
        <w:pStyle w:val="6"/>
        <w:spacing w:line="480" w:lineRule="exact"/>
        <w:rPr>
          <w:rFonts w:hint="eastAsia" w:ascii="微软雅黑" w:hAnsi="微软雅黑"/>
          <w:color w:val="auto"/>
          <w:szCs w:val="21"/>
          <w:highlight w:val="none"/>
        </w:rPr>
      </w:pPr>
      <w:r>
        <w:rPr>
          <w:rFonts w:hint="eastAsia" w:ascii="微软雅黑" w:hAnsi="微软雅黑"/>
          <w:color w:val="auto"/>
          <w:szCs w:val="21"/>
          <w:highlight w:val="none"/>
          <w:lang w:val="en-US"/>
        </w:rPr>
        <w:t>3</w:t>
      </w:r>
      <w:r>
        <w:rPr>
          <w:rFonts w:hint="eastAsia" w:ascii="微软雅黑" w:hAnsi="微软雅黑"/>
          <w:color w:val="auto"/>
          <w:szCs w:val="21"/>
          <w:highlight w:val="none"/>
        </w:rPr>
        <w:t>.</w:t>
      </w:r>
      <w:r>
        <w:rPr>
          <w:rFonts w:hint="eastAsia" w:ascii="微软雅黑" w:hAnsi="微软雅黑"/>
          <w:color w:val="auto"/>
          <w:szCs w:val="21"/>
          <w:highlight w:val="none"/>
          <w:lang w:val="en-US"/>
        </w:rPr>
        <w:t>7采购</w:t>
      </w:r>
      <w:r>
        <w:rPr>
          <w:rFonts w:hint="eastAsia" w:ascii="微软雅黑" w:hAnsi="微软雅黑"/>
          <w:color w:val="auto"/>
          <w:szCs w:val="21"/>
          <w:highlight w:val="none"/>
        </w:rPr>
        <w:t>文件每套售价500元，平台服务费200元，CA企业证书平台收费标准：首年400元，售后不退；</w:t>
      </w:r>
    </w:p>
    <w:p>
      <w:pPr>
        <w:pStyle w:val="6"/>
        <w:spacing w:line="480" w:lineRule="exact"/>
        <w:rPr>
          <w:rFonts w:hint="eastAsia" w:ascii="微软雅黑" w:hAnsi="微软雅黑"/>
          <w:color w:val="auto"/>
          <w:szCs w:val="21"/>
          <w:highlight w:val="none"/>
          <w:lang w:val="zh-CN"/>
        </w:rPr>
      </w:pPr>
      <w:r>
        <w:rPr>
          <w:rFonts w:hint="eastAsia" w:ascii="微软雅黑" w:hAnsi="微软雅黑"/>
          <w:color w:val="auto"/>
          <w:szCs w:val="21"/>
          <w:highlight w:val="none"/>
        </w:rPr>
        <w:t>3</w:t>
      </w:r>
      <w:r>
        <w:rPr>
          <w:rFonts w:hint="eastAsia" w:ascii="微软雅黑" w:hAnsi="微软雅黑"/>
          <w:color w:val="auto"/>
          <w:szCs w:val="21"/>
          <w:highlight w:val="none"/>
          <w:lang w:val="zh-CN"/>
        </w:rPr>
        <w:t>.</w:t>
      </w:r>
      <w:r>
        <w:rPr>
          <w:rFonts w:hint="eastAsia" w:ascii="微软雅黑" w:hAnsi="微软雅黑"/>
          <w:color w:val="auto"/>
          <w:szCs w:val="21"/>
          <w:highlight w:val="none"/>
        </w:rPr>
        <w:t>8</w:t>
      </w:r>
      <w:r>
        <w:rPr>
          <w:rFonts w:hint="eastAsia" w:ascii="微软雅黑" w:hAnsi="微软雅黑"/>
          <w:color w:val="auto"/>
          <w:szCs w:val="21"/>
          <w:highlight w:val="none"/>
          <w:lang w:val="en-US" w:eastAsia="zh-CN"/>
        </w:rPr>
        <w:t>报价</w:t>
      </w:r>
      <w:r>
        <w:rPr>
          <w:rFonts w:hint="eastAsia" w:ascii="微软雅黑" w:hAnsi="微软雅黑"/>
          <w:color w:val="auto"/>
          <w:szCs w:val="21"/>
          <w:highlight w:val="none"/>
          <w:lang w:val="zh-CN"/>
        </w:rPr>
        <w:t>单位可</w:t>
      </w:r>
      <w:r>
        <w:rPr>
          <w:rFonts w:hint="eastAsia" w:ascii="微软雅黑" w:hAnsi="微软雅黑"/>
          <w:color w:val="auto"/>
          <w:szCs w:val="21"/>
          <w:highlight w:val="none"/>
          <w:lang w:val="zh-CN" w:eastAsia="zh-CN"/>
        </w:rPr>
        <w:t>自行按</w:t>
      </w:r>
      <w:r>
        <w:rPr>
          <w:rFonts w:hint="eastAsia" w:ascii="微软雅黑" w:hAnsi="微软雅黑"/>
          <w:color w:val="auto"/>
          <w:szCs w:val="21"/>
          <w:highlight w:val="none"/>
          <w:lang w:val="zh-CN"/>
        </w:rPr>
        <w:t>程序下载</w:t>
      </w:r>
      <w:r>
        <w:rPr>
          <w:rFonts w:hint="eastAsia" w:ascii="微软雅黑" w:hAnsi="微软雅黑"/>
          <w:color w:val="auto"/>
          <w:szCs w:val="21"/>
          <w:highlight w:val="none"/>
        </w:rPr>
        <w:t>采购</w:t>
      </w:r>
      <w:r>
        <w:rPr>
          <w:rFonts w:hint="eastAsia" w:ascii="微软雅黑" w:hAnsi="微软雅黑"/>
          <w:color w:val="auto"/>
          <w:szCs w:val="21"/>
          <w:highlight w:val="none"/>
          <w:lang w:val="zh-CN"/>
        </w:rPr>
        <w:t>文件，请自行查阅，不再另行通知，请按</w:t>
      </w:r>
      <w:r>
        <w:rPr>
          <w:rFonts w:hint="eastAsia" w:ascii="微软雅黑" w:hAnsi="微软雅黑"/>
          <w:color w:val="auto"/>
          <w:szCs w:val="21"/>
          <w:highlight w:val="none"/>
        </w:rPr>
        <w:t>采购</w:t>
      </w:r>
      <w:r>
        <w:rPr>
          <w:rFonts w:hint="eastAsia" w:ascii="微软雅黑" w:hAnsi="微软雅黑"/>
          <w:color w:val="auto"/>
          <w:szCs w:val="21"/>
          <w:highlight w:val="none"/>
          <w:lang w:val="zh-CN"/>
        </w:rPr>
        <w:t>文件要求缴纳</w:t>
      </w:r>
      <w:r>
        <w:rPr>
          <w:rFonts w:hint="eastAsia" w:ascii="微软雅黑" w:hAnsi="微软雅黑"/>
          <w:color w:val="auto"/>
          <w:szCs w:val="21"/>
          <w:highlight w:val="none"/>
        </w:rPr>
        <w:t>响应</w:t>
      </w:r>
      <w:r>
        <w:rPr>
          <w:rFonts w:hint="eastAsia" w:ascii="微软雅黑" w:hAnsi="微软雅黑"/>
          <w:color w:val="auto"/>
          <w:szCs w:val="21"/>
          <w:highlight w:val="none"/>
          <w:lang w:val="zh-CN"/>
        </w:rPr>
        <w:t>保证金等相关费用，以获取</w:t>
      </w:r>
      <w:r>
        <w:rPr>
          <w:rFonts w:hint="eastAsia" w:ascii="微软雅黑" w:hAnsi="微软雅黑"/>
          <w:color w:val="auto"/>
          <w:szCs w:val="21"/>
          <w:highlight w:val="none"/>
        </w:rPr>
        <w:t>响应</w:t>
      </w:r>
      <w:r>
        <w:rPr>
          <w:rFonts w:hint="eastAsia" w:ascii="微软雅黑" w:hAnsi="微软雅黑"/>
          <w:color w:val="auto"/>
          <w:szCs w:val="21"/>
          <w:highlight w:val="none"/>
          <w:lang w:val="zh-CN"/>
        </w:rPr>
        <w:t>资格。</w:t>
      </w:r>
    </w:p>
    <w:p>
      <w:pPr>
        <w:pStyle w:val="5"/>
        <w:rPr>
          <w:b w:val="0"/>
          <w:color w:val="auto"/>
          <w:szCs w:val="21"/>
          <w:highlight w:val="none"/>
        </w:rPr>
      </w:pPr>
      <w:bookmarkStart w:id="22" w:name="_Toc35393624"/>
      <w:bookmarkStart w:id="23" w:name="_Toc28359005"/>
      <w:bookmarkStart w:id="24" w:name="_Toc35393793"/>
      <w:bookmarkStart w:id="25" w:name="_Toc28359082"/>
      <w:bookmarkStart w:id="26" w:name="_Toc7159"/>
      <w:r>
        <w:rPr>
          <w:rFonts w:hint="eastAsia"/>
          <w:b w:val="0"/>
          <w:color w:val="auto"/>
          <w:szCs w:val="21"/>
          <w:highlight w:val="none"/>
        </w:rPr>
        <w:t>四、响应文件</w:t>
      </w:r>
      <w:bookmarkEnd w:id="22"/>
      <w:bookmarkEnd w:id="23"/>
      <w:bookmarkEnd w:id="24"/>
      <w:bookmarkEnd w:id="25"/>
      <w:r>
        <w:rPr>
          <w:rFonts w:hint="eastAsia"/>
          <w:b w:val="0"/>
          <w:color w:val="auto"/>
          <w:szCs w:val="21"/>
          <w:highlight w:val="none"/>
        </w:rPr>
        <w:t>提交</w:t>
      </w:r>
      <w:bookmarkEnd w:id="26"/>
    </w:p>
    <w:p>
      <w:pPr>
        <w:ind w:firstLine="420" w:firstLineChars="200"/>
        <w:rPr>
          <w:rFonts w:ascii="微软雅黑" w:hAnsi="微软雅黑"/>
          <w:bCs/>
          <w:color w:val="auto"/>
          <w:szCs w:val="21"/>
          <w:highlight w:val="none"/>
        </w:rPr>
      </w:pPr>
      <w:r>
        <w:rPr>
          <w:rFonts w:hint="eastAsia" w:ascii="微软雅黑" w:hAnsi="微软雅黑"/>
          <w:color w:val="auto"/>
          <w:szCs w:val="21"/>
          <w:highlight w:val="none"/>
          <w:lang w:val="en-US"/>
        </w:rPr>
        <w:t>截止时间：</w:t>
      </w:r>
      <w:r>
        <w:rPr>
          <w:rFonts w:hint="eastAsia" w:ascii="微软雅黑" w:hAnsi="微软雅黑"/>
          <w:color w:val="auto"/>
          <w:szCs w:val="21"/>
          <w:highlight w:val="none"/>
          <w:lang w:val="en-US" w:eastAsia="zh-CN"/>
        </w:rPr>
        <w:t>2022年8月15日14点30分</w:t>
      </w:r>
      <w:r>
        <w:rPr>
          <w:rFonts w:hint="eastAsia" w:ascii="微软雅黑" w:hAnsi="微软雅黑"/>
          <w:bCs/>
          <w:color w:val="auto"/>
          <w:szCs w:val="21"/>
          <w:highlight w:val="none"/>
        </w:rPr>
        <w:t>（北京时间）</w:t>
      </w:r>
    </w:p>
    <w:p>
      <w:pPr>
        <w:pStyle w:val="5"/>
        <w:rPr>
          <w:b w:val="0"/>
          <w:color w:val="auto"/>
          <w:szCs w:val="21"/>
          <w:highlight w:val="none"/>
        </w:rPr>
      </w:pPr>
      <w:bookmarkStart w:id="27" w:name="_Toc29407"/>
      <w:bookmarkStart w:id="28" w:name="_Toc28359084"/>
      <w:bookmarkStart w:id="29" w:name="_Toc35393625"/>
      <w:bookmarkStart w:id="30" w:name="_Toc35393794"/>
      <w:bookmarkStart w:id="31" w:name="_Toc28359007"/>
      <w:r>
        <w:rPr>
          <w:rFonts w:hint="eastAsia"/>
          <w:b w:val="0"/>
          <w:color w:val="auto"/>
          <w:szCs w:val="21"/>
          <w:highlight w:val="none"/>
        </w:rPr>
        <w:t>五、开启</w:t>
      </w:r>
      <w:bookmarkEnd w:id="27"/>
    </w:p>
    <w:p>
      <w:pPr>
        <w:ind w:firstLine="420" w:firstLineChars="200"/>
        <w:rPr>
          <w:rFonts w:ascii="微软雅黑" w:hAnsi="微软雅黑"/>
          <w:bCs/>
          <w:color w:val="auto"/>
          <w:szCs w:val="21"/>
          <w:highlight w:val="none"/>
        </w:rPr>
      </w:pPr>
      <w:r>
        <w:rPr>
          <w:rFonts w:hint="eastAsia" w:ascii="微软雅黑" w:hAnsi="微软雅黑"/>
          <w:color w:val="auto"/>
          <w:szCs w:val="21"/>
          <w:highlight w:val="none"/>
          <w:lang w:val="en-US"/>
        </w:rPr>
        <w:t>5.1时间：</w:t>
      </w:r>
      <w:r>
        <w:rPr>
          <w:rFonts w:hint="eastAsia" w:ascii="微软雅黑" w:hAnsi="微软雅黑"/>
          <w:color w:val="auto"/>
          <w:szCs w:val="21"/>
          <w:highlight w:val="none"/>
          <w:lang w:val="en-US" w:eastAsia="zh-CN"/>
        </w:rPr>
        <w:t>2022年8月15日14点30分</w:t>
      </w:r>
      <w:r>
        <w:rPr>
          <w:rFonts w:hint="eastAsia" w:ascii="微软雅黑" w:hAnsi="微软雅黑"/>
          <w:bCs/>
          <w:color w:val="auto"/>
          <w:szCs w:val="21"/>
          <w:highlight w:val="none"/>
        </w:rPr>
        <w:t>（北京时间）</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lang w:val="en-US"/>
        </w:rPr>
        <w:t>5.2开启</w:t>
      </w:r>
      <w:r>
        <w:rPr>
          <w:rFonts w:hint="eastAsia" w:ascii="微软雅黑" w:hAnsi="微软雅黑"/>
          <w:color w:val="auto"/>
          <w:szCs w:val="21"/>
          <w:highlight w:val="none"/>
        </w:rPr>
        <w:t>地点及方式：该项目为线上开标，项目采取服务器解密方式，</w:t>
      </w:r>
      <w:r>
        <w:rPr>
          <w:rFonts w:hint="eastAsia" w:ascii="微软雅黑" w:hAnsi="微软雅黑"/>
          <w:color w:val="auto"/>
          <w:szCs w:val="21"/>
          <w:highlight w:val="none"/>
          <w:lang w:val="en-US"/>
        </w:rPr>
        <w:t>供应商</w:t>
      </w:r>
      <w:r>
        <w:rPr>
          <w:rFonts w:hint="eastAsia" w:ascii="微软雅黑" w:hAnsi="微软雅黑"/>
          <w:color w:val="auto"/>
          <w:szCs w:val="21"/>
          <w:highlight w:val="none"/>
        </w:rPr>
        <w:t>无需自行解密，届时服务器会自动进行解密。</w:t>
      </w:r>
      <w:r>
        <w:rPr>
          <w:rFonts w:hint="eastAsia" w:ascii="微软雅黑" w:hAnsi="微软雅黑"/>
          <w:color w:val="auto"/>
          <w:szCs w:val="21"/>
          <w:highlight w:val="none"/>
          <w:lang w:val="en-US"/>
        </w:rPr>
        <w:t>开启</w:t>
      </w:r>
      <w:r>
        <w:rPr>
          <w:rFonts w:hint="eastAsia" w:ascii="微软雅黑" w:hAnsi="微软雅黑"/>
          <w:color w:val="auto"/>
          <w:szCs w:val="21"/>
          <w:highlight w:val="none"/>
        </w:rPr>
        <w:t>地点：宜国发项目管理有限公司（哈尔滨市道里区群力第四大道 399 号汇智广场中楼401），</w:t>
      </w:r>
      <w:r>
        <w:rPr>
          <w:rFonts w:hint="eastAsia" w:ascii="微软雅黑" w:hAnsi="微软雅黑"/>
          <w:color w:val="auto"/>
          <w:szCs w:val="21"/>
          <w:highlight w:val="none"/>
          <w:lang w:val="en-US"/>
        </w:rPr>
        <w:t>供应商</w:t>
      </w:r>
      <w:r>
        <w:rPr>
          <w:rFonts w:hint="eastAsia" w:ascii="微软雅黑" w:hAnsi="微软雅黑"/>
          <w:color w:val="auto"/>
          <w:szCs w:val="21"/>
          <w:highlight w:val="none"/>
        </w:rPr>
        <w:t>无需到达</w:t>
      </w:r>
      <w:r>
        <w:rPr>
          <w:rFonts w:hint="eastAsia" w:ascii="微软雅黑" w:hAnsi="微软雅黑"/>
          <w:color w:val="auto"/>
          <w:szCs w:val="21"/>
          <w:highlight w:val="none"/>
          <w:lang w:val="en-US"/>
        </w:rPr>
        <w:t>开启</w:t>
      </w:r>
      <w:r>
        <w:rPr>
          <w:rFonts w:hint="eastAsia" w:ascii="微软雅黑" w:hAnsi="微软雅黑"/>
          <w:color w:val="auto"/>
          <w:szCs w:val="21"/>
          <w:highlight w:val="none"/>
        </w:rPr>
        <w:t>地点。本次</w:t>
      </w:r>
      <w:r>
        <w:rPr>
          <w:rFonts w:hint="eastAsia" w:ascii="微软雅黑" w:hAnsi="微软雅黑"/>
          <w:color w:val="auto"/>
          <w:szCs w:val="21"/>
          <w:highlight w:val="none"/>
          <w:lang w:val="en-US"/>
        </w:rPr>
        <w:t>采购</w:t>
      </w:r>
      <w:r>
        <w:rPr>
          <w:rFonts w:hint="eastAsia" w:ascii="微软雅黑" w:hAnsi="微软雅黑"/>
          <w:color w:val="auto"/>
          <w:szCs w:val="21"/>
          <w:highlight w:val="none"/>
        </w:rPr>
        <w:t>采取全流程电子招投标方式，通过中招联合招标采购平台（http://www.365trade.com.cn）进行线上开标；</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lang w:val="en-US"/>
        </w:rPr>
        <w:t>5.3供应商</w:t>
      </w:r>
      <w:r>
        <w:rPr>
          <w:rFonts w:hint="eastAsia" w:ascii="微软雅黑" w:hAnsi="微软雅黑"/>
          <w:color w:val="auto"/>
          <w:szCs w:val="21"/>
          <w:highlight w:val="none"/>
        </w:rPr>
        <w:t>应在截止时间前使用投标文件制作工具（中招联合官网免费下载）按格式制作投标文件并加盖电子签章进行加密，登录“电子交易平台”，将加密的</w:t>
      </w:r>
      <w:r>
        <w:rPr>
          <w:rFonts w:hint="eastAsia" w:ascii="微软雅黑" w:hAnsi="微软雅黑"/>
          <w:color w:val="auto"/>
          <w:szCs w:val="21"/>
          <w:highlight w:val="none"/>
          <w:lang w:val="en-US"/>
        </w:rPr>
        <w:t>响应</w:t>
      </w:r>
      <w:r>
        <w:rPr>
          <w:rFonts w:hint="eastAsia" w:ascii="微软雅黑" w:hAnsi="微软雅黑"/>
          <w:color w:val="auto"/>
          <w:szCs w:val="21"/>
          <w:highlight w:val="none"/>
        </w:rPr>
        <w:t>文件上传，并保存上传成功后系统自动生成电子签收凭证，递交时间即为电子签收凭证时间。</w:t>
      </w:r>
    </w:p>
    <w:p>
      <w:pPr>
        <w:pStyle w:val="6"/>
        <w:spacing w:line="480" w:lineRule="exact"/>
        <w:rPr>
          <w:rFonts w:ascii="微软雅黑" w:hAnsi="微软雅黑"/>
          <w:color w:val="auto"/>
          <w:szCs w:val="21"/>
          <w:highlight w:val="none"/>
        </w:rPr>
      </w:pPr>
      <w:r>
        <w:rPr>
          <w:rFonts w:hint="eastAsia" w:ascii="微软雅黑" w:hAnsi="微软雅黑"/>
          <w:color w:val="auto"/>
          <w:szCs w:val="21"/>
          <w:highlight w:val="none"/>
          <w:lang w:val="en-US"/>
        </w:rPr>
        <w:t>5.4</w:t>
      </w:r>
      <w:r>
        <w:rPr>
          <w:rFonts w:hint="eastAsia" w:ascii="微软雅黑" w:hAnsi="微软雅黑"/>
          <w:color w:val="auto"/>
          <w:szCs w:val="21"/>
          <w:highlight w:val="none"/>
        </w:rPr>
        <w:t>逾期未完成上传或未按规定加密的</w:t>
      </w:r>
      <w:r>
        <w:rPr>
          <w:rFonts w:hint="eastAsia" w:ascii="微软雅黑" w:hAnsi="微软雅黑"/>
          <w:color w:val="auto"/>
          <w:szCs w:val="21"/>
          <w:highlight w:val="none"/>
          <w:lang w:val="en-US"/>
        </w:rPr>
        <w:t>响应</w:t>
      </w:r>
      <w:r>
        <w:rPr>
          <w:rFonts w:hint="eastAsia" w:ascii="微软雅黑" w:hAnsi="微软雅黑"/>
          <w:color w:val="auto"/>
          <w:szCs w:val="21"/>
          <w:highlight w:val="none"/>
        </w:rPr>
        <w:t>文件，电子招标投标交易平台予以拒收。为确保</w:t>
      </w:r>
      <w:r>
        <w:rPr>
          <w:rFonts w:hint="eastAsia" w:ascii="微软雅黑" w:hAnsi="微软雅黑"/>
          <w:color w:val="auto"/>
          <w:szCs w:val="21"/>
          <w:highlight w:val="none"/>
          <w:lang w:val="en-US"/>
        </w:rPr>
        <w:t>响应</w:t>
      </w:r>
      <w:r>
        <w:rPr>
          <w:rFonts w:hint="eastAsia" w:ascii="微软雅黑" w:hAnsi="微软雅黑"/>
          <w:color w:val="auto"/>
          <w:szCs w:val="21"/>
          <w:highlight w:val="none"/>
        </w:rPr>
        <w:t>文件能够按时上传，建议至少提前一天进行电子</w:t>
      </w:r>
      <w:r>
        <w:rPr>
          <w:rFonts w:hint="eastAsia" w:ascii="微软雅黑" w:hAnsi="微软雅黑"/>
          <w:color w:val="auto"/>
          <w:szCs w:val="21"/>
          <w:highlight w:val="none"/>
          <w:lang w:val="en-US"/>
        </w:rPr>
        <w:t>响应</w:t>
      </w:r>
      <w:r>
        <w:rPr>
          <w:rFonts w:hint="eastAsia" w:ascii="微软雅黑" w:hAnsi="微软雅黑"/>
          <w:color w:val="auto"/>
          <w:szCs w:val="21"/>
          <w:highlight w:val="none"/>
        </w:rPr>
        <w:t>文件的制作。</w:t>
      </w:r>
    </w:p>
    <w:p>
      <w:pPr>
        <w:pStyle w:val="5"/>
        <w:rPr>
          <w:b w:val="0"/>
          <w:color w:val="auto"/>
          <w:szCs w:val="21"/>
          <w:highlight w:val="none"/>
        </w:rPr>
      </w:pPr>
      <w:bookmarkStart w:id="32" w:name="_Toc9163"/>
      <w:r>
        <w:rPr>
          <w:rFonts w:hint="eastAsia"/>
          <w:b w:val="0"/>
          <w:color w:val="auto"/>
          <w:szCs w:val="21"/>
          <w:highlight w:val="none"/>
        </w:rPr>
        <w:t>六、公告期限</w:t>
      </w:r>
      <w:bookmarkEnd w:id="28"/>
      <w:bookmarkEnd w:id="29"/>
      <w:bookmarkEnd w:id="30"/>
      <w:bookmarkEnd w:id="31"/>
      <w:bookmarkEnd w:id="32"/>
    </w:p>
    <w:p>
      <w:pPr>
        <w:ind w:firstLine="420" w:firstLineChars="200"/>
        <w:rPr>
          <w:rFonts w:ascii="微软雅黑" w:hAnsi="微软雅黑" w:cs="宋体"/>
          <w:color w:val="auto"/>
          <w:kern w:val="0"/>
          <w:szCs w:val="21"/>
          <w:highlight w:val="none"/>
        </w:rPr>
      </w:pPr>
      <w:r>
        <w:rPr>
          <w:rFonts w:hint="eastAsia" w:ascii="微软雅黑" w:hAnsi="微软雅黑" w:cs="宋体"/>
          <w:color w:val="auto"/>
          <w:kern w:val="0"/>
          <w:szCs w:val="21"/>
          <w:highlight w:val="none"/>
        </w:rPr>
        <w:t>自本公告发布之日起3个工作日。</w:t>
      </w:r>
    </w:p>
    <w:p>
      <w:pPr>
        <w:pStyle w:val="5"/>
        <w:rPr>
          <w:b w:val="0"/>
          <w:color w:val="auto"/>
          <w:szCs w:val="21"/>
          <w:highlight w:val="none"/>
        </w:rPr>
      </w:pPr>
      <w:bookmarkStart w:id="33" w:name="_Toc21393"/>
      <w:bookmarkStart w:id="34" w:name="_Toc35393795"/>
      <w:bookmarkStart w:id="35" w:name="_Toc35393626"/>
      <w:r>
        <w:rPr>
          <w:rFonts w:hint="eastAsia"/>
          <w:b w:val="0"/>
          <w:color w:val="auto"/>
          <w:szCs w:val="21"/>
          <w:highlight w:val="none"/>
        </w:rPr>
        <w:t>七、其他补充事宜</w:t>
      </w:r>
      <w:bookmarkEnd w:id="33"/>
      <w:bookmarkEnd w:id="34"/>
      <w:bookmarkEnd w:id="35"/>
    </w:p>
    <w:p>
      <w:pPr>
        <w:ind w:left="495"/>
        <w:rPr>
          <w:rFonts w:ascii="微软雅黑" w:hAnsi="微软雅黑" w:cs="宋体"/>
          <w:color w:val="auto"/>
          <w:kern w:val="0"/>
          <w:szCs w:val="21"/>
          <w:highlight w:val="none"/>
        </w:rPr>
      </w:pPr>
      <w:r>
        <w:rPr>
          <w:rFonts w:hint="eastAsia" w:ascii="微软雅黑" w:hAnsi="微软雅黑" w:cs="宋体"/>
          <w:color w:val="auto"/>
          <w:kern w:val="0"/>
          <w:szCs w:val="21"/>
          <w:highlight w:val="none"/>
        </w:rPr>
        <w:t>1.资金性质：财政性资金。</w:t>
      </w:r>
    </w:p>
    <w:p>
      <w:pPr>
        <w:ind w:left="495"/>
        <w:rPr>
          <w:rFonts w:ascii="微软雅黑" w:hAnsi="微软雅黑"/>
          <w:color w:val="auto"/>
          <w:szCs w:val="21"/>
          <w:highlight w:val="none"/>
        </w:rPr>
      </w:pPr>
      <w:r>
        <w:rPr>
          <w:rFonts w:hint="eastAsia" w:ascii="微软雅黑" w:hAnsi="微软雅黑"/>
          <w:color w:val="auto"/>
          <w:szCs w:val="21"/>
          <w:highlight w:val="none"/>
        </w:rPr>
        <w:t>2.单位负责人为同一人或者存在直接控股、管理关系的不同供应商，不得参加同一合同项下的政府采购活动。</w:t>
      </w:r>
    </w:p>
    <w:p>
      <w:pPr>
        <w:ind w:left="495"/>
        <w:rPr>
          <w:rFonts w:ascii="微软雅黑" w:hAnsi="微软雅黑"/>
          <w:color w:val="auto"/>
          <w:szCs w:val="21"/>
          <w:highlight w:val="none"/>
        </w:rPr>
      </w:pPr>
      <w:r>
        <w:rPr>
          <w:rFonts w:hint="eastAsia" w:ascii="微软雅黑" w:hAnsi="微软雅黑"/>
          <w:color w:val="auto"/>
          <w:szCs w:val="21"/>
          <w:highlight w:val="none"/>
        </w:rPr>
        <w:t>3.为采购项目提供整体设计、规范编制或者项目管理、监理、检测等服务的供应商，不得再参加采购项目的其他采购活动。</w:t>
      </w:r>
    </w:p>
    <w:p>
      <w:pPr>
        <w:ind w:left="495"/>
        <w:rPr>
          <w:rFonts w:ascii="微软雅黑" w:hAnsi="微软雅黑"/>
          <w:color w:val="auto"/>
          <w:szCs w:val="21"/>
          <w:highlight w:val="none"/>
        </w:rPr>
      </w:pPr>
      <w:r>
        <w:rPr>
          <w:rFonts w:hint="eastAsia" w:ascii="微软雅黑" w:hAnsi="微软雅黑"/>
          <w:color w:val="auto"/>
          <w:szCs w:val="21"/>
          <w:highlight w:val="none"/>
        </w:rPr>
        <w:t>4.通过”信用中国”网站(www.creditchina.gov.cn)、中国政府采购网(www.ccgp.gov.cn)、“国家企业信用信息公示系统”（www.gsxt.gov.cn/index.html）渠道查询供应商信用记录，供应商不得列入失信被执行人、重大税收违法案件当事人名单、政府采购严重违法失信行为记录名单（且处罚期限尚未届满的）。</w:t>
      </w:r>
    </w:p>
    <w:p>
      <w:pPr>
        <w:pStyle w:val="336"/>
        <w:ind w:left="495" w:firstLine="0" w:firstLineChars="0"/>
        <w:rPr>
          <w:rFonts w:ascii="微软雅黑" w:hAnsi="微软雅黑"/>
          <w:color w:val="auto"/>
          <w:szCs w:val="21"/>
          <w:highlight w:val="none"/>
        </w:rPr>
      </w:pPr>
      <w:r>
        <w:rPr>
          <w:rFonts w:hint="eastAsia" w:ascii="微软雅黑" w:hAnsi="微软雅黑"/>
          <w:color w:val="auto"/>
          <w:szCs w:val="21"/>
          <w:highlight w:val="none"/>
        </w:rPr>
        <w:t>5.</w:t>
      </w:r>
      <w:r>
        <w:rPr>
          <w:rFonts w:ascii="微软雅黑" w:hAnsi="微软雅黑"/>
          <w:color w:val="auto"/>
          <w:szCs w:val="21"/>
          <w:highlight w:val="none"/>
        </w:rPr>
        <w:t>落实的政府采购政策</w:t>
      </w:r>
      <w:r>
        <w:rPr>
          <w:rFonts w:hint="eastAsia" w:ascii="微软雅黑" w:hAnsi="微软雅黑"/>
          <w:color w:val="auto"/>
          <w:szCs w:val="21"/>
          <w:highlight w:val="none"/>
        </w:rPr>
        <w:t>：节能环保、信息安全、中小企业、监狱企业、残疾人企业等。</w:t>
      </w:r>
    </w:p>
    <w:p>
      <w:pPr>
        <w:pStyle w:val="336"/>
        <w:ind w:left="495" w:firstLine="0" w:firstLineChars="0"/>
        <w:rPr>
          <w:rFonts w:ascii="微软雅黑" w:hAnsi="微软雅黑"/>
          <w:color w:val="auto"/>
          <w:szCs w:val="21"/>
          <w:highlight w:val="none"/>
        </w:rPr>
      </w:pPr>
      <w:r>
        <w:rPr>
          <w:rFonts w:hint="eastAsia" w:ascii="微软雅黑" w:hAnsi="微软雅黑"/>
          <w:color w:val="auto"/>
          <w:szCs w:val="21"/>
          <w:highlight w:val="none"/>
        </w:rPr>
        <w:t>6.本项目其余相关信息均在中招联合招标采购平台（http://www.365trade.com.cn）；</w:t>
      </w:r>
    </w:p>
    <w:p>
      <w:pPr>
        <w:pStyle w:val="336"/>
        <w:ind w:left="495" w:firstLine="0" w:firstLineChars="0"/>
        <w:rPr>
          <w:rFonts w:ascii="微软雅黑" w:hAnsi="微软雅黑"/>
          <w:color w:val="auto"/>
          <w:szCs w:val="21"/>
          <w:highlight w:val="none"/>
        </w:rPr>
      </w:pPr>
      <w:r>
        <w:rPr>
          <w:rFonts w:hint="eastAsia" w:ascii="微软雅黑" w:hAnsi="微软雅黑"/>
          <w:color w:val="auto"/>
          <w:szCs w:val="21"/>
          <w:highlight w:val="none"/>
        </w:rPr>
        <w:t>中国政府采购网（http://www.ccgp.gov.cn/）；</w:t>
      </w:r>
    </w:p>
    <w:p>
      <w:pPr>
        <w:pStyle w:val="336"/>
        <w:ind w:left="495" w:firstLine="0" w:firstLineChars="0"/>
        <w:rPr>
          <w:rFonts w:ascii="微软雅黑" w:hAnsi="微软雅黑"/>
          <w:color w:val="auto"/>
          <w:szCs w:val="21"/>
          <w:highlight w:val="none"/>
        </w:rPr>
      </w:pPr>
      <w:r>
        <w:rPr>
          <w:rFonts w:hint="eastAsia" w:ascii="微软雅黑" w:hAnsi="微软雅黑"/>
          <w:color w:val="auto"/>
          <w:szCs w:val="21"/>
          <w:highlight w:val="none"/>
        </w:rPr>
        <w:t>中国招标投标网（http://www.cec.gov.cn/）；</w:t>
      </w:r>
    </w:p>
    <w:p>
      <w:pPr>
        <w:pStyle w:val="336"/>
        <w:ind w:left="495" w:firstLine="0" w:firstLineChars="0"/>
        <w:rPr>
          <w:rFonts w:hint="eastAsia" w:ascii="微软雅黑" w:hAnsi="微软雅黑"/>
          <w:color w:val="auto"/>
          <w:szCs w:val="21"/>
          <w:highlight w:val="none"/>
        </w:rPr>
      </w:pPr>
      <w:r>
        <w:rPr>
          <w:rFonts w:hint="eastAsia" w:ascii="微软雅黑" w:hAnsi="微软雅黑"/>
          <w:color w:val="auto"/>
          <w:szCs w:val="21"/>
          <w:highlight w:val="none"/>
        </w:rPr>
        <w:t>哈尔滨工业大学招标与采购管理中心(http://cgzx.hit.edu.cn)上发布。</w:t>
      </w:r>
    </w:p>
    <w:p>
      <w:pPr>
        <w:ind w:left="495"/>
        <w:rPr>
          <w:rFonts w:hint="default" w:ascii="微软雅黑" w:hAnsi="微软雅黑" w:eastAsia="微软雅黑"/>
          <w:color w:val="auto"/>
          <w:szCs w:val="21"/>
          <w:highlight w:val="none"/>
          <w:lang w:val="en-US" w:eastAsia="zh-CN"/>
        </w:rPr>
      </w:pPr>
      <w:r>
        <w:rPr>
          <w:rFonts w:hint="eastAsia" w:ascii="微软雅黑" w:hAnsi="微软雅黑"/>
          <w:color w:val="auto"/>
          <w:szCs w:val="21"/>
          <w:highlight w:val="none"/>
          <w:lang w:val="en-US" w:eastAsia="zh-CN"/>
        </w:rPr>
        <w:t>7.报名时同时提交本公告附后的《投标人诚信承诺书》，采购人在采购全过程如发现并核实供应商有造假影响采购、响应活动，将扣罚响应保证金，并列入《哈尔滨工业大学工程类采购限制名单》。</w:t>
      </w:r>
    </w:p>
    <w:p>
      <w:pPr>
        <w:ind w:left="495"/>
        <w:rPr>
          <w:rFonts w:ascii="微软雅黑" w:hAnsi="微软雅黑"/>
          <w:color w:val="auto"/>
          <w:szCs w:val="21"/>
          <w:highlight w:val="none"/>
        </w:rPr>
      </w:pPr>
      <w:r>
        <w:rPr>
          <w:rFonts w:hint="eastAsia" w:ascii="微软雅黑" w:hAnsi="微软雅黑"/>
          <w:color w:val="auto"/>
          <w:szCs w:val="21"/>
          <w:highlight w:val="none"/>
          <w:lang w:val="en-US" w:eastAsia="zh-CN"/>
        </w:rPr>
        <w:t>8</w:t>
      </w:r>
      <w:r>
        <w:rPr>
          <w:rFonts w:hint="eastAsia" w:ascii="微软雅黑" w:hAnsi="微软雅黑"/>
          <w:color w:val="auto"/>
          <w:szCs w:val="21"/>
          <w:highlight w:val="none"/>
        </w:rPr>
        <w:t>.供应商应按照竞争性磋商公告规定的方式获取采购文件。</w:t>
      </w:r>
    </w:p>
    <w:p>
      <w:pPr>
        <w:pStyle w:val="2"/>
        <w:ind w:left="0" w:firstLine="0" w:firstLineChars="0"/>
        <w:rPr>
          <w:color w:val="auto"/>
          <w:szCs w:val="21"/>
          <w:highlight w:val="none"/>
        </w:rPr>
      </w:pPr>
      <w:r>
        <w:rPr>
          <w:rFonts w:hint="eastAsia" w:ascii="微软雅黑" w:hAnsi="微软雅黑"/>
          <w:color w:val="auto"/>
          <w:szCs w:val="21"/>
          <w:highlight w:val="none"/>
          <w:lang w:val="en-US"/>
        </w:rPr>
        <w:t xml:space="preserve">   </w:t>
      </w:r>
      <w:bookmarkStart w:id="36" w:name="_Toc28359085"/>
      <w:bookmarkStart w:id="37" w:name="_Toc28359008"/>
      <w:bookmarkStart w:id="38" w:name="_Toc35393796"/>
      <w:bookmarkStart w:id="39" w:name="_Toc35393627"/>
      <w:r>
        <w:rPr>
          <w:rFonts w:hint="eastAsia"/>
          <w:color w:val="auto"/>
          <w:szCs w:val="21"/>
          <w:highlight w:val="none"/>
        </w:rPr>
        <w:t>八、对本次采购提出询问，请按</w:t>
      </w:r>
      <w:r>
        <w:rPr>
          <w:color w:val="auto"/>
          <w:szCs w:val="21"/>
          <w:highlight w:val="none"/>
        </w:rPr>
        <w:t>以下方式</w:t>
      </w:r>
      <w:r>
        <w:rPr>
          <w:rFonts w:hint="eastAsia"/>
          <w:color w:val="auto"/>
          <w:szCs w:val="21"/>
          <w:highlight w:val="none"/>
        </w:rPr>
        <w:t>联系</w:t>
      </w:r>
      <w:bookmarkEnd w:id="36"/>
      <w:bookmarkEnd w:id="37"/>
      <w:bookmarkEnd w:id="38"/>
      <w:bookmarkEnd w:id="39"/>
    </w:p>
    <w:p>
      <w:pPr>
        <w:ind w:firstLine="630" w:firstLineChars="300"/>
        <w:jc w:val="both"/>
        <w:rPr>
          <w:rFonts w:ascii="微软雅黑" w:hAnsi="微软雅黑"/>
          <w:color w:val="auto"/>
          <w:szCs w:val="21"/>
          <w:highlight w:val="none"/>
        </w:rPr>
      </w:pPr>
      <w:bookmarkStart w:id="40" w:name="_Toc28359009"/>
      <w:bookmarkStart w:id="41" w:name="_Toc28359086"/>
      <w:r>
        <w:rPr>
          <w:rFonts w:hint="eastAsia" w:ascii="微软雅黑" w:hAnsi="微软雅黑"/>
          <w:color w:val="auto"/>
          <w:szCs w:val="21"/>
          <w:highlight w:val="none"/>
        </w:rPr>
        <w:t>1.采购人信息</w:t>
      </w:r>
    </w:p>
    <w:p>
      <w:pPr>
        <w:ind w:left="1041" w:leftChars="371" w:hanging="262" w:hangingChars="125"/>
        <w:rPr>
          <w:rFonts w:ascii="微软雅黑" w:hAnsi="微软雅黑"/>
          <w:color w:val="auto"/>
          <w:szCs w:val="21"/>
          <w:highlight w:val="none"/>
        </w:rPr>
      </w:pPr>
      <w:r>
        <w:rPr>
          <w:rFonts w:hint="eastAsia" w:ascii="微软雅黑" w:hAnsi="微软雅黑"/>
          <w:color w:val="auto"/>
          <w:szCs w:val="21"/>
          <w:highlight w:val="none"/>
        </w:rPr>
        <w:t>名称：</w:t>
      </w:r>
      <w:r>
        <w:rPr>
          <w:color w:val="auto"/>
          <w:szCs w:val="21"/>
          <w:highlight w:val="none"/>
        </w:rPr>
        <w:t>哈尔滨工业大学</w:t>
      </w:r>
    </w:p>
    <w:p>
      <w:pPr>
        <w:ind w:left="1041" w:leftChars="371" w:hanging="262" w:hangingChars="125"/>
        <w:rPr>
          <w:rFonts w:ascii="微软雅黑" w:hAnsi="微软雅黑"/>
          <w:color w:val="auto"/>
          <w:szCs w:val="21"/>
          <w:highlight w:val="none"/>
        </w:rPr>
      </w:pPr>
      <w:r>
        <w:rPr>
          <w:rFonts w:hint="eastAsia" w:ascii="微软雅黑" w:hAnsi="微软雅黑"/>
          <w:color w:val="auto"/>
          <w:szCs w:val="21"/>
          <w:highlight w:val="none"/>
        </w:rPr>
        <w:t>地址：</w:t>
      </w:r>
      <w:r>
        <w:rPr>
          <w:color w:val="auto"/>
          <w:szCs w:val="21"/>
          <w:highlight w:val="none"/>
        </w:rPr>
        <w:t>哈尔滨市南岗区西大直街92号哈尔滨工业大学行政办公楼</w:t>
      </w:r>
    </w:p>
    <w:p>
      <w:pPr>
        <w:ind w:left="1041" w:leftChars="371" w:hanging="262" w:hangingChars="125"/>
        <w:rPr>
          <w:rFonts w:ascii="微软雅黑" w:hAnsi="微软雅黑"/>
          <w:color w:val="auto"/>
          <w:szCs w:val="21"/>
          <w:highlight w:val="none"/>
        </w:rPr>
      </w:pPr>
      <w:r>
        <w:rPr>
          <w:color w:val="auto"/>
          <w:szCs w:val="21"/>
          <w:highlight w:val="none"/>
        </w:rPr>
        <w:t>联系人：武老师</w:t>
      </w:r>
    </w:p>
    <w:p>
      <w:pPr>
        <w:ind w:left="1041" w:leftChars="371" w:hanging="262" w:hangingChars="125"/>
        <w:rPr>
          <w:rFonts w:ascii="微软雅黑" w:hAnsi="微软雅黑"/>
          <w:color w:val="auto"/>
          <w:szCs w:val="21"/>
          <w:highlight w:val="none"/>
        </w:rPr>
      </w:pPr>
      <w:r>
        <w:rPr>
          <w:rFonts w:hint="eastAsia" w:ascii="微软雅黑" w:hAnsi="微软雅黑"/>
          <w:color w:val="auto"/>
          <w:szCs w:val="21"/>
          <w:highlight w:val="none"/>
        </w:rPr>
        <w:t>联系方式：0451-86417953</w:t>
      </w:r>
      <w:r>
        <w:rPr>
          <w:rFonts w:hint="eastAsia" w:ascii="微软雅黑" w:hAnsi="微软雅黑"/>
          <w:color w:val="auto"/>
          <w:szCs w:val="21"/>
          <w:highlight w:val="none"/>
          <w:lang w:val="en-US"/>
        </w:rPr>
        <w:t xml:space="preserve"> </w:t>
      </w:r>
    </w:p>
    <w:p>
      <w:pPr>
        <w:ind w:firstLine="630" w:firstLineChars="300"/>
        <w:jc w:val="both"/>
        <w:rPr>
          <w:rFonts w:ascii="微软雅黑" w:hAnsi="微软雅黑"/>
          <w:color w:val="auto"/>
          <w:szCs w:val="21"/>
          <w:highlight w:val="none"/>
        </w:rPr>
      </w:pPr>
      <w:r>
        <w:rPr>
          <w:rFonts w:hint="eastAsia" w:ascii="微软雅黑" w:hAnsi="微软雅黑"/>
          <w:color w:val="auto"/>
          <w:szCs w:val="21"/>
          <w:highlight w:val="none"/>
        </w:rPr>
        <w:t>2.采购代理机构信息</w:t>
      </w:r>
      <w:bookmarkEnd w:id="40"/>
      <w:bookmarkEnd w:id="41"/>
    </w:p>
    <w:p>
      <w:pPr>
        <w:ind w:left="1041" w:leftChars="371" w:hanging="262" w:hangingChars="125"/>
        <w:rPr>
          <w:rFonts w:ascii="微软雅黑" w:hAnsi="微软雅黑"/>
          <w:color w:val="auto"/>
          <w:szCs w:val="21"/>
          <w:highlight w:val="none"/>
        </w:rPr>
      </w:pPr>
      <w:r>
        <w:rPr>
          <w:rFonts w:hint="eastAsia" w:ascii="微软雅黑" w:hAnsi="微软雅黑"/>
          <w:color w:val="auto"/>
          <w:szCs w:val="21"/>
          <w:highlight w:val="none"/>
        </w:rPr>
        <w:t>名称：宜国发项目管理有限公司</w:t>
      </w:r>
    </w:p>
    <w:p>
      <w:pPr>
        <w:ind w:left="1041" w:leftChars="371" w:hanging="262" w:hangingChars="125"/>
        <w:rPr>
          <w:rFonts w:ascii="微软雅黑" w:hAnsi="微软雅黑"/>
          <w:color w:val="auto"/>
          <w:szCs w:val="21"/>
          <w:highlight w:val="none"/>
        </w:rPr>
      </w:pPr>
      <w:r>
        <w:rPr>
          <w:rFonts w:hint="eastAsia" w:ascii="微软雅黑" w:hAnsi="微软雅黑"/>
          <w:color w:val="auto"/>
          <w:szCs w:val="21"/>
          <w:highlight w:val="none"/>
        </w:rPr>
        <w:t>地址：哈尔滨市道里区群力第四大道399号汇智广场中楼401</w:t>
      </w:r>
    </w:p>
    <w:p>
      <w:pPr>
        <w:ind w:left="1041" w:leftChars="371" w:hanging="262" w:hangingChars="125"/>
        <w:rPr>
          <w:rFonts w:ascii="微软雅黑" w:hAnsi="微软雅黑"/>
          <w:color w:val="auto"/>
          <w:szCs w:val="21"/>
          <w:highlight w:val="none"/>
        </w:rPr>
      </w:pPr>
      <w:r>
        <w:rPr>
          <w:rFonts w:hint="eastAsia" w:ascii="微软雅黑" w:hAnsi="微软雅黑"/>
          <w:color w:val="auto"/>
          <w:szCs w:val="21"/>
          <w:highlight w:val="none"/>
        </w:rPr>
        <w:t>联系人：宗南、朱俊</w:t>
      </w:r>
    </w:p>
    <w:p>
      <w:pPr>
        <w:ind w:left="1041" w:leftChars="371" w:hanging="262" w:hangingChars="125"/>
        <w:rPr>
          <w:rFonts w:ascii="微软雅黑" w:hAnsi="微软雅黑"/>
          <w:color w:val="auto"/>
          <w:szCs w:val="21"/>
          <w:highlight w:val="none"/>
        </w:rPr>
      </w:pPr>
      <w:r>
        <w:rPr>
          <w:rFonts w:hint="eastAsia" w:ascii="微软雅黑" w:hAnsi="微软雅黑"/>
          <w:color w:val="auto"/>
          <w:szCs w:val="21"/>
          <w:highlight w:val="none"/>
        </w:rPr>
        <w:t>联系方式：</w:t>
      </w:r>
      <w:bookmarkStart w:id="42" w:name="_Toc28359087"/>
      <w:bookmarkStart w:id="43" w:name="_Toc28359010"/>
      <w:r>
        <w:rPr>
          <w:rFonts w:hint="eastAsia" w:ascii="微软雅黑" w:hAnsi="微软雅黑"/>
          <w:color w:val="auto"/>
          <w:szCs w:val="21"/>
          <w:highlight w:val="none"/>
        </w:rPr>
        <w:t>0451-55671212</w:t>
      </w:r>
    </w:p>
    <w:p>
      <w:pPr>
        <w:ind w:firstLine="630" w:firstLineChars="300"/>
        <w:rPr>
          <w:rFonts w:ascii="微软雅黑" w:hAnsi="微软雅黑"/>
          <w:color w:val="auto"/>
          <w:szCs w:val="21"/>
          <w:highlight w:val="none"/>
        </w:rPr>
      </w:pPr>
      <w:r>
        <w:rPr>
          <w:rFonts w:hint="eastAsia" w:ascii="微软雅黑" w:hAnsi="微软雅黑"/>
          <w:color w:val="auto"/>
          <w:szCs w:val="21"/>
          <w:highlight w:val="none"/>
        </w:rPr>
        <w:t>3.项目</w:t>
      </w:r>
      <w:r>
        <w:rPr>
          <w:rFonts w:ascii="微软雅黑" w:hAnsi="微软雅黑"/>
          <w:color w:val="auto"/>
          <w:szCs w:val="21"/>
          <w:highlight w:val="none"/>
        </w:rPr>
        <w:t>联系方式</w:t>
      </w:r>
      <w:bookmarkEnd w:id="42"/>
      <w:bookmarkEnd w:id="43"/>
    </w:p>
    <w:p>
      <w:pPr>
        <w:ind w:left="1041" w:leftChars="371" w:hanging="262" w:hangingChars="125"/>
        <w:rPr>
          <w:rFonts w:ascii="微软雅黑" w:hAnsi="微软雅黑"/>
          <w:color w:val="auto"/>
          <w:szCs w:val="21"/>
          <w:highlight w:val="none"/>
        </w:rPr>
      </w:pPr>
      <w:r>
        <w:rPr>
          <w:rFonts w:hint="eastAsia" w:ascii="微软雅黑" w:hAnsi="微软雅黑"/>
          <w:color w:val="auto"/>
          <w:szCs w:val="21"/>
          <w:highlight w:val="none"/>
        </w:rPr>
        <w:t>项目联系人：宗南、朱俊</w:t>
      </w:r>
    </w:p>
    <w:p>
      <w:pPr>
        <w:ind w:left="1041" w:leftChars="371" w:hanging="262" w:hangingChars="125"/>
        <w:rPr>
          <w:rFonts w:ascii="微软雅黑" w:hAnsi="微软雅黑"/>
          <w:color w:val="auto"/>
          <w:szCs w:val="21"/>
          <w:highlight w:val="none"/>
        </w:rPr>
      </w:pPr>
      <w:r>
        <w:rPr>
          <w:rFonts w:hint="eastAsia" w:ascii="微软雅黑" w:hAnsi="微软雅黑"/>
          <w:color w:val="auto"/>
          <w:szCs w:val="21"/>
          <w:highlight w:val="none"/>
        </w:rPr>
        <w:t>电话：0451-55671212</w:t>
      </w:r>
    </w:p>
    <w:p>
      <w:pPr>
        <w:ind w:left="1041" w:leftChars="371" w:hanging="262" w:hangingChars="125"/>
        <w:rPr>
          <w:rFonts w:ascii="微软雅黑" w:hAnsi="微软雅黑"/>
          <w:color w:val="auto"/>
          <w:szCs w:val="21"/>
          <w:highlight w:val="none"/>
          <w:lang w:val="en-US"/>
        </w:rPr>
      </w:pPr>
    </w:p>
    <w:p>
      <w:pPr>
        <w:pStyle w:val="4"/>
        <w:numPr>
          <w:ilvl w:val="0"/>
          <w:numId w:val="10"/>
        </w:numPr>
        <w:spacing w:before="2400" w:after="0"/>
        <w:ind w:left="1293" w:hanging="1293"/>
        <w:jc w:val="center"/>
        <w:rPr>
          <w:rFonts w:ascii="微软雅黑" w:hAnsi="微软雅黑"/>
          <w:color w:val="auto"/>
          <w:highlight w:val="none"/>
        </w:rPr>
      </w:pPr>
      <w:bookmarkStart w:id="44" w:name="_Toc31594"/>
      <w:bookmarkStart w:id="45" w:name="_Toc4690"/>
      <w:r>
        <w:rPr>
          <w:rFonts w:hint="eastAsia" w:ascii="微软雅黑" w:hAnsi="微软雅黑"/>
          <w:color w:val="auto"/>
          <w:highlight w:val="none"/>
        </w:rPr>
        <w:t>供应商须知前附表</w:t>
      </w:r>
      <w:bookmarkEnd w:id="44"/>
      <w:bookmarkEnd w:id="45"/>
    </w:p>
    <w:p>
      <w:pPr>
        <w:rPr>
          <w:color w:val="auto"/>
          <w:highlight w:val="none"/>
        </w:rPr>
        <w:sectPr>
          <w:pgSz w:w="11907" w:h="16839"/>
          <w:pgMar w:top="1928" w:right="1531" w:bottom="1871" w:left="1531" w:header="1145" w:footer="709" w:gutter="0"/>
          <w:cols w:space="720" w:num="1"/>
          <w:docGrid w:linePitch="360" w:charSpace="0"/>
        </w:sectPr>
      </w:pPr>
    </w:p>
    <w:p>
      <w:pPr>
        <w:jc w:val="center"/>
        <w:rPr>
          <w:color w:val="auto"/>
          <w:highlight w:val="none"/>
        </w:rPr>
      </w:pPr>
      <w:r>
        <w:rPr>
          <w:rFonts w:hint="eastAsia" w:ascii="黑体" w:hAnsi="黑体" w:eastAsia="黑体"/>
          <w:color w:val="auto"/>
          <w:sz w:val="28"/>
          <w:szCs w:val="28"/>
          <w:highlight w:val="none"/>
        </w:rPr>
        <w:t>供应商须知前附表</w:t>
      </w:r>
    </w:p>
    <w:tbl>
      <w:tblPr>
        <w:tblStyle w:val="83"/>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701"/>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34" w:type="dxa"/>
            <w:vAlign w:val="center"/>
          </w:tcPr>
          <w:p>
            <w:pPr>
              <w:ind w:left="144" w:right="144"/>
              <w:jc w:val="center"/>
              <w:rPr>
                <w:rFonts w:ascii="微软雅黑" w:hAnsi="微软雅黑"/>
                <w:b/>
                <w:color w:val="auto"/>
                <w:sz w:val="18"/>
                <w:szCs w:val="18"/>
                <w:highlight w:val="none"/>
              </w:rPr>
            </w:pPr>
            <w:r>
              <w:rPr>
                <w:rFonts w:hint="eastAsia" w:ascii="微软雅黑" w:hAnsi="微软雅黑"/>
                <w:b/>
                <w:caps/>
                <w:color w:val="auto"/>
                <w:sz w:val="18"/>
                <w:szCs w:val="18"/>
                <w:highlight w:val="none"/>
              </w:rPr>
              <w:t>序号</w:t>
            </w:r>
          </w:p>
        </w:tc>
        <w:tc>
          <w:tcPr>
            <w:tcW w:w="1701" w:type="dxa"/>
            <w:vAlign w:val="center"/>
          </w:tcPr>
          <w:p>
            <w:pPr>
              <w:ind w:left="144" w:right="144"/>
              <w:jc w:val="center"/>
              <w:rPr>
                <w:rFonts w:ascii="微软雅黑" w:hAnsi="微软雅黑"/>
                <w:b/>
                <w:color w:val="auto"/>
                <w:sz w:val="18"/>
                <w:szCs w:val="18"/>
                <w:highlight w:val="none"/>
              </w:rPr>
            </w:pPr>
            <w:r>
              <w:rPr>
                <w:rFonts w:hint="eastAsia" w:ascii="微软雅黑" w:hAnsi="微软雅黑"/>
                <w:b/>
                <w:caps/>
                <w:color w:val="auto"/>
                <w:sz w:val="18"/>
                <w:szCs w:val="18"/>
                <w:highlight w:val="none"/>
              </w:rPr>
              <w:t>内容</w:t>
            </w:r>
          </w:p>
        </w:tc>
        <w:tc>
          <w:tcPr>
            <w:tcW w:w="6401" w:type="dxa"/>
            <w:vAlign w:val="center"/>
          </w:tcPr>
          <w:p>
            <w:pPr>
              <w:ind w:left="144" w:right="144"/>
              <w:jc w:val="center"/>
              <w:rPr>
                <w:rFonts w:ascii="微软雅黑" w:hAnsi="微软雅黑"/>
                <w:b/>
                <w:color w:val="auto"/>
                <w:sz w:val="18"/>
                <w:szCs w:val="18"/>
                <w:highlight w:val="none"/>
              </w:rPr>
            </w:pPr>
            <w:r>
              <w:rPr>
                <w:rFonts w:hint="eastAsia" w:ascii="微软雅黑" w:hAnsi="微软雅黑"/>
                <w:b/>
                <w:cap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采购人</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名称：哈尔滨工业大学</w:t>
            </w:r>
          </w:p>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地址：哈尔滨市南岗区西大直街92号哈尔滨工业大学行政办公楼</w:t>
            </w:r>
          </w:p>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联系人：武老师</w:t>
            </w:r>
          </w:p>
          <w:p>
            <w:pPr>
              <w:pStyle w:val="175"/>
              <w:ind w:left="144" w:right="144"/>
              <w:rPr>
                <w:rFonts w:ascii="微软雅黑" w:hAnsi="微软雅黑" w:eastAsia="微软雅黑"/>
                <w:b/>
                <w:color w:val="auto"/>
                <w:kern w:val="20"/>
                <w:sz w:val="18"/>
                <w:szCs w:val="18"/>
                <w:highlight w:val="none"/>
                <w:u w:val="single"/>
                <w:lang w:val="zh-CN"/>
              </w:rPr>
            </w:pPr>
            <w:r>
              <w:rPr>
                <w:rFonts w:hint="eastAsia" w:ascii="微软雅黑" w:hAnsi="微软雅黑" w:eastAsia="微软雅黑"/>
                <w:color w:val="auto"/>
                <w:sz w:val="18"/>
                <w:szCs w:val="18"/>
                <w:highlight w:val="none"/>
              </w:rPr>
              <w:t xml:space="preserve">联系方式：0451-86417953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采购代理机构</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名称：宜国发项目管理有限公司</w:t>
            </w:r>
          </w:p>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地址：哈尔滨市道里区群力第四大道399号汇智广场中楼401</w:t>
            </w:r>
          </w:p>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联系人：宗南、朱俊</w:t>
            </w:r>
          </w:p>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联系方式：0451-55671212</w:t>
            </w:r>
            <w:r>
              <w:rPr>
                <w:rFonts w:ascii="微软雅黑" w:hAnsi="微软雅黑" w:eastAsia="微软雅黑"/>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lang w:val="en-US"/>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项目</w:t>
            </w:r>
            <w:r>
              <w:rPr>
                <w:rFonts w:ascii="微软雅黑" w:hAnsi="微软雅黑"/>
                <w:color w:val="auto"/>
                <w:sz w:val="18"/>
                <w:szCs w:val="18"/>
                <w:highlight w:val="none"/>
              </w:rPr>
              <w:t>联系方式</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项目联系人：宗南、朱俊</w:t>
            </w:r>
          </w:p>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电话：0451-55671212</w:t>
            </w:r>
          </w:p>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电子邮箱：Dept6@guofa818.com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lang w:val="en-US"/>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项目编号</w:t>
            </w:r>
          </w:p>
        </w:tc>
        <w:tc>
          <w:tcPr>
            <w:tcW w:w="6401" w:type="dxa"/>
            <w:vAlign w:val="center"/>
          </w:tcPr>
          <w:p>
            <w:pPr>
              <w:pStyle w:val="175"/>
              <w:ind w:left="144" w:right="144"/>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HITCS-2022000007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项目名称</w:t>
            </w:r>
          </w:p>
        </w:tc>
        <w:tc>
          <w:tcPr>
            <w:tcW w:w="6401" w:type="dxa"/>
            <w:vAlign w:val="center"/>
          </w:tcPr>
          <w:p>
            <w:pPr>
              <w:pStyle w:val="175"/>
              <w:ind w:left="144" w:right="144"/>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shd w:val="clear" w:color="auto" w:fill="FFFFFF"/>
                <w:lang w:eastAsia="zh-CN"/>
              </w:rPr>
              <w:t>哈尔滨工业大学科研房间电路改造工程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采购需求</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详见第四部分工程量清单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bCs/>
                <w:color w:val="auto"/>
                <w:sz w:val="18"/>
                <w:szCs w:val="18"/>
                <w:highlight w:val="none"/>
              </w:rPr>
              <w:t>标段划分</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bCs/>
                <w:color w:val="auto"/>
                <w:sz w:val="18"/>
                <w:szCs w:val="18"/>
                <w:highlight w:val="none"/>
              </w:rPr>
              <w:t xml:space="preserve">1个标段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合同履行期限</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自合同签订之日起40日内竣工。因投标人原因造成工期延误，每逾期1天将处以合同总价的1%的罚金；超过5天，投标人按合同金额的10%向采购人支付违约金，并赔偿由此造成的损失费用，采购人有权终止合同。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项目地点</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哈尔滨工业大学各校区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bCs/>
                <w:color w:val="auto"/>
                <w:sz w:val="18"/>
                <w:szCs w:val="18"/>
                <w:highlight w:val="none"/>
                <w:lang w:val="en-US"/>
              </w:rPr>
              <w:t>质量标准</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按照国家有关标准、规范、规程和招标文件要求达到合格标准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
                <w:color w:val="auto"/>
                <w:sz w:val="18"/>
                <w:szCs w:val="18"/>
                <w:highlight w:val="none"/>
              </w:rPr>
            </w:pPr>
            <w:r>
              <w:rPr>
                <w:rFonts w:hint="eastAsia" w:ascii="微软雅黑" w:hAnsi="微软雅黑"/>
                <w:b/>
                <w:color w:val="auto"/>
                <w:sz w:val="18"/>
                <w:szCs w:val="18"/>
                <w:highlight w:val="none"/>
              </w:rPr>
              <w:t>预算金额</w:t>
            </w:r>
          </w:p>
        </w:tc>
        <w:tc>
          <w:tcPr>
            <w:tcW w:w="6401" w:type="dxa"/>
            <w:vAlign w:val="center"/>
          </w:tcPr>
          <w:p>
            <w:pPr>
              <w:pStyle w:val="175"/>
              <w:ind w:left="144" w:right="144"/>
              <w:rPr>
                <w:rFonts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人民币 3262646.10元；</w:t>
            </w:r>
            <w:r>
              <w:rPr>
                <w:rFonts w:ascii="微软雅黑" w:hAnsi="微软雅黑" w:eastAsia="微软雅黑"/>
                <w:b/>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
                <w:color w:val="auto"/>
                <w:sz w:val="18"/>
                <w:szCs w:val="18"/>
                <w:highlight w:val="none"/>
              </w:rPr>
            </w:pPr>
            <w:r>
              <w:rPr>
                <w:rFonts w:hint="eastAsia" w:ascii="微软雅黑" w:hAnsi="微软雅黑"/>
                <w:b/>
                <w:color w:val="auto"/>
                <w:sz w:val="18"/>
                <w:szCs w:val="18"/>
                <w:highlight w:val="none"/>
              </w:rPr>
              <w:t>最高限价</w:t>
            </w:r>
          </w:p>
        </w:tc>
        <w:tc>
          <w:tcPr>
            <w:tcW w:w="6401" w:type="dxa"/>
            <w:vAlign w:val="center"/>
          </w:tcPr>
          <w:p>
            <w:pPr>
              <w:pStyle w:val="175"/>
              <w:ind w:left="144" w:right="144"/>
              <w:rPr>
                <w:rFonts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人民币 3262646.10元；</w:t>
            </w:r>
          </w:p>
          <w:p>
            <w:pPr>
              <w:pStyle w:val="175"/>
              <w:ind w:left="144" w:right="144"/>
              <w:rPr>
                <w:rFonts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★供应商应有明确报价，超过最高限价或者无报价的，响应无效。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资金性质</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3" w:hRule="atLeast"/>
        </w:trPr>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资格要求</w:t>
            </w:r>
          </w:p>
        </w:tc>
        <w:tc>
          <w:tcPr>
            <w:tcW w:w="6401" w:type="dxa"/>
            <w:vAlign w:val="center"/>
          </w:tcPr>
          <w:p>
            <w:pPr>
              <w:rPr>
                <w:rFonts w:hint="eastAsia"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1.满足《中华人民共和国政府采购法》第二十二条规定；</w:t>
            </w:r>
          </w:p>
          <w:p>
            <w:pPr>
              <w:rPr>
                <w:rFonts w:hint="eastAsia"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2.落实政府采购政策需满足的资格要求：依据《政府采购促进中小企业发展管理办法》财库〔2020〕46号规定，本项目为专门面向中小企业采购，供应商须为中型、小型、微型企业（但与大企业的负责人为同一人，或者与大企业存在直接控股、管理关系的除外）。中小企业划分标准以工业和信息化部、国家统计局、发展改革委、财政部印发的《关于印发中小企业划型标准规定的通知》（工信部联企业〔2011〕300号）中的划分标准为准。标的名称为“哈尔滨工业大学科研房间电路改造工程”，所属行业为“建筑业”。符合中小企业划分标准的个体工商户，视同中小企业。监狱企业及残疾人福利性单位视同小型、微型企业。</w:t>
            </w:r>
          </w:p>
          <w:p>
            <w:pPr>
              <w:rPr>
                <w:rFonts w:hint="eastAsia"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3.本项目的特定资格要求：</w:t>
            </w:r>
          </w:p>
          <w:p>
            <w:pPr>
              <w:rPr>
                <w:rFonts w:hint="eastAsia"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（1）供应商须具备中华人民共和国境内的独立法人资格，并在人员、设备、资金等方面具有相应的施工能力。须同时具备国家建设行政主管部门颁发的下列资质之一：</w:t>
            </w:r>
          </w:p>
          <w:p>
            <w:pPr>
              <w:pStyle w:val="2"/>
              <w:ind w:left="0" w:leftChars="0" w:firstLine="0" w:firstLineChars="0"/>
              <w:rPr>
                <w:rFonts w:hint="eastAsia" w:ascii="微软雅黑" w:hAnsi="微软雅黑" w:eastAsia="微软雅黑" w:cs="Times New Roman"/>
                <w:color w:val="auto"/>
                <w:kern w:val="0"/>
                <w:sz w:val="18"/>
                <w:szCs w:val="18"/>
                <w:highlight w:val="none"/>
                <w:lang w:val="zh-CN" w:eastAsia="zh-CN" w:bidi="ar-SA"/>
              </w:rPr>
            </w:pPr>
            <w:r>
              <w:rPr>
                <w:rFonts w:hint="eastAsia" w:ascii="微软雅黑" w:hAnsi="微软雅黑" w:eastAsia="微软雅黑" w:cs="Times New Roman"/>
                <w:color w:val="auto"/>
                <w:kern w:val="0"/>
                <w:sz w:val="18"/>
                <w:szCs w:val="18"/>
                <w:highlight w:val="none"/>
                <w:lang w:val="zh-CN" w:eastAsia="zh-CN" w:bidi="ar-SA"/>
              </w:rPr>
              <w:t>1、机电工程施工总承包三级及以上资质，具备建设行政主管部门颁发的企业安全生产许可证；</w:t>
            </w:r>
          </w:p>
          <w:p>
            <w:pPr>
              <w:pStyle w:val="2"/>
              <w:ind w:left="0" w:leftChars="0" w:firstLine="0" w:firstLineChars="0"/>
              <w:rPr>
                <w:rFonts w:hint="eastAsia" w:ascii="微软雅黑" w:hAnsi="微软雅黑" w:eastAsia="微软雅黑" w:cs="Times New Roman"/>
                <w:color w:val="auto"/>
                <w:kern w:val="0"/>
                <w:sz w:val="18"/>
                <w:szCs w:val="18"/>
                <w:highlight w:val="none"/>
                <w:lang w:val="zh-CN" w:eastAsia="zh-CN" w:bidi="ar-SA"/>
              </w:rPr>
            </w:pPr>
            <w:r>
              <w:rPr>
                <w:rFonts w:hint="eastAsia" w:ascii="微软雅黑" w:hAnsi="微软雅黑" w:eastAsia="微软雅黑" w:cs="Times New Roman"/>
                <w:color w:val="auto"/>
                <w:kern w:val="0"/>
                <w:sz w:val="18"/>
                <w:szCs w:val="18"/>
                <w:highlight w:val="none"/>
                <w:lang w:val="zh-CN" w:eastAsia="zh-CN" w:bidi="ar-SA"/>
              </w:rPr>
              <w:t>2、建筑机电安装工程专业承包三级及以上资质，具备建设行政主管部门颁发的企业安全生产许可证；</w:t>
            </w:r>
          </w:p>
          <w:p>
            <w:pPr>
              <w:pStyle w:val="2"/>
              <w:ind w:left="0" w:leftChars="0" w:firstLine="0" w:firstLineChars="0"/>
              <w:rPr>
                <w:rFonts w:hint="default"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3、建筑工程施工总承包三级及以上资质，具备建设行政主管部门颁发的企业安全生产许可证；</w:t>
            </w:r>
          </w:p>
          <w:p>
            <w:pPr>
              <w:rPr>
                <w:rFonts w:hint="eastAsia"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（2）拟派本项目的项目经理须具备机电工程专业二级及以上国家注册建造师执业资格，同时具有安全生产考核证书，且未担任其他在施建设工程项目的项目经理工作。</w:t>
            </w:r>
          </w:p>
          <w:p>
            <w:pPr>
              <w:pStyle w:val="2"/>
              <w:ind w:left="0" w:leftChars="0" w:firstLine="0" w:firstLineChars="0"/>
              <w:rPr>
                <w:rFonts w:hint="eastAsia"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（3）拟派技术负责人须具备建安类与本工程相适应的相关专业高级及以上职称，并具备相应的职称证书。</w:t>
            </w:r>
          </w:p>
          <w:p>
            <w:pPr>
              <w:rPr>
                <w:rFonts w:hint="eastAsia"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（4）拟派本项目管理机构除项目经理外，还须配备施工员（工长）1人、质量员（质量检查员）1人、安全员1 人。施工员具备岗位证书，质量员具备岗位证书，安全员具备有效的C类安全生产考核合格证书（C证）。（注：其他省份专业设置不同的，供应商须提供本省“工程项目管理机构人员配置管理”相关文件，按磋商文件人数要求分别配备施工员、质量员。）</w:t>
            </w:r>
          </w:p>
          <w:p>
            <w:pPr>
              <w:pStyle w:val="2"/>
              <w:ind w:left="0" w:leftChars="0" w:firstLine="0" w:firstLineChars="0"/>
              <w:rPr>
                <w:rFonts w:hint="eastAsia"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5）拟派项目经理、技术负责人及参加本工程投标的授权委托代理人必须是参加本项目投标人的合法在职人员，须提供参加本项目的投标人为其近6个月内任意2个月（2022年1月至今）缴纳职工基本养老保险的证明，缴纳养老保险证明须为在人力资源和社会保障网上打印的带有条形码的打印件并加盖企业公章，哈尔滨市企业应提供社保证明的查询方式及相关信息，包括社保号、身份证号、密码等；外省、市投标企业必须提供查询网址及相关信息，包括社保号、身份证号、密码等。（国家规定的六类人员除外）</w:t>
            </w:r>
          </w:p>
          <w:p>
            <w:pPr>
              <w:pStyle w:val="2"/>
              <w:ind w:left="0" w:leftChars="0" w:firstLine="0" w:firstLineChars="0"/>
              <w:rPr>
                <w:rFonts w:hint="eastAsia" w:ascii="微软雅黑" w:hAnsi="微软雅黑" w:eastAsia="微软雅黑" w:cs="Times New Roman"/>
                <w:color w:val="auto"/>
                <w:kern w:val="0"/>
                <w:sz w:val="18"/>
                <w:szCs w:val="18"/>
                <w:highlight w:val="none"/>
                <w:lang w:val="en-US" w:eastAsia="zh-CN" w:bidi="ar-SA"/>
              </w:rPr>
            </w:pPr>
            <w:r>
              <w:rPr>
                <w:rFonts w:hint="eastAsia" w:ascii="微软雅黑" w:hAnsi="微软雅黑" w:eastAsia="微软雅黑" w:cs="Times New Roman"/>
                <w:color w:val="auto"/>
                <w:kern w:val="0"/>
                <w:sz w:val="18"/>
                <w:szCs w:val="18"/>
                <w:highlight w:val="none"/>
                <w:lang w:val="en-US" w:eastAsia="zh-CN" w:bidi="ar-SA"/>
              </w:rPr>
              <w:t>（6）供应商在参加本次磋商前3年内（2019年7月1日-投标登记截止之日），完成一项类似电力改造维修工程施工业绩，并提供如下佐证材料：中标通知书、施工合同、竣工验收报告。竣工验收报告必须由建设、设计、监理、施工四方签字盖章，以竣工验收时间为准（注：原件彩色扫描版封装在技术标内）。采购人有权在响应前对供应商施工业绩进行现场核实，供应商应给予配合。</w:t>
            </w:r>
          </w:p>
          <w:p>
            <w:pPr>
              <w:rPr>
                <w:rFonts w:hint="eastAsia" w:ascii="微软雅黑" w:hAnsi="微软雅黑" w:eastAsia="微软雅黑"/>
                <w:color w:val="auto"/>
                <w:sz w:val="18"/>
                <w:szCs w:val="18"/>
                <w:highlight w:val="none"/>
                <w:lang w:eastAsia="zh-CN"/>
              </w:rPr>
            </w:pPr>
            <w:r>
              <w:rPr>
                <w:rFonts w:hint="eastAsia" w:ascii="微软雅黑" w:hAnsi="微软雅黑" w:eastAsia="微软雅黑" w:cs="Times New Roman"/>
                <w:color w:val="auto"/>
                <w:kern w:val="0"/>
                <w:sz w:val="18"/>
                <w:szCs w:val="18"/>
                <w:highlight w:val="none"/>
                <w:lang w:val="en-US" w:eastAsia="zh-CN" w:bidi="ar-SA"/>
              </w:rPr>
              <w:t>（7）供应商必须具有由有资质的会计师事务所出具的2021年度的真实有效的企业审计报告（成立年限不足1年的企业，须出具具备良好的商业信誉和健全的财务会计制度承诺函）。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Merge w:val="restart"/>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Merge w:val="restart"/>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供应商不得存在的情形</w:t>
            </w: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Merge w:val="continue"/>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Merge w:val="continue"/>
            <w:vAlign w:val="center"/>
          </w:tcPr>
          <w:p>
            <w:pPr>
              <w:ind w:left="144" w:right="144"/>
              <w:jc w:val="center"/>
              <w:rPr>
                <w:rFonts w:ascii="微软雅黑" w:hAnsi="微软雅黑"/>
                <w:color w:val="auto"/>
                <w:sz w:val="18"/>
                <w:szCs w:val="18"/>
                <w:highlight w:val="none"/>
              </w:rPr>
            </w:pPr>
          </w:p>
        </w:tc>
        <w:tc>
          <w:tcPr>
            <w:tcW w:w="6401" w:type="dxa"/>
            <w:vAlign w:val="center"/>
          </w:tcPr>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为采购项目提供整体设计、规范编制或者项目管理、监理、检测等服务的供应商，不得再参加采购项目的其他采购活动。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信用记录查询</w:t>
            </w:r>
          </w:p>
        </w:tc>
        <w:tc>
          <w:tcPr>
            <w:tcW w:w="6401" w:type="dxa"/>
            <w:vAlign w:val="center"/>
          </w:tcPr>
          <w:p>
            <w:pPr>
              <w:pStyle w:val="175"/>
              <w:ind w:left="144" w:right="144"/>
              <w:rPr>
                <w:rFonts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资格审查时，通过”信用中国”网站(www.creditchina.gov.cn)、中国政府采购网(www.ccgp.gov.cn)、“国家企业信用信息公示系统”（www.gsxt.gov.cn/index.html）渠道查询供应商信用记录，经查询列入失信被执行人、重大税收违法案件当事人名单、政府采购严重违法失信行为记录名单（且处罚期限尚未届满的），其响应无效。</w:t>
            </w:r>
          </w:p>
          <w:p>
            <w:pPr>
              <w:pStyle w:val="175"/>
              <w:ind w:left="144" w:right="144"/>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供应商的信用记录查询结果截图将作为项目材料的组成部分。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Merge w:val="restart"/>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Cs/>
                <w:color w:val="auto"/>
                <w:sz w:val="18"/>
                <w:szCs w:val="18"/>
                <w:highlight w:val="none"/>
              </w:rPr>
            </w:pPr>
            <w:r>
              <w:rPr>
                <w:rFonts w:hint="eastAsia" w:ascii="微软雅黑" w:hAnsi="微软雅黑"/>
                <w:bCs/>
                <w:color w:val="auto"/>
                <w:sz w:val="18"/>
                <w:szCs w:val="18"/>
                <w:highlight w:val="none"/>
              </w:rPr>
              <w:t>是否接受联合体</w:t>
            </w:r>
          </w:p>
        </w:tc>
        <w:tc>
          <w:tcPr>
            <w:tcW w:w="6401" w:type="dxa"/>
            <w:vAlign w:val="center"/>
          </w:tcPr>
          <w:p>
            <w:pPr>
              <w:ind w:right="142" w:firstLine="90" w:firstLineChars="50"/>
              <w:jc w:val="both"/>
              <w:rPr>
                <w:rFonts w:ascii="微软雅黑" w:hAnsi="微软雅黑"/>
                <w:b/>
                <w:color w:val="auto"/>
                <w:sz w:val="18"/>
                <w:szCs w:val="18"/>
                <w:highlight w:val="none"/>
              </w:rPr>
            </w:pPr>
            <w:r>
              <w:rPr>
                <w:rFonts w:hint="eastAsia" w:ascii="微软雅黑" w:hAnsi="微软雅黑"/>
                <w:b/>
                <w:color w:val="auto"/>
                <w:sz w:val="18"/>
                <w:szCs w:val="18"/>
                <w:highlight w:val="none"/>
              </w:rPr>
              <w:t>■</w:t>
            </w:r>
            <w:r>
              <w:rPr>
                <w:rFonts w:hint="eastAsia" w:ascii="微软雅黑" w:hAnsi="微软雅黑"/>
                <w:color w:val="auto"/>
                <w:sz w:val="18"/>
                <w:szCs w:val="18"/>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Merge w:val="continue"/>
            <w:vAlign w:val="center"/>
          </w:tcPr>
          <w:p>
            <w:pPr>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Cs/>
                <w:color w:val="auto"/>
                <w:sz w:val="18"/>
                <w:szCs w:val="18"/>
                <w:highlight w:val="none"/>
              </w:rPr>
            </w:pPr>
            <w:r>
              <w:rPr>
                <w:rFonts w:hint="eastAsia" w:ascii="微软雅黑" w:hAnsi="微软雅黑"/>
                <w:bCs/>
                <w:color w:val="auto"/>
                <w:sz w:val="18"/>
                <w:szCs w:val="18"/>
                <w:highlight w:val="none"/>
              </w:rPr>
              <w:t>联合体</w:t>
            </w:r>
          </w:p>
        </w:tc>
        <w:tc>
          <w:tcPr>
            <w:tcW w:w="6401" w:type="dxa"/>
            <w:vAlign w:val="center"/>
          </w:tcPr>
          <w:p>
            <w:pPr>
              <w:pStyle w:val="175"/>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本次项目是否允许两个（含）以上供应商组成一个联合体以一个供应商身份共同响应，详见</w:t>
            </w:r>
            <w:r>
              <w:rPr>
                <w:rFonts w:hint="eastAsia" w:ascii="微软雅黑" w:hAnsi="微软雅黑" w:eastAsia="微软雅黑"/>
                <w:bCs/>
                <w:color w:val="auto"/>
                <w:sz w:val="18"/>
                <w:szCs w:val="18"/>
                <w:highlight w:val="none"/>
              </w:rPr>
              <w:t>前款规定</w:t>
            </w:r>
            <w:r>
              <w:rPr>
                <w:rFonts w:hint="eastAsia" w:ascii="微软雅黑" w:hAnsi="微软雅黑" w:eastAsia="微软雅黑"/>
                <w:color w:val="auto"/>
                <w:sz w:val="18"/>
                <w:szCs w:val="18"/>
                <w:highlight w:val="none"/>
              </w:rPr>
              <w:t>。如果允许联合体，联合体各方应符合下列要求：</w:t>
            </w:r>
          </w:p>
          <w:p>
            <w:pPr>
              <w:pStyle w:val="175"/>
              <w:numPr>
                <w:ilvl w:val="0"/>
                <w:numId w:val="12"/>
              </w:numPr>
              <w:ind w:left="0" w:firstLine="0"/>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以联合体形式参加的，联合体各方均应当符合政府采购法第二十二条第一款规定的条件，并按照</w:t>
            </w:r>
            <w:r>
              <w:rPr>
                <w:rFonts w:hint="eastAsia" w:ascii="微软雅黑" w:hAnsi="微软雅黑" w:eastAsia="微软雅黑"/>
                <w:bCs/>
                <w:color w:val="auto"/>
                <w:sz w:val="18"/>
                <w:szCs w:val="18"/>
                <w:highlight w:val="none"/>
              </w:rPr>
              <w:t>供应商须知前附表</w:t>
            </w:r>
            <w:r>
              <w:rPr>
                <w:rFonts w:hint="eastAsia" w:ascii="微软雅黑" w:hAnsi="微软雅黑" w:eastAsia="微软雅黑"/>
                <w:color w:val="auto"/>
                <w:sz w:val="18"/>
                <w:szCs w:val="18"/>
                <w:highlight w:val="none"/>
              </w:rPr>
              <w:t>要求提交相关文件。采购人根据采购项目的特殊要求规定供应商特定条件的，联合体各方中至少应当有一方符合采购人规定的特定条件。</w:t>
            </w:r>
          </w:p>
          <w:p>
            <w:pPr>
              <w:pStyle w:val="175"/>
              <w:numPr>
                <w:ilvl w:val="0"/>
                <w:numId w:val="12"/>
              </w:numPr>
              <w:ind w:left="0" w:firstLine="0"/>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联合体中有同类资质的供应商按照联合体分工承担相同工作的，应当按照资质等级较低的供应商确定资质等级。</w:t>
            </w:r>
          </w:p>
          <w:p>
            <w:pPr>
              <w:pStyle w:val="175"/>
              <w:numPr>
                <w:ilvl w:val="0"/>
                <w:numId w:val="12"/>
              </w:numPr>
              <w:ind w:left="0" w:firstLine="0"/>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以联合体形式参加政府采购活动的，联合体各方</w:t>
            </w:r>
            <w:r>
              <w:rPr>
                <w:rFonts w:hint="eastAsia" w:ascii="微软雅黑" w:hAnsi="微软雅黑" w:eastAsia="微软雅黑"/>
                <w:bCs/>
                <w:color w:val="auto"/>
                <w:sz w:val="18"/>
                <w:szCs w:val="18"/>
                <w:highlight w:val="none"/>
              </w:rPr>
              <w:t>不得</w:t>
            </w:r>
            <w:r>
              <w:rPr>
                <w:rFonts w:hint="eastAsia" w:ascii="微软雅黑" w:hAnsi="微软雅黑" w:eastAsia="微软雅黑"/>
                <w:color w:val="auto"/>
                <w:sz w:val="18"/>
                <w:szCs w:val="18"/>
                <w:highlight w:val="none"/>
              </w:rPr>
              <w:t>再单独参加或者与其他供应商另外组成联合体参加同一合同项下的政府采购活动。若该等情形被发现，其单独的响应和与此有关的联合体的响应均将</w:t>
            </w:r>
            <w:r>
              <w:rPr>
                <w:rFonts w:hint="eastAsia" w:ascii="微软雅黑" w:hAnsi="微软雅黑" w:eastAsia="微软雅黑"/>
                <w:b/>
                <w:bCs/>
                <w:color w:val="auto"/>
                <w:sz w:val="18"/>
                <w:szCs w:val="18"/>
                <w:highlight w:val="none"/>
              </w:rPr>
              <w:t>被拒绝</w:t>
            </w:r>
            <w:r>
              <w:rPr>
                <w:rFonts w:hint="eastAsia" w:ascii="微软雅黑" w:hAnsi="微软雅黑" w:eastAsia="微软雅黑"/>
                <w:color w:val="auto"/>
                <w:sz w:val="18"/>
                <w:szCs w:val="18"/>
                <w:highlight w:val="none"/>
              </w:rPr>
              <w:t>。</w:t>
            </w:r>
          </w:p>
          <w:p>
            <w:pPr>
              <w:pStyle w:val="175"/>
              <w:numPr>
                <w:ilvl w:val="0"/>
                <w:numId w:val="12"/>
              </w:numPr>
              <w:ind w:left="0" w:firstLine="0"/>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联合体必须确定其中一方为响应的全权代表（牵头人，以前附表规定为准）参加响应活动，并承担响应及履约活动中的全部责任与义务，且联合体各方无论是否实际参加、发生的情形怎样，一旦该联合体实际开始响应，联合体各方均应当就本次采购所引起或相关的任何或所有事项、义务、责任、损失等承担连带责任。</w:t>
            </w:r>
          </w:p>
          <w:p>
            <w:pPr>
              <w:pStyle w:val="175"/>
              <w:numPr>
                <w:ilvl w:val="0"/>
                <w:numId w:val="12"/>
              </w:numPr>
              <w:ind w:left="0" w:firstLine="0"/>
              <w:rPr>
                <w:rFonts w:ascii="微软雅黑" w:hAnsi="微软雅黑" w:eastAsia="微软雅黑"/>
                <w:b/>
                <w:color w:val="auto"/>
                <w:sz w:val="18"/>
                <w:szCs w:val="18"/>
                <w:highlight w:val="none"/>
              </w:rPr>
            </w:pPr>
            <w:r>
              <w:rPr>
                <w:rFonts w:hint="eastAsia" w:ascii="微软雅黑" w:hAnsi="微软雅黑" w:eastAsia="微软雅黑"/>
                <w:color w:val="auto"/>
                <w:sz w:val="18"/>
                <w:szCs w:val="18"/>
                <w:highlight w:val="none"/>
              </w:rPr>
              <w:t>联合体成交后，合同应由各成员的合法授权代表签字并加盖各成员公章，以便对联合体成员作为整体和他们各自作为独立体均具有法律约束力，但若该等签字或公章不齐全或缺乏，该联合体的全权代表方（牵头人）的签署或类似的意思表示具有代表该联合体的签署或意思表示的法律效力，并且据此各成员为履行合同应向宜国发项目管理有限公司（以下简称“采购代理机构”）与采购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2" w:right="142"/>
              <w:jc w:val="center"/>
              <w:rPr>
                <w:rFonts w:ascii="微软雅黑" w:hAnsi="微软雅黑"/>
                <w:color w:val="auto"/>
                <w:sz w:val="18"/>
                <w:szCs w:val="18"/>
                <w:highlight w:val="none"/>
              </w:rPr>
            </w:pPr>
            <w:r>
              <w:rPr>
                <w:rFonts w:hint="eastAsia" w:ascii="微软雅黑" w:hAnsi="微软雅黑"/>
                <w:color w:val="auto"/>
                <w:sz w:val="18"/>
                <w:szCs w:val="18"/>
                <w:highlight w:val="none"/>
              </w:rPr>
              <w:t>资格审查部分</w:t>
            </w:r>
          </w:p>
        </w:tc>
        <w:tc>
          <w:tcPr>
            <w:tcW w:w="6401" w:type="dxa"/>
            <w:vAlign w:val="center"/>
          </w:tcPr>
          <w:p>
            <w:pPr>
              <w:ind w:right="142" w:firstLine="90" w:firstLineChars="50"/>
              <w:jc w:val="both"/>
              <w:rPr>
                <w:rFonts w:ascii="微软雅黑" w:hAnsi="微软雅黑"/>
                <w:color w:val="auto"/>
                <w:sz w:val="18"/>
                <w:szCs w:val="18"/>
                <w:highlight w:val="none"/>
              </w:rPr>
            </w:pPr>
            <w:r>
              <w:rPr>
                <w:rFonts w:hint="eastAsia" w:ascii="微软雅黑" w:hAnsi="微软雅黑"/>
                <w:color w:val="auto"/>
                <w:sz w:val="18"/>
                <w:szCs w:val="18"/>
                <w:highlight w:val="none"/>
              </w:rPr>
              <w:t>1、供应商资格审查一览表</w:t>
            </w:r>
          </w:p>
          <w:p>
            <w:pPr>
              <w:ind w:right="142" w:firstLine="90" w:firstLineChars="50"/>
              <w:jc w:val="both"/>
              <w:rPr>
                <w:rFonts w:ascii="微软雅黑" w:hAnsi="微软雅黑"/>
                <w:color w:val="auto"/>
                <w:sz w:val="18"/>
                <w:szCs w:val="18"/>
                <w:highlight w:val="none"/>
              </w:rPr>
            </w:pPr>
            <w:r>
              <w:rPr>
                <w:rFonts w:ascii="微软雅黑" w:hAnsi="微软雅黑"/>
                <w:color w:val="auto"/>
                <w:sz w:val="18"/>
                <w:szCs w:val="18"/>
                <w:highlight w:val="none"/>
              </w:rPr>
              <w:t>……</w:t>
            </w:r>
          </w:p>
          <w:p>
            <w:pPr>
              <w:ind w:right="142" w:firstLine="90" w:firstLineChars="50"/>
              <w:jc w:val="both"/>
              <w:rPr>
                <w:rFonts w:ascii="微软雅黑" w:hAnsi="微软雅黑"/>
                <w:color w:val="auto"/>
                <w:sz w:val="18"/>
                <w:szCs w:val="18"/>
                <w:highlight w:val="none"/>
              </w:rPr>
            </w:pPr>
            <w:r>
              <w:rPr>
                <w:rFonts w:hint="eastAsia" w:ascii="微软雅黑" w:hAnsi="微软雅黑"/>
                <w:color w:val="auto"/>
                <w:sz w:val="18"/>
                <w:szCs w:val="18"/>
                <w:highlight w:val="none"/>
              </w:rPr>
              <w:t>具体资格审查内容详见第七部分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2" w:right="142"/>
              <w:jc w:val="center"/>
              <w:rPr>
                <w:rFonts w:ascii="微软雅黑" w:hAnsi="微软雅黑"/>
                <w:color w:val="auto"/>
                <w:sz w:val="18"/>
                <w:szCs w:val="18"/>
                <w:highlight w:val="none"/>
              </w:rPr>
            </w:pPr>
            <w:r>
              <w:rPr>
                <w:rFonts w:hint="eastAsia" w:ascii="微软雅黑" w:hAnsi="微软雅黑"/>
                <w:color w:val="auto"/>
                <w:sz w:val="18"/>
                <w:szCs w:val="18"/>
                <w:highlight w:val="none"/>
              </w:rPr>
              <w:t>供应商应提交的商务文件</w:t>
            </w:r>
          </w:p>
        </w:tc>
        <w:tc>
          <w:tcPr>
            <w:tcW w:w="6401" w:type="dxa"/>
            <w:vAlign w:val="center"/>
          </w:tcPr>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商务部分应答索引表</w:t>
            </w:r>
          </w:p>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法定代表人授权委托书</w:t>
            </w:r>
          </w:p>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响应函</w:t>
            </w:r>
          </w:p>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w:t>
            </w:r>
            <w:r>
              <w:rPr>
                <w:rFonts w:ascii="微软雅黑" w:hAnsi="微软雅黑"/>
                <w:color w:val="auto"/>
                <w:sz w:val="18"/>
                <w:szCs w:val="18"/>
                <w:highlight w:val="none"/>
                <w:lang w:val="en-US"/>
              </w:rPr>
              <w:t>技术需求承诺</w:t>
            </w:r>
          </w:p>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★其它承诺</w:t>
            </w:r>
          </w:p>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已标价工程量清单</w:t>
            </w:r>
          </w:p>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 xml:space="preserve">中小企业声明函 </w:t>
            </w:r>
          </w:p>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残疾人福利性单位声明函</w:t>
            </w:r>
          </w:p>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监狱企业证明</w:t>
            </w:r>
          </w:p>
          <w:p>
            <w:pPr>
              <w:pStyle w:val="336"/>
              <w:numPr>
                <w:ilvl w:val="0"/>
                <w:numId w:val="13"/>
              </w:numPr>
              <w:ind w:right="142" w:firstLineChars="0"/>
              <w:jc w:val="both"/>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类似业绩情况表</w:t>
            </w:r>
          </w:p>
          <w:p>
            <w:pPr>
              <w:ind w:right="142" w:firstLine="90" w:firstLineChars="50"/>
              <w:jc w:val="both"/>
              <w:rPr>
                <w:rFonts w:ascii="微软雅黑" w:hAnsi="微软雅黑"/>
                <w:color w:val="auto"/>
                <w:sz w:val="18"/>
                <w:szCs w:val="18"/>
                <w:highlight w:val="none"/>
              </w:rPr>
            </w:pPr>
            <w:r>
              <w:rPr>
                <w:rFonts w:hint="eastAsia" w:ascii="微软雅黑" w:hAnsi="微软雅黑"/>
                <w:color w:val="auto"/>
                <w:sz w:val="18"/>
                <w:szCs w:val="18"/>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2" w:right="142"/>
              <w:jc w:val="center"/>
              <w:rPr>
                <w:rFonts w:ascii="微软雅黑" w:hAnsi="微软雅黑"/>
                <w:color w:val="auto"/>
                <w:sz w:val="18"/>
                <w:szCs w:val="18"/>
                <w:highlight w:val="none"/>
              </w:rPr>
            </w:pPr>
            <w:r>
              <w:rPr>
                <w:rFonts w:hint="eastAsia" w:ascii="微软雅黑" w:hAnsi="微软雅黑"/>
                <w:color w:val="auto"/>
                <w:sz w:val="18"/>
                <w:szCs w:val="18"/>
                <w:highlight w:val="none"/>
              </w:rPr>
              <w:t>供应商应提交的技术文件</w:t>
            </w:r>
          </w:p>
        </w:tc>
        <w:tc>
          <w:tcPr>
            <w:tcW w:w="6401" w:type="dxa"/>
            <w:vAlign w:val="center"/>
          </w:tcPr>
          <w:p>
            <w:pPr>
              <w:pStyle w:val="336"/>
              <w:numPr>
                <w:ilvl w:val="0"/>
                <w:numId w:val="14"/>
              </w:numPr>
              <w:ind w:right="142" w:firstLineChars="0"/>
              <w:jc w:val="both"/>
              <w:rPr>
                <w:rFonts w:ascii="微软雅黑" w:hAnsi="微软雅黑"/>
                <w:color w:val="auto"/>
                <w:sz w:val="18"/>
                <w:szCs w:val="18"/>
                <w:highlight w:val="none"/>
              </w:rPr>
            </w:pPr>
            <w:r>
              <w:rPr>
                <w:rFonts w:hint="eastAsia" w:ascii="微软雅黑" w:hAnsi="微软雅黑"/>
                <w:color w:val="auto"/>
                <w:sz w:val="18"/>
                <w:szCs w:val="18"/>
                <w:highlight w:val="none"/>
              </w:rPr>
              <w:t>技术部分应答索引表</w:t>
            </w:r>
          </w:p>
          <w:p>
            <w:pPr>
              <w:pStyle w:val="336"/>
              <w:numPr>
                <w:ilvl w:val="0"/>
                <w:numId w:val="14"/>
              </w:numPr>
              <w:ind w:right="142" w:firstLineChars="0"/>
              <w:jc w:val="both"/>
              <w:rPr>
                <w:rFonts w:ascii="微软雅黑" w:hAnsi="微软雅黑"/>
                <w:color w:val="auto"/>
                <w:sz w:val="18"/>
                <w:szCs w:val="18"/>
                <w:highlight w:val="none"/>
              </w:rPr>
            </w:pPr>
            <w:r>
              <w:rPr>
                <w:rFonts w:hint="eastAsia" w:ascii="微软雅黑" w:hAnsi="微软雅黑"/>
                <w:color w:val="auto"/>
                <w:sz w:val="18"/>
                <w:szCs w:val="18"/>
                <w:highlight w:val="none"/>
              </w:rPr>
              <w:t>施工组织设计</w:t>
            </w:r>
          </w:p>
          <w:p>
            <w:pPr>
              <w:pStyle w:val="336"/>
              <w:numPr>
                <w:ilvl w:val="0"/>
                <w:numId w:val="14"/>
              </w:numPr>
              <w:ind w:right="142" w:firstLineChars="0"/>
              <w:jc w:val="both"/>
              <w:rPr>
                <w:rFonts w:ascii="微软雅黑" w:hAnsi="微软雅黑"/>
                <w:color w:val="auto"/>
                <w:sz w:val="18"/>
                <w:szCs w:val="18"/>
                <w:highlight w:val="none"/>
              </w:rPr>
            </w:pPr>
          </w:p>
          <w:p>
            <w:pPr>
              <w:ind w:right="142" w:firstLine="90" w:firstLineChars="50"/>
              <w:jc w:val="both"/>
              <w:rPr>
                <w:rFonts w:ascii="微软雅黑" w:hAnsi="微软雅黑"/>
                <w:color w:val="auto"/>
                <w:sz w:val="18"/>
                <w:szCs w:val="18"/>
                <w:highlight w:val="none"/>
              </w:rPr>
            </w:pPr>
            <w:r>
              <w:rPr>
                <w:rFonts w:hint="eastAsia" w:ascii="微软雅黑" w:hAnsi="微软雅黑"/>
                <w:color w:val="auto"/>
                <w:sz w:val="18"/>
                <w:szCs w:val="18"/>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是否允许供应商将项目非主体、</w:t>
            </w:r>
          </w:p>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非关键性工作</w:t>
            </w:r>
          </w:p>
          <w:p>
            <w:pPr>
              <w:ind w:left="144" w:right="144"/>
              <w:jc w:val="center"/>
              <w:rPr>
                <w:rFonts w:ascii="微软雅黑" w:hAnsi="微软雅黑" w:cs="黑体"/>
                <w:color w:val="auto"/>
                <w:sz w:val="18"/>
                <w:szCs w:val="18"/>
                <w:highlight w:val="none"/>
              </w:rPr>
            </w:pPr>
            <w:r>
              <w:rPr>
                <w:rFonts w:hint="eastAsia" w:ascii="微软雅黑" w:hAnsi="微软雅黑"/>
                <w:color w:val="auto"/>
                <w:sz w:val="18"/>
                <w:szCs w:val="18"/>
                <w:highlight w:val="none"/>
              </w:rPr>
              <w:t>交由他人完成</w:t>
            </w:r>
          </w:p>
        </w:tc>
        <w:tc>
          <w:tcPr>
            <w:tcW w:w="6401" w:type="dxa"/>
            <w:vAlign w:val="center"/>
          </w:tcPr>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  否</w:t>
            </w:r>
          </w:p>
          <w:p>
            <w:pPr>
              <w:ind w:left="144" w:right="144"/>
              <w:jc w:val="both"/>
              <w:rPr>
                <w:rFonts w:ascii="微软雅黑" w:hAnsi="微软雅黑" w:cs="黑体"/>
                <w:color w:val="auto"/>
                <w:sz w:val="18"/>
                <w:szCs w:val="18"/>
                <w:highlight w:val="none"/>
              </w:rPr>
            </w:pPr>
            <w:r>
              <w:rPr>
                <w:rFonts w:hint="eastAsia" w:ascii="微软雅黑" w:hAnsi="微软雅黑"/>
                <w:b/>
                <w:bCs/>
                <w:color w:val="auto"/>
                <w:sz w:val="18"/>
                <w:szCs w:val="18"/>
                <w:highlight w:val="none"/>
              </w:rPr>
              <w:t>注：小微企业不得将合同分包给大中型企业，中型企业不得将合同分包给大型企业。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s="黑体"/>
                <w:color w:val="auto"/>
                <w:sz w:val="18"/>
                <w:szCs w:val="18"/>
                <w:highlight w:val="none"/>
              </w:rPr>
            </w:pPr>
            <w:r>
              <w:rPr>
                <w:rFonts w:hint="eastAsia" w:ascii="微软雅黑" w:hAnsi="微软雅黑"/>
                <w:color w:val="auto"/>
                <w:sz w:val="18"/>
                <w:szCs w:val="18"/>
                <w:highlight w:val="none"/>
              </w:rPr>
              <w:t>是否组织</w:t>
            </w:r>
          </w:p>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现场考察</w:t>
            </w:r>
          </w:p>
          <w:p>
            <w:pPr>
              <w:ind w:left="144" w:right="144"/>
              <w:jc w:val="center"/>
              <w:rPr>
                <w:rFonts w:ascii="微软雅黑" w:hAnsi="微软雅黑" w:cs="黑体"/>
                <w:color w:val="auto"/>
                <w:sz w:val="18"/>
                <w:szCs w:val="18"/>
                <w:highlight w:val="none"/>
              </w:rPr>
            </w:pPr>
            <w:r>
              <w:rPr>
                <w:rFonts w:hint="eastAsia" w:ascii="微软雅黑" w:hAnsi="微软雅黑"/>
                <w:color w:val="auto"/>
                <w:sz w:val="18"/>
                <w:szCs w:val="18"/>
                <w:highlight w:val="none"/>
              </w:rPr>
              <w:t>（答疑会）</w:t>
            </w:r>
          </w:p>
        </w:tc>
        <w:tc>
          <w:tcPr>
            <w:tcW w:w="6401" w:type="dxa"/>
            <w:vAlign w:val="center"/>
          </w:tcPr>
          <w:p>
            <w:pPr>
              <w:ind w:left="144" w:right="144"/>
              <w:jc w:val="both"/>
              <w:rPr>
                <w:rFonts w:ascii="微软雅黑" w:hAnsi="微软雅黑" w:cs="黑体"/>
                <w:color w:val="auto"/>
                <w:sz w:val="18"/>
                <w:szCs w:val="18"/>
                <w:highlight w:val="none"/>
              </w:rPr>
            </w:pPr>
            <w:r>
              <w:rPr>
                <w:rFonts w:hint="eastAsia" w:ascii="微软雅黑" w:hAnsi="微软雅黑"/>
                <w:b/>
                <w:bCs/>
                <w:color w:val="auto"/>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b/>
                <w:color w:val="auto"/>
                <w:sz w:val="18"/>
                <w:szCs w:val="18"/>
                <w:highlight w:val="none"/>
              </w:rPr>
            </w:pPr>
            <w:r>
              <w:rPr>
                <w:rFonts w:hint="eastAsia" w:ascii="微软雅黑" w:hAnsi="微软雅黑"/>
                <w:b/>
                <w:color w:val="auto"/>
                <w:sz w:val="18"/>
                <w:szCs w:val="18"/>
                <w:highlight w:val="none"/>
              </w:rPr>
              <w:t>响应有效期</w:t>
            </w:r>
          </w:p>
        </w:tc>
        <w:tc>
          <w:tcPr>
            <w:tcW w:w="6401" w:type="dxa"/>
            <w:vAlign w:val="center"/>
          </w:tcPr>
          <w:p>
            <w:pPr>
              <w:ind w:left="144" w:right="144"/>
              <w:jc w:val="both"/>
              <w:rPr>
                <w:rFonts w:ascii="微软雅黑" w:hAnsi="微软雅黑"/>
                <w:b/>
                <w:color w:val="auto"/>
                <w:sz w:val="18"/>
                <w:szCs w:val="18"/>
                <w:highlight w:val="none"/>
              </w:rPr>
            </w:pPr>
            <w:r>
              <w:rPr>
                <w:rFonts w:hint="eastAsia" w:ascii="微软雅黑" w:hAnsi="微软雅黑"/>
                <w:b/>
                <w:bCs/>
                <w:color w:val="auto"/>
                <w:sz w:val="18"/>
                <w:szCs w:val="18"/>
                <w:highlight w:val="none"/>
              </w:rPr>
              <w:t>★</w:t>
            </w:r>
            <w:r>
              <w:rPr>
                <w:rFonts w:hint="eastAsia" w:ascii="微软雅黑" w:hAnsi="微软雅黑"/>
                <w:b/>
                <w:color w:val="auto"/>
                <w:sz w:val="18"/>
                <w:szCs w:val="18"/>
                <w:highlight w:val="none"/>
                <w:u w:val="single"/>
              </w:rPr>
              <w:t xml:space="preserve"> 120 </w:t>
            </w:r>
            <w:r>
              <w:rPr>
                <w:rFonts w:hint="eastAsia" w:ascii="微软雅黑" w:hAnsi="微软雅黑"/>
                <w:b/>
                <w:color w:val="auto"/>
                <w:sz w:val="18"/>
                <w:szCs w:val="18"/>
                <w:highlight w:val="none"/>
              </w:rPr>
              <w:t>日历天（响应有效期从提交响应文件的截止之日起算。有效期短于该规定期限的响应无效）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保证金</w:t>
            </w:r>
          </w:p>
        </w:tc>
        <w:tc>
          <w:tcPr>
            <w:tcW w:w="6401" w:type="dxa"/>
            <w:vAlign w:val="center"/>
          </w:tcPr>
          <w:p>
            <w:pPr>
              <w:rPr>
                <w:rFonts w:ascii="微软雅黑" w:hAnsi="微软雅黑"/>
                <w:b/>
                <w:bCs/>
                <w:color w:val="auto"/>
                <w:sz w:val="18"/>
                <w:szCs w:val="18"/>
                <w:highlight w:val="none"/>
                <w:lang w:val="en-US"/>
              </w:rPr>
            </w:pPr>
            <w:r>
              <w:rPr>
                <w:rFonts w:hint="eastAsia" w:ascii="微软雅黑" w:hAnsi="微软雅黑"/>
                <w:b/>
                <w:bCs/>
                <w:color w:val="auto"/>
                <w:sz w:val="18"/>
                <w:szCs w:val="18"/>
                <w:highlight w:val="none"/>
                <w:lang w:val="en-US"/>
              </w:rPr>
              <w:t>提醒注意：</w:t>
            </w:r>
          </w:p>
          <w:p>
            <w:pPr>
              <w:ind w:left="144" w:right="144"/>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（1）转账、电汇提交的保证金请注明项目名称（或项目编号）及用途，以便采购代理机构查询。</w:t>
            </w:r>
          </w:p>
          <w:p>
            <w:pPr>
              <w:ind w:left="144" w:right="144"/>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（2）转账、电汇形式保证金，各供应商汇款后必须自行核对保证金是否有退票返款情况。</w:t>
            </w:r>
          </w:p>
          <w:p>
            <w:pPr>
              <w:rPr>
                <w:rFonts w:ascii="微软雅黑" w:hAnsi="微软雅黑"/>
                <w:color w:val="auto"/>
                <w:sz w:val="18"/>
                <w:szCs w:val="18"/>
                <w:highlight w:val="none"/>
                <w:lang w:val="en-US"/>
              </w:rPr>
            </w:pPr>
            <w:r>
              <w:rPr>
                <w:rFonts w:hint="eastAsia" w:ascii="微软雅黑" w:hAnsi="微软雅黑"/>
                <w:b/>
                <w:bCs/>
                <w:color w:val="auto"/>
                <w:sz w:val="18"/>
                <w:szCs w:val="18"/>
                <w:highlight w:val="none"/>
              </w:rPr>
              <w:t>★1、保证金金额为人民币：</w:t>
            </w:r>
            <w:r>
              <w:rPr>
                <w:rFonts w:hint="eastAsia" w:ascii="微软雅黑" w:hAnsi="微软雅黑"/>
                <w:color w:val="auto"/>
                <w:sz w:val="18"/>
                <w:szCs w:val="18"/>
                <w:highlight w:val="none"/>
                <w:lang w:val="en-US" w:eastAsia="zh-CN"/>
              </w:rPr>
              <w:t>65</w:t>
            </w:r>
            <w:r>
              <w:rPr>
                <w:rFonts w:hint="eastAsia" w:ascii="微软雅黑" w:hAnsi="微软雅黑"/>
                <w:color w:val="auto"/>
                <w:sz w:val="18"/>
                <w:szCs w:val="18"/>
                <w:highlight w:val="none"/>
                <w:lang w:val="en-US"/>
              </w:rPr>
              <w:t>000元整</w:t>
            </w:r>
          </w:p>
          <w:p>
            <w:pPr>
              <w:rPr>
                <w:rFonts w:ascii="微软雅黑" w:hAnsi="微软雅黑"/>
                <w:b/>
                <w:bCs/>
                <w:color w:val="auto"/>
                <w:sz w:val="18"/>
                <w:szCs w:val="18"/>
                <w:highlight w:val="none"/>
              </w:rPr>
            </w:pPr>
            <w:r>
              <w:rPr>
                <w:rFonts w:hint="eastAsia" w:ascii="微软雅黑" w:hAnsi="微软雅黑"/>
                <w:b/>
                <w:bCs/>
                <w:color w:val="auto"/>
                <w:sz w:val="18"/>
                <w:szCs w:val="18"/>
                <w:highlight w:val="none"/>
              </w:rPr>
              <w:t>★2、保证金形式：</w:t>
            </w:r>
          </w:p>
          <w:p>
            <w:pPr>
              <w:ind w:left="144" w:right="144"/>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转账、电汇、支票、汇票、本票或者金融机构、担保机构出具的保函等非现金形式。</w:t>
            </w:r>
          </w:p>
          <w:p>
            <w:pPr>
              <w:rPr>
                <w:rFonts w:ascii="微软雅黑" w:hAnsi="微软雅黑"/>
                <w:b/>
                <w:bCs/>
                <w:color w:val="auto"/>
                <w:sz w:val="18"/>
                <w:szCs w:val="18"/>
                <w:highlight w:val="none"/>
              </w:rPr>
            </w:pPr>
            <w:r>
              <w:rPr>
                <w:rFonts w:hint="eastAsia" w:ascii="微软雅黑" w:hAnsi="微软雅黑"/>
                <w:b/>
                <w:bCs/>
                <w:color w:val="auto"/>
                <w:sz w:val="18"/>
                <w:szCs w:val="18"/>
                <w:highlight w:val="none"/>
              </w:rPr>
              <w:t>★</w:t>
            </w:r>
            <w:r>
              <w:rPr>
                <w:rFonts w:hint="eastAsia" w:ascii="微软雅黑" w:hAnsi="微软雅黑"/>
                <w:b/>
                <w:bCs/>
                <w:color w:val="auto"/>
                <w:sz w:val="18"/>
                <w:szCs w:val="18"/>
                <w:highlight w:val="none"/>
                <w:lang w:val="en-US"/>
              </w:rPr>
              <w:t>3、</w:t>
            </w:r>
            <w:r>
              <w:rPr>
                <w:rFonts w:hint="eastAsia" w:ascii="微软雅黑" w:hAnsi="微软雅黑"/>
                <w:b/>
                <w:bCs/>
                <w:color w:val="auto"/>
                <w:sz w:val="18"/>
                <w:szCs w:val="18"/>
                <w:highlight w:val="none"/>
              </w:rPr>
              <w:t>保证金</w:t>
            </w:r>
            <w:r>
              <w:rPr>
                <w:rFonts w:hint="eastAsia" w:ascii="微软雅黑" w:hAnsi="微软雅黑"/>
                <w:b/>
                <w:bCs/>
                <w:color w:val="auto"/>
                <w:sz w:val="18"/>
                <w:szCs w:val="18"/>
                <w:highlight w:val="none"/>
                <w:lang w:val="en-US"/>
              </w:rPr>
              <w:t>提交</w:t>
            </w:r>
            <w:r>
              <w:rPr>
                <w:rFonts w:hint="eastAsia" w:ascii="微软雅黑" w:hAnsi="微软雅黑"/>
                <w:b/>
                <w:bCs/>
                <w:color w:val="auto"/>
                <w:sz w:val="18"/>
                <w:szCs w:val="18"/>
                <w:highlight w:val="none"/>
              </w:rPr>
              <w:t>截止时间：</w:t>
            </w:r>
          </w:p>
          <w:p>
            <w:pPr>
              <w:ind w:left="144" w:right="144"/>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3.1转账、电汇形式提交的保证金，提交时间以采购代理机构银行账户收到保证金款项时间为准（到账时间），到账截止时间：</w:t>
            </w:r>
            <w:r>
              <w:rPr>
                <w:rFonts w:hint="eastAsia" w:ascii="微软雅黑" w:hAnsi="微软雅黑"/>
                <w:color w:val="auto"/>
                <w:sz w:val="18"/>
                <w:szCs w:val="18"/>
                <w:highlight w:val="none"/>
                <w:lang w:val="en-US" w:eastAsia="zh-CN"/>
              </w:rPr>
              <w:t>2022年8月15日14点30分。</w:t>
            </w:r>
            <w:r>
              <w:rPr>
                <w:rFonts w:hint="eastAsia" w:ascii="微软雅黑" w:hAnsi="微软雅黑"/>
                <w:color w:val="auto"/>
                <w:sz w:val="18"/>
                <w:szCs w:val="18"/>
                <w:highlight w:val="none"/>
                <w:lang w:val="en-US"/>
              </w:rPr>
              <w:t>（供应商应自行充分考虑银行转账汇款所需时间及其它可能影响保证金按时到账的因素，因此产生的任何后果由供应商自行承担。）</w:t>
            </w:r>
          </w:p>
          <w:p>
            <w:pPr>
              <w:ind w:left="144" w:right="144"/>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3.2支票、汇票、本票或者金融机构、担保机构出具的保函形式提交的保证金，提交时间以采购代理机构收到上述形式原件时间为准，提交截止时间：</w:t>
            </w:r>
            <w:r>
              <w:rPr>
                <w:rFonts w:hint="eastAsia" w:ascii="微软雅黑" w:hAnsi="微软雅黑"/>
                <w:color w:val="auto"/>
                <w:sz w:val="18"/>
                <w:szCs w:val="18"/>
                <w:highlight w:val="none"/>
                <w:lang w:val="en-US" w:eastAsia="zh-CN"/>
              </w:rPr>
              <w:t>2022年8月15日14点30分</w:t>
            </w:r>
            <w:r>
              <w:rPr>
                <w:rFonts w:hint="eastAsia" w:ascii="微软雅黑" w:hAnsi="微软雅黑"/>
                <w:color w:val="auto"/>
                <w:sz w:val="18"/>
                <w:szCs w:val="18"/>
                <w:highlight w:val="none"/>
                <w:lang w:val="en-US"/>
              </w:rPr>
              <w:t>。（供应商应自行主动向采购代理机构提交原件，如因供应商提交不及时产生的任何后果由供应商自行承担。）</w:t>
            </w:r>
          </w:p>
          <w:p>
            <w:pPr>
              <w:rPr>
                <w:rFonts w:ascii="微软雅黑" w:hAnsi="微软雅黑"/>
                <w:b/>
                <w:bCs/>
                <w:color w:val="auto"/>
                <w:sz w:val="18"/>
                <w:szCs w:val="18"/>
                <w:highlight w:val="none"/>
                <w:lang w:val="en-US"/>
              </w:rPr>
            </w:pPr>
            <w:r>
              <w:rPr>
                <w:rFonts w:hint="eastAsia" w:ascii="微软雅黑" w:hAnsi="微软雅黑"/>
                <w:b/>
                <w:bCs/>
                <w:color w:val="auto"/>
                <w:sz w:val="18"/>
                <w:szCs w:val="18"/>
                <w:highlight w:val="none"/>
              </w:rPr>
              <w:t>★</w:t>
            </w:r>
            <w:r>
              <w:rPr>
                <w:rFonts w:hint="eastAsia" w:ascii="微软雅黑" w:hAnsi="微软雅黑"/>
                <w:b/>
                <w:bCs/>
                <w:color w:val="auto"/>
                <w:sz w:val="18"/>
                <w:szCs w:val="18"/>
                <w:highlight w:val="none"/>
                <w:lang w:val="en-US"/>
              </w:rPr>
              <w:t>4、</w:t>
            </w:r>
            <w:r>
              <w:rPr>
                <w:rFonts w:hint="eastAsia" w:ascii="微软雅黑" w:hAnsi="微软雅黑"/>
                <w:b/>
                <w:bCs/>
                <w:color w:val="auto"/>
                <w:sz w:val="18"/>
                <w:szCs w:val="18"/>
                <w:highlight w:val="none"/>
              </w:rPr>
              <w:t>保证金</w:t>
            </w:r>
            <w:r>
              <w:rPr>
                <w:rFonts w:hint="eastAsia" w:ascii="微软雅黑" w:hAnsi="微软雅黑"/>
                <w:b/>
                <w:bCs/>
                <w:color w:val="auto"/>
                <w:sz w:val="18"/>
                <w:szCs w:val="18"/>
                <w:highlight w:val="none"/>
                <w:lang w:val="en-US"/>
              </w:rPr>
              <w:t>提交地点：</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lang w:val="en-US"/>
              </w:rPr>
              <w:t>4.1转账、电汇形式提交的保证金，提交地点（</w:t>
            </w:r>
            <w:r>
              <w:rPr>
                <w:rFonts w:hint="eastAsia" w:ascii="微软雅黑" w:hAnsi="微软雅黑"/>
                <w:color w:val="auto"/>
                <w:sz w:val="18"/>
                <w:szCs w:val="18"/>
                <w:highlight w:val="none"/>
              </w:rPr>
              <w:t>收款账户</w:t>
            </w:r>
            <w:r>
              <w:rPr>
                <w:rFonts w:hint="eastAsia" w:ascii="微软雅黑" w:hAnsi="微软雅黑"/>
                <w:color w:val="auto"/>
                <w:sz w:val="18"/>
                <w:szCs w:val="18"/>
                <w:highlight w:val="none"/>
                <w:lang w:val="en-US"/>
              </w:rPr>
              <w:t>）</w:t>
            </w:r>
            <w:r>
              <w:rPr>
                <w:rFonts w:hint="eastAsia" w:ascii="微软雅黑" w:hAnsi="微软雅黑"/>
                <w:color w:val="auto"/>
                <w:sz w:val="18"/>
                <w:szCs w:val="18"/>
                <w:highlight w:val="none"/>
              </w:rPr>
              <w:t>：</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供应商从单位账户拨付至本项目采购代理机构的账户，且保证金的付款单位与供应商的名称必须一致。</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（1）户名：宜国发项目管理有限公司</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（2）账号：23001865951050507272</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（3）开户银行：中国建设银行哈尔滨道里支行</w:t>
            </w:r>
          </w:p>
          <w:p>
            <w:pPr>
              <w:ind w:left="144" w:right="144"/>
              <w:rPr>
                <w:rFonts w:ascii="微软雅黑" w:hAnsi="微软雅黑"/>
                <w:color w:val="auto"/>
                <w:sz w:val="18"/>
                <w:szCs w:val="18"/>
                <w:highlight w:val="none"/>
                <w:lang w:val="en-US"/>
              </w:rPr>
            </w:pPr>
            <w:r>
              <w:rPr>
                <w:rFonts w:hint="eastAsia" w:ascii="微软雅黑" w:hAnsi="微软雅黑"/>
                <w:color w:val="auto"/>
                <w:sz w:val="18"/>
                <w:szCs w:val="18"/>
                <w:highlight w:val="none"/>
                <w:lang w:val="en-US"/>
              </w:rPr>
              <w:t>4.2支票、汇票、本票或者金融机构、担保机构出具的保函形式提交的保证金，提交地点：</w:t>
            </w:r>
          </w:p>
          <w:p>
            <w:pPr>
              <w:ind w:left="144" w:right="144"/>
              <w:rPr>
                <w:rFonts w:ascii="微软雅黑" w:hAnsi="微软雅黑"/>
                <w:color w:val="auto"/>
                <w:sz w:val="18"/>
                <w:szCs w:val="18"/>
                <w:highlight w:val="none"/>
                <w:lang w:val="en-US"/>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1</w:t>
            </w: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提交地点：同</w:t>
            </w:r>
            <w:r>
              <w:rPr>
                <w:rFonts w:hint="eastAsia" w:ascii="微软雅黑" w:hAnsi="微软雅黑"/>
                <w:color w:val="auto"/>
                <w:sz w:val="18"/>
                <w:szCs w:val="18"/>
                <w:highlight w:val="none"/>
              </w:rPr>
              <w:t>提交投标（</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）文件地点</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lang w:val="en-US"/>
              </w:rPr>
              <w:t>（2）提交形式：原件</w:t>
            </w:r>
          </w:p>
          <w:p>
            <w:pPr>
              <w:rPr>
                <w:rFonts w:ascii="微软雅黑" w:hAnsi="微软雅黑"/>
                <w:b/>
                <w:bCs/>
                <w:color w:val="auto"/>
                <w:sz w:val="18"/>
                <w:szCs w:val="18"/>
                <w:highlight w:val="none"/>
              </w:rPr>
            </w:pPr>
            <w:r>
              <w:rPr>
                <w:rFonts w:hint="eastAsia" w:ascii="微软雅黑" w:hAnsi="微软雅黑"/>
                <w:b/>
                <w:bCs/>
                <w:color w:val="auto"/>
                <w:sz w:val="18"/>
                <w:szCs w:val="18"/>
                <w:highlight w:val="none"/>
              </w:rPr>
              <w:t>★</w:t>
            </w:r>
            <w:r>
              <w:rPr>
                <w:rFonts w:hint="eastAsia" w:ascii="微软雅黑" w:hAnsi="微软雅黑"/>
                <w:b/>
                <w:bCs/>
                <w:color w:val="auto"/>
                <w:sz w:val="18"/>
                <w:szCs w:val="18"/>
                <w:highlight w:val="none"/>
                <w:lang w:val="en-US"/>
              </w:rPr>
              <w:t>5、如为保函形式，保函中须明确如下内容</w:t>
            </w:r>
            <w:r>
              <w:rPr>
                <w:rFonts w:hint="eastAsia" w:ascii="微软雅黑" w:hAnsi="微软雅黑"/>
                <w:b/>
                <w:bCs/>
                <w:color w:val="auto"/>
                <w:sz w:val="18"/>
                <w:szCs w:val="18"/>
                <w:highlight w:val="none"/>
              </w:rPr>
              <w:t>：</w:t>
            </w:r>
          </w:p>
          <w:p>
            <w:pPr>
              <w:ind w:left="144" w:right="144"/>
              <w:rPr>
                <w:rFonts w:ascii="微软雅黑" w:hAnsi="微软雅黑"/>
                <w:color w:val="auto"/>
                <w:sz w:val="18"/>
                <w:szCs w:val="18"/>
                <w:highlight w:val="none"/>
                <w:lang w:val="en-US"/>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1</w:t>
            </w:r>
            <w:r>
              <w:rPr>
                <w:rFonts w:hint="eastAsia" w:ascii="微软雅黑" w:hAnsi="微软雅黑"/>
                <w:color w:val="auto"/>
                <w:sz w:val="18"/>
                <w:szCs w:val="18"/>
                <w:highlight w:val="none"/>
              </w:rPr>
              <w:t>）受益人：</w:t>
            </w:r>
            <w:r>
              <w:rPr>
                <w:rFonts w:hint="eastAsia" w:ascii="微软雅黑" w:hAnsi="微软雅黑"/>
                <w:color w:val="auto"/>
                <w:sz w:val="18"/>
                <w:szCs w:val="18"/>
                <w:highlight w:val="none"/>
                <w:lang w:val="en-US"/>
              </w:rPr>
              <w:t>哈尔滨工业大学</w:t>
            </w:r>
          </w:p>
          <w:p>
            <w:pPr>
              <w:ind w:left="144" w:right="144"/>
              <w:rPr>
                <w:rFonts w:hint="eastAsia" w:ascii="微软雅黑" w:hAnsi="微软雅黑" w:eastAsia="微软雅黑"/>
                <w:color w:val="auto"/>
                <w:sz w:val="18"/>
                <w:szCs w:val="18"/>
                <w:highlight w:val="none"/>
                <w:lang w:eastAsia="zh-CN"/>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2</w:t>
            </w:r>
            <w:r>
              <w:rPr>
                <w:rFonts w:hint="eastAsia" w:ascii="微软雅黑" w:hAnsi="微软雅黑"/>
                <w:color w:val="auto"/>
                <w:sz w:val="18"/>
                <w:szCs w:val="18"/>
                <w:highlight w:val="none"/>
              </w:rPr>
              <w:t>）项目名称：</w:t>
            </w:r>
            <w:r>
              <w:rPr>
                <w:rFonts w:hint="eastAsia" w:ascii="微软雅黑" w:hAnsi="微软雅黑"/>
                <w:color w:val="auto"/>
                <w:sz w:val="18"/>
                <w:szCs w:val="18"/>
                <w:highlight w:val="none"/>
                <w:shd w:val="clear" w:color="auto" w:fill="FFFFFF"/>
                <w:lang w:eastAsia="zh-CN"/>
              </w:rPr>
              <w:t>哈尔滨工业大学科研房间电路改造工程</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3</w:t>
            </w:r>
            <w:r>
              <w:rPr>
                <w:rFonts w:hint="eastAsia" w:ascii="微软雅黑" w:hAnsi="微软雅黑"/>
                <w:color w:val="auto"/>
                <w:sz w:val="18"/>
                <w:szCs w:val="18"/>
                <w:highlight w:val="none"/>
              </w:rPr>
              <w:t>）保函有效期须至少包含投标（</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）有效期范围（投标（</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）有效期</w:t>
            </w:r>
            <w:r>
              <w:rPr>
                <w:rFonts w:hint="eastAsia" w:ascii="微软雅黑" w:hAnsi="微软雅黑"/>
                <w:color w:val="auto"/>
                <w:sz w:val="18"/>
                <w:szCs w:val="18"/>
                <w:highlight w:val="none"/>
                <w:lang w:val="en-US"/>
              </w:rPr>
              <w:t>见本前附表中规定的时间</w:t>
            </w:r>
            <w:r>
              <w:rPr>
                <w:rFonts w:hint="eastAsia" w:ascii="微软雅黑" w:hAnsi="微软雅黑"/>
                <w:color w:val="auto"/>
                <w:sz w:val="18"/>
                <w:szCs w:val="18"/>
                <w:highlight w:val="none"/>
              </w:rPr>
              <w:t>）。</w:t>
            </w:r>
          </w:p>
          <w:p>
            <w:pPr>
              <w:rPr>
                <w:rFonts w:ascii="微软雅黑" w:hAnsi="微软雅黑"/>
                <w:b/>
                <w:bCs/>
                <w:color w:val="auto"/>
                <w:sz w:val="18"/>
                <w:szCs w:val="18"/>
                <w:highlight w:val="none"/>
              </w:rPr>
            </w:pPr>
            <w:r>
              <w:rPr>
                <w:rFonts w:hint="eastAsia" w:ascii="微软雅黑" w:hAnsi="微软雅黑"/>
                <w:b/>
                <w:bCs/>
                <w:color w:val="auto"/>
                <w:sz w:val="18"/>
                <w:szCs w:val="18"/>
                <w:highlight w:val="none"/>
                <w:lang w:val="en-US"/>
              </w:rPr>
              <w:t>6</w:t>
            </w:r>
            <w:r>
              <w:rPr>
                <w:rFonts w:hint="eastAsia" w:ascii="微软雅黑" w:hAnsi="微软雅黑"/>
                <w:b/>
                <w:bCs/>
                <w:color w:val="auto"/>
                <w:sz w:val="18"/>
                <w:szCs w:val="18"/>
                <w:highlight w:val="none"/>
              </w:rPr>
              <w:t>、保证金退还：</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中标（</w:t>
            </w:r>
            <w:r>
              <w:rPr>
                <w:rFonts w:hint="eastAsia" w:ascii="微软雅黑" w:hAnsi="微软雅黑"/>
                <w:color w:val="auto"/>
                <w:sz w:val="18"/>
                <w:szCs w:val="18"/>
                <w:highlight w:val="none"/>
                <w:lang w:val="en-US"/>
              </w:rPr>
              <w:t>成交</w:t>
            </w:r>
            <w:r>
              <w:rPr>
                <w:rFonts w:hint="eastAsia" w:ascii="微软雅黑" w:hAnsi="微软雅黑"/>
                <w:color w:val="auto"/>
                <w:sz w:val="18"/>
                <w:szCs w:val="18"/>
                <w:highlight w:val="none"/>
              </w:rPr>
              <w:t>）通知书发出之日起5个工作日内退还未中标（</w:t>
            </w:r>
            <w:r>
              <w:rPr>
                <w:rFonts w:hint="eastAsia" w:ascii="微软雅黑" w:hAnsi="微软雅黑"/>
                <w:color w:val="auto"/>
                <w:sz w:val="18"/>
                <w:szCs w:val="18"/>
                <w:highlight w:val="none"/>
                <w:lang w:val="en-US"/>
              </w:rPr>
              <w:t>成交</w:t>
            </w:r>
            <w:r>
              <w:rPr>
                <w:rFonts w:hint="eastAsia" w:ascii="微软雅黑" w:hAnsi="微软雅黑"/>
                <w:color w:val="auto"/>
                <w:sz w:val="18"/>
                <w:szCs w:val="18"/>
                <w:highlight w:val="none"/>
              </w:rPr>
              <w:t>）供应商的投标（</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）保证金，自采购合同签订之日起5个工作日内退还中标（</w:t>
            </w:r>
            <w:r>
              <w:rPr>
                <w:rFonts w:hint="eastAsia" w:ascii="微软雅黑" w:hAnsi="微软雅黑"/>
                <w:color w:val="auto"/>
                <w:sz w:val="18"/>
                <w:szCs w:val="18"/>
                <w:highlight w:val="none"/>
                <w:lang w:val="en-US"/>
              </w:rPr>
              <w:t>成交</w:t>
            </w:r>
            <w:r>
              <w:rPr>
                <w:rFonts w:hint="eastAsia" w:ascii="微软雅黑" w:hAnsi="微软雅黑"/>
                <w:color w:val="auto"/>
                <w:sz w:val="18"/>
                <w:szCs w:val="18"/>
                <w:highlight w:val="none"/>
              </w:rPr>
              <w:t>）供应商的投标（</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）保证金。</w:t>
            </w:r>
            <w:r>
              <w:rPr>
                <w:rFonts w:hint="eastAsia" w:ascii="微软雅黑" w:hAnsi="微软雅黑"/>
                <w:color w:val="auto"/>
                <w:sz w:val="18"/>
                <w:szCs w:val="18"/>
                <w:highlight w:val="none"/>
                <w:lang w:val="en-US"/>
              </w:rPr>
              <w:t>但因供应商自身原因导致无法及时退还的除外。</w:t>
            </w:r>
          </w:p>
          <w:p>
            <w:pPr>
              <w:rPr>
                <w:rFonts w:ascii="微软雅黑" w:hAnsi="微软雅黑"/>
                <w:b/>
                <w:bCs/>
                <w:color w:val="auto"/>
                <w:sz w:val="18"/>
                <w:szCs w:val="18"/>
                <w:highlight w:val="none"/>
              </w:rPr>
            </w:pPr>
            <w:r>
              <w:rPr>
                <w:rFonts w:hint="eastAsia" w:ascii="微软雅黑" w:hAnsi="微软雅黑"/>
                <w:b/>
                <w:bCs/>
                <w:color w:val="auto"/>
                <w:sz w:val="18"/>
                <w:szCs w:val="18"/>
                <w:highlight w:val="none"/>
                <w:lang w:val="en-US"/>
              </w:rPr>
              <w:t>7</w:t>
            </w:r>
            <w:r>
              <w:rPr>
                <w:rFonts w:hint="eastAsia" w:ascii="微软雅黑" w:hAnsi="微软雅黑"/>
                <w:b/>
                <w:bCs/>
                <w:color w:val="auto"/>
                <w:sz w:val="18"/>
                <w:szCs w:val="18"/>
                <w:highlight w:val="none"/>
              </w:rPr>
              <w:t>、有下列情形之一的，保证金不予退还：</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（1）供应商在提交投标（</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）文件截止时间后撤回投标（</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）文件的；</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（2）供应商在投标（</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）文件中提供虚假材料的；</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（3）除因不可抗力或招标（</w:t>
            </w:r>
            <w:r>
              <w:rPr>
                <w:rFonts w:hint="eastAsia" w:ascii="微软雅黑" w:hAnsi="微软雅黑"/>
                <w:color w:val="auto"/>
                <w:sz w:val="18"/>
                <w:szCs w:val="18"/>
                <w:highlight w:val="none"/>
                <w:lang w:val="en-US"/>
              </w:rPr>
              <w:t>竞争性谈判、询价、竞争性磋商</w:t>
            </w:r>
            <w:r>
              <w:rPr>
                <w:rFonts w:hint="eastAsia" w:ascii="微软雅黑" w:hAnsi="微软雅黑"/>
                <w:color w:val="auto"/>
                <w:sz w:val="18"/>
                <w:szCs w:val="18"/>
                <w:highlight w:val="none"/>
              </w:rPr>
              <w:t>）文件认可的情形以外，中标（</w:t>
            </w:r>
            <w:r>
              <w:rPr>
                <w:rFonts w:hint="eastAsia" w:ascii="微软雅黑" w:hAnsi="微软雅黑"/>
                <w:color w:val="auto"/>
                <w:sz w:val="18"/>
                <w:szCs w:val="18"/>
                <w:highlight w:val="none"/>
                <w:lang w:val="en-US"/>
              </w:rPr>
              <w:t>成交</w:t>
            </w:r>
            <w:r>
              <w:rPr>
                <w:rFonts w:hint="eastAsia" w:ascii="微软雅黑" w:hAnsi="微软雅黑"/>
                <w:color w:val="auto"/>
                <w:sz w:val="18"/>
                <w:szCs w:val="18"/>
                <w:highlight w:val="none"/>
              </w:rPr>
              <w:t>）供应商不与采购人签订合同的；</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（4）供应商与采购人、其他供应商或者采购代理机构恶意串通的；</w:t>
            </w:r>
          </w:p>
          <w:p>
            <w:pPr>
              <w:ind w:left="144" w:right="144"/>
              <w:rPr>
                <w:rFonts w:ascii="微软雅黑" w:hAnsi="微软雅黑"/>
                <w:color w:val="auto"/>
                <w:spacing w:val="6"/>
                <w:sz w:val="18"/>
                <w:szCs w:val="18"/>
                <w:highlight w:val="none"/>
              </w:rPr>
            </w:pPr>
            <w:r>
              <w:rPr>
                <w:rFonts w:hint="eastAsia" w:ascii="微软雅黑" w:hAnsi="微软雅黑"/>
                <w:color w:val="auto"/>
                <w:sz w:val="18"/>
                <w:szCs w:val="18"/>
                <w:highlight w:val="none"/>
              </w:rPr>
              <w:t>（5）招标（</w:t>
            </w:r>
            <w:r>
              <w:rPr>
                <w:rFonts w:hint="eastAsia" w:ascii="微软雅黑" w:hAnsi="微软雅黑"/>
                <w:color w:val="auto"/>
                <w:sz w:val="18"/>
                <w:szCs w:val="18"/>
                <w:highlight w:val="none"/>
                <w:lang w:val="en-US"/>
              </w:rPr>
              <w:t>竞争性谈判、询价、竞争性磋商</w:t>
            </w:r>
            <w:r>
              <w:rPr>
                <w:rFonts w:hint="eastAsia" w:ascii="微软雅黑" w:hAnsi="微软雅黑"/>
                <w:color w:val="auto"/>
                <w:sz w:val="18"/>
                <w:szCs w:val="18"/>
                <w:highlight w:val="none"/>
              </w:rPr>
              <w:t>）文件规定的其他情形。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b/>
                <w:bCs/>
                <w:color w:val="auto"/>
                <w:sz w:val="18"/>
                <w:szCs w:val="18"/>
                <w:highlight w:val="none"/>
              </w:rPr>
              <w:t>响应文件的签署及其他规定</w:t>
            </w:r>
          </w:p>
        </w:tc>
        <w:tc>
          <w:tcPr>
            <w:tcW w:w="6401" w:type="dxa"/>
            <w:vAlign w:val="center"/>
          </w:tcPr>
          <w:p>
            <w:pPr>
              <w:ind w:left="144" w:right="144"/>
              <w:rPr>
                <w:rFonts w:ascii="微软雅黑" w:hAnsi="微软雅黑"/>
                <w:b/>
                <w:color w:val="auto"/>
                <w:spacing w:val="6"/>
                <w:sz w:val="18"/>
                <w:szCs w:val="18"/>
                <w:highlight w:val="none"/>
              </w:rPr>
            </w:pPr>
            <w:r>
              <w:rPr>
                <w:rFonts w:hint="eastAsia" w:ascii="微软雅黑" w:hAnsi="微软雅黑"/>
                <w:color w:val="auto"/>
                <w:sz w:val="18"/>
                <w:szCs w:val="18"/>
                <w:highlight w:val="none"/>
              </w:rPr>
              <w:t>详见供应商须知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b/>
                <w:color w:val="auto"/>
                <w:sz w:val="18"/>
                <w:szCs w:val="18"/>
                <w:highlight w:val="none"/>
              </w:rPr>
            </w:pPr>
            <w:r>
              <w:rPr>
                <w:rFonts w:hint="eastAsia" w:ascii="微软雅黑" w:hAnsi="微软雅黑"/>
                <w:b/>
                <w:color w:val="auto"/>
                <w:sz w:val="18"/>
                <w:szCs w:val="18"/>
                <w:highlight w:val="none"/>
              </w:rPr>
              <w:t>响应文件份数及装订要求</w:t>
            </w:r>
          </w:p>
        </w:tc>
        <w:tc>
          <w:tcPr>
            <w:tcW w:w="6401" w:type="dxa"/>
            <w:vAlign w:val="center"/>
          </w:tcPr>
          <w:p>
            <w:pPr>
              <w:ind w:left="144" w:right="144"/>
              <w:rPr>
                <w:rFonts w:ascii="微软雅黑" w:hAnsi="微软雅黑"/>
                <w:b/>
                <w:color w:val="auto"/>
                <w:sz w:val="18"/>
                <w:szCs w:val="18"/>
                <w:highlight w:val="none"/>
              </w:rPr>
            </w:pPr>
            <w:r>
              <w:rPr>
                <w:rFonts w:hint="eastAsia" w:ascii="微软雅黑" w:hAnsi="微软雅黑"/>
                <w:b/>
                <w:color w:val="auto"/>
                <w:sz w:val="18"/>
                <w:szCs w:val="18"/>
                <w:highlight w:val="none"/>
              </w:rPr>
              <w:t>本次</w:t>
            </w:r>
            <w:r>
              <w:rPr>
                <w:rFonts w:hint="eastAsia" w:ascii="微软雅黑" w:hAnsi="微软雅黑"/>
                <w:b/>
                <w:color w:val="auto"/>
                <w:sz w:val="18"/>
                <w:szCs w:val="18"/>
                <w:highlight w:val="none"/>
                <w:lang w:val="en-US"/>
              </w:rPr>
              <w:t>采购</w:t>
            </w:r>
            <w:r>
              <w:rPr>
                <w:rFonts w:hint="eastAsia" w:ascii="微软雅黑" w:hAnsi="微软雅黑"/>
                <w:b/>
                <w:color w:val="auto"/>
                <w:sz w:val="18"/>
                <w:szCs w:val="18"/>
                <w:highlight w:val="none"/>
              </w:rPr>
              <w:t>不要求</w:t>
            </w:r>
            <w:r>
              <w:rPr>
                <w:rFonts w:hint="eastAsia" w:ascii="微软雅黑" w:hAnsi="微软雅黑"/>
                <w:b/>
                <w:color w:val="auto"/>
                <w:sz w:val="18"/>
                <w:szCs w:val="18"/>
                <w:highlight w:val="none"/>
                <w:lang w:val="en-US"/>
              </w:rPr>
              <w:t>供应商</w:t>
            </w:r>
            <w:r>
              <w:rPr>
                <w:rFonts w:hint="eastAsia" w:ascii="微软雅黑" w:hAnsi="微软雅黑"/>
                <w:b/>
                <w:color w:val="auto"/>
                <w:sz w:val="18"/>
                <w:szCs w:val="18"/>
                <w:highlight w:val="none"/>
              </w:rPr>
              <w:t>在开标时携带纸质版</w:t>
            </w:r>
            <w:r>
              <w:rPr>
                <w:rFonts w:hint="eastAsia" w:ascii="微软雅黑" w:hAnsi="微软雅黑"/>
                <w:b/>
                <w:color w:val="auto"/>
                <w:sz w:val="18"/>
                <w:szCs w:val="18"/>
                <w:highlight w:val="none"/>
                <w:lang w:val="en-US"/>
              </w:rPr>
              <w:t>响应</w:t>
            </w:r>
            <w:r>
              <w:rPr>
                <w:rFonts w:hint="eastAsia" w:ascii="微软雅黑" w:hAnsi="微软雅黑"/>
                <w:b/>
                <w:color w:val="auto"/>
                <w:sz w:val="18"/>
                <w:szCs w:val="18"/>
                <w:highlight w:val="none"/>
              </w:rPr>
              <w:t>文件，但</w:t>
            </w:r>
            <w:r>
              <w:rPr>
                <w:rFonts w:hint="eastAsia" w:ascii="微软雅黑" w:hAnsi="微软雅黑"/>
                <w:b/>
                <w:color w:val="auto"/>
                <w:sz w:val="18"/>
                <w:szCs w:val="18"/>
                <w:highlight w:val="none"/>
                <w:lang w:val="en-US"/>
              </w:rPr>
              <w:t>成交供应商</w:t>
            </w:r>
            <w:r>
              <w:rPr>
                <w:rFonts w:hint="eastAsia" w:ascii="微软雅黑" w:hAnsi="微软雅黑"/>
                <w:b/>
                <w:color w:val="auto"/>
                <w:sz w:val="18"/>
                <w:szCs w:val="18"/>
                <w:highlight w:val="none"/>
              </w:rPr>
              <w:t>在</w:t>
            </w:r>
            <w:r>
              <w:rPr>
                <w:rFonts w:hint="eastAsia" w:ascii="微软雅黑" w:hAnsi="微软雅黑"/>
                <w:b/>
                <w:color w:val="auto"/>
                <w:sz w:val="18"/>
                <w:szCs w:val="18"/>
                <w:highlight w:val="none"/>
                <w:lang w:val="en-US" w:eastAsia="zh-CN"/>
              </w:rPr>
              <w:t>领取</w:t>
            </w:r>
            <w:r>
              <w:rPr>
                <w:rFonts w:hint="eastAsia" w:ascii="微软雅黑" w:hAnsi="微软雅黑"/>
                <w:b/>
                <w:color w:val="auto"/>
                <w:sz w:val="18"/>
                <w:szCs w:val="18"/>
                <w:highlight w:val="none"/>
                <w:lang w:val="en-US"/>
              </w:rPr>
              <w:t>成交</w:t>
            </w:r>
            <w:r>
              <w:rPr>
                <w:rFonts w:hint="eastAsia" w:ascii="微软雅黑" w:hAnsi="微软雅黑"/>
                <w:b/>
                <w:color w:val="auto"/>
                <w:sz w:val="18"/>
                <w:szCs w:val="18"/>
                <w:highlight w:val="none"/>
              </w:rPr>
              <w:t>通知书</w:t>
            </w:r>
            <w:r>
              <w:rPr>
                <w:rFonts w:hint="eastAsia" w:ascii="微软雅黑" w:hAnsi="微软雅黑"/>
                <w:b/>
                <w:color w:val="auto"/>
                <w:sz w:val="18"/>
                <w:szCs w:val="18"/>
                <w:highlight w:val="none"/>
                <w:lang w:eastAsia="zh-CN"/>
              </w:rPr>
              <w:t>的</w:t>
            </w:r>
            <w:r>
              <w:rPr>
                <w:rFonts w:hint="eastAsia" w:ascii="微软雅黑" w:hAnsi="微软雅黑"/>
                <w:b/>
                <w:color w:val="auto"/>
                <w:sz w:val="18"/>
                <w:szCs w:val="18"/>
                <w:highlight w:val="none"/>
                <w:lang w:val="en-US" w:eastAsia="zh-CN"/>
              </w:rPr>
              <w:t>同时</w:t>
            </w:r>
            <w:r>
              <w:rPr>
                <w:rFonts w:hint="eastAsia" w:ascii="微软雅黑" w:hAnsi="微软雅黑"/>
                <w:b/>
                <w:color w:val="auto"/>
                <w:sz w:val="18"/>
                <w:szCs w:val="18"/>
                <w:highlight w:val="none"/>
              </w:rPr>
              <w:t>须无条件向</w:t>
            </w:r>
            <w:r>
              <w:rPr>
                <w:rFonts w:hint="eastAsia" w:ascii="微软雅黑" w:hAnsi="微软雅黑"/>
                <w:b/>
                <w:color w:val="auto"/>
                <w:sz w:val="18"/>
                <w:szCs w:val="18"/>
                <w:highlight w:val="none"/>
                <w:lang w:val="en-US"/>
              </w:rPr>
              <w:t>采购人</w:t>
            </w:r>
            <w:r>
              <w:rPr>
                <w:rFonts w:hint="eastAsia" w:ascii="微软雅黑" w:hAnsi="微软雅黑"/>
                <w:b/>
                <w:color w:val="auto"/>
                <w:sz w:val="18"/>
                <w:szCs w:val="18"/>
                <w:highlight w:val="none"/>
              </w:rPr>
              <w:t>提供与开标时递交的电子版</w:t>
            </w:r>
            <w:r>
              <w:rPr>
                <w:rFonts w:hint="eastAsia" w:ascii="微软雅黑" w:hAnsi="微软雅黑"/>
                <w:b/>
                <w:color w:val="auto"/>
                <w:sz w:val="18"/>
                <w:szCs w:val="18"/>
                <w:highlight w:val="none"/>
                <w:lang w:val="en-US"/>
              </w:rPr>
              <w:t>响应</w:t>
            </w:r>
            <w:r>
              <w:rPr>
                <w:rFonts w:hint="eastAsia" w:ascii="微软雅黑" w:hAnsi="微软雅黑"/>
                <w:b/>
                <w:color w:val="auto"/>
                <w:sz w:val="18"/>
                <w:szCs w:val="18"/>
                <w:highlight w:val="none"/>
              </w:rPr>
              <w:t>文件一致的纸质版</w:t>
            </w:r>
            <w:r>
              <w:rPr>
                <w:rFonts w:hint="eastAsia" w:ascii="微软雅黑" w:hAnsi="微软雅黑"/>
                <w:b/>
                <w:color w:val="auto"/>
                <w:sz w:val="18"/>
                <w:szCs w:val="18"/>
                <w:highlight w:val="none"/>
                <w:lang w:val="en-US"/>
              </w:rPr>
              <w:t>响应</w:t>
            </w:r>
            <w:r>
              <w:rPr>
                <w:rFonts w:hint="eastAsia" w:ascii="微软雅黑" w:hAnsi="微软雅黑"/>
                <w:b/>
                <w:color w:val="auto"/>
                <w:sz w:val="18"/>
                <w:szCs w:val="18"/>
                <w:highlight w:val="none"/>
              </w:rPr>
              <w:t>文件，要求原件正本一份，须</w:t>
            </w:r>
            <w:r>
              <w:rPr>
                <w:rFonts w:hint="eastAsia" w:ascii="微软雅黑" w:hAnsi="微软雅黑"/>
                <w:b/>
                <w:color w:val="auto"/>
                <w:sz w:val="18"/>
                <w:szCs w:val="18"/>
                <w:highlight w:val="none"/>
                <w:lang w:val="en-US"/>
              </w:rPr>
              <w:t>供应商</w:t>
            </w:r>
            <w:r>
              <w:rPr>
                <w:rFonts w:hint="eastAsia" w:ascii="微软雅黑" w:hAnsi="微软雅黑"/>
                <w:b/>
                <w:color w:val="auto"/>
                <w:sz w:val="18"/>
                <w:szCs w:val="18"/>
                <w:highlight w:val="none"/>
              </w:rPr>
              <w:t>的法定代表人或其授权的委托代理人签字并加盖公章，</w:t>
            </w:r>
            <w:r>
              <w:rPr>
                <w:rFonts w:hint="eastAsia" w:ascii="微软雅黑" w:hAnsi="微软雅黑"/>
                <w:b/>
                <w:color w:val="auto"/>
                <w:sz w:val="18"/>
                <w:szCs w:val="18"/>
                <w:highlight w:val="none"/>
                <w:lang w:val="en-US"/>
              </w:rPr>
              <w:t>响应</w:t>
            </w:r>
            <w:r>
              <w:rPr>
                <w:rFonts w:hint="eastAsia" w:ascii="微软雅黑" w:hAnsi="微软雅黑"/>
                <w:b/>
                <w:color w:val="auto"/>
                <w:sz w:val="18"/>
                <w:szCs w:val="18"/>
                <w:highlight w:val="none"/>
              </w:rPr>
              <w:t>文件装订要求如下：</w:t>
            </w:r>
          </w:p>
          <w:p>
            <w:pPr>
              <w:ind w:left="144" w:right="144"/>
              <w:rPr>
                <w:rFonts w:ascii="微软雅黑" w:hAnsi="微软雅黑"/>
                <w:b/>
                <w:color w:val="auto"/>
                <w:sz w:val="18"/>
                <w:szCs w:val="18"/>
                <w:highlight w:val="none"/>
              </w:rPr>
            </w:pPr>
            <w:r>
              <w:rPr>
                <w:rFonts w:hint="eastAsia" w:ascii="微软雅黑" w:hAnsi="微软雅黑"/>
                <w:b/>
                <w:color w:val="auto"/>
                <w:sz w:val="18"/>
                <w:szCs w:val="18"/>
                <w:highlight w:val="none"/>
              </w:rPr>
              <w:t>□不分册装订</w:t>
            </w:r>
          </w:p>
          <w:p>
            <w:pPr>
              <w:ind w:left="144" w:right="144"/>
              <w:rPr>
                <w:rFonts w:ascii="微软雅黑" w:hAnsi="微软雅黑"/>
                <w:b/>
                <w:color w:val="auto"/>
                <w:sz w:val="18"/>
                <w:szCs w:val="18"/>
                <w:highlight w:val="none"/>
              </w:rPr>
            </w:pPr>
            <w:r>
              <w:rPr>
                <w:rFonts w:hint="eastAsia" w:ascii="微软雅黑" w:hAnsi="微软雅黑"/>
                <w:b/>
                <w:color w:val="auto"/>
                <w:sz w:val="18"/>
                <w:szCs w:val="18"/>
                <w:highlight w:val="none"/>
              </w:rPr>
              <w:t>■分册装订，投标文件包括商务标和技术标两部分，两部分分别装订：</w:t>
            </w:r>
          </w:p>
          <w:p>
            <w:pPr>
              <w:ind w:left="144" w:right="144"/>
              <w:rPr>
                <w:rFonts w:ascii="微软雅黑" w:hAnsi="微软雅黑"/>
                <w:b/>
                <w:color w:val="auto"/>
                <w:sz w:val="18"/>
                <w:szCs w:val="18"/>
                <w:highlight w:val="none"/>
              </w:rPr>
            </w:pPr>
            <w:r>
              <w:rPr>
                <w:rFonts w:hint="eastAsia" w:ascii="微软雅黑" w:hAnsi="微软雅黑"/>
                <w:b/>
                <w:color w:val="auto"/>
                <w:sz w:val="18"/>
                <w:szCs w:val="18"/>
                <w:highlight w:val="none"/>
              </w:rPr>
              <w:t>商务标，包括投标函及投标函附录至已标价工程预算书的内容</w:t>
            </w:r>
          </w:p>
          <w:p>
            <w:pPr>
              <w:ind w:left="144" w:right="144"/>
              <w:rPr>
                <w:rFonts w:ascii="微软雅黑" w:hAnsi="微软雅黑"/>
                <w:b/>
                <w:color w:val="auto"/>
                <w:sz w:val="18"/>
                <w:szCs w:val="18"/>
                <w:highlight w:val="none"/>
              </w:rPr>
            </w:pPr>
            <w:r>
              <w:rPr>
                <w:rFonts w:hint="eastAsia" w:ascii="微软雅黑" w:hAnsi="微软雅黑"/>
                <w:b/>
                <w:color w:val="auto"/>
                <w:sz w:val="18"/>
                <w:szCs w:val="18"/>
                <w:highlight w:val="none"/>
              </w:rPr>
              <w:t>技术标，包括施工组织设计至承诺书的内容（含资格审查部分、承诺书）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响应文件递交方式</w:t>
            </w:r>
          </w:p>
        </w:tc>
        <w:tc>
          <w:tcPr>
            <w:tcW w:w="6401" w:type="dxa"/>
            <w:vAlign w:val="center"/>
          </w:tcPr>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在线递交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提交响应文件截止时间及开启时间</w:t>
            </w:r>
          </w:p>
        </w:tc>
        <w:tc>
          <w:tcPr>
            <w:tcW w:w="6401" w:type="dxa"/>
            <w:vAlign w:val="center"/>
          </w:tcPr>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lang w:val="en-US" w:eastAsia="zh-CN"/>
              </w:rPr>
              <w:t>2022年8月15日14点30分</w:t>
            </w:r>
            <w:r>
              <w:rPr>
                <w:rFonts w:hint="eastAsia" w:ascii="微软雅黑" w:hAnsi="微软雅黑"/>
                <w:color w:val="auto"/>
                <w:sz w:val="18"/>
                <w:szCs w:val="18"/>
                <w:highlight w:val="none"/>
                <w:lang w:val="en-US"/>
              </w:rPr>
              <w:t>。</w:t>
            </w:r>
          </w:p>
          <w:p>
            <w:pPr>
              <w:ind w:left="144" w:right="144"/>
              <w:rPr>
                <w:rFonts w:ascii="微软雅黑" w:hAnsi="微软雅黑"/>
                <w:color w:val="auto"/>
                <w:sz w:val="18"/>
                <w:szCs w:val="18"/>
                <w:highlight w:val="none"/>
              </w:rPr>
            </w:pPr>
            <w:r>
              <w:rPr>
                <w:rFonts w:hint="eastAsia" w:ascii="微软雅黑" w:hAnsi="微软雅黑"/>
                <w:b/>
                <w:color w:val="auto"/>
                <w:sz w:val="18"/>
                <w:szCs w:val="18"/>
                <w:highlight w:val="none"/>
              </w:rPr>
              <w:t>提交响应文件截止时间后提交的响应文件将被拒收，在规定时间内所提交的文件不符合相关规定要求的也将被拒收。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提交响应文件地点及开启地点</w:t>
            </w:r>
          </w:p>
        </w:tc>
        <w:tc>
          <w:tcPr>
            <w:tcW w:w="6401" w:type="dxa"/>
            <w:vAlign w:val="center"/>
          </w:tcPr>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该项目电子开标为线上开标，</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项目采取服务器解密方式，</w:t>
            </w:r>
            <w:r>
              <w:rPr>
                <w:rFonts w:hint="eastAsia" w:ascii="微软雅黑" w:hAnsi="微软雅黑"/>
                <w:color w:val="auto"/>
                <w:sz w:val="18"/>
                <w:szCs w:val="18"/>
                <w:highlight w:val="none"/>
                <w:lang w:val="en-US"/>
              </w:rPr>
              <w:t>供应商</w:t>
            </w:r>
            <w:r>
              <w:rPr>
                <w:rFonts w:hint="eastAsia" w:ascii="微软雅黑" w:hAnsi="微软雅黑"/>
                <w:color w:val="auto"/>
                <w:sz w:val="18"/>
                <w:szCs w:val="18"/>
                <w:highlight w:val="none"/>
              </w:rPr>
              <w:t>无需自行解密，届时服务器会自动进行解密。</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lang w:val="en-US"/>
              </w:rPr>
              <w:t>开启</w:t>
            </w:r>
            <w:r>
              <w:rPr>
                <w:rFonts w:hint="eastAsia" w:ascii="微软雅黑" w:hAnsi="微软雅黑"/>
                <w:color w:val="auto"/>
                <w:sz w:val="18"/>
                <w:szCs w:val="18"/>
                <w:highlight w:val="none"/>
              </w:rPr>
              <w:t>地点：宜国发项目管理有限公司（哈尔滨市道里区群力第四大道 399 号汇智广场中楼401）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s="黑体"/>
                <w:color w:val="auto"/>
                <w:sz w:val="18"/>
                <w:szCs w:val="18"/>
                <w:highlight w:val="none"/>
              </w:rPr>
            </w:pPr>
            <w:r>
              <w:rPr>
                <w:rFonts w:hint="eastAsia" w:ascii="微软雅黑" w:hAnsi="微软雅黑"/>
                <w:color w:val="auto"/>
                <w:sz w:val="18"/>
                <w:szCs w:val="18"/>
                <w:highlight w:val="none"/>
              </w:rPr>
              <w:t>是否允许供应商在提交响应文件截止时间后撤回响应文件</w:t>
            </w:r>
          </w:p>
        </w:tc>
        <w:tc>
          <w:tcPr>
            <w:tcW w:w="6401" w:type="dxa"/>
            <w:vAlign w:val="center"/>
          </w:tcPr>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  否</w:t>
            </w:r>
          </w:p>
          <w:p>
            <w:pPr>
              <w:ind w:left="144" w:right="144"/>
              <w:jc w:val="both"/>
              <w:rPr>
                <w:rFonts w:ascii="微软雅黑" w:hAnsi="微软雅黑" w:cs="黑体"/>
                <w:color w:val="auto"/>
                <w:sz w:val="18"/>
                <w:szCs w:val="18"/>
                <w:highlight w:val="none"/>
              </w:rPr>
            </w:pPr>
            <w:r>
              <w:rPr>
                <w:rFonts w:hint="eastAsia" w:ascii="微软雅黑" w:hAnsi="微软雅黑"/>
                <w:color w:val="auto"/>
                <w:sz w:val="18"/>
                <w:szCs w:val="18"/>
                <w:highlight w:val="none"/>
              </w:rPr>
              <w:t>注：供应商数量不符合法定磋商数量时，由代理机构统一组织安排退还响应文件。（符合财政部门规定的特殊情形时（政府购买服务项目（含政府和社会资本合作项目）），可以为2家）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lang w:val="en-US"/>
              </w:rPr>
              <w:t>开启</w:t>
            </w:r>
            <w:r>
              <w:rPr>
                <w:rFonts w:hint="eastAsia" w:ascii="微软雅黑" w:hAnsi="微软雅黑"/>
                <w:color w:val="auto"/>
                <w:sz w:val="18"/>
                <w:szCs w:val="18"/>
                <w:highlight w:val="none"/>
              </w:rPr>
              <w:t>程序</w:t>
            </w:r>
          </w:p>
        </w:tc>
        <w:tc>
          <w:tcPr>
            <w:tcW w:w="6401" w:type="dxa"/>
            <w:vAlign w:val="center"/>
          </w:tcPr>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该项目电子投标为线上开标，项目采取服务器解密方式，</w:t>
            </w:r>
            <w:r>
              <w:rPr>
                <w:rFonts w:hint="eastAsia" w:ascii="微软雅黑" w:hAnsi="微软雅黑"/>
                <w:color w:val="auto"/>
                <w:sz w:val="18"/>
                <w:szCs w:val="18"/>
                <w:highlight w:val="none"/>
                <w:lang w:val="en-US"/>
              </w:rPr>
              <w:t>供应商</w:t>
            </w:r>
            <w:r>
              <w:rPr>
                <w:rFonts w:hint="eastAsia" w:ascii="微软雅黑" w:hAnsi="微软雅黑"/>
                <w:color w:val="auto"/>
                <w:sz w:val="18"/>
                <w:szCs w:val="18"/>
                <w:highlight w:val="none"/>
              </w:rPr>
              <w:t>无需自行解密，届时服务器会自动进行解密。</w:t>
            </w:r>
          </w:p>
          <w:p>
            <w:pPr>
              <w:ind w:left="144" w:right="144"/>
              <w:rPr>
                <w:rFonts w:ascii="微软雅黑" w:hAnsi="微软雅黑"/>
                <w:b/>
                <w:bCs/>
                <w:color w:val="auto"/>
                <w:sz w:val="18"/>
                <w:szCs w:val="18"/>
                <w:highlight w:val="none"/>
              </w:rPr>
            </w:pPr>
            <w:r>
              <w:rPr>
                <w:rFonts w:hint="eastAsia" w:ascii="微软雅黑" w:hAnsi="微软雅黑"/>
                <w:b/>
                <w:bCs/>
                <w:color w:val="auto"/>
                <w:sz w:val="18"/>
                <w:szCs w:val="18"/>
                <w:highlight w:val="none"/>
              </w:rPr>
              <w:t>供应商须在</w:t>
            </w:r>
            <w:r>
              <w:rPr>
                <w:rFonts w:hint="eastAsia" w:ascii="微软雅黑" w:hAnsi="微软雅黑"/>
                <w:b/>
                <w:bCs/>
                <w:color w:val="auto"/>
                <w:sz w:val="18"/>
                <w:szCs w:val="18"/>
                <w:highlight w:val="none"/>
                <w:lang w:val="en-US"/>
              </w:rPr>
              <w:t>开启</w:t>
            </w:r>
            <w:r>
              <w:rPr>
                <w:rFonts w:hint="eastAsia" w:ascii="微软雅黑" w:hAnsi="微软雅黑"/>
                <w:b/>
                <w:bCs/>
                <w:color w:val="auto"/>
                <w:sz w:val="18"/>
                <w:szCs w:val="18"/>
                <w:highlight w:val="none"/>
              </w:rPr>
              <w:t>时提前登录交易平台www.365trade.com.cn,在线上开标页面，完成</w:t>
            </w:r>
            <w:r>
              <w:rPr>
                <w:rFonts w:hint="eastAsia" w:ascii="微软雅黑" w:hAnsi="微软雅黑"/>
                <w:b/>
                <w:bCs/>
                <w:color w:val="auto"/>
                <w:sz w:val="18"/>
                <w:szCs w:val="18"/>
                <w:highlight w:val="none"/>
                <w:lang w:val="en-US"/>
              </w:rPr>
              <w:t>开启</w:t>
            </w:r>
            <w:r>
              <w:rPr>
                <w:rFonts w:hint="eastAsia" w:ascii="微软雅黑" w:hAnsi="微软雅黑"/>
                <w:b/>
                <w:bCs/>
                <w:color w:val="auto"/>
                <w:sz w:val="18"/>
                <w:szCs w:val="18"/>
                <w:highlight w:val="none"/>
              </w:rPr>
              <w:t>程序。</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因</w:t>
            </w:r>
            <w:r>
              <w:rPr>
                <w:rFonts w:hint="eastAsia" w:ascii="微软雅黑" w:hAnsi="微软雅黑"/>
                <w:color w:val="auto"/>
                <w:sz w:val="18"/>
                <w:szCs w:val="18"/>
                <w:highlight w:val="none"/>
                <w:lang w:val="en-US"/>
              </w:rPr>
              <w:t>供应商</w:t>
            </w:r>
            <w:r>
              <w:rPr>
                <w:rFonts w:hint="eastAsia" w:ascii="微软雅黑" w:hAnsi="微软雅黑"/>
                <w:color w:val="auto"/>
                <w:sz w:val="18"/>
                <w:szCs w:val="18"/>
                <w:highlight w:val="none"/>
              </w:rPr>
              <w:t>原因造成</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文件未按时解密的，视为其撤销</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文件；因</w:t>
            </w:r>
            <w:r>
              <w:rPr>
                <w:rFonts w:hint="eastAsia" w:ascii="微软雅黑" w:hAnsi="微软雅黑"/>
                <w:color w:val="auto"/>
                <w:sz w:val="18"/>
                <w:szCs w:val="18"/>
                <w:highlight w:val="none"/>
                <w:lang w:val="en-US"/>
              </w:rPr>
              <w:t>供应商</w:t>
            </w:r>
            <w:r>
              <w:rPr>
                <w:rFonts w:hint="eastAsia" w:ascii="微软雅黑" w:hAnsi="微软雅黑"/>
                <w:color w:val="auto"/>
                <w:sz w:val="18"/>
                <w:szCs w:val="18"/>
                <w:highlight w:val="none"/>
              </w:rPr>
              <w:t>之外的原因造成</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文件未按时解密的，视为撤回其</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文件，但</w:t>
            </w:r>
            <w:r>
              <w:rPr>
                <w:rFonts w:hint="eastAsia" w:ascii="微软雅黑" w:hAnsi="微软雅黑"/>
                <w:color w:val="auto"/>
                <w:sz w:val="18"/>
                <w:szCs w:val="18"/>
                <w:highlight w:val="none"/>
                <w:lang w:val="en-US"/>
              </w:rPr>
              <w:t>供应商</w:t>
            </w:r>
            <w:r>
              <w:rPr>
                <w:rFonts w:hint="eastAsia" w:ascii="微软雅黑" w:hAnsi="微软雅黑"/>
                <w:color w:val="auto"/>
                <w:sz w:val="18"/>
                <w:szCs w:val="18"/>
                <w:highlight w:val="none"/>
              </w:rPr>
              <w:t>有权要求责任方赔偿因此遭受的直接损失。部分</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文件未按时解密的，其他</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文件的开标可以继续进行。</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1</w:t>
            </w: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供应商</w:t>
            </w:r>
            <w:r>
              <w:rPr>
                <w:rFonts w:hint="eastAsia" w:ascii="微软雅黑" w:hAnsi="微软雅黑"/>
                <w:color w:val="auto"/>
                <w:sz w:val="18"/>
                <w:szCs w:val="18"/>
                <w:highlight w:val="none"/>
              </w:rPr>
              <w:t>的</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文件格式须符合 “</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文件格式”的要求。</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文件中凡标明盖单位章和签字处，均应加盖供应商印章和经法定代表人或其委托代理人签字。由委托代理人签字的在</w:t>
            </w: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文件中须同时提交授权委托书。授权委托书格式、签字、盖章及内容均应符合</w:t>
            </w:r>
            <w:r>
              <w:rPr>
                <w:rFonts w:hint="eastAsia" w:ascii="微软雅黑" w:hAnsi="微软雅黑"/>
                <w:color w:val="auto"/>
                <w:sz w:val="18"/>
                <w:szCs w:val="18"/>
                <w:highlight w:val="none"/>
                <w:lang w:val="en-US"/>
              </w:rPr>
              <w:t>采购</w:t>
            </w:r>
            <w:r>
              <w:rPr>
                <w:rFonts w:hint="eastAsia" w:ascii="微软雅黑" w:hAnsi="微软雅黑"/>
                <w:color w:val="auto"/>
                <w:sz w:val="18"/>
                <w:szCs w:val="18"/>
                <w:highlight w:val="none"/>
              </w:rPr>
              <w:t>文件要求，否则授权委托书无效。</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lang w:val="en-US"/>
              </w:rPr>
              <w:t>响应</w:t>
            </w:r>
            <w:r>
              <w:rPr>
                <w:rFonts w:hint="eastAsia" w:ascii="微软雅黑" w:hAnsi="微软雅黑"/>
                <w:color w:val="auto"/>
                <w:sz w:val="18"/>
                <w:szCs w:val="18"/>
                <w:highlight w:val="none"/>
              </w:rPr>
              <w:t>文件中如需个人印章、签字,需先将该页打印,手动签字或加盖个人印章后,扫描成图片，插入投标文件中。</w:t>
            </w:r>
          </w:p>
          <w:p>
            <w:pPr>
              <w:ind w:left="144" w:right="144"/>
              <w:rPr>
                <w:rFonts w:ascii="微软雅黑" w:hAnsi="微软雅黑"/>
                <w:color w:val="auto"/>
                <w:sz w:val="18"/>
                <w:szCs w:val="18"/>
                <w:highlight w:val="none"/>
              </w:rPr>
            </w:pPr>
            <w:r>
              <w:rPr>
                <w:rFonts w:hint="eastAsia" w:ascii="微软雅黑" w:hAnsi="微软雅黑"/>
                <w:color w:val="auto"/>
                <w:sz w:val="18"/>
                <w:szCs w:val="18"/>
                <w:highlight w:val="none"/>
              </w:rPr>
              <w:t>（</w:t>
            </w:r>
            <w:r>
              <w:rPr>
                <w:rFonts w:hint="eastAsia" w:ascii="微软雅黑" w:hAnsi="微软雅黑"/>
                <w:color w:val="auto"/>
                <w:sz w:val="18"/>
                <w:szCs w:val="18"/>
                <w:highlight w:val="none"/>
                <w:lang w:val="en-US"/>
              </w:rPr>
              <w:t>2</w:t>
            </w:r>
            <w:r>
              <w:rPr>
                <w:rFonts w:hint="eastAsia" w:ascii="微软雅黑" w:hAnsi="微软雅黑"/>
                <w:color w:val="auto"/>
                <w:sz w:val="18"/>
                <w:szCs w:val="18"/>
                <w:highlight w:val="none"/>
              </w:rPr>
              <w:t>）不能满足上述任一要求的响应</w:t>
            </w:r>
            <w:r>
              <w:rPr>
                <w:rFonts w:hint="eastAsia" w:ascii="微软雅黑" w:hAnsi="微软雅黑"/>
                <w:color w:val="auto"/>
                <w:sz w:val="18"/>
                <w:szCs w:val="18"/>
                <w:highlight w:val="none"/>
                <w:lang w:val="en-US"/>
              </w:rPr>
              <w:t>文件</w:t>
            </w:r>
            <w:r>
              <w:rPr>
                <w:rFonts w:hint="eastAsia" w:ascii="微软雅黑" w:hAnsi="微软雅黑"/>
                <w:color w:val="auto"/>
                <w:sz w:val="18"/>
                <w:szCs w:val="18"/>
                <w:highlight w:val="none"/>
              </w:rPr>
              <w:t>将被</w:t>
            </w:r>
            <w:r>
              <w:rPr>
                <w:rFonts w:hint="eastAsia" w:ascii="微软雅黑" w:hAnsi="微软雅黑"/>
                <w:color w:val="auto"/>
                <w:sz w:val="18"/>
                <w:szCs w:val="18"/>
                <w:highlight w:val="none"/>
                <w:lang w:val="en-US"/>
              </w:rPr>
              <w:t>视为无效文件</w:t>
            </w:r>
            <w:r>
              <w:rPr>
                <w:rFonts w:hint="eastAsia" w:ascii="微软雅黑" w:hAnsi="微软雅黑"/>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b/>
                <w:color w:val="auto"/>
                <w:sz w:val="18"/>
                <w:szCs w:val="18"/>
                <w:highlight w:val="none"/>
              </w:rPr>
            </w:pPr>
            <w:r>
              <w:rPr>
                <w:rFonts w:hint="eastAsia" w:ascii="微软雅黑" w:hAnsi="微软雅黑"/>
                <w:b/>
                <w:color w:val="auto"/>
                <w:sz w:val="18"/>
                <w:szCs w:val="18"/>
                <w:highlight w:val="none"/>
              </w:rPr>
              <w:t>暂列金额、专业工程暂估价、材料暂估价等</w:t>
            </w:r>
          </w:p>
        </w:tc>
        <w:tc>
          <w:tcPr>
            <w:tcW w:w="6401" w:type="dxa"/>
            <w:vAlign w:val="center"/>
          </w:tcPr>
          <w:p>
            <w:pPr>
              <w:pStyle w:val="6"/>
              <w:ind w:right="142" w:firstLine="0" w:firstLineChars="0"/>
              <w:rPr>
                <w:rFonts w:ascii="微软雅黑" w:hAnsi="微软雅黑"/>
                <w:b/>
                <w:color w:val="auto"/>
                <w:sz w:val="18"/>
                <w:szCs w:val="18"/>
                <w:highlight w:val="none"/>
                <w:lang w:val="en-US"/>
              </w:rPr>
            </w:pPr>
            <w:r>
              <w:rPr>
                <w:rFonts w:hint="eastAsia" w:ascii="微软雅黑" w:hAnsi="微软雅黑"/>
                <w:b/>
                <w:color w:val="auto"/>
                <w:sz w:val="18"/>
                <w:szCs w:val="18"/>
                <w:highlight w:val="none"/>
                <w:lang w:val="en-US"/>
              </w:rPr>
              <w:t>1、暂列金额</w:t>
            </w:r>
            <w:r>
              <w:rPr>
                <w:rFonts w:hint="eastAsia" w:ascii="微软雅黑" w:hAnsi="微软雅黑"/>
                <w:b/>
                <w:color w:val="auto"/>
                <w:sz w:val="18"/>
                <w:szCs w:val="18"/>
                <w:highlight w:val="none"/>
                <w:lang w:val="en-US" w:eastAsia="zh-CN"/>
              </w:rPr>
              <w:t>221811.7</w:t>
            </w:r>
            <w:r>
              <w:rPr>
                <w:rFonts w:hint="eastAsia" w:ascii="微软雅黑" w:hAnsi="微软雅黑"/>
                <w:b/>
                <w:color w:val="auto"/>
                <w:sz w:val="18"/>
                <w:szCs w:val="18"/>
                <w:highlight w:val="none"/>
                <w:lang w:val="en-US"/>
              </w:rPr>
              <w:t>元</w:t>
            </w:r>
          </w:p>
          <w:p>
            <w:pPr>
              <w:pStyle w:val="6"/>
              <w:ind w:right="142" w:firstLine="0" w:firstLineChars="0"/>
              <w:rPr>
                <w:rFonts w:ascii="微软雅黑" w:hAnsi="微软雅黑"/>
                <w:b/>
                <w:color w:val="auto"/>
                <w:sz w:val="18"/>
                <w:szCs w:val="18"/>
                <w:highlight w:val="none"/>
                <w:lang w:val="en-US"/>
              </w:rPr>
            </w:pPr>
            <w:r>
              <w:rPr>
                <w:rFonts w:hint="eastAsia" w:ascii="微软雅黑" w:hAnsi="微软雅黑"/>
                <w:b/>
                <w:color w:val="auto"/>
                <w:sz w:val="18"/>
                <w:szCs w:val="18"/>
                <w:highlight w:val="none"/>
                <w:lang w:val="en-US"/>
              </w:rPr>
              <w:t>2、专业工程暂估价</w:t>
            </w:r>
            <w:r>
              <w:rPr>
                <w:rFonts w:hint="eastAsia" w:ascii="微软雅黑" w:hAnsi="微软雅黑"/>
                <w:b/>
                <w:color w:val="auto"/>
                <w:sz w:val="18"/>
                <w:szCs w:val="18"/>
                <w:highlight w:val="none"/>
                <w:lang w:val="en-US" w:eastAsia="zh-CN"/>
              </w:rPr>
              <w:t>290000</w:t>
            </w:r>
            <w:r>
              <w:rPr>
                <w:rFonts w:hint="eastAsia" w:ascii="微软雅黑" w:hAnsi="微软雅黑"/>
                <w:b/>
                <w:color w:val="auto"/>
                <w:sz w:val="18"/>
                <w:szCs w:val="18"/>
                <w:highlight w:val="none"/>
                <w:lang w:val="en-US"/>
              </w:rPr>
              <w:t>元</w:t>
            </w:r>
          </w:p>
          <w:p>
            <w:pPr>
              <w:pStyle w:val="6"/>
              <w:ind w:right="142" w:firstLine="0" w:firstLineChars="0"/>
              <w:rPr>
                <w:rFonts w:ascii="微软雅黑" w:hAnsi="微软雅黑"/>
                <w:b/>
                <w:color w:val="auto"/>
                <w:sz w:val="18"/>
                <w:szCs w:val="18"/>
                <w:highlight w:val="none"/>
                <w:lang w:val="en-US"/>
              </w:rPr>
            </w:pPr>
            <w:r>
              <w:rPr>
                <w:rFonts w:hint="eastAsia" w:ascii="微软雅黑" w:hAnsi="微软雅黑"/>
                <w:b/>
                <w:color w:val="auto"/>
                <w:sz w:val="18"/>
                <w:szCs w:val="18"/>
                <w:highlight w:val="none"/>
                <w:lang w:val="en-US"/>
              </w:rPr>
              <w:t>3、</w:t>
            </w:r>
            <w:r>
              <w:rPr>
                <w:rFonts w:ascii="微软雅黑" w:hAnsi="微软雅黑"/>
                <w:b/>
                <w:color w:val="auto"/>
                <w:sz w:val="18"/>
                <w:szCs w:val="18"/>
                <w:highlight w:val="none"/>
                <w:lang w:val="en-US"/>
              </w:rPr>
              <w:t>材料暂估价</w:t>
            </w:r>
            <w:r>
              <w:rPr>
                <w:rFonts w:hint="eastAsia" w:ascii="微软雅黑" w:hAnsi="微软雅黑"/>
                <w:b/>
                <w:color w:val="auto"/>
                <w:sz w:val="18"/>
                <w:szCs w:val="18"/>
                <w:highlight w:val="none"/>
                <w:lang w:val="en-US"/>
              </w:rPr>
              <w:t>详见工程量清单。</w:t>
            </w:r>
          </w:p>
          <w:p>
            <w:pPr>
              <w:pStyle w:val="6"/>
              <w:ind w:right="142" w:firstLine="0" w:firstLineChars="0"/>
              <w:rPr>
                <w:rFonts w:ascii="微软雅黑" w:hAnsi="微软雅黑"/>
                <w:b/>
                <w:color w:val="auto"/>
                <w:sz w:val="18"/>
                <w:szCs w:val="18"/>
                <w:highlight w:val="none"/>
                <w:lang w:val="en-US"/>
              </w:rPr>
            </w:pPr>
            <w:r>
              <w:rPr>
                <w:rFonts w:hint="eastAsia" w:ascii="微软雅黑" w:hAnsi="微软雅黑"/>
                <w:b/>
                <w:color w:val="auto"/>
                <w:sz w:val="18"/>
                <w:szCs w:val="18"/>
                <w:highlight w:val="none"/>
                <w:lang w:val="en-US"/>
              </w:rPr>
              <w:t>注：各供应商应按上述给定的金额计入报价，未按给定金额计入的按响应无效处理。</w:t>
            </w:r>
          </w:p>
          <w:p>
            <w:pPr>
              <w:pStyle w:val="6"/>
              <w:ind w:right="142" w:firstLine="0" w:firstLineChars="0"/>
              <w:rPr>
                <w:rFonts w:ascii="微软雅黑" w:hAnsi="微软雅黑"/>
                <w:b/>
                <w:color w:val="auto"/>
                <w:sz w:val="18"/>
                <w:szCs w:val="18"/>
                <w:highlight w:val="none"/>
                <w:lang w:val="en-US"/>
              </w:rPr>
            </w:pPr>
            <w:r>
              <w:rPr>
                <w:rFonts w:hint="eastAsia" w:ascii="微软雅黑" w:hAnsi="微软雅黑"/>
                <w:b/>
                <w:color w:val="auto"/>
                <w:sz w:val="18"/>
                <w:szCs w:val="18"/>
                <w:highlight w:val="none"/>
                <w:lang w:val="en-US"/>
              </w:rPr>
              <w:t>2、如本磋商文件中的清单与采购人提供的</w:t>
            </w:r>
            <w:r>
              <w:rPr>
                <w:rFonts w:ascii="微软雅黑" w:hAnsi="微软雅黑"/>
                <w:b/>
                <w:color w:val="auto"/>
                <w:sz w:val="18"/>
                <w:szCs w:val="18"/>
                <w:highlight w:val="none"/>
                <w:lang w:val="en-US"/>
              </w:rPr>
              <w:t>EXCEL</w:t>
            </w:r>
            <w:r>
              <w:rPr>
                <w:rFonts w:hint="eastAsia" w:ascii="微软雅黑" w:hAnsi="微软雅黑"/>
                <w:b/>
                <w:color w:val="auto"/>
                <w:sz w:val="18"/>
                <w:szCs w:val="18"/>
                <w:highlight w:val="none"/>
                <w:lang w:val="en-US"/>
              </w:rPr>
              <w:t>清单电子版不一致时，以</w:t>
            </w:r>
            <w:r>
              <w:rPr>
                <w:rFonts w:ascii="微软雅黑" w:hAnsi="微软雅黑"/>
                <w:b/>
                <w:color w:val="auto"/>
                <w:sz w:val="18"/>
                <w:szCs w:val="18"/>
                <w:highlight w:val="none"/>
                <w:lang w:val="en-US"/>
              </w:rPr>
              <w:t>EXCEL</w:t>
            </w:r>
            <w:r>
              <w:rPr>
                <w:rFonts w:hint="eastAsia" w:ascii="微软雅黑" w:hAnsi="微软雅黑"/>
                <w:b/>
                <w:color w:val="auto"/>
                <w:sz w:val="18"/>
                <w:szCs w:val="18"/>
                <w:highlight w:val="none"/>
                <w:lang w:val="en-US"/>
              </w:rPr>
              <w:t>清单电子版为准。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是否授权磋商小组确定成交供应商</w:t>
            </w:r>
          </w:p>
        </w:tc>
        <w:tc>
          <w:tcPr>
            <w:tcW w:w="6401" w:type="dxa"/>
            <w:vAlign w:val="center"/>
          </w:tcPr>
          <w:p>
            <w:pPr>
              <w:ind w:left="144" w:right="144"/>
              <w:jc w:val="both"/>
              <w:rPr>
                <w:rFonts w:ascii="微软雅黑" w:hAnsi="微软雅黑"/>
                <w:color w:val="auto"/>
                <w:sz w:val="24"/>
                <w:szCs w:val="22"/>
                <w:highlight w:val="none"/>
              </w:rPr>
            </w:pPr>
            <w:r>
              <w:rPr>
                <w:rFonts w:hint="eastAsia" w:ascii="微软雅黑" w:hAnsi="微软雅黑"/>
                <w:color w:val="auto"/>
                <w:sz w:val="18"/>
                <w:szCs w:val="18"/>
                <w:highlight w:val="none"/>
              </w:rPr>
              <w:t>■否，推荐的成交候选供应商数：3家/</w:t>
            </w:r>
            <w:r>
              <w:rPr>
                <w:rFonts w:hint="eastAsia" w:ascii="微软雅黑" w:hAnsi="微软雅黑"/>
                <w:bCs/>
                <w:color w:val="auto"/>
                <w:sz w:val="18"/>
                <w:szCs w:val="18"/>
                <w:highlight w:val="none"/>
              </w:rPr>
              <w:t>标段</w:t>
            </w:r>
            <w:r>
              <w:rPr>
                <w:rFonts w:hint="eastAsia" w:ascii="微软雅黑" w:hAnsi="微软雅黑"/>
                <w:color w:val="auto"/>
                <w:sz w:val="18"/>
                <w:szCs w:val="18"/>
                <w:highlight w:val="none"/>
              </w:rPr>
              <w:t xml:space="preserve">（符合财政部门规定的特殊情形时（①市场竞争不充分的科研项目，以及需要扶持的科技成果转化项目；②政府购买服务项目（含政府和社会资本合作项目）），可以为2家）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确定成交供应商</w:t>
            </w:r>
          </w:p>
        </w:tc>
        <w:tc>
          <w:tcPr>
            <w:tcW w:w="6401" w:type="dxa"/>
            <w:vAlign w:val="center"/>
          </w:tcPr>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采购人</w:t>
            </w:r>
            <w:r>
              <w:rPr>
                <w:rFonts w:hint="eastAsia" w:ascii="微软雅黑" w:hAnsi="微软雅黑"/>
                <w:color w:val="auto"/>
                <w:sz w:val="18"/>
                <w:szCs w:val="18"/>
                <w:highlight w:val="none"/>
                <w:lang w:val="en-US"/>
              </w:rPr>
              <w:t>从评审报告提出的成交候选供应商中，按照排序由高到低的原则确定成交供应商</w:t>
            </w:r>
            <w:r>
              <w:rPr>
                <w:rFonts w:hint="eastAsia" w:ascii="微软雅黑" w:hAnsi="微软雅黑"/>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vAlign w:val="center"/>
          </w:tcPr>
          <w:p>
            <w:pPr>
              <w:pStyle w:val="336"/>
              <w:numPr>
                <w:ilvl w:val="0"/>
                <w:numId w:val="11"/>
              </w:numPr>
              <w:ind w:left="0" w:firstLine="0" w:firstLineChars="0"/>
              <w:jc w:val="center"/>
              <w:rPr>
                <w:rFonts w:ascii="微软雅黑" w:hAnsi="微软雅黑" w:cs="黑体"/>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是否收取</w:t>
            </w:r>
          </w:p>
          <w:p>
            <w:pPr>
              <w:ind w:left="144" w:right="144"/>
              <w:jc w:val="center"/>
              <w:rPr>
                <w:rFonts w:ascii="微软雅黑" w:hAnsi="微软雅黑" w:cs="黑体"/>
                <w:color w:val="auto"/>
                <w:sz w:val="18"/>
                <w:szCs w:val="18"/>
                <w:highlight w:val="none"/>
              </w:rPr>
            </w:pPr>
            <w:r>
              <w:rPr>
                <w:rFonts w:hint="eastAsia" w:ascii="微软雅黑" w:hAnsi="微软雅黑"/>
                <w:color w:val="auto"/>
                <w:sz w:val="18"/>
                <w:szCs w:val="18"/>
                <w:highlight w:val="none"/>
              </w:rPr>
              <w:t>履约保证金</w:t>
            </w:r>
          </w:p>
        </w:tc>
        <w:tc>
          <w:tcPr>
            <w:tcW w:w="6401" w:type="dxa"/>
            <w:vAlign w:val="center"/>
          </w:tcPr>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lang w:val="en-US"/>
              </w:rPr>
              <w:t>1、</w:t>
            </w:r>
            <w:r>
              <w:rPr>
                <w:rFonts w:hint="eastAsia" w:ascii="微软雅黑" w:hAnsi="微软雅黑"/>
                <w:color w:val="auto"/>
                <w:sz w:val="18"/>
                <w:szCs w:val="18"/>
                <w:highlight w:val="none"/>
              </w:rPr>
              <w:t>基本账户</w:t>
            </w:r>
          </w:p>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户名：哈尔滨工业大学</w:t>
            </w:r>
          </w:p>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账号：3500040109008900513</w:t>
            </w:r>
          </w:p>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开户银行：工商银行哈尔滨市大直支行</w:t>
            </w:r>
          </w:p>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汇款用途：【项目名称】履约保证金</w:t>
            </w:r>
          </w:p>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2、履约保证金的金额：本工程合同履约保证金为</w:t>
            </w:r>
            <w:r>
              <w:rPr>
                <w:rFonts w:hint="eastAsia" w:ascii="微软雅黑" w:hAnsi="微软雅黑"/>
                <w:color w:val="auto"/>
                <w:sz w:val="18"/>
                <w:szCs w:val="18"/>
                <w:highlight w:val="none"/>
                <w:lang w:val="en-US"/>
              </w:rPr>
              <w:t>成交</w:t>
            </w:r>
            <w:r>
              <w:rPr>
                <w:rFonts w:hint="eastAsia" w:ascii="微软雅黑" w:hAnsi="微软雅黑"/>
                <w:color w:val="auto"/>
                <w:sz w:val="18"/>
                <w:szCs w:val="18"/>
                <w:highlight w:val="none"/>
              </w:rPr>
              <w:t>金额的</w:t>
            </w:r>
            <w:r>
              <w:rPr>
                <w:rFonts w:hint="eastAsia" w:ascii="微软雅黑" w:hAnsi="微软雅黑"/>
                <w:color w:val="auto"/>
                <w:sz w:val="18"/>
                <w:szCs w:val="18"/>
                <w:highlight w:val="none"/>
                <w:lang w:val="en-US"/>
              </w:rPr>
              <w:t>10</w:t>
            </w:r>
            <w:r>
              <w:rPr>
                <w:rFonts w:hint="eastAsia" w:ascii="微软雅黑" w:hAnsi="微软雅黑"/>
                <w:color w:val="auto"/>
                <w:sz w:val="18"/>
                <w:szCs w:val="18"/>
                <w:highlight w:val="none"/>
              </w:rPr>
              <w:t>%，合同订立前提交；</w:t>
            </w:r>
          </w:p>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3、履约保证金的退还：在合同顺利履行完毕并无任何纠纷情况下，结算一级审核后，无息返还给中标人。如因中标人违约给采购人造成的损失超过履约保证金金额的，采购人有权对超出部分要求进一步的赔偿。</w:t>
            </w:r>
          </w:p>
          <w:p>
            <w:pPr>
              <w:ind w:left="144" w:right="144"/>
              <w:jc w:val="both"/>
              <w:rPr>
                <w:rFonts w:ascii="微软雅黑" w:hAnsi="微软雅黑"/>
                <w:color w:val="auto"/>
                <w:sz w:val="18"/>
                <w:szCs w:val="18"/>
                <w:highlight w:val="none"/>
              </w:rPr>
            </w:pPr>
            <w:r>
              <w:rPr>
                <w:rFonts w:hint="eastAsia" w:ascii="微软雅黑" w:hAnsi="微软雅黑"/>
                <w:color w:val="auto"/>
                <w:sz w:val="18"/>
                <w:szCs w:val="18"/>
                <w:highlight w:val="none"/>
              </w:rPr>
              <w:t>不接受银行保函形式的合同履约保证金。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bCs/>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付款方式</w:t>
            </w:r>
          </w:p>
        </w:tc>
        <w:tc>
          <w:tcPr>
            <w:tcW w:w="6401" w:type="dxa"/>
            <w:vAlign w:val="center"/>
          </w:tcPr>
          <w:p>
            <w:pPr>
              <w:pStyle w:val="6"/>
              <w:ind w:right="142" w:firstLine="0" w:firstLineChars="0"/>
              <w:jc w:val="both"/>
              <w:rPr>
                <w:rFonts w:hint="eastAsia" w:ascii="微软雅黑" w:hAnsi="微软雅黑"/>
                <w:color w:val="auto"/>
                <w:sz w:val="18"/>
                <w:szCs w:val="18"/>
                <w:highlight w:val="none"/>
              </w:rPr>
            </w:pPr>
            <w:r>
              <w:rPr>
                <w:rFonts w:hint="eastAsia" w:ascii="微软雅黑" w:hAnsi="微软雅黑"/>
                <w:color w:val="auto"/>
                <w:sz w:val="18"/>
                <w:szCs w:val="18"/>
                <w:highlight w:val="none"/>
              </w:rPr>
              <w:t>（一）工程预付款：施工合同签订后，采购人支付工程预付款，金额为签约合同价的30%，其中已包含全部安全文明施工费。</w:t>
            </w:r>
          </w:p>
          <w:p>
            <w:pPr>
              <w:pStyle w:val="6"/>
              <w:ind w:right="142" w:firstLine="0" w:firstLineChars="0"/>
              <w:jc w:val="both"/>
              <w:rPr>
                <w:rFonts w:hint="eastAsia" w:ascii="微软雅黑" w:hAnsi="微软雅黑"/>
                <w:color w:val="auto"/>
                <w:sz w:val="18"/>
                <w:szCs w:val="18"/>
                <w:highlight w:val="none"/>
              </w:rPr>
            </w:pPr>
            <w:r>
              <w:rPr>
                <w:rFonts w:hint="eastAsia" w:ascii="微软雅黑" w:hAnsi="微软雅黑"/>
                <w:color w:val="auto"/>
                <w:sz w:val="18"/>
                <w:szCs w:val="18"/>
                <w:highlight w:val="none"/>
              </w:rPr>
              <w:t>（二）工程进度款结算与支付：项目实施期间由项目管理方按照实际完成的工程量、工期和工程质量进行动态管理，视项目需要支付工程进度款。</w:t>
            </w:r>
          </w:p>
          <w:p>
            <w:pPr>
              <w:pStyle w:val="6"/>
              <w:ind w:right="142" w:firstLine="0" w:firstLineChars="0"/>
              <w:jc w:val="both"/>
              <w:rPr>
                <w:rFonts w:hint="eastAsia" w:ascii="微软雅黑" w:hAnsi="微软雅黑"/>
                <w:color w:val="auto"/>
                <w:sz w:val="18"/>
                <w:szCs w:val="18"/>
                <w:highlight w:val="none"/>
              </w:rPr>
            </w:pPr>
            <w:r>
              <w:rPr>
                <w:rFonts w:hint="eastAsia" w:ascii="微软雅黑" w:hAnsi="微软雅黑"/>
                <w:color w:val="auto"/>
                <w:sz w:val="18"/>
                <w:szCs w:val="18"/>
                <w:highlight w:val="none"/>
              </w:rPr>
              <w:t>当工程量完成到100%，采购人最多付款到工程进度结算额的70%；</w:t>
            </w:r>
          </w:p>
          <w:p>
            <w:pPr>
              <w:pStyle w:val="6"/>
              <w:ind w:right="142" w:firstLine="0" w:firstLineChars="0"/>
              <w:jc w:val="both"/>
              <w:rPr>
                <w:rFonts w:hint="eastAsia" w:ascii="微软雅黑" w:hAnsi="微软雅黑"/>
                <w:color w:val="auto"/>
                <w:sz w:val="18"/>
                <w:szCs w:val="18"/>
                <w:highlight w:val="none"/>
              </w:rPr>
            </w:pPr>
            <w:r>
              <w:rPr>
                <w:rFonts w:hint="eastAsia" w:ascii="微软雅黑" w:hAnsi="微软雅黑"/>
                <w:color w:val="auto"/>
                <w:sz w:val="18"/>
                <w:szCs w:val="18"/>
                <w:highlight w:val="none"/>
              </w:rPr>
              <w:t>（三）竣工结算与支付：由于本项目全部使用国拨资金，竣工结算需进行二级审核。</w:t>
            </w:r>
          </w:p>
          <w:p>
            <w:pPr>
              <w:pStyle w:val="6"/>
              <w:ind w:right="142" w:firstLine="0" w:firstLineChars="0"/>
              <w:jc w:val="both"/>
              <w:rPr>
                <w:rFonts w:hint="eastAsia" w:ascii="微软雅黑" w:hAnsi="微软雅黑"/>
                <w:color w:val="auto"/>
                <w:sz w:val="18"/>
                <w:szCs w:val="18"/>
                <w:highlight w:val="none"/>
              </w:rPr>
            </w:pPr>
            <w:r>
              <w:rPr>
                <w:rFonts w:hint="eastAsia" w:ascii="微软雅黑" w:hAnsi="微软雅黑"/>
                <w:color w:val="auto"/>
                <w:sz w:val="18"/>
                <w:szCs w:val="18"/>
                <w:highlight w:val="none"/>
              </w:rPr>
              <w:t>一级审核：一级审核为采购人工程管理部对投标人竣工结算进行审核并办理相关签字手续的过程。工程竣工验收合格后，</w:t>
            </w:r>
            <w:r>
              <w:rPr>
                <w:rFonts w:hint="eastAsia" w:ascii="微软雅黑" w:hAnsi="微软雅黑"/>
                <w:color w:val="auto"/>
                <w:sz w:val="18"/>
                <w:szCs w:val="18"/>
                <w:highlight w:val="none"/>
                <w:lang w:val="en-US" w:eastAsia="zh-CN"/>
              </w:rPr>
              <w:t>供应商</w:t>
            </w:r>
            <w:r>
              <w:rPr>
                <w:rFonts w:hint="eastAsia" w:ascii="微软雅黑" w:hAnsi="微软雅黑"/>
                <w:color w:val="auto"/>
                <w:sz w:val="18"/>
                <w:szCs w:val="18"/>
                <w:highlight w:val="none"/>
              </w:rPr>
              <w:t>需向采购人提出竣工结算申请，并附完整的竣工结算文件。一级审核完成后，采购人最多支付到一级审核结算结算金额的80%；</w:t>
            </w:r>
          </w:p>
          <w:p>
            <w:pPr>
              <w:pStyle w:val="6"/>
              <w:ind w:right="142" w:firstLine="0" w:firstLineChars="0"/>
              <w:jc w:val="both"/>
              <w:rPr>
                <w:rFonts w:hint="eastAsia" w:ascii="微软雅黑" w:hAnsi="微软雅黑"/>
                <w:color w:val="auto"/>
                <w:sz w:val="18"/>
                <w:szCs w:val="18"/>
                <w:highlight w:val="none"/>
              </w:rPr>
            </w:pPr>
            <w:r>
              <w:rPr>
                <w:rFonts w:hint="eastAsia" w:ascii="微软雅黑" w:hAnsi="微软雅黑"/>
                <w:color w:val="auto"/>
                <w:sz w:val="18"/>
                <w:szCs w:val="18"/>
                <w:highlight w:val="none"/>
              </w:rPr>
              <w:t>二级审核：一级审核完成后，采购人将委托具有相应资质的工程造价咨询企业对一级审核结果进行二级审核，二级审核结果将作为本项目最终竣工结算金额。二级审核结束，采购人可支付到最终竣工结算金额的97%。剩余最终竣工结算金额的3%为本项目质量保证金，在竣工结算二级审核后一次性扣留。</w:t>
            </w:r>
          </w:p>
          <w:p>
            <w:pPr>
              <w:pStyle w:val="6"/>
              <w:ind w:right="142" w:firstLine="0" w:firstLineChars="0"/>
              <w:jc w:val="both"/>
              <w:rPr>
                <w:rFonts w:ascii="微软雅黑" w:hAnsi="微软雅黑"/>
                <w:color w:val="auto"/>
                <w:sz w:val="18"/>
                <w:szCs w:val="18"/>
                <w:highlight w:val="none"/>
              </w:rPr>
            </w:pPr>
            <w:r>
              <w:rPr>
                <w:rFonts w:hint="eastAsia" w:ascii="微软雅黑" w:hAnsi="微软雅黑"/>
                <w:color w:val="auto"/>
                <w:sz w:val="18"/>
                <w:szCs w:val="18"/>
                <w:highlight w:val="none"/>
              </w:rPr>
              <w:t>（四）最终结清：质量保证金在缺陷责任期届满且无任何质量问题的情况下，最终结清并无息退还。本项目缺陷责任期为24个月。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s="黑体"/>
                <w:color w:val="auto"/>
                <w:sz w:val="18"/>
                <w:szCs w:val="18"/>
                <w:highlight w:val="none"/>
              </w:rPr>
            </w:pPr>
            <w:r>
              <w:rPr>
                <w:rFonts w:hint="eastAsia" w:ascii="微软雅黑" w:hAnsi="微软雅黑"/>
                <w:color w:val="auto"/>
                <w:sz w:val="18"/>
                <w:szCs w:val="18"/>
                <w:highlight w:val="none"/>
              </w:rPr>
              <w:t>是否允许履约担保和融资担保</w:t>
            </w:r>
          </w:p>
        </w:tc>
        <w:tc>
          <w:tcPr>
            <w:tcW w:w="6401" w:type="dxa"/>
            <w:vAlign w:val="center"/>
          </w:tcPr>
          <w:p>
            <w:pPr>
              <w:ind w:left="144" w:right="144" w:firstLine="90" w:firstLineChars="50"/>
              <w:jc w:val="both"/>
              <w:rPr>
                <w:rFonts w:hint="eastAsia" w:ascii="微软雅黑" w:hAnsi="微软雅黑" w:eastAsia="微软雅黑" w:cs="黑体"/>
                <w:color w:val="auto"/>
                <w:sz w:val="18"/>
                <w:szCs w:val="18"/>
                <w:highlight w:val="none"/>
                <w:lang w:eastAsia="zh-CN"/>
              </w:rPr>
            </w:pPr>
            <w:r>
              <w:rPr>
                <w:rFonts w:hint="eastAsia" w:ascii="微软雅黑" w:hAnsi="微软雅黑"/>
                <w:color w:val="auto"/>
                <w:sz w:val="18"/>
                <w:szCs w:val="18"/>
                <w:highlight w:val="none"/>
              </w:rPr>
              <w:t xml:space="preserve">■  </w:t>
            </w:r>
            <w:r>
              <w:rPr>
                <w:rFonts w:hint="eastAsia" w:ascii="微软雅黑" w:hAnsi="微软雅黑"/>
                <w:color w:val="auto"/>
                <w:sz w:val="18"/>
                <w:szCs w:val="1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cs="黑体"/>
                <w:color w:val="auto"/>
                <w:sz w:val="18"/>
                <w:szCs w:val="18"/>
                <w:highlight w:val="none"/>
              </w:rPr>
            </w:pPr>
          </w:p>
        </w:tc>
        <w:tc>
          <w:tcPr>
            <w:tcW w:w="1701" w:type="dxa"/>
            <w:vAlign w:val="center"/>
          </w:tcPr>
          <w:p>
            <w:pPr>
              <w:ind w:left="144" w:right="144"/>
              <w:jc w:val="center"/>
              <w:rPr>
                <w:rFonts w:ascii="微软雅黑" w:hAnsi="微软雅黑"/>
                <w:color w:val="auto"/>
                <w:sz w:val="18"/>
                <w:szCs w:val="18"/>
                <w:highlight w:val="none"/>
              </w:rPr>
            </w:pPr>
            <w:r>
              <w:rPr>
                <w:rFonts w:hint="eastAsia" w:ascii="微软雅黑" w:hAnsi="微软雅黑"/>
                <w:color w:val="auto"/>
                <w:sz w:val="18"/>
                <w:szCs w:val="18"/>
                <w:highlight w:val="none"/>
              </w:rPr>
              <w:t>中小企业</w:t>
            </w:r>
          </w:p>
          <w:p>
            <w:pPr>
              <w:ind w:left="144" w:right="144"/>
              <w:jc w:val="center"/>
              <w:rPr>
                <w:rFonts w:ascii="微软雅黑" w:hAnsi="微软雅黑" w:cs="黑体"/>
                <w:color w:val="auto"/>
                <w:sz w:val="18"/>
                <w:szCs w:val="18"/>
                <w:highlight w:val="none"/>
              </w:rPr>
            </w:pPr>
            <w:r>
              <w:rPr>
                <w:rFonts w:hint="eastAsia" w:ascii="微软雅黑" w:hAnsi="微软雅黑"/>
                <w:color w:val="auto"/>
                <w:sz w:val="18"/>
                <w:szCs w:val="18"/>
                <w:highlight w:val="none"/>
              </w:rPr>
              <w:t>有关政策</w:t>
            </w:r>
          </w:p>
        </w:tc>
        <w:tc>
          <w:tcPr>
            <w:tcW w:w="6401" w:type="dxa"/>
            <w:vAlign w:val="center"/>
          </w:tcPr>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1、</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2、</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符合中小企业划分标准的个体工商户，在政府采购活动中视同中小企业。</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3、</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国务院批准的中小企业划分标准是指由工业和信息化部、国家统计局、发展改革委、财政部印发的《关于印发中小企业划型标准规定的通知》（工信部联企业〔2011〕300号）中的划分标准。</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4、</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在政府采购活动中，供应商提供的货物、工程或者服务符合下列情形的，享受《政府采购促进中小企业发展管理办法》财库〔2020〕46号规定的中小企业扶持政策：</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a)</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在货物采购项目中，货物由中小企业制造，即货物由中小企业生产且使用该中小企业商号或者注册商标；</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b)</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在工程采购项目中，工程由中小企业承建，即工程施工单位为中小企业；</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c)</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在服务采购项目中，服务由中小企业承接，即提供服务的人员为中小企业依照《中华人民共和国劳动合同法》订立劳动合同的从业人员。</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5、</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中小企业参加政府采购活动，应当出具本采购文件规定的《中小企业声明函》，否则不得享受相关中小企业扶持政策。</w:t>
            </w:r>
          </w:p>
          <w:p>
            <w:pPr>
              <w:pStyle w:val="6"/>
              <w:ind w:right="142" w:firstLine="360"/>
              <w:jc w:val="both"/>
              <w:rPr>
                <w:rFonts w:ascii="微软雅黑" w:hAnsi="微软雅黑"/>
                <w:b/>
                <w:bCs/>
                <w:color w:val="auto"/>
                <w:sz w:val="18"/>
                <w:szCs w:val="18"/>
                <w:highlight w:val="none"/>
              </w:rPr>
            </w:pPr>
            <w:r>
              <w:rPr>
                <w:rFonts w:hint="eastAsia" w:ascii="微软雅黑" w:hAnsi="微软雅黑"/>
                <w:b/>
                <w:bCs/>
                <w:color w:val="auto"/>
                <w:sz w:val="18"/>
                <w:szCs w:val="18"/>
                <w:highlight w:val="none"/>
              </w:rPr>
              <w:t>6、</w:t>
            </w:r>
            <w:r>
              <w:rPr>
                <w:rFonts w:hint="eastAsia" w:ascii="微软雅黑" w:hAnsi="微软雅黑"/>
                <w:b/>
                <w:bCs/>
                <w:color w:val="auto"/>
                <w:sz w:val="18"/>
                <w:szCs w:val="18"/>
                <w:highlight w:val="none"/>
              </w:rPr>
              <w:tab/>
            </w:r>
            <w:r>
              <w:rPr>
                <w:rFonts w:hint="eastAsia" w:ascii="微软雅黑" w:hAnsi="微软雅黑"/>
                <w:b/>
                <w:bCs/>
                <w:color w:val="auto"/>
                <w:sz w:val="18"/>
                <w:szCs w:val="18"/>
                <w:highlight w:val="none"/>
              </w:rPr>
              <w:t>中小企业声明函中的标的名称及标的所属行业，标的名称为“哈尔滨工业大学科研房间电路改造工程”，所属行业为“建筑业”。</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7、</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在货物采购项目中，供应商提供的货物既有中小企业制造货物，也有大型企业制造货物的，不享受中小企业扶持政策。</w:t>
            </w:r>
          </w:p>
          <w:p>
            <w:pPr>
              <w:pStyle w:val="6"/>
              <w:ind w:right="142" w:firstLine="360"/>
              <w:jc w:val="both"/>
              <w:rPr>
                <w:rFonts w:ascii="微软雅黑" w:hAnsi="微软雅黑"/>
                <w:color w:val="auto"/>
                <w:sz w:val="18"/>
                <w:szCs w:val="18"/>
                <w:highlight w:val="none"/>
              </w:rPr>
            </w:pPr>
            <w:r>
              <w:rPr>
                <w:rFonts w:ascii="微软雅黑" w:hAnsi="微软雅黑"/>
                <w:color w:val="auto"/>
                <w:sz w:val="18"/>
                <w:szCs w:val="18"/>
                <w:highlight w:val="none"/>
              </w:rPr>
              <w:t>8</w:t>
            </w:r>
            <w:r>
              <w:rPr>
                <w:rFonts w:hint="eastAsia" w:ascii="微软雅黑" w:hAnsi="微软雅黑"/>
                <w:color w:val="auto"/>
                <w:sz w:val="18"/>
                <w:szCs w:val="18"/>
                <w:highlight w:val="none"/>
              </w:rPr>
              <w:t>、以联合体形式参加政府采购活动，联合体各方均为中小企业的，联合体视同中小企业。其中，联合体各方均为小微企业的，联合体视同小微企业。</w:t>
            </w:r>
          </w:p>
          <w:p>
            <w:pPr>
              <w:pStyle w:val="6"/>
              <w:ind w:right="142" w:firstLine="360"/>
              <w:jc w:val="both"/>
              <w:rPr>
                <w:rFonts w:ascii="微软雅黑" w:hAnsi="微软雅黑"/>
                <w:color w:val="auto"/>
                <w:sz w:val="18"/>
                <w:szCs w:val="18"/>
                <w:highlight w:val="none"/>
              </w:rPr>
            </w:pPr>
            <w:r>
              <w:rPr>
                <w:rFonts w:ascii="微软雅黑" w:hAnsi="微软雅黑"/>
                <w:color w:val="auto"/>
                <w:sz w:val="18"/>
                <w:szCs w:val="18"/>
                <w:highlight w:val="none"/>
              </w:rPr>
              <w:t>9</w:t>
            </w:r>
            <w:r>
              <w:rPr>
                <w:rFonts w:hint="eastAsia" w:ascii="微软雅黑" w:hAnsi="微软雅黑"/>
                <w:color w:val="auto"/>
                <w:sz w:val="18"/>
                <w:szCs w:val="18"/>
                <w:highlight w:val="none"/>
              </w:rPr>
              <w:t>、组成联合体或者接受分包合同的中小企业与联合体内其他企业、分包企业之间不得存在直接控股、管理关系。</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1</w:t>
            </w:r>
            <w:r>
              <w:rPr>
                <w:rFonts w:ascii="微软雅黑" w:hAnsi="微软雅黑"/>
                <w:color w:val="auto"/>
                <w:sz w:val="18"/>
                <w:szCs w:val="18"/>
                <w:highlight w:val="none"/>
              </w:rPr>
              <w:t>0</w:t>
            </w:r>
            <w:r>
              <w:rPr>
                <w:rFonts w:hint="eastAsia" w:ascii="微软雅黑" w:hAnsi="微软雅黑"/>
                <w:color w:val="auto"/>
                <w:sz w:val="18"/>
                <w:szCs w:val="18"/>
                <w:highlight w:val="none"/>
              </w:rPr>
              <w:t>、以联合体形式参加政府采购活动或者合同分包的，《中小企业声明函》中需填写联合体中的中小企业或签订分包意向协议的中小企业相关信息。</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11、</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 xml:space="preserve">依据财政部《司法部关于政府采购支持监狱企业发展有关问题》的通知（财库〔2014〕68号），参加本项目的供应商（递交投标文件（响应文件）的供应商）为监狱企业视同为小型和微型企业，享受促进中小企业发展的政府采购政策。监狱企业参加政府采购活动时，应当提供由省级以上监狱管理局、戒毒管理局（含新疆生产建设兵团）出具的属于监狱企业证明文件的。 </w:t>
            </w:r>
          </w:p>
          <w:p>
            <w:pPr>
              <w:pStyle w:val="6"/>
              <w:ind w:right="142" w:firstLine="360"/>
              <w:jc w:val="both"/>
              <w:rPr>
                <w:rFonts w:ascii="微软雅黑" w:hAnsi="微软雅黑"/>
                <w:color w:val="auto"/>
                <w:sz w:val="18"/>
                <w:szCs w:val="18"/>
                <w:highlight w:val="none"/>
              </w:rPr>
            </w:pPr>
            <w:r>
              <w:rPr>
                <w:rFonts w:hint="eastAsia" w:ascii="微软雅黑" w:hAnsi="微软雅黑"/>
                <w:color w:val="auto"/>
                <w:sz w:val="18"/>
                <w:szCs w:val="18"/>
                <w:highlight w:val="none"/>
              </w:rPr>
              <w:t>12、</w:t>
            </w:r>
            <w:r>
              <w:rPr>
                <w:rFonts w:hint="eastAsia" w:ascii="微软雅黑" w:hAnsi="微软雅黑"/>
                <w:color w:val="auto"/>
                <w:sz w:val="18"/>
                <w:szCs w:val="18"/>
                <w:highlight w:val="none"/>
              </w:rPr>
              <w:tab/>
            </w:r>
            <w:r>
              <w:rPr>
                <w:rFonts w:hint="eastAsia" w:ascii="微软雅黑" w:hAnsi="微软雅黑"/>
                <w:color w:val="auto"/>
                <w:sz w:val="18"/>
                <w:szCs w:val="18"/>
                <w:highlight w:val="none"/>
              </w:rPr>
              <w:t>依据财政部《关于促进残疾人就业政府采购政策的通知》（财库〔2017〕141号），在政府采购活动中，参加本项目的供应商（递交投标文件（响应文件）的供应商，且提供本单位制造的货物、承担的工程或者服务，或者提供其他残疾人福利性单位制造的货物（不包括使用非残疾人福利性单位注册商标的货物）。）为残疾人福利性单位视同小型、微型企业，享受促进中小企业发展的政府采购政策。符合条件的残疾人福利性单位在参加政府采购活动时，应当提供《残疾人福利性单位声明函》，并对声明的真实性负责。</w:t>
            </w:r>
          </w:p>
          <w:p>
            <w:pPr>
              <w:pStyle w:val="6"/>
              <w:ind w:right="142" w:firstLine="360"/>
              <w:jc w:val="both"/>
              <w:rPr>
                <w:rFonts w:ascii="微软雅黑" w:hAnsi="微软雅黑"/>
                <w:color w:val="auto"/>
                <w:sz w:val="18"/>
                <w:szCs w:val="18"/>
                <w:highlight w:val="none"/>
              </w:rPr>
            </w:pPr>
            <w:r>
              <w:rPr>
                <w:rFonts w:hint="eastAsia" w:ascii="微软雅黑" w:hAnsi="微软雅黑"/>
                <w:b/>
                <w:bCs/>
                <w:color w:val="auto"/>
                <w:sz w:val="18"/>
                <w:szCs w:val="18"/>
                <w:highlight w:val="none"/>
              </w:rPr>
              <w:t>注：注：依据工信部联企业〔2011〕300号文件，如供应商在中小企业声明函中填报的从业人员、营业收入、资产总额等数据与填报的所属企业类型（中型企业、小型企业、微型企业）不对应时，评审委员会以数据为准认定其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Cs/>
                <w:color w:val="auto"/>
                <w:sz w:val="18"/>
                <w:szCs w:val="18"/>
                <w:highlight w:val="none"/>
              </w:rPr>
            </w:pPr>
            <w:r>
              <w:rPr>
                <w:rFonts w:hint="eastAsia" w:ascii="微软雅黑" w:hAnsi="微软雅黑"/>
                <w:bCs/>
                <w:color w:val="auto"/>
                <w:sz w:val="18"/>
                <w:szCs w:val="18"/>
                <w:highlight w:val="none"/>
              </w:rPr>
              <w:t>节能环保要求</w:t>
            </w:r>
          </w:p>
        </w:tc>
        <w:tc>
          <w:tcPr>
            <w:tcW w:w="6401" w:type="dxa"/>
            <w:vAlign w:val="center"/>
          </w:tcPr>
          <w:p>
            <w:pPr>
              <w:pStyle w:val="6"/>
              <w:ind w:right="142" w:firstLine="360"/>
              <w:jc w:val="both"/>
              <w:rPr>
                <w:rFonts w:ascii="微软雅黑" w:hAnsi="微软雅黑"/>
                <w:bCs/>
                <w:color w:val="auto"/>
                <w:sz w:val="18"/>
                <w:szCs w:val="18"/>
                <w:highlight w:val="none"/>
              </w:rPr>
            </w:pPr>
            <w:r>
              <w:rPr>
                <w:rFonts w:hint="eastAsia" w:ascii="微软雅黑" w:hAnsi="微软雅黑"/>
                <w:bCs/>
                <w:color w:val="auto"/>
                <w:sz w:val="18"/>
                <w:szCs w:val="18"/>
                <w:highlight w:val="none"/>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p>
          <w:p>
            <w:pPr>
              <w:pStyle w:val="6"/>
              <w:ind w:right="142" w:firstLine="360"/>
              <w:jc w:val="both"/>
              <w:rPr>
                <w:rFonts w:ascii="微软雅黑" w:hAnsi="微软雅黑"/>
                <w:bCs/>
                <w:color w:val="auto"/>
                <w:sz w:val="18"/>
                <w:szCs w:val="18"/>
                <w:highlight w:val="none"/>
              </w:rPr>
            </w:pPr>
            <w:r>
              <w:rPr>
                <w:rFonts w:hint="eastAsia" w:ascii="微软雅黑" w:hAnsi="微软雅黑"/>
                <w:bCs/>
                <w:color w:val="auto"/>
                <w:sz w:val="18"/>
                <w:szCs w:val="18"/>
                <w:highlight w:val="none"/>
              </w:rPr>
              <w:t>本项目性质为工程类项目，非货物类采购；计价方式为工程量清单计价；供应商是建筑业施工单位，非货物生产商或代理商。如本项目工程量清单中所涉及的材料、产品属于上述文件中规定的强制采购节能产品，供应商应综合考虑上述因素进行报价，施工过程中应使用上述产品，但响应文件中无需提供上述强制节能产品认证证书或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Cs/>
                <w:color w:val="auto"/>
                <w:sz w:val="18"/>
                <w:szCs w:val="18"/>
                <w:highlight w:val="none"/>
              </w:rPr>
            </w:pPr>
            <w:r>
              <w:rPr>
                <w:rFonts w:hint="eastAsia" w:ascii="微软雅黑" w:hAnsi="微软雅黑"/>
                <w:color w:val="auto"/>
                <w:sz w:val="18"/>
                <w:szCs w:val="18"/>
                <w:highlight w:val="none"/>
              </w:rPr>
              <w:t>绿色包装</w:t>
            </w:r>
          </w:p>
        </w:tc>
        <w:tc>
          <w:tcPr>
            <w:tcW w:w="6401" w:type="dxa"/>
            <w:vAlign w:val="center"/>
          </w:tcPr>
          <w:p>
            <w:pPr>
              <w:pStyle w:val="6"/>
              <w:ind w:right="142" w:firstLine="360"/>
              <w:jc w:val="both"/>
              <w:rPr>
                <w:rFonts w:ascii="微软雅黑" w:hAnsi="微软雅黑"/>
                <w:bCs/>
                <w:color w:val="auto"/>
                <w:sz w:val="18"/>
                <w:szCs w:val="18"/>
                <w:highlight w:val="none"/>
              </w:rPr>
            </w:pPr>
            <w:r>
              <w:rPr>
                <w:rFonts w:hint="eastAsia" w:ascii="微软雅黑" w:hAnsi="微软雅黑"/>
                <w:color w:val="auto"/>
                <w:sz w:val="18"/>
                <w:szCs w:val="18"/>
                <w:highlight w:val="none"/>
              </w:rPr>
              <w:t>提供产品及相关快递服务如涉及包装的（产品涉及原厂包装或须符合国家安全等特殊要求的除外），应符合《商品包装政府采购需求标准（试行）》及《快递包装政府采购需求标准（试行）》的相关要求。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Cs/>
                <w:color w:val="auto"/>
                <w:sz w:val="18"/>
                <w:szCs w:val="18"/>
                <w:highlight w:val="none"/>
              </w:rPr>
            </w:pPr>
            <w:r>
              <w:rPr>
                <w:rFonts w:hint="eastAsia" w:ascii="微软雅黑" w:hAnsi="微软雅黑"/>
                <w:b/>
                <w:bCs/>
                <w:color w:val="auto"/>
                <w:sz w:val="18"/>
                <w:szCs w:val="18"/>
                <w:highlight w:val="none"/>
              </w:rPr>
              <w:t>审查依据</w:t>
            </w:r>
          </w:p>
        </w:tc>
        <w:tc>
          <w:tcPr>
            <w:tcW w:w="6401" w:type="dxa"/>
            <w:vAlign w:val="center"/>
          </w:tcPr>
          <w:p>
            <w:pPr>
              <w:pStyle w:val="6"/>
              <w:ind w:right="142" w:firstLine="360"/>
              <w:jc w:val="both"/>
              <w:rPr>
                <w:rFonts w:ascii="微软雅黑" w:hAnsi="微软雅黑"/>
                <w:bCs/>
                <w:color w:val="auto"/>
                <w:sz w:val="18"/>
                <w:szCs w:val="18"/>
                <w:highlight w:val="none"/>
              </w:rPr>
            </w:pPr>
            <w:r>
              <w:rPr>
                <w:rFonts w:hint="eastAsia" w:ascii="微软雅黑" w:hAnsi="微软雅黑"/>
                <w:b/>
                <w:bCs/>
                <w:color w:val="auto"/>
                <w:sz w:val="18"/>
                <w:szCs w:val="18"/>
                <w:highlight w:val="none"/>
                <w:lang w:val="en-US"/>
              </w:rPr>
              <w:t>除磋商文件写明“原件、提供原件、原件备查或其它需要单独提供的材料等”要求外，其余情况均以响应文件中所附相应材料复印件为准，响应文件中未附的，视为未提供，按照磋商文件相应条款处理，不接受后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Cs/>
                <w:color w:val="auto"/>
                <w:sz w:val="18"/>
                <w:szCs w:val="18"/>
                <w:highlight w:val="none"/>
              </w:rPr>
            </w:pPr>
            <w:r>
              <w:rPr>
                <w:rFonts w:hint="eastAsia" w:ascii="微软雅黑" w:hAnsi="微软雅黑"/>
                <w:b/>
                <w:bCs/>
                <w:color w:val="auto"/>
                <w:sz w:val="18"/>
                <w:szCs w:val="18"/>
                <w:highlight w:val="none"/>
              </w:rPr>
              <w:t>一致性</w:t>
            </w:r>
          </w:p>
        </w:tc>
        <w:tc>
          <w:tcPr>
            <w:tcW w:w="6401" w:type="dxa"/>
            <w:vAlign w:val="center"/>
          </w:tcPr>
          <w:p>
            <w:pPr>
              <w:pStyle w:val="6"/>
              <w:ind w:right="142" w:firstLine="360"/>
              <w:jc w:val="both"/>
              <w:rPr>
                <w:rFonts w:ascii="微软雅黑" w:hAnsi="微软雅黑"/>
                <w:bCs/>
                <w:color w:val="auto"/>
                <w:sz w:val="18"/>
                <w:szCs w:val="18"/>
                <w:highlight w:val="none"/>
              </w:rPr>
            </w:pPr>
            <w:r>
              <w:rPr>
                <w:rFonts w:hint="eastAsia" w:ascii="微软雅黑" w:hAnsi="微软雅黑"/>
                <w:b/>
                <w:bCs/>
                <w:color w:val="auto"/>
                <w:sz w:val="18"/>
                <w:szCs w:val="18"/>
                <w:highlight w:val="none"/>
                <w:lang w:val="en-US"/>
              </w:rPr>
              <w:t>供应商按磋商文件要求提供的“原件或其它需要单独提供的材料等”与其响应文件中所附上述相应材料的复印件须保持一致，否则视为未响应相应条款要求。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4" w:type="dxa"/>
            <w:vAlign w:val="center"/>
          </w:tcPr>
          <w:p>
            <w:pPr>
              <w:pStyle w:val="336"/>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
                <w:bCs/>
                <w:color w:val="auto"/>
                <w:sz w:val="18"/>
                <w:szCs w:val="18"/>
                <w:highlight w:val="none"/>
              </w:rPr>
            </w:pPr>
            <w:r>
              <w:rPr>
                <w:rFonts w:hint="eastAsia" w:ascii="微软雅黑" w:hAnsi="微软雅黑"/>
                <w:b/>
                <w:bCs/>
                <w:color w:val="auto"/>
                <w:sz w:val="18"/>
                <w:szCs w:val="18"/>
                <w:highlight w:val="none"/>
              </w:rPr>
              <w:t>同义词</w:t>
            </w:r>
          </w:p>
        </w:tc>
        <w:tc>
          <w:tcPr>
            <w:tcW w:w="6401" w:type="dxa"/>
            <w:vAlign w:val="center"/>
          </w:tcPr>
          <w:p>
            <w:pPr>
              <w:pStyle w:val="6"/>
              <w:ind w:right="142" w:firstLine="360"/>
              <w:jc w:val="both"/>
              <w:rPr>
                <w:rFonts w:ascii="微软雅黑" w:hAnsi="微软雅黑"/>
                <w:b/>
                <w:bCs/>
                <w:color w:val="auto"/>
                <w:sz w:val="18"/>
                <w:szCs w:val="18"/>
                <w:highlight w:val="none"/>
                <w:lang w:val="en-US"/>
              </w:rPr>
            </w:pPr>
            <w:r>
              <w:rPr>
                <w:rFonts w:hint="eastAsia" w:ascii="微软雅黑" w:hAnsi="微软雅黑"/>
                <w:b/>
                <w:bCs/>
                <w:color w:val="auto"/>
                <w:sz w:val="18"/>
                <w:szCs w:val="18"/>
                <w:highlight w:val="none"/>
                <w:lang w:val="en-US"/>
              </w:rPr>
              <w:t>针对政府采购、工程建设、工程造价等不同法律法规及规范性文件中同一内容表述不同的情形，采购文件即招标文件、竞争性磋商文件、竞争性谈判文件或单一来源文件，投标文件即为响应文件，采购人即为采购人，供应商即为供应商，中标人即为中标或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834" w:type="dxa"/>
            <w:vAlign w:val="center"/>
          </w:tcPr>
          <w:p>
            <w:pPr>
              <w:pStyle w:val="178"/>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
                <w:color w:val="auto"/>
                <w:sz w:val="18"/>
                <w:szCs w:val="18"/>
                <w:highlight w:val="none"/>
              </w:rPr>
            </w:pPr>
            <w:r>
              <w:rPr>
                <w:rFonts w:hint="eastAsia" w:ascii="微软雅黑" w:hAnsi="微软雅黑"/>
                <w:b/>
                <w:bCs/>
                <w:color w:val="auto"/>
                <w:sz w:val="18"/>
                <w:szCs w:val="18"/>
                <w:highlight w:val="none"/>
              </w:rPr>
              <w:t>询问、质疑、投诉</w:t>
            </w:r>
          </w:p>
        </w:tc>
        <w:tc>
          <w:tcPr>
            <w:tcW w:w="6401" w:type="dxa"/>
            <w:vAlign w:val="center"/>
          </w:tcPr>
          <w:p>
            <w:pPr>
              <w:pStyle w:val="6"/>
              <w:ind w:right="142" w:firstLine="180" w:firstLineChars="100"/>
              <w:jc w:val="both"/>
              <w:rPr>
                <w:rFonts w:ascii="微软雅黑" w:hAnsi="微软雅黑"/>
                <w:b/>
                <w:color w:val="auto"/>
                <w:sz w:val="18"/>
                <w:szCs w:val="18"/>
                <w:highlight w:val="none"/>
              </w:rPr>
            </w:pPr>
            <w:r>
              <w:rPr>
                <w:rFonts w:hint="eastAsia" w:ascii="微软雅黑" w:hAnsi="微软雅黑"/>
                <w:b/>
                <w:color w:val="auto"/>
                <w:sz w:val="18"/>
                <w:szCs w:val="18"/>
                <w:highlight w:val="none"/>
              </w:rPr>
              <w:t>详见供应商须知“八、询问、质疑、投诉”，请供应商认真阅读该须知中关于询问和质疑的解读条款及适用情形，如需反映疑问，应按须知中相应方式和给定格式编制、提交。</w:t>
            </w:r>
          </w:p>
          <w:p>
            <w:pPr>
              <w:pStyle w:val="6"/>
              <w:ind w:right="142" w:firstLine="180" w:firstLineChars="100"/>
              <w:jc w:val="both"/>
              <w:rPr>
                <w:rFonts w:ascii="微软雅黑" w:hAnsi="微软雅黑"/>
                <w:b/>
                <w:color w:val="auto"/>
                <w:sz w:val="18"/>
                <w:szCs w:val="18"/>
                <w:highlight w:val="none"/>
              </w:rPr>
            </w:pPr>
            <w:r>
              <w:rPr>
                <w:rFonts w:hint="eastAsia" w:ascii="微软雅黑" w:hAnsi="微软雅黑"/>
                <w:b/>
                <w:color w:val="auto"/>
                <w:sz w:val="18"/>
                <w:szCs w:val="18"/>
                <w:highlight w:val="none"/>
              </w:rPr>
              <w:t>询问截止时间为：</w:t>
            </w:r>
            <w:r>
              <w:rPr>
                <w:rFonts w:hint="eastAsia" w:ascii="微软雅黑" w:hAnsi="微软雅黑"/>
                <w:b/>
                <w:color w:val="auto"/>
                <w:sz w:val="18"/>
                <w:szCs w:val="18"/>
                <w:highlight w:val="none"/>
                <w:lang w:val="en-US"/>
              </w:rPr>
              <w:t>2022</w:t>
            </w:r>
            <w:r>
              <w:rPr>
                <w:rFonts w:hint="eastAsia" w:ascii="微软雅黑" w:hAnsi="微软雅黑"/>
                <w:b/>
                <w:color w:val="auto"/>
                <w:sz w:val="18"/>
                <w:szCs w:val="18"/>
                <w:highlight w:val="none"/>
              </w:rPr>
              <w:t>年</w:t>
            </w:r>
            <w:r>
              <w:rPr>
                <w:rFonts w:hint="eastAsia" w:ascii="微软雅黑" w:hAnsi="微软雅黑"/>
                <w:b/>
                <w:color w:val="auto"/>
                <w:sz w:val="18"/>
                <w:szCs w:val="18"/>
                <w:highlight w:val="none"/>
                <w:lang w:val="en-US"/>
              </w:rPr>
              <w:t>0</w:t>
            </w:r>
            <w:r>
              <w:rPr>
                <w:rFonts w:hint="eastAsia" w:ascii="微软雅黑" w:hAnsi="微软雅黑"/>
                <w:b/>
                <w:color w:val="auto"/>
                <w:sz w:val="18"/>
                <w:szCs w:val="18"/>
                <w:highlight w:val="none"/>
                <w:lang w:val="en-US" w:eastAsia="zh-CN"/>
              </w:rPr>
              <w:t>8</w:t>
            </w:r>
            <w:r>
              <w:rPr>
                <w:rFonts w:hint="eastAsia" w:ascii="微软雅黑" w:hAnsi="微软雅黑"/>
                <w:b/>
                <w:color w:val="auto"/>
                <w:sz w:val="18"/>
                <w:szCs w:val="18"/>
                <w:highlight w:val="none"/>
              </w:rPr>
              <w:t>月</w:t>
            </w:r>
            <w:r>
              <w:rPr>
                <w:rFonts w:hint="eastAsia" w:ascii="微软雅黑" w:hAnsi="微软雅黑"/>
                <w:b/>
                <w:color w:val="auto"/>
                <w:sz w:val="18"/>
                <w:szCs w:val="18"/>
                <w:highlight w:val="none"/>
                <w:lang w:val="en-US" w:eastAsia="zh-CN"/>
              </w:rPr>
              <w:t>11</w:t>
            </w:r>
            <w:r>
              <w:rPr>
                <w:rFonts w:hint="eastAsia" w:ascii="微软雅黑" w:hAnsi="微软雅黑"/>
                <w:b/>
                <w:color w:val="auto"/>
                <w:sz w:val="18"/>
                <w:szCs w:val="18"/>
                <w:highlight w:val="none"/>
              </w:rPr>
              <w:t>日，逾期不予受理。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834" w:type="dxa"/>
            <w:vAlign w:val="center"/>
          </w:tcPr>
          <w:p>
            <w:pPr>
              <w:pStyle w:val="178"/>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
                <w:bCs/>
                <w:color w:val="auto"/>
                <w:sz w:val="18"/>
                <w:szCs w:val="18"/>
                <w:highlight w:val="none"/>
              </w:rPr>
            </w:pPr>
            <w:r>
              <w:rPr>
                <w:rFonts w:hint="eastAsia" w:ascii="微软雅黑" w:hAnsi="微软雅黑"/>
                <w:b/>
                <w:bCs/>
                <w:color w:val="auto"/>
                <w:sz w:val="18"/>
                <w:szCs w:val="18"/>
                <w:highlight w:val="none"/>
              </w:rPr>
              <w:t>合同</w:t>
            </w:r>
          </w:p>
        </w:tc>
        <w:tc>
          <w:tcPr>
            <w:tcW w:w="6401" w:type="dxa"/>
            <w:vAlign w:val="center"/>
          </w:tcPr>
          <w:p>
            <w:pPr>
              <w:pStyle w:val="6"/>
              <w:ind w:right="142" w:firstLine="180" w:firstLineChars="100"/>
              <w:jc w:val="both"/>
              <w:rPr>
                <w:rFonts w:ascii="微软雅黑" w:hAnsi="微软雅黑"/>
                <w:b/>
                <w:color w:val="auto"/>
                <w:sz w:val="18"/>
                <w:szCs w:val="18"/>
                <w:highlight w:val="none"/>
              </w:rPr>
            </w:pPr>
            <w:r>
              <w:rPr>
                <w:rFonts w:hint="eastAsia" w:ascii="微软雅黑" w:hAnsi="微软雅黑"/>
                <w:b/>
                <w:color w:val="auto"/>
                <w:sz w:val="18"/>
                <w:szCs w:val="18"/>
                <w:highlight w:val="none"/>
              </w:rPr>
              <w:t>政府采购合同：成交供应商应在采购合同签订后的24 小时之内将合同扫描件发送至邮箱</w:t>
            </w:r>
            <w:r>
              <w:rPr>
                <w:rFonts w:ascii="微软雅黑" w:hAnsi="微软雅黑"/>
                <w:b/>
                <w:color w:val="auto"/>
                <w:sz w:val="18"/>
                <w:szCs w:val="18"/>
                <w:highlight w:val="none"/>
              </w:rPr>
              <w:t>Dept</w:t>
            </w:r>
            <w:r>
              <w:rPr>
                <w:rFonts w:hint="eastAsia" w:ascii="微软雅黑" w:hAnsi="微软雅黑"/>
                <w:b/>
                <w:color w:val="auto"/>
                <w:sz w:val="18"/>
                <w:szCs w:val="18"/>
                <w:highlight w:val="none"/>
                <w:lang w:val="en-US"/>
              </w:rPr>
              <w:t>6</w:t>
            </w:r>
            <w:r>
              <w:rPr>
                <w:rFonts w:ascii="微软雅黑" w:hAnsi="微软雅黑"/>
                <w:b/>
                <w:color w:val="auto"/>
                <w:sz w:val="18"/>
                <w:szCs w:val="18"/>
                <w:highlight w:val="none"/>
              </w:rPr>
              <w:t>@guofa818.com</w:t>
            </w:r>
            <w:r>
              <w:rPr>
                <w:rFonts w:hint="eastAsia" w:ascii="微软雅黑" w:hAnsi="微软雅黑"/>
                <w:b/>
                <w:color w:val="auto"/>
                <w:sz w:val="18"/>
                <w:szCs w:val="18"/>
                <w:highlight w:val="none"/>
              </w:rPr>
              <w:t>，以便办理退还响应保证金事宜，标题为“</w:t>
            </w:r>
            <w:r>
              <w:rPr>
                <w:rFonts w:hint="eastAsia" w:ascii="微软雅黑" w:hAnsi="微软雅黑"/>
                <w:b/>
                <w:color w:val="auto"/>
                <w:sz w:val="18"/>
                <w:szCs w:val="18"/>
                <w:highlight w:val="none"/>
                <w:lang w:eastAsia="zh-CN"/>
              </w:rPr>
              <w:t>哈尔滨工业大学科研房间电路改造工程</w:t>
            </w:r>
            <w:r>
              <w:rPr>
                <w:rFonts w:hint="eastAsia" w:ascii="微软雅黑" w:hAnsi="微软雅黑"/>
                <w:b/>
                <w:color w:val="auto"/>
                <w:sz w:val="18"/>
                <w:szCs w:val="18"/>
                <w:highlight w:val="none"/>
              </w:rPr>
              <w:t>——采购合同”。因成交供应商发送延时导致的响应保证金未及时退还的后果由供应商自行承担，采购代理机构不承担任何责任。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834" w:type="dxa"/>
            <w:vAlign w:val="center"/>
          </w:tcPr>
          <w:p>
            <w:pPr>
              <w:pStyle w:val="178"/>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spacing w:line="312" w:lineRule="auto"/>
              <w:jc w:val="center"/>
              <w:rPr>
                <w:rFonts w:ascii="微软雅黑" w:hAnsi="微软雅黑"/>
                <w:b/>
                <w:color w:val="auto"/>
                <w:sz w:val="18"/>
                <w:szCs w:val="18"/>
                <w:highlight w:val="none"/>
              </w:rPr>
            </w:pPr>
            <w:r>
              <w:rPr>
                <w:rFonts w:hint="eastAsia" w:ascii="微软雅黑" w:hAnsi="微软雅黑"/>
                <w:b/>
                <w:color w:val="auto"/>
                <w:sz w:val="18"/>
                <w:szCs w:val="18"/>
                <w:highlight w:val="none"/>
              </w:rPr>
              <w:t>工程量清单电子投标书（.TBS格式文件）编制要求</w:t>
            </w:r>
          </w:p>
        </w:tc>
        <w:tc>
          <w:tcPr>
            <w:tcW w:w="6401" w:type="dxa"/>
            <w:vAlign w:val="center"/>
          </w:tcPr>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rPr>
              <w:t>1、各供应商报价</w:t>
            </w:r>
            <w:r>
              <w:rPr>
                <w:rFonts w:ascii="微软雅黑" w:hAnsi="微软雅黑"/>
                <w:b/>
                <w:color w:val="auto"/>
                <w:sz w:val="18"/>
                <w:szCs w:val="18"/>
                <w:highlight w:val="none"/>
              </w:rPr>
              <w:t>文件必须</w:t>
            </w:r>
            <w:r>
              <w:rPr>
                <w:rFonts w:hint="eastAsia" w:ascii="微软雅黑" w:hAnsi="微软雅黑"/>
                <w:b/>
                <w:color w:val="auto"/>
                <w:sz w:val="18"/>
                <w:szCs w:val="18"/>
                <w:highlight w:val="none"/>
              </w:rPr>
              <w:t>使用采购人（招标代理公司）使用招标工具生成的招标书（.Z</w:t>
            </w:r>
            <w:r>
              <w:rPr>
                <w:rFonts w:ascii="微软雅黑" w:hAnsi="微软雅黑"/>
                <w:b/>
                <w:color w:val="auto"/>
                <w:sz w:val="18"/>
                <w:szCs w:val="18"/>
                <w:highlight w:val="none"/>
              </w:rPr>
              <w:t>BS</w:t>
            </w:r>
            <w:r>
              <w:rPr>
                <w:rFonts w:hint="eastAsia" w:ascii="微软雅黑" w:hAnsi="微软雅黑"/>
                <w:b/>
                <w:color w:val="auto"/>
                <w:sz w:val="18"/>
                <w:szCs w:val="18"/>
                <w:highlight w:val="none"/>
              </w:rPr>
              <w:t>格式文件）和</w:t>
            </w:r>
            <w:r>
              <w:rPr>
                <w:rFonts w:hint="eastAsia" w:ascii="微软雅黑" w:hAnsi="微软雅黑"/>
                <w:b/>
                <w:color w:val="auto"/>
                <w:sz w:val="18"/>
                <w:szCs w:val="18"/>
                <w:highlight w:val="none"/>
                <w:lang w:val="en-US" w:eastAsia="zh-CN"/>
              </w:rPr>
              <w:t>采购</w:t>
            </w:r>
            <w:r>
              <w:rPr>
                <w:rFonts w:hint="eastAsia" w:ascii="微软雅黑" w:hAnsi="微软雅黑"/>
                <w:b/>
                <w:color w:val="auto"/>
                <w:sz w:val="18"/>
                <w:szCs w:val="18"/>
                <w:highlight w:val="none"/>
              </w:rPr>
              <w:t>文件一起发放给供应商的工程量清单进行编制投标书。</w:t>
            </w:r>
          </w:p>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rPr>
              <w:t>2、工程量清单电子投标书（.TBS格式文件）中</w:t>
            </w:r>
            <w:r>
              <w:rPr>
                <w:rFonts w:ascii="微软雅黑" w:hAnsi="微软雅黑"/>
                <w:b/>
                <w:color w:val="auto"/>
                <w:sz w:val="18"/>
                <w:szCs w:val="18"/>
                <w:highlight w:val="none"/>
              </w:rPr>
              <w:t>的内容必须与</w:t>
            </w:r>
            <w:r>
              <w:rPr>
                <w:rFonts w:hint="eastAsia" w:ascii="微软雅黑" w:hAnsi="微软雅黑"/>
                <w:b/>
                <w:color w:val="auto"/>
                <w:sz w:val="18"/>
                <w:szCs w:val="18"/>
                <w:highlight w:val="none"/>
              </w:rPr>
              <w:t>投标</w:t>
            </w:r>
            <w:r>
              <w:rPr>
                <w:rFonts w:ascii="微软雅黑" w:hAnsi="微软雅黑"/>
                <w:b/>
                <w:color w:val="auto"/>
                <w:sz w:val="18"/>
                <w:szCs w:val="18"/>
                <w:highlight w:val="none"/>
              </w:rPr>
              <w:t>文件内容一致</w:t>
            </w:r>
            <w:r>
              <w:rPr>
                <w:rFonts w:hint="eastAsia" w:ascii="微软雅黑" w:hAnsi="微软雅黑"/>
                <w:b/>
                <w:color w:val="auto"/>
                <w:sz w:val="18"/>
                <w:szCs w:val="18"/>
                <w:highlight w:val="none"/>
              </w:rPr>
              <w:t>。</w:t>
            </w:r>
          </w:p>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rPr>
              <w:t>3、供应商必须</w:t>
            </w:r>
            <w:r>
              <w:rPr>
                <w:rFonts w:ascii="微软雅黑" w:hAnsi="微软雅黑"/>
                <w:b/>
                <w:color w:val="auto"/>
                <w:sz w:val="18"/>
                <w:szCs w:val="18"/>
                <w:highlight w:val="none"/>
              </w:rPr>
              <w:t>保证</w:t>
            </w:r>
            <w:r>
              <w:rPr>
                <w:rFonts w:hint="eastAsia" w:ascii="微软雅黑" w:hAnsi="微软雅黑"/>
                <w:b/>
                <w:color w:val="auto"/>
                <w:sz w:val="18"/>
                <w:szCs w:val="18"/>
                <w:highlight w:val="none"/>
              </w:rPr>
              <w:t>工程量清单电子投标书（.TBS格式文件）数</w:t>
            </w:r>
            <w:r>
              <w:rPr>
                <w:rFonts w:ascii="微软雅黑" w:hAnsi="微软雅黑"/>
                <w:b/>
                <w:color w:val="auto"/>
                <w:sz w:val="18"/>
                <w:szCs w:val="18"/>
                <w:highlight w:val="none"/>
              </w:rPr>
              <w:t>据能够自由读取。</w:t>
            </w:r>
          </w:p>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rPr>
              <w:t>4、工程量清单电子投标书（.TBS格式文件）</w:t>
            </w:r>
            <w:r>
              <w:rPr>
                <w:rFonts w:ascii="微软雅黑" w:hAnsi="微软雅黑"/>
                <w:b/>
                <w:color w:val="auto"/>
                <w:sz w:val="18"/>
                <w:szCs w:val="18"/>
                <w:highlight w:val="none"/>
              </w:rPr>
              <w:t>导入后</w:t>
            </w:r>
            <w:r>
              <w:rPr>
                <w:rFonts w:hint="eastAsia" w:ascii="微软雅黑" w:hAnsi="微软雅黑"/>
                <w:b/>
                <w:color w:val="auto"/>
                <w:sz w:val="18"/>
                <w:szCs w:val="18"/>
                <w:highlight w:val="none"/>
              </w:rPr>
              <w:t>投标书总报价、分部分项各单项报价、措施项总报价中</w:t>
            </w:r>
            <w:r>
              <w:rPr>
                <w:rFonts w:ascii="微软雅黑" w:hAnsi="微软雅黑"/>
                <w:b/>
                <w:color w:val="auto"/>
                <w:sz w:val="18"/>
                <w:szCs w:val="18"/>
                <w:highlight w:val="none"/>
              </w:rPr>
              <w:t>任何一项不能为0或缺项。</w:t>
            </w:r>
          </w:p>
          <w:p>
            <w:pPr>
              <w:adjustRightInd w:val="0"/>
              <w:snapToGrid w:val="0"/>
              <w:spacing w:line="400" w:lineRule="exact"/>
              <w:rPr>
                <w:rFonts w:ascii="微软雅黑" w:hAnsi="微软雅黑"/>
                <w:b/>
                <w:color w:val="auto"/>
                <w:sz w:val="18"/>
                <w:szCs w:val="18"/>
                <w:highlight w:val="none"/>
              </w:rPr>
            </w:pPr>
            <w:r>
              <w:rPr>
                <w:rFonts w:hint="eastAsia" w:ascii="微软雅黑" w:hAnsi="微软雅黑"/>
                <w:b/>
                <w:color w:val="auto"/>
                <w:sz w:val="18"/>
                <w:szCs w:val="18"/>
                <w:highlight w:val="none"/>
              </w:rPr>
              <w:t>5、</w:t>
            </w:r>
            <w:r>
              <w:rPr>
                <w:rFonts w:ascii="微软雅黑" w:hAnsi="微软雅黑"/>
                <w:b/>
                <w:color w:val="auto"/>
                <w:sz w:val="18"/>
                <w:szCs w:val="18"/>
                <w:highlight w:val="none"/>
              </w:rPr>
              <w:t>不能满足上述要求的投标将被否决。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834" w:type="dxa"/>
            <w:vAlign w:val="center"/>
          </w:tcPr>
          <w:p>
            <w:pPr>
              <w:pStyle w:val="178"/>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adjustRightInd w:val="0"/>
              <w:snapToGrid w:val="0"/>
              <w:spacing w:line="400" w:lineRule="exact"/>
              <w:rPr>
                <w:rFonts w:ascii="微软雅黑" w:hAnsi="微软雅黑"/>
                <w:b/>
                <w:color w:val="auto"/>
                <w:sz w:val="18"/>
                <w:szCs w:val="18"/>
                <w:highlight w:val="none"/>
              </w:rPr>
            </w:pPr>
            <w:r>
              <w:rPr>
                <w:rFonts w:hint="eastAsia" w:ascii="微软雅黑" w:hAnsi="微软雅黑"/>
                <w:b/>
                <w:color w:val="auto"/>
                <w:sz w:val="18"/>
                <w:szCs w:val="18"/>
                <w:highlight w:val="none"/>
              </w:rPr>
              <w:t>是否要求递交投标文件电子版</w:t>
            </w:r>
          </w:p>
        </w:tc>
        <w:tc>
          <w:tcPr>
            <w:tcW w:w="6401" w:type="dxa"/>
            <w:vAlign w:val="center"/>
          </w:tcPr>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rPr>
              <w:t>□不要求</w:t>
            </w:r>
          </w:p>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rPr>
              <w:t>■要求，中招联合招标采购平台上传电子文件如有疑问请拨打平台客服热线</w:t>
            </w:r>
            <w:r>
              <w:rPr>
                <w:rFonts w:ascii="微软雅黑" w:hAnsi="微软雅黑"/>
                <w:b/>
                <w:color w:val="auto"/>
                <w:sz w:val="18"/>
                <w:szCs w:val="18"/>
                <w:highlight w:val="none"/>
              </w:rPr>
              <w:t>010-86397110</w:t>
            </w:r>
            <w:r>
              <w:rPr>
                <w:rFonts w:hint="eastAsia" w:ascii="微软雅黑" w:hAnsi="微软雅黑"/>
                <w:b/>
                <w:color w:val="auto"/>
                <w:sz w:val="18"/>
                <w:szCs w:val="18"/>
                <w:highlight w:val="none"/>
              </w:rPr>
              <w:t>，(工作日9:00-12:00，13:30-17:00)。不能满足的投标文件按否决投标处理。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834" w:type="dxa"/>
            <w:vAlign w:val="center"/>
          </w:tcPr>
          <w:p>
            <w:pPr>
              <w:pStyle w:val="178"/>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adjustRightInd w:val="0"/>
              <w:snapToGrid w:val="0"/>
              <w:spacing w:line="400" w:lineRule="exact"/>
              <w:rPr>
                <w:rFonts w:ascii="微软雅黑" w:hAnsi="微软雅黑"/>
                <w:b/>
                <w:color w:val="auto"/>
                <w:sz w:val="18"/>
                <w:szCs w:val="18"/>
                <w:highlight w:val="none"/>
              </w:rPr>
            </w:pPr>
            <w:r>
              <w:rPr>
                <w:rFonts w:hint="eastAsia" w:ascii="微软雅黑" w:hAnsi="微软雅黑"/>
                <w:b/>
                <w:color w:val="auto"/>
                <w:sz w:val="18"/>
                <w:szCs w:val="18"/>
                <w:highlight w:val="none"/>
              </w:rPr>
              <w:t>对项目机构人员</w:t>
            </w:r>
            <w:r>
              <w:rPr>
                <w:rFonts w:ascii="微软雅黑" w:hAnsi="微软雅黑"/>
                <w:b/>
                <w:color w:val="auto"/>
                <w:sz w:val="18"/>
                <w:szCs w:val="18"/>
                <w:highlight w:val="none"/>
              </w:rPr>
              <w:t>管理</w:t>
            </w:r>
            <w:r>
              <w:rPr>
                <w:rFonts w:hint="eastAsia" w:ascii="微软雅黑" w:hAnsi="微软雅黑"/>
                <w:b/>
                <w:color w:val="auto"/>
                <w:sz w:val="18"/>
                <w:szCs w:val="18"/>
                <w:highlight w:val="none"/>
              </w:rPr>
              <w:t>的</w:t>
            </w:r>
            <w:r>
              <w:rPr>
                <w:rFonts w:ascii="微软雅黑" w:hAnsi="微软雅黑"/>
                <w:b/>
                <w:color w:val="auto"/>
                <w:sz w:val="18"/>
                <w:szCs w:val="18"/>
                <w:highlight w:val="none"/>
              </w:rPr>
              <w:t>要求</w:t>
            </w:r>
          </w:p>
        </w:tc>
        <w:tc>
          <w:tcPr>
            <w:tcW w:w="6401" w:type="dxa"/>
            <w:vAlign w:val="center"/>
          </w:tcPr>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lang w:val="en-US"/>
              </w:rPr>
              <w:t>成交</w:t>
            </w:r>
            <w:r>
              <w:rPr>
                <w:rFonts w:hint="eastAsia" w:ascii="微软雅黑" w:hAnsi="微软雅黑"/>
                <w:b/>
                <w:color w:val="auto"/>
                <w:sz w:val="18"/>
                <w:szCs w:val="18"/>
                <w:highlight w:val="none"/>
              </w:rPr>
              <w:t>的项目班子人员原则上不得更换，因特殊原因确需更换的，</w:t>
            </w:r>
            <w:r>
              <w:rPr>
                <w:rFonts w:hint="eastAsia" w:ascii="微软雅黑" w:hAnsi="微软雅黑"/>
                <w:b/>
                <w:color w:val="auto"/>
                <w:sz w:val="18"/>
                <w:szCs w:val="18"/>
                <w:highlight w:val="none"/>
                <w:lang w:val="en-US"/>
              </w:rPr>
              <w:t>成交供应商</w:t>
            </w:r>
            <w:r>
              <w:rPr>
                <w:rFonts w:hint="eastAsia" w:ascii="微软雅黑" w:hAnsi="微软雅黑"/>
                <w:b/>
                <w:color w:val="auto"/>
                <w:sz w:val="18"/>
                <w:szCs w:val="18"/>
                <w:highlight w:val="none"/>
              </w:rPr>
              <w:t>需携带相关证明材料及经</w:t>
            </w:r>
            <w:r>
              <w:rPr>
                <w:rFonts w:hint="eastAsia" w:ascii="微软雅黑" w:hAnsi="微软雅黑"/>
                <w:b/>
                <w:color w:val="auto"/>
                <w:sz w:val="18"/>
                <w:szCs w:val="18"/>
                <w:highlight w:val="none"/>
                <w:lang w:val="en-US"/>
              </w:rPr>
              <w:t>采购</w:t>
            </w:r>
            <w:r>
              <w:rPr>
                <w:rFonts w:hint="eastAsia" w:ascii="微软雅黑" w:hAnsi="微软雅黑"/>
                <w:b/>
                <w:color w:val="auto"/>
                <w:sz w:val="18"/>
                <w:szCs w:val="18"/>
                <w:highlight w:val="none"/>
              </w:rPr>
              <w:t>人同意办理更换手续。</w:t>
            </w:r>
            <w:r>
              <w:rPr>
                <w:rFonts w:ascii="微软雅黑" w:hAnsi="微软雅黑"/>
                <w:b/>
                <w:color w:val="auto"/>
                <w:sz w:val="18"/>
                <w:szCs w:val="18"/>
                <w:highlight w:val="none"/>
              </w:rPr>
              <w:t>否则，将按不执行</w:t>
            </w:r>
            <w:r>
              <w:rPr>
                <w:rFonts w:hint="eastAsia" w:ascii="微软雅黑" w:hAnsi="微软雅黑"/>
                <w:b/>
                <w:color w:val="auto"/>
                <w:sz w:val="18"/>
                <w:szCs w:val="18"/>
                <w:highlight w:val="none"/>
                <w:lang w:val="en-US"/>
              </w:rPr>
              <w:t>响应</w:t>
            </w:r>
            <w:r>
              <w:rPr>
                <w:rFonts w:ascii="微软雅黑" w:hAnsi="微软雅黑"/>
                <w:b/>
                <w:color w:val="auto"/>
                <w:sz w:val="18"/>
                <w:szCs w:val="18"/>
                <w:highlight w:val="none"/>
              </w:rPr>
              <w:t>文件及合同条款情况处理，清出施工现场，履约保证金不予退还，并承担由此给</w:t>
            </w:r>
            <w:r>
              <w:rPr>
                <w:rFonts w:hint="eastAsia" w:ascii="微软雅黑" w:hAnsi="微软雅黑"/>
                <w:b/>
                <w:color w:val="auto"/>
                <w:sz w:val="18"/>
                <w:szCs w:val="18"/>
                <w:highlight w:val="none"/>
                <w:lang w:val="en-US"/>
              </w:rPr>
              <w:t>采购</w:t>
            </w:r>
            <w:r>
              <w:rPr>
                <w:rFonts w:ascii="微软雅黑" w:hAnsi="微软雅黑"/>
                <w:b/>
                <w:color w:val="auto"/>
                <w:sz w:val="18"/>
                <w:szCs w:val="18"/>
                <w:highlight w:val="none"/>
              </w:rPr>
              <w:t>人造成的经济损失</w:t>
            </w:r>
            <w:r>
              <w:rPr>
                <w:rFonts w:hint="eastAsia" w:ascii="微软雅黑" w:hAnsi="微软雅黑"/>
                <w:b/>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834" w:type="dxa"/>
            <w:vAlign w:val="center"/>
          </w:tcPr>
          <w:p>
            <w:pPr>
              <w:pStyle w:val="178"/>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adjustRightInd w:val="0"/>
              <w:snapToGrid w:val="0"/>
              <w:spacing w:line="400" w:lineRule="exact"/>
              <w:ind w:firstLine="450" w:firstLineChars="250"/>
              <w:rPr>
                <w:rFonts w:ascii="微软雅黑" w:hAnsi="微软雅黑"/>
                <w:b/>
                <w:color w:val="auto"/>
                <w:sz w:val="18"/>
                <w:szCs w:val="18"/>
                <w:highlight w:val="none"/>
              </w:rPr>
            </w:pPr>
            <w:r>
              <w:rPr>
                <w:rFonts w:ascii="微软雅黑" w:hAnsi="微软雅黑"/>
                <w:b/>
                <w:color w:val="auto"/>
                <w:sz w:val="18"/>
                <w:szCs w:val="18"/>
                <w:highlight w:val="none"/>
              </w:rPr>
              <w:t>其他</w:t>
            </w:r>
            <w:r>
              <w:rPr>
                <w:rFonts w:hint="eastAsia" w:ascii="微软雅黑" w:hAnsi="微软雅黑"/>
                <w:b/>
                <w:color w:val="auto"/>
                <w:sz w:val="18"/>
                <w:szCs w:val="18"/>
                <w:highlight w:val="none"/>
              </w:rPr>
              <w:t>（</w:t>
            </w:r>
            <w:r>
              <w:rPr>
                <w:rFonts w:hint="eastAsia" w:ascii="微软雅黑" w:hAnsi="微软雅黑"/>
                <w:b/>
                <w:color w:val="auto"/>
                <w:sz w:val="18"/>
                <w:szCs w:val="18"/>
                <w:highlight w:val="none"/>
                <w:lang w:val="en-US"/>
              </w:rPr>
              <w:t>一</w:t>
            </w:r>
            <w:r>
              <w:rPr>
                <w:rFonts w:hint="eastAsia" w:ascii="微软雅黑" w:hAnsi="微软雅黑"/>
                <w:b/>
                <w:color w:val="auto"/>
                <w:sz w:val="18"/>
                <w:szCs w:val="18"/>
                <w:highlight w:val="none"/>
              </w:rPr>
              <w:t>）</w:t>
            </w:r>
          </w:p>
        </w:tc>
        <w:tc>
          <w:tcPr>
            <w:tcW w:w="6401" w:type="dxa"/>
            <w:vAlign w:val="center"/>
          </w:tcPr>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lang w:val="en-US"/>
              </w:rPr>
              <w:t>供应商</w:t>
            </w:r>
            <w:r>
              <w:rPr>
                <w:rFonts w:ascii="微软雅黑" w:hAnsi="微软雅黑"/>
                <w:b/>
                <w:color w:val="auto"/>
                <w:sz w:val="18"/>
                <w:szCs w:val="18"/>
                <w:highlight w:val="none"/>
              </w:rPr>
              <w:t>在中招联合招标采购平台购买并下载</w:t>
            </w:r>
            <w:r>
              <w:rPr>
                <w:rFonts w:hint="eastAsia" w:ascii="微软雅黑" w:hAnsi="微软雅黑"/>
                <w:b/>
                <w:color w:val="auto"/>
                <w:sz w:val="18"/>
                <w:szCs w:val="18"/>
                <w:highlight w:val="none"/>
                <w:lang w:val="en-US"/>
              </w:rPr>
              <w:t>采购</w:t>
            </w:r>
            <w:r>
              <w:rPr>
                <w:rFonts w:ascii="微软雅黑" w:hAnsi="微软雅黑"/>
                <w:b/>
                <w:color w:val="auto"/>
                <w:sz w:val="18"/>
                <w:szCs w:val="18"/>
                <w:highlight w:val="none"/>
              </w:rPr>
              <w:t>文件、工程量清单等资料，使用电子投标工具制作</w:t>
            </w:r>
            <w:r>
              <w:rPr>
                <w:rFonts w:hint="eastAsia" w:ascii="微软雅黑" w:hAnsi="微软雅黑"/>
                <w:b/>
                <w:color w:val="auto"/>
                <w:sz w:val="18"/>
                <w:szCs w:val="18"/>
                <w:highlight w:val="none"/>
                <w:lang w:val="en-US"/>
              </w:rPr>
              <w:t>响应</w:t>
            </w:r>
            <w:r>
              <w:rPr>
                <w:rFonts w:ascii="微软雅黑" w:hAnsi="微软雅黑"/>
                <w:b/>
                <w:color w:val="auto"/>
                <w:sz w:val="18"/>
                <w:szCs w:val="18"/>
                <w:highlight w:val="none"/>
              </w:rPr>
              <w:t>文件、工程量清单</w:t>
            </w:r>
            <w:r>
              <w:rPr>
                <w:rFonts w:hint="eastAsia" w:ascii="微软雅黑" w:hAnsi="微软雅黑"/>
                <w:b/>
                <w:color w:val="auto"/>
                <w:sz w:val="18"/>
                <w:szCs w:val="18"/>
                <w:highlight w:val="none"/>
              </w:rPr>
              <w:t>（</w:t>
            </w:r>
            <w:r>
              <w:rPr>
                <w:rFonts w:ascii="微软雅黑" w:hAnsi="微软雅黑"/>
                <w:b/>
                <w:color w:val="auto"/>
                <w:sz w:val="18"/>
                <w:szCs w:val="18"/>
                <w:highlight w:val="none"/>
              </w:rPr>
              <w:t>电子投标书TBS格式文件和GBQ版本</w:t>
            </w:r>
            <w:r>
              <w:rPr>
                <w:rFonts w:hint="eastAsia" w:ascii="微软雅黑" w:hAnsi="微软雅黑"/>
                <w:b/>
                <w:color w:val="auto"/>
                <w:sz w:val="18"/>
                <w:szCs w:val="18"/>
                <w:highlight w:val="none"/>
              </w:rPr>
              <w:t>）</w:t>
            </w:r>
            <w:r>
              <w:rPr>
                <w:rFonts w:ascii="微软雅黑" w:hAnsi="微软雅黑"/>
                <w:b/>
                <w:color w:val="auto"/>
                <w:sz w:val="18"/>
                <w:szCs w:val="18"/>
                <w:highlight w:val="none"/>
              </w:rPr>
              <w:t>在</w:t>
            </w:r>
            <w:r>
              <w:rPr>
                <w:rFonts w:hint="eastAsia" w:ascii="微软雅黑" w:hAnsi="微软雅黑"/>
                <w:b/>
                <w:color w:val="auto"/>
                <w:sz w:val="18"/>
                <w:szCs w:val="18"/>
                <w:highlight w:val="none"/>
                <w:lang w:val="en-US"/>
              </w:rPr>
              <w:t>递交</w:t>
            </w:r>
            <w:r>
              <w:rPr>
                <w:rFonts w:ascii="微软雅黑" w:hAnsi="微软雅黑"/>
                <w:b/>
                <w:color w:val="auto"/>
                <w:sz w:val="18"/>
                <w:szCs w:val="18"/>
                <w:highlight w:val="none"/>
              </w:rPr>
              <w:t>截止时间前上传至平台</w:t>
            </w:r>
            <w:r>
              <w:rPr>
                <w:rFonts w:hint="eastAsia" w:ascii="微软雅黑" w:hAnsi="微软雅黑"/>
                <w:b/>
                <w:color w:val="auto"/>
                <w:sz w:val="18"/>
                <w:szCs w:val="18"/>
                <w:highlight w:val="none"/>
              </w:rPr>
              <w:t>；</w:t>
            </w:r>
          </w:p>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rPr>
              <w:t>工程量清单（电子投标书TBS格式文件和GBQ</w:t>
            </w:r>
            <w:r>
              <w:rPr>
                <w:rFonts w:hint="eastAsia" w:ascii="微软雅黑" w:hAnsi="微软雅黑"/>
                <w:b/>
                <w:color w:val="auto"/>
                <w:sz w:val="18"/>
                <w:szCs w:val="18"/>
                <w:highlight w:val="none"/>
                <w:lang w:val="en-US" w:eastAsia="zh-CN"/>
              </w:rPr>
              <w:t>6</w:t>
            </w:r>
            <w:r>
              <w:rPr>
                <w:rFonts w:hint="eastAsia" w:ascii="微软雅黑" w:hAnsi="微软雅黑"/>
                <w:b/>
                <w:color w:val="auto"/>
                <w:sz w:val="18"/>
                <w:szCs w:val="18"/>
                <w:highlight w:val="none"/>
              </w:rPr>
              <w:t>版本）必须随</w:t>
            </w:r>
            <w:r>
              <w:rPr>
                <w:rFonts w:hint="eastAsia" w:ascii="微软雅黑" w:hAnsi="微软雅黑"/>
                <w:b/>
                <w:color w:val="auto"/>
                <w:sz w:val="18"/>
                <w:szCs w:val="18"/>
                <w:highlight w:val="none"/>
                <w:lang w:val="en-US"/>
              </w:rPr>
              <w:t>响应文件</w:t>
            </w:r>
            <w:r>
              <w:rPr>
                <w:rFonts w:hint="eastAsia" w:ascii="微软雅黑" w:hAnsi="微软雅黑"/>
                <w:b/>
                <w:color w:val="auto"/>
                <w:sz w:val="18"/>
                <w:szCs w:val="18"/>
                <w:highlight w:val="none"/>
              </w:rPr>
              <w:t>一起上传至</w:t>
            </w:r>
            <w:r>
              <w:rPr>
                <w:rFonts w:ascii="微软雅黑" w:hAnsi="微软雅黑"/>
                <w:b/>
                <w:color w:val="auto"/>
                <w:sz w:val="18"/>
                <w:szCs w:val="18"/>
                <w:highlight w:val="none"/>
              </w:rPr>
              <w:t>中招联合招标采购平台</w:t>
            </w:r>
            <w:r>
              <w:rPr>
                <w:rFonts w:hint="eastAsia" w:ascii="微软雅黑" w:hAnsi="微软雅黑"/>
                <w:b/>
                <w:color w:val="auto"/>
                <w:sz w:val="18"/>
                <w:szCs w:val="18"/>
                <w:highlight w:val="none"/>
              </w:rPr>
              <w:t>，否则</w:t>
            </w:r>
            <w:r>
              <w:rPr>
                <w:rFonts w:hint="eastAsia" w:ascii="微软雅黑" w:hAnsi="微软雅黑"/>
                <w:b/>
                <w:color w:val="auto"/>
                <w:sz w:val="18"/>
                <w:szCs w:val="18"/>
                <w:highlight w:val="none"/>
                <w:lang w:val="en-US"/>
              </w:rPr>
              <w:t>按响应</w:t>
            </w:r>
            <w:r>
              <w:rPr>
                <w:rFonts w:hint="eastAsia" w:ascii="微软雅黑" w:hAnsi="微软雅黑"/>
                <w:b/>
                <w:color w:val="auto"/>
                <w:sz w:val="18"/>
                <w:szCs w:val="18"/>
                <w:highlight w:val="none"/>
              </w:rPr>
              <w:t>无效</w:t>
            </w:r>
            <w:r>
              <w:rPr>
                <w:rFonts w:hint="eastAsia" w:ascii="微软雅黑" w:hAnsi="微软雅黑"/>
                <w:b/>
                <w:color w:val="auto"/>
                <w:sz w:val="18"/>
                <w:szCs w:val="18"/>
                <w:highlight w:val="none"/>
                <w:lang w:val="en-US"/>
              </w:rPr>
              <w:t>处理</w:t>
            </w:r>
            <w:r>
              <w:rPr>
                <w:rFonts w:hint="eastAsia" w:ascii="微软雅黑" w:hAnsi="微软雅黑"/>
                <w:b/>
                <w:color w:val="auto"/>
                <w:sz w:val="18"/>
                <w:szCs w:val="18"/>
                <w:highlight w:val="none"/>
              </w:rPr>
              <w:t>。</w:t>
            </w:r>
          </w:p>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rPr>
              <w:t>3</w:t>
            </w:r>
            <w:r>
              <w:rPr>
                <w:rFonts w:ascii="微软雅黑" w:hAnsi="微软雅黑"/>
                <w:b/>
                <w:color w:val="auto"/>
                <w:sz w:val="18"/>
                <w:szCs w:val="18"/>
                <w:highlight w:val="none"/>
              </w:rPr>
              <w:t>、请</w:t>
            </w:r>
            <w:r>
              <w:rPr>
                <w:rFonts w:hint="eastAsia" w:ascii="微软雅黑" w:hAnsi="微软雅黑"/>
                <w:b/>
                <w:color w:val="auto"/>
                <w:sz w:val="18"/>
                <w:szCs w:val="18"/>
                <w:highlight w:val="none"/>
                <w:lang w:val="en-US"/>
              </w:rPr>
              <w:t>供应商</w:t>
            </w:r>
            <w:r>
              <w:rPr>
                <w:rFonts w:ascii="微软雅黑" w:hAnsi="微软雅黑"/>
                <w:b/>
                <w:color w:val="auto"/>
                <w:sz w:val="18"/>
                <w:szCs w:val="18"/>
                <w:highlight w:val="none"/>
              </w:rPr>
              <w:t>务必详细阅读本</w:t>
            </w:r>
            <w:r>
              <w:rPr>
                <w:rFonts w:hint="eastAsia" w:ascii="微软雅黑" w:hAnsi="微软雅黑"/>
                <w:b/>
                <w:color w:val="auto"/>
                <w:sz w:val="18"/>
                <w:szCs w:val="18"/>
                <w:highlight w:val="none"/>
                <w:lang w:val="en-US" w:eastAsia="zh-CN"/>
              </w:rPr>
              <w:t>采购</w:t>
            </w:r>
            <w:r>
              <w:rPr>
                <w:rFonts w:ascii="微软雅黑" w:hAnsi="微软雅黑"/>
                <w:b/>
                <w:color w:val="auto"/>
                <w:sz w:val="18"/>
                <w:szCs w:val="18"/>
                <w:highlight w:val="none"/>
              </w:rPr>
              <w:t>文件的全部条款，并及时关注相关网站发布的与本项目招投标有关的一切信息，以减少不必要的失误，否则，由此引起的任何损失或风险均由</w:t>
            </w:r>
            <w:r>
              <w:rPr>
                <w:rFonts w:hint="eastAsia" w:ascii="微软雅黑" w:hAnsi="微软雅黑"/>
                <w:b/>
                <w:color w:val="auto"/>
                <w:sz w:val="18"/>
                <w:szCs w:val="18"/>
                <w:highlight w:val="none"/>
              </w:rPr>
              <w:t>供应商</w:t>
            </w:r>
            <w:r>
              <w:rPr>
                <w:rFonts w:ascii="微软雅黑" w:hAnsi="微软雅黑"/>
                <w:b/>
                <w:color w:val="auto"/>
                <w:sz w:val="18"/>
                <w:szCs w:val="18"/>
                <w:highlight w:val="none"/>
              </w:rPr>
              <w:t>自行承担；</w:t>
            </w:r>
          </w:p>
          <w:p>
            <w:pPr>
              <w:adjustRightInd w:val="0"/>
              <w:snapToGrid w:val="0"/>
              <w:spacing w:line="400" w:lineRule="exact"/>
              <w:ind w:firstLine="270" w:firstLineChars="150"/>
              <w:rPr>
                <w:rFonts w:ascii="微软雅黑" w:hAnsi="微软雅黑"/>
                <w:b/>
                <w:color w:val="auto"/>
                <w:sz w:val="18"/>
                <w:szCs w:val="18"/>
                <w:highlight w:val="none"/>
              </w:rPr>
            </w:pPr>
            <w:r>
              <w:rPr>
                <w:rFonts w:hint="eastAsia" w:ascii="微软雅黑" w:hAnsi="微软雅黑"/>
                <w:b/>
                <w:color w:val="auto"/>
                <w:sz w:val="18"/>
                <w:szCs w:val="18"/>
                <w:highlight w:val="none"/>
              </w:rPr>
              <w:t>4</w:t>
            </w:r>
            <w:r>
              <w:rPr>
                <w:rFonts w:ascii="微软雅黑" w:hAnsi="微软雅黑"/>
                <w:b/>
                <w:color w:val="auto"/>
                <w:sz w:val="18"/>
                <w:szCs w:val="18"/>
                <w:highlight w:val="none"/>
              </w:rPr>
              <w:t>、</w:t>
            </w:r>
            <w:r>
              <w:rPr>
                <w:rFonts w:hint="eastAsia" w:ascii="微软雅黑" w:hAnsi="微软雅黑"/>
                <w:b/>
                <w:color w:val="auto"/>
                <w:sz w:val="18"/>
                <w:szCs w:val="18"/>
                <w:highlight w:val="none"/>
              </w:rPr>
              <w:t>供应商</w:t>
            </w:r>
            <w:r>
              <w:rPr>
                <w:rFonts w:ascii="微软雅黑" w:hAnsi="微软雅黑"/>
                <w:b/>
                <w:color w:val="auto"/>
                <w:sz w:val="18"/>
                <w:szCs w:val="18"/>
                <w:highlight w:val="none"/>
              </w:rPr>
              <w:t>获取</w:t>
            </w:r>
            <w:r>
              <w:rPr>
                <w:rFonts w:hint="eastAsia" w:ascii="微软雅黑" w:hAnsi="微软雅黑"/>
                <w:b/>
                <w:color w:val="auto"/>
                <w:sz w:val="18"/>
                <w:szCs w:val="18"/>
                <w:highlight w:val="none"/>
                <w:lang w:val="en-US" w:eastAsia="zh-CN"/>
              </w:rPr>
              <w:t>采购</w:t>
            </w:r>
            <w:r>
              <w:rPr>
                <w:rFonts w:ascii="微软雅黑" w:hAnsi="微软雅黑"/>
                <w:b/>
                <w:color w:val="auto"/>
                <w:sz w:val="18"/>
                <w:szCs w:val="18"/>
                <w:highlight w:val="none"/>
              </w:rPr>
              <w:t>文件后应认真审阅</w:t>
            </w:r>
            <w:r>
              <w:rPr>
                <w:rFonts w:hint="eastAsia" w:ascii="微软雅黑" w:hAnsi="微软雅黑"/>
                <w:b/>
                <w:color w:val="auto"/>
                <w:sz w:val="18"/>
                <w:szCs w:val="18"/>
                <w:highlight w:val="none"/>
                <w:lang w:val="en-US" w:eastAsia="zh-CN"/>
              </w:rPr>
              <w:t>采购</w:t>
            </w:r>
            <w:r>
              <w:rPr>
                <w:rFonts w:ascii="微软雅黑" w:hAnsi="微软雅黑"/>
                <w:b/>
                <w:color w:val="auto"/>
                <w:sz w:val="18"/>
                <w:szCs w:val="18"/>
                <w:highlight w:val="none"/>
              </w:rPr>
              <w:t>文件中所有的事项、格式、条款和规范要求等，如认为有关内容使自身权益受到损害的，应依法在规定时限内，以书面形式向</w:t>
            </w:r>
            <w:r>
              <w:rPr>
                <w:rFonts w:hint="eastAsia" w:ascii="微软雅黑" w:hAnsi="微软雅黑"/>
                <w:b/>
                <w:color w:val="auto"/>
                <w:sz w:val="18"/>
                <w:szCs w:val="18"/>
                <w:highlight w:val="none"/>
              </w:rPr>
              <w:t>采购人</w:t>
            </w:r>
            <w:r>
              <w:rPr>
                <w:rFonts w:ascii="微软雅黑" w:hAnsi="微软雅黑"/>
                <w:b/>
                <w:color w:val="auto"/>
                <w:sz w:val="18"/>
                <w:szCs w:val="18"/>
                <w:highlight w:val="none"/>
              </w:rPr>
              <w:t>提出异议，非书面形式、逾期以及匿名的异议</w:t>
            </w:r>
            <w:r>
              <w:rPr>
                <w:rFonts w:hint="eastAsia" w:ascii="微软雅黑" w:hAnsi="微软雅黑"/>
                <w:b/>
                <w:color w:val="auto"/>
                <w:sz w:val="18"/>
                <w:szCs w:val="18"/>
                <w:highlight w:val="none"/>
              </w:rPr>
              <w:t>采购人</w:t>
            </w:r>
            <w:r>
              <w:rPr>
                <w:rFonts w:ascii="微软雅黑" w:hAnsi="微软雅黑"/>
                <w:b/>
                <w:color w:val="auto"/>
                <w:sz w:val="18"/>
                <w:szCs w:val="18"/>
                <w:highlight w:val="none"/>
              </w:rPr>
              <w:t>将不予受理，并视为对本</w:t>
            </w:r>
            <w:r>
              <w:rPr>
                <w:rFonts w:hint="eastAsia" w:ascii="微软雅黑" w:hAnsi="微软雅黑"/>
                <w:b/>
                <w:color w:val="auto"/>
                <w:sz w:val="18"/>
                <w:szCs w:val="18"/>
                <w:highlight w:val="none"/>
                <w:lang w:val="en-US" w:eastAsia="zh-CN"/>
              </w:rPr>
              <w:t>采购</w:t>
            </w:r>
            <w:r>
              <w:rPr>
                <w:rFonts w:ascii="微软雅黑" w:hAnsi="微软雅黑"/>
                <w:b/>
                <w:color w:val="auto"/>
                <w:sz w:val="18"/>
                <w:szCs w:val="18"/>
                <w:highlight w:val="none"/>
              </w:rPr>
              <w:t>文件要求无异议。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834" w:type="dxa"/>
            <w:vAlign w:val="center"/>
          </w:tcPr>
          <w:p>
            <w:pPr>
              <w:pStyle w:val="178"/>
              <w:numPr>
                <w:ilvl w:val="0"/>
                <w:numId w:val="11"/>
              </w:numPr>
              <w:ind w:left="0" w:firstLine="0" w:firstLineChars="0"/>
              <w:jc w:val="center"/>
              <w:rPr>
                <w:rFonts w:ascii="微软雅黑" w:hAnsi="微软雅黑"/>
                <w:bCs/>
                <w:color w:val="auto"/>
                <w:sz w:val="18"/>
                <w:szCs w:val="18"/>
                <w:highlight w:val="none"/>
              </w:rPr>
            </w:pPr>
          </w:p>
        </w:tc>
        <w:tc>
          <w:tcPr>
            <w:tcW w:w="1701" w:type="dxa"/>
            <w:vAlign w:val="center"/>
          </w:tcPr>
          <w:p>
            <w:pPr>
              <w:ind w:left="144" w:right="144"/>
              <w:jc w:val="center"/>
              <w:rPr>
                <w:rFonts w:ascii="微软雅黑" w:hAnsi="微软雅黑"/>
                <w:b/>
                <w:color w:val="auto"/>
                <w:sz w:val="18"/>
                <w:szCs w:val="18"/>
                <w:highlight w:val="none"/>
              </w:rPr>
            </w:pPr>
            <w:r>
              <w:rPr>
                <w:rFonts w:hint="eastAsia" w:ascii="微软雅黑" w:hAnsi="微软雅黑"/>
                <w:b/>
                <w:bCs/>
                <w:color w:val="auto"/>
                <w:sz w:val="18"/>
                <w:szCs w:val="18"/>
                <w:highlight w:val="none"/>
              </w:rPr>
              <w:t>其它（</w:t>
            </w:r>
            <w:r>
              <w:rPr>
                <w:rFonts w:hint="eastAsia" w:ascii="微软雅黑" w:hAnsi="微软雅黑"/>
                <w:b/>
                <w:bCs/>
                <w:color w:val="auto"/>
                <w:sz w:val="18"/>
                <w:szCs w:val="18"/>
                <w:highlight w:val="none"/>
                <w:lang w:val="en-US"/>
              </w:rPr>
              <w:t>二</w:t>
            </w:r>
            <w:r>
              <w:rPr>
                <w:rFonts w:hint="eastAsia" w:ascii="微软雅黑" w:hAnsi="微软雅黑"/>
                <w:b/>
                <w:bCs/>
                <w:color w:val="auto"/>
                <w:sz w:val="18"/>
                <w:szCs w:val="18"/>
                <w:highlight w:val="none"/>
              </w:rPr>
              <w:t>）</w:t>
            </w:r>
          </w:p>
        </w:tc>
        <w:tc>
          <w:tcPr>
            <w:tcW w:w="6401" w:type="dxa"/>
            <w:vAlign w:val="center"/>
          </w:tcPr>
          <w:p>
            <w:pPr>
              <w:pStyle w:val="6"/>
              <w:ind w:right="142" w:firstLine="180" w:firstLineChars="100"/>
              <w:jc w:val="both"/>
              <w:rPr>
                <w:rFonts w:ascii="微软雅黑" w:hAnsi="微软雅黑"/>
                <w:b/>
                <w:color w:val="auto"/>
                <w:sz w:val="18"/>
                <w:szCs w:val="18"/>
                <w:highlight w:val="none"/>
              </w:rPr>
            </w:pPr>
            <w:r>
              <w:rPr>
                <w:rFonts w:hint="eastAsia" w:ascii="微软雅黑" w:hAnsi="微软雅黑"/>
                <w:b/>
                <w:color w:val="auto"/>
                <w:sz w:val="18"/>
                <w:szCs w:val="18"/>
                <w:highlight w:val="none"/>
              </w:rPr>
              <w:t>提醒注意：</w:t>
            </w:r>
          </w:p>
          <w:p>
            <w:pPr>
              <w:pStyle w:val="6"/>
              <w:ind w:right="142" w:firstLine="180" w:firstLineChars="100"/>
              <w:jc w:val="both"/>
              <w:rPr>
                <w:rFonts w:ascii="微软雅黑" w:hAnsi="微软雅黑"/>
                <w:b/>
                <w:color w:val="auto"/>
                <w:sz w:val="18"/>
                <w:szCs w:val="18"/>
                <w:highlight w:val="none"/>
              </w:rPr>
            </w:pPr>
            <w:r>
              <w:rPr>
                <w:rFonts w:hint="eastAsia" w:ascii="微软雅黑" w:hAnsi="微软雅黑"/>
                <w:b/>
                <w:color w:val="auto"/>
                <w:sz w:val="18"/>
                <w:szCs w:val="18"/>
                <w:highlight w:val="none"/>
              </w:rPr>
              <w:t>（1）响应文件（含最后报价文件）中的已标价工程量清单的编制与核对应由具有资格的工程造价人员承担，“工程量清单计价表”中的封面“投标总价”编制人处“造价人员签字盖专用章”，须有造价人员签字并加盖专用章，否则响应无效。</w:t>
            </w:r>
          </w:p>
          <w:p>
            <w:pPr>
              <w:pStyle w:val="6"/>
              <w:ind w:right="142" w:firstLine="180" w:firstLineChars="100"/>
              <w:jc w:val="both"/>
              <w:rPr>
                <w:rFonts w:hint="eastAsia" w:ascii="微软雅黑" w:hAnsi="微软雅黑"/>
                <w:b/>
                <w:color w:val="auto"/>
                <w:sz w:val="18"/>
                <w:szCs w:val="18"/>
                <w:highlight w:val="none"/>
              </w:rPr>
            </w:pPr>
            <w:r>
              <w:rPr>
                <w:rFonts w:hint="eastAsia" w:ascii="微软雅黑" w:hAnsi="微软雅黑"/>
                <w:b/>
                <w:color w:val="auto"/>
                <w:sz w:val="18"/>
                <w:szCs w:val="18"/>
                <w:highlight w:val="none"/>
              </w:rPr>
              <w:t>（2）已取得的全国建设工程造价员资格证书效用不变，造价员资格证书长期有效。</w:t>
            </w:r>
          </w:p>
          <w:p>
            <w:pPr>
              <w:pStyle w:val="6"/>
              <w:ind w:right="142" w:firstLine="180" w:firstLineChars="100"/>
              <w:jc w:val="both"/>
              <w:rPr>
                <w:rFonts w:hint="default" w:ascii="微软雅黑" w:hAnsi="微软雅黑" w:eastAsia="微软雅黑"/>
                <w:b/>
                <w:color w:val="auto"/>
                <w:sz w:val="18"/>
                <w:szCs w:val="18"/>
                <w:highlight w:val="none"/>
                <w:lang w:val="en-US" w:eastAsia="zh-CN"/>
              </w:rPr>
            </w:pPr>
            <w:r>
              <w:rPr>
                <w:rFonts w:hint="eastAsia" w:ascii="微软雅黑" w:hAnsi="微软雅黑"/>
                <w:b/>
                <w:color w:val="auto"/>
                <w:sz w:val="18"/>
                <w:szCs w:val="18"/>
                <w:highlight w:val="none"/>
                <w:lang w:eastAsia="zh-CN"/>
              </w:rPr>
              <w:t>（</w:t>
            </w:r>
            <w:r>
              <w:rPr>
                <w:rFonts w:hint="eastAsia" w:ascii="微软雅黑" w:hAnsi="微软雅黑"/>
                <w:b/>
                <w:color w:val="auto"/>
                <w:sz w:val="18"/>
                <w:szCs w:val="18"/>
                <w:highlight w:val="none"/>
                <w:lang w:val="en-US" w:eastAsia="zh-CN"/>
              </w:rPr>
              <w:t>3</w:t>
            </w:r>
            <w:r>
              <w:rPr>
                <w:rFonts w:hint="eastAsia" w:ascii="微软雅黑" w:hAnsi="微软雅黑"/>
                <w:b/>
                <w:color w:val="auto"/>
                <w:sz w:val="18"/>
                <w:szCs w:val="18"/>
                <w:highlight w:val="none"/>
                <w:lang w:eastAsia="zh-CN"/>
              </w:rPr>
              <w:t>）</w:t>
            </w:r>
            <w:r>
              <w:rPr>
                <w:rFonts w:hint="eastAsia" w:ascii="微软雅黑" w:hAnsi="微软雅黑"/>
                <w:b/>
                <w:color w:val="auto"/>
                <w:sz w:val="18"/>
                <w:szCs w:val="18"/>
                <w:highlight w:val="none"/>
                <w:lang w:val="en-US" w:eastAsia="zh-CN"/>
              </w:rPr>
              <w:t>最后报价的工程量清单（电子投标书TBS格式文件和GBQ6版本）须按规定在评审当日规定时间内提交，否则按响应无效处理。</w:t>
            </w:r>
          </w:p>
        </w:tc>
      </w:tr>
    </w:tbl>
    <w:p>
      <w:pPr>
        <w:rPr>
          <w:color w:val="auto"/>
          <w:highlight w:val="none"/>
        </w:rPr>
      </w:pPr>
    </w:p>
    <w:p>
      <w:pPr>
        <w:jc w:val="both"/>
        <w:rPr>
          <w:rFonts w:ascii="微软雅黑" w:hAnsi="微软雅黑"/>
          <w:color w:val="auto"/>
          <w:highlight w:val="none"/>
        </w:rPr>
      </w:pPr>
      <w:r>
        <w:rPr>
          <w:rFonts w:hint="eastAsia" w:ascii="微软雅黑" w:hAnsi="微软雅黑"/>
          <w:color w:val="auto"/>
          <w:highlight w:val="none"/>
        </w:rPr>
        <w:t>注：</w:t>
      </w:r>
    </w:p>
    <w:p>
      <w:pPr>
        <w:jc w:val="both"/>
        <w:rPr>
          <w:rFonts w:ascii="微软雅黑" w:hAnsi="微软雅黑"/>
          <w:color w:val="auto"/>
          <w:highlight w:val="none"/>
        </w:rPr>
      </w:pPr>
      <w:r>
        <w:rPr>
          <w:rFonts w:hint="eastAsia" w:ascii="微软雅黑" w:hAnsi="微软雅黑"/>
          <w:color w:val="auto"/>
          <w:highlight w:val="none"/>
        </w:rPr>
        <w:t>1、上表中加</w:t>
      </w:r>
      <w:r>
        <w:rPr>
          <w:rFonts w:hint="eastAsia" w:ascii="微软雅黑" w:hAnsi="微软雅黑"/>
          <w:bCs/>
          <w:color w:val="auto"/>
          <w:sz w:val="18"/>
          <w:szCs w:val="18"/>
          <w:highlight w:val="none"/>
        </w:rPr>
        <w:t>★</w:t>
      </w:r>
      <w:r>
        <w:rPr>
          <w:rFonts w:hint="eastAsia" w:ascii="微软雅黑" w:hAnsi="微软雅黑"/>
          <w:color w:val="auto"/>
          <w:highlight w:val="none"/>
        </w:rPr>
        <w:t>项目若有缺失或无效，</w:t>
      </w:r>
      <w:r>
        <w:rPr>
          <w:rFonts w:hint="eastAsia" w:ascii="微软雅黑" w:hAnsi="微软雅黑"/>
          <w:b/>
          <w:bCs/>
          <w:color w:val="auto"/>
          <w:highlight w:val="none"/>
        </w:rPr>
        <w:t>响应将被拒绝或响应无效</w:t>
      </w:r>
      <w:r>
        <w:rPr>
          <w:rFonts w:hint="eastAsia" w:ascii="微软雅黑" w:hAnsi="微软雅黑"/>
          <w:color w:val="auto"/>
          <w:highlight w:val="none"/>
        </w:rPr>
        <w:t>且不允许在递交响应文件截止时间后补正；</w:t>
      </w:r>
    </w:p>
    <w:p>
      <w:pPr>
        <w:rPr>
          <w:color w:val="auto"/>
          <w:highlight w:val="none"/>
        </w:rPr>
      </w:pPr>
      <w:r>
        <w:rPr>
          <w:rFonts w:hint="eastAsia" w:ascii="微软雅黑" w:hAnsi="微软雅黑"/>
          <w:color w:val="auto"/>
          <w:highlight w:val="none"/>
        </w:rPr>
        <w:t>2、</w:t>
      </w:r>
      <w:r>
        <w:rPr>
          <w:rFonts w:hint="eastAsia" w:ascii="微软雅黑" w:hAnsi="微软雅黑"/>
          <w:b/>
          <w:bCs/>
          <w:color w:val="auto"/>
          <w:highlight w:val="none"/>
        </w:rPr>
        <w:t>供应商须知前附表</w:t>
      </w:r>
      <w:r>
        <w:rPr>
          <w:rFonts w:hint="eastAsia" w:ascii="微软雅黑" w:hAnsi="微软雅黑"/>
          <w:color w:val="auto"/>
          <w:highlight w:val="none"/>
        </w:rPr>
        <w:t>内容如与竞争性磋商文件其他部分不一致，以</w:t>
      </w:r>
      <w:r>
        <w:rPr>
          <w:rFonts w:hint="eastAsia" w:ascii="微软雅黑" w:hAnsi="微软雅黑"/>
          <w:b/>
          <w:bCs/>
          <w:color w:val="auto"/>
          <w:highlight w:val="none"/>
        </w:rPr>
        <w:t>供应商须知前附表</w:t>
      </w:r>
      <w:r>
        <w:rPr>
          <w:rFonts w:hint="eastAsia" w:ascii="微软雅黑" w:hAnsi="微软雅黑"/>
          <w:color w:val="auto"/>
          <w:highlight w:val="none"/>
        </w:rPr>
        <w:t>为准。</w:t>
      </w:r>
    </w:p>
    <w:p>
      <w:pPr>
        <w:jc w:val="center"/>
        <w:rPr>
          <w:rFonts w:ascii="黑体" w:hAnsi="黑体" w:eastAsia="黑体"/>
          <w:color w:val="auto"/>
          <w:sz w:val="28"/>
          <w:szCs w:val="28"/>
          <w:highlight w:val="none"/>
        </w:rPr>
        <w:sectPr>
          <w:pgSz w:w="11907" w:h="16839"/>
          <w:pgMar w:top="1928" w:right="1531" w:bottom="1871" w:left="1531" w:header="1145" w:footer="709" w:gutter="0"/>
          <w:cols w:space="720" w:num="1"/>
          <w:docGrid w:linePitch="360" w:charSpace="0"/>
        </w:sectPr>
      </w:pPr>
    </w:p>
    <w:p>
      <w:pPr>
        <w:pStyle w:val="4"/>
        <w:numPr>
          <w:ilvl w:val="0"/>
          <w:numId w:val="10"/>
        </w:numPr>
        <w:spacing w:before="2400" w:after="0"/>
        <w:ind w:left="1293" w:hanging="1293"/>
        <w:jc w:val="center"/>
        <w:rPr>
          <w:rFonts w:ascii="微软雅黑"/>
          <w:color w:val="auto"/>
          <w:highlight w:val="none"/>
        </w:rPr>
      </w:pPr>
      <w:bookmarkStart w:id="46" w:name="_Toc27334"/>
      <w:bookmarkStart w:id="47" w:name="_Toc13400"/>
      <w:r>
        <w:rPr>
          <w:rFonts w:hint="eastAsia" w:ascii="微软雅黑" w:hAnsi="微软雅黑"/>
          <w:color w:val="auto"/>
          <w:highlight w:val="none"/>
        </w:rPr>
        <w:t>供应商须知</w:t>
      </w:r>
      <w:bookmarkEnd w:id="46"/>
      <w:bookmarkEnd w:id="47"/>
    </w:p>
    <w:p>
      <w:pPr>
        <w:jc w:val="center"/>
        <w:rPr>
          <w:rFonts w:ascii="黑体" w:hAnsi="黑体" w:eastAsia="黑体"/>
          <w:color w:val="auto"/>
          <w:sz w:val="28"/>
          <w:szCs w:val="28"/>
          <w:highlight w:val="none"/>
        </w:rPr>
      </w:pPr>
    </w:p>
    <w:p>
      <w:pPr>
        <w:rPr>
          <w:color w:val="auto"/>
          <w:highlight w:val="none"/>
        </w:rPr>
      </w:pPr>
    </w:p>
    <w:p>
      <w:pPr>
        <w:ind w:left="420"/>
        <w:jc w:val="both"/>
        <w:rPr>
          <w:rFonts w:ascii="微软雅黑" w:hAnsi="微软雅黑"/>
          <w:color w:val="auto"/>
          <w:highlight w:val="none"/>
        </w:rPr>
      </w:pPr>
    </w:p>
    <w:p>
      <w:pPr>
        <w:tabs>
          <w:tab w:val="center" w:pos="4422"/>
        </w:tabs>
        <w:rPr>
          <w:color w:val="auto"/>
          <w:highlight w:val="none"/>
        </w:rPr>
        <w:sectPr>
          <w:type w:val="oddPage"/>
          <w:pgSz w:w="11907" w:h="16839"/>
          <w:pgMar w:top="1928" w:right="1531" w:bottom="1871" w:left="1531" w:header="1145" w:footer="709" w:gutter="0"/>
          <w:cols w:space="720" w:num="1"/>
          <w:docGrid w:linePitch="360" w:charSpace="0"/>
        </w:sectPr>
      </w:pPr>
      <w:r>
        <w:rPr>
          <w:color w:val="auto"/>
          <w:highlight w:val="none"/>
        </w:rPr>
        <w:tab/>
      </w:r>
    </w:p>
    <w:p>
      <w:pPr>
        <w:jc w:val="center"/>
        <w:rPr>
          <w:color w:val="auto"/>
          <w:highlight w:val="none"/>
        </w:rPr>
      </w:pPr>
      <w:r>
        <w:rPr>
          <w:rFonts w:hint="eastAsia" w:ascii="黑体" w:hAnsi="黑体" w:eastAsia="黑体"/>
          <w:color w:val="auto"/>
          <w:sz w:val="28"/>
          <w:szCs w:val="28"/>
          <w:highlight w:val="none"/>
        </w:rPr>
        <w:t>供应商须知</w:t>
      </w:r>
    </w:p>
    <w:p>
      <w:pPr>
        <w:pStyle w:val="5"/>
        <w:keepNext/>
        <w:keepLines/>
        <w:widowControl w:val="0"/>
        <w:numPr>
          <w:ilvl w:val="0"/>
          <w:numId w:val="15"/>
        </w:numPr>
        <w:jc w:val="left"/>
        <w:rPr>
          <w:b w:val="0"/>
          <w:bCs/>
          <w:color w:val="auto"/>
          <w:highlight w:val="none"/>
        </w:rPr>
      </w:pPr>
      <w:bookmarkStart w:id="48" w:name="_Toc26227"/>
      <w:r>
        <w:rPr>
          <w:rFonts w:hint="eastAsia"/>
          <w:bCs/>
          <w:color w:val="auto"/>
          <w:highlight w:val="none"/>
        </w:rPr>
        <w:t>总则</w:t>
      </w:r>
      <w:bookmarkEnd w:id="48"/>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基本要求</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本竞争性磋商文件适用于本文件</w:t>
      </w:r>
      <w:r>
        <w:rPr>
          <w:rFonts w:hint="eastAsia" w:ascii="微软雅黑" w:hAnsi="微软雅黑"/>
          <w:b/>
          <w:bCs/>
          <w:color w:val="auto"/>
          <w:highlight w:val="none"/>
        </w:rPr>
        <w:t>第四部分</w:t>
      </w:r>
      <w:r>
        <w:rPr>
          <w:rFonts w:hint="eastAsia" w:ascii="微软雅黑" w:hAnsi="微软雅黑"/>
          <w:color w:val="auto"/>
          <w:highlight w:val="none"/>
        </w:rPr>
        <w:t>中所述工程及相关服务的磋商响应。</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供应商若存在任何理解上无法确定之处，均应当按照竞争性磋商文件所规定的澄清等程序提出，否则，可能导致的任何不利后果均应当由供应商自行承担。</w:t>
      </w:r>
    </w:p>
    <w:p>
      <w:pPr>
        <w:pStyle w:val="6"/>
        <w:ind w:firstLine="0" w:firstLineChars="0"/>
        <w:jc w:val="both"/>
        <w:rPr>
          <w:rFonts w:ascii="微软雅黑" w:hAnsi="微软雅黑"/>
          <w:color w:val="auto"/>
          <w:highlight w:val="none"/>
        </w:rPr>
      </w:pPr>
      <w:r>
        <w:rPr>
          <w:rFonts w:hint="eastAsia" w:ascii="微软雅黑" w:hAnsi="微软雅黑"/>
          <w:color w:val="auto"/>
          <w:highlight w:val="none"/>
        </w:rPr>
        <w:t xml:space="preserve"> </w:t>
      </w: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定义</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“采购人”指本项目的具体采购单位，名称详见</w:t>
      </w:r>
      <w:r>
        <w:rPr>
          <w:rFonts w:hint="eastAsia" w:ascii="微软雅黑" w:hAnsi="微软雅黑"/>
          <w:b/>
          <w:bCs/>
          <w:color w:val="auto"/>
          <w:highlight w:val="none"/>
        </w:rPr>
        <w:t>供应商须知前附表</w:t>
      </w:r>
      <w:r>
        <w:rPr>
          <w:rFonts w:hint="eastAsia" w:ascii="微软雅黑" w:hAnsi="微软雅黑"/>
          <w:color w:val="auto"/>
          <w:highlight w:val="none"/>
        </w:rPr>
        <w:t>。</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“工程”指本竞争性磋商文件中</w:t>
      </w:r>
      <w:r>
        <w:rPr>
          <w:rFonts w:hint="eastAsia" w:ascii="微软雅黑" w:hAnsi="微软雅黑"/>
          <w:b/>
          <w:bCs/>
          <w:color w:val="auto"/>
          <w:highlight w:val="none"/>
        </w:rPr>
        <w:t>第四部分</w:t>
      </w:r>
      <w:r>
        <w:rPr>
          <w:rFonts w:hint="eastAsia" w:ascii="微软雅黑" w:hAnsi="微软雅黑"/>
          <w:color w:val="auto"/>
          <w:highlight w:val="none"/>
        </w:rPr>
        <w:t>所述所有工程及配套服务。</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“服务”指本竞争性磋商文件</w:t>
      </w:r>
      <w:r>
        <w:rPr>
          <w:rFonts w:hint="eastAsia" w:ascii="微软雅黑" w:hAnsi="微软雅黑"/>
          <w:b/>
          <w:bCs/>
          <w:color w:val="auto"/>
          <w:highlight w:val="none"/>
        </w:rPr>
        <w:t>第四部分</w:t>
      </w:r>
      <w:r>
        <w:rPr>
          <w:rFonts w:hint="eastAsia" w:ascii="微软雅黑" w:hAnsi="微软雅黑"/>
          <w:color w:val="auto"/>
          <w:highlight w:val="none"/>
        </w:rPr>
        <w:t>所述供应商应该履行的承诺和义务。</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“供应商”指符合本竞争性磋商文件规定并参加响应的供应商。</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“潜在供应商”指符合本竞争性磋商文件各项规定的合格供应商。</w:t>
      </w:r>
    </w:p>
    <w:p>
      <w:pPr>
        <w:pStyle w:val="6"/>
        <w:ind w:firstLine="0" w:firstLineChars="0"/>
        <w:jc w:val="both"/>
        <w:rPr>
          <w:rFonts w:ascii="微软雅黑" w:hAnsi="微软雅黑"/>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资格要求</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见供应商须知前附表。</w:t>
      </w:r>
    </w:p>
    <w:p>
      <w:pPr>
        <w:pStyle w:val="6"/>
        <w:ind w:left="567" w:firstLine="0" w:firstLineChars="0"/>
        <w:jc w:val="both"/>
        <w:rPr>
          <w:rFonts w:ascii="微软雅黑" w:hAnsi="微软雅黑"/>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分包、转包</w:t>
      </w:r>
    </w:p>
    <w:p>
      <w:pPr>
        <w:pStyle w:val="6"/>
        <w:numPr>
          <w:ilvl w:val="1"/>
          <w:numId w:val="16"/>
        </w:numPr>
        <w:ind w:left="708" w:hanging="708" w:firstLineChars="0"/>
        <w:jc w:val="both"/>
        <w:rPr>
          <w:rFonts w:ascii="微软雅黑" w:hAnsi="微软雅黑"/>
          <w:color w:val="auto"/>
          <w:highlight w:val="none"/>
        </w:rPr>
      </w:pPr>
      <w:r>
        <w:rPr>
          <w:rFonts w:hint="eastAsia" w:ascii="微软雅黑" w:hAnsi="微软雅黑"/>
          <w:color w:val="auto"/>
          <w:highlight w:val="none"/>
        </w:rPr>
        <w:t>本项目是否允许供应商将项目的非主体、非关键性工作交由他人完成详见供应商须知前附表。供应商根据采购项目的实际情况</w:t>
      </w:r>
      <w:r>
        <w:rPr>
          <w:rFonts w:ascii="微软雅黑" w:hAnsi="微软雅黑"/>
          <w:color w:val="auto"/>
          <w:highlight w:val="none"/>
        </w:rPr>
        <w:t>,</w:t>
      </w:r>
      <w:r>
        <w:rPr>
          <w:rFonts w:hint="eastAsia" w:ascii="微软雅黑" w:hAnsi="微软雅黑"/>
          <w:color w:val="auto"/>
          <w:highlight w:val="none"/>
        </w:rPr>
        <w:t>拟在成交后将成交项目的非主体、非关键性工作交由他人完成的，应当在响应文件中载明。不符合竞争性磋商文件中有关分包、转包规定的，其</w:t>
      </w:r>
      <w:r>
        <w:rPr>
          <w:rFonts w:hint="eastAsia" w:ascii="微软雅黑" w:hAnsi="微软雅黑"/>
          <w:b/>
          <w:bCs/>
          <w:color w:val="auto"/>
          <w:highlight w:val="none"/>
        </w:rPr>
        <w:t>响应将被拒绝</w:t>
      </w:r>
      <w:r>
        <w:rPr>
          <w:rFonts w:hint="eastAsia" w:ascii="微软雅黑" w:hAnsi="微软雅黑"/>
          <w:color w:val="auto"/>
          <w:highlight w:val="none"/>
        </w:rPr>
        <w:t>。</w:t>
      </w:r>
    </w:p>
    <w:p>
      <w:pPr>
        <w:jc w:val="both"/>
        <w:rPr>
          <w:rFonts w:ascii="微软雅黑" w:hAnsi="微软雅黑"/>
          <w:color w:val="auto"/>
          <w:highlight w:val="none"/>
        </w:rPr>
      </w:pPr>
      <w:r>
        <w:rPr>
          <w:rFonts w:hint="eastAsia" w:ascii="微软雅黑" w:hAnsi="微软雅黑"/>
          <w:color w:val="auto"/>
          <w:highlight w:val="none"/>
        </w:rPr>
        <w:t xml:space="preserve"> </w:t>
      </w: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费用</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供应商应承担所有与准备和参加响应有关的费用，采购代理机构和采购人在任何情况下均无义务和责任承担这些费用。</w:t>
      </w:r>
    </w:p>
    <w:p>
      <w:pPr>
        <w:jc w:val="both"/>
        <w:rPr>
          <w:rFonts w:ascii="微软雅黑" w:hAnsi="微软雅黑"/>
          <w:color w:val="auto"/>
          <w:highlight w:val="none"/>
        </w:rPr>
      </w:pPr>
      <w:r>
        <w:rPr>
          <w:rFonts w:hint="eastAsia" w:ascii="微软雅黑" w:hAnsi="微软雅黑"/>
          <w:color w:val="auto"/>
          <w:highlight w:val="none"/>
        </w:rPr>
        <w:t xml:space="preserve"> </w:t>
      </w: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通知</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对与本项目有关的通知，采购人或采购代理机构将</w:t>
      </w:r>
      <w:r>
        <w:rPr>
          <w:rFonts w:hint="eastAsia" w:ascii="微软雅黑" w:hAnsi="微软雅黑"/>
          <w:color w:val="auto"/>
          <w:highlight w:val="none"/>
          <w:lang w:val="en-US"/>
        </w:rPr>
        <w:t>在</w:t>
      </w:r>
      <w:r>
        <w:rPr>
          <w:rFonts w:hint="eastAsia" w:ascii="微软雅黑" w:hAnsi="微软雅黑"/>
          <w:color w:val="auto"/>
          <w:highlight w:val="none"/>
        </w:rPr>
        <w:t>“中招联合招标采购平台”上发布，请</w:t>
      </w:r>
      <w:r>
        <w:rPr>
          <w:rFonts w:hint="eastAsia" w:ascii="微软雅黑" w:hAnsi="微软雅黑"/>
          <w:color w:val="auto"/>
          <w:highlight w:val="none"/>
          <w:lang w:val="en-US"/>
        </w:rPr>
        <w:t>供应商</w:t>
      </w:r>
      <w:r>
        <w:rPr>
          <w:rFonts w:hint="eastAsia" w:ascii="微软雅黑" w:hAnsi="微软雅黑"/>
          <w:color w:val="auto"/>
          <w:highlight w:val="none"/>
        </w:rPr>
        <w:t>报名成功后及时关注。，除非有充足的证据表明采购人或采购代理机构已经明知应当通知的事项并未实际有效到达，且采购人或采购代理机构认为仍有条件和必要及时再次补发通知而故意拖延或不予补发，采购人或采购代理机构不因此承担任何责任，有关的采购活动可以继续有效地进行。</w:t>
      </w:r>
    </w:p>
    <w:p>
      <w:pPr>
        <w:jc w:val="both"/>
        <w:rPr>
          <w:rFonts w:ascii="微软雅黑" w:hAnsi="微软雅黑"/>
          <w:color w:val="auto"/>
          <w:highlight w:val="none"/>
        </w:rPr>
      </w:pPr>
      <w:r>
        <w:rPr>
          <w:rFonts w:hint="eastAsia" w:ascii="微软雅黑" w:hAnsi="微软雅黑"/>
          <w:color w:val="auto"/>
          <w:highlight w:val="none"/>
        </w:rPr>
        <w:t xml:space="preserve"> </w:t>
      </w:r>
    </w:p>
    <w:p>
      <w:pPr>
        <w:pStyle w:val="5"/>
        <w:keepNext/>
        <w:keepLines/>
        <w:widowControl w:val="0"/>
        <w:numPr>
          <w:ilvl w:val="0"/>
          <w:numId w:val="15"/>
        </w:numPr>
        <w:jc w:val="left"/>
        <w:rPr>
          <w:bCs/>
          <w:color w:val="auto"/>
          <w:highlight w:val="none"/>
        </w:rPr>
      </w:pPr>
      <w:bookmarkStart w:id="49" w:name="_Toc23228"/>
      <w:r>
        <w:rPr>
          <w:rFonts w:hint="eastAsia"/>
          <w:bCs/>
          <w:color w:val="auto"/>
          <w:highlight w:val="none"/>
        </w:rPr>
        <w:t>竞争性磋商文件</w:t>
      </w:r>
      <w:bookmarkEnd w:id="49"/>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竞争性磋商文件包括下述内容</w:t>
      </w:r>
    </w:p>
    <w:p>
      <w:pPr>
        <w:pStyle w:val="6"/>
        <w:ind w:left="567" w:firstLine="0" w:firstLineChars="0"/>
        <w:jc w:val="both"/>
        <w:rPr>
          <w:rFonts w:ascii="微软雅黑" w:hAnsi="微软雅黑"/>
          <w:color w:val="auto"/>
          <w:szCs w:val="21"/>
          <w:highlight w:val="none"/>
        </w:rPr>
      </w:pPr>
      <w:bookmarkStart w:id="50" w:name="_Hlk37334414"/>
      <w:r>
        <w:rPr>
          <w:rFonts w:hint="eastAsia" w:ascii="微软雅黑" w:hAnsi="微软雅黑"/>
          <w:color w:val="auto"/>
          <w:szCs w:val="21"/>
          <w:highlight w:val="none"/>
        </w:rPr>
        <w:t>第一部分</w:t>
      </w:r>
      <w:r>
        <w:rPr>
          <w:rFonts w:ascii="微软雅黑" w:hAnsi="微软雅黑"/>
          <w:color w:val="auto"/>
          <w:szCs w:val="21"/>
          <w:highlight w:val="none"/>
        </w:rPr>
        <w:t xml:space="preserve"> </w:t>
      </w:r>
      <w:r>
        <w:rPr>
          <w:rFonts w:hint="eastAsia" w:ascii="微软雅黑" w:hAnsi="微软雅黑"/>
          <w:color w:val="auto"/>
          <w:szCs w:val="21"/>
          <w:highlight w:val="none"/>
        </w:rPr>
        <w:t>竞争性磋商邀请</w:t>
      </w:r>
    </w:p>
    <w:p>
      <w:pPr>
        <w:pStyle w:val="6"/>
        <w:ind w:left="567" w:firstLine="0" w:firstLineChars="0"/>
        <w:jc w:val="both"/>
        <w:rPr>
          <w:rFonts w:ascii="微软雅黑" w:hAnsi="微软雅黑"/>
          <w:color w:val="auto"/>
          <w:szCs w:val="21"/>
          <w:highlight w:val="none"/>
        </w:rPr>
      </w:pPr>
      <w:r>
        <w:rPr>
          <w:rFonts w:hint="eastAsia" w:ascii="微软雅黑" w:hAnsi="微软雅黑"/>
          <w:color w:val="auto"/>
          <w:szCs w:val="21"/>
          <w:highlight w:val="none"/>
        </w:rPr>
        <w:t>第二部分</w:t>
      </w:r>
      <w:r>
        <w:rPr>
          <w:rFonts w:ascii="微软雅黑" w:hAnsi="微软雅黑"/>
          <w:color w:val="auto"/>
          <w:szCs w:val="21"/>
          <w:highlight w:val="none"/>
        </w:rPr>
        <w:t xml:space="preserve"> </w:t>
      </w:r>
      <w:r>
        <w:rPr>
          <w:rFonts w:hint="eastAsia" w:ascii="微软雅黑" w:hAnsi="微软雅黑"/>
          <w:color w:val="auto"/>
          <w:szCs w:val="21"/>
          <w:highlight w:val="none"/>
        </w:rPr>
        <w:t>供应商须知前附表</w:t>
      </w:r>
    </w:p>
    <w:p>
      <w:pPr>
        <w:pStyle w:val="6"/>
        <w:ind w:left="567" w:firstLine="0" w:firstLineChars="0"/>
        <w:jc w:val="both"/>
        <w:rPr>
          <w:rFonts w:ascii="微软雅黑" w:hAnsi="微软雅黑"/>
          <w:color w:val="auto"/>
          <w:szCs w:val="21"/>
          <w:highlight w:val="none"/>
        </w:rPr>
      </w:pPr>
      <w:r>
        <w:rPr>
          <w:rFonts w:hint="eastAsia" w:ascii="微软雅黑" w:hAnsi="微软雅黑"/>
          <w:color w:val="auto"/>
          <w:szCs w:val="21"/>
          <w:highlight w:val="none"/>
        </w:rPr>
        <w:t>第三部分</w:t>
      </w:r>
      <w:r>
        <w:rPr>
          <w:rFonts w:ascii="微软雅黑" w:hAnsi="微软雅黑"/>
          <w:color w:val="auto"/>
          <w:szCs w:val="21"/>
          <w:highlight w:val="none"/>
        </w:rPr>
        <w:t xml:space="preserve"> </w:t>
      </w:r>
      <w:r>
        <w:rPr>
          <w:rFonts w:hint="eastAsia" w:ascii="微软雅黑" w:hAnsi="微软雅黑"/>
          <w:color w:val="auto"/>
          <w:szCs w:val="21"/>
          <w:highlight w:val="none"/>
        </w:rPr>
        <w:t>供应商须知</w:t>
      </w:r>
    </w:p>
    <w:p>
      <w:pPr>
        <w:pStyle w:val="6"/>
        <w:ind w:left="567" w:firstLine="0" w:firstLineChars="0"/>
        <w:jc w:val="both"/>
        <w:rPr>
          <w:rFonts w:ascii="微软雅黑" w:hAnsi="微软雅黑"/>
          <w:color w:val="auto"/>
          <w:szCs w:val="21"/>
          <w:highlight w:val="none"/>
        </w:rPr>
      </w:pPr>
      <w:r>
        <w:rPr>
          <w:rFonts w:hint="eastAsia" w:ascii="微软雅黑" w:hAnsi="微软雅黑"/>
          <w:color w:val="auto"/>
          <w:szCs w:val="21"/>
          <w:highlight w:val="none"/>
        </w:rPr>
        <w:t>第四部分 工程量清单</w:t>
      </w:r>
    </w:p>
    <w:p>
      <w:pPr>
        <w:pStyle w:val="6"/>
        <w:ind w:left="567" w:firstLine="0" w:firstLineChars="0"/>
        <w:jc w:val="both"/>
        <w:rPr>
          <w:rFonts w:ascii="微软雅黑" w:hAnsi="微软雅黑"/>
          <w:color w:val="auto"/>
          <w:szCs w:val="21"/>
          <w:highlight w:val="none"/>
        </w:rPr>
      </w:pPr>
      <w:r>
        <w:rPr>
          <w:rFonts w:hint="eastAsia" w:ascii="微软雅黑" w:hAnsi="微软雅黑"/>
          <w:color w:val="auto"/>
          <w:szCs w:val="21"/>
          <w:highlight w:val="none"/>
        </w:rPr>
        <w:t>第五部分 图纸</w:t>
      </w:r>
    </w:p>
    <w:p>
      <w:pPr>
        <w:pStyle w:val="6"/>
        <w:ind w:left="567" w:firstLine="0" w:firstLineChars="0"/>
        <w:jc w:val="both"/>
        <w:rPr>
          <w:rFonts w:ascii="微软雅黑" w:hAnsi="微软雅黑"/>
          <w:color w:val="auto"/>
          <w:szCs w:val="21"/>
          <w:highlight w:val="none"/>
        </w:rPr>
      </w:pPr>
      <w:r>
        <w:rPr>
          <w:rFonts w:hint="eastAsia" w:ascii="微软雅黑" w:hAnsi="微软雅黑"/>
          <w:color w:val="auto"/>
          <w:szCs w:val="21"/>
          <w:highlight w:val="none"/>
        </w:rPr>
        <w:t>第六部分 技术标准和要求</w:t>
      </w:r>
    </w:p>
    <w:p>
      <w:pPr>
        <w:pStyle w:val="6"/>
        <w:ind w:left="567" w:firstLine="0" w:firstLineChars="0"/>
        <w:jc w:val="both"/>
        <w:rPr>
          <w:rFonts w:ascii="微软雅黑" w:hAnsi="微软雅黑"/>
          <w:color w:val="auto"/>
          <w:szCs w:val="21"/>
          <w:highlight w:val="none"/>
        </w:rPr>
      </w:pPr>
      <w:r>
        <w:rPr>
          <w:rFonts w:hint="eastAsia" w:ascii="微软雅黑" w:hAnsi="微软雅黑"/>
          <w:color w:val="auto"/>
          <w:szCs w:val="21"/>
          <w:highlight w:val="none"/>
        </w:rPr>
        <w:t>第七部分 资格审查</w:t>
      </w:r>
    </w:p>
    <w:p>
      <w:pPr>
        <w:pStyle w:val="6"/>
        <w:ind w:left="567" w:firstLine="0" w:firstLineChars="0"/>
        <w:jc w:val="both"/>
        <w:rPr>
          <w:rFonts w:ascii="微软雅黑" w:hAnsi="微软雅黑"/>
          <w:color w:val="auto"/>
          <w:szCs w:val="21"/>
          <w:highlight w:val="none"/>
        </w:rPr>
      </w:pPr>
      <w:r>
        <w:rPr>
          <w:rFonts w:hint="eastAsia" w:ascii="微软雅黑" w:hAnsi="微软雅黑"/>
          <w:color w:val="auto"/>
          <w:szCs w:val="21"/>
          <w:highlight w:val="none"/>
        </w:rPr>
        <w:t>第八部分 评审方法和评审标准</w:t>
      </w:r>
    </w:p>
    <w:p>
      <w:pPr>
        <w:pStyle w:val="6"/>
        <w:ind w:left="567" w:firstLine="0" w:firstLineChars="0"/>
        <w:jc w:val="both"/>
        <w:rPr>
          <w:rFonts w:ascii="微软雅黑" w:hAnsi="微软雅黑"/>
          <w:color w:val="auto"/>
          <w:szCs w:val="21"/>
          <w:highlight w:val="none"/>
        </w:rPr>
      </w:pPr>
      <w:r>
        <w:rPr>
          <w:rFonts w:hint="eastAsia" w:ascii="微软雅黑" w:hAnsi="微软雅黑"/>
          <w:color w:val="auto"/>
          <w:szCs w:val="21"/>
          <w:highlight w:val="none"/>
        </w:rPr>
        <w:t>第九部分</w:t>
      </w:r>
      <w:r>
        <w:rPr>
          <w:rFonts w:ascii="微软雅黑" w:hAnsi="微软雅黑"/>
          <w:color w:val="auto"/>
          <w:szCs w:val="21"/>
          <w:highlight w:val="none"/>
        </w:rPr>
        <w:t xml:space="preserve"> </w:t>
      </w:r>
      <w:r>
        <w:rPr>
          <w:rFonts w:hint="eastAsia" w:ascii="微软雅黑" w:hAnsi="微软雅黑"/>
          <w:color w:val="auto"/>
          <w:szCs w:val="21"/>
          <w:highlight w:val="none"/>
          <w:lang w:val="en-US"/>
        </w:rPr>
        <w:t>合同草案条款</w:t>
      </w:r>
    </w:p>
    <w:p>
      <w:pPr>
        <w:pStyle w:val="6"/>
        <w:ind w:left="567" w:firstLine="0" w:firstLineChars="0"/>
        <w:jc w:val="both"/>
        <w:rPr>
          <w:rFonts w:ascii="微软雅黑" w:hAnsi="微软雅黑"/>
          <w:color w:val="auto"/>
          <w:szCs w:val="21"/>
          <w:highlight w:val="none"/>
        </w:rPr>
      </w:pPr>
      <w:r>
        <w:rPr>
          <w:rFonts w:hint="eastAsia" w:ascii="微软雅黑" w:hAnsi="微软雅黑"/>
          <w:color w:val="auto"/>
          <w:szCs w:val="21"/>
          <w:highlight w:val="none"/>
        </w:rPr>
        <w:t>第十部分</w:t>
      </w:r>
      <w:r>
        <w:rPr>
          <w:rFonts w:ascii="微软雅黑" w:hAnsi="微软雅黑"/>
          <w:color w:val="auto"/>
          <w:szCs w:val="21"/>
          <w:highlight w:val="none"/>
        </w:rPr>
        <w:t xml:space="preserve"> </w:t>
      </w:r>
      <w:r>
        <w:rPr>
          <w:rFonts w:hint="eastAsia" w:ascii="微软雅黑" w:hAnsi="微软雅黑"/>
          <w:color w:val="auto"/>
          <w:szCs w:val="21"/>
          <w:highlight w:val="none"/>
        </w:rPr>
        <w:t>响应文件格式</w:t>
      </w:r>
      <w:bookmarkEnd w:id="50"/>
    </w:p>
    <w:p>
      <w:pPr>
        <w:rPr>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竞争性磋商文件的澄清和修改</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任何已获得竞争性磋商文件的潜在供应商，均可要求对竞争性磋商文件进行澄清或修改，按第一部分竞争性磋商邀请中的联系方式以书面形式送达采购代理机构。</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按照责权利相一致原则，竞争性磋商文件的主要商务、技术指标的提出方负责解释供应商提出的相关澄清、修改要求，并应当视情况作出澄清或修改的决定。</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若采购人或采购代理机构决定给予澄清、修改，会以补充文件的方式进行，且以当面交接、邮寄、传真或电子邮件、网站披露等其中至少一种方式，统一向全体，或分别或向每一位潜在供应商发出澄清、修改或进行其它答复的补充文件，补充文件中可以包括原提出的问题，但不包括问题的来源。</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采购人或采购代理机构主动进行的澄清、修改：采购人或采购代理机构无论出于何种原因，均可主动对竞争性磋商文件中的相关事项，用补充文件的方式进行澄清和修改。</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澄清或者修改在原公告发布媒体上发布澄清公告。澄清或者修改的内容为竞争性磋商文件的组成部分</w:t>
      </w:r>
      <w:r>
        <w:rPr>
          <w:rFonts w:hint="eastAsia" w:ascii="微软雅黑" w:hAnsi="微软雅黑"/>
          <w:color w:val="auto"/>
          <w:highlight w:val="none"/>
        </w:rPr>
        <w:t>。</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采购代理机构澄清、修改、其它答复的效力：无论是否根据潜在供应商的澄清、修改或进行其它答复的要求，采购代理机构一旦对竞争性磋商文件作出了澄清、修改或进行其它答复，即刻发生效力，采购代理机构有关的补充文件，应当作为竞争性磋商文件的组成部分，对所有潜在供应商均具有约束力。同时，如提交响应文件截止日期有变更的，采购人、采购代理机构和供应商的权利及义务将受到新的截止期的约束。</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采购人将视情况确定是否有必要召开答疑或项目说明会。</w:t>
      </w:r>
    </w:p>
    <w:p>
      <w:pPr>
        <w:rPr>
          <w:color w:val="auto"/>
          <w:highlight w:val="none"/>
        </w:rPr>
      </w:pPr>
    </w:p>
    <w:p>
      <w:pPr>
        <w:pStyle w:val="5"/>
        <w:keepNext/>
        <w:keepLines/>
        <w:widowControl w:val="0"/>
        <w:numPr>
          <w:ilvl w:val="0"/>
          <w:numId w:val="15"/>
        </w:numPr>
        <w:jc w:val="left"/>
        <w:rPr>
          <w:bCs/>
          <w:color w:val="auto"/>
          <w:highlight w:val="none"/>
        </w:rPr>
      </w:pPr>
      <w:bookmarkStart w:id="51" w:name="_Toc9379"/>
      <w:r>
        <w:rPr>
          <w:rFonts w:hint="eastAsia"/>
          <w:bCs/>
          <w:color w:val="auto"/>
          <w:highlight w:val="none"/>
        </w:rPr>
        <w:t>响应文件</w:t>
      </w:r>
      <w:bookmarkEnd w:id="51"/>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响应文件的语言和计量单位</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供应商提交的响应文件（包括技术文件和资料、图纸中的说明）以及供应商与采购人或采购代理机构就有关磋商的所有来往函电均应使用中文简体字。</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原版为外文的证书类文件，以及由外国人作出的本人签名、外国公司的名称或外国印章等可以是外文，但应当提供中文翻译文件（可以是复印件）并加盖供应商公章。</w:t>
      </w:r>
    </w:p>
    <w:p>
      <w:pPr>
        <w:pStyle w:val="6"/>
        <w:ind w:left="567" w:firstLine="0" w:firstLineChars="0"/>
        <w:jc w:val="both"/>
        <w:rPr>
          <w:rFonts w:ascii="微软雅黑" w:hAnsi="微软雅黑"/>
          <w:color w:val="auto"/>
          <w:highlight w:val="none"/>
        </w:rPr>
      </w:pPr>
      <w:r>
        <w:rPr>
          <w:rFonts w:hint="eastAsia" w:ascii="微软雅黑" w:hAnsi="微软雅黑"/>
          <w:color w:val="auto"/>
          <w:highlight w:val="none"/>
        </w:rPr>
        <w:t>原版为外文的证书类、证明类文件，与供应商名称或其他实际情况不符的，供应商应当提供相关证明文件。</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响应文件所使用的计量单位，应使用国家法定计量单位。</w:t>
      </w:r>
    </w:p>
    <w:p>
      <w:pPr>
        <w:pStyle w:val="6"/>
        <w:ind w:left="567" w:firstLine="0" w:firstLineChars="0"/>
        <w:jc w:val="both"/>
        <w:rPr>
          <w:rFonts w:ascii="微软雅黑" w:hAnsi="微软雅黑"/>
          <w:color w:val="auto"/>
          <w:highlight w:val="none"/>
        </w:rPr>
      </w:pPr>
      <w:r>
        <w:rPr>
          <w:rFonts w:hint="eastAsia" w:ascii="微软雅黑" w:hAnsi="微软雅黑"/>
          <w:color w:val="auto"/>
          <w:highlight w:val="none"/>
        </w:rPr>
        <w:t xml:space="preserve"> </w:t>
      </w: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响应文件内容要求</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响应文件编写</w:t>
      </w:r>
    </w:p>
    <w:p>
      <w:pPr>
        <w:pStyle w:val="6"/>
        <w:numPr>
          <w:ilvl w:val="0"/>
          <w:numId w:val="17"/>
        </w:numPr>
        <w:ind w:firstLineChars="0"/>
        <w:jc w:val="both"/>
        <w:rPr>
          <w:rFonts w:ascii="微软雅黑" w:hAnsi="微软雅黑"/>
          <w:color w:val="auto"/>
          <w:highlight w:val="none"/>
        </w:rPr>
      </w:pPr>
      <w:r>
        <w:rPr>
          <w:rFonts w:hint="eastAsia" w:ascii="微软雅黑" w:hAnsi="微软雅黑"/>
          <w:color w:val="auto"/>
          <w:szCs w:val="21"/>
          <w:highlight w:val="none"/>
          <w:lang w:val="en-US"/>
        </w:rPr>
        <w:t>按照竞争性磋商文件中</w:t>
      </w:r>
      <w:r>
        <w:rPr>
          <w:rFonts w:hint="eastAsia" w:ascii="微软雅黑" w:hAnsi="微软雅黑"/>
          <w:b/>
          <w:color w:val="auto"/>
          <w:szCs w:val="21"/>
          <w:highlight w:val="none"/>
          <w:lang w:val="en-US"/>
        </w:rPr>
        <w:t>第十部分</w:t>
      </w:r>
      <w:r>
        <w:rPr>
          <w:rFonts w:hint="eastAsia" w:ascii="微软雅黑" w:hAnsi="微软雅黑"/>
          <w:color w:val="auto"/>
          <w:szCs w:val="21"/>
          <w:highlight w:val="none"/>
          <w:lang w:val="en-US"/>
        </w:rPr>
        <w:t>对响应文件格式部分规定的顺序，统一编目编码并编制目录。由于编排混乱导致响应文件被误读或查找不到，责任应当由供应商承担</w:t>
      </w:r>
      <w:r>
        <w:rPr>
          <w:rFonts w:hint="eastAsia" w:ascii="微软雅黑" w:hAnsi="微软雅黑"/>
          <w:color w:val="auto"/>
          <w:highlight w:val="none"/>
        </w:rPr>
        <w:t>。</w:t>
      </w:r>
    </w:p>
    <w:p>
      <w:pPr>
        <w:pStyle w:val="6"/>
        <w:numPr>
          <w:ilvl w:val="0"/>
          <w:numId w:val="17"/>
        </w:numPr>
        <w:ind w:firstLineChars="0"/>
        <w:jc w:val="both"/>
        <w:rPr>
          <w:rFonts w:ascii="微软雅黑" w:hAnsi="微软雅黑"/>
          <w:color w:val="auto"/>
          <w:highlight w:val="none"/>
        </w:rPr>
      </w:pPr>
      <w:r>
        <w:rPr>
          <w:rFonts w:hint="eastAsia" w:ascii="微软雅黑" w:hAnsi="微软雅黑"/>
          <w:color w:val="auto"/>
          <w:highlight w:val="none"/>
        </w:rPr>
        <w:t>供应商应详细阅读竞争性磋商文件的全部内容。响应文件须对竞争性磋商文件中的内容做出实质性和完整的响应，如果响应文件填报的内容资料不详，或没有提供竞争性磋商文件中所要求的全部资料及数据，将被视为响应文件完整性有缺陷。</w:t>
      </w:r>
    </w:p>
    <w:p>
      <w:pPr>
        <w:pStyle w:val="6"/>
        <w:numPr>
          <w:ilvl w:val="0"/>
          <w:numId w:val="17"/>
        </w:numPr>
        <w:ind w:firstLineChars="0"/>
        <w:jc w:val="both"/>
        <w:rPr>
          <w:rFonts w:ascii="微软雅黑" w:hAnsi="微软雅黑"/>
          <w:color w:val="auto"/>
          <w:highlight w:val="none"/>
        </w:rPr>
      </w:pPr>
      <w:r>
        <w:rPr>
          <w:rFonts w:hint="eastAsia" w:ascii="微软雅黑" w:hAnsi="微软雅黑"/>
          <w:color w:val="auto"/>
          <w:highlight w:val="none"/>
        </w:rPr>
        <w:t>除可填报内容外，对响应函内容的任何实质性修改将被视为非实质性响应，该</w:t>
      </w:r>
      <w:r>
        <w:rPr>
          <w:rFonts w:hint="eastAsia" w:ascii="微软雅黑" w:hAnsi="微软雅黑"/>
          <w:b/>
          <w:bCs/>
          <w:color w:val="auto"/>
          <w:highlight w:val="none"/>
        </w:rPr>
        <w:t>响应将被拒绝</w:t>
      </w:r>
      <w:r>
        <w:rPr>
          <w:rFonts w:hint="eastAsia" w:ascii="微软雅黑" w:hAnsi="微软雅黑"/>
          <w:color w:val="auto"/>
          <w:highlight w:val="none"/>
        </w:rPr>
        <w:t>。</w:t>
      </w:r>
    </w:p>
    <w:p>
      <w:pPr>
        <w:pStyle w:val="6"/>
        <w:numPr>
          <w:ilvl w:val="0"/>
          <w:numId w:val="17"/>
        </w:numPr>
        <w:ind w:firstLineChars="0"/>
        <w:jc w:val="both"/>
        <w:rPr>
          <w:rFonts w:ascii="微软雅黑" w:hAnsi="微软雅黑"/>
          <w:color w:val="auto"/>
          <w:highlight w:val="none"/>
        </w:rPr>
      </w:pPr>
      <w:r>
        <w:rPr>
          <w:rFonts w:hint="eastAsia" w:ascii="微软雅黑" w:hAnsi="微软雅黑"/>
          <w:color w:val="auto"/>
          <w:highlight w:val="none"/>
        </w:rPr>
        <w:t>响应文件应按照竞争性磋商文件的格式逐项填写，无相应内容可填的项应填写“无”、 “没有相应指标”等明确的回答文字。</w:t>
      </w:r>
    </w:p>
    <w:p>
      <w:pPr>
        <w:pStyle w:val="6"/>
        <w:numPr>
          <w:ilvl w:val="0"/>
          <w:numId w:val="17"/>
        </w:numPr>
        <w:ind w:firstLineChars="0"/>
        <w:jc w:val="both"/>
        <w:rPr>
          <w:rFonts w:ascii="微软雅黑" w:hAnsi="微软雅黑"/>
          <w:color w:val="auto"/>
          <w:highlight w:val="none"/>
        </w:rPr>
      </w:pPr>
      <w:r>
        <w:rPr>
          <w:rFonts w:hint="eastAsia" w:ascii="微软雅黑" w:hAnsi="微软雅黑"/>
          <w:color w:val="auto"/>
          <w:highlight w:val="none"/>
        </w:rPr>
        <w:t>供应商必须保证响应文件所提供的全部资料真实可靠，并接受磋商小组对其中任何资料进一步原件审查的要求。</w:t>
      </w:r>
    </w:p>
    <w:p>
      <w:pPr>
        <w:pStyle w:val="6"/>
        <w:ind w:left="567" w:firstLine="0" w:firstLineChars="0"/>
        <w:jc w:val="both"/>
        <w:rPr>
          <w:rFonts w:ascii="微软雅黑" w:hAnsi="微软雅黑"/>
          <w:color w:val="auto"/>
          <w:highlight w:val="none"/>
        </w:rPr>
      </w:pP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响应报价</w:t>
      </w:r>
    </w:p>
    <w:p>
      <w:pPr>
        <w:pStyle w:val="6"/>
        <w:numPr>
          <w:ilvl w:val="0"/>
          <w:numId w:val="18"/>
        </w:numPr>
        <w:ind w:firstLineChars="0"/>
        <w:jc w:val="both"/>
        <w:rPr>
          <w:rFonts w:ascii="微软雅黑" w:hAnsi="微软雅黑"/>
          <w:color w:val="auto"/>
          <w:highlight w:val="none"/>
        </w:rPr>
      </w:pPr>
      <w:r>
        <w:rPr>
          <w:rFonts w:hint="eastAsia" w:ascii="微软雅黑" w:hAnsi="微软雅黑"/>
          <w:color w:val="auto"/>
          <w:highlight w:val="none"/>
        </w:rPr>
        <w:t>所有响应报价均以人民币元为计算单位</w:t>
      </w:r>
      <w:bookmarkStart w:id="52" w:name="_Hlk37336708"/>
      <w:r>
        <w:rPr>
          <w:rFonts w:hint="eastAsia" w:ascii="微软雅黑" w:hAnsi="微软雅黑"/>
          <w:color w:val="auto"/>
          <w:highlight w:val="none"/>
        </w:rPr>
        <w:t>，至多可保留到小数点后2位。报价视为已经包含了但并不限于</w:t>
      </w:r>
      <w:bookmarkStart w:id="53" w:name="_Hlk38533286"/>
      <w:r>
        <w:rPr>
          <w:rFonts w:hint="eastAsia" w:ascii="微软雅黑" w:hAnsi="微软雅黑"/>
          <w:color w:val="auto"/>
          <w:highlight w:val="none"/>
        </w:rPr>
        <w:t>各项工程、验收、保修和相关服务等的费用和所需缴纳的所有价格、税、费</w:t>
      </w:r>
      <w:bookmarkEnd w:id="52"/>
      <w:r>
        <w:rPr>
          <w:rFonts w:hint="eastAsia" w:ascii="微软雅黑" w:hAnsi="微软雅黑"/>
          <w:color w:val="auto"/>
          <w:highlight w:val="none"/>
        </w:rPr>
        <w:t>。</w:t>
      </w:r>
      <w:bookmarkEnd w:id="53"/>
      <w:r>
        <w:rPr>
          <w:rFonts w:hint="eastAsia" w:ascii="微软雅黑" w:hAnsi="微软雅黑"/>
          <w:color w:val="auto"/>
          <w:highlight w:val="none"/>
        </w:rPr>
        <w:t>在其他情况下，由于分项报价填报不完整、不清楚或存在其他任何失误，所导致的任何不利后果均应当由供应商自行承担。</w:t>
      </w:r>
    </w:p>
    <w:p>
      <w:pPr>
        <w:pStyle w:val="6"/>
        <w:numPr>
          <w:ilvl w:val="0"/>
          <w:numId w:val="18"/>
        </w:numPr>
        <w:ind w:firstLineChars="0"/>
        <w:jc w:val="both"/>
        <w:rPr>
          <w:rFonts w:ascii="微软雅黑" w:hAnsi="微软雅黑"/>
          <w:color w:val="auto"/>
          <w:highlight w:val="none"/>
        </w:rPr>
      </w:pPr>
      <w:r>
        <w:rPr>
          <w:rFonts w:hint="eastAsia" w:ascii="微软雅黑" w:hAnsi="微软雅黑"/>
          <w:color w:val="auto"/>
          <w:highlight w:val="none"/>
        </w:rPr>
        <w:t>供应商投报多标段的，应对每标段分别报价并分别填报报价一览表。</w:t>
      </w:r>
    </w:p>
    <w:p>
      <w:pPr>
        <w:pStyle w:val="6"/>
        <w:numPr>
          <w:ilvl w:val="0"/>
          <w:numId w:val="18"/>
        </w:numPr>
        <w:ind w:firstLineChars="0"/>
        <w:jc w:val="both"/>
        <w:rPr>
          <w:rFonts w:ascii="微软雅黑" w:hAnsi="微软雅黑"/>
          <w:color w:val="auto"/>
          <w:highlight w:val="none"/>
        </w:rPr>
      </w:pPr>
      <w:r>
        <w:rPr>
          <w:rFonts w:hint="eastAsia" w:ascii="微软雅黑" w:hAnsi="微软雅黑"/>
          <w:color w:val="auto"/>
          <w:highlight w:val="none"/>
        </w:rPr>
        <w:t>供应商对响应报价若有说明应在报价一览表显著处注明。</w:t>
      </w:r>
    </w:p>
    <w:p>
      <w:pPr>
        <w:pStyle w:val="6"/>
        <w:numPr>
          <w:ilvl w:val="0"/>
          <w:numId w:val="18"/>
        </w:numPr>
        <w:ind w:firstLineChars="0"/>
        <w:jc w:val="both"/>
        <w:rPr>
          <w:rFonts w:ascii="微软雅黑" w:hAnsi="微软雅黑"/>
          <w:color w:val="auto"/>
          <w:highlight w:val="none"/>
        </w:rPr>
      </w:pPr>
      <w:r>
        <w:rPr>
          <w:rFonts w:hint="eastAsia" w:ascii="微软雅黑" w:hAnsi="微软雅黑"/>
          <w:color w:val="auto"/>
          <w:highlight w:val="none"/>
        </w:rPr>
        <w:t>除报价优惠外，任何超出竞争性磋商文件要求而额外赠送的内容等其他形式的优惠，在评审时将不具有竞争优势。</w:t>
      </w:r>
    </w:p>
    <w:p>
      <w:pPr>
        <w:pStyle w:val="6"/>
        <w:numPr>
          <w:ilvl w:val="0"/>
          <w:numId w:val="18"/>
        </w:numPr>
        <w:ind w:firstLineChars="0"/>
        <w:jc w:val="both"/>
        <w:rPr>
          <w:rFonts w:ascii="微软雅黑" w:hAnsi="微软雅黑"/>
          <w:color w:val="auto"/>
          <w:highlight w:val="none"/>
        </w:rPr>
      </w:pPr>
      <w:r>
        <w:rPr>
          <w:rFonts w:hint="eastAsia" w:ascii="微软雅黑" w:hAnsi="微软雅黑"/>
          <w:color w:val="auto"/>
          <w:highlight w:val="none"/>
        </w:rPr>
        <w:t>最低报价不能作为成交的保证。</w:t>
      </w:r>
    </w:p>
    <w:p>
      <w:pPr>
        <w:pStyle w:val="6"/>
        <w:numPr>
          <w:ilvl w:val="0"/>
          <w:numId w:val="18"/>
        </w:numPr>
        <w:ind w:firstLineChars="0"/>
        <w:jc w:val="both"/>
        <w:rPr>
          <w:rFonts w:ascii="微软雅黑" w:hAnsi="微软雅黑"/>
          <w:color w:val="auto"/>
          <w:highlight w:val="none"/>
        </w:rPr>
      </w:pPr>
      <w:r>
        <w:rPr>
          <w:rFonts w:hint="eastAsia" w:ascii="微软雅黑" w:hAnsi="微软雅黑"/>
          <w:color w:val="auto"/>
          <w:highlight w:val="none"/>
        </w:rPr>
        <w:t>响应文件报价出现前后不一致的，按照下列规定修正：</w:t>
      </w:r>
    </w:p>
    <w:p>
      <w:pPr>
        <w:pStyle w:val="6"/>
        <w:jc w:val="both"/>
        <w:rPr>
          <w:rFonts w:ascii="微软雅黑" w:hAnsi="微软雅黑"/>
          <w:color w:val="auto"/>
          <w:highlight w:val="none"/>
        </w:rPr>
      </w:pPr>
      <w:r>
        <w:rPr>
          <w:rFonts w:hint="eastAsia" w:ascii="微软雅黑" w:hAnsi="微软雅黑"/>
          <w:color w:val="auto"/>
          <w:highlight w:val="none"/>
        </w:rPr>
        <w:t xml:space="preserve">1）响应文件中报价一览表内容与响应文件中相应内容不一致的，以报价一览表为准； </w:t>
      </w:r>
    </w:p>
    <w:p>
      <w:pPr>
        <w:pStyle w:val="6"/>
        <w:jc w:val="both"/>
        <w:rPr>
          <w:rFonts w:ascii="微软雅黑" w:hAnsi="微软雅黑"/>
          <w:color w:val="auto"/>
          <w:highlight w:val="none"/>
        </w:rPr>
      </w:pPr>
      <w:r>
        <w:rPr>
          <w:rFonts w:hint="eastAsia" w:ascii="微软雅黑" w:hAnsi="微软雅黑"/>
          <w:color w:val="auto"/>
          <w:highlight w:val="none"/>
        </w:rPr>
        <w:t>2）大写金额和小写金额不一致的，以大写金额为准；</w:t>
      </w:r>
    </w:p>
    <w:p>
      <w:pPr>
        <w:pStyle w:val="6"/>
        <w:jc w:val="both"/>
        <w:rPr>
          <w:rFonts w:ascii="微软雅黑" w:hAnsi="微软雅黑"/>
          <w:color w:val="auto"/>
          <w:highlight w:val="none"/>
        </w:rPr>
      </w:pPr>
      <w:r>
        <w:rPr>
          <w:rFonts w:hint="eastAsia" w:ascii="微软雅黑" w:hAnsi="微软雅黑"/>
          <w:color w:val="auto"/>
          <w:highlight w:val="none"/>
        </w:rPr>
        <w:t>3）单价金额小数点或者百分比有明显错位的，以报价一览表的总价为准，并修改单价；</w:t>
      </w:r>
    </w:p>
    <w:p>
      <w:pPr>
        <w:pStyle w:val="6"/>
        <w:jc w:val="both"/>
        <w:rPr>
          <w:rFonts w:ascii="微软雅黑" w:hAnsi="微软雅黑"/>
          <w:color w:val="auto"/>
          <w:highlight w:val="none"/>
        </w:rPr>
      </w:pPr>
      <w:r>
        <w:rPr>
          <w:rFonts w:hint="eastAsia" w:ascii="微软雅黑" w:hAnsi="微软雅黑"/>
          <w:color w:val="auto"/>
          <w:highlight w:val="none"/>
        </w:rPr>
        <w:t>4）总价金额与按单价汇总金额不一致的，以单价金额计算结果为准。</w:t>
      </w:r>
    </w:p>
    <w:p>
      <w:pPr>
        <w:pStyle w:val="6"/>
        <w:ind w:left="420" w:leftChars="200" w:firstLine="0" w:firstLineChars="0"/>
        <w:jc w:val="both"/>
        <w:rPr>
          <w:rFonts w:ascii="微软雅黑" w:hAnsi="微软雅黑"/>
          <w:color w:val="auto"/>
          <w:highlight w:val="none"/>
        </w:rPr>
      </w:pPr>
      <w:r>
        <w:rPr>
          <w:rFonts w:hint="eastAsia" w:ascii="微软雅黑" w:hAnsi="微软雅黑"/>
          <w:color w:val="auto"/>
          <w:highlight w:val="none"/>
        </w:rPr>
        <w:t>同时出现两种以上不一致的，按照前款规定的顺序修正。修正后的报价经供应商确认后产生约束力，供应商不确认的，其</w:t>
      </w:r>
      <w:r>
        <w:rPr>
          <w:rFonts w:hint="eastAsia" w:ascii="微软雅黑" w:hAnsi="微软雅黑"/>
          <w:b/>
          <w:bCs/>
          <w:color w:val="auto"/>
          <w:highlight w:val="none"/>
        </w:rPr>
        <w:t>响应无效。</w:t>
      </w:r>
    </w:p>
    <w:p>
      <w:pPr>
        <w:pStyle w:val="6"/>
        <w:ind w:firstLine="0" w:firstLineChars="0"/>
        <w:jc w:val="both"/>
        <w:rPr>
          <w:rFonts w:ascii="微软雅黑" w:hAnsi="微软雅黑"/>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响应文件的有效期</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本项目响应文件的有效期详见</w:t>
      </w:r>
      <w:r>
        <w:rPr>
          <w:rFonts w:hint="eastAsia" w:ascii="微软雅黑" w:hAnsi="微软雅黑"/>
          <w:b/>
          <w:bCs/>
          <w:color w:val="auto"/>
          <w:highlight w:val="none"/>
        </w:rPr>
        <w:t>供应商须知前附表</w:t>
      </w:r>
      <w:r>
        <w:rPr>
          <w:rFonts w:hint="eastAsia" w:ascii="微软雅黑" w:hAnsi="微软雅黑"/>
          <w:color w:val="auto"/>
          <w:highlight w:val="none"/>
        </w:rPr>
        <w:t>。提交响应文件截止时间后，供应商在响应有效期内不得撤销响应文件。</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在特殊情况下，采购人或采购代理机构可延长响应文件有效期。这种要求和答复都应以书面形式进行。同意延长有效期的供应商除按照采购人或代理机构要求修改响应文件有效期外，</w:t>
      </w:r>
      <w:r>
        <w:rPr>
          <w:rFonts w:hint="eastAsia" w:ascii="微软雅黑" w:hAnsi="微软雅黑"/>
          <w:b/>
          <w:bCs/>
          <w:color w:val="auto"/>
          <w:highlight w:val="none"/>
        </w:rPr>
        <w:t>不得</w:t>
      </w:r>
      <w:r>
        <w:rPr>
          <w:rFonts w:hint="eastAsia" w:ascii="微软雅黑" w:hAnsi="微软雅黑"/>
          <w:color w:val="auto"/>
          <w:highlight w:val="none"/>
        </w:rPr>
        <w:t>修改响应文件的其他内容。</w:t>
      </w:r>
    </w:p>
    <w:p>
      <w:pPr>
        <w:jc w:val="both"/>
        <w:rPr>
          <w:rFonts w:ascii="微软雅黑" w:hAnsi="微软雅黑"/>
          <w:color w:val="auto"/>
          <w:highlight w:val="none"/>
        </w:rPr>
      </w:pPr>
      <w:r>
        <w:rPr>
          <w:rFonts w:hint="eastAsia" w:ascii="微软雅黑" w:hAnsi="微软雅黑"/>
          <w:color w:val="auto"/>
          <w:highlight w:val="none"/>
        </w:rPr>
        <w:t xml:space="preserve"> </w:t>
      </w: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响应文件的签署及其他规定</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组成响应文件的各项文件均应遵守本条规定。</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响应文件签署要求如下：</w:t>
      </w:r>
    </w:p>
    <w:p>
      <w:pPr>
        <w:pStyle w:val="6"/>
        <w:numPr>
          <w:ilvl w:val="0"/>
          <w:numId w:val="19"/>
        </w:numPr>
        <w:ind w:firstLineChars="0"/>
        <w:jc w:val="both"/>
        <w:rPr>
          <w:rFonts w:ascii="微软雅黑" w:hAnsi="微软雅黑"/>
          <w:color w:val="auto"/>
          <w:highlight w:val="none"/>
        </w:rPr>
      </w:pPr>
      <w:r>
        <w:rPr>
          <w:rFonts w:hint="eastAsia" w:ascii="微软雅黑" w:hAnsi="微软雅黑"/>
          <w:color w:val="auto"/>
          <w:highlight w:val="none"/>
        </w:rPr>
        <w:t>供应商在“响应函”、“法定代表人授权委托书”上应当按格式要求加盖与供应商名称全称相一致的标准公章，并签署法定代表人或供应商代表的全名或加盖名章；</w:t>
      </w:r>
    </w:p>
    <w:p>
      <w:pPr>
        <w:pStyle w:val="6"/>
        <w:numPr>
          <w:ilvl w:val="0"/>
          <w:numId w:val="19"/>
        </w:numPr>
        <w:ind w:firstLineChars="0"/>
        <w:jc w:val="both"/>
        <w:rPr>
          <w:rFonts w:ascii="微软雅黑" w:hAnsi="微软雅黑"/>
          <w:color w:val="auto"/>
          <w:highlight w:val="none"/>
        </w:rPr>
      </w:pPr>
      <w:r>
        <w:rPr>
          <w:rFonts w:hint="eastAsia" w:ascii="微软雅黑" w:hAnsi="微软雅黑"/>
          <w:color w:val="auto"/>
          <w:highlight w:val="none"/>
        </w:rPr>
        <w:t>如供应商为联合体，上述文件联合体全权代表方应盖章，并签署联合体全权代表方法定代表人或供应商代表的全名或加盖名章；</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供应商应按本款下述规定以及</w:t>
      </w:r>
      <w:r>
        <w:rPr>
          <w:rFonts w:hint="eastAsia" w:ascii="微软雅黑" w:hAnsi="微软雅黑"/>
          <w:b/>
          <w:bCs/>
          <w:color w:val="auto"/>
          <w:highlight w:val="none"/>
        </w:rPr>
        <w:t>供应商须知前附表</w:t>
      </w:r>
      <w:r>
        <w:rPr>
          <w:rFonts w:hint="eastAsia" w:ascii="微软雅黑" w:hAnsi="微软雅黑"/>
          <w:color w:val="auto"/>
          <w:highlight w:val="none"/>
        </w:rPr>
        <w:t>规定的方式提交响应文件。</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因响应文件字迹潦草或表达不清所引起的不利后果由供应商承担。</w:t>
      </w:r>
    </w:p>
    <w:p>
      <w:pPr>
        <w:pStyle w:val="6"/>
        <w:numPr>
          <w:ilvl w:val="1"/>
          <w:numId w:val="16"/>
        </w:numPr>
        <w:ind w:firstLineChars="0"/>
        <w:jc w:val="both"/>
        <w:rPr>
          <w:rFonts w:ascii="微软雅黑" w:hAnsi="微软雅黑"/>
          <w:b/>
          <w:bCs/>
          <w:color w:val="auto"/>
          <w:highlight w:val="none"/>
        </w:rPr>
      </w:pPr>
      <w:r>
        <w:rPr>
          <w:rFonts w:ascii="微软雅黑" w:hAnsi="微软雅黑"/>
          <w:color w:val="auto"/>
          <w:highlight w:val="none"/>
          <w:lang w:val="en-US"/>
        </w:rPr>
        <w:t>响应文件不得涂改和增删，如有修改，</w:t>
      </w:r>
      <w:r>
        <w:rPr>
          <w:rFonts w:hint="eastAsia" w:ascii="微软雅黑" w:hAnsi="微软雅黑"/>
          <w:color w:val="auto"/>
          <w:highlight w:val="none"/>
          <w:lang w:val="en-US"/>
        </w:rPr>
        <w:t>修改处</w:t>
      </w:r>
      <w:r>
        <w:rPr>
          <w:rFonts w:ascii="微软雅黑" w:hAnsi="微软雅黑"/>
          <w:color w:val="auto"/>
          <w:highlight w:val="none"/>
          <w:lang w:val="en-US"/>
        </w:rPr>
        <w:t>必须由</w:t>
      </w:r>
      <w:r>
        <w:rPr>
          <w:rFonts w:hint="eastAsia" w:ascii="微软雅黑" w:hAnsi="微软雅黑"/>
          <w:color w:val="auto"/>
          <w:highlight w:val="none"/>
          <w:lang w:val="en-US"/>
        </w:rPr>
        <w:t>法定代表人</w:t>
      </w:r>
      <w:r>
        <w:rPr>
          <w:rFonts w:ascii="微软雅黑" w:hAnsi="微软雅黑"/>
          <w:color w:val="auto"/>
          <w:highlight w:val="none"/>
          <w:lang w:val="en-US"/>
        </w:rPr>
        <w:t>或经</w:t>
      </w:r>
      <w:r>
        <w:rPr>
          <w:rFonts w:hint="eastAsia" w:ascii="微软雅黑" w:hAnsi="微软雅黑"/>
          <w:color w:val="auto"/>
          <w:highlight w:val="none"/>
          <w:lang w:val="en-US"/>
        </w:rPr>
        <w:t>法定代表人</w:t>
      </w:r>
      <w:r>
        <w:rPr>
          <w:rFonts w:ascii="微软雅黑" w:hAnsi="微软雅黑"/>
          <w:color w:val="auto"/>
          <w:highlight w:val="none"/>
          <w:lang w:val="en-US"/>
        </w:rPr>
        <w:t>正式授权的</w:t>
      </w:r>
      <w:r>
        <w:rPr>
          <w:rFonts w:hint="eastAsia" w:ascii="微软雅黑" w:hAnsi="微软雅黑"/>
          <w:color w:val="auto"/>
          <w:highlight w:val="none"/>
          <w:lang w:val="en-US"/>
        </w:rPr>
        <w:t>供应商</w:t>
      </w:r>
      <w:r>
        <w:rPr>
          <w:rFonts w:ascii="微软雅黑" w:hAnsi="微软雅黑"/>
          <w:color w:val="auto"/>
          <w:highlight w:val="none"/>
          <w:lang w:val="en-US"/>
        </w:rPr>
        <w:t>代表签字</w:t>
      </w:r>
      <w:r>
        <w:rPr>
          <w:rFonts w:hint="eastAsia" w:ascii="微软雅黑" w:hAnsi="微软雅黑"/>
          <w:color w:val="auto"/>
          <w:highlight w:val="none"/>
          <w:lang w:val="en-US"/>
        </w:rPr>
        <w:t>并加盖</w:t>
      </w:r>
      <w:r>
        <w:rPr>
          <w:rFonts w:ascii="微软雅黑" w:hAnsi="微软雅黑"/>
          <w:color w:val="auto"/>
          <w:highlight w:val="none"/>
          <w:lang w:val="en-US"/>
        </w:rPr>
        <w:t>供应商</w:t>
      </w:r>
      <w:r>
        <w:rPr>
          <w:rFonts w:hint="eastAsia" w:ascii="微软雅黑" w:hAnsi="微软雅黑"/>
          <w:color w:val="auto"/>
          <w:highlight w:val="none"/>
          <w:lang w:val="en-US"/>
        </w:rPr>
        <w:t>公章，否则</w:t>
      </w:r>
      <w:r>
        <w:rPr>
          <w:rFonts w:hint="eastAsia" w:ascii="微软雅黑" w:hAnsi="微软雅黑"/>
          <w:b/>
          <w:bCs/>
          <w:color w:val="auto"/>
          <w:highlight w:val="none"/>
          <w:lang w:val="en-US"/>
        </w:rPr>
        <w:t>响应无效</w:t>
      </w:r>
      <w:r>
        <w:rPr>
          <w:rFonts w:ascii="微软雅黑" w:hAnsi="微软雅黑"/>
          <w:b/>
          <w:bCs/>
          <w:color w:val="auto"/>
          <w:highlight w:val="none"/>
          <w:lang w:val="en-US"/>
        </w:rPr>
        <w:t>。</w:t>
      </w:r>
    </w:p>
    <w:p>
      <w:pPr>
        <w:jc w:val="both"/>
        <w:rPr>
          <w:rFonts w:ascii="微软雅黑" w:hAnsi="微软雅黑"/>
          <w:color w:val="auto"/>
          <w:highlight w:val="none"/>
        </w:rPr>
      </w:pPr>
      <w:r>
        <w:rPr>
          <w:rFonts w:hint="eastAsia" w:ascii="微软雅黑" w:hAnsi="微软雅黑"/>
          <w:color w:val="auto"/>
          <w:highlight w:val="none"/>
        </w:rPr>
        <w:t xml:space="preserve"> </w:t>
      </w:r>
    </w:p>
    <w:p>
      <w:pPr>
        <w:pStyle w:val="5"/>
        <w:keepNext/>
        <w:keepLines/>
        <w:widowControl w:val="0"/>
        <w:numPr>
          <w:ilvl w:val="0"/>
          <w:numId w:val="15"/>
        </w:numPr>
        <w:jc w:val="left"/>
        <w:rPr>
          <w:b w:val="0"/>
          <w:bCs/>
          <w:color w:val="auto"/>
          <w:highlight w:val="none"/>
        </w:rPr>
      </w:pPr>
      <w:bookmarkStart w:id="54" w:name="_Toc31897"/>
      <w:r>
        <w:rPr>
          <w:rFonts w:hint="eastAsia"/>
          <w:bCs/>
          <w:color w:val="auto"/>
          <w:highlight w:val="none"/>
        </w:rPr>
        <w:t>响应文件的递交</w:t>
      </w:r>
      <w:bookmarkEnd w:id="54"/>
    </w:p>
    <w:p>
      <w:pPr>
        <w:numPr>
          <w:ilvl w:val="0"/>
          <w:numId w:val="16"/>
        </w:numPr>
        <w:rPr>
          <w:rFonts w:ascii="微软雅黑" w:hAnsi="微软雅黑"/>
          <w:b/>
          <w:bCs/>
          <w:color w:val="auto"/>
          <w:highlight w:val="none"/>
        </w:rPr>
      </w:pPr>
      <w:r>
        <w:rPr>
          <w:rFonts w:hint="eastAsia" w:ascii="微软雅黑" w:hAnsi="微软雅黑"/>
          <w:b/>
          <w:bCs/>
          <w:color w:val="auto"/>
          <w:highlight w:val="none"/>
        </w:rPr>
        <w:t>响应文件的递交方式</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highlight w:val="none"/>
        </w:rPr>
        <w:t>供应商应</w:t>
      </w:r>
      <w:r>
        <w:rPr>
          <w:rFonts w:hint="eastAsia" w:ascii="微软雅黑" w:hAnsi="微软雅黑"/>
          <w:b/>
          <w:bCs/>
          <w:color w:val="auto"/>
          <w:highlight w:val="none"/>
        </w:rPr>
        <w:t>供应商须知前附表</w:t>
      </w:r>
      <w:r>
        <w:rPr>
          <w:rFonts w:hint="eastAsia" w:ascii="微软雅黑" w:hAnsi="微软雅黑"/>
          <w:color w:val="auto"/>
          <w:highlight w:val="none"/>
        </w:rPr>
        <w:t>规定的方式提交响应文件</w:t>
      </w:r>
      <w:r>
        <w:rPr>
          <w:rFonts w:hint="eastAsia" w:ascii="微软雅黑" w:hAnsi="微软雅黑"/>
          <w:color w:val="auto"/>
          <w:szCs w:val="21"/>
          <w:highlight w:val="none"/>
        </w:rPr>
        <w:t>。</w:t>
      </w:r>
    </w:p>
    <w:p>
      <w:pPr>
        <w:jc w:val="both"/>
        <w:rPr>
          <w:rFonts w:ascii="微软雅黑" w:hAnsi="微软雅黑"/>
          <w:color w:val="auto"/>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提交响应文件截止时间</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响应文件须按照</w:t>
      </w:r>
      <w:r>
        <w:rPr>
          <w:rFonts w:hint="eastAsia" w:ascii="微软雅黑" w:hAnsi="微软雅黑"/>
          <w:b/>
          <w:bCs/>
          <w:color w:val="auto"/>
          <w:highlight w:val="none"/>
        </w:rPr>
        <w:t>供应商须知前附表</w:t>
      </w:r>
      <w:r>
        <w:rPr>
          <w:rFonts w:hint="eastAsia" w:ascii="微软雅黑" w:hAnsi="微软雅黑"/>
          <w:color w:val="auto"/>
          <w:szCs w:val="21"/>
          <w:highlight w:val="none"/>
        </w:rPr>
        <w:t>规定的提交响应文件截止时间递交响应文件。提交响应文件截止时间后提交的响应文件将被拒收，在规定时间内所提交的文件不符合相关规定要求的也将被拒收。</w:t>
      </w:r>
    </w:p>
    <w:p>
      <w:pPr>
        <w:jc w:val="both"/>
        <w:rPr>
          <w:rFonts w:ascii="微软雅黑" w:hAnsi="微软雅黑"/>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响应文件补充、修改和撤回</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供应商在提交响应文件截止时间前，可以对所递交的响应文件进行补充、修改或者撤回。</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供应商在提交响应文件截止时间前需要对响应文件进行补充、修改的，应当按照</w:t>
      </w:r>
      <w:r>
        <w:rPr>
          <w:rFonts w:hint="eastAsia" w:ascii="微软雅黑" w:hAnsi="微软雅黑"/>
          <w:b/>
          <w:bCs/>
          <w:color w:val="auto"/>
          <w:highlight w:val="none"/>
        </w:rPr>
        <w:t>供应商须知前附表</w:t>
      </w:r>
      <w:r>
        <w:rPr>
          <w:rFonts w:hint="eastAsia" w:ascii="微软雅黑" w:hAnsi="微软雅黑"/>
          <w:bCs/>
          <w:color w:val="auto"/>
          <w:highlight w:val="none"/>
        </w:rPr>
        <w:t>规定的响应文件的密封、标记进行</w:t>
      </w:r>
      <w:r>
        <w:rPr>
          <w:rFonts w:hint="eastAsia" w:ascii="微软雅黑" w:hAnsi="微软雅黑"/>
          <w:bCs/>
          <w:color w:val="auto"/>
          <w:highlight w:val="none"/>
          <w:lang w:val="en-US"/>
        </w:rPr>
        <w:t>，作为响应文件的组成部分</w:t>
      </w:r>
      <w:r>
        <w:rPr>
          <w:rFonts w:hint="eastAsia" w:ascii="微软雅黑" w:hAnsi="微软雅黑"/>
          <w:b/>
          <w:bCs/>
          <w:color w:val="auto"/>
          <w:highlight w:val="none"/>
        </w:rPr>
        <w:t>。</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在提交响应文件截止时间之后，供应商不得撤回响应文件。</w:t>
      </w:r>
    </w:p>
    <w:p>
      <w:pPr>
        <w:jc w:val="both"/>
        <w:rPr>
          <w:rFonts w:ascii="微软雅黑" w:hAnsi="微软雅黑"/>
          <w:color w:val="auto"/>
          <w:highlight w:val="none"/>
        </w:rPr>
      </w:pPr>
    </w:p>
    <w:p>
      <w:pPr>
        <w:pStyle w:val="5"/>
        <w:keepNext/>
        <w:keepLines/>
        <w:widowControl w:val="0"/>
        <w:numPr>
          <w:ilvl w:val="0"/>
          <w:numId w:val="15"/>
        </w:numPr>
        <w:jc w:val="left"/>
        <w:rPr>
          <w:bCs/>
          <w:color w:val="auto"/>
          <w:highlight w:val="none"/>
        </w:rPr>
      </w:pPr>
      <w:bookmarkStart w:id="55" w:name="_Toc5607"/>
      <w:r>
        <w:rPr>
          <w:rFonts w:hint="eastAsia"/>
          <w:bCs/>
          <w:color w:val="auto"/>
          <w:highlight w:val="none"/>
        </w:rPr>
        <w:t>开启、评审</w:t>
      </w:r>
      <w:bookmarkEnd w:id="55"/>
    </w:p>
    <w:p>
      <w:pPr>
        <w:numPr>
          <w:ilvl w:val="0"/>
          <w:numId w:val="16"/>
        </w:numPr>
        <w:rPr>
          <w:rFonts w:ascii="微软雅黑" w:hAnsi="微软雅黑"/>
          <w:b/>
          <w:bCs/>
          <w:color w:val="auto"/>
          <w:highlight w:val="none"/>
        </w:rPr>
      </w:pPr>
      <w:r>
        <w:rPr>
          <w:rFonts w:hint="eastAsia" w:ascii="微软雅黑" w:hAnsi="微软雅黑"/>
          <w:b/>
          <w:bCs/>
          <w:color w:val="auto"/>
          <w:highlight w:val="none"/>
        </w:rPr>
        <w:t>开启</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采购代理机构按竞争性磋商文件规定的时间、地点主持响应文件开启。</w:t>
      </w:r>
    </w:p>
    <w:p>
      <w:pPr>
        <w:widowControl w:val="0"/>
        <w:numPr>
          <w:ilvl w:val="1"/>
          <w:numId w:val="16"/>
        </w:numPr>
        <w:snapToGrid w:val="0"/>
        <w:jc w:val="both"/>
        <w:rPr>
          <w:rFonts w:ascii="微软雅黑" w:hAnsi="微软雅黑"/>
          <w:color w:val="auto"/>
          <w:szCs w:val="21"/>
          <w:highlight w:val="none"/>
        </w:rPr>
      </w:pPr>
      <w:r>
        <w:rPr>
          <w:rFonts w:ascii="Arial" w:hAnsi="Arial" w:cs="Arial"/>
          <w:color w:val="auto"/>
          <w:highlight w:val="none"/>
        </w:rPr>
        <w:t>供应商不足3家</w:t>
      </w:r>
      <w:r>
        <w:rPr>
          <w:rFonts w:hint="eastAsia" w:ascii="Arial" w:hAnsi="Arial" w:cs="Arial"/>
          <w:color w:val="auto"/>
          <w:highlight w:val="none"/>
        </w:rPr>
        <w:t>，不开启响应文件。（符合财政部门规定的特殊情形时（政府购买服务项目（含政府和社会资本合作项目）），可以为2家）</w:t>
      </w:r>
    </w:p>
    <w:p>
      <w:pPr>
        <w:widowControl w:val="0"/>
        <w:snapToGrid w:val="0"/>
        <w:ind w:left="567"/>
        <w:jc w:val="both"/>
        <w:rPr>
          <w:rFonts w:ascii="微软雅黑" w:hAnsi="微软雅黑"/>
          <w:color w:val="auto"/>
          <w:szCs w:val="21"/>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资格审查</w:t>
      </w:r>
    </w:p>
    <w:p>
      <w:pPr>
        <w:ind w:left="425"/>
        <w:jc w:val="both"/>
        <w:rPr>
          <w:rFonts w:ascii="微软雅黑" w:hAnsi="微软雅黑"/>
          <w:color w:val="auto"/>
          <w:szCs w:val="21"/>
          <w:highlight w:val="none"/>
        </w:rPr>
      </w:pPr>
      <w:r>
        <w:rPr>
          <w:rFonts w:hint="eastAsia" w:ascii="微软雅黑" w:hAnsi="微软雅黑"/>
          <w:color w:val="auto"/>
          <w:szCs w:val="21"/>
          <w:highlight w:val="none"/>
        </w:rPr>
        <w:t>响应文件开启后，按照竞争性磋商文件规定，对照响应文件资格审查材料对供应商的资格进行审查。合格供应商不足3家的，</w:t>
      </w:r>
      <w:r>
        <w:rPr>
          <w:rFonts w:hint="eastAsia"/>
          <w:color w:val="auto"/>
          <w:highlight w:val="none"/>
        </w:rPr>
        <w:t>不进入评审程序</w:t>
      </w:r>
      <w:r>
        <w:rPr>
          <w:rFonts w:hint="eastAsia" w:ascii="微软雅黑" w:hAnsi="微软雅黑"/>
          <w:color w:val="auto"/>
          <w:szCs w:val="21"/>
          <w:highlight w:val="none"/>
        </w:rPr>
        <w:t>（符合财政部门规定的特殊情形时（政府购买服务项目（含政府和社会资本合作项目）），可以为2家）。</w:t>
      </w:r>
    </w:p>
    <w:p>
      <w:pPr>
        <w:ind w:left="425"/>
        <w:jc w:val="both"/>
        <w:rPr>
          <w:rFonts w:ascii="微软雅黑" w:hAnsi="微软雅黑"/>
          <w:color w:val="auto"/>
          <w:szCs w:val="21"/>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组建磋商小组</w:t>
      </w:r>
    </w:p>
    <w:p>
      <w:pPr>
        <w:widowControl w:val="0"/>
        <w:numPr>
          <w:ilvl w:val="1"/>
          <w:numId w:val="20"/>
        </w:numPr>
        <w:snapToGrid w:val="0"/>
        <w:jc w:val="both"/>
        <w:rPr>
          <w:rFonts w:ascii="微软雅黑" w:hAnsi="微软雅黑"/>
          <w:color w:val="auto"/>
          <w:szCs w:val="21"/>
          <w:highlight w:val="none"/>
        </w:rPr>
      </w:pPr>
      <w:r>
        <w:rPr>
          <w:rFonts w:hint="eastAsia" w:ascii="微软雅黑" w:hAnsi="微软雅黑"/>
          <w:color w:val="auto"/>
          <w:szCs w:val="21"/>
          <w:highlight w:val="none"/>
        </w:rPr>
        <w:t>磋商小组</w:t>
      </w:r>
      <w:r>
        <w:rPr>
          <w:rFonts w:hint="eastAsia" w:ascii="微软雅黑" w:hAnsi="微软雅黑"/>
          <w:color w:val="auto"/>
          <w:szCs w:val="21"/>
          <w:highlight w:val="none"/>
          <w:lang w:val="en-US"/>
        </w:rPr>
        <w:t>由采购人代表和技术、经济等方面的评审专家组成</w:t>
      </w:r>
      <w:r>
        <w:rPr>
          <w:rFonts w:hint="eastAsia" w:ascii="微软雅黑" w:hAnsi="微软雅黑"/>
          <w:color w:val="auto"/>
          <w:szCs w:val="21"/>
          <w:highlight w:val="none"/>
        </w:rPr>
        <w:t>。</w:t>
      </w:r>
      <w:r>
        <w:rPr>
          <w:rFonts w:hint="eastAsia" w:ascii="微软雅黑" w:hAnsi="微软雅黑"/>
          <w:color w:val="auto"/>
          <w:szCs w:val="21"/>
          <w:highlight w:val="none"/>
          <w:lang w:val="en-US"/>
        </w:rPr>
        <w:t>评委会将本着客观、公正、审慎的原则，严格按照法律法规和竞争性磋商文件规定的评审方法评审。</w:t>
      </w:r>
    </w:p>
    <w:p>
      <w:pPr>
        <w:widowControl w:val="0"/>
        <w:numPr>
          <w:ilvl w:val="1"/>
          <w:numId w:val="20"/>
        </w:numPr>
        <w:snapToGrid w:val="0"/>
        <w:jc w:val="both"/>
        <w:rPr>
          <w:rFonts w:ascii="微软雅黑" w:hAnsi="微软雅黑"/>
          <w:color w:val="auto"/>
          <w:szCs w:val="21"/>
          <w:highlight w:val="none"/>
        </w:rPr>
      </w:pPr>
      <w:r>
        <w:rPr>
          <w:rFonts w:hint="eastAsia" w:ascii="微软雅黑" w:hAnsi="微软雅黑"/>
          <w:color w:val="auto"/>
          <w:szCs w:val="21"/>
          <w:highlight w:val="none"/>
        </w:rPr>
        <w:t>磋商小组成员与参加采购活动的供应商存在下列利害关系之一的，不能参加评审：</w:t>
      </w:r>
    </w:p>
    <w:p>
      <w:pPr>
        <w:widowControl w:val="0"/>
        <w:numPr>
          <w:ilvl w:val="1"/>
          <w:numId w:val="21"/>
        </w:numPr>
        <w:snapToGrid w:val="0"/>
        <w:ind w:left="840" w:hanging="420"/>
        <w:jc w:val="both"/>
        <w:rPr>
          <w:rFonts w:ascii="微软雅黑" w:hAnsi="微软雅黑"/>
          <w:color w:val="auto"/>
          <w:szCs w:val="21"/>
          <w:highlight w:val="none"/>
        </w:rPr>
      </w:pPr>
      <w:r>
        <w:rPr>
          <w:rFonts w:hint="eastAsia" w:ascii="微软雅黑" w:hAnsi="微软雅黑"/>
          <w:color w:val="auto"/>
          <w:szCs w:val="21"/>
          <w:highlight w:val="none"/>
        </w:rPr>
        <w:t>参加采购活动前三年内，与供应商存在劳动关系，或者担任过供应商的董事、监事，或者是供应商的控股股东或实际控制人；</w:t>
      </w:r>
    </w:p>
    <w:p>
      <w:pPr>
        <w:widowControl w:val="0"/>
        <w:numPr>
          <w:ilvl w:val="1"/>
          <w:numId w:val="21"/>
        </w:numPr>
        <w:snapToGrid w:val="0"/>
        <w:ind w:left="840" w:hanging="420"/>
        <w:jc w:val="both"/>
        <w:rPr>
          <w:rFonts w:ascii="微软雅黑" w:hAnsi="微软雅黑"/>
          <w:color w:val="auto"/>
          <w:szCs w:val="21"/>
          <w:highlight w:val="none"/>
        </w:rPr>
      </w:pPr>
      <w:r>
        <w:rPr>
          <w:rFonts w:hint="eastAsia" w:ascii="微软雅黑" w:hAnsi="微软雅黑"/>
          <w:color w:val="auto"/>
          <w:szCs w:val="21"/>
          <w:highlight w:val="none"/>
        </w:rPr>
        <w:t>与供应商的法定代表人或者负责人有夫妻、直系血亲、三代以内旁系血亲或者近姻亲关系；</w:t>
      </w:r>
    </w:p>
    <w:p>
      <w:pPr>
        <w:widowControl w:val="0"/>
        <w:numPr>
          <w:ilvl w:val="1"/>
          <w:numId w:val="21"/>
        </w:numPr>
        <w:snapToGrid w:val="0"/>
        <w:ind w:left="840" w:hanging="420"/>
        <w:jc w:val="both"/>
        <w:rPr>
          <w:rFonts w:ascii="微软雅黑" w:hAnsi="微软雅黑"/>
          <w:color w:val="auto"/>
          <w:szCs w:val="21"/>
          <w:highlight w:val="none"/>
        </w:rPr>
      </w:pPr>
      <w:r>
        <w:rPr>
          <w:rFonts w:hint="eastAsia" w:ascii="微软雅黑" w:hAnsi="微软雅黑"/>
          <w:color w:val="auto"/>
          <w:szCs w:val="21"/>
          <w:highlight w:val="none"/>
        </w:rPr>
        <w:t>与供应商有其他可能影响政府采购活动公平、公正进行的关系。</w:t>
      </w:r>
    </w:p>
    <w:p>
      <w:pPr>
        <w:widowControl w:val="0"/>
        <w:snapToGrid w:val="0"/>
        <w:ind w:left="420"/>
        <w:jc w:val="both"/>
        <w:rPr>
          <w:rFonts w:ascii="微软雅黑" w:hAnsi="微软雅黑"/>
          <w:color w:val="auto"/>
          <w:szCs w:val="21"/>
          <w:highlight w:val="none"/>
        </w:rPr>
      </w:pPr>
      <w:r>
        <w:rPr>
          <w:rFonts w:hint="eastAsia" w:ascii="微软雅黑" w:hAnsi="微软雅黑"/>
          <w:color w:val="auto"/>
          <w:szCs w:val="21"/>
          <w:highlight w:val="none"/>
          <w:lang w:val="en-US"/>
        </w:rPr>
        <w:t>评审专家发现本人与参加采购活动的供应商有利害关系的,应当主动提出回避。</w:t>
      </w:r>
    </w:p>
    <w:p>
      <w:pPr>
        <w:widowControl w:val="0"/>
        <w:numPr>
          <w:ilvl w:val="1"/>
          <w:numId w:val="20"/>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除法律法规规定的情形外,评审专家对本单位的政府采购项目只能作为采购人代表参与评审活动</w:t>
      </w:r>
      <w:r>
        <w:rPr>
          <w:rFonts w:hint="eastAsia" w:ascii="微软雅黑" w:hAnsi="微软雅黑"/>
          <w:color w:val="auto"/>
          <w:szCs w:val="21"/>
          <w:highlight w:val="none"/>
        </w:rPr>
        <w:t>。</w:t>
      </w:r>
    </w:p>
    <w:p>
      <w:pPr>
        <w:widowControl w:val="0"/>
        <w:numPr>
          <w:ilvl w:val="1"/>
          <w:numId w:val="20"/>
        </w:numPr>
        <w:snapToGrid w:val="0"/>
        <w:jc w:val="both"/>
        <w:rPr>
          <w:rFonts w:ascii="微软雅黑" w:hAnsi="微软雅黑"/>
          <w:color w:val="auto"/>
          <w:szCs w:val="21"/>
          <w:highlight w:val="none"/>
        </w:rPr>
      </w:pPr>
      <w:r>
        <w:rPr>
          <w:rFonts w:hint="eastAsia" w:ascii="微软雅黑" w:hAnsi="微软雅黑"/>
          <w:color w:val="auto"/>
          <w:szCs w:val="21"/>
          <w:highlight w:val="none"/>
        </w:rPr>
        <w:t>磋商小组负责具体评审事务，并独立履行下列职责：</w:t>
      </w:r>
    </w:p>
    <w:p>
      <w:pPr>
        <w:widowControl w:val="0"/>
        <w:numPr>
          <w:ilvl w:val="1"/>
          <w:numId w:val="22"/>
        </w:numPr>
        <w:snapToGrid w:val="0"/>
        <w:ind w:left="840" w:hanging="420"/>
        <w:jc w:val="both"/>
        <w:rPr>
          <w:rFonts w:ascii="微软雅黑" w:hAnsi="微软雅黑"/>
          <w:color w:val="auto"/>
          <w:szCs w:val="21"/>
          <w:highlight w:val="none"/>
        </w:rPr>
      </w:pPr>
      <w:r>
        <w:rPr>
          <w:rFonts w:hint="eastAsia" w:ascii="微软雅黑" w:hAnsi="微软雅黑"/>
          <w:color w:val="auto"/>
          <w:szCs w:val="21"/>
          <w:highlight w:val="none"/>
        </w:rPr>
        <w:t>审查、评价响应文件是否符合竞争性磋商文件的商务、技术等实质性要求；</w:t>
      </w:r>
    </w:p>
    <w:p>
      <w:pPr>
        <w:widowControl w:val="0"/>
        <w:numPr>
          <w:ilvl w:val="1"/>
          <w:numId w:val="22"/>
        </w:numPr>
        <w:snapToGrid w:val="0"/>
        <w:ind w:left="840" w:hanging="420"/>
        <w:jc w:val="both"/>
        <w:rPr>
          <w:rFonts w:ascii="微软雅黑" w:hAnsi="微软雅黑"/>
          <w:color w:val="auto"/>
          <w:szCs w:val="21"/>
          <w:highlight w:val="none"/>
        </w:rPr>
      </w:pPr>
      <w:r>
        <w:rPr>
          <w:rFonts w:hint="eastAsia" w:ascii="微软雅黑" w:hAnsi="微软雅黑"/>
          <w:color w:val="auto"/>
          <w:szCs w:val="21"/>
          <w:highlight w:val="none"/>
        </w:rPr>
        <w:t>要求供应商对响应文件有关事项作出澄清或者说明；</w:t>
      </w:r>
    </w:p>
    <w:p>
      <w:pPr>
        <w:widowControl w:val="0"/>
        <w:numPr>
          <w:ilvl w:val="1"/>
          <w:numId w:val="22"/>
        </w:numPr>
        <w:snapToGrid w:val="0"/>
        <w:ind w:left="840" w:hanging="420"/>
        <w:jc w:val="both"/>
        <w:rPr>
          <w:rFonts w:ascii="微软雅黑" w:hAnsi="微软雅黑"/>
          <w:color w:val="auto"/>
          <w:szCs w:val="21"/>
          <w:highlight w:val="none"/>
        </w:rPr>
      </w:pPr>
      <w:r>
        <w:rPr>
          <w:rFonts w:hint="eastAsia" w:ascii="微软雅黑" w:hAnsi="微软雅黑"/>
          <w:color w:val="auto"/>
          <w:szCs w:val="21"/>
          <w:highlight w:val="none"/>
        </w:rPr>
        <w:t>对响应文件进行比较和评价；</w:t>
      </w:r>
    </w:p>
    <w:p>
      <w:pPr>
        <w:widowControl w:val="0"/>
        <w:numPr>
          <w:ilvl w:val="1"/>
          <w:numId w:val="22"/>
        </w:numPr>
        <w:snapToGrid w:val="0"/>
        <w:ind w:left="840" w:hanging="420"/>
        <w:jc w:val="both"/>
        <w:rPr>
          <w:rFonts w:ascii="微软雅黑" w:hAnsi="微软雅黑"/>
          <w:color w:val="auto"/>
          <w:szCs w:val="21"/>
          <w:highlight w:val="none"/>
        </w:rPr>
      </w:pPr>
      <w:r>
        <w:rPr>
          <w:rFonts w:hint="eastAsia" w:ascii="微软雅黑" w:hAnsi="微软雅黑"/>
          <w:color w:val="auto"/>
          <w:szCs w:val="21"/>
          <w:highlight w:val="none"/>
        </w:rPr>
        <w:t>确定成交候选供应商名单，以及根据采购人委托直接确定成交供应商；</w:t>
      </w:r>
    </w:p>
    <w:p>
      <w:pPr>
        <w:widowControl w:val="0"/>
        <w:numPr>
          <w:ilvl w:val="1"/>
          <w:numId w:val="22"/>
        </w:numPr>
        <w:snapToGrid w:val="0"/>
        <w:ind w:left="840" w:hanging="420"/>
        <w:jc w:val="both"/>
        <w:rPr>
          <w:rFonts w:ascii="微软雅黑" w:hAnsi="微软雅黑"/>
          <w:color w:val="auto"/>
          <w:szCs w:val="21"/>
          <w:highlight w:val="none"/>
        </w:rPr>
      </w:pPr>
      <w:r>
        <w:rPr>
          <w:rFonts w:hint="eastAsia" w:ascii="微软雅黑" w:hAnsi="微软雅黑"/>
          <w:color w:val="auto"/>
          <w:szCs w:val="21"/>
          <w:highlight w:val="none"/>
        </w:rPr>
        <w:t>向采购人、采购代理机构或者有关部门报告评审中发现的违法行为；</w:t>
      </w:r>
    </w:p>
    <w:p>
      <w:pPr>
        <w:widowControl w:val="0"/>
        <w:numPr>
          <w:ilvl w:val="1"/>
          <w:numId w:val="22"/>
        </w:numPr>
        <w:snapToGrid w:val="0"/>
        <w:ind w:left="840" w:hanging="420"/>
        <w:jc w:val="both"/>
        <w:rPr>
          <w:rFonts w:ascii="微软雅黑" w:hAnsi="微软雅黑"/>
          <w:color w:val="auto"/>
          <w:szCs w:val="21"/>
          <w:highlight w:val="none"/>
        </w:rPr>
      </w:pPr>
      <w:r>
        <w:rPr>
          <w:rFonts w:hint="eastAsia" w:ascii="微软雅黑" w:hAnsi="微软雅黑"/>
          <w:color w:val="auto"/>
          <w:szCs w:val="21"/>
          <w:highlight w:val="none"/>
          <w:lang w:val="en-US"/>
        </w:rPr>
        <w:t>法律法规规定的其他职责。</w:t>
      </w:r>
    </w:p>
    <w:p>
      <w:pPr>
        <w:ind w:left="567"/>
        <w:jc w:val="both"/>
        <w:rPr>
          <w:rFonts w:ascii="微软雅黑" w:hAnsi="微软雅黑"/>
          <w:color w:val="auto"/>
          <w:szCs w:val="21"/>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评审准备与初步评审</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在详细评审之前，磋商小组应当对符合资格的供应商的响应文件进行符合性审查，以确定其是否满足竞争性磋商文件的实质性要求，</w:t>
      </w:r>
      <w:r>
        <w:rPr>
          <w:rFonts w:hint="eastAsia"/>
          <w:color w:val="auto"/>
          <w:highlight w:val="none"/>
        </w:rPr>
        <w:t>符合性审查合格供应商不足3家的，不进入磋商、最后报价及详细评审环节。</w:t>
      </w:r>
      <w:r>
        <w:rPr>
          <w:rFonts w:hint="eastAsia" w:ascii="微软雅黑" w:hAnsi="微软雅黑"/>
          <w:color w:val="auto"/>
          <w:szCs w:val="21"/>
          <w:highlight w:val="none"/>
        </w:rPr>
        <w:t>（符合财政部门规定的特殊情形时（政府购买服务项目（含政府和社会资本合作项目）），可以为2家）</w:t>
      </w:r>
    </w:p>
    <w:p>
      <w:pPr>
        <w:widowControl w:val="0"/>
        <w:numPr>
          <w:ilvl w:val="1"/>
          <w:numId w:val="16"/>
        </w:numPr>
        <w:snapToGrid w:val="0"/>
        <w:jc w:val="both"/>
        <w:rPr>
          <w:rFonts w:ascii="微软雅黑" w:hAnsi="微软雅黑"/>
          <w:b/>
          <w:color w:val="auto"/>
          <w:szCs w:val="21"/>
          <w:highlight w:val="none"/>
        </w:rPr>
      </w:pPr>
      <w:r>
        <w:rPr>
          <w:rFonts w:hint="eastAsia" w:ascii="微软雅黑" w:hAnsi="微软雅黑"/>
          <w:b/>
          <w:color w:val="auto"/>
          <w:szCs w:val="21"/>
          <w:highlight w:val="none"/>
        </w:rPr>
        <w:t>符合性审查包括但不限于以下内容，有下列情形的视为符合性审查不合格：</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报价超过竞争性磋商文件中规定的最高限价或者无报价的；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合同履行期限不满足竞争性磋商文件规定的；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质量标准不满足竞争性磋商文件规定的；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响应有效期不足的；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未按竞争性磋商文件要求提交响应保证金的；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highlight w:val="none"/>
        </w:rPr>
        <w:t>响应文件报价出现前后不一致，磋商小组进行修正后，供应商不确认的；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不符合竞争性磋商文件规定，拟在成交后进行分包、转包的；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响应文件未按竞争性磋商文件给定格式要求编制、签署、盖章的；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响应文件未完全满足竞争性磋商文件中带★号的条款和指标，或不符合竞争性磋商文件其他实质性要求的；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响应文件附有采购人不能接受的附加条件的；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供应商递交两份或者多份内容不同的响应文件，或者在一份响应文件中对同一项目报有两个或者多个报价，且未声明哪一个有效的；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响应文件关键内容模糊、无法辨认，导致不符合相应实质性内容的；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更换报名时拟派的项目管理机构所有人员及授权委托代理人</w:t>
      </w:r>
      <w:r>
        <w:rPr>
          <w:rFonts w:hint="eastAsia" w:ascii="微软雅黑" w:hAnsi="微软雅黑"/>
          <w:color w:val="auto"/>
          <w:szCs w:val="21"/>
          <w:highlight w:val="none"/>
          <w:lang w:eastAsia="zh-CN"/>
        </w:rPr>
        <w:t>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lang w:val="en-US" w:eastAsia="zh-CN"/>
        </w:rPr>
        <w:t>报价文件中</w:t>
      </w:r>
      <w:r>
        <w:rPr>
          <w:rFonts w:hint="eastAsia" w:ascii="宋体" w:hAnsi="宋体" w:eastAsia="宋体" w:cs="宋体"/>
          <w:b w:val="0"/>
          <w:bCs w:val="0"/>
          <w:color w:val="auto"/>
          <w:sz w:val="24"/>
          <w:highlight w:val="none"/>
        </w:rPr>
        <w:t>PDF版投标报价</w:t>
      </w:r>
      <w:r>
        <w:rPr>
          <w:rFonts w:hint="eastAsia" w:ascii="宋体" w:hAnsi="宋体" w:eastAsia="宋体" w:cs="宋体"/>
          <w:b w:val="0"/>
          <w:bCs w:val="0"/>
          <w:color w:val="auto"/>
          <w:sz w:val="24"/>
          <w:highlight w:val="none"/>
          <w:lang w:val="en-US" w:eastAsia="zh-CN"/>
        </w:rPr>
        <w:t>没有广联达</w:t>
      </w:r>
      <w:r>
        <w:rPr>
          <w:rFonts w:hint="eastAsia" w:ascii="宋体" w:hAnsi="宋体" w:eastAsia="宋体" w:cs="宋体"/>
          <w:b w:val="0"/>
          <w:bCs w:val="0"/>
          <w:color w:val="auto"/>
          <w:sz w:val="24"/>
          <w:highlight w:val="none"/>
        </w:rPr>
        <w:t>水印码</w:t>
      </w:r>
      <w:r>
        <w:rPr>
          <w:rFonts w:hint="eastAsia" w:ascii="宋体" w:hAnsi="宋体" w:eastAsia="宋体" w:cs="宋体"/>
          <w:b w:val="0"/>
          <w:bCs w:val="0"/>
          <w:color w:val="auto"/>
          <w:sz w:val="24"/>
          <w:highlight w:val="none"/>
          <w:lang w:eastAsia="zh-CN"/>
        </w:rPr>
        <w:t>的；</w:t>
      </w:r>
    </w:p>
    <w:p>
      <w:pPr>
        <w:pStyle w:val="336"/>
        <w:numPr>
          <w:ilvl w:val="0"/>
          <w:numId w:val="23"/>
        </w:numPr>
        <w:ind w:left="0" w:firstLine="420"/>
        <w:jc w:val="both"/>
        <w:rPr>
          <w:rFonts w:ascii="微软雅黑" w:hAnsi="微软雅黑"/>
          <w:color w:val="auto"/>
          <w:szCs w:val="21"/>
          <w:highlight w:val="none"/>
        </w:rPr>
      </w:pPr>
      <w:r>
        <w:rPr>
          <w:rFonts w:hint="eastAsia"/>
          <w:color w:val="auto"/>
          <w:szCs w:val="21"/>
          <w:highlight w:val="none"/>
        </w:rPr>
        <w:t>工程量清单电子投标书（TBS格式文件）</w:t>
      </w:r>
      <w:r>
        <w:rPr>
          <w:rFonts w:hint="eastAsia"/>
          <w:color w:val="auto"/>
          <w:szCs w:val="21"/>
          <w:highlight w:val="none"/>
          <w:lang w:val="en-US" w:eastAsia="zh-CN"/>
        </w:rPr>
        <w:t>未</w:t>
      </w:r>
      <w:r>
        <w:rPr>
          <w:rFonts w:hint="eastAsia"/>
          <w:color w:val="auto"/>
          <w:szCs w:val="21"/>
          <w:highlight w:val="none"/>
        </w:rPr>
        <w:t>与上传的</w:t>
      </w:r>
      <w:r>
        <w:rPr>
          <w:rFonts w:hint="eastAsia"/>
          <w:color w:val="auto"/>
          <w:szCs w:val="21"/>
          <w:highlight w:val="none"/>
          <w:lang w:val="en-US" w:eastAsia="zh-CN"/>
        </w:rPr>
        <w:t>响应</w:t>
      </w:r>
      <w:r>
        <w:rPr>
          <w:rFonts w:hint="eastAsia"/>
          <w:color w:val="auto"/>
          <w:szCs w:val="21"/>
          <w:highlight w:val="none"/>
        </w:rPr>
        <w:t>文件内容及水印一致</w:t>
      </w:r>
      <w:r>
        <w:rPr>
          <w:rFonts w:hint="eastAsia"/>
          <w:color w:val="auto"/>
          <w:szCs w:val="21"/>
          <w:highlight w:val="none"/>
          <w:lang w:eastAsia="zh-CN"/>
        </w:rPr>
        <w:t>的；</w:t>
      </w:r>
    </w:p>
    <w:p>
      <w:pPr>
        <w:pStyle w:val="336"/>
        <w:numPr>
          <w:ilvl w:val="0"/>
          <w:numId w:val="23"/>
        </w:numPr>
        <w:ind w:left="0" w:firstLine="420"/>
        <w:jc w:val="both"/>
        <w:rPr>
          <w:rFonts w:ascii="微软雅黑" w:hAnsi="微软雅黑"/>
          <w:color w:val="auto"/>
          <w:szCs w:val="21"/>
          <w:highlight w:val="none"/>
        </w:rPr>
      </w:pPr>
      <w:r>
        <w:rPr>
          <w:rFonts w:hint="eastAsia" w:ascii="微软雅黑" w:hAnsi="微软雅黑"/>
          <w:color w:val="auto"/>
          <w:szCs w:val="21"/>
          <w:highlight w:val="none"/>
        </w:rPr>
        <w:t>法律、法规和竞争性磋商文件规定的其他无效情形。</w:t>
      </w:r>
    </w:p>
    <w:p>
      <w:pPr>
        <w:widowControl w:val="0"/>
        <w:snapToGrid w:val="0"/>
        <w:ind w:left="310" w:leftChars="74" w:hanging="155" w:hangingChars="74"/>
        <w:jc w:val="both"/>
        <w:rPr>
          <w:rFonts w:ascii="微软雅黑" w:hAnsi="微软雅黑"/>
          <w:color w:val="auto"/>
          <w:szCs w:val="21"/>
          <w:highlight w:val="none"/>
        </w:rPr>
      </w:pP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符合性审查中，响应文件报价出现前后不一致的，除竞争性磋商文件另有规定外，按照下列规定修正：</w:t>
      </w:r>
    </w:p>
    <w:p>
      <w:pPr>
        <w:numPr>
          <w:ilvl w:val="0"/>
          <w:numId w:val="24"/>
        </w:numPr>
        <w:jc w:val="both"/>
        <w:rPr>
          <w:rFonts w:ascii="微软雅黑" w:hAnsi="微软雅黑"/>
          <w:color w:val="auto"/>
          <w:szCs w:val="21"/>
          <w:highlight w:val="none"/>
          <w:lang w:val="en-US"/>
        </w:rPr>
      </w:pPr>
      <w:r>
        <w:rPr>
          <w:rFonts w:hint="eastAsia" w:ascii="微软雅黑" w:hAnsi="微软雅黑"/>
          <w:color w:val="auto"/>
          <w:szCs w:val="21"/>
          <w:highlight w:val="none"/>
          <w:lang w:val="en-US"/>
        </w:rPr>
        <w:t>响应文件中报价一览表（报价表）内容与响应文件中相应内容不一致的，以报价一览表（报价表）为准；</w:t>
      </w:r>
    </w:p>
    <w:p>
      <w:pPr>
        <w:numPr>
          <w:ilvl w:val="0"/>
          <w:numId w:val="24"/>
        </w:numPr>
        <w:jc w:val="both"/>
        <w:rPr>
          <w:rFonts w:ascii="微软雅黑" w:hAnsi="微软雅黑"/>
          <w:color w:val="auto"/>
          <w:szCs w:val="21"/>
          <w:highlight w:val="none"/>
          <w:lang w:val="en-US"/>
        </w:rPr>
      </w:pPr>
      <w:r>
        <w:rPr>
          <w:rFonts w:hint="eastAsia" w:ascii="微软雅黑" w:hAnsi="微软雅黑"/>
          <w:color w:val="auto"/>
          <w:szCs w:val="21"/>
          <w:highlight w:val="none"/>
          <w:lang w:val="en-US"/>
        </w:rPr>
        <w:t>大写金额和小写金额不一致的，以大写金额为准；</w:t>
      </w:r>
    </w:p>
    <w:p>
      <w:pPr>
        <w:numPr>
          <w:ilvl w:val="0"/>
          <w:numId w:val="24"/>
        </w:numPr>
        <w:jc w:val="both"/>
        <w:rPr>
          <w:rFonts w:ascii="微软雅黑" w:hAnsi="微软雅黑"/>
          <w:color w:val="auto"/>
          <w:szCs w:val="21"/>
          <w:highlight w:val="none"/>
          <w:lang w:val="en-US"/>
        </w:rPr>
      </w:pPr>
      <w:r>
        <w:rPr>
          <w:rFonts w:hint="eastAsia" w:ascii="微软雅黑" w:hAnsi="微软雅黑"/>
          <w:color w:val="auto"/>
          <w:szCs w:val="21"/>
          <w:highlight w:val="none"/>
          <w:lang w:val="en-US"/>
        </w:rPr>
        <w:t>单价金额小数点或者百分比有明显错位的，以报价一览表的总价为准，并修改单价；</w:t>
      </w:r>
    </w:p>
    <w:p>
      <w:pPr>
        <w:numPr>
          <w:ilvl w:val="0"/>
          <w:numId w:val="24"/>
        </w:numPr>
        <w:jc w:val="both"/>
        <w:rPr>
          <w:rFonts w:ascii="微软雅黑" w:hAnsi="微软雅黑"/>
          <w:color w:val="auto"/>
          <w:szCs w:val="21"/>
          <w:highlight w:val="none"/>
          <w:lang w:val="en-US"/>
        </w:rPr>
      </w:pPr>
      <w:r>
        <w:rPr>
          <w:rFonts w:hint="eastAsia" w:ascii="微软雅黑" w:hAnsi="微软雅黑"/>
          <w:color w:val="auto"/>
          <w:szCs w:val="21"/>
          <w:highlight w:val="none"/>
          <w:lang w:val="en-US"/>
        </w:rPr>
        <w:t>总价金额与按单价汇总金额不一致的，以单价金额计算结果为准。</w:t>
      </w:r>
    </w:p>
    <w:p>
      <w:pPr>
        <w:ind w:firstLine="420"/>
        <w:jc w:val="both"/>
        <w:rPr>
          <w:rFonts w:ascii="微软雅黑" w:hAnsi="微软雅黑"/>
          <w:b/>
          <w:bCs/>
          <w:color w:val="auto"/>
          <w:szCs w:val="21"/>
          <w:highlight w:val="none"/>
          <w:lang w:val="en-US"/>
        </w:rPr>
      </w:pPr>
      <w:r>
        <w:rPr>
          <w:rFonts w:hint="eastAsia" w:ascii="微软雅黑" w:hAnsi="微软雅黑"/>
          <w:color w:val="auto"/>
          <w:szCs w:val="21"/>
          <w:highlight w:val="none"/>
          <w:lang w:val="en-US"/>
        </w:rPr>
        <w:t>同时出现两种以上不一致的，按照前款规定的顺序修正。供应商不确认修正后报价的，其</w:t>
      </w:r>
      <w:r>
        <w:rPr>
          <w:rFonts w:hint="eastAsia" w:ascii="微软雅黑" w:hAnsi="微软雅黑"/>
          <w:b/>
          <w:bCs/>
          <w:color w:val="auto"/>
          <w:szCs w:val="21"/>
          <w:highlight w:val="none"/>
          <w:lang w:val="en-US"/>
        </w:rPr>
        <w:t>响应无效。</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磋商小组对响应文件的判定</w:t>
      </w:r>
      <w:r>
        <w:rPr>
          <w:rFonts w:ascii="微软雅黑" w:hAnsi="微软雅黑"/>
          <w:color w:val="auto"/>
          <w:szCs w:val="21"/>
          <w:highlight w:val="none"/>
        </w:rPr>
        <w:t>,</w:t>
      </w:r>
      <w:r>
        <w:rPr>
          <w:rFonts w:hint="eastAsia" w:ascii="微软雅黑" w:hAnsi="微软雅黑"/>
          <w:color w:val="auto"/>
          <w:szCs w:val="21"/>
          <w:highlight w:val="none"/>
        </w:rPr>
        <w:t>只依据响应文件内容本身</w:t>
      </w:r>
      <w:r>
        <w:rPr>
          <w:rFonts w:ascii="微软雅黑" w:hAnsi="微软雅黑"/>
          <w:color w:val="auto"/>
          <w:szCs w:val="21"/>
          <w:highlight w:val="none"/>
        </w:rPr>
        <w:t>,</w:t>
      </w:r>
      <w:r>
        <w:rPr>
          <w:rFonts w:hint="eastAsia" w:ascii="微软雅黑" w:hAnsi="微软雅黑"/>
          <w:color w:val="auto"/>
          <w:szCs w:val="21"/>
          <w:highlight w:val="none"/>
        </w:rPr>
        <w:t>不依据任何外来证明。（但与本项目相关的信用查询、澄清、样品、演示、原件要求等情况除外）</w:t>
      </w:r>
    </w:p>
    <w:p>
      <w:pPr>
        <w:widowControl w:val="0"/>
        <w:numPr>
          <w:ilvl w:val="1"/>
          <w:numId w:val="16"/>
        </w:numPr>
        <w:snapToGrid w:val="0"/>
        <w:jc w:val="both"/>
        <w:rPr>
          <w:rFonts w:ascii="微软雅黑" w:hAnsi="微软雅黑"/>
          <w:color w:val="auto"/>
          <w:szCs w:val="21"/>
          <w:highlight w:val="none"/>
        </w:rPr>
      </w:pPr>
      <w:r>
        <w:rPr>
          <w:rFonts w:hint="eastAsia"/>
          <w:color w:val="auto"/>
          <w:szCs w:val="21"/>
          <w:highlight w:val="none"/>
        </w:rPr>
        <w:t>竞争性磋商文件内容违反国家有关强制性规定或者竞争性磋商文件存在歧义、重大</w:t>
      </w:r>
      <w:r>
        <w:rPr>
          <w:rFonts w:hint="eastAsia"/>
          <w:color w:val="auto"/>
          <w:spacing w:val="-6"/>
          <w:szCs w:val="21"/>
          <w:highlight w:val="none"/>
        </w:rPr>
        <w:t>缺陷导致评审工作无法进行时</w:t>
      </w:r>
      <w:r>
        <w:rPr>
          <w:color w:val="auto"/>
          <w:spacing w:val="-6"/>
          <w:szCs w:val="21"/>
          <w:highlight w:val="none"/>
        </w:rPr>
        <w:t>，</w:t>
      </w:r>
      <w:r>
        <w:rPr>
          <w:rFonts w:hint="eastAsia" w:ascii="微软雅黑" w:hAnsi="微软雅黑"/>
          <w:color w:val="auto"/>
          <w:szCs w:val="21"/>
          <w:highlight w:val="none"/>
        </w:rPr>
        <w:t>磋商小组应当停止评审并向采购代理机构书面说明情况。</w:t>
      </w:r>
    </w:p>
    <w:p>
      <w:pPr>
        <w:jc w:val="both"/>
        <w:rPr>
          <w:rFonts w:ascii="微软雅黑" w:hAnsi="微软雅黑"/>
          <w:color w:val="auto"/>
          <w:szCs w:val="21"/>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供应商有下列情形之一的,磋商小组认定为供应商串通响应，其响应无效，书面报告财政部门：</w:t>
      </w:r>
    </w:p>
    <w:p>
      <w:pPr>
        <w:pStyle w:val="336"/>
        <w:numPr>
          <w:ilvl w:val="0"/>
          <w:numId w:val="25"/>
        </w:numPr>
        <w:ind w:firstLineChars="0"/>
        <w:jc w:val="both"/>
        <w:rPr>
          <w:rFonts w:ascii="微软雅黑" w:hAnsi="微软雅黑"/>
          <w:color w:val="auto"/>
          <w:szCs w:val="21"/>
          <w:highlight w:val="none"/>
          <w:lang w:val="en-US"/>
        </w:rPr>
      </w:pPr>
      <w:r>
        <w:rPr>
          <w:rFonts w:hint="eastAsia" w:ascii="微软雅黑" w:hAnsi="微软雅黑"/>
          <w:color w:val="auto"/>
          <w:szCs w:val="21"/>
          <w:highlight w:val="none"/>
          <w:lang w:val="en-US"/>
        </w:rPr>
        <w:t>不同供应商的响应文件由同一单位或者个人编制；</w:t>
      </w:r>
    </w:p>
    <w:p>
      <w:pPr>
        <w:pStyle w:val="336"/>
        <w:numPr>
          <w:ilvl w:val="0"/>
          <w:numId w:val="25"/>
        </w:numPr>
        <w:ind w:firstLineChars="0"/>
        <w:jc w:val="both"/>
        <w:rPr>
          <w:rFonts w:ascii="微软雅黑" w:hAnsi="微软雅黑"/>
          <w:color w:val="auto"/>
          <w:szCs w:val="21"/>
          <w:highlight w:val="none"/>
          <w:lang w:val="en-US"/>
        </w:rPr>
      </w:pPr>
      <w:r>
        <w:rPr>
          <w:rFonts w:hint="eastAsia" w:ascii="微软雅黑" w:hAnsi="微软雅黑"/>
          <w:color w:val="auto"/>
          <w:szCs w:val="21"/>
          <w:highlight w:val="none"/>
          <w:lang w:val="en-US"/>
        </w:rPr>
        <w:t>不同供应商委托同一单位或者个人办理响应事宜；</w:t>
      </w:r>
    </w:p>
    <w:p>
      <w:pPr>
        <w:pStyle w:val="336"/>
        <w:numPr>
          <w:ilvl w:val="0"/>
          <w:numId w:val="25"/>
        </w:numPr>
        <w:ind w:firstLineChars="0"/>
        <w:jc w:val="both"/>
        <w:rPr>
          <w:rFonts w:ascii="微软雅黑" w:hAnsi="微软雅黑"/>
          <w:color w:val="auto"/>
          <w:szCs w:val="21"/>
          <w:highlight w:val="none"/>
          <w:lang w:val="en-US"/>
        </w:rPr>
      </w:pPr>
      <w:r>
        <w:rPr>
          <w:rFonts w:hint="eastAsia" w:ascii="微软雅黑" w:hAnsi="微软雅黑"/>
          <w:color w:val="auto"/>
          <w:szCs w:val="21"/>
          <w:highlight w:val="none"/>
          <w:lang w:val="en-US"/>
        </w:rPr>
        <w:t>不同供应商的响应文件载明的项目管理成员或者联系人员为同一人；</w:t>
      </w:r>
    </w:p>
    <w:p>
      <w:pPr>
        <w:pStyle w:val="336"/>
        <w:numPr>
          <w:ilvl w:val="0"/>
          <w:numId w:val="25"/>
        </w:numPr>
        <w:ind w:firstLineChars="0"/>
        <w:jc w:val="both"/>
        <w:rPr>
          <w:rFonts w:ascii="微软雅黑" w:hAnsi="微软雅黑"/>
          <w:color w:val="auto"/>
          <w:szCs w:val="21"/>
          <w:highlight w:val="none"/>
          <w:lang w:val="en-US"/>
        </w:rPr>
      </w:pPr>
      <w:r>
        <w:rPr>
          <w:rFonts w:hint="eastAsia" w:ascii="微软雅黑" w:hAnsi="微软雅黑"/>
          <w:color w:val="auto"/>
          <w:szCs w:val="21"/>
          <w:highlight w:val="none"/>
          <w:lang w:val="en-US"/>
        </w:rPr>
        <w:t>不同供应商的响应文件异常一致或者报价呈规律性差异；</w:t>
      </w:r>
    </w:p>
    <w:p>
      <w:pPr>
        <w:pStyle w:val="336"/>
        <w:numPr>
          <w:ilvl w:val="0"/>
          <w:numId w:val="25"/>
        </w:numPr>
        <w:ind w:firstLineChars="0"/>
        <w:jc w:val="both"/>
        <w:rPr>
          <w:rFonts w:ascii="微软雅黑" w:hAnsi="微软雅黑"/>
          <w:color w:val="auto"/>
          <w:szCs w:val="21"/>
          <w:highlight w:val="none"/>
          <w:lang w:val="en-US"/>
        </w:rPr>
      </w:pPr>
      <w:r>
        <w:rPr>
          <w:rFonts w:hint="eastAsia" w:ascii="微软雅黑" w:hAnsi="微软雅黑"/>
          <w:color w:val="auto"/>
          <w:szCs w:val="21"/>
          <w:highlight w:val="none"/>
          <w:lang w:val="en-US"/>
        </w:rPr>
        <w:t>不同供应商的响应文件相互混装；</w:t>
      </w:r>
    </w:p>
    <w:p>
      <w:pPr>
        <w:pStyle w:val="336"/>
        <w:numPr>
          <w:ilvl w:val="0"/>
          <w:numId w:val="25"/>
        </w:numPr>
        <w:ind w:firstLineChars="0"/>
        <w:jc w:val="both"/>
        <w:rPr>
          <w:rFonts w:ascii="微软雅黑" w:hAnsi="微软雅黑"/>
          <w:color w:val="auto"/>
          <w:szCs w:val="21"/>
          <w:highlight w:val="none"/>
          <w:lang w:val="en-US"/>
        </w:rPr>
      </w:pPr>
      <w:r>
        <w:rPr>
          <w:rFonts w:hint="eastAsia" w:ascii="微软雅黑" w:hAnsi="微软雅黑"/>
          <w:color w:val="auto"/>
          <w:szCs w:val="21"/>
          <w:highlight w:val="none"/>
          <w:lang w:val="en-US"/>
        </w:rPr>
        <w:t>不同供应商的响应保证金从同一单位或者个人的账户转出。</w:t>
      </w:r>
    </w:p>
    <w:p>
      <w:pPr>
        <w:jc w:val="both"/>
        <w:rPr>
          <w:rFonts w:ascii="微软雅黑" w:hAnsi="微软雅黑"/>
          <w:color w:val="auto"/>
          <w:szCs w:val="21"/>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color w:val="auto"/>
          <w:highlight w:val="none"/>
        </w:rPr>
        <w:t>在评审期间，供应商企图影响采购人、采购代理机构或磋商小组评审公正性的任何活动，或</w:t>
      </w:r>
      <w:r>
        <w:rPr>
          <w:rFonts w:hint="eastAsia" w:ascii="微软雅黑" w:hAnsi="微软雅黑"/>
          <w:color w:val="auto"/>
          <w:highlight w:val="none"/>
          <w:lang w:val="en-US"/>
        </w:rPr>
        <w:t>妨碍其他供应商的竞争行为，或损害采购人或者其他供应商的合法权益，供应商有上述情形的，</w:t>
      </w:r>
      <w:r>
        <w:rPr>
          <w:rFonts w:hint="eastAsia" w:ascii="微软雅黑" w:hAnsi="微软雅黑"/>
          <w:color w:val="auto"/>
          <w:highlight w:val="none"/>
        </w:rPr>
        <w:t>将导致</w:t>
      </w:r>
      <w:r>
        <w:rPr>
          <w:rFonts w:hint="eastAsia" w:ascii="微软雅黑" w:hAnsi="微软雅黑"/>
          <w:b/>
          <w:bCs/>
          <w:color w:val="auto"/>
          <w:highlight w:val="none"/>
        </w:rPr>
        <w:t>响应无效</w:t>
      </w:r>
      <w:r>
        <w:rPr>
          <w:rFonts w:hint="eastAsia" w:ascii="微软雅黑" w:hAnsi="微软雅黑"/>
          <w:color w:val="auto"/>
          <w:highlight w:val="none"/>
        </w:rPr>
        <w:t>，并由其承担相应的法律责任。</w:t>
      </w:r>
    </w:p>
    <w:p>
      <w:pPr>
        <w:jc w:val="both"/>
        <w:rPr>
          <w:rFonts w:ascii="微软雅黑" w:hAnsi="微软雅黑"/>
          <w:color w:val="auto"/>
          <w:szCs w:val="21"/>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响应的澄清</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对于响应文件中含义不明确、同类问题表述不一致或者有明显文字和计算错误的内容，磋商小组应当以书面形式要求供应商作出必要的澄清、说明或者补正。</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供应商的澄清、说明或者补正应当采用书面形式，并加盖公章，或者由法定代表人或其授权的代表签字。供应商的澄清、说明或者补正不得超出响应文件的范围或者改变响应文件的实质性内容。</w:t>
      </w:r>
    </w:p>
    <w:p>
      <w:pPr>
        <w:ind w:left="425"/>
        <w:rPr>
          <w:rFonts w:ascii="微软雅黑" w:hAnsi="微软雅黑"/>
          <w:b/>
          <w:bCs/>
          <w:color w:val="auto"/>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磋商、最后报价、评审</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如有需要，磋商小组所有成员可集中与单一供应商分别进行磋商，并给予所有参加磋商的供应商平等的磋商机会。</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对磋商文件作出的实质性变动是磋商文件的有效组成部分，磋商小组应当及时以书面形式同时通知所有参加磋商的供应商。</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磋商文件能够详细列明采购标的的技术、服务要求的，磋商结束后，磋商小组应当要求所有实质性响应的供应商在规定时间内提交最后报价，提交最后报价的供应商不得少于3家。</w:t>
      </w:r>
      <w:r>
        <w:rPr>
          <w:rFonts w:hint="eastAsia" w:ascii="Arial" w:hAnsi="Arial" w:cs="Arial"/>
          <w:color w:val="auto"/>
          <w:highlight w:val="none"/>
        </w:rPr>
        <w:t>（符合财政部门规定的特殊情形时（①市场竞争不充分的科研项目，以及需要扶持的科技成果转化项目；②政府购买服务项目（含政府和社会资本合作项目）），可以为2家）</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Arial" w:hAnsi="Arial" w:cs="Arial"/>
          <w:color w:val="auto"/>
          <w:highlight w:val="none"/>
        </w:rPr>
        <w:t>（符合财政部门规定的特殊情形时（①市场竞争不充分的科研项目，以及需要扶持的科技成果转化项目；②政府购买服务项目（含政府和社会资本合作项目）），可以为2家）</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最后报价是供应商响应文件的有效组成部分。</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已提交响应文件的供应商，在提交最后报价之前，可以根据磋商情况退出磋商。采购人、采购代理机构应当退还退出磋商的供应商的磋商保证金。</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经磋商确定最终采购需求和提交最后报价的供应商后，由磋商小组采用综合评分法对提交最后报价的供应商的响应文件和最后报价进行综合评分。</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本项目采用综合评分法，是指响应文件满足磋商文件全部实质性要求且按评审因素的量化指标评审得分最高的供应商为成交候选供应商的评审方法。</w:t>
      </w:r>
      <w:r>
        <w:rPr>
          <w:rFonts w:hint="eastAsia" w:ascii="微软雅黑" w:hAnsi="微软雅黑"/>
          <w:color w:val="auto"/>
          <w:szCs w:val="21"/>
          <w:highlight w:val="none"/>
        </w:rPr>
        <w:t>评审结果按评审后得分由高到低顺序排列。</w:t>
      </w:r>
      <w:r>
        <w:rPr>
          <w:rFonts w:hint="eastAsia" w:ascii="微软雅黑" w:hAnsi="微软雅黑"/>
          <w:color w:val="auto"/>
          <w:szCs w:val="21"/>
          <w:highlight w:val="none"/>
          <w:lang w:val="en-US"/>
        </w:rPr>
        <w:t>评审得分相同的，按照最后报价由低到高的顺序推荐。评审得分且最后报价相同的，按照技术指标优劣顺序推荐。（</w:t>
      </w:r>
      <w:r>
        <w:rPr>
          <w:rFonts w:hint="eastAsia" w:ascii="微软雅黑" w:hAnsi="微软雅黑"/>
          <w:color w:val="auto"/>
          <w:szCs w:val="21"/>
          <w:highlight w:val="none"/>
        </w:rPr>
        <w:t>详见第八部分评审标准和评审办法</w:t>
      </w:r>
      <w:r>
        <w:rPr>
          <w:rFonts w:hint="eastAsia" w:ascii="微软雅黑" w:hAnsi="微软雅黑"/>
          <w:color w:val="auto"/>
          <w:szCs w:val="21"/>
          <w:highlight w:val="none"/>
          <w:lang w:val="en-US"/>
        </w:rPr>
        <w:t>）</w:t>
      </w:r>
      <w:r>
        <w:rPr>
          <w:rFonts w:hint="eastAsia" w:ascii="微软雅黑" w:hAnsi="微软雅黑"/>
          <w:color w:val="auto"/>
          <w:szCs w:val="21"/>
          <w:highlight w:val="none"/>
        </w:rPr>
        <w:t>。</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每一供应商的最终得分为所有评委给其评分的算数平均值，</w:t>
      </w:r>
      <w:r>
        <w:rPr>
          <w:rFonts w:hint="eastAsia" w:ascii="微软雅黑" w:hAnsi="微软雅黑" w:cs="宋体"/>
          <w:color w:val="auto"/>
          <w:szCs w:val="21"/>
          <w:highlight w:val="none"/>
          <w:lang w:val="en-US"/>
        </w:rPr>
        <w:t>计算过程保留小数点后2位</w:t>
      </w:r>
      <w:r>
        <w:rPr>
          <w:rFonts w:hint="eastAsia" w:ascii="微软雅黑" w:hAnsi="微软雅黑"/>
          <w:color w:val="auto"/>
          <w:szCs w:val="21"/>
          <w:highlight w:val="none"/>
        </w:rPr>
        <w:t>。</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b/>
          <w:bCs/>
          <w:color w:val="auto"/>
          <w:szCs w:val="21"/>
          <w:highlight w:val="none"/>
          <w:lang w:val="en-US"/>
        </w:rPr>
        <w:t xml:space="preserve"> </w:t>
      </w:r>
      <w:r>
        <w:rPr>
          <w:rFonts w:hint="eastAsia" w:ascii="微软雅黑" w:hAnsi="微软雅黑"/>
          <w:b/>
          <w:bCs/>
          <w:color w:val="auto"/>
          <w:szCs w:val="21"/>
          <w:highlight w:val="none"/>
        </w:rPr>
        <w:t>最后报价由供应商代表</w:t>
      </w:r>
      <w:r>
        <w:rPr>
          <w:rFonts w:hint="eastAsia" w:ascii="微软雅黑" w:hAnsi="微软雅黑"/>
          <w:b/>
          <w:bCs/>
          <w:color w:val="auto"/>
          <w:szCs w:val="21"/>
          <w:highlight w:val="none"/>
          <w:lang w:val="en-US"/>
        </w:rPr>
        <w:t>线上</w:t>
      </w:r>
      <w:r>
        <w:rPr>
          <w:rFonts w:hint="eastAsia" w:ascii="微软雅黑" w:hAnsi="微软雅黑"/>
          <w:b/>
          <w:bCs/>
          <w:color w:val="auto"/>
          <w:szCs w:val="21"/>
          <w:highlight w:val="none"/>
        </w:rPr>
        <w:t>填报总价</w:t>
      </w:r>
      <w:r>
        <w:rPr>
          <w:rFonts w:hint="eastAsia" w:ascii="微软雅黑" w:hAnsi="微软雅黑"/>
          <w:b/>
          <w:bCs/>
          <w:color w:val="auto"/>
          <w:szCs w:val="21"/>
          <w:highlight w:val="none"/>
          <w:lang w:val="en-US" w:eastAsia="zh-CN"/>
        </w:rPr>
        <w:t>并上传相应附件材料</w:t>
      </w:r>
      <w:r>
        <w:rPr>
          <w:rFonts w:hint="eastAsia" w:ascii="微软雅黑" w:hAnsi="微软雅黑"/>
          <w:b/>
          <w:bCs/>
          <w:color w:val="auto"/>
          <w:szCs w:val="21"/>
          <w:highlight w:val="none"/>
        </w:rPr>
        <w:t>。此报价作为成交金额的组成部分，作为最终结算依据。</w:t>
      </w:r>
    </w:p>
    <w:p>
      <w:pPr>
        <w:numPr>
          <w:ilvl w:val="0"/>
          <w:numId w:val="16"/>
        </w:numPr>
        <w:rPr>
          <w:rFonts w:ascii="微软雅黑" w:hAnsi="微软雅黑"/>
          <w:b/>
          <w:bCs/>
          <w:color w:val="auto"/>
          <w:highlight w:val="none"/>
        </w:rPr>
      </w:pPr>
      <w:r>
        <w:rPr>
          <w:rFonts w:hint="eastAsia" w:ascii="微软雅黑" w:hAnsi="微软雅黑"/>
          <w:b/>
          <w:bCs/>
          <w:color w:val="auto"/>
          <w:highlight w:val="none"/>
        </w:rPr>
        <w:t>评审过程要求</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磋商小组认为供应商的报价明显低于其他通过符合性审查供应商的报价，有可能影响工程质量或者不能诚信履约的，应当要求其在评审现场合理的时间内提供书面说明，</w:t>
      </w:r>
      <w:r>
        <w:rPr>
          <w:rFonts w:hint="eastAsia" w:ascii="微软雅黑" w:hAnsi="微软雅黑"/>
          <w:color w:val="auto"/>
          <w:szCs w:val="21"/>
          <w:highlight w:val="none"/>
          <w:lang w:val="en-US" w:eastAsia="zh-CN"/>
        </w:rPr>
        <w:t>并且</w:t>
      </w:r>
      <w:r>
        <w:rPr>
          <w:rFonts w:hint="eastAsia" w:ascii="微软雅黑" w:hAnsi="微软雅黑"/>
          <w:color w:val="auto"/>
          <w:szCs w:val="21"/>
          <w:highlight w:val="none"/>
        </w:rPr>
        <w:t>提交相关证明材料；供应商不能证明其报价合理性的，磋商小组应当将其作为</w:t>
      </w:r>
      <w:r>
        <w:rPr>
          <w:rFonts w:hint="eastAsia" w:ascii="微软雅黑" w:hAnsi="微软雅黑"/>
          <w:b/>
          <w:bCs/>
          <w:color w:val="auto"/>
          <w:szCs w:val="21"/>
          <w:highlight w:val="none"/>
        </w:rPr>
        <w:t>响应无效</w:t>
      </w:r>
      <w:r>
        <w:rPr>
          <w:rFonts w:hint="eastAsia" w:ascii="微软雅黑" w:hAnsi="微软雅黑"/>
          <w:color w:val="auto"/>
          <w:szCs w:val="21"/>
          <w:highlight w:val="none"/>
        </w:rPr>
        <w:t>处理。</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磋商小组成员应当在评审报告上签字，对自己的评审意见承担法律责任。对需要共同认定的事项存在争议的，应当按照少数服从多数的原则作出结论。持不同意见的磋商小组成员应当在评审报告上签署不同意见及理由，否则视为同意评审报告。</w:t>
      </w:r>
    </w:p>
    <w:p>
      <w:pPr>
        <w:ind w:left="567"/>
        <w:jc w:val="both"/>
        <w:rPr>
          <w:rFonts w:ascii="微软雅黑" w:hAnsi="微软雅黑"/>
          <w:color w:val="auto"/>
          <w:szCs w:val="21"/>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关于重新评审的处理规则</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rPr>
        <w:t>评审结果汇总完成后，除下列情形外，任何人不得修改评审结果：</w:t>
      </w:r>
    </w:p>
    <w:p>
      <w:pPr>
        <w:pStyle w:val="77"/>
        <w:numPr>
          <w:ilvl w:val="0"/>
          <w:numId w:val="26"/>
        </w:numPr>
        <w:shd w:val="clear" w:color="auto" w:fill="FFFFFF"/>
        <w:adjustRightInd w:val="0"/>
        <w:snapToGrid w:val="0"/>
        <w:spacing w:beforeAutospacing="0" w:afterAutospacing="0"/>
        <w:ind w:left="840" w:hanging="420"/>
        <w:rPr>
          <w:rFonts w:ascii="微软雅黑" w:hAnsi="微软雅黑" w:eastAsia="微软雅黑"/>
          <w:color w:val="auto"/>
          <w:kern w:val="20"/>
          <w:sz w:val="21"/>
          <w:szCs w:val="21"/>
          <w:highlight w:val="none"/>
          <w:lang w:val="zh-CN"/>
        </w:rPr>
      </w:pPr>
      <w:r>
        <w:rPr>
          <w:rFonts w:hint="eastAsia" w:ascii="微软雅黑" w:hAnsi="微软雅黑" w:eastAsia="微软雅黑"/>
          <w:color w:val="auto"/>
          <w:kern w:val="20"/>
          <w:sz w:val="21"/>
          <w:szCs w:val="21"/>
          <w:highlight w:val="none"/>
          <w:lang w:val="zh-CN"/>
        </w:rPr>
        <w:t>资格性检查认定错误；</w:t>
      </w:r>
    </w:p>
    <w:p>
      <w:pPr>
        <w:pStyle w:val="77"/>
        <w:numPr>
          <w:ilvl w:val="0"/>
          <w:numId w:val="26"/>
        </w:numPr>
        <w:shd w:val="clear" w:color="auto" w:fill="FFFFFF"/>
        <w:adjustRightInd w:val="0"/>
        <w:snapToGrid w:val="0"/>
        <w:spacing w:beforeAutospacing="0" w:afterAutospacing="0"/>
        <w:ind w:left="840" w:hanging="420"/>
        <w:rPr>
          <w:rFonts w:ascii="微软雅黑" w:hAnsi="微软雅黑" w:eastAsia="微软雅黑"/>
          <w:color w:val="auto"/>
          <w:kern w:val="20"/>
          <w:sz w:val="21"/>
          <w:szCs w:val="21"/>
          <w:highlight w:val="none"/>
          <w:lang w:val="zh-CN"/>
        </w:rPr>
      </w:pPr>
      <w:r>
        <w:rPr>
          <w:rFonts w:hint="eastAsia" w:ascii="微软雅黑" w:hAnsi="微软雅黑" w:eastAsia="微软雅黑"/>
          <w:color w:val="auto"/>
          <w:kern w:val="20"/>
          <w:sz w:val="21"/>
          <w:szCs w:val="21"/>
          <w:highlight w:val="none"/>
          <w:lang w:val="zh-CN"/>
        </w:rPr>
        <w:t>分值汇总计算错误；</w:t>
      </w:r>
    </w:p>
    <w:p>
      <w:pPr>
        <w:pStyle w:val="77"/>
        <w:numPr>
          <w:ilvl w:val="0"/>
          <w:numId w:val="26"/>
        </w:numPr>
        <w:shd w:val="clear" w:color="auto" w:fill="FFFFFF"/>
        <w:adjustRightInd w:val="0"/>
        <w:snapToGrid w:val="0"/>
        <w:spacing w:beforeAutospacing="0" w:afterAutospacing="0"/>
        <w:ind w:left="840" w:hanging="420"/>
        <w:rPr>
          <w:rFonts w:ascii="微软雅黑" w:hAnsi="微软雅黑" w:eastAsia="微软雅黑"/>
          <w:color w:val="auto"/>
          <w:kern w:val="20"/>
          <w:sz w:val="21"/>
          <w:szCs w:val="21"/>
          <w:highlight w:val="none"/>
          <w:lang w:val="zh-CN"/>
        </w:rPr>
      </w:pPr>
      <w:r>
        <w:rPr>
          <w:rFonts w:hint="eastAsia" w:ascii="微软雅黑" w:hAnsi="微软雅黑" w:eastAsia="微软雅黑"/>
          <w:color w:val="auto"/>
          <w:kern w:val="20"/>
          <w:sz w:val="21"/>
          <w:szCs w:val="21"/>
          <w:highlight w:val="none"/>
          <w:lang w:val="zh-CN"/>
        </w:rPr>
        <w:t>分项评分超出评分标准范围；</w:t>
      </w:r>
    </w:p>
    <w:p>
      <w:pPr>
        <w:pStyle w:val="77"/>
        <w:numPr>
          <w:ilvl w:val="0"/>
          <w:numId w:val="26"/>
        </w:numPr>
        <w:shd w:val="clear" w:color="auto" w:fill="FFFFFF"/>
        <w:adjustRightInd w:val="0"/>
        <w:snapToGrid w:val="0"/>
        <w:spacing w:beforeAutospacing="0" w:afterAutospacing="0"/>
        <w:ind w:left="840" w:hanging="420"/>
        <w:rPr>
          <w:rFonts w:ascii="微软雅黑" w:hAnsi="微软雅黑" w:eastAsia="微软雅黑"/>
          <w:color w:val="auto"/>
          <w:kern w:val="20"/>
          <w:sz w:val="21"/>
          <w:szCs w:val="21"/>
          <w:highlight w:val="none"/>
          <w:lang w:val="zh-CN"/>
        </w:rPr>
      </w:pPr>
      <w:r>
        <w:rPr>
          <w:rFonts w:hint="eastAsia" w:ascii="微软雅黑" w:hAnsi="微软雅黑" w:eastAsia="微软雅黑"/>
          <w:color w:val="auto"/>
          <w:kern w:val="20"/>
          <w:sz w:val="21"/>
          <w:szCs w:val="21"/>
          <w:highlight w:val="none"/>
          <w:lang w:val="zh-CN"/>
        </w:rPr>
        <w:t>客观分评分不一致；</w:t>
      </w:r>
    </w:p>
    <w:p>
      <w:pPr>
        <w:pStyle w:val="77"/>
        <w:numPr>
          <w:ilvl w:val="0"/>
          <w:numId w:val="26"/>
        </w:numPr>
        <w:shd w:val="clear" w:color="auto" w:fill="FFFFFF"/>
        <w:adjustRightInd w:val="0"/>
        <w:snapToGrid w:val="0"/>
        <w:spacing w:beforeAutospacing="0" w:afterAutospacing="0"/>
        <w:ind w:left="840" w:hanging="420"/>
        <w:rPr>
          <w:rFonts w:ascii="微软雅黑" w:hAnsi="微软雅黑" w:eastAsia="微软雅黑"/>
          <w:color w:val="auto"/>
          <w:kern w:val="20"/>
          <w:sz w:val="21"/>
          <w:szCs w:val="21"/>
          <w:highlight w:val="none"/>
          <w:lang w:val="zh-CN"/>
        </w:rPr>
      </w:pPr>
      <w:r>
        <w:rPr>
          <w:rFonts w:hint="eastAsia" w:ascii="微软雅黑" w:hAnsi="微软雅黑" w:eastAsia="微软雅黑"/>
          <w:color w:val="auto"/>
          <w:kern w:val="20"/>
          <w:sz w:val="21"/>
          <w:szCs w:val="21"/>
          <w:highlight w:val="none"/>
          <w:lang w:val="zh-CN"/>
        </w:rPr>
        <w:t>经磋商小组一致认定评分畸高、畸低的。</w:t>
      </w:r>
    </w:p>
    <w:p>
      <w:pPr>
        <w:adjustRightInd w:val="0"/>
        <w:snapToGrid w:val="0"/>
        <w:ind w:left="420"/>
        <w:contextualSpacing/>
        <w:jc w:val="both"/>
        <w:rPr>
          <w:rFonts w:ascii="微软雅黑" w:hAnsi="微软雅黑"/>
          <w:color w:val="auto"/>
          <w:szCs w:val="21"/>
          <w:highlight w:val="none"/>
        </w:rPr>
      </w:pPr>
      <w:r>
        <w:rPr>
          <w:rFonts w:hint="eastAsia" w:ascii="微软雅黑" w:hAnsi="微软雅黑"/>
          <w:color w:val="auto"/>
          <w:szCs w:val="21"/>
          <w:highlight w:val="none"/>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pPr>
        <w:widowControl w:val="0"/>
        <w:snapToGrid w:val="0"/>
        <w:ind w:left="567"/>
        <w:jc w:val="both"/>
        <w:rPr>
          <w:rFonts w:ascii="微软雅黑" w:hAnsi="微软雅黑"/>
          <w:color w:val="auto"/>
          <w:szCs w:val="21"/>
          <w:highlight w:val="none"/>
        </w:rPr>
      </w:pPr>
    </w:p>
    <w:p>
      <w:pPr>
        <w:adjustRightInd w:val="0"/>
        <w:snapToGrid w:val="0"/>
        <w:ind w:left="420"/>
        <w:contextualSpacing/>
        <w:jc w:val="both"/>
        <w:rPr>
          <w:rFonts w:ascii="微软雅黑" w:hAnsi="微软雅黑"/>
          <w:color w:val="auto"/>
          <w:szCs w:val="21"/>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确定成交供应商</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采购代理机构应当在评审结束后2个工作日内将评审报告送采购人。</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采购人应当自收到评审报告之日起５个工作日内，在评审报告确定的成交候选供应商名单中按顺序确定成交供应商。</w:t>
      </w:r>
    </w:p>
    <w:p>
      <w:pPr>
        <w:widowControl w:val="0"/>
        <w:numPr>
          <w:ilvl w:val="1"/>
          <w:numId w:val="16"/>
        </w:numPr>
        <w:snapToGrid w:val="0"/>
        <w:jc w:val="both"/>
        <w:rPr>
          <w:rFonts w:ascii="微软雅黑" w:hAnsi="微软雅黑"/>
          <w:color w:val="auto"/>
          <w:szCs w:val="21"/>
          <w:highlight w:val="none"/>
        </w:rPr>
      </w:pPr>
      <w:r>
        <w:rPr>
          <w:rFonts w:hint="eastAsia" w:ascii="微软雅黑" w:hAnsi="微软雅黑"/>
          <w:color w:val="auto"/>
          <w:szCs w:val="21"/>
          <w:highlight w:val="none"/>
          <w:lang w:val="en-US"/>
        </w:rPr>
        <w:t xml:space="preserve">  </w:t>
      </w:r>
      <w:r>
        <w:rPr>
          <w:rFonts w:hint="eastAsia" w:ascii="微软雅黑" w:hAnsi="微软雅黑"/>
          <w:color w:val="auto"/>
          <w:szCs w:val="21"/>
          <w:highlight w:val="none"/>
        </w:rPr>
        <w:t>采购人在收到评审报告5个工作日内未按评审报告推荐的成交候选供应商顺序确定成交供应商，又不能说明合法理由的，视同按评审报告推荐的顺序确定排名第一的成交候选供应商为成交供应商。</w:t>
      </w:r>
    </w:p>
    <w:p>
      <w:pPr>
        <w:jc w:val="both"/>
        <w:rPr>
          <w:rFonts w:ascii="微软雅黑" w:hAnsi="微软雅黑"/>
          <w:color w:val="auto"/>
          <w:szCs w:val="21"/>
          <w:highlight w:val="none"/>
        </w:rPr>
      </w:pPr>
    </w:p>
    <w:p>
      <w:pPr>
        <w:numPr>
          <w:ilvl w:val="0"/>
          <w:numId w:val="16"/>
        </w:numPr>
        <w:rPr>
          <w:rFonts w:ascii="微软雅黑" w:hAnsi="微软雅黑"/>
          <w:b/>
          <w:bCs/>
          <w:color w:val="auto"/>
          <w:highlight w:val="none"/>
        </w:rPr>
      </w:pPr>
      <w:r>
        <w:rPr>
          <w:rFonts w:hint="eastAsia" w:ascii="微软雅黑" w:hAnsi="微软雅黑"/>
          <w:b/>
          <w:bCs/>
          <w:color w:val="auto"/>
          <w:highlight w:val="none"/>
        </w:rPr>
        <w:t>采购项目终止</w:t>
      </w:r>
    </w:p>
    <w:p>
      <w:pPr>
        <w:widowControl w:val="0"/>
        <w:numPr>
          <w:ilvl w:val="1"/>
          <w:numId w:val="16"/>
        </w:numPr>
        <w:snapToGrid w:val="0"/>
        <w:jc w:val="both"/>
        <w:rPr>
          <w:color w:val="auto"/>
          <w:szCs w:val="21"/>
          <w:highlight w:val="none"/>
        </w:rPr>
      </w:pPr>
      <w:r>
        <w:rPr>
          <w:rFonts w:hint="eastAsia"/>
          <w:color w:val="auto"/>
          <w:szCs w:val="21"/>
          <w:highlight w:val="none"/>
        </w:rPr>
        <w:t>在开启、资格审查、评审过程中，有下列情形之一的，应对采购项目予以终止：</w:t>
      </w:r>
    </w:p>
    <w:p>
      <w:pPr>
        <w:numPr>
          <w:ilvl w:val="0"/>
          <w:numId w:val="27"/>
        </w:numPr>
        <w:jc w:val="both"/>
        <w:rPr>
          <w:rFonts w:ascii="微软雅黑" w:hAnsi="微软雅黑"/>
          <w:color w:val="auto"/>
          <w:szCs w:val="21"/>
          <w:highlight w:val="none"/>
        </w:rPr>
      </w:pPr>
      <w:r>
        <w:rPr>
          <w:rFonts w:hint="eastAsia" w:ascii="微软雅黑" w:hAnsi="微软雅黑"/>
          <w:color w:val="auto"/>
          <w:szCs w:val="21"/>
          <w:highlight w:val="none"/>
        </w:rPr>
        <w:t>供应商不足3家；</w:t>
      </w:r>
      <w:r>
        <w:rPr>
          <w:rFonts w:ascii="微软雅黑" w:hAnsi="微软雅黑"/>
          <w:color w:val="auto"/>
          <w:szCs w:val="21"/>
          <w:highlight w:val="none"/>
        </w:rPr>
        <w:t xml:space="preserve"> </w:t>
      </w:r>
      <w:r>
        <w:rPr>
          <w:rFonts w:hint="eastAsia" w:ascii="Arial" w:hAnsi="Arial" w:cs="Arial"/>
          <w:color w:val="auto"/>
          <w:highlight w:val="none"/>
        </w:rPr>
        <w:t>（符合财政部门规定的特殊情形时（政府购买服务项目（含政府和社会资本合作项目）），可以为2家）</w:t>
      </w:r>
    </w:p>
    <w:p>
      <w:pPr>
        <w:numPr>
          <w:ilvl w:val="0"/>
          <w:numId w:val="27"/>
        </w:numPr>
        <w:jc w:val="both"/>
        <w:rPr>
          <w:rFonts w:ascii="微软雅黑" w:hAnsi="微软雅黑"/>
          <w:color w:val="auto"/>
          <w:szCs w:val="21"/>
          <w:highlight w:val="none"/>
        </w:rPr>
      </w:pPr>
      <w:r>
        <w:rPr>
          <w:rFonts w:hint="eastAsia" w:ascii="微软雅黑" w:hAnsi="微软雅黑"/>
          <w:color w:val="auto"/>
          <w:szCs w:val="21"/>
          <w:highlight w:val="none"/>
        </w:rPr>
        <w:t>通过资格审查的供应商不足3家；</w:t>
      </w:r>
      <w:r>
        <w:rPr>
          <w:rFonts w:hint="eastAsia" w:ascii="Arial" w:hAnsi="Arial" w:cs="Arial"/>
          <w:color w:val="auto"/>
          <w:highlight w:val="none"/>
        </w:rPr>
        <w:t>（符合财政部门规定的特殊情形时（政府购买服务项目（含政府和社会资本合作项目）），可以为2家）</w:t>
      </w:r>
    </w:p>
    <w:p>
      <w:pPr>
        <w:numPr>
          <w:ilvl w:val="0"/>
          <w:numId w:val="27"/>
        </w:numPr>
        <w:jc w:val="both"/>
        <w:rPr>
          <w:rFonts w:ascii="微软雅黑" w:hAnsi="微软雅黑"/>
          <w:color w:val="auto"/>
          <w:szCs w:val="21"/>
          <w:highlight w:val="none"/>
        </w:rPr>
      </w:pPr>
      <w:r>
        <w:rPr>
          <w:rFonts w:hint="eastAsia" w:ascii="微软雅黑" w:hAnsi="微软雅黑"/>
          <w:color w:val="auto"/>
          <w:szCs w:val="21"/>
          <w:highlight w:val="none"/>
        </w:rPr>
        <w:t>对竞争性磋商文件作实质性响应的供应商不足</w:t>
      </w:r>
      <w:r>
        <w:rPr>
          <w:rFonts w:ascii="微软雅黑" w:hAnsi="微软雅黑"/>
          <w:color w:val="auto"/>
          <w:szCs w:val="21"/>
          <w:highlight w:val="none"/>
        </w:rPr>
        <w:t>3</w:t>
      </w:r>
      <w:r>
        <w:rPr>
          <w:rFonts w:hint="eastAsia" w:ascii="微软雅黑" w:hAnsi="微软雅黑"/>
          <w:color w:val="auto"/>
          <w:szCs w:val="21"/>
          <w:highlight w:val="none"/>
        </w:rPr>
        <w:t>家的；</w:t>
      </w:r>
      <w:r>
        <w:rPr>
          <w:rFonts w:hint="eastAsia" w:ascii="Arial" w:hAnsi="Arial" w:cs="Arial"/>
          <w:color w:val="auto"/>
          <w:highlight w:val="none"/>
        </w:rPr>
        <w:t>（符合财政部门规定的特殊情形时（政府购买服务项目（含政府和社会资本合作项目）），可以为2家）</w:t>
      </w:r>
    </w:p>
    <w:p>
      <w:pPr>
        <w:numPr>
          <w:ilvl w:val="0"/>
          <w:numId w:val="27"/>
        </w:numPr>
        <w:jc w:val="both"/>
        <w:rPr>
          <w:rFonts w:ascii="微软雅黑" w:hAnsi="微软雅黑"/>
          <w:color w:val="auto"/>
          <w:szCs w:val="21"/>
          <w:highlight w:val="none"/>
        </w:rPr>
      </w:pPr>
      <w:r>
        <w:rPr>
          <w:rFonts w:hint="eastAsia" w:ascii="微软雅黑" w:hAnsi="微软雅黑"/>
          <w:color w:val="auto"/>
          <w:szCs w:val="21"/>
          <w:highlight w:val="none"/>
        </w:rPr>
        <w:t>出现影响采购公正的违法、违规行为的；</w:t>
      </w:r>
    </w:p>
    <w:p>
      <w:pPr>
        <w:numPr>
          <w:ilvl w:val="0"/>
          <w:numId w:val="27"/>
        </w:numPr>
        <w:jc w:val="both"/>
        <w:rPr>
          <w:rFonts w:ascii="微软雅黑" w:hAnsi="微软雅黑"/>
          <w:color w:val="auto"/>
          <w:szCs w:val="21"/>
          <w:highlight w:val="none"/>
        </w:rPr>
      </w:pPr>
      <w:r>
        <w:rPr>
          <w:rFonts w:hint="eastAsia" w:ascii="微软雅黑" w:hAnsi="微软雅黑"/>
          <w:color w:val="auto"/>
          <w:szCs w:val="21"/>
          <w:highlight w:val="none"/>
          <w:lang w:val="en-US"/>
        </w:rPr>
        <w:t>因重大变故，采购任务取消的。</w:t>
      </w:r>
    </w:p>
    <w:p>
      <w:pPr>
        <w:ind w:firstLine="630" w:firstLineChars="300"/>
        <w:jc w:val="both"/>
        <w:rPr>
          <w:rFonts w:ascii="微软雅黑" w:hAnsi="微软雅黑"/>
          <w:color w:val="auto"/>
          <w:szCs w:val="21"/>
          <w:highlight w:val="none"/>
        </w:rPr>
      </w:pPr>
      <w:r>
        <w:rPr>
          <w:rFonts w:hint="eastAsia" w:ascii="微软雅黑" w:hAnsi="微软雅黑"/>
          <w:color w:val="auto"/>
          <w:szCs w:val="21"/>
          <w:highlight w:val="none"/>
        </w:rPr>
        <w:t>因上述第（3）（4）款原因导致采购项目终止后，磋商小组应作出书面报告。</w:t>
      </w:r>
    </w:p>
    <w:p>
      <w:pPr>
        <w:widowControl w:val="0"/>
        <w:numPr>
          <w:ilvl w:val="1"/>
          <w:numId w:val="16"/>
        </w:numPr>
        <w:snapToGrid w:val="0"/>
        <w:jc w:val="both"/>
        <w:rPr>
          <w:color w:val="auto"/>
          <w:szCs w:val="21"/>
          <w:highlight w:val="none"/>
        </w:rPr>
      </w:pPr>
      <w:r>
        <w:rPr>
          <w:rFonts w:hint="eastAsia"/>
          <w:color w:val="auto"/>
          <w:szCs w:val="21"/>
          <w:highlight w:val="none"/>
        </w:rPr>
        <w:t>终止后，采购代理机构应当将终止结果通知所有供应商。</w:t>
      </w:r>
    </w:p>
    <w:p>
      <w:pPr>
        <w:pStyle w:val="6"/>
        <w:ind w:firstLine="0" w:firstLineChars="0"/>
        <w:jc w:val="both"/>
        <w:rPr>
          <w:rFonts w:ascii="微软雅黑" w:hAnsi="微软雅黑"/>
          <w:b/>
          <w:bCs/>
          <w:color w:val="auto"/>
          <w:highlight w:val="none"/>
        </w:rPr>
      </w:pPr>
    </w:p>
    <w:p>
      <w:pPr>
        <w:pStyle w:val="5"/>
        <w:keepNext/>
        <w:keepLines/>
        <w:widowControl w:val="0"/>
        <w:numPr>
          <w:ilvl w:val="0"/>
          <w:numId w:val="15"/>
        </w:numPr>
        <w:jc w:val="left"/>
        <w:rPr>
          <w:b w:val="0"/>
          <w:bCs/>
          <w:color w:val="auto"/>
          <w:highlight w:val="none"/>
        </w:rPr>
      </w:pPr>
      <w:bookmarkStart w:id="56" w:name="_Toc24542"/>
      <w:r>
        <w:rPr>
          <w:rFonts w:hint="eastAsia"/>
          <w:bCs/>
          <w:color w:val="auto"/>
          <w:highlight w:val="none"/>
        </w:rPr>
        <w:t>成交和合同</w:t>
      </w:r>
      <w:bookmarkEnd w:id="56"/>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成交通知</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rPr>
        <w:t xml:space="preserve">  </w:t>
      </w:r>
      <w:r>
        <w:rPr>
          <w:rFonts w:hint="eastAsia" w:ascii="微软雅黑" w:hAnsi="微软雅黑"/>
          <w:color w:val="auto"/>
          <w:highlight w:val="none"/>
        </w:rPr>
        <w:t>成交供应商确定后，采购人或采购代理机构应于</w:t>
      </w:r>
      <w:r>
        <w:rPr>
          <w:rFonts w:hint="eastAsia" w:ascii="微软雅黑" w:hAnsi="微软雅黑"/>
          <w:color w:val="auto"/>
          <w:highlight w:val="none"/>
          <w:lang w:val="en-US"/>
        </w:rPr>
        <w:t>2</w:t>
      </w:r>
      <w:r>
        <w:rPr>
          <w:rFonts w:hint="eastAsia" w:ascii="微软雅黑" w:hAnsi="微软雅黑"/>
          <w:color w:val="auto"/>
          <w:highlight w:val="none"/>
        </w:rPr>
        <w:t>个工作日内，在刊登本次竞争性磋商公告的媒体上发布成交公告，同时以书面形式向成交供应商发出成交通知书，但该成交结果的有效性不依赖于未成交的供应商是否已经收到该通知。</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eastAsia="zh-CN"/>
        </w:rPr>
        <w:t xml:space="preserve"> </w:t>
      </w:r>
      <w:r>
        <w:rPr>
          <w:rFonts w:hint="eastAsia" w:ascii="微软雅黑" w:hAnsi="微软雅黑"/>
          <w:color w:val="auto"/>
          <w:highlight w:val="none"/>
        </w:rPr>
        <w:t>采购代理机构在发出成交通知书前应对</w:t>
      </w:r>
      <w:r>
        <w:rPr>
          <w:rFonts w:hint="eastAsia" w:ascii="微软雅黑" w:hAnsi="微软雅黑"/>
          <w:color w:val="auto"/>
          <w:highlight w:val="none"/>
          <w:lang w:val="en-US" w:eastAsia="zh-CN"/>
        </w:rPr>
        <w:t>成交供应商</w:t>
      </w:r>
      <w:r>
        <w:rPr>
          <w:rFonts w:hint="eastAsia" w:ascii="微软雅黑" w:hAnsi="微软雅黑"/>
          <w:color w:val="auto"/>
          <w:highlight w:val="none"/>
        </w:rPr>
        <w:t>的施工业绩进行核实，并书面向采购人报告核实结果。要求</w:t>
      </w:r>
      <w:r>
        <w:rPr>
          <w:rFonts w:hint="eastAsia" w:ascii="微软雅黑" w:hAnsi="微软雅黑"/>
          <w:color w:val="auto"/>
          <w:highlight w:val="none"/>
          <w:lang w:val="en-US" w:eastAsia="zh-CN"/>
        </w:rPr>
        <w:t>成交供应商</w:t>
      </w:r>
      <w:r>
        <w:rPr>
          <w:rFonts w:hint="eastAsia" w:ascii="微软雅黑" w:hAnsi="微软雅黑"/>
          <w:color w:val="auto"/>
          <w:highlight w:val="none"/>
        </w:rPr>
        <w:t>提供如下佐证材料原件：中标通知书、施工合同、竣工验收报告。否则视为</w:t>
      </w:r>
      <w:r>
        <w:rPr>
          <w:rFonts w:hint="eastAsia" w:ascii="微软雅黑" w:hAnsi="微软雅黑"/>
          <w:color w:val="auto"/>
          <w:highlight w:val="none"/>
          <w:lang w:val="en-US" w:eastAsia="zh-CN"/>
        </w:rPr>
        <w:t>成交供应商</w:t>
      </w:r>
      <w:r>
        <w:rPr>
          <w:rFonts w:hint="eastAsia" w:ascii="微软雅黑" w:hAnsi="微软雅黑"/>
          <w:color w:val="auto"/>
          <w:highlight w:val="none"/>
        </w:rPr>
        <w:t>业绩造假，其投标、响应保证金不予退还。将依次选择预中标候选第二为</w:t>
      </w:r>
      <w:r>
        <w:rPr>
          <w:rFonts w:hint="eastAsia" w:ascii="微软雅黑" w:hAnsi="微软雅黑"/>
          <w:color w:val="auto"/>
          <w:highlight w:val="none"/>
          <w:lang w:val="en-US" w:eastAsia="zh-CN"/>
        </w:rPr>
        <w:t>成交供应商</w:t>
      </w:r>
      <w:r>
        <w:rPr>
          <w:rFonts w:hint="eastAsia" w:ascii="微软雅黑" w:hAnsi="微软雅黑"/>
          <w:color w:val="auto"/>
          <w:highlight w:val="none"/>
        </w:rPr>
        <w:t>，第二名无法按要求履约，将选择第三名为</w:t>
      </w:r>
      <w:r>
        <w:rPr>
          <w:rFonts w:hint="eastAsia" w:ascii="微软雅黑" w:hAnsi="微软雅黑"/>
          <w:color w:val="auto"/>
          <w:highlight w:val="none"/>
          <w:lang w:val="en-US" w:eastAsia="zh-CN"/>
        </w:rPr>
        <w:t>成交供应商</w:t>
      </w:r>
      <w:r>
        <w:rPr>
          <w:rFonts w:hint="eastAsia" w:ascii="微软雅黑" w:hAnsi="微软雅黑"/>
          <w:color w:val="auto"/>
          <w:highlight w:val="none"/>
        </w:rPr>
        <w:t>。</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rPr>
        <w:t xml:space="preserve">  </w:t>
      </w:r>
      <w:r>
        <w:rPr>
          <w:rFonts w:hint="eastAsia" w:ascii="微软雅黑" w:hAnsi="微软雅黑"/>
          <w:color w:val="auto"/>
          <w:highlight w:val="none"/>
        </w:rPr>
        <w:t>成交通知书对采购人和成交供应商具有同等法律效力。成交通知书发出以后，采购人改变成交结果或者成交供应商放弃成交，应当承担相应的法律责任，出现争议的，报财政部门处理。</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rPr>
        <w:t xml:space="preserve">  </w:t>
      </w:r>
      <w:r>
        <w:rPr>
          <w:rFonts w:hint="eastAsia" w:ascii="微软雅黑" w:hAnsi="微软雅黑"/>
          <w:color w:val="auto"/>
          <w:highlight w:val="none"/>
        </w:rPr>
        <w:t>成交通知书是合同的组成部分。</w:t>
      </w:r>
    </w:p>
    <w:p>
      <w:pPr>
        <w:jc w:val="both"/>
        <w:rPr>
          <w:rFonts w:ascii="微软雅黑" w:hAnsi="微软雅黑"/>
          <w:b/>
          <w:bCs/>
          <w:color w:val="auto"/>
          <w:highlight w:val="none"/>
        </w:rPr>
      </w:pPr>
      <w:r>
        <w:rPr>
          <w:rFonts w:hint="eastAsia" w:ascii="微软雅黑" w:hAnsi="微软雅黑"/>
          <w:b/>
          <w:bCs/>
          <w:color w:val="auto"/>
          <w:highlight w:val="none"/>
        </w:rPr>
        <w:t xml:space="preserve"> </w:t>
      </w: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签订合同</w:t>
      </w:r>
    </w:p>
    <w:p>
      <w:pPr>
        <w:pStyle w:val="6"/>
        <w:numPr>
          <w:ilvl w:val="1"/>
          <w:numId w:val="16"/>
        </w:numPr>
        <w:ind w:firstLineChars="0"/>
        <w:jc w:val="both"/>
        <w:rPr>
          <w:rFonts w:ascii="微软雅黑" w:hAnsi="微软雅黑"/>
          <w:color w:val="auto"/>
          <w:highlight w:val="none"/>
        </w:rPr>
      </w:pPr>
      <w:r>
        <w:rPr>
          <w:rFonts w:hint="eastAsia" w:ascii="微软雅黑" w:hAnsi="微软雅黑"/>
          <w:b/>
          <w:bCs/>
          <w:color w:val="auto"/>
          <w:highlight w:val="none"/>
        </w:rPr>
        <w:t>采购合同签订：自中标、成交公告（或中标、成交通知书）发布（或发出）之时起，视为</w:t>
      </w:r>
      <w:r>
        <w:rPr>
          <w:rFonts w:hint="eastAsia" w:ascii="微软雅黑" w:hAnsi="微软雅黑"/>
          <w:b/>
          <w:bCs/>
          <w:color w:val="auto"/>
          <w:highlight w:val="none"/>
          <w:lang w:val="en-US" w:eastAsia="zh-CN"/>
        </w:rPr>
        <w:t>成交供应商</w:t>
      </w:r>
      <w:r>
        <w:rPr>
          <w:rFonts w:hint="eastAsia" w:ascii="微软雅黑" w:hAnsi="微软雅黑"/>
          <w:b/>
          <w:bCs/>
          <w:color w:val="auto"/>
          <w:highlight w:val="none"/>
        </w:rPr>
        <w:t>满足《中华人民共和国政府采购法》第二十二条规定“具有履行合同所必需的设备和专业技术能力”。</w:t>
      </w:r>
      <w:r>
        <w:rPr>
          <w:rFonts w:hint="eastAsia" w:ascii="微软雅黑" w:hAnsi="微软雅黑"/>
          <w:b/>
          <w:bCs/>
          <w:color w:val="auto"/>
          <w:highlight w:val="none"/>
          <w:lang w:val="en-US" w:eastAsia="zh-CN"/>
        </w:rPr>
        <w:t>成交供应商</w:t>
      </w:r>
      <w:r>
        <w:rPr>
          <w:rFonts w:hint="eastAsia" w:ascii="微软雅黑" w:hAnsi="微软雅黑"/>
          <w:b/>
          <w:bCs/>
          <w:color w:val="auto"/>
          <w:highlight w:val="none"/>
        </w:rPr>
        <w:t>须第一时间与采购人取得联系商讨采购合同签订及缴纳履约保证金事宜。如中标、成交通知书发出后1日内，</w:t>
      </w:r>
      <w:r>
        <w:rPr>
          <w:rFonts w:hint="eastAsia" w:ascii="微软雅黑" w:hAnsi="微软雅黑"/>
          <w:b/>
          <w:bCs/>
          <w:color w:val="auto"/>
          <w:highlight w:val="none"/>
          <w:lang w:val="en-US" w:eastAsia="zh-CN"/>
        </w:rPr>
        <w:t>成交供应商</w:t>
      </w:r>
      <w:r>
        <w:rPr>
          <w:rFonts w:hint="eastAsia" w:ascii="微软雅黑" w:hAnsi="微软雅黑"/>
          <w:b/>
          <w:bCs/>
          <w:color w:val="auto"/>
          <w:highlight w:val="none"/>
        </w:rPr>
        <w:t>未与采购人取得联系或不能及时到场签订采购合同，及在成交通知书发出后3个工作日内未按规定足额缴纳履约保证金。须在1日内向采购人书面回函写明具体原因（须为正当理由）。否则视为</w:t>
      </w:r>
      <w:r>
        <w:rPr>
          <w:rFonts w:hint="eastAsia" w:ascii="微软雅黑" w:hAnsi="微软雅黑"/>
          <w:b/>
          <w:bCs/>
          <w:color w:val="auto"/>
          <w:highlight w:val="none"/>
          <w:lang w:val="en-US" w:eastAsia="zh-CN"/>
        </w:rPr>
        <w:t>成交供应商</w:t>
      </w:r>
      <w:r>
        <w:rPr>
          <w:rFonts w:hint="eastAsia" w:ascii="微软雅黑" w:hAnsi="微软雅黑"/>
          <w:b/>
          <w:bCs/>
          <w:color w:val="auto"/>
          <w:highlight w:val="none"/>
        </w:rPr>
        <w:t>无正当理由拒绝与采购人签订合同，其投标、响应保证金不予退还。采购人将依次选择预中标候选第二为</w:t>
      </w:r>
      <w:r>
        <w:rPr>
          <w:rFonts w:hint="eastAsia" w:ascii="微软雅黑" w:hAnsi="微软雅黑"/>
          <w:b/>
          <w:bCs/>
          <w:color w:val="auto"/>
          <w:highlight w:val="none"/>
          <w:lang w:val="en-US" w:eastAsia="zh-CN"/>
        </w:rPr>
        <w:t>成交供应商</w:t>
      </w:r>
      <w:r>
        <w:rPr>
          <w:rFonts w:hint="eastAsia" w:ascii="微软雅黑" w:hAnsi="微软雅黑"/>
          <w:b/>
          <w:bCs/>
          <w:color w:val="auto"/>
          <w:highlight w:val="none"/>
        </w:rPr>
        <w:t>，第二名无法按要求履约，将选择第三名为</w:t>
      </w:r>
      <w:r>
        <w:rPr>
          <w:rFonts w:hint="eastAsia" w:ascii="微软雅黑" w:hAnsi="微软雅黑"/>
          <w:b/>
          <w:bCs/>
          <w:color w:val="auto"/>
          <w:highlight w:val="none"/>
          <w:lang w:val="en-US" w:eastAsia="zh-CN"/>
        </w:rPr>
        <w:t>成交供应商</w:t>
      </w:r>
      <w:r>
        <w:rPr>
          <w:rFonts w:hint="eastAsia" w:ascii="微软雅黑" w:hAnsi="微软雅黑"/>
          <w:color w:val="auto"/>
          <w:highlight w:val="none"/>
        </w:rPr>
        <w:t>。</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rPr>
        <w:t xml:space="preserve">  </w:t>
      </w:r>
      <w:r>
        <w:rPr>
          <w:rFonts w:hint="eastAsia" w:ascii="微软雅黑" w:hAnsi="微软雅黑"/>
          <w:color w:val="auto"/>
          <w:highlight w:val="none"/>
        </w:rPr>
        <w:t>采购人与中标、成交供应商应当在中标、成交通知书发出之日起三十日内，按照采购文件确定的事项签订政府采购合同。</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rPr>
        <w:t xml:space="preserve">  </w:t>
      </w:r>
      <w:r>
        <w:rPr>
          <w:rFonts w:hint="eastAsia" w:ascii="微软雅黑" w:hAnsi="微软雅黑"/>
          <w:color w:val="auto"/>
          <w:highlight w:val="none"/>
        </w:rPr>
        <w:t>成交供应商应按照竞争性磋商文件、响应文件及评审过程中的有关澄清、说明或者补正文件的内容与采购人签订合同。成交供应商</w:t>
      </w:r>
      <w:r>
        <w:rPr>
          <w:rFonts w:hint="eastAsia" w:ascii="微软雅黑" w:hAnsi="微软雅黑"/>
          <w:b/>
          <w:bCs/>
          <w:color w:val="auto"/>
          <w:highlight w:val="none"/>
        </w:rPr>
        <w:t>不得</w:t>
      </w:r>
      <w:r>
        <w:rPr>
          <w:rFonts w:hint="eastAsia" w:ascii="微软雅黑" w:hAnsi="微软雅黑"/>
          <w:color w:val="auto"/>
          <w:highlight w:val="none"/>
        </w:rPr>
        <w:t>再与采购人签订背离合同实质性内容的其他协议或声明。</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rPr>
        <w:t xml:space="preserve">  </w:t>
      </w:r>
      <w:r>
        <w:rPr>
          <w:rFonts w:hint="eastAsia" w:ascii="微软雅黑" w:hAnsi="微软雅黑"/>
          <w:color w:val="auto"/>
          <w:highlight w:val="none"/>
        </w:rPr>
        <w:t>采购人如需追加与合同标的相同的工程，在不改变合同其他条款的前提下，成交供应商可与采购人协商签订补充合同，但所有补充合同的采购金额不得超过原合同金额的10%。</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rPr>
        <w:t xml:space="preserve"> </w:t>
      </w:r>
      <w:r>
        <w:rPr>
          <w:rFonts w:hint="eastAsia" w:ascii="微软雅黑" w:hAnsi="微软雅黑"/>
          <w:color w:val="auto"/>
          <w:highlight w:val="none"/>
        </w:rPr>
        <w:t>供应商成交及签订合同后，不得擅自转包。</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lang w:val="en-US"/>
        </w:rPr>
        <w:t xml:space="preserve">  </w:t>
      </w:r>
      <w:r>
        <w:rPr>
          <w:rFonts w:hint="eastAsia" w:ascii="微软雅黑" w:hAnsi="微软雅黑"/>
          <w:color w:val="auto"/>
          <w:highlight w:val="none"/>
        </w:rPr>
        <w:t>中标或者成交供应商拒绝与采购人签订合同的，采购人可以按照评审报告推荐的中标或者成交候选人名单排序，确定下一候选人为中标或者成交供应商，也可以重新开展政府采购活动。</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竞争性磋商文件、成交供应商响应文件及评审过程中有关澄清文件均为合同的必要组成部分，与合同具有同等法律效力；</w:t>
      </w:r>
    </w:p>
    <w:p>
      <w:pPr>
        <w:pStyle w:val="6"/>
        <w:ind w:firstLine="0" w:firstLineChars="0"/>
        <w:jc w:val="both"/>
        <w:rPr>
          <w:rFonts w:ascii="微软雅黑" w:hAnsi="微软雅黑"/>
          <w:color w:val="auto"/>
          <w:highlight w:val="none"/>
        </w:rPr>
      </w:pPr>
    </w:p>
    <w:p>
      <w:pPr>
        <w:pStyle w:val="5"/>
        <w:keepNext/>
        <w:keepLines/>
        <w:widowControl w:val="0"/>
        <w:numPr>
          <w:ilvl w:val="0"/>
          <w:numId w:val="15"/>
        </w:numPr>
        <w:jc w:val="left"/>
        <w:rPr>
          <w:bCs/>
          <w:color w:val="auto"/>
          <w:highlight w:val="none"/>
        </w:rPr>
      </w:pPr>
      <w:bookmarkStart w:id="57" w:name="_Toc5124"/>
      <w:r>
        <w:rPr>
          <w:rFonts w:hint="eastAsia"/>
          <w:bCs/>
          <w:color w:val="auto"/>
          <w:highlight w:val="none"/>
        </w:rPr>
        <w:t>采购代理服务费</w:t>
      </w:r>
      <w:bookmarkEnd w:id="57"/>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lang w:val="en-US"/>
        </w:rPr>
        <w:t>成交供应商须在成交结果发布之日起3个工作日内，参照</w:t>
      </w:r>
      <w:r>
        <w:rPr>
          <w:rFonts w:ascii="微软雅黑" w:hAnsi="微软雅黑"/>
          <w:b/>
          <w:bCs/>
          <w:color w:val="auto"/>
          <w:highlight w:val="none"/>
          <w:lang w:val="en-US"/>
        </w:rPr>
        <w:t>《国家计委关于印发（招标代理服务收费管理暂行办法）的通知》(计价格[2002]1980号)文件的标准及《国家发展改革委办公厅关于招标代理服务收费有关问题的通知》（发改办价格[2003]857号）文件的规定</w:t>
      </w:r>
      <w:r>
        <w:rPr>
          <w:rFonts w:hint="eastAsia" w:ascii="微软雅黑" w:hAnsi="微软雅黑"/>
          <w:b/>
          <w:bCs/>
          <w:color w:val="auto"/>
          <w:highlight w:val="none"/>
          <w:lang w:val="en-US"/>
        </w:rPr>
        <w:t>下浮50%</w:t>
      </w:r>
      <w:r>
        <w:rPr>
          <w:rFonts w:ascii="微软雅黑" w:hAnsi="微软雅黑"/>
          <w:b/>
          <w:bCs/>
          <w:color w:val="auto"/>
          <w:highlight w:val="none"/>
          <w:lang w:val="en-US"/>
        </w:rPr>
        <w:t>向采购代理机构</w:t>
      </w:r>
      <w:r>
        <w:rPr>
          <w:rFonts w:hint="eastAsia" w:ascii="微软雅黑" w:hAnsi="微软雅黑"/>
          <w:b/>
          <w:bCs/>
          <w:color w:val="auto"/>
          <w:highlight w:val="none"/>
          <w:lang w:val="en-US"/>
        </w:rPr>
        <w:t>一次性交纳采购</w:t>
      </w:r>
      <w:r>
        <w:rPr>
          <w:rFonts w:ascii="微软雅黑" w:hAnsi="微软雅黑"/>
          <w:b/>
          <w:bCs/>
          <w:color w:val="auto"/>
          <w:highlight w:val="none"/>
          <w:lang w:val="en-US"/>
        </w:rPr>
        <w:t>代理</w:t>
      </w:r>
      <w:r>
        <w:rPr>
          <w:rFonts w:hint="eastAsia" w:ascii="微软雅黑" w:hAnsi="微软雅黑"/>
          <w:b/>
          <w:bCs/>
          <w:color w:val="auto"/>
          <w:highlight w:val="none"/>
          <w:lang w:val="en-US"/>
        </w:rPr>
        <w:t>服务</w:t>
      </w:r>
      <w:r>
        <w:rPr>
          <w:rFonts w:ascii="微软雅黑" w:hAnsi="微软雅黑"/>
          <w:b/>
          <w:bCs/>
          <w:color w:val="auto"/>
          <w:highlight w:val="none"/>
          <w:lang w:val="en-US"/>
        </w:rPr>
        <w:t>费</w:t>
      </w:r>
      <w:r>
        <w:rPr>
          <w:rFonts w:hint="eastAsia" w:ascii="微软雅黑" w:hAnsi="微软雅黑"/>
          <w:b/>
          <w:bCs/>
          <w:color w:val="auto"/>
          <w:highlight w:val="none"/>
        </w:rPr>
        <w:t>，请供应商在测算报价时充分考虑这一因素。</w:t>
      </w:r>
    </w:p>
    <w:p>
      <w:pPr>
        <w:jc w:val="both"/>
        <w:rPr>
          <w:rFonts w:ascii="微软雅黑" w:hAnsi="微软雅黑"/>
          <w:color w:val="auto"/>
          <w:szCs w:val="21"/>
          <w:highlight w:val="none"/>
        </w:rPr>
      </w:pPr>
    </w:p>
    <w:p>
      <w:pPr>
        <w:pStyle w:val="5"/>
        <w:keepNext/>
        <w:keepLines/>
        <w:widowControl w:val="0"/>
        <w:numPr>
          <w:ilvl w:val="0"/>
          <w:numId w:val="15"/>
        </w:numPr>
        <w:jc w:val="left"/>
        <w:rPr>
          <w:bCs/>
          <w:color w:val="auto"/>
          <w:highlight w:val="none"/>
        </w:rPr>
      </w:pPr>
      <w:bookmarkStart w:id="58" w:name="_Toc1631"/>
      <w:r>
        <w:rPr>
          <w:rFonts w:hint="eastAsia"/>
          <w:bCs/>
          <w:color w:val="auto"/>
          <w:highlight w:val="none"/>
        </w:rPr>
        <w:t>询问、质疑、投诉</w:t>
      </w:r>
      <w:bookmarkEnd w:id="58"/>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询问</w:t>
      </w:r>
    </w:p>
    <w:p>
      <w:pPr>
        <w:pStyle w:val="6"/>
        <w:numPr>
          <w:ilvl w:val="1"/>
          <w:numId w:val="16"/>
        </w:numPr>
        <w:ind w:firstLineChars="0"/>
        <w:jc w:val="both"/>
        <w:rPr>
          <w:rFonts w:ascii="微软雅黑" w:hAnsi="微软雅黑"/>
          <w:b/>
          <w:color w:val="auto"/>
          <w:highlight w:val="none"/>
        </w:rPr>
      </w:pPr>
      <w:r>
        <w:rPr>
          <w:rFonts w:hint="eastAsia" w:ascii="微软雅黑" w:hAnsi="微软雅黑"/>
          <w:color w:val="auto"/>
          <w:highlight w:val="none"/>
        </w:rPr>
        <w:t>供应商对政府采购活动事项有疑问的，可以向采购人或采购代理机构提出询问，</w:t>
      </w:r>
      <w:r>
        <w:rPr>
          <w:rFonts w:hint="eastAsia" w:ascii="微软雅黑" w:hAnsi="微软雅黑"/>
          <w:b/>
          <w:color w:val="auto"/>
          <w:highlight w:val="none"/>
        </w:rPr>
        <w:t>供应商（潜在供应商）针对同一采购程序环节的询问须一次性提出。</w:t>
      </w:r>
    </w:p>
    <w:p>
      <w:pPr>
        <w:pStyle w:val="6"/>
        <w:numPr>
          <w:ilvl w:val="1"/>
          <w:numId w:val="16"/>
        </w:numPr>
        <w:ind w:firstLineChars="0"/>
        <w:jc w:val="both"/>
        <w:rPr>
          <w:rFonts w:ascii="微软雅黑" w:hAnsi="微软雅黑"/>
          <w:b/>
          <w:color w:val="auto"/>
          <w:highlight w:val="none"/>
        </w:rPr>
      </w:pPr>
      <w:r>
        <w:rPr>
          <w:rFonts w:hint="eastAsia" w:ascii="微软雅黑" w:hAnsi="微软雅黑"/>
          <w:color w:val="auto"/>
          <w:highlight w:val="none"/>
        </w:rPr>
        <w:t>询问函采取纸质书面或电子邮件形式。</w:t>
      </w:r>
      <w:r>
        <w:rPr>
          <w:rFonts w:hint="eastAsia" w:ascii="微软雅黑" w:hAnsi="微软雅黑"/>
          <w:b/>
          <w:bCs/>
          <w:color w:val="auto"/>
          <w:highlight w:val="none"/>
        </w:rPr>
        <w:t>供应商（潜在供应商）</w:t>
      </w:r>
      <w:r>
        <w:rPr>
          <w:rFonts w:hint="eastAsia" w:ascii="微软雅黑" w:hAnsi="微软雅黑"/>
          <w:b/>
          <w:color w:val="auto"/>
          <w:highlight w:val="none"/>
        </w:rPr>
        <w:t>为自然人的，应当由本人签字；</w:t>
      </w:r>
      <w:r>
        <w:rPr>
          <w:rFonts w:hint="eastAsia" w:ascii="微软雅黑" w:hAnsi="微软雅黑"/>
          <w:b/>
          <w:bCs/>
          <w:color w:val="auto"/>
          <w:highlight w:val="none"/>
        </w:rPr>
        <w:t>供应商（潜在供应商）</w:t>
      </w:r>
      <w:r>
        <w:rPr>
          <w:rFonts w:hint="eastAsia" w:ascii="微软雅黑" w:hAnsi="微软雅黑"/>
          <w:b/>
          <w:color w:val="auto"/>
          <w:highlight w:val="none"/>
        </w:rPr>
        <w:t>为法人或者其他组织的，应当由法定代表人、主要负责人，或者其授权代表签字或者盖章，并加盖公章。</w:t>
      </w:r>
    </w:p>
    <w:p>
      <w:pPr>
        <w:pStyle w:val="6"/>
        <w:numPr>
          <w:ilvl w:val="1"/>
          <w:numId w:val="16"/>
        </w:numPr>
        <w:ind w:firstLineChars="0"/>
        <w:jc w:val="both"/>
        <w:rPr>
          <w:rFonts w:ascii="微软雅黑" w:hAnsi="微软雅黑"/>
          <w:b/>
          <w:color w:val="auto"/>
          <w:highlight w:val="none"/>
        </w:rPr>
      </w:pPr>
      <w:r>
        <w:rPr>
          <w:rFonts w:hint="eastAsia" w:ascii="微软雅黑" w:hAnsi="微软雅黑"/>
          <w:b/>
          <w:bCs/>
          <w:color w:val="auto"/>
          <w:highlight w:val="none"/>
        </w:rPr>
        <w:t>询问函标准格式见附件《询问函》</w:t>
      </w:r>
    </w:p>
    <w:p>
      <w:pPr>
        <w:pStyle w:val="6"/>
        <w:numPr>
          <w:ilvl w:val="1"/>
          <w:numId w:val="16"/>
        </w:numPr>
        <w:ind w:firstLineChars="0"/>
        <w:jc w:val="both"/>
        <w:rPr>
          <w:rFonts w:ascii="微软雅黑" w:hAnsi="微软雅黑"/>
          <w:color w:val="auto"/>
          <w:highlight w:val="none"/>
        </w:rPr>
      </w:pPr>
      <w:r>
        <w:rPr>
          <w:rFonts w:hint="eastAsia" w:ascii="微软雅黑" w:hAnsi="微软雅黑"/>
          <w:color w:val="auto"/>
          <w:highlight w:val="none"/>
        </w:rPr>
        <w:t>采购人或者采购代理机构应当在</w:t>
      </w:r>
      <w:r>
        <w:rPr>
          <w:rFonts w:ascii="微软雅黑" w:hAnsi="微软雅黑"/>
          <w:color w:val="auto"/>
          <w:highlight w:val="none"/>
        </w:rPr>
        <w:t>3个工作日内对供应</w:t>
      </w:r>
      <w:r>
        <w:rPr>
          <w:rFonts w:hint="eastAsia" w:ascii="微软雅黑" w:hAnsi="微软雅黑"/>
          <w:color w:val="auto"/>
          <w:highlight w:val="none"/>
        </w:rPr>
        <w:t>商依法提出的询问作出答复。</w:t>
      </w:r>
    </w:p>
    <w:p>
      <w:pPr>
        <w:rPr>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供应商（潜在供应商）认为招标文件、招标过程、中标结果使自己的权益受到损害的，可以在知道或者应知其权益受到损害之日起</w:t>
      </w:r>
      <w:r>
        <w:rPr>
          <w:rFonts w:ascii="微软雅黑" w:hAnsi="微软雅黑"/>
          <w:b/>
          <w:bCs/>
          <w:color w:val="auto"/>
          <w:highlight w:val="none"/>
        </w:rPr>
        <w:t>7个工作日内，以书面形式向采购人、采购代理机构提出质疑。</w:t>
      </w:r>
      <w:r>
        <w:rPr>
          <w:rFonts w:hint="eastAsia" w:ascii="微软雅黑" w:hAnsi="微软雅黑"/>
          <w:b/>
          <w:bCs/>
          <w:color w:val="auto"/>
          <w:highlight w:val="none"/>
        </w:rPr>
        <w:t>供应商应知其权益受到损害之日，是指：</w:t>
      </w:r>
    </w:p>
    <w:p>
      <w:pPr>
        <w:pStyle w:val="6"/>
        <w:numPr>
          <w:ilvl w:val="1"/>
          <w:numId w:val="28"/>
        </w:numPr>
        <w:ind w:left="840" w:hanging="420" w:firstLineChars="0"/>
        <w:jc w:val="both"/>
        <w:rPr>
          <w:rFonts w:ascii="微软雅黑" w:hAnsi="微软雅黑"/>
          <w:color w:val="auto"/>
          <w:highlight w:val="none"/>
        </w:rPr>
      </w:pPr>
      <w:r>
        <w:rPr>
          <w:rFonts w:hint="eastAsia" w:ascii="微软雅黑" w:hAnsi="微软雅黑"/>
          <w:color w:val="auto"/>
          <w:highlight w:val="none"/>
        </w:rPr>
        <w:t>对招标文件提出质疑的，为获取招标文件之日；</w:t>
      </w:r>
    </w:p>
    <w:p>
      <w:pPr>
        <w:pStyle w:val="6"/>
        <w:numPr>
          <w:ilvl w:val="1"/>
          <w:numId w:val="28"/>
        </w:numPr>
        <w:ind w:left="840" w:hanging="420" w:firstLineChars="0"/>
        <w:jc w:val="both"/>
        <w:rPr>
          <w:rFonts w:ascii="微软雅黑" w:hAnsi="微软雅黑"/>
          <w:color w:val="auto"/>
          <w:highlight w:val="none"/>
        </w:rPr>
      </w:pPr>
      <w:r>
        <w:rPr>
          <w:rFonts w:hint="eastAsia" w:ascii="微软雅黑" w:hAnsi="微软雅黑"/>
          <w:color w:val="auto"/>
          <w:highlight w:val="none"/>
        </w:rPr>
        <w:t>对招标过程提出质疑的，为各招标程序环节结束之日；</w:t>
      </w:r>
    </w:p>
    <w:p>
      <w:pPr>
        <w:pStyle w:val="6"/>
        <w:numPr>
          <w:ilvl w:val="1"/>
          <w:numId w:val="28"/>
        </w:numPr>
        <w:ind w:left="840" w:hanging="420" w:firstLineChars="0"/>
        <w:jc w:val="both"/>
        <w:rPr>
          <w:rFonts w:ascii="微软雅黑" w:hAnsi="微软雅黑"/>
          <w:color w:val="auto"/>
          <w:highlight w:val="none"/>
        </w:rPr>
      </w:pPr>
      <w:r>
        <w:rPr>
          <w:rFonts w:hint="eastAsia" w:ascii="微软雅黑" w:hAnsi="微软雅黑"/>
          <w:color w:val="auto"/>
          <w:highlight w:val="none"/>
        </w:rPr>
        <w:t>对中标结果提出质疑的，为中标结果公告期限届满之日。</w:t>
      </w:r>
    </w:p>
    <w:p>
      <w:pPr>
        <w:pStyle w:val="6"/>
        <w:ind w:left="567" w:firstLine="0" w:firstLineChars="0"/>
        <w:jc w:val="both"/>
        <w:rPr>
          <w:rFonts w:ascii="Arial" w:hAnsi="Arial" w:cs="Arial"/>
          <w:b/>
          <w:bCs/>
          <w:color w:val="auto"/>
          <w:highlight w:val="none"/>
        </w:rPr>
      </w:pPr>
      <w:r>
        <w:rPr>
          <w:rFonts w:hint="eastAsia" w:ascii="微软雅黑" w:hAnsi="微软雅黑"/>
          <w:b/>
          <w:bCs/>
          <w:color w:val="auto"/>
          <w:highlight w:val="none"/>
        </w:rPr>
        <w:t>供应商（潜在供应商）</w:t>
      </w:r>
      <w:r>
        <w:rPr>
          <w:rFonts w:ascii="Arial" w:hAnsi="Arial" w:cs="Arial"/>
          <w:b/>
          <w:bCs/>
          <w:color w:val="auto"/>
          <w:highlight w:val="none"/>
        </w:rPr>
        <w:t>针对同一采购程序环节的质疑</w:t>
      </w:r>
      <w:r>
        <w:rPr>
          <w:rFonts w:hint="eastAsia" w:ascii="Arial" w:hAnsi="Arial" w:cs="Arial"/>
          <w:b/>
          <w:bCs/>
          <w:color w:val="auto"/>
          <w:highlight w:val="none"/>
        </w:rPr>
        <w:t>须一次性提出。</w:t>
      </w:r>
    </w:p>
    <w:p>
      <w:pPr>
        <w:pStyle w:val="6"/>
        <w:ind w:left="567" w:firstLine="0" w:firstLineChars="0"/>
        <w:jc w:val="both"/>
        <w:rPr>
          <w:rFonts w:ascii="微软雅黑" w:hAnsi="微软雅黑"/>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提出质疑的投标（潜在供应商）应当是参与所质疑项目采购活动的供应商，潜在供应商已依法获取其可质疑的招标文件的，可以对该文件提出质疑。</w:t>
      </w:r>
    </w:p>
    <w:p>
      <w:pPr>
        <w:jc w:val="both"/>
        <w:rPr>
          <w:rFonts w:ascii="微软雅黑" w:hAnsi="微软雅黑"/>
          <w:b/>
          <w:color w:val="auto"/>
          <w:szCs w:val="21"/>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供应商（潜在供应商）提出质疑应当提交质疑函和必要的证明材料。质疑函应当包括下列内容：</w:t>
      </w:r>
    </w:p>
    <w:p>
      <w:pPr>
        <w:pStyle w:val="336"/>
        <w:numPr>
          <w:ilvl w:val="1"/>
          <w:numId w:val="29"/>
        </w:numPr>
        <w:ind w:firstLineChars="0"/>
        <w:jc w:val="both"/>
        <w:rPr>
          <w:rFonts w:ascii="微软雅黑" w:hAnsi="微软雅黑"/>
          <w:b/>
          <w:color w:val="auto"/>
          <w:szCs w:val="21"/>
          <w:highlight w:val="none"/>
        </w:rPr>
      </w:pPr>
      <w:r>
        <w:rPr>
          <w:rFonts w:hint="eastAsia" w:ascii="微软雅黑" w:hAnsi="微软雅黑"/>
          <w:b/>
          <w:bCs/>
          <w:color w:val="auto"/>
          <w:highlight w:val="none"/>
        </w:rPr>
        <w:t>供应商（潜在供应商）</w:t>
      </w:r>
      <w:r>
        <w:rPr>
          <w:rFonts w:hint="eastAsia" w:ascii="微软雅黑" w:hAnsi="微软雅黑"/>
          <w:b/>
          <w:color w:val="auto"/>
          <w:szCs w:val="21"/>
          <w:highlight w:val="none"/>
        </w:rPr>
        <w:t>的姓名或者名称、地址、邮编、联系人及联系电话；</w:t>
      </w:r>
    </w:p>
    <w:p>
      <w:pPr>
        <w:pStyle w:val="336"/>
        <w:numPr>
          <w:ilvl w:val="1"/>
          <w:numId w:val="29"/>
        </w:numPr>
        <w:ind w:firstLineChars="0"/>
        <w:jc w:val="both"/>
        <w:rPr>
          <w:rFonts w:ascii="微软雅黑" w:hAnsi="微软雅黑"/>
          <w:b/>
          <w:color w:val="auto"/>
          <w:szCs w:val="21"/>
          <w:highlight w:val="none"/>
        </w:rPr>
      </w:pPr>
      <w:r>
        <w:rPr>
          <w:rFonts w:hint="eastAsia" w:ascii="微软雅黑" w:hAnsi="微软雅黑"/>
          <w:b/>
          <w:color w:val="auto"/>
          <w:szCs w:val="21"/>
          <w:highlight w:val="none"/>
        </w:rPr>
        <w:t>质疑项目的名称、编号；</w:t>
      </w:r>
    </w:p>
    <w:p>
      <w:pPr>
        <w:pStyle w:val="336"/>
        <w:numPr>
          <w:ilvl w:val="1"/>
          <w:numId w:val="29"/>
        </w:numPr>
        <w:ind w:firstLineChars="0"/>
        <w:jc w:val="both"/>
        <w:rPr>
          <w:rFonts w:ascii="微软雅黑" w:hAnsi="微软雅黑"/>
          <w:b/>
          <w:color w:val="auto"/>
          <w:szCs w:val="21"/>
          <w:highlight w:val="none"/>
        </w:rPr>
      </w:pPr>
      <w:r>
        <w:rPr>
          <w:rFonts w:hint="eastAsia" w:ascii="微软雅黑" w:hAnsi="微软雅黑"/>
          <w:b/>
          <w:color w:val="auto"/>
          <w:szCs w:val="21"/>
          <w:highlight w:val="none"/>
        </w:rPr>
        <w:t>具体、明确的质疑事项和与质疑事项相关的请求；</w:t>
      </w:r>
    </w:p>
    <w:p>
      <w:pPr>
        <w:pStyle w:val="336"/>
        <w:numPr>
          <w:ilvl w:val="1"/>
          <w:numId w:val="29"/>
        </w:numPr>
        <w:ind w:firstLineChars="0"/>
        <w:jc w:val="both"/>
        <w:rPr>
          <w:rFonts w:ascii="微软雅黑" w:hAnsi="微软雅黑"/>
          <w:b/>
          <w:color w:val="auto"/>
          <w:szCs w:val="21"/>
          <w:highlight w:val="none"/>
        </w:rPr>
      </w:pPr>
      <w:r>
        <w:rPr>
          <w:rFonts w:hint="eastAsia" w:ascii="微软雅黑" w:hAnsi="微软雅黑"/>
          <w:b/>
          <w:color w:val="auto"/>
          <w:szCs w:val="21"/>
          <w:highlight w:val="none"/>
        </w:rPr>
        <w:t>事实依据；</w:t>
      </w:r>
    </w:p>
    <w:p>
      <w:pPr>
        <w:pStyle w:val="336"/>
        <w:numPr>
          <w:ilvl w:val="1"/>
          <w:numId w:val="29"/>
        </w:numPr>
        <w:ind w:firstLineChars="0"/>
        <w:jc w:val="both"/>
        <w:rPr>
          <w:rFonts w:ascii="微软雅黑" w:hAnsi="微软雅黑"/>
          <w:b/>
          <w:color w:val="auto"/>
          <w:szCs w:val="21"/>
          <w:highlight w:val="none"/>
        </w:rPr>
      </w:pPr>
      <w:r>
        <w:rPr>
          <w:rFonts w:hint="eastAsia" w:ascii="微软雅黑" w:hAnsi="微软雅黑"/>
          <w:b/>
          <w:color w:val="auto"/>
          <w:szCs w:val="21"/>
          <w:highlight w:val="none"/>
        </w:rPr>
        <w:t>必要的法律依据；</w:t>
      </w:r>
    </w:p>
    <w:p>
      <w:pPr>
        <w:pStyle w:val="336"/>
        <w:numPr>
          <w:ilvl w:val="1"/>
          <w:numId w:val="29"/>
        </w:numPr>
        <w:ind w:firstLineChars="0"/>
        <w:jc w:val="both"/>
        <w:rPr>
          <w:rFonts w:ascii="微软雅黑" w:hAnsi="微软雅黑"/>
          <w:b/>
          <w:color w:val="auto"/>
          <w:szCs w:val="21"/>
          <w:highlight w:val="none"/>
        </w:rPr>
      </w:pPr>
      <w:r>
        <w:rPr>
          <w:rFonts w:hint="eastAsia" w:ascii="微软雅黑" w:hAnsi="微软雅黑"/>
          <w:b/>
          <w:color w:val="auto"/>
          <w:szCs w:val="21"/>
          <w:highlight w:val="none"/>
        </w:rPr>
        <w:t>提出质疑的日期。</w:t>
      </w:r>
    </w:p>
    <w:p>
      <w:pPr>
        <w:ind w:firstLine="420"/>
        <w:jc w:val="both"/>
        <w:rPr>
          <w:rFonts w:ascii="微软雅黑" w:hAnsi="微软雅黑"/>
          <w:b/>
          <w:color w:val="auto"/>
          <w:szCs w:val="21"/>
          <w:highlight w:val="none"/>
        </w:rPr>
      </w:pPr>
      <w:r>
        <w:rPr>
          <w:rFonts w:hint="eastAsia" w:ascii="微软雅黑" w:hAnsi="微软雅黑"/>
          <w:b/>
          <w:bCs/>
          <w:color w:val="auto"/>
          <w:highlight w:val="none"/>
        </w:rPr>
        <w:t>供应商（潜在供应商）</w:t>
      </w:r>
      <w:r>
        <w:rPr>
          <w:rFonts w:hint="eastAsia" w:ascii="微软雅黑" w:hAnsi="微软雅黑"/>
          <w:b/>
          <w:color w:val="auto"/>
          <w:szCs w:val="21"/>
          <w:highlight w:val="none"/>
        </w:rPr>
        <w:t>为自然人的，应当由本人签字；</w:t>
      </w:r>
      <w:r>
        <w:rPr>
          <w:rFonts w:hint="eastAsia" w:ascii="微软雅黑" w:hAnsi="微软雅黑"/>
          <w:b/>
          <w:bCs/>
          <w:color w:val="auto"/>
          <w:highlight w:val="none"/>
        </w:rPr>
        <w:t>供应商（潜在供应商）</w:t>
      </w:r>
      <w:r>
        <w:rPr>
          <w:rFonts w:hint="eastAsia" w:ascii="微软雅黑" w:hAnsi="微软雅黑"/>
          <w:b/>
          <w:color w:val="auto"/>
          <w:szCs w:val="21"/>
          <w:highlight w:val="none"/>
        </w:rPr>
        <w:t>为法人或者其他组织的，应当由法定代表人、主要负责人，或者其授权代表签字或者盖章，并加盖公章。质疑函内容有缺失的，采购代理机构、采购人应当一次性告知质疑人需补全的材料及补交的截止时间。补交的截止时间与法定质疑期的截止时间一致。质疑人于截止时间后递交补充材料的，将被拒绝。</w:t>
      </w:r>
    </w:p>
    <w:p>
      <w:pPr>
        <w:ind w:firstLine="420"/>
        <w:jc w:val="both"/>
        <w:rPr>
          <w:rFonts w:ascii="微软雅黑" w:hAnsi="微软雅黑"/>
          <w:b/>
          <w:color w:val="auto"/>
          <w:szCs w:val="21"/>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质疑事项如无实质内容，仅为询问质疑人得分情况或质疑人未中标原因等的，采购代理机构、采购人可将此类质疑函作为书面询问接收，采购代理机构按询问程序处理。</w:t>
      </w:r>
    </w:p>
    <w:p>
      <w:pPr>
        <w:pStyle w:val="6"/>
        <w:ind w:left="425" w:firstLine="0" w:firstLineChars="0"/>
        <w:jc w:val="both"/>
        <w:rPr>
          <w:rFonts w:ascii="微软雅黑" w:hAnsi="微软雅黑"/>
          <w:b/>
          <w:bCs/>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质疑函标准格式见附件《质疑函》。</w:t>
      </w:r>
    </w:p>
    <w:p>
      <w:pPr>
        <w:pStyle w:val="6"/>
        <w:ind w:firstLine="0" w:firstLineChars="0"/>
        <w:jc w:val="both"/>
        <w:rPr>
          <w:rFonts w:ascii="微软雅黑" w:hAnsi="微软雅黑"/>
          <w:color w:val="auto"/>
          <w:szCs w:val="21"/>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质疑函的递交应到采购代理机构递交原件，办理文件签收手续，联系人、</w:t>
      </w:r>
      <w:r>
        <w:rPr>
          <w:rFonts w:ascii="微软雅黑" w:hAnsi="微软雅黑"/>
          <w:b/>
          <w:bCs/>
          <w:color w:val="auto"/>
          <w:highlight w:val="none"/>
        </w:rPr>
        <w:t>联系电话</w:t>
      </w:r>
      <w:r>
        <w:rPr>
          <w:rFonts w:hint="eastAsia" w:ascii="微软雅黑" w:hAnsi="微软雅黑"/>
          <w:b/>
          <w:bCs/>
          <w:color w:val="auto"/>
          <w:highlight w:val="none"/>
        </w:rPr>
        <w:t>、地址详见供应商须知前附表</w:t>
      </w:r>
      <w:r>
        <w:rPr>
          <w:rFonts w:ascii="微软雅黑" w:hAnsi="微软雅黑"/>
          <w:b/>
          <w:bCs/>
          <w:color w:val="auto"/>
          <w:highlight w:val="none"/>
        </w:rPr>
        <w:t>；传真或复印件等采购代理机构有权不予受理。</w:t>
      </w:r>
    </w:p>
    <w:p>
      <w:pPr>
        <w:pStyle w:val="336"/>
        <w:rPr>
          <w:rFonts w:ascii="微软雅黑" w:hAnsi="微软雅黑"/>
          <w:b/>
          <w:bCs/>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采购代理机构在收到质疑函后</w:t>
      </w:r>
      <w:r>
        <w:rPr>
          <w:rFonts w:ascii="微软雅黑" w:hAnsi="微软雅黑"/>
          <w:b/>
          <w:bCs/>
          <w:color w:val="auto"/>
          <w:highlight w:val="none"/>
        </w:rPr>
        <w:t>7个工作日内</w:t>
      </w:r>
      <w:r>
        <w:rPr>
          <w:rFonts w:hint="eastAsia" w:ascii="微软雅黑" w:hAnsi="微软雅黑"/>
          <w:b/>
          <w:bCs/>
          <w:color w:val="auto"/>
          <w:highlight w:val="none"/>
        </w:rPr>
        <w:t>作出答复。</w:t>
      </w:r>
    </w:p>
    <w:p>
      <w:pPr>
        <w:pStyle w:val="336"/>
        <w:rPr>
          <w:rFonts w:ascii="微软雅黑" w:hAnsi="微软雅黑"/>
          <w:b/>
          <w:bCs/>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质疑人对采购人、采购代理机构的答复不满意，或者采购人、采购代理机构未在规定时间内作出答复的，质疑人可以在答复期满后15个工作日内依法向相关监督管理部门提起投诉。</w:t>
      </w:r>
    </w:p>
    <w:p>
      <w:pPr>
        <w:pStyle w:val="6"/>
        <w:jc w:val="both"/>
        <w:rPr>
          <w:rFonts w:ascii="微软雅黑" w:hAnsi="微软雅黑"/>
          <w:color w:val="auto"/>
          <w:highlight w:val="none"/>
        </w:rPr>
      </w:pPr>
      <w:r>
        <w:rPr>
          <w:rFonts w:hint="eastAsia" w:ascii="微软雅黑" w:hAnsi="微软雅黑"/>
          <w:color w:val="auto"/>
          <w:highlight w:val="none"/>
        </w:rPr>
        <w:t xml:space="preserve"> </w:t>
      </w:r>
    </w:p>
    <w:p>
      <w:pPr>
        <w:pStyle w:val="5"/>
        <w:keepNext/>
        <w:keepLines/>
        <w:widowControl w:val="0"/>
        <w:numPr>
          <w:ilvl w:val="0"/>
          <w:numId w:val="15"/>
        </w:numPr>
        <w:jc w:val="left"/>
        <w:rPr>
          <w:bCs/>
          <w:color w:val="auto"/>
          <w:highlight w:val="none"/>
        </w:rPr>
      </w:pPr>
      <w:bookmarkStart w:id="59" w:name="_Toc29726"/>
      <w:r>
        <w:rPr>
          <w:rFonts w:hint="eastAsia"/>
          <w:bCs/>
          <w:color w:val="auto"/>
          <w:highlight w:val="none"/>
        </w:rPr>
        <w:t>保密和披露</w:t>
      </w:r>
      <w:bookmarkEnd w:id="59"/>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供应商自获取招标文件之日起，须履行本招标项目下保密义务，不得将因本次招标获得的信息向第三人外传。</w:t>
      </w:r>
    </w:p>
    <w:p>
      <w:pPr>
        <w:pStyle w:val="6"/>
        <w:ind w:left="425" w:firstLine="0" w:firstLineChars="0"/>
        <w:jc w:val="both"/>
        <w:rPr>
          <w:rFonts w:ascii="微软雅黑" w:hAnsi="微软雅黑"/>
          <w:b/>
          <w:bCs/>
          <w:color w:val="auto"/>
          <w:highlight w:val="none"/>
        </w:rPr>
      </w:pPr>
    </w:p>
    <w:p>
      <w:pPr>
        <w:pStyle w:val="6"/>
        <w:numPr>
          <w:ilvl w:val="0"/>
          <w:numId w:val="16"/>
        </w:numPr>
        <w:ind w:firstLineChars="0"/>
        <w:jc w:val="both"/>
        <w:rPr>
          <w:rFonts w:ascii="微软雅黑" w:hAnsi="微软雅黑"/>
          <w:b/>
          <w:bCs/>
          <w:color w:val="auto"/>
          <w:highlight w:val="none"/>
        </w:rPr>
      </w:pPr>
      <w:r>
        <w:rPr>
          <w:rFonts w:hint="eastAsia" w:ascii="微软雅黑" w:hAnsi="微软雅黑"/>
          <w:b/>
          <w:bCs/>
          <w:color w:val="auto"/>
          <w:highlight w:val="none"/>
        </w:rPr>
        <w:t>采购人或采购代理机构有权将供应商提供的所有资料向有关政府部门或磋商小组披露。</w:t>
      </w:r>
    </w:p>
    <w:p>
      <w:pPr>
        <w:pStyle w:val="6"/>
        <w:ind w:left="425" w:firstLine="0" w:firstLineChars="0"/>
        <w:jc w:val="both"/>
        <w:rPr>
          <w:rFonts w:ascii="微软雅黑" w:hAnsi="微软雅黑"/>
          <w:b/>
          <w:bCs/>
          <w:color w:val="auto"/>
          <w:highlight w:val="none"/>
        </w:rPr>
      </w:pPr>
    </w:p>
    <w:p>
      <w:pPr>
        <w:pStyle w:val="6"/>
        <w:numPr>
          <w:ilvl w:val="0"/>
          <w:numId w:val="16"/>
        </w:numPr>
        <w:ind w:firstLineChars="0"/>
        <w:jc w:val="both"/>
        <w:rPr>
          <w:color w:val="auto"/>
          <w:highlight w:val="none"/>
        </w:rPr>
      </w:pPr>
      <w:r>
        <w:rPr>
          <w:rFonts w:hint="eastAsia" w:ascii="微软雅黑" w:hAnsi="微软雅黑"/>
          <w:b/>
          <w:bCs/>
          <w:color w:val="auto"/>
          <w:highlight w:val="none"/>
        </w:rPr>
        <w:t>在采购人或采购代理机构认为适当时、国家机关调查、审查、审计时以及其他符合法律规定的情形下，采购人或采购代理机构无须事先征求供应商同意而可以披露关于采购过程、</w:t>
      </w:r>
      <w:r>
        <w:rPr>
          <w:rFonts w:hint="eastAsia" w:ascii="微软雅黑" w:hAnsi="微软雅黑"/>
          <w:b/>
          <w:bCs/>
          <w:color w:val="auto"/>
          <w:highlight w:val="none"/>
          <w:lang w:val="en-US"/>
        </w:rPr>
        <w:t>合同草案条款</w:t>
      </w:r>
      <w:r>
        <w:rPr>
          <w:rFonts w:hint="eastAsia" w:ascii="微软雅黑" w:hAnsi="微软雅黑"/>
          <w:b/>
          <w:bCs/>
          <w:color w:val="auto"/>
          <w:highlight w:val="none"/>
        </w:rPr>
        <w:t>、签署情况的资料、供应商的名称及地址、投标文件的有关信息以及补充条款等，但应当在合理的必要范围内。对任何已经公布过的内容或与之内容相同的资料，以及供应商已经泄露或公开的，无须再承担保密责任。</w:t>
      </w:r>
    </w:p>
    <w:p>
      <w:pPr>
        <w:pStyle w:val="336"/>
        <w:rPr>
          <w:color w:val="auto"/>
          <w:highlight w:val="none"/>
        </w:rPr>
      </w:pPr>
    </w:p>
    <w:p>
      <w:pPr>
        <w:pStyle w:val="6"/>
        <w:ind w:firstLine="0" w:firstLineChars="0"/>
        <w:jc w:val="both"/>
        <w:rPr>
          <w:color w:val="auto"/>
          <w:highlight w:val="none"/>
        </w:rPr>
        <w:sectPr>
          <w:pgSz w:w="11907" w:h="16839"/>
          <w:pgMar w:top="1928" w:right="1531" w:bottom="1871" w:left="1531" w:header="1148" w:footer="709" w:gutter="0"/>
          <w:cols w:space="720" w:num="1"/>
          <w:docGrid w:linePitch="360" w:charSpace="0"/>
        </w:sectPr>
      </w:pPr>
    </w:p>
    <w:p>
      <w:pPr>
        <w:pStyle w:val="6"/>
        <w:ind w:firstLine="0" w:firstLineChars="0"/>
        <w:jc w:val="both"/>
        <w:rPr>
          <w:color w:val="auto"/>
          <w:highlight w:val="none"/>
        </w:rPr>
      </w:pPr>
    </w:p>
    <w:p>
      <w:pPr>
        <w:spacing w:line="600" w:lineRule="exact"/>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附件</w:t>
      </w:r>
    </w:p>
    <w:p>
      <w:pPr>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询问函</w:t>
      </w:r>
    </w:p>
    <w:p>
      <w:pPr>
        <w:spacing w:line="240" w:lineRule="exact"/>
        <w:jc w:val="center"/>
        <w:rPr>
          <w:rFonts w:ascii="宋体" w:hAnsi="宋体" w:eastAsia="方正仿宋简体" w:cs="方正仿宋简体"/>
          <w:color w:val="auto"/>
          <w:sz w:val="32"/>
          <w:szCs w:val="32"/>
          <w:highlight w:val="none"/>
        </w:rPr>
      </w:pPr>
    </w:p>
    <w:tbl>
      <w:tblPr>
        <w:tblStyle w:val="83"/>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816"/>
        <w:gridCol w:w="72"/>
        <w:gridCol w:w="778"/>
        <w:gridCol w:w="727"/>
        <w:gridCol w:w="369"/>
        <w:gridCol w:w="357"/>
        <w:gridCol w:w="762"/>
        <w:gridCol w:w="242"/>
        <w:gridCol w:w="928"/>
        <w:gridCol w:w="451"/>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询问项目基本情况</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项目名称</w:t>
            </w:r>
          </w:p>
        </w:tc>
        <w:tc>
          <w:tcPr>
            <w:tcW w:w="5972"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项目编号</w:t>
            </w:r>
          </w:p>
        </w:tc>
        <w:tc>
          <w:tcPr>
            <w:tcW w:w="3235" w:type="dxa"/>
            <w:gridSpan w:val="6"/>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c>
          <w:tcPr>
            <w:tcW w:w="928" w:type="dxa"/>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bCs/>
                <w:color w:val="auto"/>
                <w:szCs w:val="21"/>
                <w:highlight w:val="none"/>
              </w:rPr>
              <w:t>标段号</w:t>
            </w:r>
          </w:p>
        </w:tc>
        <w:tc>
          <w:tcPr>
            <w:tcW w:w="1809" w:type="dxa"/>
            <w:gridSpan w:val="2"/>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询问人</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单位名称</w:t>
            </w:r>
          </w:p>
        </w:tc>
        <w:tc>
          <w:tcPr>
            <w:tcW w:w="5972" w:type="dxa"/>
            <w:gridSpan w:val="9"/>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法定代表人</w:t>
            </w:r>
          </w:p>
        </w:tc>
        <w:tc>
          <w:tcPr>
            <w:tcW w:w="5972" w:type="dxa"/>
            <w:gridSpan w:val="9"/>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邮寄地址</w:t>
            </w:r>
          </w:p>
        </w:tc>
        <w:tc>
          <w:tcPr>
            <w:tcW w:w="2993" w:type="dxa"/>
            <w:gridSpan w:val="5"/>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c>
          <w:tcPr>
            <w:tcW w:w="1621"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邮政编码</w:t>
            </w:r>
          </w:p>
        </w:tc>
        <w:tc>
          <w:tcPr>
            <w:tcW w:w="1358" w:type="dxa"/>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被授权人或代理人</w:t>
            </w:r>
          </w:p>
        </w:tc>
        <w:tc>
          <w:tcPr>
            <w:tcW w:w="77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姓名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c>
          <w:tcPr>
            <w:tcW w:w="726"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职务</w:t>
            </w:r>
          </w:p>
        </w:tc>
        <w:tc>
          <w:tcPr>
            <w:tcW w:w="7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c>
          <w:tcPr>
            <w:tcW w:w="1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手机号码</w:t>
            </w:r>
          </w:p>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（必填）</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505"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座机号码</w:t>
            </w:r>
          </w:p>
        </w:tc>
        <w:tc>
          <w:tcPr>
            <w:tcW w:w="1488" w:type="dxa"/>
            <w:gridSpan w:val="3"/>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c>
          <w:tcPr>
            <w:tcW w:w="1621"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电子邮箱</w:t>
            </w:r>
          </w:p>
        </w:tc>
        <w:tc>
          <w:tcPr>
            <w:tcW w:w="1358" w:type="dxa"/>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询问事项（纸张不够另附）</w:t>
            </w:r>
          </w:p>
        </w:tc>
        <w:tc>
          <w:tcPr>
            <w:tcW w:w="7860" w:type="dxa"/>
            <w:gridSpan w:val="11"/>
            <w:tcBorders>
              <w:top w:val="single" w:color="auto" w:sz="4" w:space="0"/>
              <w:left w:val="single" w:color="auto" w:sz="4" w:space="0"/>
              <w:right w:val="single" w:color="auto" w:sz="4" w:space="0"/>
            </w:tcBorders>
            <w:vAlign w:val="center"/>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单位公章</w:t>
            </w:r>
          </w:p>
        </w:tc>
        <w:tc>
          <w:tcPr>
            <w:tcW w:w="1816" w:type="dxa"/>
            <w:vMerge w:val="restart"/>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c>
          <w:tcPr>
            <w:tcW w:w="1946" w:type="dxa"/>
            <w:gridSpan w:val="4"/>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法定代表人签字</w:t>
            </w:r>
          </w:p>
        </w:tc>
        <w:tc>
          <w:tcPr>
            <w:tcW w:w="4098" w:type="dxa"/>
            <w:gridSpan w:val="6"/>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946" w:type="dxa"/>
            <w:gridSpan w:val="4"/>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被授权人或代理人签字</w:t>
            </w:r>
          </w:p>
        </w:tc>
        <w:tc>
          <w:tcPr>
            <w:tcW w:w="4098" w:type="dxa"/>
            <w:gridSpan w:val="6"/>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946" w:type="dxa"/>
            <w:gridSpan w:val="4"/>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提交日期</w:t>
            </w:r>
          </w:p>
        </w:tc>
        <w:tc>
          <w:tcPr>
            <w:tcW w:w="4098" w:type="dxa"/>
            <w:gridSpan w:val="6"/>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p>
        </w:tc>
      </w:tr>
    </w:tbl>
    <w:p>
      <w:pPr>
        <w:rPr>
          <w:rFonts w:ascii="Times New Roman" w:hAnsi="Times New Roman" w:eastAsia="宋体"/>
          <w:color w:val="auto"/>
          <w:kern w:val="2"/>
          <w:szCs w:val="22"/>
          <w:highlight w:val="none"/>
        </w:rPr>
      </w:pPr>
    </w:p>
    <w:p>
      <w:pPr>
        <w:pStyle w:val="6"/>
        <w:ind w:firstLine="0" w:firstLineChars="0"/>
        <w:jc w:val="both"/>
        <w:rPr>
          <w:color w:val="auto"/>
          <w:highlight w:val="none"/>
        </w:rPr>
        <w:sectPr>
          <w:pgSz w:w="11907" w:h="16839"/>
          <w:pgMar w:top="1928" w:right="1531" w:bottom="1871" w:left="1531" w:header="1148" w:footer="709" w:gutter="0"/>
          <w:cols w:space="720" w:num="1"/>
          <w:docGrid w:linePitch="360" w:charSpace="0"/>
        </w:sectPr>
      </w:pPr>
    </w:p>
    <w:p>
      <w:pPr>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pPr>
        <w:spacing w:line="240" w:lineRule="exact"/>
        <w:jc w:val="center"/>
        <w:rPr>
          <w:rFonts w:ascii="宋体" w:hAnsi="宋体" w:eastAsia="方正仿宋简体" w:cs="方正仿宋简体"/>
          <w:color w:val="auto"/>
          <w:sz w:val="32"/>
          <w:szCs w:val="32"/>
          <w:highlight w:val="none"/>
        </w:rPr>
      </w:pPr>
    </w:p>
    <w:tbl>
      <w:tblPr>
        <w:tblStyle w:val="83"/>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816"/>
        <w:gridCol w:w="72"/>
        <w:gridCol w:w="778"/>
        <w:gridCol w:w="727"/>
        <w:gridCol w:w="369"/>
        <w:gridCol w:w="357"/>
        <w:gridCol w:w="762"/>
        <w:gridCol w:w="1170"/>
        <w:gridCol w:w="451"/>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103" w:type="dxa"/>
            <w:gridSpan w:val="3"/>
            <w:tcBorders>
              <w:top w:val="single" w:color="auto" w:sz="4" w:space="0"/>
              <w:left w:val="single" w:color="auto" w:sz="4" w:space="0"/>
              <w:right w:val="single" w:color="auto" w:sz="4" w:space="0"/>
            </w:tcBorders>
            <w:vAlign w:val="center"/>
          </w:tcPr>
          <w:p>
            <w:pPr>
              <w:spacing w:line="60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kern w:val="2"/>
                <w:szCs w:val="21"/>
                <w:highlight w:val="none"/>
              </w:rPr>
              <w:t>致（接收单位）：</w:t>
            </w:r>
          </w:p>
        </w:tc>
        <w:tc>
          <w:tcPr>
            <w:tcW w:w="5972" w:type="dxa"/>
            <w:gridSpan w:val="8"/>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15" w:type="dxa"/>
            <w:vMerge w:val="restart"/>
            <w:tcBorders>
              <w:left w:val="single" w:color="auto" w:sz="4" w:space="0"/>
              <w:right w:val="single" w:color="auto" w:sz="4" w:space="0"/>
            </w:tcBorders>
            <w:vAlign w:val="center"/>
          </w:tcPr>
          <w:p>
            <w:pPr>
              <w:spacing w:line="24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质疑项目基本情况</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项目名称</w:t>
            </w:r>
          </w:p>
        </w:tc>
        <w:tc>
          <w:tcPr>
            <w:tcW w:w="5972" w:type="dxa"/>
            <w:gridSpan w:val="8"/>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15" w:type="dxa"/>
            <w:vMerge w:val="continue"/>
            <w:tcBorders>
              <w:left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项目编号</w:t>
            </w:r>
          </w:p>
        </w:tc>
        <w:tc>
          <w:tcPr>
            <w:tcW w:w="1874" w:type="dxa"/>
            <w:gridSpan w:val="3"/>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c>
          <w:tcPr>
            <w:tcW w:w="2289" w:type="dxa"/>
            <w:gridSpan w:val="3"/>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bCs/>
                <w:color w:val="auto"/>
                <w:szCs w:val="21"/>
                <w:highlight w:val="none"/>
              </w:rPr>
              <w:t>标段</w:t>
            </w:r>
            <w:r>
              <w:rPr>
                <w:rFonts w:hint="eastAsia" w:ascii="宋体" w:hAnsi="宋体" w:eastAsia="方正仿宋简体" w:cs="方正仿宋简体"/>
                <w:color w:val="auto"/>
                <w:szCs w:val="21"/>
                <w:highlight w:val="none"/>
              </w:rPr>
              <w:t>号</w:t>
            </w:r>
          </w:p>
        </w:tc>
        <w:tc>
          <w:tcPr>
            <w:tcW w:w="1809" w:type="dxa"/>
            <w:gridSpan w:val="2"/>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15" w:type="dxa"/>
            <w:vMerge w:val="continue"/>
            <w:tcBorders>
              <w:left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竞争性磋商公告时间</w:t>
            </w:r>
          </w:p>
        </w:tc>
        <w:tc>
          <w:tcPr>
            <w:tcW w:w="1874" w:type="dxa"/>
            <w:gridSpan w:val="3"/>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p>
        </w:tc>
        <w:tc>
          <w:tcPr>
            <w:tcW w:w="2289" w:type="dxa"/>
            <w:gridSpan w:val="3"/>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成交公告时间</w:t>
            </w:r>
          </w:p>
        </w:tc>
        <w:tc>
          <w:tcPr>
            <w:tcW w:w="1809" w:type="dxa"/>
            <w:gridSpan w:val="2"/>
            <w:tcBorders>
              <w:top w:val="single" w:color="auto" w:sz="4" w:space="0"/>
              <w:left w:val="single" w:color="auto" w:sz="4" w:space="0"/>
              <w:bottom w:val="single" w:color="auto" w:sz="4" w:space="0"/>
              <w:right w:val="single" w:color="auto" w:sz="4" w:space="0"/>
            </w:tcBorders>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15" w:type="dxa"/>
            <w:vMerge w:val="continue"/>
            <w:tcBorders>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竞争性磋商变更公告时间（若有，请依次顺序填写）</w:t>
            </w:r>
          </w:p>
        </w:tc>
        <w:tc>
          <w:tcPr>
            <w:tcW w:w="1874"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4577"/>
              </w:tabs>
              <w:jc w:val="center"/>
              <w:rPr>
                <w:rFonts w:ascii="宋体" w:hAnsi="宋体" w:eastAsia="方正仿宋简体" w:cs="方正仿宋简体"/>
                <w:color w:val="auto"/>
                <w:kern w:val="2"/>
                <w:szCs w:val="21"/>
                <w:highlight w:val="none"/>
                <w:u w:val="singl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p>
        </w:tc>
        <w:tc>
          <w:tcPr>
            <w:tcW w:w="2289"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4577"/>
              </w:tabs>
              <w:spacing w:line="300" w:lineRule="exact"/>
              <w:rPr>
                <w:rFonts w:ascii="宋体" w:hAnsi="宋体" w:eastAsia="方正仿宋简体" w:cs="方正仿宋简体"/>
                <w:color w:val="auto"/>
                <w:kern w:val="2"/>
                <w:szCs w:val="21"/>
                <w:highlight w:val="none"/>
                <w:u w:val="single"/>
              </w:rPr>
            </w:pPr>
            <w:r>
              <w:rPr>
                <w:rFonts w:hint="eastAsia" w:ascii="宋体" w:hAnsi="宋体" w:eastAsia="方正仿宋简体" w:cs="方正仿宋简体"/>
                <w:color w:val="auto"/>
                <w:szCs w:val="21"/>
                <w:highlight w:val="none"/>
              </w:rPr>
              <w:t>成交公告变更公告时间（若有，请依次顺序填写）</w:t>
            </w:r>
          </w:p>
        </w:tc>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质疑人</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单位名称</w:t>
            </w:r>
          </w:p>
        </w:tc>
        <w:tc>
          <w:tcPr>
            <w:tcW w:w="5972" w:type="dxa"/>
            <w:gridSpan w:val="8"/>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法定代表人</w:t>
            </w:r>
          </w:p>
        </w:tc>
        <w:tc>
          <w:tcPr>
            <w:tcW w:w="5972" w:type="dxa"/>
            <w:gridSpan w:val="8"/>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邮寄地址</w:t>
            </w:r>
          </w:p>
        </w:tc>
        <w:tc>
          <w:tcPr>
            <w:tcW w:w="2993" w:type="dxa"/>
            <w:gridSpan w:val="5"/>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c>
          <w:tcPr>
            <w:tcW w:w="162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邮政编码</w:t>
            </w:r>
          </w:p>
        </w:tc>
        <w:tc>
          <w:tcPr>
            <w:tcW w:w="1358" w:type="dxa"/>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被授权人或代理人</w:t>
            </w:r>
          </w:p>
        </w:tc>
        <w:tc>
          <w:tcPr>
            <w:tcW w:w="77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姓名</w:t>
            </w:r>
          </w:p>
        </w:tc>
        <w:tc>
          <w:tcPr>
            <w:tcW w:w="72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c>
          <w:tcPr>
            <w:tcW w:w="726"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职务</w:t>
            </w:r>
          </w:p>
        </w:tc>
        <w:tc>
          <w:tcPr>
            <w:tcW w:w="76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c>
          <w:tcPr>
            <w:tcW w:w="1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手机号码</w:t>
            </w:r>
          </w:p>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（必填）</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505"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座机号码</w:t>
            </w:r>
          </w:p>
        </w:tc>
        <w:tc>
          <w:tcPr>
            <w:tcW w:w="1488" w:type="dxa"/>
            <w:gridSpan w:val="3"/>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c>
          <w:tcPr>
            <w:tcW w:w="162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电子邮箱</w:t>
            </w:r>
          </w:p>
        </w:tc>
        <w:tc>
          <w:tcPr>
            <w:tcW w:w="1358" w:type="dxa"/>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质疑事项（纸张不够另附）</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分    类</w:t>
            </w:r>
          </w:p>
        </w:tc>
        <w:tc>
          <w:tcPr>
            <w:tcW w:w="5972" w:type="dxa"/>
            <w:gridSpan w:val="8"/>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 采购文件； □ 采购过程； □ 采购结果；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7860" w:type="dxa"/>
            <w:gridSpan w:val="10"/>
            <w:tcBorders>
              <w:top w:val="single" w:color="auto" w:sz="4" w:space="0"/>
              <w:left w:val="single" w:color="auto" w:sz="4" w:space="0"/>
              <w:bottom w:val="single" w:color="auto" w:sz="4" w:space="0"/>
              <w:right w:val="single" w:color="auto" w:sz="4" w:space="0"/>
            </w:tcBorders>
          </w:tcPr>
          <w:p>
            <w:pP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1、质疑事项：</w:t>
            </w:r>
          </w:p>
          <w:p>
            <w:pP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2、与质疑事项相关的请求：</w:t>
            </w:r>
          </w:p>
          <w:p>
            <w:pP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3、事实依据：</w:t>
            </w:r>
          </w:p>
          <w:p>
            <w:pP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4、法律依据：（法律依据应列明法律法规名称、文号及具体条款内容）</w:t>
            </w:r>
            <w:r>
              <w:rPr>
                <w:rFonts w:ascii="宋体" w:hAnsi="宋体" w:eastAsia="方正仿宋简体" w:cs="方正仿宋简体"/>
                <w:color w:val="auto"/>
                <w:szCs w:val="21"/>
                <w:highlight w:val="none"/>
              </w:rPr>
              <w:t xml:space="preserve"> </w:t>
            </w:r>
          </w:p>
          <w:p>
            <w:pP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5、证明材料：（请按序号列明所附证据等材料）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15"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单位公章</w:t>
            </w:r>
          </w:p>
        </w:tc>
        <w:tc>
          <w:tcPr>
            <w:tcW w:w="1816"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c>
          <w:tcPr>
            <w:tcW w:w="1946" w:type="dxa"/>
            <w:gridSpan w:val="4"/>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法定代表人签字</w:t>
            </w:r>
          </w:p>
        </w:tc>
        <w:tc>
          <w:tcPr>
            <w:tcW w:w="4098" w:type="dxa"/>
            <w:gridSpan w:val="5"/>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15" w:type="dxa"/>
            <w:vMerge w:val="continue"/>
            <w:tcBorders>
              <w:left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16" w:type="dxa"/>
            <w:vMerge w:val="continue"/>
            <w:tcBorders>
              <w:left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946" w:type="dxa"/>
            <w:gridSpan w:val="4"/>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被授权人或代理人签字</w:t>
            </w:r>
          </w:p>
        </w:tc>
        <w:tc>
          <w:tcPr>
            <w:tcW w:w="4098" w:type="dxa"/>
            <w:gridSpan w:val="5"/>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215" w:type="dxa"/>
            <w:vMerge w:val="continue"/>
            <w:tcBorders>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16" w:type="dxa"/>
            <w:vMerge w:val="continue"/>
            <w:tcBorders>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946" w:type="dxa"/>
            <w:gridSpan w:val="4"/>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提交日期</w:t>
            </w:r>
          </w:p>
        </w:tc>
        <w:tc>
          <w:tcPr>
            <w:tcW w:w="4098" w:type="dxa"/>
            <w:gridSpan w:val="5"/>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szCs w:val="21"/>
                <w:highlight w:val="none"/>
                <w:u w:val="singl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时</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分</w:t>
            </w:r>
          </w:p>
        </w:tc>
      </w:tr>
    </w:tbl>
    <w:p>
      <w:pPr>
        <w:rPr>
          <w:rFonts w:ascii="Times New Roman" w:hAnsi="Times New Roman" w:eastAsia="宋体"/>
          <w:color w:val="auto"/>
          <w:kern w:val="2"/>
          <w:szCs w:val="22"/>
          <w:highlight w:val="none"/>
        </w:rPr>
      </w:pPr>
    </w:p>
    <w:p>
      <w:pPr>
        <w:pStyle w:val="6"/>
        <w:ind w:firstLine="0" w:firstLineChars="0"/>
        <w:jc w:val="both"/>
        <w:rPr>
          <w:color w:val="auto"/>
          <w:highlight w:val="none"/>
        </w:rPr>
        <w:sectPr>
          <w:pgSz w:w="11907" w:h="16839"/>
          <w:pgMar w:top="1928" w:right="1531" w:bottom="1871" w:left="1531" w:header="1148" w:footer="709" w:gutter="0"/>
          <w:cols w:space="720" w:num="1"/>
          <w:docGrid w:linePitch="360" w:charSpace="0"/>
        </w:sectPr>
      </w:pPr>
    </w:p>
    <w:p>
      <w:pPr>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补全质疑材料通知</w:t>
      </w:r>
    </w:p>
    <w:p>
      <w:pPr>
        <w:spacing w:line="240" w:lineRule="exact"/>
        <w:jc w:val="center"/>
        <w:rPr>
          <w:rFonts w:ascii="宋体" w:hAnsi="宋体" w:eastAsia="方正仿宋简体" w:cs="方正仿宋简体"/>
          <w:color w:val="auto"/>
          <w:sz w:val="32"/>
          <w:szCs w:val="32"/>
          <w:highlight w:val="none"/>
        </w:rPr>
      </w:pPr>
    </w:p>
    <w:tbl>
      <w:tblPr>
        <w:tblStyle w:val="83"/>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877"/>
        <w:gridCol w:w="11"/>
        <w:gridCol w:w="1505"/>
        <w:gridCol w:w="369"/>
        <w:gridCol w:w="1119"/>
        <w:gridCol w:w="242"/>
        <w:gridCol w:w="928"/>
        <w:gridCol w:w="451"/>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供应商质疑项目</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项目名称</w:t>
            </w:r>
          </w:p>
        </w:tc>
        <w:tc>
          <w:tcPr>
            <w:tcW w:w="5972"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项目编号</w:t>
            </w:r>
          </w:p>
        </w:tc>
        <w:tc>
          <w:tcPr>
            <w:tcW w:w="3235" w:type="dxa"/>
            <w:gridSpan w:val="4"/>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bCs/>
                <w:color w:val="auto"/>
                <w:szCs w:val="21"/>
                <w:highlight w:val="none"/>
              </w:rPr>
              <w:t>标段</w:t>
            </w:r>
            <w:r>
              <w:rPr>
                <w:rFonts w:hint="eastAsia" w:ascii="宋体" w:hAnsi="宋体" w:eastAsia="方正仿宋简体" w:cs="方正仿宋简体"/>
                <w:color w:val="auto"/>
                <w:szCs w:val="21"/>
                <w:highlight w:val="none"/>
              </w:rPr>
              <w:t>号</w:t>
            </w:r>
          </w:p>
        </w:tc>
        <w:tc>
          <w:tcPr>
            <w:tcW w:w="1809" w:type="dxa"/>
            <w:gridSpan w:val="2"/>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15"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质疑人</w:t>
            </w:r>
          </w:p>
        </w:tc>
        <w:tc>
          <w:tcPr>
            <w:tcW w:w="18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单位名称</w:t>
            </w:r>
          </w:p>
        </w:tc>
        <w:tc>
          <w:tcPr>
            <w:tcW w:w="5972" w:type="dxa"/>
            <w:gridSpan w:val="7"/>
            <w:tcBorders>
              <w:top w:val="single" w:color="auto" w:sz="4" w:space="0"/>
              <w:left w:val="single" w:color="auto" w:sz="4" w:space="0"/>
              <w:bottom w:val="single" w:color="auto" w:sz="4" w:space="0"/>
              <w:right w:val="single" w:color="auto" w:sz="4" w:space="0"/>
            </w:tcBorders>
          </w:tcPr>
          <w:p>
            <w:pPr>
              <w:widowControl w:val="0"/>
              <w:jc w:val="both"/>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15" w:type="dxa"/>
            <w:vMerge w:val="continue"/>
            <w:tcBorders>
              <w:left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被授权人或代理人</w:t>
            </w:r>
          </w:p>
        </w:tc>
        <w:tc>
          <w:tcPr>
            <w:tcW w:w="150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姓名</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c>
          <w:tcPr>
            <w:tcW w:w="1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手机号码</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15" w:type="dxa"/>
            <w:vMerge w:val="continue"/>
            <w:tcBorders>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递交质疑函时间</w:t>
            </w:r>
          </w:p>
        </w:tc>
        <w:tc>
          <w:tcPr>
            <w:tcW w:w="5972" w:type="dxa"/>
            <w:gridSpan w:val="7"/>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215" w:type="dxa"/>
            <w:vMerge w:val="restart"/>
            <w:tcBorders>
              <w:top w:val="single" w:color="auto" w:sz="4" w:space="0"/>
              <w:left w:val="single" w:color="auto" w:sz="4" w:space="0"/>
              <w:right w:val="single" w:color="auto" w:sz="4" w:space="0"/>
            </w:tcBorders>
            <w:vAlign w:val="center"/>
          </w:tcPr>
          <w:p>
            <w:pPr>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kern w:val="2"/>
                <w:szCs w:val="21"/>
                <w:highlight w:val="none"/>
              </w:rPr>
              <w:t>补全材料</w:t>
            </w:r>
          </w:p>
        </w:tc>
        <w:tc>
          <w:tcPr>
            <w:tcW w:w="7860" w:type="dxa"/>
            <w:gridSpan w:val="9"/>
            <w:tcBorders>
              <w:top w:val="single" w:color="auto" w:sz="4" w:space="0"/>
              <w:left w:val="single" w:color="auto" w:sz="4" w:space="0"/>
              <w:right w:val="single" w:color="auto" w:sz="4" w:space="0"/>
            </w:tcBorders>
            <w:vAlign w:val="center"/>
          </w:tcPr>
          <w:p>
            <w:pPr>
              <w:spacing w:line="240" w:lineRule="exact"/>
              <w:rPr>
                <w:rFonts w:ascii="宋体" w:hAnsi="宋体" w:eastAsia="方正仿宋简体" w:cs="方正仿宋简体"/>
                <w:color w:val="auto"/>
                <w:szCs w:val="21"/>
                <w:highlight w:val="none"/>
              </w:rPr>
            </w:pPr>
            <w:r>
              <w:rPr>
                <w:rFonts w:hint="eastAsia" w:ascii="宋体" w:hAnsi="宋体" w:eastAsia="方正仿宋简体" w:cs="方正仿宋简体"/>
                <w:color w:val="auto"/>
                <w:kern w:val="2"/>
                <w:szCs w:val="21"/>
                <w:highlight w:val="none"/>
              </w:rPr>
              <w:t>通</w:t>
            </w:r>
            <w:r>
              <w:rPr>
                <w:rFonts w:hint="eastAsia" w:ascii="宋体" w:hAnsi="宋体" w:eastAsia="方正仿宋简体" w:cs="方正仿宋简体"/>
                <w:color w:val="auto"/>
                <w:szCs w:val="21"/>
                <w:highlight w:val="none"/>
              </w:rPr>
              <w:t>知：你方质疑函缺少“********”。</w:t>
            </w:r>
          </w:p>
          <w:p>
            <w:pPr>
              <w:spacing w:line="240" w:lineRule="exact"/>
              <w:rPr>
                <w:rFonts w:ascii="宋体" w:hAnsi="宋体" w:eastAsia="方正仿宋简体" w:cs="方正仿宋简体"/>
                <w:color w:val="auto"/>
                <w:szCs w:val="21"/>
                <w:highlight w:val="none"/>
              </w:rPr>
            </w:pPr>
          </w:p>
          <w:p>
            <w:pPr>
              <w:spacing w:line="240" w:lineRule="exact"/>
              <w:rPr>
                <w:rFonts w:ascii="宋体" w:hAnsi="宋体" w:eastAsia="方正仿宋简体" w:cs="方正仿宋简体"/>
                <w:color w:val="auto"/>
                <w:szCs w:val="21"/>
                <w:highlight w:val="none"/>
              </w:rPr>
            </w:pPr>
          </w:p>
          <w:p>
            <w:pPr>
              <w:spacing w:line="240" w:lineRule="exact"/>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请于补交截止时间前补全上述材料，截止时间后递交补充材料的，将被拒绝。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15" w:type="dxa"/>
            <w:vMerge w:val="continue"/>
            <w:tcBorders>
              <w:left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补交截止时间</w:t>
            </w:r>
          </w:p>
        </w:tc>
        <w:tc>
          <w:tcPr>
            <w:tcW w:w="5972"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时</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15" w:type="dxa"/>
            <w:vMerge w:val="continue"/>
            <w:tcBorders>
              <w:left w:val="single" w:color="auto" w:sz="4" w:space="0"/>
              <w:bottom w:val="single" w:color="auto" w:sz="4" w:space="0"/>
              <w:right w:val="single" w:color="auto" w:sz="4" w:space="0"/>
            </w:tcBorders>
            <w:vAlign w:val="center"/>
          </w:tcPr>
          <w:p>
            <w:pPr>
              <w:rPr>
                <w:rFonts w:ascii="宋体" w:hAnsi="宋体" w:eastAsia="方正仿宋简体" w:cs="方正仿宋简体"/>
                <w:color w:val="auto"/>
                <w:kern w:val="2"/>
                <w:szCs w:val="21"/>
                <w:highlight w:val="none"/>
              </w:rPr>
            </w:pPr>
          </w:p>
        </w:tc>
        <w:tc>
          <w:tcPr>
            <w:tcW w:w="18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szCs w:val="21"/>
                <w:highlight w:val="none"/>
              </w:rPr>
            </w:pPr>
            <w:r>
              <w:rPr>
                <w:rFonts w:hint="eastAsia" w:ascii="宋体" w:hAnsi="宋体" w:eastAsia="方正仿宋简体" w:cs="方正仿宋简体"/>
                <w:color w:val="auto"/>
                <w:szCs w:val="21"/>
                <w:highlight w:val="none"/>
              </w:rPr>
              <w:t>法定质疑期的截止时间</w:t>
            </w:r>
          </w:p>
        </w:tc>
        <w:tc>
          <w:tcPr>
            <w:tcW w:w="5972"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时</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rPr>
              <w:t>采购代理机构公章</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p>
        </w:tc>
        <w:tc>
          <w:tcPr>
            <w:tcW w:w="1885"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kern w:val="2"/>
                <w:szCs w:val="21"/>
                <w:highlight w:val="none"/>
              </w:rPr>
              <w:t>通知日期</w:t>
            </w:r>
          </w:p>
        </w:tc>
        <w:tc>
          <w:tcPr>
            <w:tcW w:w="4098" w:type="dxa"/>
            <w:gridSpan w:val="5"/>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方正仿宋简体" w:cs="方正仿宋简体"/>
                <w:color w:val="auto"/>
                <w:kern w:val="2"/>
                <w:szCs w:val="21"/>
                <w:highlight w:val="none"/>
              </w:rPr>
            </w:pP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年</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月</w:t>
            </w:r>
            <w:r>
              <w:rPr>
                <w:rFonts w:hint="eastAsia" w:ascii="宋体" w:hAnsi="宋体" w:eastAsia="方正仿宋简体" w:cs="方正仿宋简体"/>
                <w:color w:val="auto"/>
                <w:szCs w:val="21"/>
                <w:highlight w:val="none"/>
                <w:u w:val="single"/>
              </w:rPr>
              <w:t xml:space="preserve">    </w:t>
            </w:r>
            <w:r>
              <w:rPr>
                <w:rFonts w:hint="eastAsia" w:ascii="宋体" w:hAnsi="宋体" w:eastAsia="方正仿宋简体" w:cs="方正仿宋简体"/>
                <w:color w:val="auto"/>
                <w:szCs w:val="21"/>
                <w:highlight w:val="none"/>
              </w:rPr>
              <w:t>日</w:t>
            </w:r>
          </w:p>
        </w:tc>
      </w:tr>
    </w:tbl>
    <w:p>
      <w:pPr>
        <w:rPr>
          <w:rFonts w:ascii="Times New Roman" w:hAnsi="Times New Roman" w:eastAsia="宋体"/>
          <w:color w:val="auto"/>
          <w:kern w:val="2"/>
          <w:szCs w:val="22"/>
          <w:highlight w:val="none"/>
        </w:rPr>
      </w:pPr>
    </w:p>
    <w:p>
      <w:pPr>
        <w:pStyle w:val="6"/>
        <w:ind w:firstLine="0" w:firstLineChars="0"/>
        <w:jc w:val="both"/>
        <w:rPr>
          <w:color w:val="auto"/>
          <w:highlight w:val="none"/>
        </w:rPr>
      </w:pPr>
    </w:p>
    <w:p>
      <w:pPr>
        <w:pStyle w:val="6"/>
        <w:numPr>
          <w:ilvl w:val="0"/>
          <w:numId w:val="16"/>
        </w:numPr>
        <w:ind w:firstLineChars="0"/>
        <w:jc w:val="both"/>
        <w:rPr>
          <w:color w:val="auto"/>
          <w:highlight w:val="none"/>
        </w:rPr>
        <w:sectPr>
          <w:pgSz w:w="11907" w:h="16839"/>
          <w:pgMar w:top="1928" w:right="1531" w:bottom="1871" w:left="1531" w:header="1148" w:footer="709" w:gutter="0"/>
          <w:cols w:space="720" w:num="1"/>
          <w:docGrid w:linePitch="360" w:charSpace="0"/>
        </w:sectPr>
      </w:pPr>
    </w:p>
    <w:p>
      <w:pPr>
        <w:pStyle w:val="4"/>
        <w:numPr>
          <w:ilvl w:val="0"/>
          <w:numId w:val="10"/>
        </w:numPr>
        <w:spacing w:before="2400" w:after="0"/>
        <w:jc w:val="center"/>
        <w:rPr>
          <w:rFonts w:ascii="微软雅黑" w:hAnsi="微软雅黑"/>
          <w:color w:val="auto"/>
          <w:highlight w:val="none"/>
        </w:rPr>
      </w:pPr>
      <w:bookmarkStart w:id="60" w:name="_Toc18731"/>
      <w:bookmarkStart w:id="61" w:name="_Toc18654"/>
      <w:r>
        <w:rPr>
          <w:rFonts w:hint="eastAsia" w:ascii="微软雅黑" w:hAnsi="微软雅黑"/>
          <w:color w:val="auto"/>
          <w:highlight w:val="none"/>
        </w:rPr>
        <w:t>工程量清单</w:t>
      </w:r>
      <w:bookmarkEnd w:id="60"/>
      <w:bookmarkEnd w:id="61"/>
    </w:p>
    <w:p>
      <w:pPr>
        <w:rPr>
          <w:color w:val="auto"/>
          <w:highlight w:val="none"/>
        </w:rPr>
      </w:pPr>
    </w:p>
    <w:p>
      <w:pPr>
        <w:rPr>
          <w:rFonts w:ascii="微软雅黑"/>
          <w:color w:val="auto"/>
          <w:highlight w:val="none"/>
        </w:rPr>
        <w:sectPr>
          <w:pgSz w:w="11907" w:h="16839"/>
          <w:pgMar w:top="1928" w:right="1531" w:bottom="1871" w:left="1531" w:header="1148" w:footer="709" w:gutter="0"/>
          <w:cols w:space="720" w:num="1"/>
          <w:docGrid w:linePitch="360" w:charSpace="0"/>
        </w:sectPr>
      </w:pPr>
      <w:r>
        <w:rPr>
          <w:rFonts w:ascii="微软雅黑"/>
          <w:color w:val="auto"/>
          <w:highlight w:val="none"/>
        </w:rPr>
        <w:br w:type="page"/>
      </w:r>
    </w:p>
    <w:p>
      <w:pPr>
        <w:pStyle w:val="5"/>
        <w:keepNext/>
        <w:keepLines/>
        <w:widowControl w:val="0"/>
        <w:numPr>
          <w:ilvl w:val="0"/>
          <w:numId w:val="30"/>
        </w:numPr>
        <w:spacing w:before="260" w:after="260" w:line="413" w:lineRule="auto"/>
        <w:jc w:val="left"/>
        <w:rPr>
          <w:color w:val="auto"/>
          <w:sz w:val="28"/>
          <w:highlight w:val="none"/>
        </w:rPr>
      </w:pPr>
      <w:bookmarkStart w:id="62" w:name="_Toc27474"/>
      <w:r>
        <w:rPr>
          <w:rFonts w:hint="eastAsia"/>
          <w:color w:val="auto"/>
          <w:sz w:val="28"/>
          <w:highlight w:val="none"/>
        </w:rPr>
        <w:t>相关说明</w:t>
      </w:r>
      <w:bookmarkEnd w:id="62"/>
    </w:p>
    <w:p>
      <w:pPr>
        <w:spacing w:beforeLines="100" w:afterLines="80" w:line="380" w:lineRule="exact"/>
        <w:rPr>
          <w:rFonts w:ascii="黑体" w:eastAsia="黑体"/>
          <w:b/>
          <w:color w:val="auto"/>
          <w:sz w:val="24"/>
          <w:highlight w:val="none"/>
        </w:rPr>
      </w:pPr>
      <w:r>
        <w:rPr>
          <w:rFonts w:hint="eastAsia" w:ascii="黑体" w:eastAsia="黑体"/>
          <w:b/>
          <w:color w:val="auto"/>
          <w:sz w:val="24"/>
          <w:highlight w:val="none"/>
        </w:rPr>
        <w:t>1、工程量清单说明</w:t>
      </w:r>
    </w:p>
    <w:p>
      <w:pPr>
        <w:spacing w:line="430" w:lineRule="exact"/>
        <w:ind w:left="838" w:leftChars="399" w:firstLine="123" w:firstLineChars="59"/>
        <w:rPr>
          <w:rFonts w:ascii="宋体" w:hAnsi="宋体"/>
          <w:color w:val="auto"/>
          <w:szCs w:val="21"/>
          <w:highlight w:val="none"/>
        </w:rPr>
      </w:pPr>
      <w:r>
        <w:rPr>
          <w:rFonts w:hint="eastAsia" w:ascii="宋体" w:hAnsi="宋体"/>
          <w:color w:val="auto"/>
          <w:szCs w:val="21"/>
          <w:highlight w:val="none"/>
        </w:rPr>
        <w:t>本工程量清单是依据中华人民共和国国家标准《建设工程工程量清单计价规范》（GB50500-2013）(以下简称“计价规范”) 、《房屋建筑与装饰工程工程量计算规范》（GB50854-2013）、《通用安装工程工程量计算规范》（GB50856-2013）、《市政工程工程量计算规范</w:t>
      </w:r>
      <w:r>
        <w:rPr>
          <w:rFonts w:hint="eastAsia" w:ascii="宋体" w:hAnsi="宋体" w:cs="宋体"/>
          <w:color w:val="auto"/>
          <w:szCs w:val="21"/>
          <w:highlight w:val="none"/>
          <w:shd w:val="clear" w:color="auto" w:fill="FFFFFF"/>
        </w:rPr>
        <w:t>》</w:t>
      </w:r>
      <w:r>
        <w:rPr>
          <w:rFonts w:hint="eastAsia" w:ascii="宋体" w:hAnsi="宋体"/>
          <w:color w:val="auto"/>
          <w:szCs w:val="21"/>
          <w:highlight w:val="none"/>
        </w:rPr>
        <w:t>（GB50857-2013）以及采购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30" w:lineRule="exact"/>
        <w:ind w:left="750" w:hanging="749" w:hangingChars="357"/>
        <w:rPr>
          <w:rFonts w:ascii="宋体" w:hAnsi="宋体"/>
          <w:color w:val="auto"/>
          <w:szCs w:val="21"/>
          <w:highlight w:val="none"/>
        </w:rPr>
      </w:pPr>
      <w:r>
        <w:rPr>
          <w:rFonts w:hint="eastAsia" w:ascii="黑体" w:hAnsi="宋体" w:eastAsia="黑体"/>
          <w:color w:val="auto"/>
          <w:szCs w:val="21"/>
          <w:highlight w:val="none"/>
        </w:rPr>
        <w:t xml:space="preserve">1.2    </w:t>
      </w:r>
      <w:r>
        <w:rPr>
          <w:rFonts w:hint="eastAsia" w:ascii="宋体" w:hAnsi="宋体"/>
          <w:color w:val="auto"/>
          <w:szCs w:val="21"/>
          <w:highlight w:val="none"/>
        </w:rPr>
        <w:t>本工程量清单应与采购文件中的供应商须知、通用合同条款、专用合同条款、技术标准和要求及图纸等章节内容一起阅读和理解。</w:t>
      </w:r>
    </w:p>
    <w:p>
      <w:pPr>
        <w:spacing w:line="430" w:lineRule="exact"/>
        <w:ind w:left="750" w:hanging="749" w:hangingChars="357"/>
        <w:rPr>
          <w:rFonts w:ascii="宋体" w:hAnsi="宋体"/>
          <w:color w:val="auto"/>
          <w:szCs w:val="21"/>
          <w:highlight w:val="none"/>
        </w:rPr>
      </w:pPr>
      <w:r>
        <w:rPr>
          <w:rFonts w:hint="eastAsia" w:ascii="黑体" w:hAnsi="宋体" w:eastAsia="黑体"/>
          <w:color w:val="auto"/>
          <w:szCs w:val="21"/>
          <w:highlight w:val="none"/>
        </w:rPr>
        <w:t xml:space="preserve">1.3    </w:t>
      </w:r>
      <w:r>
        <w:rPr>
          <w:rFonts w:hint="eastAsia" w:ascii="宋体" w:hAnsi="宋体"/>
          <w:color w:val="auto"/>
          <w:szCs w:val="21"/>
          <w:highlight w:val="none"/>
        </w:rPr>
        <w:t>本工程量清单仅是响应报价的共同基础，竣工结算的工程量按合同约定确定。合同价格的确定以及价款支付应遵循合同条款(包括通用合同条款和专用合同条款)、技术标准和要求以及本章的有关约定。</w:t>
      </w:r>
    </w:p>
    <w:p>
      <w:pPr>
        <w:spacing w:line="430" w:lineRule="exact"/>
        <w:ind w:left="741" w:hanging="741" w:hangingChars="353"/>
        <w:rPr>
          <w:rFonts w:ascii="宋体" w:hAnsi="宋体"/>
          <w:color w:val="auto"/>
          <w:szCs w:val="21"/>
          <w:highlight w:val="none"/>
        </w:rPr>
      </w:pPr>
      <w:r>
        <w:rPr>
          <w:rFonts w:hint="eastAsia" w:ascii="黑体" w:hAnsi="宋体" w:eastAsia="黑体"/>
          <w:color w:val="auto"/>
          <w:szCs w:val="21"/>
          <w:highlight w:val="none"/>
        </w:rPr>
        <w:t xml:space="preserve">1.4    </w:t>
      </w:r>
      <w:r>
        <w:rPr>
          <w:rFonts w:hint="eastAsia" w:ascii="宋体" w:hAnsi="宋体"/>
          <w:color w:val="auto"/>
          <w:szCs w:val="21"/>
          <w:highlight w:val="none"/>
        </w:rPr>
        <w:t>补充子目的子目特征、计量单位、工程量计算规则及工作内容说明如下：</w:t>
      </w:r>
    </w:p>
    <w:p>
      <w:pPr>
        <w:spacing w:line="430" w:lineRule="exact"/>
        <w:ind w:left="741" w:hanging="741" w:hangingChars="353"/>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按本次采购发布的工程量清单文件执行</w:t>
      </w:r>
      <w:r>
        <w:rPr>
          <w:rFonts w:hint="eastAsia" w:ascii="宋体" w:hAnsi="宋体"/>
          <w:color w:val="auto"/>
          <w:szCs w:val="21"/>
          <w:highlight w:val="none"/>
        </w:rPr>
        <w:t>。</w:t>
      </w:r>
    </w:p>
    <w:p>
      <w:pPr>
        <w:spacing w:line="430" w:lineRule="exact"/>
        <w:ind w:left="750" w:hanging="749" w:hangingChars="357"/>
        <w:rPr>
          <w:rFonts w:ascii="宋体" w:hAnsi="宋体"/>
          <w:color w:val="auto"/>
          <w:szCs w:val="21"/>
          <w:highlight w:val="none"/>
        </w:rPr>
      </w:pPr>
      <w:r>
        <w:rPr>
          <w:rFonts w:hint="eastAsia" w:ascii="黑体" w:hAnsi="宋体" w:eastAsia="黑体"/>
          <w:color w:val="auto"/>
          <w:szCs w:val="21"/>
          <w:highlight w:val="none"/>
        </w:rPr>
        <w:t>1.5</w:t>
      </w:r>
      <w:r>
        <w:rPr>
          <w:rFonts w:hint="eastAsia" w:ascii="宋体" w:hAnsi="宋体"/>
          <w:color w:val="auto"/>
          <w:szCs w:val="21"/>
          <w:highlight w:val="none"/>
        </w:rPr>
        <w:t xml:space="preserve">    本条第1.1款中约定的计量和计价规则适用于合同履约过程中工程量计量与价款支付、工程变更、索赔和工程结算。</w:t>
      </w:r>
    </w:p>
    <w:p>
      <w:pPr>
        <w:spacing w:line="430" w:lineRule="exact"/>
        <w:ind w:left="750" w:hanging="749" w:hangingChars="357"/>
        <w:rPr>
          <w:rFonts w:ascii="宋体" w:hAnsi="宋体"/>
          <w:color w:val="auto"/>
          <w:szCs w:val="21"/>
          <w:highlight w:val="none"/>
        </w:rPr>
      </w:pPr>
      <w:r>
        <w:rPr>
          <w:rFonts w:hint="eastAsia" w:ascii="黑体" w:hAnsi="宋体" w:eastAsia="黑体"/>
          <w:color w:val="auto"/>
          <w:szCs w:val="21"/>
          <w:highlight w:val="none"/>
        </w:rPr>
        <w:t>1.6</w:t>
      </w:r>
      <w:r>
        <w:rPr>
          <w:rFonts w:hint="eastAsia" w:ascii="宋体" w:hAnsi="宋体"/>
          <w:color w:val="auto"/>
          <w:szCs w:val="21"/>
          <w:highlight w:val="none"/>
        </w:rPr>
        <w:t xml:space="preserve">    本条与下述第2条和第3条的说明内容是构成合同文件的已标价工程量清单的组成部分。</w:t>
      </w:r>
    </w:p>
    <w:p>
      <w:pPr>
        <w:spacing w:beforeLines="100" w:afterLines="80" w:line="380" w:lineRule="exact"/>
        <w:rPr>
          <w:rFonts w:ascii="黑体" w:eastAsia="黑体"/>
          <w:b/>
          <w:color w:val="auto"/>
          <w:sz w:val="24"/>
          <w:highlight w:val="none"/>
        </w:rPr>
      </w:pPr>
      <w:r>
        <w:rPr>
          <w:rFonts w:hint="eastAsia" w:ascii="黑体" w:eastAsia="黑体"/>
          <w:b/>
          <w:color w:val="auto"/>
          <w:sz w:val="24"/>
          <w:highlight w:val="none"/>
        </w:rPr>
        <w:t>2、响应报价说明</w:t>
      </w:r>
    </w:p>
    <w:p>
      <w:pPr>
        <w:spacing w:line="400" w:lineRule="exact"/>
        <w:ind w:firstLine="411" w:firstLineChars="196"/>
        <w:rPr>
          <w:rFonts w:ascii="宋体" w:hAnsi="宋体"/>
          <w:color w:val="auto"/>
          <w:highlight w:val="none"/>
        </w:rPr>
      </w:pPr>
      <w:r>
        <w:rPr>
          <w:rFonts w:hint="eastAsia" w:ascii="宋体" w:hAnsi="宋体"/>
          <w:color w:val="auto"/>
          <w:highlight w:val="none"/>
        </w:rPr>
        <w:t>2.1  报价总体规定：</w:t>
      </w:r>
    </w:p>
    <w:p>
      <w:pPr>
        <w:spacing w:line="400" w:lineRule="exact"/>
        <w:ind w:firstLine="411" w:firstLineChars="196"/>
        <w:rPr>
          <w:rFonts w:ascii="宋体" w:hAnsi="宋体"/>
          <w:color w:val="auto"/>
          <w:highlight w:val="none"/>
        </w:rPr>
      </w:pPr>
      <w:r>
        <w:rPr>
          <w:rFonts w:hint="eastAsia" w:ascii="宋体" w:hAnsi="宋体"/>
          <w:color w:val="auto"/>
          <w:highlight w:val="none"/>
        </w:rPr>
        <w:t>2.1.1本次</w:t>
      </w:r>
      <w:r>
        <w:rPr>
          <w:rFonts w:hint="eastAsia" w:ascii="宋体" w:hAnsi="宋体"/>
          <w:color w:val="auto"/>
          <w:highlight w:val="none"/>
          <w:lang w:val="en-US"/>
        </w:rPr>
        <w:t>响应</w:t>
      </w:r>
      <w:r>
        <w:rPr>
          <w:rFonts w:hint="eastAsia" w:ascii="宋体" w:hAnsi="宋体"/>
          <w:color w:val="auto"/>
          <w:highlight w:val="none"/>
        </w:rPr>
        <w:t>报价范围为本标书报价内容为施工总承包，具体内容以采购人给定的施工图（如果有）及工程量清单为准，如果出现图纸与工程量清单不相符时，以工程量清单为准，采购人提供的措施项工程量清单是根据常规施工组织设计列项，</w:t>
      </w:r>
      <w:r>
        <w:rPr>
          <w:rFonts w:hint="eastAsia" w:ascii="宋体" w:hAnsi="宋体"/>
          <w:color w:val="auto"/>
          <w:highlight w:val="none"/>
          <w:lang w:val="en-US" w:eastAsia="zh-CN"/>
        </w:rPr>
        <w:t>供应商</w:t>
      </w:r>
      <w:r>
        <w:rPr>
          <w:rFonts w:hint="eastAsia" w:ascii="宋体" w:hAnsi="宋体"/>
          <w:color w:val="auto"/>
          <w:highlight w:val="none"/>
        </w:rPr>
        <w:t>不可调整措施项工程量清单，但可以对清单措施项自主报价。</w:t>
      </w:r>
    </w:p>
    <w:p>
      <w:pPr>
        <w:pStyle w:val="466"/>
        <w:ind w:firstLine="420" w:firstLineChars="200"/>
        <w:rPr>
          <w:rFonts w:ascii="宋体" w:hAnsi="宋体" w:eastAsia="微软雅黑"/>
          <w:color w:val="auto"/>
          <w:kern w:val="20"/>
          <w:szCs w:val="20"/>
          <w:highlight w:val="none"/>
          <w:lang w:val="zh-CN"/>
        </w:rPr>
      </w:pPr>
      <w:r>
        <w:rPr>
          <w:rFonts w:hint="eastAsia" w:ascii="宋体" w:hAnsi="宋体" w:eastAsia="微软雅黑"/>
          <w:color w:val="auto"/>
          <w:kern w:val="20"/>
          <w:szCs w:val="20"/>
          <w:highlight w:val="none"/>
        </w:rPr>
        <w:t>供应商应严格按照《建设工程工程量清单计价规范》（GB50500-2013）要求的编制投标报价，</w:t>
      </w:r>
      <w:r>
        <w:rPr>
          <w:rFonts w:hint="eastAsia" w:ascii="宋体" w:hAnsi="宋体" w:eastAsia="微软雅黑"/>
          <w:color w:val="auto"/>
          <w:kern w:val="20"/>
          <w:szCs w:val="20"/>
          <w:highlight w:val="none"/>
          <w:lang w:val="en-US" w:eastAsia="zh-CN"/>
        </w:rPr>
        <w:t>响应</w:t>
      </w:r>
      <w:r>
        <w:rPr>
          <w:rFonts w:hint="eastAsia" w:ascii="宋体" w:hAnsi="宋体" w:eastAsia="微软雅黑"/>
          <w:color w:val="auto"/>
          <w:kern w:val="20"/>
          <w:szCs w:val="20"/>
          <w:highlight w:val="none"/>
        </w:rPr>
        <w:t>报价中必须包含《建设工程工程量清单计价规范》要求的表-09“综合单价分析表”</w:t>
      </w:r>
      <w:r>
        <w:rPr>
          <w:rFonts w:hint="eastAsia" w:ascii="宋体" w:hAnsi="宋体" w:eastAsia="微软雅黑"/>
          <w:color w:val="auto"/>
          <w:kern w:val="20"/>
          <w:szCs w:val="20"/>
          <w:highlight w:val="none"/>
          <w:lang w:eastAsia="zh-CN"/>
        </w:rPr>
        <w:t>，</w:t>
      </w:r>
      <w:r>
        <w:rPr>
          <w:rFonts w:hint="eastAsia" w:ascii="宋体" w:hAnsi="宋体" w:eastAsia="微软雅黑"/>
          <w:color w:val="auto"/>
          <w:kern w:val="20"/>
          <w:szCs w:val="20"/>
          <w:highlight w:val="none"/>
          <w:lang w:val="zh-CN"/>
        </w:rPr>
        <w:t>否则按</w:t>
      </w:r>
      <w:r>
        <w:rPr>
          <w:rFonts w:hint="eastAsia" w:ascii="宋体" w:hAnsi="宋体" w:eastAsia="微软雅黑"/>
          <w:color w:val="auto"/>
          <w:kern w:val="20"/>
          <w:szCs w:val="20"/>
          <w:highlight w:val="none"/>
          <w:lang w:val="en-US" w:eastAsia="zh-CN"/>
        </w:rPr>
        <w:t>响应无效</w:t>
      </w:r>
      <w:r>
        <w:rPr>
          <w:rFonts w:hint="eastAsia" w:ascii="宋体" w:hAnsi="宋体" w:eastAsia="微软雅黑"/>
          <w:color w:val="auto"/>
          <w:kern w:val="20"/>
          <w:szCs w:val="20"/>
          <w:highlight w:val="none"/>
          <w:lang w:val="zh-CN"/>
        </w:rPr>
        <w:t>处理。</w:t>
      </w:r>
    </w:p>
    <w:p>
      <w:pPr>
        <w:spacing w:line="400" w:lineRule="exact"/>
        <w:ind w:firstLine="411" w:firstLineChars="196"/>
        <w:rPr>
          <w:rFonts w:ascii="宋体" w:hAnsi="宋体"/>
          <w:color w:val="auto"/>
          <w:highlight w:val="none"/>
        </w:rPr>
      </w:pPr>
      <w:r>
        <w:rPr>
          <w:rFonts w:hint="eastAsia" w:ascii="宋体" w:hAnsi="宋体"/>
          <w:color w:val="auto"/>
          <w:highlight w:val="none"/>
        </w:rPr>
        <w:t>2.1.</w:t>
      </w:r>
      <w:r>
        <w:rPr>
          <w:rFonts w:hint="eastAsia" w:ascii="宋体" w:hAnsi="宋体"/>
          <w:color w:val="auto"/>
          <w:highlight w:val="none"/>
          <w:lang w:val="en-US"/>
        </w:rPr>
        <w:t>2</w:t>
      </w:r>
      <w:r>
        <w:rPr>
          <w:rFonts w:hint="eastAsia" w:ascii="宋体" w:hAnsi="宋体"/>
          <w:color w:val="auto"/>
          <w:highlight w:val="none"/>
        </w:rPr>
        <w:t>报价方式：</w:t>
      </w:r>
    </w:p>
    <w:p>
      <w:pPr>
        <w:spacing w:line="400" w:lineRule="exact"/>
        <w:ind w:firstLine="411" w:firstLineChars="196"/>
        <w:rPr>
          <w:rFonts w:hint="eastAsia" w:ascii="宋体" w:hAnsi="宋体"/>
          <w:color w:val="auto"/>
          <w:highlight w:val="none"/>
        </w:rPr>
      </w:pPr>
      <w:r>
        <w:rPr>
          <w:rFonts w:hint="eastAsia" w:ascii="宋体" w:hAnsi="宋体"/>
          <w:color w:val="auto"/>
          <w:highlight w:val="none"/>
        </w:rPr>
        <w:t>（1）本工程报价采取工程量清单报价方式，标准执行《建设工程工程量清单计价规范》（GB50500-2013）和相关计量规范，及黑龙江省建设主管部门发布的现行有效的工程造价文件执行，</w:t>
      </w:r>
      <w:r>
        <w:rPr>
          <w:rFonts w:hint="eastAsia" w:ascii="宋体" w:hAnsi="宋体"/>
          <w:color w:val="auto"/>
          <w:highlight w:val="none"/>
          <w:lang w:val="en-US" w:eastAsia="zh-CN"/>
        </w:rPr>
        <w:t>供应商</w:t>
      </w:r>
      <w:r>
        <w:rPr>
          <w:rFonts w:hint="eastAsia" w:ascii="宋体" w:hAnsi="宋体"/>
          <w:color w:val="auto"/>
          <w:highlight w:val="none"/>
        </w:rPr>
        <w:t>的</w:t>
      </w:r>
      <w:r>
        <w:rPr>
          <w:rFonts w:hint="eastAsia" w:ascii="宋体" w:hAnsi="宋体"/>
          <w:color w:val="auto"/>
          <w:highlight w:val="none"/>
          <w:lang w:val="en-US" w:eastAsia="zh-CN"/>
        </w:rPr>
        <w:t>响应</w:t>
      </w:r>
      <w:r>
        <w:rPr>
          <w:rFonts w:hint="eastAsia" w:ascii="宋体" w:hAnsi="宋体"/>
          <w:color w:val="auto"/>
          <w:highlight w:val="none"/>
        </w:rPr>
        <w:t>报价，应是在本</w:t>
      </w:r>
      <w:r>
        <w:rPr>
          <w:rFonts w:hint="eastAsia" w:ascii="宋体" w:hAnsi="宋体"/>
          <w:color w:val="auto"/>
          <w:highlight w:val="none"/>
          <w:lang w:val="en-US" w:eastAsia="zh-CN"/>
        </w:rPr>
        <w:t>采购</w:t>
      </w:r>
      <w:r>
        <w:rPr>
          <w:rFonts w:hint="eastAsia" w:ascii="宋体" w:hAnsi="宋体"/>
          <w:color w:val="auto"/>
          <w:highlight w:val="none"/>
        </w:rPr>
        <w:t>文件规定的工期内，满足</w:t>
      </w:r>
      <w:r>
        <w:rPr>
          <w:rFonts w:hint="eastAsia" w:ascii="宋体" w:hAnsi="宋体"/>
          <w:color w:val="auto"/>
          <w:highlight w:val="none"/>
          <w:lang w:val="en-US" w:eastAsia="zh-CN"/>
        </w:rPr>
        <w:t>采购</w:t>
      </w:r>
      <w:r>
        <w:rPr>
          <w:rFonts w:hint="eastAsia" w:ascii="宋体" w:hAnsi="宋体"/>
          <w:color w:val="auto"/>
          <w:highlight w:val="none"/>
        </w:rPr>
        <w:t>文件约定的质量标准，在</w:t>
      </w:r>
      <w:r>
        <w:rPr>
          <w:rFonts w:hint="eastAsia" w:ascii="宋体" w:hAnsi="宋体"/>
          <w:color w:val="auto"/>
          <w:highlight w:val="none"/>
          <w:lang w:val="en-US" w:eastAsia="zh-CN"/>
        </w:rPr>
        <w:t>采购</w:t>
      </w:r>
      <w:r>
        <w:rPr>
          <w:rFonts w:hint="eastAsia" w:ascii="宋体" w:hAnsi="宋体"/>
          <w:color w:val="auto"/>
          <w:highlight w:val="none"/>
        </w:rPr>
        <w:t>文件规定的施工地点完成本工程项目</w:t>
      </w:r>
      <w:r>
        <w:rPr>
          <w:rFonts w:hint="eastAsia" w:ascii="宋体" w:hAnsi="宋体"/>
          <w:color w:val="auto"/>
          <w:highlight w:val="none"/>
          <w:lang w:val="en-US" w:eastAsia="zh-CN"/>
        </w:rPr>
        <w:t>采购</w:t>
      </w:r>
      <w:r>
        <w:rPr>
          <w:rFonts w:hint="eastAsia" w:ascii="宋体" w:hAnsi="宋体"/>
          <w:color w:val="auto"/>
          <w:highlight w:val="none"/>
        </w:rPr>
        <w:t>内容的全部费用。凡因</w:t>
      </w:r>
      <w:r>
        <w:rPr>
          <w:rFonts w:hint="eastAsia" w:ascii="宋体" w:hAnsi="宋体"/>
          <w:color w:val="auto"/>
          <w:highlight w:val="none"/>
          <w:lang w:val="en-US" w:eastAsia="zh-CN"/>
        </w:rPr>
        <w:t>供应商</w:t>
      </w:r>
      <w:r>
        <w:rPr>
          <w:rFonts w:hint="eastAsia" w:ascii="宋体" w:hAnsi="宋体"/>
          <w:color w:val="auto"/>
          <w:highlight w:val="none"/>
        </w:rPr>
        <w:t>的原因在</w:t>
      </w:r>
      <w:r>
        <w:rPr>
          <w:rFonts w:hint="eastAsia" w:ascii="宋体" w:hAnsi="宋体"/>
          <w:color w:val="auto"/>
          <w:highlight w:val="none"/>
          <w:lang w:val="en-US" w:eastAsia="zh-CN"/>
        </w:rPr>
        <w:t>响应</w:t>
      </w:r>
      <w:r>
        <w:rPr>
          <w:rFonts w:hint="eastAsia" w:ascii="宋体" w:hAnsi="宋体"/>
          <w:color w:val="auto"/>
          <w:highlight w:val="none"/>
        </w:rPr>
        <w:t>报价中未列的项目或遗漏项目，采购人将视为已包括在</w:t>
      </w:r>
      <w:r>
        <w:rPr>
          <w:rFonts w:hint="eastAsia" w:ascii="宋体" w:hAnsi="宋体"/>
          <w:color w:val="auto"/>
          <w:highlight w:val="none"/>
          <w:lang w:val="en-US" w:eastAsia="zh-CN"/>
        </w:rPr>
        <w:t>响应</w:t>
      </w:r>
      <w:r>
        <w:rPr>
          <w:rFonts w:hint="eastAsia" w:ascii="宋体" w:hAnsi="宋体"/>
          <w:color w:val="auto"/>
          <w:highlight w:val="none"/>
        </w:rPr>
        <w:t>报价中，在合同执行中将不予以考虑。除采购人组织的现场踏勘及答疑外，</w:t>
      </w:r>
      <w:r>
        <w:rPr>
          <w:rFonts w:hint="eastAsia" w:ascii="宋体" w:hAnsi="宋体"/>
          <w:color w:val="auto"/>
          <w:highlight w:val="none"/>
          <w:lang w:val="en-US" w:eastAsia="zh-CN"/>
        </w:rPr>
        <w:t>供应商</w:t>
      </w:r>
      <w:r>
        <w:rPr>
          <w:rFonts w:hint="eastAsia" w:ascii="宋体" w:hAnsi="宋体"/>
          <w:color w:val="auto"/>
          <w:highlight w:val="none"/>
        </w:rPr>
        <w:t>亦应自行了解工程所在地相关地质、地坪材料、工程位置及周边道路、存储空间、运输条件、装卸限制、交通管制，及学校有关规章制度，进场施工进入校区，严格按校保卫处进出校园管理收费规定执行，因施工进入校园所有车辆（注：包括拉运残土进、出施工现场、机械设备进、出现场、建筑材料进、出施工现场）进入校园收取车辆通行费用，采购人将不会另行增加费用。</w:t>
      </w:r>
    </w:p>
    <w:p>
      <w:pPr>
        <w:spacing w:line="400" w:lineRule="exact"/>
        <w:ind w:firstLine="411" w:firstLineChars="196"/>
        <w:rPr>
          <w:rFonts w:ascii="宋体" w:hAnsi="宋体"/>
          <w:color w:val="auto"/>
          <w:highlight w:val="none"/>
        </w:rPr>
      </w:pPr>
      <w:r>
        <w:rPr>
          <w:rFonts w:hint="eastAsia" w:ascii="宋体" w:hAnsi="宋体"/>
          <w:color w:val="auto"/>
          <w:highlight w:val="none"/>
        </w:rPr>
        <w:t>对施工产生的噪声、粉尘、施工污染采取的措施任何其他足以影响</w:t>
      </w:r>
      <w:r>
        <w:rPr>
          <w:rFonts w:hint="eastAsia" w:ascii="宋体" w:hAnsi="宋体"/>
          <w:color w:val="auto"/>
          <w:highlight w:val="none"/>
          <w:lang w:val="en-US" w:eastAsia="zh-CN"/>
        </w:rPr>
        <w:t>供应商</w:t>
      </w:r>
      <w:r>
        <w:rPr>
          <w:rFonts w:hint="eastAsia" w:ascii="宋体" w:hAnsi="宋体"/>
          <w:color w:val="auto"/>
          <w:highlight w:val="none"/>
        </w:rPr>
        <w:t>报价的情况，任何因忽视或误解而导致的索赔或工期延长申请将不被批准。</w:t>
      </w:r>
    </w:p>
    <w:p>
      <w:pPr>
        <w:spacing w:line="400" w:lineRule="exact"/>
        <w:ind w:firstLine="411" w:firstLineChars="196"/>
        <w:rPr>
          <w:rFonts w:ascii="宋体" w:hAnsi="宋体"/>
          <w:color w:val="auto"/>
          <w:highlight w:val="none"/>
        </w:rPr>
      </w:pPr>
      <w:r>
        <w:rPr>
          <w:rFonts w:hint="eastAsia" w:ascii="宋体" w:hAnsi="宋体"/>
          <w:color w:val="auto"/>
          <w:highlight w:val="none"/>
        </w:rPr>
        <w:t>（2）本工程的暂列金额归采购人所有，扣除合同价款调整所做支出后，余额归采购人所有。</w:t>
      </w:r>
      <w:r>
        <w:rPr>
          <w:rFonts w:hint="eastAsia" w:ascii="宋体" w:hAnsi="宋体"/>
          <w:b/>
          <w:bCs/>
          <w:color w:val="auto"/>
          <w:highlight w:val="none"/>
        </w:rPr>
        <w:t>暂列金额按采购人指定的金额计入投标报价，否则将被视为未实质响应</w:t>
      </w:r>
      <w:r>
        <w:rPr>
          <w:rFonts w:hint="eastAsia" w:ascii="宋体" w:hAnsi="宋体"/>
          <w:b/>
          <w:bCs/>
          <w:color w:val="auto"/>
          <w:highlight w:val="none"/>
          <w:lang w:val="en-US" w:eastAsia="zh-CN"/>
        </w:rPr>
        <w:t>采购</w:t>
      </w:r>
      <w:r>
        <w:rPr>
          <w:rFonts w:hint="eastAsia" w:ascii="宋体" w:hAnsi="宋体"/>
          <w:b/>
          <w:bCs/>
          <w:color w:val="auto"/>
          <w:highlight w:val="none"/>
        </w:rPr>
        <w:t>文件而导致</w:t>
      </w:r>
      <w:r>
        <w:rPr>
          <w:rFonts w:hint="eastAsia" w:ascii="宋体" w:hAnsi="宋体"/>
          <w:b/>
          <w:bCs/>
          <w:color w:val="auto"/>
          <w:highlight w:val="none"/>
          <w:lang w:val="en-US" w:eastAsia="zh-CN"/>
        </w:rPr>
        <w:t>响应无效</w:t>
      </w:r>
      <w:r>
        <w:rPr>
          <w:rFonts w:hint="eastAsia" w:ascii="宋体" w:hAnsi="宋体"/>
          <w:b/>
          <w:bCs/>
          <w:color w:val="auto"/>
          <w:highlight w:val="none"/>
        </w:rPr>
        <w:t>。</w:t>
      </w:r>
    </w:p>
    <w:p>
      <w:pPr>
        <w:spacing w:line="400" w:lineRule="exact"/>
        <w:ind w:firstLine="411" w:firstLineChars="196"/>
        <w:rPr>
          <w:rFonts w:ascii="宋体" w:hAnsi="宋体"/>
          <w:b/>
          <w:color w:val="auto"/>
          <w:highlight w:val="none"/>
        </w:rPr>
      </w:pPr>
      <w:r>
        <w:rPr>
          <w:rFonts w:hint="eastAsia" w:ascii="宋体" w:hAnsi="宋体"/>
          <w:color w:val="auto"/>
          <w:highlight w:val="none"/>
        </w:rPr>
        <w:t>（3）暂估价材料必须由建设方组织认质、认价，满足建设方要求才允许材料进场，否则造成损失建设方概不负责。</w:t>
      </w:r>
      <w:r>
        <w:rPr>
          <w:rFonts w:hint="eastAsia"/>
          <w:color w:val="auto"/>
          <w:highlight w:val="none"/>
        </w:rPr>
        <w:t xml:space="preserve">                                                 </w:t>
      </w:r>
    </w:p>
    <w:p>
      <w:pPr>
        <w:spacing w:beforeLines="100" w:afterLines="80" w:line="380" w:lineRule="exact"/>
        <w:rPr>
          <w:rFonts w:ascii="黑体" w:hAnsi="宋体" w:eastAsia="黑体"/>
          <w:b/>
          <w:color w:val="auto"/>
          <w:sz w:val="24"/>
          <w:highlight w:val="none"/>
        </w:rPr>
      </w:pPr>
      <w:r>
        <w:rPr>
          <w:rFonts w:hint="eastAsia" w:ascii="黑体" w:eastAsia="黑体"/>
          <w:b/>
          <w:color w:val="auto"/>
          <w:sz w:val="24"/>
          <w:highlight w:val="none"/>
        </w:rPr>
        <w:t>3、</w:t>
      </w:r>
      <w:r>
        <w:rPr>
          <w:rFonts w:hint="eastAsia" w:ascii="黑体" w:hAnsi="宋体" w:eastAsia="黑体"/>
          <w:b/>
          <w:color w:val="auto"/>
          <w:sz w:val="24"/>
          <w:highlight w:val="none"/>
        </w:rPr>
        <w:t>工程结算方式</w:t>
      </w:r>
    </w:p>
    <w:p>
      <w:pPr>
        <w:pStyle w:val="6"/>
        <w:numPr>
          <w:ilvl w:val="0"/>
          <w:numId w:val="31"/>
        </w:numPr>
        <w:rPr>
          <w:rFonts w:ascii="宋体" w:hAnsi="宋体"/>
          <w:color w:val="auto"/>
          <w:highlight w:val="none"/>
        </w:rPr>
      </w:pPr>
      <w:r>
        <w:rPr>
          <w:rFonts w:hint="eastAsia" w:ascii="宋体" w:hAnsi="宋体"/>
          <w:color w:val="auto"/>
          <w:highlight w:val="none"/>
        </w:rPr>
        <w:t>总的原则</w:t>
      </w:r>
    </w:p>
    <w:p>
      <w:pPr>
        <w:pStyle w:val="6"/>
        <w:rPr>
          <w:rFonts w:hint="eastAsia" w:ascii="宋体" w:hAnsi="宋体"/>
          <w:color w:val="auto"/>
          <w:highlight w:val="none"/>
        </w:rPr>
      </w:pPr>
      <w:r>
        <w:rPr>
          <w:rFonts w:hint="eastAsia" w:ascii="宋体" w:hAnsi="宋体"/>
          <w:color w:val="auto"/>
          <w:highlight w:val="none"/>
        </w:rPr>
        <w:t>1、本工程采取工程量清单计价结算方式，合同价格形式：单价合同。</w:t>
      </w:r>
    </w:p>
    <w:p>
      <w:pPr>
        <w:pStyle w:val="6"/>
        <w:rPr>
          <w:rFonts w:hint="eastAsia" w:ascii="宋体" w:hAnsi="宋体"/>
          <w:color w:val="auto"/>
          <w:highlight w:val="none"/>
        </w:rPr>
      </w:pPr>
      <w:r>
        <w:rPr>
          <w:rFonts w:hint="eastAsia" w:ascii="宋体" w:hAnsi="宋体"/>
          <w:color w:val="auto"/>
          <w:highlight w:val="none"/>
        </w:rPr>
        <w:t>2、本工程执行单项工程项目工程结算方式，即根据招标文件、招标补充文件、投标文件、施工合同及现场实际完成合格工程量，进行工程结算。</w:t>
      </w:r>
    </w:p>
    <w:p>
      <w:pPr>
        <w:pStyle w:val="6"/>
        <w:rPr>
          <w:rFonts w:hint="eastAsia" w:ascii="宋体" w:hAnsi="宋体"/>
          <w:color w:val="auto"/>
          <w:highlight w:val="none"/>
        </w:rPr>
      </w:pPr>
      <w:r>
        <w:rPr>
          <w:rFonts w:hint="eastAsia" w:ascii="宋体" w:hAnsi="宋体"/>
          <w:color w:val="auto"/>
          <w:highlight w:val="none"/>
        </w:rPr>
        <w:t>3、人工费调整：不调整</w:t>
      </w:r>
    </w:p>
    <w:p>
      <w:pPr>
        <w:pStyle w:val="6"/>
        <w:rPr>
          <w:rFonts w:hint="eastAsia" w:ascii="宋体" w:hAnsi="宋体"/>
          <w:color w:val="auto"/>
          <w:highlight w:val="none"/>
        </w:rPr>
      </w:pPr>
      <w:r>
        <w:rPr>
          <w:rFonts w:hint="eastAsia" w:ascii="宋体" w:hAnsi="宋体"/>
          <w:color w:val="auto"/>
          <w:highlight w:val="none"/>
        </w:rPr>
        <w:t>4、材料因物价涨落或政策性变动引起的单价调整：不调整</w:t>
      </w:r>
    </w:p>
    <w:p>
      <w:pPr>
        <w:pStyle w:val="6"/>
        <w:rPr>
          <w:rFonts w:ascii="宋体" w:hAnsi="宋体"/>
          <w:color w:val="auto"/>
          <w:highlight w:val="none"/>
        </w:rPr>
      </w:pPr>
      <w:r>
        <w:rPr>
          <w:rFonts w:hint="eastAsia" w:ascii="宋体" w:hAnsi="宋体"/>
          <w:color w:val="auto"/>
          <w:highlight w:val="none"/>
        </w:rPr>
        <w:t>5、机械费：不调差。</w:t>
      </w:r>
    </w:p>
    <w:p>
      <w:pPr>
        <w:pStyle w:val="6"/>
        <w:numPr>
          <w:ilvl w:val="0"/>
          <w:numId w:val="31"/>
        </w:numPr>
        <w:rPr>
          <w:rFonts w:ascii="宋体" w:hAnsi="宋体"/>
          <w:color w:val="auto"/>
          <w:highlight w:val="none"/>
        </w:rPr>
      </w:pPr>
      <w:r>
        <w:rPr>
          <w:rFonts w:hint="eastAsia" w:ascii="宋体" w:hAnsi="宋体"/>
          <w:color w:val="auto"/>
          <w:highlight w:val="none"/>
        </w:rPr>
        <w:t>分部分项工程结算</w:t>
      </w:r>
    </w:p>
    <w:p>
      <w:pPr>
        <w:pStyle w:val="6"/>
        <w:rPr>
          <w:rFonts w:hint="eastAsia" w:ascii="宋体" w:hAnsi="宋体"/>
          <w:color w:val="auto"/>
          <w:highlight w:val="none"/>
        </w:rPr>
      </w:pPr>
      <w:r>
        <w:rPr>
          <w:rFonts w:hint="eastAsia" w:ascii="宋体" w:hAnsi="宋体"/>
          <w:color w:val="auto"/>
          <w:highlight w:val="none"/>
        </w:rPr>
        <w:t>1、综合单价执行中标价，不随工程量的调整而调整。</w:t>
      </w:r>
    </w:p>
    <w:p>
      <w:pPr>
        <w:pStyle w:val="6"/>
        <w:rPr>
          <w:rFonts w:hint="eastAsia" w:ascii="宋体" w:hAnsi="宋体"/>
          <w:color w:val="auto"/>
          <w:highlight w:val="none"/>
        </w:rPr>
      </w:pPr>
      <w:r>
        <w:rPr>
          <w:rFonts w:hint="eastAsia" w:ascii="宋体" w:hAnsi="宋体"/>
          <w:color w:val="auto"/>
          <w:highlight w:val="none"/>
        </w:rPr>
        <w:t>2、工程量清单漏项、设计变更及现场签证结算</w:t>
      </w:r>
    </w:p>
    <w:p>
      <w:pPr>
        <w:pStyle w:val="6"/>
        <w:rPr>
          <w:rFonts w:hint="eastAsia" w:ascii="宋体" w:hAnsi="宋体"/>
          <w:color w:val="auto"/>
          <w:highlight w:val="none"/>
        </w:rPr>
      </w:pPr>
      <w:r>
        <w:rPr>
          <w:rFonts w:hint="eastAsia" w:ascii="宋体" w:hAnsi="宋体"/>
          <w:color w:val="auto"/>
          <w:highlight w:val="none"/>
        </w:rPr>
        <w:t>（1）工程量按实际发生并经采购人计量认定的工程量为准，计算规则执行《建设工程工程量清单计价规范》和相关计量规范；</w:t>
      </w:r>
    </w:p>
    <w:p>
      <w:pPr>
        <w:pStyle w:val="6"/>
        <w:rPr>
          <w:rFonts w:hint="eastAsia" w:ascii="宋体" w:hAnsi="宋体"/>
          <w:color w:val="auto"/>
          <w:highlight w:val="none"/>
        </w:rPr>
      </w:pPr>
      <w:r>
        <w:rPr>
          <w:rFonts w:hint="eastAsia" w:ascii="宋体" w:hAnsi="宋体"/>
          <w:color w:val="auto"/>
          <w:highlight w:val="none"/>
        </w:rPr>
        <w:t>（2）单价按如下方式确定：</w:t>
      </w:r>
    </w:p>
    <w:p>
      <w:pPr>
        <w:pStyle w:val="6"/>
        <w:rPr>
          <w:rFonts w:hint="eastAsia" w:ascii="宋体" w:hAnsi="宋体"/>
          <w:color w:val="auto"/>
          <w:highlight w:val="none"/>
        </w:rPr>
      </w:pPr>
      <w:r>
        <w:rPr>
          <w:rFonts w:hint="eastAsia" w:ascii="宋体" w:hAnsi="宋体"/>
          <w:color w:val="auto"/>
          <w:highlight w:val="none"/>
        </w:rPr>
        <w:t>·采购人给出的工程量清单中有相同项目，按</w:t>
      </w:r>
      <w:r>
        <w:rPr>
          <w:rFonts w:hint="eastAsia" w:ascii="宋体" w:hAnsi="宋体"/>
          <w:color w:val="auto"/>
          <w:highlight w:val="none"/>
          <w:lang w:val="en-US" w:eastAsia="zh-CN"/>
        </w:rPr>
        <w:t>供应商</w:t>
      </w:r>
      <w:r>
        <w:rPr>
          <w:rFonts w:hint="eastAsia" w:ascii="宋体" w:hAnsi="宋体"/>
          <w:color w:val="auto"/>
          <w:highlight w:val="none"/>
        </w:rPr>
        <w:t>所报清单的综合单价执行；</w:t>
      </w:r>
    </w:p>
    <w:p>
      <w:pPr>
        <w:pStyle w:val="6"/>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响应</w:t>
      </w:r>
      <w:r>
        <w:rPr>
          <w:rFonts w:hint="eastAsia" w:ascii="宋体" w:hAnsi="宋体"/>
          <w:color w:val="auto"/>
          <w:highlight w:val="none"/>
        </w:rPr>
        <w:t>文件中有类似于该部分的综合单价，参照此综合单价确定变更单价。采购人给出的工程量清单中有类似项目，以此为基础，施工单位提交变更综合单价，由采购人审核确认。</w:t>
      </w:r>
    </w:p>
    <w:p>
      <w:pPr>
        <w:pStyle w:val="6"/>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响应</w:t>
      </w:r>
      <w:r>
        <w:rPr>
          <w:rFonts w:hint="eastAsia" w:ascii="宋体" w:hAnsi="宋体"/>
          <w:color w:val="auto"/>
          <w:highlight w:val="none"/>
        </w:rPr>
        <w:t>报价中没有相同或类似项目的，综合单价确定依据包括《建设工程工程量清单计价规范GB50500-2013》和相关计量规范，及本</w:t>
      </w:r>
      <w:r>
        <w:rPr>
          <w:rFonts w:hint="eastAsia" w:ascii="宋体" w:hAnsi="宋体"/>
          <w:color w:val="auto"/>
          <w:highlight w:val="none"/>
          <w:lang w:val="en-US" w:eastAsia="zh-CN"/>
        </w:rPr>
        <w:t>采购</w:t>
      </w:r>
      <w:r>
        <w:rPr>
          <w:rFonts w:hint="eastAsia" w:ascii="宋体" w:hAnsi="宋体"/>
          <w:color w:val="auto"/>
          <w:highlight w:val="none"/>
        </w:rPr>
        <w:t>文件发布之日起，黑龙江省建设主管部门发布的工程造价文件执行，综合单价中，企业管理费费率按下限计取、利润费率按下限计取，工程风险费不计取，材料价格不得高于发生月份造价信息价格，不得使用造价信息厂家报价。</w:t>
      </w:r>
    </w:p>
    <w:p>
      <w:pPr>
        <w:pStyle w:val="6"/>
        <w:rPr>
          <w:rFonts w:ascii="宋体" w:hAnsi="宋体"/>
          <w:color w:val="auto"/>
          <w:highlight w:val="none"/>
        </w:rPr>
      </w:pPr>
      <w:r>
        <w:rPr>
          <w:rFonts w:hint="eastAsia" w:ascii="宋体" w:hAnsi="宋体"/>
          <w:color w:val="auto"/>
          <w:highlight w:val="none"/>
        </w:rPr>
        <w:t>·清单中已给出、但实际未发生的项目，结算时扣除。</w:t>
      </w:r>
    </w:p>
    <w:p>
      <w:pPr>
        <w:pStyle w:val="6"/>
        <w:numPr>
          <w:ilvl w:val="0"/>
          <w:numId w:val="31"/>
        </w:numPr>
        <w:rPr>
          <w:rFonts w:ascii="宋体" w:hAnsi="宋体"/>
          <w:color w:val="auto"/>
          <w:highlight w:val="none"/>
        </w:rPr>
      </w:pPr>
      <w:r>
        <w:rPr>
          <w:rFonts w:hint="eastAsia" w:ascii="宋体" w:hAnsi="宋体"/>
          <w:color w:val="auto"/>
          <w:highlight w:val="none"/>
        </w:rPr>
        <w:t>措施费结算</w:t>
      </w:r>
    </w:p>
    <w:p>
      <w:pPr>
        <w:pStyle w:val="6"/>
        <w:rPr>
          <w:rFonts w:hint="eastAsia" w:ascii="宋体" w:hAnsi="宋体"/>
          <w:color w:val="auto"/>
          <w:highlight w:val="none"/>
        </w:rPr>
      </w:pPr>
      <w:r>
        <w:rPr>
          <w:rFonts w:hint="eastAsia" w:ascii="宋体" w:hAnsi="宋体"/>
          <w:color w:val="auto"/>
          <w:highlight w:val="none"/>
        </w:rPr>
        <w:t>1、凡施工组织设计中已列出的方案或措施，但费用报价中未含者，视为该费用已包含在所报的分部分项综合单价或其他措施费中，结算时不再调整。</w:t>
      </w:r>
      <w:r>
        <w:rPr>
          <w:rFonts w:hint="eastAsia" w:ascii="宋体" w:hAnsi="宋体"/>
          <w:color w:val="auto"/>
          <w:highlight w:val="none"/>
          <w:lang w:val="en-US" w:eastAsia="zh-CN"/>
        </w:rPr>
        <w:t>供应商</w:t>
      </w:r>
      <w:r>
        <w:rPr>
          <w:rFonts w:hint="eastAsia" w:ascii="宋体" w:hAnsi="宋体"/>
          <w:color w:val="auto"/>
          <w:highlight w:val="none"/>
        </w:rPr>
        <w:t>应对技术措施方案审慎研究，如</w:t>
      </w:r>
      <w:r>
        <w:rPr>
          <w:rFonts w:hint="eastAsia" w:ascii="宋体" w:hAnsi="宋体"/>
          <w:color w:val="auto"/>
          <w:highlight w:val="none"/>
          <w:lang w:val="en-US" w:eastAsia="zh-CN"/>
        </w:rPr>
        <w:t>成交</w:t>
      </w:r>
      <w:r>
        <w:rPr>
          <w:rFonts w:hint="eastAsia" w:ascii="宋体" w:hAnsi="宋体"/>
          <w:color w:val="auto"/>
          <w:highlight w:val="none"/>
        </w:rPr>
        <w:t>，在施工期间，采购人等管理部门在检查中发现中标单位采取的措施不当，不能满足工程质量、进度、安全、文明施工要求时，采购人有权要求中标单位改正，以达到标准为止，但修正的措施费部分不予调整（如发生经采购人书面审批确认的方案调整除外）。</w:t>
      </w:r>
    </w:p>
    <w:p>
      <w:pPr>
        <w:pStyle w:val="6"/>
        <w:rPr>
          <w:rFonts w:hint="eastAsia" w:ascii="宋体" w:hAnsi="宋体"/>
          <w:color w:val="auto"/>
          <w:highlight w:val="none"/>
        </w:rPr>
      </w:pPr>
      <w:r>
        <w:rPr>
          <w:rFonts w:hint="eastAsia" w:ascii="宋体" w:hAnsi="宋体"/>
          <w:color w:val="auto"/>
          <w:highlight w:val="none"/>
        </w:rPr>
        <w:t>2、单价措施项目费，按甲乙双方最终确认的工程量结算，综合单价执行中标价，不随工程量的调整而调整。</w:t>
      </w:r>
    </w:p>
    <w:p>
      <w:pPr>
        <w:pStyle w:val="6"/>
        <w:rPr>
          <w:rFonts w:hint="eastAsia" w:ascii="宋体" w:hAnsi="宋体"/>
          <w:color w:val="auto"/>
          <w:highlight w:val="none"/>
        </w:rPr>
      </w:pPr>
      <w:r>
        <w:rPr>
          <w:rFonts w:hint="eastAsia" w:ascii="宋体" w:hAnsi="宋体"/>
          <w:color w:val="auto"/>
          <w:highlight w:val="none"/>
        </w:rPr>
        <w:t>3、有重大变更时，措施费由甲乙双方商定后按实际调整。</w:t>
      </w:r>
    </w:p>
    <w:p>
      <w:pPr>
        <w:pStyle w:val="6"/>
        <w:rPr>
          <w:rFonts w:ascii="宋体" w:hAnsi="宋体"/>
          <w:color w:val="auto"/>
          <w:highlight w:val="none"/>
        </w:rPr>
      </w:pPr>
      <w:r>
        <w:rPr>
          <w:rFonts w:hint="eastAsia" w:ascii="宋体" w:hAnsi="宋体"/>
          <w:color w:val="auto"/>
          <w:highlight w:val="none"/>
        </w:rPr>
        <w:t>4、经采购人书面审批确认的变更施工方案时，措施费由甲乙双方商定后按实际调整。</w:t>
      </w:r>
    </w:p>
    <w:p>
      <w:pPr>
        <w:pStyle w:val="6"/>
        <w:numPr>
          <w:ilvl w:val="0"/>
          <w:numId w:val="31"/>
        </w:numPr>
        <w:rPr>
          <w:rFonts w:ascii="宋体" w:hAnsi="宋体"/>
          <w:color w:val="auto"/>
          <w:highlight w:val="none"/>
        </w:rPr>
      </w:pPr>
      <w:r>
        <w:rPr>
          <w:rFonts w:hint="eastAsia" w:ascii="宋体" w:hAnsi="宋体"/>
          <w:color w:val="auto"/>
          <w:highlight w:val="none"/>
        </w:rPr>
        <w:t>安全文明施工费结算</w:t>
      </w:r>
    </w:p>
    <w:p>
      <w:pPr>
        <w:pStyle w:val="6"/>
        <w:rPr>
          <w:rFonts w:ascii="宋体" w:hAnsi="宋体"/>
          <w:color w:val="auto"/>
          <w:highlight w:val="none"/>
        </w:rPr>
      </w:pPr>
      <w:r>
        <w:rPr>
          <w:rFonts w:hint="eastAsia" w:ascii="宋体" w:hAnsi="宋体"/>
          <w:color w:val="auto"/>
          <w:highlight w:val="none"/>
        </w:rPr>
        <w:t>按照黑龙江省建设行政主管部门颁发的相关文件执行。</w:t>
      </w:r>
    </w:p>
    <w:p>
      <w:pPr>
        <w:pStyle w:val="6"/>
        <w:numPr>
          <w:ilvl w:val="0"/>
          <w:numId w:val="31"/>
        </w:numPr>
        <w:rPr>
          <w:rFonts w:ascii="宋体" w:hAnsi="宋体"/>
          <w:color w:val="auto"/>
          <w:highlight w:val="none"/>
        </w:rPr>
      </w:pPr>
      <w:r>
        <w:rPr>
          <w:rFonts w:hint="eastAsia" w:ascii="宋体" w:hAnsi="宋体"/>
          <w:color w:val="auto"/>
          <w:highlight w:val="none"/>
        </w:rPr>
        <w:t>规费及税金结算</w:t>
      </w:r>
    </w:p>
    <w:p>
      <w:pPr>
        <w:pStyle w:val="6"/>
        <w:rPr>
          <w:rFonts w:ascii="宋体" w:hAnsi="宋体"/>
          <w:color w:val="auto"/>
          <w:highlight w:val="none"/>
        </w:rPr>
      </w:pPr>
      <w:r>
        <w:rPr>
          <w:rFonts w:hint="eastAsia" w:ascii="宋体" w:hAnsi="宋体"/>
          <w:color w:val="auto"/>
          <w:highlight w:val="none"/>
        </w:rPr>
        <w:t>按照黑龙江省建设行政主管部门颁发的相关文件执行。</w:t>
      </w:r>
    </w:p>
    <w:p>
      <w:pPr>
        <w:pStyle w:val="6"/>
        <w:numPr>
          <w:ilvl w:val="0"/>
          <w:numId w:val="31"/>
        </w:numPr>
        <w:rPr>
          <w:rFonts w:ascii="宋体" w:hAnsi="宋体"/>
          <w:color w:val="auto"/>
          <w:highlight w:val="none"/>
        </w:rPr>
      </w:pPr>
      <w:r>
        <w:rPr>
          <w:rFonts w:hint="eastAsia" w:ascii="宋体" w:hAnsi="宋体"/>
          <w:color w:val="auto"/>
          <w:highlight w:val="none"/>
        </w:rPr>
        <w:t>结算具体要求</w:t>
      </w:r>
    </w:p>
    <w:p>
      <w:pPr>
        <w:ind w:firstLine="420" w:firstLineChars="200"/>
        <w:rPr>
          <w:rFonts w:hint="eastAsia" w:ascii="宋体" w:hAnsi="宋体"/>
          <w:color w:val="auto"/>
          <w:highlight w:val="none"/>
        </w:rPr>
      </w:pPr>
      <w:r>
        <w:rPr>
          <w:rFonts w:hint="eastAsia" w:ascii="宋体" w:hAnsi="宋体"/>
          <w:color w:val="auto"/>
          <w:highlight w:val="none"/>
        </w:rPr>
        <w:t>1.合同工程完工后，施工单位应按照该工程合同（双方签字盖章确认）中有关的结算要求汇总编制完成竣工结算文件，并应在提交竣工验收单的同时准备好结算初审材料。</w:t>
      </w:r>
    </w:p>
    <w:p>
      <w:pPr>
        <w:ind w:firstLine="420" w:firstLineChars="200"/>
        <w:rPr>
          <w:rFonts w:hint="eastAsia" w:ascii="宋体" w:hAnsi="宋体"/>
          <w:color w:val="auto"/>
          <w:highlight w:val="none"/>
        </w:rPr>
      </w:pPr>
      <w:r>
        <w:rPr>
          <w:rFonts w:hint="eastAsia" w:ascii="宋体" w:hAnsi="宋体"/>
          <w:color w:val="auto"/>
          <w:highlight w:val="none"/>
        </w:rPr>
        <w:t>2.工程竣工验收后10日历天内进行结算初审，核对初审材料是否按照要求准备齐全，初审材料包括：结算广联达电子版本、结算纸质版本；竣工图纸CAD版本、竣工图纸会签版本（施工单位、监理、采购人会签，竣工章）、</w:t>
      </w:r>
      <w:r>
        <w:rPr>
          <w:rFonts w:hint="eastAsia" w:ascii="宋体" w:hAnsi="宋体"/>
          <w:color w:val="auto"/>
          <w:highlight w:val="none"/>
          <w:lang w:val="en-US" w:eastAsia="zh-CN"/>
        </w:rPr>
        <w:t>响应</w:t>
      </w:r>
      <w:r>
        <w:rPr>
          <w:rFonts w:hint="eastAsia" w:ascii="宋体" w:hAnsi="宋体"/>
          <w:color w:val="auto"/>
          <w:highlight w:val="none"/>
        </w:rPr>
        <w:t>文件电子版、内业资料（可不组卷，但内业中要求的材料要准备齐全）；初审后3日历天内，施工单位对初审材料进行补充；10日历天内未完成结算初审或初审后3日历天内未将初审材料补充完整，一次性扣合同额的2‰作为违约金，此外因延期而产生的罚款应按照延期的天数乘以合同额的1‰进行累计计算。已延期的经工程管理部结算工程师催告后14日历天内仍未提交或没有明确答复的，工程管理部结算工程师有权根据已有的材料编制竣工结算文件，作为办理竣工结算和支付结算款的依据。</w:t>
      </w:r>
    </w:p>
    <w:p>
      <w:pPr>
        <w:ind w:firstLine="420" w:firstLineChars="200"/>
        <w:rPr>
          <w:rFonts w:hint="eastAsia" w:ascii="宋体" w:hAnsi="宋体"/>
          <w:color w:val="auto"/>
          <w:highlight w:val="none"/>
        </w:rPr>
      </w:pPr>
      <w:r>
        <w:rPr>
          <w:rFonts w:hint="eastAsia" w:ascii="宋体" w:hAnsi="宋体"/>
          <w:color w:val="auto"/>
          <w:highlight w:val="none"/>
        </w:rPr>
        <w:t>3.结算材料准备齐全、完整后进行结算复审，施工单位需按工程管理部相关要求配合经济工程师进行工程结算，有效次数不应小于2次，经经济工程师核实，认为施工单位应补充材料或修改结算文件的，须在确认之日起5日历天内完成；结算审核完成后，无争议部分结算和争议部分审核结果的意见均须在3日历天内完成；工程管理部结算会签后，施工单位须在3日历天内上报内业完整资料；超过规定时间，经工程管理部经济工程师催告后7日历天内仍未提交或没有明确答复的，一次性扣合同款的2‰作为违约金，此外因延期而产生的罚款应按照延期的天数乘以合同额的1‰进行累计计算，同时工程管理部经济工程师有权根据已有的材料编制竣工结算文件，作为办理竣工结算和支付结算款的依据，</w:t>
      </w:r>
    </w:p>
    <w:p>
      <w:pPr>
        <w:ind w:firstLine="420" w:firstLineChars="200"/>
        <w:rPr>
          <w:rFonts w:hint="eastAsia" w:ascii="宋体" w:hAnsi="宋体"/>
          <w:color w:val="auto"/>
          <w:highlight w:val="none"/>
        </w:rPr>
      </w:pPr>
      <w:r>
        <w:rPr>
          <w:rFonts w:hint="eastAsia" w:ascii="宋体" w:hAnsi="宋体"/>
          <w:color w:val="auto"/>
          <w:highlight w:val="none"/>
        </w:rPr>
        <w:t>1）合同金额200万元以下，结算金额不超合同金额1.1倍的工程项目，审核周期为30日历天，工程量核定不超过第24日历天。</w:t>
      </w:r>
    </w:p>
    <w:p>
      <w:pPr>
        <w:ind w:firstLine="420" w:firstLineChars="200"/>
        <w:rPr>
          <w:rFonts w:hint="eastAsia" w:ascii="宋体" w:hAnsi="宋体"/>
          <w:color w:val="auto"/>
          <w:highlight w:val="none"/>
        </w:rPr>
      </w:pPr>
      <w:r>
        <w:rPr>
          <w:rFonts w:hint="eastAsia" w:ascii="宋体" w:hAnsi="宋体"/>
          <w:color w:val="auto"/>
          <w:highlight w:val="none"/>
        </w:rPr>
        <w:t>2）合同金额200—1000万元以下，结算金额不超合同金额1.1倍的工程项目，审核周期为60日历天，工程量核定不超过第50日历天。</w:t>
      </w:r>
    </w:p>
    <w:p>
      <w:pPr>
        <w:ind w:firstLine="420" w:firstLineChars="200"/>
        <w:rPr>
          <w:rFonts w:hint="eastAsia" w:ascii="宋体" w:hAnsi="宋体"/>
          <w:color w:val="auto"/>
          <w:highlight w:val="none"/>
        </w:rPr>
      </w:pPr>
      <w:r>
        <w:rPr>
          <w:rFonts w:hint="eastAsia" w:ascii="宋体" w:hAnsi="宋体"/>
          <w:color w:val="auto"/>
          <w:highlight w:val="none"/>
        </w:rPr>
        <w:t>3）合同金额1000万元以上，结算金额不超合同金额1.1倍的工程项目，审核周期为90日历天，工程量核定不超过第70日历天。</w:t>
      </w:r>
    </w:p>
    <w:p>
      <w:pPr>
        <w:ind w:firstLine="420" w:firstLineChars="200"/>
        <w:rPr>
          <w:rFonts w:ascii="宋体" w:hAnsi="宋体"/>
          <w:color w:val="auto"/>
          <w:highlight w:val="none"/>
        </w:rPr>
      </w:pPr>
      <w:r>
        <w:rPr>
          <w:rFonts w:hint="eastAsia" w:ascii="宋体" w:hAnsi="宋体"/>
          <w:color w:val="auto"/>
          <w:highlight w:val="none"/>
        </w:rPr>
        <w:t>以上环节中如施工单位任一环节中断配合，则从该环节起始时间和周期重新计算，但因施工单位的原因导致工程结算在规定的时间内未完成核对，视为已核对完成部分的金额为该工程的结算金额。每次结算的审核，施工单位审核人（需施工单位提供法人身份证复印件加盖公章、此项目对结算人员的委托书加盖公章，施工单位结算人员的身份证复印件加盖公章）需在工程项目结算审核签到表上填写相关信息。结算工程师要检查填写的内容是否真实，依据记录对施工单位进行处罚，所罚资金从工程尾款扣除，作为工程结余资金，投入其他维修改造工程。</w:t>
      </w:r>
    </w:p>
    <w:p>
      <w:pPr>
        <w:pStyle w:val="6"/>
        <w:numPr>
          <w:ilvl w:val="0"/>
          <w:numId w:val="31"/>
        </w:numPr>
        <w:rPr>
          <w:rFonts w:ascii="宋体" w:hAnsi="宋体"/>
          <w:color w:val="auto"/>
          <w:highlight w:val="none"/>
        </w:rPr>
      </w:pPr>
      <w:r>
        <w:rPr>
          <w:rFonts w:hint="eastAsia" w:ascii="宋体" w:hAnsi="宋体"/>
          <w:color w:val="auto"/>
          <w:highlight w:val="none"/>
        </w:rPr>
        <w:t>结算其他要求</w:t>
      </w:r>
    </w:p>
    <w:p>
      <w:pPr>
        <w:tabs>
          <w:tab w:val="left" w:pos="720"/>
          <w:tab w:val="left" w:pos="900"/>
          <w:tab w:val="left" w:pos="966"/>
          <w:tab w:val="left" w:pos="1107"/>
        </w:tabs>
        <w:spacing w:line="360" w:lineRule="auto"/>
        <w:ind w:firstLine="420" w:firstLineChars="200"/>
        <w:rPr>
          <w:rFonts w:hint="eastAsia" w:ascii="宋体" w:hAnsi="宋体"/>
          <w:color w:val="auto"/>
          <w:highlight w:val="none"/>
        </w:rPr>
      </w:pPr>
      <w:r>
        <w:rPr>
          <w:rFonts w:hint="eastAsia" w:ascii="微软雅黑" w:hAnsi="微软雅黑"/>
          <w:color w:val="auto"/>
          <w:szCs w:val="21"/>
          <w:highlight w:val="none"/>
          <w:lang w:val="en-US" w:eastAsia="zh-CN"/>
        </w:rPr>
        <w:t>施工单位对修缮工程项目结算一级审核核减率超过15%或在一结算级审核过程中有拖延结算日期扣款，总务处将在哈工大网页上对施工单位予以通报，并书面通知招标办。对被通报二次以上的施工单位，并列入《哈尔滨工业大学工程类采购限制名单》。</w:t>
      </w:r>
    </w:p>
    <w:p>
      <w:pPr>
        <w:tabs>
          <w:tab w:val="left" w:pos="720"/>
          <w:tab w:val="left" w:pos="900"/>
          <w:tab w:val="left" w:pos="966"/>
          <w:tab w:val="left" w:pos="1107"/>
        </w:tabs>
        <w:spacing w:line="360" w:lineRule="auto"/>
        <w:ind w:firstLine="420" w:firstLineChars="200"/>
        <w:rPr>
          <w:rFonts w:ascii="宋体" w:hAnsi="宋体"/>
          <w:color w:val="auto"/>
          <w:highlight w:val="none"/>
        </w:rPr>
      </w:pPr>
      <w:r>
        <w:rPr>
          <w:rFonts w:hint="eastAsia" w:ascii="微软雅黑" w:hAnsi="微软雅黑"/>
          <w:color w:val="auto"/>
          <w:szCs w:val="21"/>
          <w:highlight w:val="none"/>
          <w:lang w:val="en-US" w:eastAsia="zh-CN"/>
        </w:rPr>
        <w:t>施工单位对修缮工程项目拒绝配合总务处工程管理部结算审核的，总务处将在哈工大网页上对施工单位予以通报，并列入《哈尔滨工业大学工程类采购限制名单》。</w:t>
      </w:r>
    </w:p>
    <w:p>
      <w:pPr>
        <w:pStyle w:val="336"/>
        <w:ind w:left="420" w:firstLine="0" w:firstLineChars="0"/>
        <w:rPr>
          <w:color w:val="auto"/>
          <w:highlight w:val="none"/>
        </w:rPr>
      </w:pPr>
    </w:p>
    <w:p>
      <w:pPr>
        <w:pStyle w:val="336"/>
        <w:ind w:left="420" w:firstLine="0" w:firstLineChars="0"/>
        <w:rPr>
          <w:color w:val="auto"/>
          <w:highlight w:val="none"/>
        </w:rPr>
      </w:pPr>
    </w:p>
    <w:p>
      <w:pPr>
        <w:pStyle w:val="336"/>
        <w:ind w:left="420" w:firstLine="0" w:firstLineChars="0"/>
        <w:rPr>
          <w:color w:val="auto"/>
          <w:highlight w:val="none"/>
        </w:rPr>
        <w:sectPr>
          <w:pgSz w:w="11907" w:h="16839"/>
          <w:pgMar w:top="1928" w:right="1531" w:bottom="1871" w:left="1531" w:header="1148" w:footer="709" w:gutter="0"/>
          <w:cols w:space="720" w:num="1"/>
          <w:docGrid w:linePitch="360" w:charSpace="0"/>
        </w:sectPr>
      </w:pPr>
    </w:p>
    <w:p>
      <w:pPr>
        <w:pStyle w:val="336"/>
        <w:ind w:left="420" w:firstLine="0" w:firstLineChars="0"/>
        <w:rPr>
          <w:color w:val="auto"/>
          <w:highlight w:val="none"/>
        </w:rPr>
      </w:pPr>
    </w:p>
    <w:p>
      <w:pPr>
        <w:pStyle w:val="5"/>
        <w:keepNext/>
        <w:keepLines/>
        <w:widowControl w:val="0"/>
        <w:numPr>
          <w:ilvl w:val="0"/>
          <w:numId w:val="30"/>
        </w:numPr>
        <w:spacing w:before="260" w:after="260" w:line="413" w:lineRule="auto"/>
        <w:jc w:val="left"/>
        <w:rPr>
          <w:color w:val="auto"/>
          <w:sz w:val="28"/>
          <w:highlight w:val="none"/>
          <w:lang w:val="en-US"/>
        </w:rPr>
      </w:pPr>
      <w:bookmarkStart w:id="63" w:name="_Toc29132"/>
      <w:r>
        <w:rPr>
          <w:rFonts w:hint="eastAsia"/>
          <w:color w:val="auto"/>
          <w:sz w:val="28"/>
          <w:highlight w:val="none"/>
          <w:lang w:val="en-US"/>
        </w:rPr>
        <w:t>工程量清单计价表</w:t>
      </w:r>
      <w:bookmarkEnd w:id="63"/>
    </w:p>
    <w:p>
      <w:pPr>
        <w:pStyle w:val="336"/>
        <w:ind w:left="420" w:firstLine="0" w:firstLineChars="0"/>
        <w:rPr>
          <w:b/>
          <w:bCs/>
          <w:color w:val="auto"/>
          <w:sz w:val="24"/>
          <w:szCs w:val="24"/>
          <w:highlight w:val="none"/>
        </w:rPr>
      </w:pPr>
      <w:bookmarkStart w:id="64" w:name="_Hlk37345942"/>
      <w:bookmarkStart w:id="65" w:name="_Hlk37345934"/>
      <w:r>
        <w:rPr>
          <w:rFonts w:hint="eastAsia"/>
          <w:b/>
          <w:bCs/>
          <w:color w:val="auto"/>
          <w:sz w:val="24"/>
          <w:szCs w:val="24"/>
          <w:highlight w:val="none"/>
        </w:rPr>
        <w:t>注：表格仅供参考，</w:t>
      </w:r>
      <w:r>
        <w:rPr>
          <w:rFonts w:hint="eastAsia"/>
          <w:b/>
          <w:bCs/>
          <w:color w:val="auto"/>
          <w:sz w:val="24"/>
          <w:szCs w:val="24"/>
          <w:highlight w:val="none"/>
          <w:lang w:val="zh-TW"/>
        </w:rPr>
        <w:t>具体计算程序及表格可按广联达最新计价软件执行</w:t>
      </w:r>
      <w:r>
        <w:rPr>
          <w:rFonts w:hint="eastAsia"/>
          <w:b/>
          <w:bCs/>
          <w:color w:val="auto"/>
          <w:sz w:val="24"/>
          <w:szCs w:val="24"/>
          <w:highlight w:val="none"/>
        </w:rPr>
        <w:t>。</w:t>
      </w:r>
      <w:bookmarkEnd w:id="64"/>
    </w:p>
    <w:p>
      <w:pPr>
        <w:pStyle w:val="336"/>
        <w:ind w:left="420" w:firstLine="0" w:firstLineChars="0"/>
        <w:rPr>
          <w:color w:val="auto"/>
          <w:highlight w:val="none"/>
        </w:rPr>
      </w:pPr>
    </w:p>
    <w:p>
      <w:pPr>
        <w:spacing w:line="600" w:lineRule="exact"/>
        <w:ind w:firstLine="420"/>
        <w:jc w:val="center"/>
        <w:rPr>
          <w:rFonts w:eastAsia="黑体" w:cs="Arial Unicode MS"/>
          <w:color w:val="auto"/>
          <w:szCs w:val="21"/>
          <w:highlight w:val="none"/>
          <w:u w:color="000000"/>
          <w:lang w:val="zh-TW" w:eastAsia="zh-TW"/>
        </w:rPr>
      </w:pPr>
      <w:r>
        <w:rPr>
          <w:rFonts w:hint="eastAsia" w:eastAsia="黑体" w:cs="Arial Unicode MS"/>
          <w:color w:val="auto"/>
          <w:szCs w:val="21"/>
          <w:highlight w:val="none"/>
          <w:u w:color="000000"/>
          <w:lang w:val="zh-TW" w:eastAsia="zh-TW"/>
        </w:rPr>
        <w:t>投标总价</w:t>
      </w:r>
    </w:p>
    <w:p>
      <w:pPr>
        <w:spacing w:line="600" w:lineRule="exact"/>
        <w:ind w:firstLine="420"/>
        <w:rPr>
          <w:rFonts w:ascii="黑体" w:hAnsi="黑体" w:eastAsia="黑体" w:cs="黑体"/>
          <w:color w:val="auto"/>
          <w:szCs w:val="21"/>
          <w:highlight w:val="none"/>
          <w:u w:val="single" w:color="000000"/>
        </w:rPr>
      </w:pPr>
      <w:r>
        <w:rPr>
          <w:rFonts w:hint="eastAsia" w:eastAsia="黑体" w:cs="Arial Unicode MS"/>
          <w:color w:val="auto"/>
          <w:szCs w:val="21"/>
          <w:highlight w:val="none"/>
          <w:u w:color="000000"/>
          <w:lang w:val="zh-TW" w:eastAsia="zh-TW"/>
        </w:rPr>
        <w:t>招 标 人：</w:t>
      </w:r>
    </w:p>
    <w:p>
      <w:pPr>
        <w:spacing w:line="600" w:lineRule="exact"/>
        <w:ind w:firstLine="420"/>
        <w:rPr>
          <w:rFonts w:ascii="黑体" w:hAnsi="黑体" w:eastAsia="黑体" w:cs="黑体"/>
          <w:color w:val="auto"/>
          <w:szCs w:val="21"/>
          <w:highlight w:val="none"/>
          <w:u w:color="000000"/>
        </w:rPr>
      </w:pPr>
      <w:r>
        <w:rPr>
          <w:rFonts w:hint="eastAsia" w:eastAsia="黑体" w:cs="Arial Unicode MS"/>
          <w:color w:val="auto"/>
          <w:szCs w:val="21"/>
          <w:highlight w:val="none"/>
          <w:u w:color="000000"/>
          <w:lang w:val="zh-TW" w:eastAsia="zh-TW"/>
        </w:rPr>
        <w:t>工程名称：</w:t>
      </w:r>
    </w:p>
    <w:p>
      <w:pPr>
        <w:spacing w:line="600" w:lineRule="exact"/>
        <w:ind w:firstLine="420"/>
        <w:rPr>
          <w:rFonts w:ascii="黑体" w:hAnsi="黑体" w:eastAsia="黑体" w:cs="黑体"/>
          <w:color w:val="auto"/>
          <w:szCs w:val="21"/>
          <w:highlight w:val="none"/>
          <w:u w:color="000000"/>
        </w:rPr>
      </w:pPr>
      <w:r>
        <w:rPr>
          <w:rFonts w:hint="eastAsia" w:eastAsia="黑体" w:cs="Arial Unicode MS"/>
          <w:color w:val="auto"/>
          <w:szCs w:val="21"/>
          <w:highlight w:val="none"/>
          <w:u w:color="000000"/>
          <w:lang w:val="zh-TW" w:eastAsia="zh-TW"/>
        </w:rPr>
        <w:t>投标总价</w:t>
      </w:r>
      <w:r>
        <w:rPr>
          <w:rFonts w:ascii="宋体" w:hAnsi="宋体" w:eastAsia="Arial Unicode MS" w:cs="Arial Unicode MS"/>
          <w:color w:val="auto"/>
          <w:szCs w:val="21"/>
          <w:highlight w:val="none"/>
          <w:u w:color="000000"/>
        </w:rPr>
        <w:t>(</w:t>
      </w:r>
      <w:r>
        <w:rPr>
          <w:rFonts w:hint="eastAsia" w:cs="Arial Unicode MS"/>
          <w:color w:val="auto"/>
          <w:szCs w:val="21"/>
          <w:highlight w:val="none"/>
          <w:u w:color="000000"/>
          <w:lang w:val="zh-TW" w:eastAsia="zh-TW"/>
        </w:rPr>
        <w:t>小写</w:t>
      </w:r>
      <w:r>
        <w:rPr>
          <w:rFonts w:ascii="宋体" w:hAnsi="宋体" w:eastAsia="Arial Unicode MS" w:cs="Arial Unicode MS"/>
          <w:color w:val="auto"/>
          <w:szCs w:val="21"/>
          <w:highlight w:val="none"/>
          <w:u w:color="000000"/>
        </w:rPr>
        <w:t>)</w:t>
      </w:r>
      <w:r>
        <w:rPr>
          <w:rFonts w:hint="eastAsia" w:eastAsia="黑体" w:cs="Arial Unicode MS"/>
          <w:color w:val="auto"/>
          <w:szCs w:val="21"/>
          <w:highlight w:val="none"/>
          <w:u w:color="000000"/>
          <w:lang w:val="zh-TW" w:eastAsia="zh-TW"/>
        </w:rPr>
        <w:t xml:space="preserve"> ：</w:t>
      </w:r>
    </w:p>
    <w:p>
      <w:pPr>
        <w:spacing w:line="600" w:lineRule="exact"/>
        <w:ind w:firstLine="1260"/>
        <w:rPr>
          <w:rFonts w:ascii="黑体" w:hAnsi="黑体" w:eastAsia="黑体" w:cs="黑体"/>
          <w:color w:val="auto"/>
          <w:szCs w:val="21"/>
          <w:highlight w:val="none"/>
          <w:u w:val="single" w:color="000000"/>
        </w:rPr>
      </w:pPr>
      <w:r>
        <w:rPr>
          <w:rFonts w:ascii="宋体" w:hAnsi="宋体" w:eastAsia="Arial Unicode MS" w:cs="Arial Unicode MS"/>
          <w:color w:val="auto"/>
          <w:szCs w:val="21"/>
          <w:highlight w:val="none"/>
          <w:u w:color="000000"/>
        </w:rPr>
        <w:t>(</w:t>
      </w:r>
      <w:r>
        <w:rPr>
          <w:rFonts w:hint="eastAsia" w:cs="Arial Unicode MS"/>
          <w:color w:val="auto"/>
          <w:szCs w:val="21"/>
          <w:highlight w:val="none"/>
          <w:u w:color="000000"/>
          <w:lang w:val="zh-TW" w:eastAsia="zh-TW"/>
        </w:rPr>
        <w:t>大写</w:t>
      </w:r>
      <w:r>
        <w:rPr>
          <w:rFonts w:ascii="宋体" w:hAnsi="宋体" w:eastAsia="Arial Unicode MS" w:cs="Arial Unicode MS"/>
          <w:color w:val="auto"/>
          <w:szCs w:val="21"/>
          <w:highlight w:val="none"/>
          <w:u w:color="000000"/>
        </w:rPr>
        <w:t>)</w:t>
      </w:r>
      <w:r>
        <w:rPr>
          <w:rFonts w:hint="eastAsia" w:eastAsia="黑体" w:cs="Arial Unicode MS"/>
          <w:color w:val="auto"/>
          <w:szCs w:val="21"/>
          <w:highlight w:val="none"/>
          <w:u w:color="000000"/>
          <w:lang w:val="zh-TW" w:eastAsia="zh-TW"/>
        </w:rPr>
        <w:t xml:space="preserve"> ：</w:t>
      </w:r>
    </w:p>
    <w:p>
      <w:pPr>
        <w:spacing w:line="600" w:lineRule="exact"/>
        <w:ind w:firstLine="1260"/>
        <w:rPr>
          <w:rFonts w:ascii="黑体" w:hAnsi="黑体" w:eastAsia="黑体" w:cs="黑体"/>
          <w:color w:val="auto"/>
          <w:szCs w:val="21"/>
          <w:highlight w:val="none"/>
          <w:u w:color="000000"/>
        </w:rPr>
      </w:pPr>
    </w:p>
    <w:p>
      <w:pPr>
        <w:spacing w:line="600" w:lineRule="exact"/>
        <w:ind w:firstLine="1260"/>
        <w:rPr>
          <w:rFonts w:ascii="黑体" w:hAnsi="黑体" w:eastAsia="黑体" w:cs="黑体"/>
          <w:color w:val="auto"/>
          <w:szCs w:val="21"/>
          <w:highlight w:val="none"/>
          <w:u w:color="000000"/>
        </w:rPr>
      </w:pPr>
    </w:p>
    <w:p>
      <w:pPr>
        <w:spacing w:line="320" w:lineRule="exact"/>
        <w:ind w:firstLine="420"/>
        <w:rPr>
          <w:rFonts w:ascii="黑体" w:hAnsi="黑体" w:eastAsia="黑体" w:cs="黑体"/>
          <w:color w:val="auto"/>
          <w:szCs w:val="21"/>
          <w:highlight w:val="none"/>
          <w:u w:color="000000"/>
        </w:rPr>
      </w:pPr>
      <w:r>
        <w:rPr>
          <w:rFonts w:hint="eastAsia" w:eastAsia="黑体" w:cs="Arial Unicode MS"/>
          <w:color w:val="auto"/>
          <w:szCs w:val="21"/>
          <w:highlight w:val="none"/>
          <w:u w:color="000000"/>
          <w:lang w:val="zh-TW" w:eastAsia="zh-TW"/>
        </w:rPr>
        <w:t>投 标 人：</w:t>
      </w:r>
    </w:p>
    <w:p>
      <w:pPr>
        <w:spacing w:line="320" w:lineRule="exact"/>
        <w:ind w:firstLine="4200"/>
        <w:rPr>
          <w:rFonts w:ascii="黑体" w:hAnsi="黑体" w:eastAsia="黑体" w:cs="黑体"/>
          <w:color w:val="auto"/>
          <w:szCs w:val="21"/>
          <w:highlight w:val="none"/>
          <w:u w:color="000000"/>
        </w:rPr>
      </w:pPr>
      <w:r>
        <w:rPr>
          <w:rFonts w:ascii="黑体" w:hAnsi="黑体" w:eastAsia="Arial Unicode MS" w:cs="Arial Unicode MS"/>
          <w:color w:val="auto"/>
          <w:szCs w:val="21"/>
          <w:highlight w:val="none"/>
          <w:u w:color="000000"/>
        </w:rPr>
        <w:t>(</w:t>
      </w:r>
      <w:r>
        <w:rPr>
          <w:rFonts w:hint="eastAsia" w:eastAsia="黑体" w:cs="Arial Unicode MS"/>
          <w:color w:val="auto"/>
          <w:szCs w:val="21"/>
          <w:highlight w:val="none"/>
          <w:u w:color="000000"/>
          <w:lang w:val="zh-TW" w:eastAsia="zh-TW"/>
        </w:rPr>
        <w:t>单位盖章</w:t>
      </w:r>
      <w:r>
        <w:rPr>
          <w:rFonts w:ascii="黑体" w:hAnsi="黑体" w:eastAsia="Arial Unicode MS" w:cs="Arial Unicode MS"/>
          <w:color w:val="auto"/>
          <w:szCs w:val="21"/>
          <w:highlight w:val="none"/>
          <w:u w:color="000000"/>
        </w:rPr>
        <w:t>)</w:t>
      </w:r>
    </w:p>
    <w:p>
      <w:pPr>
        <w:spacing w:line="380" w:lineRule="exact"/>
        <w:ind w:firstLine="420"/>
        <w:rPr>
          <w:rFonts w:ascii="黑体" w:hAnsi="黑体" w:eastAsia="黑体" w:cs="黑体"/>
          <w:color w:val="auto"/>
          <w:szCs w:val="21"/>
          <w:highlight w:val="none"/>
          <w:u w:color="000000"/>
        </w:rPr>
      </w:pPr>
    </w:p>
    <w:p>
      <w:pPr>
        <w:spacing w:after="72" w:line="380" w:lineRule="exact"/>
        <w:ind w:firstLine="420"/>
        <w:rPr>
          <w:rFonts w:ascii="黑体" w:hAnsi="黑体" w:eastAsia="黑体" w:cs="黑体"/>
          <w:color w:val="auto"/>
          <w:szCs w:val="21"/>
          <w:highlight w:val="none"/>
          <w:u w:color="000000"/>
          <w:lang w:val="zh-TW" w:eastAsia="zh-TW"/>
        </w:rPr>
      </w:pPr>
      <w:r>
        <w:rPr>
          <w:rFonts w:hint="eastAsia" w:eastAsia="黑体" w:cs="Arial Unicode MS"/>
          <w:color w:val="auto"/>
          <w:szCs w:val="21"/>
          <w:highlight w:val="none"/>
          <w:u w:color="000000"/>
          <w:lang w:val="zh-TW" w:eastAsia="zh-TW"/>
        </w:rPr>
        <w:t>法定代表人</w:t>
      </w:r>
    </w:p>
    <w:p>
      <w:pPr>
        <w:spacing w:line="320" w:lineRule="exact"/>
        <w:ind w:firstLine="420"/>
        <w:rPr>
          <w:rFonts w:ascii="黑体" w:hAnsi="黑体" w:eastAsia="黑体" w:cs="黑体"/>
          <w:color w:val="auto"/>
          <w:szCs w:val="21"/>
          <w:highlight w:val="none"/>
          <w:u w:color="000000"/>
        </w:rPr>
      </w:pPr>
      <w:r>
        <w:rPr>
          <w:rFonts w:hint="eastAsia" w:eastAsia="黑体" w:cs="Arial Unicode MS"/>
          <w:color w:val="auto"/>
          <w:szCs w:val="21"/>
          <w:highlight w:val="none"/>
          <w:u w:color="000000"/>
          <w:lang w:val="zh-TW" w:eastAsia="zh-TW"/>
        </w:rPr>
        <w:t>或其授权人：</w:t>
      </w:r>
    </w:p>
    <w:p>
      <w:pPr>
        <w:spacing w:line="320" w:lineRule="exact"/>
        <w:ind w:firstLine="3990"/>
        <w:rPr>
          <w:rFonts w:ascii="黑体" w:hAnsi="黑体" w:eastAsia="黑体" w:cs="黑体"/>
          <w:color w:val="auto"/>
          <w:szCs w:val="21"/>
          <w:highlight w:val="none"/>
          <w:u w:color="000000"/>
        </w:rPr>
      </w:pPr>
      <w:r>
        <w:rPr>
          <w:rFonts w:ascii="黑体" w:hAnsi="黑体" w:eastAsia="Arial Unicode MS" w:cs="Arial Unicode MS"/>
          <w:color w:val="auto"/>
          <w:szCs w:val="21"/>
          <w:highlight w:val="none"/>
          <w:u w:color="000000"/>
        </w:rPr>
        <w:t>(</w:t>
      </w:r>
      <w:r>
        <w:rPr>
          <w:rFonts w:hint="eastAsia" w:eastAsia="黑体" w:cs="Arial Unicode MS"/>
          <w:color w:val="auto"/>
          <w:szCs w:val="21"/>
          <w:highlight w:val="none"/>
          <w:u w:color="000000"/>
          <w:lang w:val="zh-TW" w:eastAsia="zh-TW"/>
        </w:rPr>
        <w:t>签字或盖章</w:t>
      </w:r>
      <w:r>
        <w:rPr>
          <w:rFonts w:ascii="黑体" w:hAnsi="黑体" w:eastAsia="Arial Unicode MS" w:cs="Arial Unicode MS"/>
          <w:color w:val="auto"/>
          <w:szCs w:val="21"/>
          <w:highlight w:val="none"/>
          <w:u w:color="000000"/>
        </w:rPr>
        <w:t>)</w:t>
      </w:r>
    </w:p>
    <w:p>
      <w:pPr>
        <w:spacing w:line="320" w:lineRule="exact"/>
        <w:ind w:firstLine="3990"/>
        <w:rPr>
          <w:rFonts w:ascii="黑体" w:hAnsi="黑体" w:eastAsia="黑体" w:cs="黑体"/>
          <w:color w:val="auto"/>
          <w:szCs w:val="21"/>
          <w:highlight w:val="none"/>
          <w:u w:color="000000"/>
        </w:rPr>
      </w:pPr>
    </w:p>
    <w:p>
      <w:pPr>
        <w:spacing w:line="320" w:lineRule="exact"/>
        <w:ind w:firstLine="3990"/>
        <w:rPr>
          <w:rFonts w:ascii="黑体" w:hAnsi="黑体" w:eastAsia="黑体" w:cs="黑体"/>
          <w:color w:val="auto"/>
          <w:szCs w:val="21"/>
          <w:highlight w:val="none"/>
          <w:u w:color="000000"/>
        </w:rPr>
      </w:pPr>
    </w:p>
    <w:p>
      <w:pPr>
        <w:spacing w:line="320" w:lineRule="exact"/>
        <w:ind w:firstLine="420"/>
        <w:rPr>
          <w:rFonts w:ascii="黑体" w:hAnsi="黑体" w:eastAsia="黑体" w:cs="黑体"/>
          <w:color w:val="auto"/>
          <w:szCs w:val="21"/>
          <w:highlight w:val="none"/>
          <w:u w:color="000000"/>
        </w:rPr>
      </w:pPr>
      <w:r>
        <w:rPr>
          <w:rFonts w:hint="eastAsia" w:eastAsia="黑体" w:cs="Arial Unicode MS"/>
          <w:color w:val="auto"/>
          <w:szCs w:val="21"/>
          <w:highlight w:val="none"/>
          <w:u w:color="000000"/>
          <w:lang w:val="zh-TW" w:eastAsia="zh-TW"/>
        </w:rPr>
        <w:t>编制人：</w:t>
      </w:r>
    </w:p>
    <w:p>
      <w:pPr>
        <w:spacing w:line="320" w:lineRule="exact"/>
        <w:ind w:firstLine="3570"/>
        <w:rPr>
          <w:rFonts w:ascii="黑体" w:hAnsi="黑体" w:eastAsia="黑体" w:cs="黑体"/>
          <w:color w:val="auto"/>
          <w:szCs w:val="21"/>
          <w:highlight w:val="none"/>
          <w:u w:color="000000"/>
        </w:rPr>
      </w:pPr>
      <w:r>
        <w:rPr>
          <w:rFonts w:ascii="黑体" w:hAnsi="黑体" w:eastAsia="Arial Unicode MS" w:cs="Arial Unicode MS"/>
          <w:color w:val="auto"/>
          <w:szCs w:val="21"/>
          <w:highlight w:val="none"/>
          <w:u w:color="000000"/>
        </w:rPr>
        <w:t>(</w:t>
      </w:r>
      <w:r>
        <w:rPr>
          <w:rFonts w:hint="eastAsia" w:eastAsia="黑体" w:cs="Arial Unicode MS"/>
          <w:color w:val="auto"/>
          <w:szCs w:val="21"/>
          <w:highlight w:val="none"/>
          <w:u w:color="000000"/>
          <w:lang w:eastAsia="zh-TW"/>
        </w:rPr>
        <w:t>造价人员签字盖专用章</w:t>
      </w:r>
      <w:r>
        <w:rPr>
          <w:rFonts w:ascii="黑体" w:hAnsi="黑体" w:eastAsia="Arial Unicode MS" w:cs="Arial Unicode MS"/>
          <w:color w:val="auto"/>
          <w:szCs w:val="21"/>
          <w:highlight w:val="none"/>
          <w:u w:color="000000"/>
        </w:rPr>
        <w:t>)</w:t>
      </w:r>
    </w:p>
    <w:p>
      <w:pPr>
        <w:spacing w:line="380" w:lineRule="exact"/>
        <w:ind w:firstLine="420"/>
        <w:rPr>
          <w:rFonts w:ascii="黑体" w:hAnsi="黑体" w:eastAsia="黑体" w:cs="黑体"/>
          <w:color w:val="auto"/>
          <w:szCs w:val="21"/>
          <w:highlight w:val="none"/>
          <w:u w:color="000000"/>
        </w:rPr>
      </w:pPr>
    </w:p>
    <w:p>
      <w:pPr>
        <w:spacing w:line="380" w:lineRule="exact"/>
        <w:ind w:firstLine="420"/>
        <w:rPr>
          <w:rFonts w:ascii="黑体" w:hAnsi="黑体" w:eastAsia="黑体" w:cs="黑体"/>
          <w:color w:val="auto"/>
          <w:szCs w:val="21"/>
          <w:highlight w:val="none"/>
          <w:u w:color="000000"/>
        </w:rPr>
      </w:pPr>
    </w:p>
    <w:p>
      <w:pPr>
        <w:spacing w:line="380" w:lineRule="exact"/>
        <w:ind w:firstLine="420"/>
        <w:rPr>
          <w:rFonts w:ascii="宋体" w:hAnsi="宋体" w:cs="宋体"/>
          <w:color w:val="auto"/>
          <w:szCs w:val="21"/>
          <w:highlight w:val="none"/>
          <w:u w:color="000000"/>
          <w:lang w:val="zh-TW" w:eastAsia="zh-TW"/>
        </w:rPr>
      </w:pPr>
      <w:r>
        <w:rPr>
          <w:rFonts w:hint="eastAsia" w:eastAsia="黑体" w:cs="Arial Unicode MS"/>
          <w:color w:val="auto"/>
          <w:szCs w:val="21"/>
          <w:highlight w:val="none"/>
          <w:u w:color="000000"/>
          <w:lang w:val="zh-TW" w:eastAsia="zh-TW"/>
        </w:rPr>
        <w:t xml:space="preserve">编制时间：              </w:t>
      </w:r>
      <w:r>
        <w:rPr>
          <w:rFonts w:hint="eastAsia" w:cs="Arial Unicode MS"/>
          <w:color w:val="auto"/>
          <w:szCs w:val="21"/>
          <w:highlight w:val="none"/>
          <w:u w:color="000000"/>
          <w:lang w:val="zh-TW" w:eastAsia="zh-TW"/>
        </w:rPr>
        <w:t>年      月      日</w:t>
      </w:r>
    </w:p>
    <w:p>
      <w:pPr>
        <w:spacing w:line="380" w:lineRule="exact"/>
        <w:ind w:firstLine="420"/>
        <w:rPr>
          <w:rFonts w:ascii="黑体" w:hAnsi="黑体" w:eastAsia="黑体" w:cs="黑体"/>
          <w:color w:val="auto"/>
          <w:szCs w:val="21"/>
          <w:highlight w:val="none"/>
          <w:u w:color="000000"/>
        </w:rPr>
      </w:pPr>
    </w:p>
    <w:p>
      <w:pPr>
        <w:spacing w:line="380" w:lineRule="exact"/>
        <w:rPr>
          <w:rFonts w:eastAsia="Arial Unicode MS" w:cs="Arial Unicode MS"/>
          <w:color w:val="auto"/>
          <w:szCs w:val="21"/>
          <w:highlight w:val="none"/>
          <w:u w:color="000000"/>
        </w:rPr>
      </w:pPr>
      <w:r>
        <w:rPr>
          <w:rFonts w:ascii="Arial Unicode MS" w:hAnsi="Arial Unicode MS" w:eastAsia="Arial Unicode MS" w:cs="Arial Unicode MS"/>
          <w:color w:val="auto"/>
          <w:sz w:val="24"/>
          <w:highlight w:val="none"/>
          <w:u w:color="000000"/>
        </w:rPr>
        <w:br w:type="page"/>
      </w:r>
    </w:p>
    <w:p>
      <w:pPr>
        <w:spacing w:line="600" w:lineRule="exact"/>
        <w:ind w:firstLine="420"/>
        <w:jc w:val="center"/>
        <w:rPr>
          <w:rFonts w:eastAsia="黑体" w:cs="Arial Unicode MS"/>
          <w:color w:val="auto"/>
          <w:szCs w:val="21"/>
          <w:highlight w:val="none"/>
          <w:u w:color="000000"/>
          <w:lang w:val="zh-TW" w:eastAsia="zh-TW"/>
        </w:rPr>
      </w:pPr>
      <w:r>
        <w:rPr>
          <w:rFonts w:hint="eastAsia" w:eastAsia="黑体" w:cs="Arial Unicode MS"/>
          <w:color w:val="auto"/>
          <w:szCs w:val="21"/>
          <w:highlight w:val="none"/>
          <w:u w:color="000000"/>
          <w:lang w:val="zh-TW" w:eastAsia="zh-TW"/>
        </w:rPr>
        <w:t>总 说 明</w:t>
      </w:r>
    </w:p>
    <w:p>
      <w:pPr>
        <w:spacing w:after="120" w:line="380" w:lineRule="exact"/>
        <w:jc w:val="center"/>
        <w:rPr>
          <w:rFonts w:ascii="宋体" w:hAnsi="宋体" w:cs="宋体"/>
          <w:color w:val="auto"/>
          <w:sz w:val="24"/>
          <w:highlight w:val="none"/>
          <w:u w:color="000000"/>
          <w:lang w:val="zh-TW" w:eastAsia="zh-TW"/>
        </w:rPr>
      </w:pPr>
      <w:r>
        <w:rPr>
          <w:rFonts w:hint="eastAsia" w:cs="Arial Unicode MS"/>
          <w:color w:val="auto"/>
          <w:szCs w:val="21"/>
          <w:highlight w:val="none"/>
          <w:u w:color="000000"/>
          <w:lang w:val="zh-TW" w:eastAsia="zh-TW"/>
        </w:rPr>
        <w:t>工程名称：                                         第  页 共  页</w:t>
      </w:r>
    </w:p>
    <w:tbl>
      <w:tblPr>
        <w:tblStyle w:val="83"/>
        <w:tblW w:w="841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41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562" w:hRule="atLeast"/>
          <w:jc w:val="center"/>
        </w:trPr>
        <w:tc>
          <w:tcPr>
            <w:tcW w:w="841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bl>
    <w:p>
      <w:pPr>
        <w:spacing w:after="120"/>
        <w:jc w:val="center"/>
        <w:rPr>
          <w:rFonts w:ascii="宋体" w:hAnsi="宋体" w:cs="宋体"/>
          <w:color w:val="auto"/>
          <w:sz w:val="24"/>
          <w:highlight w:val="none"/>
          <w:u w:color="000000"/>
          <w:lang w:val="zh-TW" w:eastAsia="zh-TW"/>
        </w:rPr>
      </w:pPr>
    </w:p>
    <w:p>
      <w:pPr>
        <w:spacing w:line="380" w:lineRule="exact"/>
        <w:ind w:firstLine="420"/>
        <w:rPr>
          <w:rFonts w:ascii="黑体" w:hAnsi="黑体" w:eastAsia="黑体" w:cs="黑体"/>
          <w:color w:val="auto"/>
          <w:szCs w:val="21"/>
          <w:highlight w:val="none"/>
          <w:u w:color="000000"/>
        </w:rPr>
      </w:pPr>
    </w:p>
    <w:p>
      <w:pPr>
        <w:spacing w:after="120" w:line="380" w:lineRule="exact"/>
        <w:jc w:val="center"/>
        <w:rPr>
          <w:rFonts w:ascii="黑体" w:hAnsi="黑体" w:eastAsia="黑体" w:cs="黑体"/>
          <w:color w:val="auto"/>
          <w:sz w:val="28"/>
          <w:highlight w:val="none"/>
          <w:u w:color="000000"/>
        </w:rPr>
      </w:pPr>
      <w:r>
        <w:rPr>
          <w:rFonts w:ascii="Arial Unicode MS" w:hAnsi="Arial Unicode MS" w:eastAsia="Arial Unicode MS" w:cs="Arial Unicode MS"/>
          <w:color w:val="auto"/>
          <w:szCs w:val="21"/>
          <w:highlight w:val="none"/>
          <w:u w:color="000000"/>
        </w:rPr>
        <w:br w:type="page"/>
      </w:r>
      <w:r>
        <w:rPr>
          <w:rFonts w:hint="eastAsia" w:eastAsia="黑体" w:cs="Arial Unicode MS"/>
          <w:color w:val="auto"/>
          <w:sz w:val="28"/>
          <w:highlight w:val="none"/>
          <w:u w:color="000000"/>
          <w:lang w:val="zh-TW" w:eastAsia="zh-TW"/>
        </w:rPr>
        <w:t>工程项目投标报价汇总表</w:t>
      </w:r>
    </w:p>
    <w:p>
      <w:pPr>
        <w:spacing w:after="120" w:line="380" w:lineRule="exact"/>
        <w:jc w:val="center"/>
        <w:rPr>
          <w:rFonts w:ascii="宋体" w:hAnsi="宋体" w:cs="宋体"/>
          <w:color w:val="auto"/>
          <w:sz w:val="28"/>
          <w:highlight w:val="none"/>
          <w:u w:color="000000"/>
          <w:lang w:val="zh-TW" w:eastAsia="zh-TW"/>
        </w:rPr>
      </w:pPr>
      <w:r>
        <w:rPr>
          <w:rFonts w:hint="eastAsia" w:cs="Arial Unicode MS"/>
          <w:color w:val="auto"/>
          <w:szCs w:val="21"/>
          <w:highlight w:val="none"/>
          <w:u w:color="000000"/>
          <w:lang w:val="zh-TW" w:eastAsia="zh-TW"/>
        </w:rPr>
        <w:t>工程名称：                                           第  页  共  页</w:t>
      </w:r>
    </w:p>
    <w:tbl>
      <w:tblPr>
        <w:tblStyle w:val="83"/>
        <w:tblW w:w="857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50"/>
        <w:gridCol w:w="3318"/>
        <w:gridCol w:w="1218"/>
        <w:gridCol w:w="965"/>
        <w:gridCol w:w="1400"/>
        <w:gridCol w:w="9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序号</w:t>
            </w:r>
          </w:p>
        </w:tc>
        <w:tc>
          <w:tcPr>
            <w:tcW w:w="3318"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单项工程名称</w:t>
            </w:r>
          </w:p>
        </w:tc>
        <w:tc>
          <w:tcPr>
            <w:tcW w:w="1218"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金额（元）</w:t>
            </w:r>
          </w:p>
        </w:tc>
        <w:tc>
          <w:tcPr>
            <w:tcW w:w="329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其  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5" w:hRule="atLeast"/>
          <w:jc w:val="center"/>
        </w:trPr>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3318"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1218"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0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暂估价（元）</w:t>
            </w:r>
          </w:p>
        </w:tc>
        <w:tc>
          <w:tcPr>
            <w:tcW w:w="14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0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安全文明施工费（元）</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00" w:lineRule="exact"/>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规费</w:t>
            </w:r>
          </w:p>
          <w:p>
            <w:pPr>
              <w:spacing w:line="30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248" w:hRule="atLeast"/>
          <w:jc w:val="center"/>
        </w:trPr>
        <w:tc>
          <w:tcPr>
            <w:tcW w:w="7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3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jc w:val="center"/>
        </w:trPr>
        <w:tc>
          <w:tcPr>
            <w:tcW w:w="4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合 计</w:t>
            </w:r>
          </w:p>
        </w:tc>
        <w:tc>
          <w:tcPr>
            <w:tcW w:w="12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bl>
    <w:p>
      <w:pPr>
        <w:spacing w:after="120" w:line="380" w:lineRule="exact"/>
        <w:rPr>
          <w:rFonts w:ascii="宋体" w:hAnsi="宋体" w:cs="宋体"/>
          <w:color w:val="auto"/>
          <w:szCs w:val="21"/>
          <w:highlight w:val="none"/>
          <w:u w:color="000000"/>
          <w:lang w:val="zh-TW" w:eastAsia="zh-TW"/>
        </w:rPr>
      </w:pPr>
      <w:r>
        <w:rPr>
          <w:rFonts w:hint="eastAsia" w:cs="Arial Unicode MS"/>
          <w:color w:val="auto"/>
          <w:szCs w:val="21"/>
          <w:highlight w:val="none"/>
          <w:u w:color="000000"/>
          <w:lang w:val="zh-TW" w:eastAsia="zh-TW"/>
        </w:rPr>
        <w:t>注：暂估价包括分部分项工程中的暂估价和专业工程暂估价。</w:t>
      </w:r>
    </w:p>
    <w:p>
      <w:pPr>
        <w:spacing w:after="120" w:line="380" w:lineRule="exact"/>
        <w:jc w:val="center"/>
        <w:rPr>
          <w:rFonts w:eastAsia="黑体" w:cs="Arial Unicode MS"/>
          <w:color w:val="auto"/>
          <w:sz w:val="28"/>
          <w:highlight w:val="none"/>
          <w:u w:color="000000"/>
          <w:lang w:val="zh-TW" w:eastAsia="zh-TW"/>
        </w:rPr>
      </w:pPr>
      <w:r>
        <w:rPr>
          <w:rFonts w:ascii="黑体" w:hAnsi="黑体" w:eastAsia="黑体" w:cs="Arial Unicode MS"/>
          <w:color w:val="auto"/>
          <w:sz w:val="28"/>
          <w:highlight w:val="none"/>
          <w:u w:color="000000"/>
        </w:rPr>
        <w:br w:type="page"/>
      </w:r>
      <w:r>
        <w:rPr>
          <w:rFonts w:hint="eastAsia" w:eastAsia="黑体" w:cs="Arial Unicode MS"/>
          <w:color w:val="auto"/>
          <w:sz w:val="28"/>
          <w:highlight w:val="none"/>
          <w:u w:color="000000"/>
          <w:lang w:val="zh-TW" w:eastAsia="zh-TW"/>
        </w:rPr>
        <w:t>单项工程投标报价汇总表</w:t>
      </w:r>
    </w:p>
    <w:p>
      <w:pPr>
        <w:spacing w:after="120" w:line="380" w:lineRule="exact"/>
        <w:jc w:val="center"/>
        <w:rPr>
          <w:rFonts w:ascii="宋体" w:hAnsi="宋体" w:cs="宋体"/>
          <w:color w:val="auto"/>
          <w:sz w:val="28"/>
          <w:highlight w:val="none"/>
          <w:u w:color="000000"/>
          <w:lang w:val="zh-TW" w:eastAsia="zh-TW"/>
        </w:rPr>
      </w:pPr>
      <w:r>
        <w:rPr>
          <w:rFonts w:hint="eastAsia" w:cs="Arial Unicode MS"/>
          <w:color w:val="auto"/>
          <w:szCs w:val="21"/>
          <w:highlight w:val="none"/>
          <w:u w:color="000000"/>
          <w:lang w:val="zh-TW" w:eastAsia="zh-TW"/>
        </w:rPr>
        <w:t>工程名称：                                               第  页  共  页</w:t>
      </w:r>
    </w:p>
    <w:tbl>
      <w:tblPr>
        <w:tblStyle w:val="83"/>
        <w:tblW w:w="857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50"/>
        <w:gridCol w:w="3304"/>
        <w:gridCol w:w="1204"/>
        <w:gridCol w:w="923"/>
        <w:gridCol w:w="1470"/>
        <w:gridCol w:w="9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序号</w:t>
            </w:r>
          </w:p>
        </w:tc>
        <w:tc>
          <w:tcPr>
            <w:tcW w:w="3304"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单位工程名称</w:t>
            </w:r>
          </w:p>
        </w:tc>
        <w:tc>
          <w:tcPr>
            <w:tcW w:w="1204"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金额（元）</w:t>
            </w:r>
          </w:p>
        </w:tc>
        <w:tc>
          <w:tcPr>
            <w:tcW w:w="3318"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其  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5" w:hRule="atLeast"/>
          <w:jc w:val="center"/>
        </w:trPr>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3304"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1204"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0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暂估价（元）</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00" w:lineRule="exact"/>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安全文明施</w:t>
            </w:r>
          </w:p>
          <w:p>
            <w:pPr>
              <w:spacing w:line="30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工费（元）</w:t>
            </w: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00" w:lineRule="exact"/>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规费</w:t>
            </w:r>
          </w:p>
          <w:p>
            <w:pPr>
              <w:spacing w:line="30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219" w:hRule="atLeast"/>
          <w:jc w:val="center"/>
        </w:trPr>
        <w:tc>
          <w:tcPr>
            <w:tcW w:w="7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3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4" w:hRule="atLeast"/>
          <w:jc w:val="center"/>
        </w:trPr>
        <w:tc>
          <w:tcPr>
            <w:tcW w:w="4054"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after="120" w:line="380" w:lineRule="exact"/>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合 计</w:t>
            </w:r>
          </w:p>
        </w:tc>
        <w:tc>
          <w:tcPr>
            <w:tcW w:w="12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bl>
    <w:p>
      <w:pPr>
        <w:spacing w:after="120"/>
        <w:jc w:val="center"/>
        <w:rPr>
          <w:rFonts w:ascii="宋体" w:hAnsi="宋体" w:cs="宋体"/>
          <w:color w:val="auto"/>
          <w:sz w:val="28"/>
          <w:highlight w:val="none"/>
          <w:u w:color="000000"/>
          <w:lang w:val="zh-TW" w:eastAsia="zh-TW"/>
        </w:rPr>
      </w:pPr>
    </w:p>
    <w:p>
      <w:pPr>
        <w:spacing w:after="120" w:line="380" w:lineRule="exact"/>
        <w:jc w:val="center"/>
        <w:rPr>
          <w:rFonts w:ascii="宋体" w:hAnsi="宋体" w:cs="宋体"/>
          <w:color w:val="auto"/>
          <w:sz w:val="36"/>
          <w:highlight w:val="none"/>
          <w:u w:color="000000"/>
          <w:lang w:val="zh-TW" w:eastAsia="zh-TW"/>
        </w:rPr>
      </w:pPr>
      <w:r>
        <w:rPr>
          <w:rFonts w:hint="eastAsia" w:cs="Arial Unicode MS"/>
          <w:color w:val="auto"/>
          <w:szCs w:val="21"/>
          <w:highlight w:val="none"/>
          <w:u w:color="000000"/>
          <w:lang w:val="zh-TW" w:eastAsia="zh-TW"/>
        </w:rPr>
        <w:t>注：暂估价包括分部分项工程中的暂估价和专业工程暂估价。</w:t>
      </w:r>
      <w:r>
        <w:rPr>
          <w:rFonts w:ascii="Arial Unicode MS" w:hAnsi="Arial Unicode MS" w:eastAsia="Arial Unicode MS" w:cs="Arial Unicode MS"/>
          <w:color w:val="auto"/>
          <w:szCs w:val="21"/>
          <w:highlight w:val="none"/>
          <w:u w:color="000000"/>
        </w:rPr>
        <w:br w:type="page"/>
      </w:r>
      <w:r>
        <w:rPr>
          <w:rFonts w:hint="eastAsia" w:ascii="黑体" w:hAnsi="黑体" w:eastAsia="黑体" w:cs="Arial Unicode MS"/>
          <w:color w:val="auto"/>
          <w:sz w:val="28"/>
          <w:highlight w:val="none"/>
          <w:u w:color="000000"/>
          <w:lang w:val="zh-TW" w:eastAsia="zh-TW"/>
        </w:rPr>
        <w:t>单位工程投标报价汇总表</w:t>
      </w:r>
    </w:p>
    <w:p>
      <w:pPr>
        <w:spacing w:line="320" w:lineRule="exact"/>
        <w:ind w:firstLine="141"/>
        <w:rPr>
          <w:rFonts w:ascii="宋体" w:hAnsi="宋体" w:cs="宋体"/>
          <w:color w:val="auto"/>
          <w:szCs w:val="21"/>
          <w:highlight w:val="none"/>
          <w:u w:color="000000"/>
        </w:rPr>
      </w:pPr>
      <w:r>
        <w:rPr>
          <w:rFonts w:hint="eastAsia" w:cs="Arial Unicode MS"/>
          <w:color w:val="auto"/>
          <w:szCs w:val="21"/>
          <w:highlight w:val="none"/>
          <w:u w:color="000000"/>
          <w:lang w:val="zh-TW" w:eastAsia="zh-TW"/>
        </w:rPr>
        <w:t>工程名称：第  页共页</w:t>
      </w:r>
    </w:p>
    <w:tbl>
      <w:tblPr>
        <w:tblStyle w:val="83"/>
        <w:tblW w:w="8522" w:type="dxa"/>
        <w:tblInd w:w="20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360"/>
        <w:gridCol w:w="4266"/>
        <w:gridCol w:w="1267"/>
        <w:gridCol w:w="16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5" w:hRule="atLeast"/>
        </w:trPr>
        <w:tc>
          <w:tcPr>
            <w:tcW w:w="1360"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序号</w:t>
            </w:r>
          </w:p>
        </w:tc>
        <w:tc>
          <w:tcPr>
            <w:tcW w:w="4266"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汇总内容</w:t>
            </w:r>
          </w:p>
        </w:tc>
        <w:tc>
          <w:tcPr>
            <w:tcW w:w="1267"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金  额（元）</w:t>
            </w:r>
          </w:p>
        </w:tc>
        <w:tc>
          <w:tcPr>
            <w:tcW w:w="1629"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其中：暂估价（元）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hint="eastAsia" w:ascii="微软雅黑" w:hAnsi="微软雅黑" w:cs="微软雅黑"/>
                <w:color w:val="auto"/>
                <w:szCs w:val="21"/>
                <w:highlight w:val="none"/>
                <w:u w:color="000000"/>
                <w:lang w:val="zh-TW" w:eastAsia="zh-TW"/>
              </w:rPr>
              <w:t>一</w:t>
            </w:r>
            <w:r>
              <w:rPr>
                <w:rFonts w:hint="eastAsia" w:ascii="Malgun Gothic Semilight" w:hAnsi="Malgun Gothic Semilight" w:eastAsia="Malgun Gothic Semilight" w:cs="Malgun Gothic Semilight"/>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分部分项工程费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eastAsia="Arial Unicode MS" w:cs="Arial Unicode MS"/>
                <w:color w:val="auto"/>
                <w:szCs w:val="21"/>
                <w:highlight w:val="none"/>
                <w:u w:color="000000"/>
              </w:rPr>
              <w:t>A</w:t>
            </w:r>
            <w:r>
              <w:rPr>
                <w:rFonts w:hint="eastAsia" w:eastAsia="Arial Unicode MS" w:cs="Arial Unicode MS"/>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其中</w:t>
            </w:r>
            <w:r>
              <w:rPr>
                <w:rFonts w:hint="eastAsia" w:ascii="Malgun Gothic Semilight" w:hAnsi="Malgun Gothic Semilight" w:eastAsia="Malgun Gothic Semilight" w:cs="Malgun Gothic Semilight"/>
                <w:color w:val="auto"/>
                <w:szCs w:val="21"/>
                <w:highlight w:val="none"/>
                <w:u w:color="000000"/>
                <w:lang w:val="zh-TW" w:eastAsia="zh-TW"/>
              </w:rPr>
              <w:t>：</w:t>
            </w:r>
            <w:r>
              <w:rPr>
                <w:rFonts w:hint="eastAsia" w:ascii="微软雅黑" w:hAnsi="微软雅黑" w:cs="微软雅黑"/>
                <w:color w:val="auto"/>
                <w:szCs w:val="21"/>
                <w:highlight w:val="none"/>
                <w:u w:color="000000"/>
                <w:lang w:val="zh-TW" w:eastAsia="zh-TW"/>
              </w:rPr>
              <w:t>计费人工费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hint="eastAsia" w:ascii="微软雅黑" w:hAnsi="微软雅黑" w:cs="微软雅黑"/>
                <w:color w:val="auto"/>
                <w:szCs w:val="21"/>
                <w:highlight w:val="none"/>
                <w:u w:color="000000"/>
                <w:lang w:val="zh-TW" w:eastAsia="zh-TW"/>
              </w:rPr>
              <w:t>二</w:t>
            </w:r>
            <w:r>
              <w:rPr>
                <w:rFonts w:hint="eastAsia" w:ascii="Malgun Gothic Semilight" w:hAnsi="Malgun Gothic Semilight" w:eastAsia="Malgun Gothic Semilight" w:cs="Malgun Gothic Semilight"/>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措施项目费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eastAsia="Arial Unicode MS" w:cs="Arial Unicode MS"/>
                <w:color w:val="auto"/>
                <w:szCs w:val="21"/>
                <w:highlight w:val="none"/>
                <w:u w:color="000000"/>
              </w:rPr>
              <w:t>1</w:t>
            </w:r>
            <w:r>
              <w:rPr>
                <w:rFonts w:hint="eastAsia" w:eastAsia="Arial Unicode MS" w:cs="Arial Unicode MS"/>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单价措施项目费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eastAsia="Arial Unicode MS" w:cs="Arial Unicode MS"/>
                <w:color w:val="auto"/>
                <w:szCs w:val="21"/>
                <w:highlight w:val="none"/>
                <w:u w:color="000000"/>
              </w:rPr>
              <w:t>B</w:t>
            </w:r>
            <w:r>
              <w:rPr>
                <w:rFonts w:hint="eastAsia" w:eastAsia="Arial Unicode MS" w:cs="Arial Unicode MS"/>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其中</w:t>
            </w:r>
            <w:r>
              <w:rPr>
                <w:rFonts w:hint="eastAsia" w:ascii="Malgun Gothic Semilight" w:hAnsi="Malgun Gothic Semilight" w:eastAsia="Malgun Gothic Semilight" w:cs="Malgun Gothic Semilight"/>
                <w:color w:val="auto"/>
                <w:szCs w:val="21"/>
                <w:highlight w:val="none"/>
                <w:u w:color="000000"/>
                <w:lang w:val="zh-TW" w:eastAsia="zh-TW"/>
              </w:rPr>
              <w:t>：</w:t>
            </w:r>
            <w:r>
              <w:rPr>
                <w:rFonts w:hint="eastAsia" w:ascii="微软雅黑" w:hAnsi="微软雅黑" w:cs="微软雅黑"/>
                <w:color w:val="auto"/>
                <w:szCs w:val="21"/>
                <w:highlight w:val="none"/>
                <w:u w:color="000000"/>
                <w:lang w:val="zh-TW" w:eastAsia="zh-TW"/>
              </w:rPr>
              <w:t>计费人工费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eastAsia="Arial Unicode MS" w:cs="Arial Unicode MS"/>
                <w:color w:val="auto"/>
                <w:szCs w:val="21"/>
                <w:highlight w:val="none"/>
                <w:u w:color="000000"/>
              </w:rPr>
              <w:t>2</w:t>
            </w:r>
            <w:r>
              <w:rPr>
                <w:rFonts w:hint="eastAsia" w:eastAsia="Arial Unicode MS" w:cs="Arial Unicode MS"/>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总价措施项目费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ascii="宋体" w:hAnsi="宋体" w:eastAsia="Arial Unicode MS" w:cs="Arial Unicode MS"/>
                <w:color w:val="auto"/>
                <w:szCs w:val="21"/>
                <w:highlight w:val="none"/>
                <w:u w:color="000000"/>
              </w:rPr>
              <w:t>①</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安全文明施工费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ascii="宋体" w:hAnsi="宋体" w:eastAsia="Arial Unicode MS" w:cs="Arial Unicode MS"/>
                <w:color w:val="auto"/>
                <w:szCs w:val="21"/>
                <w:highlight w:val="none"/>
                <w:u w:color="000000"/>
              </w:rPr>
              <w:t>②</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其他措施项目费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ascii="宋体" w:hAnsi="宋体" w:eastAsia="Arial Unicode MS" w:cs="Arial Unicode MS"/>
                <w:color w:val="auto"/>
                <w:szCs w:val="21"/>
                <w:highlight w:val="none"/>
                <w:u w:color="000000"/>
              </w:rPr>
              <w:t>③</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专业工程措施项目费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hint="eastAsia" w:ascii="微软雅黑" w:hAnsi="微软雅黑" w:cs="微软雅黑"/>
                <w:color w:val="auto"/>
                <w:szCs w:val="21"/>
                <w:highlight w:val="none"/>
                <w:u w:color="000000"/>
                <w:lang w:val="zh-TW" w:eastAsia="zh-TW"/>
              </w:rPr>
              <w:t>三</w:t>
            </w:r>
            <w:r>
              <w:rPr>
                <w:rFonts w:hint="eastAsia" w:ascii="Malgun Gothic Semilight" w:hAnsi="Malgun Gothic Semilight" w:eastAsia="Malgun Gothic Semilight" w:cs="Malgun Gothic Semilight"/>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其他项目费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eastAsia="Arial Unicode MS" w:cs="Arial Unicode MS"/>
                <w:color w:val="auto"/>
                <w:szCs w:val="21"/>
                <w:highlight w:val="none"/>
                <w:u w:color="000000"/>
              </w:rPr>
              <w:t>3</w:t>
            </w:r>
            <w:r>
              <w:rPr>
                <w:rFonts w:hint="eastAsia" w:eastAsia="Arial Unicode MS" w:cs="Arial Unicode MS"/>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暂列金额</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eastAsia="Arial Unicode MS" w:cs="Arial Unicode MS"/>
                <w:color w:val="auto"/>
                <w:szCs w:val="21"/>
                <w:highlight w:val="none"/>
                <w:u w:color="000000"/>
              </w:rPr>
              <w:t>4</w:t>
            </w:r>
            <w:r>
              <w:rPr>
                <w:rFonts w:hint="eastAsia" w:eastAsia="Arial Unicode MS" w:cs="Arial Unicode MS"/>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专业工程暂估价</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eastAsia="Arial Unicode MS" w:cs="Arial Unicode MS"/>
                <w:color w:val="auto"/>
                <w:szCs w:val="21"/>
                <w:highlight w:val="none"/>
                <w:u w:color="000000"/>
              </w:rPr>
              <w:t>5</w:t>
            </w:r>
            <w:r>
              <w:rPr>
                <w:rFonts w:hint="eastAsia" w:eastAsia="Arial Unicode MS" w:cs="Arial Unicode MS"/>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计日工</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eastAsia="Arial Unicode MS" w:cs="Arial Unicode MS"/>
                <w:color w:val="auto"/>
                <w:szCs w:val="21"/>
                <w:highlight w:val="none"/>
                <w:u w:color="000000"/>
              </w:rPr>
              <w:t>6</w:t>
            </w:r>
            <w:r>
              <w:rPr>
                <w:rFonts w:hint="eastAsia" w:eastAsia="Arial Unicode MS" w:cs="Arial Unicode MS"/>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总承包服务费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hint="eastAsia" w:ascii="微软雅黑" w:hAnsi="微软雅黑" w:cs="微软雅黑"/>
                <w:color w:val="auto"/>
                <w:szCs w:val="21"/>
                <w:highlight w:val="none"/>
                <w:u w:color="000000"/>
                <w:lang w:val="zh-TW" w:eastAsia="zh-TW"/>
              </w:rPr>
              <w:t>四</w:t>
            </w:r>
            <w:r>
              <w:rPr>
                <w:rFonts w:hint="eastAsia" w:ascii="Malgun Gothic Semilight" w:hAnsi="Malgun Gothic Semilight" w:eastAsia="Malgun Gothic Semilight" w:cs="Malgun Gothic Semilight"/>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规费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hint="eastAsia" w:ascii="微软雅黑" w:hAnsi="微软雅黑" w:cs="微软雅黑"/>
                <w:color w:val="auto"/>
                <w:szCs w:val="21"/>
                <w:highlight w:val="none"/>
                <w:u w:color="000000"/>
                <w:lang w:val="zh-TW" w:eastAsia="zh-TW"/>
              </w:rPr>
              <w:t>五</w:t>
            </w:r>
            <w:r>
              <w:rPr>
                <w:rFonts w:hint="eastAsia" w:ascii="Malgun Gothic Semilight" w:hAnsi="Malgun Gothic Semilight" w:eastAsia="Malgun Gothic Semilight" w:cs="Malgun Gothic Semilight"/>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税金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13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eastAsia="Arial Unicode MS" w:cs="Arial Unicode MS"/>
                <w:color w:val="auto"/>
                <w:szCs w:val="21"/>
                <w:highlight w:val="none"/>
                <w:u w:color="000000"/>
                <w:lang w:val="zh-TW" w:eastAsia="zh-TW"/>
              </w:rPr>
              <w:t>（</w:t>
            </w:r>
            <w:r>
              <w:rPr>
                <w:rFonts w:hint="eastAsia" w:ascii="微软雅黑" w:hAnsi="微软雅黑" w:cs="微软雅黑"/>
                <w:color w:val="auto"/>
                <w:szCs w:val="21"/>
                <w:highlight w:val="none"/>
                <w:u w:color="000000"/>
                <w:lang w:val="zh-TW" w:eastAsia="zh-TW"/>
              </w:rPr>
              <w:t>六</w:t>
            </w:r>
            <w:r>
              <w:rPr>
                <w:rFonts w:hint="eastAsia" w:ascii="Malgun Gothic Semilight" w:hAnsi="Malgun Gothic Semilight" w:eastAsia="Malgun Gothic Semilight" w:cs="Malgun Gothic Semilight"/>
                <w:color w:val="auto"/>
                <w:szCs w:val="21"/>
                <w:highlight w:val="none"/>
                <w:u w:color="000000"/>
                <w:lang w:val="zh-TW" w:eastAsia="zh-TW"/>
              </w:rPr>
              <w:t>）</w:t>
            </w:r>
          </w:p>
        </w:tc>
        <w:tc>
          <w:tcPr>
            <w:tcW w:w="42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含税工程造价</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　</w:t>
            </w:r>
          </w:p>
        </w:tc>
      </w:tr>
    </w:tbl>
    <w:p>
      <w:pPr>
        <w:ind w:left="93" w:hanging="93"/>
        <w:rPr>
          <w:rFonts w:ascii="宋体" w:hAnsi="宋体" w:cs="宋体"/>
          <w:color w:val="auto"/>
          <w:szCs w:val="21"/>
          <w:highlight w:val="none"/>
          <w:u w:color="000000"/>
        </w:rPr>
      </w:pPr>
    </w:p>
    <w:p>
      <w:pPr>
        <w:jc w:val="right"/>
        <w:rPr>
          <w:rFonts w:ascii="宋体" w:hAnsi="宋体" w:cs="宋体"/>
          <w:color w:val="auto"/>
          <w:szCs w:val="21"/>
          <w:highlight w:val="none"/>
          <w:u w:color="000000"/>
        </w:rPr>
      </w:pPr>
    </w:p>
    <w:p>
      <w:pPr>
        <w:jc w:val="right"/>
        <w:rPr>
          <w:rFonts w:ascii="宋体" w:hAnsi="宋体" w:cs="宋体"/>
          <w:color w:val="auto"/>
          <w:sz w:val="36"/>
          <w:highlight w:val="none"/>
          <w:u w:color="000000"/>
        </w:rPr>
      </w:pPr>
      <w:r>
        <w:rPr>
          <w:rFonts w:hint="eastAsia" w:cs="Arial Unicode MS"/>
          <w:color w:val="auto"/>
          <w:szCs w:val="21"/>
          <w:highlight w:val="none"/>
          <w:u w:color="000000"/>
          <w:lang w:val="zh-TW" w:eastAsia="zh-TW"/>
        </w:rPr>
        <w:t>表</w:t>
      </w:r>
      <w:r>
        <w:rPr>
          <w:rFonts w:ascii="宋体" w:hAnsi="宋体" w:eastAsia="Arial Unicode MS" w:cs="Arial Unicode MS"/>
          <w:color w:val="auto"/>
          <w:szCs w:val="21"/>
          <w:highlight w:val="none"/>
          <w:u w:color="000000"/>
        </w:rPr>
        <w:t>—04</w:t>
      </w:r>
    </w:p>
    <w:p>
      <w:pPr>
        <w:jc w:val="center"/>
        <w:rPr>
          <w:rFonts w:eastAsia="Arial Unicode MS" w:cs="Arial Unicode MS"/>
          <w:color w:val="auto"/>
          <w:szCs w:val="21"/>
          <w:highlight w:val="none"/>
          <w:u w:color="000000"/>
        </w:rPr>
      </w:pPr>
      <w:r>
        <w:rPr>
          <w:rFonts w:ascii="Arial Unicode MS" w:hAnsi="Arial Unicode MS" w:eastAsia="Arial Unicode MS" w:cs="Arial Unicode MS"/>
          <w:color w:val="auto"/>
          <w:sz w:val="36"/>
          <w:highlight w:val="none"/>
          <w:u w:color="000000"/>
        </w:rPr>
        <w:br w:type="page"/>
      </w:r>
    </w:p>
    <w:p>
      <w:pPr>
        <w:jc w:val="center"/>
        <w:rPr>
          <w:rFonts w:ascii="宋体" w:hAnsi="宋体" w:cs="宋体"/>
          <w:color w:val="auto"/>
          <w:sz w:val="36"/>
          <w:highlight w:val="none"/>
          <w:u w:color="000000"/>
          <w:lang w:val="zh-TW"/>
        </w:rPr>
      </w:pPr>
      <w:r>
        <w:rPr>
          <w:rFonts w:hint="eastAsia" w:ascii="黑体" w:hAnsi="黑体" w:eastAsia="黑体" w:cs="Arial Unicode MS"/>
          <w:color w:val="auto"/>
          <w:sz w:val="28"/>
          <w:highlight w:val="none"/>
          <w:u w:color="000000"/>
          <w:lang w:val="zh-TW" w:eastAsia="zh-TW"/>
        </w:rPr>
        <w:t>分部分项工程和单价措施项目清单与计价表</w:t>
      </w:r>
    </w:p>
    <w:p>
      <w:pPr>
        <w:jc w:val="center"/>
        <w:rPr>
          <w:rFonts w:ascii="宋体" w:hAnsi="宋体" w:cs="宋体"/>
          <w:color w:val="auto"/>
          <w:sz w:val="36"/>
          <w:highlight w:val="none"/>
          <w:u w:color="000000"/>
          <w:lang w:val="zh-TW" w:eastAsia="zh-TW"/>
        </w:rPr>
      </w:pPr>
      <w:r>
        <w:rPr>
          <w:rFonts w:hint="eastAsia" w:cs="Arial Unicode MS"/>
          <w:color w:val="auto"/>
          <w:szCs w:val="21"/>
          <w:highlight w:val="none"/>
          <w:u w:color="000000"/>
          <w:lang w:val="zh-TW" w:eastAsia="zh-TW"/>
        </w:rPr>
        <w:t>工程名称：第  页共页</w:t>
      </w:r>
    </w:p>
    <w:tbl>
      <w:tblPr>
        <w:tblStyle w:val="83"/>
        <w:tblW w:w="959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97"/>
        <w:gridCol w:w="1008"/>
        <w:gridCol w:w="999"/>
        <w:gridCol w:w="2006"/>
        <w:gridCol w:w="998"/>
        <w:gridCol w:w="989"/>
        <w:gridCol w:w="978"/>
        <w:gridCol w:w="768"/>
        <w:gridCol w:w="95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3" w:hRule="atLeast"/>
          <w:jc w:val="center"/>
        </w:trPr>
        <w:tc>
          <w:tcPr>
            <w:tcW w:w="897" w:type="dxa"/>
            <w:vMerge w:val="restart"/>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序号</w:t>
            </w:r>
          </w:p>
        </w:tc>
        <w:tc>
          <w:tcPr>
            <w:tcW w:w="1008"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项目编码</w:t>
            </w:r>
          </w:p>
        </w:tc>
        <w:tc>
          <w:tcPr>
            <w:tcW w:w="999"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项目名称</w:t>
            </w:r>
          </w:p>
        </w:tc>
        <w:tc>
          <w:tcPr>
            <w:tcW w:w="2006"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项目特征描述</w:t>
            </w:r>
          </w:p>
        </w:tc>
        <w:tc>
          <w:tcPr>
            <w:tcW w:w="998"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计量单位</w:t>
            </w:r>
          </w:p>
        </w:tc>
        <w:tc>
          <w:tcPr>
            <w:tcW w:w="989"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工程量</w:t>
            </w:r>
          </w:p>
        </w:tc>
        <w:tc>
          <w:tcPr>
            <w:tcW w:w="2698" w:type="dxa"/>
            <w:gridSpan w:val="3"/>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金额</w:t>
            </w:r>
            <w:r>
              <w:rPr>
                <w:rFonts w:ascii="宋体" w:hAnsi="宋体" w:eastAsia="Arial Unicode MS" w:cs="Arial Unicode MS"/>
                <w:color w:val="auto"/>
                <w:kern w:val="0"/>
                <w:sz w:val="18"/>
                <w:szCs w:val="22"/>
                <w:highlight w:val="none"/>
                <w:u w:color="000000"/>
              </w:rPr>
              <w:t>(</w:t>
            </w:r>
            <w:r>
              <w:rPr>
                <w:rFonts w:hint="eastAsia" w:cs="Arial Unicode MS"/>
                <w:color w:val="auto"/>
                <w:kern w:val="0"/>
                <w:sz w:val="18"/>
                <w:szCs w:val="22"/>
                <w:highlight w:val="none"/>
                <w:u w:color="000000"/>
                <w:lang w:val="zh-TW" w:eastAsia="zh-TW"/>
              </w:rPr>
              <w:t>元</w:t>
            </w:r>
            <w:r>
              <w:rPr>
                <w:rFonts w:ascii="宋体" w:hAnsi="宋体" w:eastAsia="Arial Unicode MS" w:cs="Arial Unicode MS"/>
                <w:color w:val="auto"/>
                <w:kern w:val="0"/>
                <w:sz w:val="18"/>
                <w:szCs w:val="22"/>
                <w:highlight w:val="none"/>
                <w:u w:color="00000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03" w:hRule="atLeast"/>
          <w:jc w:val="center"/>
        </w:trPr>
        <w:tc>
          <w:tcPr>
            <w:tcW w:w="897" w:type="dxa"/>
            <w:vMerge w:val="continue"/>
            <w:tcBorders>
              <w:top w:val="single" w:color="000000" w:sz="12" w:space="0"/>
              <w:left w:val="single" w:color="000000" w:sz="12"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1008" w:type="dxa"/>
            <w:vMerge w:val="continue"/>
            <w:tcBorders>
              <w:top w:val="single" w:color="000000" w:sz="12"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999" w:type="dxa"/>
            <w:vMerge w:val="continue"/>
            <w:tcBorders>
              <w:top w:val="single" w:color="000000" w:sz="12"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2006" w:type="dxa"/>
            <w:vMerge w:val="continue"/>
            <w:tcBorders>
              <w:top w:val="single" w:color="000000" w:sz="12"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998" w:type="dxa"/>
            <w:vMerge w:val="continue"/>
            <w:tcBorders>
              <w:top w:val="single" w:color="000000" w:sz="12"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989" w:type="dxa"/>
            <w:vMerge w:val="continue"/>
            <w:tcBorders>
              <w:top w:val="single" w:color="000000" w:sz="12" w:space="0"/>
              <w:left w:val="single" w:color="000000" w:sz="6" w:space="0"/>
              <w:bottom w:val="single" w:color="000000" w:sz="6" w:space="0"/>
              <w:right w:val="single" w:color="000000" w:sz="6" w:space="0"/>
            </w:tcBorders>
            <w:shd w:val="clear" w:color="auto" w:fill="auto"/>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综合单价</w:t>
            </w: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合价</w:t>
            </w: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vAlign w:val="center"/>
          </w:tcPr>
          <w:p>
            <w:pPr>
              <w:spacing w:line="240" w:lineRule="exact"/>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其中：暂估价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897"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0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7875" w:type="dxa"/>
            <w:gridSpan w:val="7"/>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本页小计</w:t>
            </w:r>
          </w:p>
        </w:tc>
        <w:tc>
          <w:tcPr>
            <w:tcW w:w="76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7875" w:type="dxa"/>
            <w:gridSpan w:val="7"/>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合计</w:t>
            </w:r>
          </w:p>
        </w:tc>
        <w:tc>
          <w:tcPr>
            <w:tcW w:w="768" w:type="dxa"/>
            <w:tcBorders>
              <w:top w:val="single" w:color="000000" w:sz="6" w:space="0"/>
              <w:left w:val="single" w:color="000000" w:sz="6" w:space="0"/>
              <w:bottom w:val="single" w:color="000000" w:sz="12"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52" w:type="dxa"/>
            <w:tcBorders>
              <w:top w:val="single" w:color="000000" w:sz="6"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bl>
    <w:p>
      <w:pPr>
        <w:jc w:val="center"/>
        <w:rPr>
          <w:rFonts w:ascii="宋体" w:hAnsi="宋体" w:cs="宋体"/>
          <w:color w:val="auto"/>
          <w:szCs w:val="21"/>
          <w:highlight w:val="none"/>
          <w:u w:color="000000"/>
        </w:rPr>
      </w:pPr>
    </w:p>
    <w:p>
      <w:pPr>
        <w:jc w:val="right"/>
        <w:rPr>
          <w:rFonts w:ascii="宋体" w:hAnsi="宋体" w:cs="宋体"/>
          <w:color w:val="auto"/>
          <w:szCs w:val="21"/>
          <w:highlight w:val="none"/>
          <w:u w:color="000000"/>
        </w:rPr>
      </w:pPr>
    </w:p>
    <w:p>
      <w:pPr>
        <w:spacing w:after="120" w:line="380" w:lineRule="exact"/>
        <w:jc w:val="center"/>
        <w:rPr>
          <w:rFonts w:eastAsia="Arial Unicode MS" w:cs="Arial Unicode MS"/>
          <w:color w:val="auto"/>
          <w:szCs w:val="21"/>
          <w:highlight w:val="none"/>
          <w:u w:color="000000"/>
        </w:rPr>
      </w:pPr>
      <w:r>
        <w:rPr>
          <w:rFonts w:hint="eastAsia" w:eastAsia="黑体" w:cs="Arial Unicode MS"/>
          <w:color w:val="auto"/>
          <w:szCs w:val="21"/>
          <w:highlight w:val="none"/>
          <w:u w:color="000000"/>
          <w:lang w:val="zh-TW" w:eastAsia="zh-TW"/>
        </w:rPr>
        <w:t>注：此表供参考，具体计算程序及表格可按广联达最新计价软件执行。</w:t>
      </w:r>
      <w:r>
        <w:rPr>
          <w:rFonts w:ascii="Arial Unicode MS" w:hAnsi="Arial Unicode MS" w:eastAsia="Arial Unicode MS" w:cs="Arial Unicode MS"/>
          <w:color w:val="auto"/>
          <w:szCs w:val="21"/>
          <w:highlight w:val="none"/>
          <w:u w:color="000000"/>
        </w:rPr>
        <w:br w:type="page"/>
      </w:r>
    </w:p>
    <w:p>
      <w:pPr>
        <w:jc w:val="center"/>
        <w:rPr>
          <w:rFonts w:ascii="黑体" w:hAnsi="黑体" w:eastAsia="黑体" w:cs="Arial Unicode MS"/>
          <w:color w:val="auto"/>
          <w:sz w:val="28"/>
          <w:highlight w:val="none"/>
          <w:u w:color="000000"/>
          <w:lang w:val="zh-TW" w:eastAsia="zh-TW"/>
        </w:rPr>
      </w:pPr>
      <w:r>
        <w:rPr>
          <w:rFonts w:hint="eastAsia" w:ascii="黑体" w:hAnsi="黑体" w:eastAsia="黑体" w:cs="Arial Unicode MS"/>
          <w:color w:val="auto"/>
          <w:sz w:val="28"/>
          <w:highlight w:val="none"/>
          <w:u w:color="000000"/>
          <w:lang w:val="zh-TW" w:eastAsia="zh-TW"/>
        </w:rPr>
        <w:t>综合单价分析表</w:t>
      </w:r>
    </w:p>
    <w:p>
      <w:pPr>
        <w:spacing w:after="120"/>
        <w:rPr>
          <w:rFonts w:ascii="宋体" w:hAnsi="宋体" w:cs="宋体"/>
          <w:color w:val="auto"/>
          <w:szCs w:val="21"/>
          <w:highlight w:val="none"/>
          <w:u w:color="000000"/>
          <w:lang w:val="zh-TW" w:eastAsia="zh-TW"/>
        </w:rPr>
      </w:pPr>
      <w:r>
        <w:rPr>
          <w:rFonts w:hint="eastAsia" w:cs="Arial Unicode MS"/>
          <w:color w:val="auto"/>
          <w:szCs w:val="21"/>
          <w:highlight w:val="none"/>
          <w:u w:color="000000"/>
          <w:lang w:val="zh-TW" w:eastAsia="zh-TW"/>
        </w:rPr>
        <w:t>工程名称：                          标段                     第    页 共    页</w:t>
      </w:r>
    </w:p>
    <w:tbl>
      <w:tblPr>
        <w:tblStyle w:val="83"/>
        <w:tblW w:w="929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65"/>
        <w:gridCol w:w="144"/>
        <w:gridCol w:w="198"/>
        <w:gridCol w:w="594"/>
        <w:gridCol w:w="519"/>
        <w:gridCol w:w="427"/>
        <w:gridCol w:w="392"/>
        <w:gridCol w:w="393"/>
        <w:gridCol w:w="393"/>
        <w:gridCol w:w="388"/>
        <w:gridCol w:w="402"/>
        <w:gridCol w:w="393"/>
        <w:gridCol w:w="248"/>
        <w:gridCol w:w="144"/>
        <w:gridCol w:w="175"/>
        <w:gridCol w:w="220"/>
        <w:gridCol w:w="260"/>
        <w:gridCol w:w="144"/>
        <w:gridCol w:w="143"/>
        <w:gridCol w:w="375"/>
        <w:gridCol w:w="233"/>
        <w:gridCol w:w="142"/>
        <w:gridCol w:w="146"/>
        <w:gridCol w:w="405"/>
        <w:gridCol w:w="184"/>
        <w:gridCol w:w="143"/>
        <w:gridCol w:w="145"/>
        <w:gridCol w:w="334"/>
        <w:gridCol w:w="148"/>
        <w:gridCol w:w="300"/>
        <w:gridCol w:w="287"/>
        <w:gridCol w:w="4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0" w:hRule="atLeast"/>
          <w:jc w:val="center"/>
        </w:trPr>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项目</w:t>
            </w:r>
          </w:p>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编码</w:t>
            </w:r>
          </w:p>
        </w:tc>
        <w:tc>
          <w:tcPr>
            <w:tcW w:w="15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项目名称</w:t>
            </w:r>
          </w:p>
        </w:tc>
        <w:tc>
          <w:tcPr>
            <w:tcW w:w="136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6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计量</w:t>
            </w:r>
          </w:p>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单位</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2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工程量</w:t>
            </w:r>
          </w:p>
        </w:tc>
        <w:tc>
          <w:tcPr>
            <w:tcW w:w="106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15" w:type="dxa"/>
            <w:tcBorders>
              <w:top w:val="nil"/>
              <w:left w:val="single" w:color="000000" w:sz="4" w:space="0"/>
              <w:bottom w:val="nil"/>
              <w:right w:val="nil"/>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4" w:hRule="atLeast"/>
          <w:jc w:val="center"/>
        </w:trPr>
        <w:tc>
          <w:tcPr>
            <w:tcW w:w="8884" w:type="dxa"/>
            <w:gridSpan w:val="3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综合单价组成明细</w:t>
            </w:r>
          </w:p>
        </w:tc>
        <w:tc>
          <w:tcPr>
            <w:tcW w:w="415" w:type="dxa"/>
            <w:tcBorders>
              <w:top w:val="nil"/>
              <w:left w:val="single" w:color="000000" w:sz="4" w:space="0"/>
              <w:bottom w:val="nil"/>
              <w:right w:val="nil"/>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4" w:hRule="atLeast"/>
          <w:jc w:val="center"/>
        </w:trPr>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定额</w:t>
            </w:r>
          </w:p>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编号</w:t>
            </w:r>
          </w:p>
        </w:tc>
        <w:tc>
          <w:tcPr>
            <w:tcW w:w="7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定额项目名称</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定额单位</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数</w:t>
            </w:r>
          </w:p>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量</w:t>
            </w:r>
          </w:p>
        </w:tc>
        <w:tc>
          <w:tcPr>
            <w:tcW w:w="3148"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单价（元）</w:t>
            </w:r>
          </w:p>
        </w:tc>
        <w:tc>
          <w:tcPr>
            <w:tcW w:w="3389" w:type="dxa"/>
            <w:gridSpan w:val="1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合价（元）</w:t>
            </w:r>
          </w:p>
        </w:tc>
        <w:tc>
          <w:tcPr>
            <w:tcW w:w="415" w:type="dxa"/>
            <w:tcBorders>
              <w:top w:val="nil"/>
              <w:left w:val="single" w:color="000000" w:sz="4" w:space="0"/>
              <w:bottom w:val="nil"/>
              <w:right w:val="nil"/>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14" w:hRule="atLeast"/>
          <w:jc w:val="center"/>
        </w:trPr>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人工费</w:t>
            </w: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人工费价差</w:t>
            </w: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材料费</w:t>
            </w: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材料风险费</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机械费</w:t>
            </w: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机械风险费</w:t>
            </w:r>
          </w:p>
        </w:tc>
        <w:tc>
          <w:tcPr>
            <w:tcW w:w="3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企业管</w:t>
            </w:r>
          </w:p>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理费</w:t>
            </w: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利</w:t>
            </w:r>
          </w:p>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润</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人工费</w:t>
            </w: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人工费价差</w:t>
            </w: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材料费</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材料风险费</w:t>
            </w:r>
          </w:p>
        </w:tc>
        <w:tc>
          <w:tcPr>
            <w:tcW w:w="3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机械费</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机械风险费</w:t>
            </w: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企业管</w:t>
            </w:r>
          </w:p>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理费</w:t>
            </w:r>
          </w:p>
        </w:tc>
        <w:tc>
          <w:tcPr>
            <w:tcW w:w="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利</w:t>
            </w:r>
          </w:p>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润</w:t>
            </w:r>
          </w:p>
        </w:tc>
        <w:tc>
          <w:tcPr>
            <w:tcW w:w="415" w:type="dxa"/>
            <w:tcBorders>
              <w:top w:val="nil"/>
              <w:left w:val="single" w:color="000000" w:sz="4" w:space="0"/>
              <w:bottom w:val="nil"/>
              <w:right w:val="nil"/>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4" w:hRule="atLeast"/>
          <w:jc w:val="center"/>
        </w:trPr>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15" w:type="dxa"/>
            <w:tcBorders>
              <w:top w:val="nil"/>
              <w:left w:val="single" w:color="000000" w:sz="4" w:space="0"/>
              <w:bottom w:val="nil"/>
              <w:right w:val="nil"/>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4" w:hRule="atLeast"/>
          <w:jc w:val="center"/>
        </w:trPr>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9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15" w:type="dxa"/>
            <w:tcBorders>
              <w:top w:val="nil"/>
              <w:left w:val="single" w:color="000000" w:sz="4" w:space="0"/>
              <w:bottom w:val="nil"/>
              <w:right w:val="nil"/>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4" w:hRule="atLeast"/>
          <w:jc w:val="center"/>
        </w:trPr>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人工单价</w:t>
            </w:r>
          </w:p>
        </w:tc>
        <w:tc>
          <w:tcPr>
            <w:tcW w:w="4094"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小        计</w:t>
            </w:r>
          </w:p>
        </w:tc>
        <w:tc>
          <w:tcPr>
            <w:tcW w:w="4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2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4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415" w:type="dxa"/>
            <w:tcBorders>
              <w:top w:val="nil"/>
              <w:left w:val="single" w:color="000000" w:sz="4" w:space="0"/>
              <w:bottom w:val="nil"/>
              <w:right w:val="nil"/>
            </w:tcBorders>
            <w:shd w:val="clear" w:color="auto" w:fill="auto"/>
            <w:tcMar>
              <w:top w:w="80" w:type="dxa"/>
              <w:left w:w="80" w:type="dxa"/>
              <w:bottom w:w="80" w:type="dxa"/>
              <w:right w:w="80"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4" w:hRule="atLeast"/>
          <w:jc w:val="center"/>
        </w:trPr>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ind w:right="-85"/>
              <w:jc w:val="right"/>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元</w:t>
            </w:r>
            <w:r>
              <w:rPr>
                <w:rFonts w:ascii="宋体" w:hAnsi="宋体" w:eastAsia="Arial Unicode MS" w:cs="Arial Unicode MS"/>
                <w:color w:val="auto"/>
                <w:szCs w:val="21"/>
                <w:highlight w:val="none"/>
                <w:u w:color="000000"/>
              </w:rPr>
              <w:t>/</w:t>
            </w:r>
            <w:r>
              <w:rPr>
                <w:rFonts w:hint="eastAsia" w:cs="Arial Unicode MS"/>
                <w:color w:val="auto"/>
                <w:szCs w:val="21"/>
                <w:highlight w:val="none"/>
                <w:u w:color="000000"/>
                <w:lang w:val="zh-TW" w:eastAsia="zh-TW"/>
              </w:rPr>
              <w:t>工</w:t>
            </w:r>
            <w:r>
              <w:rPr>
                <w:rFonts w:hint="eastAsia" w:cs="Arial Unicode MS"/>
                <w:color w:val="auto"/>
                <w:szCs w:val="21"/>
                <w:highlight w:val="none"/>
                <w:u w:color="000000"/>
                <w:lang w:val="zh-TW"/>
              </w:rPr>
              <w:t>日</w:t>
            </w:r>
          </w:p>
        </w:tc>
        <w:tc>
          <w:tcPr>
            <w:tcW w:w="4094"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未计价材料费</w:t>
            </w:r>
          </w:p>
        </w:tc>
        <w:tc>
          <w:tcPr>
            <w:tcW w:w="3389" w:type="dxa"/>
            <w:gridSpan w:val="1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395" w:type="dxa"/>
            </w:tcMar>
            <w:vAlign w:val="center"/>
          </w:tcPr>
          <w:p>
            <w:pPr>
              <w:rPr>
                <w:color w:val="auto"/>
                <w:kern w:val="0"/>
                <w:sz w:val="24"/>
                <w:szCs w:val="22"/>
                <w:highlight w:val="none"/>
                <w:lang w:eastAsia="en-US"/>
              </w:rPr>
            </w:pPr>
          </w:p>
        </w:tc>
        <w:tc>
          <w:tcPr>
            <w:tcW w:w="415" w:type="dxa"/>
            <w:tcBorders>
              <w:top w:val="nil"/>
              <w:left w:val="single" w:color="000000" w:sz="4" w:space="0"/>
              <w:bottom w:val="single" w:color="000000" w:sz="4" w:space="0"/>
              <w:right w:val="nil"/>
            </w:tcBorders>
            <w:shd w:val="clear" w:color="auto" w:fill="auto"/>
            <w:tcMar>
              <w:right w:w="395" w:type="dxa"/>
            </w:tcMa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0" w:hRule="atLeast"/>
          <w:jc w:val="center"/>
        </w:trPr>
        <w:tc>
          <w:tcPr>
            <w:tcW w:w="5755" w:type="dxa"/>
            <w:gridSpan w:val="1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清单项目综合单价（元）</w:t>
            </w:r>
          </w:p>
        </w:tc>
        <w:tc>
          <w:tcPr>
            <w:tcW w:w="3544" w:type="dxa"/>
            <w:gridSpan w:val="1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0"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材</w:t>
            </w:r>
          </w:p>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料</w:t>
            </w:r>
          </w:p>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费</w:t>
            </w:r>
          </w:p>
          <w:p>
            <w:pPr>
              <w:spacing w:after="120"/>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明</w:t>
            </w:r>
          </w:p>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细</w:t>
            </w:r>
          </w:p>
        </w:tc>
        <w:tc>
          <w:tcPr>
            <w:tcW w:w="38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主要材料名称、规格、型号</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单位</w:t>
            </w:r>
          </w:p>
        </w:tc>
        <w:tc>
          <w:tcPr>
            <w:tcW w:w="79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数量</w:t>
            </w:r>
          </w:p>
        </w:tc>
        <w:tc>
          <w:tcPr>
            <w:tcW w:w="89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单价（元）</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合价（元）</w:t>
            </w: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暂估单价（元）</w:t>
            </w:r>
          </w:p>
        </w:tc>
        <w:tc>
          <w:tcPr>
            <w:tcW w:w="100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暂估合价（元）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38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0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38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0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5290" w:type="dxa"/>
            <w:gridSpan w:val="1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其他材料费</w:t>
            </w:r>
          </w:p>
        </w:tc>
        <w:tc>
          <w:tcPr>
            <w:tcW w:w="89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ascii="宋体" w:hAnsi="宋体" w:eastAsia="Arial Unicode MS" w:cs="Arial Unicode MS"/>
                <w:color w:val="auto"/>
                <w:szCs w:val="21"/>
                <w:highlight w:val="none"/>
                <w:u w:color="000000"/>
              </w:rPr>
              <w:t>—</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ascii="宋体" w:hAnsi="宋体" w:eastAsia="Arial Unicode MS" w:cs="Arial Unicode MS"/>
                <w:color w:val="auto"/>
                <w:szCs w:val="21"/>
                <w:highlight w:val="none"/>
                <w:u w:color="000000"/>
              </w:rPr>
              <w:t>—</w:t>
            </w:r>
          </w:p>
        </w:tc>
        <w:tc>
          <w:tcPr>
            <w:tcW w:w="100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5290" w:type="dxa"/>
            <w:gridSpan w:val="1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材料费小计</w:t>
            </w:r>
          </w:p>
        </w:tc>
        <w:tc>
          <w:tcPr>
            <w:tcW w:w="89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ascii="宋体" w:hAnsi="宋体" w:eastAsia="Arial Unicode MS" w:cs="Arial Unicode MS"/>
                <w:color w:val="auto"/>
                <w:szCs w:val="21"/>
                <w:highlight w:val="none"/>
                <w:u w:color="000000"/>
              </w:rPr>
              <w:t>—</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120"/>
              <w:jc w:val="center"/>
              <w:rPr>
                <w:rFonts w:eastAsia="Arial Unicode MS" w:cs="Arial Unicode MS"/>
                <w:color w:val="auto"/>
                <w:szCs w:val="21"/>
                <w:highlight w:val="none"/>
                <w:u w:color="000000"/>
              </w:rPr>
            </w:pPr>
            <w:r>
              <w:rPr>
                <w:rFonts w:ascii="宋体" w:hAnsi="宋体" w:eastAsia="Arial Unicode MS" w:cs="Arial Unicode MS"/>
                <w:color w:val="auto"/>
                <w:szCs w:val="21"/>
                <w:highlight w:val="none"/>
                <w:u w:color="000000"/>
              </w:rPr>
              <w:t>—</w:t>
            </w:r>
          </w:p>
        </w:tc>
        <w:tc>
          <w:tcPr>
            <w:tcW w:w="100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bl>
    <w:p>
      <w:pPr>
        <w:spacing w:after="120"/>
        <w:jc w:val="center"/>
        <w:rPr>
          <w:rFonts w:ascii="宋体" w:hAnsi="宋体" w:cs="宋体"/>
          <w:color w:val="auto"/>
          <w:szCs w:val="21"/>
          <w:highlight w:val="none"/>
          <w:u w:color="000000"/>
          <w:lang w:val="zh-TW" w:eastAsia="zh-TW"/>
        </w:rPr>
      </w:pPr>
    </w:p>
    <w:p>
      <w:pPr>
        <w:tabs>
          <w:tab w:val="left" w:pos="4800"/>
        </w:tabs>
        <w:rPr>
          <w:rFonts w:eastAsia="Arial Unicode MS" w:cs="Arial Unicode MS"/>
          <w:color w:val="auto"/>
          <w:szCs w:val="21"/>
          <w:highlight w:val="none"/>
          <w:u w:color="000000"/>
        </w:rPr>
      </w:pPr>
      <w:r>
        <w:rPr>
          <w:rFonts w:hint="eastAsia" w:cs="Arial Unicode MS"/>
          <w:color w:val="auto"/>
          <w:szCs w:val="21"/>
          <w:highlight w:val="none"/>
          <w:u w:color="000000"/>
          <w:lang w:val="zh-TW" w:eastAsia="zh-TW"/>
        </w:rPr>
        <w:t>注：此表供参考，具体计算程序及表格可按广联达最新计价软件执行。</w:t>
      </w:r>
      <w:r>
        <w:rPr>
          <w:rFonts w:ascii="Arial Unicode MS" w:hAnsi="Arial Unicode MS" w:eastAsia="Arial Unicode MS" w:cs="Arial Unicode MS"/>
          <w:color w:val="auto"/>
          <w:szCs w:val="21"/>
          <w:highlight w:val="none"/>
          <w:u w:color="000000"/>
        </w:rPr>
        <w:br w:type="page"/>
      </w:r>
    </w:p>
    <w:p>
      <w:pPr>
        <w:tabs>
          <w:tab w:val="left" w:pos="4800"/>
        </w:tabs>
        <w:jc w:val="center"/>
        <w:rPr>
          <w:rFonts w:ascii="宋体" w:hAnsi="宋体" w:cs="宋体"/>
          <w:color w:val="auto"/>
          <w:kern w:val="0"/>
          <w:sz w:val="36"/>
          <w:highlight w:val="none"/>
          <w:u w:color="000000"/>
          <w:lang w:val="zh-TW" w:eastAsia="zh-TW"/>
        </w:rPr>
      </w:pPr>
      <w:r>
        <w:rPr>
          <w:rFonts w:hint="eastAsia" w:ascii="黑体" w:hAnsi="黑体" w:eastAsia="黑体" w:cs="Arial Unicode MS"/>
          <w:color w:val="auto"/>
          <w:sz w:val="28"/>
          <w:highlight w:val="none"/>
          <w:u w:color="000000"/>
          <w:lang w:val="zh-TW" w:eastAsia="zh-TW"/>
        </w:rPr>
        <w:t>总价措施项目清单与计价表</w:t>
      </w:r>
    </w:p>
    <w:p>
      <w:pPr>
        <w:tabs>
          <w:tab w:val="left" w:pos="4800"/>
        </w:tabs>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工程名称：第  页共页</w:t>
      </w:r>
    </w:p>
    <w:tbl>
      <w:tblPr>
        <w:tblStyle w:val="83"/>
        <w:tblW w:w="901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558"/>
        <w:gridCol w:w="1080"/>
        <w:gridCol w:w="1257"/>
        <w:gridCol w:w="1080"/>
        <w:gridCol w:w="1086"/>
        <w:gridCol w:w="894"/>
        <w:gridCol w:w="900"/>
        <w:gridCol w:w="1080"/>
        <w:gridCol w:w="10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7" w:hRule="atLeast"/>
          <w:jc w:val="center"/>
        </w:trPr>
        <w:tc>
          <w:tcPr>
            <w:tcW w:w="558"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序号</w:t>
            </w:r>
          </w:p>
        </w:tc>
        <w:tc>
          <w:tcPr>
            <w:tcW w:w="108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项目编码</w:t>
            </w:r>
          </w:p>
        </w:tc>
        <w:tc>
          <w:tcPr>
            <w:tcW w:w="1257"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项目名称</w:t>
            </w:r>
          </w:p>
        </w:tc>
        <w:tc>
          <w:tcPr>
            <w:tcW w:w="108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计算基础</w:t>
            </w:r>
          </w:p>
        </w:tc>
        <w:tc>
          <w:tcPr>
            <w:tcW w:w="1086"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费率（</w:t>
            </w:r>
            <w:r>
              <w:rPr>
                <w:rFonts w:ascii="宋体" w:hAnsi="宋体" w:eastAsia="Arial Unicode MS" w:cs="Arial Unicode MS"/>
                <w:color w:val="auto"/>
                <w:kern w:val="0"/>
                <w:sz w:val="18"/>
                <w:szCs w:val="22"/>
                <w:highlight w:val="none"/>
                <w:u w:color="000000"/>
              </w:rPr>
              <w:t>%</w:t>
            </w:r>
            <w:r>
              <w:rPr>
                <w:rFonts w:hint="eastAsia" w:cs="Arial Unicode MS"/>
                <w:color w:val="auto"/>
                <w:kern w:val="0"/>
                <w:sz w:val="18"/>
                <w:szCs w:val="22"/>
                <w:highlight w:val="none"/>
                <w:u w:color="000000"/>
                <w:lang w:val="zh-TW" w:eastAsia="zh-TW"/>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金额</w:t>
            </w:r>
            <w:r>
              <w:rPr>
                <w:rFonts w:eastAsia="Arial Unicode MS" w:cs="Arial Unicode MS"/>
                <w:color w:val="auto"/>
                <w:sz w:val="18"/>
                <w:szCs w:val="22"/>
                <w:highlight w:val="none"/>
                <w:u w:color="000000"/>
              </w:rPr>
              <w:t>(</w:t>
            </w:r>
            <w:r>
              <w:rPr>
                <w:rFonts w:hint="eastAsia" w:cs="Arial Unicode MS"/>
                <w:color w:val="auto"/>
                <w:sz w:val="18"/>
                <w:szCs w:val="22"/>
                <w:highlight w:val="none"/>
                <w:u w:color="000000"/>
                <w:lang w:val="zh-TW" w:eastAsia="zh-TW"/>
              </w:rPr>
              <w:t>元</w:t>
            </w:r>
            <w:r>
              <w:rPr>
                <w:rFonts w:eastAsia="Arial Unicode MS" w:cs="Arial Unicode MS"/>
                <w:color w:val="auto"/>
                <w:sz w:val="18"/>
                <w:szCs w:val="22"/>
                <w:highlight w:val="none"/>
                <w:u w:color="000000"/>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调整费率</w:t>
            </w:r>
            <w:r>
              <w:rPr>
                <w:rFonts w:eastAsia="Arial Unicode MS" w:cs="Arial Unicode MS"/>
                <w:color w:val="auto"/>
                <w:sz w:val="18"/>
                <w:szCs w:val="22"/>
                <w:highlight w:val="none"/>
                <w:u w:color="000000"/>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调整后金额</w:t>
            </w:r>
            <w:r>
              <w:rPr>
                <w:rFonts w:eastAsia="Arial Unicode MS" w:cs="Arial Unicode MS"/>
                <w:color w:val="auto"/>
                <w:sz w:val="18"/>
                <w:szCs w:val="22"/>
                <w:highlight w:val="none"/>
                <w:u w:color="000000"/>
              </w:rPr>
              <w:t>(</w:t>
            </w:r>
            <w:r>
              <w:rPr>
                <w:rFonts w:hint="eastAsia" w:cs="Arial Unicode MS"/>
                <w:color w:val="auto"/>
                <w:sz w:val="18"/>
                <w:szCs w:val="22"/>
                <w:highlight w:val="none"/>
                <w:u w:color="000000"/>
                <w:lang w:val="zh-TW" w:eastAsia="zh-TW"/>
              </w:rPr>
              <w:t>元</w:t>
            </w:r>
            <w:r>
              <w:rPr>
                <w:rFonts w:eastAsia="Arial Unicode MS" w:cs="Arial Unicode MS"/>
                <w:color w:val="auto"/>
                <w:sz w:val="18"/>
                <w:szCs w:val="22"/>
                <w:highlight w:val="none"/>
                <w:u w:color="000000"/>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1"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1"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1"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1"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06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合计</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color w:val="auto"/>
                <w:kern w:val="0"/>
                <w:sz w:val="24"/>
                <w:szCs w:val="22"/>
                <w:highlight w:val="none"/>
                <w:lang w:eastAsia="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bl>
    <w:p>
      <w:pPr>
        <w:tabs>
          <w:tab w:val="left" w:pos="4800"/>
        </w:tabs>
        <w:ind w:left="93" w:hanging="93"/>
        <w:jc w:val="center"/>
        <w:rPr>
          <w:rFonts w:ascii="宋体" w:hAnsi="宋体" w:cs="宋体"/>
          <w:color w:val="auto"/>
          <w:szCs w:val="21"/>
          <w:highlight w:val="none"/>
          <w:u w:color="000000"/>
        </w:rPr>
      </w:pPr>
    </w:p>
    <w:p>
      <w:pPr>
        <w:tabs>
          <w:tab w:val="left" w:pos="4800"/>
        </w:tabs>
        <w:rPr>
          <w:rFonts w:ascii="宋体" w:hAnsi="宋体" w:cs="宋体"/>
          <w:color w:val="auto"/>
          <w:szCs w:val="21"/>
          <w:highlight w:val="none"/>
          <w:u w:color="000000"/>
          <w:lang w:val="zh-TW" w:eastAsia="zh-TW"/>
        </w:rPr>
      </w:pPr>
      <w:r>
        <w:rPr>
          <w:rFonts w:hint="eastAsia" w:cs="Arial Unicode MS"/>
          <w:color w:val="auto"/>
          <w:szCs w:val="21"/>
          <w:highlight w:val="none"/>
          <w:u w:color="000000"/>
          <w:lang w:val="zh-TW" w:eastAsia="zh-TW"/>
        </w:rPr>
        <w:t>注：此表供参考，具体计算程序及表格可按广联达最新计价软件执行。</w:t>
      </w:r>
    </w:p>
    <w:p>
      <w:pPr>
        <w:tabs>
          <w:tab w:val="left" w:pos="4800"/>
        </w:tabs>
        <w:jc w:val="center"/>
        <w:rPr>
          <w:rFonts w:eastAsia="Arial Unicode MS" w:cs="Arial Unicode MS"/>
          <w:color w:val="auto"/>
          <w:szCs w:val="21"/>
          <w:highlight w:val="none"/>
          <w:u w:color="000000"/>
        </w:rPr>
      </w:pPr>
      <w:r>
        <w:rPr>
          <w:rFonts w:ascii="Arial Unicode MS" w:hAnsi="Arial Unicode MS" w:eastAsia="Arial Unicode MS" w:cs="Arial Unicode MS"/>
          <w:color w:val="auto"/>
          <w:szCs w:val="21"/>
          <w:highlight w:val="none"/>
          <w:u w:color="000000"/>
        </w:rPr>
        <w:br w:type="page"/>
      </w:r>
    </w:p>
    <w:p>
      <w:pPr>
        <w:tabs>
          <w:tab w:val="left" w:pos="4800"/>
        </w:tabs>
        <w:jc w:val="center"/>
        <w:rPr>
          <w:rFonts w:ascii="宋体" w:hAnsi="宋体" w:cs="宋体"/>
          <w:color w:val="auto"/>
          <w:kern w:val="0"/>
          <w:sz w:val="36"/>
          <w:highlight w:val="none"/>
          <w:u w:color="000000"/>
          <w:lang w:val="zh-TW" w:eastAsia="zh-TW"/>
        </w:rPr>
      </w:pPr>
      <w:r>
        <w:rPr>
          <w:rFonts w:hint="eastAsia" w:ascii="黑体" w:hAnsi="黑体" w:eastAsia="黑体" w:cs="Arial Unicode MS"/>
          <w:color w:val="auto"/>
          <w:sz w:val="28"/>
          <w:highlight w:val="none"/>
          <w:u w:color="000000"/>
          <w:lang w:val="zh-TW" w:eastAsia="zh-TW"/>
        </w:rPr>
        <w:t>其他项目清单与计价汇总表</w:t>
      </w:r>
    </w:p>
    <w:p>
      <w:pPr>
        <w:tabs>
          <w:tab w:val="left" w:pos="4800"/>
        </w:tabs>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工程名称：第  页共页</w:t>
      </w:r>
    </w:p>
    <w:tbl>
      <w:tblPr>
        <w:tblStyle w:val="83"/>
        <w:tblW w:w="870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960"/>
        <w:gridCol w:w="2849"/>
        <w:gridCol w:w="1414"/>
        <w:gridCol w:w="1595"/>
        <w:gridCol w:w="1122"/>
        <w:gridCol w:w="76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0" w:hRule="atLeast"/>
          <w:jc w:val="center"/>
        </w:trPr>
        <w:tc>
          <w:tcPr>
            <w:tcW w:w="960"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序号</w:t>
            </w:r>
          </w:p>
        </w:tc>
        <w:tc>
          <w:tcPr>
            <w:tcW w:w="2849"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项目名称</w:t>
            </w:r>
          </w:p>
        </w:tc>
        <w:tc>
          <w:tcPr>
            <w:tcW w:w="1414"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计量单位</w:t>
            </w:r>
          </w:p>
        </w:tc>
        <w:tc>
          <w:tcPr>
            <w:tcW w:w="1595"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金额（元）</w:t>
            </w:r>
          </w:p>
        </w:tc>
        <w:tc>
          <w:tcPr>
            <w:tcW w:w="1885" w:type="dxa"/>
            <w:gridSpan w:val="2"/>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暂列金额</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明细详见表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2</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暂估价</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2.1</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材料（工程设备）暂估价</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明细详见表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2.2</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专业工程暂估价</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明细详见表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3</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计日工</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明细详见表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4</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总承包服务费</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明细详见表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885" w:type="dxa"/>
            <w:gridSpan w:val="2"/>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0" w:hRule="atLeast"/>
          <w:jc w:val="center"/>
        </w:trPr>
        <w:tc>
          <w:tcPr>
            <w:tcW w:w="3809" w:type="dxa"/>
            <w:gridSpan w:val="2"/>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合     计</w:t>
            </w:r>
          </w:p>
        </w:tc>
        <w:tc>
          <w:tcPr>
            <w:tcW w:w="1414"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595"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885" w:type="dxa"/>
            <w:gridSpan w:val="2"/>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940" w:type="dxa"/>
            <w:gridSpan w:val="5"/>
            <w:tcBorders>
              <w:top w:val="single" w:color="000000" w:sz="8" w:space="0"/>
              <w:left w:val="nil"/>
              <w:bottom w:val="nil"/>
              <w:right w:val="nil"/>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xml:space="preserve">注：材料（工程设备）暂估单价进入清单项目综合单价，此处不汇总。 </w:t>
            </w:r>
          </w:p>
        </w:tc>
        <w:tc>
          <w:tcPr>
            <w:tcW w:w="763" w:type="dxa"/>
            <w:tcBorders>
              <w:top w:val="single" w:color="000000" w:sz="8" w:space="0"/>
              <w:left w:val="nil"/>
              <w:bottom w:val="nil"/>
              <w:right w:val="nil"/>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bl>
    <w:p>
      <w:pPr>
        <w:tabs>
          <w:tab w:val="left" w:pos="4800"/>
        </w:tabs>
        <w:ind w:left="93" w:hanging="93"/>
        <w:jc w:val="center"/>
        <w:rPr>
          <w:rFonts w:ascii="宋体" w:hAnsi="宋体" w:cs="宋体"/>
          <w:color w:val="auto"/>
          <w:szCs w:val="21"/>
          <w:highlight w:val="none"/>
          <w:u w:color="000000"/>
        </w:rPr>
      </w:pPr>
    </w:p>
    <w:p>
      <w:pPr>
        <w:rPr>
          <w:rFonts w:ascii="宋体" w:hAnsi="宋体" w:cs="宋体"/>
          <w:color w:val="auto"/>
          <w:szCs w:val="21"/>
          <w:highlight w:val="none"/>
          <w:u w:color="000000"/>
        </w:rPr>
      </w:pPr>
    </w:p>
    <w:p>
      <w:pPr>
        <w:jc w:val="center"/>
        <w:rPr>
          <w:rFonts w:eastAsia="Arial Unicode MS" w:cs="Arial Unicode MS"/>
          <w:color w:val="auto"/>
          <w:szCs w:val="21"/>
          <w:highlight w:val="none"/>
          <w:u w:color="000000"/>
        </w:rPr>
      </w:pPr>
      <w:r>
        <w:rPr>
          <w:rFonts w:ascii="Arial Unicode MS" w:hAnsi="Arial Unicode MS" w:eastAsia="Arial Unicode MS" w:cs="Arial Unicode MS"/>
          <w:color w:val="auto"/>
          <w:szCs w:val="21"/>
          <w:highlight w:val="none"/>
          <w:u w:color="000000"/>
        </w:rPr>
        <w:br w:type="page"/>
      </w:r>
    </w:p>
    <w:p>
      <w:pPr>
        <w:tabs>
          <w:tab w:val="left" w:pos="4800"/>
        </w:tabs>
        <w:jc w:val="center"/>
        <w:rPr>
          <w:rFonts w:ascii="黑体" w:hAnsi="黑体" w:eastAsia="黑体" w:cs="Arial Unicode MS"/>
          <w:color w:val="auto"/>
          <w:sz w:val="28"/>
          <w:highlight w:val="none"/>
          <w:u w:color="000000"/>
          <w:lang w:val="zh-TW" w:eastAsia="zh-TW"/>
        </w:rPr>
      </w:pPr>
      <w:r>
        <w:rPr>
          <w:rFonts w:hint="eastAsia" w:ascii="黑体" w:hAnsi="黑体" w:eastAsia="黑体" w:cs="Arial Unicode MS"/>
          <w:color w:val="auto"/>
          <w:sz w:val="28"/>
          <w:highlight w:val="none"/>
          <w:u w:color="000000"/>
          <w:lang w:val="zh-TW" w:eastAsia="zh-TW"/>
        </w:rPr>
        <w:t>暂列金额明细表</w:t>
      </w:r>
    </w:p>
    <w:p>
      <w:pPr>
        <w:jc w:val="center"/>
        <w:rPr>
          <w:rFonts w:ascii="宋体" w:hAnsi="宋体" w:cs="宋体"/>
          <w:color w:val="auto"/>
          <w:szCs w:val="21"/>
          <w:highlight w:val="none"/>
          <w:u w:color="000000"/>
        </w:rPr>
      </w:pPr>
      <w:r>
        <w:rPr>
          <w:rFonts w:hint="eastAsia" w:cs="Arial Unicode MS"/>
          <w:color w:val="auto"/>
          <w:szCs w:val="21"/>
          <w:highlight w:val="none"/>
          <w:u w:color="000000"/>
          <w:lang w:val="zh-TW" w:eastAsia="zh-TW"/>
        </w:rPr>
        <w:t>工程名称：第  页共页</w:t>
      </w:r>
    </w:p>
    <w:tbl>
      <w:tblPr>
        <w:tblStyle w:val="83"/>
        <w:tblW w:w="859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558"/>
        <w:gridCol w:w="3257"/>
        <w:gridCol w:w="906"/>
        <w:gridCol w:w="1810"/>
        <w:gridCol w:w="20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jc w:val="center"/>
        </w:trPr>
        <w:tc>
          <w:tcPr>
            <w:tcW w:w="558"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序号</w:t>
            </w:r>
          </w:p>
        </w:tc>
        <w:tc>
          <w:tcPr>
            <w:tcW w:w="3257"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项 目 名 称</w:t>
            </w:r>
          </w:p>
        </w:tc>
        <w:tc>
          <w:tcPr>
            <w:tcW w:w="906"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 w:val="18"/>
                <w:szCs w:val="22"/>
                <w:highlight w:val="none"/>
                <w:u w:color="000000"/>
              </w:rPr>
            </w:pPr>
            <w:r>
              <w:rPr>
                <w:rFonts w:hint="eastAsia" w:cs="Arial Unicode MS"/>
                <w:color w:val="auto"/>
                <w:sz w:val="18"/>
                <w:szCs w:val="22"/>
                <w:highlight w:val="none"/>
                <w:u w:color="000000"/>
                <w:lang w:val="zh-TW" w:eastAsia="zh-TW"/>
              </w:rPr>
              <w:t>计量</w:t>
            </w:r>
          </w:p>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单位</w:t>
            </w:r>
          </w:p>
        </w:tc>
        <w:tc>
          <w:tcPr>
            <w:tcW w:w="181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暂定金额（元）</w:t>
            </w:r>
          </w:p>
        </w:tc>
        <w:tc>
          <w:tcPr>
            <w:tcW w:w="2065"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58"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2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06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4721" w:type="dxa"/>
            <w:gridSpan w:val="3"/>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合     计</w:t>
            </w:r>
          </w:p>
        </w:tc>
        <w:tc>
          <w:tcPr>
            <w:tcW w:w="181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2065"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bl>
    <w:p>
      <w:pPr>
        <w:jc w:val="center"/>
        <w:rPr>
          <w:rFonts w:ascii="宋体" w:hAnsi="宋体" w:cs="宋体"/>
          <w:color w:val="auto"/>
          <w:szCs w:val="21"/>
          <w:highlight w:val="none"/>
          <w:u w:color="000000"/>
        </w:rPr>
      </w:pPr>
    </w:p>
    <w:p>
      <w:pPr>
        <w:jc w:val="center"/>
        <w:rPr>
          <w:rFonts w:ascii="黑体" w:hAnsi="黑体" w:eastAsia="黑体" w:cs="黑体"/>
          <w:color w:val="auto"/>
          <w:sz w:val="36"/>
          <w:highlight w:val="none"/>
          <w:u w:color="000000"/>
        </w:rPr>
      </w:pPr>
    </w:p>
    <w:p>
      <w:pPr>
        <w:jc w:val="center"/>
        <w:rPr>
          <w:rFonts w:eastAsia="Arial Unicode MS" w:cs="Arial Unicode MS"/>
          <w:color w:val="auto"/>
          <w:szCs w:val="21"/>
          <w:highlight w:val="none"/>
          <w:u w:color="000000"/>
        </w:rPr>
      </w:pPr>
      <w:r>
        <w:rPr>
          <w:rFonts w:ascii="Arial Unicode MS" w:hAnsi="Arial Unicode MS" w:eastAsia="Arial Unicode MS" w:cs="Arial Unicode MS"/>
          <w:color w:val="auto"/>
          <w:sz w:val="36"/>
          <w:highlight w:val="none"/>
          <w:u w:color="000000"/>
        </w:rPr>
        <w:br w:type="page"/>
      </w:r>
    </w:p>
    <w:p>
      <w:pPr>
        <w:tabs>
          <w:tab w:val="left" w:pos="4800"/>
        </w:tabs>
        <w:jc w:val="center"/>
        <w:rPr>
          <w:rFonts w:ascii="黑体" w:hAnsi="黑体" w:eastAsia="黑体" w:cs="Arial Unicode MS"/>
          <w:color w:val="auto"/>
          <w:sz w:val="28"/>
          <w:highlight w:val="none"/>
          <w:u w:color="000000"/>
          <w:lang w:val="zh-TW" w:eastAsia="zh-TW"/>
        </w:rPr>
      </w:pPr>
      <w:r>
        <w:rPr>
          <w:rFonts w:hint="eastAsia" w:ascii="黑体" w:hAnsi="黑体" w:eastAsia="黑体" w:cs="Arial Unicode MS"/>
          <w:color w:val="auto"/>
          <w:sz w:val="28"/>
          <w:highlight w:val="none"/>
          <w:u w:color="000000"/>
          <w:lang w:val="zh-TW" w:eastAsia="zh-TW"/>
        </w:rPr>
        <w:t>材料（工程设备）暂估单价表</w:t>
      </w:r>
    </w:p>
    <w:p>
      <w:pPr>
        <w:rPr>
          <w:rFonts w:ascii="宋体" w:hAnsi="宋体" w:cs="宋体"/>
          <w:color w:val="auto"/>
          <w:szCs w:val="21"/>
          <w:highlight w:val="none"/>
          <w:u w:color="000000"/>
          <w:lang w:val="zh-TW" w:eastAsia="zh-TW"/>
        </w:rPr>
      </w:pPr>
      <w:r>
        <w:rPr>
          <w:rFonts w:hint="eastAsia" w:cs="Arial Unicode MS"/>
          <w:color w:val="auto"/>
          <w:szCs w:val="21"/>
          <w:highlight w:val="none"/>
          <w:u w:color="000000"/>
          <w:lang w:val="zh-TW" w:eastAsia="zh-TW"/>
        </w:rPr>
        <w:t>工程名称：                                                       第  页 共  页</w:t>
      </w:r>
    </w:p>
    <w:tbl>
      <w:tblPr>
        <w:tblStyle w:val="83"/>
        <w:tblW w:w="85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39"/>
        <w:gridCol w:w="3077"/>
        <w:gridCol w:w="885"/>
        <w:gridCol w:w="744"/>
        <w:gridCol w:w="1448"/>
        <w:gridCol w:w="16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739"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序号</w:t>
            </w:r>
          </w:p>
        </w:tc>
        <w:tc>
          <w:tcPr>
            <w:tcW w:w="3077"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材料名称</w:t>
            </w:r>
            <w:r>
              <w:rPr>
                <w:rFonts w:hint="eastAsia" w:cs="Arial Unicode MS"/>
                <w:color w:val="auto"/>
                <w:kern w:val="0"/>
                <w:sz w:val="18"/>
                <w:szCs w:val="22"/>
                <w:highlight w:val="none"/>
                <w:u w:color="000000"/>
                <w:lang w:val="zh-TW" w:eastAsia="zh-TW"/>
              </w:rPr>
              <w:t>（工程设备）</w:t>
            </w:r>
            <w:r>
              <w:rPr>
                <w:rFonts w:hint="eastAsia" w:cs="Arial Unicode MS"/>
                <w:color w:val="auto"/>
                <w:sz w:val="18"/>
                <w:szCs w:val="22"/>
                <w:highlight w:val="none"/>
                <w:u w:color="000000"/>
                <w:lang w:val="zh-TW" w:eastAsia="zh-TW"/>
              </w:rPr>
              <w:t>、规格、型号</w:t>
            </w:r>
          </w:p>
        </w:tc>
        <w:tc>
          <w:tcPr>
            <w:tcW w:w="885"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计量单位</w:t>
            </w:r>
          </w:p>
        </w:tc>
        <w:tc>
          <w:tcPr>
            <w:tcW w:w="744"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数量</w:t>
            </w:r>
          </w:p>
        </w:tc>
        <w:tc>
          <w:tcPr>
            <w:tcW w:w="1448"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单价（元）</w:t>
            </w:r>
          </w:p>
        </w:tc>
        <w:tc>
          <w:tcPr>
            <w:tcW w:w="1629"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261" w:type="dxa"/>
              <w:bottom w:w="80" w:type="dxa"/>
              <w:right w:w="80"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261" w:type="dxa"/>
              <w:bottom w:w="80" w:type="dxa"/>
              <w:right w:w="80"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260" w:type="dxa"/>
              <w:bottom w:w="80" w:type="dxa"/>
              <w:right w:w="80"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261" w:type="dxa"/>
              <w:bottom w:w="80" w:type="dxa"/>
              <w:right w:w="80"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trPr>
        <w:tc>
          <w:tcPr>
            <w:tcW w:w="739"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7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885"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color w:val="auto"/>
                <w:kern w:val="0"/>
                <w:sz w:val="24"/>
                <w:szCs w:val="22"/>
                <w:highlight w:val="none"/>
                <w:lang w:eastAsia="en-US"/>
              </w:rPr>
            </w:pPr>
          </w:p>
        </w:tc>
        <w:tc>
          <w:tcPr>
            <w:tcW w:w="744" w:type="dxa"/>
            <w:tcBorders>
              <w:top w:val="single" w:color="000000" w:sz="4" w:space="0"/>
              <w:left w:val="single" w:color="000000" w:sz="4" w:space="0"/>
              <w:bottom w:val="single" w:color="000000" w:sz="8" w:space="0"/>
              <w:right w:val="single" w:color="000000" w:sz="4" w:space="0"/>
            </w:tcBorders>
            <w:shd w:val="clear" w:color="auto" w:fill="auto"/>
            <w:tcMar>
              <w:left w:w="185" w:type="dxa"/>
            </w:tcMar>
            <w:vAlign w:val="center"/>
          </w:tcPr>
          <w:p>
            <w:pPr>
              <w:rPr>
                <w:color w:val="auto"/>
                <w:kern w:val="0"/>
                <w:sz w:val="24"/>
                <w:szCs w:val="22"/>
                <w:highlight w:val="none"/>
                <w:lang w:eastAsia="en-US"/>
              </w:rPr>
            </w:pPr>
          </w:p>
        </w:tc>
        <w:tc>
          <w:tcPr>
            <w:tcW w:w="1448"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8" w:space="0"/>
              <w:right w:val="single" w:color="000000" w:sz="8" w:space="0"/>
            </w:tcBorders>
            <w:shd w:val="clear" w:color="auto" w:fill="auto"/>
            <w:tcMar>
              <w:top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bl>
    <w:p>
      <w:pPr>
        <w:rPr>
          <w:rFonts w:ascii="宋体" w:hAnsi="宋体" w:cs="宋体"/>
          <w:color w:val="auto"/>
          <w:szCs w:val="21"/>
          <w:highlight w:val="none"/>
          <w:u w:color="000000"/>
          <w:lang w:val="zh-TW" w:eastAsia="zh-TW"/>
        </w:rPr>
      </w:pPr>
    </w:p>
    <w:p>
      <w:pPr>
        <w:jc w:val="center"/>
        <w:rPr>
          <w:rFonts w:ascii="黑体" w:hAnsi="黑体" w:eastAsia="黑体" w:cs="黑体"/>
          <w:color w:val="auto"/>
          <w:sz w:val="36"/>
          <w:highlight w:val="none"/>
          <w:u w:color="000000"/>
        </w:rPr>
      </w:pPr>
    </w:p>
    <w:p>
      <w:pPr>
        <w:jc w:val="center"/>
        <w:rPr>
          <w:rFonts w:eastAsia="Arial Unicode MS" w:cs="Arial Unicode MS"/>
          <w:color w:val="auto"/>
          <w:szCs w:val="21"/>
          <w:highlight w:val="none"/>
          <w:u w:color="000000"/>
        </w:rPr>
      </w:pPr>
      <w:r>
        <w:rPr>
          <w:rFonts w:ascii="Arial Unicode MS" w:hAnsi="Arial Unicode MS" w:eastAsia="Arial Unicode MS" w:cs="Arial Unicode MS"/>
          <w:color w:val="auto"/>
          <w:sz w:val="36"/>
          <w:highlight w:val="none"/>
          <w:u w:color="000000"/>
        </w:rPr>
        <w:br w:type="page"/>
      </w:r>
    </w:p>
    <w:p>
      <w:pPr>
        <w:jc w:val="center"/>
        <w:rPr>
          <w:rFonts w:ascii="宋体" w:hAnsi="宋体" w:cs="宋体"/>
          <w:color w:val="auto"/>
          <w:sz w:val="36"/>
          <w:highlight w:val="none"/>
          <w:u w:color="000000"/>
          <w:lang w:val="zh-TW" w:eastAsia="zh-TW"/>
        </w:rPr>
      </w:pPr>
      <w:r>
        <w:rPr>
          <w:rFonts w:hint="eastAsia" w:ascii="黑体" w:hAnsi="黑体" w:eastAsia="黑体" w:cs="Arial Unicode MS"/>
          <w:color w:val="auto"/>
          <w:sz w:val="28"/>
          <w:highlight w:val="none"/>
          <w:u w:color="000000"/>
          <w:lang w:val="zh-TW" w:eastAsia="zh-TW"/>
        </w:rPr>
        <w:t>专业工程暂估价表</w:t>
      </w:r>
    </w:p>
    <w:p>
      <w:pPr>
        <w:jc w:val="center"/>
        <w:rPr>
          <w:rFonts w:ascii="宋体" w:hAnsi="宋体" w:cs="宋体"/>
          <w:color w:val="auto"/>
          <w:szCs w:val="21"/>
          <w:highlight w:val="none"/>
          <w:u w:color="000000"/>
          <w:lang w:val="zh-TW" w:eastAsia="zh-TW"/>
        </w:rPr>
      </w:pPr>
      <w:r>
        <w:rPr>
          <w:rFonts w:hint="eastAsia" w:cs="Arial Unicode MS"/>
          <w:color w:val="auto"/>
          <w:szCs w:val="21"/>
          <w:highlight w:val="none"/>
          <w:u w:color="000000"/>
          <w:lang w:val="zh-TW" w:eastAsia="zh-TW"/>
        </w:rPr>
        <w:t>工程名称：                                                       第  页 共  页</w:t>
      </w:r>
    </w:p>
    <w:tbl>
      <w:tblPr>
        <w:tblStyle w:val="83"/>
        <w:tblW w:w="85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29"/>
        <w:gridCol w:w="3087"/>
        <w:gridCol w:w="1629"/>
        <w:gridCol w:w="1448"/>
        <w:gridCol w:w="164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5" w:hRule="atLeast"/>
          <w:jc w:val="center"/>
        </w:trPr>
        <w:tc>
          <w:tcPr>
            <w:tcW w:w="729"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序号</w:t>
            </w:r>
          </w:p>
        </w:tc>
        <w:tc>
          <w:tcPr>
            <w:tcW w:w="3087"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工程名称</w:t>
            </w:r>
          </w:p>
        </w:tc>
        <w:tc>
          <w:tcPr>
            <w:tcW w:w="1629"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工程内容</w:t>
            </w:r>
          </w:p>
        </w:tc>
        <w:tc>
          <w:tcPr>
            <w:tcW w:w="1448"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暂估金额（元）</w:t>
            </w:r>
          </w:p>
        </w:tc>
        <w:tc>
          <w:tcPr>
            <w:tcW w:w="1647"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29"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3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5445" w:type="dxa"/>
            <w:gridSpan w:val="3"/>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合    计</w:t>
            </w:r>
          </w:p>
        </w:tc>
        <w:tc>
          <w:tcPr>
            <w:tcW w:w="1448"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647"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bl>
    <w:p>
      <w:pPr>
        <w:jc w:val="center"/>
        <w:rPr>
          <w:rFonts w:ascii="宋体" w:hAnsi="宋体" w:cs="宋体"/>
          <w:color w:val="auto"/>
          <w:szCs w:val="21"/>
          <w:highlight w:val="none"/>
          <w:u w:color="000000"/>
          <w:lang w:val="zh-TW" w:eastAsia="zh-TW"/>
        </w:rPr>
      </w:pPr>
    </w:p>
    <w:p>
      <w:pPr>
        <w:jc w:val="center"/>
        <w:rPr>
          <w:rFonts w:ascii="黑体" w:hAnsi="黑体" w:eastAsia="黑体" w:cs="黑体"/>
          <w:color w:val="auto"/>
          <w:sz w:val="36"/>
          <w:highlight w:val="none"/>
          <w:u w:color="000000"/>
        </w:rPr>
      </w:pPr>
    </w:p>
    <w:p>
      <w:pPr>
        <w:jc w:val="center"/>
        <w:rPr>
          <w:rFonts w:eastAsia="Arial Unicode MS" w:cs="Arial Unicode MS"/>
          <w:color w:val="auto"/>
          <w:szCs w:val="21"/>
          <w:highlight w:val="none"/>
          <w:u w:color="000000"/>
        </w:rPr>
      </w:pPr>
      <w:r>
        <w:rPr>
          <w:rFonts w:ascii="Arial Unicode MS" w:hAnsi="Arial Unicode MS" w:eastAsia="Arial Unicode MS" w:cs="Arial Unicode MS"/>
          <w:color w:val="auto"/>
          <w:sz w:val="36"/>
          <w:highlight w:val="none"/>
          <w:u w:color="000000"/>
        </w:rPr>
        <w:br w:type="page"/>
      </w:r>
    </w:p>
    <w:p>
      <w:pPr>
        <w:jc w:val="center"/>
        <w:rPr>
          <w:rFonts w:ascii="黑体" w:hAnsi="黑体" w:eastAsia="黑体" w:cs="Arial Unicode MS"/>
          <w:color w:val="auto"/>
          <w:sz w:val="28"/>
          <w:highlight w:val="none"/>
          <w:u w:color="000000"/>
          <w:lang w:val="zh-TW" w:eastAsia="zh-TW"/>
        </w:rPr>
      </w:pPr>
      <w:r>
        <w:rPr>
          <w:rFonts w:hint="eastAsia" w:ascii="黑体" w:hAnsi="黑体" w:eastAsia="黑体" w:cs="Arial Unicode MS"/>
          <w:color w:val="auto"/>
          <w:sz w:val="28"/>
          <w:highlight w:val="none"/>
          <w:u w:color="000000"/>
          <w:lang w:val="zh-TW" w:eastAsia="zh-TW"/>
        </w:rPr>
        <w:t>计日工报价明细表</w:t>
      </w:r>
    </w:p>
    <w:p>
      <w:pPr>
        <w:jc w:val="center"/>
        <w:rPr>
          <w:rFonts w:ascii="黑体" w:hAnsi="黑体" w:eastAsia="黑体" w:cs="黑体"/>
          <w:color w:val="auto"/>
          <w:sz w:val="36"/>
          <w:highlight w:val="none"/>
          <w:u w:color="000000"/>
          <w:lang w:val="zh-TW" w:eastAsia="zh-TW"/>
        </w:rPr>
      </w:pPr>
      <w:r>
        <w:rPr>
          <w:rFonts w:hint="eastAsia" w:cs="Arial Unicode MS"/>
          <w:color w:val="auto"/>
          <w:szCs w:val="21"/>
          <w:highlight w:val="none"/>
          <w:u w:color="000000"/>
          <w:lang w:val="zh-TW" w:eastAsia="zh-TW"/>
        </w:rPr>
        <w:t>工程名称：                                                       第  页 共  页</w:t>
      </w:r>
    </w:p>
    <w:tbl>
      <w:tblPr>
        <w:tblStyle w:val="83"/>
        <w:tblW w:w="855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80"/>
        <w:gridCol w:w="2936"/>
        <w:gridCol w:w="1309"/>
        <w:gridCol w:w="1217"/>
        <w:gridCol w:w="1022"/>
        <w:gridCol w:w="119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72" w:hRule="atLeast"/>
          <w:jc w:val="center"/>
        </w:trPr>
        <w:tc>
          <w:tcPr>
            <w:tcW w:w="880"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编号</w:t>
            </w:r>
          </w:p>
        </w:tc>
        <w:tc>
          <w:tcPr>
            <w:tcW w:w="2936"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项目名称</w:t>
            </w:r>
          </w:p>
        </w:tc>
        <w:tc>
          <w:tcPr>
            <w:tcW w:w="1309"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单位</w:t>
            </w:r>
          </w:p>
        </w:tc>
        <w:tc>
          <w:tcPr>
            <w:tcW w:w="1217"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暂定数量</w:t>
            </w:r>
          </w:p>
        </w:tc>
        <w:tc>
          <w:tcPr>
            <w:tcW w:w="1022"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exact"/>
              <w:jc w:val="center"/>
              <w:rPr>
                <w:rFonts w:eastAsia="Arial Unicode MS" w:cs="Arial Unicode MS"/>
                <w:color w:val="auto"/>
                <w:sz w:val="18"/>
                <w:szCs w:val="22"/>
                <w:highlight w:val="none"/>
                <w:u w:color="000000"/>
              </w:rPr>
            </w:pPr>
            <w:r>
              <w:rPr>
                <w:rFonts w:hint="eastAsia" w:cs="Arial Unicode MS"/>
                <w:color w:val="auto"/>
                <w:sz w:val="18"/>
                <w:szCs w:val="22"/>
                <w:highlight w:val="none"/>
                <w:u w:color="000000"/>
                <w:lang w:val="zh-TW" w:eastAsia="zh-TW"/>
              </w:rPr>
              <w:t>综合单价</w:t>
            </w:r>
          </w:p>
          <w:p>
            <w:pPr>
              <w:spacing w:line="240" w:lineRule="exact"/>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（元）</w:t>
            </w:r>
          </w:p>
        </w:tc>
        <w:tc>
          <w:tcPr>
            <w:tcW w:w="1190"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合价（元）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eastAsia="Arial Unicode MS" w:cs="Arial Unicode MS"/>
                <w:color w:val="auto"/>
                <w:sz w:val="18"/>
                <w:szCs w:val="22"/>
                <w:highlight w:val="none"/>
                <w:u w:color="000000"/>
              </w:rPr>
              <w:t>1</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人工</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eastAsia="Arial Unicode MS" w:cs="Arial Unicode MS"/>
                <w:color w:val="auto"/>
                <w:sz w:val="18"/>
                <w:szCs w:val="22"/>
                <w:highlight w:val="none"/>
                <w:u w:color="000000"/>
              </w:rPr>
              <w:t>1.1</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6342" w:type="dxa"/>
            <w:gridSpan w:val="4"/>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人工小计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eastAsia="Arial Unicode MS" w:cs="Arial Unicode MS"/>
                <w:color w:val="auto"/>
                <w:sz w:val="18"/>
                <w:szCs w:val="22"/>
                <w:highlight w:val="none"/>
                <w:u w:color="000000"/>
              </w:rPr>
              <w:t>2</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材料</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eastAsia="Arial Unicode MS" w:cs="Arial Unicode MS"/>
                <w:color w:val="auto"/>
                <w:sz w:val="18"/>
                <w:szCs w:val="22"/>
                <w:highlight w:val="none"/>
                <w:u w:color="000000"/>
              </w:rPr>
              <w:t>2.1</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6342" w:type="dxa"/>
            <w:gridSpan w:val="4"/>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材料小计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eastAsia="Arial Unicode MS" w:cs="Arial Unicode MS"/>
                <w:color w:val="auto"/>
                <w:sz w:val="18"/>
                <w:szCs w:val="22"/>
                <w:highlight w:val="none"/>
                <w:u w:color="000000"/>
              </w:rPr>
              <w:t>3</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施工机械</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eastAsia="Arial Unicode MS" w:cs="Arial Unicode MS"/>
                <w:color w:val="auto"/>
                <w:sz w:val="18"/>
                <w:szCs w:val="22"/>
                <w:highlight w:val="none"/>
                <w:u w:color="000000"/>
              </w:rPr>
              <w:t>3.1</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6342" w:type="dxa"/>
            <w:gridSpan w:val="4"/>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施工机械小计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2"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eastAsia="Arial Unicode MS" w:cs="Arial Unicode MS"/>
                <w:color w:val="auto"/>
                <w:sz w:val="18"/>
                <w:szCs w:val="22"/>
                <w:highlight w:val="none"/>
                <w:u w:color="000000"/>
              </w:rPr>
              <w:t>4</w:t>
            </w: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企业管理费和利润</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8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2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c>
          <w:tcPr>
            <w:tcW w:w="119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7364" w:type="dxa"/>
            <w:gridSpan w:val="5"/>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总    计</w:t>
            </w:r>
          </w:p>
        </w:tc>
        <w:tc>
          <w:tcPr>
            <w:tcW w:w="1190"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 w:hRule="atLeast"/>
          <w:jc w:val="center"/>
        </w:trPr>
        <w:tc>
          <w:tcPr>
            <w:tcW w:w="8554" w:type="dxa"/>
            <w:gridSpan w:val="6"/>
            <w:tcBorders>
              <w:top w:val="single" w:color="000000" w:sz="8" w:space="0"/>
              <w:left w:val="nil"/>
              <w:bottom w:val="nil"/>
              <w:right w:val="nil"/>
            </w:tcBorders>
            <w:shd w:val="clear" w:color="auto" w:fill="auto"/>
            <w:tcMar>
              <w:top w:w="80" w:type="dxa"/>
              <w:left w:w="80" w:type="dxa"/>
              <w:bottom w:w="80" w:type="dxa"/>
              <w:right w:w="80" w:type="dxa"/>
            </w:tcMar>
          </w:tcPr>
          <w:p>
            <w:pPr>
              <w:rPr>
                <w:rFonts w:eastAsia="Arial Unicode MS" w:cs="Arial Unicode MS"/>
                <w:color w:val="auto"/>
                <w:szCs w:val="21"/>
                <w:highlight w:val="none"/>
                <w:u w:color="000000"/>
              </w:rPr>
            </w:pPr>
            <w:r>
              <w:rPr>
                <w:rFonts w:hint="eastAsia" w:cs="Arial Unicode MS"/>
                <w:color w:val="auto"/>
                <w:sz w:val="18"/>
                <w:szCs w:val="22"/>
                <w:highlight w:val="none"/>
                <w:u w:color="000000"/>
                <w:lang w:val="zh-TW" w:eastAsia="zh-TW"/>
              </w:rPr>
              <w:t>注：项目名称、数量按采购人提供的填写，单价由供应商自主报价，计入响应报价。</w:t>
            </w:r>
          </w:p>
        </w:tc>
      </w:tr>
    </w:tbl>
    <w:p>
      <w:pPr>
        <w:jc w:val="center"/>
        <w:rPr>
          <w:rFonts w:ascii="黑体" w:hAnsi="黑体" w:eastAsia="黑体" w:cs="黑体"/>
          <w:color w:val="auto"/>
          <w:sz w:val="36"/>
          <w:highlight w:val="none"/>
          <w:u w:color="000000"/>
          <w:lang w:val="zh-TW" w:eastAsia="zh-TW"/>
        </w:rPr>
      </w:pPr>
    </w:p>
    <w:p>
      <w:pPr>
        <w:jc w:val="center"/>
        <w:rPr>
          <w:rFonts w:ascii="黑体" w:hAnsi="黑体" w:eastAsia="黑体" w:cs="黑体"/>
          <w:color w:val="auto"/>
          <w:sz w:val="36"/>
          <w:highlight w:val="none"/>
          <w:u w:color="000000"/>
        </w:rPr>
      </w:pPr>
    </w:p>
    <w:p>
      <w:pPr>
        <w:jc w:val="center"/>
        <w:rPr>
          <w:rFonts w:eastAsia="Arial Unicode MS" w:cs="Arial Unicode MS"/>
          <w:color w:val="auto"/>
          <w:szCs w:val="21"/>
          <w:highlight w:val="none"/>
          <w:u w:color="000000"/>
        </w:rPr>
      </w:pPr>
      <w:r>
        <w:rPr>
          <w:rFonts w:ascii="Arial Unicode MS" w:hAnsi="Arial Unicode MS" w:eastAsia="Arial Unicode MS" w:cs="Arial Unicode MS"/>
          <w:color w:val="auto"/>
          <w:sz w:val="36"/>
          <w:highlight w:val="none"/>
          <w:u w:color="000000"/>
        </w:rPr>
        <w:br w:type="page"/>
      </w:r>
    </w:p>
    <w:p>
      <w:pPr>
        <w:jc w:val="center"/>
        <w:rPr>
          <w:rFonts w:ascii="宋体" w:hAnsi="宋体" w:cs="宋体"/>
          <w:color w:val="auto"/>
          <w:sz w:val="36"/>
          <w:highlight w:val="none"/>
          <w:u w:color="000000"/>
          <w:lang w:val="zh-TW" w:eastAsia="zh-TW"/>
        </w:rPr>
      </w:pPr>
      <w:r>
        <w:rPr>
          <w:rFonts w:hint="eastAsia" w:ascii="黑体" w:hAnsi="黑体" w:eastAsia="黑体" w:cs="Arial Unicode MS"/>
          <w:color w:val="auto"/>
          <w:sz w:val="28"/>
          <w:highlight w:val="none"/>
          <w:u w:color="000000"/>
          <w:lang w:val="zh-TW" w:eastAsia="zh-TW"/>
        </w:rPr>
        <w:t>总承包服务费计价表</w:t>
      </w:r>
    </w:p>
    <w:p>
      <w:pPr>
        <w:jc w:val="center"/>
        <w:rPr>
          <w:rFonts w:ascii="宋体" w:hAnsi="宋体" w:cs="宋体"/>
          <w:color w:val="auto"/>
          <w:szCs w:val="21"/>
          <w:highlight w:val="none"/>
          <w:u w:color="000000"/>
          <w:lang w:val="zh-TW" w:eastAsia="zh-TW"/>
        </w:rPr>
      </w:pPr>
      <w:r>
        <w:rPr>
          <w:rFonts w:hint="eastAsia" w:cs="Arial Unicode MS"/>
          <w:color w:val="auto"/>
          <w:szCs w:val="21"/>
          <w:highlight w:val="none"/>
          <w:u w:color="000000"/>
          <w:lang w:val="zh-TW" w:eastAsia="zh-TW"/>
        </w:rPr>
        <w:t>工程名称：                                                       第  页 共  页</w:t>
      </w:r>
    </w:p>
    <w:tbl>
      <w:tblPr>
        <w:tblStyle w:val="83"/>
        <w:tblW w:w="906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573"/>
        <w:gridCol w:w="2332"/>
        <w:gridCol w:w="1495"/>
        <w:gridCol w:w="1492"/>
        <w:gridCol w:w="1492"/>
        <w:gridCol w:w="748"/>
        <w:gridCol w:w="93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jc w:val="center"/>
        </w:trPr>
        <w:tc>
          <w:tcPr>
            <w:tcW w:w="573"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序号</w:t>
            </w:r>
          </w:p>
        </w:tc>
        <w:tc>
          <w:tcPr>
            <w:tcW w:w="2332"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项 目 名 称</w:t>
            </w:r>
          </w:p>
        </w:tc>
        <w:tc>
          <w:tcPr>
            <w:tcW w:w="1495"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项目价值（元）</w:t>
            </w:r>
          </w:p>
        </w:tc>
        <w:tc>
          <w:tcPr>
            <w:tcW w:w="1492"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服务内容</w:t>
            </w:r>
          </w:p>
        </w:tc>
        <w:tc>
          <w:tcPr>
            <w:tcW w:w="1492"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计费基础</w:t>
            </w:r>
          </w:p>
        </w:tc>
        <w:tc>
          <w:tcPr>
            <w:tcW w:w="748"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费率</w:t>
            </w:r>
            <w:r>
              <w:rPr>
                <w:rFonts w:ascii="Arial Unicode MS" w:hAnsi="Arial Unicode MS" w:eastAsia="Arial Unicode MS" w:cs="Arial Unicode MS"/>
                <w:color w:val="auto"/>
                <w:kern w:val="0"/>
                <w:sz w:val="18"/>
                <w:szCs w:val="22"/>
                <w:highlight w:val="none"/>
                <w:u w:color="000000"/>
                <w:lang w:val="zh-TW" w:eastAsia="zh-TW"/>
              </w:rPr>
              <w:br w:type="textWrapping"/>
            </w:r>
            <w:r>
              <w:rPr>
                <w:rFonts w:ascii="宋体" w:hAnsi="宋体" w:eastAsia="Arial Unicode MS" w:cs="Arial Unicode MS"/>
                <w:color w:val="auto"/>
                <w:kern w:val="0"/>
                <w:sz w:val="18"/>
                <w:szCs w:val="22"/>
                <w:highlight w:val="none"/>
                <w:u w:color="000000"/>
              </w:rPr>
              <w:t>(%)</w:t>
            </w:r>
          </w:p>
        </w:tc>
        <w:tc>
          <w:tcPr>
            <w:tcW w:w="932"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金额（元）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3</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932"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0" w:hRule="atLeast"/>
          <w:jc w:val="center"/>
        </w:trPr>
        <w:tc>
          <w:tcPr>
            <w:tcW w:w="8132" w:type="dxa"/>
            <w:gridSpan w:val="6"/>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合    计</w:t>
            </w:r>
          </w:p>
        </w:tc>
        <w:tc>
          <w:tcPr>
            <w:tcW w:w="932"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bl>
    <w:p>
      <w:pPr>
        <w:jc w:val="center"/>
        <w:rPr>
          <w:rFonts w:ascii="宋体" w:hAnsi="宋体" w:cs="宋体"/>
          <w:color w:val="auto"/>
          <w:szCs w:val="21"/>
          <w:highlight w:val="none"/>
          <w:u w:color="000000"/>
          <w:lang w:val="zh-TW" w:eastAsia="zh-TW"/>
        </w:rPr>
      </w:pPr>
    </w:p>
    <w:p>
      <w:pPr>
        <w:jc w:val="center"/>
        <w:rPr>
          <w:rFonts w:ascii="Arial Unicode MS" w:hAnsi="Arial Unicode MS" w:eastAsia="Arial Unicode MS" w:cs="Arial Unicode MS"/>
          <w:color w:val="auto"/>
          <w:szCs w:val="21"/>
          <w:highlight w:val="none"/>
          <w:u w:color="000000"/>
        </w:rPr>
      </w:pPr>
    </w:p>
    <w:p>
      <w:pPr>
        <w:jc w:val="center"/>
        <w:rPr>
          <w:rFonts w:ascii="Arial Unicode MS" w:hAnsi="Arial Unicode MS" w:eastAsia="Arial Unicode MS" w:cs="Arial Unicode MS"/>
          <w:color w:val="auto"/>
          <w:szCs w:val="21"/>
          <w:highlight w:val="none"/>
          <w:u w:color="000000"/>
        </w:rPr>
      </w:pPr>
    </w:p>
    <w:p>
      <w:pPr>
        <w:ind w:firstLine="420" w:firstLineChars="200"/>
        <w:rPr>
          <w:rFonts w:eastAsia="Arial Unicode MS" w:cs="Arial Unicode MS"/>
          <w:color w:val="auto"/>
          <w:szCs w:val="21"/>
          <w:highlight w:val="none"/>
          <w:u w:color="000000"/>
        </w:rPr>
      </w:pPr>
      <w:r>
        <w:rPr>
          <w:rFonts w:ascii="Arial Unicode MS" w:hAnsi="Arial Unicode MS" w:eastAsia="Arial Unicode MS" w:cs="Arial Unicode MS"/>
          <w:color w:val="auto"/>
          <w:szCs w:val="21"/>
          <w:highlight w:val="none"/>
          <w:u w:color="000000"/>
        </w:rPr>
        <w:br w:type="page"/>
      </w:r>
    </w:p>
    <w:p>
      <w:pPr>
        <w:jc w:val="center"/>
        <w:rPr>
          <w:rFonts w:eastAsia="Arial Unicode MS" w:cs="Arial Unicode MS"/>
          <w:color w:val="auto"/>
          <w:szCs w:val="21"/>
          <w:highlight w:val="none"/>
          <w:u w:color="000000"/>
        </w:rPr>
      </w:pPr>
    </w:p>
    <w:p>
      <w:pPr>
        <w:jc w:val="center"/>
        <w:rPr>
          <w:rFonts w:ascii="黑体" w:hAnsi="黑体" w:eastAsia="黑体" w:cs="Arial Unicode MS"/>
          <w:color w:val="auto"/>
          <w:sz w:val="28"/>
          <w:highlight w:val="none"/>
          <w:u w:color="000000"/>
          <w:lang w:val="zh-TW" w:eastAsia="zh-TW"/>
        </w:rPr>
      </w:pPr>
      <w:r>
        <w:rPr>
          <w:rFonts w:hint="eastAsia" w:ascii="黑体" w:hAnsi="黑体" w:eastAsia="黑体" w:cs="Arial Unicode MS"/>
          <w:color w:val="auto"/>
          <w:sz w:val="28"/>
          <w:highlight w:val="none"/>
          <w:u w:color="000000"/>
          <w:lang w:val="zh-TW" w:eastAsia="zh-TW"/>
        </w:rPr>
        <w:t>规费、税金报价表</w:t>
      </w:r>
    </w:p>
    <w:p>
      <w:pPr>
        <w:jc w:val="center"/>
        <w:rPr>
          <w:rFonts w:ascii="宋体" w:hAnsi="宋体" w:cs="宋体"/>
          <w:color w:val="auto"/>
          <w:szCs w:val="21"/>
          <w:highlight w:val="none"/>
          <w:u w:color="000000"/>
          <w:lang w:val="zh-TW" w:eastAsia="zh-TW"/>
        </w:rPr>
      </w:pPr>
      <w:r>
        <w:rPr>
          <w:rFonts w:hint="eastAsia" w:cs="Arial Unicode MS"/>
          <w:color w:val="auto"/>
          <w:szCs w:val="21"/>
          <w:highlight w:val="none"/>
          <w:u w:color="000000"/>
          <w:lang w:val="zh-TW" w:eastAsia="zh-TW"/>
        </w:rPr>
        <w:t>工程名称：                                                       第  页 共  页</w:t>
      </w:r>
    </w:p>
    <w:tbl>
      <w:tblPr>
        <w:tblStyle w:val="83"/>
        <w:tblW w:w="870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060"/>
        <w:gridCol w:w="2880"/>
        <w:gridCol w:w="2800"/>
        <w:gridCol w:w="580"/>
        <w:gridCol w:w="297"/>
        <w:gridCol w:w="108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jc w:val="center"/>
        </w:trPr>
        <w:tc>
          <w:tcPr>
            <w:tcW w:w="1060"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序号</w:t>
            </w:r>
          </w:p>
        </w:tc>
        <w:tc>
          <w:tcPr>
            <w:tcW w:w="288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项目名称</w:t>
            </w:r>
          </w:p>
        </w:tc>
        <w:tc>
          <w:tcPr>
            <w:tcW w:w="280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计算基础</w:t>
            </w:r>
          </w:p>
        </w:tc>
        <w:tc>
          <w:tcPr>
            <w:tcW w:w="877" w:type="dxa"/>
            <w:gridSpan w:val="2"/>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费  率（</w:t>
            </w:r>
            <w:r>
              <w:rPr>
                <w:rFonts w:ascii="宋体" w:hAnsi="宋体" w:eastAsia="Arial Unicode MS" w:cs="Arial Unicode MS"/>
                <w:color w:val="auto"/>
                <w:kern w:val="0"/>
                <w:sz w:val="18"/>
                <w:szCs w:val="22"/>
                <w:highlight w:val="none"/>
                <w:u w:color="000000"/>
              </w:rPr>
              <w:t>%</w:t>
            </w:r>
            <w:r>
              <w:rPr>
                <w:rFonts w:hint="eastAsia" w:cs="Arial Unicode MS"/>
                <w:color w:val="auto"/>
                <w:kern w:val="0"/>
                <w:sz w:val="18"/>
                <w:szCs w:val="22"/>
                <w:highlight w:val="none"/>
                <w:u w:color="000000"/>
                <w:lang w:val="zh-TW" w:eastAsia="zh-TW"/>
              </w:rPr>
              <w:t>）</w:t>
            </w:r>
          </w:p>
        </w:tc>
        <w:tc>
          <w:tcPr>
            <w:tcW w:w="1086"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金额（元）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规费</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1.1</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养老保险费</w:t>
            </w:r>
          </w:p>
        </w:tc>
        <w:tc>
          <w:tcPr>
            <w:tcW w:w="280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计费人工费</w:t>
            </w:r>
            <w:r>
              <w:rPr>
                <w:rFonts w:eastAsia="Arial Unicode MS" w:cs="Arial Unicode MS"/>
                <w:color w:val="auto"/>
                <w:szCs w:val="21"/>
                <w:highlight w:val="none"/>
                <w:u w:color="000000"/>
              </w:rPr>
              <w:t>+</w:t>
            </w:r>
            <w:r>
              <w:rPr>
                <w:rFonts w:hint="eastAsia" w:ascii="微软雅黑" w:hAnsi="微软雅黑" w:cs="微软雅黑"/>
                <w:color w:val="auto"/>
                <w:szCs w:val="21"/>
                <w:highlight w:val="none"/>
                <w:u w:color="000000"/>
                <w:lang w:val="zh-TW" w:eastAsia="zh-TW"/>
              </w:rPr>
              <w:t>人工费价差</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rPr>
            </w:pP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tLeast"/>
              <w:jc w:val="center"/>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医疗保险费</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tLeast"/>
              <w:jc w:val="center"/>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失业保险费</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tLeast"/>
              <w:jc w:val="center"/>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工伤保险费</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tLeast"/>
              <w:jc w:val="center"/>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生育保险费</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tLeast"/>
              <w:jc w:val="center"/>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住房公积金</w:t>
            </w:r>
          </w:p>
        </w:tc>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color w:val="auto"/>
                <w:kern w:val="0"/>
                <w:sz w:val="24"/>
                <w:szCs w:val="22"/>
                <w:highlight w:val="none"/>
                <w:lang w:eastAsia="en-US"/>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1.7</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0" w:lineRule="atLeast"/>
              <w:jc w:val="center"/>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工程排污费</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ascii="微软雅黑" w:hAnsi="微软雅黑" w:cs="微软雅黑"/>
                <w:color w:val="auto"/>
                <w:szCs w:val="21"/>
                <w:highlight w:val="none"/>
                <w:u w:color="000000"/>
                <w:lang w:val="zh-TW" w:eastAsia="zh-TW"/>
              </w:rPr>
              <w:t>按实际发生计算</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3940" w:type="dxa"/>
            <w:gridSpan w:val="2"/>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小    计</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85"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ascii="宋体" w:hAnsi="宋体" w:eastAsia="Arial Unicode MS" w:cs="Arial Unicode MS"/>
                <w:color w:val="auto"/>
                <w:kern w:val="0"/>
                <w:sz w:val="18"/>
                <w:szCs w:val="22"/>
                <w:highlight w:val="none"/>
                <w:u w:color="000000"/>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税金</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税前工程造价</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7617" w:type="dxa"/>
            <w:gridSpan w:val="5"/>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合          计</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 w:hRule="atLeast"/>
          <w:jc w:val="center"/>
        </w:trPr>
        <w:tc>
          <w:tcPr>
            <w:tcW w:w="106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c>
          <w:tcPr>
            <w:tcW w:w="1086"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0" w:hRule="atLeast"/>
          <w:jc w:val="center"/>
        </w:trPr>
        <w:tc>
          <w:tcPr>
            <w:tcW w:w="7320" w:type="dxa"/>
            <w:gridSpan w:val="4"/>
            <w:tcBorders>
              <w:top w:val="single" w:color="000000" w:sz="4" w:space="0"/>
              <w:left w:val="nil"/>
              <w:bottom w:val="nil"/>
              <w:right w:val="nil"/>
            </w:tcBorders>
            <w:shd w:val="clear" w:color="auto" w:fill="auto"/>
            <w:tcMar>
              <w:top w:w="80" w:type="dxa"/>
              <w:left w:w="80" w:type="dxa"/>
              <w:bottom w:w="80" w:type="dxa"/>
              <w:right w:w="80" w:type="dxa"/>
            </w:tcMar>
            <w:vAlign w:val="center"/>
          </w:tcPr>
          <w:p>
            <w:pPr>
              <w:rPr>
                <w:color w:val="auto"/>
                <w:kern w:val="0"/>
                <w:sz w:val="24"/>
                <w:szCs w:val="22"/>
                <w:highlight w:val="none"/>
                <w:lang w:eastAsia="en-US"/>
              </w:rPr>
            </w:pPr>
          </w:p>
        </w:tc>
        <w:tc>
          <w:tcPr>
            <w:tcW w:w="1383" w:type="dxa"/>
            <w:gridSpan w:val="2"/>
            <w:tcBorders>
              <w:top w:val="single" w:color="000000" w:sz="4" w:space="0"/>
              <w:left w:val="nil"/>
              <w:bottom w:val="nil"/>
              <w:right w:val="nil"/>
            </w:tcBorders>
            <w:shd w:val="clear" w:color="auto" w:fill="auto"/>
            <w:tcMar>
              <w:top w:w="80" w:type="dxa"/>
              <w:left w:w="80" w:type="dxa"/>
              <w:bottom w:w="80" w:type="dxa"/>
              <w:right w:w="80" w:type="dxa"/>
            </w:tcMar>
            <w:vAlign w:val="center"/>
          </w:tcPr>
          <w:p>
            <w:pPr>
              <w:jc w:val="right"/>
              <w:rPr>
                <w:rFonts w:eastAsia="Arial Unicode MS" w:cs="Arial Unicode MS"/>
                <w:color w:val="auto"/>
                <w:szCs w:val="21"/>
                <w:highlight w:val="none"/>
                <w:u w:color="000000"/>
              </w:rPr>
            </w:pPr>
            <w:r>
              <w:rPr>
                <w:rFonts w:hint="eastAsia" w:cs="Arial Unicode MS"/>
                <w:color w:val="auto"/>
                <w:kern w:val="0"/>
                <w:sz w:val="18"/>
                <w:szCs w:val="22"/>
                <w:highlight w:val="none"/>
                <w:u w:color="000000"/>
                <w:lang w:val="zh-TW" w:eastAsia="zh-TW"/>
              </w:rPr>
              <w:t>　</w:t>
            </w:r>
          </w:p>
        </w:tc>
      </w:tr>
    </w:tbl>
    <w:p>
      <w:pPr>
        <w:rPr>
          <w:rFonts w:eastAsia="Arial Unicode MS" w:cs="Arial Unicode MS"/>
          <w:color w:val="auto"/>
          <w:szCs w:val="21"/>
          <w:highlight w:val="none"/>
          <w:u w:color="000000"/>
        </w:rPr>
      </w:pPr>
    </w:p>
    <w:p>
      <w:pPr>
        <w:pStyle w:val="336"/>
        <w:ind w:left="420" w:firstLine="0" w:firstLineChars="0"/>
        <w:rPr>
          <w:color w:val="auto"/>
          <w:highlight w:val="none"/>
        </w:rPr>
      </w:pPr>
      <w:r>
        <w:rPr>
          <w:rFonts w:hint="eastAsia" w:ascii="Arial Unicode MS" w:hAnsi="Arial Unicode MS" w:cs="Arial Unicode MS"/>
          <w:color w:val="auto"/>
          <w:szCs w:val="21"/>
          <w:highlight w:val="none"/>
          <w:u w:color="000000"/>
        </w:rPr>
        <w:t>注：1.以上表格形式仅限参考，供应商可以采用广联达软件格式。</w:t>
      </w:r>
    </w:p>
    <w:bookmarkEnd w:id="65"/>
    <w:p>
      <w:pPr>
        <w:pStyle w:val="336"/>
        <w:ind w:left="420" w:firstLine="0" w:firstLineChars="0"/>
        <w:rPr>
          <w:color w:val="auto"/>
          <w:highlight w:val="none"/>
        </w:rPr>
      </w:pPr>
    </w:p>
    <w:p>
      <w:pPr>
        <w:pStyle w:val="336"/>
        <w:ind w:left="420" w:firstLine="0" w:firstLineChars="0"/>
        <w:rPr>
          <w:color w:val="auto"/>
          <w:highlight w:val="none"/>
        </w:rPr>
      </w:pPr>
    </w:p>
    <w:p>
      <w:pPr>
        <w:pStyle w:val="336"/>
        <w:ind w:left="420" w:firstLine="0" w:firstLineChars="0"/>
        <w:rPr>
          <w:color w:val="auto"/>
          <w:highlight w:val="none"/>
        </w:rPr>
        <w:sectPr>
          <w:pgSz w:w="11907" w:h="16839"/>
          <w:pgMar w:top="1928" w:right="1531" w:bottom="1871" w:left="1531" w:header="1148" w:footer="709" w:gutter="0"/>
          <w:cols w:space="720" w:num="1"/>
          <w:docGrid w:linePitch="360" w:charSpace="0"/>
        </w:sectPr>
      </w:pPr>
    </w:p>
    <w:p>
      <w:pPr>
        <w:pStyle w:val="336"/>
        <w:ind w:left="420" w:firstLine="0" w:firstLineChars="0"/>
        <w:rPr>
          <w:color w:val="auto"/>
          <w:highlight w:val="none"/>
        </w:rPr>
      </w:pPr>
    </w:p>
    <w:p>
      <w:pPr>
        <w:pStyle w:val="5"/>
        <w:keepNext/>
        <w:keepLines/>
        <w:widowControl w:val="0"/>
        <w:numPr>
          <w:ilvl w:val="0"/>
          <w:numId w:val="30"/>
        </w:numPr>
        <w:spacing w:before="260" w:after="260" w:line="413" w:lineRule="auto"/>
        <w:jc w:val="left"/>
        <w:rPr>
          <w:color w:val="auto"/>
          <w:sz w:val="28"/>
          <w:highlight w:val="none"/>
          <w:lang w:val="en-US"/>
        </w:rPr>
      </w:pPr>
      <w:bookmarkStart w:id="66" w:name="_Toc25867"/>
      <w:r>
        <w:rPr>
          <w:rFonts w:hint="eastAsia"/>
          <w:color w:val="auto"/>
          <w:sz w:val="28"/>
          <w:highlight w:val="none"/>
          <w:lang w:val="en-US"/>
        </w:rPr>
        <w:t>工程量清单</w:t>
      </w:r>
      <w:bookmarkEnd w:id="66"/>
    </w:p>
    <w:p>
      <w:pPr>
        <w:pStyle w:val="2"/>
        <w:ind w:firstLine="400"/>
        <w:rPr>
          <w:color w:val="auto"/>
          <w:sz w:val="20"/>
          <w:highlight w:val="none"/>
        </w:rPr>
      </w:pPr>
    </w:p>
    <w:p>
      <w:pPr>
        <w:pStyle w:val="2"/>
        <w:ind w:firstLine="400"/>
        <w:rPr>
          <w:color w:val="auto"/>
          <w:sz w:val="20"/>
          <w:highlight w:val="none"/>
          <w:lang w:val="en-US"/>
        </w:rPr>
        <w:sectPr>
          <w:pgSz w:w="11907" w:h="16839"/>
          <w:pgMar w:top="1928" w:right="1531" w:bottom="1871" w:left="1531" w:header="1148" w:footer="709" w:gutter="0"/>
          <w:cols w:space="720" w:num="1"/>
          <w:docGrid w:linePitch="360" w:charSpace="0"/>
        </w:sectPr>
      </w:pPr>
      <w:r>
        <w:rPr>
          <w:rFonts w:hint="eastAsia"/>
          <w:color w:val="auto"/>
          <w:sz w:val="20"/>
          <w:highlight w:val="none"/>
          <w:lang w:val="en-US"/>
        </w:rPr>
        <w:t>详见电子版</w:t>
      </w:r>
    </w:p>
    <w:p>
      <w:pPr>
        <w:pStyle w:val="4"/>
        <w:numPr>
          <w:ilvl w:val="0"/>
          <w:numId w:val="10"/>
        </w:numPr>
        <w:spacing w:before="2400" w:after="0"/>
        <w:jc w:val="center"/>
        <w:rPr>
          <w:rFonts w:ascii="微软雅黑" w:hAnsi="微软雅黑"/>
          <w:color w:val="auto"/>
          <w:highlight w:val="none"/>
        </w:rPr>
      </w:pPr>
      <w:bookmarkStart w:id="67" w:name="_Toc2637"/>
      <w:bookmarkStart w:id="68" w:name="_Toc18104"/>
      <w:r>
        <w:rPr>
          <w:rFonts w:hint="eastAsia" w:ascii="微软雅黑" w:hAnsi="微软雅黑"/>
          <w:color w:val="auto"/>
          <w:highlight w:val="none"/>
        </w:rPr>
        <w:t>图纸</w:t>
      </w:r>
      <w:bookmarkEnd w:id="67"/>
      <w:bookmarkEnd w:id="68"/>
    </w:p>
    <w:p>
      <w:pPr>
        <w:jc w:val="center"/>
        <w:rPr>
          <w:rFonts w:ascii="微软雅黑" w:hAnsi="微软雅黑"/>
          <w:color w:val="auto"/>
          <w:sz w:val="24"/>
          <w:szCs w:val="24"/>
          <w:highlight w:val="none"/>
        </w:rPr>
      </w:pPr>
    </w:p>
    <w:p>
      <w:pPr>
        <w:jc w:val="center"/>
        <w:rPr>
          <w:rFonts w:ascii="微软雅黑" w:hAnsi="微软雅黑"/>
          <w:color w:val="auto"/>
          <w:sz w:val="24"/>
          <w:szCs w:val="24"/>
          <w:highlight w:val="none"/>
        </w:rPr>
      </w:pPr>
      <w:r>
        <w:rPr>
          <w:rFonts w:hint="eastAsia" w:ascii="微软雅黑" w:hAnsi="微软雅黑"/>
          <w:color w:val="auto"/>
          <w:sz w:val="24"/>
          <w:szCs w:val="24"/>
          <w:highlight w:val="none"/>
        </w:rPr>
        <w:t>（另册）</w:t>
      </w:r>
    </w:p>
    <w:p>
      <w:pPr>
        <w:rPr>
          <w:rFonts w:ascii="微软雅黑" w:hAnsi="微软雅黑"/>
          <w:color w:val="auto"/>
          <w:highlight w:val="none"/>
        </w:rPr>
        <w:sectPr>
          <w:pgSz w:w="11907" w:h="16839"/>
          <w:pgMar w:top="1928" w:right="1531" w:bottom="1871" w:left="1531" w:header="1148" w:footer="709" w:gutter="0"/>
          <w:cols w:space="720" w:num="1"/>
          <w:docGrid w:linePitch="360" w:charSpace="0"/>
        </w:sectPr>
      </w:pPr>
    </w:p>
    <w:p>
      <w:pPr>
        <w:pStyle w:val="4"/>
        <w:numPr>
          <w:ilvl w:val="0"/>
          <w:numId w:val="10"/>
        </w:numPr>
        <w:spacing w:before="2400" w:after="0"/>
        <w:jc w:val="center"/>
        <w:rPr>
          <w:rFonts w:ascii="微软雅黑" w:hAnsi="微软雅黑"/>
          <w:color w:val="auto"/>
          <w:highlight w:val="none"/>
        </w:rPr>
        <w:sectPr>
          <w:pgSz w:w="11907" w:h="16839"/>
          <w:pgMar w:top="1928" w:right="1531" w:bottom="1871" w:left="1531" w:header="1148" w:footer="709" w:gutter="0"/>
          <w:cols w:space="720" w:num="1"/>
          <w:docGrid w:linePitch="360" w:charSpace="0"/>
        </w:sectPr>
      </w:pPr>
      <w:bookmarkStart w:id="69" w:name="_Toc19658"/>
      <w:bookmarkStart w:id="70" w:name="_Toc16679"/>
      <w:r>
        <w:rPr>
          <w:rFonts w:hint="eastAsia" w:ascii="微软雅黑" w:hAnsi="微软雅黑"/>
          <w:color w:val="auto"/>
          <w:highlight w:val="none"/>
        </w:rPr>
        <w:t>技术标准和要求</w:t>
      </w:r>
      <w:bookmarkEnd w:id="69"/>
      <w:bookmarkEnd w:id="70"/>
    </w:p>
    <w:p>
      <w:pPr>
        <w:pStyle w:val="6"/>
        <w:keepNext w:val="0"/>
        <w:keepLines w:val="0"/>
        <w:pageBreakBefore w:val="0"/>
        <w:widowControl/>
        <w:numPr>
          <w:ilvl w:val="0"/>
          <w:numId w:val="32"/>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所有材料、半成品、成品及设备须按照采购人给定的范围选购，材料、半成品、成品和设备的选购必须符合此表述和设计图纸要求，须保证没有缺陷的优等品。</w:t>
      </w:r>
    </w:p>
    <w:p>
      <w:pPr>
        <w:pStyle w:val="6"/>
        <w:keepNext w:val="0"/>
        <w:keepLines w:val="0"/>
        <w:pageBreakBefore w:val="0"/>
        <w:widowControl/>
        <w:numPr>
          <w:ilvl w:val="0"/>
          <w:numId w:val="32"/>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工期：</w:t>
      </w:r>
      <w:r>
        <w:rPr>
          <w:rFonts w:hint="eastAsia" w:asciiTheme="minorEastAsia" w:hAnsiTheme="minorEastAsia" w:eastAsiaTheme="minorEastAsia" w:cstheme="minorEastAsia"/>
          <w:bCs/>
          <w:color w:val="auto"/>
          <w:sz w:val="24"/>
          <w:szCs w:val="24"/>
          <w:highlight w:val="none"/>
        </w:rPr>
        <w:t>自合同签订之日起40日内竣工。因投标人原因造成工期延误，每逾期1天将处以合同总价的1%的罚金。超过5天，投标人按合同金额的10%向采购人支付违约金，并赔偿由此造成的损失费用，采购人有权终止合同。投标人要合理的计划工期，充分考虑冬雨季及恶劣气候（如大风、沙尘、冰雹、持续高温等）、政府政治性会议或其他事件（如高考、运动会、重大节假日、疫情）等因素对工期的影响。</w:t>
      </w:r>
    </w:p>
    <w:p>
      <w:pPr>
        <w:pStyle w:val="6"/>
        <w:keepNext w:val="0"/>
        <w:keepLines w:val="0"/>
        <w:pageBreakBefore w:val="0"/>
        <w:widowControl/>
        <w:numPr>
          <w:ilvl w:val="0"/>
          <w:numId w:val="32"/>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施工单位在进场后，由于材料进场、垃圾外运及材料或建筑垃圾的堆放对校内环境造成的破坏由施工单位负责恢复。</w:t>
      </w:r>
    </w:p>
    <w:p>
      <w:pPr>
        <w:pStyle w:val="6"/>
        <w:keepNext w:val="0"/>
        <w:keepLines w:val="0"/>
        <w:pageBreakBefore w:val="0"/>
        <w:widowControl/>
        <w:numPr>
          <w:ilvl w:val="0"/>
          <w:numId w:val="32"/>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材料及设备要求</w:t>
      </w:r>
    </w:p>
    <w:p>
      <w:pPr>
        <w:pStyle w:val="182"/>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电缆、电线达到国标，性能指标参照或相当于津达、金桥、远东电缆等品牌质量标准；</w:t>
      </w:r>
    </w:p>
    <w:p>
      <w:pPr>
        <w:pStyle w:val="182"/>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灯具性能指标参照或相当于西顿、飞利浦、欧普等品牌质量标准；</w:t>
      </w:r>
    </w:p>
    <w:p>
      <w:pPr>
        <w:pStyle w:val="182"/>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开关插座等电器器件性能指标参照或相当于德力西、施耐德、西顿等品牌质量标准；</w:t>
      </w:r>
    </w:p>
    <w:p>
      <w:pPr>
        <w:pStyle w:val="182"/>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配电箱、柜及内部元器件性能指标参照或相当于正泰、德力西、上海人民等品牌质量标准。</w:t>
      </w:r>
    </w:p>
    <w:p>
      <w:pPr>
        <w:pStyle w:val="182"/>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金属桥架性能指标参照或相当于万奇、振大、有能等品牌质量标准。</w:t>
      </w:r>
    </w:p>
    <w:p>
      <w:pPr>
        <w:pStyle w:val="182"/>
        <w:keepNext w:val="0"/>
        <w:keepLines w:val="0"/>
        <w:pageBreakBefore w:val="0"/>
        <w:widowControl/>
        <w:numPr>
          <w:ilvl w:val="0"/>
          <w:numId w:val="33"/>
        </w:numPr>
        <w:kinsoku/>
        <w:wordWrap/>
        <w:overflowPunct/>
        <w:topLinePunct w:val="0"/>
        <w:autoSpaceDE/>
        <w:autoSpaceDN/>
        <w:bidi w:val="0"/>
        <w:adjustRightInd/>
        <w:snapToGrid/>
        <w:spacing w:line="360" w:lineRule="auto"/>
        <w:ind w:left="0"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工程涉及到电表计量收费系统的，改造后的电能表、通信设备、线路等需能够接入校内既有用电计量收费系统。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主要材料品牌厂商参考范围为采购人对于同类产品质量档次衡量标准，各投标人选用的材料性能指标参照或相当于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p>
    <w:p>
      <w:pPr>
        <w:pStyle w:val="6"/>
        <w:keepNext w:val="0"/>
        <w:keepLines w:val="0"/>
        <w:pageBreakBefore w:val="0"/>
        <w:widowControl/>
        <w:numPr>
          <w:ilvl w:val="0"/>
          <w:numId w:val="34"/>
        </w:numPr>
        <w:kinsoku/>
        <w:wordWrap/>
        <w:overflowPunct/>
        <w:topLinePunct w:val="0"/>
        <w:autoSpaceDE/>
        <w:autoSpaceDN/>
        <w:bidi w:val="0"/>
        <w:adjustRightInd/>
        <w:snapToGrid/>
        <w:spacing w:before="163" w:beforeLines="50" w:line="360" w:lineRule="auto"/>
        <w:ind w:hanging="600" w:firstLine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现场施工及安全文明施工要求：</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场容场貌：现场明显处设立按建设部规定的五牌一图（施工现场平面布置图、工程概况牌，管理人员名单及监督电话牌，消防保卫，〈防火责任〉安全生产记录牌，文明施工牌），严格按施工组织设计平面布置图施工。</w:t>
      </w:r>
    </w:p>
    <w:p>
      <w:pPr>
        <w:pStyle w:val="6"/>
        <w:keepNext w:val="0"/>
        <w:keepLines w:val="0"/>
        <w:pageBreakBefore w:val="0"/>
        <w:widowControl/>
        <w:numPr>
          <w:ilvl w:val="255"/>
          <w:numId w:val="0"/>
        </w:numPr>
        <w:kinsoku/>
        <w:wordWrap/>
        <w:overflowPunct/>
        <w:topLinePunct w:val="0"/>
        <w:autoSpaceDE/>
        <w:autoSpaceDN/>
        <w:bidi w:val="0"/>
        <w:adjustRightInd/>
        <w:snapToGrid/>
        <w:spacing w:line="360" w:lineRule="auto"/>
        <w:ind w:firstLine="472" w:firstLineChars="19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严格遵守《哈尔滨工业大学总务处工程施工现场管理办法》、《哈尔滨工业大学总务处工程施工现场管理细则》、《哈工大施工现场安全隐患处罚条例》、《施工企业防疫防控承诺书》及学校有关规章制度，进场施工进入校区，严格按校保卫处进出校园管理及入校园收费的有关规定执行。(相关规章制度附合同后）</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施工计划安排须考虑周全，并经采购人、监理方审核后方可实施。</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本工程施工管理，</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 xml:space="preserve">应严格遵守国家及地方政府颁发的安全施工、文明施工等规范、条例，遵守采购人的现场管理规定。达不到文明工地标准，采购人即可勒令投标人停工整改。  </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 xml:space="preserve">现场办公室应配置齐全、完好的办公设备。 </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 xml:space="preserve">在危险环境下施工之前，应制订完善的安全保护措施，经采购人及监理批准后实施。   </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施工期间，</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应及时整理和安排所有机械、工具、材料等，工程建设的多余材料、建筑垃圾必须及时清理。否则，每次扣工程款0.1万元。</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遵守建设方对施工场地交通、施工噪声、施工现场环境卫生和场外污染管理规定并办理有关手续，投标人造成的罚款等全部责任由投标人自行承担。</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施工中发生的一切安全事故，除系因采购人过错造成的外，均由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承担全部责任。</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本项目将按照《建筑工人实名制管理办法（试行）》（建市【2019】18号）文件要求，对项目管理人员及施工现场建筑工人进行实名制管理。</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报名、投标时拟派的项目班子成员必须一致，且不能中途更换，项目经理每天务必到施工现场严格管理，未经采购人同意不到施工现场每次罚款1000元。 </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现场用水用电管理：</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投标人应严格遵循《总务处/后勤集团校园修缮工程代收水、电费会签制度》、《哈尔滨工业大学用电管理制度》。</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1、费用计量及收取</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用电、用水须安装电表、水表计量，</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水表电表安装及移位须报采购人同意，安装完成后双方共同抄底度数，并签字认可，电表及水表须经过有关部门检测；</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用电、用水未挂表计量的，采购人在竣工结算时扣除水电费，金额按签约合同价格的1.05%计算。</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2、投标人负责从采购人指定的水电接驳点装箱、接表、敷管、敷线至用水用电地点，费用由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承担（注：距离施工部位外边线水平距离150米范围内为投标人承担范围）。</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3、对计量计费的水、电费的支付由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向学校收费部门交付，保留收据，工程结算时提供。</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在施工过程的临时用水用电违反相关规定，采购人有权进行处罚；</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有义务接受监管部门监督，不得阻碍持证监管人员检查水、电使用情况。</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未按学校临时用水用电程序办理审批手续、未通过审批或审批程序未完成即私自用水用电的，采购人扣罚签约合同价的2%作为违约金。</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挂表计量方式用水用电的，水表电表需由学校动力与维修中心统一安装和移动。投标人未经动力与维修中心许可私自安装表具用水用电的，私自移动、改装或改动计量表具的，每发现一次将处以5000元罚款。投标人未安装水表或电表用水用电的，采购人扣罚签约合同价的2%作为违约金。</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采用挂表计量方式用水用电的，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故意损坏合法安装的计量装置或使其计量不准、失效的，每发现一次将处以5000元罚款。</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使用伪造、变造或非法充值的电费卡充值用电的，每发现一次采购人扣罚签约合同价的2%作为违约金。</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采用挂表计量方式用水用电的，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未经允许私自开启电能表铅封或伪造铅封的，采购人每发现一次扣罚签约合同价的2%作为违约金。</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采用挂表计量方式用水用电的，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绕越合法安装的计量装置用水用电的（包括但不限于绕越电表在学校电气线路、断路器或插座等供电设施接线用电的；绕越水表从学校供水管线或水龙头等处接水使用的），采购人每发现一次扣罚签约合同价的2%作为违约金。</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选择不使用学校水、电资源的，未经采购人同意投标人擅自使用学校水、电资源（包括但不限于在学校电气线路、断路器或插座等供电设施接线用电的；从学校供水管线或水龙头等处接水使用的），采购人每发现一次扣罚签约合同价的2%作为违约金。</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项目竣工验收合格后，动力与维修中心、计划财务部双方均同意拆除计量装置并出具书面许可意见，方可拆除电表、水表计量装置。</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未经许可私自拆除水表或电表的，采购人将扣罚签约合同价的2%作为违约金。</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表设备使用后需归还动力与维修中心，如出现电表设备损坏、改装、改动、破坏铅封或电表不能正常使用等情况的，表具押金不予退还，并按相关条款进行处罚。同时投标人需将电表修复，由此产生的费用由投标人承担。</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未尽事宜按照《哈尔滨工业大学用电管理制度》处理。如投标人出现上述违规行为，学校将停止供水供电，</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必须立即整改，整改合格后方可恢复供水供电。</w:t>
      </w:r>
    </w:p>
    <w:p>
      <w:pPr>
        <w:pStyle w:val="182"/>
        <w:keepNext w:val="0"/>
        <w:keepLines w:val="0"/>
        <w:pageBreakBefore w:val="0"/>
        <w:widowControl/>
        <w:numPr>
          <w:ilvl w:val="0"/>
          <w:numId w:val="36"/>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罚款缴纳有两种方案：方案一是在项目竣工结算时从合同价款中直接扣除；方案二是</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现金缴纳至总务处计财部。采用哪种方案需进一步协商。</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达到以上规定，则采购人按相关文件规定之安全文明施工费全额给予</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未达到以上规定，则采购人按相关文件规定之安全文明施工费的50%给予扣除。安全文明施工费的取费标准按照黑龙江省建设行政主管部门颁发的相关文件执行。</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 xml:space="preserve">应按有关规范、设计要求及采购人代表和监理的指令进行施工，随时接受检查，为检查提供便利条件，及时根据要求向采购人代表及监理提供与工程质量有关的技术资料；并按检查结果进行整改。  </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分部分项工程达到隐蔽验收时，</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自检合格后，于验收前24小时通知采购人代表和监理，并提供有关合格资料，经验收合格并签字后方可进行隐蔽。如果发现</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在验收合格后到隐蔽施工前，对合格部分做任何改动，应重新进行验收；重要的工程隐蔽验收应通知质量监督及设计单位共同参加验收。隐蔽工程无论采购人是否进行验收，当其要求对已经隐蔽的工程重新检验时，</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按要求进行剥离或开孔，并在检验后重新覆盖或修复。检验合格，采购人承担由此发生的全部费用并相应顺延工期。检验不合格的，投标人承担发生的全部费用，工期不予顺延。关键工序施工完毕后，须经监理、采购人代表验收合格签字后（投标人应在验收前向采购人及监理提交三检记录、施工交底记录等资料），方可进行下道工序施工，否则每次投标人支付违约金1000元，并且采购人有权暂停支付该部分进度款，直至确认该部分工程合格为止。</w:t>
      </w:r>
    </w:p>
    <w:p>
      <w:pPr>
        <w:pStyle w:val="6"/>
        <w:keepNext w:val="0"/>
        <w:keepLines w:val="0"/>
        <w:pageBreakBefore w:val="0"/>
        <w:widowControl/>
        <w:numPr>
          <w:ilvl w:val="0"/>
          <w:numId w:val="35"/>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1、采购人对施工质量有疑问，而要求</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复测时，</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应给予积极配合。</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2、为保证施工质量，施工难点以及容易发生质量通病的地方，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应先报施工方案经采购人确认，采购人可根据实际情况要求</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做施工样板方可施工。</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3、由于</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施工质量原因，出现质量问题，</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除按要求进行整改并承担相应费用和责任外，每次出现质量问题扣工程款0.5万元。</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按合同约定施工，或违反正常施工程序、施工工艺进行野蛮施工，或施工质量、安全、环保等达不到有关要求，或施工用材料设备不合规定，采购人有权勒令投标人暂停施工，投标人必须立即停工整改，一切责任由投标人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5、因</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原因造成工期延误，逾期竣工违约金的计算方法为：</w:t>
      </w:r>
      <w:r>
        <w:rPr>
          <w:rFonts w:hint="eastAsia" w:asciiTheme="minorEastAsia" w:hAnsiTheme="minorEastAsia" w:eastAsiaTheme="minorEastAsia" w:cstheme="minorEastAsia"/>
          <w:color w:val="auto"/>
          <w:sz w:val="24"/>
          <w:szCs w:val="24"/>
          <w:highlight w:val="none"/>
          <w:u w:val="single"/>
        </w:rPr>
        <w:t xml:space="preserve"> 每逾期1天，采购人扣除签约合同价的1%作为违约金。超过5天，投标人按合同金额的10%向采购人支付违约金，并赔偿由此造成的损失费用，采购人有权终止合同。</w:t>
      </w:r>
    </w:p>
    <w:p>
      <w:pPr>
        <w:pStyle w:val="6"/>
        <w:keepNext w:val="0"/>
        <w:keepLines w:val="0"/>
        <w:pageBreakBefore w:val="0"/>
        <w:widowControl/>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原因造成工期延误，逾期竣工违约金的上限：</w:t>
      </w:r>
      <w:r>
        <w:rPr>
          <w:rFonts w:hint="eastAsia" w:asciiTheme="minorEastAsia" w:hAnsiTheme="minorEastAsia" w:eastAsiaTheme="minorEastAsia" w:cstheme="minorEastAsia"/>
          <w:color w:val="auto"/>
          <w:sz w:val="24"/>
          <w:szCs w:val="24"/>
          <w:highlight w:val="none"/>
          <w:u w:val="single"/>
        </w:rPr>
        <w:t xml:space="preserve">无  </w:t>
      </w:r>
    </w:p>
    <w:p>
      <w:pPr>
        <w:pStyle w:val="6"/>
        <w:keepNext w:val="0"/>
        <w:keepLines w:val="0"/>
        <w:pageBreakBefore w:val="0"/>
        <w:widowControl/>
        <w:numPr>
          <w:ilvl w:val="0"/>
          <w:numId w:val="37"/>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因本项目为维修改造项目，现场情况复杂，采购人有权在总工程造价15%内，对招标清单内容及工程量调整，中标单位应无条件配合。</w:t>
      </w:r>
    </w:p>
    <w:p>
      <w:pPr>
        <w:pStyle w:val="6"/>
        <w:keepNext w:val="0"/>
        <w:keepLines w:val="0"/>
        <w:pageBreakBefore w:val="0"/>
        <w:widowControl/>
        <w:numPr>
          <w:ilvl w:val="0"/>
          <w:numId w:val="37"/>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本项目施工在哈工大校园内，存在诸多不确定因素，具体开工及施工日期由采购人确认。要求</w:t>
      </w:r>
      <w:r>
        <w:rPr>
          <w:rFonts w:hint="eastAsia" w:asciiTheme="minorEastAsia" w:hAnsiTheme="minorEastAsia" w:eastAsiaTheme="minorEastAsia" w:cstheme="minorEastAsia"/>
          <w:color w:val="auto"/>
          <w:sz w:val="24"/>
          <w:szCs w:val="24"/>
          <w:highlight w:val="none"/>
          <w:lang w:val="en-US" w:eastAsia="zh-CN"/>
        </w:rPr>
        <w:t>成交供应商</w:t>
      </w:r>
      <w:r>
        <w:rPr>
          <w:rFonts w:hint="eastAsia" w:asciiTheme="minorEastAsia" w:hAnsiTheme="minorEastAsia" w:eastAsiaTheme="minorEastAsia" w:cstheme="minorEastAsia"/>
          <w:color w:val="auto"/>
          <w:sz w:val="24"/>
          <w:szCs w:val="24"/>
          <w:highlight w:val="none"/>
        </w:rPr>
        <w:t>无条件服从采购人工期及施工区域安排，采购人视</w:t>
      </w:r>
      <w:r>
        <w:rPr>
          <w:rFonts w:hint="eastAsia" w:asciiTheme="minorEastAsia" w:hAnsiTheme="minorEastAsia" w:eastAsiaTheme="minorEastAsia" w:cstheme="minorEastAsia"/>
          <w:color w:val="auto"/>
          <w:sz w:val="24"/>
          <w:szCs w:val="24"/>
          <w:highlight w:val="none"/>
          <w:lang w:val="en-US" w:eastAsia="zh-CN"/>
        </w:rPr>
        <w:t>成交供应商</w:t>
      </w:r>
      <w:r>
        <w:rPr>
          <w:rFonts w:hint="eastAsia" w:asciiTheme="minorEastAsia" w:hAnsiTheme="minorEastAsia" w:eastAsiaTheme="minorEastAsia" w:cstheme="minorEastAsia"/>
          <w:color w:val="auto"/>
          <w:sz w:val="24"/>
          <w:szCs w:val="24"/>
          <w:highlight w:val="none"/>
        </w:rPr>
        <w:t>对此情况已了解，如有不服从安排或者合同违约情况，采购人可立即停止合同，扣留履约保证金，采购人将依次选择预中标候选第二为</w:t>
      </w:r>
      <w:r>
        <w:rPr>
          <w:rFonts w:hint="eastAsia" w:asciiTheme="minorEastAsia" w:hAnsiTheme="minorEastAsia" w:eastAsiaTheme="minorEastAsia" w:cstheme="minorEastAsia"/>
          <w:color w:val="auto"/>
          <w:sz w:val="24"/>
          <w:szCs w:val="24"/>
          <w:highlight w:val="none"/>
          <w:lang w:val="en-US" w:eastAsia="zh-CN"/>
        </w:rPr>
        <w:t>成交供应商</w:t>
      </w:r>
      <w:r>
        <w:rPr>
          <w:rFonts w:hint="eastAsia" w:asciiTheme="minorEastAsia" w:hAnsiTheme="minorEastAsia" w:eastAsiaTheme="minorEastAsia" w:cstheme="minorEastAsia"/>
          <w:color w:val="auto"/>
          <w:sz w:val="24"/>
          <w:szCs w:val="24"/>
          <w:highlight w:val="none"/>
        </w:rPr>
        <w:t>，第二名无法按要求履约，将选择第三名为</w:t>
      </w:r>
      <w:r>
        <w:rPr>
          <w:rFonts w:hint="eastAsia" w:asciiTheme="minorEastAsia" w:hAnsiTheme="minorEastAsia" w:eastAsiaTheme="minorEastAsia" w:cstheme="minorEastAsia"/>
          <w:color w:val="auto"/>
          <w:sz w:val="24"/>
          <w:szCs w:val="24"/>
          <w:highlight w:val="none"/>
          <w:lang w:val="en-US" w:eastAsia="zh-CN"/>
        </w:rPr>
        <w:t>成交供应商</w:t>
      </w:r>
      <w:r>
        <w:rPr>
          <w:rFonts w:hint="eastAsia" w:asciiTheme="minorEastAsia" w:hAnsiTheme="minorEastAsia" w:eastAsiaTheme="minorEastAsia" w:cstheme="minorEastAsia"/>
          <w:color w:val="auto"/>
          <w:sz w:val="24"/>
          <w:szCs w:val="24"/>
          <w:highlight w:val="none"/>
        </w:rPr>
        <w:t>。</w:t>
      </w:r>
    </w:p>
    <w:p>
      <w:pPr>
        <w:pStyle w:val="6"/>
        <w:keepNext w:val="0"/>
        <w:keepLines w:val="0"/>
        <w:pageBreakBefore w:val="0"/>
        <w:widowControl/>
        <w:numPr>
          <w:ilvl w:val="0"/>
          <w:numId w:val="37"/>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本工程为维修工程，部分材料、设备利旧，竣工验收时，</w:t>
      </w:r>
      <w:r>
        <w:rPr>
          <w:rFonts w:hint="eastAsia" w:asciiTheme="minorEastAsia" w:hAnsiTheme="minorEastAsia" w:eastAsiaTheme="minorEastAsia" w:cstheme="minorEastAsia"/>
          <w:color w:val="auto"/>
          <w:sz w:val="24"/>
          <w:szCs w:val="24"/>
          <w:highlight w:val="none"/>
          <w:lang w:val="en-US" w:eastAsia="zh-CN"/>
        </w:rPr>
        <w:t>成交供应商</w:t>
      </w:r>
      <w:r>
        <w:rPr>
          <w:rFonts w:hint="eastAsia" w:asciiTheme="minorEastAsia" w:hAnsiTheme="minorEastAsia" w:eastAsiaTheme="minorEastAsia" w:cstheme="minorEastAsia"/>
          <w:color w:val="auto"/>
          <w:sz w:val="24"/>
          <w:szCs w:val="24"/>
          <w:highlight w:val="none"/>
        </w:rPr>
        <w:t>应保证利旧材料、设备干净整洁无破损，符合工程使用条件。</w:t>
      </w:r>
    </w:p>
    <w:p>
      <w:pPr>
        <w:pStyle w:val="6"/>
        <w:keepNext w:val="0"/>
        <w:keepLines w:val="0"/>
        <w:pageBreakBefore w:val="0"/>
        <w:widowControl/>
        <w:numPr>
          <w:ilvl w:val="0"/>
          <w:numId w:val="37"/>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合同终止：如</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施工过程中出现的问题已经严重影响工程进度和工程质量，采购人有权终止合同并追究</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的违约责任。</w:t>
      </w:r>
    </w:p>
    <w:p>
      <w:pPr>
        <w:pStyle w:val="6"/>
        <w:keepNext w:val="0"/>
        <w:keepLines w:val="0"/>
        <w:pageBreakBefore w:val="0"/>
        <w:widowControl/>
        <w:numPr>
          <w:ilvl w:val="0"/>
          <w:numId w:val="34"/>
        </w:numPr>
        <w:kinsoku/>
        <w:wordWrap/>
        <w:overflowPunct/>
        <w:topLinePunct w:val="0"/>
        <w:autoSpaceDE/>
        <w:autoSpaceDN/>
        <w:bidi w:val="0"/>
        <w:adjustRightInd/>
        <w:snapToGrid/>
        <w:spacing w:before="163" w:beforeLines="50" w:line="360" w:lineRule="auto"/>
        <w:ind w:hanging="600" w:firstLine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竣工验收及工程移交：</w:t>
      </w:r>
    </w:p>
    <w:p>
      <w:pPr>
        <w:pStyle w:val="6"/>
        <w:keepNext w:val="0"/>
        <w:keepLines w:val="0"/>
        <w:pageBreakBefore w:val="0"/>
        <w:widowControl/>
        <w:kinsoku/>
        <w:wordWrap/>
        <w:overflowPunct/>
        <w:topLinePunct w:val="0"/>
        <w:autoSpaceDE/>
        <w:autoSpaceDN/>
        <w:bidi w:val="0"/>
        <w:adjustRightInd/>
        <w:snapToGrid/>
        <w:spacing w:line="360" w:lineRule="auto"/>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竣工验收以合同、施工及验收规范、验收标准、政府有关规定及施工图纸等为依据。</w:t>
      </w:r>
    </w:p>
    <w:p>
      <w:pPr>
        <w:pStyle w:val="6"/>
        <w:keepNext w:val="0"/>
        <w:keepLines w:val="0"/>
        <w:pageBreakBefore w:val="0"/>
        <w:widowControl/>
        <w:numPr>
          <w:ilvl w:val="0"/>
          <w:numId w:val="38"/>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初步验收：</w:t>
      </w:r>
    </w:p>
    <w:p>
      <w:pPr>
        <w:pStyle w:val="6"/>
        <w:keepNext w:val="0"/>
        <w:keepLines w:val="0"/>
        <w:pageBreakBefore w:val="0"/>
        <w:widowControl/>
        <w:numPr>
          <w:ilvl w:val="255"/>
          <w:numId w:val="0"/>
        </w:numPr>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在施工结束后、且自检合格后，向采购人提供一套完整的竣工验收所需资料和竣工验收申请。竣工资料审核通过后，约定初验时间，采购人收到申请后应在48小时内组织初步验收，初验由监理方、采购人和</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共同参加，初验提出的整改要求全部完成并经初验小组核定后（需在初验后7日内完成整改），采购人在3日内，批复投标人工程核验申请。</w:t>
      </w:r>
    </w:p>
    <w:p>
      <w:pPr>
        <w:pStyle w:val="6"/>
        <w:keepNext w:val="0"/>
        <w:keepLines w:val="0"/>
        <w:pageBreakBefore w:val="0"/>
        <w:widowControl/>
        <w:numPr>
          <w:ilvl w:val="0"/>
          <w:numId w:val="38"/>
        </w:numPr>
        <w:kinsoku/>
        <w:wordWrap/>
        <w:overflowPunct/>
        <w:topLinePunct w:val="0"/>
        <w:autoSpaceDE/>
        <w:autoSpaceDN/>
        <w:bidi w:val="0"/>
        <w:adjustRightInd/>
        <w:snapToGrid/>
        <w:spacing w:line="360" w:lineRule="auto"/>
        <w:ind w:firstLine="48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竣工验收：</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在竣工验收前7天内，提交1套竣工资料正本。投标人应联系有关部门进行验收（如：学校土建、水、电、暖消防、电梯运行管理单位及使用单位参加）。验收时有采购人、监理人及投标人组成工程验收小组，对本项目工程进行全面的检查验收，验收合格后办理移交手续。竣工验收合格后14天内，投标人需提交2套完整的竣工资料给采购人归档（即：满足质监、档案馆要求的竣工资料）两套（正本一套，由原件组成；副本一套）。</w:t>
      </w:r>
    </w:p>
    <w:p>
      <w:pPr>
        <w:pStyle w:val="6"/>
        <w:keepNext w:val="0"/>
        <w:keepLines w:val="0"/>
        <w:pageBreakBefore w:val="0"/>
        <w:widowControl/>
        <w:numPr>
          <w:ilvl w:val="0"/>
          <w:numId w:val="38"/>
        </w:numPr>
        <w:kinsoku/>
        <w:wordWrap/>
        <w:overflowPunct/>
        <w:topLinePunct w:val="0"/>
        <w:autoSpaceDE/>
        <w:autoSpaceDN/>
        <w:bidi w:val="0"/>
        <w:adjustRightInd/>
        <w:snapToGrid/>
        <w:spacing w:line="360" w:lineRule="auto"/>
        <w:ind w:firstLine="48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本工程竣工验收需一次性合格，并达到规定验收标准。</w:t>
      </w:r>
    </w:p>
    <w:p>
      <w:pPr>
        <w:pStyle w:val="6"/>
        <w:keepNext w:val="0"/>
        <w:keepLines w:val="0"/>
        <w:pageBreakBefore w:val="0"/>
        <w:widowControl/>
        <w:numPr>
          <w:ilvl w:val="0"/>
          <w:numId w:val="38"/>
        </w:numPr>
        <w:kinsoku/>
        <w:wordWrap/>
        <w:overflowPunct/>
        <w:topLinePunct w:val="0"/>
        <w:autoSpaceDE/>
        <w:autoSpaceDN/>
        <w:bidi w:val="0"/>
        <w:adjustRightInd/>
        <w:snapToGrid/>
        <w:spacing w:line="360" w:lineRule="auto"/>
        <w:ind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应按合同要求，在竣工验收合格之日（签署工程竣工验收单）起10日历天内进行结算初审，并附完整的结算资料。</w:t>
      </w:r>
    </w:p>
    <w:p>
      <w:pPr>
        <w:pStyle w:val="6"/>
        <w:keepNext w:val="0"/>
        <w:keepLines w:val="0"/>
        <w:pageBreakBefore w:val="0"/>
        <w:widowControl/>
        <w:numPr>
          <w:ilvl w:val="0"/>
          <w:numId w:val="34"/>
        </w:numPr>
        <w:kinsoku/>
        <w:wordWrap/>
        <w:overflowPunct/>
        <w:topLinePunct w:val="0"/>
        <w:autoSpaceDE/>
        <w:autoSpaceDN/>
        <w:bidi w:val="0"/>
        <w:adjustRightInd/>
        <w:snapToGrid/>
        <w:spacing w:before="163" w:beforeLines="50" w:line="360" w:lineRule="auto"/>
        <w:ind w:hanging="600" w:firstLine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工程质量保修：</w:t>
      </w:r>
    </w:p>
    <w:p>
      <w:pPr>
        <w:pStyle w:val="6"/>
        <w:keepNext w:val="0"/>
        <w:keepLines w:val="0"/>
        <w:pageBreakBefore w:val="0"/>
        <w:widowControl/>
        <w:numPr>
          <w:ilvl w:val="0"/>
          <w:numId w:val="39"/>
        </w:numPr>
        <w:kinsoku/>
        <w:wordWrap/>
        <w:overflowPunct/>
        <w:topLinePunct w:val="0"/>
        <w:autoSpaceDE/>
        <w:autoSpaceDN/>
        <w:bidi w:val="0"/>
        <w:adjustRightInd/>
        <w:snapToGrid/>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保修范围：</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承包范围内工程项目，由于</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施工质量问题和材料设备质量问题，均属</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保修范围。</w:t>
      </w:r>
    </w:p>
    <w:p>
      <w:pPr>
        <w:pStyle w:val="6"/>
        <w:keepNext w:val="0"/>
        <w:keepLines w:val="0"/>
        <w:pageBreakBefore w:val="0"/>
        <w:widowControl/>
        <w:numPr>
          <w:ilvl w:val="0"/>
          <w:numId w:val="39"/>
        </w:numPr>
        <w:kinsoku/>
        <w:wordWrap/>
        <w:overflowPunct/>
        <w:topLinePunct w:val="0"/>
        <w:autoSpaceDE/>
        <w:autoSpaceDN/>
        <w:bidi w:val="0"/>
        <w:adjustRightInd/>
        <w:snapToGrid/>
        <w:spacing w:line="360" w:lineRule="auto"/>
        <w:ind w:firstLine="48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保修期限：在正常使用条件下，</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承诺的质量保修期不得低于《建设工程质量管理条例》规定的最低保修期限，建设工程的保修期自竣工验收合格之日起计算。</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须在</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文件中明确质量保修期限。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保修响应时间：</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收到保修通知并到达工程现场的合理时间，售后服务响应时间小于24小时。</w:t>
      </w:r>
    </w:p>
    <w:p>
      <w:pPr>
        <w:spacing w:line="500" w:lineRule="exact"/>
        <w:ind w:firstLine="480" w:firstLineChars="200"/>
        <w:textAlignment w:val="baseline"/>
        <w:rPr>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sectPr>
          <w:pgSz w:w="11907" w:h="16839"/>
          <w:pgMar w:top="1928" w:right="1531" w:bottom="1871" w:left="1531" w:header="1148" w:footer="709" w:gutter="0"/>
          <w:cols w:space="720" w:num="1"/>
          <w:docGrid w:linePitch="360" w:charSpace="0"/>
        </w:sectPr>
      </w:pPr>
    </w:p>
    <w:p>
      <w:pPr>
        <w:pStyle w:val="4"/>
        <w:numPr>
          <w:ilvl w:val="0"/>
          <w:numId w:val="10"/>
        </w:numPr>
        <w:spacing w:before="2400" w:after="0"/>
        <w:jc w:val="center"/>
        <w:rPr>
          <w:color w:val="auto"/>
          <w:highlight w:val="none"/>
        </w:rPr>
        <w:sectPr>
          <w:pgSz w:w="11907" w:h="16839"/>
          <w:pgMar w:top="1928" w:right="1531" w:bottom="1871" w:left="1531" w:header="1148" w:footer="709" w:gutter="0"/>
          <w:cols w:space="720" w:num="1"/>
          <w:docGrid w:linePitch="360" w:charSpace="0"/>
        </w:sectPr>
      </w:pPr>
      <w:bookmarkStart w:id="71" w:name="_Toc15976"/>
      <w:bookmarkStart w:id="72" w:name="_Toc9624"/>
      <w:bookmarkStart w:id="73" w:name="_Toc36824310"/>
      <w:bookmarkStart w:id="74" w:name="_Toc36817237"/>
      <w:r>
        <w:rPr>
          <w:rFonts w:hint="eastAsia" w:ascii="微软雅黑" w:hAnsi="微软雅黑"/>
          <w:color w:val="auto"/>
          <w:highlight w:val="none"/>
        </w:rPr>
        <w:t>资格审查</w:t>
      </w:r>
      <w:bookmarkEnd w:id="71"/>
      <w:bookmarkEnd w:id="72"/>
      <w:bookmarkEnd w:id="73"/>
      <w:bookmarkEnd w:id="74"/>
    </w:p>
    <w:p>
      <w:pPr>
        <w:ind w:firstLine="420" w:firstLineChars="200"/>
        <w:jc w:val="center"/>
        <w:rPr>
          <w:color w:val="auto"/>
          <w:highlight w:val="none"/>
        </w:rPr>
      </w:pPr>
      <w:r>
        <w:rPr>
          <w:rFonts w:hint="eastAsia"/>
          <w:color w:val="auto"/>
          <w:highlight w:val="none"/>
        </w:rPr>
        <w:t>资格审查一览表</w:t>
      </w:r>
    </w:p>
    <w:tbl>
      <w:tblPr>
        <w:tblStyle w:val="83"/>
        <w:tblW w:w="14742" w:type="dxa"/>
        <w:jc w:val="center"/>
        <w:tblLayout w:type="fixed"/>
        <w:tblCellMar>
          <w:top w:w="0" w:type="dxa"/>
          <w:left w:w="108" w:type="dxa"/>
          <w:bottom w:w="0" w:type="dxa"/>
          <w:right w:w="108" w:type="dxa"/>
        </w:tblCellMar>
      </w:tblPr>
      <w:tblGrid>
        <w:gridCol w:w="1257"/>
        <w:gridCol w:w="5690"/>
        <w:gridCol w:w="4819"/>
        <w:gridCol w:w="2976"/>
      </w:tblGrid>
      <w:tr>
        <w:trPr>
          <w:trHeight w:val="370" w:hRule="atLeast"/>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b/>
                <w:color w:val="auto"/>
                <w:kern w:val="0"/>
                <w:szCs w:val="21"/>
                <w:highlight w:val="none"/>
                <w:lang w:val="en-US"/>
              </w:rPr>
            </w:pPr>
            <w:r>
              <w:rPr>
                <w:rFonts w:hint="eastAsia" w:ascii="微软雅黑" w:hAnsi="微软雅黑"/>
                <w:b/>
                <w:color w:val="auto"/>
                <w:kern w:val="0"/>
                <w:szCs w:val="21"/>
                <w:highlight w:val="none"/>
                <w:lang w:val="en-US"/>
              </w:rPr>
              <w:t>序号</w:t>
            </w:r>
          </w:p>
        </w:tc>
        <w:tc>
          <w:tcPr>
            <w:tcW w:w="5690"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hAnsi="微软雅黑"/>
                <w:b/>
                <w:color w:val="auto"/>
                <w:kern w:val="0"/>
                <w:szCs w:val="21"/>
                <w:highlight w:val="none"/>
                <w:lang w:val="en-US"/>
              </w:rPr>
            </w:pPr>
            <w:r>
              <w:rPr>
                <w:rFonts w:hint="eastAsia" w:ascii="微软雅黑" w:hAnsi="微软雅黑"/>
                <w:b/>
                <w:color w:val="auto"/>
                <w:kern w:val="0"/>
                <w:szCs w:val="21"/>
                <w:highlight w:val="none"/>
                <w:lang w:val="en-US"/>
              </w:rPr>
              <w:t>项     目</w:t>
            </w:r>
          </w:p>
        </w:tc>
        <w:tc>
          <w:tcPr>
            <w:tcW w:w="4819"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hAnsi="微软雅黑"/>
                <w:b/>
                <w:color w:val="auto"/>
                <w:kern w:val="0"/>
                <w:szCs w:val="21"/>
                <w:highlight w:val="none"/>
                <w:lang w:val="en-US"/>
              </w:rPr>
            </w:pPr>
            <w:r>
              <w:rPr>
                <w:rFonts w:hint="eastAsia" w:ascii="微软雅黑" w:hAnsi="微软雅黑"/>
                <w:b/>
                <w:color w:val="auto"/>
                <w:kern w:val="0"/>
                <w:szCs w:val="21"/>
                <w:highlight w:val="none"/>
                <w:lang w:val="en-US"/>
              </w:rPr>
              <w:t>合格条件</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b/>
                <w:color w:val="auto"/>
                <w:szCs w:val="22"/>
                <w:highlight w:val="none"/>
              </w:rPr>
            </w:pPr>
            <w:r>
              <w:rPr>
                <w:rFonts w:hint="eastAsia"/>
                <w:b/>
                <w:color w:val="auto"/>
                <w:szCs w:val="22"/>
                <w:highlight w:val="none"/>
              </w:rPr>
              <w:t>备注</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rFonts w:cs="黑体"/>
                <w:color w:val="auto"/>
                <w:szCs w:val="21"/>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cs="黑体"/>
                <w:color w:val="auto"/>
                <w:szCs w:val="21"/>
                <w:highlight w:val="none"/>
              </w:rPr>
            </w:pPr>
            <w:r>
              <w:rPr>
                <w:rFonts w:hint="eastAsia" w:cs="黑体"/>
                <w:color w:val="auto"/>
                <w:szCs w:val="21"/>
                <w:highlight w:val="none"/>
              </w:rPr>
              <w:t>具有独立承担民事责任的能力</w:t>
            </w:r>
          </w:p>
        </w:tc>
        <w:tc>
          <w:tcPr>
            <w:tcW w:w="4819" w:type="dxa"/>
            <w:tcBorders>
              <w:top w:val="single" w:color="000000" w:sz="4" w:space="0"/>
              <w:left w:val="nil"/>
              <w:bottom w:val="single" w:color="000000" w:sz="4" w:space="0"/>
              <w:right w:val="single" w:color="000000" w:sz="4" w:space="0"/>
            </w:tcBorders>
            <w:vAlign w:val="center"/>
          </w:tcPr>
          <w:p>
            <w:pPr>
              <w:spacing w:line="240" w:lineRule="exact"/>
              <w:rPr>
                <w:rFonts w:ascii="微软雅黑" w:hAnsi="微软雅黑"/>
                <w:color w:val="auto"/>
                <w:szCs w:val="22"/>
                <w:highlight w:val="none"/>
              </w:rPr>
            </w:pPr>
            <w:r>
              <w:rPr>
                <w:rFonts w:hint="eastAsia" w:cs="黑体"/>
                <w:color w:val="auto"/>
                <w:szCs w:val="21"/>
                <w:highlight w:val="none"/>
              </w:rPr>
              <w:t>提供有效的法人或者其他组织的营业执照等证明文件，自然人的身份证明。</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r>
              <w:rPr>
                <w:color w:val="auto"/>
                <w:szCs w:val="22"/>
                <w:highlight w:val="none"/>
              </w:rPr>
              <w:t>真实有效</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rFonts w:cs="黑体"/>
                <w:color w:val="auto"/>
                <w:szCs w:val="21"/>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cs="黑体"/>
                <w:color w:val="auto"/>
                <w:szCs w:val="21"/>
                <w:highlight w:val="none"/>
              </w:rPr>
            </w:pPr>
            <w:r>
              <w:rPr>
                <w:rFonts w:hint="eastAsia" w:cs="黑体"/>
                <w:color w:val="auto"/>
                <w:szCs w:val="21"/>
                <w:highlight w:val="none"/>
              </w:rPr>
              <w:t>具有良好的商业信誉和健全的财务会计制度</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r>
              <w:rPr>
                <w:rFonts w:hint="eastAsia" w:cs="黑体"/>
                <w:color w:val="auto"/>
                <w:szCs w:val="21"/>
                <w:highlight w:val="none"/>
              </w:rPr>
              <w:t>提供承诺或相关证明材料</w:t>
            </w:r>
          </w:p>
        </w:tc>
        <w:tc>
          <w:tcPr>
            <w:tcW w:w="2976" w:type="dxa"/>
            <w:vMerge w:val="restart"/>
            <w:tcBorders>
              <w:top w:val="single" w:color="000000" w:sz="4" w:space="0"/>
              <w:left w:val="nil"/>
              <w:right w:val="single" w:color="000000" w:sz="4" w:space="0"/>
            </w:tcBorders>
            <w:vAlign w:val="center"/>
          </w:tcPr>
          <w:p>
            <w:pPr>
              <w:autoSpaceDE w:val="0"/>
              <w:adjustRightInd w:val="0"/>
              <w:snapToGrid w:val="0"/>
              <w:spacing w:before="40" w:after="160"/>
              <w:jc w:val="center"/>
              <w:rPr>
                <w:rFonts w:cs="黑体"/>
                <w:color w:val="auto"/>
                <w:szCs w:val="21"/>
                <w:highlight w:val="none"/>
              </w:rPr>
            </w:pPr>
            <w:r>
              <w:rPr>
                <w:rFonts w:hint="eastAsia" w:cs="黑体"/>
                <w:color w:val="auto"/>
                <w:szCs w:val="21"/>
                <w:highlight w:val="none"/>
              </w:rPr>
              <w:t>采购文件提供的承诺格式仅供参考，具体承诺格式、内容或相关证明材料由供应商自行确定、编制并承担责任</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rFonts w:cs="黑体"/>
                <w:color w:val="auto"/>
                <w:szCs w:val="21"/>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cs="黑体"/>
                <w:color w:val="auto"/>
                <w:szCs w:val="21"/>
                <w:highlight w:val="none"/>
              </w:rPr>
            </w:pPr>
            <w:r>
              <w:rPr>
                <w:rFonts w:hint="eastAsia" w:cs="黑体"/>
                <w:color w:val="auto"/>
                <w:szCs w:val="21"/>
                <w:highlight w:val="none"/>
              </w:rPr>
              <w:t>具有履行合同所必需的设备和专业技术能力</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r>
              <w:rPr>
                <w:rFonts w:hint="eastAsia" w:cs="黑体"/>
                <w:color w:val="auto"/>
                <w:szCs w:val="21"/>
                <w:highlight w:val="none"/>
              </w:rPr>
              <w:t>提供承诺或相关证明材料</w:t>
            </w:r>
          </w:p>
        </w:tc>
        <w:tc>
          <w:tcPr>
            <w:tcW w:w="2976" w:type="dxa"/>
            <w:vMerge w:val="continue"/>
            <w:tcBorders>
              <w:left w:val="nil"/>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rFonts w:cs="黑体"/>
                <w:color w:val="auto"/>
                <w:szCs w:val="21"/>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cs="黑体"/>
                <w:color w:val="auto"/>
                <w:szCs w:val="21"/>
                <w:highlight w:val="none"/>
              </w:rPr>
            </w:pPr>
            <w:r>
              <w:rPr>
                <w:rFonts w:hint="eastAsia" w:cs="黑体"/>
                <w:color w:val="auto"/>
                <w:szCs w:val="21"/>
                <w:highlight w:val="none"/>
              </w:rPr>
              <w:t>有依法缴纳税收和社会保障资金的良好记录</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r>
              <w:rPr>
                <w:rFonts w:hint="eastAsia" w:cs="黑体"/>
                <w:color w:val="auto"/>
                <w:szCs w:val="21"/>
                <w:highlight w:val="none"/>
              </w:rPr>
              <w:t>提供承诺或相关证明材料</w:t>
            </w:r>
          </w:p>
        </w:tc>
        <w:tc>
          <w:tcPr>
            <w:tcW w:w="2976" w:type="dxa"/>
            <w:vMerge w:val="continue"/>
            <w:tcBorders>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书面声明</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color w:val="auto"/>
                <w:szCs w:val="22"/>
                <w:highlight w:val="none"/>
              </w:rPr>
              <w:t>按竞争性磋商文件给定格式声明签署</w:t>
            </w:r>
          </w:p>
          <w:p>
            <w:pPr>
              <w:autoSpaceDE w:val="0"/>
              <w:adjustRightInd w:val="0"/>
              <w:snapToGrid w:val="0"/>
              <w:spacing w:before="40" w:after="160"/>
              <w:jc w:val="center"/>
              <w:rPr>
                <w:color w:val="auto"/>
                <w:szCs w:val="22"/>
                <w:highlight w:val="none"/>
              </w:rPr>
            </w:pPr>
            <w:r>
              <w:rPr>
                <w:rFonts w:hint="eastAsia"/>
                <w:color w:val="auto"/>
                <w:szCs w:val="22"/>
                <w:highlight w:val="none"/>
              </w:rPr>
              <w:t>（格式后附）</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color w:val="auto"/>
                <w:szCs w:val="22"/>
                <w:highlight w:val="none"/>
              </w:rPr>
              <w:t>真实有效</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通过”信用中国”网站(www.creditchina.gov.cn)、中国政府采购网(www.ccgp.gov.cn)、“国家企业信用信息公示系统”（www.gsxt.gov.cn/index.html）渠道查询供应商信用记录</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color w:val="auto"/>
                <w:szCs w:val="22"/>
                <w:highlight w:val="none"/>
              </w:rPr>
              <w:t>供应商不得列入失信被执行人、重大税收违法案件当事人名单、政府采购严重违法失信行为记录名单（且处罚期限尚未届满的）</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ascii="微软雅黑" w:hAnsi="微软雅黑"/>
                <w:color w:val="auto"/>
                <w:szCs w:val="22"/>
                <w:highlight w:val="none"/>
              </w:rPr>
              <w:t>供应商无需提供，采购人或采购代理机构在资格审查时查询</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企业资质</w:t>
            </w:r>
          </w:p>
        </w:tc>
        <w:tc>
          <w:tcPr>
            <w:tcW w:w="4819" w:type="dxa"/>
            <w:tcBorders>
              <w:top w:val="single" w:color="000000" w:sz="4" w:space="0"/>
              <w:left w:val="nil"/>
              <w:bottom w:val="single" w:color="000000" w:sz="4" w:space="0"/>
              <w:right w:val="single" w:color="000000" w:sz="4" w:space="0"/>
            </w:tcBorders>
            <w:vAlign w:val="center"/>
          </w:tcPr>
          <w:p>
            <w:pPr>
              <w:rPr>
                <w:rFonts w:hint="eastAsia" w:ascii="微软雅黑" w:hAnsi="微软雅黑"/>
                <w:color w:val="auto"/>
                <w:szCs w:val="21"/>
                <w:highlight w:val="none"/>
              </w:rPr>
            </w:pPr>
            <w:r>
              <w:rPr>
                <w:rFonts w:hint="eastAsia" w:ascii="微软雅黑" w:hAnsi="微软雅黑"/>
                <w:color w:val="auto"/>
                <w:szCs w:val="21"/>
                <w:highlight w:val="none"/>
              </w:rPr>
              <w:t>供应商须具备中华人民共和国境内的独立法人资格，并在人员、设备、资金等方面具有相应的施工能力。须同时具备国家建设行政主管部门颁发的下列资质之一：</w:t>
            </w:r>
          </w:p>
          <w:p>
            <w:pPr>
              <w:pStyle w:val="2"/>
              <w:ind w:left="0" w:leftChars="0" w:firstLine="0" w:firstLineChars="0"/>
              <w:rPr>
                <w:rFonts w:hint="eastAsia" w:ascii="微软雅黑" w:hAnsi="微软雅黑" w:eastAsia="微软雅黑" w:cs="Times New Roman"/>
                <w:color w:val="auto"/>
                <w:kern w:val="20"/>
                <w:sz w:val="21"/>
                <w:szCs w:val="21"/>
                <w:highlight w:val="none"/>
                <w:lang w:val="zh-CN" w:eastAsia="zh-CN" w:bidi="ar-SA"/>
              </w:rPr>
            </w:pPr>
            <w:r>
              <w:rPr>
                <w:rFonts w:hint="eastAsia" w:ascii="微软雅黑" w:hAnsi="微软雅黑" w:eastAsia="微软雅黑" w:cs="Times New Roman"/>
                <w:color w:val="auto"/>
                <w:kern w:val="20"/>
                <w:sz w:val="21"/>
                <w:szCs w:val="21"/>
                <w:highlight w:val="none"/>
                <w:lang w:val="zh-CN" w:eastAsia="zh-CN" w:bidi="ar-SA"/>
              </w:rPr>
              <w:t>1、机电工程施工总承包三级及以上资质，具备建设行政主管部门颁发的企业安全生产许可证；</w:t>
            </w:r>
          </w:p>
          <w:p>
            <w:pPr>
              <w:pStyle w:val="2"/>
              <w:ind w:left="0" w:leftChars="0" w:firstLine="0" w:firstLineChars="0"/>
              <w:rPr>
                <w:rFonts w:hint="eastAsia" w:ascii="微软雅黑" w:hAnsi="微软雅黑" w:eastAsia="微软雅黑" w:cs="Times New Roman"/>
                <w:color w:val="auto"/>
                <w:kern w:val="20"/>
                <w:sz w:val="21"/>
                <w:szCs w:val="21"/>
                <w:highlight w:val="none"/>
                <w:lang w:val="zh-CN" w:eastAsia="zh-CN" w:bidi="ar-SA"/>
              </w:rPr>
            </w:pPr>
            <w:r>
              <w:rPr>
                <w:rFonts w:hint="eastAsia" w:ascii="微软雅黑" w:hAnsi="微软雅黑" w:eastAsia="微软雅黑" w:cs="Times New Roman"/>
                <w:color w:val="auto"/>
                <w:kern w:val="20"/>
                <w:sz w:val="21"/>
                <w:szCs w:val="21"/>
                <w:highlight w:val="none"/>
                <w:lang w:val="zh-CN" w:eastAsia="zh-CN" w:bidi="ar-SA"/>
              </w:rPr>
              <w:t>2、建筑机电安装工程专业承包三级及以上资质，具备建设行政主管部门颁发的企业安全生产许可证；</w:t>
            </w:r>
          </w:p>
          <w:p>
            <w:pPr>
              <w:autoSpaceDE w:val="0"/>
              <w:adjustRightInd w:val="0"/>
              <w:snapToGrid w:val="0"/>
              <w:spacing w:before="40" w:after="160"/>
              <w:jc w:val="center"/>
              <w:rPr>
                <w:color w:val="auto"/>
                <w:szCs w:val="22"/>
                <w:highlight w:val="none"/>
              </w:rPr>
            </w:pPr>
            <w:r>
              <w:rPr>
                <w:rFonts w:hint="eastAsia" w:ascii="微软雅黑" w:hAnsi="微软雅黑" w:cs="Times New Roman"/>
                <w:color w:val="auto"/>
                <w:kern w:val="20"/>
                <w:sz w:val="21"/>
                <w:szCs w:val="21"/>
                <w:highlight w:val="none"/>
                <w:lang w:val="en-US" w:eastAsia="zh-CN" w:bidi="ar-SA"/>
              </w:rPr>
              <w:t>3、建筑工程施工总承包三级及以上资质，具备建设行政主管部门颁发的企业安全生产许可证；</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color w:val="auto"/>
                <w:szCs w:val="22"/>
                <w:highlight w:val="none"/>
              </w:rPr>
              <w:t>真实有效</w:t>
            </w:r>
          </w:p>
        </w:tc>
      </w:tr>
      <w:tr>
        <w:tblPrEx>
          <w:tblCellMar>
            <w:top w:w="0" w:type="dxa"/>
            <w:left w:w="108" w:type="dxa"/>
            <w:bottom w:w="0" w:type="dxa"/>
            <w:right w:w="108" w:type="dxa"/>
          </w:tblCellMar>
        </w:tblPrEx>
        <w:trPr>
          <w:trHeight w:val="1342" w:hRule="atLeast"/>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项目经理资质</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ascii="微软雅黑" w:hAnsi="微软雅黑"/>
                <w:color w:val="auto"/>
                <w:szCs w:val="21"/>
                <w:highlight w:val="none"/>
              </w:rPr>
              <w:t>拟派本项目的项目经理须具备机电工程专业二级及以上国家注册建造师执业资格，同时具有安全生产考核证书，且未担任其他在施建设工程项目的项目经理工作</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color w:val="auto"/>
                <w:szCs w:val="22"/>
                <w:highlight w:val="none"/>
              </w:rPr>
            </w:pPr>
            <w:r>
              <w:rPr>
                <w:color w:val="auto"/>
                <w:szCs w:val="22"/>
                <w:highlight w:val="none"/>
              </w:rPr>
              <w:t>真实有效</w:t>
            </w:r>
          </w:p>
        </w:tc>
      </w:tr>
      <w:tr>
        <w:trPr>
          <w:trHeight w:val="1064" w:hRule="atLeast"/>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lang w:val="en-US"/>
              </w:rPr>
            </w:pPr>
            <w:r>
              <w:rPr>
                <w:rFonts w:hint="eastAsia"/>
                <w:color w:val="auto"/>
                <w:szCs w:val="22"/>
                <w:highlight w:val="none"/>
                <w:lang w:val="en-US"/>
              </w:rPr>
              <w:t>技术负责人</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bCs/>
                <w:color w:val="auto"/>
                <w:szCs w:val="21"/>
                <w:highlight w:val="none"/>
                <w:lang w:val="en-US"/>
              </w:rPr>
            </w:pPr>
            <w:r>
              <w:rPr>
                <w:rFonts w:hint="eastAsia" w:ascii="微软雅黑" w:hAnsi="微软雅黑" w:cs="微软雅黑"/>
                <w:color w:val="auto"/>
                <w:highlight w:val="none"/>
              </w:rPr>
              <w:t>拟派技术负责人须具备建安类与本工程相适应的相关专业高级及以上职称，并具备相应的职称证书</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color w:val="auto"/>
                <w:szCs w:val="22"/>
                <w:highlight w:val="none"/>
              </w:rPr>
              <w:t>真实有效</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lang w:val="en-US"/>
              </w:rPr>
            </w:pPr>
            <w:r>
              <w:rPr>
                <w:rFonts w:hint="eastAsia"/>
                <w:color w:val="auto"/>
                <w:szCs w:val="22"/>
                <w:highlight w:val="none"/>
                <w:lang w:val="en-US"/>
              </w:rPr>
              <w:t>社保要求</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bCs/>
                <w:color w:val="auto"/>
                <w:szCs w:val="21"/>
                <w:highlight w:val="none"/>
                <w:lang w:val="en-US"/>
              </w:rPr>
            </w:pPr>
            <w:r>
              <w:rPr>
                <w:rFonts w:hint="eastAsia" w:ascii="微软雅黑" w:hAnsi="微软雅黑"/>
                <w:color w:val="auto"/>
                <w:szCs w:val="21"/>
                <w:highlight w:val="none"/>
              </w:rPr>
              <w:t>拟派项目经理、技术负责人及参加本工程投标的授权委托代理人必须是参加本项目投标人的合法在职人员，须提供参加本项目的投标人为其近6个月内任意2个月（2022年1月至今）缴纳职工基本养老保险的证明，缴纳养老保险证明须为在人力资源和社会保障网上打印的带有条形码的打印件并加盖企业公章，哈尔滨市企业应提供社保证明的查询方式及相关信息，包括社保号、身份证号、密码等；外省、市投标企业必须提供查询网址及相关信息，包括社保号、身份证号、密码等。</w:t>
            </w:r>
            <w:r>
              <w:rPr>
                <w:rFonts w:hint="eastAsia" w:ascii="微软雅黑" w:hAnsi="微软雅黑"/>
                <w:color w:val="auto"/>
                <w:szCs w:val="21"/>
                <w:highlight w:val="none"/>
                <w:lang w:eastAsia="zh-CN"/>
              </w:rPr>
              <w:t>（</w:t>
            </w:r>
            <w:r>
              <w:rPr>
                <w:rFonts w:hint="eastAsia" w:ascii="微软雅黑" w:hAnsi="微软雅黑"/>
                <w:color w:val="auto"/>
                <w:szCs w:val="21"/>
                <w:highlight w:val="none"/>
                <w:lang w:val="en-US" w:eastAsia="zh-CN"/>
              </w:rPr>
              <w:t>国家规定的六类人员除外</w:t>
            </w:r>
            <w:r>
              <w:rPr>
                <w:rFonts w:hint="eastAsia" w:ascii="微软雅黑" w:hAnsi="微软雅黑"/>
                <w:color w:val="auto"/>
                <w:szCs w:val="21"/>
                <w:highlight w:val="none"/>
                <w:lang w:eastAsia="zh-CN"/>
              </w:rPr>
              <w:t>）</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color w:val="auto"/>
                <w:szCs w:val="22"/>
                <w:highlight w:val="none"/>
              </w:rPr>
              <w:t>真实有效</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其他项目管理机构成员资质</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ascii="微软雅黑" w:hAnsi="微软雅黑"/>
                <w:color w:val="auto"/>
                <w:szCs w:val="21"/>
                <w:highlight w:val="none"/>
              </w:rPr>
              <w:t>拟派本项目管理机构除项目经理外，还须配备施工员（工长）1人、质量员（质量检查员）1人、安全员1 人。施工员具备岗位证书，质量员具备岗位证书，安全员具备有效的C类安全生产考核合格证书（C证）。（注：其他省份专业设置不同的，</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须提供本省“工程项目管理机构人员配置管理”相关文件，按磋商文件人数要求分别配备施工员、质量员。）</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color w:val="auto"/>
                <w:szCs w:val="22"/>
                <w:highlight w:val="none"/>
              </w:rPr>
            </w:pPr>
            <w:r>
              <w:rPr>
                <w:color w:val="auto"/>
                <w:szCs w:val="22"/>
                <w:highlight w:val="none"/>
              </w:rPr>
              <w:t>真实有效</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lang w:val="en-US"/>
              </w:rPr>
            </w:pPr>
            <w:r>
              <w:rPr>
                <w:rFonts w:hint="eastAsia"/>
                <w:color w:val="auto"/>
                <w:szCs w:val="22"/>
                <w:highlight w:val="none"/>
                <w:lang w:val="en-US"/>
              </w:rPr>
              <w:t>业绩要求</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color w:val="auto"/>
                <w:szCs w:val="21"/>
                <w:highlight w:val="none"/>
              </w:rPr>
            </w:pP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在参加本次磋商前3年内（2019年7月1日-投标登记截止之日），完成一项类似电力改造维修工程施工业绩，并提供如下佐证材料：中标通知书、施工合同、竣工验收报告。竣工验收报告必须由建设、设计、监理、施工四方签字盖章，以竣工验收时间为准（注：原件彩色扫描版封装在技术标内）。</w:t>
            </w:r>
            <w:r>
              <w:rPr>
                <w:rFonts w:hint="eastAsia" w:ascii="微软雅黑" w:hAnsi="微软雅黑"/>
                <w:color w:val="auto"/>
                <w:szCs w:val="21"/>
                <w:highlight w:val="none"/>
                <w:lang w:val="en-US" w:eastAsia="zh-CN"/>
              </w:rPr>
              <w:t>采购</w:t>
            </w:r>
            <w:r>
              <w:rPr>
                <w:rFonts w:hint="eastAsia" w:ascii="微软雅黑" w:hAnsi="微软雅黑"/>
                <w:color w:val="auto"/>
                <w:szCs w:val="21"/>
                <w:highlight w:val="none"/>
              </w:rPr>
              <w:t>人有权在响应前对</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施工业绩进行现场核实，</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应给予配合。</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color w:val="auto"/>
                <w:szCs w:val="22"/>
                <w:highlight w:val="none"/>
              </w:rPr>
              <w:t>真实有效</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lang w:val="en-US"/>
              </w:rPr>
            </w:pPr>
            <w:r>
              <w:rPr>
                <w:rFonts w:hint="eastAsia" w:ascii="微软雅黑" w:hAnsi="微软雅黑"/>
                <w:color w:val="auto"/>
                <w:szCs w:val="21"/>
                <w:highlight w:val="none"/>
              </w:rPr>
              <w:t>企业审计报告</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color w:val="auto"/>
                <w:szCs w:val="21"/>
                <w:highlight w:val="none"/>
              </w:rPr>
            </w:pPr>
            <w:r>
              <w:rPr>
                <w:rFonts w:hint="eastAsia" w:ascii="微软雅黑" w:hAnsi="微软雅黑"/>
                <w:color w:val="auto"/>
                <w:szCs w:val="21"/>
                <w:highlight w:val="none"/>
              </w:rPr>
              <w:t>供应商必须具有由有资质的会计师事务所出具的2021年度的真实有效的企业审计报告（成立年限不足1年的企业，须出具具备良好的商业信誉和健全的财务会计制度承诺函）</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color w:val="auto"/>
                <w:szCs w:val="22"/>
                <w:highlight w:val="none"/>
              </w:rPr>
              <w:t>真实有效</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项目经理承诺书</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color w:val="auto"/>
                <w:szCs w:val="22"/>
                <w:highlight w:val="none"/>
              </w:rPr>
              <w:t>按竞争性磋商文件给定格式签署</w:t>
            </w:r>
          </w:p>
          <w:p>
            <w:pPr>
              <w:autoSpaceDE w:val="0"/>
              <w:adjustRightInd w:val="0"/>
              <w:snapToGrid w:val="0"/>
              <w:spacing w:before="40" w:after="160"/>
              <w:jc w:val="center"/>
              <w:rPr>
                <w:color w:val="auto"/>
                <w:szCs w:val="22"/>
                <w:highlight w:val="none"/>
              </w:rPr>
            </w:pPr>
            <w:r>
              <w:rPr>
                <w:rFonts w:hint="eastAsia"/>
                <w:color w:val="auto"/>
                <w:szCs w:val="22"/>
                <w:highlight w:val="none"/>
              </w:rPr>
              <w:t>（格式后附）</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color w:val="auto"/>
                <w:szCs w:val="22"/>
                <w:highlight w:val="none"/>
              </w:rPr>
            </w:pPr>
            <w:r>
              <w:rPr>
                <w:color w:val="auto"/>
                <w:szCs w:val="22"/>
                <w:highlight w:val="none"/>
              </w:rPr>
              <w:t>真实有效</w:t>
            </w:r>
          </w:p>
        </w:tc>
      </w:tr>
      <w:tr>
        <w:tblPrEx>
          <w:tblCellMar>
            <w:top w:w="0" w:type="dxa"/>
            <w:left w:w="108" w:type="dxa"/>
            <w:bottom w:w="0" w:type="dxa"/>
            <w:right w:w="108" w:type="dxa"/>
          </w:tblCellMar>
        </w:tblPrEx>
        <w:trPr>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40"/>
              </w:numPr>
              <w:autoSpaceDE w:val="0"/>
              <w:adjustRightInd w:val="0"/>
              <w:snapToGrid w:val="0"/>
              <w:spacing w:before="40" w:after="160"/>
              <w:ind w:left="0" w:firstLine="0" w:firstLineChars="0"/>
              <w:jc w:val="center"/>
              <w:rPr>
                <w:color w:val="auto"/>
                <w:szCs w:val="22"/>
                <w:highlight w:val="none"/>
              </w:rPr>
            </w:pPr>
          </w:p>
        </w:tc>
        <w:tc>
          <w:tcPr>
            <w:tcW w:w="569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hint="eastAsia"/>
                <w:color w:val="auto"/>
                <w:szCs w:val="22"/>
                <w:highlight w:val="none"/>
              </w:rPr>
            </w:pPr>
            <w:r>
              <w:rPr>
                <w:rFonts w:hint="eastAsia"/>
                <w:color w:val="auto"/>
                <w:highlight w:val="none"/>
              </w:rPr>
              <w:t>中小企业声明函</w:t>
            </w:r>
          </w:p>
        </w:tc>
        <w:tc>
          <w:tcPr>
            <w:tcW w:w="4819"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highlight w:val="none"/>
              </w:rPr>
            </w:pPr>
            <w:r>
              <w:rPr>
                <w:rFonts w:hint="eastAsia"/>
                <w:color w:val="auto"/>
                <w:highlight w:val="none"/>
              </w:rPr>
              <w:t>须为</w:t>
            </w:r>
            <w:r>
              <w:rPr>
                <w:rFonts w:hint="eastAsia"/>
                <w:color w:val="auto"/>
                <w:highlight w:val="none"/>
                <w:lang w:val="en-US"/>
              </w:rPr>
              <w:t>中型、小型、微型</w:t>
            </w:r>
            <w:r>
              <w:rPr>
                <w:rFonts w:hint="eastAsia"/>
                <w:color w:val="auto"/>
                <w:highlight w:val="none"/>
              </w:rPr>
              <w:t>企业，按竞争性磋商文件给定格式签署</w:t>
            </w:r>
          </w:p>
          <w:p>
            <w:pPr>
              <w:autoSpaceDE w:val="0"/>
              <w:adjustRightInd w:val="0"/>
              <w:snapToGrid w:val="0"/>
              <w:spacing w:before="40" w:after="160"/>
              <w:jc w:val="center"/>
              <w:rPr>
                <w:rFonts w:hint="eastAsia"/>
                <w:color w:val="auto"/>
                <w:szCs w:val="22"/>
                <w:highlight w:val="none"/>
              </w:rPr>
            </w:pPr>
            <w:r>
              <w:rPr>
                <w:rFonts w:hint="eastAsia"/>
                <w:color w:val="auto"/>
                <w:highlight w:val="none"/>
              </w:rPr>
              <w:t>（格式后附）</w:t>
            </w:r>
          </w:p>
        </w:tc>
        <w:tc>
          <w:tcPr>
            <w:tcW w:w="2976"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color w:val="auto"/>
                <w:szCs w:val="22"/>
                <w:highlight w:val="none"/>
              </w:rPr>
              <w:t>真实有效</w:t>
            </w:r>
          </w:p>
        </w:tc>
      </w:tr>
    </w:tbl>
    <w:p>
      <w:pPr>
        <w:ind w:firstLine="420" w:firstLineChars="200"/>
        <w:rPr>
          <w:rFonts w:ascii="微软雅黑" w:hAnsi="微软雅黑"/>
          <w:b/>
          <w:color w:val="auto"/>
          <w:highlight w:val="none"/>
        </w:rPr>
      </w:pPr>
      <w:r>
        <w:rPr>
          <w:rFonts w:hint="eastAsia" w:ascii="微软雅黑" w:hAnsi="微软雅黑"/>
          <w:b/>
          <w:color w:val="auto"/>
          <w:highlight w:val="none"/>
        </w:rPr>
        <w:t>注：</w:t>
      </w:r>
    </w:p>
    <w:p>
      <w:pPr>
        <w:pStyle w:val="336"/>
        <w:numPr>
          <w:ilvl w:val="0"/>
          <w:numId w:val="41"/>
        </w:numPr>
        <w:ind w:firstLineChars="0"/>
        <w:rPr>
          <w:rFonts w:ascii="微软雅黑" w:hAnsi="微软雅黑"/>
          <w:b/>
          <w:color w:val="auto"/>
          <w:highlight w:val="none"/>
          <w:lang w:val="en-US"/>
        </w:rPr>
      </w:pPr>
      <w:r>
        <w:rPr>
          <w:rFonts w:hint="eastAsia" w:ascii="微软雅黑" w:hAnsi="微软雅黑"/>
          <w:b/>
          <w:color w:val="auto"/>
          <w:highlight w:val="none"/>
          <w:lang w:val="en-US"/>
        </w:rPr>
        <w:t>资格审查时如有任何一项不符合要求，将视为资格审查不合格，将不再进入下一步评审。</w:t>
      </w:r>
    </w:p>
    <w:p>
      <w:pPr>
        <w:pStyle w:val="336"/>
        <w:numPr>
          <w:ilvl w:val="0"/>
          <w:numId w:val="41"/>
        </w:numPr>
        <w:ind w:firstLineChars="0"/>
        <w:rPr>
          <w:rFonts w:ascii="微软雅黑" w:hAnsi="微软雅黑"/>
          <w:b/>
          <w:color w:val="auto"/>
          <w:highlight w:val="none"/>
          <w:lang w:val="en-US"/>
        </w:rPr>
      </w:pPr>
      <w:r>
        <w:rPr>
          <w:rFonts w:hint="eastAsia" w:ascii="微软雅黑" w:hAnsi="微软雅黑"/>
          <w:b/>
          <w:color w:val="auto"/>
          <w:highlight w:val="none"/>
          <w:lang w:val="en-US"/>
        </w:rPr>
        <w:t>资格审查时，除磋商文件写明“原件、提供原件、原件备查或其它需要单独提供的材料等”要求外，其余情况均以响应文件中所附上述相应材料复印件为准，响应文件中未附的，视为资格审查不合格，不接受后补。</w:t>
      </w:r>
    </w:p>
    <w:p>
      <w:pPr>
        <w:pStyle w:val="336"/>
        <w:numPr>
          <w:ilvl w:val="0"/>
          <w:numId w:val="41"/>
        </w:numPr>
        <w:ind w:firstLineChars="0"/>
        <w:rPr>
          <w:rFonts w:ascii="微软雅黑" w:hAnsi="微软雅黑"/>
          <w:b/>
          <w:color w:val="auto"/>
          <w:highlight w:val="none"/>
          <w:lang w:val="en-US"/>
        </w:rPr>
      </w:pPr>
      <w:r>
        <w:rPr>
          <w:rFonts w:hint="eastAsia" w:ascii="微软雅黑" w:hAnsi="微软雅黑"/>
          <w:b/>
          <w:color w:val="auto"/>
          <w:highlight w:val="none"/>
          <w:lang w:val="en-US"/>
        </w:rPr>
        <w:t>磋商文件要求“原件、提供原件、原件备查或其它需要单独提供的材料等”的，当要求供应商出具上述材料时，供应商未提供的，视为资格审查不合格。</w:t>
      </w:r>
    </w:p>
    <w:p>
      <w:pPr>
        <w:pStyle w:val="336"/>
        <w:numPr>
          <w:ilvl w:val="0"/>
          <w:numId w:val="41"/>
        </w:numPr>
        <w:ind w:firstLineChars="0"/>
        <w:rPr>
          <w:rFonts w:ascii="微软雅黑" w:hAnsi="微软雅黑"/>
          <w:b/>
          <w:color w:val="auto"/>
          <w:highlight w:val="none"/>
          <w:lang w:val="en-US"/>
        </w:rPr>
      </w:pPr>
      <w:r>
        <w:rPr>
          <w:rFonts w:hint="eastAsia" w:ascii="微软雅黑" w:hAnsi="微软雅黑"/>
          <w:b/>
          <w:color w:val="auto"/>
          <w:highlight w:val="none"/>
          <w:lang w:val="en-US"/>
        </w:rPr>
        <w:t>磋商文件要求“原件、提供原件、原件备查或其它需要单独提供的材料等”的，资格审查时上述材料须一次性递交，资格审查完成后补交的材料将视为无效。</w:t>
      </w:r>
    </w:p>
    <w:p>
      <w:pPr>
        <w:pStyle w:val="336"/>
        <w:numPr>
          <w:ilvl w:val="0"/>
          <w:numId w:val="41"/>
        </w:numPr>
        <w:ind w:firstLineChars="0"/>
        <w:rPr>
          <w:rFonts w:ascii="微软雅黑" w:hAnsi="微软雅黑"/>
          <w:b/>
          <w:color w:val="auto"/>
          <w:highlight w:val="none"/>
          <w:lang w:val="en-US"/>
        </w:rPr>
      </w:pPr>
      <w:r>
        <w:rPr>
          <w:rFonts w:hint="eastAsia" w:ascii="微软雅黑" w:hAnsi="微软雅黑"/>
          <w:b/>
          <w:color w:val="auto"/>
          <w:highlight w:val="none"/>
          <w:lang w:val="en-US"/>
        </w:rPr>
        <w:t xml:space="preserve">资格、资信等证明材料应当真实、有效、完整，字迹、印章要清晰。 </w:t>
      </w:r>
    </w:p>
    <w:p>
      <w:pPr>
        <w:pStyle w:val="336"/>
        <w:numPr>
          <w:ilvl w:val="0"/>
          <w:numId w:val="41"/>
        </w:numPr>
        <w:ind w:firstLineChars="0"/>
        <w:rPr>
          <w:rFonts w:ascii="微软雅黑" w:hAnsi="微软雅黑"/>
          <w:b/>
          <w:color w:val="auto"/>
          <w:highlight w:val="none"/>
          <w:lang w:val="en-US"/>
        </w:rPr>
      </w:pPr>
      <w:r>
        <w:rPr>
          <w:rFonts w:hint="eastAsia" w:ascii="微软雅黑" w:hAnsi="微软雅黑"/>
          <w:b/>
          <w:color w:val="auto"/>
          <w:highlight w:val="none"/>
          <w:lang w:val="en-US"/>
        </w:rPr>
        <w:t xml:space="preserve">招标文件要求供应商提供营业执照的，应按资格条件提供相应主体资格条件的证明文件：若供应商是企业（包括合伙企业），应提供在工商部门注册的有效“企业法人营业执照”或“营业执照”；若供应商是事业单位，应提供有效的“事业单位法人证书”；若供应商是非企业专业服务机构，应提供执业许可证等有效证明文件；若供应商是个体工商户，应提供有效的“个体工商户营业执照”；若供应商是自然人，应提供有效的自然人身份证明。 </w:t>
      </w:r>
    </w:p>
    <w:p>
      <w:pPr>
        <w:pStyle w:val="336"/>
        <w:numPr>
          <w:ilvl w:val="0"/>
          <w:numId w:val="41"/>
        </w:numPr>
        <w:ind w:firstLineChars="0"/>
        <w:rPr>
          <w:rFonts w:ascii="微软雅黑" w:hAnsi="微软雅黑"/>
          <w:b/>
          <w:color w:val="auto"/>
          <w:highlight w:val="none"/>
          <w:lang w:val="en-US"/>
        </w:rPr>
      </w:pPr>
      <w:r>
        <w:rPr>
          <w:rFonts w:hint="eastAsia" w:ascii="微软雅黑" w:hAnsi="微软雅黑"/>
          <w:b/>
          <w:color w:val="auto"/>
          <w:highlight w:val="none"/>
          <w:lang w:val="en-US"/>
        </w:rPr>
        <w:t xml:space="preserve">因供应商主体资格条件的原因，且招标文件对供应商资格有要求的，法定代表人亦指本章第4.款所述“企业法人营业执照”或“营业执照”、“事业单位法人证书”、执业许可证等有效主体资格条件的证明文件上的法定代表人、单位负责人、经营者等。 </w:t>
      </w:r>
    </w:p>
    <w:p>
      <w:pPr>
        <w:pStyle w:val="336"/>
        <w:numPr>
          <w:ilvl w:val="0"/>
          <w:numId w:val="41"/>
        </w:numPr>
        <w:ind w:firstLineChars="0"/>
        <w:rPr>
          <w:rFonts w:ascii="微软雅黑" w:hAnsi="微软雅黑"/>
          <w:b/>
          <w:color w:val="auto"/>
          <w:highlight w:val="none"/>
          <w:lang w:val="en-US"/>
        </w:rPr>
        <w:sectPr>
          <w:pgSz w:w="16839" w:h="11907" w:orient="landscape"/>
          <w:pgMar w:top="1531" w:right="1928" w:bottom="1531" w:left="1871" w:header="1148" w:footer="709" w:gutter="0"/>
          <w:cols w:space="720" w:num="1"/>
          <w:docGrid w:linePitch="360" w:charSpace="0"/>
        </w:sectPr>
      </w:pPr>
      <w:r>
        <w:rPr>
          <w:rFonts w:hint="eastAsia" w:ascii="微软雅黑" w:hAnsi="微软雅黑"/>
          <w:b/>
          <w:color w:val="auto"/>
          <w:highlight w:val="none"/>
          <w:lang w:val="en-US"/>
        </w:rPr>
        <w:t>营业执照、相关许可证等证明材料因年检等原因不能提供的，可提供由发证机关出具的证明材料原件。</w:t>
      </w:r>
    </w:p>
    <w:p>
      <w:pPr>
        <w:pStyle w:val="4"/>
        <w:numPr>
          <w:ilvl w:val="0"/>
          <w:numId w:val="10"/>
        </w:numPr>
        <w:spacing w:before="2400" w:after="0"/>
        <w:jc w:val="center"/>
        <w:rPr>
          <w:rFonts w:ascii="微软雅黑"/>
          <w:color w:val="auto"/>
          <w:highlight w:val="none"/>
        </w:rPr>
      </w:pPr>
      <w:bookmarkStart w:id="75" w:name="_Toc24617"/>
      <w:bookmarkStart w:id="76" w:name="_Toc25743"/>
      <w:r>
        <w:rPr>
          <w:rFonts w:hint="eastAsia" w:ascii="微软雅黑" w:hAnsi="微软雅黑"/>
          <w:color w:val="auto"/>
          <w:highlight w:val="none"/>
        </w:rPr>
        <w:t>评审方法和评审标准</w:t>
      </w:r>
      <w:bookmarkEnd w:id="75"/>
      <w:bookmarkEnd w:id="76"/>
    </w:p>
    <w:p>
      <w:pPr>
        <w:rPr>
          <w:rFonts w:ascii="微软雅黑"/>
          <w:color w:val="auto"/>
          <w:highlight w:val="none"/>
        </w:rPr>
        <w:sectPr>
          <w:pgSz w:w="11907" w:h="16839"/>
          <w:pgMar w:top="1928" w:right="1531" w:bottom="1871" w:left="1531" w:header="1148" w:footer="709" w:gutter="0"/>
          <w:cols w:space="720" w:num="1"/>
          <w:docGrid w:linePitch="360" w:charSpace="0"/>
        </w:sectPr>
      </w:pPr>
    </w:p>
    <w:p>
      <w:pPr>
        <w:jc w:val="center"/>
        <w:rPr>
          <w:rFonts w:ascii="微软雅黑"/>
          <w:color w:val="auto"/>
          <w:highlight w:val="none"/>
        </w:rPr>
      </w:pPr>
      <w:r>
        <w:rPr>
          <w:rFonts w:hint="eastAsia" w:ascii="黑体" w:hAnsi="黑体" w:eastAsia="黑体"/>
          <w:color w:val="auto"/>
          <w:sz w:val="28"/>
          <w:szCs w:val="28"/>
          <w:highlight w:val="none"/>
        </w:rPr>
        <w:t>评审方法和评审标准</w:t>
      </w:r>
    </w:p>
    <w:p>
      <w:pPr>
        <w:rPr>
          <w:rFonts w:ascii="微软雅黑"/>
          <w:color w:val="auto"/>
          <w:highlight w:val="none"/>
        </w:rPr>
      </w:pPr>
    </w:p>
    <w:p>
      <w:pPr>
        <w:pStyle w:val="5"/>
        <w:numPr>
          <w:ilvl w:val="0"/>
          <w:numId w:val="42"/>
        </w:numPr>
        <w:rPr>
          <w:color w:val="auto"/>
          <w:highlight w:val="none"/>
        </w:rPr>
      </w:pPr>
      <w:bookmarkStart w:id="77" w:name="_Toc20676"/>
      <w:r>
        <w:rPr>
          <w:rFonts w:hint="eastAsia"/>
          <w:color w:val="auto"/>
          <w:highlight w:val="none"/>
        </w:rPr>
        <w:t>符合性审查</w:t>
      </w:r>
      <w:bookmarkEnd w:id="77"/>
    </w:p>
    <w:p>
      <w:pPr>
        <w:rPr>
          <w:color w:val="auto"/>
          <w:highlight w:val="none"/>
        </w:rPr>
      </w:pPr>
    </w:p>
    <w:p>
      <w:pPr>
        <w:rPr>
          <w:color w:val="auto"/>
          <w:highlight w:val="none"/>
        </w:rPr>
      </w:pPr>
      <w:r>
        <w:rPr>
          <w:rFonts w:hint="eastAsia"/>
          <w:b/>
          <w:color w:val="auto"/>
          <w:highlight w:val="none"/>
        </w:rPr>
        <w:t>初步评审标准（符合性审查）</w:t>
      </w:r>
    </w:p>
    <w:tbl>
      <w:tblPr>
        <w:tblStyle w:val="8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666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jc w:val="center"/>
              <w:rPr>
                <w:b/>
                <w:color w:val="auto"/>
                <w:szCs w:val="22"/>
                <w:highlight w:val="none"/>
              </w:rPr>
            </w:pPr>
            <w:bookmarkStart w:id="78" w:name="gxebd_pack_1_EvalFactorAccordEnd"/>
            <w:bookmarkEnd w:id="78"/>
            <w:r>
              <w:rPr>
                <w:rFonts w:hint="eastAsia"/>
                <w:b/>
                <w:color w:val="auto"/>
                <w:szCs w:val="22"/>
                <w:highlight w:val="none"/>
              </w:rPr>
              <w:t>序号</w:t>
            </w:r>
          </w:p>
        </w:tc>
        <w:tc>
          <w:tcPr>
            <w:tcW w:w="6663" w:type="dxa"/>
            <w:vAlign w:val="center"/>
          </w:tcPr>
          <w:p>
            <w:pPr>
              <w:jc w:val="center"/>
              <w:rPr>
                <w:b/>
                <w:color w:val="auto"/>
                <w:szCs w:val="22"/>
                <w:highlight w:val="none"/>
              </w:rPr>
            </w:pPr>
            <w:r>
              <w:rPr>
                <w:rFonts w:hint="eastAsia"/>
                <w:b/>
                <w:color w:val="auto"/>
                <w:szCs w:val="22"/>
                <w:highlight w:val="none"/>
              </w:rPr>
              <w:t>评审标准</w:t>
            </w:r>
          </w:p>
        </w:tc>
        <w:tc>
          <w:tcPr>
            <w:tcW w:w="878" w:type="dxa"/>
            <w:shd w:val="clear" w:color="auto" w:fill="auto"/>
            <w:vAlign w:val="center"/>
          </w:tcPr>
          <w:p>
            <w:pPr>
              <w:jc w:val="center"/>
              <w:rPr>
                <w:b/>
                <w:color w:val="auto"/>
                <w:szCs w:val="22"/>
                <w:highlight w:val="none"/>
              </w:rPr>
            </w:pPr>
            <w:r>
              <w:rPr>
                <w:rFonts w:hint="eastAsia"/>
                <w:b/>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报价超过竞争性磋商文件中规定的最高限价或者无报价的；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合同履行期限不满足竞争性磋商文件规定的；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质量标准不满足竞争性磋商文件规定的；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响应有效期不足的；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未按竞争性磋商文件要求提交响应保证金的；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2"/>
                <w:highlight w:val="none"/>
              </w:rPr>
              <w:t>响应文件报价出现前后不一致，磋商小组进行修正后，供应商不确认的；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不符合竞争性磋商文件规定，拟在成交后进行分包、转包的；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响应文件未按竞争性磋商文件给定格式要求编制、签署、盖章的；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响应文件未完全满足竞争性磋商文件中带★号的条款和指标，或不符合竞争性磋商文件其他实质性要求的；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响应文件附有采购人不能接受的附加条件的；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供应商递交两份或者多份内容不同的响应文件，或者在一份响应文件中对同一项目报有两个或者多个报价，且未声明哪一个有效的；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rPr>
                <w:color w:val="auto"/>
                <w:szCs w:val="22"/>
                <w:highlight w:val="none"/>
              </w:rPr>
            </w:pPr>
            <w:r>
              <w:rPr>
                <w:rFonts w:hint="eastAsia" w:ascii="微软雅黑" w:hAnsi="微软雅黑"/>
                <w:color w:val="auto"/>
                <w:szCs w:val="21"/>
                <w:highlight w:val="none"/>
              </w:rPr>
              <w:t>响应文件关键内容模糊、无法辨认，导致不符合相应实质性内容的；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pStyle w:val="336"/>
              <w:numPr>
                <w:ilvl w:val="0"/>
                <w:numId w:val="0"/>
              </w:numPr>
              <w:jc w:val="both"/>
              <w:rPr>
                <w:rFonts w:ascii="微软雅黑" w:hAnsi="微软雅黑"/>
                <w:color w:val="auto"/>
                <w:szCs w:val="21"/>
                <w:highlight w:val="none"/>
              </w:rPr>
            </w:pPr>
            <w:r>
              <w:rPr>
                <w:rFonts w:hint="eastAsia" w:ascii="微软雅黑" w:hAnsi="微软雅黑"/>
                <w:color w:val="auto"/>
                <w:szCs w:val="21"/>
                <w:highlight w:val="none"/>
              </w:rPr>
              <w:t>更换报名时拟派的项目管理机构所有人员及授权委托代理人</w:t>
            </w:r>
            <w:r>
              <w:rPr>
                <w:rFonts w:hint="eastAsia" w:ascii="微软雅黑" w:hAnsi="微软雅黑"/>
                <w:color w:val="auto"/>
                <w:szCs w:val="21"/>
                <w:highlight w:val="none"/>
                <w:lang w:eastAsia="zh-CN"/>
              </w:rPr>
              <w:t>的；</w:t>
            </w:r>
          </w:p>
          <w:p>
            <w:pPr>
              <w:rPr>
                <w:color w:val="auto"/>
                <w:szCs w:val="22"/>
                <w:highlight w:val="none"/>
              </w:rPr>
            </w:pP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rPr>
                <w:rFonts w:hint="eastAsia" w:ascii="微软雅黑" w:hAnsi="微软雅黑"/>
                <w:color w:val="auto"/>
                <w:szCs w:val="21"/>
                <w:highlight w:val="none"/>
              </w:rPr>
            </w:pPr>
            <w:r>
              <w:rPr>
                <w:rFonts w:hint="eastAsia" w:ascii="微软雅黑" w:hAnsi="微软雅黑"/>
                <w:color w:val="auto"/>
                <w:szCs w:val="21"/>
                <w:highlight w:val="none"/>
                <w:lang w:val="en-US" w:eastAsia="zh-CN"/>
              </w:rPr>
              <w:t>报价文件中</w:t>
            </w:r>
            <w:r>
              <w:rPr>
                <w:rFonts w:hint="eastAsia" w:ascii="微软雅黑" w:hAnsi="微软雅黑"/>
                <w:color w:val="auto"/>
                <w:szCs w:val="21"/>
                <w:highlight w:val="none"/>
              </w:rPr>
              <w:t>PDF版投标报价</w:t>
            </w:r>
            <w:r>
              <w:rPr>
                <w:rFonts w:hint="eastAsia" w:ascii="微软雅黑" w:hAnsi="微软雅黑"/>
                <w:color w:val="auto"/>
                <w:szCs w:val="21"/>
                <w:highlight w:val="none"/>
                <w:lang w:val="en-US" w:eastAsia="zh-CN"/>
              </w:rPr>
              <w:t>没有广联达</w:t>
            </w:r>
            <w:r>
              <w:rPr>
                <w:rFonts w:hint="eastAsia" w:ascii="微软雅黑" w:hAnsi="微软雅黑"/>
                <w:color w:val="auto"/>
                <w:szCs w:val="21"/>
                <w:highlight w:val="none"/>
              </w:rPr>
              <w:t>水印码</w:t>
            </w:r>
            <w:r>
              <w:rPr>
                <w:rFonts w:hint="eastAsia" w:ascii="微软雅黑" w:hAnsi="微软雅黑"/>
                <w:color w:val="auto"/>
                <w:szCs w:val="21"/>
                <w:highlight w:val="none"/>
                <w:lang w:eastAsia="zh-CN"/>
              </w:rPr>
              <w:t>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rPr>
                <w:rFonts w:hint="eastAsia" w:ascii="微软雅黑" w:hAnsi="微软雅黑"/>
                <w:color w:val="auto"/>
                <w:szCs w:val="21"/>
                <w:highlight w:val="none"/>
              </w:rPr>
            </w:pPr>
            <w:r>
              <w:rPr>
                <w:rFonts w:hint="eastAsia" w:ascii="微软雅黑" w:hAnsi="微软雅黑"/>
                <w:color w:val="auto"/>
                <w:szCs w:val="21"/>
                <w:highlight w:val="none"/>
              </w:rPr>
              <w:t>工程量清单电子投标书（TBS格式文件）</w:t>
            </w:r>
            <w:r>
              <w:rPr>
                <w:rFonts w:hint="eastAsia" w:ascii="微软雅黑" w:hAnsi="微软雅黑"/>
                <w:color w:val="auto"/>
                <w:szCs w:val="21"/>
                <w:highlight w:val="none"/>
                <w:lang w:val="en-US" w:eastAsia="zh-CN"/>
              </w:rPr>
              <w:t>未</w:t>
            </w:r>
            <w:r>
              <w:rPr>
                <w:rFonts w:hint="eastAsia" w:ascii="微软雅黑" w:hAnsi="微软雅黑"/>
                <w:color w:val="auto"/>
                <w:szCs w:val="21"/>
                <w:highlight w:val="none"/>
              </w:rPr>
              <w:t>与上传的</w:t>
            </w:r>
            <w:r>
              <w:rPr>
                <w:rFonts w:hint="eastAsia" w:ascii="微软雅黑" w:hAnsi="微软雅黑"/>
                <w:color w:val="auto"/>
                <w:szCs w:val="21"/>
                <w:highlight w:val="none"/>
                <w:lang w:val="en-US" w:eastAsia="zh-CN"/>
              </w:rPr>
              <w:t>响应</w:t>
            </w:r>
            <w:r>
              <w:rPr>
                <w:rFonts w:hint="eastAsia" w:ascii="微软雅黑" w:hAnsi="微软雅黑"/>
                <w:color w:val="auto"/>
                <w:szCs w:val="21"/>
                <w:highlight w:val="none"/>
              </w:rPr>
              <w:t>文件内容及水印一致</w:t>
            </w:r>
            <w:r>
              <w:rPr>
                <w:rFonts w:hint="eastAsia" w:ascii="微软雅黑" w:hAnsi="微软雅黑"/>
                <w:color w:val="auto"/>
                <w:szCs w:val="21"/>
                <w:highlight w:val="none"/>
                <w:lang w:eastAsia="zh-CN"/>
              </w:rPr>
              <w:t>的；</w:t>
            </w:r>
          </w:p>
        </w:tc>
        <w:tc>
          <w:tcPr>
            <w:tcW w:w="878" w:type="dxa"/>
            <w:shd w:val="clear" w:color="auto" w:fill="auto"/>
            <w:vAlign w:val="center"/>
          </w:tcPr>
          <w:p>
            <w:pPr>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shd w:val="clear" w:color="auto" w:fill="auto"/>
            <w:vAlign w:val="center"/>
          </w:tcPr>
          <w:p>
            <w:pPr>
              <w:pStyle w:val="336"/>
              <w:numPr>
                <w:ilvl w:val="0"/>
                <w:numId w:val="43"/>
              </w:numPr>
              <w:ind w:left="0" w:firstLine="0" w:firstLineChars="0"/>
              <w:jc w:val="center"/>
              <w:rPr>
                <w:rFonts w:ascii="微软雅黑" w:hAnsi="微软雅黑"/>
                <w:color w:val="auto"/>
                <w:sz w:val="20"/>
                <w:szCs w:val="22"/>
                <w:highlight w:val="none"/>
              </w:rPr>
            </w:pPr>
          </w:p>
        </w:tc>
        <w:tc>
          <w:tcPr>
            <w:tcW w:w="6663" w:type="dxa"/>
          </w:tcPr>
          <w:p>
            <w:pPr>
              <w:rPr>
                <w:rFonts w:hint="eastAsia" w:ascii="微软雅黑" w:hAnsi="微软雅黑"/>
                <w:color w:val="auto"/>
                <w:szCs w:val="21"/>
                <w:highlight w:val="none"/>
              </w:rPr>
            </w:pPr>
            <w:r>
              <w:rPr>
                <w:rFonts w:hint="eastAsia" w:ascii="微软雅黑" w:hAnsi="微软雅黑"/>
                <w:color w:val="auto"/>
                <w:szCs w:val="21"/>
                <w:highlight w:val="none"/>
              </w:rPr>
              <w:t>法律、法规和竞争性磋商文件规定的其他无效情形。</w:t>
            </w:r>
          </w:p>
        </w:tc>
        <w:tc>
          <w:tcPr>
            <w:tcW w:w="878" w:type="dxa"/>
            <w:shd w:val="clear" w:color="auto" w:fill="auto"/>
            <w:vAlign w:val="center"/>
          </w:tcPr>
          <w:p>
            <w:pPr>
              <w:jc w:val="center"/>
              <w:rPr>
                <w:color w:val="auto"/>
                <w:szCs w:val="22"/>
                <w:highlight w:val="none"/>
              </w:rPr>
            </w:pPr>
          </w:p>
        </w:tc>
      </w:tr>
    </w:tbl>
    <w:p>
      <w:pPr>
        <w:rPr>
          <w:color w:val="auto"/>
          <w:highlight w:val="none"/>
        </w:rPr>
      </w:pPr>
    </w:p>
    <w:p>
      <w:pPr>
        <w:rPr>
          <w:b/>
          <w:color w:val="auto"/>
          <w:highlight w:val="none"/>
        </w:rPr>
      </w:pPr>
    </w:p>
    <w:p>
      <w:pPr>
        <w:rPr>
          <w:color w:val="auto"/>
          <w:highlight w:val="none"/>
        </w:rPr>
      </w:pPr>
    </w:p>
    <w:p>
      <w:pPr>
        <w:rPr>
          <w:color w:val="auto"/>
          <w:highlight w:val="none"/>
        </w:rPr>
        <w:sectPr>
          <w:pgSz w:w="11907" w:h="16839"/>
          <w:pgMar w:top="1928" w:right="1531" w:bottom="1871" w:left="1531" w:header="1148" w:footer="709" w:gutter="0"/>
          <w:cols w:space="720" w:num="1"/>
          <w:docGrid w:linePitch="360" w:charSpace="0"/>
        </w:sectPr>
      </w:pPr>
    </w:p>
    <w:p>
      <w:pPr>
        <w:rPr>
          <w:color w:val="auto"/>
          <w:highlight w:val="none"/>
        </w:rPr>
      </w:pPr>
    </w:p>
    <w:p>
      <w:pPr>
        <w:pStyle w:val="5"/>
        <w:numPr>
          <w:ilvl w:val="0"/>
          <w:numId w:val="42"/>
        </w:numPr>
        <w:rPr>
          <w:color w:val="auto"/>
          <w:highlight w:val="none"/>
        </w:rPr>
      </w:pPr>
      <w:bookmarkStart w:id="79" w:name="_Toc22024"/>
      <w:r>
        <w:rPr>
          <w:rFonts w:hint="eastAsia"/>
          <w:color w:val="auto"/>
          <w:highlight w:val="none"/>
        </w:rPr>
        <w:t>评分办法</w:t>
      </w:r>
      <w:bookmarkEnd w:id="79"/>
    </w:p>
    <w:p>
      <w:pPr>
        <w:ind w:firstLine="420" w:firstLineChars="200"/>
        <w:rPr>
          <w:rFonts w:ascii="微软雅黑"/>
          <w:color w:val="auto"/>
          <w:highlight w:val="none"/>
        </w:rPr>
      </w:pPr>
    </w:p>
    <w:p>
      <w:pPr>
        <w:rPr>
          <w:b/>
          <w:color w:val="auto"/>
          <w:highlight w:val="none"/>
        </w:rPr>
      </w:pPr>
      <w:bookmarkStart w:id="80" w:name="gpcItem_pack_1_code_2"/>
      <w:bookmarkStart w:id="81" w:name="gxebdItem_pack_1_code_2"/>
      <w:bookmarkStart w:id="82" w:name="gxebd_score_horizontal_1"/>
      <w:r>
        <w:rPr>
          <w:rFonts w:hint="eastAsia"/>
          <w:b/>
          <w:color w:val="auto"/>
          <w:highlight w:val="none"/>
        </w:rPr>
        <w:t>详细评审标准</w:t>
      </w:r>
    </w:p>
    <w:bookmarkEnd w:id="80"/>
    <w:bookmarkEnd w:id="81"/>
    <w:bookmarkEnd w:id="82"/>
    <w:tbl>
      <w:tblPr>
        <w:tblStyle w:val="83"/>
        <w:tblW w:w="91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25"/>
        <w:gridCol w:w="546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bookmarkStart w:id="83" w:name="gxebd_pack_1_EvalFactorScoreEnd"/>
            <w:bookmarkEnd w:id="83"/>
            <w:r>
              <w:rPr>
                <w:rFonts w:hint="eastAsia" w:asciiTheme="minorEastAsia" w:hAnsiTheme="minorEastAsia" w:eastAsiaTheme="minorEastAsia" w:cstheme="minorEastAsia"/>
                <w:color w:val="auto"/>
                <w:szCs w:val="21"/>
                <w:highlight w:val="none"/>
              </w:rPr>
              <w:t>序号</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评分项目</w:t>
            </w:r>
          </w:p>
        </w:tc>
        <w:tc>
          <w:tcPr>
            <w:tcW w:w="54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评分细则</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报</w:t>
            </w:r>
            <w:r>
              <w:rPr>
                <w:rFonts w:hint="eastAsia" w:asciiTheme="minorEastAsia" w:hAnsiTheme="minorEastAsia" w:eastAsiaTheme="minorEastAsia" w:cstheme="minorEastAsia"/>
                <w:color w:val="auto"/>
                <w:szCs w:val="21"/>
                <w:highlight w:val="none"/>
              </w:rPr>
              <w:t>价</w:t>
            </w:r>
          </w:p>
        </w:tc>
        <w:tc>
          <w:tcPr>
            <w:tcW w:w="5467" w:type="dxa"/>
            <w:tcBorders>
              <w:top w:val="single" w:color="auto" w:sz="4" w:space="0"/>
              <w:left w:val="single" w:color="auto" w:sz="4" w:space="0"/>
              <w:bottom w:val="single" w:color="auto" w:sz="4" w:space="0"/>
              <w:right w:val="single" w:color="auto" w:sz="4" w:space="0"/>
            </w:tcBorders>
            <w:vAlign w:val="center"/>
          </w:tcPr>
          <w:p>
            <w:pP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满足磋商文件要求且最后报价最低的供应商的价格为磋商基准价，其价格分为满分。其他供应商的价格分统一按照下列公式计算：</w:t>
            </w:r>
          </w:p>
          <w:p>
            <w:pPr>
              <w:textAlignment w:val="center"/>
              <w:rPr>
                <w:rFonts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rPr>
              <w:t>磋商报价得分=（磋商基准价/最后磋商报价）</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en-US"/>
              </w:rPr>
              <w:t>0%×100</w:t>
            </w:r>
          </w:p>
          <w:p>
            <w:pP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（计算结果保留小数点后2位，报价须大于零。）</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总体概述(</w:t>
            </w:r>
            <w:r>
              <w:rPr>
                <w:rFonts w:hint="eastAsia"/>
                <w:color w:val="auto"/>
                <w:kern w:val="2"/>
                <w:sz w:val="21"/>
                <w:szCs w:val="21"/>
                <w:highlight w:val="none"/>
                <w:lang w:val="en-US" w:eastAsia="zh-CN"/>
              </w:rPr>
              <w:t>5</w:t>
            </w:r>
            <w:r>
              <w:rPr>
                <w:rFonts w:hint="eastAsia"/>
                <w:color w:val="auto"/>
                <w:kern w:val="2"/>
                <w:sz w:val="21"/>
                <w:szCs w:val="21"/>
                <w:highlight w:val="none"/>
              </w:rPr>
              <w:t>.00分)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对项目总体认识全面深刻，论述完整清晰，总体组织符合实际、总体设计符合规范，总体计划合理，综合措施科学的得</w:t>
            </w:r>
            <w:r>
              <w:rPr>
                <w:rFonts w:hint="eastAsia"/>
                <w:color w:val="auto"/>
                <w:kern w:val="2"/>
                <w:sz w:val="21"/>
                <w:szCs w:val="21"/>
                <w:highlight w:val="none"/>
                <w:lang w:val="en-US" w:eastAsia="zh-CN"/>
              </w:rPr>
              <w:t>5</w:t>
            </w:r>
            <w:r>
              <w:rPr>
                <w:rFonts w:hint="eastAsia"/>
                <w:color w:val="auto"/>
                <w:kern w:val="2"/>
                <w:sz w:val="21"/>
                <w:szCs w:val="21"/>
                <w:highlight w:val="none"/>
              </w:rPr>
              <w:t>分。</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对项目总体认识比较全面，论述比较完整清晰，总体组织比较符合实际、总体设计比较符合规范，总体计划比较合理，综合措施比较科学的得</w:t>
            </w:r>
            <w:r>
              <w:rPr>
                <w:b/>
                <w:color w:val="auto"/>
                <w:kern w:val="2"/>
                <w:sz w:val="21"/>
                <w:szCs w:val="21"/>
                <w:highlight w:val="none"/>
              </w:rPr>
              <w:t>4</w:t>
            </w:r>
            <w:r>
              <w:rPr>
                <w:rFonts w:hint="eastAsia"/>
                <w:color w:val="auto"/>
                <w:kern w:val="2"/>
                <w:sz w:val="21"/>
                <w:szCs w:val="21"/>
                <w:highlight w:val="none"/>
              </w:rPr>
              <w:t>分。</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对项目总体认识基本全面，论述基本完整清晰，总体组织基本符合实际、总体设计基本符合规范，总体计划基本合理，综合措施基本科学的得</w:t>
            </w:r>
            <w:r>
              <w:rPr>
                <w:rFonts w:hint="eastAsia"/>
                <w:b/>
                <w:color w:val="auto"/>
                <w:kern w:val="2"/>
                <w:sz w:val="21"/>
                <w:szCs w:val="21"/>
                <w:highlight w:val="none"/>
              </w:rPr>
              <w:t>3</w:t>
            </w:r>
            <w:r>
              <w:rPr>
                <w:rFonts w:hint="eastAsia"/>
                <w:color w:val="auto"/>
                <w:kern w:val="2"/>
                <w:sz w:val="21"/>
                <w:szCs w:val="21"/>
                <w:highlight w:val="none"/>
              </w:rPr>
              <w:t>分。</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对项目总体认识不全面，论述不完整不清晰，或总体组织不够符合实际、或总体设计不够符合规范，或总体计划不够合理，或综合措施不够科学的得</w:t>
            </w:r>
            <w:r>
              <w:rPr>
                <w:b/>
                <w:color w:val="auto"/>
                <w:kern w:val="2"/>
                <w:sz w:val="21"/>
                <w:szCs w:val="21"/>
                <w:highlight w:val="none"/>
              </w:rPr>
              <w:t>1</w:t>
            </w:r>
            <w:r>
              <w:rPr>
                <w:rFonts w:hint="eastAsia"/>
                <w:color w:val="auto"/>
                <w:kern w:val="2"/>
                <w:sz w:val="21"/>
                <w:szCs w:val="21"/>
                <w:highlight w:val="none"/>
              </w:rPr>
              <w:t>分。</w:t>
            </w:r>
          </w:p>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未提供得0分。</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施工进度计划和各阶段进度保证措施 (</w:t>
            </w:r>
            <w:r>
              <w:rPr>
                <w:rFonts w:hint="eastAsia"/>
                <w:color w:val="auto"/>
                <w:kern w:val="2"/>
                <w:sz w:val="21"/>
                <w:szCs w:val="21"/>
                <w:highlight w:val="none"/>
                <w:lang w:val="en-US" w:eastAsia="zh-CN"/>
              </w:rPr>
              <w:t>8</w:t>
            </w:r>
            <w:r>
              <w:rPr>
                <w:rFonts w:hint="eastAsia"/>
                <w:color w:val="auto"/>
                <w:kern w:val="2"/>
                <w:sz w:val="21"/>
                <w:szCs w:val="21"/>
                <w:highlight w:val="none"/>
              </w:rPr>
              <w:t>.00分)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施工进度计划编制合理、可行，关键线路清晰、准确、完整，关键节点控制措施得力、可操作性强，保证措施可靠的得</w:t>
            </w:r>
            <w:r>
              <w:rPr>
                <w:rFonts w:hint="eastAsia"/>
                <w:b/>
                <w:bCs/>
                <w:color w:val="auto"/>
                <w:kern w:val="2"/>
                <w:sz w:val="21"/>
                <w:szCs w:val="21"/>
                <w:highlight w:val="none"/>
                <w:lang w:val="en-US" w:eastAsia="zh-CN"/>
              </w:rPr>
              <w:t>8</w:t>
            </w:r>
            <w:r>
              <w:rPr>
                <w:rFonts w:hint="eastAsia"/>
                <w:color w:val="auto"/>
                <w:kern w:val="2"/>
                <w:sz w:val="21"/>
                <w:szCs w:val="21"/>
                <w:highlight w:val="none"/>
              </w:rPr>
              <w:t>分。</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施工进度计划编制比较合理、可行，关键线路比较清晰、准确、完整，关键节点控制措施比较得力、可操作性比较强，保证措施比较可靠的得</w:t>
            </w:r>
            <w:r>
              <w:rPr>
                <w:rFonts w:hint="eastAsia"/>
                <w:b/>
                <w:color w:val="auto"/>
                <w:kern w:val="2"/>
                <w:sz w:val="21"/>
                <w:szCs w:val="21"/>
                <w:highlight w:val="none"/>
                <w:lang w:val="en-US" w:eastAsia="zh-CN"/>
              </w:rPr>
              <w:t>6</w:t>
            </w:r>
            <w:r>
              <w:rPr>
                <w:rFonts w:hint="eastAsia"/>
                <w:color w:val="auto"/>
                <w:kern w:val="2"/>
                <w:sz w:val="21"/>
                <w:szCs w:val="21"/>
                <w:highlight w:val="none"/>
              </w:rPr>
              <w:t xml:space="preserve">分。 </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施工进度计划编制基本合理、可行，关键线路基本清晰、准确、完整，关键节点控制措施基本合理、具有可操作性基本条件，保证措施基本可靠的得</w:t>
            </w:r>
            <w:r>
              <w:rPr>
                <w:rFonts w:hint="eastAsia"/>
                <w:color w:val="auto"/>
                <w:kern w:val="2"/>
                <w:sz w:val="21"/>
                <w:szCs w:val="21"/>
                <w:highlight w:val="none"/>
                <w:lang w:val="en-US" w:eastAsia="zh-CN"/>
              </w:rPr>
              <w:t>4</w:t>
            </w:r>
            <w:r>
              <w:rPr>
                <w:rFonts w:hint="eastAsia"/>
                <w:color w:val="auto"/>
                <w:kern w:val="2"/>
                <w:sz w:val="21"/>
                <w:szCs w:val="21"/>
                <w:highlight w:val="none"/>
              </w:rPr>
              <w:t>分。</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施工进度计划编制基本不合理、不可行，或关键线路不清晰、不准确、不完整，或关键节点控制措施不合理、不具有可操作性基本条件，或保证措施不可靠的得</w:t>
            </w:r>
            <w:r>
              <w:rPr>
                <w:rFonts w:hint="eastAsia"/>
                <w:b/>
                <w:color w:val="auto"/>
                <w:kern w:val="2"/>
                <w:sz w:val="21"/>
                <w:szCs w:val="21"/>
                <w:highlight w:val="none"/>
              </w:rPr>
              <w:t>1</w:t>
            </w:r>
            <w:r>
              <w:rPr>
                <w:rFonts w:hint="eastAsia"/>
                <w:color w:val="auto"/>
                <w:kern w:val="2"/>
                <w:sz w:val="21"/>
                <w:szCs w:val="21"/>
                <w:highlight w:val="none"/>
              </w:rPr>
              <w:t>分。</w:t>
            </w:r>
          </w:p>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未提供或提供不全的得0分。</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劳动力和材料投入计划及其保证措施 (</w:t>
            </w:r>
            <w:r>
              <w:rPr>
                <w:rFonts w:hint="eastAsia"/>
                <w:color w:val="auto"/>
                <w:kern w:val="2"/>
                <w:sz w:val="21"/>
                <w:szCs w:val="21"/>
                <w:highlight w:val="none"/>
                <w:lang w:val="en-US" w:eastAsia="zh-CN"/>
              </w:rPr>
              <w:t>4</w:t>
            </w:r>
            <w:r>
              <w:rPr>
                <w:rFonts w:hint="eastAsia"/>
                <w:color w:val="auto"/>
                <w:kern w:val="2"/>
                <w:sz w:val="21"/>
                <w:szCs w:val="21"/>
                <w:highlight w:val="none"/>
              </w:rPr>
              <w:t>.00分)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劳动力投入能满足施工需要，持证上岗率90%以上，劳动力和材料投入计划与进度计划协调，调配计划合理，保证措施具体的得</w:t>
            </w:r>
            <w:r>
              <w:rPr>
                <w:rFonts w:hint="eastAsia"/>
                <w:color w:val="auto"/>
                <w:kern w:val="2"/>
                <w:sz w:val="21"/>
                <w:szCs w:val="21"/>
                <w:highlight w:val="none"/>
                <w:lang w:val="en-US" w:eastAsia="zh-CN"/>
              </w:rPr>
              <w:t>4</w:t>
            </w:r>
            <w:r>
              <w:rPr>
                <w:rFonts w:hint="eastAsia"/>
                <w:color w:val="auto"/>
                <w:kern w:val="2"/>
                <w:sz w:val="21"/>
                <w:szCs w:val="21"/>
                <w:highlight w:val="none"/>
              </w:rPr>
              <w:t xml:space="preserve">分。 </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劳动力投入满足施工需要，持证上岗率80%以上，劳动力和材料投入计划与进度计划比较协调，调配计划比较合理，保证措施比较具体的得</w:t>
            </w:r>
            <w:r>
              <w:rPr>
                <w:rFonts w:hint="eastAsia"/>
                <w:color w:val="auto"/>
                <w:kern w:val="2"/>
                <w:sz w:val="21"/>
                <w:szCs w:val="21"/>
                <w:highlight w:val="none"/>
                <w:lang w:val="en-US" w:eastAsia="zh-CN"/>
              </w:rPr>
              <w:t>3</w:t>
            </w:r>
            <w:r>
              <w:rPr>
                <w:rFonts w:hint="eastAsia"/>
                <w:color w:val="auto"/>
                <w:kern w:val="2"/>
                <w:sz w:val="21"/>
                <w:szCs w:val="21"/>
                <w:highlight w:val="none"/>
              </w:rPr>
              <w:t xml:space="preserve">分。 </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劳动力投入基本满足施工需要，持证上岗率50%以上，劳动力和材料投入计划与进度计划基本协调，调配计划基本合理，保证措施基本合理的得</w:t>
            </w:r>
            <w:r>
              <w:rPr>
                <w:rFonts w:hint="eastAsia"/>
                <w:color w:val="auto"/>
                <w:kern w:val="2"/>
                <w:sz w:val="21"/>
                <w:szCs w:val="21"/>
                <w:highlight w:val="none"/>
                <w:lang w:val="en-US" w:eastAsia="zh-CN"/>
              </w:rPr>
              <w:t>2</w:t>
            </w:r>
            <w:r>
              <w:rPr>
                <w:rFonts w:hint="eastAsia"/>
                <w:color w:val="auto"/>
                <w:kern w:val="2"/>
                <w:sz w:val="21"/>
                <w:szCs w:val="21"/>
                <w:highlight w:val="none"/>
              </w:rPr>
              <w:t xml:space="preserve">分。 </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劳动力投入不能满足施工需要，持证上岗率30%以上，劳动力和材料投入计划与进度计划不协调，或调配计划不合理，或保证措施不具体的得</w:t>
            </w:r>
            <w:r>
              <w:rPr>
                <w:b/>
                <w:color w:val="auto"/>
                <w:kern w:val="2"/>
                <w:sz w:val="21"/>
                <w:szCs w:val="21"/>
                <w:highlight w:val="none"/>
              </w:rPr>
              <w:t>1</w:t>
            </w:r>
            <w:r>
              <w:rPr>
                <w:rFonts w:hint="eastAsia"/>
                <w:color w:val="auto"/>
                <w:kern w:val="2"/>
                <w:sz w:val="21"/>
                <w:szCs w:val="21"/>
                <w:highlight w:val="none"/>
              </w:rPr>
              <w:t>分。</w:t>
            </w:r>
          </w:p>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未提供或提供项不全的得0分。</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机械、办公、检测设备投入计划及保证措施(</w:t>
            </w:r>
            <w:r>
              <w:rPr>
                <w:rFonts w:hint="eastAsia"/>
                <w:color w:val="auto"/>
                <w:kern w:val="2"/>
                <w:sz w:val="21"/>
                <w:szCs w:val="21"/>
                <w:highlight w:val="none"/>
                <w:lang w:val="en-US" w:eastAsia="zh-CN"/>
              </w:rPr>
              <w:t>4</w:t>
            </w:r>
            <w:r>
              <w:rPr>
                <w:rFonts w:hint="eastAsia"/>
                <w:color w:val="auto"/>
                <w:kern w:val="2"/>
                <w:sz w:val="21"/>
                <w:szCs w:val="21"/>
                <w:highlight w:val="none"/>
              </w:rPr>
              <w:t>.00分)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机械设备、办公和检测设备投入能满足施工需要，投入计划与进度计划协调，调配计划合理，保证措施具体的得</w:t>
            </w:r>
            <w:r>
              <w:rPr>
                <w:rFonts w:hint="eastAsia"/>
                <w:color w:val="auto"/>
                <w:kern w:val="2"/>
                <w:sz w:val="21"/>
                <w:szCs w:val="21"/>
                <w:highlight w:val="none"/>
                <w:lang w:val="en-US" w:eastAsia="zh-CN"/>
              </w:rPr>
              <w:t>4</w:t>
            </w:r>
            <w:r>
              <w:rPr>
                <w:rFonts w:hint="eastAsia"/>
                <w:color w:val="auto"/>
                <w:kern w:val="2"/>
                <w:sz w:val="21"/>
                <w:szCs w:val="21"/>
                <w:highlight w:val="none"/>
              </w:rPr>
              <w:t xml:space="preserve">分。 </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机械设备、办公和检测设备投入满足施工需要，投入计划与进度计划比较协调，调配计划比较合理，保证措施比较具体的得</w:t>
            </w:r>
            <w:r>
              <w:rPr>
                <w:rFonts w:hint="eastAsia"/>
                <w:color w:val="auto"/>
                <w:kern w:val="2"/>
                <w:sz w:val="21"/>
                <w:szCs w:val="21"/>
                <w:highlight w:val="none"/>
                <w:lang w:val="en-US" w:eastAsia="zh-CN"/>
              </w:rPr>
              <w:t>3</w:t>
            </w:r>
            <w:r>
              <w:rPr>
                <w:rFonts w:hint="eastAsia"/>
                <w:color w:val="auto"/>
                <w:kern w:val="2"/>
                <w:sz w:val="21"/>
                <w:szCs w:val="21"/>
                <w:highlight w:val="none"/>
              </w:rPr>
              <w:t xml:space="preserve">分。 </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设备投入基本满足施工需要，投入计划与进度计划基本协调，调配计划基本合理，保证措施基本合理的得</w:t>
            </w:r>
            <w:r>
              <w:rPr>
                <w:rFonts w:hint="eastAsia"/>
                <w:color w:val="auto"/>
                <w:kern w:val="2"/>
                <w:sz w:val="21"/>
                <w:szCs w:val="21"/>
                <w:highlight w:val="none"/>
                <w:lang w:val="en-US" w:eastAsia="zh-CN"/>
              </w:rPr>
              <w:t>2</w:t>
            </w:r>
            <w:r>
              <w:rPr>
                <w:rFonts w:hint="eastAsia"/>
                <w:color w:val="auto"/>
                <w:kern w:val="2"/>
                <w:sz w:val="21"/>
                <w:szCs w:val="21"/>
                <w:highlight w:val="none"/>
              </w:rPr>
              <w:t xml:space="preserve">分。 </w:t>
            </w:r>
          </w:p>
          <w:p>
            <w:pPr>
              <w:pStyle w:val="77"/>
              <w:spacing w:beforeAutospacing="0" w:afterAutospacing="0" w:line="240" w:lineRule="auto"/>
              <w:rPr>
                <w:color w:val="auto"/>
                <w:kern w:val="2"/>
                <w:sz w:val="21"/>
                <w:szCs w:val="21"/>
                <w:highlight w:val="none"/>
              </w:rPr>
            </w:pPr>
            <w:r>
              <w:rPr>
                <w:rFonts w:hint="eastAsia"/>
                <w:color w:val="auto"/>
                <w:kern w:val="2"/>
                <w:sz w:val="21"/>
                <w:szCs w:val="21"/>
                <w:highlight w:val="none"/>
              </w:rPr>
              <w:t>设备投入不能满足施工需要，或投入计划与进度计划不协调，或调配计划不合理，或保证措施不具体的得</w:t>
            </w:r>
            <w:r>
              <w:rPr>
                <w:b/>
                <w:color w:val="auto"/>
                <w:kern w:val="2"/>
                <w:sz w:val="21"/>
                <w:szCs w:val="21"/>
                <w:highlight w:val="none"/>
              </w:rPr>
              <w:t>1</w:t>
            </w:r>
            <w:r>
              <w:rPr>
                <w:rFonts w:hint="eastAsia"/>
                <w:color w:val="auto"/>
                <w:kern w:val="2"/>
                <w:sz w:val="21"/>
                <w:szCs w:val="21"/>
                <w:highlight w:val="none"/>
              </w:rPr>
              <w:t>分。</w:t>
            </w:r>
          </w:p>
          <w:p>
            <w:pPr>
              <w:pStyle w:val="77"/>
              <w:spacing w:beforeAutospacing="0" w:afterAutospacing="0" w:line="240" w:lineRule="auto"/>
              <w:rPr>
                <w:rFonts w:ascii="宋体" w:hAnsi="宋体" w:cs="宋体"/>
                <w:color w:val="auto"/>
                <w:kern w:val="2"/>
                <w:highlight w:val="none"/>
              </w:rPr>
            </w:pPr>
            <w:r>
              <w:rPr>
                <w:rFonts w:hint="eastAsia"/>
                <w:color w:val="auto"/>
                <w:kern w:val="2"/>
                <w:sz w:val="21"/>
                <w:szCs w:val="21"/>
                <w:highlight w:val="none"/>
              </w:rPr>
              <w:t>未提供或提供项不全的得0分。</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eastAsia="宋体"/>
                <w:color w:val="auto"/>
                <w:highlight w:val="none"/>
              </w:rPr>
            </w:pPr>
            <w:r>
              <w:rPr>
                <w:rFonts w:hint="eastAsia"/>
                <w:color w:val="auto"/>
                <w:kern w:val="2"/>
                <w:sz w:val="21"/>
                <w:szCs w:val="21"/>
                <w:highlight w:val="none"/>
              </w:rPr>
              <w:t>关键施工技术、工艺及施工重点、难点分析及解决方案(</w:t>
            </w:r>
            <w:r>
              <w:rPr>
                <w:color w:val="auto"/>
                <w:kern w:val="2"/>
                <w:sz w:val="21"/>
                <w:szCs w:val="21"/>
                <w:highlight w:val="none"/>
              </w:rPr>
              <w:t>1</w:t>
            </w:r>
            <w:r>
              <w:rPr>
                <w:rFonts w:hint="eastAsia"/>
                <w:color w:val="auto"/>
                <w:kern w:val="2"/>
                <w:sz w:val="21"/>
                <w:szCs w:val="21"/>
                <w:highlight w:val="none"/>
                <w:lang w:val="en-US" w:eastAsia="zh-CN"/>
              </w:rPr>
              <w:t>2</w:t>
            </w:r>
            <w:r>
              <w:rPr>
                <w:rFonts w:hint="eastAsia"/>
                <w:color w:val="auto"/>
                <w:kern w:val="2"/>
                <w:sz w:val="21"/>
                <w:szCs w:val="21"/>
                <w:highlight w:val="none"/>
              </w:rPr>
              <w:t>.00分)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rPr>
                <w:color w:val="auto"/>
                <w:kern w:val="2"/>
                <w:sz w:val="21"/>
                <w:szCs w:val="21"/>
                <w:highlight w:val="none"/>
              </w:rPr>
            </w:pPr>
            <w:r>
              <w:rPr>
                <w:rFonts w:hint="eastAsia"/>
                <w:color w:val="auto"/>
                <w:kern w:val="2"/>
                <w:sz w:val="21"/>
                <w:szCs w:val="21"/>
                <w:highlight w:val="none"/>
              </w:rPr>
              <w:t>对工程重点、难点认识深刻、表述全面准确，解决方案科学、系统、安全、经济，可操作性强，保障措施得力，对施工关键技术、工艺把握准确，应用到位，阐释清晰的得</w:t>
            </w:r>
            <w:r>
              <w:rPr>
                <w:rFonts w:hint="eastAsia"/>
                <w:b/>
                <w:color w:val="auto"/>
                <w:kern w:val="2"/>
                <w:sz w:val="21"/>
                <w:szCs w:val="21"/>
                <w:highlight w:val="none"/>
                <w:lang w:val="en-US" w:eastAsia="zh-CN"/>
              </w:rPr>
              <w:t>12</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对工程重点、难点认识比较深刻、表述比较全面准确，解决方案比较科学、系统、安全、经济，可操作性比较强，保障措施比较得力，对施工关键技术、工艺把握比较准确，应用到位，阐释比较清晰的得</w:t>
            </w:r>
            <w:r>
              <w:rPr>
                <w:b/>
                <w:color w:val="auto"/>
                <w:kern w:val="2"/>
                <w:sz w:val="21"/>
                <w:szCs w:val="21"/>
                <w:highlight w:val="none"/>
              </w:rPr>
              <w:t>10</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对工程重点、难点认识基本深刻、表述基本全面准确，解决方案基本科学、系统、安全、经济，具有可操作性，保障措施基本正确，对施工关键技术、工艺把握基本准确，应用到位，阐释基本清晰的得</w:t>
            </w:r>
            <w:r>
              <w:rPr>
                <w:b/>
                <w:color w:val="auto"/>
                <w:kern w:val="2"/>
                <w:sz w:val="21"/>
                <w:szCs w:val="21"/>
                <w:highlight w:val="none"/>
              </w:rPr>
              <w:t>6</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对工程重点、难点认识不深刻、表述不全面不准确，或解决方案不科学、不系统、不安全、不经济，或可操作性不强，或保障措施不具体，或对施工关键技术、工艺把握不准确、阐释不清的得</w:t>
            </w:r>
            <w:r>
              <w:rPr>
                <w:rFonts w:hint="eastAsia"/>
                <w:b/>
                <w:color w:val="auto"/>
                <w:kern w:val="2"/>
                <w:sz w:val="21"/>
                <w:szCs w:val="21"/>
                <w:highlight w:val="none"/>
              </w:rPr>
              <w:t>2</w:t>
            </w:r>
            <w:r>
              <w:rPr>
                <w:rFonts w:hint="eastAsia"/>
                <w:color w:val="auto"/>
                <w:kern w:val="2"/>
                <w:sz w:val="21"/>
                <w:szCs w:val="21"/>
                <w:highlight w:val="none"/>
              </w:rPr>
              <w:t>分。</w:t>
            </w:r>
          </w:p>
          <w:p>
            <w:pPr>
              <w:pStyle w:val="77"/>
              <w:spacing w:beforeAutospacing="0" w:afterAutospacing="0" w:line="240" w:lineRule="auto"/>
              <w:rPr>
                <w:rFonts w:eastAsia="宋体"/>
                <w:color w:val="auto"/>
                <w:kern w:val="2"/>
                <w:highlight w:val="none"/>
              </w:rPr>
            </w:pPr>
            <w:r>
              <w:rPr>
                <w:rFonts w:hint="eastAsia"/>
                <w:color w:val="auto"/>
                <w:kern w:val="2"/>
                <w:sz w:val="21"/>
                <w:szCs w:val="21"/>
                <w:highlight w:val="none"/>
              </w:rPr>
              <w:t>未提供或提供项不全的得0分。</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2"/>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rPr>
              <w:t>7</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eastAsia="宋体"/>
                <w:color w:val="auto"/>
                <w:highlight w:val="none"/>
              </w:rPr>
            </w:pPr>
            <w:r>
              <w:rPr>
                <w:rFonts w:hint="eastAsia"/>
                <w:color w:val="auto"/>
                <w:kern w:val="2"/>
                <w:sz w:val="21"/>
                <w:szCs w:val="21"/>
                <w:highlight w:val="none"/>
              </w:rPr>
              <w:t>企业工程业绩(5.00分)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napToGrid w:val="0"/>
              <w:spacing w:beforeAutospacing="0" w:afterAutospacing="0" w:line="240" w:lineRule="auto"/>
              <w:rPr>
                <w:color w:val="auto"/>
                <w:kern w:val="2"/>
                <w:sz w:val="21"/>
                <w:szCs w:val="21"/>
                <w:highlight w:val="none"/>
              </w:rPr>
            </w:pPr>
            <w:r>
              <w:rPr>
                <w:rFonts w:hint="eastAsia"/>
                <w:color w:val="auto"/>
                <w:kern w:val="2"/>
                <w:sz w:val="21"/>
                <w:szCs w:val="21"/>
                <w:highlight w:val="none"/>
              </w:rPr>
              <w:t>2019年7月1日起至磋商登记截止之日，每具备一项类似电力改造维修工程施工业绩的得</w:t>
            </w:r>
            <w:r>
              <w:rPr>
                <w:rFonts w:hint="eastAsia"/>
                <w:b/>
                <w:color w:val="auto"/>
                <w:kern w:val="2"/>
                <w:sz w:val="21"/>
                <w:szCs w:val="21"/>
                <w:highlight w:val="none"/>
              </w:rPr>
              <w:t>1</w:t>
            </w:r>
            <w:r>
              <w:rPr>
                <w:rFonts w:hint="eastAsia"/>
                <w:color w:val="auto"/>
                <w:kern w:val="2"/>
                <w:sz w:val="21"/>
                <w:szCs w:val="21"/>
                <w:highlight w:val="none"/>
              </w:rPr>
              <w:t>分，最多得</w:t>
            </w:r>
            <w:r>
              <w:rPr>
                <w:rFonts w:hint="eastAsia"/>
                <w:b/>
                <w:color w:val="auto"/>
                <w:kern w:val="2"/>
                <w:sz w:val="21"/>
                <w:szCs w:val="21"/>
                <w:highlight w:val="none"/>
              </w:rPr>
              <w:t>5</w:t>
            </w:r>
            <w:r>
              <w:rPr>
                <w:rFonts w:hint="eastAsia"/>
                <w:color w:val="auto"/>
                <w:kern w:val="2"/>
                <w:sz w:val="21"/>
                <w:szCs w:val="21"/>
                <w:highlight w:val="none"/>
              </w:rPr>
              <w:t>分。（业绩需提供中标通知书、施工合同、竣工验收报告，以竣工验收时间为准。竣工验收报告必须由建设、设计、监理、施工四方签字盖章，原件彩色扫描版封装在技术标内）未提供或证明材料不全的不得分。</w:t>
            </w:r>
          </w:p>
          <w:p>
            <w:pPr>
              <w:pStyle w:val="77"/>
              <w:snapToGrid w:val="0"/>
              <w:spacing w:beforeAutospacing="0" w:afterAutospacing="0" w:line="240" w:lineRule="auto"/>
              <w:rPr>
                <w:color w:val="auto"/>
                <w:kern w:val="2"/>
                <w:highlight w:val="none"/>
              </w:rPr>
            </w:pPr>
            <w:r>
              <w:rPr>
                <w:rFonts w:hint="eastAsia"/>
                <w:b/>
                <w:bCs/>
                <w:color w:val="auto"/>
                <w:kern w:val="2"/>
                <w:sz w:val="21"/>
                <w:szCs w:val="21"/>
                <w:highlight w:val="none"/>
              </w:rPr>
              <w:t>（注：资格条件中认定的业绩不作为此项评分内容）</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rPr>
              <w:t>8</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工期质量承诺书(5.00分)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ascii="楷体_GB2312"/>
                <w:color w:val="auto"/>
                <w:highlight w:val="none"/>
              </w:rPr>
            </w:pPr>
            <w:r>
              <w:rPr>
                <w:rFonts w:hint="eastAsia"/>
                <w:color w:val="auto"/>
                <w:kern w:val="2"/>
                <w:sz w:val="21"/>
                <w:szCs w:val="21"/>
                <w:highlight w:val="none"/>
              </w:rPr>
              <w:t>按招标约定日期竣工，本工程竣工验收需一次性合格，并达到规定验收标准。因承包人原因造成工期延误，每逾期1天将处以合同总价的1%的罚金。超过5天，投标人按合同金额的10%向采购人支付违约金，并赔偿由此造成的损失费用，采购人有权终止合同。提供工期质量承诺书得</w:t>
            </w:r>
            <w:r>
              <w:rPr>
                <w:rFonts w:hint="eastAsia"/>
                <w:b/>
                <w:color w:val="auto"/>
                <w:kern w:val="2"/>
                <w:sz w:val="21"/>
                <w:szCs w:val="21"/>
                <w:highlight w:val="none"/>
              </w:rPr>
              <w:t>5</w:t>
            </w:r>
            <w:r>
              <w:rPr>
                <w:rFonts w:hint="eastAsia"/>
                <w:color w:val="auto"/>
                <w:kern w:val="2"/>
                <w:sz w:val="21"/>
                <w:szCs w:val="21"/>
                <w:highlight w:val="none"/>
              </w:rPr>
              <w:t>分，未承诺或承诺上述内容不全的不得分。</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2"/>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rPr>
              <w:t>9</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安全文明施工、环境保护等保证措施 (</w:t>
            </w:r>
            <w:r>
              <w:rPr>
                <w:rFonts w:hint="eastAsia"/>
                <w:color w:val="auto"/>
                <w:kern w:val="2"/>
                <w:sz w:val="21"/>
                <w:szCs w:val="21"/>
                <w:highlight w:val="none"/>
                <w:lang w:val="en-US" w:eastAsia="zh-CN"/>
              </w:rPr>
              <w:t>6</w:t>
            </w:r>
            <w:r>
              <w:rPr>
                <w:rFonts w:hint="eastAsia"/>
                <w:color w:val="auto"/>
                <w:kern w:val="2"/>
                <w:sz w:val="21"/>
                <w:szCs w:val="21"/>
                <w:highlight w:val="none"/>
              </w:rPr>
              <w:t>.00分)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rPr>
                <w:color w:val="auto"/>
                <w:kern w:val="2"/>
                <w:sz w:val="21"/>
                <w:szCs w:val="21"/>
                <w:highlight w:val="none"/>
              </w:rPr>
            </w:pPr>
            <w:r>
              <w:rPr>
                <w:rFonts w:hint="eastAsia"/>
                <w:color w:val="auto"/>
                <w:kern w:val="2"/>
                <w:sz w:val="21"/>
                <w:szCs w:val="21"/>
                <w:highlight w:val="none"/>
              </w:rPr>
              <w:t>根据实际情况制定安全文明施工及环境保护保证计划，遵守并执行项目所在地医疗部门制定的有关规定、条例和要求制定防疫措施。全面周到、完整，关键地点、工序、环节控制保障措施得力，责任人具体的得</w:t>
            </w:r>
            <w:r>
              <w:rPr>
                <w:rFonts w:hint="eastAsia"/>
                <w:color w:val="auto"/>
                <w:kern w:val="2"/>
                <w:sz w:val="21"/>
                <w:szCs w:val="21"/>
                <w:highlight w:val="none"/>
                <w:lang w:val="en-US" w:eastAsia="zh-CN"/>
              </w:rPr>
              <w:t>6</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根据实际情况制定安全文明施工及环境保护保证计划，遵守并执行项目所在地医疗部门制定的有关规定、条例和要求制定防疫措施。比较全面周到、完整，关键地点、工序、环节控制保障措施比较得力，责任人比较具体的得</w:t>
            </w:r>
            <w:r>
              <w:rPr>
                <w:rFonts w:hint="eastAsia"/>
                <w:color w:val="auto"/>
                <w:kern w:val="2"/>
                <w:sz w:val="21"/>
                <w:szCs w:val="21"/>
                <w:highlight w:val="none"/>
                <w:lang w:val="en-US" w:eastAsia="zh-CN"/>
              </w:rPr>
              <w:t>4</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根据实际情况制定安全文明施工及环境保护保证计划，遵守并执行项目所在地医疗部门制定的有关规定、条例和要求制定防疫措施。基本全面周到、完整，关键地点、工序、环节控制保障措施基本制订，责任人基本到位的得</w:t>
            </w:r>
            <w:r>
              <w:rPr>
                <w:rFonts w:hint="eastAsia"/>
                <w:b/>
                <w:color w:val="auto"/>
                <w:kern w:val="2"/>
                <w:sz w:val="21"/>
                <w:szCs w:val="21"/>
                <w:highlight w:val="none"/>
                <w:lang w:val="en-US" w:eastAsia="zh-CN"/>
              </w:rPr>
              <w:t>2</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根据实际情况制定安全文明施工及环境保护保证计划，遵守并执行项目所在地医疗部门制定的有关规定、条例和要求制定防疫措施。不全面不周到、不完整，或关键地点、工序、环节控制保障措施未制订，或责任人基本未明确的得</w:t>
            </w:r>
            <w:r>
              <w:rPr>
                <w:rFonts w:hint="eastAsia"/>
                <w:b/>
                <w:color w:val="auto"/>
                <w:kern w:val="2"/>
                <w:sz w:val="21"/>
                <w:szCs w:val="21"/>
                <w:highlight w:val="none"/>
              </w:rPr>
              <w:t>1</w:t>
            </w:r>
            <w:r>
              <w:rPr>
                <w:rFonts w:hint="eastAsia"/>
                <w:color w:val="auto"/>
                <w:kern w:val="2"/>
                <w:sz w:val="21"/>
                <w:szCs w:val="21"/>
                <w:highlight w:val="none"/>
              </w:rPr>
              <w:t>分。</w:t>
            </w:r>
          </w:p>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未提供或提供项不全的得0分。</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rPr>
              <w:t>10</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针对设计图纸、工程量清单、施工管理的合理化建议(</w:t>
            </w:r>
            <w:r>
              <w:rPr>
                <w:color w:val="auto"/>
                <w:kern w:val="2"/>
                <w:sz w:val="21"/>
                <w:szCs w:val="21"/>
                <w:highlight w:val="none"/>
              </w:rPr>
              <w:t>5</w:t>
            </w:r>
            <w:r>
              <w:rPr>
                <w:rFonts w:hint="eastAsia"/>
                <w:color w:val="auto"/>
                <w:kern w:val="2"/>
                <w:sz w:val="21"/>
                <w:szCs w:val="21"/>
                <w:highlight w:val="none"/>
              </w:rPr>
              <w:t>.00分)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rPr>
                <w:color w:val="auto"/>
                <w:kern w:val="2"/>
                <w:sz w:val="21"/>
                <w:szCs w:val="21"/>
                <w:highlight w:val="none"/>
              </w:rPr>
            </w:pPr>
            <w:r>
              <w:rPr>
                <w:rFonts w:hint="eastAsia"/>
                <w:color w:val="auto"/>
                <w:kern w:val="2"/>
                <w:sz w:val="21"/>
                <w:szCs w:val="21"/>
                <w:highlight w:val="none"/>
              </w:rPr>
              <w:t>结合实际提出合理化建议科学、系统、完整、严谨，落实合理化建议措施具体、可操作性强，经济效益最大的得</w:t>
            </w:r>
            <w:r>
              <w:rPr>
                <w:b/>
                <w:color w:val="auto"/>
                <w:kern w:val="2"/>
                <w:sz w:val="21"/>
                <w:szCs w:val="21"/>
                <w:highlight w:val="none"/>
              </w:rPr>
              <w:t>5</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结合实际提出的合理化建议比较科学、系统、完整、严谨，落实合理化建议措施比较具体、可操作性比较强，经济效益比较大的得</w:t>
            </w:r>
            <w:r>
              <w:rPr>
                <w:b/>
                <w:color w:val="auto"/>
                <w:kern w:val="2"/>
                <w:sz w:val="21"/>
                <w:szCs w:val="21"/>
                <w:highlight w:val="none"/>
              </w:rPr>
              <w:t>4</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结合实际提出了合理化建议，有落实合理化建议的措施，有一定的操作性，有一定的经济效益的得</w:t>
            </w:r>
            <w:r>
              <w:rPr>
                <w:b/>
                <w:color w:val="auto"/>
                <w:kern w:val="2"/>
                <w:sz w:val="21"/>
                <w:szCs w:val="21"/>
                <w:highlight w:val="none"/>
              </w:rPr>
              <w:t>3</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提出的建议不合理，或没有落实合理化建议的措施的得</w:t>
            </w:r>
            <w:r>
              <w:rPr>
                <w:b/>
                <w:color w:val="auto"/>
                <w:kern w:val="2"/>
                <w:sz w:val="21"/>
                <w:szCs w:val="21"/>
                <w:highlight w:val="none"/>
              </w:rPr>
              <w:t>1</w:t>
            </w:r>
            <w:r>
              <w:rPr>
                <w:rFonts w:hint="eastAsia"/>
                <w:color w:val="auto"/>
                <w:kern w:val="2"/>
                <w:sz w:val="21"/>
                <w:szCs w:val="21"/>
                <w:highlight w:val="none"/>
              </w:rPr>
              <w:t>分。</w:t>
            </w:r>
          </w:p>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未提供的得0分。</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hint="eastAsia" w:asciiTheme="minorEastAsia" w:hAnsiTheme="minorEastAsia" w:eastAsiaTheme="minorEastAsia" w:cstheme="minorEastAsia"/>
                <w:color w:val="auto"/>
                <w:sz w:val="21"/>
                <w:szCs w:val="21"/>
                <w:highlight w:val="none"/>
                <w:lang w:eastAsia="zh-CN"/>
              </w:rPr>
            </w:pPr>
            <w:r>
              <w:rPr>
                <w:rFonts w:asciiTheme="minorEastAsia" w:hAnsiTheme="minorEastAsia" w:cstheme="minor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rPr>
              <w:t>11</w:t>
            </w:r>
          </w:p>
        </w:tc>
        <w:tc>
          <w:tcPr>
            <w:tcW w:w="2125"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工程质量保证措施 （</w:t>
            </w:r>
            <w:r>
              <w:rPr>
                <w:rFonts w:hint="eastAsia"/>
                <w:color w:val="auto"/>
                <w:kern w:val="2"/>
                <w:sz w:val="21"/>
                <w:szCs w:val="21"/>
                <w:highlight w:val="none"/>
                <w:lang w:val="en-US" w:eastAsia="zh-CN"/>
              </w:rPr>
              <w:t>6</w:t>
            </w:r>
            <w:r>
              <w:rPr>
                <w:rFonts w:hint="eastAsia"/>
                <w:color w:val="auto"/>
                <w:kern w:val="2"/>
                <w:sz w:val="21"/>
                <w:szCs w:val="21"/>
                <w:highlight w:val="none"/>
              </w:rPr>
              <w:t>.00分)</w:t>
            </w:r>
          </w:p>
        </w:tc>
        <w:tc>
          <w:tcPr>
            <w:tcW w:w="5467"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rPr>
                <w:color w:val="auto"/>
                <w:kern w:val="2"/>
                <w:sz w:val="21"/>
                <w:szCs w:val="21"/>
                <w:highlight w:val="none"/>
              </w:rPr>
            </w:pPr>
            <w:r>
              <w:rPr>
                <w:rFonts w:hint="eastAsia"/>
                <w:color w:val="auto"/>
                <w:kern w:val="2"/>
                <w:sz w:val="21"/>
                <w:szCs w:val="21"/>
                <w:highlight w:val="none"/>
              </w:rPr>
              <w:t>工程质量保证计划全面细致、结合实际、措施具体，责任到人的得</w:t>
            </w:r>
            <w:r>
              <w:rPr>
                <w:rFonts w:hint="eastAsia"/>
                <w:b/>
                <w:color w:val="auto"/>
                <w:kern w:val="2"/>
                <w:sz w:val="21"/>
                <w:szCs w:val="21"/>
                <w:highlight w:val="none"/>
                <w:lang w:val="en-US" w:eastAsia="zh-CN"/>
              </w:rPr>
              <w:t>6</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工程质量保证计划比较全面细致、比较结合实际，措施比较具体，责任到人的得</w:t>
            </w:r>
            <w:r>
              <w:rPr>
                <w:rFonts w:hint="eastAsia"/>
                <w:b/>
                <w:color w:val="auto"/>
                <w:kern w:val="2"/>
                <w:sz w:val="21"/>
                <w:szCs w:val="21"/>
                <w:highlight w:val="none"/>
              </w:rPr>
              <w:t>5</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工程质量保证计划基本全面细致、基本结合实际，措施基本可行，责任基本到人的得</w:t>
            </w:r>
            <w:r>
              <w:rPr>
                <w:rFonts w:hint="eastAsia"/>
                <w:b/>
                <w:color w:val="auto"/>
                <w:kern w:val="2"/>
                <w:sz w:val="21"/>
                <w:szCs w:val="21"/>
                <w:highlight w:val="none"/>
              </w:rPr>
              <w:t>4</w:t>
            </w:r>
            <w:r>
              <w:rPr>
                <w:rFonts w:hint="eastAsia"/>
                <w:color w:val="auto"/>
                <w:kern w:val="2"/>
                <w:sz w:val="21"/>
                <w:szCs w:val="21"/>
                <w:highlight w:val="none"/>
              </w:rPr>
              <w:t xml:space="preserve">分。 </w:t>
            </w:r>
          </w:p>
          <w:p>
            <w:pPr>
              <w:pStyle w:val="77"/>
              <w:spacing w:beforeAutospacing="0" w:afterAutospacing="0"/>
              <w:rPr>
                <w:color w:val="auto"/>
                <w:kern w:val="2"/>
                <w:sz w:val="21"/>
                <w:szCs w:val="21"/>
                <w:highlight w:val="none"/>
              </w:rPr>
            </w:pPr>
            <w:r>
              <w:rPr>
                <w:rFonts w:hint="eastAsia"/>
                <w:color w:val="auto"/>
                <w:kern w:val="2"/>
                <w:sz w:val="21"/>
                <w:szCs w:val="21"/>
                <w:highlight w:val="none"/>
              </w:rPr>
              <w:t>工程质量保证计划不全面不细致、结合实际不够、或措施不具体、责任未到人的得</w:t>
            </w:r>
            <w:r>
              <w:rPr>
                <w:rFonts w:hint="eastAsia"/>
                <w:b/>
                <w:color w:val="auto"/>
                <w:kern w:val="2"/>
                <w:sz w:val="21"/>
                <w:szCs w:val="21"/>
                <w:highlight w:val="none"/>
              </w:rPr>
              <w:t>1</w:t>
            </w:r>
            <w:r>
              <w:rPr>
                <w:rFonts w:hint="eastAsia"/>
                <w:color w:val="auto"/>
                <w:kern w:val="2"/>
                <w:sz w:val="21"/>
                <w:szCs w:val="21"/>
                <w:highlight w:val="none"/>
              </w:rPr>
              <w:t>分。</w:t>
            </w:r>
          </w:p>
          <w:p>
            <w:pPr>
              <w:pStyle w:val="77"/>
              <w:spacing w:beforeAutospacing="0" w:afterAutospacing="0" w:line="240" w:lineRule="auto"/>
              <w:rPr>
                <w:rFonts w:ascii="宋体" w:hAnsi="宋体" w:eastAsia="宋体"/>
                <w:color w:val="auto"/>
                <w:highlight w:val="none"/>
              </w:rPr>
            </w:pPr>
            <w:r>
              <w:rPr>
                <w:rFonts w:hint="eastAsia"/>
                <w:color w:val="auto"/>
                <w:kern w:val="2"/>
                <w:sz w:val="21"/>
                <w:szCs w:val="21"/>
                <w:highlight w:val="none"/>
              </w:rPr>
              <w:t>未提供得0分。</w:t>
            </w:r>
          </w:p>
        </w:tc>
        <w:tc>
          <w:tcPr>
            <w:tcW w:w="803" w:type="dxa"/>
            <w:tcBorders>
              <w:top w:val="single" w:color="auto" w:sz="4" w:space="0"/>
              <w:left w:val="single" w:color="auto" w:sz="4" w:space="0"/>
              <w:bottom w:val="single" w:color="auto" w:sz="4" w:space="0"/>
              <w:right w:val="single" w:color="auto" w:sz="4" w:space="0"/>
            </w:tcBorders>
            <w:vAlign w:val="center"/>
          </w:tcPr>
          <w:p>
            <w:pPr>
              <w:pStyle w:val="77"/>
              <w:spacing w:beforeAutospacing="0" w:afterAutospacing="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w:t>
            </w:r>
          </w:p>
        </w:tc>
      </w:tr>
    </w:tbl>
    <w:p>
      <w:pPr>
        <w:rPr>
          <w:b/>
          <w:color w:val="auto"/>
          <w:highlight w:val="none"/>
        </w:rPr>
      </w:pPr>
    </w:p>
    <w:p>
      <w:pPr>
        <w:rPr>
          <w:rFonts w:ascii="微软雅黑"/>
          <w:color w:val="auto"/>
          <w:highlight w:val="none"/>
        </w:rPr>
        <w:sectPr>
          <w:pgSz w:w="11907" w:h="16839"/>
          <w:pgMar w:top="1928" w:right="1531" w:bottom="1871" w:left="1531" w:header="1148" w:footer="709" w:gutter="0"/>
          <w:cols w:space="720" w:num="1"/>
          <w:docGrid w:linePitch="360" w:charSpace="0"/>
        </w:sectPr>
      </w:pPr>
    </w:p>
    <w:p>
      <w:pPr>
        <w:pStyle w:val="4"/>
        <w:numPr>
          <w:ilvl w:val="0"/>
          <w:numId w:val="10"/>
        </w:numPr>
        <w:spacing w:before="2400" w:after="0"/>
        <w:jc w:val="center"/>
        <w:rPr>
          <w:rFonts w:ascii="微软雅黑"/>
          <w:color w:val="auto"/>
          <w:highlight w:val="none"/>
        </w:rPr>
      </w:pPr>
      <w:bookmarkStart w:id="84" w:name="_Toc30446"/>
      <w:bookmarkStart w:id="85" w:name="_Toc3318"/>
      <w:r>
        <w:rPr>
          <w:rFonts w:hint="eastAsia" w:ascii="微软雅黑" w:hAnsi="微软雅黑"/>
          <w:color w:val="auto"/>
          <w:highlight w:val="none"/>
          <w:lang w:val="en-US"/>
        </w:rPr>
        <w:t>合同草案条款</w:t>
      </w:r>
      <w:bookmarkEnd w:id="84"/>
      <w:bookmarkEnd w:id="85"/>
    </w:p>
    <w:p>
      <w:pPr>
        <w:rPr>
          <w:rFonts w:ascii="微软雅黑"/>
          <w:color w:val="auto"/>
          <w:highlight w:val="none"/>
        </w:rPr>
        <w:sectPr>
          <w:type w:val="oddPage"/>
          <w:pgSz w:w="11907" w:h="16839"/>
          <w:pgMar w:top="1928" w:right="1531" w:bottom="1871" w:left="1531" w:header="1148" w:footer="709" w:gutter="0"/>
          <w:cols w:space="720" w:num="1"/>
          <w:docGrid w:linePitch="360" w:charSpace="0"/>
        </w:sectPr>
      </w:pPr>
    </w:p>
    <w:p>
      <w:pPr>
        <w:rPr>
          <w:rFonts w:ascii="宋体" w:hAnsi="宋体" w:cs="宋体"/>
          <w:bCs/>
          <w:color w:val="auto"/>
          <w:sz w:val="30"/>
          <w:szCs w:val="30"/>
          <w:highlight w:val="none"/>
        </w:rPr>
      </w:pPr>
      <w:bookmarkStart w:id="86" w:name="_Toc15868_WPSOffice_Level2"/>
      <w:r>
        <w:rPr>
          <w:rFonts w:hint="eastAsia" w:ascii="宋体" w:hAnsi="宋体" w:cs="宋体"/>
          <w:bCs/>
          <w:color w:val="auto"/>
          <w:sz w:val="30"/>
          <w:szCs w:val="30"/>
          <w:highlight w:val="none"/>
        </w:rPr>
        <w:t>（GF—2017—0201）               备案编号：</w:t>
      </w:r>
      <w:bookmarkEnd w:id="86"/>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r>
        <w:rPr>
          <w:rFonts w:hint="eastAsia" w:ascii="宋体" w:hAnsi="宋体" w:cs="宋体"/>
          <w:b/>
          <w:color w:val="auto"/>
          <w:sz w:val="48"/>
          <w:szCs w:val="48"/>
          <w:highlight w:val="none"/>
        </w:rPr>
        <w:t>建设工程施工合同</w:t>
      </w:r>
      <w:r>
        <w:rPr>
          <w:rFonts w:hint="eastAsia" w:ascii="宋体" w:hAnsi="宋体" w:cs="宋体"/>
          <w:b/>
          <w:color w:val="auto"/>
          <w:sz w:val="48"/>
          <w:szCs w:val="48"/>
          <w:highlight w:val="none"/>
        </w:rPr>
        <w:br w:type="textWrapping"/>
      </w: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rPr>
          <w:rFonts w:ascii="宋体" w:hAnsi="宋体" w:cs="宋体"/>
          <w:bCs/>
          <w:color w:val="auto"/>
          <w:sz w:val="30"/>
          <w:szCs w:val="30"/>
          <w:highlight w:val="none"/>
        </w:rPr>
      </w:pPr>
      <w:bookmarkStart w:id="87" w:name="_Toc26035_WPSOffice_Level2"/>
      <w:r>
        <w:rPr>
          <w:rFonts w:hint="eastAsia" w:ascii="宋体" w:hAnsi="宋体" w:cs="宋体"/>
          <w:bCs/>
          <w:color w:val="auto"/>
          <w:sz w:val="30"/>
          <w:szCs w:val="30"/>
          <w:highlight w:val="none"/>
        </w:rPr>
        <w:t>工程名称：</w:t>
      </w:r>
      <w:bookmarkEnd w:id="87"/>
    </w:p>
    <w:p>
      <w:pPr>
        <w:rPr>
          <w:rFonts w:ascii="宋体" w:hAnsi="宋体" w:cs="宋体"/>
          <w:bCs/>
          <w:color w:val="auto"/>
          <w:sz w:val="30"/>
          <w:szCs w:val="30"/>
          <w:highlight w:val="none"/>
        </w:rPr>
      </w:pPr>
      <w:bookmarkStart w:id="88" w:name="_Toc11927_WPSOffice_Level2"/>
      <w:r>
        <w:rPr>
          <w:rFonts w:hint="eastAsia" w:ascii="宋体" w:hAnsi="宋体" w:cs="宋体"/>
          <w:bCs/>
          <w:color w:val="auto"/>
          <w:sz w:val="30"/>
          <w:szCs w:val="30"/>
          <w:highlight w:val="none"/>
        </w:rPr>
        <w:t>发 包 人：</w:t>
      </w:r>
      <w:bookmarkEnd w:id="88"/>
    </w:p>
    <w:p>
      <w:pPr>
        <w:rPr>
          <w:rFonts w:ascii="宋体" w:hAnsi="宋体" w:cs="宋体"/>
          <w:bCs/>
          <w:color w:val="auto"/>
          <w:sz w:val="30"/>
          <w:szCs w:val="30"/>
          <w:highlight w:val="none"/>
        </w:rPr>
      </w:pPr>
      <w:bookmarkStart w:id="89" w:name="_Toc32643_WPSOffice_Level2"/>
      <w:r>
        <w:rPr>
          <w:rFonts w:hint="eastAsia" w:ascii="宋体" w:hAnsi="宋体" w:cs="宋体"/>
          <w:bCs/>
          <w:color w:val="auto"/>
          <w:sz w:val="30"/>
          <w:szCs w:val="30"/>
          <w:highlight w:val="none"/>
        </w:rPr>
        <w:t>承 包 人：</w:t>
      </w:r>
      <w:bookmarkEnd w:id="89"/>
    </w:p>
    <w:p>
      <w:pPr>
        <w:jc w:val="center"/>
        <w:rPr>
          <w:rFonts w:ascii="宋体" w:hAnsi="宋体" w:cs="宋体"/>
          <w:bCs/>
          <w:color w:val="auto"/>
          <w:sz w:val="30"/>
          <w:szCs w:val="30"/>
          <w:highlight w:val="none"/>
        </w:rPr>
      </w:pPr>
    </w:p>
    <w:p>
      <w:pPr>
        <w:jc w:val="center"/>
        <w:rPr>
          <w:rFonts w:ascii="宋体" w:hAnsi="宋体" w:cs="宋体"/>
          <w:bCs/>
          <w:color w:val="auto"/>
          <w:sz w:val="30"/>
          <w:szCs w:val="30"/>
          <w:highlight w:val="none"/>
        </w:rPr>
      </w:pPr>
      <w:bookmarkStart w:id="90" w:name="_Toc1760_WPSOffice_Level2"/>
      <w:r>
        <w:rPr>
          <w:rFonts w:hint="eastAsia" w:ascii="宋体" w:hAnsi="宋体" w:cs="宋体"/>
          <w:bCs/>
          <w:color w:val="auto"/>
          <w:sz w:val="30"/>
          <w:szCs w:val="30"/>
          <w:highlight w:val="none"/>
        </w:rPr>
        <w:t>年月日</w:t>
      </w:r>
      <w:bookmarkEnd w:id="90"/>
    </w:p>
    <w:p>
      <w:pPr>
        <w:rPr>
          <w:rFonts w:ascii="宋体" w:hAnsi="宋体" w:cs="宋体"/>
          <w:b/>
          <w:color w:val="auto"/>
          <w:sz w:val="30"/>
          <w:szCs w:val="30"/>
          <w:highlight w:val="none"/>
        </w:rPr>
      </w:pPr>
    </w:p>
    <w:p>
      <w:pPr>
        <w:ind w:right="2719" w:rightChars="1295" w:firstLine="3911" w:firstLineChars="1304"/>
        <w:jc w:val="distribute"/>
        <w:rPr>
          <w:rFonts w:ascii="宋体" w:hAnsi="宋体" w:cs="宋体"/>
          <w:b/>
          <w:color w:val="auto"/>
          <w:sz w:val="30"/>
          <w:szCs w:val="30"/>
          <w:highlight w:val="none"/>
        </w:rPr>
      </w:pPr>
      <w:r>
        <w:rPr>
          <w:rFonts w:ascii="宋体" w:hAnsi="宋体" w:cs="宋体"/>
          <w:color w:val="auto"/>
          <w:sz w:val="30"/>
          <w:szCs w:val="30"/>
          <w:highlight w:val="none"/>
        </w:rPr>
        <w:pict>
          <v:shape id="文本框 10"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20k7fwkCAAAbBAAADgAAAAAAAAABACAA&#10;AAAnAQAAZHJzL2Uyb0RvYy54bWxQSwUGAAAAAAYABgBZAQAAogU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ascii="宋体" w:hAnsi="宋体" w:cs="宋体"/>
          <w:b/>
          <w:color w:val="auto"/>
          <w:sz w:val="30"/>
          <w:szCs w:val="30"/>
          <w:highlight w:val="none"/>
        </w:rPr>
        <w:t>住房城乡建设部</w:t>
      </w:r>
    </w:p>
    <w:p>
      <w:pPr>
        <w:ind w:right="2719" w:rightChars="1295" w:firstLine="2569" w:firstLineChars="856"/>
        <w:jc w:val="distribute"/>
        <w:rPr>
          <w:rFonts w:ascii="宋体" w:hAnsi="宋体" w:cs="宋体"/>
          <w:b/>
          <w:color w:val="auto"/>
          <w:sz w:val="30"/>
          <w:szCs w:val="30"/>
          <w:highlight w:val="none"/>
        </w:rPr>
      </w:pPr>
      <w:bookmarkStart w:id="91" w:name="_Toc19353_WPSOffice_Level2"/>
      <w:r>
        <w:rPr>
          <w:rFonts w:hint="eastAsia" w:ascii="宋体" w:hAnsi="宋体" w:cs="宋体"/>
          <w:b/>
          <w:color w:val="auto"/>
          <w:sz w:val="30"/>
          <w:szCs w:val="30"/>
          <w:highlight w:val="none"/>
        </w:rPr>
        <w:t>国家工商行政管理总局</w:t>
      </w:r>
      <w:bookmarkEnd w:id="91"/>
    </w:p>
    <w:p>
      <w:pPr>
        <w:pStyle w:val="522"/>
        <w:spacing w:before="3120" w:after="0"/>
        <w:jc w:val="center"/>
        <w:rPr>
          <w:rFonts w:ascii="宋体" w:hAnsi="宋体" w:cs="宋体"/>
          <w:color w:val="auto"/>
          <w:sz w:val="24"/>
          <w:szCs w:val="24"/>
          <w:highlight w:val="none"/>
        </w:rPr>
      </w:pPr>
      <w:bookmarkStart w:id="92" w:name="_Toc20850_WPSOffice_Level2"/>
      <w:bookmarkStart w:id="93" w:name="_Toc296503025"/>
      <w:bookmarkStart w:id="94" w:name="_Toc296890982"/>
      <w:r>
        <w:rPr>
          <w:rFonts w:hint="eastAsia" w:ascii="宋体" w:hAnsi="宋体" w:cs="宋体"/>
          <w:color w:val="auto"/>
          <w:sz w:val="32"/>
          <w:szCs w:val="32"/>
          <w:highlight w:val="none"/>
        </w:rPr>
        <w:t>说  明</w:t>
      </w:r>
      <w:bookmarkEnd w:id="92"/>
    </w:p>
    <w:bookmarkEnd w:id="93"/>
    <w:bookmarkEnd w:id="94"/>
    <w:p>
      <w:pPr>
        <w:ind w:firstLine="420" w:firstLineChars="200"/>
        <w:rPr>
          <w:rFonts w:ascii="宋体" w:hAnsi="宋体" w:cs="宋体"/>
          <w:color w:val="auto"/>
          <w:szCs w:val="21"/>
          <w:highlight w:val="none"/>
        </w:rPr>
      </w:pPr>
      <w:r>
        <w:rPr>
          <w:rFonts w:hint="eastAsia" w:ascii="宋体" w:hAnsi="宋体" w:cs="宋体"/>
          <w:color w:val="auto"/>
          <w:szCs w:val="21"/>
          <w:highlight w:val="none"/>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ind w:firstLine="420" w:firstLineChars="200"/>
        <w:rPr>
          <w:rFonts w:ascii="宋体" w:hAnsi="宋体" w:cs="宋体"/>
          <w:bCs/>
          <w:color w:val="auto"/>
          <w:szCs w:val="21"/>
          <w:highlight w:val="none"/>
        </w:rPr>
      </w:pPr>
      <w:bookmarkStart w:id="95" w:name="_Toc22154_WPSOffice_Level2"/>
      <w:r>
        <w:rPr>
          <w:rFonts w:hint="eastAsia" w:ascii="宋体" w:hAnsi="宋体" w:cs="宋体"/>
          <w:bCs/>
          <w:color w:val="auto"/>
          <w:szCs w:val="21"/>
          <w:highlight w:val="none"/>
        </w:rPr>
        <w:t>一、《示范文本》的组成</w:t>
      </w:r>
      <w:bookmarkEnd w:id="95"/>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《示范文本》由合同协议书、通用合同条款和专用合同条款三部分组成。</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（一）合同协议书</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（二）通用合同条款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通用合同条款是合同当事人根据《中华人民共和国建筑法》、《中华人民共和国民法典》等法律法规的规定，就工程建设的实施及相关事项，对合同当事人的权利义务作出的原则性约定。</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（三）专用合同条款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420" w:firstLineChars="200"/>
        <w:rPr>
          <w:rFonts w:ascii="宋体" w:hAnsi="宋体" w:cs="宋体"/>
          <w:color w:val="auto"/>
          <w:szCs w:val="21"/>
          <w:highlight w:val="none"/>
        </w:rPr>
      </w:pPr>
      <w:r>
        <w:rPr>
          <w:rFonts w:hint="eastAsia" w:ascii="宋体" w:hAnsi="宋体" w:cs="宋体"/>
          <w:color w:val="auto"/>
          <w:szCs w:val="21"/>
          <w:highlight w:val="none"/>
        </w:rPr>
        <w:t>1.专用合同条款的编号应与相应的通用合同条款的编号一致；</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2.合同当事人可以通过对专用合同条款的修改，满足具体建设工程的特殊要求，避免直接修改通用合同条款；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3.在专用合同条款中有横道线的地方，合同当事人可针对相应的通用合同条款进行细化、完善、补充、修改或另行约定；如无细化、完善、补充、修改或另行约定，则填写“无”或划“/”。</w:t>
      </w:r>
    </w:p>
    <w:p>
      <w:pPr>
        <w:ind w:firstLine="420" w:firstLineChars="200"/>
        <w:rPr>
          <w:rFonts w:ascii="宋体" w:hAnsi="宋体" w:cs="宋体"/>
          <w:b/>
          <w:color w:val="auto"/>
          <w:szCs w:val="21"/>
          <w:highlight w:val="none"/>
        </w:rPr>
      </w:pPr>
      <w:bookmarkStart w:id="96" w:name="_Toc2894_WPSOffice_Level2"/>
      <w:r>
        <w:rPr>
          <w:rFonts w:hint="eastAsia" w:ascii="宋体" w:hAnsi="宋体" w:cs="宋体"/>
          <w:bCs/>
          <w:color w:val="auto"/>
          <w:szCs w:val="21"/>
          <w:highlight w:val="none"/>
        </w:rPr>
        <w:t>二、《示范文本》的性质和适用范围</w:t>
      </w:r>
      <w:bookmarkEnd w:id="96"/>
    </w:p>
    <w:p>
      <w:pPr>
        <w:ind w:firstLine="420" w:firstLineChars="200"/>
        <w:rPr>
          <w:rFonts w:ascii="宋体" w:hAnsi="宋体" w:cs="宋体"/>
          <w:color w:val="auto"/>
          <w:sz w:val="24"/>
          <w:highlight w:val="none"/>
        </w:rPr>
        <w:sectPr>
          <w:footerReference r:id="rId9" w:type="default"/>
          <w:pgSz w:w="11906" w:h="16838"/>
          <w:pgMar w:top="1418" w:right="1555" w:bottom="1418" w:left="1531" w:header="851" w:footer="992" w:gutter="0"/>
          <w:cols w:space="720" w:num="1"/>
          <w:titlePg/>
          <w:docGrid w:type="lines" w:linePitch="312" w:charSpace="0"/>
        </w:sectPr>
      </w:pPr>
      <w:r>
        <w:rPr>
          <w:rFonts w:hint="eastAsia" w:ascii="宋体" w:hAnsi="宋体" w:cs="宋体"/>
          <w:color w:val="auto"/>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r>
        <w:rPr>
          <w:rFonts w:hint="eastAsia" w:ascii="宋体" w:hAnsi="宋体" w:cs="宋体"/>
          <w:color w:val="auto"/>
          <w:sz w:val="24"/>
          <w:highlight w:val="none"/>
        </w:rPr>
        <w:t>。</w:t>
      </w:r>
    </w:p>
    <w:p>
      <w:pPr>
        <w:pStyle w:val="522"/>
        <w:spacing w:before="3120" w:after="120"/>
        <w:jc w:val="center"/>
        <w:rPr>
          <w:rFonts w:ascii="宋体" w:hAnsi="宋体" w:cs="宋体"/>
          <w:color w:val="auto"/>
          <w:sz w:val="24"/>
          <w:szCs w:val="24"/>
          <w:highlight w:val="none"/>
        </w:rPr>
      </w:pPr>
      <w:bookmarkStart w:id="97" w:name="_Toc18701_WPSOffice_Level2"/>
      <w:r>
        <w:rPr>
          <w:rFonts w:hint="eastAsia" w:ascii="宋体" w:hAnsi="宋体" w:cs="宋体"/>
          <w:color w:val="auto"/>
          <w:sz w:val="24"/>
          <w:szCs w:val="24"/>
          <w:highlight w:val="none"/>
        </w:rPr>
        <w:t>目  录</w:t>
      </w:r>
      <w:bookmarkEnd w:id="97"/>
    </w:p>
    <w:p>
      <w:pPr>
        <w:pStyle w:val="56"/>
        <w:tabs>
          <w:tab w:val="right" w:leader="dot" w:pos="8820"/>
          <w:tab w:val="clear" w:pos="909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"1-5" \h \z \u </w:instrText>
      </w:r>
      <w:r>
        <w:rPr>
          <w:rFonts w:hint="eastAsia" w:ascii="宋体" w:hAnsi="宋体" w:cs="宋体"/>
          <w:color w:val="auto"/>
          <w:szCs w:val="21"/>
          <w:highlight w:val="none"/>
        </w:rPr>
        <w:fldChar w:fldCharType="separate"/>
      </w:r>
    </w:p>
    <w:p>
      <w:pPr>
        <w:pStyle w:val="42"/>
        <w:tabs>
          <w:tab w:val="right" w:leader="dot" w:pos="8820"/>
        </w:tabs>
        <w:rPr>
          <w:color w:val="auto"/>
          <w:highlight w:val="none"/>
        </w:rPr>
      </w:pPr>
      <w:r>
        <w:rPr>
          <w:color w:val="auto"/>
          <w:highlight w:val="none"/>
        </w:rPr>
        <w:fldChar w:fldCharType="begin"/>
      </w:r>
      <w:r>
        <w:rPr>
          <w:color w:val="auto"/>
          <w:highlight w:val="none"/>
        </w:rPr>
        <w:instrText xml:space="preserve"> HYPERLINK \l "_Toc8280" </w:instrText>
      </w:r>
      <w:r>
        <w:rPr>
          <w:color w:val="auto"/>
          <w:highlight w:val="none"/>
        </w:rPr>
        <w:fldChar w:fldCharType="separate"/>
      </w:r>
      <w:r>
        <w:rPr>
          <w:rFonts w:hint="eastAsia" w:ascii="宋体" w:hAnsi="宋体" w:cs="宋体"/>
          <w:color w:val="auto"/>
          <w:szCs w:val="24"/>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_Toc8280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"_Toc25915" </w:instrText>
      </w:r>
      <w:r>
        <w:rPr>
          <w:color w:val="auto"/>
          <w:highlight w:val="none"/>
        </w:rPr>
        <w:fldChar w:fldCharType="separate"/>
      </w:r>
      <w:r>
        <w:rPr>
          <w:rFonts w:hint="eastAsia" w:ascii="宋体" w:hAnsi="宋体" w:eastAsia="宋体" w:cs="宋体"/>
          <w:color w:val="auto"/>
          <w:szCs w:val="21"/>
          <w:highlight w:val="none"/>
        </w:rPr>
        <w:t>一、工程概况</w:t>
      </w:r>
      <w:r>
        <w:rPr>
          <w:color w:val="auto"/>
          <w:highlight w:val="none"/>
        </w:rPr>
        <w:tab/>
      </w:r>
      <w:r>
        <w:rPr>
          <w:color w:val="auto"/>
          <w:highlight w:val="none"/>
        </w:rPr>
        <w:fldChar w:fldCharType="begin"/>
      </w:r>
      <w:r>
        <w:rPr>
          <w:color w:val="auto"/>
          <w:highlight w:val="none"/>
        </w:rPr>
        <w:instrText xml:space="preserve"> PAGEREF _Toc25915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"_Toc25312" </w:instrText>
      </w:r>
      <w:r>
        <w:rPr>
          <w:color w:val="auto"/>
          <w:highlight w:val="none"/>
        </w:rPr>
        <w:fldChar w:fldCharType="separate"/>
      </w:r>
      <w:r>
        <w:rPr>
          <w:rFonts w:hint="eastAsia" w:ascii="宋体" w:hAnsi="宋体" w:eastAsia="宋体" w:cs="宋体"/>
          <w:color w:val="auto"/>
          <w:szCs w:val="21"/>
          <w:highlight w:val="none"/>
        </w:rPr>
        <w:t>二、合同工期</w:t>
      </w:r>
      <w:r>
        <w:rPr>
          <w:color w:val="auto"/>
          <w:highlight w:val="none"/>
        </w:rPr>
        <w:tab/>
      </w:r>
      <w:r>
        <w:rPr>
          <w:color w:val="auto"/>
          <w:highlight w:val="none"/>
        </w:rPr>
        <w:fldChar w:fldCharType="begin"/>
      </w:r>
      <w:r>
        <w:rPr>
          <w:color w:val="auto"/>
          <w:highlight w:val="none"/>
        </w:rPr>
        <w:instrText xml:space="preserve"> PAGEREF _Toc25312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"_Toc5618" </w:instrText>
      </w:r>
      <w:r>
        <w:rPr>
          <w:color w:val="auto"/>
          <w:highlight w:val="none"/>
        </w:rPr>
        <w:fldChar w:fldCharType="separate"/>
      </w:r>
      <w:r>
        <w:rPr>
          <w:rFonts w:hint="eastAsia" w:ascii="宋体" w:hAnsi="宋体" w:eastAsia="宋体" w:cs="宋体"/>
          <w:color w:val="auto"/>
          <w:szCs w:val="21"/>
          <w:highlight w:val="none"/>
        </w:rPr>
        <w:t>三、质量标准</w:t>
      </w:r>
      <w:r>
        <w:rPr>
          <w:color w:val="auto"/>
          <w:highlight w:val="none"/>
        </w:rPr>
        <w:tab/>
      </w:r>
      <w:r>
        <w:rPr>
          <w:color w:val="auto"/>
          <w:highlight w:val="none"/>
        </w:rPr>
        <w:fldChar w:fldCharType="begin"/>
      </w:r>
      <w:r>
        <w:rPr>
          <w:color w:val="auto"/>
          <w:highlight w:val="none"/>
        </w:rPr>
        <w:instrText xml:space="preserve"> PAGEREF _Toc5618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"_Toc1511" </w:instrText>
      </w:r>
      <w:r>
        <w:rPr>
          <w:color w:val="auto"/>
          <w:highlight w:val="none"/>
        </w:rPr>
        <w:fldChar w:fldCharType="separate"/>
      </w:r>
      <w:r>
        <w:rPr>
          <w:rFonts w:hint="eastAsia" w:ascii="宋体" w:hAnsi="宋体" w:eastAsia="宋体" w:cs="宋体"/>
          <w:color w:val="auto"/>
          <w:szCs w:val="21"/>
          <w:highlight w:val="none"/>
        </w:rPr>
        <w:t>四、签约合同价与合同价格形式</w:t>
      </w:r>
      <w:r>
        <w:rPr>
          <w:color w:val="auto"/>
          <w:highlight w:val="none"/>
        </w:rPr>
        <w:tab/>
      </w:r>
      <w:r>
        <w:rPr>
          <w:color w:val="auto"/>
          <w:highlight w:val="none"/>
        </w:rPr>
        <w:fldChar w:fldCharType="begin"/>
      </w:r>
      <w:r>
        <w:rPr>
          <w:color w:val="auto"/>
          <w:highlight w:val="none"/>
        </w:rPr>
        <w:instrText xml:space="preserve"> PAGEREF _Toc1511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"_Toc13047" </w:instrText>
      </w:r>
      <w:r>
        <w:rPr>
          <w:color w:val="auto"/>
          <w:highlight w:val="none"/>
        </w:rPr>
        <w:fldChar w:fldCharType="separate"/>
      </w:r>
      <w:r>
        <w:rPr>
          <w:rFonts w:hint="eastAsia" w:ascii="宋体" w:hAnsi="宋体" w:eastAsia="宋体" w:cs="宋体"/>
          <w:color w:val="auto"/>
          <w:szCs w:val="21"/>
          <w:highlight w:val="none"/>
        </w:rPr>
        <w:t>五、项目经理</w:t>
      </w:r>
      <w:r>
        <w:rPr>
          <w:color w:val="auto"/>
          <w:highlight w:val="none"/>
        </w:rPr>
        <w:tab/>
      </w:r>
      <w:r>
        <w:rPr>
          <w:color w:val="auto"/>
          <w:highlight w:val="none"/>
        </w:rPr>
        <w:fldChar w:fldCharType="begin"/>
      </w:r>
      <w:r>
        <w:rPr>
          <w:color w:val="auto"/>
          <w:highlight w:val="none"/>
        </w:rPr>
        <w:instrText xml:space="preserve"> PAGEREF _Toc13047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"_Toc11181" </w:instrText>
      </w:r>
      <w:r>
        <w:rPr>
          <w:color w:val="auto"/>
          <w:highlight w:val="none"/>
        </w:rPr>
        <w:fldChar w:fldCharType="separate"/>
      </w:r>
      <w:r>
        <w:rPr>
          <w:rFonts w:hint="eastAsia" w:ascii="宋体" w:hAnsi="宋体" w:eastAsia="宋体" w:cs="宋体"/>
          <w:color w:val="auto"/>
          <w:szCs w:val="21"/>
          <w:highlight w:val="none"/>
        </w:rPr>
        <w:t>六、合同文件构成</w:t>
      </w:r>
      <w:r>
        <w:rPr>
          <w:color w:val="auto"/>
          <w:highlight w:val="none"/>
        </w:rPr>
        <w:tab/>
      </w:r>
      <w:r>
        <w:rPr>
          <w:color w:val="auto"/>
          <w:highlight w:val="none"/>
        </w:rPr>
        <w:fldChar w:fldCharType="begin"/>
      </w:r>
      <w:r>
        <w:rPr>
          <w:color w:val="auto"/>
          <w:highlight w:val="none"/>
        </w:rPr>
        <w:instrText xml:space="preserve"> PAGEREF _Toc11181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"_Toc7623" </w:instrText>
      </w:r>
      <w:r>
        <w:rPr>
          <w:color w:val="auto"/>
          <w:highlight w:val="none"/>
        </w:rPr>
        <w:fldChar w:fldCharType="separate"/>
      </w:r>
      <w:r>
        <w:rPr>
          <w:rFonts w:hint="eastAsia" w:ascii="宋体" w:hAnsi="宋体" w:eastAsia="宋体" w:cs="宋体"/>
          <w:color w:val="auto"/>
          <w:szCs w:val="21"/>
          <w:highlight w:val="none"/>
        </w:rPr>
        <w:t>七、承诺</w:t>
      </w:r>
      <w:r>
        <w:rPr>
          <w:color w:val="auto"/>
          <w:highlight w:val="none"/>
        </w:rPr>
        <w:tab/>
      </w:r>
      <w:r>
        <w:rPr>
          <w:color w:val="auto"/>
          <w:highlight w:val="none"/>
        </w:rPr>
        <w:fldChar w:fldCharType="begin"/>
      </w:r>
      <w:r>
        <w:rPr>
          <w:color w:val="auto"/>
          <w:highlight w:val="none"/>
        </w:rPr>
        <w:instrText xml:space="preserve"> PAGEREF _Toc7623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"_Toc24306" </w:instrText>
      </w:r>
      <w:r>
        <w:rPr>
          <w:color w:val="auto"/>
          <w:highlight w:val="none"/>
        </w:rPr>
        <w:fldChar w:fldCharType="separate"/>
      </w:r>
      <w:r>
        <w:rPr>
          <w:rFonts w:hint="eastAsia" w:ascii="宋体" w:hAnsi="宋体" w:eastAsia="宋体" w:cs="宋体"/>
          <w:color w:val="auto"/>
          <w:szCs w:val="21"/>
          <w:highlight w:val="none"/>
        </w:rPr>
        <w:t>九、签订时间</w:t>
      </w:r>
      <w:r>
        <w:rPr>
          <w:color w:val="auto"/>
          <w:highlight w:val="none"/>
        </w:rPr>
        <w:tab/>
      </w:r>
      <w:r>
        <w:rPr>
          <w:color w:val="auto"/>
          <w:highlight w:val="none"/>
        </w:rPr>
        <w:fldChar w:fldCharType="begin"/>
      </w:r>
      <w:r>
        <w:rPr>
          <w:color w:val="auto"/>
          <w:highlight w:val="none"/>
        </w:rPr>
        <w:instrText xml:space="preserve"> PAGEREF _Toc24306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"_Toc4218" </w:instrText>
      </w:r>
      <w:r>
        <w:rPr>
          <w:color w:val="auto"/>
          <w:highlight w:val="none"/>
        </w:rPr>
        <w:fldChar w:fldCharType="separate"/>
      </w:r>
      <w:r>
        <w:rPr>
          <w:rFonts w:hint="eastAsia" w:ascii="宋体" w:hAnsi="宋体" w:eastAsia="宋体" w:cs="宋体"/>
          <w:color w:val="auto"/>
          <w:szCs w:val="21"/>
          <w:highlight w:val="none"/>
        </w:rPr>
        <w:t>十、签订地点</w:t>
      </w:r>
      <w:r>
        <w:rPr>
          <w:color w:val="auto"/>
          <w:highlight w:val="none"/>
        </w:rPr>
        <w:tab/>
      </w:r>
      <w:r>
        <w:rPr>
          <w:color w:val="auto"/>
          <w:highlight w:val="none"/>
        </w:rPr>
        <w:fldChar w:fldCharType="begin"/>
      </w:r>
      <w:r>
        <w:rPr>
          <w:color w:val="auto"/>
          <w:highlight w:val="none"/>
        </w:rPr>
        <w:instrText xml:space="preserve"> PAGEREF _Toc4218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"_Toc10874" </w:instrText>
      </w:r>
      <w:r>
        <w:rPr>
          <w:color w:val="auto"/>
          <w:highlight w:val="none"/>
        </w:rPr>
        <w:fldChar w:fldCharType="separate"/>
      </w:r>
      <w:r>
        <w:rPr>
          <w:rFonts w:hint="eastAsia" w:ascii="宋体" w:hAnsi="宋体" w:eastAsia="宋体" w:cs="宋体"/>
          <w:color w:val="auto"/>
          <w:szCs w:val="21"/>
          <w:highlight w:val="none"/>
        </w:rPr>
        <w:t>十一、补充协议</w:t>
      </w:r>
      <w:r>
        <w:rPr>
          <w:color w:val="auto"/>
          <w:highlight w:val="none"/>
        </w:rPr>
        <w:tab/>
      </w:r>
      <w:r>
        <w:rPr>
          <w:color w:val="auto"/>
          <w:highlight w:val="none"/>
        </w:rPr>
        <w:fldChar w:fldCharType="begin"/>
      </w:r>
      <w:r>
        <w:rPr>
          <w:color w:val="auto"/>
          <w:highlight w:val="none"/>
        </w:rPr>
        <w:instrText xml:space="preserve"> PAGEREF _Toc10874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"_Toc26528" </w:instrText>
      </w:r>
      <w:r>
        <w:rPr>
          <w:color w:val="auto"/>
          <w:highlight w:val="none"/>
        </w:rPr>
        <w:fldChar w:fldCharType="separate"/>
      </w:r>
      <w:r>
        <w:rPr>
          <w:rFonts w:hint="eastAsia" w:ascii="宋体" w:hAnsi="宋体" w:eastAsia="宋体" w:cs="宋体"/>
          <w:color w:val="auto"/>
          <w:szCs w:val="21"/>
          <w:highlight w:val="none"/>
        </w:rPr>
        <w:t>十二、合同生效</w:t>
      </w:r>
      <w:r>
        <w:rPr>
          <w:color w:val="auto"/>
          <w:highlight w:val="none"/>
        </w:rPr>
        <w:tab/>
      </w:r>
      <w:r>
        <w:rPr>
          <w:color w:val="auto"/>
          <w:highlight w:val="none"/>
        </w:rPr>
        <w:fldChar w:fldCharType="begin"/>
      </w:r>
      <w:r>
        <w:rPr>
          <w:color w:val="auto"/>
          <w:highlight w:val="none"/>
        </w:rPr>
        <w:instrText xml:space="preserve"> PAGEREF _Toc26528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"_Toc2542" </w:instrText>
      </w:r>
      <w:r>
        <w:rPr>
          <w:color w:val="auto"/>
          <w:highlight w:val="none"/>
        </w:rPr>
        <w:fldChar w:fldCharType="separate"/>
      </w:r>
      <w:r>
        <w:rPr>
          <w:rFonts w:hint="eastAsia" w:ascii="宋体" w:hAnsi="宋体" w:eastAsia="宋体" w:cs="宋体"/>
          <w:color w:val="auto"/>
          <w:szCs w:val="21"/>
          <w:highlight w:val="none"/>
        </w:rPr>
        <w:t>十三、合同份数</w:t>
      </w:r>
      <w:r>
        <w:rPr>
          <w:color w:val="auto"/>
          <w:highlight w:val="none"/>
        </w:rPr>
        <w:tab/>
      </w:r>
      <w:r>
        <w:rPr>
          <w:color w:val="auto"/>
          <w:highlight w:val="none"/>
        </w:rPr>
        <w:fldChar w:fldCharType="begin"/>
      </w:r>
      <w:r>
        <w:rPr>
          <w:color w:val="auto"/>
          <w:highlight w:val="none"/>
        </w:rPr>
        <w:instrText xml:space="preserve"> PAGEREF _Toc2542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42"/>
        <w:tabs>
          <w:tab w:val="right" w:leader="dot" w:pos="8820"/>
        </w:tabs>
        <w:rPr>
          <w:color w:val="auto"/>
          <w:highlight w:val="none"/>
        </w:rPr>
      </w:pPr>
      <w:r>
        <w:rPr>
          <w:color w:val="auto"/>
          <w:highlight w:val="none"/>
        </w:rPr>
        <w:fldChar w:fldCharType="begin"/>
      </w:r>
      <w:r>
        <w:rPr>
          <w:color w:val="auto"/>
          <w:highlight w:val="none"/>
        </w:rPr>
        <w:instrText xml:space="preserve"> HYPERLINK \l "_Toc25650" </w:instrText>
      </w:r>
      <w:r>
        <w:rPr>
          <w:color w:val="auto"/>
          <w:highlight w:val="none"/>
        </w:rPr>
        <w:fldChar w:fldCharType="separate"/>
      </w:r>
      <w:r>
        <w:rPr>
          <w:rFonts w:hint="eastAsia" w:ascii="宋体" w:hAnsi="宋体" w:cs="宋体"/>
          <w:color w:val="auto"/>
          <w:szCs w:val="24"/>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_Toc25650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"_Toc26253" </w:instrText>
      </w:r>
      <w:r>
        <w:rPr>
          <w:color w:val="auto"/>
          <w:highlight w:val="none"/>
        </w:rPr>
        <w:fldChar w:fldCharType="separate"/>
      </w:r>
      <w:r>
        <w:rPr>
          <w:rFonts w:hint="eastAsia" w:ascii="宋体" w:hAnsi="宋体" w:eastAsia="宋体" w:cs="宋体"/>
          <w:color w:val="auto"/>
          <w:szCs w:val="21"/>
          <w:highlight w:val="none"/>
        </w:rPr>
        <w:t>1. 一般约定</w:t>
      </w:r>
      <w:r>
        <w:rPr>
          <w:color w:val="auto"/>
          <w:highlight w:val="none"/>
        </w:rPr>
        <w:tab/>
      </w:r>
      <w:r>
        <w:rPr>
          <w:color w:val="auto"/>
          <w:highlight w:val="none"/>
        </w:rPr>
        <w:fldChar w:fldCharType="begin"/>
      </w:r>
      <w:r>
        <w:rPr>
          <w:color w:val="auto"/>
          <w:highlight w:val="none"/>
        </w:rPr>
        <w:instrText xml:space="preserve"> PAGEREF _Toc26253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"_Toc28149" </w:instrText>
      </w:r>
      <w:r>
        <w:rPr>
          <w:color w:val="auto"/>
          <w:highlight w:val="none"/>
        </w:rPr>
        <w:fldChar w:fldCharType="separate"/>
      </w:r>
      <w:r>
        <w:rPr>
          <w:rFonts w:hint="eastAsia" w:ascii="宋体" w:hAnsi="宋体" w:cs="宋体"/>
          <w:color w:val="auto"/>
          <w:szCs w:val="21"/>
          <w:highlight w:val="none"/>
        </w:rPr>
        <w:t>1.1词语定义与解释</w:t>
      </w:r>
      <w:r>
        <w:rPr>
          <w:color w:val="auto"/>
          <w:highlight w:val="none"/>
        </w:rPr>
        <w:tab/>
      </w:r>
      <w:r>
        <w:rPr>
          <w:color w:val="auto"/>
          <w:highlight w:val="none"/>
        </w:rPr>
        <w:fldChar w:fldCharType="begin"/>
      </w:r>
      <w:r>
        <w:rPr>
          <w:color w:val="auto"/>
          <w:highlight w:val="none"/>
        </w:rPr>
        <w:instrText xml:space="preserve"> PAGEREF _Toc28149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"_Toc9858" </w:instrText>
      </w:r>
      <w:r>
        <w:rPr>
          <w:color w:val="auto"/>
          <w:highlight w:val="none"/>
        </w:rPr>
        <w:fldChar w:fldCharType="separate"/>
      </w:r>
      <w:r>
        <w:rPr>
          <w:rFonts w:hint="eastAsia" w:ascii="宋体" w:hAnsi="宋体" w:cs="宋体"/>
          <w:color w:val="auto"/>
          <w:szCs w:val="21"/>
          <w:highlight w:val="none"/>
        </w:rPr>
        <w:t>1.2语言文字</w:t>
      </w:r>
      <w:r>
        <w:rPr>
          <w:color w:val="auto"/>
          <w:highlight w:val="none"/>
        </w:rPr>
        <w:tab/>
      </w:r>
      <w:r>
        <w:rPr>
          <w:color w:val="auto"/>
          <w:highlight w:val="none"/>
        </w:rPr>
        <w:fldChar w:fldCharType="begin"/>
      </w:r>
      <w:r>
        <w:rPr>
          <w:color w:val="auto"/>
          <w:highlight w:val="none"/>
        </w:rPr>
        <w:instrText xml:space="preserve"> PAGEREF _Toc9858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"_Toc25084" </w:instrText>
      </w:r>
      <w:r>
        <w:rPr>
          <w:color w:val="auto"/>
          <w:highlight w:val="none"/>
        </w:rPr>
        <w:fldChar w:fldCharType="separate"/>
      </w:r>
      <w:r>
        <w:rPr>
          <w:rFonts w:hint="eastAsia" w:ascii="宋体" w:hAnsi="宋体" w:cs="宋体"/>
          <w:color w:val="auto"/>
          <w:szCs w:val="21"/>
          <w:highlight w:val="none"/>
        </w:rPr>
        <w:t>1.3法律</w:t>
      </w:r>
      <w:r>
        <w:rPr>
          <w:color w:val="auto"/>
          <w:highlight w:val="none"/>
        </w:rPr>
        <w:tab/>
      </w:r>
      <w:r>
        <w:rPr>
          <w:color w:val="auto"/>
          <w:highlight w:val="none"/>
        </w:rPr>
        <w:fldChar w:fldCharType="begin"/>
      </w:r>
      <w:r>
        <w:rPr>
          <w:color w:val="auto"/>
          <w:highlight w:val="none"/>
        </w:rPr>
        <w:instrText xml:space="preserve"> PAGEREF _Toc25084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"_Toc19425" </w:instrText>
      </w:r>
      <w:r>
        <w:rPr>
          <w:color w:val="auto"/>
          <w:highlight w:val="none"/>
        </w:rPr>
        <w:fldChar w:fldCharType="separate"/>
      </w:r>
      <w:r>
        <w:rPr>
          <w:rFonts w:hint="eastAsia" w:ascii="宋体" w:hAnsi="宋体" w:cs="宋体"/>
          <w:color w:val="auto"/>
          <w:szCs w:val="21"/>
          <w:highlight w:val="none"/>
        </w:rPr>
        <w:t>1.4 标准和规范</w:t>
      </w:r>
      <w:r>
        <w:rPr>
          <w:color w:val="auto"/>
          <w:highlight w:val="none"/>
        </w:rPr>
        <w:tab/>
      </w:r>
      <w:r>
        <w:rPr>
          <w:color w:val="auto"/>
          <w:highlight w:val="none"/>
        </w:rPr>
        <w:fldChar w:fldCharType="begin"/>
      </w:r>
      <w:r>
        <w:rPr>
          <w:color w:val="auto"/>
          <w:highlight w:val="none"/>
        </w:rPr>
        <w:instrText xml:space="preserve"> PAGEREF _Toc19425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"_Toc5673" </w:instrText>
      </w:r>
      <w:r>
        <w:rPr>
          <w:color w:val="auto"/>
          <w:highlight w:val="none"/>
        </w:rPr>
        <w:fldChar w:fldCharType="separate"/>
      </w:r>
      <w:r>
        <w:rPr>
          <w:rFonts w:hint="eastAsia" w:ascii="宋体" w:hAnsi="宋体" w:cs="宋体"/>
          <w:color w:val="auto"/>
          <w:szCs w:val="21"/>
          <w:highlight w:val="none"/>
        </w:rPr>
        <w:t>1.5 合同文件的优先顺序</w:t>
      </w:r>
      <w:r>
        <w:rPr>
          <w:color w:val="auto"/>
          <w:highlight w:val="none"/>
        </w:rPr>
        <w:tab/>
      </w:r>
      <w:r>
        <w:rPr>
          <w:color w:val="auto"/>
          <w:highlight w:val="none"/>
        </w:rPr>
        <w:fldChar w:fldCharType="begin"/>
      </w:r>
      <w:r>
        <w:rPr>
          <w:color w:val="auto"/>
          <w:highlight w:val="none"/>
        </w:rPr>
        <w:instrText xml:space="preserve"> PAGEREF _Toc5673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"_Toc18584" </w:instrText>
      </w:r>
      <w:r>
        <w:rPr>
          <w:color w:val="auto"/>
          <w:highlight w:val="none"/>
        </w:rPr>
        <w:fldChar w:fldCharType="separate"/>
      </w:r>
      <w:r>
        <w:rPr>
          <w:rFonts w:hint="eastAsia" w:ascii="宋体" w:hAnsi="宋体" w:cs="宋体"/>
          <w:color w:val="auto"/>
          <w:szCs w:val="21"/>
          <w:highlight w:val="none"/>
        </w:rPr>
        <w:t>1.6图纸和承包人文件</w:t>
      </w:r>
      <w:r>
        <w:rPr>
          <w:color w:val="auto"/>
          <w:highlight w:val="none"/>
        </w:rPr>
        <w:tab/>
      </w:r>
      <w:r>
        <w:rPr>
          <w:color w:val="auto"/>
          <w:highlight w:val="none"/>
        </w:rPr>
        <w:fldChar w:fldCharType="begin"/>
      </w:r>
      <w:r>
        <w:rPr>
          <w:color w:val="auto"/>
          <w:highlight w:val="none"/>
        </w:rPr>
        <w:instrText xml:space="preserve"> PAGEREF _Toc18584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"_Toc16870" </w:instrText>
      </w:r>
      <w:r>
        <w:rPr>
          <w:color w:val="auto"/>
          <w:highlight w:val="none"/>
        </w:rPr>
        <w:fldChar w:fldCharType="separate"/>
      </w:r>
      <w:r>
        <w:rPr>
          <w:rFonts w:hint="eastAsia" w:ascii="宋体" w:hAnsi="宋体" w:cs="宋体"/>
          <w:color w:val="auto"/>
          <w:szCs w:val="21"/>
          <w:highlight w:val="none"/>
        </w:rPr>
        <w:t>1.7联络</w:t>
      </w:r>
      <w:r>
        <w:rPr>
          <w:color w:val="auto"/>
          <w:highlight w:val="none"/>
        </w:rPr>
        <w:tab/>
      </w:r>
      <w:r>
        <w:rPr>
          <w:color w:val="auto"/>
          <w:highlight w:val="none"/>
        </w:rPr>
        <w:fldChar w:fldCharType="begin"/>
      </w:r>
      <w:r>
        <w:rPr>
          <w:color w:val="auto"/>
          <w:highlight w:val="none"/>
        </w:rPr>
        <w:instrText xml:space="preserve"> PAGEREF _Toc16870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"_Toc5847" </w:instrText>
      </w:r>
      <w:r>
        <w:rPr>
          <w:color w:val="auto"/>
          <w:highlight w:val="none"/>
        </w:rPr>
        <w:fldChar w:fldCharType="separate"/>
      </w:r>
      <w:r>
        <w:rPr>
          <w:rFonts w:hint="eastAsia" w:ascii="宋体" w:hAnsi="宋体" w:cs="宋体"/>
          <w:color w:val="auto"/>
          <w:szCs w:val="21"/>
          <w:highlight w:val="none"/>
        </w:rPr>
        <w:t>1.8严禁贿赂</w:t>
      </w:r>
      <w:r>
        <w:rPr>
          <w:color w:val="auto"/>
          <w:highlight w:val="none"/>
        </w:rPr>
        <w:tab/>
      </w:r>
      <w:r>
        <w:rPr>
          <w:color w:val="auto"/>
          <w:highlight w:val="none"/>
        </w:rPr>
        <w:fldChar w:fldCharType="begin"/>
      </w:r>
      <w:r>
        <w:rPr>
          <w:color w:val="auto"/>
          <w:highlight w:val="none"/>
        </w:rPr>
        <w:instrText xml:space="preserve"> PAGEREF _Toc5847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"_Toc15721" </w:instrText>
      </w:r>
      <w:r>
        <w:rPr>
          <w:color w:val="auto"/>
          <w:highlight w:val="none"/>
        </w:rPr>
        <w:fldChar w:fldCharType="separate"/>
      </w:r>
      <w:r>
        <w:rPr>
          <w:rFonts w:hint="eastAsia" w:ascii="宋体" w:hAnsi="宋体" w:cs="宋体"/>
          <w:color w:val="auto"/>
          <w:szCs w:val="21"/>
          <w:highlight w:val="none"/>
        </w:rPr>
        <w:t>1.9化石、文物</w:t>
      </w:r>
      <w:r>
        <w:rPr>
          <w:color w:val="auto"/>
          <w:highlight w:val="none"/>
        </w:rPr>
        <w:tab/>
      </w:r>
      <w:r>
        <w:rPr>
          <w:color w:val="auto"/>
          <w:highlight w:val="none"/>
        </w:rPr>
        <w:fldChar w:fldCharType="begin"/>
      </w:r>
      <w:r>
        <w:rPr>
          <w:color w:val="auto"/>
          <w:highlight w:val="none"/>
        </w:rPr>
        <w:instrText xml:space="preserve"> PAGEREF _Toc15721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"_Toc25013" </w:instrText>
      </w:r>
      <w:r>
        <w:rPr>
          <w:color w:val="auto"/>
          <w:highlight w:val="none"/>
        </w:rPr>
        <w:fldChar w:fldCharType="separate"/>
      </w:r>
      <w:r>
        <w:rPr>
          <w:rFonts w:hint="eastAsia" w:ascii="宋体" w:hAnsi="宋体" w:cs="宋体"/>
          <w:color w:val="auto"/>
          <w:szCs w:val="21"/>
          <w:highlight w:val="none"/>
        </w:rPr>
        <w:t>1.10交通运输</w:t>
      </w:r>
      <w:r>
        <w:rPr>
          <w:color w:val="auto"/>
          <w:highlight w:val="none"/>
        </w:rPr>
        <w:tab/>
      </w:r>
      <w:r>
        <w:rPr>
          <w:color w:val="auto"/>
          <w:highlight w:val="none"/>
        </w:rPr>
        <w:fldChar w:fldCharType="begin"/>
      </w:r>
      <w:r>
        <w:rPr>
          <w:color w:val="auto"/>
          <w:highlight w:val="none"/>
        </w:rPr>
        <w:instrText xml:space="preserve"> PAGEREF _Toc25013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"_Toc21561" </w:instrText>
      </w:r>
      <w:r>
        <w:rPr>
          <w:color w:val="auto"/>
          <w:highlight w:val="none"/>
        </w:rPr>
        <w:fldChar w:fldCharType="separate"/>
      </w:r>
      <w:r>
        <w:rPr>
          <w:rFonts w:hint="eastAsia" w:ascii="宋体" w:hAnsi="宋体" w:cs="宋体"/>
          <w:color w:val="auto"/>
          <w:szCs w:val="21"/>
          <w:highlight w:val="none"/>
        </w:rPr>
        <w:t>1.11知识产权</w:t>
      </w:r>
      <w:r>
        <w:rPr>
          <w:color w:val="auto"/>
          <w:highlight w:val="none"/>
        </w:rPr>
        <w:tab/>
      </w:r>
      <w:r>
        <w:rPr>
          <w:color w:val="auto"/>
          <w:highlight w:val="none"/>
        </w:rPr>
        <w:fldChar w:fldCharType="begin"/>
      </w:r>
      <w:r>
        <w:rPr>
          <w:color w:val="auto"/>
          <w:highlight w:val="none"/>
        </w:rPr>
        <w:instrText xml:space="preserve"> PAGEREF _Toc21561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"_Toc10280" </w:instrText>
      </w:r>
      <w:r>
        <w:rPr>
          <w:color w:val="auto"/>
          <w:highlight w:val="none"/>
        </w:rPr>
        <w:fldChar w:fldCharType="separate"/>
      </w:r>
      <w:r>
        <w:rPr>
          <w:rFonts w:hint="eastAsia" w:ascii="宋体" w:hAnsi="宋体" w:cs="宋体"/>
          <w:color w:val="auto"/>
          <w:szCs w:val="21"/>
          <w:highlight w:val="none"/>
        </w:rPr>
        <w:t>1.12保密</w:t>
      </w:r>
      <w:r>
        <w:rPr>
          <w:color w:val="auto"/>
          <w:highlight w:val="none"/>
        </w:rPr>
        <w:tab/>
      </w:r>
      <w:r>
        <w:rPr>
          <w:color w:val="auto"/>
          <w:highlight w:val="none"/>
        </w:rPr>
        <w:fldChar w:fldCharType="begin"/>
      </w:r>
      <w:r>
        <w:rPr>
          <w:color w:val="auto"/>
          <w:highlight w:val="none"/>
        </w:rPr>
        <w:instrText xml:space="preserve"> PAGEREF _Toc10280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"_Toc3287" </w:instrText>
      </w:r>
      <w:r>
        <w:rPr>
          <w:color w:val="auto"/>
          <w:highlight w:val="none"/>
        </w:rPr>
        <w:fldChar w:fldCharType="separate"/>
      </w:r>
      <w:r>
        <w:rPr>
          <w:rFonts w:hint="eastAsia" w:ascii="宋体" w:hAnsi="宋体" w:cs="宋体"/>
          <w:color w:val="auto"/>
          <w:szCs w:val="21"/>
          <w:highlight w:val="none"/>
        </w:rPr>
        <w:t>1.13工程量清单错误的修正</w:t>
      </w:r>
      <w:r>
        <w:rPr>
          <w:color w:val="auto"/>
          <w:highlight w:val="none"/>
        </w:rPr>
        <w:tab/>
      </w:r>
      <w:r>
        <w:rPr>
          <w:color w:val="auto"/>
          <w:highlight w:val="none"/>
        </w:rPr>
        <w:fldChar w:fldCharType="begin"/>
      </w:r>
      <w:r>
        <w:rPr>
          <w:color w:val="auto"/>
          <w:highlight w:val="none"/>
        </w:rPr>
        <w:instrText xml:space="preserve"> PAGEREF _Toc3287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"_Toc21637" </w:instrText>
      </w:r>
      <w:r>
        <w:rPr>
          <w:color w:val="auto"/>
          <w:highlight w:val="none"/>
        </w:rPr>
        <w:fldChar w:fldCharType="separate"/>
      </w:r>
      <w:r>
        <w:rPr>
          <w:rFonts w:hint="eastAsia" w:ascii="宋体" w:hAnsi="宋体" w:eastAsia="宋体" w:cs="宋体"/>
          <w:color w:val="auto"/>
          <w:szCs w:val="21"/>
          <w:highlight w:val="none"/>
        </w:rPr>
        <w:t>2. 发包人</w:t>
      </w:r>
      <w:r>
        <w:rPr>
          <w:color w:val="auto"/>
          <w:highlight w:val="none"/>
        </w:rPr>
        <w:tab/>
      </w:r>
      <w:r>
        <w:rPr>
          <w:color w:val="auto"/>
          <w:highlight w:val="none"/>
        </w:rPr>
        <w:fldChar w:fldCharType="begin"/>
      </w:r>
      <w:r>
        <w:rPr>
          <w:color w:val="auto"/>
          <w:highlight w:val="none"/>
        </w:rPr>
        <w:instrText xml:space="preserve"> PAGEREF _Toc21637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"_Toc5815" </w:instrText>
      </w:r>
      <w:r>
        <w:rPr>
          <w:color w:val="auto"/>
          <w:highlight w:val="none"/>
        </w:rPr>
        <w:fldChar w:fldCharType="separate"/>
      </w:r>
      <w:r>
        <w:rPr>
          <w:rFonts w:hint="eastAsia" w:ascii="宋体" w:hAnsi="宋体" w:cs="宋体"/>
          <w:color w:val="auto"/>
          <w:szCs w:val="21"/>
          <w:highlight w:val="none"/>
        </w:rPr>
        <w:t>2.1 许可或批准</w:t>
      </w:r>
      <w:r>
        <w:rPr>
          <w:color w:val="auto"/>
          <w:highlight w:val="none"/>
        </w:rPr>
        <w:tab/>
      </w:r>
      <w:r>
        <w:rPr>
          <w:color w:val="auto"/>
          <w:highlight w:val="none"/>
        </w:rPr>
        <w:fldChar w:fldCharType="begin"/>
      </w:r>
      <w:r>
        <w:rPr>
          <w:color w:val="auto"/>
          <w:highlight w:val="none"/>
        </w:rPr>
        <w:instrText xml:space="preserve"> PAGEREF _Toc5815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"_Toc21790" </w:instrText>
      </w:r>
      <w:r>
        <w:rPr>
          <w:color w:val="auto"/>
          <w:highlight w:val="none"/>
        </w:rPr>
        <w:fldChar w:fldCharType="separate"/>
      </w:r>
      <w:r>
        <w:rPr>
          <w:rFonts w:hint="eastAsia" w:ascii="宋体" w:hAnsi="宋体" w:cs="宋体"/>
          <w:color w:val="auto"/>
          <w:szCs w:val="21"/>
          <w:highlight w:val="none"/>
        </w:rPr>
        <w:t>2.2 发包人代表</w:t>
      </w:r>
      <w:r>
        <w:rPr>
          <w:color w:val="auto"/>
          <w:highlight w:val="none"/>
        </w:rPr>
        <w:tab/>
      </w:r>
      <w:r>
        <w:rPr>
          <w:color w:val="auto"/>
          <w:highlight w:val="none"/>
        </w:rPr>
        <w:fldChar w:fldCharType="begin"/>
      </w:r>
      <w:r>
        <w:rPr>
          <w:color w:val="auto"/>
          <w:highlight w:val="none"/>
        </w:rPr>
        <w:instrText xml:space="preserve"> PAGEREF _Toc21790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"_Toc22760" </w:instrText>
      </w:r>
      <w:r>
        <w:rPr>
          <w:color w:val="auto"/>
          <w:highlight w:val="none"/>
        </w:rPr>
        <w:fldChar w:fldCharType="separate"/>
      </w:r>
      <w:r>
        <w:rPr>
          <w:rFonts w:hint="eastAsia" w:ascii="宋体" w:hAnsi="宋体" w:cs="宋体"/>
          <w:color w:val="auto"/>
          <w:szCs w:val="21"/>
          <w:highlight w:val="none"/>
        </w:rPr>
        <w:t>2.3 发包人人员</w:t>
      </w:r>
      <w:r>
        <w:rPr>
          <w:color w:val="auto"/>
          <w:highlight w:val="none"/>
        </w:rPr>
        <w:tab/>
      </w:r>
      <w:r>
        <w:rPr>
          <w:color w:val="auto"/>
          <w:highlight w:val="none"/>
        </w:rPr>
        <w:fldChar w:fldCharType="begin"/>
      </w:r>
      <w:r>
        <w:rPr>
          <w:color w:val="auto"/>
          <w:highlight w:val="none"/>
        </w:rPr>
        <w:instrText xml:space="preserve"> PAGEREF _Toc22760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"_Toc26299" </w:instrText>
      </w:r>
      <w:r>
        <w:rPr>
          <w:color w:val="auto"/>
          <w:highlight w:val="none"/>
        </w:rPr>
        <w:fldChar w:fldCharType="separate"/>
      </w:r>
      <w:r>
        <w:rPr>
          <w:rFonts w:hint="eastAsia" w:ascii="宋体" w:hAnsi="宋体" w:cs="宋体"/>
          <w:color w:val="auto"/>
          <w:szCs w:val="21"/>
          <w:highlight w:val="none"/>
        </w:rPr>
        <w:t>2.4 施工现场、施工条件和基础资料的提供</w:t>
      </w:r>
      <w:r>
        <w:rPr>
          <w:color w:val="auto"/>
          <w:highlight w:val="none"/>
        </w:rPr>
        <w:tab/>
      </w:r>
      <w:r>
        <w:rPr>
          <w:color w:val="auto"/>
          <w:highlight w:val="none"/>
        </w:rPr>
        <w:fldChar w:fldCharType="begin"/>
      </w:r>
      <w:r>
        <w:rPr>
          <w:color w:val="auto"/>
          <w:highlight w:val="none"/>
        </w:rPr>
        <w:instrText xml:space="preserve"> PAGEREF _Toc26299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"_Toc12065" </w:instrText>
      </w:r>
      <w:r>
        <w:rPr>
          <w:color w:val="auto"/>
          <w:highlight w:val="none"/>
        </w:rPr>
        <w:fldChar w:fldCharType="separate"/>
      </w:r>
      <w:r>
        <w:rPr>
          <w:rFonts w:hint="eastAsia" w:ascii="宋体" w:hAnsi="宋体" w:cs="宋体"/>
          <w:color w:val="auto"/>
          <w:szCs w:val="21"/>
          <w:highlight w:val="none"/>
        </w:rPr>
        <w:t>2.5 资金来源证明及支付担保</w:t>
      </w:r>
      <w:r>
        <w:rPr>
          <w:color w:val="auto"/>
          <w:highlight w:val="none"/>
        </w:rPr>
        <w:tab/>
      </w:r>
      <w:r>
        <w:rPr>
          <w:color w:val="auto"/>
          <w:highlight w:val="none"/>
        </w:rPr>
        <w:fldChar w:fldCharType="begin"/>
      </w:r>
      <w:r>
        <w:rPr>
          <w:color w:val="auto"/>
          <w:highlight w:val="none"/>
        </w:rPr>
        <w:instrText xml:space="preserve"> PAGEREF _Toc12065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"_Toc2052" </w:instrText>
      </w:r>
      <w:r>
        <w:rPr>
          <w:color w:val="auto"/>
          <w:highlight w:val="none"/>
        </w:rPr>
        <w:fldChar w:fldCharType="separate"/>
      </w:r>
      <w:r>
        <w:rPr>
          <w:rFonts w:hint="eastAsia" w:ascii="宋体" w:hAnsi="宋体" w:cs="宋体"/>
          <w:color w:val="auto"/>
          <w:szCs w:val="21"/>
          <w:highlight w:val="none"/>
        </w:rPr>
        <w:t>2.6 支付合同价款</w:t>
      </w:r>
      <w:r>
        <w:rPr>
          <w:color w:val="auto"/>
          <w:highlight w:val="none"/>
        </w:rPr>
        <w:tab/>
      </w:r>
      <w:r>
        <w:rPr>
          <w:color w:val="auto"/>
          <w:highlight w:val="none"/>
        </w:rPr>
        <w:fldChar w:fldCharType="begin"/>
      </w:r>
      <w:r>
        <w:rPr>
          <w:color w:val="auto"/>
          <w:highlight w:val="none"/>
        </w:rPr>
        <w:instrText xml:space="preserve"> PAGEREF _Toc2052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"_Toc4106" </w:instrText>
      </w:r>
      <w:r>
        <w:rPr>
          <w:color w:val="auto"/>
          <w:highlight w:val="none"/>
        </w:rPr>
        <w:fldChar w:fldCharType="separate"/>
      </w:r>
      <w:r>
        <w:rPr>
          <w:rFonts w:hint="eastAsia" w:ascii="宋体" w:hAnsi="宋体" w:cs="宋体"/>
          <w:color w:val="auto"/>
          <w:szCs w:val="21"/>
          <w:highlight w:val="none"/>
        </w:rPr>
        <w:t>2.7 组织竣工验收</w:t>
      </w:r>
      <w:r>
        <w:rPr>
          <w:color w:val="auto"/>
          <w:highlight w:val="none"/>
        </w:rPr>
        <w:tab/>
      </w:r>
      <w:r>
        <w:rPr>
          <w:color w:val="auto"/>
          <w:highlight w:val="none"/>
        </w:rPr>
        <w:fldChar w:fldCharType="begin"/>
      </w:r>
      <w:r>
        <w:rPr>
          <w:color w:val="auto"/>
          <w:highlight w:val="none"/>
        </w:rPr>
        <w:instrText xml:space="preserve"> PAGEREF _Toc4106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"_Toc1304" </w:instrText>
      </w:r>
      <w:r>
        <w:rPr>
          <w:color w:val="auto"/>
          <w:highlight w:val="none"/>
        </w:rPr>
        <w:fldChar w:fldCharType="separate"/>
      </w:r>
      <w:r>
        <w:rPr>
          <w:rFonts w:hint="eastAsia" w:ascii="宋体" w:hAnsi="宋体" w:cs="宋体"/>
          <w:color w:val="auto"/>
          <w:szCs w:val="21"/>
          <w:highlight w:val="none"/>
        </w:rPr>
        <w:t>2.8 现场统一管理协议</w:t>
      </w:r>
      <w:r>
        <w:rPr>
          <w:color w:val="auto"/>
          <w:highlight w:val="none"/>
        </w:rPr>
        <w:tab/>
      </w:r>
      <w:r>
        <w:rPr>
          <w:color w:val="auto"/>
          <w:highlight w:val="none"/>
        </w:rPr>
        <w:fldChar w:fldCharType="begin"/>
      </w:r>
      <w:r>
        <w:rPr>
          <w:color w:val="auto"/>
          <w:highlight w:val="none"/>
        </w:rPr>
        <w:instrText xml:space="preserve"> PAGEREF _Toc1304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"_Toc28412" </w:instrText>
      </w:r>
      <w:r>
        <w:rPr>
          <w:color w:val="auto"/>
          <w:highlight w:val="none"/>
        </w:rPr>
        <w:fldChar w:fldCharType="separate"/>
      </w:r>
      <w:r>
        <w:rPr>
          <w:rFonts w:hint="eastAsia" w:ascii="宋体" w:hAnsi="宋体" w:eastAsia="宋体" w:cs="宋体"/>
          <w:color w:val="auto"/>
          <w:szCs w:val="21"/>
          <w:highlight w:val="none"/>
        </w:rPr>
        <w:t>3. 承包人</w:t>
      </w:r>
      <w:r>
        <w:rPr>
          <w:color w:val="auto"/>
          <w:highlight w:val="none"/>
        </w:rPr>
        <w:tab/>
      </w:r>
      <w:r>
        <w:rPr>
          <w:color w:val="auto"/>
          <w:highlight w:val="none"/>
        </w:rPr>
        <w:fldChar w:fldCharType="begin"/>
      </w:r>
      <w:r>
        <w:rPr>
          <w:color w:val="auto"/>
          <w:highlight w:val="none"/>
        </w:rPr>
        <w:instrText xml:space="preserve"> PAGEREF _Toc28412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"_Toc17627" </w:instrText>
      </w:r>
      <w:r>
        <w:rPr>
          <w:color w:val="auto"/>
          <w:highlight w:val="none"/>
        </w:rPr>
        <w:fldChar w:fldCharType="separate"/>
      </w:r>
      <w:r>
        <w:rPr>
          <w:rFonts w:hint="eastAsia" w:ascii="宋体" w:hAnsi="宋体" w:cs="宋体"/>
          <w:color w:val="auto"/>
          <w:szCs w:val="21"/>
          <w:highlight w:val="none"/>
        </w:rPr>
        <w:t>3.1 承包人的一般义务</w:t>
      </w:r>
      <w:r>
        <w:rPr>
          <w:color w:val="auto"/>
          <w:highlight w:val="none"/>
        </w:rPr>
        <w:tab/>
      </w:r>
      <w:r>
        <w:rPr>
          <w:color w:val="auto"/>
          <w:highlight w:val="none"/>
        </w:rPr>
        <w:fldChar w:fldCharType="begin"/>
      </w:r>
      <w:r>
        <w:rPr>
          <w:color w:val="auto"/>
          <w:highlight w:val="none"/>
        </w:rPr>
        <w:instrText xml:space="preserve"> PAGEREF _Toc17627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"_Toc31883" </w:instrText>
      </w:r>
      <w:r>
        <w:rPr>
          <w:color w:val="auto"/>
          <w:highlight w:val="none"/>
        </w:rPr>
        <w:fldChar w:fldCharType="separate"/>
      </w:r>
      <w:r>
        <w:rPr>
          <w:rFonts w:hint="eastAsia" w:ascii="宋体" w:hAnsi="宋体" w:cs="宋体"/>
          <w:color w:val="auto"/>
          <w:szCs w:val="21"/>
          <w:highlight w:val="none"/>
        </w:rPr>
        <w:t>3.2 项目经理</w:t>
      </w:r>
      <w:r>
        <w:rPr>
          <w:color w:val="auto"/>
          <w:highlight w:val="none"/>
        </w:rPr>
        <w:tab/>
      </w:r>
      <w:r>
        <w:rPr>
          <w:color w:val="auto"/>
          <w:highlight w:val="none"/>
        </w:rPr>
        <w:fldChar w:fldCharType="begin"/>
      </w:r>
      <w:r>
        <w:rPr>
          <w:color w:val="auto"/>
          <w:highlight w:val="none"/>
        </w:rPr>
        <w:instrText xml:space="preserve"> PAGEREF _Toc31883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"_Toc3528" </w:instrText>
      </w:r>
      <w:r>
        <w:rPr>
          <w:color w:val="auto"/>
          <w:highlight w:val="none"/>
        </w:rPr>
        <w:fldChar w:fldCharType="separate"/>
      </w:r>
      <w:r>
        <w:rPr>
          <w:rFonts w:hint="eastAsia" w:ascii="宋体" w:hAnsi="宋体" w:cs="宋体"/>
          <w:color w:val="auto"/>
          <w:szCs w:val="21"/>
          <w:highlight w:val="none"/>
        </w:rPr>
        <w:t>3.3 承包人人员</w:t>
      </w:r>
      <w:r>
        <w:rPr>
          <w:color w:val="auto"/>
          <w:highlight w:val="none"/>
        </w:rPr>
        <w:tab/>
      </w:r>
      <w:r>
        <w:rPr>
          <w:color w:val="auto"/>
          <w:highlight w:val="none"/>
        </w:rPr>
        <w:fldChar w:fldCharType="begin"/>
      </w:r>
      <w:r>
        <w:rPr>
          <w:color w:val="auto"/>
          <w:highlight w:val="none"/>
        </w:rPr>
        <w:instrText xml:space="preserve"> PAGEREF _Toc3528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"_Toc17557" </w:instrText>
      </w:r>
      <w:r>
        <w:rPr>
          <w:color w:val="auto"/>
          <w:highlight w:val="none"/>
        </w:rPr>
        <w:fldChar w:fldCharType="separate"/>
      </w:r>
      <w:r>
        <w:rPr>
          <w:rFonts w:hint="eastAsia" w:ascii="宋体" w:hAnsi="宋体" w:cs="宋体"/>
          <w:color w:val="auto"/>
          <w:szCs w:val="21"/>
          <w:highlight w:val="none"/>
        </w:rPr>
        <w:t>3.4 承包人现场查勘</w:t>
      </w:r>
      <w:r>
        <w:rPr>
          <w:color w:val="auto"/>
          <w:highlight w:val="none"/>
        </w:rPr>
        <w:tab/>
      </w:r>
      <w:r>
        <w:rPr>
          <w:color w:val="auto"/>
          <w:highlight w:val="none"/>
        </w:rPr>
        <w:fldChar w:fldCharType="begin"/>
      </w:r>
      <w:r>
        <w:rPr>
          <w:color w:val="auto"/>
          <w:highlight w:val="none"/>
        </w:rPr>
        <w:instrText xml:space="preserve"> PAGEREF _Toc17557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"_Toc26190" </w:instrText>
      </w:r>
      <w:r>
        <w:rPr>
          <w:color w:val="auto"/>
          <w:highlight w:val="none"/>
        </w:rPr>
        <w:fldChar w:fldCharType="separate"/>
      </w:r>
      <w:r>
        <w:rPr>
          <w:rFonts w:hint="eastAsia" w:ascii="宋体" w:hAnsi="宋体" w:cs="宋体"/>
          <w:color w:val="auto"/>
          <w:szCs w:val="21"/>
          <w:highlight w:val="none"/>
        </w:rPr>
        <w:t>3.5 分包</w:t>
      </w:r>
      <w:r>
        <w:rPr>
          <w:color w:val="auto"/>
          <w:highlight w:val="none"/>
        </w:rPr>
        <w:tab/>
      </w:r>
      <w:r>
        <w:rPr>
          <w:color w:val="auto"/>
          <w:highlight w:val="none"/>
        </w:rPr>
        <w:fldChar w:fldCharType="begin"/>
      </w:r>
      <w:r>
        <w:rPr>
          <w:color w:val="auto"/>
          <w:highlight w:val="none"/>
        </w:rPr>
        <w:instrText xml:space="preserve"> PAGEREF _Toc26190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"_Toc23990" </w:instrText>
      </w:r>
      <w:r>
        <w:rPr>
          <w:color w:val="auto"/>
          <w:highlight w:val="none"/>
        </w:rPr>
        <w:fldChar w:fldCharType="separate"/>
      </w:r>
      <w:r>
        <w:rPr>
          <w:rFonts w:hint="eastAsia" w:ascii="宋体" w:hAnsi="宋体" w:cs="宋体"/>
          <w:color w:val="auto"/>
          <w:szCs w:val="21"/>
          <w:highlight w:val="none"/>
        </w:rPr>
        <w:t>3.6 工程照管与成品、半成品保护</w:t>
      </w:r>
      <w:r>
        <w:rPr>
          <w:color w:val="auto"/>
          <w:highlight w:val="none"/>
        </w:rPr>
        <w:tab/>
      </w:r>
      <w:r>
        <w:rPr>
          <w:color w:val="auto"/>
          <w:highlight w:val="none"/>
        </w:rPr>
        <w:fldChar w:fldCharType="begin"/>
      </w:r>
      <w:r>
        <w:rPr>
          <w:color w:val="auto"/>
          <w:highlight w:val="none"/>
        </w:rPr>
        <w:instrText xml:space="preserve"> PAGEREF _Toc23990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"_Toc5365" </w:instrText>
      </w:r>
      <w:r>
        <w:rPr>
          <w:color w:val="auto"/>
          <w:highlight w:val="none"/>
        </w:rPr>
        <w:fldChar w:fldCharType="separate"/>
      </w:r>
      <w:r>
        <w:rPr>
          <w:rFonts w:hint="eastAsia" w:ascii="宋体" w:hAnsi="宋体" w:cs="宋体"/>
          <w:color w:val="auto"/>
          <w:szCs w:val="21"/>
          <w:highlight w:val="none"/>
        </w:rPr>
        <w:t>3.7 履约担保</w:t>
      </w:r>
      <w:r>
        <w:rPr>
          <w:color w:val="auto"/>
          <w:highlight w:val="none"/>
        </w:rPr>
        <w:tab/>
      </w:r>
      <w:r>
        <w:rPr>
          <w:color w:val="auto"/>
          <w:highlight w:val="none"/>
        </w:rPr>
        <w:fldChar w:fldCharType="begin"/>
      </w:r>
      <w:r>
        <w:rPr>
          <w:color w:val="auto"/>
          <w:highlight w:val="none"/>
        </w:rPr>
        <w:instrText xml:space="preserve"> PAGEREF _Toc5365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"_Toc15683" </w:instrText>
      </w:r>
      <w:r>
        <w:rPr>
          <w:color w:val="auto"/>
          <w:highlight w:val="none"/>
        </w:rPr>
        <w:fldChar w:fldCharType="separate"/>
      </w:r>
      <w:r>
        <w:rPr>
          <w:rFonts w:hint="eastAsia" w:ascii="宋体" w:hAnsi="宋体" w:cs="宋体"/>
          <w:color w:val="auto"/>
          <w:szCs w:val="21"/>
          <w:highlight w:val="none"/>
        </w:rPr>
        <w:t>3.8 联合体</w:t>
      </w:r>
      <w:r>
        <w:rPr>
          <w:color w:val="auto"/>
          <w:highlight w:val="none"/>
        </w:rPr>
        <w:tab/>
      </w:r>
      <w:r>
        <w:rPr>
          <w:color w:val="auto"/>
          <w:highlight w:val="none"/>
        </w:rPr>
        <w:fldChar w:fldCharType="begin"/>
      </w:r>
      <w:r>
        <w:rPr>
          <w:color w:val="auto"/>
          <w:highlight w:val="none"/>
        </w:rPr>
        <w:instrText xml:space="preserve"> PAGEREF _Toc15683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"_Toc9960" </w:instrText>
      </w:r>
      <w:r>
        <w:rPr>
          <w:color w:val="auto"/>
          <w:highlight w:val="none"/>
        </w:rPr>
        <w:fldChar w:fldCharType="separate"/>
      </w:r>
      <w:r>
        <w:rPr>
          <w:rFonts w:hint="eastAsia" w:ascii="宋体" w:hAnsi="宋体" w:eastAsia="宋体" w:cs="宋体"/>
          <w:color w:val="auto"/>
          <w:szCs w:val="21"/>
          <w:highlight w:val="none"/>
        </w:rPr>
        <w:t>4. 监理人</w:t>
      </w:r>
      <w:r>
        <w:rPr>
          <w:color w:val="auto"/>
          <w:highlight w:val="none"/>
        </w:rPr>
        <w:tab/>
      </w:r>
      <w:r>
        <w:rPr>
          <w:color w:val="auto"/>
          <w:highlight w:val="none"/>
        </w:rPr>
        <w:fldChar w:fldCharType="begin"/>
      </w:r>
      <w:r>
        <w:rPr>
          <w:color w:val="auto"/>
          <w:highlight w:val="none"/>
        </w:rPr>
        <w:instrText xml:space="preserve"> PAGEREF _Toc9960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"_Toc7231" </w:instrText>
      </w:r>
      <w:r>
        <w:rPr>
          <w:color w:val="auto"/>
          <w:highlight w:val="none"/>
        </w:rPr>
        <w:fldChar w:fldCharType="separate"/>
      </w:r>
      <w:r>
        <w:rPr>
          <w:rFonts w:hint="eastAsia" w:ascii="宋体" w:hAnsi="宋体" w:cs="宋体"/>
          <w:color w:val="auto"/>
          <w:szCs w:val="21"/>
          <w:highlight w:val="none"/>
        </w:rPr>
        <w:t>4.1监理人的一般规定</w:t>
      </w:r>
      <w:r>
        <w:rPr>
          <w:color w:val="auto"/>
          <w:highlight w:val="none"/>
        </w:rPr>
        <w:tab/>
      </w:r>
      <w:r>
        <w:rPr>
          <w:color w:val="auto"/>
          <w:highlight w:val="none"/>
        </w:rPr>
        <w:fldChar w:fldCharType="begin"/>
      </w:r>
      <w:r>
        <w:rPr>
          <w:color w:val="auto"/>
          <w:highlight w:val="none"/>
        </w:rPr>
        <w:instrText xml:space="preserve"> PAGEREF _Toc7231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"_Toc22423" </w:instrText>
      </w:r>
      <w:r>
        <w:rPr>
          <w:color w:val="auto"/>
          <w:highlight w:val="none"/>
        </w:rPr>
        <w:fldChar w:fldCharType="separate"/>
      </w:r>
      <w:r>
        <w:rPr>
          <w:rFonts w:hint="eastAsia" w:ascii="宋体" w:hAnsi="宋体" w:cs="宋体"/>
          <w:color w:val="auto"/>
          <w:szCs w:val="21"/>
          <w:highlight w:val="none"/>
        </w:rPr>
        <w:t>4.2监理人员</w:t>
      </w:r>
      <w:r>
        <w:rPr>
          <w:color w:val="auto"/>
          <w:highlight w:val="none"/>
        </w:rPr>
        <w:tab/>
      </w:r>
      <w:r>
        <w:rPr>
          <w:color w:val="auto"/>
          <w:highlight w:val="none"/>
        </w:rPr>
        <w:fldChar w:fldCharType="begin"/>
      </w:r>
      <w:r>
        <w:rPr>
          <w:color w:val="auto"/>
          <w:highlight w:val="none"/>
        </w:rPr>
        <w:instrText xml:space="preserve"> PAGEREF _Toc22423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"_Toc31980" </w:instrText>
      </w:r>
      <w:r>
        <w:rPr>
          <w:color w:val="auto"/>
          <w:highlight w:val="none"/>
        </w:rPr>
        <w:fldChar w:fldCharType="separate"/>
      </w:r>
      <w:r>
        <w:rPr>
          <w:rFonts w:hint="eastAsia" w:ascii="宋体" w:hAnsi="宋体" w:cs="宋体"/>
          <w:color w:val="auto"/>
          <w:szCs w:val="21"/>
          <w:highlight w:val="none"/>
        </w:rPr>
        <w:t>4.3监理人的指示</w:t>
      </w:r>
      <w:r>
        <w:rPr>
          <w:color w:val="auto"/>
          <w:highlight w:val="none"/>
        </w:rPr>
        <w:tab/>
      </w:r>
      <w:r>
        <w:rPr>
          <w:color w:val="auto"/>
          <w:highlight w:val="none"/>
        </w:rPr>
        <w:fldChar w:fldCharType="begin"/>
      </w:r>
      <w:r>
        <w:rPr>
          <w:color w:val="auto"/>
          <w:highlight w:val="none"/>
        </w:rPr>
        <w:instrText xml:space="preserve"> PAGEREF _Toc31980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"_Toc19077" </w:instrText>
      </w:r>
      <w:r>
        <w:rPr>
          <w:color w:val="auto"/>
          <w:highlight w:val="none"/>
        </w:rPr>
        <w:fldChar w:fldCharType="separate"/>
      </w:r>
      <w:r>
        <w:rPr>
          <w:rFonts w:hint="eastAsia" w:ascii="宋体" w:hAnsi="宋体" w:eastAsia="宋体" w:cs="宋体"/>
          <w:color w:val="auto"/>
          <w:szCs w:val="21"/>
          <w:highlight w:val="none"/>
        </w:rPr>
        <w:t>4.4 商定或确定</w:t>
      </w:r>
      <w:r>
        <w:rPr>
          <w:color w:val="auto"/>
          <w:highlight w:val="none"/>
        </w:rPr>
        <w:tab/>
      </w:r>
      <w:r>
        <w:rPr>
          <w:color w:val="auto"/>
          <w:highlight w:val="none"/>
        </w:rPr>
        <w:fldChar w:fldCharType="begin"/>
      </w:r>
      <w:r>
        <w:rPr>
          <w:color w:val="auto"/>
          <w:highlight w:val="none"/>
        </w:rPr>
        <w:instrText xml:space="preserve"> PAGEREF _Toc19077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"_Toc7649" </w:instrText>
      </w:r>
      <w:r>
        <w:rPr>
          <w:color w:val="auto"/>
          <w:highlight w:val="none"/>
        </w:rPr>
        <w:fldChar w:fldCharType="separate"/>
      </w:r>
      <w:r>
        <w:rPr>
          <w:rFonts w:hint="eastAsia" w:ascii="宋体" w:hAnsi="宋体" w:eastAsia="宋体" w:cs="宋体"/>
          <w:color w:val="auto"/>
          <w:szCs w:val="21"/>
          <w:highlight w:val="none"/>
        </w:rPr>
        <w:t>5. 工程质量</w:t>
      </w:r>
      <w:r>
        <w:rPr>
          <w:color w:val="auto"/>
          <w:highlight w:val="none"/>
        </w:rPr>
        <w:tab/>
      </w:r>
      <w:r>
        <w:rPr>
          <w:color w:val="auto"/>
          <w:highlight w:val="none"/>
        </w:rPr>
        <w:fldChar w:fldCharType="begin"/>
      </w:r>
      <w:r>
        <w:rPr>
          <w:color w:val="auto"/>
          <w:highlight w:val="none"/>
        </w:rPr>
        <w:instrText xml:space="preserve"> PAGEREF _Toc7649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"_Toc20617" </w:instrText>
      </w:r>
      <w:r>
        <w:rPr>
          <w:color w:val="auto"/>
          <w:highlight w:val="none"/>
        </w:rPr>
        <w:fldChar w:fldCharType="separate"/>
      </w:r>
      <w:r>
        <w:rPr>
          <w:rFonts w:hint="eastAsia" w:ascii="宋体" w:hAnsi="宋体" w:cs="宋体"/>
          <w:color w:val="auto"/>
          <w:szCs w:val="21"/>
          <w:highlight w:val="none"/>
        </w:rPr>
        <w:t>5.1质量要求</w:t>
      </w:r>
      <w:r>
        <w:rPr>
          <w:color w:val="auto"/>
          <w:highlight w:val="none"/>
        </w:rPr>
        <w:tab/>
      </w:r>
      <w:r>
        <w:rPr>
          <w:color w:val="auto"/>
          <w:highlight w:val="none"/>
        </w:rPr>
        <w:fldChar w:fldCharType="begin"/>
      </w:r>
      <w:r>
        <w:rPr>
          <w:color w:val="auto"/>
          <w:highlight w:val="none"/>
        </w:rPr>
        <w:instrText xml:space="preserve"> PAGEREF _Toc20617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"_Toc20170" </w:instrText>
      </w:r>
      <w:r>
        <w:rPr>
          <w:color w:val="auto"/>
          <w:highlight w:val="none"/>
        </w:rPr>
        <w:fldChar w:fldCharType="separate"/>
      </w:r>
      <w:r>
        <w:rPr>
          <w:rFonts w:hint="eastAsia" w:ascii="宋体" w:hAnsi="宋体" w:cs="宋体"/>
          <w:color w:val="auto"/>
          <w:szCs w:val="21"/>
          <w:highlight w:val="none"/>
        </w:rPr>
        <w:t>5.2质量保证措施</w:t>
      </w:r>
      <w:r>
        <w:rPr>
          <w:color w:val="auto"/>
          <w:highlight w:val="none"/>
        </w:rPr>
        <w:tab/>
      </w:r>
      <w:r>
        <w:rPr>
          <w:color w:val="auto"/>
          <w:highlight w:val="none"/>
        </w:rPr>
        <w:fldChar w:fldCharType="begin"/>
      </w:r>
      <w:r>
        <w:rPr>
          <w:color w:val="auto"/>
          <w:highlight w:val="none"/>
        </w:rPr>
        <w:instrText xml:space="preserve"> PAGEREF _Toc20170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"_Toc31750" </w:instrText>
      </w:r>
      <w:r>
        <w:rPr>
          <w:color w:val="auto"/>
          <w:highlight w:val="none"/>
        </w:rPr>
        <w:fldChar w:fldCharType="separate"/>
      </w:r>
      <w:r>
        <w:rPr>
          <w:rFonts w:hint="eastAsia" w:ascii="宋体" w:hAnsi="宋体" w:cs="宋体"/>
          <w:color w:val="auto"/>
          <w:szCs w:val="21"/>
          <w:highlight w:val="none"/>
        </w:rPr>
        <w:t>5.3 隐蔽工程检查</w:t>
      </w:r>
      <w:r>
        <w:rPr>
          <w:color w:val="auto"/>
          <w:highlight w:val="none"/>
        </w:rPr>
        <w:tab/>
      </w:r>
      <w:r>
        <w:rPr>
          <w:color w:val="auto"/>
          <w:highlight w:val="none"/>
        </w:rPr>
        <w:fldChar w:fldCharType="begin"/>
      </w:r>
      <w:r>
        <w:rPr>
          <w:color w:val="auto"/>
          <w:highlight w:val="none"/>
        </w:rPr>
        <w:instrText xml:space="preserve"> PAGEREF _Toc31750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"_Toc31813" </w:instrText>
      </w:r>
      <w:r>
        <w:rPr>
          <w:color w:val="auto"/>
          <w:highlight w:val="none"/>
        </w:rPr>
        <w:fldChar w:fldCharType="separate"/>
      </w:r>
      <w:r>
        <w:rPr>
          <w:rFonts w:hint="eastAsia" w:ascii="宋体" w:hAnsi="宋体" w:cs="宋体"/>
          <w:color w:val="auto"/>
          <w:szCs w:val="21"/>
          <w:highlight w:val="none"/>
        </w:rPr>
        <w:t>5.4不合格工程的处理</w:t>
      </w:r>
      <w:r>
        <w:rPr>
          <w:color w:val="auto"/>
          <w:highlight w:val="none"/>
        </w:rPr>
        <w:tab/>
      </w:r>
      <w:r>
        <w:rPr>
          <w:color w:val="auto"/>
          <w:highlight w:val="none"/>
        </w:rPr>
        <w:fldChar w:fldCharType="begin"/>
      </w:r>
      <w:r>
        <w:rPr>
          <w:color w:val="auto"/>
          <w:highlight w:val="none"/>
        </w:rPr>
        <w:instrText xml:space="preserve"> PAGEREF _Toc31813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"_Toc9186" </w:instrText>
      </w:r>
      <w:r>
        <w:rPr>
          <w:color w:val="auto"/>
          <w:highlight w:val="none"/>
        </w:rPr>
        <w:fldChar w:fldCharType="separate"/>
      </w:r>
      <w:r>
        <w:rPr>
          <w:rFonts w:hint="eastAsia" w:ascii="宋体" w:hAnsi="宋体" w:cs="宋体"/>
          <w:color w:val="auto"/>
          <w:szCs w:val="21"/>
          <w:highlight w:val="none"/>
        </w:rPr>
        <w:t>5.5 质量争议检测</w:t>
      </w:r>
      <w:r>
        <w:rPr>
          <w:color w:val="auto"/>
          <w:highlight w:val="none"/>
        </w:rPr>
        <w:tab/>
      </w:r>
      <w:r>
        <w:rPr>
          <w:color w:val="auto"/>
          <w:highlight w:val="none"/>
        </w:rPr>
        <w:fldChar w:fldCharType="begin"/>
      </w:r>
      <w:r>
        <w:rPr>
          <w:color w:val="auto"/>
          <w:highlight w:val="none"/>
        </w:rPr>
        <w:instrText xml:space="preserve"> PAGEREF _Toc9186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"_Toc13167" </w:instrText>
      </w:r>
      <w:r>
        <w:rPr>
          <w:color w:val="auto"/>
          <w:highlight w:val="none"/>
        </w:rPr>
        <w:fldChar w:fldCharType="separate"/>
      </w:r>
      <w:r>
        <w:rPr>
          <w:rFonts w:hint="eastAsia" w:ascii="宋体" w:hAnsi="宋体" w:eastAsia="宋体" w:cs="宋体"/>
          <w:color w:val="auto"/>
          <w:szCs w:val="21"/>
          <w:highlight w:val="none"/>
        </w:rPr>
        <w:t>6. 安全文明施工与环境保护</w:t>
      </w:r>
      <w:r>
        <w:rPr>
          <w:color w:val="auto"/>
          <w:highlight w:val="none"/>
        </w:rPr>
        <w:tab/>
      </w:r>
      <w:r>
        <w:rPr>
          <w:color w:val="auto"/>
          <w:highlight w:val="none"/>
        </w:rPr>
        <w:fldChar w:fldCharType="begin"/>
      </w:r>
      <w:r>
        <w:rPr>
          <w:color w:val="auto"/>
          <w:highlight w:val="none"/>
        </w:rPr>
        <w:instrText xml:space="preserve"> PAGEREF _Toc13167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"_Toc13129" </w:instrText>
      </w:r>
      <w:r>
        <w:rPr>
          <w:color w:val="auto"/>
          <w:highlight w:val="none"/>
        </w:rPr>
        <w:fldChar w:fldCharType="separate"/>
      </w:r>
      <w:r>
        <w:rPr>
          <w:rFonts w:hint="eastAsia" w:ascii="宋体" w:hAnsi="宋体" w:cs="宋体"/>
          <w:color w:val="auto"/>
          <w:szCs w:val="21"/>
          <w:highlight w:val="none"/>
        </w:rPr>
        <w:t>6.1安全文明施工</w:t>
      </w:r>
      <w:r>
        <w:rPr>
          <w:color w:val="auto"/>
          <w:highlight w:val="none"/>
        </w:rPr>
        <w:tab/>
      </w:r>
      <w:r>
        <w:rPr>
          <w:color w:val="auto"/>
          <w:highlight w:val="none"/>
        </w:rPr>
        <w:fldChar w:fldCharType="begin"/>
      </w:r>
      <w:r>
        <w:rPr>
          <w:color w:val="auto"/>
          <w:highlight w:val="none"/>
        </w:rPr>
        <w:instrText xml:space="preserve"> PAGEREF _Toc13129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"_Toc8998" </w:instrText>
      </w:r>
      <w:r>
        <w:rPr>
          <w:color w:val="auto"/>
          <w:highlight w:val="none"/>
        </w:rPr>
        <w:fldChar w:fldCharType="separate"/>
      </w:r>
      <w:r>
        <w:rPr>
          <w:rFonts w:hint="eastAsia" w:ascii="宋体" w:hAnsi="宋体" w:cs="宋体"/>
          <w:color w:val="auto"/>
          <w:szCs w:val="21"/>
          <w:highlight w:val="none"/>
        </w:rPr>
        <w:t>6.2 职业健康</w:t>
      </w:r>
      <w:r>
        <w:rPr>
          <w:color w:val="auto"/>
          <w:highlight w:val="none"/>
        </w:rPr>
        <w:tab/>
      </w:r>
      <w:r>
        <w:rPr>
          <w:color w:val="auto"/>
          <w:highlight w:val="none"/>
        </w:rPr>
        <w:fldChar w:fldCharType="begin"/>
      </w:r>
      <w:r>
        <w:rPr>
          <w:color w:val="auto"/>
          <w:highlight w:val="none"/>
        </w:rPr>
        <w:instrText xml:space="preserve"> PAGEREF _Toc8998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"_Toc21634" </w:instrText>
      </w:r>
      <w:r>
        <w:rPr>
          <w:color w:val="auto"/>
          <w:highlight w:val="none"/>
        </w:rPr>
        <w:fldChar w:fldCharType="separate"/>
      </w:r>
      <w:r>
        <w:rPr>
          <w:rFonts w:hint="eastAsia" w:ascii="宋体" w:hAnsi="宋体" w:cs="宋体"/>
          <w:color w:val="auto"/>
          <w:szCs w:val="21"/>
          <w:highlight w:val="none"/>
        </w:rPr>
        <w:t>6.3 环境保护</w:t>
      </w:r>
      <w:r>
        <w:rPr>
          <w:color w:val="auto"/>
          <w:highlight w:val="none"/>
        </w:rPr>
        <w:tab/>
      </w:r>
      <w:r>
        <w:rPr>
          <w:color w:val="auto"/>
          <w:highlight w:val="none"/>
        </w:rPr>
        <w:fldChar w:fldCharType="begin"/>
      </w:r>
      <w:r>
        <w:rPr>
          <w:color w:val="auto"/>
          <w:highlight w:val="none"/>
        </w:rPr>
        <w:instrText xml:space="preserve"> PAGEREF _Toc21634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"_Toc4103" </w:instrText>
      </w:r>
      <w:r>
        <w:rPr>
          <w:color w:val="auto"/>
          <w:highlight w:val="none"/>
        </w:rPr>
        <w:fldChar w:fldCharType="separate"/>
      </w:r>
      <w:r>
        <w:rPr>
          <w:rFonts w:hint="eastAsia" w:ascii="宋体" w:hAnsi="宋体" w:eastAsia="宋体" w:cs="宋体"/>
          <w:color w:val="auto"/>
          <w:szCs w:val="21"/>
          <w:highlight w:val="none"/>
        </w:rPr>
        <w:t>7. 工期和进度</w:t>
      </w:r>
      <w:r>
        <w:rPr>
          <w:color w:val="auto"/>
          <w:highlight w:val="none"/>
        </w:rPr>
        <w:tab/>
      </w:r>
      <w:r>
        <w:rPr>
          <w:color w:val="auto"/>
          <w:highlight w:val="none"/>
        </w:rPr>
        <w:fldChar w:fldCharType="begin"/>
      </w:r>
      <w:r>
        <w:rPr>
          <w:color w:val="auto"/>
          <w:highlight w:val="none"/>
        </w:rPr>
        <w:instrText xml:space="preserve"> PAGEREF _Toc4103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"_Toc14169" </w:instrText>
      </w:r>
      <w:r>
        <w:rPr>
          <w:color w:val="auto"/>
          <w:highlight w:val="none"/>
        </w:rPr>
        <w:fldChar w:fldCharType="separate"/>
      </w:r>
      <w:r>
        <w:rPr>
          <w:rFonts w:hint="eastAsia" w:ascii="宋体" w:hAnsi="宋体" w:cs="宋体"/>
          <w:color w:val="auto"/>
          <w:szCs w:val="21"/>
          <w:highlight w:val="none"/>
        </w:rPr>
        <w:t>7.1施工组织设计</w:t>
      </w:r>
      <w:r>
        <w:rPr>
          <w:color w:val="auto"/>
          <w:highlight w:val="none"/>
        </w:rPr>
        <w:tab/>
      </w:r>
      <w:r>
        <w:rPr>
          <w:color w:val="auto"/>
          <w:highlight w:val="none"/>
        </w:rPr>
        <w:fldChar w:fldCharType="begin"/>
      </w:r>
      <w:r>
        <w:rPr>
          <w:color w:val="auto"/>
          <w:highlight w:val="none"/>
        </w:rPr>
        <w:instrText xml:space="preserve"> PAGEREF _Toc14169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"_Toc6579" </w:instrText>
      </w:r>
      <w:r>
        <w:rPr>
          <w:color w:val="auto"/>
          <w:highlight w:val="none"/>
        </w:rPr>
        <w:fldChar w:fldCharType="separate"/>
      </w:r>
      <w:r>
        <w:rPr>
          <w:rFonts w:hint="eastAsia" w:ascii="宋体" w:hAnsi="宋体" w:cs="宋体"/>
          <w:color w:val="auto"/>
          <w:szCs w:val="21"/>
          <w:highlight w:val="none"/>
        </w:rPr>
        <w:t>7.2 施工进度计划</w:t>
      </w:r>
      <w:r>
        <w:rPr>
          <w:color w:val="auto"/>
          <w:highlight w:val="none"/>
        </w:rPr>
        <w:tab/>
      </w:r>
      <w:r>
        <w:rPr>
          <w:color w:val="auto"/>
          <w:highlight w:val="none"/>
        </w:rPr>
        <w:fldChar w:fldCharType="begin"/>
      </w:r>
      <w:r>
        <w:rPr>
          <w:color w:val="auto"/>
          <w:highlight w:val="none"/>
        </w:rPr>
        <w:instrText xml:space="preserve"> PAGEREF _Toc6579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"_Toc30699" </w:instrText>
      </w:r>
      <w:r>
        <w:rPr>
          <w:color w:val="auto"/>
          <w:highlight w:val="none"/>
        </w:rPr>
        <w:fldChar w:fldCharType="separate"/>
      </w:r>
      <w:r>
        <w:rPr>
          <w:rFonts w:hint="eastAsia" w:ascii="宋体" w:hAnsi="宋体" w:cs="宋体"/>
          <w:color w:val="auto"/>
          <w:szCs w:val="21"/>
          <w:highlight w:val="none"/>
        </w:rPr>
        <w:t>7.3 开工</w:t>
      </w:r>
      <w:r>
        <w:rPr>
          <w:color w:val="auto"/>
          <w:highlight w:val="none"/>
        </w:rPr>
        <w:tab/>
      </w:r>
      <w:r>
        <w:rPr>
          <w:color w:val="auto"/>
          <w:highlight w:val="none"/>
        </w:rPr>
        <w:fldChar w:fldCharType="begin"/>
      </w:r>
      <w:r>
        <w:rPr>
          <w:color w:val="auto"/>
          <w:highlight w:val="none"/>
        </w:rPr>
        <w:instrText xml:space="preserve"> PAGEREF _Toc30699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"_Toc25310" </w:instrText>
      </w:r>
      <w:r>
        <w:rPr>
          <w:color w:val="auto"/>
          <w:highlight w:val="none"/>
        </w:rPr>
        <w:fldChar w:fldCharType="separate"/>
      </w:r>
      <w:r>
        <w:rPr>
          <w:rFonts w:hint="eastAsia" w:ascii="宋体" w:hAnsi="宋体" w:cs="宋体"/>
          <w:color w:val="auto"/>
          <w:szCs w:val="21"/>
          <w:highlight w:val="none"/>
        </w:rPr>
        <w:t>7.4测量放线</w:t>
      </w:r>
      <w:r>
        <w:rPr>
          <w:color w:val="auto"/>
          <w:highlight w:val="none"/>
        </w:rPr>
        <w:tab/>
      </w:r>
      <w:r>
        <w:rPr>
          <w:color w:val="auto"/>
          <w:highlight w:val="none"/>
        </w:rPr>
        <w:fldChar w:fldCharType="begin"/>
      </w:r>
      <w:r>
        <w:rPr>
          <w:color w:val="auto"/>
          <w:highlight w:val="none"/>
        </w:rPr>
        <w:instrText xml:space="preserve"> PAGEREF _Toc25310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"_Toc4321" </w:instrText>
      </w:r>
      <w:r>
        <w:rPr>
          <w:color w:val="auto"/>
          <w:highlight w:val="none"/>
        </w:rPr>
        <w:fldChar w:fldCharType="separate"/>
      </w:r>
      <w:r>
        <w:rPr>
          <w:rFonts w:hint="eastAsia" w:ascii="宋体" w:hAnsi="宋体" w:cs="宋体"/>
          <w:color w:val="auto"/>
          <w:szCs w:val="21"/>
          <w:highlight w:val="none"/>
        </w:rPr>
        <w:t>7.5 工期延误</w:t>
      </w:r>
      <w:r>
        <w:rPr>
          <w:color w:val="auto"/>
          <w:highlight w:val="none"/>
        </w:rPr>
        <w:tab/>
      </w:r>
      <w:r>
        <w:rPr>
          <w:color w:val="auto"/>
          <w:highlight w:val="none"/>
        </w:rPr>
        <w:fldChar w:fldCharType="begin"/>
      </w:r>
      <w:r>
        <w:rPr>
          <w:color w:val="auto"/>
          <w:highlight w:val="none"/>
        </w:rPr>
        <w:instrText xml:space="preserve"> PAGEREF _Toc4321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"_Toc31540" </w:instrText>
      </w:r>
      <w:r>
        <w:rPr>
          <w:color w:val="auto"/>
          <w:highlight w:val="none"/>
        </w:rPr>
        <w:fldChar w:fldCharType="separate"/>
      </w:r>
      <w:r>
        <w:rPr>
          <w:rFonts w:hint="eastAsia" w:ascii="宋体" w:hAnsi="宋体" w:cs="宋体"/>
          <w:color w:val="auto"/>
          <w:szCs w:val="21"/>
          <w:highlight w:val="none"/>
        </w:rPr>
        <w:t>7.6 不利物质条件</w:t>
      </w:r>
      <w:r>
        <w:rPr>
          <w:color w:val="auto"/>
          <w:highlight w:val="none"/>
        </w:rPr>
        <w:tab/>
      </w:r>
      <w:r>
        <w:rPr>
          <w:color w:val="auto"/>
          <w:highlight w:val="none"/>
        </w:rPr>
        <w:fldChar w:fldCharType="begin"/>
      </w:r>
      <w:r>
        <w:rPr>
          <w:color w:val="auto"/>
          <w:highlight w:val="none"/>
        </w:rPr>
        <w:instrText xml:space="preserve"> PAGEREF _Toc31540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"_Toc23635" </w:instrText>
      </w:r>
      <w:r>
        <w:rPr>
          <w:color w:val="auto"/>
          <w:highlight w:val="none"/>
        </w:rPr>
        <w:fldChar w:fldCharType="separate"/>
      </w:r>
      <w:r>
        <w:rPr>
          <w:rFonts w:hint="eastAsia" w:ascii="宋体" w:hAnsi="宋体" w:cs="宋体"/>
          <w:color w:val="auto"/>
          <w:szCs w:val="21"/>
          <w:highlight w:val="none"/>
        </w:rPr>
        <w:t>7.7 异常恶劣的气候条件</w:t>
      </w:r>
      <w:r>
        <w:rPr>
          <w:color w:val="auto"/>
          <w:highlight w:val="none"/>
        </w:rPr>
        <w:tab/>
      </w:r>
      <w:r>
        <w:rPr>
          <w:color w:val="auto"/>
          <w:highlight w:val="none"/>
        </w:rPr>
        <w:fldChar w:fldCharType="begin"/>
      </w:r>
      <w:r>
        <w:rPr>
          <w:color w:val="auto"/>
          <w:highlight w:val="none"/>
        </w:rPr>
        <w:instrText xml:space="preserve"> PAGEREF _Toc23635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"_Toc8482" </w:instrText>
      </w:r>
      <w:r>
        <w:rPr>
          <w:color w:val="auto"/>
          <w:highlight w:val="none"/>
        </w:rPr>
        <w:fldChar w:fldCharType="separate"/>
      </w:r>
      <w:r>
        <w:rPr>
          <w:rFonts w:hint="eastAsia" w:ascii="宋体" w:hAnsi="宋体" w:cs="宋体"/>
          <w:color w:val="auto"/>
          <w:szCs w:val="21"/>
          <w:highlight w:val="none"/>
        </w:rPr>
        <w:t>7.9提前竣工</w:t>
      </w:r>
      <w:r>
        <w:rPr>
          <w:color w:val="auto"/>
          <w:highlight w:val="none"/>
        </w:rPr>
        <w:tab/>
      </w:r>
      <w:r>
        <w:rPr>
          <w:color w:val="auto"/>
          <w:highlight w:val="none"/>
        </w:rPr>
        <w:fldChar w:fldCharType="begin"/>
      </w:r>
      <w:r>
        <w:rPr>
          <w:color w:val="auto"/>
          <w:highlight w:val="none"/>
        </w:rPr>
        <w:instrText xml:space="preserve"> PAGEREF _Toc8482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"_Toc231" </w:instrText>
      </w:r>
      <w:r>
        <w:rPr>
          <w:color w:val="auto"/>
          <w:highlight w:val="none"/>
        </w:rPr>
        <w:fldChar w:fldCharType="separate"/>
      </w:r>
      <w:r>
        <w:rPr>
          <w:rFonts w:hint="eastAsia" w:ascii="宋体" w:hAnsi="宋体" w:eastAsia="宋体" w:cs="宋体"/>
          <w:color w:val="auto"/>
          <w:szCs w:val="21"/>
          <w:highlight w:val="none"/>
        </w:rPr>
        <w:t>8. 材料与设备</w:t>
      </w:r>
      <w:r>
        <w:rPr>
          <w:color w:val="auto"/>
          <w:highlight w:val="none"/>
        </w:rPr>
        <w:tab/>
      </w:r>
      <w:r>
        <w:rPr>
          <w:color w:val="auto"/>
          <w:highlight w:val="none"/>
        </w:rPr>
        <w:fldChar w:fldCharType="begin"/>
      </w:r>
      <w:r>
        <w:rPr>
          <w:color w:val="auto"/>
          <w:highlight w:val="none"/>
        </w:rPr>
        <w:instrText xml:space="preserve"> PAGEREF _Toc231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"_Toc25329" </w:instrText>
      </w:r>
      <w:r>
        <w:rPr>
          <w:color w:val="auto"/>
          <w:highlight w:val="none"/>
        </w:rPr>
        <w:fldChar w:fldCharType="separate"/>
      </w:r>
      <w:r>
        <w:rPr>
          <w:rFonts w:hint="eastAsia" w:ascii="宋体" w:hAnsi="宋体" w:cs="宋体"/>
          <w:color w:val="auto"/>
          <w:szCs w:val="21"/>
          <w:highlight w:val="none"/>
        </w:rPr>
        <w:t>8.1发包人供应材料与工程设备</w:t>
      </w:r>
      <w:r>
        <w:rPr>
          <w:color w:val="auto"/>
          <w:highlight w:val="none"/>
        </w:rPr>
        <w:tab/>
      </w:r>
      <w:r>
        <w:rPr>
          <w:color w:val="auto"/>
          <w:highlight w:val="none"/>
        </w:rPr>
        <w:fldChar w:fldCharType="begin"/>
      </w:r>
      <w:r>
        <w:rPr>
          <w:color w:val="auto"/>
          <w:highlight w:val="none"/>
        </w:rPr>
        <w:instrText xml:space="preserve"> PAGEREF _Toc25329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"_Toc21751" </w:instrText>
      </w:r>
      <w:r>
        <w:rPr>
          <w:color w:val="auto"/>
          <w:highlight w:val="none"/>
        </w:rPr>
        <w:fldChar w:fldCharType="separate"/>
      </w:r>
      <w:r>
        <w:rPr>
          <w:rFonts w:hint="eastAsia" w:ascii="宋体" w:hAnsi="宋体" w:cs="宋体"/>
          <w:color w:val="auto"/>
          <w:szCs w:val="21"/>
          <w:highlight w:val="none"/>
        </w:rPr>
        <w:t>8.2承包人采购材料与工程设备</w:t>
      </w:r>
      <w:r>
        <w:rPr>
          <w:color w:val="auto"/>
          <w:highlight w:val="none"/>
        </w:rPr>
        <w:tab/>
      </w:r>
      <w:r>
        <w:rPr>
          <w:color w:val="auto"/>
          <w:highlight w:val="none"/>
        </w:rPr>
        <w:fldChar w:fldCharType="begin"/>
      </w:r>
      <w:r>
        <w:rPr>
          <w:color w:val="auto"/>
          <w:highlight w:val="none"/>
        </w:rPr>
        <w:instrText xml:space="preserve"> PAGEREF _Toc21751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"_Toc8681" </w:instrText>
      </w:r>
      <w:r>
        <w:rPr>
          <w:color w:val="auto"/>
          <w:highlight w:val="none"/>
        </w:rPr>
        <w:fldChar w:fldCharType="separate"/>
      </w:r>
      <w:r>
        <w:rPr>
          <w:rFonts w:hint="eastAsia" w:ascii="宋体" w:hAnsi="宋体" w:cs="宋体"/>
          <w:color w:val="auto"/>
          <w:szCs w:val="21"/>
          <w:highlight w:val="none"/>
        </w:rPr>
        <w:t>8.3材料与工程设备的接收与拒收</w:t>
      </w:r>
      <w:r>
        <w:rPr>
          <w:color w:val="auto"/>
          <w:highlight w:val="none"/>
        </w:rPr>
        <w:tab/>
      </w:r>
      <w:r>
        <w:rPr>
          <w:color w:val="auto"/>
          <w:highlight w:val="none"/>
        </w:rPr>
        <w:fldChar w:fldCharType="begin"/>
      </w:r>
      <w:r>
        <w:rPr>
          <w:color w:val="auto"/>
          <w:highlight w:val="none"/>
        </w:rPr>
        <w:instrText xml:space="preserve"> PAGEREF _Toc8681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"_Toc20406" </w:instrText>
      </w:r>
      <w:r>
        <w:rPr>
          <w:color w:val="auto"/>
          <w:highlight w:val="none"/>
        </w:rPr>
        <w:fldChar w:fldCharType="separate"/>
      </w:r>
      <w:r>
        <w:rPr>
          <w:rFonts w:hint="eastAsia" w:ascii="宋体" w:hAnsi="宋体" w:cs="宋体"/>
          <w:color w:val="auto"/>
          <w:szCs w:val="21"/>
          <w:highlight w:val="none"/>
        </w:rPr>
        <w:t>8.4材料与工程设备的保管与使用</w:t>
      </w:r>
      <w:r>
        <w:rPr>
          <w:color w:val="auto"/>
          <w:highlight w:val="none"/>
        </w:rPr>
        <w:tab/>
      </w:r>
      <w:r>
        <w:rPr>
          <w:color w:val="auto"/>
          <w:highlight w:val="none"/>
        </w:rPr>
        <w:fldChar w:fldCharType="begin"/>
      </w:r>
      <w:r>
        <w:rPr>
          <w:color w:val="auto"/>
          <w:highlight w:val="none"/>
        </w:rPr>
        <w:instrText xml:space="preserve"> PAGEREF _Toc20406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"_Toc20303" </w:instrText>
      </w:r>
      <w:r>
        <w:rPr>
          <w:color w:val="auto"/>
          <w:highlight w:val="none"/>
        </w:rPr>
        <w:fldChar w:fldCharType="separate"/>
      </w:r>
      <w:r>
        <w:rPr>
          <w:rFonts w:hint="eastAsia" w:ascii="宋体" w:hAnsi="宋体" w:cs="宋体"/>
          <w:color w:val="auto"/>
          <w:szCs w:val="21"/>
          <w:highlight w:val="none"/>
        </w:rPr>
        <w:t>8.5禁止使用不合格的材料和工程设备</w:t>
      </w:r>
      <w:r>
        <w:rPr>
          <w:color w:val="auto"/>
          <w:highlight w:val="none"/>
        </w:rPr>
        <w:tab/>
      </w:r>
      <w:r>
        <w:rPr>
          <w:color w:val="auto"/>
          <w:highlight w:val="none"/>
        </w:rPr>
        <w:fldChar w:fldCharType="begin"/>
      </w:r>
      <w:r>
        <w:rPr>
          <w:color w:val="auto"/>
          <w:highlight w:val="none"/>
        </w:rPr>
        <w:instrText xml:space="preserve"> PAGEREF _Toc20303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"_Toc8369" </w:instrText>
      </w:r>
      <w:r>
        <w:rPr>
          <w:color w:val="auto"/>
          <w:highlight w:val="none"/>
        </w:rPr>
        <w:fldChar w:fldCharType="separate"/>
      </w:r>
      <w:r>
        <w:rPr>
          <w:rFonts w:hint="eastAsia" w:ascii="宋体" w:hAnsi="宋体" w:cs="宋体"/>
          <w:color w:val="auto"/>
          <w:szCs w:val="21"/>
          <w:highlight w:val="none"/>
        </w:rPr>
        <w:t>8.6 样品</w:t>
      </w:r>
      <w:r>
        <w:rPr>
          <w:color w:val="auto"/>
          <w:highlight w:val="none"/>
        </w:rPr>
        <w:tab/>
      </w:r>
      <w:r>
        <w:rPr>
          <w:color w:val="auto"/>
          <w:highlight w:val="none"/>
        </w:rPr>
        <w:fldChar w:fldCharType="begin"/>
      </w:r>
      <w:r>
        <w:rPr>
          <w:color w:val="auto"/>
          <w:highlight w:val="none"/>
        </w:rPr>
        <w:instrText xml:space="preserve"> PAGEREF _Toc8369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"_Toc14965" </w:instrText>
      </w:r>
      <w:r>
        <w:rPr>
          <w:color w:val="auto"/>
          <w:highlight w:val="none"/>
        </w:rPr>
        <w:fldChar w:fldCharType="separate"/>
      </w:r>
      <w:r>
        <w:rPr>
          <w:rFonts w:hint="eastAsia" w:ascii="宋体" w:hAnsi="宋体" w:cs="宋体"/>
          <w:color w:val="auto"/>
          <w:szCs w:val="21"/>
          <w:highlight w:val="none"/>
        </w:rPr>
        <w:t>8.7材料与工程设备的替代</w:t>
      </w:r>
      <w:r>
        <w:rPr>
          <w:color w:val="auto"/>
          <w:highlight w:val="none"/>
        </w:rPr>
        <w:tab/>
      </w:r>
      <w:r>
        <w:rPr>
          <w:color w:val="auto"/>
          <w:highlight w:val="none"/>
        </w:rPr>
        <w:fldChar w:fldCharType="begin"/>
      </w:r>
      <w:r>
        <w:rPr>
          <w:color w:val="auto"/>
          <w:highlight w:val="none"/>
        </w:rPr>
        <w:instrText xml:space="preserve"> PAGEREF _Toc14965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"_Toc2076" </w:instrText>
      </w:r>
      <w:r>
        <w:rPr>
          <w:color w:val="auto"/>
          <w:highlight w:val="none"/>
        </w:rPr>
        <w:fldChar w:fldCharType="separate"/>
      </w:r>
      <w:r>
        <w:rPr>
          <w:rFonts w:hint="eastAsia" w:ascii="宋体" w:hAnsi="宋体" w:cs="宋体"/>
          <w:color w:val="auto"/>
          <w:szCs w:val="21"/>
          <w:highlight w:val="none"/>
        </w:rPr>
        <w:t>8.8施工设备和临时设施</w:t>
      </w:r>
      <w:r>
        <w:rPr>
          <w:color w:val="auto"/>
          <w:highlight w:val="none"/>
        </w:rPr>
        <w:tab/>
      </w:r>
      <w:r>
        <w:rPr>
          <w:color w:val="auto"/>
          <w:highlight w:val="none"/>
        </w:rPr>
        <w:fldChar w:fldCharType="begin"/>
      </w:r>
      <w:r>
        <w:rPr>
          <w:color w:val="auto"/>
          <w:highlight w:val="none"/>
        </w:rPr>
        <w:instrText xml:space="preserve"> PAGEREF _Toc2076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"_Toc16445" </w:instrText>
      </w:r>
      <w:r>
        <w:rPr>
          <w:color w:val="auto"/>
          <w:highlight w:val="none"/>
        </w:rPr>
        <w:fldChar w:fldCharType="separate"/>
      </w:r>
      <w:r>
        <w:rPr>
          <w:rFonts w:hint="eastAsia" w:ascii="宋体" w:hAnsi="宋体" w:cs="宋体"/>
          <w:color w:val="auto"/>
          <w:szCs w:val="21"/>
          <w:highlight w:val="none"/>
        </w:rPr>
        <w:t>8.9材料与设备专用要求</w:t>
      </w:r>
      <w:r>
        <w:rPr>
          <w:color w:val="auto"/>
          <w:highlight w:val="none"/>
        </w:rPr>
        <w:tab/>
      </w:r>
      <w:r>
        <w:rPr>
          <w:color w:val="auto"/>
          <w:highlight w:val="none"/>
        </w:rPr>
        <w:fldChar w:fldCharType="begin"/>
      </w:r>
      <w:r>
        <w:rPr>
          <w:color w:val="auto"/>
          <w:highlight w:val="none"/>
        </w:rPr>
        <w:instrText xml:space="preserve"> PAGEREF _Toc16445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"_Toc7885" </w:instrText>
      </w:r>
      <w:r>
        <w:rPr>
          <w:color w:val="auto"/>
          <w:highlight w:val="none"/>
        </w:rPr>
        <w:fldChar w:fldCharType="separate"/>
      </w:r>
      <w:r>
        <w:rPr>
          <w:rFonts w:hint="eastAsia" w:ascii="宋体" w:hAnsi="宋体" w:eastAsia="宋体" w:cs="宋体"/>
          <w:color w:val="auto"/>
          <w:szCs w:val="21"/>
          <w:highlight w:val="none"/>
        </w:rPr>
        <w:t>9. 试验与检验</w:t>
      </w:r>
      <w:r>
        <w:rPr>
          <w:color w:val="auto"/>
          <w:highlight w:val="none"/>
        </w:rPr>
        <w:tab/>
      </w:r>
      <w:r>
        <w:rPr>
          <w:color w:val="auto"/>
          <w:highlight w:val="none"/>
        </w:rPr>
        <w:fldChar w:fldCharType="begin"/>
      </w:r>
      <w:r>
        <w:rPr>
          <w:color w:val="auto"/>
          <w:highlight w:val="none"/>
        </w:rPr>
        <w:instrText xml:space="preserve"> PAGEREF _Toc7885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"_Toc28599" </w:instrText>
      </w:r>
      <w:r>
        <w:rPr>
          <w:color w:val="auto"/>
          <w:highlight w:val="none"/>
        </w:rPr>
        <w:fldChar w:fldCharType="separate"/>
      </w:r>
      <w:r>
        <w:rPr>
          <w:rFonts w:hint="eastAsia" w:ascii="宋体" w:hAnsi="宋体" w:cs="宋体"/>
          <w:color w:val="auto"/>
          <w:szCs w:val="21"/>
          <w:highlight w:val="none"/>
        </w:rPr>
        <w:t>9.1试验设备与试验人员</w:t>
      </w:r>
      <w:r>
        <w:rPr>
          <w:color w:val="auto"/>
          <w:highlight w:val="none"/>
        </w:rPr>
        <w:tab/>
      </w:r>
      <w:r>
        <w:rPr>
          <w:color w:val="auto"/>
          <w:highlight w:val="none"/>
        </w:rPr>
        <w:fldChar w:fldCharType="begin"/>
      </w:r>
      <w:r>
        <w:rPr>
          <w:color w:val="auto"/>
          <w:highlight w:val="none"/>
        </w:rPr>
        <w:instrText xml:space="preserve"> PAGEREF _Toc28599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"_Toc29398" </w:instrText>
      </w:r>
      <w:r>
        <w:rPr>
          <w:color w:val="auto"/>
          <w:highlight w:val="none"/>
        </w:rPr>
        <w:fldChar w:fldCharType="separate"/>
      </w:r>
      <w:r>
        <w:rPr>
          <w:rFonts w:hint="eastAsia" w:ascii="宋体" w:hAnsi="宋体" w:cs="宋体"/>
          <w:color w:val="auto"/>
          <w:szCs w:val="21"/>
          <w:highlight w:val="none"/>
        </w:rPr>
        <w:t>9.2取样</w:t>
      </w:r>
      <w:r>
        <w:rPr>
          <w:color w:val="auto"/>
          <w:highlight w:val="none"/>
        </w:rPr>
        <w:tab/>
      </w:r>
      <w:r>
        <w:rPr>
          <w:color w:val="auto"/>
          <w:highlight w:val="none"/>
        </w:rPr>
        <w:fldChar w:fldCharType="begin"/>
      </w:r>
      <w:r>
        <w:rPr>
          <w:color w:val="auto"/>
          <w:highlight w:val="none"/>
        </w:rPr>
        <w:instrText xml:space="preserve"> PAGEREF _Toc29398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"_Toc5326" </w:instrText>
      </w:r>
      <w:r>
        <w:rPr>
          <w:color w:val="auto"/>
          <w:highlight w:val="none"/>
        </w:rPr>
        <w:fldChar w:fldCharType="separate"/>
      </w:r>
      <w:r>
        <w:rPr>
          <w:rFonts w:hint="eastAsia" w:ascii="宋体" w:hAnsi="宋体" w:cs="宋体"/>
          <w:color w:val="auto"/>
          <w:szCs w:val="21"/>
          <w:highlight w:val="none"/>
        </w:rPr>
        <w:t>9.3材料、工程设备和工程的试验和检验</w:t>
      </w:r>
      <w:r>
        <w:rPr>
          <w:color w:val="auto"/>
          <w:highlight w:val="none"/>
        </w:rPr>
        <w:tab/>
      </w:r>
      <w:r>
        <w:rPr>
          <w:color w:val="auto"/>
          <w:highlight w:val="none"/>
        </w:rPr>
        <w:fldChar w:fldCharType="begin"/>
      </w:r>
      <w:r>
        <w:rPr>
          <w:color w:val="auto"/>
          <w:highlight w:val="none"/>
        </w:rPr>
        <w:instrText xml:space="preserve"> PAGEREF _Toc5326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"_Toc17945" </w:instrText>
      </w:r>
      <w:r>
        <w:rPr>
          <w:color w:val="auto"/>
          <w:highlight w:val="none"/>
        </w:rPr>
        <w:fldChar w:fldCharType="separate"/>
      </w:r>
      <w:r>
        <w:rPr>
          <w:rFonts w:hint="eastAsia" w:ascii="宋体" w:hAnsi="宋体" w:cs="宋体"/>
          <w:color w:val="auto"/>
          <w:szCs w:val="21"/>
          <w:highlight w:val="none"/>
        </w:rPr>
        <w:t>9.4现场工艺试验</w:t>
      </w:r>
      <w:r>
        <w:rPr>
          <w:color w:val="auto"/>
          <w:highlight w:val="none"/>
        </w:rPr>
        <w:tab/>
      </w:r>
      <w:r>
        <w:rPr>
          <w:color w:val="auto"/>
          <w:highlight w:val="none"/>
        </w:rPr>
        <w:fldChar w:fldCharType="begin"/>
      </w:r>
      <w:r>
        <w:rPr>
          <w:color w:val="auto"/>
          <w:highlight w:val="none"/>
        </w:rPr>
        <w:instrText xml:space="preserve"> PAGEREF _Toc17945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"_Toc24851" </w:instrText>
      </w:r>
      <w:r>
        <w:rPr>
          <w:color w:val="auto"/>
          <w:highlight w:val="none"/>
        </w:rPr>
        <w:fldChar w:fldCharType="separate"/>
      </w:r>
      <w:r>
        <w:rPr>
          <w:rFonts w:hint="eastAsia" w:ascii="宋体" w:hAnsi="宋体" w:eastAsia="宋体" w:cs="宋体"/>
          <w:color w:val="auto"/>
          <w:szCs w:val="21"/>
          <w:highlight w:val="none"/>
        </w:rPr>
        <w:t>10. 变更</w:t>
      </w:r>
      <w:r>
        <w:rPr>
          <w:color w:val="auto"/>
          <w:highlight w:val="none"/>
        </w:rPr>
        <w:tab/>
      </w:r>
      <w:r>
        <w:rPr>
          <w:color w:val="auto"/>
          <w:highlight w:val="none"/>
        </w:rPr>
        <w:fldChar w:fldCharType="begin"/>
      </w:r>
      <w:r>
        <w:rPr>
          <w:color w:val="auto"/>
          <w:highlight w:val="none"/>
        </w:rPr>
        <w:instrText xml:space="preserve"> PAGEREF _Toc24851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"_Toc26185" </w:instrText>
      </w:r>
      <w:r>
        <w:rPr>
          <w:color w:val="auto"/>
          <w:highlight w:val="none"/>
        </w:rPr>
        <w:fldChar w:fldCharType="separate"/>
      </w:r>
      <w:r>
        <w:rPr>
          <w:rFonts w:hint="eastAsia" w:ascii="宋体" w:hAnsi="宋体" w:cs="宋体"/>
          <w:color w:val="auto"/>
          <w:szCs w:val="21"/>
          <w:highlight w:val="none"/>
        </w:rPr>
        <w:t>10.1变更的范围</w:t>
      </w:r>
      <w:r>
        <w:rPr>
          <w:color w:val="auto"/>
          <w:highlight w:val="none"/>
        </w:rPr>
        <w:tab/>
      </w:r>
      <w:r>
        <w:rPr>
          <w:color w:val="auto"/>
          <w:highlight w:val="none"/>
        </w:rPr>
        <w:fldChar w:fldCharType="begin"/>
      </w:r>
      <w:r>
        <w:rPr>
          <w:color w:val="auto"/>
          <w:highlight w:val="none"/>
        </w:rPr>
        <w:instrText xml:space="preserve"> PAGEREF _Toc26185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"_Toc27687" </w:instrText>
      </w:r>
      <w:r>
        <w:rPr>
          <w:color w:val="auto"/>
          <w:highlight w:val="none"/>
        </w:rPr>
        <w:fldChar w:fldCharType="separate"/>
      </w:r>
      <w:r>
        <w:rPr>
          <w:rFonts w:hint="eastAsia" w:ascii="宋体" w:hAnsi="宋体" w:cs="宋体"/>
          <w:color w:val="auto"/>
          <w:szCs w:val="21"/>
          <w:highlight w:val="none"/>
        </w:rPr>
        <w:t>10.2变更权</w:t>
      </w:r>
      <w:r>
        <w:rPr>
          <w:color w:val="auto"/>
          <w:highlight w:val="none"/>
        </w:rPr>
        <w:tab/>
      </w:r>
      <w:r>
        <w:rPr>
          <w:color w:val="auto"/>
          <w:highlight w:val="none"/>
        </w:rPr>
        <w:fldChar w:fldCharType="begin"/>
      </w:r>
      <w:r>
        <w:rPr>
          <w:color w:val="auto"/>
          <w:highlight w:val="none"/>
        </w:rPr>
        <w:instrText xml:space="preserve"> PAGEREF _Toc27687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"_Toc4667" </w:instrText>
      </w:r>
      <w:r>
        <w:rPr>
          <w:color w:val="auto"/>
          <w:highlight w:val="none"/>
        </w:rPr>
        <w:fldChar w:fldCharType="separate"/>
      </w:r>
      <w:r>
        <w:rPr>
          <w:rFonts w:hint="eastAsia" w:ascii="宋体" w:hAnsi="宋体" w:cs="宋体"/>
          <w:color w:val="auto"/>
          <w:szCs w:val="21"/>
          <w:highlight w:val="none"/>
        </w:rPr>
        <w:t>10.3变更程序</w:t>
      </w:r>
      <w:r>
        <w:rPr>
          <w:color w:val="auto"/>
          <w:highlight w:val="none"/>
        </w:rPr>
        <w:tab/>
      </w:r>
      <w:r>
        <w:rPr>
          <w:color w:val="auto"/>
          <w:highlight w:val="none"/>
        </w:rPr>
        <w:fldChar w:fldCharType="begin"/>
      </w:r>
      <w:r>
        <w:rPr>
          <w:color w:val="auto"/>
          <w:highlight w:val="none"/>
        </w:rPr>
        <w:instrText xml:space="preserve"> PAGEREF _Toc4667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"_Toc20579" </w:instrText>
      </w:r>
      <w:r>
        <w:rPr>
          <w:color w:val="auto"/>
          <w:highlight w:val="none"/>
        </w:rPr>
        <w:fldChar w:fldCharType="separate"/>
      </w:r>
      <w:r>
        <w:rPr>
          <w:rFonts w:hint="eastAsia" w:ascii="宋体" w:hAnsi="宋体" w:cs="宋体"/>
          <w:color w:val="auto"/>
          <w:szCs w:val="21"/>
          <w:highlight w:val="none"/>
        </w:rPr>
        <w:t>10.4变更估价</w:t>
      </w:r>
      <w:r>
        <w:rPr>
          <w:color w:val="auto"/>
          <w:highlight w:val="none"/>
        </w:rPr>
        <w:tab/>
      </w:r>
      <w:r>
        <w:rPr>
          <w:color w:val="auto"/>
          <w:highlight w:val="none"/>
        </w:rPr>
        <w:fldChar w:fldCharType="begin"/>
      </w:r>
      <w:r>
        <w:rPr>
          <w:color w:val="auto"/>
          <w:highlight w:val="none"/>
        </w:rPr>
        <w:instrText xml:space="preserve"> PAGEREF _Toc20579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"_Toc15987" </w:instrText>
      </w:r>
      <w:r>
        <w:rPr>
          <w:color w:val="auto"/>
          <w:highlight w:val="none"/>
        </w:rPr>
        <w:fldChar w:fldCharType="separate"/>
      </w:r>
      <w:r>
        <w:rPr>
          <w:rFonts w:hint="eastAsia" w:ascii="宋体" w:hAnsi="宋体" w:cs="宋体"/>
          <w:color w:val="auto"/>
          <w:szCs w:val="21"/>
          <w:highlight w:val="none"/>
        </w:rPr>
        <w:t>10.5承包人的合理化建议</w:t>
      </w:r>
      <w:r>
        <w:rPr>
          <w:color w:val="auto"/>
          <w:highlight w:val="none"/>
        </w:rPr>
        <w:tab/>
      </w:r>
      <w:r>
        <w:rPr>
          <w:color w:val="auto"/>
          <w:highlight w:val="none"/>
        </w:rPr>
        <w:fldChar w:fldCharType="begin"/>
      </w:r>
      <w:r>
        <w:rPr>
          <w:color w:val="auto"/>
          <w:highlight w:val="none"/>
        </w:rPr>
        <w:instrText xml:space="preserve"> PAGEREF _Toc15987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"_Toc3484" </w:instrText>
      </w:r>
      <w:r>
        <w:rPr>
          <w:color w:val="auto"/>
          <w:highlight w:val="none"/>
        </w:rPr>
        <w:fldChar w:fldCharType="separate"/>
      </w:r>
      <w:r>
        <w:rPr>
          <w:rFonts w:hint="eastAsia" w:ascii="宋体" w:hAnsi="宋体" w:cs="宋体"/>
          <w:color w:val="auto"/>
          <w:szCs w:val="21"/>
          <w:highlight w:val="none"/>
        </w:rPr>
        <w:t>10.6变更引起的工期调整</w:t>
      </w:r>
      <w:r>
        <w:rPr>
          <w:color w:val="auto"/>
          <w:highlight w:val="none"/>
        </w:rPr>
        <w:tab/>
      </w:r>
      <w:r>
        <w:rPr>
          <w:color w:val="auto"/>
          <w:highlight w:val="none"/>
        </w:rPr>
        <w:fldChar w:fldCharType="begin"/>
      </w:r>
      <w:r>
        <w:rPr>
          <w:color w:val="auto"/>
          <w:highlight w:val="none"/>
        </w:rPr>
        <w:instrText xml:space="preserve"> PAGEREF _Toc3484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"_Toc23367" </w:instrText>
      </w:r>
      <w:r>
        <w:rPr>
          <w:color w:val="auto"/>
          <w:highlight w:val="none"/>
        </w:rPr>
        <w:fldChar w:fldCharType="separate"/>
      </w:r>
      <w:r>
        <w:rPr>
          <w:rFonts w:hint="eastAsia" w:ascii="宋体" w:hAnsi="宋体" w:cs="宋体"/>
          <w:color w:val="auto"/>
          <w:szCs w:val="21"/>
          <w:highlight w:val="none"/>
        </w:rPr>
        <w:t>10.7暂估价</w:t>
      </w:r>
      <w:r>
        <w:rPr>
          <w:color w:val="auto"/>
          <w:highlight w:val="none"/>
        </w:rPr>
        <w:tab/>
      </w:r>
      <w:r>
        <w:rPr>
          <w:color w:val="auto"/>
          <w:highlight w:val="none"/>
        </w:rPr>
        <w:fldChar w:fldCharType="begin"/>
      </w:r>
      <w:r>
        <w:rPr>
          <w:color w:val="auto"/>
          <w:highlight w:val="none"/>
        </w:rPr>
        <w:instrText xml:space="preserve"> PAGEREF _Toc23367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"_Toc27454" </w:instrText>
      </w:r>
      <w:r>
        <w:rPr>
          <w:color w:val="auto"/>
          <w:highlight w:val="none"/>
        </w:rPr>
        <w:fldChar w:fldCharType="separate"/>
      </w:r>
      <w:r>
        <w:rPr>
          <w:rFonts w:hint="eastAsia" w:ascii="宋体" w:hAnsi="宋体" w:cs="宋体"/>
          <w:color w:val="auto"/>
          <w:szCs w:val="21"/>
          <w:highlight w:val="none"/>
        </w:rPr>
        <w:t>10.8暂列金额</w:t>
      </w:r>
      <w:r>
        <w:rPr>
          <w:color w:val="auto"/>
          <w:highlight w:val="none"/>
        </w:rPr>
        <w:tab/>
      </w:r>
      <w:r>
        <w:rPr>
          <w:color w:val="auto"/>
          <w:highlight w:val="none"/>
        </w:rPr>
        <w:fldChar w:fldCharType="begin"/>
      </w:r>
      <w:r>
        <w:rPr>
          <w:color w:val="auto"/>
          <w:highlight w:val="none"/>
        </w:rPr>
        <w:instrText xml:space="preserve"> PAGEREF _Toc27454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"_Toc4384" </w:instrText>
      </w:r>
      <w:r>
        <w:rPr>
          <w:color w:val="auto"/>
          <w:highlight w:val="none"/>
        </w:rPr>
        <w:fldChar w:fldCharType="separate"/>
      </w:r>
      <w:r>
        <w:rPr>
          <w:rFonts w:hint="eastAsia" w:ascii="宋体" w:hAnsi="宋体" w:cs="宋体"/>
          <w:color w:val="auto"/>
          <w:szCs w:val="21"/>
          <w:highlight w:val="none"/>
        </w:rPr>
        <w:t>10.9计日工</w:t>
      </w:r>
      <w:r>
        <w:rPr>
          <w:color w:val="auto"/>
          <w:highlight w:val="none"/>
        </w:rPr>
        <w:tab/>
      </w:r>
      <w:r>
        <w:rPr>
          <w:color w:val="auto"/>
          <w:highlight w:val="none"/>
        </w:rPr>
        <w:fldChar w:fldCharType="begin"/>
      </w:r>
      <w:r>
        <w:rPr>
          <w:color w:val="auto"/>
          <w:highlight w:val="none"/>
        </w:rPr>
        <w:instrText xml:space="preserve"> PAGEREF _Toc4384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"_Toc7190" </w:instrText>
      </w:r>
      <w:r>
        <w:rPr>
          <w:color w:val="auto"/>
          <w:highlight w:val="none"/>
        </w:rPr>
        <w:fldChar w:fldCharType="separate"/>
      </w:r>
      <w:r>
        <w:rPr>
          <w:rFonts w:hint="eastAsia" w:ascii="宋体" w:hAnsi="宋体" w:eastAsia="宋体" w:cs="宋体"/>
          <w:color w:val="auto"/>
          <w:szCs w:val="21"/>
          <w:highlight w:val="none"/>
        </w:rPr>
        <w:t>11. 价格调整</w:t>
      </w:r>
      <w:r>
        <w:rPr>
          <w:color w:val="auto"/>
          <w:highlight w:val="none"/>
        </w:rPr>
        <w:tab/>
      </w:r>
      <w:r>
        <w:rPr>
          <w:color w:val="auto"/>
          <w:highlight w:val="none"/>
        </w:rPr>
        <w:fldChar w:fldCharType="begin"/>
      </w:r>
      <w:r>
        <w:rPr>
          <w:color w:val="auto"/>
          <w:highlight w:val="none"/>
        </w:rPr>
        <w:instrText xml:space="preserve"> PAGEREF _Toc7190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"_Toc19345" </w:instrText>
      </w:r>
      <w:r>
        <w:rPr>
          <w:color w:val="auto"/>
          <w:highlight w:val="none"/>
        </w:rPr>
        <w:fldChar w:fldCharType="separate"/>
      </w:r>
      <w:r>
        <w:rPr>
          <w:rFonts w:hint="eastAsia" w:ascii="宋体" w:hAnsi="宋体" w:cs="宋体"/>
          <w:color w:val="auto"/>
          <w:szCs w:val="21"/>
          <w:highlight w:val="none"/>
        </w:rPr>
        <w:t>11.1市场价格波动引起的调整</w:t>
      </w:r>
      <w:r>
        <w:rPr>
          <w:color w:val="auto"/>
          <w:highlight w:val="none"/>
        </w:rPr>
        <w:tab/>
      </w:r>
      <w:r>
        <w:rPr>
          <w:color w:val="auto"/>
          <w:highlight w:val="none"/>
        </w:rPr>
        <w:fldChar w:fldCharType="begin"/>
      </w:r>
      <w:r>
        <w:rPr>
          <w:color w:val="auto"/>
          <w:highlight w:val="none"/>
        </w:rPr>
        <w:instrText xml:space="preserve"> PAGEREF _Toc19345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"_Toc14714" </w:instrText>
      </w:r>
      <w:r>
        <w:rPr>
          <w:color w:val="auto"/>
          <w:highlight w:val="none"/>
        </w:rPr>
        <w:fldChar w:fldCharType="separate"/>
      </w:r>
      <w:r>
        <w:rPr>
          <w:rFonts w:hint="eastAsia" w:ascii="宋体" w:hAnsi="宋体" w:cs="宋体"/>
          <w:color w:val="auto"/>
          <w:szCs w:val="21"/>
          <w:highlight w:val="none"/>
        </w:rPr>
        <w:t>11.2法律变化引起的调整</w:t>
      </w:r>
      <w:r>
        <w:rPr>
          <w:color w:val="auto"/>
          <w:highlight w:val="none"/>
        </w:rPr>
        <w:tab/>
      </w:r>
      <w:r>
        <w:rPr>
          <w:color w:val="auto"/>
          <w:highlight w:val="none"/>
        </w:rPr>
        <w:fldChar w:fldCharType="begin"/>
      </w:r>
      <w:r>
        <w:rPr>
          <w:color w:val="auto"/>
          <w:highlight w:val="none"/>
        </w:rPr>
        <w:instrText xml:space="preserve"> PAGEREF _Toc14714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"_Toc29281" </w:instrText>
      </w:r>
      <w:r>
        <w:rPr>
          <w:color w:val="auto"/>
          <w:highlight w:val="none"/>
        </w:rPr>
        <w:fldChar w:fldCharType="separate"/>
      </w:r>
      <w:r>
        <w:rPr>
          <w:rFonts w:hint="eastAsia" w:ascii="宋体" w:hAnsi="宋体" w:eastAsia="宋体" w:cs="宋体"/>
          <w:color w:val="auto"/>
          <w:szCs w:val="21"/>
          <w:highlight w:val="none"/>
        </w:rPr>
        <w:t>12. 合同价格、计量与支付</w:t>
      </w:r>
      <w:r>
        <w:rPr>
          <w:color w:val="auto"/>
          <w:highlight w:val="none"/>
        </w:rPr>
        <w:tab/>
      </w:r>
      <w:r>
        <w:rPr>
          <w:color w:val="auto"/>
          <w:highlight w:val="none"/>
        </w:rPr>
        <w:fldChar w:fldCharType="begin"/>
      </w:r>
      <w:r>
        <w:rPr>
          <w:color w:val="auto"/>
          <w:highlight w:val="none"/>
        </w:rPr>
        <w:instrText xml:space="preserve"> PAGEREF _Toc29281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"_Toc6328" </w:instrText>
      </w:r>
      <w:r>
        <w:rPr>
          <w:color w:val="auto"/>
          <w:highlight w:val="none"/>
        </w:rPr>
        <w:fldChar w:fldCharType="separate"/>
      </w:r>
      <w:r>
        <w:rPr>
          <w:rFonts w:hint="eastAsia" w:ascii="宋体" w:hAnsi="宋体" w:cs="宋体"/>
          <w:color w:val="auto"/>
          <w:szCs w:val="21"/>
          <w:highlight w:val="none"/>
        </w:rPr>
        <w:t>12.1 合同价格形式</w:t>
      </w:r>
      <w:r>
        <w:rPr>
          <w:color w:val="auto"/>
          <w:highlight w:val="none"/>
        </w:rPr>
        <w:tab/>
      </w:r>
      <w:r>
        <w:rPr>
          <w:color w:val="auto"/>
          <w:highlight w:val="none"/>
        </w:rPr>
        <w:fldChar w:fldCharType="begin"/>
      </w:r>
      <w:r>
        <w:rPr>
          <w:color w:val="auto"/>
          <w:highlight w:val="none"/>
        </w:rPr>
        <w:instrText xml:space="preserve"> PAGEREF _Toc6328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"_Toc26560" </w:instrText>
      </w:r>
      <w:r>
        <w:rPr>
          <w:color w:val="auto"/>
          <w:highlight w:val="none"/>
        </w:rPr>
        <w:fldChar w:fldCharType="separate"/>
      </w:r>
      <w:r>
        <w:rPr>
          <w:rFonts w:hint="eastAsia" w:ascii="宋体" w:hAnsi="宋体" w:cs="宋体"/>
          <w:color w:val="auto"/>
          <w:szCs w:val="21"/>
          <w:highlight w:val="none"/>
        </w:rPr>
        <w:t>12.2预付款</w:t>
      </w:r>
      <w:r>
        <w:rPr>
          <w:color w:val="auto"/>
          <w:highlight w:val="none"/>
        </w:rPr>
        <w:tab/>
      </w:r>
      <w:r>
        <w:rPr>
          <w:color w:val="auto"/>
          <w:highlight w:val="none"/>
        </w:rPr>
        <w:fldChar w:fldCharType="begin"/>
      </w:r>
      <w:r>
        <w:rPr>
          <w:color w:val="auto"/>
          <w:highlight w:val="none"/>
        </w:rPr>
        <w:instrText xml:space="preserve"> PAGEREF _Toc26560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"_Toc21743" </w:instrText>
      </w:r>
      <w:r>
        <w:rPr>
          <w:color w:val="auto"/>
          <w:highlight w:val="none"/>
        </w:rPr>
        <w:fldChar w:fldCharType="separate"/>
      </w:r>
      <w:r>
        <w:rPr>
          <w:rFonts w:hint="eastAsia" w:ascii="宋体" w:hAnsi="宋体" w:cs="宋体"/>
          <w:color w:val="auto"/>
          <w:szCs w:val="21"/>
          <w:highlight w:val="none"/>
        </w:rPr>
        <w:t>12.3计量</w:t>
      </w:r>
      <w:r>
        <w:rPr>
          <w:color w:val="auto"/>
          <w:highlight w:val="none"/>
        </w:rPr>
        <w:tab/>
      </w:r>
      <w:r>
        <w:rPr>
          <w:color w:val="auto"/>
          <w:highlight w:val="none"/>
        </w:rPr>
        <w:fldChar w:fldCharType="begin"/>
      </w:r>
      <w:r>
        <w:rPr>
          <w:color w:val="auto"/>
          <w:highlight w:val="none"/>
        </w:rPr>
        <w:instrText xml:space="preserve"> PAGEREF _Toc21743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"_Toc23866" </w:instrText>
      </w:r>
      <w:r>
        <w:rPr>
          <w:color w:val="auto"/>
          <w:highlight w:val="none"/>
        </w:rPr>
        <w:fldChar w:fldCharType="separate"/>
      </w:r>
      <w:r>
        <w:rPr>
          <w:rFonts w:hint="eastAsia" w:ascii="宋体" w:hAnsi="宋体" w:cs="宋体"/>
          <w:color w:val="auto"/>
          <w:szCs w:val="21"/>
          <w:highlight w:val="none"/>
        </w:rPr>
        <w:t>12.4工程进度款支付</w:t>
      </w:r>
      <w:r>
        <w:rPr>
          <w:color w:val="auto"/>
          <w:highlight w:val="none"/>
        </w:rPr>
        <w:tab/>
      </w:r>
      <w:r>
        <w:rPr>
          <w:color w:val="auto"/>
          <w:highlight w:val="none"/>
        </w:rPr>
        <w:fldChar w:fldCharType="begin"/>
      </w:r>
      <w:r>
        <w:rPr>
          <w:color w:val="auto"/>
          <w:highlight w:val="none"/>
        </w:rPr>
        <w:instrText xml:space="preserve"> PAGEREF _Toc23866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"_Toc30914" </w:instrText>
      </w:r>
      <w:r>
        <w:rPr>
          <w:color w:val="auto"/>
          <w:highlight w:val="none"/>
        </w:rPr>
        <w:fldChar w:fldCharType="separate"/>
      </w:r>
      <w:r>
        <w:rPr>
          <w:rFonts w:hint="eastAsia" w:ascii="宋体" w:hAnsi="宋体" w:cs="宋体"/>
          <w:color w:val="auto"/>
          <w:szCs w:val="21"/>
          <w:highlight w:val="none"/>
        </w:rPr>
        <w:t>12.5支付账户</w:t>
      </w:r>
      <w:r>
        <w:rPr>
          <w:color w:val="auto"/>
          <w:highlight w:val="none"/>
        </w:rPr>
        <w:tab/>
      </w:r>
      <w:r>
        <w:rPr>
          <w:color w:val="auto"/>
          <w:highlight w:val="none"/>
        </w:rPr>
        <w:fldChar w:fldCharType="begin"/>
      </w:r>
      <w:r>
        <w:rPr>
          <w:color w:val="auto"/>
          <w:highlight w:val="none"/>
        </w:rPr>
        <w:instrText xml:space="preserve"> PAGEREF _Toc30914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"_Toc23844" </w:instrText>
      </w:r>
      <w:r>
        <w:rPr>
          <w:color w:val="auto"/>
          <w:highlight w:val="none"/>
        </w:rPr>
        <w:fldChar w:fldCharType="separate"/>
      </w:r>
      <w:r>
        <w:rPr>
          <w:rFonts w:hint="eastAsia" w:ascii="宋体" w:hAnsi="宋体" w:eastAsia="宋体" w:cs="宋体"/>
          <w:color w:val="auto"/>
          <w:szCs w:val="21"/>
          <w:highlight w:val="none"/>
        </w:rPr>
        <w:t>13. 验收和工程试车</w:t>
      </w:r>
      <w:r>
        <w:rPr>
          <w:color w:val="auto"/>
          <w:highlight w:val="none"/>
        </w:rPr>
        <w:tab/>
      </w:r>
      <w:r>
        <w:rPr>
          <w:color w:val="auto"/>
          <w:highlight w:val="none"/>
        </w:rPr>
        <w:fldChar w:fldCharType="begin"/>
      </w:r>
      <w:r>
        <w:rPr>
          <w:color w:val="auto"/>
          <w:highlight w:val="none"/>
        </w:rPr>
        <w:instrText xml:space="preserve"> PAGEREF _Toc23844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"_Toc20094" </w:instrText>
      </w:r>
      <w:r>
        <w:rPr>
          <w:color w:val="auto"/>
          <w:highlight w:val="none"/>
        </w:rPr>
        <w:fldChar w:fldCharType="separate"/>
      </w:r>
      <w:r>
        <w:rPr>
          <w:rFonts w:hint="eastAsia" w:ascii="宋体" w:hAnsi="宋体" w:cs="宋体"/>
          <w:color w:val="auto"/>
          <w:szCs w:val="21"/>
          <w:highlight w:val="none"/>
        </w:rPr>
        <w:t>13.1分部分项工程验收</w:t>
      </w:r>
      <w:r>
        <w:rPr>
          <w:color w:val="auto"/>
          <w:highlight w:val="none"/>
        </w:rPr>
        <w:tab/>
      </w:r>
      <w:r>
        <w:rPr>
          <w:color w:val="auto"/>
          <w:highlight w:val="none"/>
        </w:rPr>
        <w:fldChar w:fldCharType="begin"/>
      </w:r>
      <w:r>
        <w:rPr>
          <w:color w:val="auto"/>
          <w:highlight w:val="none"/>
        </w:rPr>
        <w:instrText xml:space="preserve"> PAGEREF _Toc20094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"_Toc5275" </w:instrText>
      </w:r>
      <w:r>
        <w:rPr>
          <w:color w:val="auto"/>
          <w:highlight w:val="none"/>
        </w:rPr>
        <w:fldChar w:fldCharType="separate"/>
      </w:r>
      <w:r>
        <w:rPr>
          <w:rFonts w:hint="eastAsia" w:ascii="宋体" w:hAnsi="宋体" w:cs="宋体"/>
          <w:color w:val="auto"/>
          <w:szCs w:val="21"/>
          <w:highlight w:val="none"/>
        </w:rPr>
        <w:t>13.2竣工验收</w:t>
      </w:r>
      <w:r>
        <w:rPr>
          <w:color w:val="auto"/>
          <w:highlight w:val="none"/>
        </w:rPr>
        <w:tab/>
      </w:r>
      <w:r>
        <w:rPr>
          <w:color w:val="auto"/>
          <w:highlight w:val="none"/>
        </w:rPr>
        <w:fldChar w:fldCharType="begin"/>
      </w:r>
      <w:r>
        <w:rPr>
          <w:color w:val="auto"/>
          <w:highlight w:val="none"/>
        </w:rPr>
        <w:instrText xml:space="preserve"> PAGEREF _Toc5275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"_Toc21173" </w:instrText>
      </w:r>
      <w:r>
        <w:rPr>
          <w:color w:val="auto"/>
          <w:highlight w:val="none"/>
        </w:rPr>
        <w:fldChar w:fldCharType="separate"/>
      </w:r>
      <w:r>
        <w:rPr>
          <w:rFonts w:hint="eastAsia" w:ascii="宋体" w:hAnsi="宋体" w:cs="宋体"/>
          <w:color w:val="auto"/>
          <w:szCs w:val="21"/>
          <w:highlight w:val="none"/>
        </w:rPr>
        <w:t>13.3工程试车</w:t>
      </w:r>
      <w:r>
        <w:rPr>
          <w:color w:val="auto"/>
          <w:highlight w:val="none"/>
        </w:rPr>
        <w:tab/>
      </w:r>
      <w:r>
        <w:rPr>
          <w:color w:val="auto"/>
          <w:highlight w:val="none"/>
        </w:rPr>
        <w:fldChar w:fldCharType="begin"/>
      </w:r>
      <w:r>
        <w:rPr>
          <w:color w:val="auto"/>
          <w:highlight w:val="none"/>
        </w:rPr>
        <w:instrText xml:space="preserve"> PAGEREF _Toc21173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"_Toc2634" </w:instrText>
      </w:r>
      <w:r>
        <w:rPr>
          <w:color w:val="auto"/>
          <w:highlight w:val="none"/>
        </w:rPr>
        <w:fldChar w:fldCharType="separate"/>
      </w:r>
      <w:r>
        <w:rPr>
          <w:rFonts w:hint="eastAsia" w:ascii="宋体" w:hAnsi="宋体" w:cs="宋体"/>
          <w:color w:val="auto"/>
          <w:szCs w:val="21"/>
          <w:highlight w:val="none"/>
        </w:rPr>
        <w:t>13.4提前交付单位工程的验收</w:t>
      </w:r>
      <w:r>
        <w:rPr>
          <w:color w:val="auto"/>
          <w:highlight w:val="none"/>
        </w:rPr>
        <w:tab/>
      </w:r>
      <w:r>
        <w:rPr>
          <w:color w:val="auto"/>
          <w:highlight w:val="none"/>
        </w:rPr>
        <w:fldChar w:fldCharType="begin"/>
      </w:r>
      <w:r>
        <w:rPr>
          <w:color w:val="auto"/>
          <w:highlight w:val="none"/>
        </w:rPr>
        <w:instrText xml:space="preserve"> PAGEREF _Toc2634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"_Toc25683" </w:instrText>
      </w:r>
      <w:r>
        <w:rPr>
          <w:color w:val="auto"/>
          <w:highlight w:val="none"/>
        </w:rPr>
        <w:fldChar w:fldCharType="separate"/>
      </w:r>
      <w:r>
        <w:rPr>
          <w:rFonts w:hint="eastAsia" w:ascii="宋体" w:hAnsi="宋体" w:cs="宋体"/>
          <w:color w:val="auto"/>
          <w:szCs w:val="21"/>
          <w:highlight w:val="none"/>
        </w:rPr>
        <w:t>13.5 施工期运行</w:t>
      </w:r>
      <w:r>
        <w:rPr>
          <w:color w:val="auto"/>
          <w:highlight w:val="none"/>
        </w:rPr>
        <w:tab/>
      </w:r>
      <w:r>
        <w:rPr>
          <w:color w:val="auto"/>
          <w:highlight w:val="none"/>
        </w:rPr>
        <w:fldChar w:fldCharType="begin"/>
      </w:r>
      <w:r>
        <w:rPr>
          <w:color w:val="auto"/>
          <w:highlight w:val="none"/>
        </w:rPr>
        <w:instrText xml:space="preserve"> PAGEREF _Toc25683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"_Toc4241" </w:instrText>
      </w:r>
      <w:r>
        <w:rPr>
          <w:color w:val="auto"/>
          <w:highlight w:val="none"/>
        </w:rPr>
        <w:fldChar w:fldCharType="separate"/>
      </w:r>
      <w:r>
        <w:rPr>
          <w:rFonts w:hint="eastAsia" w:ascii="宋体" w:hAnsi="宋体" w:cs="宋体"/>
          <w:color w:val="auto"/>
          <w:szCs w:val="21"/>
          <w:highlight w:val="none"/>
        </w:rPr>
        <w:t>13.6 竣工退场</w:t>
      </w:r>
      <w:r>
        <w:rPr>
          <w:color w:val="auto"/>
          <w:highlight w:val="none"/>
        </w:rPr>
        <w:tab/>
      </w:r>
      <w:r>
        <w:rPr>
          <w:color w:val="auto"/>
          <w:highlight w:val="none"/>
        </w:rPr>
        <w:fldChar w:fldCharType="begin"/>
      </w:r>
      <w:r>
        <w:rPr>
          <w:color w:val="auto"/>
          <w:highlight w:val="none"/>
        </w:rPr>
        <w:instrText xml:space="preserve"> PAGEREF _Toc4241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"_Toc26296" </w:instrText>
      </w:r>
      <w:r>
        <w:rPr>
          <w:color w:val="auto"/>
          <w:highlight w:val="none"/>
        </w:rPr>
        <w:fldChar w:fldCharType="separate"/>
      </w:r>
      <w:r>
        <w:rPr>
          <w:rFonts w:hint="eastAsia" w:ascii="宋体" w:hAnsi="宋体" w:eastAsia="宋体" w:cs="宋体"/>
          <w:color w:val="auto"/>
          <w:szCs w:val="21"/>
          <w:highlight w:val="none"/>
        </w:rPr>
        <w:t>14. 竣工结算</w:t>
      </w:r>
      <w:r>
        <w:rPr>
          <w:color w:val="auto"/>
          <w:highlight w:val="none"/>
        </w:rPr>
        <w:tab/>
      </w:r>
      <w:r>
        <w:rPr>
          <w:color w:val="auto"/>
          <w:highlight w:val="none"/>
        </w:rPr>
        <w:fldChar w:fldCharType="begin"/>
      </w:r>
      <w:r>
        <w:rPr>
          <w:color w:val="auto"/>
          <w:highlight w:val="none"/>
        </w:rPr>
        <w:instrText xml:space="preserve"> PAGEREF _Toc26296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"_Toc30157" </w:instrText>
      </w:r>
      <w:r>
        <w:rPr>
          <w:color w:val="auto"/>
          <w:highlight w:val="none"/>
        </w:rPr>
        <w:fldChar w:fldCharType="separate"/>
      </w:r>
      <w:r>
        <w:rPr>
          <w:rFonts w:hint="eastAsia" w:ascii="宋体" w:hAnsi="宋体" w:cs="宋体"/>
          <w:color w:val="auto"/>
          <w:szCs w:val="21"/>
          <w:highlight w:val="none"/>
        </w:rPr>
        <w:t>14.1 竣工结算申请</w:t>
      </w:r>
      <w:r>
        <w:rPr>
          <w:color w:val="auto"/>
          <w:highlight w:val="none"/>
        </w:rPr>
        <w:tab/>
      </w:r>
      <w:r>
        <w:rPr>
          <w:color w:val="auto"/>
          <w:highlight w:val="none"/>
        </w:rPr>
        <w:fldChar w:fldCharType="begin"/>
      </w:r>
      <w:r>
        <w:rPr>
          <w:color w:val="auto"/>
          <w:highlight w:val="none"/>
        </w:rPr>
        <w:instrText xml:space="preserve"> PAGEREF _Toc30157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"_Toc28006" </w:instrText>
      </w:r>
      <w:r>
        <w:rPr>
          <w:color w:val="auto"/>
          <w:highlight w:val="none"/>
        </w:rPr>
        <w:fldChar w:fldCharType="separate"/>
      </w:r>
      <w:r>
        <w:rPr>
          <w:rFonts w:hint="eastAsia" w:ascii="宋体" w:hAnsi="宋体" w:cs="宋体"/>
          <w:color w:val="auto"/>
          <w:szCs w:val="21"/>
          <w:highlight w:val="none"/>
        </w:rPr>
        <w:t>14.2 竣工结算审核</w:t>
      </w:r>
      <w:r>
        <w:rPr>
          <w:color w:val="auto"/>
          <w:highlight w:val="none"/>
        </w:rPr>
        <w:tab/>
      </w:r>
      <w:r>
        <w:rPr>
          <w:color w:val="auto"/>
          <w:highlight w:val="none"/>
        </w:rPr>
        <w:fldChar w:fldCharType="begin"/>
      </w:r>
      <w:r>
        <w:rPr>
          <w:color w:val="auto"/>
          <w:highlight w:val="none"/>
        </w:rPr>
        <w:instrText xml:space="preserve"> PAGEREF _Toc28006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"_Toc19390" </w:instrText>
      </w:r>
      <w:r>
        <w:rPr>
          <w:color w:val="auto"/>
          <w:highlight w:val="none"/>
        </w:rPr>
        <w:fldChar w:fldCharType="separate"/>
      </w:r>
      <w:r>
        <w:rPr>
          <w:rFonts w:hint="eastAsia" w:ascii="宋体" w:hAnsi="宋体" w:cs="宋体"/>
          <w:color w:val="auto"/>
          <w:szCs w:val="21"/>
          <w:highlight w:val="none"/>
        </w:rPr>
        <w:t>14.3 甩项竣工协议</w:t>
      </w:r>
      <w:r>
        <w:rPr>
          <w:color w:val="auto"/>
          <w:highlight w:val="none"/>
        </w:rPr>
        <w:tab/>
      </w:r>
      <w:r>
        <w:rPr>
          <w:color w:val="auto"/>
          <w:highlight w:val="none"/>
        </w:rPr>
        <w:fldChar w:fldCharType="begin"/>
      </w:r>
      <w:r>
        <w:rPr>
          <w:color w:val="auto"/>
          <w:highlight w:val="none"/>
        </w:rPr>
        <w:instrText xml:space="preserve"> PAGEREF _Toc19390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"_Toc1594" </w:instrText>
      </w:r>
      <w:r>
        <w:rPr>
          <w:color w:val="auto"/>
          <w:highlight w:val="none"/>
        </w:rPr>
        <w:fldChar w:fldCharType="separate"/>
      </w:r>
      <w:r>
        <w:rPr>
          <w:rFonts w:hint="eastAsia" w:ascii="宋体" w:hAnsi="宋体" w:cs="宋体"/>
          <w:color w:val="auto"/>
          <w:szCs w:val="21"/>
          <w:highlight w:val="none"/>
        </w:rPr>
        <w:t>14.4 最终结清</w:t>
      </w:r>
      <w:r>
        <w:rPr>
          <w:color w:val="auto"/>
          <w:highlight w:val="none"/>
        </w:rPr>
        <w:tab/>
      </w:r>
      <w:r>
        <w:rPr>
          <w:color w:val="auto"/>
          <w:highlight w:val="none"/>
        </w:rPr>
        <w:fldChar w:fldCharType="begin"/>
      </w:r>
      <w:r>
        <w:rPr>
          <w:color w:val="auto"/>
          <w:highlight w:val="none"/>
        </w:rPr>
        <w:instrText xml:space="preserve"> PAGEREF _Toc1594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Cs w:val="21"/>
          <w:highlight w:val="none"/>
        </w:rPr>
        <w:t>15. 缺陷责任与保修</w:t>
      </w:r>
      <w:r>
        <w:rPr>
          <w:color w:val="auto"/>
          <w:highlight w:val="none"/>
        </w:rPr>
        <w:tab/>
      </w:r>
      <w:r>
        <w:rPr>
          <w:color w:val="auto"/>
          <w:highlight w:val="none"/>
        </w:rPr>
        <w:fldChar w:fldCharType="begin"/>
      </w:r>
      <w:r>
        <w:rPr>
          <w:color w:val="auto"/>
          <w:highlight w:val="none"/>
        </w:rPr>
        <w:instrText xml:space="preserve"> PAGEREF _Toc10094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"_Toc7752" </w:instrText>
      </w:r>
      <w:r>
        <w:rPr>
          <w:color w:val="auto"/>
          <w:highlight w:val="none"/>
        </w:rPr>
        <w:fldChar w:fldCharType="separate"/>
      </w:r>
      <w:r>
        <w:rPr>
          <w:rFonts w:hint="eastAsia" w:ascii="宋体" w:hAnsi="宋体" w:cs="宋体"/>
          <w:color w:val="auto"/>
          <w:szCs w:val="21"/>
          <w:highlight w:val="none"/>
        </w:rPr>
        <w:t>15.1 工程保修的原则</w:t>
      </w:r>
      <w:r>
        <w:rPr>
          <w:color w:val="auto"/>
          <w:highlight w:val="none"/>
        </w:rPr>
        <w:tab/>
      </w:r>
      <w:r>
        <w:rPr>
          <w:color w:val="auto"/>
          <w:highlight w:val="none"/>
        </w:rPr>
        <w:fldChar w:fldCharType="begin"/>
      </w:r>
      <w:r>
        <w:rPr>
          <w:color w:val="auto"/>
          <w:highlight w:val="none"/>
        </w:rPr>
        <w:instrText xml:space="preserve"> PAGEREF _Toc7752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"_Toc1287" </w:instrText>
      </w:r>
      <w:r>
        <w:rPr>
          <w:color w:val="auto"/>
          <w:highlight w:val="none"/>
        </w:rPr>
        <w:fldChar w:fldCharType="separate"/>
      </w:r>
      <w:r>
        <w:rPr>
          <w:rFonts w:hint="eastAsia" w:ascii="宋体" w:hAnsi="宋体" w:cs="宋体"/>
          <w:color w:val="auto"/>
          <w:szCs w:val="21"/>
          <w:highlight w:val="none"/>
        </w:rPr>
        <w:t>15.2 缺陷责任期</w:t>
      </w:r>
      <w:r>
        <w:rPr>
          <w:color w:val="auto"/>
          <w:highlight w:val="none"/>
        </w:rPr>
        <w:tab/>
      </w:r>
      <w:r>
        <w:rPr>
          <w:color w:val="auto"/>
          <w:highlight w:val="none"/>
        </w:rPr>
        <w:fldChar w:fldCharType="begin"/>
      </w:r>
      <w:r>
        <w:rPr>
          <w:color w:val="auto"/>
          <w:highlight w:val="none"/>
        </w:rPr>
        <w:instrText xml:space="preserve"> PAGEREF _Toc1287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"_Toc7897" </w:instrText>
      </w:r>
      <w:r>
        <w:rPr>
          <w:color w:val="auto"/>
          <w:highlight w:val="none"/>
        </w:rPr>
        <w:fldChar w:fldCharType="separate"/>
      </w:r>
      <w:r>
        <w:rPr>
          <w:rFonts w:hint="eastAsia" w:ascii="宋体" w:hAnsi="宋体" w:cs="宋体"/>
          <w:color w:val="auto"/>
          <w:szCs w:val="21"/>
          <w:highlight w:val="none"/>
        </w:rPr>
        <w:t>15.3 质量保证金</w:t>
      </w:r>
      <w:r>
        <w:rPr>
          <w:color w:val="auto"/>
          <w:highlight w:val="none"/>
        </w:rPr>
        <w:tab/>
      </w:r>
      <w:r>
        <w:rPr>
          <w:color w:val="auto"/>
          <w:highlight w:val="none"/>
        </w:rPr>
        <w:fldChar w:fldCharType="begin"/>
      </w:r>
      <w:r>
        <w:rPr>
          <w:color w:val="auto"/>
          <w:highlight w:val="none"/>
        </w:rPr>
        <w:instrText xml:space="preserve"> PAGEREF _Toc7897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"_Toc5991" </w:instrText>
      </w:r>
      <w:r>
        <w:rPr>
          <w:color w:val="auto"/>
          <w:highlight w:val="none"/>
        </w:rPr>
        <w:fldChar w:fldCharType="separate"/>
      </w:r>
      <w:r>
        <w:rPr>
          <w:rFonts w:hint="eastAsia" w:ascii="宋体" w:hAnsi="宋体" w:eastAsia="宋体" w:cs="宋体"/>
          <w:color w:val="auto"/>
          <w:szCs w:val="21"/>
          <w:highlight w:val="none"/>
        </w:rPr>
        <w:t>16. 违约</w:t>
      </w:r>
      <w:r>
        <w:rPr>
          <w:color w:val="auto"/>
          <w:highlight w:val="none"/>
        </w:rPr>
        <w:tab/>
      </w:r>
      <w:r>
        <w:rPr>
          <w:color w:val="auto"/>
          <w:highlight w:val="none"/>
        </w:rPr>
        <w:fldChar w:fldCharType="begin"/>
      </w:r>
      <w:r>
        <w:rPr>
          <w:color w:val="auto"/>
          <w:highlight w:val="none"/>
        </w:rPr>
        <w:instrText xml:space="preserve"> PAGEREF _Toc5991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"_Toc2844" </w:instrText>
      </w:r>
      <w:r>
        <w:rPr>
          <w:color w:val="auto"/>
          <w:highlight w:val="none"/>
        </w:rPr>
        <w:fldChar w:fldCharType="separate"/>
      </w:r>
      <w:r>
        <w:rPr>
          <w:rFonts w:hint="eastAsia" w:ascii="宋体" w:hAnsi="宋体" w:cs="宋体"/>
          <w:color w:val="auto"/>
          <w:szCs w:val="21"/>
          <w:highlight w:val="none"/>
        </w:rPr>
        <w:t>16.1 发包人违约</w:t>
      </w:r>
      <w:r>
        <w:rPr>
          <w:color w:val="auto"/>
          <w:highlight w:val="none"/>
        </w:rPr>
        <w:tab/>
      </w:r>
      <w:r>
        <w:rPr>
          <w:color w:val="auto"/>
          <w:highlight w:val="none"/>
        </w:rPr>
        <w:fldChar w:fldCharType="begin"/>
      </w:r>
      <w:r>
        <w:rPr>
          <w:color w:val="auto"/>
          <w:highlight w:val="none"/>
        </w:rPr>
        <w:instrText xml:space="preserve"> PAGEREF _Toc2844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"_Toc18828" </w:instrText>
      </w:r>
      <w:r>
        <w:rPr>
          <w:color w:val="auto"/>
          <w:highlight w:val="none"/>
        </w:rPr>
        <w:fldChar w:fldCharType="separate"/>
      </w:r>
      <w:r>
        <w:rPr>
          <w:rFonts w:hint="eastAsia" w:ascii="宋体" w:hAnsi="宋体" w:cs="宋体"/>
          <w:color w:val="auto"/>
          <w:szCs w:val="21"/>
          <w:highlight w:val="none"/>
        </w:rPr>
        <w:t>16.2 承包人违约</w:t>
      </w:r>
      <w:r>
        <w:rPr>
          <w:color w:val="auto"/>
          <w:highlight w:val="none"/>
        </w:rPr>
        <w:tab/>
      </w:r>
      <w:r>
        <w:rPr>
          <w:color w:val="auto"/>
          <w:highlight w:val="none"/>
        </w:rPr>
        <w:fldChar w:fldCharType="begin"/>
      </w:r>
      <w:r>
        <w:rPr>
          <w:color w:val="auto"/>
          <w:highlight w:val="none"/>
        </w:rPr>
        <w:instrText xml:space="preserve"> PAGEREF _Toc18828 \h </w:instrText>
      </w:r>
      <w:r>
        <w:rPr>
          <w:color w:val="auto"/>
          <w:highlight w:val="none"/>
        </w:rPr>
        <w:fldChar w:fldCharType="separate"/>
      </w:r>
      <w:r>
        <w:rPr>
          <w:color w:val="auto"/>
          <w:highlight w:val="none"/>
        </w:rPr>
        <w:t>155</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"_Toc27778" </w:instrText>
      </w:r>
      <w:r>
        <w:rPr>
          <w:color w:val="auto"/>
          <w:highlight w:val="none"/>
        </w:rPr>
        <w:fldChar w:fldCharType="separate"/>
      </w:r>
      <w:r>
        <w:rPr>
          <w:rFonts w:hint="eastAsia" w:ascii="宋体" w:hAnsi="宋体" w:cs="宋体"/>
          <w:color w:val="auto"/>
          <w:szCs w:val="21"/>
          <w:highlight w:val="none"/>
        </w:rPr>
        <w:t>16.3 第三人造成的违约</w:t>
      </w:r>
      <w:r>
        <w:rPr>
          <w:color w:val="auto"/>
          <w:highlight w:val="none"/>
        </w:rPr>
        <w:tab/>
      </w:r>
      <w:r>
        <w:rPr>
          <w:color w:val="auto"/>
          <w:highlight w:val="none"/>
        </w:rPr>
        <w:fldChar w:fldCharType="begin"/>
      </w:r>
      <w:r>
        <w:rPr>
          <w:color w:val="auto"/>
          <w:highlight w:val="none"/>
        </w:rPr>
        <w:instrText xml:space="preserve"> PAGEREF _Toc27778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"_Toc10237" </w:instrText>
      </w:r>
      <w:r>
        <w:rPr>
          <w:color w:val="auto"/>
          <w:highlight w:val="none"/>
        </w:rPr>
        <w:fldChar w:fldCharType="separate"/>
      </w:r>
      <w:r>
        <w:rPr>
          <w:rFonts w:hint="eastAsia" w:ascii="宋体" w:hAnsi="宋体" w:eastAsia="宋体" w:cs="宋体"/>
          <w:color w:val="auto"/>
          <w:szCs w:val="21"/>
          <w:highlight w:val="none"/>
        </w:rPr>
        <w:t>17. 不可抗力</w:t>
      </w:r>
      <w:r>
        <w:rPr>
          <w:color w:val="auto"/>
          <w:highlight w:val="none"/>
        </w:rPr>
        <w:tab/>
      </w:r>
      <w:r>
        <w:rPr>
          <w:color w:val="auto"/>
          <w:highlight w:val="none"/>
        </w:rPr>
        <w:fldChar w:fldCharType="begin"/>
      </w:r>
      <w:r>
        <w:rPr>
          <w:color w:val="auto"/>
          <w:highlight w:val="none"/>
        </w:rPr>
        <w:instrText xml:space="preserve"> PAGEREF _Toc10237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"_Toc2787" </w:instrText>
      </w:r>
      <w:r>
        <w:rPr>
          <w:color w:val="auto"/>
          <w:highlight w:val="none"/>
        </w:rPr>
        <w:fldChar w:fldCharType="separate"/>
      </w:r>
      <w:r>
        <w:rPr>
          <w:rFonts w:hint="eastAsia" w:ascii="宋体" w:hAnsi="宋体" w:cs="宋体"/>
          <w:color w:val="auto"/>
          <w:szCs w:val="21"/>
          <w:highlight w:val="none"/>
        </w:rPr>
        <w:t>17.1 不可抗力的确认</w:t>
      </w:r>
      <w:r>
        <w:rPr>
          <w:color w:val="auto"/>
          <w:highlight w:val="none"/>
        </w:rPr>
        <w:tab/>
      </w:r>
      <w:r>
        <w:rPr>
          <w:color w:val="auto"/>
          <w:highlight w:val="none"/>
        </w:rPr>
        <w:fldChar w:fldCharType="begin"/>
      </w:r>
      <w:r>
        <w:rPr>
          <w:color w:val="auto"/>
          <w:highlight w:val="none"/>
        </w:rPr>
        <w:instrText xml:space="preserve"> PAGEREF _Toc2787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"_Toc23261" </w:instrText>
      </w:r>
      <w:r>
        <w:rPr>
          <w:color w:val="auto"/>
          <w:highlight w:val="none"/>
        </w:rPr>
        <w:fldChar w:fldCharType="separate"/>
      </w:r>
      <w:r>
        <w:rPr>
          <w:rFonts w:hint="eastAsia" w:ascii="宋体" w:hAnsi="宋体" w:cs="宋体"/>
          <w:color w:val="auto"/>
          <w:szCs w:val="21"/>
          <w:highlight w:val="none"/>
        </w:rPr>
        <w:t>17.2 不可抗力的通知</w:t>
      </w:r>
      <w:r>
        <w:rPr>
          <w:color w:val="auto"/>
          <w:highlight w:val="none"/>
        </w:rPr>
        <w:tab/>
      </w:r>
      <w:r>
        <w:rPr>
          <w:color w:val="auto"/>
          <w:highlight w:val="none"/>
        </w:rPr>
        <w:fldChar w:fldCharType="begin"/>
      </w:r>
      <w:r>
        <w:rPr>
          <w:color w:val="auto"/>
          <w:highlight w:val="none"/>
        </w:rPr>
        <w:instrText xml:space="preserve"> PAGEREF _Toc23261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"_Toc5850" </w:instrText>
      </w:r>
      <w:r>
        <w:rPr>
          <w:color w:val="auto"/>
          <w:highlight w:val="none"/>
        </w:rPr>
        <w:fldChar w:fldCharType="separate"/>
      </w:r>
      <w:r>
        <w:rPr>
          <w:rFonts w:hint="eastAsia" w:ascii="宋体" w:hAnsi="宋体" w:cs="宋体"/>
          <w:color w:val="auto"/>
          <w:szCs w:val="21"/>
          <w:highlight w:val="none"/>
        </w:rPr>
        <w:t>17.3 不可抗力后果的承担</w:t>
      </w:r>
      <w:r>
        <w:rPr>
          <w:color w:val="auto"/>
          <w:highlight w:val="none"/>
        </w:rPr>
        <w:tab/>
      </w:r>
      <w:r>
        <w:rPr>
          <w:color w:val="auto"/>
          <w:highlight w:val="none"/>
        </w:rPr>
        <w:fldChar w:fldCharType="begin"/>
      </w:r>
      <w:r>
        <w:rPr>
          <w:color w:val="auto"/>
          <w:highlight w:val="none"/>
        </w:rPr>
        <w:instrText xml:space="preserve"> PAGEREF _Toc5850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"_Toc23893" </w:instrText>
      </w:r>
      <w:r>
        <w:rPr>
          <w:color w:val="auto"/>
          <w:highlight w:val="none"/>
        </w:rPr>
        <w:fldChar w:fldCharType="separate"/>
      </w:r>
      <w:r>
        <w:rPr>
          <w:rFonts w:hint="eastAsia" w:ascii="宋体" w:hAnsi="宋体" w:cs="宋体"/>
          <w:color w:val="auto"/>
          <w:szCs w:val="21"/>
          <w:highlight w:val="none"/>
        </w:rPr>
        <w:t>17.4 因不可抗力解除合同</w:t>
      </w:r>
      <w:r>
        <w:rPr>
          <w:color w:val="auto"/>
          <w:highlight w:val="none"/>
        </w:rPr>
        <w:tab/>
      </w:r>
      <w:r>
        <w:rPr>
          <w:color w:val="auto"/>
          <w:highlight w:val="none"/>
        </w:rPr>
        <w:fldChar w:fldCharType="begin"/>
      </w:r>
      <w:r>
        <w:rPr>
          <w:color w:val="auto"/>
          <w:highlight w:val="none"/>
        </w:rPr>
        <w:instrText xml:space="preserve"> PAGEREF _Toc23893 \h </w:instrText>
      </w:r>
      <w:r>
        <w:rPr>
          <w:color w:val="auto"/>
          <w:highlight w:val="none"/>
        </w:rPr>
        <w:fldChar w:fldCharType="separate"/>
      </w:r>
      <w:r>
        <w:rPr>
          <w:color w:val="auto"/>
          <w:highlight w:val="none"/>
        </w:rPr>
        <w:t>158</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"_Toc24574" </w:instrText>
      </w:r>
      <w:r>
        <w:rPr>
          <w:color w:val="auto"/>
          <w:highlight w:val="none"/>
        </w:rPr>
        <w:fldChar w:fldCharType="separate"/>
      </w:r>
      <w:r>
        <w:rPr>
          <w:rFonts w:hint="eastAsia" w:ascii="宋体" w:hAnsi="宋体" w:eastAsia="宋体" w:cs="宋体"/>
          <w:color w:val="auto"/>
          <w:szCs w:val="21"/>
          <w:highlight w:val="none"/>
        </w:rPr>
        <w:t>18. 保险</w:t>
      </w:r>
      <w:r>
        <w:rPr>
          <w:color w:val="auto"/>
          <w:highlight w:val="none"/>
        </w:rPr>
        <w:tab/>
      </w:r>
      <w:r>
        <w:rPr>
          <w:color w:val="auto"/>
          <w:highlight w:val="none"/>
        </w:rPr>
        <w:fldChar w:fldCharType="begin"/>
      </w:r>
      <w:r>
        <w:rPr>
          <w:color w:val="auto"/>
          <w:highlight w:val="none"/>
        </w:rPr>
        <w:instrText xml:space="preserve"> PAGEREF _Toc24574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"_Toc17771" </w:instrText>
      </w:r>
      <w:r>
        <w:rPr>
          <w:color w:val="auto"/>
          <w:highlight w:val="none"/>
        </w:rPr>
        <w:fldChar w:fldCharType="separate"/>
      </w:r>
      <w:r>
        <w:rPr>
          <w:rFonts w:hint="eastAsia" w:ascii="宋体" w:hAnsi="宋体" w:cs="宋体"/>
          <w:color w:val="auto"/>
          <w:szCs w:val="21"/>
          <w:highlight w:val="none"/>
        </w:rPr>
        <w:t>18.1 工程保险</w:t>
      </w:r>
      <w:r>
        <w:rPr>
          <w:color w:val="auto"/>
          <w:highlight w:val="none"/>
        </w:rPr>
        <w:tab/>
      </w:r>
      <w:r>
        <w:rPr>
          <w:color w:val="auto"/>
          <w:highlight w:val="none"/>
        </w:rPr>
        <w:fldChar w:fldCharType="begin"/>
      </w:r>
      <w:r>
        <w:rPr>
          <w:color w:val="auto"/>
          <w:highlight w:val="none"/>
        </w:rPr>
        <w:instrText xml:space="preserve"> PAGEREF _Toc17771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"_Toc15837" </w:instrText>
      </w:r>
      <w:r>
        <w:rPr>
          <w:color w:val="auto"/>
          <w:highlight w:val="none"/>
        </w:rPr>
        <w:fldChar w:fldCharType="separate"/>
      </w:r>
      <w:r>
        <w:rPr>
          <w:rFonts w:hint="eastAsia" w:ascii="宋体" w:hAnsi="宋体" w:cs="宋体"/>
          <w:color w:val="auto"/>
          <w:szCs w:val="21"/>
          <w:highlight w:val="none"/>
        </w:rPr>
        <w:t>18.2 工伤保险</w:t>
      </w:r>
      <w:r>
        <w:rPr>
          <w:color w:val="auto"/>
          <w:highlight w:val="none"/>
        </w:rPr>
        <w:tab/>
      </w:r>
      <w:r>
        <w:rPr>
          <w:color w:val="auto"/>
          <w:highlight w:val="none"/>
        </w:rPr>
        <w:fldChar w:fldCharType="begin"/>
      </w:r>
      <w:r>
        <w:rPr>
          <w:color w:val="auto"/>
          <w:highlight w:val="none"/>
        </w:rPr>
        <w:instrText xml:space="preserve"> PAGEREF _Toc15837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"_Toc18312" </w:instrText>
      </w:r>
      <w:r>
        <w:rPr>
          <w:color w:val="auto"/>
          <w:highlight w:val="none"/>
        </w:rPr>
        <w:fldChar w:fldCharType="separate"/>
      </w:r>
      <w:r>
        <w:rPr>
          <w:rFonts w:hint="eastAsia" w:ascii="宋体" w:hAnsi="宋体" w:cs="宋体"/>
          <w:color w:val="auto"/>
          <w:szCs w:val="21"/>
          <w:highlight w:val="none"/>
        </w:rPr>
        <w:t>18.3其他保险</w:t>
      </w:r>
      <w:r>
        <w:rPr>
          <w:color w:val="auto"/>
          <w:highlight w:val="none"/>
        </w:rPr>
        <w:tab/>
      </w:r>
      <w:r>
        <w:rPr>
          <w:color w:val="auto"/>
          <w:highlight w:val="none"/>
        </w:rPr>
        <w:fldChar w:fldCharType="begin"/>
      </w:r>
      <w:r>
        <w:rPr>
          <w:color w:val="auto"/>
          <w:highlight w:val="none"/>
        </w:rPr>
        <w:instrText xml:space="preserve"> PAGEREF _Toc18312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"_Toc18925" </w:instrText>
      </w:r>
      <w:r>
        <w:rPr>
          <w:color w:val="auto"/>
          <w:highlight w:val="none"/>
        </w:rPr>
        <w:fldChar w:fldCharType="separate"/>
      </w:r>
      <w:r>
        <w:rPr>
          <w:rFonts w:hint="eastAsia" w:ascii="宋体" w:hAnsi="宋体" w:cs="宋体"/>
          <w:color w:val="auto"/>
          <w:szCs w:val="21"/>
          <w:highlight w:val="none"/>
        </w:rPr>
        <w:t>18.4持续保险</w:t>
      </w:r>
      <w:r>
        <w:rPr>
          <w:color w:val="auto"/>
          <w:highlight w:val="none"/>
        </w:rPr>
        <w:tab/>
      </w:r>
      <w:r>
        <w:rPr>
          <w:color w:val="auto"/>
          <w:highlight w:val="none"/>
        </w:rPr>
        <w:fldChar w:fldCharType="begin"/>
      </w:r>
      <w:r>
        <w:rPr>
          <w:color w:val="auto"/>
          <w:highlight w:val="none"/>
        </w:rPr>
        <w:instrText xml:space="preserve"> PAGEREF _Toc18925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"_Toc15164" </w:instrText>
      </w:r>
      <w:r>
        <w:rPr>
          <w:color w:val="auto"/>
          <w:highlight w:val="none"/>
        </w:rPr>
        <w:fldChar w:fldCharType="separate"/>
      </w:r>
      <w:r>
        <w:rPr>
          <w:rFonts w:hint="eastAsia" w:ascii="宋体" w:hAnsi="宋体" w:cs="宋体"/>
          <w:color w:val="auto"/>
          <w:szCs w:val="21"/>
          <w:highlight w:val="none"/>
        </w:rPr>
        <w:t>18.5 保险凭证</w:t>
      </w:r>
      <w:r>
        <w:rPr>
          <w:color w:val="auto"/>
          <w:highlight w:val="none"/>
        </w:rPr>
        <w:tab/>
      </w:r>
      <w:r>
        <w:rPr>
          <w:color w:val="auto"/>
          <w:highlight w:val="none"/>
        </w:rPr>
        <w:fldChar w:fldCharType="begin"/>
      </w:r>
      <w:r>
        <w:rPr>
          <w:color w:val="auto"/>
          <w:highlight w:val="none"/>
        </w:rPr>
        <w:instrText xml:space="preserve"> PAGEREF _Toc15164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"_Toc14789" </w:instrText>
      </w:r>
      <w:r>
        <w:rPr>
          <w:color w:val="auto"/>
          <w:highlight w:val="none"/>
        </w:rPr>
        <w:fldChar w:fldCharType="separate"/>
      </w:r>
      <w:r>
        <w:rPr>
          <w:rFonts w:hint="eastAsia" w:ascii="宋体" w:hAnsi="宋体" w:cs="宋体"/>
          <w:color w:val="auto"/>
          <w:szCs w:val="21"/>
          <w:highlight w:val="none"/>
        </w:rPr>
        <w:t>18.6 未按约定投保的补救</w:t>
      </w:r>
      <w:r>
        <w:rPr>
          <w:color w:val="auto"/>
          <w:highlight w:val="none"/>
        </w:rPr>
        <w:tab/>
      </w:r>
      <w:r>
        <w:rPr>
          <w:color w:val="auto"/>
          <w:highlight w:val="none"/>
        </w:rPr>
        <w:fldChar w:fldCharType="begin"/>
      </w:r>
      <w:r>
        <w:rPr>
          <w:color w:val="auto"/>
          <w:highlight w:val="none"/>
        </w:rPr>
        <w:instrText xml:space="preserve"> PAGEREF _Toc14789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"_Toc21241" </w:instrText>
      </w:r>
      <w:r>
        <w:rPr>
          <w:color w:val="auto"/>
          <w:highlight w:val="none"/>
        </w:rPr>
        <w:fldChar w:fldCharType="separate"/>
      </w:r>
      <w:r>
        <w:rPr>
          <w:rFonts w:hint="eastAsia" w:ascii="宋体" w:hAnsi="宋体" w:cs="宋体"/>
          <w:color w:val="auto"/>
          <w:szCs w:val="21"/>
          <w:highlight w:val="none"/>
        </w:rPr>
        <w:t>18.7 通知义务</w:t>
      </w:r>
      <w:r>
        <w:rPr>
          <w:color w:val="auto"/>
          <w:highlight w:val="none"/>
        </w:rPr>
        <w:tab/>
      </w:r>
      <w:r>
        <w:rPr>
          <w:color w:val="auto"/>
          <w:highlight w:val="none"/>
        </w:rPr>
        <w:fldChar w:fldCharType="begin"/>
      </w:r>
      <w:r>
        <w:rPr>
          <w:color w:val="auto"/>
          <w:highlight w:val="none"/>
        </w:rPr>
        <w:instrText xml:space="preserve"> PAGEREF _Toc21241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"_Toc25693" </w:instrText>
      </w:r>
      <w:r>
        <w:rPr>
          <w:color w:val="auto"/>
          <w:highlight w:val="none"/>
        </w:rPr>
        <w:fldChar w:fldCharType="separate"/>
      </w:r>
      <w:r>
        <w:rPr>
          <w:rFonts w:hint="eastAsia" w:ascii="宋体" w:hAnsi="宋体" w:eastAsia="宋体" w:cs="宋体"/>
          <w:color w:val="auto"/>
          <w:szCs w:val="21"/>
          <w:highlight w:val="none"/>
        </w:rPr>
        <w:t>19. 索赔</w:t>
      </w:r>
      <w:r>
        <w:rPr>
          <w:color w:val="auto"/>
          <w:highlight w:val="none"/>
        </w:rPr>
        <w:tab/>
      </w:r>
      <w:r>
        <w:rPr>
          <w:color w:val="auto"/>
          <w:highlight w:val="none"/>
        </w:rPr>
        <w:fldChar w:fldCharType="begin"/>
      </w:r>
      <w:r>
        <w:rPr>
          <w:color w:val="auto"/>
          <w:highlight w:val="none"/>
        </w:rPr>
        <w:instrText xml:space="preserve"> PAGEREF _Toc25693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"_Toc1763" </w:instrText>
      </w:r>
      <w:r>
        <w:rPr>
          <w:color w:val="auto"/>
          <w:highlight w:val="none"/>
        </w:rPr>
        <w:fldChar w:fldCharType="separate"/>
      </w:r>
      <w:r>
        <w:rPr>
          <w:rFonts w:hint="eastAsia" w:ascii="宋体" w:hAnsi="宋体" w:cs="宋体"/>
          <w:color w:val="auto"/>
          <w:szCs w:val="21"/>
          <w:highlight w:val="none"/>
        </w:rPr>
        <w:t>19.1承包人的索赔</w:t>
      </w:r>
      <w:r>
        <w:rPr>
          <w:color w:val="auto"/>
          <w:highlight w:val="none"/>
        </w:rPr>
        <w:tab/>
      </w:r>
      <w:r>
        <w:rPr>
          <w:color w:val="auto"/>
          <w:highlight w:val="none"/>
        </w:rPr>
        <w:fldChar w:fldCharType="begin"/>
      </w:r>
      <w:r>
        <w:rPr>
          <w:color w:val="auto"/>
          <w:highlight w:val="none"/>
        </w:rPr>
        <w:instrText xml:space="preserve"> PAGEREF _Toc1763 \h </w:instrText>
      </w:r>
      <w:r>
        <w:rPr>
          <w:color w:val="auto"/>
          <w:highlight w:val="none"/>
        </w:rPr>
        <w:fldChar w:fldCharType="separate"/>
      </w:r>
      <w:r>
        <w:rPr>
          <w:color w:val="auto"/>
          <w:highlight w:val="none"/>
        </w:rPr>
        <w:t>160</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"_Toc4654" </w:instrText>
      </w:r>
      <w:r>
        <w:rPr>
          <w:color w:val="auto"/>
          <w:highlight w:val="none"/>
        </w:rPr>
        <w:fldChar w:fldCharType="separate"/>
      </w:r>
      <w:r>
        <w:rPr>
          <w:rFonts w:hint="eastAsia" w:ascii="宋体" w:hAnsi="宋体" w:cs="宋体"/>
          <w:color w:val="auto"/>
          <w:szCs w:val="21"/>
          <w:highlight w:val="none"/>
        </w:rPr>
        <w:t>19.2 对承包人索赔的处理</w:t>
      </w:r>
      <w:r>
        <w:rPr>
          <w:color w:val="auto"/>
          <w:highlight w:val="none"/>
        </w:rPr>
        <w:tab/>
      </w:r>
      <w:r>
        <w:rPr>
          <w:color w:val="auto"/>
          <w:highlight w:val="none"/>
        </w:rPr>
        <w:fldChar w:fldCharType="begin"/>
      </w:r>
      <w:r>
        <w:rPr>
          <w:color w:val="auto"/>
          <w:highlight w:val="none"/>
        </w:rPr>
        <w:instrText xml:space="preserve"> PAGEREF _Toc4654 \h </w:instrText>
      </w:r>
      <w:r>
        <w:rPr>
          <w:color w:val="auto"/>
          <w:highlight w:val="none"/>
        </w:rPr>
        <w:fldChar w:fldCharType="separate"/>
      </w:r>
      <w:r>
        <w:rPr>
          <w:color w:val="auto"/>
          <w:highlight w:val="none"/>
        </w:rPr>
        <w:t>161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"_Toc29415" </w:instrText>
      </w:r>
      <w:r>
        <w:rPr>
          <w:color w:val="auto"/>
          <w:highlight w:val="none"/>
        </w:rPr>
        <w:fldChar w:fldCharType="separate"/>
      </w:r>
      <w:r>
        <w:rPr>
          <w:rFonts w:hint="eastAsia" w:ascii="宋体" w:hAnsi="宋体" w:cs="宋体"/>
          <w:color w:val="auto"/>
          <w:szCs w:val="21"/>
          <w:highlight w:val="none"/>
        </w:rPr>
        <w:t>19.3发包人的索赔</w:t>
      </w:r>
      <w:r>
        <w:rPr>
          <w:color w:val="auto"/>
          <w:highlight w:val="none"/>
        </w:rPr>
        <w:tab/>
      </w:r>
      <w:r>
        <w:rPr>
          <w:color w:val="auto"/>
          <w:highlight w:val="none"/>
        </w:rPr>
        <w:fldChar w:fldCharType="begin"/>
      </w:r>
      <w:r>
        <w:rPr>
          <w:color w:val="auto"/>
          <w:highlight w:val="none"/>
        </w:rPr>
        <w:instrText xml:space="preserve"> PAGEREF _Toc29415 \h </w:instrText>
      </w:r>
      <w:r>
        <w:rPr>
          <w:color w:val="auto"/>
          <w:highlight w:val="none"/>
        </w:rPr>
        <w:fldChar w:fldCharType="separate"/>
      </w:r>
      <w:r>
        <w:rPr>
          <w:color w:val="auto"/>
          <w:highlight w:val="none"/>
        </w:rPr>
        <w:t>161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"_Toc30562" </w:instrText>
      </w:r>
      <w:r>
        <w:rPr>
          <w:color w:val="auto"/>
          <w:highlight w:val="none"/>
        </w:rPr>
        <w:fldChar w:fldCharType="separate"/>
      </w:r>
      <w:r>
        <w:rPr>
          <w:rFonts w:hint="eastAsia" w:ascii="宋体" w:hAnsi="宋体" w:cs="宋体"/>
          <w:color w:val="auto"/>
          <w:szCs w:val="21"/>
          <w:highlight w:val="none"/>
        </w:rPr>
        <w:t>19.4 对发包人索赔的处理</w:t>
      </w:r>
      <w:r>
        <w:rPr>
          <w:color w:val="auto"/>
          <w:highlight w:val="none"/>
        </w:rPr>
        <w:tab/>
      </w:r>
      <w:r>
        <w:rPr>
          <w:color w:val="auto"/>
          <w:highlight w:val="none"/>
        </w:rPr>
        <w:fldChar w:fldCharType="begin"/>
      </w:r>
      <w:r>
        <w:rPr>
          <w:color w:val="auto"/>
          <w:highlight w:val="none"/>
        </w:rPr>
        <w:instrText xml:space="preserve"> PAGEREF _Toc30562 \h </w:instrText>
      </w:r>
      <w:r>
        <w:rPr>
          <w:color w:val="auto"/>
          <w:highlight w:val="none"/>
        </w:rPr>
        <w:fldChar w:fldCharType="separate"/>
      </w:r>
      <w:r>
        <w:rPr>
          <w:color w:val="auto"/>
          <w:highlight w:val="none"/>
        </w:rPr>
        <w:t>161</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"_Toc10928" </w:instrText>
      </w:r>
      <w:r>
        <w:rPr>
          <w:color w:val="auto"/>
          <w:highlight w:val="none"/>
        </w:rPr>
        <w:fldChar w:fldCharType="separate"/>
      </w:r>
      <w:r>
        <w:rPr>
          <w:rFonts w:hint="eastAsia" w:ascii="宋体" w:hAnsi="宋体" w:cs="宋体"/>
          <w:color w:val="auto"/>
          <w:szCs w:val="21"/>
          <w:highlight w:val="none"/>
        </w:rPr>
        <w:t>19.5 提出索赔的期限</w:t>
      </w:r>
      <w:r>
        <w:rPr>
          <w:color w:val="auto"/>
          <w:highlight w:val="none"/>
        </w:rPr>
        <w:tab/>
      </w:r>
      <w:r>
        <w:rPr>
          <w:color w:val="auto"/>
          <w:highlight w:val="none"/>
        </w:rPr>
        <w:fldChar w:fldCharType="begin"/>
      </w:r>
      <w:r>
        <w:rPr>
          <w:color w:val="auto"/>
          <w:highlight w:val="none"/>
        </w:rPr>
        <w:instrText xml:space="preserve"> PAGEREF _Toc10928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"_Toc28791" </w:instrText>
      </w:r>
      <w:r>
        <w:rPr>
          <w:color w:val="auto"/>
          <w:highlight w:val="none"/>
        </w:rPr>
        <w:fldChar w:fldCharType="separate"/>
      </w:r>
      <w:r>
        <w:rPr>
          <w:rFonts w:hint="eastAsia" w:ascii="宋体" w:hAnsi="宋体" w:eastAsia="宋体" w:cs="宋体"/>
          <w:color w:val="auto"/>
          <w:szCs w:val="21"/>
          <w:highlight w:val="none"/>
        </w:rPr>
        <w:t>20. 争议解决</w:t>
      </w:r>
      <w:r>
        <w:rPr>
          <w:color w:val="auto"/>
          <w:highlight w:val="none"/>
        </w:rPr>
        <w:tab/>
      </w:r>
      <w:r>
        <w:rPr>
          <w:color w:val="auto"/>
          <w:highlight w:val="none"/>
        </w:rPr>
        <w:fldChar w:fldCharType="begin"/>
      </w:r>
      <w:r>
        <w:rPr>
          <w:color w:val="auto"/>
          <w:highlight w:val="none"/>
        </w:rPr>
        <w:instrText xml:space="preserve"> PAGEREF _Toc28791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"_Toc23102" </w:instrText>
      </w:r>
      <w:r>
        <w:rPr>
          <w:color w:val="auto"/>
          <w:highlight w:val="none"/>
        </w:rPr>
        <w:fldChar w:fldCharType="separate"/>
      </w:r>
      <w:r>
        <w:rPr>
          <w:rFonts w:hint="eastAsia" w:ascii="宋体" w:hAnsi="宋体" w:cs="宋体"/>
          <w:color w:val="auto"/>
          <w:szCs w:val="21"/>
          <w:highlight w:val="none"/>
        </w:rPr>
        <w:t>20.1和解</w:t>
      </w:r>
      <w:r>
        <w:rPr>
          <w:color w:val="auto"/>
          <w:highlight w:val="none"/>
        </w:rPr>
        <w:tab/>
      </w:r>
      <w:r>
        <w:rPr>
          <w:color w:val="auto"/>
          <w:highlight w:val="none"/>
        </w:rPr>
        <w:fldChar w:fldCharType="begin"/>
      </w:r>
      <w:r>
        <w:rPr>
          <w:color w:val="auto"/>
          <w:highlight w:val="none"/>
        </w:rPr>
        <w:instrText xml:space="preserve"> PAGEREF _Toc23102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"_Toc7425" </w:instrText>
      </w:r>
      <w:r>
        <w:rPr>
          <w:color w:val="auto"/>
          <w:highlight w:val="none"/>
        </w:rPr>
        <w:fldChar w:fldCharType="separate"/>
      </w:r>
      <w:r>
        <w:rPr>
          <w:rFonts w:hint="eastAsia" w:ascii="宋体" w:hAnsi="宋体" w:cs="宋体"/>
          <w:color w:val="auto"/>
          <w:szCs w:val="21"/>
          <w:highlight w:val="none"/>
        </w:rPr>
        <w:t>20.2调解</w:t>
      </w:r>
      <w:r>
        <w:rPr>
          <w:color w:val="auto"/>
          <w:highlight w:val="none"/>
        </w:rPr>
        <w:tab/>
      </w:r>
      <w:r>
        <w:rPr>
          <w:color w:val="auto"/>
          <w:highlight w:val="none"/>
        </w:rPr>
        <w:fldChar w:fldCharType="begin"/>
      </w:r>
      <w:r>
        <w:rPr>
          <w:color w:val="auto"/>
          <w:highlight w:val="none"/>
        </w:rPr>
        <w:instrText xml:space="preserve"> PAGEREF _Toc7425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"_Toc36" </w:instrText>
      </w:r>
      <w:r>
        <w:rPr>
          <w:color w:val="auto"/>
          <w:highlight w:val="none"/>
        </w:rPr>
        <w:fldChar w:fldCharType="separate"/>
      </w:r>
      <w:r>
        <w:rPr>
          <w:rFonts w:hint="eastAsia" w:ascii="宋体" w:hAnsi="宋体" w:cs="宋体"/>
          <w:color w:val="auto"/>
          <w:szCs w:val="21"/>
          <w:highlight w:val="none"/>
        </w:rPr>
        <w:t>20.3争议评审</w:t>
      </w:r>
      <w:r>
        <w:rPr>
          <w:color w:val="auto"/>
          <w:highlight w:val="none"/>
        </w:rPr>
        <w:tab/>
      </w:r>
      <w:r>
        <w:rPr>
          <w:color w:val="auto"/>
          <w:highlight w:val="none"/>
        </w:rPr>
        <w:fldChar w:fldCharType="begin"/>
      </w:r>
      <w:r>
        <w:rPr>
          <w:color w:val="auto"/>
          <w:highlight w:val="none"/>
        </w:rPr>
        <w:instrText xml:space="preserve"> PAGEREF _Toc36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"_Toc4459" </w:instrText>
      </w:r>
      <w:r>
        <w:rPr>
          <w:color w:val="auto"/>
          <w:highlight w:val="none"/>
        </w:rPr>
        <w:fldChar w:fldCharType="separate"/>
      </w:r>
      <w:r>
        <w:rPr>
          <w:rFonts w:hint="eastAsia" w:ascii="宋体" w:hAnsi="宋体" w:cs="宋体"/>
          <w:color w:val="auto"/>
          <w:szCs w:val="21"/>
          <w:highlight w:val="none"/>
        </w:rPr>
        <w:t>20.4仲裁或诉讼</w:t>
      </w:r>
      <w:r>
        <w:rPr>
          <w:color w:val="auto"/>
          <w:highlight w:val="none"/>
        </w:rPr>
        <w:tab/>
      </w:r>
      <w:r>
        <w:rPr>
          <w:color w:val="auto"/>
          <w:highlight w:val="none"/>
        </w:rPr>
        <w:fldChar w:fldCharType="begin"/>
      </w:r>
      <w:r>
        <w:rPr>
          <w:color w:val="auto"/>
          <w:highlight w:val="none"/>
        </w:rPr>
        <w:instrText xml:space="preserve"> PAGEREF _Toc4459 \h </w:instrText>
      </w:r>
      <w:r>
        <w:rPr>
          <w:color w:val="auto"/>
          <w:highlight w:val="none"/>
        </w:rPr>
        <w:fldChar w:fldCharType="separate"/>
      </w:r>
      <w:r>
        <w:rPr>
          <w:color w:val="auto"/>
          <w:highlight w:val="none"/>
        </w:rPr>
        <w:t>163</w:t>
      </w:r>
      <w:r>
        <w:rPr>
          <w:color w:val="auto"/>
          <w:highlight w:val="none"/>
        </w:rPr>
        <w:fldChar w:fldCharType="end"/>
      </w:r>
      <w:r>
        <w:rPr>
          <w:color w:val="auto"/>
          <w:highlight w:val="none"/>
        </w:rPr>
        <w:fldChar w:fldCharType="end"/>
      </w:r>
    </w:p>
    <w:p>
      <w:pPr>
        <w:pStyle w:val="41"/>
        <w:tabs>
          <w:tab w:val="right" w:leader="dot" w:pos="8820"/>
        </w:tabs>
        <w:rPr>
          <w:color w:val="auto"/>
          <w:highlight w:val="none"/>
        </w:rPr>
      </w:pPr>
      <w:r>
        <w:rPr>
          <w:color w:val="auto"/>
          <w:highlight w:val="none"/>
        </w:rPr>
        <w:fldChar w:fldCharType="begin"/>
      </w:r>
      <w:r>
        <w:rPr>
          <w:color w:val="auto"/>
          <w:highlight w:val="none"/>
        </w:rPr>
        <w:instrText xml:space="preserve"> HYPERLINK \l "_Toc14003" </w:instrText>
      </w:r>
      <w:r>
        <w:rPr>
          <w:color w:val="auto"/>
          <w:highlight w:val="none"/>
        </w:rPr>
        <w:fldChar w:fldCharType="separate"/>
      </w:r>
      <w:r>
        <w:rPr>
          <w:rFonts w:hint="eastAsia" w:ascii="宋体" w:hAnsi="宋体" w:cs="宋体"/>
          <w:color w:val="auto"/>
          <w:szCs w:val="21"/>
          <w:highlight w:val="none"/>
        </w:rPr>
        <w:t>20.5争议解决条款效力</w:t>
      </w:r>
      <w:r>
        <w:rPr>
          <w:color w:val="auto"/>
          <w:highlight w:val="none"/>
        </w:rPr>
        <w:tab/>
      </w:r>
      <w:r>
        <w:rPr>
          <w:color w:val="auto"/>
          <w:highlight w:val="none"/>
        </w:rPr>
        <w:fldChar w:fldCharType="begin"/>
      </w:r>
      <w:r>
        <w:rPr>
          <w:color w:val="auto"/>
          <w:highlight w:val="none"/>
        </w:rPr>
        <w:instrText xml:space="preserve"> PAGEREF _Toc14003 \h </w:instrText>
      </w:r>
      <w:r>
        <w:rPr>
          <w:color w:val="auto"/>
          <w:highlight w:val="none"/>
        </w:rPr>
        <w:fldChar w:fldCharType="separate"/>
      </w:r>
      <w:r>
        <w:rPr>
          <w:color w:val="auto"/>
          <w:highlight w:val="none"/>
        </w:rPr>
        <w:t>163</w:t>
      </w:r>
      <w:r>
        <w:rPr>
          <w:color w:val="auto"/>
          <w:highlight w:val="none"/>
        </w:rPr>
        <w:fldChar w:fldCharType="end"/>
      </w:r>
      <w:r>
        <w:rPr>
          <w:color w:val="auto"/>
          <w:highlight w:val="none"/>
        </w:rPr>
        <w:fldChar w:fldCharType="end"/>
      </w:r>
    </w:p>
    <w:p>
      <w:pPr>
        <w:pStyle w:val="42"/>
        <w:tabs>
          <w:tab w:val="right" w:leader="dot" w:pos="8820"/>
        </w:tabs>
        <w:rPr>
          <w:color w:val="auto"/>
          <w:highlight w:val="none"/>
        </w:rPr>
      </w:pPr>
      <w:r>
        <w:rPr>
          <w:color w:val="auto"/>
          <w:highlight w:val="none"/>
        </w:rPr>
        <w:fldChar w:fldCharType="begin"/>
      </w:r>
      <w:r>
        <w:rPr>
          <w:color w:val="auto"/>
          <w:highlight w:val="none"/>
        </w:rPr>
        <w:instrText xml:space="preserve"> HYPERLINK \l "_Toc24561" </w:instrText>
      </w:r>
      <w:r>
        <w:rPr>
          <w:color w:val="auto"/>
          <w:highlight w:val="none"/>
        </w:rPr>
        <w:fldChar w:fldCharType="separate"/>
      </w:r>
      <w:r>
        <w:rPr>
          <w:rFonts w:hint="eastAsia" w:ascii="宋体" w:hAnsi="宋体" w:cs="宋体"/>
          <w:color w:val="auto"/>
          <w:kern w:val="0"/>
          <w:szCs w:val="21"/>
          <w:highlight w:val="none"/>
        </w:rPr>
        <w:t>合同有关争议解决的条款独立存在，合同的变更、解除、终止、无效或者被撤销均不影响其效力。</w:t>
      </w:r>
      <w:r>
        <w:rPr>
          <w:color w:val="auto"/>
          <w:highlight w:val="none"/>
        </w:rPr>
        <w:tab/>
      </w:r>
      <w:r>
        <w:rPr>
          <w:color w:val="auto"/>
          <w:highlight w:val="none"/>
        </w:rPr>
        <w:fldChar w:fldCharType="begin"/>
      </w:r>
      <w:r>
        <w:rPr>
          <w:color w:val="auto"/>
          <w:highlight w:val="none"/>
        </w:rPr>
        <w:instrText xml:space="preserve"> PAGEREF _Toc24561 \h </w:instrText>
      </w:r>
      <w:r>
        <w:rPr>
          <w:color w:val="auto"/>
          <w:highlight w:val="none"/>
        </w:rPr>
        <w:fldChar w:fldCharType="separate"/>
      </w:r>
      <w:r>
        <w:rPr>
          <w:color w:val="auto"/>
          <w:highlight w:val="none"/>
        </w:rPr>
        <w:t>163</w:t>
      </w:r>
      <w:r>
        <w:rPr>
          <w:color w:val="auto"/>
          <w:highlight w:val="none"/>
        </w:rPr>
        <w:fldChar w:fldCharType="end"/>
      </w:r>
      <w:r>
        <w:rPr>
          <w:color w:val="auto"/>
          <w:highlight w:val="none"/>
        </w:rPr>
        <w:fldChar w:fldCharType="end"/>
      </w:r>
    </w:p>
    <w:p>
      <w:pPr>
        <w:pStyle w:val="42"/>
        <w:tabs>
          <w:tab w:val="right" w:leader="dot" w:pos="8820"/>
        </w:tabs>
        <w:rPr>
          <w:color w:val="auto"/>
          <w:highlight w:val="none"/>
        </w:rPr>
      </w:pPr>
      <w:r>
        <w:rPr>
          <w:color w:val="auto"/>
          <w:highlight w:val="none"/>
        </w:rPr>
        <w:fldChar w:fldCharType="begin"/>
      </w:r>
      <w:r>
        <w:rPr>
          <w:color w:val="auto"/>
          <w:highlight w:val="none"/>
        </w:rPr>
        <w:instrText xml:space="preserve"> HYPERLINK \l "_Toc27559" </w:instrText>
      </w:r>
      <w:r>
        <w:rPr>
          <w:color w:val="auto"/>
          <w:highlight w:val="none"/>
        </w:rPr>
        <w:fldChar w:fldCharType="separate"/>
      </w:r>
      <w:r>
        <w:rPr>
          <w:rFonts w:ascii="华文中宋" w:hAnsi="华文中宋" w:eastAsia="华文中宋"/>
          <w:color w:val="auto"/>
          <w:szCs w:val="28"/>
          <w:highlight w:val="none"/>
        </w:rPr>
        <w:t xml:space="preserve">第三部分 </w:t>
      </w:r>
      <w:r>
        <w:rPr>
          <w:rFonts w:hint="eastAsia" w:ascii="华文中宋" w:hAnsi="华文中宋" w:eastAsia="华文中宋"/>
          <w:color w:val="auto"/>
          <w:szCs w:val="28"/>
          <w:highlight w:val="none"/>
        </w:rPr>
        <w:t>专用合同条款</w:t>
      </w:r>
      <w:r>
        <w:rPr>
          <w:color w:val="auto"/>
          <w:highlight w:val="none"/>
        </w:rPr>
        <w:tab/>
      </w:r>
      <w:r>
        <w:rPr>
          <w:color w:val="auto"/>
          <w:highlight w:val="none"/>
        </w:rPr>
        <w:fldChar w:fldCharType="begin"/>
      </w:r>
      <w:r>
        <w:rPr>
          <w:color w:val="auto"/>
          <w:highlight w:val="none"/>
        </w:rPr>
        <w:instrText xml:space="preserve"> PAGEREF _Toc27559 \h </w:instrText>
      </w:r>
      <w:r>
        <w:rPr>
          <w:color w:val="auto"/>
          <w:highlight w:val="none"/>
        </w:rPr>
        <w:fldChar w:fldCharType="separate"/>
      </w:r>
      <w:r>
        <w:rPr>
          <w:color w:val="auto"/>
          <w:highlight w:val="none"/>
        </w:rPr>
        <w:t>164</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"_Toc31265" </w:instrText>
      </w:r>
      <w:r>
        <w:rPr>
          <w:color w:val="auto"/>
          <w:highlight w:val="none"/>
        </w:rPr>
        <w:fldChar w:fldCharType="separate"/>
      </w:r>
      <w:r>
        <w:rPr>
          <w:rFonts w:ascii="Times New Roman" w:hAnsi="Times New Roman" w:eastAsia="黑体"/>
          <w:color w:val="auto"/>
          <w:szCs w:val="24"/>
          <w:highlight w:val="none"/>
        </w:rPr>
        <w:t>1. 一般约定</w:t>
      </w:r>
      <w:r>
        <w:rPr>
          <w:color w:val="auto"/>
          <w:highlight w:val="none"/>
        </w:rPr>
        <w:tab/>
      </w:r>
      <w:r>
        <w:rPr>
          <w:color w:val="auto"/>
          <w:highlight w:val="none"/>
        </w:rPr>
        <w:fldChar w:fldCharType="begin"/>
      </w:r>
      <w:r>
        <w:rPr>
          <w:color w:val="auto"/>
          <w:highlight w:val="none"/>
        </w:rPr>
        <w:instrText xml:space="preserve"> PAGEREF _Toc31265 \h </w:instrText>
      </w:r>
      <w:r>
        <w:rPr>
          <w:color w:val="auto"/>
          <w:highlight w:val="none"/>
        </w:rPr>
        <w:fldChar w:fldCharType="separate"/>
      </w:r>
      <w:r>
        <w:rPr>
          <w:color w:val="auto"/>
          <w:highlight w:val="none"/>
        </w:rPr>
        <w:t>164</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"_Toc8719" </w:instrText>
      </w:r>
      <w:r>
        <w:rPr>
          <w:color w:val="auto"/>
          <w:highlight w:val="none"/>
        </w:rPr>
        <w:fldChar w:fldCharType="separate"/>
      </w:r>
      <w:r>
        <w:rPr>
          <w:rFonts w:ascii="Times New Roman" w:hAnsi="Times New Roman" w:eastAsia="黑体"/>
          <w:color w:val="auto"/>
          <w:szCs w:val="24"/>
          <w:highlight w:val="none"/>
        </w:rPr>
        <w:t>2. 发包人</w:t>
      </w:r>
      <w:r>
        <w:rPr>
          <w:color w:val="auto"/>
          <w:highlight w:val="none"/>
        </w:rPr>
        <w:tab/>
      </w:r>
      <w:r>
        <w:rPr>
          <w:color w:val="auto"/>
          <w:highlight w:val="none"/>
        </w:rPr>
        <w:fldChar w:fldCharType="begin"/>
      </w:r>
      <w:r>
        <w:rPr>
          <w:color w:val="auto"/>
          <w:highlight w:val="none"/>
        </w:rPr>
        <w:instrText xml:space="preserve"> PAGEREF _Toc8719 \h </w:instrText>
      </w:r>
      <w:r>
        <w:rPr>
          <w:color w:val="auto"/>
          <w:highlight w:val="none"/>
        </w:rPr>
        <w:fldChar w:fldCharType="separate"/>
      </w:r>
      <w:r>
        <w:rPr>
          <w:color w:val="auto"/>
          <w:highlight w:val="none"/>
        </w:rPr>
        <w:t>166</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"_Toc14242" </w:instrText>
      </w:r>
      <w:r>
        <w:rPr>
          <w:color w:val="auto"/>
          <w:highlight w:val="none"/>
        </w:rPr>
        <w:fldChar w:fldCharType="separate"/>
      </w:r>
      <w:r>
        <w:rPr>
          <w:rFonts w:ascii="Times New Roman" w:hAnsi="Times New Roman" w:eastAsia="黑体"/>
          <w:color w:val="auto"/>
          <w:szCs w:val="24"/>
          <w:highlight w:val="none"/>
        </w:rPr>
        <w:t>3. 承包人</w:t>
      </w:r>
      <w:r>
        <w:rPr>
          <w:color w:val="auto"/>
          <w:highlight w:val="none"/>
        </w:rPr>
        <w:tab/>
      </w:r>
      <w:r>
        <w:rPr>
          <w:color w:val="auto"/>
          <w:highlight w:val="none"/>
        </w:rPr>
        <w:fldChar w:fldCharType="begin"/>
      </w:r>
      <w:r>
        <w:rPr>
          <w:color w:val="auto"/>
          <w:highlight w:val="none"/>
        </w:rPr>
        <w:instrText xml:space="preserve"> PAGEREF _Toc14242 \h </w:instrText>
      </w:r>
      <w:r>
        <w:rPr>
          <w:color w:val="auto"/>
          <w:highlight w:val="none"/>
        </w:rPr>
        <w:fldChar w:fldCharType="separate"/>
      </w:r>
      <w:r>
        <w:rPr>
          <w:color w:val="auto"/>
          <w:highlight w:val="none"/>
        </w:rPr>
        <w:t>166</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"_Toc30845" </w:instrText>
      </w:r>
      <w:r>
        <w:rPr>
          <w:color w:val="auto"/>
          <w:highlight w:val="none"/>
        </w:rPr>
        <w:fldChar w:fldCharType="separate"/>
      </w:r>
      <w:r>
        <w:rPr>
          <w:rFonts w:ascii="Times New Roman" w:hAnsi="Times New Roman" w:eastAsia="黑体"/>
          <w:color w:val="auto"/>
          <w:szCs w:val="24"/>
          <w:highlight w:val="none"/>
        </w:rPr>
        <w:t>4. 监理人</w:t>
      </w:r>
      <w:r>
        <w:rPr>
          <w:rFonts w:hint="eastAsia" w:ascii="Times New Roman" w:hAnsi="Times New Roman" w:eastAsia="黑体"/>
          <w:color w:val="auto"/>
          <w:szCs w:val="24"/>
          <w:highlight w:val="none"/>
        </w:rPr>
        <w:t>（略）</w:t>
      </w:r>
      <w:r>
        <w:rPr>
          <w:color w:val="auto"/>
          <w:highlight w:val="none"/>
        </w:rPr>
        <w:tab/>
      </w:r>
      <w:r>
        <w:rPr>
          <w:color w:val="auto"/>
          <w:highlight w:val="none"/>
        </w:rPr>
        <w:fldChar w:fldCharType="begin"/>
      </w:r>
      <w:r>
        <w:rPr>
          <w:color w:val="auto"/>
          <w:highlight w:val="none"/>
        </w:rPr>
        <w:instrText xml:space="preserve"> PAGEREF _Toc30845 \h </w:instrText>
      </w:r>
      <w:r>
        <w:rPr>
          <w:color w:val="auto"/>
          <w:highlight w:val="none"/>
        </w:rPr>
        <w:fldChar w:fldCharType="separate"/>
      </w:r>
      <w:r>
        <w:rPr>
          <w:color w:val="auto"/>
          <w:highlight w:val="none"/>
        </w:rPr>
        <w:t>167</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"_Toc29728" </w:instrText>
      </w:r>
      <w:r>
        <w:rPr>
          <w:color w:val="auto"/>
          <w:highlight w:val="none"/>
        </w:rPr>
        <w:fldChar w:fldCharType="separate"/>
      </w:r>
      <w:r>
        <w:rPr>
          <w:rFonts w:ascii="Times New Roman" w:hAnsi="Times New Roman" w:eastAsia="黑体"/>
          <w:color w:val="auto"/>
          <w:szCs w:val="24"/>
          <w:highlight w:val="none"/>
        </w:rPr>
        <w:t>5. 工程质量</w:t>
      </w:r>
      <w:r>
        <w:rPr>
          <w:color w:val="auto"/>
          <w:highlight w:val="none"/>
        </w:rPr>
        <w:tab/>
      </w:r>
      <w:r>
        <w:rPr>
          <w:color w:val="auto"/>
          <w:highlight w:val="none"/>
        </w:rPr>
        <w:fldChar w:fldCharType="begin"/>
      </w:r>
      <w:r>
        <w:rPr>
          <w:color w:val="auto"/>
          <w:highlight w:val="none"/>
        </w:rPr>
        <w:instrText xml:space="preserve"> PAGEREF _Toc29728 \h </w:instrText>
      </w:r>
      <w:r>
        <w:rPr>
          <w:color w:val="auto"/>
          <w:highlight w:val="none"/>
        </w:rPr>
        <w:fldChar w:fldCharType="separate"/>
      </w:r>
      <w:r>
        <w:rPr>
          <w:color w:val="auto"/>
          <w:highlight w:val="none"/>
        </w:rPr>
        <w:t>167</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"_Toc15819" </w:instrText>
      </w:r>
      <w:r>
        <w:rPr>
          <w:color w:val="auto"/>
          <w:highlight w:val="none"/>
        </w:rPr>
        <w:fldChar w:fldCharType="separate"/>
      </w:r>
      <w:r>
        <w:rPr>
          <w:rFonts w:ascii="Times New Roman" w:hAnsi="Times New Roman" w:eastAsia="黑体"/>
          <w:color w:val="auto"/>
          <w:szCs w:val="24"/>
          <w:highlight w:val="none"/>
        </w:rPr>
        <w:t>6. 安全文明施工与环境保护</w:t>
      </w:r>
      <w:r>
        <w:rPr>
          <w:color w:val="auto"/>
          <w:highlight w:val="none"/>
        </w:rPr>
        <w:tab/>
      </w:r>
      <w:r>
        <w:rPr>
          <w:color w:val="auto"/>
          <w:highlight w:val="none"/>
        </w:rPr>
        <w:fldChar w:fldCharType="begin"/>
      </w:r>
      <w:r>
        <w:rPr>
          <w:color w:val="auto"/>
          <w:highlight w:val="none"/>
        </w:rPr>
        <w:instrText xml:space="preserve"> PAGEREF _Toc15819 \h </w:instrText>
      </w:r>
      <w:r>
        <w:rPr>
          <w:color w:val="auto"/>
          <w:highlight w:val="none"/>
        </w:rPr>
        <w:fldChar w:fldCharType="separate"/>
      </w:r>
      <w:r>
        <w:rPr>
          <w:color w:val="auto"/>
          <w:highlight w:val="none"/>
        </w:rPr>
        <w:t>168</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"_Toc1407" </w:instrText>
      </w:r>
      <w:r>
        <w:rPr>
          <w:color w:val="auto"/>
          <w:highlight w:val="none"/>
        </w:rPr>
        <w:fldChar w:fldCharType="separate"/>
      </w:r>
      <w:r>
        <w:rPr>
          <w:rFonts w:ascii="Times New Roman" w:hAnsi="Times New Roman" w:eastAsia="黑体"/>
          <w:color w:val="auto"/>
          <w:szCs w:val="24"/>
          <w:highlight w:val="none"/>
        </w:rPr>
        <w:t>7. 工期和进度</w:t>
      </w:r>
      <w:r>
        <w:rPr>
          <w:color w:val="auto"/>
          <w:highlight w:val="none"/>
        </w:rPr>
        <w:tab/>
      </w:r>
      <w:r>
        <w:rPr>
          <w:color w:val="auto"/>
          <w:highlight w:val="none"/>
        </w:rPr>
        <w:fldChar w:fldCharType="begin"/>
      </w:r>
      <w:r>
        <w:rPr>
          <w:color w:val="auto"/>
          <w:highlight w:val="none"/>
        </w:rPr>
        <w:instrText xml:space="preserve"> PAGEREF _Toc1407 \h </w:instrText>
      </w:r>
      <w:r>
        <w:rPr>
          <w:color w:val="auto"/>
          <w:highlight w:val="none"/>
        </w:rPr>
        <w:fldChar w:fldCharType="separate"/>
      </w:r>
      <w:r>
        <w:rPr>
          <w:color w:val="auto"/>
          <w:highlight w:val="none"/>
        </w:rPr>
        <w:t>168</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"_Toc28919" </w:instrText>
      </w:r>
      <w:r>
        <w:rPr>
          <w:color w:val="auto"/>
          <w:highlight w:val="none"/>
        </w:rPr>
        <w:fldChar w:fldCharType="separate"/>
      </w:r>
      <w:r>
        <w:rPr>
          <w:rFonts w:ascii="Times New Roman" w:hAnsi="Times New Roman" w:eastAsia="黑体"/>
          <w:color w:val="auto"/>
          <w:szCs w:val="24"/>
          <w:highlight w:val="none"/>
        </w:rPr>
        <w:t>8. 材料与设备</w:t>
      </w:r>
      <w:r>
        <w:rPr>
          <w:color w:val="auto"/>
          <w:highlight w:val="none"/>
        </w:rPr>
        <w:tab/>
      </w:r>
      <w:r>
        <w:rPr>
          <w:color w:val="auto"/>
          <w:highlight w:val="none"/>
        </w:rPr>
        <w:fldChar w:fldCharType="begin"/>
      </w:r>
      <w:r>
        <w:rPr>
          <w:color w:val="auto"/>
          <w:highlight w:val="none"/>
        </w:rPr>
        <w:instrText xml:space="preserve"> PAGEREF _Toc28919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"_Toc5319" </w:instrText>
      </w:r>
      <w:r>
        <w:rPr>
          <w:color w:val="auto"/>
          <w:highlight w:val="none"/>
        </w:rPr>
        <w:fldChar w:fldCharType="separate"/>
      </w:r>
      <w:r>
        <w:rPr>
          <w:rFonts w:ascii="Times New Roman" w:hAnsi="Times New Roman" w:eastAsia="黑体"/>
          <w:color w:val="auto"/>
          <w:szCs w:val="24"/>
          <w:highlight w:val="none"/>
        </w:rPr>
        <w:t>9. 试验与检验</w:t>
      </w:r>
      <w:r>
        <w:rPr>
          <w:color w:val="auto"/>
          <w:highlight w:val="none"/>
        </w:rPr>
        <w:tab/>
      </w:r>
      <w:r>
        <w:rPr>
          <w:color w:val="auto"/>
          <w:highlight w:val="none"/>
        </w:rPr>
        <w:fldChar w:fldCharType="begin"/>
      </w:r>
      <w:r>
        <w:rPr>
          <w:color w:val="auto"/>
          <w:highlight w:val="none"/>
        </w:rPr>
        <w:instrText xml:space="preserve"> PAGEREF _Toc5319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"_Toc11486" </w:instrText>
      </w:r>
      <w:r>
        <w:rPr>
          <w:color w:val="auto"/>
          <w:highlight w:val="none"/>
        </w:rPr>
        <w:fldChar w:fldCharType="separate"/>
      </w:r>
      <w:r>
        <w:rPr>
          <w:rFonts w:ascii="Times New Roman" w:hAnsi="Times New Roman" w:eastAsia="黑体"/>
          <w:color w:val="auto"/>
          <w:szCs w:val="24"/>
          <w:highlight w:val="none"/>
        </w:rPr>
        <w:t>10. 变更</w:t>
      </w:r>
      <w:r>
        <w:rPr>
          <w:color w:val="auto"/>
          <w:highlight w:val="none"/>
        </w:rPr>
        <w:tab/>
      </w:r>
      <w:r>
        <w:rPr>
          <w:color w:val="auto"/>
          <w:highlight w:val="none"/>
        </w:rPr>
        <w:fldChar w:fldCharType="begin"/>
      </w:r>
      <w:r>
        <w:rPr>
          <w:color w:val="auto"/>
          <w:highlight w:val="none"/>
        </w:rPr>
        <w:instrText xml:space="preserve"> PAGEREF _Toc11486 \h </w:instrText>
      </w:r>
      <w:r>
        <w:rPr>
          <w:color w:val="auto"/>
          <w:highlight w:val="none"/>
        </w:rPr>
        <w:fldChar w:fldCharType="separate"/>
      </w:r>
      <w:r>
        <w:rPr>
          <w:color w:val="auto"/>
          <w:highlight w:val="none"/>
        </w:rPr>
        <w:t>169</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"_Toc30577" </w:instrText>
      </w:r>
      <w:r>
        <w:rPr>
          <w:color w:val="auto"/>
          <w:highlight w:val="none"/>
        </w:rPr>
        <w:fldChar w:fldCharType="separate"/>
      </w:r>
      <w:r>
        <w:rPr>
          <w:rFonts w:ascii="Times New Roman" w:hAnsi="Times New Roman" w:eastAsia="黑体"/>
          <w:color w:val="auto"/>
          <w:szCs w:val="24"/>
          <w:highlight w:val="none"/>
        </w:rPr>
        <w:t>11. 价格调整</w:t>
      </w:r>
      <w:r>
        <w:rPr>
          <w:color w:val="auto"/>
          <w:highlight w:val="none"/>
        </w:rPr>
        <w:tab/>
      </w:r>
      <w:r>
        <w:rPr>
          <w:color w:val="auto"/>
          <w:highlight w:val="none"/>
        </w:rPr>
        <w:fldChar w:fldCharType="begin"/>
      </w:r>
      <w:r>
        <w:rPr>
          <w:color w:val="auto"/>
          <w:highlight w:val="none"/>
        </w:rPr>
        <w:instrText xml:space="preserve"> PAGEREF _Toc30577 \h </w:instrText>
      </w:r>
      <w:r>
        <w:rPr>
          <w:color w:val="auto"/>
          <w:highlight w:val="none"/>
        </w:rPr>
        <w:fldChar w:fldCharType="separate"/>
      </w:r>
      <w:r>
        <w:rPr>
          <w:color w:val="auto"/>
          <w:highlight w:val="none"/>
        </w:rPr>
        <w:t>170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"_Toc18150" </w:instrText>
      </w:r>
      <w:r>
        <w:rPr>
          <w:color w:val="auto"/>
          <w:highlight w:val="none"/>
        </w:rPr>
        <w:fldChar w:fldCharType="separate"/>
      </w:r>
      <w:r>
        <w:rPr>
          <w:rFonts w:ascii="Times New Roman" w:hAnsi="Times New Roman" w:eastAsia="黑体"/>
          <w:color w:val="auto"/>
          <w:szCs w:val="24"/>
          <w:highlight w:val="none"/>
        </w:rPr>
        <w:t>12. 合同价格、计量与支付</w:t>
      </w:r>
      <w:r>
        <w:rPr>
          <w:color w:val="auto"/>
          <w:highlight w:val="none"/>
        </w:rPr>
        <w:tab/>
      </w:r>
      <w:r>
        <w:rPr>
          <w:color w:val="auto"/>
          <w:highlight w:val="none"/>
        </w:rPr>
        <w:fldChar w:fldCharType="begin"/>
      </w:r>
      <w:r>
        <w:rPr>
          <w:color w:val="auto"/>
          <w:highlight w:val="none"/>
        </w:rPr>
        <w:instrText xml:space="preserve"> PAGEREF _Toc18150 \h </w:instrText>
      </w:r>
      <w:r>
        <w:rPr>
          <w:color w:val="auto"/>
          <w:highlight w:val="none"/>
        </w:rPr>
        <w:fldChar w:fldCharType="separate"/>
      </w:r>
      <w:r>
        <w:rPr>
          <w:color w:val="auto"/>
          <w:highlight w:val="none"/>
        </w:rPr>
        <w:t>170</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"_Toc21485" </w:instrText>
      </w:r>
      <w:r>
        <w:rPr>
          <w:color w:val="auto"/>
          <w:highlight w:val="none"/>
        </w:rPr>
        <w:fldChar w:fldCharType="separate"/>
      </w:r>
      <w:r>
        <w:rPr>
          <w:rFonts w:ascii="Times New Roman" w:hAnsi="Times New Roman" w:eastAsia="黑体"/>
          <w:color w:val="auto"/>
          <w:szCs w:val="24"/>
          <w:highlight w:val="none"/>
        </w:rPr>
        <w:t>13.</w:t>
      </w:r>
      <w:r>
        <w:rPr>
          <w:rFonts w:hint="eastAsia" w:ascii="Times New Roman" w:hAnsi="Times New Roman" w:eastAsia="黑体"/>
          <w:color w:val="auto"/>
          <w:szCs w:val="24"/>
          <w:highlight w:val="none"/>
        </w:rPr>
        <w:t xml:space="preserve"> </w:t>
      </w:r>
      <w:r>
        <w:rPr>
          <w:rFonts w:ascii="Times New Roman" w:hAnsi="Times New Roman" w:eastAsia="黑体"/>
          <w:color w:val="auto"/>
          <w:szCs w:val="24"/>
          <w:highlight w:val="none"/>
        </w:rPr>
        <w:t>验收和工程试车</w:t>
      </w:r>
      <w:r>
        <w:rPr>
          <w:color w:val="auto"/>
          <w:highlight w:val="none"/>
        </w:rPr>
        <w:tab/>
      </w:r>
      <w:r>
        <w:rPr>
          <w:color w:val="auto"/>
          <w:highlight w:val="none"/>
        </w:rPr>
        <w:fldChar w:fldCharType="begin"/>
      </w:r>
      <w:r>
        <w:rPr>
          <w:color w:val="auto"/>
          <w:highlight w:val="none"/>
        </w:rPr>
        <w:instrText xml:space="preserve"> PAGEREF _Toc21485 \h </w:instrText>
      </w:r>
      <w:r>
        <w:rPr>
          <w:color w:val="auto"/>
          <w:highlight w:val="none"/>
        </w:rPr>
        <w:fldChar w:fldCharType="separate"/>
      </w:r>
      <w:r>
        <w:rPr>
          <w:color w:val="auto"/>
          <w:highlight w:val="none"/>
        </w:rPr>
        <w:t>171</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"_Toc24531" </w:instrText>
      </w:r>
      <w:r>
        <w:rPr>
          <w:color w:val="auto"/>
          <w:highlight w:val="none"/>
        </w:rPr>
        <w:fldChar w:fldCharType="separate"/>
      </w:r>
      <w:r>
        <w:rPr>
          <w:rFonts w:ascii="Times New Roman" w:hAnsi="Times New Roman" w:eastAsia="黑体"/>
          <w:color w:val="auto"/>
          <w:szCs w:val="24"/>
          <w:highlight w:val="none"/>
        </w:rPr>
        <w:t>14. 竣工结算</w:t>
      </w:r>
      <w:r>
        <w:rPr>
          <w:color w:val="auto"/>
          <w:highlight w:val="none"/>
        </w:rPr>
        <w:tab/>
      </w:r>
      <w:r>
        <w:rPr>
          <w:color w:val="auto"/>
          <w:highlight w:val="none"/>
        </w:rPr>
        <w:fldChar w:fldCharType="begin"/>
      </w:r>
      <w:r>
        <w:rPr>
          <w:color w:val="auto"/>
          <w:highlight w:val="none"/>
        </w:rPr>
        <w:instrText xml:space="preserve"> PAGEREF _Toc24531 \h </w:instrText>
      </w:r>
      <w:r>
        <w:rPr>
          <w:color w:val="auto"/>
          <w:highlight w:val="none"/>
        </w:rPr>
        <w:fldChar w:fldCharType="separate"/>
      </w:r>
      <w:r>
        <w:rPr>
          <w:color w:val="auto"/>
          <w:highlight w:val="none"/>
        </w:rPr>
        <w:t>172</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"_Toc29604" </w:instrText>
      </w:r>
      <w:r>
        <w:rPr>
          <w:color w:val="auto"/>
          <w:highlight w:val="none"/>
        </w:rPr>
        <w:fldChar w:fldCharType="separate"/>
      </w:r>
      <w:r>
        <w:rPr>
          <w:rFonts w:ascii="Times New Roman" w:hAnsi="Times New Roman" w:eastAsia="黑体"/>
          <w:color w:val="auto"/>
          <w:szCs w:val="24"/>
          <w:highlight w:val="none"/>
        </w:rPr>
        <w:t>15. 缺陷责任期与保修</w:t>
      </w:r>
      <w:r>
        <w:rPr>
          <w:color w:val="auto"/>
          <w:highlight w:val="none"/>
        </w:rPr>
        <w:tab/>
      </w:r>
      <w:r>
        <w:rPr>
          <w:color w:val="auto"/>
          <w:highlight w:val="none"/>
        </w:rPr>
        <w:fldChar w:fldCharType="begin"/>
      </w:r>
      <w:r>
        <w:rPr>
          <w:color w:val="auto"/>
          <w:highlight w:val="none"/>
        </w:rPr>
        <w:instrText xml:space="preserve"> PAGEREF _Toc29604 \h </w:instrText>
      </w:r>
      <w:r>
        <w:rPr>
          <w:color w:val="auto"/>
          <w:highlight w:val="none"/>
        </w:rPr>
        <w:fldChar w:fldCharType="separate"/>
      </w:r>
      <w:r>
        <w:rPr>
          <w:color w:val="auto"/>
          <w:highlight w:val="none"/>
        </w:rPr>
        <w:t>173</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"_Toc24661" </w:instrText>
      </w:r>
      <w:r>
        <w:rPr>
          <w:color w:val="auto"/>
          <w:highlight w:val="none"/>
        </w:rPr>
        <w:fldChar w:fldCharType="separate"/>
      </w:r>
      <w:r>
        <w:rPr>
          <w:rFonts w:ascii="Times New Roman" w:hAnsi="Times New Roman" w:eastAsia="黑体"/>
          <w:color w:val="auto"/>
          <w:szCs w:val="24"/>
          <w:highlight w:val="none"/>
        </w:rPr>
        <w:t>16. 违约</w:t>
      </w:r>
      <w:r>
        <w:rPr>
          <w:color w:val="auto"/>
          <w:highlight w:val="none"/>
        </w:rPr>
        <w:tab/>
      </w:r>
      <w:r>
        <w:rPr>
          <w:color w:val="auto"/>
          <w:highlight w:val="none"/>
        </w:rPr>
        <w:fldChar w:fldCharType="begin"/>
      </w:r>
      <w:r>
        <w:rPr>
          <w:color w:val="auto"/>
          <w:highlight w:val="none"/>
        </w:rPr>
        <w:instrText xml:space="preserve"> PAGEREF _Toc24661 \h </w:instrText>
      </w:r>
      <w:r>
        <w:rPr>
          <w:color w:val="auto"/>
          <w:highlight w:val="none"/>
        </w:rPr>
        <w:fldChar w:fldCharType="separate"/>
      </w:r>
      <w:r>
        <w:rPr>
          <w:color w:val="auto"/>
          <w:highlight w:val="none"/>
        </w:rPr>
        <w:t>174</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"_Toc30148" </w:instrText>
      </w:r>
      <w:r>
        <w:rPr>
          <w:color w:val="auto"/>
          <w:highlight w:val="none"/>
        </w:rPr>
        <w:fldChar w:fldCharType="separate"/>
      </w:r>
      <w:r>
        <w:rPr>
          <w:rFonts w:ascii="Times New Roman" w:hAnsi="Times New Roman" w:eastAsia="黑体"/>
          <w:color w:val="auto"/>
          <w:szCs w:val="24"/>
          <w:highlight w:val="none"/>
        </w:rPr>
        <w:t>17. 不可抗力</w:t>
      </w:r>
      <w:r>
        <w:rPr>
          <w:color w:val="auto"/>
          <w:highlight w:val="none"/>
        </w:rPr>
        <w:tab/>
      </w:r>
      <w:r>
        <w:rPr>
          <w:color w:val="auto"/>
          <w:highlight w:val="none"/>
        </w:rPr>
        <w:fldChar w:fldCharType="begin"/>
      </w:r>
      <w:r>
        <w:rPr>
          <w:color w:val="auto"/>
          <w:highlight w:val="none"/>
        </w:rPr>
        <w:instrText xml:space="preserve"> PAGEREF _Toc30148 \h </w:instrText>
      </w:r>
      <w:r>
        <w:rPr>
          <w:color w:val="auto"/>
          <w:highlight w:val="none"/>
        </w:rPr>
        <w:fldChar w:fldCharType="separate"/>
      </w:r>
      <w:r>
        <w:rPr>
          <w:color w:val="auto"/>
          <w:highlight w:val="none"/>
        </w:rPr>
        <w:t>174</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"_Toc26398" </w:instrText>
      </w:r>
      <w:r>
        <w:rPr>
          <w:color w:val="auto"/>
          <w:highlight w:val="none"/>
        </w:rPr>
        <w:fldChar w:fldCharType="separate"/>
      </w:r>
      <w:r>
        <w:rPr>
          <w:rFonts w:ascii="Times New Roman" w:hAnsi="Times New Roman" w:eastAsia="黑体"/>
          <w:color w:val="auto"/>
          <w:szCs w:val="24"/>
          <w:highlight w:val="none"/>
        </w:rPr>
        <w:t>18. 保险</w:t>
      </w:r>
      <w:r>
        <w:rPr>
          <w:rFonts w:hint="eastAsia" w:ascii="Times New Roman" w:hAnsi="Times New Roman" w:eastAsia="黑体"/>
          <w:color w:val="auto"/>
          <w:szCs w:val="24"/>
          <w:highlight w:val="none"/>
        </w:rPr>
        <w:t>（略）</w:t>
      </w:r>
      <w:r>
        <w:rPr>
          <w:color w:val="auto"/>
          <w:highlight w:val="none"/>
        </w:rPr>
        <w:tab/>
      </w:r>
      <w:r>
        <w:rPr>
          <w:color w:val="auto"/>
          <w:highlight w:val="none"/>
        </w:rPr>
        <w:fldChar w:fldCharType="begin"/>
      </w:r>
      <w:r>
        <w:rPr>
          <w:color w:val="auto"/>
          <w:highlight w:val="none"/>
        </w:rPr>
        <w:instrText xml:space="preserve"> PAGEREF _Toc26398 \h </w:instrText>
      </w:r>
      <w:r>
        <w:rPr>
          <w:color w:val="auto"/>
          <w:highlight w:val="none"/>
        </w:rPr>
        <w:fldChar w:fldCharType="separate"/>
      </w:r>
      <w:r>
        <w:rPr>
          <w:color w:val="auto"/>
          <w:highlight w:val="none"/>
        </w:rPr>
        <w:t>175</w:t>
      </w:r>
      <w:r>
        <w:rPr>
          <w:color w:val="auto"/>
          <w:highlight w:val="none"/>
        </w:rPr>
        <w:fldChar w:fldCharType="end"/>
      </w:r>
      <w:r>
        <w:rPr>
          <w:color w:val="auto"/>
          <w:highlight w:val="none"/>
        </w:rPr>
        <w:fldChar w:fldCharType="end"/>
      </w:r>
    </w:p>
    <w:p>
      <w:pPr>
        <w:pStyle w:val="58"/>
        <w:tabs>
          <w:tab w:val="right" w:leader="dot" w:pos="8820"/>
        </w:tabs>
        <w:rPr>
          <w:color w:val="auto"/>
          <w:highlight w:val="none"/>
        </w:rPr>
      </w:pPr>
      <w:r>
        <w:rPr>
          <w:color w:val="auto"/>
          <w:highlight w:val="none"/>
        </w:rPr>
        <w:fldChar w:fldCharType="begin"/>
      </w:r>
      <w:r>
        <w:rPr>
          <w:color w:val="auto"/>
          <w:highlight w:val="none"/>
        </w:rPr>
        <w:instrText xml:space="preserve"> HYPERLINK \l "_Toc29069" </w:instrText>
      </w:r>
      <w:r>
        <w:rPr>
          <w:color w:val="auto"/>
          <w:highlight w:val="none"/>
        </w:rPr>
        <w:fldChar w:fldCharType="separate"/>
      </w:r>
      <w:r>
        <w:rPr>
          <w:rFonts w:ascii="Times New Roman" w:hAnsi="Times New Roman" w:eastAsia="黑体"/>
          <w:color w:val="auto"/>
          <w:szCs w:val="24"/>
          <w:highlight w:val="none"/>
        </w:rPr>
        <w:t>20. 争议解决</w:t>
      </w:r>
      <w:r>
        <w:rPr>
          <w:color w:val="auto"/>
          <w:highlight w:val="none"/>
        </w:rPr>
        <w:tab/>
      </w:r>
      <w:r>
        <w:rPr>
          <w:color w:val="auto"/>
          <w:highlight w:val="none"/>
        </w:rPr>
        <w:fldChar w:fldCharType="begin"/>
      </w:r>
      <w:r>
        <w:rPr>
          <w:color w:val="auto"/>
          <w:highlight w:val="none"/>
        </w:rPr>
        <w:instrText xml:space="preserve"> PAGEREF _Toc29069 \h </w:instrText>
      </w:r>
      <w:r>
        <w:rPr>
          <w:color w:val="auto"/>
          <w:highlight w:val="none"/>
        </w:rPr>
        <w:fldChar w:fldCharType="separate"/>
      </w:r>
      <w:r>
        <w:rPr>
          <w:color w:val="auto"/>
          <w:highlight w:val="none"/>
        </w:rPr>
        <w:t>175</w:t>
      </w:r>
      <w:r>
        <w:rPr>
          <w:color w:val="auto"/>
          <w:highlight w:val="none"/>
        </w:rPr>
        <w:fldChar w:fldCharType="end"/>
      </w:r>
      <w:r>
        <w:rPr>
          <w:color w:val="auto"/>
          <w:highlight w:val="none"/>
        </w:rPr>
        <w:fldChar w:fldCharType="end"/>
      </w:r>
    </w:p>
    <w:p>
      <w:pPr>
        <w:pStyle w:val="71"/>
        <w:tabs>
          <w:tab w:val="right" w:leader="dot" w:pos="8820"/>
        </w:tabs>
        <w:rPr>
          <w:color w:val="auto"/>
          <w:highlight w:val="none"/>
        </w:rPr>
      </w:pPr>
    </w:p>
    <w:p>
      <w:pPr>
        <w:pStyle w:val="7"/>
        <w:jc w:val="distribute"/>
        <w:rPr>
          <w:rFonts w:ascii="宋体" w:hAnsi="宋体" w:cs="宋体"/>
          <w:color w:val="auto"/>
          <w:sz w:val="24"/>
          <w:szCs w:val="24"/>
          <w:highlight w:val="none"/>
        </w:rPr>
        <w:sectPr>
          <w:footerReference r:id="rId10" w:type="first"/>
          <w:pgSz w:w="11906" w:h="16838"/>
          <w:pgMar w:top="1418" w:right="1555" w:bottom="1418" w:left="1531" w:header="851" w:footer="992" w:gutter="0"/>
          <w:cols w:space="720" w:num="1"/>
          <w:titlePg/>
          <w:docGrid w:type="lines" w:linePitch="312" w:charSpace="0"/>
        </w:sectPr>
      </w:pPr>
      <w:r>
        <w:rPr>
          <w:rFonts w:hint="eastAsia" w:ascii="宋体" w:hAnsi="宋体" w:cs="宋体"/>
          <w:color w:val="auto"/>
          <w:szCs w:val="21"/>
          <w:highlight w:val="none"/>
        </w:rPr>
        <w:fldChar w:fldCharType="end"/>
      </w:r>
    </w:p>
    <w:p>
      <w:pPr>
        <w:pStyle w:val="7"/>
        <w:jc w:val="center"/>
        <w:rPr>
          <w:rFonts w:ascii="宋体" w:hAnsi="宋体" w:cs="宋体"/>
          <w:b w:val="0"/>
          <w:color w:val="auto"/>
          <w:sz w:val="24"/>
          <w:szCs w:val="24"/>
          <w:highlight w:val="none"/>
        </w:rPr>
      </w:pPr>
      <w:bookmarkStart w:id="98" w:name="_Toc8280"/>
      <w:bookmarkStart w:id="99" w:name="_Toc17182_WPSOffice_Level2"/>
      <w:r>
        <w:rPr>
          <w:rFonts w:hint="eastAsia" w:ascii="宋体" w:hAnsi="宋体" w:cs="宋体"/>
          <w:color w:val="auto"/>
          <w:sz w:val="24"/>
          <w:szCs w:val="24"/>
          <w:highlight w:val="none"/>
        </w:rPr>
        <w:t>第一部分 合同协议书</w:t>
      </w:r>
      <w:bookmarkEnd w:id="98"/>
      <w:bookmarkEnd w:id="99"/>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rPr>
        <w:t></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根据《中华人民共和国民法典》、《中华人民共和国建筑法》及有关法律规定，遵循平等、自愿、公平和诚实信用的原则，双方就施工及有关事项协商一致，共同达成如下协议：</w:t>
      </w:r>
    </w:p>
    <w:p>
      <w:pPr>
        <w:pStyle w:val="8"/>
        <w:spacing w:before="120" w:after="120" w:line="360" w:lineRule="auto"/>
        <w:rPr>
          <w:rFonts w:ascii="宋体" w:hAnsi="宋体" w:cs="宋体"/>
          <w:bCs w:val="0"/>
          <w:color w:val="auto"/>
          <w:szCs w:val="21"/>
          <w:highlight w:val="none"/>
        </w:rPr>
      </w:pPr>
      <w:bookmarkStart w:id="100" w:name="_Toc25915"/>
      <w:r>
        <w:rPr>
          <w:rFonts w:hint="eastAsia" w:ascii="宋体" w:hAnsi="宋体" w:cs="宋体"/>
          <w:b w:val="0"/>
          <w:color w:val="auto"/>
          <w:szCs w:val="21"/>
          <w:highlight w:val="none"/>
        </w:rPr>
        <w:t>一、工程概况</w:t>
      </w:r>
      <w:bookmarkEnd w:id="100"/>
    </w:p>
    <w:p>
      <w:pPr>
        <w:spacing w:line="360" w:lineRule="auto"/>
        <w:ind w:firstLine="411" w:firstLineChars="196"/>
        <w:rPr>
          <w:rFonts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b/>
          <w:color w:val="auto"/>
          <w:szCs w:val="21"/>
          <w:highlight w:val="none"/>
          <w:u w:val="single"/>
        </w:rPr>
        <w:t xml:space="preserve">                 。</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b/>
          <w:color w:val="auto"/>
          <w:szCs w:val="21"/>
          <w:highlight w:val="none"/>
          <w:u w:val="single"/>
          <w:lang w:val="en-US" w:eastAsia="zh-CN"/>
        </w:rPr>
        <w:t xml:space="preserve">     </w:t>
      </w:r>
      <w:r>
        <w:rPr>
          <w:rFonts w:hint="eastAsia" w:ascii="宋体" w:hAnsi="宋体" w:cs="宋体"/>
          <w:bCs/>
          <w:color w:val="auto"/>
          <w:szCs w:val="21"/>
          <w:highlight w:val="none"/>
        </w:rPr>
        <w:t>。</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5.工程内容：</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pPr>
        <w:spacing w:line="360" w:lineRule="auto"/>
        <w:ind w:firstLine="411" w:firstLineChars="196"/>
        <w:rPr>
          <w:rFonts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6.工程承包范围：</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u w:val="single"/>
        </w:rPr>
        <w:t>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pStyle w:val="8"/>
        <w:spacing w:before="120" w:after="120" w:line="360" w:lineRule="auto"/>
        <w:rPr>
          <w:rFonts w:ascii="宋体" w:hAnsi="宋体" w:cs="宋体"/>
          <w:b w:val="0"/>
          <w:color w:val="auto"/>
          <w:szCs w:val="21"/>
          <w:highlight w:val="none"/>
        </w:rPr>
      </w:pPr>
      <w:bookmarkStart w:id="101" w:name="_Toc25312"/>
      <w:r>
        <w:rPr>
          <w:rFonts w:hint="eastAsia" w:ascii="宋体" w:hAnsi="宋体" w:cs="宋体"/>
          <w:b w:val="0"/>
          <w:color w:val="auto"/>
          <w:szCs w:val="21"/>
          <w:highlight w:val="none"/>
        </w:rPr>
        <w:t>二、合同工期</w:t>
      </w:r>
      <w:bookmarkEnd w:id="101"/>
    </w:p>
    <w:p>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w:t>
      </w:r>
      <w:r>
        <w:rPr>
          <w:rFonts w:hint="eastAsia" w:ascii="宋体" w:hAnsi="宋体" w:cs="宋体"/>
          <w:color w:val="auto"/>
          <w:szCs w:val="21"/>
          <w:highlight w:val="none"/>
        </w:rPr>
        <w:t>天。工期总日历天数与根据前述计划开竣工日期计算的工期天数不一致的，以工期总日历天数为准。</w:t>
      </w:r>
    </w:p>
    <w:p>
      <w:pPr>
        <w:pStyle w:val="8"/>
        <w:spacing w:before="120" w:after="120" w:line="360" w:lineRule="auto"/>
        <w:rPr>
          <w:rFonts w:ascii="宋体" w:hAnsi="宋体" w:cs="宋体"/>
          <w:bCs w:val="0"/>
          <w:color w:val="auto"/>
          <w:szCs w:val="21"/>
          <w:highlight w:val="none"/>
        </w:rPr>
      </w:pPr>
      <w:bookmarkStart w:id="102" w:name="_Toc5618"/>
      <w:r>
        <w:rPr>
          <w:rFonts w:hint="eastAsia" w:ascii="宋体" w:hAnsi="宋体" w:cs="宋体"/>
          <w:b w:val="0"/>
          <w:color w:val="auto"/>
          <w:szCs w:val="21"/>
          <w:highlight w:val="none"/>
        </w:rPr>
        <w:t>三、质量标准</w:t>
      </w:r>
      <w:bookmarkEnd w:id="102"/>
    </w:p>
    <w:p>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b/>
          <w:color w:val="auto"/>
          <w:szCs w:val="21"/>
          <w:highlight w:val="none"/>
          <w:u w:val="single"/>
          <w:lang w:val="en-US" w:eastAsia="zh-CN"/>
        </w:rPr>
        <w:t xml:space="preserve">        </w:t>
      </w:r>
      <w:r>
        <w:rPr>
          <w:rFonts w:hint="eastAsia" w:ascii="宋体" w:hAnsi="宋体" w:cs="宋体"/>
          <w:color w:val="auto"/>
          <w:szCs w:val="21"/>
          <w:highlight w:val="none"/>
        </w:rPr>
        <w:t>标准。</w:t>
      </w:r>
    </w:p>
    <w:p>
      <w:pPr>
        <w:pStyle w:val="8"/>
        <w:spacing w:before="120" w:after="120" w:line="360" w:lineRule="auto"/>
        <w:rPr>
          <w:rFonts w:ascii="宋体" w:hAnsi="宋体" w:cs="宋体"/>
          <w:bCs w:val="0"/>
          <w:color w:val="auto"/>
          <w:szCs w:val="21"/>
          <w:highlight w:val="none"/>
        </w:rPr>
      </w:pPr>
      <w:bookmarkStart w:id="103" w:name="_Toc1511"/>
      <w:r>
        <w:rPr>
          <w:rFonts w:hint="eastAsia" w:ascii="宋体" w:hAnsi="宋体" w:cs="宋体"/>
          <w:b w:val="0"/>
          <w:color w:val="auto"/>
          <w:szCs w:val="21"/>
          <w:highlight w:val="none"/>
        </w:rPr>
        <w:t>四、签约合同价与合同价格形式</w:t>
      </w:r>
      <w:bookmarkEnd w:id="103"/>
      <w:r>
        <w:rPr>
          <w:rFonts w:hint="eastAsia" w:ascii="宋体" w:hAnsi="宋体" w:cs="宋体"/>
          <w:b w:val="0"/>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1.签约合同价为：</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人民币（大写）(¥元)；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（1）安全文明施工费：</w:t>
      </w: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 (¥元)；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（2）材料和工程设备暂估价金额：</w:t>
      </w: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 (¥元)；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（3）专业工程暂估价金额：</w:t>
      </w: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 (¥元)；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（4）暂列金额：</w:t>
      </w: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 (¥元)。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pStyle w:val="8"/>
        <w:spacing w:before="120" w:after="120" w:line="360" w:lineRule="auto"/>
        <w:rPr>
          <w:rFonts w:ascii="宋体" w:hAnsi="宋体" w:cs="宋体"/>
          <w:b w:val="0"/>
          <w:color w:val="auto"/>
          <w:szCs w:val="21"/>
          <w:highlight w:val="none"/>
        </w:rPr>
      </w:pPr>
      <w:bookmarkStart w:id="104" w:name="_Toc13047"/>
      <w:r>
        <w:rPr>
          <w:rFonts w:hint="eastAsia" w:ascii="宋体" w:hAnsi="宋体" w:cs="宋体"/>
          <w:b w:val="0"/>
          <w:color w:val="auto"/>
          <w:szCs w:val="21"/>
          <w:highlight w:val="none"/>
        </w:rPr>
        <w:t>五、项目经理</w:t>
      </w:r>
      <w:bookmarkEnd w:id="10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pStyle w:val="8"/>
        <w:spacing w:before="120" w:after="120" w:line="360" w:lineRule="auto"/>
        <w:rPr>
          <w:rFonts w:ascii="宋体" w:hAnsi="宋体" w:cs="宋体"/>
          <w:bCs w:val="0"/>
          <w:color w:val="auto"/>
          <w:szCs w:val="21"/>
          <w:highlight w:val="none"/>
        </w:rPr>
      </w:pPr>
      <w:bookmarkStart w:id="105" w:name="_Toc11181"/>
      <w:r>
        <w:rPr>
          <w:rFonts w:hint="eastAsia" w:ascii="宋体" w:hAnsi="宋体" w:cs="宋体"/>
          <w:b w:val="0"/>
          <w:color w:val="auto"/>
          <w:szCs w:val="21"/>
          <w:highlight w:val="none"/>
        </w:rPr>
        <w:t>六、合同文件构成</w:t>
      </w:r>
      <w:bookmarkEnd w:id="105"/>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（1）中标通知书（如果有）；</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（3）专用合同条款及其附件；</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（4）通用合同条款；</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（5）技术标准和要求；</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（6）图纸；</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（7）已标价工程量清单或预算书；</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（8）其他合同文件。</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8"/>
        <w:spacing w:before="120" w:after="120" w:line="360" w:lineRule="auto"/>
        <w:rPr>
          <w:rFonts w:ascii="宋体" w:hAnsi="宋体" w:cs="宋体"/>
          <w:b w:val="0"/>
          <w:bCs w:val="0"/>
          <w:color w:val="auto"/>
          <w:szCs w:val="21"/>
          <w:highlight w:val="none"/>
        </w:rPr>
      </w:pPr>
      <w:bookmarkStart w:id="106" w:name="_Toc7623"/>
      <w:r>
        <w:rPr>
          <w:rFonts w:hint="eastAsia" w:ascii="宋体" w:hAnsi="宋体" w:cs="宋体"/>
          <w:b w:val="0"/>
          <w:color w:val="auto"/>
          <w:szCs w:val="21"/>
          <w:highlight w:val="none"/>
        </w:rPr>
        <w:t>七、承诺</w:t>
      </w:r>
      <w:bookmarkEnd w:id="106"/>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pPr>
        <w:spacing w:line="360" w:lineRule="auto"/>
        <w:rPr>
          <w:rFonts w:ascii="宋体" w:hAnsi="宋体" w:cs="宋体"/>
          <w:bCs/>
          <w:color w:val="auto"/>
          <w:szCs w:val="21"/>
          <w:highlight w:val="none"/>
        </w:rPr>
      </w:pPr>
      <w:r>
        <w:rPr>
          <w:rFonts w:hint="eastAsia" w:ascii="宋体" w:hAnsi="宋体" w:cs="宋体"/>
          <w:b/>
          <w:color w:val="auto"/>
          <w:szCs w:val="21"/>
          <w:highlight w:val="none"/>
        </w:rPr>
        <w:t xml:space="preserve">    八、词语含义</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pStyle w:val="8"/>
        <w:spacing w:before="120" w:after="120" w:line="360" w:lineRule="auto"/>
        <w:rPr>
          <w:rFonts w:ascii="宋体" w:hAnsi="宋体" w:cs="宋体"/>
          <w:bCs w:val="0"/>
          <w:color w:val="auto"/>
          <w:szCs w:val="21"/>
          <w:highlight w:val="none"/>
        </w:rPr>
      </w:pPr>
      <w:bookmarkStart w:id="107" w:name="_Toc24306"/>
      <w:r>
        <w:rPr>
          <w:rFonts w:hint="eastAsia" w:ascii="宋体" w:hAnsi="宋体" w:cs="宋体"/>
          <w:b w:val="0"/>
          <w:color w:val="auto"/>
          <w:szCs w:val="21"/>
          <w:highlight w:val="none"/>
        </w:rPr>
        <w:t>九、签订时间</w:t>
      </w:r>
      <w:bookmarkEnd w:id="107"/>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本合同于年月日签订。</w:t>
      </w:r>
    </w:p>
    <w:p>
      <w:pPr>
        <w:pStyle w:val="8"/>
        <w:spacing w:before="120" w:after="120" w:line="360" w:lineRule="auto"/>
        <w:rPr>
          <w:rFonts w:ascii="宋体" w:hAnsi="宋体" w:cs="宋体"/>
          <w:bCs w:val="0"/>
          <w:color w:val="auto"/>
          <w:szCs w:val="21"/>
          <w:highlight w:val="none"/>
        </w:rPr>
      </w:pPr>
      <w:bookmarkStart w:id="108" w:name="_Toc4218"/>
      <w:r>
        <w:rPr>
          <w:rFonts w:hint="eastAsia" w:ascii="宋体" w:hAnsi="宋体" w:cs="宋体"/>
          <w:b w:val="0"/>
          <w:color w:val="auto"/>
          <w:szCs w:val="21"/>
          <w:highlight w:val="none"/>
        </w:rPr>
        <w:t>十、签订地点</w:t>
      </w:r>
      <w:bookmarkEnd w:id="108"/>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本合同在签订。</w:t>
      </w:r>
    </w:p>
    <w:p>
      <w:pPr>
        <w:pStyle w:val="8"/>
        <w:spacing w:before="120" w:after="120" w:line="360" w:lineRule="auto"/>
        <w:rPr>
          <w:rFonts w:ascii="宋体" w:hAnsi="宋体" w:cs="宋体"/>
          <w:bCs w:val="0"/>
          <w:color w:val="auto"/>
          <w:szCs w:val="21"/>
          <w:highlight w:val="none"/>
        </w:rPr>
      </w:pPr>
      <w:bookmarkStart w:id="109" w:name="_Toc10874"/>
      <w:r>
        <w:rPr>
          <w:rFonts w:hint="eastAsia" w:ascii="宋体" w:hAnsi="宋体" w:cs="宋体"/>
          <w:b w:val="0"/>
          <w:color w:val="auto"/>
          <w:szCs w:val="21"/>
          <w:highlight w:val="none"/>
        </w:rPr>
        <w:t>十一、补充协议</w:t>
      </w:r>
      <w:bookmarkEnd w:id="109"/>
    </w:p>
    <w:p>
      <w:pPr>
        <w:spacing w:line="360" w:lineRule="auto"/>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pPr>
        <w:pStyle w:val="8"/>
        <w:spacing w:before="120" w:after="120" w:line="360" w:lineRule="auto"/>
        <w:rPr>
          <w:rFonts w:ascii="宋体" w:hAnsi="宋体" w:cs="宋体"/>
          <w:bCs w:val="0"/>
          <w:color w:val="auto"/>
          <w:szCs w:val="21"/>
          <w:highlight w:val="none"/>
        </w:rPr>
      </w:pPr>
      <w:bookmarkStart w:id="110" w:name="_Toc26528"/>
      <w:r>
        <w:rPr>
          <w:rFonts w:hint="eastAsia" w:ascii="宋体" w:hAnsi="宋体" w:cs="宋体"/>
          <w:b w:val="0"/>
          <w:color w:val="auto"/>
          <w:szCs w:val="21"/>
          <w:highlight w:val="none"/>
        </w:rPr>
        <w:t>十二、合同生效</w:t>
      </w:r>
      <w:bookmarkEnd w:id="110"/>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本合同自生效。</w:t>
      </w:r>
    </w:p>
    <w:p>
      <w:pPr>
        <w:pStyle w:val="8"/>
        <w:spacing w:before="120" w:after="120" w:line="360" w:lineRule="auto"/>
        <w:rPr>
          <w:rFonts w:ascii="宋体" w:hAnsi="宋体" w:cs="宋体"/>
          <w:bCs w:val="0"/>
          <w:color w:val="auto"/>
          <w:szCs w:val="21"/>
          <w:highlight w:val="none"/>
        </w:rPr>
      </w:pPr>
      <w:bookmarkStart w:id="111" w:name="_Toc2542"/>
      <w:r>
        <w:rPr>
          <w:rFonts w:hint="eastAsia" w:ascii="宋体" w:hAnsi="宋体" w:cs="宋体"/>
          <w:b w:val="0"/>
          <w:color w:val="auto"/>
          <w:szCs w:val="21"/>
          <w:highlight w:val="none"/>
        </w:rPr>
        <w:t>十三、合同份数</w:t>
      </w:r>
      <w:bookmarkEnd w:id="111"/>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本合同一式份，均具有同等法律效力，发包人执份，承包人执份。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  (公章)             承包人：  (公章)</w:t>
      </w:r>
    </w:p>
    <w:p>
      <w:pPr>
        <w:spacing w:line="360" w:lineRule="auto"/>
        <w:rPr>
          <w:rFonts w:ascii="宋体" w:hAnsi="宋体" w:cs="宋体"/>
          <w:color w:val="auto"/>
          <w:szCs w:val="21"/>
          <w:highlight w:val="none"/>
          <w:u w:val="singl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（签字）                    （签字）</w:t>
      </w:r>
    </w:p>
    <w:p>
      <w:pPr>
        <w:spacing w:line="360" w:lineRule="auto"/>
        <w:rPr>
          <w:rFonts w:ascii="宋体" w:hAnsi="宋体" w:cs="宋体"/>
          <w:color w:val="auto"/>
          <w:szCs w:val="21"/>
          <w:highlight w:val="none"/>
          <w:u w:val="single"/>
        </w:rPr>
      </w:pPr>
    </w:p>
    <w:p>
      <w:pPr>
        <w:tabs>
          <w:tab w:val="left" w:pos="4410"/>
        </w:tabs>
        <w:spacing w:line="360" w:lineRule="auto"/>
        <w:rPr>
          <w:rFonts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xml:space="preserve">  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电子信箱：  电子信箱：</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p>
    <w:p>
      <w:pPr>
        <w:pStyle w:val="7"/>
        <w:jc w:val="center"/>
        <w:rPr>
          <w:rFonts w:ascii="宋体" w:hAnsi="宋体" w:cs="宋体"/>
          <w:color w:val="auto"/>
          <w:sz w:val="24"/>
          <w:szCs w:val="24"/>
          <w:highlight w:val="none"/>
        </w:rPr>
      </w:pPr>
      <w:r>
        <w:rPr>
          <w:rFonts w:hint="eastAsia" w:ascii="宋体" w:hAnsi="宋体" w:cs="宋体"/>
          <w:color w:val="auto"/>
          <w:szCs w:val="21"/>
          <w:highlight w:val="none"/>
        </w:rPr>
        <w:br w:type="page"/>
      </w:r>
      <w:bookmarkStart w:id="112" w:name="_Toc25650"/>
      <w:bookmarkStart w:id="113" w:name="_Toc9391_WPSOffice_Level2"/>
      <w:r>
        <w:rPr>
          <w:rFonts w:hint="eastAsia" w:ascii="宋体" w:hAnsi="宋体" w:cs="宋体"/>
          <w:color w:val="auto"/>
          <w:sz w:val="24"/>
          <w:szCs w:val="24"/>
          <w:highlight w:val="none"/>
        </w:rPr>
        <w:t>第二部分 通用合同条款</w:t>
      </w:r>
      <w:bookmarkEnd w:id="112"/>
      <w:bookmarkEnd w:id="113"/>
      <w:bookmarkStart w:id="114" w:name="_Toc337558727"/>
    </w:p>
    <w:p>
      <w:pPr>
        <w:pStyle w:val="8"/>
        <w:spacing w:before="120" w:after="120" w:line="360" w:lineRule="auto"/>
        <w:rPr>
          <w:rFonts w:ascii="宋体" w:hAnsi="宋体" w:cs="宋体"/>
          <w:b w:val="0"/>
          <w:color w:val="auto"/>
          <w:szCs w:val="21"/>
          <w:highlight w:val="none"/>
        </w:rPr>
      </w:pPr>
      <w:bookmarkStart w:id="115" w:name="_Toc26253"/>
      <w:r>
        <w:rPr>
          <w:rFonts w:hint="eastAsia" w:ascii="宋体" w:hAnsi="宋体" w:cs="宋体"/>
          <w:b w:val="0"/>
          <w:color w:val="auto"/>
          <w:szCs w:val="21"/>
          <w:highlight w:val="none"/>
        </w:rPr>
        <w:t>1.</w:t>
      </w:r>
      <w:bookmarkStart w:id="116" w:name="_Toc303538973"/>
      <w:bookmarkEnd w:id="116"/>
      <w:bookmarkStart w:id="117" w:name="_Toc303538975"/>
      <w:bookmarkEnd w:id="117"/>
      <w:bookmarkStart w:id="118" w:name="_Toc303538972"/>
      <w:bookmarkEnd w:id="118"/>
      <w:bookmarkStart w:id="119" w:name="_Toc303538976"/>
      <w:bookmarkEnd w:id="119"/>
      <w:bookmarkStart w:id="120" w:name="_Toc303538974"/>
      <w:bookmarkEnd w:id="120"/>
      <w:bookmarkStart w:id="121" w:name="_Toc296503027"/>
      <w:bookmarkStart w:id="122" w:name="_Toc296346528"/>
      <w:r>
        <w:rPr>
          <w:rFonts w:hint="eastAsia" w:ascii="宋体" w:hAnsi="宋体" w:cs="宋体"/>
          <w:b w:val="0"/>
          <w:color w:val="auto"/>
          <w:szCs w:val="21"/>
          <w:highlight w:val="none"/>
        </w:rPr>
        <w:t xml:space="preserve"> 一般约定</w:t>
      </w:r>
      <w:bookmarkEnd w:id="114"/>
      <w:bookmarkEnd w:id="115"/>
      <w:bookmarkEnd w:id="121"/>
      <w:bookmarkEnd w:id="122"/>
    </w:p>
    <w:p>
      <w:pPr>
        <w:pStyle w:val="9"/>
        <w:spacing w:before="120" w:after="120" w:line="360" w:lineRule="auto"/>
        <w:ind w:firstLine="420" w:firstLineChars="200"/>
        <w:rPr>
          <w:rFonts w:ascii="宋体" w:hAnsi="宋体" w:cs="宋体"/>
          <w:color w:val="auto"/>
          <w:szCs w:val="21"/>
          <w:highlight w:val="none"/>
        </w:rPr>
      </w:pPr>
      <w:bookmarkStart w:id="123" w:name="_Toc296503028"/>
      <w:bookmarkStart w:id="124" w:name="_Toc337558728"/>
      <w:bookmarkStart w:id="125" w:name="_Toc296346529"/>
      <w:bookmarkStart w:id="126" w:name="_Toc28149"/>
      <w:r>
        <w:rPr>
          <w:rFonts w:hint="eastAsia" w:ascii="宋体" w:hAnsi="宋体" w:cs="宋体"/>
          <w:color w:val="auto"/>
          <w:szCs w:val="21"/>
          <w:highlight w:val="none"/>
        </w:rPr>
        <w:t>1.1词语定义</w:t>
      </w:r>
      <w:bookmarkEnd w:id="123"/>
      <w:bookmarkEnd w:id="124"/>
      <w:bookmarkEnd w:id="125"/>
      <w:r>
        <w:rPr>
          <w:rFonts w:hint="eastAsia" w:ascii="宋体" w:hAnsi="宋体" w:cs="宋体"/>
          <w:color w:val="auto"/>
          <w:szCs w:val="21"/>
          <w:highlight w:val="none"/>
        </w:rPr>
        <w:t>与解释</w:t>
      </w:r>
      <w:bookmarkEnd w:id="126"/>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合同协议书、通用合同条款、专用合同条款中的下列词语具有本款所赋予的含义：</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1.1.1 合同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、通用合同条款、技术标准和要求、图纸、已标价工程量清单或预算书以及其他合同文件。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1.1.1.2 合同协议书：是指构成合同的由发包人和承包人共同签署的称为“合同协议书”的书面文件。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1.1.1.3 中标通知书：是指构成合同的由发包人通知承包人中标的书面文件。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1.1.1.4 投标函：是指构成合同的由承包人填写并签署的用于投标的称为“投标函”的文件。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1.1.1.5 投标函附录：是指构成合同的附在投标函后的称为“投标函附录”的文件。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1.1.1.6 技术标准和要求：是指构成合同的施工应当遵守的或指导施工的国家、行业或地方的技术标准和要求，以及合同约定的技术标准和要求。</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09" w:firstLineChars="195"/>
        <w:rPr>
          <w:rFonts w:ascii="宋体" w:hAnsi="宋体" w:cs="宋体"/>
          <w:color w:val="auto"/>
          <w:kern w:val="0"/>
          <w:szCs w:val="21"/>
          <w:highlight w:val="none"/>
        </w:rPr>
      </w:pPr>
      <w:r>
        <w:rPr>
          <w:rFonts w:hint="eastAsia" w:ascii="宋体" w:hAnsi="宋体" w:cs="宋体"/>
          <w:color w:val="auto"/>
          <w:kern w:val="0"/>
          <w:szCs w:val="21"/>
          <w:highlight w:val="none"/>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rPr>
          <w:rFonts w:ascii="宋体" w:hAnsi="宋体" w:cs="宋体"/>
          <w:color w:val="auto"/>
          <w:kern w:val="0"/>
          <w:szCs w:val="21"/>
          <w:highlight w:val="none"/>
        </w:rPr>
      </w:pPr>
      <w:r>
        <w:rPr>
          <w:rFonts w:hint="eastAsia" w:ascii="宋体" w:hAnsi="宋体" w:cs="宋体"/>
          <w:color w:val="auto"/>
          <w:kern w:val="0"/>
          <w:szCs w:val="21"/>
          <w:highlight w:val="none"/>
        </w:rPr>
        <w:t>1.1.1.9 预算书：是指构成合同的由承包人按照发包人规定的格式和要求编制的工程预算文件。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1.1.2 合同当事人及其他相关方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1.1.2.1 合同当事人：是指发包人和（或）承包人。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1.1.2.2 发包人：是指与承包人签订合同协议书的当事人及取得该当事人资格的合法继承人。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1.1.2.4 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1.1.2.5 设计人：是指在专用合同条款中指明的，受发包人委托负责工程设计并具备相应工程设计资质的法人或其他组织。</w:t>
      </w:r>
    </w:p>
    <w:p>
      <w:pPr>
        <w:spacing w:line="360" w:lineRule="auto"/>
        <w:ind w:firstLine="409" w:firstLineChars="195"/>
        <w:rPr>
          <w:rFonts w:ascii="宋体" w:hAnsi="宋体" w:cs="宋体"/>
          <w:color w:val="auto"/>
          <w:kern w:val="0"/>
          <w:szCs w:val="21"/>
          <w:highlight w:val="none"/>
        </w:rPr>
      </w:pPr>
      <w:r>
        <w:rPr>
          <w:rFonts w:hint="eastAsia" w:ascii="宋体" w:hAnsi="宋体" w:cs="宋体"/>
          <w:color w:val="auto"/>
          <w:kern w:val="0"/>
          <w:szCs w:val="21"/>
          <w:highlight w:val="none"/>
        </w:rPr>
        <w:t>1.1.2.6 分包人：</w:t>
      </w:r>
      <w:bookmarkStart w:id="127" w:name="#go5"/>
      <w:bookmarkEnd w:id="127"/>
      <w:r>
        <w:rPr>
          <w:rFonts w:hint="eastAsia" w:ascii="宋体" w:hAnsi="宋体" w:cs="宋体"/>
          <w:color w:val="auto"/>
          <w:kern w:val="0"/>
          <w:szCs w:val="21"/>
          <w:highlight w:val="none"/>
        </w:rPr>
        <w:t>是指按照法律规定和合同约定，分包部分工程或工作，并与承包人签订分包合同的具有相应资质的法人。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1.1.2.7 发包人代表：是指由发包人任命并派驻施工现场在发包人授权范围内行使发包人权利的人。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1.1.2.8 项目经理：是指由承包人任命并派驻施工现场，在承包人授权范围内负责合同履行，且按照法律规定具有相应资格的项目负责人。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1.1.2.9 总监理工程师：是指由监理人任命并派驻施工现场进行工程监理的总负责人。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 工程和设备</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1.1.3.1 工程：是指与合同协议书中工程承包范围对应的永久工程和（或）临时工程。</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1.1.3.2 永久工程：是指按合同约定建造并移交给发包人的工程，包括工程设备。</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1.1.3.3 临时工程：是指为完成合同约定的永久工程所修建的各类临时性工程，不包括施工设备。</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1.1.3.4 单位工程：是指在合同协议书中指明的，具备独立施工条件并能形成独立使用功能的永久工程。</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1.1.3.5 工程设备：是指构成永久工程的机电设备、金属结构设备、仪器及其他类似的设备和装置。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1.1.3.6 施工设备：是指为完成合同约定的各项工作所需的设备、器具和其他物品，但不包括工程设备、临时工程和材料。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1.1.3.7 施工现场：是指用于工程施工的场所，以及在专用合同条款中指明作为施工场所组成部分的其他场所，包括永久占地和临时占地。</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1.1.3.8临时设施：是指为完成合同约定的各项工作所服务的临时性生产和生活设施。</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1.1.3.9 永久占地：是指专用合同条款中指明为实施工程需永久占用的土地。</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1.1.3.10 临时占地：是指专用合同条款中指明为实施工程需要临时占用的土地。</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 日期和期限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26" w:firstLineChars="203"/>
        <w:rPr>
          <w:rFonts w:ascii="宋体" w:hAnsi="宋体" w:cs="宋体"/>
          <w:color w:val="auto"/>
          <w:szCs w:val="21"/>
          <w:highlight w:val="none"/>
        </w:rPr>
      </w:pPr>
      <w:r>
        <w:rPr>
          <w:rFonts w:hint="eastAsia" w:ascii="宋体" w:hAnsi="宋体" w:cs="宋体"/>
          <w:color w:val="auto"/>
          <w:kern w:val="0"/>
          <w:szCs w:val="21"/>
          <w:highlight w:val="none"/>
        </w:rPr>
        <w:t>1.1.4.3 工期：是指在合同协议书约定的承包人完成工程所需的期限，包括按照合同约定所作的期限变更。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1.1.4.5 保修期：是指承包人按照合同约定对工程承担保修责任的期限，从工程竣工验收合格之日起计算。</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1.1.4.6 基准日期：招标发包的工程以投标截止日前28天的日期为基准日期，直接发包的工程以合同签订日前28天的日期为基准日期。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1.1.4.7 天：除特别指明外，均指日历天。合同中按天计算时间的，开始当天不计入，从次日开始计算，期限最后一天的截止时间为当天24:00时。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 合同价格和费用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1.1.5.1 签约合同价：是指</w:t>
      </w:r>
      <w:r>
        <w:rPr>
          <w:rFonts w:hint="eastAsia" w:ascii="宋体" w:hAnsi="宋体" w:cs="宋体"/>
          <w:color w:val="auto"/>
          <w:szCs w:val="21"/>
          <w:highlight w:val="none"/>
        </w:rPr>
        <w:t>发包人和承包人在合同协议书中确定的总金额，包括安全文明施工费、暂估价及暂列金额等。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1.1.5.2 合同价格：是指发包人用于支付承包人按照合同约定完成承包范围内全部工作的金额，包括合同履行过程中按合同约定发生的价格变化。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1.1.5.3 费用：是指为履行合同所发生的或将要发生的所有必需的开支，包括管理费和应分摊的其他费用，但不包括利润。</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1.1.5.6 计日工：是指合同履行过程中，承包人完成发包人提出的零星工作或需要采用计日工计价的变更工作时，按合同中约定的单价计价的一种方式。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1.1.5.7 质量保证金</w:t>
      </w:r>
      <w:bookmarkStart w:id="128" w:name="#go2"/>
      <w:bookmarkEnd w:id="128"/>
      <w:r>
        <w:rPr>
          <w:rFonts w:hint="eastAsia" w:ascii="宋体" w:hAnsi="宋体" w:cs="宋体"/>
          <w:color w:val="auto"/>
          <w:kern w:val="0"/>
          <w:szCs w:val="21"/>
          <w:highlight w:val="none"/>
        </w:rPr>
        <w:t>：是指按照第15.3款〔质量保证金〕约定承包人用于保证其在缺陷责任期内履行缺陷修补义务的担保</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1.1.5.8 总价项目：是指在现行国家、行业以及地方的计量规则中无工程量计算规则，在已标价工程量清单或预算书中以总价或以费率形式计算的项目。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其他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1.1.6.1 书面形式：是指合同文件、信函、电报、传真等可以有形地表现所载内容的形式。</w:t>
      </w:r>
    </w:p>
    <w:p>
      <w:pPr>
        <w:pStyle w:val="9"/>
        <w:spacing w:before="120" w:after="120" w:line="360" w:lineRule="auto"/>
        <w:rPr>
          <w:rFonts w:ascii="宋体" w:hAnsi="宋体" w:cs="宋体"/>
          <w:color w:val="auto"/>
          <w:szCs w:val="21"/>
          <w:highlight w:val="none"/>
        </w:rPr>
      </w:pPr>
      <w:bookmarkStart w:id="129" w:name="_Toc296346530"/>
      <w:bookmarkStart w:id="130" w:name="_Toc337558729"/>
      <w:bookmarkStart w:id="131" w:name="_Toc9858"/>
      <w:bookmarkStart w:id="132" w:name="_Toc296503029"/>
      <w:r>
        <w:rPr>
          <w:rFonts w:hint="eastAsia" w:ascii="宋体" w:hAnsi="宋体" w:cs="宋体"/>
          <w:color w:val="auto"/>
          <w:szCs w:val="21"/>
          <w:highlight w:val="none"/>
        </w:rPr>
        <w:t>1.2语言文字</w:t>
      </w:r>
      <w:bookmarkEnd w:id="129"/>
      <w:bookmarkEnd w:id="130"/>
      <w:bookmarkEnd w:id="131"/>
      <w:bookmarkEnd w:id="132"/>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合同以中国的汉语简体文字编写、解释和说明。合同当事人在专用合同条款中约定使用两种以上语言时，汉语为优先解释和说明合同的语言。</w:t>
      </w:r>
    </w:p>
    <w:p>
      <w:pPr>
        <w:pStyle w:val="9"/>
        <w:spacing w:before="120" w:after="120" w:line="360" w:lineRule="auto"/>
        <w:ind w:firstLine="420" w:firstLineChars="200"/>
        <w:rPr>
          <w:rFonts w:ascii="宋体" w:hAnsi="宋体" w:cs="宋体"/>
          <w:color w:val="auto"/>
          <w:szCs w:val="21"/>
          <w:highlight w:val="none"/>
        </w:rPr>
      </w:pPr>
      <w:bookmarkStart w:id="133" w:name="_Toc296346531"/>
      <w:bookmarkStart w:id="134" w:name="_Toc25084"/>
      <w:bookmarkStart w:id="135" w:name="_Toc296503030"/>
      <w:bookmarkStart w:id="136" w:name="_Toc337558730"/>
      <w:r>
        <w:rPr>
          <w:rFonts w:hint="eastAsia" w:ascii="宋体" w:hAnsi="宋体" w:cs="宋体"/>
          <w:color w:val="auto"/>
          <w:szCs w:val="21"/>
          <w:highlight w:val="none"/>
        </w:rPr>
        <w:t>1.3法律</w:t>
      </w:r>
      <w:bookmarkEnd w:id="133"/>
      <w:bookmarkEnd w:id="134"/>
      <w:bookmarkEnd w:id="135"/>
      <w:bookmarkEnd w:id="136"/>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合同当事人可以在专用合同条款中约定合同适用的其他规范性文件。</w:t>
      </w:r>
    </w:p>
    <w:p>
      <w:pPr>
        <w:pStyle w:val="9"/>
        <w:spacing w:before="120" w:after="120" w:line="360" w:lineRule="auto"/>
        <w:ind w:firstLine="420" w:firstLineChars="200"/>
        <w:rPr>
          <w:rFonts w:ascii="宋体" w:hAnsi="宋体" w:cs="宋体"/>
          <w:color w:val="auto"/>
          <w:szCs w:val="21"/>
          <w:highlight w:val="none"/>
        </w:rPr>
      </w:pPr>
      <w:bookmarkStart w:id="137" w:name="_Toc19425"/>
      <w:r>
        <w:rPr>
          <w:rFonts w:hint="eastAsia" w:ascii="宋体" w:hAnsi="宋体" w:cs="宋体"/>
          <w:color w:val="auto"/>
          <w:szCs w:val="21"/>
          <w:highlight w:val="none"/>
        </w:rPr>
        <w:t>1.4 标准和规范</w:t>
      </w:r>
      <w:bookmarkEnd w:id="137"/>
    </w:p>
    <w:p>
      <w:pPr>
        <w:autoSpaceDE w:val="0"/>
        <w:autoSpaceDN w:val="0"/>
        <w:adjustRightInd w:val="0"/>
        <w:spacing w:line="360" w:lineRule="auto"/>
        <w:ind w:firstLine="640"/>
        <w:rPr>
          <w:rFonts w:ascii="宋体" w:hAnsi="宋体" w:cs="宋体"/>
          <w:color w:val="auto"/>
          <w:kern w:val="0"/>
          <w:szCs w:val="21"/>
          <w:highlight w:val="none"/>
        </w:rPr>
      </w:pPr>
      <w:r>
        <w:rPr>
          <w:rFonts w:hint="eastAsia" w:ascii="宋体" w:hAnsi="宋体" w:cs="宋体"/>
          <w:color w:val="auto"/>
          <w:kern w:val="0"/>
          <w:szCs w:val="21"/>
          <w:highlight w:val="none"/>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rPr>
          <w:rFonts w:ascii="宋体" w:hAnsi="宋体" w:cs="宋体"/>
          <w:color w:val="auto"/>
          <w:kern w:val="0"/>
          <w:szCs w:val="21"/>
          <w:highlight w:val="none"/>
        </w:rPr>
      </w:pPr>
      <w:r>
        <w:rPr>
          <w:rFonts w:hint="eastAsia" w:ascii="宋体" w:hAnsi="宋体" w:cs="宋体"/>
          <w:color w:val="auto"/>
          <w:kern w:val="0"/>
          <w:szCs w:val="21"/>
          <w:highlight w:val="none"/>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rPr>
          <w:rFonts w:ascii="宋体" w:hAnsi="宋体" w:cs="宋体"/>
          <w:color w:val="auto"/>
          <w:kern w:val="0"/>
          <w:szCs w:val="21"/>
          <w:highlight w:val="none"/>
        </w:rPr>
      </w:pPr>
      <w:r>
        <w:rPr>
          <w:rFonts w:hint="eastAsia" w:ascii="宋体" w:hAnsi="宋体" w:cs="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9"/>
        <w:spacing w:before="120" w:after="120" w:line="360" w:lineRule="auto"/>
        <w:ind w:firstLine="420" w:firstLineChars="200"/>
        <w:rPr>
          <w:rFonts w:ascii="宋体" w:hAnsi="宋体" w:cs="宋体"/>
          <w:color w:val="auto"/>
          <w:szCs w:val="21"/>
          <w:highlight w:val="none"/>
        </w:rPr>
      </w:pPr>
      <w:bookmarkStart w:id="138" w:name="_Toc5673"/>
      <w:r>
        <w:rPr>
          <w:rFonts w:hint="eastAsia" w:ascii="宋体" w:hAnsi="宋体" w:cs="宋体"/>
          <w:color w:val="auto"/>
          <w:szCs w:val="21"/>
          <w:highlight w:val="none"/>
        </w:rPr>
        <w:t>1</w:t>
      </w:r>
      <w:bookmarkStart w:id="139" w:name="_Toc337558731"/>
      <w:bookmarkStart w:id="140" w:name="_Toc296503031"/>
      <w:bookmarkStart w:id="141" w:name="_Toc296346532"/>
      <w:r>
        <w:rPr>
          <w:rFonts w:hint="eastAsia" w:ascii="宋体" w:hAnsi="宋体" w:cs="宋体"/>
          <w:color w:val="auto"/>
          <w:szCs w:val="21"/>
          <w:highlight w:val="none"/>
        </w:rPr>
        <w:t>.5 合同文件的优先顺序</w:t>
      </w:r>
      <w:bookmarkEnd w:id="138"/>
    </w:p>
    <w:bookmarkEnd w:id="139"/>
    <w:bookmarkEnd w:id="140"/>
    <w:bookmarkEnd w:id="141"/>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（1）合同协议书；</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（2）中标通知书（如果有）；</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（5）通用合同条款；</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（6）技术标准和要求；</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（7）图纸；</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（8）已标价工程量清单或预算书；</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（9）其他合同文件。</w:t>
      </w:r>
    </w:p>
    <w:p>
      <w:pPr>
        <w:spacing w:line="360" w:lineRule="auto"/>
        <w:ind w:firstLine="447" w:firstLineChars="213"/>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pPr>
        <w:spacing w:line="360" w:lineRule="auto"/>
        <w:ind w:firstLine="447" w:firstLineChars="213"/>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pPr>
        <w:pStyle w:val="9"/>
        <w:spacing w:before="120" w:after="120" w:line="360" w:lineRule="auto"/>
        <w:ind w:firstLine="420" w:firstLineChars="200"/>
        <w:rPr>
          <w:rFonts w:ascii="宋体" w:hAnsi="宋体" w:cs="宋体"/>
          <w:color w:val="auto"/>
          <w:szCs w:val="21"/>
          <w:highlight w:val="none"/>
        </w:rPr>
      </w:pPr>
      <w:bookmarkStart w:id="142" w:name="_Toc18584"/>
      <w:r>
        <w:rPr>
          <w:rFonts w:hint="eastAsia" w:ascii="宋体" w:hAnsi="宋体" w:cs="宋体"/>
          <w:color w:val="auto"/>
          <w:szCs w:val="21"/>
          <w:highlight w:val="none"/>
        </w:rPr>
        <w:t>1</w:t>
      </w:r>
      <w:bookmarkStart w:id="143" w:name="_Toc337558732"/>
      <w:bookmarkStart w:id="144" w:name="_Toc296503032"/>
      <w:bookmarkStart w:id="145" w:name="_Toc296346533"/>
      <w:r>
        <w:rPr>
          <w:rFonts w:hint="eastAsia" w:ascii="宋体" w:hAnsi="宋体" w:cs="宋体"/>
          <w:color w:val="auto"/>
          <w:szCs w:val="21"/>
          <w:highlight w:val="none"/>
        </w:rPr>
        <w:t>.6图纸和承包人文件</w:t>
      </w:r>
      <w:bookmarkEnd w:id="142"/>
    </w:p>
    <w:bookmarkEnd w:id="143"/>
    <w:bookmarkEnd w:id="144"/>
    <w:bookmarkEnd w:id="145"/>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 图纸的提供和交底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因发包人未按合同约定提供图纸导致承包人费用增加和（或）工期延误的，按照第7.5.1项〔因发包人原因导致工期延误〕约定办理。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 图纸的错误</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1.6.3 图纸的修改和补充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1.6.4 承包人文件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1.6.5 图纸和承包人文件的保管</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除专用合同条款另有约定外，承包人应在施工现场另外保存一套完整的图纸和承包人文件，供发包人、监理人及有关人员进行工程检查时使用。</w:t>
      </w:r>
    </w:p>
    <w:p>
      <w:pPr>
        <w:pStyle w:val="9"/>
        <w:spacing w:before="120" w:after="120" w:line="360" w:lineRule="auto"/>
        <w:ind w:firstLine="420" w:firstLineChars="200"/>
        <w:rPr>
          <w:rFonts w:ascii="宋体" w:hAnsi="宋体" w:cs="宋体"/>
          <w:color w:val="auto"/>
          <w:szCs w:val="21"/>
          <w:highlight w:val="none"/>
        </w:rPr>
      </w:pPr>
      <w:bookmarkStart w:id="146" w:name="_Toc16870"/>
      <w:r>
        <w:rPr>
          <w:rFonts w:hint="eastAsia" w:ascii="宋体" w:hAnsi="宋体" w:cs="宋体"/>
          <w:color w:val="auto"/>
          <w:szCs w:val="21"/>
          <w:highlight w:val="none"/>
        </w:rPr>
        <w:t>1</w:t>
      </w:r>
      <w:bookmarkStart w:id="147" w:name="_Toc296346534"/>
      <w:bookmarkStart w:id="148" w:name="_Toc337558733"/>
      <w:bookmarkStart w:id="149" w:name="_Toc296503033"/>
      <w:r>
        <w:rPr>
          <w:rFonts w:hint="eastAsia" w:ascii="宋体" w:hAnsi="宋体" w:cs="宋体"/>
          <w:color w:val="auto"/>
          <w:szCs w:val="21"/>
          <w:highlight w:val="none"/>
        </w:rPr>
        <w:t>.7联络</w:t>
      </w:r>
      <w:bookmarkEnd w:id="146"/>
    </w:p>
    <w:bookmarkEnd w:id="147"/>
    <w:bookmarkEnd w:id="148"/>
    <w:bookmarkEnd w:id="149"/>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1.7.3 发包人和承包人应当及时签收另一方送达至送达地点和指定接收人的来往信函。拒不签收的，由此增加的费用和（或）延误的工期由拒绝接收一方承担。</w:t>
      </w:r>
    </w:p>
    <w:p>
      <w:pPr>
        <w:pStyle w:val="9"/>
        <w:spacing w:before="120" w:after="120" w:line="360" w:lineRule="auto"/>
        <w:ind w:firstLine="420" w:firstLineChars="200"/>
        <w:rPr>
          <w:rFonts w:ascii="宋体" w:hAnsi="宋体" w:cs="宋体"/>
          <w:color w:val="auto"/>
          <w:szCs w:val="21"/>
          <w:highlight w:val="none"/>
        </w:rPr>
      </w:pPr>
      <w:bookmarkStart w:id="150" w:name="_Toc5847"/>
      <w:r>
        <w:rPr>
          <w:rFonts w:hint="eastAsia" w:ascii="宋体" w:hAnsi="宋体" w:cs="宋体"/>
          <w:color w:val="auto"/>
          <w:szCs w:val="21"/>
          <w:highlight w:val="none"/>
        </w:rPr>
        <w:t>1</w:t>
      </w:r>
      <w:bookmarkStart w:id="151" w:name="_Toc337558734"/>
      <w:bookmarkStart w:id="152" w:name="_Toc296346536"/>
      <w:bookmarkStart w:id="153" w:name="_Toc296503035"/>
      <w:r>
        <w:rPr>
          <w:rFonts w:hint="eastAsia" w:ascii="宋体" w:hAnsi="宋体" w:cs="宋体"/>
          <w:color w:val="auto"/>
          <w:szCs w:val="21"/>
          <w:highlight w:val="none"/>
        </w:rPr>
        <w:t>.8严禁贿赂</w:t>
      </w:r>
      <w:bookmarkEnd w:id="150"/>
    </w:p>
    <w:bookmarkEnd w:id="151"/>
    <w:bookmarkEnd w:id="152"/>
    <w:bookmarkEnd w:id="153"/>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9"/>
        <w:spacing w:before="120" w:after="120" w:line="360" w:lineRule="auto"/>
        <w:ind w:firstLine="420" w:firstLineChars="200"/>
        <w:rPr>
          <w:rFonts w:ascii="宋体" w:hAnsi="宋体" w:cs="宋体"/>
          <w:color w:val="auto"/>
          <w:szCs w:val="21"/>
          <w:highlight w:val="none"/>
        </w:rPr>
      </w:pPr>
      <w:bookmarkStart w:id="154" w:name="_Toc15721"/>
      <w:r>
        <w:rPr>
          <w:rFonts w:hint="eastAsia" w:ascii="宋体" w:hAnsi="宋体" w:cs="宋体"/>
          <w:color w:val="auto"/>
          <w:szCs w:val="21"/>
          <w:highlight w:val="none"/>
        </w:rPr>
        <w:t>1</w:t>
      </w:r>
      <w:bookmarkStart w:id="155" w:name="_Toc296346537"/>
      <w:bookmarkStart w:id="156" w:name="_Toc337558735"/>
      <w:bookmarkStart w:id="157" w:name="_Toc296503036"/>
      <w:r>
        <w:rPr>
          <w:rFonts w:hint="eastAsia" w:ascii="宋体" w:hAnsi="宋体" w:cs="宋体"/>
          <w:color w:val="auto"/>
          <w:szCs w:val="21"/>
          <w:highlight w:val="none"/>
        </w:rPr>
        <w:t>.9化石、文物</w:t>
      </w:r>
      <w:bookmarkEnd w:id="154"/>
    </w:p>
    <w:bookmarkEnd w:id="155"/>
    <w:bookmarkEnd w:id="156"/>
    <w:bookmarkEnd w:id="15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承包人发现文物后不及时报告或隐瞒不报，致使文物丢失或损坏的，应赔偿损失，并承担相应的法律责任。</w:t>
      </w:r>
    </w:p>
    <w:p>
      <w:pPr>
        <w:pStyle w:val="9"/>
        <w:spacing w:before="120" w:after="120" w:line="360" w:lineRule="auto"/>
        <w:ind w:firstLine="420" w:firstLineChars="200"/>
        <w:rPr>
          <w:rFonts w:ascii="宋体" w:hAnsi="宋体" w:cs="宋体"/>
          <w:color w:val="auto"/>
          <w:szCs w:val="21"/>
          <w:highlight w:val="none"/>
        </w:rPr>
      </w:pPr>
      <w:bookmarkStart w:id="158" w:name="_Toc25013"/>
      <w:r>
        <w:rPr>
          <w:rFonts w:hint="eastAsia" w:ascii="宋体" w:hAnsi="宋体" w:cs="宋体"/>
          <w:color w:val="auto"/>
          <w:szCs w:val="21"/>
          <w:highlight w:val="none"/>
        </w:rPr>
        <w:t>1</w:t>
      </w:r>
      <w:bookmarkStart w:id="159" w:name="_Toc337558736"/>
      <w:r>
        <w:rPr>
          <w:rFonts w:hint="eastAsia" w:ascii="宋体" w:hAnsi="宋体" w:cs="宋体"/>
          <w:color w:val="auto"/>
          <w:szCs w:val="21"/>
          <w:highlight w:val="none"/>
        </w:rPr>
        <w:t>.10交通运输</w:t>
      </w:r>
      <w:bookmarkEnd w:id="158"/>
    </w:p>
    <w:bookmarkEnd w:id="159"/>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1.10.1 出入现场的权利</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1.10.2 场外交通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1.10.3场内交通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场外交通和场内交通的边界由合同当事人在专用合同条款中约定。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1.10.4 超大件和超重件的运输</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1.10.5 道路和桥梁的损坏责任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1.10.6 水路和航空运输</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9"/>
        <w:spacing w:before="120" w:after="120" w:line="360" w:lineRule="auto"/>
        <w:ind w:firstLine="420" w:firstLineChars="200"/>
        <w:rPr>
          <w:rFonts w:ascii="宋体" w:hAnsi="宋体" w:cs="宋体"/>
          <w:color w:val="auto"/>
          <w:szCs w:val="21"/>
          <w:highlight w:val="none"/>
        </w:rPr>
      </w:pPr>
      <w:bookmarkStart w:id="160" w:name="_Toc21561"/>
      <w:r>
        <w:rPr>
          <w:rFonts w:hint="eastAsia" w:ascii="宋体" w:hAnsi="宋体" w:cs="宋体"/>
          <w:color w:val="auto"/>
          <w:szCs w:val="21"/>
          <w:highlight w:val="none"/>
        </w:rPr>
        <w:t>1</w:t>
      </w:r>
      <w:bookmarkStart w:id="161" w:name="_Toc337558737"/>
      <w:bookmarkStart w:id="162" w:name="_Toc296346538"/>
      <w:bookmarkStart w:id="163" w:name="_Toc296503037"/>
      <w:r>
        <w:rPr>
          <w:rFonts w:hint="eastAsia" w:ascii="宋体" w:hAnsi="宋体" w:cs="宋体"/>
          <w:color w:val="auto"/>
          <w:szCs w:val="21"/>
          <w:highlight w:val="none"/>
        </w:rPr>
        <w:t>.11知识产权</w:t>
      </w:r>
      <w:bookmarkEnd w:id="160"/>
      <w:bookmarkEnd w:id="161"/>
    </w:p>
    <w:bookmarkEnd w:id="162"/>
    <w:bookmarkEnd w:id="163"/>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1.11.4 除专用合同条款另有约定外，承包人在合同签订前和签订时已确定采用的专利、专有技术、技术秘密的使用费已包含在签约合同价中。</w:t>
      </w:r>
    </w:p>
    <w:p>
      <w:pPr>
        <w:pStyle w:val="9"/>
        <w:spacing w:before="120" w:after="120" w:line="360" w:lineRule="auto"/>
        <w:ind w:firstLine="420" w:firstLineChars="200"/>
        <w:rPr>
          <w:rFonts w:ascii="宋体" w:hAnsi="宋体" w:cs="宋体"/>
          <w:color w:val="auto"/>
          <w:szCs w:val="21"/>
          <w:highlight w:val="none"/>
        </w:rPr>
      </w:pPr>
      <w:bookmarkStart w:id="164" w:name="_Toc10280"/>
      <w:r>
        <w:rPr>
          <w:rFonts w:hint="eastAsia" w:ascii="宋体" w:hAnsi="宋体" w:cs="宋体"/>
          <w:color w:val="auto"/>
          <w:szCs w:val="21"/>
          <w:highlight w:val="none"/>
        </w:rPr>
        <w:t>1</w:t>
      </w:r>
      <w:bookmarkStart w:id="165" w:name="_Toc337558738"/>
      <w:r>
        <w:rPr>
          <w:rFonts w:hint="eastAsia" w:ascii="宋体" w:hAnsi="宋体" w:cs="宋体"/>
          <w:color w:val="auto"/>
          <w:szCs w:val="21"/>
          <w:highlight w:val="none"/>
        </w:rPr>
        <w:t>.12保密</w:t>
      </w:r>
      <w:bookmarkEnd w:id="164"/>
    </w:p>
    <w:bookmarkEnd w:id="165"/>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除法律规定或合同另有约定外，未经承包人同意，发包人不得将承包人提供的技术秘密及声明需要保密的资料信息等商业秘密泄露给第三方。</w:t>
      </w:r>
    </w:p>
    <w:p>
      <w:pPr>
        <w:pStyle w:val="9"/>
        <w:spacing w:before="120" w:after="120" w:line="360" w:lineRule="auto"/>
        <w:ind w:firstLine="420" w:firstLineChars="200"/>
        <w:rPr>
          <w:rFonts w:ascii="宋体" w:hAnsi="宋体" w:cs="宋体"/>
          <w:color w:val="auto"/>
          <w:szCs w:val="21"/>
          <w:highlight w:val="none"/>
        </w:rPr>
      </w:pPr>
      <w:bookmarkStart w:id="166" w:name="_Toc3287"/>
      <w:r>
        <w:rPr>
          <w:rFonts w:hint="eastAsia" w:ascii="宋体" w:hAnsi="宋体" w:cs="宋体"/>
          <w:color w:val="auto"/>
          <w:szCs w:val="21"/>
          <w:highlight w:val="none"/>
        </w:rPr>
        <w:t>1.13工程量清单错误的修正</w:t>
      </w:r>
      <w:bookmarkEnd w:id="166"/>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（1）工程量清单存在缺项、漏项的；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（2）工程量清单偏差超出专用合同条款约定的工程量偏差范围的；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（3）未按照国家现行计量规范强制性规定计量的。</w:t>
      </w:r>
    </w:p>
    <w:p>
      <w:pPr>
        <w:pStyle w:val="8"/>
        <w:spacing w:before="120" w:after="120" w:line="360" w:lineRule="auto"/>
        <w:rPr>
          <w:rFonts w:ascii="宋体" w:hAnsi="宋体" w:cs="宋体"/>
          <w:b w:val="0"/>
          <w:color w:val="auto"/>
          <w:szCs w:val="21"/>
          <w:highlight w:val="none"/>
        </w:rPr>
      </w:pPr>
      <w:bookmarkStart w:id="167" w:name="_Toc21637"/>
      <w:r>
        <w:rPr>
          <w:rFonts w:hint="eastAsia" w:ascii="宋体" w:hAnsi="宋体" w:cs="宋体"/>
          <w:b w:val="0"/>
          <w:color w:val="auto"/>
          <w:szCs w:val="21"/>
          <w:highlight w:val="none"/>
        </w:rPr>
        <w:t>2</w:t>
      </w:r>
      <w:bookmarkStart w:id="168" w:name="_Toc296346539"/>
      <w:bookmarkStart w:id="169" w:name="_Toc337558739"/>
      <w:bookmarkStart w:id="170" w:name="_Toc296503038"/>
      <w:bookmarkStart w:id="171" w:name="OLE_LINK2"/>
      <w:bookmarkStart w:id="172" w:name="OLE_LINK1"/>
      <w:r>
        <w:rPr>
          <w:rFonts w:hint="eastAsia" w:ascii="宋体" w:hAnsi="宋体" w:cs="宋体"/>
          <w:b w:val="0"/>
          <w:color w:val="auto"/>
          <w:szCs w:val="21"/>
          <w:highlight w:val="none"/>
        </w:rPr>
        <w:t>. 发包人</w:t>
      </w:r>
      <w:bookmarkEnd w:id="167"/>
    </w:p>
    <w:bookmarkEnd w:id="168"/>
    <w:bookmarkEnd w:id="169"/>
    <w:bookmarkEnd w:id="170"/>
    <w:p>
      <w:pPr>
        <w:pStyle w:val="9"/>
        <w:spacing w:before="120" w:after="120" w:line="360" w:lineRule="auto"/>
        <w:ind w:firstLine="420" w:firstLineChars="200"/>
        <w:rPr>
          <w:rFonts w:ascii="宋体" w:hAnsi="宋体" w:cs="宋体"/>
          <w:color w:val="auto"/>
          <w:szCs w:val="21"/>
          <w:highlight w:val="none"/>
        </w:rPr>
      </w:pPr>
      <w:bookmarkStart w:id="173" w:name="_Toc5815"/>
      <w:r>
        <w:rPr>
          <w:rFonts w:hint="eastAsia" w:ascii="宋体" w:hAnsi="宋体" w:cs="宋体"/>
          <w:color w:val="auto"/>
          <w:szCs w:val="21"/>
          <w:highlight w:val="none"/>
        </w:rPr>
        <w:t>2</w:t>
      </w:r>
      <w:bookmarkStart w:id="174" w:name="_Toc296503039"/>
      <w:bookmarkStart w:id="175" w:name="_Toc337558740"/>
      <w:bookmarkStart w:id="176" w:name="_Toc296346540"/>
      <w:r>
        <w:rPr>
          <w:rFonts w:hint="eastAsia" w:ascii="宋体" w:hAnsi="宋体" w:cs="宋体"/>
          <w:color w:val="auto"/>
          <w:szCs w:val="21"/>
          <w:highlight w:val="none"/>
        </w:rPr>
        <w:t>.1 许可或批准</w:t>
      </w:r>
      <w:bookmarkEnd w:id="173"/>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因发包人原因未能及时办理完毕前述许可、批准或备案，由发包人承担由此增加的费用和（或）延误的工期，并支付承包人合理的利润。</w:t>
      </w:r>
    </w:p>
    <w:p>
      <w:pPr>
        <w:pStyle w:val="9"/>
        <w:spacing w:before="120" w:after="120" w:line="360" w:lineRule="auto"/>
        <w:ind w:firstLine="420" w:firstLineChars="200"/>
        <w:rPr>
          <w:rFonts w:ascii="宋体" w:hAnsi="宋体" w:cs="宋体"/>
          <w:color w:val="auto"/>
          <w:szCs w:val="21"/>
          <w:highlight w:val="none"/>
        </w:rPr>
      </w:pPr>
      <w:bookmarkStart w:id="177" w:name="_Toc21790"/>
      <w:r>
        <w:rPr>
          <w:rFonts w:hint="eastAsia" w:ascii="宋体" w:hAnsi="宋体" w:cs="宋体"/>
          <w:color w:val="auto"/>
          <w:szCs w:val="21"/>
          <w:highlight w:val="none"/>
        </w:rPr>
        <w:t>2.2 发包人代表</w:t>
      </w:r>
      <w:bookmarkEnd w:id="177"/>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发包人代表不能按照合同约定履行其职责及义务，并导致合同无法继续正常履行的，承包人可以要求发包人撤换发包人代表。</w:t>
      </w:r>
    </w:p>
    <w:p>
      <w:pPr>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不属于法定必须监理的工程，监理人的职权可以由发包人代表或发包人指定的其他人员行使。</w:t>
      </w:r>
    </w:p>
    <w:p>
      <w:pPr>
        <w:pStyle w:val="9"/>
        <w:spacing w:before="120" w:after="120" w:line="360" w:lineRule="auto"/>
        <w:ind w:firstLine="420" w:firstLineChars="200"/>
        <w:rPr>
          <w:rFonts w:ascii="宋体" w:hAnsi="宋体" w:cs="宋体"/>
          <w:color w:val="auto"/>
          <w:szCs w:val="21"/>
          <w:highlight w:val="none"/>
        </w:rPr>
      </w:pPr>
      <w:bookmarkStart w:id="178" w:name="_Toc22760"/>
      <w:r>
        <w:rPr>
          <w:rFonts w:hint="eastAsia" w:ascii="宋体" w:hAnsi="宋体" w:cs="宋体"/>
          <w:color w:val="auto"/>
          <w:szCs w:val="21"/>
          <w:highlight w:val="none"/>
        </w:rPr>
        <w:t>2.3 发包人人员</w:t>
      </w:r>
      <w:bookmarkEnd w:id="178"/>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rPr>
          <w:rFonts w:ascii="宋体" w:hAnsi="宋体" w:cs="宋体"/>
          <w:color w:val="auto"/>
          <w:kern w:val="0"/>
          <w:szCs w:val="21"/>
          <w:highlight w:val="none"/>
        </w:rPr>
      </w:pPr>
      <w:r>
        <w:rPr>
          <w:rFonts w:hint="eastAsia" w:ascii="宋体" w:hAnsi="宋体" w:cs="宋体"/>
          <w:color w:val="auto"/>
          <w:kern w:val="0"/>
          <w:szCs w:val="21"/>
          <w:highlight w:val="none"/>
        </w:rPr>
        <w:t>发包人人员包括发包人代表及其他由发包人派驻施工现场的人员。</w:t>
      </w:r>
      <w:bookmarkEnd w:id="174"/>
      <w:bookmarkEnd w:id="175"/>
      <w:bookmarkEnd w:id="176"/>
    </w:p>
    <w:p>
      <w:pPr>
        <w:pStyle w:val="9"/>
        <w:spacing w:before="120" w:after="120" w:line="360" w:lineRule="auto"/>
        <w:ind w:firstLine="420" w:firstLineChars="200"/>
        <w:rPr>
          <w:rFonts w:ascii="宋体" w:hAnsi="宋体" w:cs="宋体"/>
          <w:color w:val="auto"/>
          <w:szCs w:val="21"/>
          <w:highlight w:val="none"/>
        </w:rPr>
      </w:pPr>
      <w:bookmarkStart w:id="179" w:name="_Toc26299"/>
      <w:r>
        <w:rPr>
          <w:rFonts w:hint="eastAsia" w:ascii="宋体" w:hAnsi="宋体" w:cs="宋体"/>
          <w:color w:val="auto"/>
          <w:szCs w:val="21"/>
          <w:highlight w:val="none"/>
        </w:rPr>
        <w:t>2</w:t>
      </w:r>
      <w:bookmarkStart w:id="180" w:name="_Toc296503040"/>
      <w:bookmarkStart w:id="181" w:name="_Toc337558741"/>
      <w:bookmarkStart w:id="182" w:name="_Toc296346541"/>
      <w:r>
        <w:rPr>
          <w:rFonts w:hint="eastAsia" w:ascii="宋体" w:hAnsi="宋体" w:cs="宋体"/>
          <w:color w:val="auto"/>
          <w:szCs w:val="21"/>
          <w:highlight w:val="none"/>
        </w:rPr>
        <w:t>.4 施工现场、施工条件和基础资料的提供</w:t>
      </w:r>
      <w:bookmarkEnd w:id="179"/>
      <w:bookmarkEnd w:id="180"/>
      <w:bookmarkEnd w:id="181"/>
      <w:bookmarkEnd w:id="182"/>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 提供施工现场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w:t>
      </w:r>
      <w:bookmarkEnd w:id="171"/>
      <w:bookmarkEnd w:id="172"/>
      <w:r>
        <w:rPr>
          <w:rFonts w:hint="eastAsia" w:ascii="宋体" w:hAnsi="宋体" w:cs="宋体"/>
          <w:color w:val="auto"/>
          <w:kern w:val="0"/>
          <w:szCs w:val="21"/>
          <w:highlight w:val="none"/>
        </w:rPr>
        <w:t>专用合同条款另有约定外，发包人应最迟于开工日期7天前向承包人移交施工现场。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 提供施工条件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除专用合同条款另有约定外，发包人应负责提供施工所需要的条件，包括：</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（1）将施工用水、电力、通讯线路等施工所必需的条件接至施工现场内；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（2）保证向承包人提供正常施工所需要的进入施工现场的交通条件；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（3）协调处理施工现场周围地下管线和邻近建筑物、构筑物、古树名木的保护工作，并承担相关费用；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（4）按照专用合同条款约定应提供的其他设施和条件。</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2.4.3 提供基础资料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2.4.4 逾期提供的责任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因发包人原因未能按合同约定及时向承包人提供施工现场、施工条件、基础资料的，由发包人承担由此增加的费用和（或）延误的工期。</w:t>
      </w:r>
    </w:p>
    <w:p>
      <w:pPr>
        <w:pStyle w:val="9"/>
        <w:spacing w:before="120" w:after="120" w:line="360" w:lineRule="auto"/>
        <w:ind w:firstLine="420" w:firstLineChars="200"/>
        <w:rPr>
          <w:rFonts w:ascii="宋体" w:hAnsi="宋体" w:cs="宋体"/>
          <w:color w:val="auto"/>
          <w:szCs w:val="21"/>
          <w:highlight w:val="none"/>
        </w:rPr>
      </w:pPr>
      <w:bookmarkStart w:id="183" w:name="_Toc12065"/>
      <w:r>
        <w:rPr>
          <w:rFonts w:hint="eastAsia" w:ascii="宋体" w:hAnsi="宋体" w:cs="宋体"/>
          <w:color w:val="auto"/>
          <w:szCs w:val="21"/>
          <w:highlight w:val="none"/>
        </w:rPr>
        <w:t>2</w:t>
      </w:r>
      <w:bookmarkStart w:id="184" w:name="_Toc337558745"/>
      <w:bookmarkStart w:id="185" w:name="_Toc296503042"/>
      <w:bookmarkStart w:id="186" w:name="_Toc296346543"/>
      <w:r>
        <w:rPr>
          <w:rFonts w:hint="eastAsia" w:ascii="宋体" w:hAnsi="宋体" w:cs="宋体"/>
          <w:color w:val="auto"/>
          <w:szCs w:val="21"/>
          <w:highlight w:val="none"/>
        </w:rPr>
        <w:t>.5 资</w:t>
      </w:r>
      <w:bookmarkEnd w:id="184"/>
      <w:bookmarkEnd w:id="185"/>
      <w:bookmarkEnd w:id="186"/>
      <w:r>
        <w:rPr>
          <w:rFonts w:hint="eastAsia" w:ascii="宋体" w:hAnsi="宋体" w:cs="宋体"/>
          <w:color w:val="auto"/>
          <w:szCs w:val="21"/>
          <w:highlight w:val="none"/>
        </w:rPr>
        <w:t>金来源证明及支付担保</w:t>
      </w:r>
      <w:bookmarkEnd w:id="183"/>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9"/>
        <w:spacing w:before="120" w:after="120" w:line="360" w:lineRule="auto"/>
        <w:ind w:firstLine="420" w:firstLineChars="200"/>
        <w:rPr>
          <w:rFonts w:ascii="宋体" w:hAnsi="宋体" w:cs="宋体"/>
          <w:color w:val="auto"/>
          <w:szCs w:val="21"/>
          <w:highlight w:val="none"/>
        </w:rPr>
      </w:pPr>
      <w:bookmarkStart w:id="187" w:name="_Toc2052"/>
      <w:r>
        <w:rPr>
          <w:rFonts w:hint="eastAsia" w:ascii="宋体" w:hAnsi="宋体" w:cs="宋体"/>
          <w:color w:val="auto"/>
          <w:szCs w:val="21"/>
          <w:highlight w:val="none"/>
        </w:rPr>
        <w:t>2.6 支付合同价款</w:t>
      </w:r>
      <w:bookmarkEnd w:id="187"/>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发包人应按合同约定向承包人及时支付合同价款。</w:t>
      </w:r>
    </w:p>
    <w:p>
      <w:pPr>
        <w:pStyle w:val="9"/>
        <w:spacing w:before="120" w:after="120" w:line="360" w:lineRule="auto"/>
        <w:ind w:firstLine="420" w:firstLineChars="200"/>
        <w:rPr>
          <w:rFonts w:ascii="宋体" w:hAnsi="宋体" w:cs="宋体"/>
          <w:color w:val="auto"/>
          <w:szCs w:val="21"/>
          <w:highlight w:val="none"/>
        </w:rPr>
      </w:pPr>
      <w:bookmarkStart w:id="188" w:name="_Toc4106"/>
      <w:r>
        <w:rPr>
          <w:rFonts w:hint="eastAsia" w:ascii="宋体" w:hAnsi="宋体" w:cs="宋体"/>
          <w:color w:val="auto"/>
          <w:szCs w:val="21"/>
          <w:highlight w:val="none"/>
        </w:rPr>
        <w:t>2.7 组织竣工验收</w:t>
      </w:r>
      <w:bookmarkEnd w:id="188"/>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发包人应按合同约定及时组织竣工验收。</w:t>
      </w:r>
    </w:p>
    <w:p>
      <w:pPr>
        <w:pStyle w:val="9"/>
        <w:spacing w:before="120" w:after="120" w:line="360" w:lineRule="auto"/>
        <w:ind w:firstLine="420" w:firstLineChars="200"/>
        <w:rPr>
          <w:rFonts w:ascii="宋体" w:hAnsi="宋体" w:cs="宋体"/>
          <w:color w:val="auto"/>
          <w:szCs w:val="21"/>
          <w:highlight w:val="none"/>
        </w:rPr>
      </w:pPr>
      <w:bookmarkStart w:id="189" w:name="_Toc1304"/>
      <w:r>
        <w:rPr>
          <w:rFonts w:hint="eastAsia" w:ascii="宋体" w:hAnsi="宋体" w:cs="宋体"/>
          <w:color w:val="auto"/>
          <w:szCs w:val="21"/>
          <w:highlight w:val="none"/>
        </w:rPr>
        <w:t>2.8 现场统一管理协议</w:t>
      </w:r>
      <w:bookmarkEnd w:id="189"/>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pPr>
        <w:pStyle w:val="8"/>
        <w:spacing w:before="120" w:after="120" w:line="360" w:lineRule="auto"/>
        <w:rPr>
          <w:rFonts w:ascii="宋体" w:hAnsi="宋体" w:cs="宋体"/>
          <w:b w:val="0"/>
          <w:color w:val="auto"/>
          <w:szCs w:val="21"/>
          <w:highlight w:val="none"/>
        </w:rPr>
      </w:pPr>
      <w:bookmarkStart w:id="190" w:name="_Toc28412"/>
      <w:r>
        <w:rPr>
          <w:rFonts w:hint="eastAsia" w:ascii="宋体" w:hAnsi="宋体" w:cs="宋体"/>
          <w:b w:val="0"/>
          <w:color w:val="auto"/>
          <w:szCs w:val="21"/>
          <w:highlight w:val="none"/>
        </w:rPr>
        <w:t>3</w:t>
      </w:r>
      <w:bookmarkStart w:id="191" w:name="_Toc337558746"/>
      <w:bookmarkStart w:id="192" w:name="_Toc296503045"/>
      <w:bookmarkStart w:id="193" w:name="_Toc296346546"/>
      <w:r>
        <w:rPr>
          <w:rFonts w:hint="eastAsia" w:ascii="宋体" w:hAnsi="宋体" w:cs="宋体"/>
          <w:b w:val="0"/>
          <w:color w:val="auto"/>
          <w:szCs w:val="21"/>
          <w:highlight w:val="none"/>
        </w:rPr>
        <w:t>. 承包人</w:t>
      </w:r>
      <w:bookmarkEnd w:id="190"/>
    </w:p>
    <w:bookmarkEnd w:id="191"/>
    <w:bookmarkEnd w:id="192"/>
    <w:bookmarkEnd w:id="193"/>
    <w:p>
      <w:pPr>
        <w:pStyle w:val="9"/>
        <w:spacing w:before="120" w:after="120" w:line="360" w:lineRule="auto"/>
        <w:ind w:firstLine="420" w:firstLineChars="200"/>
        <w:rPr>
          <w:rFonts w:ascii="宋体" w:hAnsi="宋体" w:cs="宋体"/>
          <w:color w:val="auto"/>
          <w:szCs w:val="21"/>
          <w:highlight w:val="none"/>
        </w:rPr>
      </w:pPr>
      <w:bookmarkStart w:id="194" w:name="_Toc17627"/>
      <w:r>
        <w:rPr>
          <w:rFonts w:hint="eastAsia" w:ascii="宋体" w:hAnsi="宋体" w:cs="宋体"/>
          <w:color w:val="auto"/>
          <w:szCs w:val="21"/>
          <w:highlight w:val="none"/>
        </w:rPr>
        <w:t>3</w:t>
      </w:r>
      <w:bookmarkStart w:id="195" w:name="_Toc296346547"/>
      <w:bookmarkStart w:id="196" w:name="_Toc337558747"/>
      <w:bookmarkStart w:id="197" w:name="_Toc296503046"/>
      <w:r>
        <w:rPr>
          <w:rFonts w:hint="eastAsia" w:ascii="宋体" w:hAnsi="宋体" w:cs="宋体"/>
          <w:color w:val="auto"/>
          <w:szCs w:val="21"/>
          <w:highlight w:val="none"/>
        </w:rPr>
        <w:t>.1 承包人的一般义务</w:t>
      </w:r>
      <w:bookmarkEnd w:id="194"/>
    </w:p>
    <w:bookmarkEnd w:id="195"/>
    <w:bookmarkEnd w:id="196"/>
    <w:bookmarkEnd w:id="19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承包人在履行合同过程中应遵守法律和工程建设标准规范，并履行以下义务：</w:t>
      </w:r>
    </w:p>
    <w:p>
      <w:pPr>
        <w:numPr>
          <w:ilvl w:val="0"/>
          <w:numId w:val="44"/>
        </w:num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办理法律规定应由承包人办理的许可和批准，并将办理结果书面报送发包人留存；</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（2）按法律规定和合同约定完成工程，并在保修期内承担保修义务；</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（3）按法律规定和合同约定采取施工安全和环境保护措施，办理工伤保险，确保工程及人员、材料、设备和设施的安全；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（6）按照第6.3款〔环境保护〕约定负责施工场地及其周边环境与生态的保护工作；</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（8）将发包人按合同约定支付的各项价款专用于合同工程，且应及时支付其雇用人员工资，并及时向分包人支付合同价款；</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（10）应履行的其他义务。</w:t>
      </w:r>
    </w:p>
    <w:p>
      <w:pPr>
        <w:pStyle w:val="9"/>
        <w:spacing w:before="120" w:after="120" w:line="360" w:lineRule="auto"/>
        <w:ind w:firstLine="420" w:firstLineChars="200"/>
        <w:rPr>
          <w:rFonts w:ascii="宋体" w:hAnsi="宋体" w:cs="宋体"/>
          <w:color w:val="auto"/>
          <w:szCs w:val="21"/>
          <w:highlight w:val="none"/>
        </w:rPr>
      </w:pPr>
      <w:bookmarkStart w:id="198" w:name="_Toc31883"/>
      <w:r>
        <w:rPr>
          <w:rFonts w:hint="eastAsia" w:ascii="宋体" w:hAnsi="宋体" w:cs="宋体"/>
          <w:color w:val="auto"/>
          <w:szCs w:val="21"/>
          <w:highlight w:val="none"/>
        </w:rPr>
        <w:t>3</w:t>
      </w:r>
      <w:bookmarkStart w:id="199" w:name="_Toc337558748"/>
      <w:bookmarkStart w:id="200" w:name="_Toc296346548"/>
      <w:bookmarkStart w:id="201" w:name="_Toc296503047"/>
      <w:r>
        <w:rPr>
          <w:rFonts w:hint="eastAsia" w:ascii="宋体" w:hAnsi="宋体" w:cs="宋体"/>
          <w:color w:val="auto"/>
          <w:szCs w:val="21"/>
          <w:highlight w:val="none"/>
        </w:rPr>
        <w:t>.2 项目经理</w:t>
      </w:r>
      <w:bookmarkEnd w:id="198"/>
    </w:p>
    <w:bookmarkEnd w:id="199"/>
    <w:bookmarkEnd w:id="200"/>
    <w:bookmarkEnd w:id="201"/>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承包人违反上述约定的，应按照专用合同条款的约定，承担违约责任。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9"/>
        <w:spacing w:before="120" w:after="120" w:line="360" w:lineRule="auto"/>
        <w:ind w:firstLine="420" w:firstLineChars="200"/>
        <w:rPr>
          <w:rFonts w:ascii="宋体" w:hAnsi="宋体" w:cs="宋体"/>
          <w:color w:val="auto"/>
          <w:szCs w:val="21"/>
          <w:highlight w:val="none"/>
        </w:rPr>
      </w:pPr>
      <w:bookmarkStart w:id="202" w:name="_Toc3528"/>
      <w:r>
        <w:rPr>
          <w:rFonts w:hint="eastAsia" w:ascii="宋体" w:hAnsi="宋体" w:cs="宋体"/>
          <w:color w:val="auto"/>
          <w:szCs w:val="21"/>
          <w:highlight w:val="none"/>
        </w:rPr>
        <w:t>3</w:t>
      </w:r>
      <w:bookmarkStart w:id="203" w:name="_Toc296503048"/>
      <w:bookmarkStart w:id="204" w:name="_Toc296346549"/>
      <w:bookmarkStart w:id="205" w:name="_Toc337558749"/>
      <w:r>
        <w:rPr>
          <w:rFonts w:hint="eastAsia" w:ascii="宋体" w:hAnsi="宋体" w:cs="宋体"/>
          <w:color w:val="auto"/>
          <w:szCs w:val="21"/>
          <w:highlight w:val="none"/>
        </w:rPr>
        <w:t xml:space="preserve">.3 </w:t>
      </w:r>
      <w:bookmarkEnd w:id="203"/>
      <w:bookmarkEnd w:id="204"/>
      <w:r>
        <w:rPr>
          <w:rFonts w:hint="eastAsia" w:ascii="宋体" w:hAnsi="宋体" w:cs="宋体"/>
          <w:color w:val="auto"/>
          <w:szCs w:val="21"/>
          <w:highlight w:val="none"/>
        </w:rPr>
        <w:t>承包人人员</w:t>
      </w:r>
      <w:bookmarkEnd w:id="202"/>
    </w:p>
    <w:bookmarkEnd w:id="205"/>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特殊工种作业人员均应持有相应的资格证明，监理人可以随时检查。</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3.3.5 承包人擅自更换主要施工管理人员，或前述人员未经监理人或发包人同意擅自离开施工现场的，应按照专用合同条款约定承担违约责任。</w:t>
      </w:r>
    </w:p>
    <w:p>
      <w:pPr>
        <w:pStyle w:val="9"/>
        <w:spacing w:before="120" w:after="120" w:line="360" w:lineRule="auto"/>
        <w:ind w:firstLine="420" w:firstLineChars="200"/>
        <w:rPr>
          <w:rFonts w:ascii="宋体" w:hAnsi="宋体" w:cs="宋体"/>
          <w:color w:val="auto"/>
          <w:szCs w:val="21"/>
          <w:highlight w:val="none"/>
        </w:rPr>
      </w:pPr>
      <w:bookmarkStart w:id="206" w:name="_Toc17557"/>
      <w:r>
        <w:rPr>
          <w:rFonts w:hint="eastAsia" w:ascii="宋体" w:hAnsi="宋体" w:cs="宋体"/>
          <w:color w:val="auto"/>
          <w:szCs w:val="21"/>
          <w:highlight w:val="none"/>
        </w:rPr>
        <w:t>3</w:t>
      </w:r>
      <w:bookmarkStart w:id="207" w:name="_Toc296503050"/>
      <w:bookmarkStart w:id="208" w:name="_Toc296346551"/>
      <w:bookmarkStart w:id="209" w:name="_Toc337558750"/>
      <w:r>
        <w:rPr>
          <w:rFonts w:hint="eastAsia" w:ascii="宋体" w:hAnsi="宋体" w:cs="宋体"/>
          <w:color w:val="auto"/>
          <w:szCs w:val="21"/>
          <w:highlight w:val="none"/>
        </w:rPr>
        <w:t>.4 承包人现场查勘</w:t>
      </w:r>
      <w:bookmarkEnd w:id="206"/>
    </w:p>
    <w:bookmarkEnd w:id="207"/>
    <w:bookmarkEnd w:id="208"/>
    <w:bookmarkEnd w:id="209"/>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9"/>
        <w:spacing w:before="120" w:after="120" w:line="360" w:lineRule="auto"/>
        <w:ind w:firstLine="420" w:firstLineChars="200"/>
        <w:rPr>
          <w:rFonts w:ascii="宋体" w:hAnsi="宋体" w:cs="宋体"/>
          <w:color w:val="auto"/>
          <w:szCs w:val="21"/>
          <w:highlight w:val="none"/>
        </w:rPr>
      </w:pPr>
      <w:bookmarkStart w:id="210" w:name="_Toc26190"/>
      <w:r>
        <w:rPr>
          <w:rFonts w:hint="eastAsia" w:ascii="宋体" w:hAnsi="宋体" w:cs="宋体"/>
          <w:color w:val="auto"/>
          <w:szCs w:val="21"/>
          <w:highlight w:val="none"/>
        </w:rPr>
        <w:t>3</w:t>
      </w:r>
      <w:bookmarkStart w:id="211" w:name="_Toc296503051"/>
      <w:bookmarkStart w:id="212" w:name="_Toc296346552"/>
      <w:bookmarkStart w:id="213" w:name="_Toc337558751"/>
      <w:r>
        <w:rPr>
          <w:rFonts w:hint="eastAsia" w:ascii="宋体" w:hAnsi="宋体" w:cs="宋体"/>
          <w:color w:val="auto"/>
          <w:szCs w:val="21"/>
          <w:highlight w:val="none"/>
        </w:rPr>
        <w:t>.5 分包</w:t>
      </w:r>
      <w:bookmarkEnd w:id="210"/>
    </w:p>
    <w:bookmarkEnd w:id="211"/>
    <w:bookmarkEnd w:id="212"/>
    <w:bookmarkEnd w:id="213"/>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3.5.1 分包的一般约定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承包人不得以劳务分包的名义转包或违法分包工程。</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3.5.2 分包的确定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3.5.3 分包管理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3.5.4 分包合同价款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（2）生效法律文书要求发包人向分包人支付分包合同价款的，发包人有权从应付承包人工程款中扣除该部分款项。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3.5.5 分包合同权益的转让</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9"/>
        <w:spacing w:before="120" w:after="120" w:line="360" w:lineRule="auto"/>
        <w:ind w:firstLine="420" w:firstLineChars="200"/>
        <w:rPr>
          <w:rFonts w:ascii="宋体" w:hAnsi="宋体" w:cs="宋体"/>
          <w:color w:val="auto"/>
          <w:szCs w:val="21"/>
          <w:highlight w:val="none"/>
        </w:rPr>
      </w:pPr>
      <w:bookmarkStart w:id="214" w:name="_Toc23990"/>
      <w:r>
        <w:rPr>
          <w:rFonts w:hint="eastAsia" w:ascii="宋体" w:hAnsi="宋体" w:cs="宋体"/>
          <w:color w:val="auto"/>
          <w:szCs w:val="21"/>
          <w:highlight w:val="none"/>
        </w:rPr>
        <w:t>3.6 工程照管与成品、半成品保护</w:t>
      </w:r>
      <w:bookmarkEnd w:id="214"/>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（2）在承包人负责照管期间，因承包人原因造成工程、材料、工程设备损坏的，由承包人负责修复或更换，并承担由此增加的费用和（或）延误的工期。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9"/>
        <w:spacing w:before="120" w:after="120" w:line="360" w:lineRule="auto"/>
        <w:ind w:firstLine="420" w:firstLineChars="200"/>
        <w:rPr>
          <w:rFonts w:ascii="宋体" w:hAnsi="宋体" w:cs="宋体"/>
          <w:color w:val="auto"/>
          <w:szCs w:val="21"/>
          <w:highlight w:val="none"/>
        </w:rPr>
      </w:pPr>
      <w:bookmarkStart w:id="215" w:name="_Toc5365"/>
      <w:r>
        <w:rPr>
          <w:rFonts w:hint="eastAsia" w:ascii="宋体" w:hAnsi="宋体" w:cs="宋体"/>
          <w:color w:val="auto"/>
          <w:szCs w:val="21"/>
          <w:highlight w:val="none"/>
        </w:rPr>
        <w:t>3</w:t>
      </w:r>
      <w:bookmarkStart w:id="216" w:name="_Toc296346553"/>
      <w:bookmarkStart w:id="217" w:name="_Toc296503052"/>
      <w:bookmarkStart w:id="218" w:name="_Toc337558752"/>
      <w:r>
        <w:rPr>
          <w:rFonts w:hint="eastAsia" w:ascii="宋体" w:hAnsi="宋体" w:cs="宋体"/>
          <w:color w:val="auto"/>
          <w:szCs w:val="21"/>
          <w:highlight w:val="none"/>
        </w:rPr>
        <w:t>.7 履约担保</w:t>
      </w:r>
      <w:bookmarkEnd w:id="215"/>
    </w:p>
    <w:bookmarkEnd w:id="216"/>
    <w:bookmarkEnd w:id="217"/>
    <w:bookmarkEnd w:id="218"/>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pPr>
        <w:pStyle w:val="9"/>
        <w:spacing w:before="120" w:after="120" w:line="360" w:lineRule="auto"/>
        <w:ind w:firstLine="420" w:firstLineChars="200"/>
        <w:rPr>
          <w:rFonts w:ascii="宋体" w:hAnsi="宋体" w:cs="宋体"/>
          <w:color w:val="auto"/>
          <w:szCs w:val="21"/>
          <w:highlight w:val="none"/>
        </w:rPr>
      </w:pPr>
      <w:bookmarkStart w:id="219" w:name="_Toc15683"/>
      <w:r>
        <w:rPr>
          <w:rFonts w:hint="eastAsia" w:ascii="宋体" w:hAnsi="宋体" w:cs="宋体"/>
          <w:color w:val="auto"/>
          <w:szCs w:val="21"/>
          <w:highlight w:val="none"/>
        </w:rPr>
        <w:t>3.8 联合体</w:t>
      </w:r>
      <w:bookmarkEnd w:id="219"/>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3.8.1 联合体各方应共同与发包人签订合同协议书。联合体各方应为履行合同向发包人承担连带责任。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3.8.2 联合体协议经发包人确认后作为合同附件。在履行合同过程中，未经发包人同意，不得修改联合体协议。</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3.8.3 联合体牵头人负责与发包人和监理人联系，并接受指示，负责组织联合体各成员全面履行合同。</w:t>
      </w:r>
    </w:p>
    <w:p>
      <w:pPr>
        <w:pStyle w:val="8"/>
        <w:spacing w:before="120" w:after="120" w:line="360" w:lineRule="auto"/>
        <w:rPr>
          <w:rFonts w:ascii="宋体" w:hAnsi="宋体" w:cs="宋体"/>
          <w:b w:val="0"/>
          <w:color w:val="auto"/>
          <w:szCs w:val="21"/>
          <w:highlight w:val="none"/>
        </w:rPr>
      </w:pPr>
      <w:bookmarkStart w:id="220" w:name="_Toc9960"/>
      <w:r>
        <w:rPr>
          <w:rFonts w:hint="eastAsia" w:ascii="宋体" w:hAnsi="宋体" w:cs="宋体"/>
          <w:b w:val="0"/>
          <w:color w:val="auto"/>
          <w:szCs w:val="21"/>
          <w:highlight w:val="none"/>
        </w:rPr>
        <w:t>4</w:t>
      </w:r>
      <w:bookmarkStart w:id="221" w:name="_Toc296503053"/>
      <w:bookmarkStart w:id="222" w:name="_Toc296346554"/>
      <w:bookmarkStart w:id="223" w:name="_Toc337558753"/>
      <w:r>
        <w:rPr>
          <w:rFonts w:hint="eastAsia" w:ascii="宋体" w:hAnsi="宋体" w:cs="宋体"/>
          <w:b w:val="0"/>
          <w:color w:val="auto"/>
          <w:szCs w:val="21"/>
          <w:highlight w:val="none"/>
        </w:rPr>
        <w:t>. 监</w:t>
      </w:r>
      <w:bookmarkEnd w:id="221"/>
      <w:bookmarkEnd w:id="222"/>
      <w:r>
        <w:rPr>
          <w:rFonts w:hint="eastAsia" w:ascii="宋体" w:hAnsi="宋体" w:cs="宋体"/>
          <w:b w:val="0"/>
          <w:color w:val="auto"/>
          <w:szCs w:val="21"/>
          <w:highlight w:val="none"/>
        </w:rPr>
        <w:t>理人</w:t>
      </w:r>
      <w:bookmarkEnd w:id="220"/>
    </w:p>
    <w:bookmarkEnd w:id="223"/>
    <w:p>
      <w:pPr>
        <w:pStyle w:val="9"/>
        <w:spacing w:before="120" w:after="120" w:line="360" w:lineRule="auto"/>
        <w:ind w:firstLine="420" w:firstLineChars="200"/>
        <w:rPr>
          <w:rFonts w:ascii="宋体" w:hAnsi="宋体" w:cs="宋体"/>
          <w:color w:val="auto"/>
          <w:szCs w:val="21"/>
          <w:highlight w:val="none"/>
        </w:rPr>
      </w:pPr>
      <w:bookmarkStart w:id="224" w:name="_Toc7231"/>
      <w:r>
        <w:rPr>
          <w:rFonts w:hint="eastAsia" w:ascii="宋体" w:hAnsi="宋体" w:cs="宋体"/>
          <w:color w:val="auto"/>
          <w:szCs w:val="21"/>
          <w:highlight w:val="none"/>
        </w:rPr>
        <w:t>4</w:t>
      </w:r>
      <w:bookmarkStart w:id="225" w:name="_Toc296503054"/>
      <w:bookmarkStart w:id="226" w:name="_Toc337558754"/>
      <w:bookmarkStart w:id="227" w:name="_Toc296346555"/>
      <w:r>
        <w:rPr>
          <w:rFonts w:hint="eastAsia" w:ascii="宋体" w:hAnsi="宋体" w:cs="宋体"/>
          <w:color w:val="auto"/>
          <w:szCs w:val="21"/>
          <w:highlight w:val="none"/>
        </w:rPr>
        <w:t>.1监理人的一般规定</w:t>
      </w:r>
      <w:bookmarkEnd w:id="224"/>
    </w:p>
    <w:bookmarkEnd w:id="225"/>
    <w:bookmarkEnd w:id="226"/>
    <w:bookmarkEnd w:id="22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除专用合同条款另有约定外，监理人在施工现场的办公场所、生活场所由承包人提供，所发生的费用由发包人承担。</w:t>
      </w:r>
    </w:p>
    <w:p>
      <w:pPr>
        <w:pStyle w:val="9"/>
        <w:spacing w:before="120" w:after="120" w:line="360" w:lineRule="auto"/>
        <w:ind w:firstLine="420" w:firstLineChars="200"/>
        <w:rPr>
          <w:rFonts w:ascii="宋体" w:hAnsi="宋体" w:cs="宋体"/>
          <w:color w:val="auto"/>
          <w:szCs w:val="21"/>
          <w:highlight w:val="none"/>
        </w:rPr>
      </w:pPr>
      <w:bookmarkStart w:id="228" w:name="_Toc22423"/>
      <w:r>
        <w:rPr>
          <w:rFonts w:hint="eastAsia" w:ascii="宋体" w:hAnsi="宋体" w:cs="宋体"/>
          <w:color w:val="auto"/>
          <w:szCs w:val="21"/>
          <w:highlight w:val="none"/>
        </w:rPr>
        <w:t>4</w:t>
      </w:r>
      <w:bookmarkStart w:id="229" w:name="_Toc337558755"/>
      <w:r>
        <w:rPr>
          <w:rFonts w:hint="eastAsia" w:ascii="宋体" w:hAnsi="宋体" w:cs="宋体"/>
          <w:color w:val="auto"/>
          <w:szCs w:val="21"/>
          <w:highlight w:val="none"/>
        </w:rPr>
        <w:t>.2监理人员</w:t>
      </w:r>
      <w:bookmarkEnd w:id="228"/>
    </w:p>
    <w:bookmarkEnd w:id="229"/>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9"/>
        <w:spacing w:before="120" w:after="120" w:line="360" w:lineRule="auto"/>
        <w:ind w:firstLine="420" w:firstLineChars="200"/>
        <w:rPr>
          <w:rFonts w:ascii="宋体" w:hAnsi="宋体" w:cs="宋体"/>
          <w:color w:val="auto"/>
          <w:szCs w:val="21"/>
          <w:highlight w:val="none"/>
        </w:rPr>
      </w:pPr>
      <w:bookmarkStart w:id="230" w:name="_Toc31980"/>
      <w:r>
        <w:rPr>
          <w:rFonts w:hint="eastAsia" w:ascii="宋体" w:hAnsi="宋体" w:cs="宋体"/>
          <w:color w:val="auto"/>
          <w:szCs w:val="21"/>
          <w:highlight w:val="none"/>
        </w:rPr>
        <w:t>4</w:t>
      </w:r>
      <w:bookmarkStart w:id="231" w:name="_Toc296346556"/>
      <w:bookmarkStart w:id="232" w:name="_Toc296503055"/>
      <w:bookmarkStart w:id="233" w:name="_Toc337558756"/>
      <w:r>
        <w:rPr>
          <w:rFonts w:hint="eastAsia" w:ascii="宋体" w:hAnsi="宋体" w:cs="宋体"/>
          <w:color w:val="auto"/>
          <w:szCs w:val="21"/>
          <w:highlight w:val="none"/>
        </w:rPr>
        <w:t>.3</w:t>
      </w:r>
      <w:bookmarkEnd w:id="231"/>
      <w:bookmarkEnd w:id="232"/>
      <w:r>
        <w:rPr>
          <w:rFonts w:hint="eastAsia" w:ascii="宋体" w:hAnsi="宋体" w:cs="宋体"/>
          <w:color w:val="auto"/>
          <w:szCs w:val="21"/>
          <w:highlight w:val="none"/>
        </w:rPr>
        <w:t>监理人的指</w:t>
      </w:r>
      <w:bookmarkEnd w:id="233"/>
      <w:r>
        <w:rPr>
          <w:rFonts w:hint="eastAsia" w:ascii="宋体" w:hAnsi="宋体" w:cs="宋体"/>
          <w:color w:val="auto"/>
          <w:szCs w:val="21"/>
          <w:highlight w:val="none"/>
        </w:rPr>
        <w:t>示</w:t>
      </w:r>
      <w:bookmarkEnd w:id="230"/>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8"/>
        <w:spacing w:before="120" w:after="120" w:line="360" w:lineRule="auto"/>
        <w:ind w:firstLine="420" w:firstLineChars="200"/>
        <w:rPr>
          <w:rFonts w:ascii="宋体" w:hAnsi="宋体" w:cs="宋体"/>
          <w:b w:val="0"/>
          <w:color w:val="auto"/>
          <w:szCs w:val="21"/>
          <w:highlight w:val="none"/>
        </w:rPr>
      </w:pPr>
      <w:bookmarkStart w:id="234" w:name="_Toc19077"/>
      <w:r>
        <w:rPr>
          <w:rFonts w:hint="eastAsia" w:ascii="宋体" w:hAnsi="宋体" w:cs="宋体"/>
          <w:b w:val="0"/>
          <w:color w:val="auto"/>
          <w:szCs w:val="21"/>
          <w:highlight w:val="none"/>
        </w:rPr>
        <w:t>4</w:t>
      </w:r>
      <w:bookmarkStart w:id="235" w:name="_Toc296503057"/>
      <w:bookmarkStart w:id="236" w:name="_Toc337558757"/>
      <w:bookmarkStart w:id="237" w:name="_Toc296346558"/>
      <w:r>
        <w:rPr>
          <w:rFonts w:hint="eastAsia" w:ascii="宋体" w:hAnsi="宋体" w:cs="宋体"/>
          <w:b w:val="0"/>
          <w:color w:val="auto"/>
          <w:szCs w:val="21"/>
          <w:highlight w:val="none"/>
        </w:rPr>
        <w:t>.4 商定或确定</w:t>
      </w:r>
      <w:bookmarkEnd w:id="234"/>
    </w:p>
    <w:bookmarkEnd w:id="235"/>
    <w:bookmarkEnd w:id="236"/>
    <w:bookmarkEnd w:id="23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8"/>
        <w:spacing w:before="120" w:after="120" w:line="360" w:lineRule="auto"/>
        <w:rPr>
          <w:rFonts w:ascii="宋体" w:hAnsi="宋体" w:cs="宋体"/>
          <w:b w:val="0"/>
          <w:color w:val="auto"/>
          <w:szCs w:val="21"/>
          <w:highlight w:val="none"/>
        </w:rPr>
      </w:pPr>
      <w:bookmarkStart w:id="238" w:name="_Toc7649"/>
      <w:r>
        <w:rPr>
          <w:rFonts w:hint="eastAsia" w:ascii="宋体" w:hAnsi="宋体" w:cs="宋体"/>
          <w:b w:val="0"/>
          <w:color w:val="auto"/>
          <w:szCs w:val="21"/>
          <w:highlight w:val="none"/>
        </w:rPr>
        <w:t>5</w:t>
      </w:r>
      <w:bookmarkStart w:id="239" w:name="_Toc337558758"/>
      <w:r>
        <w:rPr>
          <w:rFonts w:hint="eastAsia" w:ascii="宋体" w:hAnsi="宋体" w:cs="宋体"/>
          <w:b w:val="0"/>
          <w:color w:val="auto"/>
          <w:szCs w:val="21"/>
          <w:highlight w:val="none"/>
        </w:rPr>
        <w:t>. 工程质量</w:t>
      </w:r>
      <w:bookmarkEnd w:id="238"/>
    </w:p>
    <w:bookmarkEnd w:id="239"/>
    <w:p>
      <w:pPr>
        <w:pStyle w:val="9"/>
        <w:spacing w:before="120" w:after="120" w:line="360" w:lineRule="auto"/>
        <w:ind w:firstLine="420" w:firstLineChars="200"/>
        <w:rPr>
          <w:rFonts w:ascii="宋体" w:hAnsi="宋体" w:cs="宋体"/>
          <w:color w:val="auto"/>
          <w:szCs w:val="21"/>
          <w:highlight w:val="none"/>
        </w:rPr>
      </w:pPr>
      <w:bookmarkStart w:id="240" w:name="_Toc20617"/>
      <w:r>
        <w:rPr>
          <w:rFonts w:hint="eastAsia" w:ascii="宋体" w:hAnsi="宋体" w:cs="宋体"/>
          <w:color w:val="auto"/>
          <w:szCs w:val="21"/>
          <w:highlight w:val="none"/>
        </w:rPr>
        <w:t>5</w:t>
      </w:r>
      <w:bookmarkStart w:id="241" w:name="_Toc337558759"/>
      <w:r>
        <w:rPr>
          <w:rFonts w:hint="eastAsia" w:ascii="宋体" w:hAnsi="宋体" w:cs="宋体"/>
          <w:color w:val="auto"/>
          <w:szCs w:val="21"/>
          <w:highlight w:val="none"/>
        </w:rPr>
        <w:t>.1质量要求</w:t>
      </w:r>
      <w:bookmarkEnd w:id="240"/>
    </w:p>
    <w:bookmarkEnd w:id="241"/>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pPr>
        <w:pStyle w:val="9"/>
        <w:spacing w:before="120" w:after="120" w:line="360" w:lineRule="auto"/>
        <w:ind w:firstLine="420" w:firstLineChars="200"/>
        <w:rPr>
          <w:rFonts w:ascii="宋体" w:hAnsi="宋体" w:cs="宋体"/>
          <w:color w:val="auto"/>
          <w:szCs w:val="21"/>
          <w:highlight w:val="none"/>
        </w:rPr>
      </w:pPr>
      <w:bookmarkStart w:id="242" w:name="_Toc20170"/>
      <w:r>
        <w:rPr>
          <w:rFonts w:hint="eastAsia" w:ascii="宋体" w:hAnsi="宋体" w:cs="宋体"/>
          <w:color w:val="auto"/>
          <w:szCs w:val="21"/>
          <w:highlight w:val="none"/>
        </w:rPr>
        <w:t>5</w:t>
      </w:r>
      <w:bookmarkStart w:id="243" w:name="_Toc337558760"/>
      <w:r>
        <w:rPr>
          <w:rFonts w:hint="eastAsia" w:ascii="宋体" w:hAnsi="宋体" w:cs="宋体"/>
          <w:color w:val="auto"/>
          <w:szCs w:val="21"/>
          <w:highlight w:val="none"/>
        </w:rPr>
        <w:t>.2质量保证措施</w:t>
      </w:r>
      <w:bookmarkEnd w:id="242"/>
    </w:p>
    <w:bookmarkEnd w:id="243"/>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5.2.1 发包人的质量管理</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发包人应按照法律规定及合同约定完成与工程质量有关的各项工作。</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5.2.2 承包人的质量管理</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承包人应对施工人员进行质量教育和技术培训，定期考核施工人员的劳动技能，严格执行施工规范和操作规程。</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5.2.3 监理人的质量检查和检验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9"/>
        <w:spacing w:before="120" w:after="120" w:line="360" w:lineRule="auto"/>
        <w:ind w:firstLine="420" w:firstLineChars="200"/>
        <w:rPr>
          <w:rFonts w:ascii="宋体" w:hAnsi="宋体" w:cs="宋体"/>
          <w:color w:val="auto"/>
          <w:szCs w:val="21"/>
          <w:highlight w:val="none"/>
        </w:rPr>
      </w:pPr>
      <w:bookmarkStart w:id="244" w:name="_Toc31750"/>
      <w:r>
        <w:rPr>
          <w:rFonts w:hint="eastAsia" w:ascii="宋体" w:hAnsi="宋体" w:cs="宋体"/>
          <w:color w:val="auto"/>
          <w:szCs w:val="21"/>
          <w:highlight w:val="none"/>
        </w:rPr>
        <w:t>5</w:t>
      </w:r>
      <w:bookmarkStart w:id="245" w:name="_Toc337558761"/>
      <w:r>
        <w:rPr>
          <w:rFonts w:hint="eastAsia" w:ascii="宋体" w:hAnsi="宋体" w:cs="宋体"/>
          <w:color w:val="auto"/>
          <w:szCs w:val="21"/>
          <w:highlight w:val="none"/>
        </w:rPr>
        <w:t>.3 隐蔽工程检查</w:t>
      </w:r>
      <w:bookmarkEnd w:id="244"/>
    </w:p>
    <w:bookmarkEnd w:id="245"/>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5.3.1承包人自检</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承包人应当对工程隐蔽部位进行自检，并经自检确认是否具备覆盖条件。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5.3.2检查程序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5.3.3 重新检查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5.3.4 承包人私自覆盖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5.3.5保修范围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承包人承包范围内工程项目，由于承包人施工质量问题和材料设备质量问题，均属承包人保修范围。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5.3.6保修期限：在正常使用条件下，投标人承诺的质量保修期不得低于《建设工程质量管理条例》规定的最低保修期限，建设工程的保修期自竣工验收合格之日起计算。投标人须在投标文件中明确质量保修期限。</w:t>
      </w:r>
    </w:p>
    <w:p>
      <w:pPr>
        <w:pStyle w:val="9"/>
        <w:spacing w:before="120" w:after="120" w:line="360" w:lineRule="auto"/>
        <w:ind w:firstLine="420" w:firstLineChars="200"/>
        <w:rPr>
          <w:rFonts w:ascii="宋体" w:hAnsi="宋体" w:cs="宋体"/>
          <w:color w:val="auto"/>
          <w:szCs w:val="21"/>
          <w:highlight w:val="none"/>
        </w:rPr>
      </w:pPr>
      <w:bookmarkStart w:id="246" w:name="_Toc31813"/>
      <w:r>
        <w:rPr>
          <w:rFonts w:hint="eastAsia" w:ascii="宋体" w:hAnsi="宋体" w:cs="宋体"/>
          <w:color w:val="auto"/>
          <w:szCs w:val="21"/>
          <w:highlight w:val="none"/>
        </w:rPr>
        <w:t>5</w:t>
      </w:r>
      <w:bookmarkStart w:id="247" w:name="_Toc337558762"/>
      <w:r>
        <w:rPr>
          <w:rFonts w:hint="eastAsia" w:ascii="宋体" w:hAnsi="宋体" w:cs="宋体"/>
          <w:color w:val="auto"/>
          <w:szCs w:val="21"/>
          <w:highlight w:val="none"/>
        </w:rPr>
        <w:t>.4不合格工程的处理</w:t>
      </w:r>
      <w:bookmarkEnd w:id="246"/>
    </w:p>
    <w:bookmarkEnd w:id="247"/>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5.4.2 因发包人原因造成工程不合格的，由此增加的费用和（或）延误的工期由发包人承担，并支付承包人合理的利润。</w:t>
      </w:r>
    </w:p>
    <w:p>
      <w:pPr>
        <w:pStyle w:val="9"/>
        <w:spacing w:before="120" w:after="120" w:line="360" w:lineRule="auto"/>
        <w:ind w:firstLine="420" w:firstLineChars="200"/>
        <w:rPr>
          <w:rFonts w:ascii="宋体" w:hAnsi="宋体" w:cs="宋体"/>
          <w:color w:val="auto"/>
          <w:szCs w:val="21"/>
          <w:highlight w:val="none"/>
        </w:rPr>
      </w:pPr>
      <w:bookmarkStart w:id="248" w:name="_Toc9186"/>
      <w:r>
        <w:rPr>
          <w:rFonts w:hint="eastAsia" w:ascii="宋体" w:hAnsi="宋体" w:cs="宋体"/>
          <w:color w:val="auto"/>
          <w:szCs w:val="21"/>
          <w:highlight w:val="none"/>
        </w:rPr>
        <w:t>5.5 质量争议检测</w:t>
      </w:r>
      <w:bookmarkEnd w:id="248"/>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合同当事人对工程质量有争议的，由双方协商确定的工程质量检测机构鉴定，由此产生的费用及因此造成的损失，由责任方承担。</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合同当事人均有责任的，由双方根据其责任分别承担。合同当事人无法达成一致的，按照第4.4款〔商定或确定〕执行。</w:t>
      </w:r>
    </w:p>
    <w:p>
      <w:pPr>
        <w:pStyle w:val="8"/>
        <w:spacing w:before="120" w:after="120" w:line="360" w:lineRule="auto"/>
        <w:rPr>
          <w:rFonts w:ascii="宋体" w:hAnsi="宋体" w:cs="宋体"/>
          <w:b w:val="0"/>
          <w:color w:val="auto"/>
          <w:szCs w:val="21"/>
          <w:highlight w:val="none"/>
        </w:rPr>
      </w:pPr>
      <w:bookmarkStart w:id="249" w:name="_Toc13167"/>
      <w:r>
        <w:rPr>
          <w:rFonts w:hint="eastAsia" w:ascii="宋体" w:hAnsi="宋体" w:cs="宋体"/>
          <w:b w:val="0"/>
          <w:color w:val="auto"/>
          <w:szCs w:val="21"/>
          <w:highlight w:val="none"/>
        </w:rPr>
        <w:t>6</w:t>
      </w:r>
      <w:bookmarkStart w:id="250" w:name="_Toc337558763"/>
      <w:r>
        <w:rPr>
          <w:rFonts w:hint="eastAsia" w:ascii="宋体" w:hAnsi="宋体" w:cs="宋体"/>
          <w:b w:val="0"/>
          <w:color w:val="auto"/>
          <w:szCs w:val="21"/>
          <w:highlight w:val="none"/>
        </w:rPr>
        <w:t>. 安全文明施工与环境保护</w:t>
      </w:r>
      <w:bookmarkEnd w:id="249"/>
    </w:p>
    <w:bookmarkEnd w:id="250"/>
    <w:p>
      <w:pPr>
        <w:pStyle w:val="9"/>
        <w:spacing w:before="120" w:after="120" w:line="360" w:lineRule="auto"/>
        <w:ind w:firstLine="420" w:firstLineChars="200"/>
        <w:rPr>
          <w:rFonts w:ascii="宋体" w:hAnsi="宋体" w:cs="宋体"/>
          <w:color w:val="auto"/>
          <w:szCs w:val="21"/>
          <w:highlight w:val="none"/>
        </w:rPr>
      </w:pPr>
      <w:bookmarkStart w:id="251" w:name="_Toc13129"/>
      <w:r>
        <w:rPr>
          <w:rFonts w:hint="eastAsia" w:ascii="宋体" w:hAnsi="宋体" w:cs="宋体"/>
          <w:color w:val="auto"/>
          <w:szCs w:val="21"/>
          <w:highlight w:val="none"/>
        </w:rPr>
        <w:t>6</w:t>
      </w:r>
      <w:bookmarkStart w:id="252" w:name="_Toc337558764"/>
      <w:r>
        <w:rPr>
          <w:rFonts w:hint="eastAsia" w:ascii="宋体" w:hAnsi="宋体" w:cs="宋体"/>
          <w:color w:val="auto"/>
          <w:szCs w:val="21"/>
          <w:highlight w:val="none"/>
        </w:rPr>
        <w:t>.1安全文明施工</w:t>
      </w:r>
      <w:bookmarkEnd w:id="251"/>
    </w:p>
    <w:bookmarkEnd w:id="252"/>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6.1.1安全生产要求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Cs w:val="21"/>
          <w:highlight w:val="none"/>
        </w:rPr>
        <w:t>政府有关行政管理部门</w:t>
      </w:r>
      <w:r>
        <w:rPr>
          <w:rFonts w:hint="eastAsia" w:ascii="宋体" w:hAnsi="宋体" w:cs="宋体"/>
          <w:color w:val="auto"/>
          <w:szCs w:val="21"/>
          <w:highlight w:val="none"/>
        </w:rPr>
        <w:t>采取应急措施。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因安全生产需要暂停施工的，按照第7.8款〔暂停施工〕的约定执行。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安全生产保证措施</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承包人应当按照有关</w:t>
      </w:r>
      <w:r>
        <w:rPr>
          <w:rFonts w:hint="eastAsia" w:ascii="宋体" w:hAnsi="宋体" w:cs="宋体"/>
          <w:color w:val="auto"/>
          <w:kern w:val="0"/>
          <w:szCs w:val="21"/>
          <w:highlight w:val="none"/>
        </w:rPr>
        <w:t>规定编制安全技术措施或者专项施工方案，</w:t>
      </w:r>
      <w:r>
        <w:rPr>
          <w:rFonts w:hint="eastAsia" w:ascii="宋体" w:hAnsi="宋体" w:cs="宋体"/>
          <w:color w:val="auto"/>
          <w:szCs w:val="21"/>
          <w:highlight w:val="none"/>
        </w:rPr>
        <w:t>建立安全生产责任制度、治安保卫制度及安全生产教育培训制度，并</w:t>
      </w:r>
      <w:r>
        <w:rPr>
          <w:rFonts w:hint="eastAsia" w:ascii="宋体" w:hAnsi="宋体" w:cs="宋体"/>
          <w:color w:val="auto"/>
          <w:kern w:val="0"/>
          <w:szCs w:val="21"/>
          <w:highlight w:val="none"/>
        </w:rPr>
        <w:t>按安全生产法律规定及合同约定履行安全职责，如实</w:t>
      </w:r>
      <w:r>
        <w:rPr>
          <w:rFonts w:hint="eastAsia" w:ascii="宋体" w:hAnsi="宋体" w:cs="宋体"/>
          <w:color w:val="auto"/>
          <w:szCs w:val="21"/>
          <w:highlight w:val="none"/>
        </w:rPr>
        <w:t>编制工程安全生产的有关记录，</w:t>
      </w:r>
      <w:r>
        <w:rPr>
          <w:rFonts w:hint="eastAsia" w:ascii="宋体" w:hAnsi="宋体" w:cs="宋体"/>
          <w:color w:val="auto"/>
          <w:kern w:val="0"/>
          <w:szCs w:val="21"/>
          <w:highlight w:val="none"/>
        </w:rPr>
        <w:t>接受发包人、监理人及政府安全监督部门的检查与监督。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6.1.3特别安全生产事项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治安保卫</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6.1.5 文明施工</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安全文明施工费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6.1.7 紧急情况处理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6.1.8 事故处理</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6.1.9 安全生产责任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6.1.9.1 发包人的安全责任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发包人应负责赔偿以下各种情况造成的损失：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（2）由于发包人原因在施工场地及其毗邻地带造成的第三者人身伤亡和财产损失；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（3）由于发包人原因对承包人、监理人造成的人员人身伤亡和财产损失；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（4）由于发包人原因造成的发包人自身人员的人身伤害以及财产损失。</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6.1.9.2 承包人的安全责任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由于承包人原因在施工场地内及其毗邻地带造成的发包人、监理人以及第三者人员伤亡和财产损失，由承包人负责赔偿。</w:t>
      </w:r>
    </w:p>
    <w:p>
      <w:pPr>
        <w:pStyle w:val="9"/>
        <w:spacing w:before="120" w:after="120" w:line="360" w:lineRule="auto"/>
        <w:ind w:firstLine="420" w:firstLineChars="200"/>
        <w:rPr>
          <w:rFonts w:ascii="宋体" w:hAnsi="宋体" w:cs="宋体"/>
          <w:color w:val="auto"/>
          <w:szCs w:val="21"/>
          <w:highlight w:val="none"/>
        </w:rPr>
      </w:pPr>
      <w:bookmarkStart w:id="253" w:name="_Toc8998"/>
      <w:r>
        <w:rPr>
          <w:rFonts w:hint="eastAsia" w:ascii="宋体" w:hAnsi="宋体" w:cs="宋体"/>
          <w:color w:val="auto"/>
          <w:szCs w:val="21"/>
          <w:highlight w:val="none"/>
        </w:rPr>
        <w:t>6</w:t>
      </w:r>
      <w:bookmarkStart w:id="254" w:name="_Toc337558765"/>
      <w:r>
        <w:rPr>
          <w:rFonts w:hint="eastAsia" w:ascii="宋体" w:hAnsi="宋体" w:cs="宋体"/>
          <w:color w:val="auto"/>
          <w:szCs w:val="21"/>
          <w:highlight w:val="none"/>
        </w:rPr>
        <w:t>.2 职业健康</w:t>
      </w:r>
      <w:bookmarkEnd w:id="253"/>
    </w:p>
    <w:bookmarkEnd w:id="254"/>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6.2.1 劳动保护</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6.2.2 生活条件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9"/>
        <w:spacing w:before="120" w:after="120" w:line="360" w:lineRule="auto"/>
        <w:ind w:firstLine="420" w:firstLineChars="200"/>
        <w:rPr>
          <w:rFonts w:ascii="宋体" w:hAnsi="宋体" w:cs="宋体"/>
          <w:color w:val="auto"/>
          <w:szCs w:val="21"/>
          <w:highlight w:val="none"/>
        </w:rPr>
      </w:pPr>
      <w:bookmarkStart w:id="255" w:name="_Toc21634"/>
      <w:r>
        <w:rPr>
          <w:rFonts w:hint="eastAsia" w:ascii="宋体" w:hAnsi="宋体" w:cs="宋体"/>
          <w:color w:val="auto"/>
          <w:szCs w:val="21"/>
          <w:highlight w:val="none"/>
        </w:rPr>
        <w:t>6</w:t>
      </w:r>
      <w:bookmarkStart w:id="256" w:name="_Toc337558766"/>
      <w:r>
        <w:rPr>
          <w:rFonts w:hint="eastAsia" w:ascii="宋体" w:hAnsi="宋体" w:cs="宋体"/>
          <w:color w:val="auto"/>
          <w:szCs w:val="21"/>
          <w:highlight w:val="none"/>
        </w:rPr>
        <w:t>.3 环境保护</w:t>
      </w:r>
      <w:bookmarkEnd w:id="255"/>
    </w:p>
    <w:bookmarkEnd w:id="256"/>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pPr>
        <w:pStyle w:val="8"/>
        <w:spacing w:before="120" w:after="120" w:line="360" w:lineRule="auto"/>
        <w:rPr>
          <w:rFonts w:ascii="宋体" w:hAnsi="宋体" w:cs="宋体"/>
          <w:b w:val="0"/>
          <w:color w:val="auto"/>
          <w:szCs w:val="21"/>
          <w:highlight w:val="none"/>
        </w:rPr>
      </w:pPr>
      <w:bookmarkStart w:id="257" w:name="_Toc4103"/>
      <w:r>
        <w:rPr>
          <w:rFonts w:hint="eastAsia" w:ascii="宋体" w:hAnsi="宋体" w:cs="宋体"/>
          <w:b w:val="0"/>
          <w:color w:val="auto"/>
          <w:szCs w:val="21"/>
          <w:highlight w:val="none"/>
        </w:rPr>
        <w:t>7</w:t>
      </w:r>
      <w:bookmarkStart w:id="258" w:name="_Toc337558767"/>
      <w:r>
        <w:rPr>
          <w:rFonts w:hint="eastAsia" w:ascii="宋体" w:hAnsi="宋体" w:cs="宋体"/>
          <w:b w:val="0"/>
          <w:color w:val="auto"/>
          <w:szCs w:val="21"/>
          <w:highlight w:val="none"/>
        </w:rPr>
        <w:t>. 工期和进度</w:t>
      </w:r>
      <w:bookmarkEnd w:id="257"/>
    </w:p>
    <w:bookmarkEnd w:id="258"/>
    <w:p>
      <w:pPr>
        <w:pStyle w:val="9"/>
        <w:spacing w:before="120" w:after="120" w:line="360" w:lineRule="auto"/>
        <w:ind w:firstLine="420" w:firstLineChars="200"/>
        <w:rPr>
          <w:rFonts w:ascii="宋体" w:hAnsi="宋体" w:cs="宋体"/>
          <w:color w:val="auto"/>
          <w:szCs w:val="21"/>
          <w:highlight w:val="none"/>
        </w:rPr>
      </w:pPr>
      <w:bookmarkStart w:id="259" w:name="_Toc14169"/>
      <w:r>
        <w:rPr>
          <w:rFonts w:hint="eastAsia" w:ascii="宋体" w:hAnsi="宋体" w:cs="宋体"/>
          <w:color w:val="auto"/>
          <w:szCs w:val="21"/>
          <w:highlight w:val="none"/>
        </w:rPr>
        <w:t>7</w:t>
      </w:r>
      <w:bookmarkStart w:id="260" w:name="_Toc337558768"/>
      <w:bookmarkStart w:id="261" w:name="_Toc296503066"/>
      <w:bookmarkStart w:id="262" w:name="_Toc296346567"/>
      <w:r>
        <w:rPr>
          <w:rFonts w:hint="eastAsia" w:ascii="宋体" w:hAnsi="宋体" w:cs="宋体"/>
          <w:color w:val="auto"/>
          <w:szCs w:val="21"/>
          <w:highlight w:val="none"/>
        </w:rPr>
        <w:t>.1施工组织设计</w:t>
      </w:r>
      <w:bookmarkEnd w:id="259"/>
    </w:p>
    <w:bookmarkEnd w:id="260"/>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7.1.1 </w:t>
      </w:r>
      <w:r>
        <w:rPr>
          <w:rFonts w:hint="eastAsia" w:ascii="宋体" w:hAnsi="宋体" w:cs="宋体"/>
          <w:color w:val="auto"/>
          <w:kern w:val="0"/>
          <w:szCs w:val="21"/>
          <w:highlight w:val="none"/>
        </w:rPr>
        <w:t>施工组织设计的内容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施工组织设计应包含以下内容：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（1）施工方案； </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（2）施工现场平面布置图；</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（3）施工进度计划和保证措施； </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（4）劳动力及材料供应计划；</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（5）施工机械设备的选用；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（6）质量保证体系及措施；</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（7）安全生产、文明施工措施；</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（8）环境保护、成本控制措施；</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（9）合同当事人约定的其他内容。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施工进度计划的编制和修改按照第7.2款〔施工进度计划〕执行。</w:t>
      </w:r>
    </w:p>
    <w:p>
      <w:pPr>
        <w:pStyle w:val="9"/>
        <w:spacing w:before="120" w:after="120" w:line="360" w:lineRule="auto"/>
        <w:ind w:firstLine="420" w:firstLineChars="200"/>
        <w:rPr>
          <w:rFonts w:ascii="宋体" w:hAnsi="宋体" w:cs="宋体"/>
          <w:color w:val="auto"/>
          <w:szCs w:val="21"/>
          <w:highlight w:val="none"/>
        </w:rPr>
      </w:pPr>
      <w:bookmarkStart w:id="263" w:name="_Toc6579"/>
      <w:r>
        <w:rPr>
          <w:rFonts w:hint="eastAsia" w:ascii="宋体" w:hAnsi="宋体" w:cs="宋体"/>
          <w:color w:val="auto"/>
          <w:szCs w:val="21"/>
          <w:highlight w:val="none"/>
        </w:rPr>
        <w:t>7</w:t>
      </w:r>
      <w:bookmarkStart w:id="264" w:name="_Toc337558769"/>
      <w:r>
        <w:rPr>
          <w:rFonts w:hint="eastAsia" w:ascii="宋体" w:hAnsi="宋体" w:cs="宋体"/>
          <w:color w:val="auto"/>
          <w:szCs w:val="21"/>
          <w:highlight w:val="none"/>
        </w:rPr>
        <w:t>.2 施工进度计划</w:t>
      </w:r>
      <w:bookmarkEnd w:id="263"/>
    </w:p>
    <w:bookmarkEnd w:id="264"/>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7.2.1 施工进度计划的编制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7.2.2 施工进度计划的修订</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9"/>
        <w:spacing w:before="120" w:after="120" w:line="360" w:lineRule="auto"/>
        <w:ind w:firstLine="420" w:firstLineChars="200"/>
        <w:rPr>
          <w:rFonts w:ascii="宋体" w:hAnsi="宋体" w:cs="宋体"/>
          <w:color w:val="auto"/>
          <w:szCs w:val="21"/>
          <w:highlight w:val="none"/>
        </w:rPr>
      </w:pPr>
      <w:bookmarkStart w:id="265" w:name="_Toc30699"/>
      <w:r>
        <w:rPr>
          <w:rFonts w:hint="eastAsia" w:ascii="宋体" w:hAnsi="宋体" w:cs="宋体"/>
          <w:color w:val="auto"/>
          <w:szCs w:val="21"/>
          <w:highlight w:val="none"/>
        </w:rPr>
        <w:t>7</w:t>
      </w:r>
      <w:bookmarkStart w:id="266" w:name="_Toc337558770"/>
      <w:r>
        <w:rPr>
          <w:rFonts w:hint="eastAsia" w:ascii="宋体" w:hAnsi="宋体" w:cs="宋体"/>
          <w:color w:val="auto"/>
          <w:szCs w:val="21"/>
          <w:highlight w:val="none"/>
        </w:rPr>
        <w:t>.3 开工</w:t>
      </w:r>
      <w:bookmarkEnd w:id="265"/>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7.3.1 开工准备</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除专用合同条款另有约定外，合同当事人应按约定完成开工准备工作。</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7.3.2 开工通知</w:t>
      </w:r>
    </w:p>
    <w:bookmarkEnd w:id="266"/>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9"/>
        <w:spacing w:before="120" w:after="120" w:line="360" w:lineRule="auto"/>
        <w:ind w:firstLine="420" w:firstLineChars="200"/>
        <w:rPr>
          <w:rFonts w:ascii="宋体" w:hAnsi="宋体" w:cs="宋体"/>
          <w:color w:val="auto"/>
          <w:szCs w:val="21"/>
          <w:highlight w:val="none"/>
        </w:rPr>
      </w:pPr>
      <w:bookmarkStart w:id="267" w:name="_Toc25310"/>
      <w:r>
        <w:rPr>
          <w:rFonts w:hint="eastAsia" w:ascii="宋体" w:hAnsi="宋体" w:cs="宋体"/>
          <w:color w:val="auto"/>
          <w:szCs w:val="21"/>
          <w:highlight w:val="none"/>
        </w:rPr>
        <w:t>7.4测量放线</w:t>
      </w:r>
      <w:bookmarkEnd w:id="267"/>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施工过程中对施工现场内水准点等测量标志物的保护工作由承包人负责。</w:t>
      </w:r>
    </w:p>
    <w:p>
      <w:pPr>
        <w:pStyle w:val="9"/>
        <w:spacing w:before="120" w:after="120" w:line="360" w:lineRule="auto"/>
        <w:ind w:firstLine="420" w:firstLineChars="200"/>
        <w:rPr>
          <w:rFonts w:ascii="宋体" w:hAnsi="宋体" w:cs="宋体"/>
          <w:color w:val="auto"/>
          <w:szCs w:val="21"/>
          <w:highlight w:val="none"/>
        </w:rPr>
      </w:pPr>
      <w:bookmarkStart w:id="268" w:name="_Toc4321"/>
      <w:r>
        <w:rPr>
          <w:rFonts w:hint="eastAsia" w:ascii="宋体" w:hAnsi="宋体" w:cs="宋体"/>
          <w:color w:val="auto"/>
          <w:szCs w:val="21"/>
          <w:highlight w:val="none"/>
        </w:rPr>
        <w:t>7</w:t>
      </w:r>
      <w:bookmarkEnd w:id="261"/>
      <w:bookmarkEnd w:id="262"/>
      <w:bookmarkStart w:id="269" w:name="_Toc296503073"/>
      <w:bookmarkStart w:id="270" w:name="_Toc296346574"/>
      <w:bookmarkStart w:id="271" w:name="_Toc337558772"/>
      <w:r>
        <w:rPr>
          <w:rFonts w:hint="eastAsia" w:ascii="宋体" w:hAnsi="宋体" w:cs="宋体"/>
          <w:color w:val="auto"/>
          <w:szCs w:val="21"/>
          <w:highlight w:val="none"/>
        </w:rPr>
        <w:t>.5 工期延误</w:t>
      </w:r>
      <w:bookmarkEnd w:id="268"/>
    </w:p>
    <w:bookmarkEnd w:id="269"/>
    <w:bookmarkEnd w:id="270"/>
    <w:bookmarkEnd w:id="271"/>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7.5.1 因发包人原因导致工期延误</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（1）发包人未能按合同约定提供图纸或所提供图纸不符合合同约定的；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（2）发包人未能按合同约定提供施工现场、施工条件、基础资料、许可、批准等开工条件的；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（3）发包人提供的测量基准点、基准线和水准点及其书面资料存在错误或疏漏的；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（4）发包人未能在计划开工日期之日起7天内同意下达开工通知的；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（5）发包人未能按合同约定日期支付工程预付款、进度款或竣工结算款的；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（6）监理人未按合同约定发出指示、批准等文件的；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（7）专用合同条款中约定的其他情形。</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7.5.2 因承包人原因导致工期延误</w:t>
      </w:r>
    </w:p>
    <w:p>
      <w:pPr>
        <w:autoSpaceDE w:val="0"/>
        <w:autoSpaceDN w:val="0"/>
        <w:adjustRightInd w:val="0"/>
        <w:spacing w:line="360" w:lineRule="auto"/>
        <w:ind w:firstLine="420" w:firstLineChars="200"/>
        <w:rPr>
          <w:rFonts w:ascii="宋体" w:hAnsi="宋体" w:cs="宋体"/>
          <w:color w:val="auto"/>
          <w:kern w:val="0"/>
          <w:szCs w:val="21"/>
          <w:highlight w:val="none"/>
        </w:rPr>
      </w:pPr>
      <w:bookmarkStart w:id="272" w:name="_Toc296503076"/>
      <w:bookmarkStart w:id="273" w:name="_Toc296346577"/>
      <w:r>
        <w:rPr>
          <w:rFonts w:hint="eastAsia" w:ascii="宋体" w:hAnsi="宋体" w:cs="宋体"/>
          <w:color w:val="auto"/>
          <w:kern w:val="0"/>
          <w:szCs w:val="21"/>
          <w:highlight w:val="none"/>
        </w:rPr>
        <w:t>因</w:t>
      </w:r>
      <w:bookmarkEnd w:id="272"/>
      <w:bookmarkEnd w:id="273"/>
      <w:r>
        <w:rPr>
          <w:rFonts w:hint="eastAsia" w:ascii="宋体" w:hAnsi="宋体" w:cs="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9"/>
        <w:spacing w:before="120" w:after="120" w:line="360" w:lineRule="auto"/>
        <w:ind w:firstLine="420" w:firstLineChars="200"/>
        <w:rPr>
          <w:rFonts w:ascii="宋体" w:hAnsi="宋体" w:cs="宋体"/>
          <w:color w:val="auto"/>
          <w:szCs w:val="21"/>
          <w:highlight w:val="none"/>
        </w:rPr>
      </w:pPr>
      <w:bookmarkStart w:id="274" w:name="_Toc31540"/>
      <w:r>
        <w:rPr>
          <w:rFonts w:hint="eastAsia" w:ascii="宋体" w:hAnsi="宋体" w:cs="宋体"/>
          <w:color w:val="auto"/>
          <w:szCs w:val="21"/>
          <w:highlight w:val="none"/>
        </w:rPr>
        <w:t>7</w:t>
      </w:r>
      <w:bookmarkStart w:id="275" w:name="_Toc337558773"/>
      <w:bookmarkStart w:id="276" w:name="_Toc296503074"/>
      <w:bookmarkStart w:id="277" w:name="_Toc296346575"/>
      <w:bookmarkStart w:id="278" w:name="_Toc296503077"/>
      <w:bookmarkStart w:id="279" w:name="_Toc296346578"/>
      <w:r>
        <w:rPr>
          <w:rFonts w:hint="eastAsia" w:ascii="宋体" w:hAnsi="宋体" w:cs="宋体"/>
          <w:color w:val="auto"/>
          <w:szCs w:val="21"/>
          <w:highlight w:val="none"/>
        </w:rPr>
        <w:t>.6 不利物质条件</w:t>
      </w:r>
      <w:bookmarkEnd w:id="274"/>
    </w:p>
    <w:bookmarkEnd w:id="275"/>
    <w:bookmarkEnd w:id="276"/>
    <w:bookmarkEnd w:id="27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9"/>
        <w:spacing w:before="120" w:after="120" w:line="360" w:lineRule="auto"/>
        <w:ind w:firstLine="420" w:firstLineChars="200"/>
        <w:rPr>
          <w:rFonts w:ascii="宋体" w:hAnsi="宋体" w:cs="宋体"/>
          <w:color w:val="auto"/>
          <w:szCs w:val="21"/>
          <w:highlight w:val="none"/>
        </w:rPr>
      </w:pPr>
      <w:bookmarkStart w:id="280" w:name="_Toc23635"/>
      <w:r>
        <w:rPr>
          <w:rFonts w:hint="eastAsia" w:ascii="宋体" w:hAnsi="宋体" w:cs="宋体"/>
          <w:color w:val="auto"/>
          <w:szCs w:val="21"/>
          <w:highlight w:val="none"/>
        </w:rPr>
        <w:t>7</w:t>
      </w:r>
      <w:bookmarkStart w:id="281" w:name="_Toc296503075"/>
      <w:bookmarkStart w:id="282" w:name="_Toc296346576"/>
      <w:bookmarkStart w:id="283" w:name="_Toc337558774"/>
      <w:r>
        <w:rPr>
          <w:rFonts w:hint="eastAsia" w:ascii="宋体" w:hAnsi="宋体" w:cs="宋体"/>
          <w:color w:val="auto"/>
          <w:szCs w:val="21"/>
          <w:highlight w:val="none"/>
        </w:rPr>
        <w:t>.7 异常恶劣的气候条件</w:t>
      </w:r>
      <w:bookmarkEnd w:id="280"/>
    </w:p>
    <w:bookmarkEnd w:id="281"/>
    <w:bookmarkEnd w:id="282"/>
    <w:bookmarkEnd w:id="283"/>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w:t>
      </w:r>
      <w:bookmarkStart w:id="284" w:name="_Toc337558775"/>
      <w:r>
        <w:rPr>
          <w:rFonts w:hint="eastAsia" w:ascii="宋体" w:hAnsi="宋体" w:cs="宋体"/>
          <w:bCs/>
          <w:color w:val="auto"/>
          <w:szCs w:val="21"/>
          <w:highlight w:val="none"/>
        </w:rPr>
        <w:t>.8 暂停施工</w:t>
      </w:r>
    </w:p>
    <w:bookmarkEnd w:id="278"/>
    <w:bookmarkEnd w:id="279"/>
    <w:bookmarkEnd w:id="284"/>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7.8.1发包人原因引起的暂停施工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因发包人原因引起的暂停施工，发包人应承担由此增加的费用和（或）延误的工期，并支付承包人合理的利润。</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7.8.2 承包人原因引起的暂停施工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7.8.3 指示暂停施工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监理人认为有必要时，并经发包人批准后，可向承包人作出暂停施工的指示，承包人应按监理人指示暂停施工。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7.8.4 紧急情况下的暂停施工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7.8.5 暂停施工后的复工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7.8.6 暂停施工持续56天以上</w:t>
      </w:r>
    </w:p>
    <w:p>
      <w:pPr>
        <w:spacing w:line="360" w:lineRule="auto"/>
        <w:ind w:firstLine="409" w:firstLineChars="195"/>
        <w:rPr>
          <w:rFonts w:ascii="宋体" w:hAnsi="宋体" w:cs="宋体"/>
          <w:color w:val="auto"/>
          <w:kern w:val="0"/>
          <w:szCs w:val="21"/>
          <w:highlight w:val="none"/>
        </w:rPr>
      </w:pPr>
      <w:r>
        <w:rPr>
          <w:rFonts w:hint="eastAsia" w:ascii="宋体" w:hAnsi="宋体" w:cs="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09" w:firstLineChars="195"/>
        <w:rPr>
          <w:rFonts w:ascii="宋体" w:hAnsi="宋体" w:cs="宋体"/>
          <w:color w:val="auto"/>
          <w:kern w:val="0"/>
          <w:szCs w:val="21"/>
          <w:highlight w:val="none"/>
        </w:rPr>
      </w:pPr>
      <w:r>
        <w:rPr>
          <w:rFonts w:hint="eastAsia" w:ascii="宋体" w:hAnsi="宋体" w:cs="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left="16" w:firstLine="409" w:firstLineChars="195"/>
        <w:rPr>
          <w:rFonts w:ascii="宋体" w:hAnsi="宋体" w:cs="宋体"/>
          <w:color w:val="auto"/>
          <w:kern w:val="0"/>
          <w:szCs w:val="21"/>
          <w:highlight w:val="none"/>
        </w:rPr>
      </w:pPr>
      <w:r>
        <w:rPr>
          <w:rFonts w:hint="eastAsia" w:ascii="宋体" w:hAnsi="宋体" w:cs="宋体"/>
          <w:color w:val="auto"/>
          <w:kern w:val="0"/>
          <w:szCs w:val="21"/>
          <w:highlight w:val="none"/>
        </w:rPr>
        <w:t>7.8.7 暂停施工期间的工程照管</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暂停施工期间，承包人应负责妥善照管工程并提供安全保障，由此增加的费用由责任方承担。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7.8.8 暂停施工的措施</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暂停施工期间，发包人和承包人均应采取必要的措施确保工程质量及安全，防止因暂停施工扩大损失。</w:t>
      </w:r>
    </w:p>
    <w:p>
      <w:pPr>
        <w:pStyle w:val="9"/>
        <w:spacing w:before="120" w:after="120" w:line="360" w:lineRule="auto"/>
        <w:ind w:firstLine="420" w:firstLineChars="200"/>
        <w:rPr>
          <w:rFonts w:ascii="宋体" w:hAnsi="宋体" w:cs="宋体"/>
          <w:color w:val="auto"/>
          <w:szCs w:val="21"/>
          <w:highlight w:val="none"/>
        </w:rPr>
      </w:pPr>
      <w:bookmarkStart w:id="285" w:name="_Toc8482"/>
      <w:r>
        <w:rPr>
          <w:rFonts w:hint="eastAsia" w:ascii="宋体" w:hAnsi="宋体" w:cs="宋体"/>
          <w:color w:val="auto"/>
          <w:szCs w:val="21"/>
          <w:highlight w:val="none"/>
        </w:rPr>
        <w:t>7.9提前竣工</w:t>
      </w:r>
      <w:bookmarkEnd w:id="285"/>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7.9.2 发包人要求承包人提前竣工，或承包人提出提前竣工的建议能够给发包人带来效益的，合同当事人可以在专用合同条款中约定提前竣工的奖励。</w:t>
      </w:r>
    </w:p>
    <w:p>
      <w:pPr>
        <w:pStyle w:val="8"/>
        <w:spacing w:before="120" w:after="120" w:line="360" w:lineRule="auto"/>
        <w:rPr>
          <w:rFonts w:ascii="宋体" w:hAnsi="宋体" w:cs="宋体"/>
          <w:b w:val="0"/>
          <w:color w:val="auto"/>
          <w:szCs w:val="21"/>
          <w:highlight w:val="none"/>
        </w:rPr>
      </w:pPr>
      <w:bookmarkStart w:id="286" w:name="_Toc231"/>
      <w:r>
        <w:rPr>
          <w:rFonts w:hint="eastAsia" w:ascii="宋体" w:hAnsi="宋体" w:cs="宋体"/>
          <w:b w:val="0"/>
          <w:color w:val="auto"/>
          <w:szCs w:val="21"/>
          <w:highlight w:val="none"/>
        </w:rPr>
        <w:t>8</w:t>
      </w:r>
      <w:bookmarkStart w:id="287" w:name="_Toc296503058"/>
      <w:bookmarkStart w:id="288" w:name="_Toc337558776"/>
      <w:bookmarkStart w:id="289" w:name="_Toc296346559"/>
      <w:r>
        <w:rPr>
          <w:rFonts w:hint="eastAsia" w:ascii="宋体" w:hAnsi="宋体" w:cs="宋体"/>
          <w:b w:val="0"/>
          <w:color w:val="auto"/>
          <w:szCs w:val="21"/>
          <w:highlight w:val="none"/>
        </w:rPr>
        <w:t>. 材料与设备</w:t>
      </w:r>
      <w:bookmarkEnd w:id="286"/>
    </w:p>
    <w:bookmarkEnd w:id="287"/>
    <w:bookmarkEnd w:id="288"/>
    <w:bookmarkEnd w:id="289"/>
    <w:p>
      <w:pPr>
        <w:pStyle w:val="9"/>
        <w:spacing w:before="120" w:after="120" w:line="360" w:lineRule="auto"/>
        <w:ind w:firstLine="420" w:firstLineChars="200"/>
        <w:rPr>
          <w:rFonts w:ascii="宋体" w:hAnsi="宋体" w:cs="宋体"/>
          <w:color w:val="auto"/>
          <w:szCs w:val="21"/>
          <w:highlight w:val="none"/>
        </w:rPr>
      </w:pPr>
      <w:bookmarkStart w:id="290" w:name="_Toc25329"/>
      <w:r>
        <w:rPr>
          <w:rFonts w:hint="eastAsia" w:ascii="宋体" w:hAnsi="宋体" w:cs="宋体"/>
          <w:color w:val="auto"/>
          <w:szCs w:val="21"/>
          <w:highlight w:val="none"/>
        </w:rPr>
        <w:t>8</w:t>
      </w:r>
      <w:bookmarkStart w:id="291" w:name="_Toc296346560"/>
      <w:bookmarkStart w:id="292" w:name="_Toc296503059"/>
      <w:bookmarkStart w:id="293" w:name="_Toc337558777"/>
      <w:bookmarkStart w:id="294" w:name="_Toc468936960"/>
      <w:r>
        <w:rPr>
          <w:rFonts w:hint="eastAsia" w:ascii="宋体" w:hAnsi="宋体" w:cs="宋体"/>
          <w:color w:val="auto"/>
          <w:szCs w:val="21"/>
          <w:highlight w:val="none"/>
        </w:rPr>
        <w:t>.1发包人供应材料与工程设备</w:t>
      </w:r>
      <w:bookmarkEnd w:id="290"/>
    </w:p>
    <w:bookmarkEnd w:id="291"/>
    <w:bookmarkEnd w:id="292"/>
    <w:bookmarkEnd w:id="293"/>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9"/>
        <w:spacing w:before="120" w:after="120" w:line="360" w:lineRule="auto"/>
        <w:ind w:firstLine="420" w:firstLineChars="200"/>
        <w:rPr>
          <w:rFonts w:ascii="宋体" w:hAnsi="宋体" w:cs="宋体"/>
          <w:color w:val="auto"/>
          <w:szCs w:val="21"/>
          <w:highlight w:val="none"/>
        </w:rPr>
      </w:pPr>
      <w:bookmarkStart w:id="295" w:name="_Toc21751"/>
      <w:r>
        <w:rPr>
          <w:rFonts w:hint="eastAsia" w:ascii="宋体" w:hAnsi="宋体" w:cs="宋体"/>
          <w:color w:val="auto"/>
          <w:szCs w:val="21"/>
          <w:highlight w:val="none"/>
        </w:rPr>
        <w:t>8</w:t>
      </w:r>
      <w:bookmarkStart w:id="296" w:name="_Toc337558778"/>
      <w:bookmarkStart w:id="297" w:name="_Toc296503060"/>
      <w:bookmarkStart w:id="298" w:name="_Toc296346561"/>
      <w:r>
        <w:rPr>
          <w:rFonts w:hint="eastAsia" w:ascii="宋体" w:hAnsi="宋体" w:cs="宋体"/>
          <w:color w:val="auto"/>
          <w:szCs w:val="21"/>
          <w:highlight w:val="none"/>
        </w:rPr>
        <w:t>.2承包人采购材料与工程设备</w:t>
      </w:r>
      <w:bookmarkEnd w:id="295"/>
    </w:p>
    <w:bookmarkEnd w:id="296"/>
    <w:bookmarkEnd w:id="297"/>
    <w:bookmarkEnd w:id="298"/>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9"/>
        <w:spacing w:before="120" w:after="120" w:line="360" w:lineRule="auto"/>
        <w:ind w:firstLine="420" w:firstLineChars="200"/>
        <w:rPr>
          <w:rFonts w:ascii="宋体" w:hAnsi="宋体" w:cs="宋体"/>
          <w:color w:val="auto"/>
          <w:szCs w:val="21"/>
          <w:highlight w:val="none"/>
        </w:rPr>
      </w:pPr>
      <w:bookmarkStart w:id="299" w:name="_Toc8681"/>
      <w:r>
        <w:rPr>
          <w:rFonts w:hint="eastAsia" w:ascii="宋体" w:hAnsi="宋体" w:cs="宋体"/>
          <w:color w:val="auto"/>
          <w:szCs w:val="21"/>
          <w:highlight w:val="none"/>
        </w:rPr>
        <w:t>8</w:t>
      </w:r>
      <w:bookmarkStart w:id="300" w:name="_Toc296346562"/>
      <w:bookmarkStart w:id="301" w:name="_Toc296503061"/>
      <w:bookmarkStart w:id="302" w:name="_Toc337558779"/>
      <w:r>
        <w:rPr>
          <w:rFonts w:hint="eastAsia" w:ascii="宋体" w:hAnsi="宋体" w:cs="宋体"/>
          <w:color w:val="auto"/>
          <w:szCs w:val="21"/>
          <w:highlight w:val="none"/>
        </w:rPr>
        <w:t>.3材料与工程设备的接收与拒收</w:t>
      </w:r>
      <w:bookmarkEnd w:id="299"/>
    </w:p>
    <w:bookmarkEnd w:id="300"/>
    <w:bookmarkEnd w:id="301"/>
    <w:bookmarkEnd w:id="302"/>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s="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303"/>
    <w:p>
      <w:pPr>
        <w:autoSpaceDE w:val="0"/>
        <w:autoSpaceDN w:val="0"/>
        <w:adjustRightInd w:val="0"/>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9"/>
        <w:spacing w:before="120" w:after="120" w:line="360" w:lineRule="auto"/>
        <w:ind w:firstLine="420" w:firstLineChars="200"/>
        <w:rPr>
          <w:rFonts w:ascii="宋体" w:hAnsi="宋体" w:cs="宋体"/>
          <w:color w:val="auto"/>
          <w:szCs w:val="21"/>
          <w:highlight w:val="none"/>
        </w:rPr>
      </w:pPr>
      <w:bookmarkStart w:id="304" w:name="_Toc20406"/>
      <w:r>
        <w:rPr>
          <w:rFonts w:hint="eastAsia" w:ascii="宋体" w:hAnsi="宋体" w:cs="宋体"/>
          <w:color w:val="auto"/>
          <w:szCs w:val="21"/>
          <w:highlight w:val="none"/>
        </w:rPr>
        <w:t>8</w:t>
      </w:r>
      <w:bookmarkStart w:id="305" w:name="_Toc296503062"/>
      <w:bookmarkStart w:id="306" w:name="_Toc337558780"/>
      <w:bookmarkStart w:id="307" w:name="_Toc296346563"/>
      <w:r>
        <w:rPr>
          <w:rFonts w:hint="eastAsia" w:ascii="宋体" w:hAnsi="宋体" w:cs="宋体"/>
          <w:color w:val="auto"/>
          <w:szCs w:val="21"/>
          <w:highlight w:val="none"/>
        </w:rPr>
        <w:t>.4材料与工程设备的保管与使用</w:t>
      </w:r>
      <w:bookmarkEnd w:id="304"/>
    </w:p>
    <w:bookmarkEnd w:id="305"/>
    <w:bookmarkEnd w:id="306"/>
    <w:bookmarkEnd w:id="30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8.4.1 发包人供应</w:t>
      </w:r>
      <w:r>
        <w:rPr>
          <w:rFonts w:hint="eastAsia" w:ascii="宋体" w:hAnsi="宋体" w:cs="宋体"/>
          <w:color w:val="auto"/>
          <w:szCs w:val="21"/>
          <w:highlight w:val="none"/>
        </w:rPr>
        <w:t>材料与</w:t>
      </w:r>
      <w:r>
        <w:rPr>
          <w:rFonts w:hint="eastAsia" w:ascii="宋体" w:hAnsi="宋体" w:cs="宋体"/>
          <w:color w:val="auto"/>
          <w:kern w:val="0"/>
          <w:szCs w:val="21"/>
          <w:highlight w:val="none"/>
        </w:rPr>
        <w:t>工程</w:t>
      </w:r>
      <w:r>
        <w:rPr>
          <w:rFonts w:hint="eastAsia" w:ascii="宋体" w:hAnsi="宋体" w:cs="宋体"/>
          <w:color w:val="auto"/>
          <w:szCs w:val="21"/>
          <w:highlight w:val="none"/>
        </w:rPr>
        <w:t>设备的保管与使用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发包人供应的材料和工程设备使用前，由承包人负责检验，检验费用由发包人承担，不合格的不得使用。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8.4.2 承包人采购</w:t>
      </w:r>
      <w:r>
        <w:rPr>
          <w:rFonts w:hint="eastAsia" w:ascii="宋体" w:hAnsi="宋体" w:cs="宋体"/>
          <w:color w:val="auto"/>
          <w:szCs w:val="21"/>
          <w:highlight w:val="none"/>
        </w:rPr>
        <w:t>材料与</w:t>
      </w:r>
      <w:r>
        <w:rPr>
          <w:rFonts w:hint="eastAsia" w:ascii="宋体" w:hAnsi="宋体" w:cs="宋体"/>
          <w:color w:val="auto"/>
          <w:kern w:val="0"/>
          <w:szCs w:val="21"/>
          <w:highlight w:val="none"/>
        </w:rPr>
        <w:t>工程</w:t>
      </w:r>
      <w:r>
        <w:rPr>
          <w:rFonts w:hint="eastAsia" w:ascii="宋体" w:hAnsi="宋体" w:cs="宋体"/>
          <w:color w:val="auto"/>
          <w:szCs w:val="21"/>
          <w:highlight w:val="none"/>
        </w:rPr>
        <w:t>设备的保管与使用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9"/>
        <w:spacing w:before="120" w:after="120" w:line="360" w:lineRule="auto"/>
        <w:ind w:firstLine="420" w:firstLineChars="200"/>
        <w:rPr>
          <w:rFonts w:ascii="宋体" w:hAnsi="宋体" w:cs="宋体"/>
          <w:color w:val="auto"/>
          <w:szCs w:val="21"/>
          <w:highlight w:val="none"/>
        </w:rPr>
      </w:pPr>
      <w:bookmarkStart w:id="308" w:name="_Toc20303"/>
      <w:r>
        <w:rPr>
          <w:rFonts w:hint="eastAsia" w:ascii="宋体" w:hAnsi="宋体" w:cs="宋体"/>
          <w:color w:val="auto"/>
          <w:szCs w:val="21"/>
          <w:highlight w:val="none"/>
        </w:rPr>
        <w:t>8.5禁止使用不合格的材料和工程设备</w:t>
      </w:r>
      <w:bookmarkEnd w:id="308"/>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pPr>
        <w:pStyle w:val="9"/>
        <w:spacing w:before="120" w:after="120" w:line="360" w:lineRule="auto"/>
        <w:ind w:firstLine="420" w:firstLineChars="200"/>
        <w:rPr>
          <w:rFonts w:ascii="宋体" w:hAnsi="宋体" w:cs="宋体"/>
          <w:color w:val="auto"/>
          <w:szCs w:val="21"/>
          <w:highlight w:val="none"/>
        </w:rPr>
      </w:pPr>
      <w:bookmarkStart w:id="309" w:name="_Toc8369"/>
      <w:r>
        <w:rPr>
          <w:rFonts w:hint="eastAsia" w:ascii="宋体" w:hAnsi="宋体" w:cs="宋体"/>
          <w:color w:val="auto"/>
          <w:szCs w:val="21"/>
          <w:highlight w:val="none"/>
        </w:rPr>
        <w:t>8.6 样品</w:t>
      </w:r>
      <w:bookmarkEnd w:id="309"/>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8.6.2 样品的保管</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经批准的样品应由监理人负责封存于现场，承包人应在现场为保存样品提供适当和固定的场所并保持适当和良好的存储环境条件。</w:t>
      </w:r>
    </w:p>
    <w:p>
      <w:pPr>
        <w:pStyle w:val="9"/>
        <w:spacing w:before="120" w:after="120" w:line="360" w:lineRule="auto"/>
        <w:ind w:firstLine="420" w:firstLineChars="200"/>
        <w:rPr>
          <w:rFonts w:ascii="宋体" w:hAnsi="宋体" w:cs="宋体"/>
          <w:color w:val="auto"/>
          <w:szCs w:val="21"/>
          <w:highlight w:val="none"/>
        </w:rPr>
      </w:pPr>
      <w:bookmarkStart w:id="310" w:name="_Toc14965"/>
      <w:r>
        <w:rPr>
          <w:rFonts w:hint="eastAsia" w:ascii="宋体" w:hAnsi="宋体" w:cs="宋体"/>
          <w:color w:val="auto"/>
          <w:szCs w:val="21"/>
          <w:highlight w:val="none"/>
        </w:rPr>
        <w:t>8.7材料与工程设备的替代</w:t>
      </w:r>
      <w:bookmarkEnd w:id="310"/>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8.7.1 出现下列情况需要使用替代材料和工程设备的，承包人应按照第8.7.2项约定的程序执行：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（1）基准日期后生效的法律规定禁止使用的；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（2）发包人要求使用替代品的；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（3）因其他原因必须使用替代品的。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8.7.2 承包人应在使用替代材料和工程设备28天前书面通知监理人，并附下列文件：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（1）被替代的材料和工程设备的名称、数量、规格、型号、品牌、性能、价格及其他相关资料；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（2）替代品的名称、数量、规格、型号、品牌、性能、价格及其他相关资料；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（3）替代品与被替代产品之间的差异以及使用替代品可能对工程产生的影响；</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（4）替代品与被替代产品的价格差异；</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（5）使用替代品的理由和原因说明；</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（6）监理人要求的其他文件。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9"/>
        <w:spacing w:before="120" w:after="120" w:line="360" w:lineRule="auto"/>
        <w:ind w:firstLine="420" w:firstLineChars="200"/>
        <w:rPr>
          <w:rFonts w:ascii="宋体" w:hAnsi="宋体" w:cs="宋体"/>
          <w:color w:val="auto"/>
          <w:szCs w:val="21"/>
          <w:highlight w:val="none"/>
        </w:rPr>
      </w:pPr>
      <w:bookmarkStart w:id="311" w:name="_Toc2076"/>
      <w:r>
        <w:rPr>
          <w:rFonts w:hint="eastAsia" w:ascii="宋体" w:hAnsi="宋体" w:cs="宋体"/>
          <w:color w:val="auto"/>
          <w:szCs w:val="21"/>
          <w:highlight w:val="none"/>
        </w:rPr>
        <w:t>8.8施工设备和临时设施</w:t>
      </w:r>
      <w:bookmarkEnd w:id="311"/>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8.8.1 承包人提供的施工设备和临时设施</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8.8.2发包人提供的施工设备和临时设施</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发包人提供的施工设备或临时设施在专用合同条款中约定。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8.8.3要求承包人增加或更换施工设备</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9"/>
        <w:spacing w:before="120" w:after="120" w:line="360" w:lineRule="auto"/>
        <w:ind w:firstLine="420" w:firstLineChars="200"/>
        <w:rPr>
          <w:rFonts w:ascii="宋体" w:hAnsi="宋体" w:cs="宋体"/>
          <w:color w:val="auto"/>
          <w:szCs w:val="21"/>
          <w:highlight w:val="none"/>
        </w:rPr>
      </w:pPr>
      <w:bookmarkStart w:id="312" w:name="_Toc16445"/>
      <w:r>
        <w:rPr>
          <w:rFonts w:hint="eastAsia" w:ascii="宋体" w:hAnsi="宋体" w:cs="宋体"/>
          <w:color w:val="auto"/>
          <w:szCs w:val="21"/>
          <w:highlight w:val="none"/>
        </w:rPr>
        <w:t>8</w:t>
      </w:r>
      <w:bookmarkStart w:id="313" w:name="_Toc296503063"/>
      <w:bookmarkStart w:id="314" w:name="_Toc296346564"/>
      <w:bookmarkStart w:id="315" w:name="_Toc337558781"/>
      <w:r>
        <w:rPr>
          <w:rFonts w:hint="eastAsia" w:ascii="宋体" w:hAnsi="宋体" w:cs="宋体"/>
          <w:color w:val="auto"/>
          <w:szCs w:val="21"/>
          <w:highlight w:val="none"/>
        </w:rPr>
        <w:t>.9材料与设备专用要求</w:t>
      </w:r>
      <w:bookmarkEnd w:id="312"/>
    </w:p>
    <w:bookmarkEnd w:id="313"/>
    <w:bookmarkEnd w:id="314"/>
    <w:bookmarkEnd w:id="315"/>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color w:val="auto"/>
          <w:kern w:val="0"/>
          <w:szCs w:val="21"/>
          <w:highlight w:val="none"/>
        </w:rPr>
        <w:t>经发包人批准，承包人可以根据施工进度计划撤走闲置的施工设备和其他物品。</w:t>
      </w:r>
    </w:p>
    <w:p>
      <w:pPr>
        <w:pStyle w:val="8"/>
        <w:spacing w:before="120" w:after="120" w:line="360" w:lineRule="auto"/>
        <w:rPr>
          <w:rFonts w:ascii="宋体" w:hAnsi="宋体" w:cs="宋体"/>
          <w:b w:val="0"/>
          <w:color w:val="auto"/>
          <w:szCs w:val="21"/>
          <w:highlight w:val="none"/>
        </w:rPr>
      </w:pPr>
      <w:bookmarkStart w:id="316" w:name="_Toc7885"/>
      <w:r>
        <w:rPr>
          <w:rFonts w:hint="eastAsia" w:ascii="宋体" w:hAnsi="宋体" w:cs="宋体"/>
          <w:b w:val="0"/>
          <w:color w:val="auto"/>
          <w:szCs w:val="21"/>
          <w:highlight w:val="none"/>
        </w:rPr>
        <w:t>9</w:t>
      </w:r>
      <w:bookmarkStart w:id="317" w:name="_Toc337558782"/>
      <w:bookmarkStart w:id="318" w:name="_Toc296503083"/>
      <w:bookmarkStart w:id="319" w:name="_Toc296346584"/>
      <w:r>
        <w:rPr>
          <w:rFonts w:hint="eastAsia" w:ascii="宋体" w:hAnsi="宋体" w:cs="宋体"/>
          <w:b w:val="0"/>
          <w:color w:val="auto"/>
          <w:szCs w:val="21"/>
          <w:highlight w:val="none"/>
        </w:rPr>
        <w:t>. 试验与检验</w:t>
      </w:r>
      <w:bookmarkEnd w:id="316"/>
    </w:p>
    <w:bookmarkEnd w:id="317"/>
    <w:p>
      <w:pPr>
        <w:pStyle w:val="9"/>
        <w:spacing w:before="120" w:after="120" w:line="360" w:lineRule="auto"/>
        <w:ind w:firstLine="420" w:firstLineChars="200"/>
        <w:rPr>
          <w:rFonts w:ascii="宋体" w:hAnsi="宋体" w:cs="宋体"/>
          <w:color w:val="auto"/>
          <w:szCs w:val="21"/>
          <w:highlight w:val="none"/>
        </w:rPr>
      </w:pPr>
      <w:bookmarkStart w:id="320" w:name="_Toc28599"/>
      <w:r>
        <w:rPr>
          <w:rFonts w:hint="eastAsia" w:ascii="宋体" w:hAnsi="宋体" w:cs="宋体"/>
          <w:color w:val="auto"/>
          <w:szCs w:val="21"/>
          <w:highlight w:val="none"/>
        </w:rPr>
        <w:t>9</w:t>
      </w:r>
      <w:bookmarkStart w:id="321" w:name="_Toc337558783"/>
      <w:r>
        <w:rPr>
          <w:rFonts w:hint="eastAsia" w:ascii="宋体" w:hAnsi="宋体" w:cs="宋体"/>
          <w:color w:val="auto"/>
          <w:szCs w:val="21"/>
          <w:highlight w:val="none"/>
        </w:rPr>
        <w:t>.1试验设备与试验人员</w:t>
      </w:r>
      <w:bookmarkEnd w:id="320"/>
    </w:p>
    <w:bookmarkEnd w:id="321"/>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9.1.2 承包人应按专用合同条款的约定提供试验设备、取样装置、试验场所和试验条件，并向监理人提交相应进场计划表。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pPr>
        <w:pStyle w:val="9"/>
        <w:spacing w:before="120" w:after="120" w:line="360" w:lineRule="auto"/>
        <w:ind w:firstLine="420" w:firstLineChars="200"/>
        <w:rPr>
          <w:rFonts w:ascii="宋体" w:hAnsi="宋体" w:cs="宋体"/>
          <w:color w:val="auto"/>
          <w:szCs w:val="21"/>
          <w:highlight w:val="none"/>
        </w:rPr>
      </w:pPr>
      <w:bookmarkStart w:id="322" w:name="_Toc29398"/>
      <w:r>
        <w:rPr>
          <w:rFonts w:hint="eastAsia" w:ascii="宋体" w:hAnsi="宋体" w:cs="宋体"/>
          <w:color w:val="auto"/>
          <w:szCs w:val="21"/>
          <w:highlight w:val="none"/>
        </w:rPr>
        <w:t>9</w:t>
      </w:r>
      <w:bookmarkStart w:id="323" w:name="_Toc337558784"/>
      <w:r>
        <w:rPr>
          <w:rFonts w:hint="eastAsia" w:ascii="宋体" w:hAnsi="宋体" w:cs="宋体"/>
          <w:color w:val="auto"/>
          <w:szCs w:val="21"/>
          <w:highlight w:val="none"/>
        </w:rPr>
        <w:t>.2取样</w:t>
      </w:r>
      <w:bookmarkEnd w:id="322"/>
    </w:p>
    <w:bookmarkEnd w:id="323"/>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试验属于自检性质的，承包人可以单独取样。试验属于监理人抽检性质的，可由监理人取样，也可由承包人的试验人员在监理人的监督下取样。</w:t>
      </w:r>
    </w:p>
    <w:p>
      <w:pPr>
        <w:pStyle w:val="9"/>
        <w:spacing w:before="120" w:after="120" w:line="360" w:lineRule="auto"/>
        <w:ind w:firstLine="420" w:firstLineChars="200"/>
        <w:rPr>
          <w:rFonts w:ascii="宋体" w:hAnsi="宋体" w:cs="宋体"/>
          <w:color w:val="auto"/>
          <w:szCs w:val="21"/>
          <w:highlight w:val="none"/>
        </w:rPr>
      </w:pPr>
      <w:bookmarkStart w:id="324" w:name="_Toc5326"/>
      <w:r>
        <w:rPr>
          <w:rFonts w:hint="eastAsia" w:ascii="宋体" w:hAnsi="宋体" w:cs="宋体"/>
          <w:color w:val="auto"/>
          <w:szCs w:val="21"/>
          <w:highlight w:val="none"/>
        </w:rPr>
        <w:t>9</w:t>
      </w:r>
      <w:bookmarkStart w:id="325" w:name="_Toc337558785"/>
      <w:r>
        <w:rPr>
          <w:rFonts w:hint="eastAsia" w:ascii="宋体" w:hAnsi="宋体" w:cs="宋体"/>
          <w:color w:val="auto"/>
          <w:szCs w:val="21"/>
          <w:highlight w:val="none"/>
        </w:rPr>
        <w:t>.3材料、工程设备和工程的试验和检验</w:t>
      </w:r>
      <w:bookmarkEnd w:id="324"/>
    </w:p>
    <w:bookmarkEnd w:id="325"/>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9"/>
        <w:spacing w:before="120" w:after="120" w:line="360" w:lineRule="auto"/>
        <w:ind w:firstLine="420" w:firstLineChars="200"/>
        <w:rPr>
          <w:rFonts w:ascii="宋体" w:hAnsi="宋体" w:cs="宋体"/>
          <w:color w:val="auto"/>
          <w:szCs w:val="21"/>
          <w:highlight w:val="none"/>
        </w:rPr>
      </w:pPr>
      <w:bookmarkStart w:id="326" w:name="_Toc17945"/>
      <w:r>
        <w:rPr>
          <w:rFonts w:hint="eastAsia" w:ascii="宋体" w:hAnsi="宋体" w:cs="宋体"/>
          <w:color w:val="auto"/>
          <w:szCs w:val="21"/>
          <w:highlight w:val="none"/>
        </w:rPr>
        <w:t>9</w:t>
      </w:r>
      <w:bookmarkStart w:id="327" w:name="_Toc337558786"/>
      <w:r>
        <w:rPr>
          <w:rFonts w:hint="eastAsia" w:ascii="宋体" w:hAnsi="宋体" w:cs="宋体"/>
          <w:color w:val="auto"/>
          <w:szCs w:val="21"/>
          <w:highlight w:val="none"/>
        </w:rPr>
        <w:t>.4现场工艺试验</w:t>
      </w:r>
      <w:bookmarkEnd w:id="326"/>
    </w:p>
    <w:bookmarkEnd w:id="327"/>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8"/>
        <w:spacing w:before="120" w:after="120" w:line="360" w:lineRule="auto"/>
        <w:rPr>
          <w:rFonts w:ascii="宋体" w:hAnsi="宋体" w:cs="宋体"/>
          <w:b w:val="0"/>
          <w:color w:val="auto"/>
          <w:szCs w:val="21"/>
          <w:highlight w:val="none"/>
        </w:rPr>
      </w:pPr>
      <w:bookmarkStart w:id="328" w:name="_Toc24851"/>
      <w:r>
        <w:rPr>
          <w:rFonts w:hint="eastAsia" w:ascii="宋体" w:hAnsi="宋体" w:cs="宋体"/>
          <w:b w:val="0"/>
          <w:color w:val="auto"/>
          <w:szCs w:val="21"/>
          <w:highlight w:val="none"/>
        </w:rPr>
        <w:t>1</w:t>
      </w:r>
      <w:bookmarkStart w:id="329" w:name="_Toc337558787"/>
      <w:r>
        <w:rPr>
          <w:rFonts w:hint="eastAsia" w:ascii="宋体" w:hAnsi="宋体" w:cs="宋体"/>
          <w:b w:val="0"/>
          <w:color w:val="auto"/>
          <w:szCs w:val="21"/>
          <w:highlight w:val="none"/>
        </w:rPr>
        <w:t>0. 变更</w:t>
      </w:r>
      <w:bookmarkEnd w:id="318"/>
      <w:bookmarkEnd w:id="319"/>
      <w:bookmarkEnd w:id="328"/>
    </w:p>
    <w:bookmarkEnd w:id="329"/>
    <w:p>
      <w:pPr>
        <w:pStyle w:val="9"/>
        <w:spacing w:before="120" w:after="120" w:line="360" w:lineRule="auto"/>
        <w:ind w:firstLine="420" w:firstLineChars="200"/>
        <w:rPr>
          <w:rFonts w:ascii="宋体" w:hAnsi="宋体" w:cs="宋体"/>
          <w:color w:val="auto"/>
          <w:szCs w:val="21"/>
          <w:highlight w:val="none"/>
        </w:rPr>
      </w:pPr>
      <w:bookmarkStart w:id="330" w:name="_Toc26185"/>
      <w:r>
        <w:rPr>
          <w:rFonts w:hint="eastAsia" w:ascii="宋体" w:hAnsi="宋体" w:cs="宋体"/>
          <w:color w:val="auto"/>
          <w:szCs w:val="21"/>
          <w:highlight w:val="none"/>
        </w:rPr>
        <w:t>1</w:t>
      </w:r>
      <w:bookmarkStart w:id="331" w:name="_Toc296503084"/>
      <w:bookmarkStart w:id="332" w:name="_Toc337558788"/>
      <w:bookmarkStart w:id="333" w:name="_Toc296346585"/>
      <w:r>
        <w:rPr>
          <w:rFonts w:hint="eastAsia" w:ascii="宋体" w:hAnsi="宋体" w:cs="宋体"/>
          <w:color w:val="auto"/>
          <w:szCs w:val="21"/>
          <w:highlight w:val="none"/>
        </w:rPr>
        <w:t>0.1变更的范围</w:t>
      </w:r>
      <w:bookmarkEnd w:id="330"/>
    </w:p>
    <w:bookmarkEnd w:id="331"/>
    <w:bookmarkEnd w:id="332"/>
    <w:bookmarkEnd w:id="333"/>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除专用合同条款另有约定外，合同履行过程中发生以下情形的，应按照本条约定进行变更：</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（1）增加或减少合同中任何工作，或追加额外的工作；</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（2）取消合同中任何工作，但转由他人实施的工作除外；</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（3）改变合同中任何工作的质量标准或其他特性；</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（4）改变工程的基线、标高、位置和尺寸；</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（5）改变工程的时间安排或实施顺序。</w:t>
      </w:r>
    </w:p>
    <w:p>
      <w:pPr>
        <w:pStyle w:val="9"/>
        <w:spacing w:before="120" w:after="120" w:line="360" w:lineRule="auto"/>
        <w:ind w:firstLine="420" w:firstLineChars="200"/>
        <w:rPr>
          <w:rFonts w:ascii="宋体" w:hAnsi="宋体" w:cs="宋体"/>
          <w:color w:val="auto"/>
          <w:szCs w:val="21"/>
          <w:highlight w:val="none"/>
        </w:rPr>
      </w:pPr>
      <w:bookmarkStart w:id="334" w:name="_Toc27687"/>
      <w:r>
        <w:rPr>
          <w:rFonts w:hint="eastAsia" w:ascii="宋体" w:hAnsi="宋体" w:cs="宋体"/>
          <w:color w:val="auto"/>
          <w:szCs w:val="21"/>
          <w:highlight w:val="none"/>
        </w:rPr>
        <w:t>1</w:t>
      </w:r>
      <w:bookmarkStart w:id="335" w:name="_Toc296346586"/>
      <w:bookmarkStart w:id="336" w:name="_Toc296503085"/>
      <w:bookmarkStart w:id="337" w:name="_Toc337558789"/>
      <w:r>
        <w:rPr>
          <w:rFonts w:hint="eastAsia" w:ascii="宋体" w:hAnsi="宋体" w:cs="宋体"/>
          <w:color w:val="auto"/>
          <w:szCs w:val="21"/>
          <w:highlight w:val="none"/>
        </w:rPr>
        <w:t>0.2变更权</w:t>
      </w:r>
      <w:bookmarkEnd w:id="334"/>
    </w:p>
    <w:bookmarkEnd w:id="335"/>
    <w:bookmarkEnd w:id="336"/>
    <w:bookmarkEnd w:id="33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涉及设计变更的，应由设计人提供变更后的图纸和说明。如变更超过原设计标准或批准的建设规模时，发包人应及时办理规划、设计变更等审批手续。</w:t>
      </w:r>
    </w:p>
    <w:p>
      <w:pPr>
        <w:pStyle w:val="9"/>
        <w:spacing w:before="120" w:after="120" w:line="360" w:lineRule="auto"/>
        <w:ind w:firstLine="420" w:firstLineChars="200"/>
        <w:rPr>
          <w:rFonts w:ascii="宋体" w:hAnsi="宋体" w:cs="宋体"/>
          <w:color w:val="auto"/>
          <w:szCs w:val="21"/>
          <w:highlight w:val="none"/>
        </w:rPr>
      </w:pPr>
      <w:bookmarkStart w:id="338" w:name="_Toc4667"/>
      <w:r>
        <w:rPr>
          <w:rFonts w:hint="eastAsia" w:ascii="宋体" w:hAnsi="宋体" w:cs="宋体"/>
          <w:color w:val="auto"/>
          <w:szCs w:val="21"/>
          <w:highlight w:val="none"/>
        </w:rPr>
        <w:t>1</w:t>
      </w:r>
      <w:bookmarkStart w:id="339" w:name="_Toc296503086"/>
      <w:bookmarkStart w:id="340" w:name="_Toc296346587"/>
      <w:bookmarkStart w:id="341" w:name="_Toc337558790"/>
      <w:r>
        <w:rPr>
          <w:rFonts w:hint="eastAsia" w:ascii="宋体" w:hAnsi="宋体" w:cs="宋体"/>
          <w:color w:val="auto"/>
          <w:szCs w:val="21"/>
          <w:highlight w:val="none"/>
        </w:rPr>
        <w:t>0.3变更程序</w:t>
      </w:r>
      <w:bookmarkEnd w:id="338"/>
    </w:p>
    <w:bookmarkEnd w:id="339"/>
    <w:bookmarkEnd w:id="340"/>
    <w:bookmarkEnd w:id="341"/>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10</w:t>
      </w:r>
      <w:r>
        <w:rPr>
          <w:rFonts w:hint="eastAsia" w:ascii="宋体" w:hAnsi="宋体" w:cs="宋体"/>
          <w:color w:val="auto"/>
          <w:kern w:val="0"/>
          <w:szCs w:val="21"/>
          <w:highlight w:val="none"/>
        </w:rPr>
        <w:t>.3.1 发包人提出变更</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发包人提出变更的，应通过监理人向承包人发出变更指示，变更指示应说明计划变更的工程范围和变更的内容。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10</w:t>
      </w:r>
      <w:r>
        <w:rPr>
          <w:rFonts w:hint="eastAsia" w:ascii="宋体" w:hAnsi="宋体" w:cs="宋体"/>
          <w:color w:val="auto"/>
          <w:kern w:val="0"/>
          <w:szCs w:val="21"/>
          <w:highlight w:val="none"/>
        </w:rPr>
        <w:t>.3.2 监理人提出变更建议</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10.3.3 变更执行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9"/>
        <w:spacing w:before="120" w:after="120" w:line="360" w:lineRule="auto"/>
        <w:ind w:firstLine="420" w:firstLineChars="200"/>
        <w:rPr>
          <w:rFonts w:ascii="宋体" w:hAnsi="宋体" w:cs="宋体"/>
          <w:color w:val="auto"/>
          <w:szCs w:val="21"/>
          <w:highlight w:val="none"/>
        </w:rPr>
      </w:pPr>
      <w:bookmarkStart w:id="342" w:name="_Toc20579"/>
      <w:r>
        <w:rPr>
          <w:rFonts w:hint="eastAsia" w:ascii="宋体" w:hAnsi="宋体" w:cs="宋体"/>
          <w:color w:val="auto"/>
          <w:szCs w:val="21"/>
          <w:highlight w:val="none"/>
        </w:rPr>
        <w:t>1</w:t>
      </w:r>
      <w:bookmarkStart w:id="343" w:name="_Toc337558791"/>
      <w:bookmarkStart w:id="344" w:name="_Toc296346588"/>
      <w:bookmarkStart w:id="345" w:name="_Toc296503087"/>
      <w:r>
        <w:rPr>
          <w:rFonts w:hint="eastAsia" w:ascii="宋体" w:hAnsi="宋体" w:cs="宋体"/>
          <w:color w:val="auto"/>
          <w:szCs w:val="21"/>
          <w:highlight w:val="none"/>
        </w:rPr>
        <w:t>0.4变更估价</w:t>
      </w:r>
      <w:bookmarkEnd w:id="342"/>
    </w:p>
    <w:bookmarkEnd w:id="343"/>
    <w:bookmarkEnd w:id="344"/>
    <w:bookmarkEnd w:id="345"/>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10.4.1 变更估价原则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除专用合同条款另有约定外，变更估价按照本款约定处理：</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（1）已标价工程量清单或预算书有相同项目的，按照相同项目单价认定；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（2）已标价工程量清单或预算书中无相同项目，但有类似项目的，参照类似项目的单价认定；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10.4.2 变更估价程序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因变更引起的价格调整应计入最近一期的进度款中支付。</w:t>
      </w:r>
    </w:p>
    <w:p>
      <w:pPr>
        <w:pStyle w:val="9"/>
        <w:spacing w:before="120" w:after="120" w:line="360" w:lineRule="auto"/>
        <w:ind w:firstLine="420" w:firstLineChars="200"/>
        <w:rPr>
          <w:rFonts w:ascii="宋体" w:hAnsi="宋体" w:cs="宋体"/>
          <w:color w:val="auto"/>
          <w:szCs w:val="21"/>
          <w:highlight w:val="none"/>
        </w:rPr>
      </w:pPr>
      <w:bookmarkStart w:id="346" w:name="_Toc15987"/>
      <w:r>
        <w:rPr>
          <w:rFonts w:hint="eastAsia" w:ascii="宋体" w:hAnsi="宋体" w:cs="宋体"/>
          <w:color w:val="auto"/>
          <w:szCs w:val="21"/>
          <w:highlight w:val="none"/>
        </w:rPr>
        <w:t>1</w:t>
      </w:r>
      <w:bookmarkStart w:id="347" w:name="_Toc337558792"/>
      <w:bookmarkStart w:id="348" w:name="_Toc296503094"/>
      <w:bookmarkStart w:id="349" w:name="_Toc296346595"/>
      <w:r>
        <w:rPr>
          <w:rFonts w:hint="eastAsia" w:ascii="宋体" w:hAnsi="宋体" w:cs="宋体"/>
          <w:color w:val="auto"/>
          <w:szCs w:val="21"/>
          <w:highlight w:val="none"/>
        </w:rPr>
        <w:t>0.5承包人的合理化建议</w:t>
      </w:r>
      <w:bookmarkEnd w:id="346"/>
    </w:p>
    <w:bookmarkEnd w:id="347"/>
    <w:bookmarkEnd w:id="348"/>
    <w:bookmarkEnd w:id="349"/>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合理化建议降低了合同价格或者提高了工程经济效益的，发包人可对承包人给予奖励，奖励的方法和金额在专用合同条款中约定。</w:t>
      </w:r>
    </w:p>
    <w:p>
      <w:pPr>
        <w:pStyle w:val="9"/>
        <w:spacing w:before="120" w:after="120" w:line="360" w:lineRule="auto"/>
        <w:ind w:firstLine="420" w:firstLineChars="200"/>
        <w:rPr>
          <w:rFonts w:ascii="宋体" w:hAnsi="宋体" w:cs="宋体"/>
          <w:color w:val="auto"/>
          <w:szCs w:val="21"/>
          <w:highlight w:val="none"/>
        </w:rPr>
      </w:pPr>
      <w:bookmarkStart w:id="350" w:name="_Toc3484"/>
      <w:r>
        <w:rPr>
          <w:rFonts w:hint="eastAsia" w:ascii="宋体" w:hAnsi="宋体" w:cs="宋体"/>
          <w:color w:val="auto"/>
          <w:szCs w:val="21"/>
          <w:highlight w:val="none"/>
        </w:rPr>
        <w:t>1</w:t>
      </w:r>
      <w:bookmarkStart w:id="351" w:name="_Toc337558793"/>
      <w:r>
        <w:rPr>
          <w:rFonts w:hint="eastAsia" w:ascii="宋体" w:hAnsi="宋体" w:cs="宋体"/>
          <w:color w:val="auto"/>
          <w:szCs w:val="21"/>
          <w:highlight w:val="none"/>
        </w:rPr>
        <w:t>0.6变更引起的工期调整</w:t>
      </w:r>
      <w:bookmarkEnd w:id="350"/>
      <w:bookmarkEnd w:id="351"/>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因变更引起工期变化的，合同当事人均可要求调整合同工期，由合同当事人按照第4.4款〔商定或确定〕并参考工程所在地的工期定额标准确定增减工期天数。</w:t>
      </w:r>
    </w:p>
    <w:p>
      <w:pPr>
        <w:pStyle w:val="9"/>
        <w:spacing w:before="120" w:after="120" w:line="360" w:lineRule="auto"/>
        <w:ind w:firstLine="420" w:firstLineChars="200"/>
        <w:rPr>
          <w:rFonts w:ascii="宋体" w:hAnsi="宋体" w:cs="宋体"/>
          <w:color w:val="auto"/>
          <w:szCs w:val="21"/>
          <w:highlight w:val="none"/>
        </w:rPr>
      </w:pPr>
      <w:bookmarkStart w:id="352" w:name="_Toc23367"/>
      <w:r>
        <w:rPr>
          <w:rFonts w:hint="eastAsia" w:ascii="宋体" w:hAnsi="宋体" w:cs="宋体"/>
          <w:color w:val="auto"/>
          <w:szCs w:val="21"/>
          <w:highlight w:val="none"/>
        </w:rPr>
        <w:t>10.7暂估价</w:t>
      </w:r>
      <w:bookmarkEnd w:id="352"/>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暂估价专业分包工程、服务、材料和工程设备的明细由合同当事人在专用合同条款中约定。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10.7.1</w:t>
      </w:r>
      <w:r>
        <w:rPr>
          <w:rFonts w:hint="eastAsia" w:ascii="宋体" w:hAnsi="宋体" w:cs="宋体"/>
          <w:color w:val="auto"/>
          <w:kern w:val="0"/>
          <w:szCs w:val="21"/>
          <w:highlight w:val="none"/>
        </w:rPr>
        <w:t xml:space="preserve"> 依法必须招标的暂估价项目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对于依法必须招标的暂估价项目，采取以下第1种方式确定。合同当事人也可以在专用合同条款中选择其他招标方式。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第1种方式：对于依法必须招标的暂估价项目，由承包人招标，对该暂估价项目的确认和批准按照以下约定执行：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10.7.2</w:t>
      </w:r>
      <w:r>
        <w:rPr>
          <w:rFonts w:hint="eastAsia" w:ascii="宋体" w:hAnsi="宋体" w:cs="宋体"/>
          <w:color w:val="auto"/>
          <w:kern w:val="0"/>
          <w:szCs w:val="21"/>
          <w:highlight w:val="none"/>
        </w:rPr>
        <w:t>不属于依法必须招标的暂估价项目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除专用合同条款另有约定外，对于不属于依法必须招标的暂估价项目，采取以下第1种方式确定：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第1种方式：对于不属于依法必须招标的暂估价项目，按本项约定确认和批准：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（2）发包人认为承包人确定的供应商、分包人无法满足工程质量或合同要求的，发包人可以要求承包人重新确定暂估价项目的供应商、分包人;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（3）承包人应当在签订暂估价合同后7天内，将暂估价合同副本报送发包人留存。</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第2种方式：承包人按照第10.7.1项〔依法必须招标的暂估价项目〕约定的第1种方式确定暂估价项目。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9"/>
        <w:spacing w:before="120" w:after="120" w:line="360" w:lineRule="auto"/>
        <w:ind w:firstLine="420" w:firstLineChars="200"/>
        <w:rPr>
          <w:rFonts w:ascii="宋体" w:hAnsi="宋体" w:cs="宋体"/>
          <w:color w:val="auto"/>
          <w:szCs w:val="21"/>
          <w:highlight w:val="none"/>
        </w:rPr>
      </w:pPr>
      <w:bookmarkStart w:id="353" w:name="_Toc27454"/>
      <w:r>
        <w:rPr>
          <w:rFonts w:hint="eastAsia" w:ascii="宋体" w:hAnsi="宋体" w:cs="宋体"/>
          <w:color w:val="auto"/>
          <w:szCs w:val="21"/>
          <w:highlight w:val="none"/>
        </w:rPr>
        <w:t>1</w:t>
      </w:r>
      <w:bookmarkStart w:id="354" w:name="_Toc337558794"/>
      <w:bookmarkStart w:id="355" w:name="_Toc296503090"/>
      <w:bookmarkStart w:id="356" w:name="_Toc296346591"/>
      <w:bookmarkStart w:id="357" w:name="_Toc322522561"/>
      <w:r>
        <w:rPr>
          <w:rFonts w:hint="eastAsia" w:ascii="宋体" w:hAnsi="宋体" w:cs="宋体"/>
          <w:color w:val="auto"/>
          <w:szCs w:val="21"/>
          <w:highlight w:val="none"/>
        </w:rPr>
        <w:t>0.8暂列金额</w:t>
      </w:r>
      <w:bookmarkEnd w:id="353"/>
    </w:p>
    <w:bookmarkEnd w:id="354"/>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暂列金额应按照发包人的要求使用，发包人的要求应通过监理人发出。合同当事人可以在专用合同条款中协商确定有关事项。</w:t>
      </w:r>
    </w:p>
    <w:bookmarkEnd w:id="355"/>
    <w:bookmarkEnd w:id="356"/>
    <w:bookmarkEnd w:id="357"/>
    <w:p>
      <w:pPr>
        <w:pStyle w:val="9"/>
        <w:spacing w:before="120" w:after="120" w:line="360" w:lineRule="auto"/>
        <w:ind w:firstLine="420" w:firstLineChars="200"/>
        <w:rPr>
          <w:rFonts w:ascii="宋体" w:hAnsi="宋体" w:cs="宋体"/>
          <w:color w:val="auto"/>
          <w:szCs w:val="21"/>
          <w:highlight w:val="none"/>
        </w:rPr>
      </w:pPr>
      <w:bookmarkStart w:id="358" w:name="_Toc4384"/>
      <w:r>
        <w:rPr>
          <w:rFonts w:hint="eastAsia" w:ascii="宋体" w:hAnsi="宋体" w:cs="宋体"/>
          <w:color w:val="auto"/>
          <w:szCs w:val="21"/>
          <w:highlight w:val="none"/>
        </w:rPr>
        <w:t>1</w:t>
      </w:r>
      <w:bookmarkStart w:id="359" w:name="_Toc337558796"/>
      <w:bookmarkStart w:id="360" w:name="_Toc296346592"/>
      <w:bookmarkStart w:id="361" w:name="_Toc296503091"/>
      <w:r>
        <w:rPr>
          <w:rFonts w:hint="eastAsia" w:ascii="宋体" w:hAnsi="宋体" w:cs="宋体"/>
          <w:color w:val="auto"/>
          <w:szCs w:val="21"/>
          <w:highlight w:val="none"/>
        </w:rPr>
        <w:t>0.9计日工</w:t>
      </w:r>
      <w:bookmarkEnd w:id="358"/>
      <w:bookmarkEnd w:id="359"/>
      <w:bookmarkEnd w:id="360"/>
      <w:bookmarkEnd w:id="361"/>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采用计日工计价的任何一项工作，承包人应在该项工作实施过程中，每天提交以下报表和有关凭证报送监理人审查：</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（1）工作名称、内容和数量；</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（2）投入该工作的所有人员的姓名、专业、工种、级别和耗用工时；</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（3）投入该工作的材料类别和数量；</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（4）投入该工作的施工设备型号、台数和耗用台时；</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（5）其他有关资料和凭证。</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xml:space="preserve"> 计日工由承包人汇总后，列入最近一期进度付款申请单，由监理人审查并经发包人批准后列入进度付款。</w:t>
      </w:r>
    </w:p>
    <w:p>
      <w:pPr>
        <w:pStyle w:val="8"/>
        <w:spacing w:before="120" w:after="120" w:line="360" w:lineRule="auto"/>
        <w:rPr>
          <w:rFonts w:ascii="宋体" w:hAnsi="宋体" w:cs="宋体"/>
          <w:b w:val="0"/>
          <w:color w:val="auto"/>
          <w:szCs w:val="21"/>
          <w:highlight w:val="none"/>
        </w:rPr>
      </w:pPr>
      <w:bookmarkStart w:id="362" w:name="_Toc7190"/>
      <w:r>
        <w:rPr>
          <w:rFonts w:hint="eastAsia" w:ascii="宋体" w:hAnsi="宋体" w:cs="宋体"/>
          <w:b w:val="0"/>
          <w:color w:val="auto"/>
          <w:szCs w:val="21"/>
          <w:highlight w:val="none"/>
        </w:rPr>
        <w:t>11. 价格调整</w:t>
      </w:r>
      <w:bookmarkEnd w:id="362"/>
    </w:p>
    <w:p>
      <w:pPr>
        <w:pStyle w:val="9"/>
        <w:spacing w:before="120" w:after="120" w:line="360" w:lineRule="auto"/>
        <w:ind w:firstLine="420" w:firstLineChars="200"/>
        <w:rPr>
          <w:rFonts w:ascii="宋体" w:hAnsi="宋体" w:cs="宋体"/>
          <w:color w:val="auto"/>
          <w:szCs w:val="21"/>
          <w:highlight w:val="none"/>
        </w:rPr>
      </w:pPr>
      <w:bookmarkStart w:id="363" w:name="_Toc19345"/>
      <w:bookmarkStart w:id="364" w:name="_Toc296503092"/>
      <w:bookmarkStart w:id="365" w:name="_Toc296346593"/>
      <w:bookmarkStart w:id="366" w:name="_Toc337558797"/>
      <w:r>
        <w:rPr>
          <w:rFonts w:hint="eastAsia" w:ascii="宋体" w:hAnsi="宋体" w:cs="宋体"/>
          <w:color w:val="auto"/>
          <w:szCs w:val="21"/>
          <w:highlight w:val="none"/>
        </w:rPr>
        <w:t>11.1市场价格波动引起的调整</w:t>
      </w:r>
      <w:bookmarkEnd w:id="363"/>
    </w:p>
    <w:bookmarkEnd w:id="364"/>
    <w:bookmarkEnd w:id="365"/>
    <w:bookmarkEnd w:id="366"/>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（1）价格调整公式</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position w:val="-30"/>
          <w:szCs w:val="21"/>
          <w:highlight w:val="none"/>
        </w:rPr>
        <w:object>
          <v:shape id="_x0000_i1025" o:spt="75" type="#_x0000_t75" style="height:44.35pt;width:360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tabs>
          <w:tab w:val="left" w:pos="0"/>
          <w:tab w:val="left" w:pos="360"/>
          <w:tab w:val="left" w:pos="540"/>
        </w:tabs>
        <w:spacing w:line="360" w:lineRule="auto"/>
        <w:ind w:firstLine="640"/>
        <w:rPr>
          <w:rFonts w:ascii="宋体" w:hAnsi="宋体" w:cs="宋体"/>
          <w:color w:val="auto"/>
          <w:szCs w:val="21"/>
          <w:highlight w:val="none"/>
        </w:rPr>
      </w:pPr>
      <w:r>
        <w:rPr>
          <w:rFonts w:hint="eastAsia" w:ascii="宋体" w:hAnsi="宋体" w:cs="宋体"/>
          <w:color w:val="auto"/>
          <w:szCs w:val="21"/>
          <w:highlight w:val="none"/>
        </w:rPr>
        <w:t>公式中：ΔP——需调整的价格差额；</w:t>
      </w:r>
    </w:p>
    <w:p>
      <w:pPr>
        <w:tabs>
          <w:tab w:val="left" w:pos="0"/>
          <w:tab w:val="left" w:pos="360"/>
          <w:tab w:val="left" w:pos="540"/>
        </w:tabs>
        <w:spacing w:line="360" w:lineRule="auto"/>
        <w:ind w:firstLine="1260" w:firstLineChars="600"/>
        <w:rPr>
          <w:rFonts w:ascii="宋体" w:hAnsi="宋体" w:cs="宋体"/>
          <w:color w:val="auto"/>
          <w:szCs w:val="21"/>
          <w:highlight w:val="none"/>
        </w:rPr>
      </w:pPr>
      <w:r>
        <w:rPr>
          <w:rFonts w:hint="eastAsia" w:ascii="宋体" w:hAnsi="宋体" w:cs="宋体"/>
          <w:color w:val="auto"/>
          <w:position w:val="-6"/>
          <w:szCs w:val="21"/>
          <w:highlight w:val="none"/>
        </w:rPr>
        <w:object>
          <v:shape id="_x0000_i1026" o:spt="75" type="#_x0000_t75" style="height:19.25pt;width:19.2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ascii="宋体" w:hAnsi="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A——定值权重（即不调部分的权重）；</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position w:val="-10"/>
          <w:szCs w:val="21"/>
          <w:highlight w:val="none"/>
        </w:rPr>
        <w:object>
          <v:shape id="_x0000_i1027" o:spt="75" type="#_x0000_t75" style="height:20.95pt;width:101.3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ascii="宋体" w:hAnsi="宋体" w:cs="宋体"/>
          <w:color w:val="auto"/>
          <w:szCs w:val="21"/>
          <w:highlight w:val="none"/>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position w:val="-10"/>
          <w:szCs w:val="21"/>
          <w:highlight w:val="none"/>
        </w:rPr>
        <w:object>
          <v:shape id="_x0000_i1028" o:spt="75" type="#_x0000_t75" style="height:20.95pt;width:102.1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rFonts w:hint="eastAsia" w:ascii="宋体" w:hAnsi="宋体" w:cs="宋体"/>
          <w:color w:val="auto"/>
          <w:szCs w:val="21"/>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position w:val="-10"/>
          <w:szCs w:val="21"/>
          <w:highlight w:val="none"/>
        </w:rPr>
        <w:object>
          <v:shape id="_x0000_i1029" o:spt="75" type="#_x0000_t75" style="height:20.95pt;width:108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hint="eastAsia" w:ascii="宋体" w:hAnsi="宋体" w:cs="宋体"/>
          <w:color w:val="auto"/>
          <w:szCs w:val="21"/>
          <w:highlight w:val="none"/>
        </w:rPr>
        <w:t>——各可调因子的基本价格指数，指基准日期的各可调因子的价格指数。</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（2）暂时确定调整差额</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（3）权重的调整</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因变更导致合同约定的权重不合理时，按照第4.4款〔商定或确定〕执行。</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（4）因承包人原因工期延误后的价格调整</w:t>
      </w:r>
    </w:p>
    <w:p>
      <w:pPr>
        <w:tabs>
          <w:tab w:val="left" w:pos="0"/>
          <w:tab w:val="left" w:pos="360"/>
          <w:tab w:val="left" w:pos="5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（2）材料、工程设备价格变化的价款调整按照发包人提供的基准价格，按以下风险范围规定执行: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rPr>
          <w:rFonts w:ascii="宋体" w:hAnsi="宋体" w:cs="宋体"/>
          <w:color w:val="auto"/>
          <w:szCs w:val="21"/>
          <w:highlight w:val="none"/>
        </w:rPr>
      </w:pPr>
      <w:bookmarkStart w:id="367" w:name="OLE_LINK3"/>
      <w:r>
        <w:rPr>
          <w:rFonts w:hint="eastAsia" w:ascii="宋体" w:hAnsi="宋体" w:cs="宋体"/>
          <w:color w:val="auto"/>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第3种方式：专用合同条款约定的其他方式。</w:t>
      </w:r>
    </w:p>
    <w:p>
      <w:pPr>
        <w:pStyle w:val="9"/>
        <w:spacing w:before="120" w:after="120" w:line="360" w:lineRule="auto"/>
        <w:ind w:firstLine="420" w:firstLineChars="200"/>
        <w:rPr>
          <w:rFonts w:ascii="宋体" w:hAnsi="宋体" w:cs="宋体"/>
          <w:color w:val="auto"/>
          <w:szCs w:val="21"/>
          <w:highlight w:val="none"/>
        </w:rPr>
      </w:pPr>
      <w:bookmarkStart w:id="368" w:name="_Toc14714"/>
      <w:bookmarkStart w:id="369" w:name="_Toc296503093"/>
      <w:bookmarkStart w:id="370" w:name="_Toc296346594"/>
      <w:bookmarkStart w:id="371" w:name="_Toc337558798"/>
      <w:r>
        <w:rPr>
          <w:rFonts w:hint="eastAsia" w:ascii="宋体" w:hAnsi="宋体" w:cs="宋体"/>
          <w:color w:val="auto"/>
          <w:szCs w:val="21"/>
          <w:highlight w:val="none"/>
        </w:rPr>
        <w:t>11.2法律变化引起的调整</w:t>
      </w:r>
      <w:bookmarkEnd w:id="368"/>
    </w:p>
    <w:bookmarkEnd w:id="369"/>
    <w:bookmarkEnd w:id="370"/>
    <w:bookmarkEnd w:id="371"/>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因法律变化引起的合同价格和工期调整，合同当事人无法达成一致的，由总监理工程师按第4.4款〔商定或确定〕的约定处理。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因承包人原因造成工期延误，在工期延误期间出现法律变化的，由此增加的费用和（或）延误的工期由承包人承担。</w:t>
      </w:r>
    </w:p>
    <w:p>
      <w:pPr>
        <w:pStyle w:val="8"/>
        <w:spacing w:before="120" w:after="120" w:line="360" w:lineRule="auto"/>
        <w:rPr>
          <w:rFonts w:ascii="宋体" w:hAnsi="宋体" w:cs="宋体"/>
          <w:b w:val="0"/>
          <w:color w:val="auto"/>
          <w:szCs w:val="21"/>
          <w:highlight w:val="none"/>
        </w:rPr>
      </w:pPr>
      <w:bookmarkStart w:id="372" w:name="_Toc29281"/>
      <w:bookmarkStart w:id="373" w:name="_Toc337558799"/>
      <w:bookmarkStart w:id="374" w:name="_Toc296503096"/>
      <w:bookmarkStart w:id="375" w:name="_Toc296346597"/>
      <w:r>
        <w:rPr>
          <w:rFonts w:hint="eastAsia" w:ascii="宋体" w:hAnsi="宋体" w:cs="宋体"/>
          <w:b w:val="0"/>
          <w:color w:val="auto"/>
          <w:szCs w:val="21"/>
          <w:highlight w:val="none"/>
        </w:rPr>
        <w:t>12. 合同价格、计量与支付</w:t>
      </w:r>
      <w:bookmarkEnd w:id="372"/>
    </w:p>
    <w:bookmarkEnd w:id="373"/>
    <w:p>
      <w:pPr>
        <w:pStyle w:val="9"/>
        <w:spacing w:before="120" w:after="120" w:line="360" w:lineRule="auto"/>
        <w:ind w:firstLine="420" w:firstLineChars="200"/>
        <w:rPr>
          <w:rFonts w:ascii="宋体" w:hAnsi="宋体" w:cs="宋体"/>
          <w:color w:val="auto"/>
          <w:szCs w:val="21"/>
          <w:highlight w:val="none"/>
        </w:rPr>
      </w:pPr>
      <w:bookmarkStart w:id="376" w:name="_Toc6328"/>
      <w:bookmarkStart w:id="377" w:name="_Toc337558800"/>
      <w:r>
        <w:rPr>
          <w:rFonts w:hint="eastAsia" w:ascii="宋体" w:hAnsi="宋体" w:cs="宋体"/>
          <w:color w:val="auto"/>
          <w:szCs w:val="21"/>
          <w:highlight w:val="none"/>
        </w:rPr>
        <w:t>12.1 合同价</w:t>
      </w:r>
      <w:bookmarkEnd w:id="374"/>
      <w:bookmarkEnd w:id="375"/>
      <w:r>
        <w:rPr>
          <w:rFonts w:hint="eastAsia" w:ascii="宋体" w:hAnsi="宋体" w:cs="宋体"/>
          <w:color w:val="auto"/>
          <w:szCs w:val="21"/>
          <w:highlight w:val="none"/>
        </w:rPr>
        <w:t>格形式</w:t>
      </w:r>
      <w:bookmarkEnd w:id="376"/>
    </w:p>
    <w:bookmarkEnd w:id="37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发包人和承包人应在合同协议书中选择下列一种合同价格形式： </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1.单价合同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单价合同是指合同当事人约定以工程量清单及其综合单价进行合同价格计算、调整和确认的建设工程施工合同，</w:t>
      </w:r>
      <w:r>
        <w:rPr>
          <w:rFonts w:hint="eastAsia" w:ascii="宋体" w:hAnsi="宋体" w:cs="宋体"/>
          <w:color w:val="auto"/>
          <w:szCs w:val="21"/>
          <w:highlight w:val="none"/>
        </w:rPr>
        <w:t>在约定的范围内合同单价不作调整</w:t>
      </w:r>
      <w:r>
        <w:rPr>
          <w:rFonts w:hint="eastAsia" w:ascii="宋体" w:hAnsi="宋体" w:cs="宋体"/>
          <w:color w:val="auto"/>
          <w:kern w:val="0"/>
          <w:szCs w:val="21"/>
          <w:highlight w:val="none"/>
        </w:rPr>
        <w:t>。合同当事人应在专用合同条款中约定综合单价包含的风险范围和风险费用的计算方法</w:t>
      </w:r>
      <w:r>
        <w:rPr>
          <w:rFonts w:hint="eastAsia" w:ascii="宋体" w:hAnsi="宋体" w:cs="宋体"/>
          <w:color w:val="auto"/>
          <w:szCs w:val="21"/>
          <w:highlight w:val="none"/>
        </w:rPr>
        <w:t>，</w:t>
      </w:r>
      <w:r>
        <w:rPr>
          <w:rFonts w:hint="eastAsia" w:ascii="宋体" w:hAnsi="宋体" w:cs="宋体"/>
          <w:color w:val="auto"/>
          <w:kern w:val="0"/>
          <w:szCs w:val="21"/>
          <w:highlight w:val="none"/>
        </w:rPr>
        <w:t>并约定风险范围以外的合同价格的调整方法，其中因市场价格波动引起的调整按第11.1款〔市场价格波动引起的调整〕约定执行。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2.总价合同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Cs w:val="21"/>
          <w:highlight w:val="none"/>
        </w:rPr>
        <w:t>在约定的范围内合同总价不作调整</w:t>
      </w:r>
      <w:r>
        <w:rPr>
          <w:rFonts w:hint="eastAsia" w:ascii="宋体" w:hAnsi="宋体" w:cs="宋体"/>
          <w:color w:val="auto"/>
          <w:kern w:val="0"/>
          <w:szCs w:val="21"/>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3.其它价格形式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合同当事人可在专用合同条款中约定其他合同价格形式。</w:t>
      </w:r>
    </w:p>
    <w:p>
      <w:pPr>
        <w:pStyle w:val="9"/>
        <w:spacing w:before="120" w:after="120" w:line="360" w:lineRule="auto"/>
        <w:ind w:firstLine="420" w:firstLineChars="200"/>
        <w:rPr>
          <w:rFonts w:ascii="宋体" w:hAnsi="宋体" w:cs="宋体"/>
          <w:color w:val="auto"/>
          <w:szCs w:val="21"/>
          <w:highlight w:val="none"/>
        </w:rPr>
      </w:pPr>
      <w:bookmarkStart w:id="378" w:name="_Toc296503097"/>
      <w:bookmarkStart w:id="379" w:name="_Toc296346598"/>
      <w:bookmarkStart w:id="380" w:name="_Toc26560"/>
      <w:bookmarkStart w:id="381" w:name="_Toc337558801"/>
      <w:r>
        <w:rPr>
          <w:rFonts w:hint="eastAsia" w:ascii="宋体" w:hAnsi="宋体" w:cs="宋体"/>
          <w:color w:val="auto"/>
          <w:szCs w:val="21"/>
          <w:highlight w:val="none"/>
        </w:rPr>
        <w:t>12.2预</w:t>
      </w:r>
      <w:bookmarkEnd w:id="378"/>
      <w:bookmarkEnd w:id="379"/>
      <w:bookmarkStart w:id="382" w:name="_Toc296346601"/>
      <w:bookmarkStart w:id="383" w:name="_Toc296503100"/>
      <w:r>
        <w:rPr>
          <w:rFonts w:hint="eastAsia" w:ascii="宋体" w:hAnsi="宋体" w:cs="宋体"/>
          <w:color w:val="auto"/>
          <w:szCs w:val="21"/>
          <w:highlight w:val="none"/>
        </w:rPr>
        <w:t>付款</w:t>
      </w:r>
      <w:bookmarkEnd w:id="380"/>
    </w:p>
    <w:bookmarkEnd w:id="381"/>
    <w:bookmarkEnd w:id="382"/>
    <w:bookmarkEnd w:id="383"/>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12.2.</w:t>
      </w:r>
      <w:r>
        <w:rPr>
          <w:rFonts w:hint="eastAsia" w:ascii="宋体" w:hAnsi="宋体" w:cs="宋体"/>
          <w:color w:val="auto"/>
          <w:kern w:val="0"/>
          <w:szCs w:val="21"/>
          <w:highlight w:val="none"/>
        </w:rPr>
        <w:t>1预付款的支付</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除专用合同条款另有约定外，预付款在进度付款中同比例扣回。</w:t>
      </w:r>
      <w:bookmarkEnd w:id="367"/>
      <w:r>
        <w:rPr>
          <w:rFonts w:hint="eastAsia" w:ascii="宋体" w:hAnsi="宋体" w:cs="宋体"/>
          <w:color w:val="auto"/>
          <w:kern w:val="0"/>
          <w:szCs w:val="21"/>
          <w:highlight w:val="none"/>
        </w:rPr>
        <w:t>在颁发工程接收证书前，提前解除合同的，尚未扣完的预付款应与合同价款一并结算。</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12.2.2 预付款担保</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发包人在工程款中逐期扣回预付款后，预付款担保额度应相应减少，但剩余的预付款担保金额不得低于未被扣回的预付款金额。</w:t>
      </w:r>
    </w:p>
    <w:p>
      <w:pPr>
        <w:pStyle w:val="9"/>
        <w:spacing w:before="120" w:after="120" w:line="360" w:lineRule="auto"/>
        <w:ind w:firstLine="420" w:firstLineChars="200"/>
        <w:rPr>
          <w:rFonts w:ascii="宋体" w:hAnsi="宋体" w:cs="宋体"/>
          <w:color w:val="auto"/>
          <w:szCs w:val="21"/>
          <w:highlight w:val="none"/>
        </w:rPr>
      </w:pPr>
      <w:bookmarkStart w:id="384" w:name="_Toc21743"/>
      <w:bookmarkStart w:id="385" w:name="_Toc337558802"/>
      <w:r>
        <w:rPr>
          <w:rFonts w:hint="eastAsia" w:ascii="宋体" w:hAnsi="宋体" w:cs="宋体"/>
          <w:color w:val="auto"/>
          <w:szCs w:val="21"/>
          <w:highlight w:val="none"/>
        </w:rPr>
        <w:t>12.3计量</w:t>
      </w:r>
      <w:bookmarkEnd w:id="384"/>
    </w:p>
    <w:bookmarkEnd w:id="385"/>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12.3.1 计量原则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12.3.2 计量周期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除专用合同条款另有约定外，工程量的计量按月进行。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12.3.3 单价合同的计量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除专用合同条款另有约定外，单价合同的计量按照本项约定执行：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12.3.4 总价合同的计量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除专用合同条款另有约定外，按月计量支付的总价合同，按照本项约定执行：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（3）监理人未在收到承包人提交的工程量报表后的7天内完成复核的，承包人提交的工程量报告中的工程量视为承包人实际完成的工程量。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12.3.5 总价合同采用支付分解表计量支付的，可以按照第12.3.4项〔总价合同的计量〕约定进行计量，但合同价款按照支付分解表进行支付。</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12.3.6 其他价格形式合同的计量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合同当事人可在专用合同条款中约定其他价格形式合同的计量方式和程序。</w:t>
      </w:r>
    </w:p>
    <w:p>
      <w:pPr>
        <w:pStyle w:val="9"/>
        <w:spacing w:before="120" w:after="120" w:line="360" w:lineRule="auto"/>
        <w:ind w:firstLine="420" w:firstLineChars="200"/>
        <w:rPr>
          <w:rFonts w:ascii="宋体" w:hAnsi="宋体" w:cs="宋体"/>
          <w:color w:val="auto"/>
          <w:szCs w:val="21"/>
          <w:highlight w:val="none"/>
        </w:rPr>
      </w:pPr>
      <w:bookmarkStart w:id="386" w:name="_Toc296503101"/>
      <w:bookmarkStart w:id="387" w:name="_Toc296346602"/>
      <w:bookmarkStart w:id="388" w:name="_Toc23866"/>
      <w:bookmarkStart w:id="389" w:name="_Toc337558803"/>
      <w:r>
        <w:rPr>
          <w:rFonts w:hint="eastAsia" w:ascii="宋体" w:hAnsi="宋体" w:cs="宋体"/>
          <w:color w:val="auto"/>
          <w:szCs w:val="21"/>
          <w:highlight w:val="none"/>
        </w:rPr>
        <w:t>12.4工程进度款支</w:t>
      </w:r>
      <w:bookmarkEnd w:id="386"/>
      <w:bookmarkEnd w:id="387"/>
      <w:r>
        <w:rPr>
          <w:rFonts w:hint="eastAsia" w:ascii="宋体" w:hAnsi="宋体" w:cs="宋体"/>
          <w:color w:val="auto"/>
          <w:szCs w:val="21"/>
          <w:highlight w:val="none"/>
        </w:rPr>
        <w:t>付</w:t>
      </w:r>
      <w:bookmarkEnd w:id="388"/>
    </w:p>
    <w:bookmarkEnd w:id="389"/>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12.4</w:t>
      </w:r>
      <w:r>
        <w:rPr>
          <w:rFonts w:hint="eastAsia" w:ascii="宋体" w:hAnsi="宋体" w:cs="宋体"/>
          <w:color w:val="auto"/>
          <w:kern w:val="0"/>
          <w:szCs w:val="21"/>
          <w:highlight w:val="none"/>
        </w:rPr>
        <w:t>.1 付款周期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除专用合同条款另有约定外，付款周期应按照第12.3.2项〔计量周期〕的约定与计量周期保持一致。</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12.4</w:t>
      </w:r>
      <w:r>
        <w:rPr>
          <w:rFonts w:hint="eastAsia" w:ascii="宋体" w:hAnsi="宋体" w:cs="宋体"/>
          <w:color w:val="auto"/>
          <w:kern w:val="0"/>
          <w:szCs w:val="21"/>
          <w:highlight w:val="none"/>
        </w:rPr>
        <w:t>.2 进度付款申请单的编制</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除专用合同条款另有约定外，进度付款申请单应包括下列内容：</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（1）截至本次付款周期已完成工作对应的金额；</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（2）根据第10条〔变更〕应增加和扣减的变更金额；</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（3）根据第12.2款〔预付款〕约定应支付的预付款和扣减的返还预付款；</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（4）根据第15.3款〔质量保证金〕约定应扣减的质量保证金；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（5）根据第19条〔索赔〕应增加和扣减的索赔金额；</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（6）对已签发的进度款支付证书中出现错误的修正，应在本次进度付款中支付或扣除的金额；</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（7）根据合同约定应增加和扣减的其他金额。</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12.4.3 进度付款申请单的提交</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（1）单价合同进度付款申请单的提交</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（2）总价合同进度付款申请单的提交</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（3）其他价格形式合同的进度付款申请单的提交</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合同当事人可在专用合同条款中约定其他价格形式合同的进度付款申请单的编制和提交程序。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12.4</w:t>
      </w:r>
      <w:r>
        <w:rPr>
          <w:rFonts w:hint="eastAsia" w:ascii="宋体" w:hAnsi="宋体" w:cs="宋体"/>
          <w:color w:val="auto"/>
          <w:kern w:val="0"/>
          <w:szCs w:val="21"/>
          <w:highlight w:val="none"/>
        </w:rPr>
        <w:t>.4 进度款审核和支付</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12.4.5 进度付款的修正</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12.4.6 支付分解表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1.支付分解表的编制要求</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（1）支付分解表中所列的每期付款金额，应为第12.4.2项〔进度付款申请单的编制〕第（1）目的估算金额；</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（2）实际进度与施工进度计划不一致的，合同当事人可按照第4.4款〔商定或确定〕修改支付分解表；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（3）不采用支付分解表的，承包人应向发包人和监理人提交按季度编制的支付估算分解表，用于支付参考。</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2.总价合同支付分解表的编制与审批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（3）发包人逾期未完成支付分解表审批的，也未及时要求承包人进行修正和提供补充资料的，则承包人提交的支付分解表视为已经获得发包人批准。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3.单价合同的总价项目支付分解表的编制与审批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9"/>
        <w:spacing w:before="120" w:after="120" w:line="360" w:lineRule="auto"/>
        <w:ind w:firstLine="420" w:firstLineChars="200"/>
        <w:rPr>
          <w:rFonts w:ascii="宋体" w:hAnsi="宋体" w:cs="宋体"/>
          <w:color w:val="auto"/>
          <w:szCs w:val="21"/>
          <w:highlight w:val="none"/>
        </w:rPr>
      </w:pPr>
      <w:bookmarkStart w:id="390" w:name="_Toc30914"/>
      <w:r>
        <w:rPr>
          <w:rFonts w:hint="eastAsia" w:ascii="宋体" w:hAnsi="宋体" w:cs="宋体"/>
          <w:color w:val="auto"/>
          <w:szCs w:val="21"/>
          <w:highlight w:val="none"/>
        </w:rPr>
        <w:t>12.5支付账户</w:t>
      </w:r>
      <w:bookmarkEnd w:id="390"/>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发包人应将合同价款支付至合同协议书中约定的承包人账户。</w:t>
      </w:r>
    </w:p>
    <w:p>
      <w:pPr>
        <w:pStyle w:val="8"/>
        <w:spacing w:before="120" w:after="120" w:line="360" w:lineRule="auto"/>
        <w:rPr>
          <w:rFonts w:ascii="宋体" w:hAnsi="宋体" w:cs="宋体"/>
          <w:b w:val="0"/>
          <w:color w:val="auto"/>
          <w:szCs w:val="21"/>
          <w:highlight w:val="none"/>
        </w:rPr>
      </w:pPr>
      <w:bookmarkStart w:id="391" w:name="_Toc23844"/>
      <w:bookmarkStart w:id="392" w:name="_Toc296503106"/>
      <w:bookmarkStart w:id="393" w:name="_Toc337558804"/>
      <w:bookmarkStart w:id="394" w:name="_Toc296346607"/>
      <w:bookmarkStart w:id="395" w:name="_Toc322522574"/>
      <w:r>
        <w:rPr>
          <w:rFonts w:hint="eastAsia" w:ascii="宋体" w:hAnsi="宋体" w:cs="宋体"/>
          <w:b w:val="0"/>
          <w:color w:val="auto"/>
          <w:szCs w:val="21"/>
          <w:highlight w:val="none"/>
        </w:rPr>
        <w:t>13. 验收和工程试车</w:t>
      </w:r>
      <w:bookmarkEnd w:id="391"/>
    </w:p>
    <w:bookmarkEnd w:id="392"/>
    <w:bookmarkEnd w:id="393"/>
    <w:bookmarkEnd w:id="394"/>
    <w:bookmarkEnd w:id="395"/>
    <w:p>
      <w:pPr>
        <w:pStyle w:val="9"/>
        <w:spacing w:before="120" w:after="120" w:line="360" w:lineRule="auto"/>
        <w:ind w:firstLine="420" w:firstLineChars="200"/>
        <w:rPr>
          <w:rFonts w:ascii="宋体" w:hAnsi="宋体" w:cs="宋体"/>
          <w:color w:val="auto"/>
          <w:szCs w:val="21"/>
          <w:highlight w:val="none"/>
        </w:rPr>
      </w:pPr>
      <w:bookmarkStart w:id="396" w:name="_Toc20094"/>
      <w:bookmarkStart w:id="397" w:name="_Toc337558805"/>
      <w:bookmarkStart w:id="398" w:name="_Toc296503110"/>
      <w:bookmarkStart w:id="399" w:name="_Toc296346611"/>
      <w:r>
        <w:rPr>
          <w:rFonts w:hint="eastAsia" w:ascii="宋体" w:hAnsi="宋体" w:cs="宋体"/>
          <w:color w:val="auto"/>
          <w:szCs w:val="21"/>
          <w:highlight w:val="none"/>
        </w:rPr>
        <w:t>13.1分部分项工程验收</w:t>
      </w:r>
      <w:bookmarkEnd w:id="396"/>
    </w:p>
    <w:bookmarkEnd w:id="397"/>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13.1.1 分部分项工程质量应符合国家有关工程施工验收规范、标准及合同约定，承包人应按照施工组织设计的要求完成分部分项工程施工。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Cs w:val="21"/>
          <w:highlight w:val="none"/>
        </w:rPr>
        <w:t>分部分项工程未经验收的，不得进入下一道工序施工。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分部分项工程的验收资料应当作为竣工资料的组成部分。</w:t>
      </w:r>
    </w:p>
    <w:p>
      <w:pPr>
        <w:pStyle w:val="9"/>
        <w:spacing w:before="120" w:after="120" w:line="360" w:lineRule="auto"/>
        <w:ind w:firstLine="420" w:firstLineChars="200"/>
        <w:rPr>
          <w:rFonts w:ascii="宋体" w:hAnsi="宋体" w:cs="宋体"/>
          <w:color w:val="auto"/>
          <w:szCs w:val="21"/>
          <w:highlight w:val="none"/>
        </w:rPr>
      </w:pPr>
      <w:bookmarkStart w:id="400" w:name="_Toc5275"/>
      <w:bookmarkStart w:id="401" w:name="_Toc337558806"/>
      <w:r>
        <w:rPr>
          <w:rFonts w:hint="eastAsia" w:ascii="宋体" w:hAnsi="宋体" w:cs="宋体"/>
          <w:color w:val="auto"/>
          <w:szCs w:val="21"/>
          <w:highlight w:val="none"/>
        </w:rPr>
        <w:t>13.2竣工验收</w:t>
      </w:r>
      <w:bookmarkEnd w:id="400"/>
    </w:p>
    <w:bookmarkEnd w:id="398"/>
    <w:bookmarkEnd w:id="399"/>
    <w:bookmarkEnd w:id="401"/>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13.2.1竣工验收条件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highlight w:val="none"/>
        </w:rPr>
        <w:t>竣工验收以合同、施工及验收规范、验收标准、政府有关规定及施工图纸等为依据。</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13.2.2竣工验收程序</w:t>
      </w:r>
    </w:p>
    <w:p>
      <w:pPr>
        <w:pStyle w:val="6"/>
        <w:spacing w:line="360" w:lineRule="auto"/>
        <w:rPr>
          <w:rFonts w:ascii="宋体" w:hAnsi="宋体" w:cs="宋体"/>
          <w:color w:val="auto"/>
          <w:highlight w:val="none"/>
        </w:rPr>
      </w:pPr>
      <w:r>
        <w:rPr>
          <w:rFonts w:hint="eastAsia" w:ascii="宋体" w:hAnsi="宋体" w:cs="宋体"/>
          <w:color w:val="auto"/>
          <w:highlight w:val="none"/>
        </w:rPr>
        <w:t>13.2.2.1初步验收：</w:t>
      </w:r>
    </w:p>
    <w:p>
      <w:pPr>
        <w:pStyle w:val="6"/>
        <w:numPr>
          <w:ilvl w:val="255"/>
          <w:numId w:val="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在施工结束后、且自检合格后，向招标人提供一套完整的竣工验收所需资料和竣工验收申请。竣工资料审核通过后，约定初验时间，发包人收到申请后应在48小时内组织初步验收，初验由监理方、发包人和承包人共同参加，初验提出的整改要求全部完成并经初验小组核定后（需在初验后7日内完成整改），发包人在3日内，批复承包人工程核验申请。</w:t>
      </w:r>
    </w:p>
    <w:p>
      <w:pPr>
        <w:pStyle w:val="6"/>
        <w:spacing w:line="360" w:lineRule="auto"/>
        <w:rPr>
          <w:rFonts w:ascii="宋体" w:hAnsi="宋体" w:cs="宋体"/>
          <w:color w:val="auto"/>
          <w:highlight w:val="none"/>
        </w:rPr>
      </w:pPr>
      <w:r>
        <w:rPr>
          <w:rFonts w:hint="eastAsia" w:ascii="宋体" w:hAnsi="宋体" w:cs="宋体"/>
          <w:color w:val="auto"/>
          <w:highlight w:val="none"/>
        </w:rPr>
        <w:t>13.2.2.2竣工验收：承包人应在竣工验收前7天内，提交1套竣工资料正本。承包人应联系有关部门进行验收（如：学校土建、水、电、暖消防、电梯运行管理单位及使用单位参加）。验收时有发包人、监理人及承包人组成工程验收小组，对本项目工程进行全面的检查验收，验收合格后办理移交手续。竣工验收合格后14天内，承包人需提交2套完整的竣工资料给发包人归档（即：满足质监、档案馆要求的竣工资料）两套（正本一套，由原件组成；副本一套）。</w:t>
      </w:r>
    </w:p>
    <w:p>
      <w:pPr>
        <w:pStyle w:val="6"/>
        <w:spacing w:line="360" w:lineRule="auto"/>
        <w:rPr>
          <w:rFonts w:ascii="宋体" w:hAnsi="宋体" w:cs="宋体"/>
          <w:color w:val="auto"/>
          <w:highlight w:val="none"/>
        </w:rPr>
      </w:pPr>
      <w:r>
        <w:rPr>
          <w:rFonts w:hint="eastAsia" w:ascii="宋体" w:hAnsi="宋体" w:cs="宋体"/>
          <w:color w:val="auto"/>
          <w:highlight w:val="none"/>
        </w:rPr>
        <w:t>13.2.2.3本工程竣工验收需一次性合格，并达到规定验收标准。</w:t>
      </w:r>
    </w:p>
    <w:p>
      <w:pPr>
        <w:pStyle w:val="6"/>
        <w:spacing w:line="360" w:lineRule="auto"/>
        <w:rPr>
          <w:rFonts w:ascii="宋体" w:hAnsi="宋体" w:cs="宋体"/>
          <w:color w:val="auto"/>
          <w:highlight w:val="none"/>
        </w:rPr>
      </w:pPr>
      <w:r>
        <w:rPr>
          <w:rFonts w:hint="eastAsia" w:ascii="宋体" w:hAnsi="宋体" w:cs="宋体"/>
          <w:color w:val="auto"/>
          <w:highlight w:val="none"/>
        </w:rPr>
        <w:t>13.2.2.4承包人应按合同要求，在竣工验收合格之日（签署工程竣工验收单）起28个工作日内提交竣工结算申请单，并附完整的结算资料。</w:t>
      </w:r>
    </w:p>
    <w:p>
      <w:pPr>
        <w:pStyle w:val="6"/>
        <w:numPr>
          <w:ilvl w:val="255"/>
          <w:numId w:val="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对承包人在竣工验收合格之日起第29工作日至第49工作日内提交竣工结算申请单并附完整的结算资料，发包人将每天按照合同金额的2‰扣除违约金。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在竣工验收合格之日起49个工作日内，未提交竣工结算申请单并附完整的结算材料的。发包人将终止对承包人进行结算，并扣留全部未支付合同价款（合同金额的30%）作为违约金；若在施工过程中有减项，导致已付款金额超过实际结算金额的，承包人必须对超额支付的工程款进行返还。</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13.2.3竣工日期</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2" w:name="#go14"/>
      <w:bookmarkEnd w:id="402"/>
      <w:r>
        <w:rPr>
          <w:rFonts w:hint="eastAsia" w:ascii="宋体" w:hAnsi="宋体" w:cs="宋体"/>
          <w:color w:val="auto"/>
          <w:kern w:val="0"/>
          <w:szCs w:val="21"/>
          <w:highlight w:val="none"/>
        </w:rPr>
        <w:t>收申请报告的日期为实际竣工日期；工程未经竣工验收，发包人擅自使用的，以转移占有工程之日为实际竣工日期。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13.2.4 拒绝接收全部或部分工程</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13.2.5 移交、接收全部与部分工程</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除专用合同条款另有约定外，合同当事人应当在颁发工程接收证书后7天内完成工程的移交。</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9"/>
        <w:spacing w:before="120" w:after="120" w:line="360" w:lineRule="auto"/>
        <w:ind w:firstLine="420" w:firstLineChars="200"/>
        <w:rPr>
          <w:rFonts w:ascii="宋体" w:hAnsi="宋体" w:cs="宋体"/>
          <w:color w:val="auto"/>
          <w:szCs w:val="21"/>
          <w:highlight w:val="none"/>
        </w:rPr>
      </w:pPr>
      <w:bookmarkStart w:id="403" w:name="_Toc21173"/>
      <w:bookmarkStart w:id="404" w:name="_Toc337558807"/>
      <w:bookmarkStart w:id="405" w:name="_Toc296503111"/>
      <w:bookmarkStart w:id="406" w:name="_Toc296346612"/>
      <w:r>
        <w:rPr>
          <w:rFonts w:hint="eastAsia" w:ascii="宋体" w:hAnsi="宋体" w:cs="宋体"/>
          <w:color w:val="auto"/>
          <w:szCs w:val="21"/>
          <w:highlight w:val="none"/>
        </w:rPr>
        <w:t>13.3工程试车</w:t>
      </w:r>
      <w:bookmarkEnd w:id="403"/>
    </w:p>
    <w:bookmarkEnd w:id="404"/>
    <w:bookmarkEnd w:id="405"/>
    <w:bookmarkEnd w:id="406"/>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13.3.1试车程序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工程需要试车的，除专用合同条款另有约定外，试车内容应与承包人承包范围相一致，试车费用由承包人承担。工程试车应按如下程序进行：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13.3.2 试车中的责任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9"/>
        <w:spacing w:before="120" w:after="120" w:line="360" w:lineRule="auto"/>
        <w:rPr>
          <w:rFonts w:ascii="宋体" w:hAnsi="宋体" w:cs="宋体"/>
          <w:color w:val="auto"/>
          <w:szCs w:val="21"/>
          <w:highlight w:val="none"/>
        </w:rPr>
      </w:pPr>
      <w:bookmarkStart w:id="407" w:name="_Toc2634"/>
      <w:bookmarkStart w:id="408" w:name="_Toc337558808"/>
      <w:r>
        <w:rPr>
          <w:rFonts w:hint="eastAsia" w:ascii="宋体" w:hAnsi="宋体" w:cs="宋体"/>
          <w:color w:val="auto"/>
          <w:szCs w:val="21"/>
          <w:highlight w:val="none"/>
        </w:rPr>
        <w:t>13.4提前交付单位工程的验收</w:t>
      </w:r>
      <w:bookmarkEnd w:id="407"/>
    </w:p>
    <w:bookmarkEnd w:id="408"/>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pPr>
        <w:pStyle w:val="9"/>
        <w:spacing w:before="120" w:after="120" w:line="360" w:lineRule="auto"/>
        <w:ind w:firstLine="420" w:firstLineChars="200"/>
        <w:rPr>
          <w:rFonts w:ascii="宋体" w:hAnsi="宋体" w:cs="宋体"/>
          <w:color w:val="auto"/>
          <w:szCs w:val="21"/>
          <w:highlight w:val="none"/>
        </w:rPr>
      </w:pPr>
      <w:bookmarkStart w:id="409" w:name="_Toc25683"/>
      <w:r>
        <w:rPr>
          <w:rFonts w:hint="eastAsia" w:ascii="宋体" w:hAnsi="宋体" w:cs="宋体"/>
          <w:color w:val="auto"/>
          <w:szCs w:val="21"/>
          <w:highlight w:val="none"/>
        </w:rPr>
        <w:t>13.5 施工期运行</w:t>
      </w:r>
      <w:bookmarkEnd w:id="409"/>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13.5.2 在施工期运行中发现工程或工程设备损坏或存在缺陷的，由承包人按第15.2款〔缺陷责任期〕约定进行修复。</w:t>
      </w:r>
    </w:p>
    <w:p>
      <w:pPr>
        <w:pStyle w:val="9"/>
        <w:spacing w:before="120" w:after="120" w:line="360" w:lineRule="auto"/>
        <w:ind w:firstLine="420" w:firstLineChars="200"/>
        <w:rPr>
          <w:rFonts w:ascii="宋体" w:hAnsi="宋体" w:cs="宋体"/>
          <w:color w:val="auto"/>
          <w:szCs w:val="21"/>
          <w:highlight w:val="none"/>
        </w:rPr>
      </w:pPr>
      <w:bookmarkStart w:id="410" w:name="_Toc296346613"/>
      <w:bookmarkStart w:id="411" w:name="_Toc296503112"/>
      <w:bookmarkStart w:id="412" w:name="_Toc4241"/>
      <w:bookmarkStart w:id="413" w:name="_Toc337558809"/>
      <w:r>
        <w:rPr>
          <w:rFonts w:hint="eastAsia" w:ascii="宋体" w:hAnsi="宋体" w:cs="宋体"/>
          <w:color w:val="auto"/>
          <w:szCs w:val="21"/>
          <w:highlight w:val="none"/>
        </w:rPr>
        <w:t>13.6 竣工退</w:t>
      </w:r>
      <w:bookmarkEnd w:id="410"/>
      <w:bookmarkEnd w:id="411"/>
      <w:r>
        <w:rPr>
          <w:rFonts w:hint="eastAsia" w:ascii="宋体" w:hAnsi="宋体" w:cs="宋体"/>
          <w:color w:val="auto"/>
          <w:szCs w:val="21"/>
          <w:highlight w:val="none"/>
        </w:rPr>
        <w:t>场</w:t>
      </w:r>
      <w:bookmarkEnd w:id="412"/>
    </w:p>
    <w:bookmarkEnd w:id="413"/>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颁发工程接收证书后，承包人应按以下要求对施工现场进行清理：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（1）施工现场内残留的垃圾已全部清除出场；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（2）临时工程已拆除，场地已进行清理、平整或复原；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（3）按合同约定应撤离的人员、承包人施工设备和剩余的材料，包括废弃的施工设备和材料，已按计划撤离施工现场；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（4）施工现场周边及其附近道路、河道的施工堆积物，已全部清理；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（5）施工现场其他场地清理工作已全部完成。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13.6.2 地表还原</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8"/>
        <w:spacing w:before="120" w:after="120" w:line="360" w:lineRule="auto"/>
        <w:rPr>
          <w:rFonts w:ascii="宋体" w:hAnsi="宋体" w:cs="宋体"/>
          <w:b w:val="0"/>
          <w:color w:val="auto"/>
          <w:szCs w:val="21"/>
          <w:highlight w:val="none"/>
        </w:rPr>
      </w:pPr>
      <w:bookmarkStart w:id="414" w:name="_Toc26296"/>
      <w:bookmarkStart w:id="415" w:name="_Toc337558810"/>
      <w:bookmarkStart w:id="416" w:name="_Toc296503113"/>
      <w:bookmarkStart w:id="417" w:name="_Toc296346614"/>
      <w:r>
        <w:rPr>
          <w:rFonts w:hint="eastAsia" w:ascii="宋体" w:hAnsi="宋体" w:cs="宋体"/>
          <w:b w:val="0"/>
          <w:color w:val="auto"/>
          <w:szCs w:val="21"/>
          <w:highlight w:val="none"/>
        </w:rPr>
        <w:t>14. 竣工结算</w:t>
      </w:r>
      <w:bookmarkEnd w:id="414"/>
    </w:p>
    <w:bookmarkEnd w:id="415"/>
    <w:p>
      <w:pPr>
        <w:pStyle w:val="9"/>
        <w:spacing w:before="120" w:after="120" w:line="360" w:lineRule="auto"/>
        <w:ind w:firstLine="420" w:firstLineChars="200"/>
        <w:rPr>
          <w:rFonts w:ascii="宋体" w:hAnsi="宋体" w:cs="宋体"/>
          <w:color w:val="auto"/>
          <w:szCs w:val="21"/>
          <w:highlight w:val="none"/>
        </w:rPr>
      </w:pPr>
      <w:bookmarkStart w:id="418" w:name="_Toc30157"/>
      <w:bookmarkStart w:id="419" w:name="_Toc337558811"/>
      <w:r>
        <w:rPr>
          <w:rFonts w:hint="eastAsia" w:ascii="宋体" w:hAnsi="宋体" w:cs="宋体"/>
          <w:color w:val="auto"/>
          <w:szCs w:val="21"/>
          <w:highlight w:val="none"/>
        </w:rPr>
        <w:t>14.1 竣工结算申请</w:t>
      </w:r>
      <w:bookmarkEnd w:id="418"/>
    </w:p>
    <w:bookmarkEnd w:id="419"/>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除专用合同条款另有约定外，</w:t>
      </w:r>
      <w:r>
        <w:rPr>
          <w:rFonts w:hint="eastAsia" w:ascii="宋体" w:hAnsi="宋体" w:cs="宋体"/>
          <w:color w:val="auto"/>
          <w:szCs w:val="21"/>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除专用合同条款另有约定外，竣工结算申请单应包括以下内容：</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（1）竣工结算合同价格；</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（2）发包人已支付承包人的款项；</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（3）应扣留的质量保证金。已缴纳履约保证金的或提供其他工程质量担保方式的除外； </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（4）发包人应支付承包人的合同价款。</w:t>
      </w:r>
    </w:p>
    <w:p>
      <w:pPr>
        <w:pStyle w:val="9"/>
        <w:spacing w:before="120" w:after="120" w:line="360" w:lineRule="auto"/>
        <w:ind w:firstLine="420" w:firstLineChars="200"/>
        <w:rPr>
          <w:rFonts w:ascii="宋体" w:hAnsi="宋体" w:cs="宋体"/>
          <w:color w:val="auto"/>
          <w:szCs w:val="21"/>
          <w:highlight w:val="none"/>
        </w:rPr>
      </w:pPr>
      <w:bookmarkStart w:id="420" w:name="_Toc28006"/>
      <w:bookmarkStart w:id="421" w:name="_Toc337558812"/>
      <w:r>
        <w:rPr>
          <w:rFonts w:hint="eastAsia" w:ascii="宋体" w:hAnsi="宋体" w:cs="宋体"/>
          <w:color w:val="auto"/>
          <w:szCs w:val="21"/>
          <w:highlight w:val="none"/>
        </w:rPr>
        <w:t>14.2 竣工结算审核</w:t>
      </w:r>
      <w:bookmarkEnd w:id="420"/>
    </w:p>
    <w:bookmarkEnd w:id="421"/>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Cs w:val="21"/>
          <w:highlight w:val="none"/>
        </w:rPr>
        <w:t>发包人对竣工</w:t>
      </w:r>
      <w:r>
        <w:rPr>
          <w:rFonts w:hint="eastAsia" w:ascii="宋体" w:hAnsi="宋体" w:cs="宋体"/>
          <w:color w:val="auto"/>
          <w:kern w:val="0"/>
          <w:szCs w:val="21"/>
          <w:highlight w:val="none"/>
        </w:rPr>
        <w:t>结算</w:t>
      </w:r>
      <w:r>
        <w:rPr>
          <w:rFonts w:hint="eastAsia" w:ascii="宋体" w:hAnsi="宋体" w:cs="宋体"/>
          <w:color w:val="auto"/>
          <w:szCs w:val="21"/>
          <w:highlight w:val="none"/>
        </w:rPr>
        <w:t>申请单有异议的，有权要求承包人进行修正和提供补充资料，承包人应提交修正后的竣工</w:t>
      </w:r>
      <w:r>
        <w:rPr>
          <w:rFonts w:hint="eastAsia" w:ascii="宋体" w:hAnsi="宋体" w:cs="宋体"/>
          <w:color w:val="auto"/>
          <w:kern w:val="0"/>
          <w:szCs w:val="21"/>
          <w:highlight w:val="none"/>
        </w:rPr>
        <w:t>结算</w:t>
      </w:r>
      <w:r>
        <w:rPr>
          <w:rFonts w:hint="eastAsia" w:ascii="宋体" w:hAnsi="宋体" w:cs="宋体"/>
          <w:color w:val="auto"/>
          <w:szCs w:val="21"/>
          <w:highlight w:val="none"/>
        </w:rPr>
        <w:t>申请单。</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9"/>
        <w:spacing w:before="120" w:after="120" w:line="360" w:lineRule="auto"/>
        <w:ind w:firstLine="420" w:firstLineChars="200"/>
        <w:rPr>
          <w:rFonts w:ascii="宋体" w:hAnsi="宋体" w:cs="宋体"/>
          <w:color w:val="auto"/>
          <w:szCs w:val="21"/>
          <w:highlight w:val="none"/>
        </w:rPr>
      </w:pPr>
      <w:bookmarkStart w:id="422" w:name="_Toc19390"/>
      <w:bookmarkStart w:id="423" w:name="_Toc337558813"/>
      <w:r>
        <w:rPr>
          <w:rFonts w:hint="eastAsia" w:ascii="宋体" w:hAnsi="宋体" w:cs="宋体"/>
          <w:color w:val="auto"/>
          <w:szCs w:val="21"/>
          <w:highlight w:val="none"/>
        </w:rPr>
        <w:t>14.3 甩项竣工协议</w:t>
      </w:r>
      <w:bookmarkEnd w:id="422"/>
    </w:p>
    <w:bookmarkEnd w:id="423"/>
    <w:p>
      <w:pPr>
        <w:autoSpaceDE w:val="0"/>
        <w:autoSpaceDN w:val="0"/>
        <w:adjustRightInd w:val="0"/>
        <w:spacing w:line="360" w:lineRule="auto"/>
        <w:ind w:firstLine="411" w:firstLineChars="196"/>
        <w:rPr>
          <w:rFonts w:ascii="宋体" w:hAnsi="宋体" w:cs="宋体"/>
          <w:color w:val="auto"/>
          <w:kern w:val="0"/>
          <w:szCs w:val="21"/>
          <w:highlight w:val="none"/>
        </w:rPr>
      </w:pPr>
      <w:r>
        <w:rPr>
          <w:rFonts w:hint="eastAsia" w:ascii="宋体" w:hAnsi="宋体" w:cs="宋体"/>
          <w:color w:val="auto"/>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9"/>
        <w:spacing w:before="120" w:after="120" w:line="360" w:lineRule="auto"/>
        <w:ind w:firstLine="420" w:firstLineChars="200"/>
        <w:rPr>
          <w:rFonts w:ascii="宋体" w:hAnsi="宋体" w:cs="宋体"/>
          <w:color w:val="auto"/>
          <w:szCs w:val="21"/>
          <w:highlight w:val="none"/>
        </w:rPr>
      </w:pPr>
      <w:bookmarkStart w:id="424" w:name="_Toc1594"/>
      <w:bookmarkStart w:id="425" w:name="_Toc337558814"/>
      <w:r>
        <w:rPr>
          <w:rFonts w:hint="eastAsia" w:ascii="宋体" w:hAnsi="宋体" w:cs="宋体"/>
          <w:color w:val="auto"/>
          <w:szCs w:val="21"/>
          <w:highlight w:val="none"/>
        </w:rPr>
        <w:t>14.4 最终结清</w:t>
      </w:r>
      <w:bookmarkEnd w:id="424"/>
    </w:p>
    <w:bookmarkEnd w:id="425"/>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w:t>
      </w:r>
      <w:r>
        <w:rPr>
          <w:rFonts w:hint="eastAsia" w:ascii="宋体" w:hAnsi="宋体" w:cs="宋体"/>
          <w:color w:val="auto"/>
          <w:kern w:val="0"/>
          <w:szCs w:val="21"/>
          <w:highlight w:val="none"/>
        </w:rPr>
        <w:t>最终结清申请单</w:t>
      </w:r>
      <w:r>
        <w:rPr>
          <w:rFonts w:hint="eastAsia" w:ascii="宋体" w:hAnsi="宋体" w:cs="宋体"/>
          <w:color w:val="auto"/>
          <w:szCs w:val="21"/>
          <w:highlight w:val="none"/>
        </w:rPr>
        <w:t>应列明质量保证金、应扣除的质量保证金、缺陷责任期内发生的增减费用。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14.4.2 最终结清证书和支付</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（3）承包人对发包人颁发的最终结清证书有异议的，按第20条〔争议解决〕的约定办理。</w:t>
      </w:r>
    </w:p>
    <w:p>
      <w:pPr>
        <w:pStyle w:val="8"/>
        <w:spacing w:before="120" w:after="120" w:line="360" w:lineRule="auto"/>
        <w:rPr>
          <w:rFonts w:ascii="宋体" w:hAnsi="宋体" w:cs="宋体"/>
          <w:b w:val="0"/>
          <w:color w:val="auto"/>
          <w:szCs w:val="21"/>
          <w:highlight w:val="none"/>
        </w:rPr>
      </w:pPr>
      <w:bookmarkStart w:id="426" w:name="_Toc10094"/>
      <w:bookmarkStart w:id="427" w:name="_Toc337558815"/>
      <w:r>
        <w:rPr>
          <w:rFonts w:hint="eastAsia" w:ascii="宋体" w:hAnsi="宋体" w:cs="宋体"/>
          <w:b w:val="0"/>
          <w:color w:val="auto"/>
          <w:szCs w:val="21"/>
          <w:highlight w:val="none"/>
        </w:rPr>
        <w:t>15. 缺陷责任与保修</w:t>
      </w:r>
      <w:bookmarkEnd w:id="426"/>
    </w:p>
    <w:bookmarkEnd w:id="416"/>
    <w:bookmarkEnd w:id="417"/>
    <w:bookmarkEnd w:id="427"/>
    <w:p>
      <w:pPr>
        <w:pStyle w:val="9"/>
        <w:spacing w:before="120" w:after="120" w:line="360" w:lineRule="auto"/>
        <w:ind w:firstLine="420" w:firstLineChars="200"/>
        <w:rPr>
          <w:rFonts w:ascii="宋体" w:hAnsi="宋体" w:cs="宋体"/>
          <w:color w:val="auto"/>
          <w:szCs w:val="21"/>
          <w:highlight w:val="none"/>
        </w:rPr>
      </w:pPr>
      <w:bookmarkStart w:id="428" w:name="_Toc7752"/>
      <w:bookmarkStart w:id="429" w:name="_Toc337558816"/>
      <w:bookmarkStart w:id="430" w:name="_Toc296503114"/>
      <w:bookmarkStart w:id="431" w:name="_Toc296346615"/>
      <w:r>
        <w:rPr>
          <w:rFonts w:hint="eastAsia" w:ascii="宋体" w:hAnsi="宋体" w:cs="宋体"/>
          <w:color w:val="auto"/>
          <w:szCs w:val="21"/>
          <w:highlight w:val="none"/>
        </w:rPr>
        <w:t>15.1 工程保修的原则</w:t>
      </w:r>
      <w:bookmarkEnd w:id="428"/>
    </w:p>
    <w:bookmarkEnd w:id="429"/>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9"/>
        <w:spacing w:before="120" w:after="120" w:line="360" w:lineRule="auto"/>
        <w:ind w:firstLine="420" w:firstLineChars="200"/>
        <w:rPr>
          <w:rFonts w:ascii="宋体" w:hAnsi="宋体" w:cs="宋体"/>
          <w:color w:val="auto"/>
          <w:szCs w:val="21"/>
          <w:highlight w:val="none"/>
        </w:rPr>
      </w:pPr>
      <w:bookmarkStart w:id="432" w:name="_Toc1287"/>
      <w:bookmarkStart w:id="433" w:name="_Toc337558817"/>
      <w:r>
        <w:rPr>
          <w:rFonts w:hint="eastAsia" w:ascii="宋体" w:hAnsi="宋体" w:cs="宋体"/>
          <w:color w:val="auto"/>
          <w:szCs w:val="21"/>
          <w:highlight w:val="none"/>
        </w:rPr>
        <w:t>15.2 缺陷责任期</w:t>
      </w:r>
      <w:bookmarkEnd w:id="430"/>
      <w:bookmarkEnd w:id="431"/>
      <w:bookmarkEnd w:id="432"/>
    </w:p>
    <w:bookmarkEnd w:id="433"/>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15.2.1 缺陷责任期从工程通过竣工验收之日起计算，合同当事人应在专用合同条款约定缺陷责任期的具体期限，但该期限最长不超过24个月。</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color w:val="auto"/>
          <w:szCs w:val="21"/>
          <w:highlight w:val="none"/>
        </w:rPr>
        <w:t>包人延长缺陷责任期，</w:t>
      </w:r>
      <w:r>
        <w:rPr>
          <w:rFonts w:hint="eastAsia" w:ascii="宋体" w:hAnsi="宋体" w:cs="宋体"/>
          <w:color w:val="auto"/>
          <w:kern w:val="0"/>
          <w:szCs w:val="21"/>
          <w:highlight w:val="none"/>
        </w:rPr>
        <w:t>并应在原缺陷责任期届满前发出延长通知。</w:t>
      </w:r>
      <w:r>
        <w:rPr>
          <w:rFonts w:hint="eastAsia" w:ascii="宋体" w:hAnsi="宋体" w:cs="宋体"/>
          <w:bCs/>
          <w:color w:val="auto"/>
          <w:szCs w:val="21"/>
          <w:highlight w:val="none"/>
        </w:rPr>
        <w:t>但缺陷责任期（含延长部分）最长</w:t>
      </w:r>
      <w:r>
        <w:rPr>
          <w:rFonts w:hint="eastAsia" w:ascii="宋体" w:hAnsi="宋体" w:cs="宋体"/>
          <w:color w:val="auto"/>
          <w:kern w:val="0"/>
          <w:szCs w:val="21"/>
          <w:highlight w:val="none"/>
        </w:rPr>
        <w:t>不能超过24个月。</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由他人原因造成的缺陷，发包人负责组织维修，承包人不承担费用，且发包人不得从保证金中扣除费用。</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9"/>
        <w:spacing w:before="120" w:after="120" w:line="360" w:lineRule="auto"/>
        <w:ind w:firstLine="420" w:firstLineChars="200"/>
        <w:rPr>
          <w:rFonts w:ascii="宋体" w:hAnsi="宋体" w:cs="宋体"/>
          <w:color w:val="auto"/>
          <w:szCs w:val="21"/>
          <w:highlight w:val="none"/>
        </w:rPr>
      </w:pPr>
      <w:bookmarkStart w:id="434" w:name="_Toc7897"/>
      <w:bookmarkStart w:id="435" w:name="_Toc337558818"/>
      <w:bookmarkStart w:id="436" w:name="_Toc296346616"/>
      <w:bookmarkStart w:id="437" w:name="_Toc296503115"/>
      <w:r>
        <w:rPr>
          <w:rFonts w:hint="eastAsia" w:ascii="宋体" w:hAnsi="宋体" w:cs="宋体"/>
          <w:color w:val="auto"/>
          <w:szCs w:val="21"/>
          <w:highlight w:val="none"/>
        </w:rPr>
        <w:t>15.3 质量保证金</w:t>
      </w:r>
      <w:bookmarkEnd w:id="434"/>
    </w:p>
    <w:bookmarkEnd w:id="435"/>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经合同当事人协商一致扣留质量保证金的，应在专用合同条款中予以明确。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在工程项目竣工前，承包人已经提供履约担保的，发包人不得同时预留工程质量保证金。</w:t>
      </w:r>
    </w:p>
    <w:p>
      <w:pPr>
        <w:autoSpaceDE w:val="0"/>
        <w:autoSpaceDN w:val="0"/>
        <w:adjustRightInd w:val="0"/>
        <w:spacing w:line="360" w:lineRule="auto"/>
        <w:ind w:firstLine="420" w:firstLineChars="200"/>
        <w:rPr>
          <w:rFonts w:ascii="宋体" w:hAnsi="宋体" w:cs="宋体"/>
          <w:color w:val="auto"/>
          <w:kern w:val="0"/>
          <w:szCs w:val="21"/>
          <w:highlight w:val="none"/>
        </w:rPr>
      </w:pP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15.3.1 承包人提供质量保证金的方式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承包人提供质量保证金有以下三种方式：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（1）质量保证金保函； </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（2）相应比例的工程款；</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（3）双方约定的其他方式。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除专用合同条款另有约定外，质量保证金原则上采用上述第（1）种方式。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15.3.2 质量保证金的扣留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质量保证金的扣留有以下三种方式：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w:t>
      </w:r>
      <w:bookmarkStart w:id="438" w:name="#go6"/>
      <w:bookmarkEnd w:id="438"/>
      <w:r>
        <w:rPr>
          <w:rFonts w:hint="eastAsia" w:ascii="宋体" w:hAnsi="宋体" w:cs="宋体"/>
          <w:color w:val="auto"/>
          <w:kern w:val="0"/>
          <w:szCs w:val="21"/>
          <w:highlight w:val="none"/>
        </w:rPr>
        <w:t>程竣工结算时一次性扣留质量保证金；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（3）双方约定的其他扣留方式。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除专用合同条款另有约定外，质量保证金的扣留原则上采用上述第（1）种方式。</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w:t>
      </w:r>
      <w:bookmarkStart w:id="439" w:name="#go4"/>
      <w:bookmarkEnd w:id="439"/>
      <w:r>
        <w:rPr>
          <w:rFonts w:hint="eastAsia" w:ascii="宋体" w:hAnsi="宋体" w:cs="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发包人在退还质量保证金的同时按照中国人民银行发布的同期同类贷款基准利率支付利息。</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15.3.3 </w:t>
      </w:r>
      <w:r>
        <w:rPr>
          <w:rFonts w:hint="eastAsia" w:ascii="宋体" w:hAnsi="宋体" w:cs="宋体"/>
          <w:color w:val="auto"/>
          <w:szCs w:val="21"/>
          <w:highlight w:val="none"/>
        </w:rPr>
        <w:t>质量保证金</w:t>
      </w:r>
      <w:r>
        <w:rPr>
          <w:rFonts w:hint="eastAsia" w:ascii="宋体" w:hAnsi="宋体" w:cs="宋体"/>
          <w:color w:val="auto"/>
          <w:kern w:val="0"/>
          <w:szCs w:val="21"/>
          <w:highlight w:val="none"/>
        </w:rPr>
        <w:t>的退还</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缺陷责任期内，承包人认真履行合同约定的责任，到期后，承包人可向发包人申请返还保证金。</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发包人和承包人对保证金预留、返还以及工程维修质量、费用有争议的，按本合同第20条约定的争议和纠纷解决程序处理。</w:t>
      </w:r>
    </w:p>
    <w:p>
      <w:pPr>
        <w:autoSpaceDE w:val="0"/>
        <w:autoSpaceDN w:val="0"/>
        <w:adjustRightInd w:val="0"/>
        <w:spacing w:line="360" w:lineRule="auto"/>
        <w:ind w:firstLine="420" w:firstLineChars="200"/>
        <w:rPr>
          <w:rFonts w:ascii="宋体" w:hAnsi="宋体" w:cs="宋体"/>
          <w:color w:val="auto"/>
          <w:kern w:val="0"/>
          <w:szCs w:val="21"/>
          <w:highlight w:val="none"/>
        </w:rPr>
      </w:pPr>
      <w:bookmarkStart w:id="440" w:name="_Toc337558819"/>
      <w:r>
        <w:rPr>
          <w:rFonts w:hint="eastAsia" w:ascii="宋体" w:hAnsi="宋体" w:cs="宋体"/>
          <w:color w:val="auto"/>
          <w:kern w:val="0"/>
          <w:szCs w:val="21"/>
          <w:highlight w:val="none"/>
        </w:rPr>
        <w:t>15.4 工程质量保修</w:t>
      </w:r>
    </w:p>
    <w:bookmarkEnd w:id="436"/>
    <w:bookmarkEnd w:id="437"/>
    <w:bookmarkEnd w:id="440"/>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15.4.1保修范围及保修期限：</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保修范围：承包人承包范围内工程项目，由于承包人施工质量问题和材料设备质量问题，均属承包人保修范围。</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保修期限：在正常使用条件下，投标人承诺的质量保修期不得低于《建设工程质量管理条例》规定的最低保修期限，建设工程的保修期自竣工验收合格之日起计算。投标人须在投标文件中明确质量保修期限。。</w:t>
      </w:r>
    </w:p>
    <w:p>
      <w:pPr>
        <w:pStyle w:val="8"/>
        <w:spacing w:before="120" w:after="120" w:line="360" w:lineRule="auto"/>
        <w:rPr>
          <w:rFonts w:ascii="宋体" w:hAnsi="宋体" w:cs="宋体"/>
          <w:b w:val="0"/>
          <w:color w:val="auto"/>
          <w:szCs w:val="21"/>
          <w:highlight w:val="none"/>
        </w:rPr>
      </w:pPr>
      <w:bookmarkStart w:id="441" w:name="_Toc5991"/>
      <w:bookmarkStart w:id="442" w:name="_Toc337558820"/>
      <w:r>
        <w:rPr>
          <w:rFonts w:hint="eastAsia" w:ascii="宋体" w:hAnsi="宋体" w:cs="宋体"/>
          <w:b w:val="0"/>
          <w:color w:val="auto"/>
          <w:szCs w:val="21"/>
          <w:highlight w:val="none"/>
        </w:rPr>
        <w:t>16. 违约</w:t>
      </w:r>
      <w:bookmarkEnd w:id="441"/>
    </w:p>
    <w:bookmarkEnd w:id="442"/>
    <w:p>
      <w:pPr>
        <w:pStyle w:val="9"/>
        <w:spacing w:before="120" w:after="120" w:line="360" w:lineRule="auto"/>
        <w:ind w:firstLine="420" w:firstLineChars="200"/>
        <w:rPr>
          <w:rFonts w:ascii="宋体" w:hAnsi="宋体" w:cs="宋体"/>
          <w:color w:val="auto"/>
          <w:szCs w:val="21"/>
          <w:highlight w:val="none"/>
        </w:rPr>
      </w:pPr>
      <w:bookmarkStart w:id="443" w:name="_Toc296346630"/>
      <w:bookmarkStart w:id="444" w:name="_Toc296503129"/>
      <w:bookmarkStart w:id="445" w:name="_Toc2844"/>
      <w:bookmarkStart w:id="446" w:name="_Toc337558821"/>
      <w:r>
        <w:rPr>
          <w:rFonts w:hint="eastAsia" w:ascii="宋体" w:hAnsi="宋体" w:cs="宋体"/>
          <w:color w:val="auto"/>
          <w:szCs w:val="21"/>
          <w:highlight w:val="none"/>
        </w:rPr>
        <w:t>16.1 发</w:t>
      </w:r>
      <w:bookmarkEnd w:id="443"/>
      <w:bookmarkEnd w:id="444"/>
      <w:r>
        <w:rPr>
          <w:rFonts w:hint="eastAsia" w:ascii="宋体" w:hAnsi="宋体" w:cs="宋体"/>
          <w:color w:val="auto"/>
          <w:szCs w:val="21"/>
          <w:highlight w:val="none"/>
        </w:rPr>
        <w:t>包人违约</w:t>
      </w:r>
      <w:bookmarkEnd w:id="445"/>
    </w:p>
    <w:bookmarkEnd w:id="446"/>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16.1.1 发包人违约的情形</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在合同履行过程中发生的下列情形，属于发包人违约：</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（1）因发包人原因未能在计划开工日期前7天内下达开工通知的；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（7）发包人明确表示或者以其行为表明不履行合同主要义务的；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（8）发包人未能按照合同约定履行其他义务的。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16.1.3 因发包人违约解除合同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16.1.4 因发包人违约解除合同后的付款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承包人按照本款约定解除合同的，发包人应在解除合同后28天内支付下列款项，并解除履约担保：</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（1）合同解除前所完成工作的价款；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（2）承包人为工程施工订购并已付款的材料、工程设备和其他物品的价款；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（3）承包人撤离施工现场以及遣散承包人人员的款项；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（4）按照合同约定在合同解除前应支付的违约金；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（5）按照合同约定应当支付给承包人的其他款项；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（6）按照合同约定应退还的质量保证金；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（7）因解除合同给承包人造成的损失。</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合同当事人未能就解除合同后的结清达成一致的，按照第20条〔争议解决〕的约定处理。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9"/>
        <w:spacing w:before="120" w:after="120" w:line="360" w:lineRule="auto"/>
        <w:ind w:firstLine="420" w:firstLineChars="200"/>
        <w:rPr>
          <w:rFonts w:ascii="宋体" w:hAnsi="宋体" w:cs="宋体"/>
          <w:color w:val="auto"/>
          <w:szCs w:val="21"/>
          <w:highlight w:val="none"/>
        </w:rPr>
      </w:pPr>
      <w:bookmarkStart w:id="447" w:name="_Toc18828"/>
      <w:bookmarkStart w:id="448" w:name="_Toc337558822"/>
      <w:bookmarkStart w:id="449" w:name="_Toc296503131"/>
      <w:bookmarkStart w:id="450" w:name="_Toc296346632"/>
      <w:r>
        <w:rPr>
          <w:rFonts w:hint="eastAsia" w:ascii="宋体" w:hAnsi="宋体" w:cs="宋体"/>
          <w:color w:val="auto"/>
          <w:szCs w:val="21"/>
          <w:highlight w:val="none"/>
        </w:rPr>
        <w:t>16.2 承包人违约</w:t>
      </w:r>
      <w:bookmarkEnd w:id="447"/>
    </w:p>
    <w:bookmarkEnd w:id="448"/>
    <w:bookmarkEnd w:id="449"/>
    <w:bookmarkEnd w:id="450"/>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在合同履行过程中发生的下列情形，属于承包人违约：</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（1）承包人违反合同约定进行转包或违法分包的；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（2）承包人违反合同约定采购和使用不合格的材料和工程设备的；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（3）因承包人原因导致工程质量不符合合同要求的； </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（4）承包人违反第8.9款〔材料与设备专用要求〕的约定，未经批准，私自将已按照合同约定进入施工现场的材料或设备撤离施工现场的；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（5）承包人未能按施工进度计划及时完成合同约定的工作，造成工期延误的；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（6）承包人在缺陷责任期及保修期内，未能在合理期限对工程缺陷进行修复，或拒绝按发包人要求进行修复的；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（7）承包人明确表示或者以其行为表明不履行合同主要义务的；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（8）承包人未能按照合同约定履行其他义务的。</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承包人发生除本项第（7）目约定以外的其他违约情况时，监理人可向承包人发出整改通知，要求其在指定的期限内改正。</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16.2.2 承包人违约的责任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16.2.3 因承包人违约解除合同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16.2.4因承包人违约解除合同后的处理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因承包人原因导致合同解除的，则合同当事人应在合同解除后28天内完成估价、付款和清算，并按以下约定执行：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（1）合同解除后，按第4.4款〔商定或确定〕商定或确定承包人实际完成工作对应的合同价款，以及承包人已提供的材料、工程设备、施工设备和临时工程等的价值；</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（2）合同解除后，承包人应支付的违约金；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（3）合同解除后，因解除合同给发包人造成的损失；</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（4）合同解除后，承包人应按照发包人要求和监理人的指示完成现场的清理和撤离；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（5）发包人和承包人应在合同解除后进行清算，出具最终结清付款证书，结清全部款项。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16.2.5采购合同权益转让</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9"/>
        <w:spacing w:before="120" w:after="120" w:line="360" w:lineRule="auto"/>
        <w:ind w:firstLine="420" w:firstLineChars="200"/>
        <w:rPr>
          <w:rFonts w:ascii="宋体" w:hAnsi="宋体" w:cs="宋体"/>
          <w:color w:val="auto"/>
          <w:szCs w:val="21"/>
          <w:highlight w:val="none"/>
        </w:rPr>
      </w:pPr>
      <w:bookmarkStart w:id="451" w:name="_Toc27778"/>
      <w:r>
        <w:rPr>
          <w:rFonts w:hint="eastAsia" w:ascii="宋体" w:hAnsi="宋体" w:cs="宋体"/>
          <w:color w:val="auto"/>
          <w:szCs w:val="21"/>
          <w:highlight w:val="none"/>
        </w:rPr>
        <w:t>16.3 第三人造成的违约</w:t>
      </w:r>
      <w:bookmarkEnd w:id="45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pPr>
        <w:pStyle w:val="8"/>
        <w:spacing w:before="120" w:after="120" w:line="360" w:lineRule="auto"/>
        <w:rPr>
          <w:rFonts w:ascii="宋体" w:hAnsi="宋体" w:cs="宋体"/>
          <w:b w:val="0"/>
          <w:color w:val="auto"/>
          <w:szCs w:val="21"/>
          <w:highlight w:val="none"/>
        </w:rPr>
      </w:pPr>
      <w:bookmarkStart w:id="452" w:name="_Toc337558823"/>
      <w:bookmarkStart w:id="453" w:name="_Toc10237"/>
      <w:bookmarkStart w:id="454" w:name="_Toc296503116"/>
      <w:bookmarkStart w:id="455" w:name="_Toc296346617"/>
      <w:r>
        <w:rPr>
          <w:rFonts w:hint="eastAsia" w:ascii="宋体" w:hAnsi="宋体" w:cs="宋体"/>
          <w:b w:val="0"/>
          <w:color w:val="auto"/>
          <w:szCs w:val="21"/>
          <w:highlight w:val="none"/>
        </w:rPr>
        <w:t>17. 不可抗力</w:t>
      </w:r>
      <w:bookmarkEnd w:id="452"/>
      <w:bookmarkEnd w:id="453"/>
      <w:bookmarkEnd w:id="454"/>
      <w:bookmarkEnd w:id="455"/>
    </w:p>
    <w:p>
      <w:pPr>
        <w:pStyle w:val="9"/>
        <w:spacing w:before="120" w:after="120" w:line="360" w:lineRule="auto"/>
        <w:ind w:firstLine="420" w:firstLineChars="200"/>
        <w:rPr>
          <w:rFonts w:ascii="宋体" w:hAnsi="宋体" w:cs="宋体"/>
          <w:color w:val="auto"/>
          <w:szCs w:val="21"/>
          <w:highlight w:val="none"/>
        </w:rPr>
      </w:pPr>
      <w:bookmarkStart w:id="456" w:name="_Toc2787"/>
      <w:bookmarkStart w:id="457" w:name="_Toc296503117"/>
      <w:bookmarkStart w:id="458" w:name="_Toc296346618"/>
      <w:bookmarkStart w:id="459" w:name="_Toc337558824"/>
      <w:r>
        <w:rPr>
          <w:rFonts w:hint="eastAsia" w:ascii="宋体" w:hAnsi="宋体" w:cs="宋体"/>
          <w:color w:val="auto"/>
          <w:szCs w:val="21"/>
          <w:highlight w:val="none"/>
        </w:rPr>
        <w:t>17.1 不可抗力的确认</w:t>
      </w:r>
      <w:bookmarkEnd w:id="456"/>
    </w:p>
    <w:bookmarkEnd w:id="457"/>
    <w:bookmarkEnd w:id="458"/>
    <w:bookmarkEnd w:id="459"/>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9"/>
        <w:spacing w:before="120" w:after="120" w:line="360" w:lineRule="auto"/>
        <w:ind w:firstLine="420" w:firstLineChars="200"/>
        <w:rPr>
          <w:rFonts w:ascii="宋体" w:hAnsi="宋体" w:cs="宋体"/>
          <w:color w:val="auto"/>
          <w:szCs w:val="21"/>
          <w:highlight w:val="none"/>
        </w:rPr>
      </w:pPr>
      <w:bookmarkStart w:id="460" w:name="_Toc23261"/>
      <w:bookmarkStart w:id="461" w:name="_Toc296503118"/>
      <w:bookmarkStart w:id="462" w:name="_Toc337558825"/>
      <w:bookmarkStart w:id="463" w:name="_Toc296346619"/>
      <w:r>
        <w:rPr>
          <w:rFonts w:hint="eastAsia" w:ascii="宋体" w:hAnsi="宋体" w:cs="宋体"/>
          <w:color w:val="auto"/>
          <w:szCs w:val="21"/>
          <w:highlight w:val="none"/>
        </w:rPr>
        <w:t>17.2 不可抗力的通知</w:t>
      </w:r>
      <w:bookmarkEnd w:id="460"/>
    </w:p>
    <w:bookmarkEnd w:id="461"/>
    <w:bookmarkEnd w:id="462"/>
    <w:bookmarkEnd w:id="463"/>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9"/>
        <w:spacing w:before="120" w:after="120" w:line="360" w:lineRule="auto"/>
        <w:ind w:firstLine="420" w:firstLineChars="200"/>
        <w:rPr>
          <w:rFonts w:ascii="宋体" w:hAnsi="宋体" w:cs="宋体"/>
          <w:color w:val="auto"/>
          <w:szCs w:val="21"/>
          <w:highlight w:val="none"/>
        </w:rPr>
      </w:pPr>
      <w:bookmarkStart w:id="464" w:name="_Toc5850"/>
      <w:bookmarkStart w:id="465" w:name="_Toc296503119"/>
      <w:bookmarkStart w:id="466" w:name="_Toc337558826"/>
      <w:bookmarkStart w:id="467" w:name="_Toc296346620"/>
      <w:r>
        <w:rPr>
          <w:rFonts w:hint="eastAsia" w:ascii="宋体" w:hAnsi="宋体" w:cs="宋体"/>
          <w:color w:val="auto"/>
          <w:szCs w:val="21"/>
          <w:highlight w:val="none"/>
        </w:rPr>
        <w:t>17.3 不可抗力后果的承担</w:t>
      </w:r>
      <w:bookmarkEnd w:id="464"/>
    </w:p>
    <w:bookmarkEnd w:id="465"/>
    <w:bookmarkEnd w:id="466"/>
    <w:bookmarkEnd w:id="46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17.3.2 不可抗力导致的人员伤亡、财产损失、费用增加和（或）工期延误等后果，由合同当事人按以下原则承担：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（2）承包人施工设备的损坏由承包人承担；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（3）发包人和承包人承担各自人员伤亡和财产的损失；</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（5）因不可抗力引起或将引起工期延误，发包人要求赶工的，由此增加的赶工费用由发包人承担；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（6）承包人在停工期间按照发包人要求照管、清理和修复工程的费用由发包人承担。</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因合同一方迟延履行合同义务，在迟延履行期间遭遇不可抗力的，不免除其违约责任。</w:t>
      </w:r>
    </w:p>
    <w:p>
      <w:pPr>
        <w:pStyle w:val="9"/>
        <w:spacing w:before="120" w:after="120" w:line="360" w:lineRule="auto"/>
        <w:ind w:firstLine="420" w:firstLineChars="200"/>
        <w:rPr>
          <w:rFonts w:ascii="宋体" w:hAnsi="宋体" w:cs="宋体"/>
          <w:color w:val="auto"/>
          <w:szCs w:val="21"/>
          <w:highlight w:val="none"/>
        </w:rPr>
      </w:pPr>
      <w:bookmarkStart w:id="468" w:name="_Toc23893"/>
      <w:bookmarkStart w:id="469" w:name="_Toc337558827"/>
      <w:r>
        <w:rPr>
          <w:rFonts w:hint="eastAsia" w:ascii="宋体" w:hAnsi="宋体" w:cs="宋体"/>
          <w:color w:val="auto"/>
          <w:szCs w:val="21"/>
          <w:highlight w:val="none"/>
        </w:rPr>
        <w:t>17.4 因不可抗力解除合同</w:t>
      </w:r>
      <w:bookmarkEnd w:id="468"/>
    </w:p>
    <w:bookmarkEnd w:id="469"/>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（1）合同解除前承包人已完成工作的价款；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（2）承包人为工程订购的并已交付给承包人，或承包人有责任接受交付的材料、工程设备和其他物品的价款；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（3）发包人要求承包人退货或解除订货合同而产生的费用，或因不能退货或解除合同而产生的损失；</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（4）承包人撤离施工现场以及遣散承包人人员的费用；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（5）按照合同约定在合同解除前应支付给承包人的其他款项；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（6）扣减承包人按照合同约定应向发包人支付的款项；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（7）双方商定或确定的其他款项。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除专用合同条款另有约定外，合同解除后，发包人应在商定或确定上述款项后28天内完成上述款项的支付。</w:t>
      </w:r>
    </w:p>
    <w:p>
      <w:pPr>
        <w:pStyle w:val="8"/>
        <w:spacing w:before="120" w:after="120" w:line="360" w:lineRule="auto"/>
        <w:rPr>
          <w:rFonts w:ascii="宋体" w:hAnsi="宋体" w:cs="宋体"/>
          <w:b w:val="0"/>
          <w:color w:val="auto"/>
          <w:szCs w:val="21"/>
          <w:highlight w:val="none"/>
        </w:rPr>
      </w:pPr>
      <w:bookmarkStart w:id="470" w:name="_Toc24574"/>
      <w:bookmarkStart w:id="471" w:name="_Toc296346621"/>
      <w:bookmarkStart w:id="472" w:name="_Toc296503120"/>
      <w:bookmarkStart w:id="473" w:name="_Toc337558828"/>
      <w:r>
        <w:rPr>
          <w:rFonts w:hint="eastAsia" w:ascii="宋体" w:hAnsi="宋体" w:cs="宋体"/>
          <w:b w:val="0"/>
          <w:color w:val="auto"/>
          <w:szCs w:val="21"/>
          <w:highlight w:val="none"/>
        </w:rPr>
        <w:t>18. 保险</w:t>
      </w:r>
      <w:bookmarkEnd w:id="470"/>
    </w:p>
    <w:bookmarkEnd w:id="471"/>
    <w:bookmarkEnd w:id="472"/>
    <w:bookmarkEnd w:id="473"/>
    <w:p>
      <w:pPr>
        <w:pStyle w:val="9"/>
        <w:spacing w:before="120" w:after="120" w:line="360" w:lineRule="auto"/>
        <w:ind w:firstLine="420" w:firstLineChars="200"/>
        <w:rPr>
          <w:rFonts w:ascii="宋体" w:hAnsi="宋体" w:cs="宋体"/>
          <w:color w:val="auto"/>
          <w:szCs w:val="21"/>
          <w:highlight w:val="none"/>
        </w:rPr>
      </w:pPr>
      <w:bookmarkStart w:id="474" w:name="_Toc17771"/>
      <w:bookmarkStart w:id="475" w:name="_Toc337558829"/>
      <w:bookmarkStart w:id="476" w:name="_Toc296503121"/>
      <w:bookmarkStart w:id="477" w:name="_Toc296346622"/>
      <w:r>
        <w:rPr>
          <w:rFonts w:hint="eastAsia" w:ascii="宋体" w:hAnsi="宋体" w:cs="宋体"/>
          <w:color w:val="auto"/>
          <w:szCs w:val="21"/>
          <w:highlight w:val="none"/>
        </w:rPr>
        <w:t>18.1 工程保险</w:t>
      </w:r>
      <w:bookmarkEnd w:id="474"/>
    </w:p>
    <w:bookmarkEnd w:id="475"/>
    <w:bookmarkEnd w:id="476"/>
    <w:bookmarkEnd w:id="47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pPr>
        <w:pStyle w:val="9"/>
        <w:spacing w:before="120" w:after="120" w:line="360" w:lineRule="auto"/>
        <w:ind w:firstLine="420" w:firstLineChars="200"/>
        <w:rPr>
          <w:rFonts w:ascii="宋体" w:hAnsi="宋体" w:cs="宋体"/>
          <w:color w:val="auto"/>
          <w:szCs w:val="21"/>
          <w:highlight w:val="none"/>
        </w:rPr>
      </w:pPr>
      <w:bookmarkStart w:id="478" w:name="_Toc15837"/>
      <w:bookmarkStart w:id="479" w:name="_Toc296346623"/>
      <w:bookmarkStart w:id="480" w:name="_Toc337558830"/>
      <w:bookmarkStart w:id="481" w:name="_Toc296503122"/>
      <w:r>
        <w:rPr>
          <w:rFonts w:hint="eastAsia" w:ascii="宋体" w:hAnsi="宋体" w:cs="宋体"/>
          <w:color w:val="auto"/>
          <w:szCs w:val="21"/>
          <w:highlight w:val="none"/>
        </w:rPr>
        <w:t>18.2 工伤保险</w:t>
      </w:r>
      <w:bookmarkEnd w:id="478"/>
    </w:p>
    <w:bookmarkEnd w:id="479"/>
    <w:bookmarkEnd w:id="480"/>
    <w:bookmarkEnd w:id="481"/>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pPr>
        <w:pStyle w:val="9"/>
        <w:spacing w:before="120" w:after="120" w:line="360" w:lineRule="auto"/>
        <w:ind w:firstLine="420" w:firstLineChars="200"/>
        <w:rPr>
          <w:rFonts w:ascii="宋体" w:hAnsi="宋体" w:cs="宋体"/>
          <w:color w:val="auto"/>
          <w:szCs w:val="21"/>
          <w:highlight w:val="none"/>
        </w:rPr>
      </w:pPr>
      <w:bookmarkStart w:id="482" w:name="_Toc18312"/>
      <w:bookmarkStart w:id="483" w:name="_Toc296346626"/>
      <w:bookmarkStart w:id="484" w:name="_Toc337558831"/>
      <w:bookmarkStart w:id="485" w:name="_Toc296503125"/>
      <w:r>
        <w:rPr>
          <w:rFonts w:hint="eastAsia" w:ascii="宋体" w:hAnsi="宋体" w:cs="宋体"/>
          <w:color w:val="auto"/>
          <w:szCs w:val="21"/>
          <w:highlight w:val="none"/>
        </w:rPr>
        <w:t>18.3其他保险</w:t>
      </w:r>
      <w:bookmarkEnd w:id="482"/>
    </w:p>
    <w:bookmarkEnd w:id="483"/>
    <w:bookmarkEnd w:id="484"/>
    <w:bookmarkEnd w:id="485"/>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除专用合同条款另有约定外，承包人应为其施工设备等办理财产保险。</w:t>
      </w:r>
    </w:p>
    <w:p>
      <w:pPr>
        <w:pStyle w:val="9"/>
        <w:spacing w:before="120" w:after="120" w:line="360" w:lineRule="auto"/>
        <w:ind w:firstLine="420" w:firstLineChars="200"/>
        <w:rPr>
          <w:rFonts w:ascii="宋体" w:hAnsi="宋体" w:cs="宋体"/>
          <w:color w:val="auto"/>
          <w:szCs w:val="21"/>
          <w:highlight w:val="none"/>
        </w:rPr>
      </w:pPr>
      <w:bookmarkStart w:id="486" w:name="_Toc18925"/>
      <w:r>
        <w:rPr>
          <w:rFonts w:hint="eastAsia" w:ascii="宋体" w:hAnsi="宋体" w:cs="宋体"/>
          <w:color w:val="auto"/>
          <w:szCs w:val="21"/>
          <w:highlight w:val="none"/>
        </w:rPr>
        <w:t>18.4持续保险</w:t>
      </w:r>
      <w:bookmarkEnd w:id="48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合同当事人应与保险人保持联系，使保险人能够随时了解工程实施中的变动，并确保按保险合同条款要求持续保险。</w:t>
      </w:r>
    </w:p>
    <w:p>
      <w:pPr>
        <w:pStyle w:val="9"/>
        <w:spacing w:before="120" w:after="120" w:line="360" w:lineRule="auto"/>
        <w:ind w:firstLine="420" w:firstLineChars="200"/>
        <w:rPr>
          <w:rFonts w:ascii="宋体" w:hAnsi="宋体" w:cs="宋体"/>
          <w:color w:val="auto"/>
          <w:szCs w:val="21"/>
          <w:highlight w:val="none"/>
        </w:rPr>
      </w:pPr>
      <w:bookmarkStart w:id="487" w:name="_Toc15164"/>
      <w:bookmarkStart w:id="488" w:name="_Toc296503126"/>
      <w:bookmarkStart w:id="489" w:name="_Toc337558832"/>
      <w:bookmarkStart w:id="490" w:name="_Toc296346627"/>
      <w:r>
        <w:rPr>
          <w:rFonts w:hint="eastAsia" w:ascii="宋体" w:hAnsi="宋体" w:cs="宋体"/>
          <w:color w:val="auto"/>
          <w:szCs w:val="21"/>
          <w:highlight w:val="none"/>
        </w:rPr>
        <w:t>18.5 保险凭证</w:t>
      </w:r>
      <w:bookmarkEnd w:id="487"/>
    </w:p>
    <w:bookmarkEnd w:id="488"/>
    <w:bookmarkEnd w:id="489"/>
    <w:bookmarkEnd w:id="490"/>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合同当事人应及时向另一方当事人提交其已投保的各项保险的凭证和保险单复印件。</w:t>
      </w:r>
    </w:p>
    <w:p>
      <w:pPr>
        <w:pStyle w:val="9"/>
        <w:spacing w:before="120" w:after="120" w:line="360" w:lineRule="auto"/>
        <w:ind w:firstLine="420" w:firstLineChars="200"/>
        <w:rPr>
          <w:rFonts w:ascii="宋体" w:hAnsi="宋体" w:cs="宋体"/>
          <w:color w:val="auto"/>
          <w:szCs w:val="21"/>
          <w:highlight w:val="none"/>
        </w:rPr>
      </w:pPr>
      <w:bookmarkStart w:id="491" w:name="_Toc14789"/>
      <w:bookmarkStart w:id="492" w:name="_Toc296503127"/>
      <w:bookmarkStart w:id="493" w:name="_Toc337558833"/>
      <w:bookmarkStart w:id="494" w:name="_Toc296346628"/>
      <w:r>
        <w:rPr>
          <w:rFonts w:hint="eastAsia" w:ascii="宋体" w:hAnsi="宋体" w:cs="宋体"/>
          <w:color w:val="auto"/>
          <w:szCs w:val="21"/>
          <w:highlight w:val="none"/>
        </w:rPr>
        <w:t>18.6 未按约定投保的补救</w:t>
      </w:r>
      <w:bookmarkEnd w:id="491"/>
    </w:p>
    <w:bookmarkEnd w:id="492"/>
    <w:bookmarkEnd w:id="493"/>
    <w:bookmarkEnd w:id="494"/>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9"/>
        <w:spacing w:before="120" w:after="120" w:line="360" w:lineRule="auto"/>
        <w:ind w:firstLine="420" w:firstLineChars="200"/>
        <w:rPr>
          <w:rFonts w:ascii="宋体" w:hAnsi="宋体" w:cs="宋体"/>
          <w:color w:val="auto"/>
          <w:szCs w:val="21"/>
          <w:highlight w:val="none"/>
        </w:rPr>
      </w:pPr>
      <w:bookmarkStart w:id="495" w:name="_Toc21241"/>
      <w:bookmarkStart w:id="496" w:name="_Toc337558834"/>
      <w:r>
        <w:rPr>
          <w:rFonts w:hint="eastAsia" w:ascii="宋体" w:hAnsi="宋体" w:cs="宋体"/>
          <w:color w:val="auto"/>
          <w:szCs w:val="21"/>
          <w:highlight w:val="none"/>
        </w:rPr>
        <w:t>18.7 通知义务</w:t>
      </w:r>
      <w:bookmarkEnd w:id="495"/>
    </w:p>
    <w:bookmarkEnd w:id="496"/>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保险事故发生时，投保人应按照保险合同规定的条件和期限及时向保险人报告。发包人和承包人应当在知道保险事故发生后及时通知对方。</w:t>
      </w:r>
    </w:p>
    <w:p>
      <w:pPr>
        <w:pStyle w:val="8"/>
        <w:spacing w:before="120" w:after="120" w:line="360" w:lineRule="auto"/>
        <w:rPr>
          <w:rFonts w:ascii="宋体" w:hAnsi="宋体" w:cs="宋体"/>
          <w:b w:val="0"/>
          <w:color w:val="auto"/>
          <w:szCs w:val="21"/>
          <w:highlight w:val="none"/>
        </w:rPr>
      </w:pPr>
      <w:bookmarkStart w:id="497" w:name="_Toc25693"/>
      <w:bookmarkStart w:id="498" w:name="_Toc296346641"/>
      <w:bookmarkStart w:id="499" w:name="_Toc337558835"/>
      <w:bookmarkStart w:id="500" w:name="_Toc296503140"/>
      <w:r>
        <w:rPr>
          <w:rFonts w:hint="eastAsia" w:ascii="宋体" w:hAnsi="宋体" w:cs="宋体"/>
          <w:b w:val="0"/>
          <w:color w:val="auto"/>
          <w:szCs w:val="21"/>
          <w:highlight w:val="none"/>
        </w:rPr>
        <w:t>19. 索赔</w:t>
      </w:r>
      <w:bookmarkEnd w:id="497"/>
    </w:p>
    <w:bookmarkEnd w:id="498"/>
    <w:bookmarkEnd w:id="499"/>
    <w:bookmarkEnd w:id="500"/>
    <w:p>
      <w:pPr>
        <w:pStyle w:val="9"/>
        <w:spacing w:before="120" w:after="120" w:line="360" w:lineRule="auto"/>
        <w:ind w:firstLine="420" w:firstLineChars="200"/>
        <w:rPr>
          <w:rFonts w:ascii="宋体" w:hAnsi="宋体" w:cs="宋体"/>
          <w:color w:val="auto"/>
          <w:szCs w:val="21"/>
          <w:highlight w:val="none"/>
        </w:rPr>
      </w:pPr>
      <w:bookmarkStart w:id="501" w:name="_Toc1763"/>
      <w:bookmarkStart w:id="502" w:name="_Toc337558836"/>
      <w:bookmarkStart w:id="503" w:name="_Toc296346642"/>
      <w:bookmarkStart w:id="504" w:name="_Toc296503141"/>
      <w:r>
        <w:rPr>
          <w:rFonts w:hint="eastAsia" w:ascii="宋体" w:hAnsi="宋体" w:cs="宋体"/>
          <w:color w:val="auto"/>
          <w:szCs w:val="21"/>
          <w:highlight w:val="none"/>
        </w:rPr>
        <w:t>19.1承包人的索赔</w:t>
      </w:r>
      <w:bookmarkEnd w:id="501"/>
    </w:p>
    <w:bookmarkEnd w:id="502"/>
    <w:bookmarkEnd w:id="503"/>
    <w:bookmarkEnd w:id="504"/>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根据合同约定，承包人认为有权得到追加付款和（或）延长工期的，应按以下程序向发包人提出索赔：</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（4）在索赔事件影响结束后28天内，承包人应向监理人递交最终索赔报告，说明最终要求索赔的追加付款金额和（或）延长的工期，并附必要的记录和证明材料。</w:t>
      </w:r>
    </w:p>
    <w:p>
      <w:pPr>
        <w:pStyle w:val="9"/>
        <w:spacing w:before="120" w:after="120" w:line="360" w:lineRule="auto"/>
        <w:ind w:firstLine="420" w:firstLineChars="200"/>
        <w:rPr>
          <w:rFonts w:ascii="宋体" w:hAnsi="宋体" w:cs="宋体"/>
          <w:color w:val="auto"/>
          <w:szCs w:val="21"/>
          <w:highlight w:val="none"/>
        </w:rPr>
      </w:pPr>
      <w:bookmarkStart w:id="505" w:name="_Toc4654"/>
      <w:bookmarkStart w:id="506" w:name="_Toc296346643"/>
      <w:bookmarkStart w:id="507" w:name="_Toc337558837"/>
      <w:bookmarkStart w:id="508" w:name="_Toc296503142"/>
      <w:r>
        <w:rPr>
          <w:rFonts w:hint="eastAsia" w:ascii="宋体" w:hAnsi="宋体" w:cs="宋体"/>
          <w:color w:val="auto"/>
          <w:szCs w:val="21"/>
          <w:highlight w:val="none"/>
        </w:rPr>
        <w:t>19.2 对承包人索赔的处理</w:t>
      </w:r>
      <w:bookmarkEnd w:id="505"/>
    </w:p>
    <w:bookmarkEnd w:id="506"/>
    <w:bookmarkEnd w:id="507"/>
    <w:bookmarkEnd w:id="508"/>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对承包人索赔的处理如下：</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（3）承包人接受索赔处理结果的，索赔款项在当期进度款中进行支付；承包人不接受索赔处理结果的，按照第20条〔争议解决〕约定处理。</w:t>
      </w:r>
    </w:p>
    <w:p>
      <w:pPr>
        <w:pStyle w:val="9"/>
        <w:spacing w:before="120" w:after="120" w:line="360" w:lineRule="auto"/>
        <w:ind w:firstLine="420" w:firstLineChars="200"/>
        <w:rPr>
          <w:rFonts w:ascii="宋体" w:hAnsi="宋体" w:cs="宋体"/>
          <w:color w:val="auto"/>
          <w:szCs w:val="21"/>
          <w:highlight w:val="none"/>
        </w:rPr>
      </w:pPr>
      <w:bookmarkStart w:id="509" w:name="_Toc29415"/>
      <w:bookmarkStart w:id="510" w:name="_Toc296503143"/>
      <w:bookmarkStart w:id="511" w:name="_Toc296346644"/>
      <w:bookmarkStart w:id="512" w:name="_Toc337558838"/>
      <w:r>
        <w:rPr>
          <w:rFonts w:hint="eastAsia" w:ascii="宋体" w:hAnsi="宋体" w:cs="宋体"/>
          <w:color w:val="auto"/>
          <w:szCs w:val="21"/>
          <w:highlight w:val="none"/>
        </w:rPr>
        <w:t>19.3发包人的索赔</w:t>
      </w:r>
      <w:bookmarkEnd w:id="509"/>
    </w:p>
    <w:bookmarkEnd w:id="510"/>
    <w:bookmarkEnd w:id="511"/>
    <w:bookmarkEnd w:id="512"/>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9"/>
        <w:spacing w:before="120" w:after="120" w:line="360" w:lineRule="auto"/>
        <w:ind w:firstLine="420" w:firstLineChars="200"/>
        <w:rPr>
          <w:rFonts w:ascii="宋体" w:hAnsi="宋体" w:cs="宋体"/>
          <w:color w:val="auto"/>
          <w:szCs w:val="21"/>
          <w:highlight w:val="none"/>
        </w:rPr>
      </w:pPr>
      <w:bookmarkStart w:id="513" w:name="_Toc30562"/>
      <w:bookmarkStart w:id="514" w:name="_Toc337558839"/>
      <w:bookmarkStart w:id="515" w:name="_Toc296346645"/>
      <w:bookmarkStart w:id="516" w:name="_Toc296503144"/>
      <w:r>
        <w:rPr>
          <w:rFonts w:hint="eastAsia" w:ascii="宋体" w:hAnsi="宋体" w:cs="宋体"/>
          <w:color w:val="auto"/>
          <w:szCs w:val="21"/>
          <w:highlight w:val="none"/>
        </w:rPr>
        <w:t>19.4 对发包人索赔的处理</w:t>
      </w:r>
      <w:bookmarkEnd w:id="513"/>
    </w:p>
    <w:bookmarkEnd w:id="514"/>
    <w:bookmarkEnd w:id="515"/>
    <w:bookmarkEnd w:id="516"/>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对发包人索赔的处理如下：</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（1）承包人收到发包人提交的索赔报告后，应及时审查索赔报告的内容、查验发包人证明材料；</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9"/>
        <w:spacing w:before="120" w:after="120" w:line="360" w:lineRule="auto"/>
        <w:ind w:firstLine="420" w:firstLineChars="200"/>
        <w:rPr>
          <w:rFonts w:ascii="宋体" w:hAnsi="宋体" w:cs="宋体"/>
          <w:color w:val="auto"/>
          <w:szCs w:val="21"/>
          <w:highlight w:val="none"/>
        </w:rPr>
      </w:pPr>
      <w:bookmarkStart w:id="517" w:name="_Toc10928"/>
      <w:r>
        <w:rPr>
          <w:rFonts w:hint="eastAsia" w:ascii="宋体" w:hAnsi="宋体" w:cs="宋体"/>
          <w:color w:val="auto"/>
          <w:szCs w:val="21"/>
          <w:highlight w:val="none"/>
        </w:rPr>
        <w:t>19.5 提出索赔的期限</w:t>
      </w:r>
      <w:bookmarkEnd w:id="517"/>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（1）承包人按第14.2款〔竣工结算审核〕约定接收竣工付款证书后，应被视为已无权再提出在工程接收证书颁发前所发生的任何索赔。</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（2）承包人按第14.4款〔最终结清〕提交的最终结清申请单中，只限于提出工程接收证书颁发后发生的索赔。提出索赔的期限自接受最终结清证书时终止。</w:t>
      </w:r>
    </w:p>
    <w:p>
      <w:pPr>
        <w:pStyle w:val="8"/>
        <w:spacing w:before="120" w:after="120" w:line="360" w:lineRule="auto"/>
        <w:rPr>
          <w:rFonts w:ascii="宋体" w:hAnsi="宋体" w:cs="宋体"/>
          <w:b w:val="0"/>
          <w:color w:val="auto"/>
          <w:szCs w:val="21"/>
          <w:highlight w:val="none"/>
        </w:rPr>
      </w:pPr>
      <w:bookmarkStart w:id="518" w:name="_Toc28791"/>
      <w:r>
        <w:rPr>
          <w:rFonts w:hint="eastAsia" w:ascii="宋体" w:hAnsi="宋体" w:cs="宋体"/>
          <w:b w:val="0"/>
          <w:color w:val="auto"/>
          <w:szCs w:val="21"/>
          <w:highlight w:val="none"/>
        </w:rPr>
        <w:t>20</w:t>
      </w:r>
      <w:bookmarkStart w:id="519" w:name="_Toc337558840"/>
      <w:bookmarkStart w:id="520" w:name="_Toc296346647"/>
      <w:bookmarkStart w:id="521" w:name="_Toc296503146"/>
      <w:r>
        <w:rPr>
          <w:rFonts w:hint="eastAsia" w:ascii="宋体" w:hAnsi="宋体" w:cs="宋体"/>
          <w:b w:val="0"/>
          <w:color w:val="auto"/>
          <w:szCs w:val="21"/>
          <w:highlight w:val="none"/>
        </w:rPr>
        <w:t>. 争议解决</w:t>
      </w:r>
      <w:bookmarkEnd w:id="518"/>
    </w:p>
    <w:bookmarkEnd w:id="519"/>
    <w:bookmarkEnd w:id="520"/>
    <w:bookmarkEnd w:id="521"/>
    <w:p>
      <w:pPr>
        <w:pStyle w:val="9"/>
        <w:spacing w:before="120" w:after="120" w:line="360" w:lineRule="auto"/>
        <w:ind w:firstLine="420" w:firstLineChars="200"/>
        <w:rPr>
          <w:rFonts w:ascii="宋体" w:hAnsi="宋体" w:cs="宋体"/>
          <w:color w:val="auto"/>
          <w:szCs w:val="21"/>
          <w:highlight w:val="none"/>
        </w:rPr>
      </w:pPr>
      <w:bookmarkStart w:id="522" w:name="_Toc23102"/>
      <w:bookmarkStart w:id="523" w:name="_Toc337558841"/>
      <w:bookmarkStart w:id="524" w:name="_Toc296346648"/>
      <w:bookmarkStart w:id="525" w:name="_Toc296503147"/>
      <w:r>
        <w:rPr>
          <w:rFonts w:hint="eastAsia" w:ascii="宋体" w:hAnsi="宋体" w:cs="宋体"/>
          <w:color w:val="auto"/>
          <w:szCs w:val="21"/>
          <w:highlight w:val="none"/>
        </w:rPr>
        <w:t>20.1和解</w:t>
      </w:r>
      <w:bookmarkEnd w:id="522"/>
    </w:p>
    <w:bookmarkEnd w:id="523"/>
    <w:bookmarkEnd w:id="524"/>
    <w:bookmarkEnd w:id="525"/>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合同当事人可以就争议自行和解，自行和解达成协议的经双方签字并盖章后作为合同补充文件，双方均应遵照执行。</w:t>
      </w:r>
    </w:p>
    <w:p>
      <w:pPr>
        <w:pStyle w:val="9"/>
        <w:spacing w:before="120" w:after="120" w:line="360" w:lineRule="auto"/>
        <w:ind w:firstLine="420" w:firstLineChars="200"/>
        <w:rPr>
          <w:rFonts w:ascii="宋体" w:hAnsi="宋体" w:cs="宋体"/>
          <w:color w:val="auto"/>
          <w:szCs w:val="21"/>
          <w:highlight w:val="none"/>
        </w:rPr>
      </w:pPr>
      <w:bookmarkStart w:id="526" w:name="_Toc7425"/>
      <w:r>
        <w:rPr>
          <w:rFonts w:hint="eastAsia" w:ascii="宋体" w:hAnsi="宋体" w:cs="宋体"/>
          <w:color w:val="auto"/>
          <w:szCs w:val="21"/>
          <w:highlight w:val="none"/>
        </w:rPr>
        <w:t>20</w:t>
      </w:r>
      <w:bookmarkStart w:id="527" w:name="_Toc296503148"/>
      <w:bookmarkStart w:id="528" w:name="_Toc337558842"/>
      <w:bookmarkStart w:id="529" w:name="_Toc296346649"/>
      <w:r>
        <w:rPr>
          <w:rFonts w:hint="eastAsia" w:ascii="宋体" w:hAnsi="宋体" w:cs="宋体"/>
          <w:color w:val="auto"/>
          <w:szCs w:val="21"/>
          <w:highlight w:val="none"/>
        </w:rPr>
        <w:t>.2调解</w:t>
      </w:r>
      <w:bookmarkEnd w:id="526"/>
    </w:p>
    <w:bookmarkEnd w:id="527"/>
    <w:bookmarkEnd w:id="528"/>
    <w:bookmarkEnd w:id="529"/>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合同当事人可以就争议请求建设行政主管部门、行业协会或其他第三方进行调解，调解达成协议的，经双方签字并盖章后作为合同补充文件，双方均应遵照执行。</w:t>
      </w:r>
    </w:p>
    <w:p>
      <w:pPr>
        <w:pStyle w:val="9"/>
        <w:spacing w:before="120" w:after="120" w:line="360" w:lineRule="auto"/>
        <w:ind w:firstLine="420" w:firstLineChars="200"/>
        <w:rPr>
          <w:rFonts w:ascii="宋体" w:hAnsi="宋体" w:cs="宋体"/>
          <w:color w:val="auto"/>
          <w:szCs w:val="21"/>
          <w:highlight w:val="none"/>
        </w:rPr>
      </w:pPr>
      <w:bookmarkStart w:id="530" w:name="_Toc36"/>
      <w:bookmarkStart w:id="531" w:name="_Toc296346650"/>
      <w:bookmarkStart w:id="532" w:name="_Toc337558843"/>
      <w:bookmarkStart w:id="533" w:name="_Toc296503149"/>
      <w:r>
        <w:rPr>
          <w:rFonts w:hint="eastAsia" w:ascii="宋体" w:hAnsi="宋体" w:cs="宋体"/>
          <w:color w:val="auto"/>
          <w:szCs w:val="21"/>
          <w:highlight w:val="none"/>
        </w:rPr>
        <w:t>20.3争议评审</w:t>
      </w:r>
      <w:bookmarkEnd w:id="530"/>
    </w:p>
    <w:bookmarkEnd w:id="531"/>
    <w:bookmarkEnd w:id="532"/>
    <w:bookmarkEnd w:id="533"/>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合同当事人在专用合同条款中约定采取争议评审方式解决争议以及评审规则，并按下列约定执行： </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20.3.1 争议评审小组的确定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除专用合同条款另有约定外，评审员报酬由发包人和承包人各承担一半。</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20.3.3 争议评审小组决定的效力</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争议评审小组作出的书面决定经合同当事人签字确认后，对双方具有约束力，双方应遵照执行。</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任何一方当事人不接受争议评审小组决定或不履行争议评审小组决定的，双方可选择采用其他争议解决方式。</w:t>
      </w:r>
    </w:p>
    <w:p>
      <w:pPr>
        <w:pStyle w:val="9"/>
        <w:spacing w:before="120" w:after="120" w:line="360" w:lineRule="auto"/>
        <w:ind w:firstLine="420" w:firstLineChars="200"/>
        <w:rPr>
          <w:rFonts w:ascii="宋体" w:hAnsi="宋体" w:cs="宋体"/>
          <w:color w:val="auto"/>
          <w:szCs w:val="21"/>
          <w:highlight w:val="none"/>
        </w:rPr>
      </w:pPr>
      <w:bookmarkStart w:id="534" w:name="_Toc4459"/>
      <w:bookmarkStart w:id="535" w:name="_Toc296346651"/>
      <w:bookmarkStart w:id="536" w:name="_Toc337558844"/>
      <w:bookmarkStart w:id="537" w:name="_Toc296503150"/>
      <w:r>
        <w:rPr>
          <w:rFonts w:hint="eastAsia" w:ascii="宋体" w:hAnsi="宋体" w:cs="宋体"/>
          <w:color w:val="auto"/>
          <w:szCs w:val="21"/>
          <w:highlight w:val="none"/>
        </w:rPr>
        <w:t>20.4仲裁或诉讼</w:t>
      </w:r>
      <w:bookmarkEnd w:id="534"/>
    </w:p>
    <w:bookmarkEnd w:id="535"/>
    <w:bookmarkEnd w:id="536"/>
    <w:bookmarkEnd w:id="537"/>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因合同及合同有关事项产生的争议，合同当事人可以在专用合同条款中约定以下一种方式解决争议：</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（1）向约定的仲裁委员会申请仲裁；</w:t>
      </w:r>
    </w:p>
    <w:p>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（2）向有管辖权的人民法院起诉。</w:t>
      </w:r>
    </w:p>
    <w:p>
      <w:pPr>
        <w:pStyle w:val="9"/>
        <w:spacing w:before="120" w:after="120" w:line="360" w:lineRule="auto"/>
        <w:ind w:firstLine="420" w:firstLineChars="200"/>
        <w:rPr>
          <w:rFonts w:ascii="宋体" w:hAnsi="宋体" w:cs="宋体"/>
          <w:color w:val="auto"/>
          <w:szCs w:val="21"/>
          <w:highlight w:val="none"/>
        </w:rPr>
      </w:pPr>
      <w:bookmarkStart w:id="538" w:name="_Toc14003"/>
      <w:bookmarkStart w:id="539" w:name="_Toc337558845"/>
      <w:bookmarkStart w:id="540" w:name="_Toc296503152"/>
      <w:bookmarkStart w:id="541" w:name="_Toc296346653"/>
      <w:r>
        <w:rPr>
          <w:rFonts w:hint="eastAsia" w:ascii="宋体" w:hAnsi="宋体" w:cs="宋体"/>
          <w:color w:val="auto"/>
          <w:szCs w:val="21"/>
          <w:highlight w:val="none"/>
        </w:rPr>
        <w:t>20.5争议解决条款效力</w:t>
      </w:r>
      <w:bookmarkEnd w:id="538"/>
    </w:p>
    <w:bookmarkEnd w:id="539"/>
    <w:bookmarkEnd w:id="540"/>
    <w:bookmarkEnd w:id="541"/>
    <w:p>
      <w:pPr>
        <w:pStyle w:val="7"/>
        <w:jc w:val="center"/>
        <w:rPr>
          <w:rFonts w:ascii="华文中宋" w:hAnsi="华文中宋" w:eastAsia="华文中宋"/>
          <w:color w:val="auto"/>
          <w:sz w:val="28"/>
          <w:szCs w:val="28"/>
          <w:highlight w:val="none"/>
        </w:rPr>
        <w:sectPr>
          <w:pgSz w:w="11907" w:h="16839"/>
          <w:pgMar w:top="1928" w:right="1531" w:bottom="1871" w:left="1531" w:header="1148" w:footer="709" w:gutter="0"/>
          <w:cols w:space="720" w:num="1"/>
          <w:docGrid w:linePitch="360" w:charSpace="0"/>
        </w:sectPr>
      </w:pPr>
      <w:bookmarkStart w:id="542" w:name="_Toc24561"/>
      <w:r>
        <w:rPr>
          <w:rFonts w:hint="eastAsia" w:ascii="宋体" w:hAnsi="宋体" w:cs="宋体"/>
          <w:color w:val="auto"/>
          <w:kern w:val="0"/>
          <w:szCs w:val="21"/>
          <w:highlight w:val="none"/>
        </w:rPr>
        <w:t>合同有关争议解决的条款独立存在，合同的变更、解除、终止、无效或者被撤销均不影响其效力。</w:t>
      </w:r>
      <w:bookmarkEnd w:id="542"/>
    </w:p>
    <w:p>
      <w:pPr>
        <w:pStyle w:val="7"/>
        <w:jc w:val="center"/>
        <w:rPr>
          <w:rFonts w:ascii="华文中宋" w:hAnsi="华文中宋" w:eastAsia="华文中宋"/>
          <w:color w:val="auto"/>
          <w:sz w:val="28"/>
          <w:szCs w:val="28"/>
          <w:highlight w:val="none"/>
        </w:rPr>
      </w:pPr>
      <w:bookmarkStart w:id="543" w:name="_Toc503261134"/>
      <w:r>
        <w:rPr>
          <w:rFonts w:ascii="华文中宋" w:hAnsi="华文中宋" w:eastAsia="华文中宋"/>
          <w:color w:val="auto"/>
          <w:sz w:val="28"/>
          <w:szCs w:val="28"/>
          <w:highlight w:val="none"/>
        </w:rPr>
        <w:t xml:space="preserve">第三部分 </w:t>
      </w:r>
      <w:r>
        <w:rPr>
          <w:rFonts w:hint="eastAsia" w:ascii="华文中宋" w:hAnsi="华文中宋" w:eastAsia="华文中宋"/>
          <w:color w:val="auto"/>
          <w:sz w:val="28"/>
          <w:szCs w:val="28"/>
          <w:highlight w:val="none"/>
        </w:rPr>
        <w:t>专用合同条款</w:t>
      </w:r>
      <w:bookmarkEnd w:id="543"/>
    </w:p>
    <w:p>
      <w:pPr>
        <w:pStyle w:val="8"/>
        <w:spacing w:before="120" w:after="120" w:line="360" w:lineRule="auto"/>
        <w:rPr>
          <w:rFonts w:ascii="Times New Roman" w:hAnsi="Times New Roman" w:eastAsia="黑体"/>
          <w:b w:val="0"/>
          <w:color w:val="auto"/>
          <w:sz w:val="24"/>
          <w:szCs w:val="24"/>
          <w:highlight w:val="none"/>
        </w:rPr>
      </w:pPr>
      <w:bookmarkStart w:id="544" w:name="_Toc503261135"/>
      <w:bookmarkStart w:id="545" w:name="_Toc267251510"/>
      <w:bookmarkStart w:id="546" w:name="_Toc267251511"/>
      <w:bookmarkStart w:id="547" w:name="_Toc267251509"/>
      <w:bookmarkStart w:id="548" w:name="_Toc267251513"/>
      <w:bookmarkStart w:id="549" w:name="_Toc267251515"/>
      <w:bookmarkStart w:id="550" w:name="_Toc267251514"/>
      <w:r>
        <w:rPr>
          <w:rFonts w:ascii="Times New Roman" w:hAnsi="Times New Roman" w:eastAsia="黑体"/>
          <w:b w:val="0"/>
          <w:color w:val="auto"/>
          <w:sz w:val="24"/>
          <w:szCs w:val="24"/>
          <w:highlight w:val="none"/>
        </w:rPr>
        <w:t>1</w:t>
      </w:r>
      <w:bookmarkStart w:id="551" w:name="_Toc296347155"/>
      <w:bookmarkStart w:id="552" w:name="_Toc292559866"/>
      <w:bookmarkStart w:id="553" w:name="_Toc296891196"/>
      <w:bookmarkStart w:id="554" w:name="_Toc297048342"/>
      <w:bookmarkStart w:id="555" w:name="_Toc292559361"/>
      <w:bookmarkStart w:id="556" w:name="_Toc296890984"/>
      <w:bookmarkStart w:id="557" w:name="_Toc296503156"/>
      <w:bookmarkStart w:id="558" w:name="_Toc296944495"/>
      <w:bookmarkStart w:id="559" w:name="_Toc296346657"/>
      <w:bookmarkStart w:id="560" w:name="_Toc297120456"/>
      <w:r>
        <w:rPr>
          <w:rFonts w:ascii="Times New Roman" w:hAnsi="Times New Roman" w:eastAsia="黑体"/>
          <w:b w:val="0"/>
          <w:color w:val="auto"/>
          <w:sz w:val="24"/>
          <w:szCs w:val="24"/>
          <w:highlight w:val="none"/>
        </w:rPr>
        <w:t>. 一般约定</w:t>
      </w:r>
      <w:bookmarkEnd w:id="544"/>
    </w:p>
    <w:bookmarkEnd w:id="551"/>
    <w:bookmarkEnd w:id="552"/>
    <w:bookmarkEnd w:id="553"/>
    <w:bookmarkEnd w:id="554"/>
    <w:bookmarkEnd w:id="555"/>
    <w:bookmarkEnd w:id="556"/>
    <w:bookmarkEnd w:id="557"/>
    <w:bookmarkEnd w:id="558"/>
    <w:bookmarkEnd w:id="559"/>
    <w:bookmarkEnd w:id="560"/>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1.1 词语定义</w:t>
      </w:r>
    </w:p>
    <w:p>
      <w:pPr>
        <w:ind w:firstLine="420" w:firstLineChars="200"/>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1.1.1合同</w:t>
      </w:r>
    </w:p>
    <w:p>
      <w:pPr>
        <w:ind w:firstLine="420" w:firstLineChars="200"/>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1.1.1.10其他合同文件包括：</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 xml:space="preserve">本项目《招标文件》  </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1.1.2 合同当事人及其他相关方</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1.1.2.4监理人</w:t>
      </w:r>
      <w:r>
        <w:rPr>
          <w:rFonts w:hint="eastAsia" w:ascii="Times New Roman" w:hAnsi="Times New Roman" w:eastAsia="仿宋_GB2312"/>
          <w:color w:val="auto"/>
          <w:szCs w:val="24"/>
          <w:highlight w:val="none"/>
        </w:rPr>
        <w:t>（略）</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1.1.2.5 设计人</w:t>
      </w:r>
      <w:r>
        <w:rPr>
          <w:rFonts w:hint="eastAsia" w:ascii="Times New Roman" w:hAnsi="Times New Roman" w:eastAsia="仿宋_GB2312"/>
          <w:color w:val="auto"/>
          <w:szCs w:val="24"/>
          <w:highlight w:val="none"/>
        </w:rPr>
        <w:t>（略）</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1.1.3 工程和设备</w:t>
      </w:r>
      <w:r>
        <w:rPr>
          <w:rFonts w:hint="eastAsia" w:ascii="Times New Roman" w:hAnsi="Times New Roman" w:eastAsia="仿宋_GB2312"/>
          <w:color w:val="auto"/>
          <w:szCs w:val="24"/>
          <w:highlight w:val="none"/>
        </w:rPr>
        <w:t>（略）</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 xml:space="preserve">1.3法律 </w:t>
      </w:r>
    </w:p>
    <w:p>
      <w:pPr>
        <w:autoSpaceDE w:val="0"/>
        <w:autoSpaceDN w:val="0"/>
        <w:adjustRightInd w:val="0"/>
        <w:ind w:left="596" w:leftChars="284"/>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适用于合同的其他规范性文件：</w:t>
      </w:r>
      <w:r>
        <w:rPr>
          <w:rFonts w:ascii="Times New Roman" w:hAnsi="Times New Roman" w:eastAsia="仿宋_GB2312"/>
          <w:color w:val="auto"/>
          <w:szCs w:val="24"/>
          <w:highlight w:val="none"/>
          <w:u w:val="single"/>
        </w:rPr>
        <w:t>按招标文件及通用合同条款执行</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1.4 标准和规范</w:t>
      </w:r>
    </w:p>
    <w:p>
      <w:pPr>
        <w:ind w:left="596" w:leftChars="284"/>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1.4.1适用于工程的标准规范包括：</w:t>
      </w:r>
      <w:r>
        <w:rPr>
          <w:rFonts w:ascii="Times New Roman" w:hAnsi="Times New Roman" w:eastAsia="仿宋_GB2312"/>
          <w:color w:val="auto"/>
          <w:szCs w:val="24"/>
          <w:highlight w:val="none"/>
          <w:u w:val="single"/>
        </w:rPr>
        <w:t>按通用合同条款执行</w:t>
      </w:r>
      <w:r>
        <w:rPr>
          <w:rFonts w:ascii="Times New Roman" w:hAnsi="Times New Roman" w:eastAsia="仿宋_GB2312"/>
          <w:color w:val="auto"/>
          <w:szCs w:val="24"/>
          <w:highlight w:val="none"/>
        </w:rPr>
        <w:t>。</w:t>
      </w:r>
    </w:p>
    <w:p>
      <w:pPr>
        <w:ind w:firstLine="630" w:firstLineChars="300"/>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1.4.2 发包人提供国外标准、规范的名称：</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发包人提供国外标准、规范的份数：</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发包人提供国外标准、规范的名称：</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left="596" w:leftChars="284"/>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1.4.3发包人对工程的技术标准和功能要求的特殊要求：</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1.5 合同文件的优先顺序</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合同文件组成及优先顺序为：</w:t>
      </w:r>
      <w:r>
        <w:rPr>
          <w:rFonts w:hint="eastAsia" w:ascii="Times New Roman" w:hAnsi="Times New Roman" w:eastAsia="仿宋_GB2312"/>
          <w:color w:val="auto"/>
          <w:szCs w:val="24"/>
          <w:highlight w:val="none"/>
          <w:u w:val="single"/>
        </w:rPr>
        <w:t>(1)招标文件(2)合同协议书；(3)中标通知书；(4)投标函及投标函附录；(5)专用合同条款；(6)通用合同条款；(7)技术标准和要求；(8)图纸；(9)已标价工程量清单；(10)其它合同文件</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1.6 图纸和承包人文件</w:t>
      </w:r>
      <w:r>
        <w:rPr>
          <w:rFonts w:ascii="Times New Roman" w:hAnsi="Times New Roman" w:eastAsia="黑体"/>
          <w:color w:val="auto"/>
          <w:szCs w:val="24"/>
          <w:highlight w:val="none"/>
        </w:rPr>
        <w:tab/>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1.6.1 图纸的提供</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发包人向承包人提供图纸的期限：</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合同签订后2天内</w:t>
      </w:r>
      <w:r>
        <w:rPr>
          <w:rFonts w:ascii="Times New Roman" w:hAnsi="Times New Roman" w:eastAsia="仿宋_GB2312"/>
          <w:color w:val="auto"/>
          <w:szCs w:val="24"/>
          <w:highlight w:val="none"/>
          <w:u w:val="single"/>
        </w:rPr>
        <w:t></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发包人向承包人提供图纸的数量：</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 xml:space="preserve">4套    </w:t>
      </w:r>
      <w:r>
        <w:rPr>
          <w:rFonts w:ascii="Times New Roman" w:hAnsi="Times New Roman" w:eastAsia="仿宋_GB2312"/>
          <w:color w:val="auto"/>
          <w:szCs w:val="24"/>
          <w:highlight w:val="none"/>
          <w:u w:val="single"/>
        </w:rPr>
        <w:t></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发包人向承包人提供图纸的内容：</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 xml:space="preserve">本项目施工图 </w:t>
      </w:r>
      <w:r>
        <w:rPr>
          <w:rFonts w:ascii="Times New Roman" w:hAnsi="Times New Roman" w:eastAsia="仿宋_GB2312"/>
          <w:color w:val="auto"/>
          <w:szCs w:val="24"/>
          <w:highlight w:val="none"/>
          <w:u w:val="single"/>
        </w:rPr>
        <w:t></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1.6.4 承包人文件</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需要由承包人提供的文件，包括：</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 xml:space="preserve">施工组织设计、施工进度计划等 </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承包人提供的文件的期限为：</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施工合同签订之日起3天内</w:t>
      </w:r>
      <w:r>
        <w:rPr>
          <w:rFonts w:ascii="Times New Roman" w:hAnsi="Times New Roman" w:eastAsia="仿宋_GB2312"/>
          <w:color w:val="auto"/>
          <w:szCs w:val="24"/>
          <w:highlight w:val="none"/>
          <w:u w:val="single"/>
        </w:rPr>
        <w:t></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承包人提供的文件的数量为：</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2份</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承包人提供的文件的形式为：</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纸质文件 </w:t>
      </w:r>
      <w:r>
        <w:rPr>
          <w:rFonts w:ascii="Times New Roman" w:hAnsi="Times New Roman" w:eastAsia="仿宋_GB2312"/>
          <w:color w:val="auto"/>
          <w:szCs w:val="24"/>
          <w:highlight w:val="none"/>
          <w:u w:val="single"/>
        </w:rPr>
        <w:t></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w:t>
      </w:r>
      <w:r>
        <w:rPr>
          <w:rFonts w:hint="eastAsia" w:ascii="Times New Roman" w:hAnsi="Times New Roman" w:eastAsia="仿宋_GB2312"/>
          <w:color w:val="auto"/>
          <w:szCs w:val="24"/>
          <w:highlight w:val="none"/>
        </w:rPr>
        <w:t>审批</w:t>
      </w:r>
      <w:r>
        <w:rPr>
          <w:rFonts w:ascii="Times New Roman" w:hAnsi="Times New Roman" w:eastAsia="仿宋_GB2312"/>
          <w:color w:val="auto"/>
          <w:szCs w:val="24"/>
          <w:highlight w:val="none"/>
        </w:rPr>
        <w:t>承包人文件的期限：</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收到承包人报送文件之日起3天内</w:t>
      </w:r>
      <w:r>
        <w:rPr>
          <w:rFonts w:ascii="Times New Roman" w:hAnsi="Times New Roman" w:eastAsia="仿宋_GB2312"/>
          <w:color w:val="auto"/>
          <w:szCs w:val="24"/>
          <w:highlight w:val="none"/>
          <w:u w:val="single"/>
        </w:rPr>
        <w:t></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1.6.5 现场图纸准备</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关于现场图纸准备的约定：</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按通用合同条款执行</w:t>
      </w:r>
      <w:r>
        <w:rPr>
          <w:rFonts w:ascii="Times New Roman" w:hAnsi="Times New Roman" w:eastAsia="仿宋_GB2312"/>
          <w:color w:val="auto"/>
          <w:szCs w:val="24"/>
          <w:highlight w:val="none"/>
          <w:u w:val="single"/>
        </w:rPr>
        <w:t></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1.7 联络</w:t>
      </w:r>
    </w:p>
    <w:p>
      <w:pPr>
        <w:ind w:firstLine="420" w:firstLineChars="200"/>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1.7.1发包人和承包人应当在</w:t>
      </w:r>
      <w:r>
        <w:rPr>
          <w:rFonts w:ascii="Times New Roman" w:hAnsi="Times New Roman" w:eastAsia="仿宋_GB2312"/>
          <w:color w:val="auto"/>
          <w:szCs w:val="24"/>
          <w:highlight w:val="none"/>
          <w:u w:val="single"/>
        </w:rPr>
        <w:t></w:t>
      </w:r>
      <w:r>
        <w:rPr>
          <w:rFonts w:hint="eastAsia" w:ascii="Times New Roman" w:hAnsi="Times New Roman" w:eastAsia="仿宋_GB2312"/>
          <w:color w:val="auto"/>
          <w:szCs w:val="24"/>
          <w:highlight w:val="none"/>
          <w:u w:val="single"/>
        </w:rPr>
        <w:t xml:space="preserve"> 2</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kern w:val="0"/>
          <w:szCs w:val="24"/>
          <w:highlight w:val="none"/>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Cs w:val="24"/>
          <w:highlight w:val="none"/>
        </w:rPr>
        <w:t>。</w:t>
      </w:r>
    </w:p>
    <w:p>
      <w:pPr>
        <w:ind w:firstLine="420" w:firstLineChars="200"/>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 xml:space="preserve">1.7.2 </w:t>
      </w:r>
      <w:r>
        <w:rPr>
          <w:rFonts w:hint="eastAsia" w:ascii="Times New Roman" w:hAnsi="Times New Roman" w:eastAsia="仿宋_GB2312"/>
          <w:color w:val="auto"/>
          <w:kern w:val="0"/>
          <w:szCs w:val="24"/>
          <w:highlight w:val="none"/>
        </w:rPr>
        <w:t>（略）</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1.10 交通运输</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w:t>
      </w:r>
      <w:bookmarkStart w:id="561" w:name="_Toc303539100"/>
      <w:bookmarkStart w:id="562" w:name="_Toc318581155"/>
      <w:bookmarkStart w:id="563" w:name="_Toc312677986"/>
      <w:bookmarkStart w:id="564" w:name="_Toc304295521"/>
      <w:bookmarkStart w:id="565" w:name="_Toc300934943"/>
      <w:r>
        <w:rPr>
          <w:rFonts w:ascii="Times New Roman" w:hAnsi="Times New Roman" w:eastAsia="仿宋_GB2312"/>
          <w:color w:val="auto"/>
          <w:szCs w:val="24"/>
          <w:highlight w:val="none"/>
        </w:rPr>
        <w:t>.10.1 出入现场的权利</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关于出入现场的权利的约定：</w:t>
      </w:r>
      <w:r>
        <w:rPr>
          <w:rFonts w:hint="eastAsia" w:ascii="Times New Roman" w:hAnsi="Times New Roman" w:eastAsia="仿宋_GB2312"/>
          <w:color w:val="auto"/>
          <w:szCs w:val="24"/>
          <w:highlight w:val="none"/>
          <w:u w:val="single"/>
        </w:rPr>
        <w:t>承包人应在开工前到哈尔滨工业大学保卫处购买“公务车辆出入凭条”，工程车辆需提供凭条方可进入校区</w:t>
      </w:r>
      <w:r>
        <w:rPr>
          <w:rFonts w:ascii="Times New Roman" w:hAnsi="Times New Roman" w:eastAsia="仿宋_GB2312"/>
          <w:color w:val="auto"/>
          <w:szCs w:val="24"/>
          <w:highlight w:val="none"/>
        </w:rPr>
        <w:t>。</w:t>
      </w:r>
    </w:p>
    <w:bookmarkEnd w:id="561"/>
    <w:bookmarkEnd w:id="562"/>
    <w:bookmarkEnd w:id="563"/>
    <w:bookmarkEnd w:id="564"/>
    <w:bookmarkEnd w:id="565"/>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w:t>
      </w:r>
      <w:bookmarkStart w:id="566" w:name="_Toc318581156"/>
      <w:bookmarkStart w:id="567" w:name="_Toc303539101"/>
      <w:bookmarkStart w:id="568" w:name="_Toc312677987"/>
      <w:bookmarkStart w:id="569" w:name="_Toc304295522"/>
      <w:bookmarkStart w:id="570" w:name="_Toc300934944"/>
      <w:r>
        <w:rPr>
          <w:rFonts w:ascii="Times New Roman" w:hAnsi="Times New Roman" w:eastAsia="仿宋_GB2312"/>
          <w:color w:val="auto"/>
          <w:szCs w:val="24"/>
          <w:highlight w:val="none"/>
        </w:rPr>
        <w:t>.10.3 场内交通</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关于场外交通和场内交通的边界的约定：</w:t>
      </w:r>
      <w:r>
        <w:rPr>
          <w:rFonts w:ascii="Times New Roman" w:hAnsi="Times New Roman" w:eastAsia="仿宋_GB2312"/>
          <w:color w:val="auto"/>
          <w:szCs w:val="24"/>
          <w:highlight w:val="none"/>
          <w:u w:val="single"/>
        </w:rPr>
        <w:t>以校区围墙为边界，校区内为场内交通</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关于发包人向承包人免费提供满足工程施工需要的场内道路和交通设施的约定：</w:t>
      </w:r>
      <w:r>
        <w:rPr>
          <w:rFonts w:ascii="Times New Roman" w:hAnsi="Times New Roman" w:eastAsia="仿宋_GB2312"/>
          <w:color w:val="auto"/>
          <w:szCs w:val="24"/>
          <w:highlight w:val="none"/>
          <w:u w:val="single"/>
        </w:rPr>
        <w:t>校内既有校园道路即为本工程的场内道路，具体路段现场确定，工程车辆应严格按照校园道路限制荷载行驶，道路及交通设施损坏赔偿按照通用合同条款执行</w:t>
      </w:r>
      <w:r>
        <w:rPr>
          <w:rFonts w:ascii="Times New Roman" w:hAnsi="Times New Roman" w:eastAsia="仿宋_GB2312"/>
          <w:color w:val="auto"/>
          <w:szCs w:val="24"/>
          <w:highlight w:val="none"/>
        </w:rPr>
        <w:t>。</w:t>
      </w:r>
      <w:bookmarkEnd w:id="566"/>
      <w:bookmarkEnd w:id="567"/>
      <w:bookmarkEnd w:id="568"/>
      <w:bookmarkEnd w:id="569"/>
      <w:bookmarkEnd w:id="570"/>
      <w:bookmarkStart w:id="571" w:name="_Toc318581157"/>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1.10.4超大件和超重件的运输</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运输超大件或超重件所需的道路和桥梁临时加固改造费用和其他有关费用由</w:t>
      </w:r>
      <w:r>
        <w:rPr>
          <w:rFonts w:hint="eastAsia" w:ascii="Times New Roman" w:hAnsi="Times New Roman" w:eastAsia="仿宋_GB2312"/>
          <w:color w:val="auto"/>
          <w:szCs w:val="24"/>
          <w:highlight w:val="none"/>
          <w:u w:val="single"/>
        </w:rPr>
        <w:t>承包人</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承担。</w:t>
      </w:r>
    </w:p>
    <w:bookmarkEnd w:id="571"/>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1.11 知识产权</w:t>
      </w:r>
      <w:r>
        <w:rPr>
          <w:rFonts w:hint="eastAsia" w:ascii="Times New Roman" w:hAnsi="Times New Roman" w:eastAsia="黑体"/>
          <w:color w:val="auto"/>
          <w:szCs w:val="24"/>
          <w:highlight w:val="none"/>
        </w:rPr>
        <w:t>（略）</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1.13工程量清单错误的修正</w:t>
      </w:r>
    </w:p>
    <w:p>
      <w:pPr>
        <w:ind w:firstLine="420" w:firstLineChars="200"/>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出现工程量清单错误时，是否调整合同价格：</w:t>
      </w:r>
      <w:r>
        <w:rPr>
          <w:rFonts w:hint="eastAsia" w:ascii="Times New Roman" w:hAnsi="Times New Roman" w:eastAsia="仿宋_GB2312"/>
          <w:color w:val="auto"/>
          <w:szCs w:val="24"/>
          <w:highlight w:val="none"/>
          <w:u w:val="single"/>
        </w:rPr>
        <w:t xml:space="preserve">   调整   </w:t>
      </w:r>
      <w:r>
        <w:rPr>
          <w:rFonts w:ascii="Times New Roman" w:hAnsi="Times New Roman" w:eastAsia="仿宋_GB2312"/>
          <w:color w:val="auto"/>
          <w:kern w:val="0"/>
          <w:szCs w:val="24"/>
          <w:highlight w:val="none"/>
        </w:rPr>
        <w:t>。</w:t>
      </w:r>
    </w:p>
    <w:p>
      <w:pPr>
        <w:ind w:firstLine="420" w:firstLineChars="200"/>
        <w:rPr>
          <w:rFonts w:ascii="Times New Roman" w:hAnsi="Times New Roman" w:eastAsia="仿宋_GB2312"/>
          <w:color w:val="auto"/>
          <w:kern w:val="0"/>
          <w:szCs w:val="24"/>
          <w:highlight w:val="none"/>
        </w:rPr>
      </w:pPr>
      <w:r>
        <w:rPr>
          <w:rFonts w:ascii="Times New Roman" w:hAnsi="Times New Roman" w:eastAsia="仿宋_GB2312"/>
          <w:color w:val="auto"/>
          <w:szCs w:val="24"/>
          <w:highlight w:val="none"/>
        </w:rPr>
        <w:t>允许调整合同价格的工程量偏差范围：</w:t>
      </w:r>
      <w:r>
        <w:rPr>
          <w:rFonts w:hint="eastAsia" w:ascii="Times New Roman" w:hAnsi="Times New Roman" w:eastAsia="仿宋_GB2312"/>
          <w:color w:val="auto"/>
          <w:szCs w:val="24"/>
          <w:highlight w:val="none"/>
          <w:u w:val="single"/>
        </w:rPr>
        <w:t>综合单价不因</w:t>
      </w:r>
      <w:r>
        <w:rPr>
          <w:rFonts w:ascii="Times New Roman" w:hAnsi="Times New Roman" w:eastAsia="仿宋_GB2312"/>
          <w:color w:val="auto"/>
          <w:szCs w:val="24"/>
          <w:highlight w:val="none"/>
          <w:u w:val="single"/>
        </w:rPr>
        <w:t>工程量偏差</w:t>
      </w:r>
      <w:r>
        <w:rPr>
          <w:rFonts w:hint="eastAsia" w:ascii="Times New Roman" w:hAnsi="Times New Roman" w:eastAsia="仿宋_GB2312"/>
          <w:color w:val="auto"/>
          <w:szCs w:val="24"/>
          <w:highlight w:val="none"/>
          <w:u w:val="single"/>
        </w:rPr>
        <w:t>而调整</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kern w:val="0"/>
          <w:szCs w:val="24"/>
          <w:highlight w:val="none"/>
        </w:rPr>
        <w:t>。</w:t>
      </w:r>
    </w:p>
    <w:p>
      <w:pPr>
        <w:spacing w:after="120"/>
        <w:ind w:firstLine="420" w:firstLineChars="200"/>
        <w:rPr>
          <w:rFonts w:ascii="Times New Roman" w:hAnsi="Times New Roman" w:eastAsia="黑体"/>
          <w:color w:val="auto"/>
          <w:szCs w:val="24"/>
          <w:highlight w:val="none"/>
        </w:rPr>
      </w:pPr>
      <w:r>
        <w:rPr>
          <w:rFonts w:hint="eastAsia" w:ascii="Times New Roman" w:hAnsi="Times New Roman" w:eastAsia="黑体"/>
          <w:color w:val="auto"/>
          <w:szCs w:val="24"/>
          <w:highlight w:val="none"/>
        </w:rPr>
        <w:t>1.14现场用水用电管理：</w:t>
      </w:r>
    </w:p>
    <w:p>
      <w:pPr>
        <w:numPr>
          <w:ilvl w:val="0"/>
          <w:numId w:val="45"/>
        </w:numPr>
        <w:ind w:left="0" w:firstLine="420" w:firstLineChars="200"/>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费用计量及收取</w:t>
      </w:r>
    </w:p>
    <w:p>
      <w:pPr>
        <w:ind w:firstLine="420" w:firstLineChars="200"/>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承包人用电、用水须安装电表、水表，承包人水表电表安装及移位须报发包人同意，安装完成后双方共同抄底度数，并签字认可，电表及水表须经过有关部门检测。</w:t>
      </w:r>
    </w:p>
    <w:p>
      <w:pPr>
        <w:ind w:firstLine="420" w:firstLineChars="200"/>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承包人用电、用水或选择按签约合同价格的1.05%，计算水电费方式扣水、电费。</w:t>
      </w:r>
    </w:p>
    <w:p>
      <w:pPr>
        <w:numPr>
          <w:ilvl w:val="0"/>
          <w:numId w:val="45"/>
        </w:numPr>
        <w:ind w:left="0" w:firstLine="420" w:firstLineChars="200"/>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承包人用电、用水接入：</w:t>
      </w:r>
    </w:p>
    <w:p>
      <w:pPr>
        <w:ind w:firstLine="420" w:firstLineChars="200"/>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承包人负责从发包人指定的水源电源接点、装箱、接表、敷管、敷线至用水用电地点，费用由承包人承担（注：距离施工部位外边线水平距离150米范围内为承包人承担范围）。</w:t>
      </w:r>
    </w:p>
    <w:p>
      <w:pPr>
        <w:numPr>
          <w:ilvl w:val="0"/>
          <w:numId w:val="45"/>
        </w:numPr>
        <w:ind w:left="0" w:firstLine="420" w:firstLineChars="200"/>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 xml:space="preserve"> 对计量计费的水、电费的支付由承包人向学校收费部门交付，保留收据，工程结算时提供。</w:t>
      </w:r>
    </w:p>
    <w:p>
      <w:pPr>
        <w:widowControl/>
        <w:ind w:firstLine="420" w:firstLineChars="200"/>
        <w:jc w:val="left"/>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4）承包人应严格遵循《总务处/后勤集团校园修缮工程代收水、电费会签制度》、《哈尔滨工业大学用电管理制度》外，应当遵循以下规定：</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承包人有义务接受监管部门监督，不得阻碍持证监管人员检查水、电使用情况。</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承包人未按学校临时用水用电程序办理审批手续、未通过审批或审批程序未完成即私自用水用电的，发包人扣罚签约合同价的2%作为违约金。</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用挂表计量方式用水用电的，水表电表需由学校动力与维修中心统一安装和移动。承包人未经动力与维修中心许可私自安装表具用水用电的，私自移动、改装或改动计量表具的，每发现一次将处以5000元罚款。承包人未安装水表或电表用水用电的，发包人扣罚签约合同价的2%作为违约金。</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采用挂表计量方式用水用电的，承包人</w:t>
      </w:r>
      <w:r>
        <w:rPr>
          <w:rFonts w:hint="eastAsia" w:ascii="仿宋_GB2312" w:hAnsi="仿宋_GB2312" w:eastAsia="仿宋_GB2312" w:cs="仿宋_GB2312"/>
          <w:color w:val="auto"/>
          <w:kern w:val="0"/>
          <w:sz w:val="24"/>
          <w:szCs w:val="24"/>
          <w:highlight w:val="none"/>
        </w:rPr>
        <w:t>故意损坏合法安装的计量装置或使其计量不准、失效的，每发现一次将处以5000元罚款。</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承包人使用伪造、变造或非法充值的电费卡充值用电的，每发现一次</w:t>
      </w:r>
      <w:r>
        <w:rPr>
          <w:rFonts w:hint="eastAsia" w:ascii="仿宋_GB2312" w:hAnsi="仿宋_GB2312" w:eastAsia="仿宋_GB2312" w:cs="仿宋_GB2312"/>
          <w:color w:val="auto"/>
          <w:sz w:val="24"/>
          <w:szCs w:val="24"/>
          <w:highlight w:val="none"/>
        </w:rPr>
        <w:t>发包人扣罚签约合同价的2%作为违约金。</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采用挂表计量方式用水用电的，承包人未经允许私自开启电能表铅封或</w:t>
      </w:r>
      <w:r>
        <w:rPr>
          <w:rFonts w:hint="eastAsia" w:ascii="仿宋_GB2312" w:hAnsi="仿宋_GB2312" w:eastAsia="仿宋_GB2312" w:cs="仿宋_GB2312"/>
          <w:color w:val="auto"/>
          <w:kern w:val="0"/>
          <w:sz w:val="24"/>
          <w:szCs w:val="24"/>
          <w:highlight w:val="none"/>
        </w:rPr>
        <w:t>伪造铅封的，</w:t>
      </w:r>
      <w:r>
        <w:rPr>
          <w:rFonts w:hint="eastAsia" w:ascii="仿宋_GB2312" w:hAnsi="仿宋_GB2312" w:eastAsia="仿宋_GB2312" w:cs="仿宋_GB2312"/>
          <w:color w:val="auto"/>
          <w:sz w:val="24"/>
          <w:szCs w:val="24"/>
          <w:highlight w:val="none"/>
        </w:rPr>
        <w:t>发包人每发现一次扣罚签约合同价的2%作为违约金。</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采用挂表计量方式用水用电的，承包人</w:t>
      </w:r>
      <w:r>
        <w:rPr>
          <w:rFonts w:hint="eastAsia" w:ascii="仿宋_GB2312" w:hAnsi="仿宋_GB2312" w:eastAsia="仿宋_GB2312" w:cs="仿宋_GB2312"/>
          <w:color w:val="auto"/>
          <w:kern w:val="0"/>
          <w:sz w:val="24"/>
          <w:szCs w:val="24"/>
          <w:highlight w:val="none"/>
        </w:rPr>
        <w:t>绕越合法安装的计量装置用水用电的（包括但不限于绕越电表在学校电气线路、断路器或插座等供电设施接线用电的；绕越水表从学校供水管线或水龙头等处接水使用的），</w:t>
      </w:r>
      <w:r>
        <w:rPr>
          <w:rFonts w:hint="eastAsia" w:ascii="仿宋_GB2312" w:hAnsi="仿宋_GB2312" w:eastAsia="仿宋_GB2312" w:cs="仿宋_GB2312"/>
          <w:color w:val="auto"/>
          <w:sz w:val="24"/>
          <w:szCs w:val="24"/>
          <w:highlight w:val="none"/>
        </w:rPr>
        <w:t>发包人每发现一次扣罚签约合同价的2%作为违约金。</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承包人选择不使用学校水、电资源的，未经发包人同意承包人擅自使用学校水、电资源</w:t>
      </w:r>
      <w:r>
        <w:rPr>
          <w:rFonts w:hint="eastAsia" w:ascii="仿宋_GB2312" w:hAnsi="仿宋_GB2312" w:eastAsia="仿宋_GB2312" w:cs="仿宋_GB2312"/>
          <w:color w:val="auto"/>
          <w:kern w:val="0"/>
          <w:sz w:val="24"/>
          <w:szCs w:val="24"/>
          <w:highlight w:val="none"/>
        </w:rPr>
        <w:t>（包括但不限于在学校电气线路、断路器或插座等供电设施接线用电的；从学校供水管线或水龙头等处接水使用的）</w:t>
      </w:r>
      <w:r>
        <w:rPr>
          <w:rFonts w:hint="eastAsia" w:ascii="仿宋_GB2312" w:hAnsi="仿宋_GB2312" w:eastAsia="仿宋_GB2312" w:cs="仿宋_GB2312"/>
          <w:color w:val="auto"/>
          <w:sz w:val="24"/>
          <w:szCs w:val="24"/>
          <w:highlight w:val="none"/>
        </w:rPr>
        <w:t>，发包人每发现一次扣罚签约合同价的2%作为违约金。</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项目竣工验收合格后，动力与维修中心、计划财务部双方均同意拆除计量装置并出具书面许可意见，</w:t>
      </w:r>
      <w:r>
        <w:rPr>
          <w:rFonts w:hint="eastAsia" w:ascii="仿宋_GB2312" w:hAnsi="仿宋_GB2312" w:eastAsia="仿宋_GB2312" w:cs="仿宋_GB2312"/>
          <w:color w:val="auto"/>
          <w:sz w:val="24"/>
          <w:szCs w:val="24"/>
          <w:highlight w:val="none"/>
        </w:rPr>
        <w:t>方可拆除电表、水表计量装置。承包人未经许可私自拆除水表或电表的，发包人将扣罚签约合同价的2%作为违约金。</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表设备使用后需归还动力与维修中心，如出现电表设备损坏、改装、改动、破坏铅封或电表不能正常使用等情况的，表具押金不予退还，并按相关条款进行处罚。同时承包人需将电表修复，由此产生的费用由承包人承担。</w:t>
      </w:r>
    </w:p>
    <w:p>
      <w:pPr>
        <w:pStyle w:val="182"/>
        <w:numPr>
          <w:ilvl w:val="0"/>
          <w:numId w:val="46"/>
        </w:numPr>
        <w:ind w:firstLine="4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未尽事宜按照《哈尔滨工业大学用电管理制度》处理。如承包人出现上述违规行为，学校将停止供水供电，承包人必须立即整改，整改合格后方可恢复供水供电。</w:t>
      </w:r>
    </w:p>
    <w:p>
      <w:pPr>
        <w:pStyle w:val="182"/>
        <w:numPr>
          <w:ilvl w:val="0"/>
          <w:numId w:val="46"/>
        </w:numPr>
        <w:ind w:firstLine="480"/>
        <w:rPr>
          <w:rFonts w:ascii="Times New Roman" w:hAnsi="Times New Roman" w:eastAsia="仿宋_GB2312"/>
          <w:color w:val="auto"/>
          <w:szCs w:val="24"/>
          <w:highlight w:val="none"/>
        </w:rPr>
      </w:pPr>
      <w:r>
        <w:rPr>
          <w:rFonts w:hint="eastAsia" w:ascii="仿宋_GB2312" w:hAnsi="仿宋_GB2312" w:eastAsia="仿宋_GB2312" w:cs="仿宋_GB2312"/>
          <w:color w:val="auto"/>
          <w:sz w:val="24"/>
          <w:szCs w:val="24"/>
          <w:highlight w:val="none"/>
        </w:rPr>
        <w:t>承包人罚款缴纳有两种方案：方案一是在项目竣工结算时从合同价款中直接扣除；方案二是承包人现金缴纳至总务处计财部。采用哪种方案需进一步协商。</w:t>
      </w:r>
    </w:p>
    <w:p>
      <w:pPr>
        <w:ind w:firstLine="420" w:firstLineChars="200"/>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1.15责任不豁免：发包人依据本合同对承包人某种行为的任何审批或同意，并不构成发包人因此承担任何责任的理由，也不构成承包人根据合同和法律法规应承担的任何责任的豁免。</w:t>
      </w:r>
    </w:p>
    <w:p>
      <w:pPr>
        <w:pStyle w:val="8"/>
        <w:spacing w:before="120" w:after="120" w:line="360" w:lineRule="auto"/>
        <w:rPr>
          <w:rFonts w:ascii="Times New Roman" w:hAnsi="Times New Roman" w:eastAsia="黑体"/>
          <w:b w:val="0"/>
          <w:color w:val="auto"/>
          <w:sz w:val="24"/>
          <w:szCs w:val="24"/>
          <w:highlight w:val="none"/>
        </w:rPr>
      </w:pPr>
      <w:bookmarkStart w:id="572" w:name="_Toc503261136"/>
      <w:r>
        <w:rPr>
          <w:rFonts w:ascii="Times New Roman" w:hAnsi="Times New Roman" w:eastAsia="黑体"/>
          <w:b w:val="0"/>
          <w:color w:val="auto"/>
          <w:sz w:val="24"/>
          <w:szCs w:val="24"/>
          <w:highlight w:val="none"/>
        </w:rPr>
        <w:t>2</w:t>
      </w:r>
      <w:bookmarkStart w:id="573" w:name="_Toc297048343"/>
      <w:bookmarkStart w:id="574" w:name="_Toc292559867"/>
      <w:bookmarkStart w:id="575" w:name="_Toc292559362"/>
      <w:bookmarkStart w:id="576" w:name="_Toc296347156"/>
      <w:bookmarkStart w:id="577" w:name="_Toc296890985"/>
      <w:bookmarkStart w:id="578" w:name="_Toc296346658"/>
      <w:bookmarkStart w:id="579" w:name="_Toc296944496"/>
      <w:bookmarkStart w:id="580" w:name="_Toc297120457"/>
      <w:bookmarkStart w:id="581" w:name="_Toc296503157"/>
      <w:bookmarkStart w:id="582" w:name="_Toc296891197"/>
      <w:r>
        <w:rPr>
          <w:rFonts w:ascii="Times New Roman" w:hAnsi="Times New Roman" w:eastAsia="黑体"/>
          <w:b w:val="0"/>
          <w:color w:val="auto"/>
          <w:sz w:val="24"/>
          <w:szCs w:val="24"/>
          <w:highlight w:val="none"/>
        </w:rPr>
        <w:t>. 发包人</w:t>
      </w:r>
      <w:bookmarkEnd w:id="572"/>
    </w:p>
    <w:bookmarkEnd w:id="573"/>
    <w:bookmarkEnd w:id="574"/>
    <w:bookmarkEnd w:id="575"/>
    <w:bookmarkEnd w:id="576"/>
    <w:bookmarkEnd w:id="577"/>
    <w:bookmarkEnd w:id="578"/>
    <w:bookmarkEnd w:id="579"/>
    <w:bookmarkEnd w:id="580"/>
    <w:bookmarkEnd w:id="581"/>
    <w:bookmarkEnd w:id="582"/>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2.2 发包人代表</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发包人代表</w:t>
      </w:r>
      <w:r>
        <w:rPr>
          <w:rFonts w:hint="eastAsia" w:ascii="Times New Roman" w:hAnsi="Times New Roman" w:eastAsia="仿宋_GB2312"/>
          <w:color w:val="auto"/>
          <w:szCs w:val="24"/>
          <w:highlight w:val="none"/>
        </w:rPr>
        <w:t>（略）</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b/>
          <w:color w:val="auto"/>
          <w:szCs w:val="24"/>
          <w:highlight w:val="none"/>
        </w:rPr>
      </w:pPr>
      <w:r>
        <w:rPr>
          <w:rFonts w:ascii="Times New Roman" w:hAnsi="Times New Roman" w:eastAsia="仿宋_GB2312"/>
          <w:color w:val="auto"/>
          <w:szCs w:val="24"/>
          <w:highlight w:val="none"/>
        </w:rPr>
        <w:t>发包人对发包人代表的授权范围如下：</w:t>
      </w:r>
      <w:r>
        <w:rPr>
          <w:rFonts w:ascii="Times New Roman" w:hAnsi="Times New Roman" w:eastAsia="仿宋_GB2312"/>
          <w:color w:val="auto"/>
          <w:szCs w:val="24"/>
          <w:highlight w:val="none"/>
          <w:u w:val="single"/>
        </w:rPr>
        <w:t>负责处理合同履行过程中与发包人有关的</w:t>
      </w:r>
      <w:r>
        <w:rPr>
          <w:rFonts w:hint="eastAsia" w:ascii="Times New Roman" w:hAnsi="Times New Roman" w:eastAsia="仿宋_GB2312"/>
          <w:color w:val="auto"/>
          <w:szCs w:val="24"/>
          <w:highlight w:val="none"/>
          <w:u w:val="single"/>
        </w:rPr>
        <w:t>各项</w:t>
      </w:r>
      <w:r>
        <w:rPr>
          <w:rFonts w:ascii="Times New Roman" w:hAnsi="Times New Roman" w:eastAsia="仿宋_GB2312"/>
          <w:color w:val="auto"/>
          <w:szCs w:val="24"/>
          <w:highlight w:val="none"/>
          <w:u w:val="single"/>
        </w:rPr>
        <w:t>事宜</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2.4 施工现场、施工条件和基础资料的提供</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2.4.1 提供施工现场</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关于发包人移交施工现场的期限要求：</w:t>
      </w:r>
      <w:r>
        <w:rPr>
          <w:rFonts w:hint="eastAsia" w:ascii="Times New Roman" w:hAnsi="Times New Roman" w:eastAsia="仿宋_GB2312"/>
          <w:color w:val="auto"/>
          <w:szCs w:val="24"/>
          <w:highlight w:val="none"/>
          <w:u w:val="single"/>
        </w:rPr>
        <w:t>开工日期2天前</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2.4.2 提供施工条件</w:t>
      </w:r>
    </w:p>
    <w:p>
      <w:pPr>
        <w:ind w:firstLine="420" w:firstLineChars="200"/>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关于发包人应负责提供施工</w:t>
      </w:r>
      <w:r>
        <w:rPr>
          <w:rFonts w:hint="eastAsia" w:ascii="Times New Roman" w:hAnsi="Times New Roman" w:eastAsia="仿宋_GB2312"/>
          <w:color w:val="auto"/>
          <w:szCs w:val="24"/>
          <w:highlight w:val="none"/>
        </w:rPr>
        <w:t>所需要的条件，</w:t>
      </w:r>
      <w:r>
        <w:rPr>
          <w:rFonts w:ascii="Times New Roman" w:hAnsi="Times New Roman" w:eastAsia="仿宋_GB2312"/>
          <w:color w:val="auto"/>
          <w:szCs w:val="24"/>
          <w:highlight w:val="none"/>
        </w:rPr>
        <w:t>包括：</w:t>
      </w:r>
      <w:r>
        <w:rPr>
          <w:rFonts w:ascii="Times New Roman" w:hAnsi="Times New Roman" w:eastAsia="仿宋_GB2312"/>
          <w:color w:val="auto"/>
          <w:szCs w:val="24"/>
          <w:highlight w:val="none"/>
          <w:u w:val="single"/>
        </w:rPr>
        <w:t>按照通用合同条款执行</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2.5 资金来源证明及支付担保</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发包人提供资金来源证明的期限要求：</w:t>
      </w:r>
      <w:r>
        <w:rPr>
          <w:rFonts w:hint="eastAsia" w:ascii="Times New Roman" w:hAnsi="Times New Roman" w:eastAsia="仿宋_GB2312"/>
          <w:color w:val="auto"/>
          <w:szCs w:val="24"/>
          <w:highlight w:val="none"/>
          <w:u w:val="single"/>
        </w:rPr>
        <w:t>不提供资金来源证明</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发包人是否提供支付担保：</w:t>
      </w:r>
      <w:r>
        <w:rPr>
          <w:rFonts w:ascii="Times New Roman" w:hAnsi="Times New Roman" w:eastAsia="仿宋_GB2312"/>
          <w:color w:val="auto"/>
          <w:szCs w:val="24"/>
          <w:highlight w:val="none"/>
          <w:u w:val="single"/>
        </w:rPr>
        <w:t>      不提供</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      </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发包人提供支付担保的形式：</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pStyle w:val="8"/>
        <w:spacing w:before="120" w:after="120" w:line="360" w:lineRule="auto"/>
        <w:rPr>
          <w:rFonts w:ascii="Times New Roman" w:hAnsi="Times New Roman" w:eastAsia="黑体"/>
          <w:b w:val="0"/>
          <w:color w:val="auto"/>
          <w:sz w:val="24"/>
          <w:szCs w:val="24"/>
          <w:highlight w:val="none"/>
        </w:rPr>
      </w:pPr>
      <w:bookmarkStart w:id="583" w:name="_Toc503261137"/>
      <w:r>
        <w:rPr>
          <w:rFonts w:ascii="Times New Roman" w:hAnsi="Times New Roman" w:eastAsia="黑体"/>
          <w:b w:val="0"/>
          <w:color w:val="auto"/>
          <w:sz w:val="24"/>
          <w:szCs w:val="24"/>
          <w:highlight w:val="none"/>
        </w:rPr>
        <w:t>3</w:t>
      </w:r>
      <w:bookmarkStart w:id="584" w:name="_Toc297048344"/>
      <w:bookmarkStart w:id="585" w:name="_Toc296503158"/>
      <w:bookmarkStart w:id="586" w:name="_Toc296944497"/>
      <w:bookmarkStart w:id="587" w:name="_Toc296890986"/>
      <w:bookmarkStart w:id="588" w:name="_Toc297120458"/>
      <w:bookmarkStart w:id="589" w:name="_Toc296346659"/>
      <w:bookmarkStart w:id="590" w:name="_Toc292559868"/>
      <w:bookmarkStart w:id="591" w:name="_Toc292559363"/>
      <w:bookmarkStart w:id="592" w:name="_Toc296347157"/>
      <w:bookmarkStart w:id="593" w:name="_Toc296891198"/>
      <w:r>
        <w:rPr>
          <w:rFonts w:ascii="Times New Roman" w:hAnsi="Times New Roman" w:eastAsia="黑体"/>
          <w:b w:val="0"/>
          <w:color w:val="auto"/>
          <w:sz w:val="24"/>
          <w:szCs w:val="24"/>
          <w:highlight w:val="none"/>
        </w:rPr>
        <w:t>. 承包人</w:t>
      </w:r>
      <w:bookmarkEnd w:id="583"/>
    </w:p>
    <w:bookmarkEnd w:id="584"/>
    <w:bookmarkEnd w:id="585"/>
    <w:bookmarkEnd w:id="586"/>
    <w:bookmarkEnd w:id="587"/>
    <w:bookmarkEnd w:id="588"/>
    <w:bookmarkEnd w:id="589"/>
    <w:bookmarkEnd w:id="590"/>
    <w:bookmarkEnd w:id="591"/>
    <w:bookmarkEnd w:id="592"/>
    <w:bookmarkEnd w:id="593"/>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3.1 承包人的一般义务</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w:t>
      </w:r>
      <w:r>
        <w:rPr>
          <w:rFonts w:hint="eastAsia" w:ascii="Times New Roman" w:hAnsi="Times New Roman" w:eastAsia="仿宋_GB2312"/>
          <w:color w:val="auto"/>
          <w:kern w:val="0"/>
          <w:szCs w:val="24"/>
          <w:highlight w:val="none"/>
        </w:rPr>
        <w:t>9</w:t>
      </w:r>
      <w:r>
        <w:rPr>
          <w:rFonts w:ascii="Times New Roman" w:hAnsi="Times New Roman" w:eastAsia="仿宋_GB2312"/>
          <w:color w:val="auto"/>
          <w:kern w:val="0"/>
          <w:szCs w:val="24"/>
          <w:highlight w:val="none"/>
        </w:rPr>
        <w:t>）</w:t>
      </w:r>
      <w:r>
        <w:rPr>
          <w:rFonts w:ascii="Times New Roman" w:hAnsi="Times New Roman" w:eastAsia="仿宋_GB2312"/>
          <w:color w:val="auto"/>
          <w:szCs w:val="24"/>
          <w:highlight w:val="none"/>
        </w:rPr>
        <w:t>承包人提交的竣工资料的内容：</w:t>
      </w:r>
      <w:r>
        <w:rPr>
          <w:rFonts w:hint="eastAsia" w:ascii="Times New Roman" w:hAnsi="Times New Roman" w:eastAsia="仿宋_GB2312"/>
          <w:color w:val="auto"/>
          <w:szCs w:val="24"/>
          <w:highlight w:val="none"/>
          <w:u w:val="single"/>
        </w:rPr>
        <w:t>按照《黑龙江省建筑工程资料管理标准》（DB23/1019-2020）及发包人要求执行</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承包人需要提交的竣工资料套数：</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2</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left="638" w:leftChars="304"/>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承包人提交的竣工资料的费用承担：</w:t>
      </w:r>
      <w:r>
        <w:rPr>
          <w:rFonts w:ascii="Times New Roman" w:hAnsi="Times New Roman" w:eastAsia="仿宋_GB2312"/>
          <w:color w:val="auto"/>
          <w:szCs w:val="24"/>
          <w:highlight w:val="none"/>
          <w:u w:val="single"/>
        </w:rPr>
        <w:t xml:space="preserve">    承包人承担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left="638" w:leftChars="304"/>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承包人提交的竣工资料移交时间：</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竣工验收前7天内，提交1套正本。竣工验收合格后14天内，提交2套完整竣工资料给发包人归档</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承包人提交的竣工资料形式要求：</w:t>
      </w:r>
    </w:p>
    <w:p>
      <w:pPr>
        <w:numPr>
          <w:ilvl w:val="0"/>
          <w:numId w:val="47"/>
        </w:numPr>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u w:val="single"/>
        </w:rPr>
        <w:t>纸质版资料：竣工资料需装订成册（正本一套</w:t>
      </w:r>
      <w:r>
        <w:rPr>
          <w:rFonts w:hint="eastAsia" w:ascii="Times New Roman" w:hAnsi="Times New Roman" w:eastAsia="仿宋_GB2312"/>
          <w:color w:val="auto"/>
          <w:szCs w:val="24"/>
          <w:highlight w:val="none"/>
          <w:u w:val="single"/>
        </w:rPr>
        <w:t>，副本一套。其中正本中的工程技术资料应为原件</w:t>
      </w:r>
      <w:r>
        <w:rPr>
          <w:rFonts w:ascii="Times New Roman" w:hAnsi="Times New Roman" w:eastAsia="仿宋_GB2312"/>
          <w:color w:val="auto"/>
          <w:szCs w:val="24"/>
          <w:highlight w:val="none"/>
          <w:u w:val="single"/>
        </w:rPr>
        <w:t>），装订方式为胶装；竣工资料（</w:t>
      </w:r>
      <w:r>
        <w:rPr>
          <w:rFonts w:hint="eastAsia" w:ascii="Times New Roman" w:hAnsi="Times New Roman" w:eastAsia="仿宋_GB2312"/>
          <w:color w:val="auto"/>
          <w:szCs w:val="24"/>
          <w:highlight w:val="none"/>
          <w:u w:val="single"/>
        </w:rPr>
        <w:t>包括</w:t>
      </w:r>
      <w:r>
        <w:rPr>
          <w:rFonts w:ascii="Times New Roman" w:hAnsi="Times New Roman" w:eastAsia="仿宋_GB2312"/>
          <w:color w:val="auto"/>
          <w:szCs w:val="24"/>
          <w:highlight w:val="none"/>
          <w:u w:val="single"/>
        </w:rPr>
        <w:t>竣工图）需扫描成电子版，并刻制光盘，随竣工资料正本同时移交</w:t>
      </w:r>
      <w:r>
        <w:rPr>
          <w:rFonts w:ascii="Times New Roman" w:hAnsi="Times New Roman" w:eastAsia="仿宋_GB2312"/>
          <w:color w:val="auto"/>
          <w:szCs w:val="24"/>
          <w:highlight w:val="none"/>
        </w:rPr>
        <w:t>。</w:t>
      </w:r>
    </w:p>
    <w:p>
      <w:pPr>
        <w:numPr>
          <w:ilvl w:val="0"/>
          <w:numId w:val="47"/>
        </w:numPr>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u w:val="single"/>
        </w:rPr>
        <w:t>电子版资料：需要提供竣工资料的原始电子版，即文件资料为Office、WPS等文件格式；竣工图纸为AutoCAD文件格式；竣工结算为广联达电子版等。电子版材料需刻制光盘（与纸质版资料使用一张光盘即可），与纸质版资料一并提交</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w:t>
      </w:r>
      <w:r>
        <w:rPr>
          <w:rFonts w:hint="eastAsia" w:ascii="Times New Roman" w:hAnsi="Times New Roman" w:eastAsia="仿宋_GB2312"/>
          <w:color w:val="auto"/>
          <w:kern w:val="0"/>
          <w:szCs w:val="24"/>
          <w:highlight w:val="none"/>
        </w:rPr>
        <w:t>10</w:t>
      </w:r>
      <w:r>
        <w:rPr>
          <w:rFonts w:ascii="Times New Roman" w:hAnsi="Times New Roman" w:eastAsia="仿宋_GB2312"/>
          <w:color w:val="auto"/>
          <w:kern w:val="0"/>
          <w:szCs w:val="24"/>
          <w:highlight w:val="none"/>
        </w:rPr>
        <w:t>）承包人应履行的其他义务：</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3.2 项目经理</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 xml:space="preserve">3.2.1 </w:t>
      </w:r>
      <w:r>
        <w:rPr>
          <w:rFonts w:ascii="Times New Roman" w:hAnsi="Times New Roman" w:eastAsia="仿宋_GB2312"/>
          <w:color w:val="auto"/>
          <w:szCs w:val="24"/>
          <w:highlight w:val="none"/>
        </w:rPr>
        <w:t>项目经理</w:t>
      </w:r>
      <w:r>
        <w:rPr>
          <w:rFonts w:hint="eastAsia" w:ascii="Times New Roman" w:hAnsi="Times New Roman" w:eastAsia="仿宋_GB2312"/>
          <w:color w:val="auto"/>
          <w:szCs w:val="24"/>
          <w:highlight w:val="none"/>
        </w:rPr>
        <w:t>（略）</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承包人对项目经理的授权范围如下：</w:t>
      </w:r>
      <w:r>
        <w:rPr>
          <w:rFonts w:hint="eastAsia" w:eastAsia="仿宋_GB2312"/>
          <w:color w:val="auto"/>
          <w:szCs w:val="24"/>
          <w:highlight w:val="none"/>
          <w:u w:val="single"/>
        </w:rPr>
        <w:t>负责本项目施工合同履行期间与承包人有关的各项事宜</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关于项目经理每月在施工现场的时间要求：</w:t>
      </w:r>
      <w:r>
        <w:rPr>
          <w:rFonts w:ascii="Times New Roman" w:hAnsi="Times New Roman" w:eastAsia="仿宋_GB2312"/>
          <w:color w:val="auto"/>
          <w:kern w:val="0"/>
          <w:szCs w:val="24"/>
          <w:highlight w:val="none"/>
          <w:u w:val="single"/>
        </w:rPr>
        <w:t>每周不少于5天</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承包人未提交劳动合同，以及没有为项目经理缴纳社会保险证明的违约责任：</w:t>
      </w:r>
      <w:r>
        <w:rPr>
          <w:rFonts w:hint="eastAsia" w:eastAsia="仿宋_GB2312"/>
          <w:color w:val="auto"/>
          <w:kern w:val="0"/>
          <w:szCs w:val="24"/>
          <w:highlight w:val="none"/>
          <w:u w:val="single"/>
        </w:rPr>
        <w:t>发包人从合同价款中扣除签约合</w:t>
      </w:r>
      <w:r>
        <w:rPr>
          <w:rFonts w:ascii="Times New Roman" w:hAnsi="Times New Roman" w:eastAsia="仿宋_GB2312"/>
          <w:color w:val="auto"/>
          <w:kern w:val="0"/>
          <w:szCs w:val="24"/>
          <w:highlight w:val="none"/>
          <w:u w:val="single"/>
        </w:rPr>
        <w:t>同价的1%</w:t>
      </w:r>
      <w:r>
        <w:rPr>
          <w:rFonts w:hint="eastAsia" w:eastAsia="仿宋_GB2312"/>
          <w:color w:val="auto"/>
          <w:kern w:val="0"/>
          <w:szCs w:val="24"/>
          <w:highlight w:val="none"/>
          <w:u w:val="single"/>
        </w:rPr>
        <w:t>作为违约金</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u w:val="single"/>
        </w:rPr>
      </w:pPr>
      <w:r>
        <w:rPr>
          <w:rFonts w:ascii="Times New Roman" w:hAnsi="Times New Roman" w:eastAsia="仿宋_GB2312"/>
          <w:color w:val="auto"/>
          <w:kern w:val="0"/>
          <w:szCs w:val="24"/>
          <w:highlight w:val="none"/>
        </w:rPr>
        <w:t>项目经理未经批准，擅自离开施工现场的违约责任：</w:t>
      </w:r>
      <w:r>
        <w:rPr>
          <w:rFonts w:hint="eastAsia" w:ascii="Times New Roman" w:hAnsi="Times New Roman" w:eastAsia="仿宋_GB2312"/>
          <w:color w:val="auto"/>
          <w:kern w:val="0"/>
          <w:szCs w:val="24"/>
          <w:highlight w:val="none"/>
          <w:u w:val="single"/>
        </w:rPr>
        <w:t xml:space="preserve"> </w:t>
      </w:r>
      <w:r>
        <w:rPr>
          <w:rFonts w:hint="eastAsia" w:ascii="宋体" w:hAnsi="宋体"/>
          <w:color w:val="auto"/>
          <w:kern w:val="0"/>
          <w:szCs w:val="24"/>
          <w:highlight w:val="none"/>
          <w:u w:val="single"/>
        </w:rPr>
        <w:t>/</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3.2.3 承包人擅自更换项目经理的违约责任：</w:t>
      </w:r>
      <w:r>
        <w:rPr>
          <w:rFonts w:hint="eastAsia" w:ascii="Times New Roman" w:hAnsi="Times New Roman" w:eastAsia="仿宋_GB2312"/>
          <w:color w:val="auto"/>
          <w:kern w:val="0"/>
          <w:szCs w:val="24"/>
          <w:highlight w:val="none"/>
          <w:u w:val="single"/>
        </w:rPr>
        <w:t>发包人从合同价款中扣除签约合同价的1%作为违约金</w:t>
      </w:r>
      <w:r>
        <w:rPr>
          <w:rFonts w:ascii="Times New Roman" w:hAnsi="Times New Roman" w:eastAsia="仿宋_GB2312"/>
          <w:color w:val="auto"/>
          <w:szCs w:val="24"/>
          <w:highlight w:val="none"/>
        </w:rPr>
        <w:t>。</w:t>
      </w:r>
    </w:p>
    <w:p>
      <w:pPr>
        <w:rPr>
          <w:rFonts w:ascii="Times New Roman" w:hAnsi="Times New Roman" w:eastAsia="仿宋_GB2312"/>
          <w:color w:val="auto"/>
          <w:szCs w:val="24"/>
          <w:highlight w:val="none"/>
        </w:rPr>
      </w:pPr>
      <w:r>
        <w:rPr>
          <w:rFonts w:ascii="Times New Roman" w:hAnsi="Times New Roman" w:eastAsia="仿宋_GB2312"/>
          <w:color w:val="auto"/>
          <w:szCs w:val="24"/>
          <w:highlight w:val="none"/>
        </w:rPr>
        <w:t xml:space="preserve">    3.2.4 承包人无正当理由拒绝更换项目经理的违约责任：</w:t>
      </w:r>
      <w:r>
        <w:rPr>
          <w:rFonts w:hint="eastAsia" w:ascii="Times New Roman" w:hAnsi="Times New Roman" w:eastAsia="仿宋_GB2312"/>
          <w:color w:val="auto"/>
          <w:kern w:val="0"/>
          <w:szCs w:val="24"/>
          <w:highlight w:val="none"/>
          <w:u w:val="single"/>
        </w:rPr>
        <w:t>发包人从合同价款中扣除签约合同价的1%作为违约金</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3.3 承包人人员</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3.3.1 承包人提交项目管理机构及施工现场管理人员安排报告的期限：</w:t>
      </w:r>
      <w:r>
        <w:rPr>
          <w:rFonts w:ascii="Times New Roman" w:hAnsi="Times New Roman" w:eastAsia="仿宋_GB2312"/>
          <w:color w:val="auto"/>
          <w:szCs w:val="24"/>
          <w:highlight w:val="none"/>
          <w:u w:val="single"/>
        </w:rPr>
        <w:t xml:space="preserve">  签订合同后2天内   </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3.3.3 承包人无正当理由拒绝撤换主要施工管理人员的违约责任：</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发包人从合同价款中扣除签约合同价的1%作为违约金</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3.3.4 承包人主要施工管理人员离开施工现场的批准要求：</w:t>
      </w:r>
      <w:r>
        <w:rPr>
          <w:rFonts w:ascii="Times New Roman" w:hAnsi="Times New Roman" w:eastAsia="仿宋_GB2312"/>
          <w:color w:val="auto"/>
          <w:szCs w:val="24"/>
          <w:highlight w:val="none"/>
          <w:u w:val="single"/>
        </w:rPr>
        <w:t xml:space="preserve">按照通用合同条款执行 </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3.3.5承包人擅自更换主要施工管理人员的违约责任：</w:t>
      </w:r>
      <w:r>
        <w:rPr>
          <w:rFonts w:hint="eastAsia" w:ascii="Times New Roman" w:hAnsi="Times New Roman" w:eastAsia="仿宋_GB2312"/>
          <w:color w:val="auto"/>
          <w:szCs w:val="24"/>
          <w:highlight w:val="none"/>
          <w:u w:val="single"/>
        </w:rPr>
        <w:t>发包人从合同价款中扣除签约合同价的1%作为违约金</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承包人主要施工管理人员擅自离开施工现场的违约责任：</w:t>
      </w:r>
      <w:r>
        <w:rPr>
          <w:rFonts w:hint="eastAsia" w:ascii="Times New Roman" w:hAnsi="Times New Roman" w:eastAsia="仿宋_GB2312"/>
          <w:color w:val="auto"/>
          <w:szCs w:val="24"/>
          <w:highlight w:val="none"/>
          <w:u w:val="single"/>
        </w:rPr>
        <w:t>发包人从合同价款中扣除签约合同价的1%作为违约金</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3</w:t>
      </w:r>
      <w:bookmarkStart w:id="594" w:name="_Toc304295523"/>
      <w:bookmarkStart w:id="595" w:name="_Toc297048345"/>
      <w:bookmarkStart w:id="596" w:name="_Toc297216151"/>
      <w:bookmarkStart w:id="597" w:name="_Toc297120459"/>
      <w:bookmarkStart w:id="598" w:name="_Toc292559364"/>
      <w:bookmarkStart w:id="599" w:name="_Toc292559869"/>
      <w:bookmarkStart w:id="600" w:name="_Toc296346660"/>
      <w:bookmarkStart w:id="601" w:name="_Toc303539102"/>
      <w:bookmarkStart w:id="602" w:name="_Toc296503159"/>
      <w:bookmarkStart w:id="603" w:name="_Toc300934945"/>
      <w:bookmarkStart w:id="604" w:name="_Toc312677988"/>
      <w:bookmarkStart w:id="605" w:name="_Toc296891199"/>
      <w:bookmarkStart w:id="606" w:name="_Toc297123492"/>
      <w:bookmarkStart w:id="607" w:name="_Toc296890987"/>
      <w:bookmarkStart w:id="608" w:name="_Toc296347158"/>
      <w:bookmarkStart w:id="609" w:name="_Toc296944498"/>
      <w:r>
        <w:rPr>
          <w:rFonts w:ascii="Times New Roman" w:hAnsi="Times New Roman" w:eastAsia="黑体"/>
          <w:color w:val="auto"/>
          <w:szCs w:val="24"/>
          <w:highlight w:val="none"/>
        </w:rPr>
        <w:t>.5 分包（不适用，本项目不得分包）</w:t>
      </w:r>
    </w:p>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3</w:t>
      </w:r>
      <w:bookmarkStart w:id="610" w:name="_Toc297216152"/>
      <w:bookmarkStart w:id="611" w:name="_Toc296503160"/>
      <w:bookmarkStart w:id="612" w:name="_Toc296891200"/>
      <w:bookmarkStart w:id="613" w:name="_Toc296347159"/>
      <w:bookmarkStart w:id="614" w:name="_Toc296890988"/>
      <w:bookmarkStart w:id="615" w:name="_Toc303539103"/>
      <w:bookmarkStart w:id="616" w:name="_Toc296944499"/>
      <w:bookmarkStart w:id="617" w:name="_Toc304295524"/>
      <w:bookmarkStart w:id="618" w:name="_Toc297048346"/>
      <w:bookmarkStart w:id="619" w:name="_Toc292559365"/>
      <w:bookmarkStart w:id="620" w:name="_Toc297123493"/>
      <w:bookmarkStart w:id="621" w:name="_Toc300934946"/>
      <w:bookmarkStart w:id="622" w:name="_Toc296346661"/>
      <w:bookmarkStart w:id="623" w:name="_Toc297120460"/>
      <w:bookmarkStart w:id="624" w:name="_Toc292559870"/>
      <w:bookmarkStart w:id="625" w:name="_Toc312677989"/>
      <w:bookmarkStart w:id="626" w:name="_Toc318581158"/>
      <w:r>
        <w:rPr>
          <w:rFonts w:ascii="Times New Roman" w:hAnsi="Times New Roman" w:eastAsia="仿宋_GB2312"/>
          <w:color w:val="auto"/>
          <w:szCs w:val="24"/>
          <w:highlight w:val="none"/>
        </w:rPr>
        <w:t>.5.1 分包的一般约定</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禁止分包的工程包括：</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主体结构、关键性工作的范围：</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Start w:id="627" w:name="_Toc296890989"/>
      <w:bookmarkStart w:id="628" w:name="_Toc297216153"/>
      <w:bookmarkStart w:id="629" w:name="_Toc296346662"/>
      <w:bookmarkStart w:id="630" w:name="_Toc296503161"/>
      <w:bookmarkStart w:id="631" w:name="_Toc296891201"/>
      <w:bookmarkStart w:id="632" w:name="_Toc303539104"/>
      <w:bookmarkStart w:id="633" w:name="_Toc297048347"/>
      <w:bookmarkStart w:id="634" w:name="_Toc296347160"/>
      <w:bookmarkStart w:id="635" w:name="_Toc296944500"/>
      <w:bookmarkStart w:id="636" w:name="_Toc297123494"/>
      <w:bookmarkStart w:id="637" w:name="_Toc297120461"/>
      <w:bookmarkStart w:id="638" w:name="_Toc304295525"/>
      <w:bookmarkStart w:id="639" w:name="_Toc300934947"/>
    </w:p>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Pr>
        <w:rPr>
          <w:rFonts w:ascii="Times New Roman" w:hAnsi="Times New Roman" w:eastAsia="仿宋_GB2312"/>
          <w:color w:val="auto"/>
          <w:szCs w:val="24"/>
          <w:highlight w:val="none"/>
        </w:rPr>
      </w:pPr>
      <w:r>
        <w:rPr>
          <w:rFonts w:ascii="Times New Roman" w:hAnsi="Times New Roman" w:eastAsia="仿宋_GB2312"/>
          <w:color w:val="auto"/>
          <w:szCs w:val="24"/>
          <w:highlight w:val="none"/>
        </w:rPr>
        <w:t xml:space="preserve">    3</w:t>
      </w:r>
      <w:bookmarkStart w:id="640" w:name="_Toc318581159"/>
      <w:bookmarkStart w:id="641" w:name="_Toc312677990"/>
      <w:r>
        <w:rPr>
          <w:rFonts w:ascii="Times New Roman" w:hAnsi="Times New Roman" w:eastAsia="仿宋_GB2312"/>
          <w:color w:val="auto"/>
          <w:szCs w:val="24"/>
          <w:highlight w:val="none"/>
        </w:rPr>
        <w:t>.5.2分包的确定</w:t>
      </w:r>
    </w:p>
    <w:p>
      <w:pPr>
        <w:ind w:firstLine="420" w:firstLineChars="200"/>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允许分包的专业工程包括：</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其他关于分包的约定：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3.5.4 分包合同价款</w:t>
      </w:r>
    </w:p>
    <w:p>
      <w:pPr>
        <w:ind w:firstLine="420" w:firstLineChars="200"/>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关于分包合同价款支付的约定：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bookmarkEnd w:id="640"/>
    <w:bookmarkEnd w:id="641"/>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3.6 工程照管与成品、半成品保护</w:t>
      </w:r>
    </w:p>
    <w:p>
      <w:pPr>
        <w:spacing w:before="120" w:after="120"/>
        <w:ind w:firstLine="420" w:firstLineChars="200"/>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承包人负责照管工程及工程相关的材料、工程设备的起始时间：</w:t>
      </w:r>
      <w:r>
        <w:rPr>
          <w:rFonts w:ascii="Times New Roman" w:hAnsi="Times New Roman" w:eastAsia="仿宋_GB2312"/>
          <w:color w:val="auto"/>
          <w:kern w:val="0"/>
          <w:szCs w:val="24"/>
          <w:highlight w:val="none"/>
          <w:u w:val="single"/>
        </w:rPr>
        <w:t xml:space="preserve">  按照通用合同条款</w:t>
      </w:r>
      <w:r>
        <w:rPr>
          <w:rFonts w:hint="eastAsia" w:ascii="Times New Roman" w:hAnsi="Times New Roman" w:eastAsia="仿宋_GB2312"/>
          <w:color w:val="auto"/>
          <w:kern w:val="0"/>
          <w:szCs w:val="24"/>
          <w:highlight w:val="none"/>
          <w:u w:val="single"/>
        </w:rPr>
        <w:t>、</w:t>
      </w:r>
      <w:r>
        <w:rPr>
          <w:rFonts w:ascii="Times New Roman" w:hAnsi="Times New Roman" w:eastAsia="仿宋_GB2312"/>
          <w:color w:val="auto"/>
          <w:kern w:val="0"/>
          <w:szCs w:val="24"/>
          <w:highlight w:val="none"/>
          <w:u w:val="single"/>
        </w:rPr>
        <w:t>招标文件相应条款</w:t>
      </w:r>
      <w:r>
        <w:rPr>
          <w:rFonts w:hint="eastAsia" w:ascii="Times New Roman" w:hAnsi="Times New Roman" w:eastAsia="仿宋_GB2312"/>
          <w:color w:val="auto"/>
          <w:kern w:val="0"/>
          <w:szCs w:val="24"/>
          <w:highlight w:val="none"/>
          <w:u w:val="single"/>
        </w:rPr>
        <w:t>执行</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spacing w:after="120"/>
        <w:ind w:firstLine="420" w:firstLineChars="200"/>
        <w:rPr>
          <w:rFonts w:ascii="Times New Roman" w:hAnsi="Times New Roman" w:eastAsia="黑体"/>
          <w:color w:val="auto"/>
          <w:szCs w:val="24"/>
          <w:highlight w:val="none"/>
        </w:rPr>
      </w:pPr>
      <w:r>
        <w:rPr>
          <w:rFonts w:hint="eastAsia" w:ascii="Times New Roman" w:hAnsi="Times New Roman" w:eastAsia="黑体"/>
          <w:color w:val="auto"/>
          <w:szCs w:val="24"/>
          <w:highlight w:val="none"/>
        </w:rPr>
        <w:t>3.7 履约担保</w:t>
      </w:r>
    </w:p>
    <w:p>
      <w:pPr>
        <w:spacing w:before="120" w:after="120"/>
        <w:ind w:firstLine="420" w:firstLineChars="200"/>
        <w:rPr>
          <w:rFonts w:ascii="Times New Roman" w:hAnsi="Times New Roman" w:eastAsia="仿宋_GB2312"/>
          <w:color w:val="auto"/>
          <w:kern w:val="0"/>
          <w:szCs w:val="24"/>
          <w:highlight w:val="none"/>
        </w:rPr>
      </w:pPr>
      <w:r>
        <w:rPr>
          <w:rFonts w:hint="eastAsia" w:ascii="Times New Roman" w:hAnsi="Times New Roman" w:eastAsia="仿宋_GB2312"/>
          <w:color w:val="auto"/>
          <w:kern w:val="0"/>
          <w:szCs w:val="24"/>
          <w:highlight w:val="none"/>
        </w:rPr>
        <w:t>承包人是否提供履约担保：</w:t>
      </w:r>
      <w:r>
        <w:rPr>
          <w:rFonts w:hint="eastAsia" w:ascii="Times New Roman" w:hAnsi="Times New Roman" w:eastAsia="仿宋_GB2312"/>
          <w:color w:val="auto"/>
          <w:kern w:val="0"/>
          <w:szCs w:val="24"/>
          <w:highlight w:val="none"/>
          <w:u w:val="single"/>
        </w:rPr>
        <w:t xml:space="preserve"> 不接受履约担保，需现金缴纳履约保证金  </w:t>
      </w:r>
      <w:r>
        <w:rPr>
          <w:rFonts w:hint="eastAsia" w:ascii="Times New Roman" w:hAnsi="Times New Roman" w:eastAsia="仿宋_GB2312"/>
          <w:color w:val="auto"/>
          <w:kern w:val="0"/>
          <w:szCs w:val="24"/>
          <w:highlight w:val="none"/>
        </w:rPr>
        <w:t>。</w:t>
      </w:r>
    </w:p>
    <w:p>
      <w:pPr>
        <w:ind w:firstLine="420" w:firstLineChars="200"/>
        <w:rPr>
          <w:rFonts w:ascii="Times New Roman" w:hAnsi="Times New Roman" w:eastAsia="仿宋_GB2312"/>
          <w:color w:val="auto"/>
          <w:kern w:val="0"/>
          <w:szCs w:val="24"/>
          <w:highlight w:val="none"/>
        </w:rPr>
      </w:pPr>
      <w:r>
        <w:rPr>
          <w:rFonts w:hint="eastAsia" w:ascii="Times New Roman" w:hAnsi="Times New Roman" w:eastAsia="仿宋_GB2312"/>
          <w:color w:val="auto"/>
          <w:kern w:val="0"/>
          <w:szCs w:val="24"/>
          <w:highlight w:val="none"/>
        </w:rPr>
        <w:t>承包人提供履约担保的形式、金额及期限的：</w:t>
      </w:r>
      <w:r>
        <w:rPr>
          <w:rFonts w:hint="eastAsia" w:ascii="Times New Roman" w:hAnsi="Times New Roman" w:eastAsia="仿宋_GB2312"/>
          <w:color w:val="auto"/>
          <w:kern w:val="0"/>
          <w:szCs w:val="24"/>
          <w:highlight w:val="none"/>
          <w:u w:val="single"/>
        </w:rPr>
        <w:t>本工程履约保证金为中标金额的10%，合同订立前提交。在本合同顺利履行完毕并无任何纠纷情况下，结算一级审核后，无息返还给承包人。如因承包人违约给发包人造成的损失超过履约保证金金额的，发包人有权对超出部分要求进一步的赔偿</w:t>
      </w:r>
      <w:r>
        <w:rPr>
          <w:rFonts w:hint="eastAsia" w:ascii="Times New Roman" w:hAnsi="Times New Roman" w:eastAsia="仿宋_GB2312"/>
          <w:color w:val="auto"/>
          <w:kern w:val="0"/>
          <w:szCs w:val="24"/>
          <w:highlight w:val="none"/>
        </w:rPr>
        <w:t>。</w:t>
      </w:r>
    </w:p>
    <w:p>
      <w:pPr>
        <w:pStyle w:val="8"/>
        <w:spacing w:before="120" w:after="120" w:line="360" w:lineRule="auto"/>
        <w:rPr>
          <w:rFonts w:ascii="Times New Roman" w:hAnsi="Times New Roman" w:eastAsia="黑体"/>
          <w:b w:val="0"/>
          <w:color w:val="auto"/>
          <w:sz w:val="24"/>
          <w:szCs w:val="24"/>
          <w:highlight w:val="none"/>
        </w:rPr>
      </w:pPr>
      <w:bookmarkStart w:id="642" w:name="_Toc503261138"/>
      <w:r>
        <w:rPr>
          <w:rFonts w:ascii="Times New Roman" w:hAnsi="Times New Roman" w:eastAsia="黑体"/>
          <w:b w:val="0"/>
          <w:color w:val="auto"/>
          <w:sz w:val="24"/>
          <w:szCs w:val="24"/>
          <w:highlight w:val="none"/>
        </w:rPr>
        <w:t>4</w:t>
      </w:r>
      <w:bookmarkStart w:id="643" w:name="_Toc297120462"/>
      <w:bookmarkStart w:id="644" w:name="_Toc296503162"/>
      <w:bookmarkStart w:id="645" w:name="_Toc296346663"/>
      <w:bookmarkStart w:id="646" w:name="_Toc297048348"/>
      <w:bookmarkStart w:id="647" w:name="_Toc296890990"/>
      <w:bookmarkStart w:id="648" w:name="_Toc292559871"/>
      <w:bookmarkStart w:id="649" w:name="_Toc292559366"/>
      <w:bookmarkStart w:id="650" w:name="_Toc296347161"/>
      <w:bookmarkStart w:id="651" w:name="_Toc267251413"/>
      <w:bookmarkStart w:id="652" w:name="_Toc296891202"/>
      <w:bookmarkStart w:id="653" w:name="_Toc296944501"/>
      <w:r>
        <w:rPr>
          <w:rFonts w:ascii="Times New Roman" w:hAnsi="Times New Roman" w:eastAsia="黑体"/>
          <w:b w:val="0"/>
          <w:color w:val="auto"/>
          <w:sz w:val="24"/>
          <w:szCs w:val="24"/>
          <w:highlight w:val="none"/>
        </w:rPr>
        <w:t>. 监</w:t>
      </w:r>
      <w:bookmarkEnd w:id="643"/>
      <w:bookmarkEnd w:id="644"/>
      <w:bookmarkEnd w:id="645"/>
      <w:bookmarkEnd w:id="646"/>
      <w:bookmarkEnd w:id="647"/>
      <w:bookmarkEnd w:id="648"/>
      <w:bookmarkEnd w:id="649"/>
      <w:bookmarkEnd w:id="650"/>
      <w:bookmarkEnd w:id="651"/>
      <w:bookmarkEnd w:id="652"/>
      <w:bookmarkEnd w:id="653"/>
      <w:r>
        <w:rPr>
          <w:rFonts w:ascii="Times New Roman" w:hAnsi="Times New Roman" w:eastAsia="黑体"/>
          <w:b w:val="0"/>
          <w:color w:val="auto"/>
          <w:sz w:val="24"/>
          <w:szCs w:val="24"/>
          <w:highlight w:val="none"/>
        </w:rPr>
        <w:t>理人</w:t>
      </w:r>
      <w:r>
        <w:rPr>
          <w:rFonts w:hint="eastAsia" w:ascii="Times New Roman" w:hAnsi="Times New Roman" w:eastAsia="黑体"/>
          <w:b w:val="0"/>
          <w:color w:val="auto"/>
          <w:sz w:val="24"/>
          <w:szCs w:val="24"/>
          <w:highlight w:val="none"/>
        </w:rPr>
        <w:t>（略）</w:t>
      </w:r>
      <w:bookmarkEnd w:id="642"/>
    </w:p>
    <w:p>
      <w:pPr>
        <w:pStyle w:val="8"/>
        <w:spacing w:before="120" w:after="120" w:line="360" w:lineRule="auto"/>
        <w:rPr>
          <w:rFonts w:ascii="Times New Roman" w:hAnsi="Times New Roman" w:eastAsia="黑体"/>
          <w:b w:val="0"/>
          <w:color w:val="auto"/>
          <w:sz w:val="24"/>
          <w:szCs w:val="24"/>
          <w:highlight w:val="none"/>
        </w:rPr>
      </w:pPr>
      <w:bookmarkStart w:id="654" w:name="_Toc267251418"/>
      <w:bookmarkStart w:id="655" w:name="_Toc503261139"/>
      <w:r>
        <w:rPr>
          <w:rFonts w:ascii="Times New Roman" w:hAnsi="Times New Roman" w:eastAsia="黑体"/>
          <w:b w:val="0"/>
          <w:color w:val="auto"/>
          <w:sz w:val="24"/>
          <w:szCs w:val="24"/>
          <w:highlight w:val="none"/>
        </w:rPr>
        <w:t>5</w:t>
      </w:r>
      <w:bookmarkEnd w:id="654"/>
      <w:bookmarkStart w:id="656" w:name="_Toc296346664"/>
      <w:bookmarkStart w:id="657" w:name="_Toc296890991"/>
      <w:bookmarkStart w:id="658" w:name="_Toc297048349"/>
      <w:bookmarkStart w:id="659" w:name="_Toc292559872"/>
      <w:bookmarkStart w:id="660" w:name="_Toc297120463"/>
      <w:bookmarkStart w:id="661" w:name="_Toc296503163"/>
      <w:bookmarkStart w:id="662" w:name="_Toc292559367"/>
      <w:bookmarkStart w:id="663" w:name="_Toc296891203"/>
      <w:bookmarkStart w:id="664" w:name="_Toc296347162"/>
      <w:bookmarkStart w:id="665" w:name="_Toc296944502"/>
      <w:r>
        <w:rPr>
          <w:rFonts w:ascii="Times New Roman" w:hAnsi="Times New Roman" w:eastAsia="黑体"/>
          <w:b w:val="0"/>
          <w:color w:val="auto"/>
          <w:sz w:val="24"/>
          <w:szCs w:val="24"/>
          <w:highlight w:val="none"/>
        </w:rPr>
        <w:t>. 工程质量</w:t>
      </w:r>
      <w:bookmarkEnd w:id="655"/>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5.1 质量要求</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5</w:t>
      </w:r>
      <w:bookmarkStart w:id="666" w:name="_Toc312677997"/>
      <w:bookmarkStart w:id="667" w:name="_Toc303539106"/>
      <w:bookmarkStart w:id="668" w:name="_Toc304295527"/>
      <w:bookmarkStart w:id="669" w:name="_Toc300934949"/>
      <w:bookmarkStart w:id="670" w:name="_Toc318581164"/>
      <w:bookmarkStart w:id="671" w:name="_Toc297216155"/>
      <w:bookmarkStart w:id="672" w:name="_Toc297123496"/>
      <w:r>
        <w:rPr>
          <w:rFonts w:ascii="Times New Roman" w:hAnsi="Times New Roman" w:eastAsia="仿宋_GB2312"/>
          <w:color w:val="auto"/>
          <w:szCs w:val="24"/>
          <w:highlight w:val="none"/>
        </w:rPr>
        <w:t>.1.1 特殊质量标准和要求：</w:t>
      </w:r>
      <w:r>
        <w:rPr>
          <w:rFonts w:hint="eastAsia" w:ascii="Times New Roman" w:hAnsi="Times New Roman" w:eastAsia="仿宋_GB2312"/>
          <w:color w:val="auto"/>
          <w:szCs w:val="24"/>
          <w:highlight w:val="none"/>
          <w:u w:val="single"/>
        </w:rPr>
        <w:t xml:space="preserve">        /        </w:t>
      </w:r>
      <w:r>
        <w:rPr>
          <w:rFonts w:hint="eastAsia" w:ascii="Times New Roman" w:hAnsi="Times New Roman" w:eastAsia="仿宋_GB2312"/>
          <w:color w:val="auto"/>
          <w:szCs w:val="24"/>
          <w:highlight w:val="none"/>
        </w:rPr>
        <w:t>。</w:t>
      </w:r>
    </w:p>
    <w:p>
      <w:pPr>
        <w:ind w:firstLine="420" w:firstLineChars="200"/>
        <w:jc w:val="left"/>
        <w:rPr>
          <w:rFonts w:ascii="Times New Roman" w:hAnsi="Times New Roman" w:eastAsia="黑体"/>
          <w:color w:val="auto"/>
          <w:szCs w:val="24"/>
          <w:highlight w:val="none"/>
        </w:rPr>
      </w:pPr>
      <w:r>
        <w:rPr>
          <w:rFonts w:ascii="Times New Roman" w:hAnsi="Times New Roman" w:eastAsia="仿宋_GB2312"/>
          <w:color w:val="auto"/>
          <w:szCs w:val="24"/>
          <w:highlight w:val="none"/>
        </w:rPr>
        <w:t>关于工程奖项的约定：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5.3 隐蔽工程检查</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5.3.2承包人提前通知监理人隐蔽工程检查的期限的约定：</w:t>
      </w:r>
      <w:r>
        <w:rPr>
          <w:rFonts w:hint="eastAsia" w:ascii="Times New Roman" w:hAnsi="Times New Roman" w:eastAsia="仿宋_GB2312"/>
          <w:color w:val="auto"/>
          <w:szCs w:val="24"/>
          <w:highlight w:val="none"/>
          <w:u w:val="single"/>
        </w:rPr>
        <w:t>按招标文件执行</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监理人不能按时进行检查时，应提前</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按招标文件执行</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小时提交书面延期要求。</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关于延期最长不得超过：</w:t>
      </w:r>
      <w:r>
        <w:rPr>
          <w:rFonts w:hint="eastAsia" w:ascii="Times New Roman" w:hAnsi="Times New Roman" w:eastAsia="仿宋_GB2312"/>
          <w:color w:val="auto"/>
          <w:szCs w:val="24"/>
          <w:highlight w:val="none"/>
          <w:u w:val="single"/>
        </w:rPr>
        <w:t>按招标文件执行</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小时。</w:t>
      </w:r>
    </w:p>
    <w:p>
      <w:pPr>
        <w:pStyle w:val="8"/>
        <w:spacing w:before="120" w:after="120" w:line="360" w:lineRule="auto"/>
        <w:rPr>
          <w:rFonts w:ascii="Times New Roman" w:hAnsi="Times New Roman" w:eastAsia="黑体"/>
          <w:b w:val="0"/>
          <w:color w:val="auto"/>
          <w:sz w:val="24"/>
          <w:szCs w:val="24"/>
          <w:highlight w:val="none"/>
        </w:rPr>
      </w:pPr>
      <w:bookmarkStart w:id="673" w:name="_Toc503261140"/>
      <w:r>
        <w:rPr>
          <w:rFonts w:ascii="Times New Roman" w:hAnsi="Times New Roman" w:eastAsia="黑体"/>
          <w:b w:val="0"/>
          <w:color w:val="auto"/>
          <w:sz w:val="24"/>
          <w:szCs w:val="24"/>
          <w:highlight w:val="none"/>
        </w:rPr>
        <w:t>6. 安全文明施工与环境保护</w:t>
      </w:r>
      <w:bookmarkEnd w:id="673"/>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6.1安全文明施工</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6.1.1 项目安全生产的达标目标及相应事项的约定：</w:t>
      </w:r>
      <w:r>
        <w:rPr>
          <w:rFonts w:ascii="Times New Roman" w:hAnsi="Times New Roman" w:eastAsia="仿宋_GB2312"/>
          <w:color w:val="auto"/>
          <w:szCs w:val="24"/>
          <w:highlight w:val="none"/>
          <w:u w:val="single"/>
        </w:rPr>
        <w:t>按招标文件执行</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6.1.4 关于治安保卫的特别约定：</w:t>
      </w:r>
      <w:r>
        <w:rPr>
          <w:rFonts w:ascii="Times New Roman" w:hAnsi="Times New Roman" w:eastAsia="仿宋_GB2312"/>
          <w:color w:val="auto"/>
          <w:szCs w:val="24"/>
          <w:highlight w:val="none"/>
          <w:u w:val="single"/>
        </w:rPr>
        <w:t xml:space="preserve">按招标文件执行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关于编制施工场地治安管理计划的约定：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6.1.5 文明施工</w:t>
      </w:r>
    </w:p>
    <w:p>
      <w:pPr>
        <w:ind w:firstLine="420" w:firstLineChars="200"/>
        <w:jc w:val="left"/>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合同当事人对文明施工的要求：</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按招标文件执行  </w:t>
      </w:r>
      <w:r>
        <w:rPr>
          <w:rFonts w:hint="eastAsia"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u w:val="single"/>
        </w:rPr>
      </w:pPr>
      <w:r>
        <w:rPr>
          <w:rFonts w:hint="eastAsia" w:ascii="Times New Roman" w:hAnsi="Times New Roman" w:eastAsia="仿宋_GB2312"/>
          <w:color w:val="auto"/>
          <w:szCs w:val="24"/>
          <w:highlight w:val="none"/>
          <w:u w:val="single"/>
        </w:rPr>
        <w:t>现场明显处设立按住建部规定的五牌一图（施工现场平面布置图、工程概况牌，管理人员名单及监督电话牌，消防保卫，〈防火责任〉安全生产记录牌，文明施工牌），严格按施工组织设计平面布置图施工。</w:t>
      </w:r>
    </w:p>
    <w:p>
      <w:pPr>
        <w:ind w:firstLine="420" w:firstLineChars="200"/>
        <w:jc w:val="left"/>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u w:val="single"/>
        </w:rPr>
        <w:t>承包人工作人员、设备或材料进场时，应遵守施工现场环境卫生管理、安全管理的有关规定，配备相应的环境保护及安全措施，并承担因自身原因违反有关规定而导致的所有责任。由于承包人安全措施不力造成事故的责任和因此发生的费用，均由承包人承担，同时承包人需按签约合同价的1％支付违约金。因材料进场、垃圾外运及材料或建筑垃圾的堆放对校内环境造成的破坏由承包人负责恢复。</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6.1.6 关于安全文明施工费支付比例和支付期限的约定：</w:t>
      </w:r>
      <w:r>
        <w:rPr>
          <w:rFonts w:hint="eastAsia" w:ascii="Times New Roman" w:hAnsi="Times New Roman" w:eastAsia="仿宋_GB2312"/>
          <w:color w:val="auto"/>
          <w:szCs w:val="24"/>
          <w:highlight w:val="none"/>
          <w:u w:val="single"/>
        </w:rPr>
        <w:t>施工合同签订，施工单位进场后，发包人向承包人支付100%安全文明施工费</w:t>
      </w:r>
      <w:r>
        <w:rPr>
          <w:rFonts w:ascii="Times New Roman" w:hAnsi="Times New Roman" w:eastAsia="仿宋_GB2312"/>
          <w:color w:val="auto"/>
          <w:szCs w:val="24"/>
          <w:highlight w:val="none"/>
        </w:rPr>
        <w:t>。</w:t>
      </w:r>
    </w:p>
    <w:bookmarkEnd w:id="666"/>
    <w:bookmarkEnd w:id="667"/>
    <w:bookmarkEnd w:id="668"/>
    <w:bookmarkEnd w:id="669"/>
    <w:bookmarkEnd w:id="670"/>
    <w:bookmarkEnd w:id="671"/>
    <w:bookmarkEnd w:id="672"/>
    <w:p>
      <w:pPr>
        <w:pStyle w:val="8"/>
        <w:spacing w:before="120" w:after="120" w:line="360" w:lineRule="auto"/>
        <w:rPr>
          <w:rFonts w:ascii="Times New Roman" w:hAnsi="Times New Roman" w:eastAsia="黑体"/>
          <w:b w:val="0"/>
          <w:color w:val="auto"/>
          <w:sz w:val="24"/>
          <w:szCs w:val="24"/>
          <w:highlight w:val="none"/>
        </w:rPr>
      </w:pPr>
      <w:bookmarkStart w:id="674" w:name="_Toc503261141"/>
      <w:r>
        <w:rPr>
          <w:rFonts w:ascii="Times New Roman" w:hAnsi="Times New Roman" w:eastAsia="黑体"/>
          <w:b w:val="0"/>
          <w:color w:val="auto"/>
          <w:sz w:val="24"/>
          <w:szCs w:val="24"/>
          <w:highlight w:val="none"/>
        </w:rPr>
        <w:t>7. 工期和进度</w:t>
      </w:r>
      <w:bookmarkEnd w:id="674"/>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7.1 施工组织设计</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szCs w:val="24"/>
          <w:highlight w:val="none"/>
        </w:rPr>
        <w:t>7.1.</w:t>
      </w:r>
      <w:r>
        <w:rPr>
          <w:rFonts w:hint="eastAsia" w:ascii="Times New Roman" w:hAnsi="Times New Roman" w:eastAsia="仿宋_GB2312"/>
          <w:color w:val="auto"/>
          <w:szCs w:val="24"/>
          <w:highlight w:val="none"/>
        </w:rPr>
        <w:t>1 合</w:t>
      </w:r>
      <w:r>
        <w:rPr>
          <w:rFonts w:hint="eastAsia" w:ascii="Times New Roman" w:hAnsi="Times New Roman" w:eastAsia="仿宋_GB2312"/>
          <w:color w:val="auto"/>
          <w:kern w:val="0"/>
          <w:szCs w:val="24"/>
          <w:highlight w:val="none"/>
        </w:rPr>
        <w:t>同当事人约定的</w:t>
      </w:r>
      <w:r>
        <w:rPr>
          <w:rFonts w:ascii="Times New Roman" w:hAnsi="Times New Roman" w:eastAsia="仿宋_GB2312"/>
          <w:color w:val="auto"/>
          <w:kern w:val="0"/>
          <w:szCs w:val="24"/>
          <w:highlight w:val="none"/>
        </w:rPr>
        <w:t>施工组织设计</w:t>
      </w:r>
      <w:r>
        <w:rPr>
          <w:rFonts w:hint="eastAsia" w:ascii="Times New Roman" w:hAnsi="Times New Roman" w:eastAsia="仿宋_GB2312"/>
          <w:color w:val="auto"/>
          <w:kern w:val="0"/>
          <w:szCs w:val="24"/>
          <w:highlight w:val="none"/>
        </w:rPr>
        <w:t>应包括的其他内容</w:t>
      </w:r>
      <w:r>
        <w:rPr>
          <w:rFonts w:ascii="Times New Roman" w:hAnsi="Times New Roman" w:eastAsia="仿宋_GB2312"/>
          <w:color w:val="auto"/>
          <w:kern w:val="0"/>
          <w:szCs w:val="24"/>
          <w:highlight w:val="none"/>
        </w:rPr>
        <w:t>：</w:t>
      </w:r>
      <w:r>
        <w:rPr>
          <w:rFonts w:ascii="Times New Roman" w:hAnsi="Times New Roman" w:eastAsia="仿宋_GB2312"/>
          <w:color w:val="auto"/>
          <w:szCs w:val="24"/>
          <w:highlight w:val="none"/>
          <w:u w:val="single"/>
        </w:rPr>
        <w:t>按招标文件执行</w:t>
      </w:r>
      <w:r>
        <w:rPr>
          <w:rFonts w:ascii="Times New Roman" w:hAnsi="Times New Roman" w:eastAsia="仿宋_GB2312"/>
          <w:color w:val="auto"/>
          <w:szCs w:val="24"/>
          <w:highlight w:val="none"/>
        </w:rPr>
        <w:t>。</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szCs w:val="24"/>
          <w:highlight w:val="none"/>
        </w:rPr>
        <w:t xml:space="preserve">7.1.2 </w:t>
      </w:r>
      <w:r>
        <w:rPr>
          <w:rFonts w:ascii="Times New Roman" w:hAnsi="Times New Roman" w:eastAsia="仿宋_GB2312"/>
          <w:color w:val="auto"/>
          <w:kern w:val="0"/>
          <w:szCs w:val="24"/>
          <w:highlight w:val="none"/>
        </w:rPr>
        <w:t>施工组织设计的提交和修改</w:t>
      </w:r>
    </w:p>
    <w:p>
      <w:pPr>
        <w:autoSpaceDE w:val="0"/>
        <w:autoSpaceDN w:val="0"/>
        <w:adjustRightInd w:val="0"/>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承包人提交详细施工组织设计的期限的约定：</w:t>
      </w:r>
      <w:r>
        <w:rPr>
          <w:rFonts w:ascii="Times New Roman" w:hAnsi="Times New Roman" w:eastAsia="仿宋_GB2312"/>
          <w:color w:val="auto"/>
          <w:szCs w:val="24"/>
          <w:highlight w:val="none"/>
          <w:u w:val="single"/>
        </w:rPr>
        <w:t>按照招标文件执行</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发包人和监理人在收到</w:t>
      </w:r>
      <w:r>
        <w:rPr>
          <w:rFonts w:hint="eastAsia" w:ascii="Times New Roman" w:hAnsi="Times New Roman" w:eastAsia="仿宋_GB2312"/>
          <w:color w:val="auto"/>
          <w:szCs w:val="24"/>
          <w:highlight w:val="none"/>
        </w:rPr>
        <w:t>详细的施工组织设计</w:t>
      </w:r>
      <w:r>
        <w:rPr>
          <w:rFonts w:ascii="Times New Roman" w:hAnsi="Times New Roman" w:eastAsia="仿宋_GB2312"/>
          <w:color w:val="auto"/>
          <w:szCs w:val="24"/>
          <w:highlight w:val="none"/>
        </w:rPr>
        <w:t>后确认或提出修改意见的期限：</w:t>
      </w:r>
      <w:r>
        <w:rPr>
          <w:rFonts w:ascii="Times New Roman" w:hAnsi="Times New Roman" w:eastAsia="仿宋_GB2312"/>
          <w:color w:val="auto"/>
          <w:szCs w:val="24"/>
          <w:highlight w:val="none"/>
          <w:u w:val="single"/>
        </w:rPr>
        <w:t>按照招标文件执行</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7</w:t>
      </w:r>
      <w:bookmarkStart w:id="675" w:name="_Toc300934966"/>
      <w:bookmarkStart w:id="676" w:name="_Toc312677479"/>
      <w:bookmarkStart w:id="677" w:name="_Toc312678005"/>
      <w:bookmarkStart w:id="678" w:name="_Toc304295541"/>
      <w:bookmarkStart w:id="679" w:name="_Toc303539123"/>
      <w:bookmarkStart w:id="680" w:name="_Toc297123514"/>
      <w:bookmarkStart w:id="681" w:name="_Toc297216173"/>
      <w:r>
        <w:rPr>
          <w:rFonts w:ascii="Times New Roman" w:hAnsi="Times New Roman" w:eastAsia="黑体"/>
          <w:color w:val="auto"/>
          <w:szCs w:val="24"/>
          <w:highlight w:val="none"/>
        </w:rPr>
        <w:t>.2 施工进度计划</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7.2.2 施工进度计划的修订</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发包人和监理人在收到修订的施工进度计划后确认或提出修改意见的期限：</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7.3 开工</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7.3.1 开工准备</w:t>
      </w:r>
    </w:p>
    <w:p>
      <w:pPr>
        <w:ind w:firstLine="645"/>
        <w:jc w:val="left"/>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关于承包人提交</w:t>
      </w:r>
      <w:r>
        <w:rPr>
          <w:rFonts w:ascii="Times New Roman" w:hAnsi="Times New Roman" w:eastAsia="仿宋_GB2312"/>
          <w:color w:val="auto"/>
          <w:kern w:val="0"/>
          <w:szCs w:val="24"/>
          <w:highlight w:val="none"/>
        </w:rPr>
        <w:t>工程开工报审表的期限：</w:t>
      </w:r>
      <w:r>
        <w:rPr>
          <w:rFonts w:ascii="Times New Roman" w:hAnsi="Times New Roman" w:eastAsia="仿宋_GB2312"/>
          <w:color w:val="auto"/>
          <w:szCs w:val="24"/>
          <w:highlight w:val="none"/>
          <w:u w:val="single"/>
        </w:rPr>
        <w:t>按通用条款执行</w:t>
      </w:r>
      <w:r>
        <w:rPr>
          <w:rFonts w:ascii="Times New Roman" w:hAnsi="Times New Roman" w:eastAsia="仿宋_GB2312"/>
          <w:color w:val="auto"/>
          <w:szCs w:val="24"/>
          <w:highlight w:val="none"/>
        </w:rPr>
        <w:t>。</w:t>
      </w:r>
    </w:p>
    <w:p>
      <w:pPr>
        <w:ind w:firstLine="645"/>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关于发包人应完成的其他开工准备工作及期限：</w:t>
      </w:r>
      <w:r>
        <w:rPr>
          <w:rFonts w:ascii="Times New Roman" w:hAnsi="Times New Roman" w:eastAsia="仿宋_GB2312"/>
          <w:color w:val="auto"/>
          <w:szCs w:val="24"/>
          <w:highlight w:val="none"/>
          <w:u w:val="single"/>
        </w:rPr>
        <w:t>按通用条款执行</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关于承包人应完成的其他开工准备工作及期限：</w:t>
      </w:r>
      <w:r>
        <w:rPr>
          <w:rFonts w:ascii="Times New Roman" w:hAnsi="Times New Roman" w:eastAsia="仿宋_GB2312"/>
          <w:color w:val="auto"/>
          <w:szCs w:val="24"/>
          <w:highlight w:val="none"/>
          <w:u w:val="single"/>
        </w:rPr>
        <w:t>按通用条款执行</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7.3.2开工通知</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因发包人原因造成监理人未能在计划开工日期之日起</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60</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天内发出开工通知的，承包人有权提出价格调整要求，或者解除合同。</w:t>
      </w:r>
    </w:p>
    <w:bookmarkEnd w:id="675"/>
    <w:bookmarkEnd w:id="676"/>
    <w:bookmarkEnd w:id="677"/>
    <w:bookmarkEnd w:id="678"/>
    <w:bookmarkEnd w:id="679"/>
    <w:bookmarkEnd w:id="680"/>
    <w:bookmarkEnd w:id="681"/>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7.4 测量放线</w:t>
      </w:r>
    </w:p>
    <w:p>
      <w:pPr>
        <w:ind w:firstLine="420" w:firstLineChars="200"/>
        <w:jc w:val="left"/>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7.4.1发包人通过监理人向承包人提供测量基准点、基准线和水准点及其书面资料的期限：</w:t>
      </w:r>
      <w:r>
        <w:rPr>
          <w:rFonts w:ascii="Times New Roman" w:hAnsi="Times New Roman" w:eastAsia="仿宋_GB2312"/>
          <w:color w:val="auto"/>
          <w:szCs w:val="24"/>
          <w:highlight w:val="none"/>
          <w:u w:val="single"/>
        </w:rPr>
        <w:t>按照通用条款执行</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7</w:t>
      </w:r>
      <w:bookmarkStart w:id="682" w:name="_Toc297216175"/>
      <w:bookmarkStart w:id="683" w:name="_Toc297123516"/>
      <w:bookmarkStart w:id="684" w:name="_Toc304295546"/>
      <w:bookmarkStart w:id="685" w:name="_Toc312678010"/>
      <w:bookmarkStart w:id="686" w:name="_Toc300934968"/>
      <w:bookmarkStart w:id="687" w:name="_Toc303539125"/>
      <w:bookmarkStart w:id="688" w:name="_Toc312677484"/>
      <w:r>
        <w:rPr>
          <w:rFonts w:ascii="Times New Roman" w:hAnsi="Times New Roman" w:eastAsia="黑体"/>
          <w:color w:val="auto"/>
          <w:szCs w:val="24"/>
          <w:highlight w:val="none"/>
        </w:rPr>
        <w:t>.5 工期延误</w:t>
      </w:r>
    </w:p>
    <w:bookmarkEnd w:id="682"/>
    <w:bookmarkEnd w:id="683"/>
    <w:bookmarkEnd w:id="684"/>
    <w:bookmarkEnd w:id="685"/>
    <w:bookmarkEnd w:id="686"/>
    <w:bookmarkEnd w:id="687"/>
    <w:bookmarkEnd w:id="688"/>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7.5.1 因发包人原因导致工期延误</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（7）因发包人原因导致工期延误的其他情形：</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7</w:t>
      </w:r>
      <w:bookmarkStart w:id="689" w:name="_Toc318581169"/>
      <w:bookmarkStart w:id="690" w:name="_Toc312678012"/>
      <w:bookmarkStart w:id="691" w:name="_Toc312677486"/>
      <w:bookmarkStart w:id="692" w:name="_Toc300934970"/>
      <w:bookmarkStart w:id="693" w:name="_Toc304295548"/>
      <w:bookmarkStart w:id="694" w:name="_Toc297123518"/>
      <w:bookmarkStart w:id="695" w:name="_Toc303539127"/>
      <w:bookmarkStart w:id="696" w:name="_Toc297216177"/>
      <w:r>
        <w:rPr>
          <w:rFonts w:ascii="Times New Roman" w:hAnsi="Times New Roman" w:eastAsia="仿宋_GB2312"/>
          <w:color w:val="auto"/>
          <w:szCs w:val="24"/>
          <w:highlight w:val="none"/>
        </w:rPr>
        <w:t>.5.2 因承包人原因导致工期延误</w:t>
      </w:r>
    </w:p>
    <w:bookmarkEnd w:id="689"/>
    <w:bookmarkEnd w:id="690"/>
    <w:bookmarkEnd w:id="691"/>
    <w:p>
      <w:pPr>
        <w:ind w:firstLine="420" w:firstLineChars="200"/>
        <w:jc w:val="left"/>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因</w:t>
      </w:r>
      <w:bookmarkStart w:id="697" w:name="_Toc312677487"/>
      <w:bookmarkStart w:id="698" w:name="_Toc312678013"/>
      <w:bookmarkStart w:id="699" w:name="_Toc318581170"/>
      <w:r>
        <w:rPr>
          <w:rFonts w:ascii="Times New Roman" w:hAnsi="Times New Roman" w:eastAsia="仿宋_GB2312"/>
          <w:color w:val="auto"/>
          <w:szCs w:val="24"/>
          <w:highlight w:val="none"/>
        </w:rPr>
        <w:t>承包人原因造成工期延误，逾期竣工违约金的计算方法为：</w:t>
      </w:r>
    </w:p>
    <w:p>
      <w:pPr>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每逾期1天，发包人扣除签约合同价的1%作为违约金</w:t>
      </w:r>
      <w:r>
        <w:rPr>
          <w:rFonts w:ascii="Times New Roman" w:hAnsi="Times New Roman" w:eastAsia="仿宋_GB2312"/>
          <w:color w:val="auto"/>
          <w:szCs w:val="24"/>
          <w:highlight w:val="none"/>
        </w:rPr>
        <w:t>。</w:t>
      </w:r>
      <w:bookmarkEnd w:id="692"/>
      <w:bookmarkEnd w:id="693"/>
      <w:bookmarkEnd w:id="694"/>
      <w:bookmarkEnd w:id="695"/>
      <w:bookmarkEnd w:id="696"/>
      <w:bookmarkEnd w:id="697"/>
      <w:bookmarkEnd w:id="698"/>
    </w:p>
    <w:bookmarkEnd w:id="699"/>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因承包人原因造成工期延误，逾</w:t>
      </w:r>
      <w:bookmarkStart w:id="700" w:name="_Toc318581171"/>
      <w:bookmarkStart w:id="701" w:name="_Toc312678014"/>
      <w:r>
        <w:rPr>
          <w:rFonts w:ascii="Times New Roman" w:hAnsi="Times New Roman" w:eastAsia="仿宋_GB2312"/>
          <w:color w:val="auto"/>
          <w:szCs w:val="24"/>
          <w:highlight w:val="none"/>
        </w:rPr>
        <w:t>期竣工违约金的上限：</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无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bookmarkEnd w:id="700"/>
    <w:bookmarkEnd w:id="701"/>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7</w:t>
      </w:r>
      <w:bookmarkStart w:id="702" w:name="_Toc303539128"/>
      <w:bookmarkStart w:id="703" w:name="_Toc300934971"/>
      <w:bookmarkStart w:id="704" w:name="_Toc297123519"/>
      <w:bookmarkStart w:id="705" w:name="_Toc312678015"/>
      <w:bookmarkStart w:id="706" w:name="_Toc304295549"/>
      <w:bookmarkStart w:id="707" w:name="_Toc297216178"/>
      <w:r>
        <w:rPr>
          <w:rFonts w:ascii="Times New Roman" w:hAnsi="Times New Roman" w:eastAsia="黑体"/>
          <w:color w:val="auto"/>
          <w:szCs w:val="24"/>
          <w:highlight w:val="none"/>
        </w:rPr>
        <w:t>.6 不</w:t>
      </w:r>
      <w:bookmarkEnd w:id="702"/>
      <w:bookmarkEnd w:id="703"/>
      <w:bookmarkEnd w:id="704"/>
      <w:bookmarkEnd w:id="705"/>
      <w:bookmarkEnd w:id="706"/>
      <w:bookmarkEnd w:id="707"/>
      <w:r>
        <w:rPr>
          <w:rFonts w:ascii="Times New Roman" w:hAnsi="Times New Roman" w:eastAsia="黑体"/>
          <w:color w:val="auto"/>
          <w:szCs w:val="24"/>
          <w:highlight w:val="none"/>
        </w:rPr>
        <w:t>利物质条件</w:t>
      </w:r>
    </w:p>
    <w:p>
      <w:pPr>
        <w:ind w:firstLine="420" w:firstLineChars="200"/>
        <w:jc w:val="left"/>
        <w:rPr>
          <w:rFonts w:ascii="Times New Roman" w:hAnsi="Times New Roman" w:eastAsia="仿宋_GB2312"/>
          <w:color w:val="auto"/>
          <w:szCs w:val="24"/>
          <w:highlight w:val="none"/>
        </w:rPr>
      </w:pPr>
      <w:bookmarkStart w:id="708" w:name="_Toc297216179"/>
      <w:bookmarkStart w:id="709" w:name="_Toc297123520"/>
      <w:bookmarkStart w:id="710" w:name="_Toc318581172"/>
      <w:bookmarkStart w:id="711" w:name="_Toc303539129"/>
      <w:bookmarkStart w:id="712" w:name="_Toc304295550"/>
      <w:bookmarkStart w:id="713" w:name="_Toc312678016"/>
      <w:bookmarkStart w:id="714" w:name="_Toc300934972"/>
      <w:r>
        <w:rPr>
          <w:rFonts w:ascii="Times New Roman" w:hAnsi="Times New Roman" w:eastAsia="仿宋_GB2312"/>
          <w:color w:val="auto"/>
          <w:szCs w:val="24"/>
          <w:highlight w:val="none"/>
        </w:rPr>
        <w:t>不利物质条件的其他情形和有关约定：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bookmarkEnd w:id="708"/>
    <w:bookmarkEnd w:id="709"/>
    <w:bookmarkEnd w:id="710"/>
    <w:bookmarkEnd w:id="711"/>
    <w:bookmarkEnd w:id="712"/>
    <w:bookmarkEnd w:id="713"/>
    <w:bookmarkEnd w:id="714"/>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7</w:t>
      </w:r>
      <w:bookmarkStart w:id="715" w:name="_Toc303539130"/>
      <w:bookmarkStart w:id="716" w:name="_Toc297123521"/>
      <w:bookmarkStart w:id="717" w:name="_Toc297216180"/>
      <w:bookmarkStart w:id="718" w:name="_Toc304295551"/>
      <w:bookmarkStart w:id="719" w:name="_Toc312678017"/>
      <w:bookmarkStart w:id="720" w:name="_Toc300934973"/>
      <w:r>
        <w:rPr>
          <w:rFonts w:ascii="Times New Roman" w:hAnsi="Times New Roman" w:eastAsia="黑体"/>
          <w:color w:val="auto"/>
          <w:szCs w:val="24"/>
          <w:highlight w:val="none"/>
        </w:rPr>
        <w:t>.7异常恶劣的气候条件</w:t>
      </w:r>
    </w:p>
    <w:bookmarkEnd w:id="715"/>
    <w:bookmarkEnd w:id="716"/>
    <w:bookmarkEnd w:id="717"/>
    <w:bookmarkEnd w:id="718"/>
    <w:bookmarkEnd w:id="719"/>
    <w:bookmarkEnd w:id="720"/>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发包人和承包人同意以下情形视为异常恶劣的气候条件：</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7.9 提前竣工的奖励</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7.9.2提前竣工的奖励：</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pStyle w:val="8"/>
        <w:spacing w:before="120" w:after="120" w:line="360" w:lineRule="auto"/>
        <w:rPr>
          <w:rFonts w:ascii="Times New Roman" w:hAnsi="Times New Roman" w:eastAsia="黑体"/>
          <w:b w:val="0"/>
          <w:color w:val="auto"/>
          <w:sz w:val="24"/>
          <w:szCs w:val="24"/>
          <w:highlight w:val="none"/>
        </w:rPr>
      </w:pPr>
      <w:bookmarkStart w:id="721" w:name="_Toc503261142"/>
      <w:r>
        <w:rPr>
          <w:rFonts w:ascii="Times New Roman" w:hAnsi="Times New Roman" w:eastAsia="黑体"/>
          <w:b w:val="0"/>
          <w:color w:val="auto"/>
          <w:sz w:val="24"/>
          <w:szCs w:val="24"/>
          <w:highlight w:val="none"/>
        </w:rPr>
        <w:t>8. 材料与设备</w:t>
      </w:r>
      <w:bookmarkEnd w:id="721"/>
    </w:p>
    <w:bookmarkEnd w:id="656"/>
    <w:bookmarkEnd w:id="657"/>
    <w:bookmarkEnd w:id="658"/>
    <w:bookmarkEnd w:id="659"/>
    <w:bookmarkEnd w:id="660"/>
    <w:bookmarkEnd w:id="661"/>
    <w:bookmarkEnd w:id="662"/>
    <w:bookmarkEnd w:id="663"/>
    <w:bookmarkEnd w:id="664"/>
    <w:bookmarkEnd w:id="665"/>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8</w:t>
      </w:r>
      <w:bookmarkStart w:id="722" w:name="_Toc297120467"/>
      <w:bookmarkStart w:id="723" w:name="_Toc312678019"/>
      <w:bookmarkStart w:id="724" w:name="_Toc296347166"/>
      <w:bookmarkStart w:id="725" w:name="_Toc296503167"/>
      <w:bookmarkStart w:id="726" w:name="_Toc296346668"/>
      <w:bookmarkStart w:id="727" w:name="_Toc292559877"/>
      <w:bookmarkStart w:id="728" w:name="_Toc297216186"/>
      <w:bookmarkStart w:id="729" w:name="_Toc292559372"/>
      <w:bookmarkStart w:id="730" w:name="_Toc297123527"/>
      <w:bookmarkStart w:id="731" w:name="_Toc304295556"/>
      <w:bookmarkStart w:id="732" w:name="_Toc300934979"/>
      <w:bookmarkStart w:id="733" w:name="_Toc280868654"/>
      <w:bookmarkStart w:id="734" w:name="_Toc297048353"/>
      <w:bookmarkStart w:id="735" w:name="_Toc303539136"/>
      <w:bookmarkStart w:id="736" w:name="_Toc296891207"/>
      <w:bookmarkStart w:id="737" w:name="_Toc296890995"/>
      <w:bookmarkStart w:id="738" w:name="_Toc312677493"/>
      <w:bookmarkStart w:id="739" w:name="_Toc296944506"/>
      <w:bookmarkStart w:id="740" w:name="_Toc280868655"/>
      <w:bookmarkStart w:id="741" w:name="_Toc267251424"/>
      <w:bookmarkStart w:id="742" w:name="_Toc280868656"/>
      <w:r>
        <w:rPr>
          <w:rFonts w:ascii="Times New Roman" w:hAnsi="Times New Roman" w:eastAsia="黑体"/>
          <w:color w:val="auto"/>
          <w:szCs w:val="24"/>
          <w:highlight w:val="none"/>
        </w:rPr>
        <w:t>.4材料与工程设备的保管与使用</w:t>
      </w:r>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8</w:t>
      </w:r>
      <w:bookmarkStart w:id="743" w:name="_Toc292559373"/>
      <w:bookmarkStart w:id="744" w:name="_Toc292559878"/>
      <w:bookmarkStart w:id="745" w:name="_Toc312678020"/>
      <w:bookmarkStart w:id="746" w:name="_Toc296890996"/>
      <w:bookmarkStart w:id="747" w:name="_Toc296346669"/>
      <w:bookmarkStart w:id="748" w:name="_Toc297216187"/>
      <w:bookmarkStart w:id="749" w:name="_Toc297123528"/>
      <w:bookmarkStart w:id="750" w:name="_Toc304295557"/>
      <w:bookmarkStart w:id="751" w:name="_Toc296347167"/>
      <w:bookmarkStart w:id="752" w:name="_Toc300934980"/>
      <w:bookmarkStart w:id="753" w:name="_Toc312677494"/>
      <w:bookmarkStart w:id="754" w:name="_Toc297120468"/>
      <w:bookmarkStart w:id="755" w:name="_Toc303539137"/>
      <w:bookmarkStart w:id="756" w:name="_Toc296944507"/>
      <w:bookmarkStart w:id="757" w:name="_Toc296891208"/>
      <w:bookmarkStart w:id="758" w:name="_Toc297048354"/>
      <w:bookmarkStart w:id="759" w:name="_Toc296503168"/>
      <w:bookmarkStart w:id="760" w:name="_Toc318581173"/>
      <w:r>
        <w:rPr>
          <w:rFonts w:ascii="Times New Roman" w:hAnsi="Times New Roman" w:eastAsia="仿宋_GB2312"/>
          <w:color w:val="auto"/>
          <w:szCs w:val="24"/>
          <w:highlight w:val="none"/>
        </w:rPr>
        <w:t>.4.1发包人供应的材料设备的保管费用的承担：</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发包人</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bookmarkEnd w:id="743"/>
      <w:bookmarkEnd w:id="744"/>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8.6 样品</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8.6.1</w:t>
      </w:r>
      <w:r>
        <w:rPr>
          <w:rFonts w:ascii="Times New Roman" w:hAnsi="Times New Roman" w:eastAsia="仿宋_GB2312"/>
          <w:color w:val="auto"/>
          <w:kern w:val="0"/>
          <w:szCs w:val="24"/>
          <w:highlight w:val="none"/>
        </w:rPr>
        <w:tab/>
      </w:r>
      <w:r>
        <w:rPr>
          <w:rFonts w:ascii="Times New Roman" w:hAnsi="Times New Roman" w:eastAsia="仿宋_GB2312"/>
          <w:color w:val="auto"/>
          <w:kern w:val="0"/>
          <w:szCs w:val="24"/>
          <w:highlight w:val="none"/>
        </w:rPr>
        <w:t>样品的报送</w:t>
      </w:r>
      <w:r>
        <w:rPr>
          <w:rFonts w:hint="eastAsia" w:ascii="Times New Roman" w:hAnsi="Times New Roman" w:eastAsia="仿宋_GB2312"/>
          <w:color w:val="auto"/>
          <w:kern w:val="0"/>
          <w:szCs w:val="24"/>
          <w:highlight w:val="none"/>
        </w:rPr>
        <w:t>与封存</w:t>
      </w:r>
    </w:p>
    <w:p>
      <w:pPr>
        <w:autoSpaceDE w:val="0"/>
        <w:autoSpaceDN w:val="0"/>
        <w:adjustRightInd w:val="0"/>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需要承包人报送样品的材料或工程设备，样品的种类、名称、规格、数量要求：</w:t>
      </w:r>
      <w:r>
        <w:rPr>
          <w:rFonts w:hint="eastAsia" w:ascii="Times New Roman" w:hAnsi="Times New Roman" w:eastAsia="仿宋_GB2312"/>
          <w:color w:val="auto"/>
          <w:szCs w:val="24"/>
          <w:highlight w:val="none"/>
          <w:u w:val="single"/>
        </w:rPr>
        <w:t xml:space="preserve"> /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8.8 施工设备和临时设施</w:t>
      </w:r>
    </w:p>
    <w:p>
      <w:pPr>
        <w:autoSpaceDE w:val="0"/>
        <w:autoSpaceDN w:val="0"/>
        <w:adjustRightInd w:val="0"/>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8.8.1 承包人提供的施工设备和临时设施</w:t>
      </w:r>
    </w:p>
    <w:p>
      <w:pPr>
        <w:autoSpaceDE w:val="0"/>
        <w:autoSpaceDN w:val="0"/>
        <w:adjustRightInd w:val="0"/>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关于修建临时设施费用承担的约定：</w:t>
      </w:r>
      <w:r>
        <w:rPr>
          <w:rFonts w:hint="eastAsia" w:ascii="Times New Roman" w:hAnsi="Times New Roman" w:eastAsia="仿宋_GB2312"/>
          <w:color w:val="auto"/>
          <w:szCs w:val="24"/>
          <w:highlight w:val="none"/>
          <w:u w:val="single"/>
        </w:rPr>
        <w:t>承包人承担</w:t>
      </w:r>
      <w:r>
        <w:rPr>
          <w:rFonts w:ascii="Times New Roman" w:hAnsi="Times New Roman" w:eastAsia="仿宋_GB2312"/>
          <w:color w:val="auto"/>
          <w:szCs w:val="24"/>
          <w:highlight w:val="none"/>
        </w:rPr>
        <w:t>。</w:t>
      </w:r>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Pr>
        <w:pStyle w:val="8"/>
        <w:spacing w:before="120" w:after="120" w:line="360" w:lineRule="auto"/>
        <w:rPr>
          <w:rFonts w:ascii="Times New Roman" w:hAnsi="Times New Roman" w:eastAsia="黑体"/>
          <w:b w:val="0"/>
          <w:color w:val="auto"/>
          <w:sz w:val="24"/>
          <w:szCs w:val="24"/>
          <w:highlight w:val="none"/>
        </w:rPr>
      </w:pPr>
      <w:bookmarkStart w:id="761" w:name="_Toc503261143"/>
      <w:r>
        <w:rPr>
          <w:rFonts w:ascii="Times New Roman" w:hAnsi="Times New Roman" w:eastAsia="黑体"/>
          <w:b w:val="0"/>
          <w:color w:val="auto"/>
          <w:sz w:val="24"/>
          <w:szCs w:val="24"/>
          <w:highlight w:val="none"/>
        </w:rPr>
        <w:t>9</w:t>
      </w:r>
      <w:bookmarkEnd w:id="740"/>
      <w:bookmarkEnd w:id="741"/>
      <w:bookmarkEnd w:id="742"/>
      <w:bookmarkStart w:id="762" w:name="_Toc297123533"/>
      <w:bookmarkStart w:id="763" w:name="_Toc300934982"/>
      <w:bookmarkStart w:id="764" w:name="_Toc303539139"/>
      <w:bookmarkStart w:id="765" w:name="_Toc312678021"/>
      <w:bookmarkStart w:id="766" w:name="_Toc304295559"/>
      <w:bookmarkStart w:id="767" w:name="_Toc312677495"/>
      <w:bookmarkStart w:id="768" w:name="_Toc297216192"/>
      <w:bookmarkStart w:id="769" w:name="_Toc296503173"/>
      <w:bookmarkStart w:id="770" w:name="_Toc296891001"/>
      <w:bookmarkStart w:id="771" w:name="_Toc296891213"/>
      <w:bookmarkStart w:id="772" w:name="_Toc292559883"/>
      <w:bookmarkStart w:id="773" w:name="_Toc297048359"/>
      <w:bookmarkStart w:id="774" w:name="_Toc297120473"/>
      <w:bookmarkStart w:id="775" w:name="_Toc267251427"/>
      <w:bookmarkStart w:id="776" w:name="_Toc296944512"/>
      <w:bookmarkStart w:id="777" w:name="_Toc292559378"/>
      <w:bookmarkStart w:id="778" w:name="_Toc296347172"/>
      <w:bookmarkStart w:id="779" w:name="_Toc267251428"/>
      <w:bookmarkStart w:id="780" w:name="_Toc296346674"/>
      <w:r>
        <w:rPr>
          <w:rFonts w:ascii="Times New Roman" w:hAnsi="Times New Roman" w:eastAsia="黑体"/>
          <w:b w:val="0"/>
          <w:color w:val="auto"/>
          <w:sz w:val="24"/>
          <w:szCs w:val="24"/>
          <w:highlight w:val="none"/>
        </w:rPr>
        <w:t>. 试验与检验</w:t>
      </w:r>
      <w:bookmarkEnd w:id="761"/>
    </w:p>
    <w:bookmarkEnd w:id="762"/>
    <w:bookmarkEnd w:id="763"/>
    <w:bookmarkEnd w:id="764"/>
    <w:bookmarkEnd w:id="765"/>
    <w:bookmarkEnd w:id="766"/>
    <w:bookmarkEnd w:id="767"/>
    <w:bookmarkEnd w:id="768"/>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9</w:t>
      </w:r>
      <w:bookmarkStart w:id="781" w:name="_Toc312677496"/>
      <w:bookmarkStart w:id="782" w:name="_Toc297216193"/>
      <w:bookmarkStart w:id="783" w:name="_Toc297123534"/>
      <w:bookmarkStart w:id="784" w:name="_Toc303539140"/>
      <w:bookmarkStart w:id="785" w:name="_Toc312678022"/>
      <w:bookmarkStart w:id="786" w:name="_Toc304295560"/>
      <w:bookmarkStart w:id="787" w:name="_Toc300934983"/>
      <w:r>
        <w:rPr>
          <w:rFonts w:ascii="Times New Roman" w:hAnsi="Times New Roman" w:eastAsia="黑体"/>
          <w:color w:val="auto"/>
          <w:szCs w:val="24"/>
          <w:highlight w:val="none"/>
        </w:rPr>
        <w:t>.1试验设备与试验人员</w:t>
      </w:r>
    </w:p>
    <w:bookmarkEnd w:id="781"/>
    <w:bookmarkEnd w:id="782"/>
    <w:bookmarkEnd w:id="783"/>
    <w:bookmarkEnd w:id="784"/>
    <w:bookmarkEnd w:id="785"/>
    <w:bookmarkEnd w:id="786"/>
    <w:bookmarkEnd w:id="787"/>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9</w:t>
      </w:r>
      <w:bookmarkStart w:id="788" w:name="_Toc303539141"/>
      <w:bookmarkStart w:id="789" w:name="_Toc297123535"/>
      <w:bookmarkStart w:id="790" w:name="_Toc312677497"/>
      <w:bookmarkStart w:id="791" w:name="_Toc312678023"/>
      <w:bookmarkStart w:id="792" w:name="_Toc300934984"/>
      <w:bookmarkStart w:id="793" w:name="_Toc297216194"/>
      <w:bookmarkStart w:id="794" w:name="_Toc304295561"/>
      <w:bookmarkStart w:id="795" w:name="_Toc318581174"/>
      <w:r>
        <w:rPr>
          <w:rFonts w:ascii="Times New Roman" w:hAnsi="Times New Roman" w:eastAsia="仿宋_GB2312"/>
          <w:color w:val="auto"/>
          <w:szCs w:val="24"/>
          <w:highlight w:val="none"/>
        </w:rPr>
        <w:t>.1.2 试验设备</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施工现场需要配置的试验场所：</w:t>
      </w:r>
      <w:bookmarkEnd w:id="788"/>
      <w:bookmarkEnd w:id="789"/>
      <w:bookmarkEnd w:id="790"/>
      <w:bookmarkEnd w:id="791"/>
      <w:bookmarkEnd w:id="792"/>
      <w:bookmarkEnd w:id="793"/>
      <w:bookmarkEnd w:id="794"/>
      <w:bookmarkStart w:id="796" w:name="_Toc297216195"/>
      <w:bookmarkStart w:id="797" w:name="_Toc304295562"/>
      <w:bookmarkStart w:id="798" w:name="_Toc312678024"/>
      <w:bookmarkStart w:id="799" w:name="_Toc300934985"/>
      <w:bookmarkStart w:id="800" w:name="_Toc312677498"/>
      <w:bookmarkStart w:id="801" w:name="_Toc297123536"/>
      <w:bookmarkStart w:id="802" w:name="_Toc303539142"/>
      <w:r>
        <w:rPr>
          <w:rFonts w:hint="eastAsia" w:ascii="Times New Roman" w:hAnsi="Times New Roman" w:eastAsia="仿宋_GB2312"/>
          <w:color w:val="auto"/>
          <w:szCs w:val="24"/>
          <w:highlight w:val="none"/>
          <w:u w:val="single"/>
        </w:rPr>
        <w:t>根据施工现场情况另行约定</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施工现场需要配备的试验设备：</w:t>
      </w:r>
      <w:r>
        <w:rPr>
          <w:rFonts w:hint="eastAsia" w:ascii="Times New Roman" w:hAnsi="Times New Roman" w:eastAsia="仿宋_GB2312"/>
          <w:color w:val="auto"/>
          <w:szCs w:val="24"/>
          <w:highlight w:val="none"/>
          <w:u w:val="single"/>
        </w:rPr>
        <w:t>根据施工现场情况另行约定</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施工现场需要具备的其他试验条件：</w:t>
      </w:r>
      <w:r>
        <w:rPr>
          <w:rFonts w:hint="eastAsia" w:ascii="Times New Roman" w:hAnsi="Times New Roman" w:eastAsia="仿宋_GB2312"/>
          <w:color w:val="auto"/>
          <w:szCs w:val="24"/>
          <w:highlight w:val="none"/>
          <w:u w:val="single"/>
        </w:rPr>
        <w:t>根据施工现场情况另行约定</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9.4 现场工艺试验</w:t>
      </w:r>
      <w:r>
        <w:rPr>
          <w:rFonts w:hint="eastAsia" w:ascii="Times New Roman" w:hAnsi="Times New Roman" w:eastAsia="黑体"/>
          <w:color w:val="auto"/>
          <w:szCs w:val="24"/>
          <w:highlight w:val="none"/>
        </w:rPr>
        <w:t xml:space="preserve"> </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现场工艺试验的有关约定：</w:t>
      </w:r>
      <w:r>
        <w:rPr>
          <w:rFonts w:ascii="Times New Roman" w:hAnsi="Times New Roman" w:eastAsia="仿宋_GB2312"/>
          <w:color w:val="auto"/>
          <w:szCs w:val="24"/>
          <w:highlight w:val="none"/>
          <w:u w:val="single"/>
        </w:rPr>
        <w:t>按照招标文件及投标文件约定执行，若不满足现场施工要求的情况下可另行约定</w:t>
      </w:r>
      <w:r>
        <w:rPr>
          <w:rFonts w:ascii="Times New Roman" w:hAnsi="Times New Roman" w:eastAsia="仿宋_GB2312"/>
          <w:color w:val="auto"/>
          <w:szCs w:val="24"/>
          <w:highlight w:val="none"/>
        </w:rPr>
        <w:t>。</w:t>
      </w:r>
    </w:p>
    <w:bookmarkEnd w:id="795"/>
    <w:bookmarkEnd w:id="796"/>
    <w:bookmarkEnd w:id="797"/>
    <w:bookmarkEnd w:id="798"/>
    <w:bookmarkEnd w:id="799"/>
    <w:bookmarkEnd w:id="800"/>
    <w:bookmarkEnd w:id="801"/>
    <w:bookmarkEnd w:id="802"/>
    <w:p>
      <w:pPr>
        <w:pStyle w:val="8"/>
        <w:spacing w:before="120" w:after="120" w:line="360" w:lineRule="auto"/>
        <w:rPr>
          <w:rFonts w:ascii="Times New Roman" w:hAnsi="Times New Roman" w:eastAsia="黑体"/>
          <w:b w:val="0"/>
          <w:color w:val="auto"/>
          <w:sz w:val="24"/>
          <w:szCs w:val="24"/>
          <w:highlight w:val="none"/>
        </w:rPr>
      </w:pPr>
      <w:bookmarkStart w:id="803" w:name="_Toc503261144"/>
      <w:r>
        <w:rPr>
          <w:rFonts w:ascii="Times New Roman" w:hAnsi="Times New Roman" w:eastAsia="黑体"/>
          <w:b w:val="0"/>
          <w:color w:val="auto"/>
          <w:sz w:val="24"/>
          <w:szCs w:val="24"/>
          <w:highlight w:val="none"/>
        </w:rPr>
        <w:t>1</w:t>
      </w:r>
      <w:bookmarkEnd w:id="769"/>
      <w:bookmarkEnd w:id="770"/>
      <w:bookmarkEnd w:id="771"/>
      <w:bookmarkEnd w:id="772"/>
      <w:bookmarkEnd w:id="773"/>
      <w:bookmarkEnd w:id="774"/>
      <w:bookmarkEnd w:id="775"/>
      <w:bookmarkEnd w:id="776"/>
      <w:bookmarkEnd w:id="777"/>
      <w:bookmarkEnd w:id="778"/>
      <w:bookmarkEnd w:id="779"/>
      <w:bookmarkEnd w:id="780"/>
      <w:bookmarkStart w:id="804" w:name="_Toc304295566"/>
      <w:bookmarkStart w:id="805" w:name="_Toc292559903"/>
      <w:bookmarkStart w:id="806" w:name="_Toc297048379"/>
      <w:bookmarkStart w:id="807" w:name="_Toc300934989"/>
      <w:bookmarkStart w:id="808" w:name="_Toc296944532"/>
      <w:bookmarkStart w:id="809" w:name="_Toc296891233"/>
      <w:bookmarkStart w:id="810" w:name="_Toc296891021"/>
      <w:bookmarkStart w:id="811" w:name="_Toc292559398"/>
      <w:bookmarkStart w:id="812" w:name="_Toc296346694"/>
      <w:bookmarkStart w:id="813" w:name="_Toc297123540"/>
      <w:bookmarkStart w:id="814" w:name="_Toc296347192"/>
      <w:bookmarkStart w:id="815" w:name="_Toc303539146"/>
      <w:bookmarkStart w:id="816" w:name="_Toc297216199"/>
      <w:bookmarkStart w:id="817" w:name="_Toc297120493"/>
      <w:bookmarkStart w:id="818" w:name="_Toc296503193"/>
      <w:bookmarkStart w:id="819" w:name="_Toc312678025"/>
      <w:bookmarkStart w:id="820" w:name="_Toc312677499"/>
      <w:bookmarkStart w:id="821" w:name="_Toc267251435"/>
      <w:bookmarkStart w:id="822" w:name="_Toc267251437"/>
      <w:bookmarkStart w:id="823" w:name="_Toc267251439"/>
      <w:bookmarkStart w:id="824" w:name="_Toc267251440"/>
      <w:bookmarkStart w:id="825" w:name="_Toc267251433"/>
      <w:bookmarkStart w:id="826" w:name="_Toc267251441"/>
      <w:bookmarkStart w:id="827" w:name="_Toc267251442"/>
      <w:r>
        <w:rPr>
          <w:rFonts w:ascii="Times New Roman" w:hAnsi="Times New Roman" w:eastAsia="黑体"/>
          <w:b w:val="0"/>
          <w:color w:val="auto"/>
          <w:sz w:val="24"/>
          <w:szCs w:val="24"/>
          <w:highlight w:val="none"/>
        </w:rPr>
        <w:t>0. 变更</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bookmarkEnd w:id="819"/>
    <w:bookmarkEnd w:id="820"/>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w:t>
      </w:r>
      <w:bookmarkStart w:id="828" w:name="_Toc312678026"/>
      <w:bookmarkStart w:id="829" w:name="_Toc296503194"/>
      <w:bookmarkStart w:id="830" w:name="_Toc297120494"/>
      <w:bookmarkStart w:id="831" w:name="_Toc300934990"/>
      <w:bookmarkStart w:id="832" w:name="_Toc296347193"/>
      <w:bookmarkStart w:id="833" w:name="_Toc296346695"/>
      <w:bookmarkStart w:id="834" w:name="_Toc297216200"/>
      <w:bookmarkStart w:id="835" w:name="_Toc312677500"/>
      <w:bookmarkStart w:id="836" w:name="_Toc304295567"/>
      <w:bookmarkStart w:id="837" w:name="_Toc296944533"/>
      <w:bookmarkStart w:id="838" w:name="_Toc296891022"/>
      <w:bookmarkStart w:id="839" w:name="_Toc292559399"/>
      <w:bookmarkStart w:id="840" w:name="_Toc296891234"/>
      <w:bookmarkStart w:id="841" w:name="_Toc297123541"/>
      <w:bookmarkStart w:id="842" w:name="_Toc303539147"/>
      <w:bookmarkStart w:id="843" w:name="_Toc297048380"/>
      <w:bookmarkStart w:id="844" w:name="_Toc292559904"/>
      <w:r>
        <w:rPr>
          <w:rFonts w:ascii="Times New Roman" w:hAnsi="Times New Roman" w:eastAsia="黑体"/>
          <w:color w:val="auto"/>
          <w:szCs w:val="24"/>
          <w:highlight w:val="none"/>
        </w:rPr>
        <w:t>0.1变更的范围</w:t>
      </w:r>
    </w:p>
    <w:p>
      <w:pPr>
        <w:ind w:firstLine="6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关于变更的范围的约定：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按通用条款执行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10.4 变更估价</w:t>
      </w:r>
    </w:p>
    <w:p>
      <w:pPr>
        <w:ind w:firstLine="420" w:firstLineChars="200"/>
        <w:jc w:val="left"/>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10.4.1 变更估价原则</w:t>
      </w:r>
    </w:p>
    <w:p>
      <w:pPr>
        <w:ind w:firstLine="420" w:firstLineChars="200"/>
        <w:jc w:val="left"/>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 xml:space="preserve">关于变更估价的约定: </w:t>
      </w:r>
      <w:r>
        <w:rPr>
          <w:rFonts w:ascii="Times New Roman" w:hAnsi="Times New Roman" w:eastAsia="仿宋_GB2312"/>
          <w:color w:val="auto"/>
          <w:szCs w:val="24"/>
          <w:highlight w:val="none"/>
          <w:u w:val="single"/>
        </w:rPr>
        <w:t xml:space="preserve">           /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Start w:id="845" w:name="_Toc297120497"/>
      <w:bookmarkStart w:id="846" w:name="_Toc296346698"/>
      <w:bookmarkStart w:id="847" w:name="_Toc296503197"/>
      <w:bookmarkStart w:id="848" w:name="_Toc296891237"/>
      <w:bookmarkStart w:id="849" w:name="_Toc296944536"/>
      <w:bookmarkStart w:id="850" w:name="_Toc297123544"/>
      <w:bookmarkStart w:id="851" w:name="_Toc300934993"/>
      <w:bookmarkStart w:id="852" w:name="_Toc292559907"/>
      <w:bookmarkStart w:id="853" w:name="_Toc296347196"/>
      <w:bookmarkStart w:id="854" w:name="_Toc297216203"/>
      <w:bookmarkStart w:id="855" w:name="_Toc297048383"/>
      <w:bookmarkStart w:id="856" w:name="_Toc303539150"/>
      <w:bookmarkStart w:id="857" w:name="_Toc296891025"/>
      <w:bookmarkStart w:id="858" w:name="_Toc292559402"/>
      <w:bookmarkStart w:id="859" w:name="_Toc312678029"/>
      <w:bookmarkStart w:id="860" w:name="_Toc312677503"/>
      <w:bookmarkStart w:id="861" w:name="_Toc304295570"/>
      <w:r>
        <w:rPr>
          <w:rFonts w:ascii="Times New Roman" w:hAnsi="Times New Roman" w:eastAsia="黑体"/>
          <w:color w:val="auto"/>
          <w:szCs w:val="24"/>
          <w:highlight w:val="none"/>
        </w:rPr>
        <w:t>0.5承</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Start w:id="862" w:name="_Toc297216204"/>
      <w:bookmarkStart w:id="863" w:name="_Toc300934994"/>
      <w:bookmarkStart w:id="864" w:name="_Toc296503203"/>
      <w:bookmarkStart w:id="865" w:name="_Toc303539151"/>
      <w:bookmarkStart w:id="866" w:name="_Toc292559913"/>
      <w:bookmarkStart w:id="867" w:name="_Toc296347202"/>
      <w:bookmarkStart w:id="868" w:name="_Toc292559408"/>
      <w:bookmarkStart w:id="869" w:name="_Toc296346704"/>
      <w:bookmarkStart w:id="870" w:name="_Toc297123545"/>
      <w:bookmarkStart w:id="871" w:name="_Toc297120503"/>
      <w:bookmarkStart w:id="872" w:name="_Toc296891243"/>
      <w:bookmarkStart w:id="873" w:name="_Toc296891031"/>
      <w:bookmarkStart w:id="874" w:name="_Toc296944542"/>
      <w:bookmarkStart w:id="875" w:name="_Toc297048389"/>
      <w:r>
        <w:rPr>
          <w:rFonts w:ascii="Times New Roman" w:hAnsi="Times New Roman" w:eastAsia="黑体"/>
          <w:color w:val="auto"/>
          <w:szCs w:val="24"/>
          <w:highlight w:val="none"/>
        </w:rPr>
        <w:t>包人的合理化建议</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监理人审查承包人合理化建议的期限：</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发包人审批承包人合理化建议的期限：</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承</w:t>
      </w:r>
      <w:bookmarkStart w:id="876" w:name="_Toc300934995"/>
      <w:bookmarkStart w:id="877" w:name="_Toc297216205"/>
      <w:bookmarkStart w:id="878" w:name="_Toc292559409"/>
      <w:bookmarkStart w:id="879" w:name="_Toc312678030"/>
      <w:bookmarkStart w:id="880" w:name="_Toc296891244"/>
      <w:bookmarkStart w:id="881" w:name="_Toc296891032"/>
      <w:bookmarkStart w:id="882" w:name="_Toc296346705"/>
      <w:bookmarkStart w:id="883" w:name="_Toc304295571"/>
      <w:bookmarkStart w:id="884" w:name="_Toc297048390"/>
      <w:bookmarkStart w:id="885" w:name="_Toc312677504"/>
      <w:bookmarkStart w:id="886" w:name="_Toc292559914"/>
      <w:bookmarkStart w:id="887" w:name="_Toc297123546"/>
      <w:bookmarkStart w:id="888" w:name="_Toc318581175"/>
      <w:bookmarkStart w:id="889" w:name="_Toc297120504"/>
      <w:bookmarkStart w:id="890" w:name="_Toc296347203"/>
      <w:bookmarkStart w:id="891" w:name="_Toc296503204"/>
      <w:bookmarkStart w:id="892" w:name="_Toc296944543"/>
      <w:bookmarkStart w:id="893" w:name="_Toc303539152"/>
      <w:r>
        <w:rPr>
          <w:rFonts w:ascii="Times New Roman" w:hAnsi="Times New Roman" w:eastAsia="仿宋_GB2312"/>
          <w:color w:val="auto"/>
          <w:szCs w:val="24"/>
          <w:highlight w:val="none"/>
        </w:rPr>
        <w:t>包人提出的合理化建议降低了合同价格或者提高了工程经济效益的奖励的方法和金额为：</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w:t>
      </w:r>
      <w:bookmarkStart w:id="894" w:name="_Toc297048385"/>
      <w:bookmarkStart w:id="895" w:name="_Toc297123548"/>
      <w:bookmarkStart w:id="896" w:name="_Toc292559404"/>
      <w:bookmarkStart w:id="897" w:name="_Toc303539154"/>
      <w:bookmarkStart w:id="898" w:name="_Toc296346700"/>
      <w:bookmarkStart w:id="899" w:name="_Toc296503199"/>
      <w:bookmarkStart w:id="900" w:name="_Toc304295574"/>
      <w:bookmarkStart w:id="901" w:name="_Toc296347198"/>
      <w:bookmarkStart w:id="902" w:name="_Toc296891027"/>
      <w:bookmarkStart w:id="903" w:name="_Toc296891239"/>
      <w:bookmarkStart w:id="904" w:name="_Toc312678033"/>
      <w:bookmarkStart w:id="905" w:name="_Toc292559909"/>
      <w:bookmarkStart w:id="906" w:name="_Toc300934997"/>
      <w:bookmarkStart w:id="907" w:name="_Toc312677507"/>
      <w:bookmarkStart w:id="908" w:name="_Toc297216207"/>
      <w:bookmarkStart w:id="909" w:name="_Toc296944538"/>
      <w:bookmarkStart w:id="910" w:name="_Toc297120499"/>
      <w:r>
        <w:rPr>
          <w:rFonts w:ascii="Times New Roman" w:hAnsi="Times New Roman" w:eastAsia="黑体"/>
          <w:color w:val="auto"/>
          <w:szCs w:val="24"/>
          <w:highlight w:val="none"/>
        </w:rPr>
        <w:t>0.7 暂估价</w:t>
      </w:r>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暂</w:t>
      </w:r>
      <w:bookmarkStart w:id="911" w:name="_Toc312677508"/>
      <w:bookmarkStart w:id="912" w:name="_Toc312678034"/>
      <w:bookmarkStart w:id="913" w:name="_Toc318581176"/>
      <w:r>
        <w:rPr>
          <w:rFonts w:ascii="Times New Roman" w:hAnsi="Times New Roman" w:eastAsia="仿宋_GB2312"/>
          <w:color w:val="auto"/>
          <w:kern w:val="0"/>
          <w:szCs w:val="24"/>
          <w:highlight w:val="none"/>
        </w:rPr>
        <w:t>估价材料和工程设备的明细详见附件</w:t>
      </w:r>
      <w:r>
        <w:rPr>
          <w:rFonts w:hint="eastAsia" w:ascii="Times New Roman" w:hAnsi="Times New Roman" w:eastAsia="仿宋_GB2312"/>
          <w:color w:val="auto"/>
          <w:kern w:val="0"/>
          <w:szCs w:val="24"/>
          <w:highlight w:val="none"/>
        </w:rPr>
        <w:t>11：《</w:t>
      </w:r>
      <w:r>
        <w:rPr>
          <w:rFonts w:ascii="Times New Roman" w:hAnsi="Times New Roman" w:eastAsia="仿宋_GB2312"/>
          <w:color w:val="auto"/>
          <w:szCs w:val="24"/>
          <w:highlight w:val="none"/>
        </w:rPr>
        <w:t>暂估价一览表</w:t>
      </w:r>
      <w:r>
        <w:rPr>
          <w:rFonts w:hint="eastAsia" w:ascii="Times New Roman" w:hAnsi="Times New Roman" w:eastAsia="仿宋_GB2312"/>
          <w:color w:val="auto"/>
          <w:szCs w:val="24"/>
          <w:highlight w:val="none"/>
        </w:rPr>
        <w:t>》</w:t>
      </w:r>
      <w:r>
        <w:rPr>
          <w:rFonts w:hint="eastAsia" w:ascii="Times New Roman" w:hAnsi="Times New Roman" w:eastAsia="仿宋_GB2312"/>
          <w:color w:val="auto"/>
          <w:kern w:val="0"/>
          <w:szCs w:val="24"/>
          <w:highlight w:val="none"/>
        </w:rPr>
        <w:t>。</w:t>
      </w:r>
    </w:p>
    <w:bookmarkEnd w:id="911"/>
    <w:bookmarkEnd w:id="912"/>
    <w:bookmarkEnd w:id="913"/>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w:t>
      </w:r>
      <w:bookmarkStart w:id="914" w:name="_Toc312677509"/>
      <w:bookmarkStart w:id="915" w:name="_Toc318581177"/>
      <w:bookmarkStart w:id="916" w:name="_Toc312678035"/>
      <w:r>
        <w:rPr>
          <w:rFonts w:ascii="Times New Roman" w:hAnsi="Times New Roman" w:eastAsia="仿宋_GB2312"/>
          <w:color w:val="auto"/>
          <w:szCs w:val="24"/>
          <w:highlight w:val="none"/>
        </w:rPr>
        <w:t>0.7.1 依法必须招标的暂估价项目</w:t>
      </w:r>
    </w:p>
    <w:bookmarkEnd w:id="914"/>
    <w:bookmarkEnd w:id="915"/>
    <w:bookmarkEnd w:id="916"/>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对于依法必须招标的暂估价项目的确认和批准采取第</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2</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种方式确定。</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10.7.2 不属于依法必须招标的暂估价项目</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对于不属于依法必须招标的暂估价项目的确认和批准采取第</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3</w:t>
      </w:r>
      <w:r>
        <w:rPr>
          <w:rFonts w:ascii="Times New Roman" w:hAnsi="Times New Roman" w:eastAsia="仿宋_GB2312"/>
          <w:color w:val="auto"/>
          <w:szCs w:val="24"/>
          <w:highlight w:val="none"/>
        </w:rPr>
        <w:t xml:space="preserve"> 种方式确定。</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szCs w:val="24"/>
          <w:highlight w:val="none"/>
        </w:rPr>
        <w:t>第3种方式：</w:t>
      </w:r>
      <w:r>
        <w:rPr>
          <w:rFonts w:ascii="Times New Roman" w:hAnsi="Times New Roman" w:eastAsia="仿宋_GB2312"/>
          <w:color w:val="auto"/>
          <w:kern w:val="0"/>
          <w:szCs w:val="24"/>
          <w:highlight w:val="none"/>
        </w:rPr>
        <w:t>承包人直接实施的暂估价项目</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承包人直接实施的暂估价项目的约定：</w:t>
      </w:r>
      <w:r>
        <w:rPr>
          <w:rFonts w:hint="eastAsia" w:ascii="Times New Roman" w:hAnsi="Times New Roman" w:eastAsia="仿宋_GB2312"/>
          <w:color w:val="auto"/>
          <w:szCs w:val="24"/>
          <w:highlight w:val="none"/>
          <w:u w:val="single"/>
        </w:rPr>
        <w:t>发包人、监理人（如果有）和承包人三方共同进行认质认价</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10.8 暂列金额</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hint="eastAsia" w:ascii="Times New Roman" w:hAnsi="Times New Roman" w:eastAsia="仿宋_GB2312"/>
          <w:color w:val="auto"/>
          <w:kern w:val="0"/>
          <w:szCs w:val="24"/>
          <w:highlight w:val="none"/>
        </w:rPr>
        <w:t>合同当事人关于暂列金额使用的约定：</w:t>
      </w:r>
      <w:r>
        <w:rPr>
          <w:rFonts w:ascii="Times New Roman" w:hAnsi="Times New Roman" w:eastAsia="仿宋_GB2312"/>
          <w:color w:val="auto"/>
          <w:szCs w:val="24"/>
          <w:highlight w:val="none"/>
          <w:u w:val="single"/>
        </w:rPr>
        <w:t>暂列金额由发包人掌握使用，扣除合同价款调整</w:t>
      </w:r>
      <w:r>
        <w:rPr>
          <w:rFonts w:hint="eastAsia" w:ascii="Times New Roman" w:hAnsi="Times New Roman" w:eastAsia="仿宋_GB2312"/>
          <w:color w:val="auto"/>
          <w:szCs w:val="24"/>
          <w:highlight w:val="none"/>
          <w:u w:val="single"/>
        </w:rPr>
        <w:t>所作支出后</w:t>
      </w:r>
      <w:r>
        <w:rPr>
          <w:rFonts w:ascii="Times New Roman" w:hAnsi="Times New Roman" w:eastAsia="仿宋_GB2312"/>
          <w:color w:val="auto"/>
          <w:szCs w:val="24"/>
          <w:highlight w:val="none"/>
          <w:u w:val="single"/>
        </w:rPr>
        <w:t>，余额</w:t>
      </w:r>
      <w:r>
        <w:rPr>
          <w:rFonts w:hint="eastAsia" w:ascii="Times New Roman" w:hAnsi="Times New Roman" w:eastAsia="仿宋_GB2312"/>
          <w:color w:val="auto"/>
          <w:szCs w:val="24"/>
          <w:highlight w:val="none"/>
          <w:u w:val="single"/>
        </w:rPr>
        <w:t>归发包人所有</w:t>
      </w:r>
      <w:r>
        <w:rPr>
          <w:rFonts w:hint="eastAsia" w:ascii="Times New Roman" w:hAnsi="Times New Roman" w:eastAsia="仿宋_GB2312"/>
          <w:color w:val="auto"/>
          <w:kern w:val="0"/>
          <w:szCs w:val="24"/>
          <w:highlight w:val="none"/>
        </w:rPr>
        <w:t>。</w:t>
      </w:r>
    </w:p>
    <w:p>
      <w:pPr>
        <w:pStyle w:val="8"/>
        <w:spacing w:before="120" w:after="120" w:line="360" w:lineRule="auto"/>
        <w:rPr>
          <w:rFonts w:ascii="Times New Roman" w:hAnsi="Times New Roman" w:eastAsia="黑体"/>
          <w:b w:val="0"/>
          <w:color w:val="auto"/>
          <w:sz w:val="24"/>
          <w:szCs w:val="24"/>
          <w:highlight w:val="none"/>
        </w:rPr>
      </w:pPr>
      <w:bookmarkStart w:id="917" w:name="_Toc503261145"/>
      <w:r>
        <w:rPr>
          <w:rFonts w:ascii="Times New Roman" w:hAnsi="Times New Roman" w:eastAsia="黑体"/>
          <w:b w:val="0"/>
          <w:color w:val="auto"/>
          <w:sz w:val="24"/>
          <w:szCs w:val="24"/>
          <w:highlight w:val="none"/>
        </w:rPr>
        <w:t>11. 价格调整</w:t>
      </w:r>
      <w:bookmarkEnd w:id="917"/>
    </w:p>
    <w:p>
      <w:pPr>
        <w:spacing w:after="120"/>
        <w:ind w:firstLine="420" w:firstLineChars="200"/>
        <w:rPr>
          <w:rFonts w:ascii="Times New Roman" w:hAnsi="Times New Roman" w:eastAsia="黑体"/>
          <w:color w:val="auto"/>
          <w:szCs w:val="24"/>
          <w:highlight w:val="none"/>
        </w:rPr>
      </w:pPr>
      <w:bookmarkStart w:id="918" w:name="_Toc296944540"/>
      <w:bookmarkStart w:id="919" w:name="_Toc296346702"/>
      <w:bookmarkStart w:id="920" w:name="_Toc297048387"/>
      <w:bookmarkStart w:id="921" w:name="_Toc292559406"/>
      <w:bookmarkStart w:id="922" w:name="_Toc296891241"/>
      <w:bookmarkStart w:id="923" w:name="_Toc297216209"/>
      <w:bookmarkStart w:id="924" w:name="_Toc296347200"/>
      <w:bookmarkStart w:id="925" w:name="_Toc296503201"/>
      <w:bookmarkStart w:id="926" w:name="_Toc296891029"/>
      <w:bookmarkStart w:id="927" w:name="_Toc312678039"/>
      <w:bookmarkStart w:id="928" w:name="_Toc300935000"/>
      <w:bookmarkStart w:id="929" w:name="_Toc303539157"/>
      <w:bookmarkStart w:id="930" w:name="_Toc292559911"/>
      <w:bookmarkStart w:id="931" w:name="_Toc304295577"/>
      <w:bookmarkStart w:id="932" w:name="_Toc297123550"/>
      <w:bookmarkStart w:id="933" w:name="_Toc297120501"/>
      <w:r>
        <w:rPr>
          <w:rFonts w:ascii="Times New Roman" w:hAnsi="Times New Roman" w:eastAsia="黑体"/>
          <w:color w:val="auto"/>
          <w:szCs w:val="24"/>
          <w:highlight w:val="none"/>
        </w:rPr>
        <w:t>11.1 市场价格波动引起的调整</w:t>
      </w:r>
    </w:p>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市场价格波动是否调整合同价格的约定：</w:t>
      </w:r>
      <w:r>
        <w:rPr>
          <w:rFonts w:ascii="Times New Roman" w:hAnsi="Times New Roman" w:eastAsia="仿宋_GB2312"/>
          <w:color w:val="auto"/>
          <w:szCs w:val="24"/>
          <w:highlight w:val="none"/>
          <w:u w:val="single"/>
        </w:rPr>
        <w:t>按招标文件执行</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因市场价格波动调整合同价格，采用以下第</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种方式对合同价格进行调整：</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第1种方式：采用价格指数</w:t>
      </w:r>
      <w:r>
        <w:rPr>
          <w:rFonts w:hint="eastAsia" w:ascii="Times New Roman" w:hAnsi="Times New Roman" w:eastAsia="仿宋_GB2312"/>
          <w:color w:val="auto"/>
          <w:szCs w:val="24"/>
          <w:highlight w:val="none"/>
        </w:rPr>
        <w:t>进行价格</w:t>
      </w:r>
      <w:r>
        <w:rPr>
          <w:rFonts w:ascii="Times New Roman" w:hAnsi="Times New Roman" w:eastAsia="仿宋_GB2312"/>
          <w:color w:val="auto"/>
          <w:szCs w:val="24"/>
          <w:highlight w:val="none"/>
        </w:rPr>
        <w:t>调整。</w:t>
      </w:r>
    </w:p>
    <w:p>
      <w:pPr>
        <w:ind w:firstLine="420" w:firstLineChars="200"/>
        <w:jc w:val="left"/>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关于各可调因子、定值和变值权重，以及基本价格指数及其来源的约定：</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第2种方式：采用造价信息</w:t>
      </w:r>
      <w:r>
        <w:rPr>
          <w:rFonts w:hint="eastAsia" w:ascii="Times New Roman" w:hAnsi="Times New Roman" w:eastAsia="仿宋_GB2312"/>
          <w:color w:val="auto"/>
          <w:szCs w:val="24"/>
          <w:highlight w:val="none"/>
        </w:rPr>
        <w:t>进行价格</w:t>
      </w:r>
      <w:r>
        <w:rPr>
          <w:rFonts w:ascii="Times New Roman" w:hAnsi="Times New Roman" w:eastAsia="仿宋_GB2312"/>
          <w:color w:val="auto"/>
          <w:szCs w:val="24"/>
          <w:highlight w:val="none"/>
        </w:rPr>
        <w:t>调整。</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（2）关于基准价格的约定：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专用合同条款</w:t>
      </w:r>
      <w:r>
        <w:rPr>
          <w:rFonts w:hint="eastAsia" w:ascii="宋体" w:hAnsi="宋体" w:cs="宋体"/>
          <w:color w:val="auto"/>
          <w:szCs w:val="24"/>
          <w:highlight w:val="none"/>
        </w:rPr>
        <w:t>①</w:t>
      </w:r>
      <w:r>
        <w:rPr>
          <w:rFonts w:ascii="Times New Roman" w:hAnsi="Times New Roman" w:eastAsia="仿宋_GB2312"/>
          <w:color w:val="auto"/>
          <w:szCs w:val="24"/>
          <w:highlight w:val="none"/>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%时，或材料单价跌幅以已标价工程量清单或预算书中载明材料单价为基础超过</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%时，其超过部分据实调整。</w:t>
      </w:r>
    </w:p>
    <w:p>
      <w:pPr>
        <w:ind w:firstLine="420" w:firstLineChars="200"/>
        <w:jc w:val="left"/>
        <w:rPr>
          <w:rFonts w:ascii="Times New Roman" w:hAnsi="Times New Roman" w:eastAsia="仿宋_GB2312"/>
          <w:color w:val="auto"/>
          <w:szCs w:val="24"/>
          <w:highlight w:val="none"/>
        </w:rPr>
      </w:pPr>
      <w:r>
        <w:rPr>
          <w:rFonts w:hint="eastAsia" w:ascii="宋体" w:hAnsi="宋体" w:cs="宋体"/>
          <w:color w:val="auto"/>
          <w:szCs w:val="24"/>
          <w:highlight w:val="none"/>
        </w:rPr>
        <w:t>②</w:t>
      </w:r>
      <w:r>
        <w:rPr>
          <w:rFonts w:ascii="Times New Roman" w:hAnsi="Times New Roman" w:eastAsia="仿宋_GB2312"/>
          <w:color w:val="auto"/>
          <w:szCs w:val="24"/>
          <w:highlight w:val="none"/>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%时，材料单价涨幅以已标价工程量清单或预算书中载明材料单价为基础超过</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%时，其超过部分据实调整。</w:t>
      </w:r>
    </w:p>
    <w:p>
      <w:pPr>
        <w:ind w:firstLine="645"/>
        <w:jc w:val="left"/>
        <w:rPr>
          <w:rFonts w:ascii="Times New Roman" w:hAnsi="Times New Roman" w:eastAsia="仿宋_GB2312"/>
          <w:color w:val="auto"/>
          <w:szCs w:val="24"/>
          <w:highlight w:val="none"/>
        </w:rPr>
      </w:pPr>
      <w:r>
        <w:rPr>
          <w:rFonts w:hint="eastAsia" w:ascii="宋体" w:hAnsi="宋体" w:cs="宋体"/>
          <w:color w:val="auto"/>
          <w:szCs w:val="24"/>
          <w:highlight w:val="none"/>
        </w:rPr>
        <w:t>③</w:t>
      </w:r>
      <w:r>
        <w:rPr>
          <w:rFonts w:ascii="Times New Roman" w:hAnsi="Times New Roman" w:eastAsia="仿宋_GB2312"/>
          <w:color w:val="auto"/>
          <w:szCs w:val="24"/>
          <w:highlight w:val="none"/>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%时，其超过部分据实调整。</w:t>
      </w:r>
    </w:p>
    <w:p>
      <w:pPr>
        <w:ind w:firstLine="645"/>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第3种方式：其他价格调整方式：</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bookmarkEnd w:id="821"/>
    <w:bookmarkEnd w:id="822"/>
    <w:bookmarkEnd w:id="823"/>
    <w:bookmarkEnd w:id="824"/>
    <w:bookmarkEnd w:id="825"/>
    <w:bookmarkEnd w:id="826"/>
    <w:p>
      <w:pPr>
        <w:pStyle w:val="8"/>
        <w:spacing w:before="120" w:after="120" w:line="360" w:lineRule="auto"/>
        <w:rPr>
          <w:rFonts w:ascii="Times New Roman" w:hAnsi="Times New Roman" w:eastAsia="黑体"/>
          <w:b w:val="0"/>
          <w:color w:val="auto"/>
          <w:sz w:val="24"/>
          <w:szCs w:val="24"/>
          <w:highlight w:val="none"/>
        </w:rPr>
      </w:pPr>
      <w:bookmarkStart w:id="934" w:name="_Toc297048391"/>
      <w:bookmarkStart w:id="935" w:name="_Toc292559915"/>
      <w:bookmarkStart w:id="936" w:name="_Toc296347204"/>
      <w:bookmarkStart w:id="937" w:name="_Toc296346706"/>
      <w:bookmarkStart w:id="938" w:name="_Toc296944544"/>
      <w:bookmarkStart w:id="939" w:name="_Toc292559410"/>
      <w:bookmarkStart w:id="940" w:name="_Toc297120505"/>
      <w:bookmarkStart w:id="941" w:name="_Toc296891033"/>
      <w:bookmarkStart w:id="942" w:name="_Toc296891245"/>
      <w:bookmarkStart w:id="943" w:name="_Toc296503205"/>
      <w:bookmarkStart w:id="944" w:name="_Toc503261146"/>
      <w:bookmarkStart w:id="945" w:name="_Toc304295579"/>
      <w:bookmarkStart w:id="946" w:name="_Toc297123552"/>
      <w:bookmarkStart w:id="947" w:name="_Toc312678040"/>
      <w:bookmarkStart w:id="948" w:name="_Toc297216211"/>
      <w:bookmarkStart w:id="949" w:name="_Toc303539159"/>
      <w:bookmarkStart w:id="950" w:name="_Toc300935002"/>
      <w:r>
        <w:rPr>
          <w:rFonts w:ascii="Times New Roman" w:hAnsi="Times New Roman" w:eastAsia="黑体"/>
          <w:b w:val="0"/>
          <w:color w:val="auto"/>
          <w:sz w:val="24"/>
          <w:szCs w:val="24"/>
          <w:highlight w:val="none"/>
        </w:rPr>
        <w:t xml:space="preserve">12. </w:t>
      </w:r>
      <w:bookmarkEnd w:id="934"/>
      <w:bookmarkEnd w:id="935"/>
      <w:bookmarkEnd w:id="936"/>
      <w:bookmarkEnd w:id="937"/>
      <w:bookmarkEnd w:id="938"/>
      <w:bookmarkEnd w:id="939"/>
      <w:bookmarkEnd w:id="940"/>
      <w:bookmarkEnd w:id="941"/>
      <w:bookmarkEnd w:id="942"/>
      <w:bookmarkEnd w:id="943"/>
      <w:r>
        <w:rPr>
          <w:rFonts w:ascii="Times New Roman" w:hAnsi="Times New Roman" w:eastAsia="黑体"/>
          <w:b w:val="0"/>
          <w:color w:val="auto"/>
          <w:sz w:val="24"/>
          <w:szCs w:val="24"/>
          <w:highlight w:val="none"/>
        </w:rPr>
        <w:t>合同价格、计量与支付</w:t>
      </w:r>
      <w:bookmarkEnd w:id="944"/>
    </w:p>
    <w:bookmarkEnd w:id="945"/>
    <w:bookmarkEnd w:id="946"/>
    <w:bookmarkEnd w:id="947"/>
    <w:bookmarkEnd w:id="948"/>
    <w:bookmarkEnd w:id="949"/>
    <w:bookmarkEnd w:id="950"/>
    <w:p>
      <w:pPr>
        <w:spacing w:after="120"/>
        <w:ind w:firstLine="420" w:firstLineChars="200"/>
        <w:rPr>
          <w:rFonts w:ascii="Times New Roman" w:hAnsi="Times New Roman" w:eastAsia="黑体"/>
          <w:color w:val="auto"/>
          <w:szCs w:val="24"/>
          <w:highlight w:val="none"/>
        </w:rPr>
      </w:pPr>
      <w:bookmarkStart w:id="951" w:name="_Toc292559916"/>
      <w:bookmarkStart w:id="952" w:name="_Toc267251461"/>
      <w:bookmarkStart w:id="953" w:name="_Toc292559411"/>
      <w:bookmarkStart w:id="954" w:name="_Toc296347205"/>
      <w:bookmarkStart w:id="955" w:name="_Toc297048392"/>
      <w:bookmarkStart w:id="956" w:name="_Toc296346707"/>
      <w:bookmarkStart w:id="957" w:name="_Toc296891034"/>
      <w:bookmarkStart w:id="958" w:name="_Toc296891246"/>
      <w:bookmarkStart w:id="959" w:name="_Toc296944545"/>
      <w:bookmarkStart w:id="960" w:name="_Toc297120506"/>
      <w:bookmarkStart w:id="961" w:name="_Toc296503206"/>
      <w:bookmarkStart w:id="962" w:name="_Toc297216212"/>
      <w:bookmarkStart w:id="963" w:name="_Toc304295580"/>
      <w:bookmarkStart w:id="964" w:name="_Toc297123553"/>
      <w:bookmarkStart w:id="965" w:name="_Toc312678041"/>
      <w:bookmarkStart w:id="966" w:name="_Toc300935003"/>
      <w:bookmarkStart w:id="967" w:name="_Toc303539160"/>
      <w:r>
        <w:rPr>
          <w:rFonts w:ascii="Times New Roman" w:hAnsi="Times New Roman" w:eastAsia="黑体"/>
          <w:color w:val="auto"/>
          <w:szCs w:val="24"/>
          <w:highlight w:val="none"/>
        </w:rPr>
        <w:t>12.1 合</w:t>
      </w:r>
      <w:bookmarkEnd w:id="951"/>
      <w:bookmarkEnd w:id="952"/>
      <w:bookmarkEnd w:id="953"/>
      <w:r>
        <w:rPr>
          <w:rFonts w:ascii="Times New Roman" w:hAnsi="Times New Roman" w:eastAsia="黑体"/>
          <w:color w:val="auto"/>
          <w:szCs w:val="24"/>
          <w:highlight w:val="none"/>
        </w:rPr>
        <w:t>同价</w:t>
      </w:r>
      <w:bookmarkEnd w:id="954"/>
      <w:bookmarkEnd w:id="955"/>
      <w:bookmarkEnd w:id="956"/>
      <w:bookmarkEnd w:id="957"/>
      <w:bookmarkEnd w:id="958"/>
      <w:bookmarkEnd w:id="959"/>
      <w:bookmarkEnd w:id="960"/>
      <w:bookmarkEnd w:id="961"/>
      <w:r>
        <w:rPr>
          <w:rFonts w:ascii="Times New Roman" w:hAnsi="Times New Roman" w:eastAsia="黑体"/>
          <w:color w:val="auto"/>
          <w:szCs w:val="24"/>
          <w:highlight w:val="none"/>
        </w:rPr>
        <w:t>格形式</w:t>
      </w:r>
    </w:p>
    <w:bookmarkEnd w:id="962"/>
    <w:bookmarkEnd w:id="963"/>
    <w:bookmarkEnd w:id="964"/>
    <w:bookmarkEnd w:id="965"/>
    <w:bookmarkEnd w:id="966"/>
    <w:bookmarkEnd w:id="967"/>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1、单价合同。</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综合单价包含的风险范围：</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按招标文件执行</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风险费用的计算方法：</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风险范围以外合同价格的调整方法：</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2、总价合同</w:t>
      </w:r>
      <w:r>
        <w:rPr>
          <w:rFonts w:hint="eastAsia" w:ascii="Times New Roman" w:hAnsi="Times New Roman" w:eastAsia="仿宋_GB2312"/>
          <w:color w:val="auto"/>
          <w:szCs w:val="24"/>
          <w:highlight w:val="none"/>
        </w:rPr>
        <w:t>（不适用）</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总价包含的风险范围：</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风险费用的计算方法：</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风险范围以外合同价格的调整方法：</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3、其他价格方式：</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bookmarkStart w:id="968" w:name="_Toc297123554"/>
      <w:bookmarkStart w:id="969" w:name="_Toc312678042"/>
      <w:bookmarkStart w:id="970" w:name="_Toc303539161"/>
      <w:bookmarkStart w:id="971" w:name="_Toc300935004"/>
      <w:bookmarkStart w:id="972" w:name="_Toc304295581"/>
      <w:bookmarkStart w:id="973" w:name="_Toc297216213"/>
      <w:bookmarkStart w:id="974" w:name="_Toc296944546"/>
      <w:bookmarkStart w:id="975" w:name="_Toc297120507"/>
      <w:bookmarkStart w:id="976" w:name="_Toc296891247"/>
      <w:bookmarkStart w:id="977" w:name="_Toc296347206"/>
      <w:bookmarkStart w:id="978" w:name="_Toc292559917"/>
      <w:bookmarkStart w:id="979" w:name="_Toc297048393"/>
      <w:bookmarkStart w:id="980" w:name="_Toc292559412"/>
      <w:bookmarkStart w:id="981" w:name="_Toc296891035"/>
      <w:bookmarkStart w:id="982" w:name="_Toc296346708"/>
      <w:bookmarkStart w:id="983" w:name="_Toc296503207"/>
      <w:r>
        <w:rPr>
          <w:rFonts w:ascii="Times New Roman" w:hAnsi="Times New Roman" w:eastAsia="黑体"/>
          <w:color w:val="auto"/>
          <w:szCs w:val="24"/>
          <w:highlight w:val="none"/>
        </w:rPr>
        <w:t>12.2 预付款</w:t>
      </w:r>
    </w:p>
    <w:bookmarkEnd w:id="968"/>
    <w:bookmarkEnd w:id="969"/>
    <w:bookmarkEnd w:id="970"/>
    <w:bookmarkEnd w:id="971"/>
    <w:bookmarkEnd w:id="972"/>
    <w:bookmarkEnd w:id="973"/>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12.2.1 预付款的支付</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预付款支付比例或金额：</w:t>
      </w:r>
      <w:r>
        <w:rPr>
          <w:rFonts w:hint="eastAsia" w:ascii="Times New Roman" w:hAnsi="Times New Roman" w:eastAsia="仿宋_GB2312"/>
          <w:color w:val="auto"/>
          <w:szCs w:val="24"/>
          <w:highlight w:val="none"/>
          <w:u w:val="single"/>
        </w:rPr>
        <w:t>见招标文件。</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预付款支付期限：</w:t>
      </w:r>
      <w:r>
        <w:rPr>
          <w:rFonts w:hint="eastAsia" w:ascii="Times New Roman" w:hAnsi="Times New Roman" w:eastAsia="仿宋_GB2312"/>
          <w:color w:val="auto"/>
          <w:szCs w:val="24"/>
          <w:highlight w:val="none"/>
          <w:u w:val="single"/>
        </w:rPr>
        <w:t>施工合同签订后，开始办理工程预付款支付手续</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预付款扣回的方式：</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冲抵工程款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12.2.2 预付款担保</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承包人提交预付款担保的期限：</w:t>
      </w:r>
      <w:r>
        <w:rPr>
          <w:rFonts w:ascii="Times New Roman" w:hAnsi="Times New Roman" w:eastAsia="仿宋_GB2312"/>
          <w:color w:val="auto"/>
          <w:szCs w:val="24"/>
          <w:highlight w:val="none"/>
          <w:u w:val="single"/>
        </w:rPr>
        <w:t xml:space="preserve">  不要求提供预付款担保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预付款担保的形式为：</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bookmarkEnd w:id="974"/>
    <w:bookmarkEnd w:id="975"/>
    <w:bookmarkEnd w:id="976"/>
    <w:bookmarkEnd w:id="977"/>
    <w:bookmarkEnd w:id="978"/>
    <w:bookmarkEnd w:id="979"/>
    <w:bookmarkEnd w:id="980"/>
    <w:bookmarkEnd w:id="981"/>
    <w:bookmarkEnd w:id="982"/>
    <w:bookmarkEnd w:id="983"/>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12.3 计量</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12.3.1 计量原则</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工程量计算规则：</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按照国家现行计量规范执行</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12.3.2 计量周期</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关于计量周期的约定：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支付工程款时计量</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12.3.3 单价合同的计量</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关于单价合同计量的约定：</w:t>
      </w:r>
      <w:r>
        <w:rPr>
          <w:rFonts w:ascii="Times New Roman" w:hAnsi="Times New Roman" w:eastAsia="仿宋_GB2312"/>
          <w:color w:val="auto"/>
          <w:szCs w:val="24"/>
          <w:highlight w:val="none"/>
          <w:u w:val="single"/>
        </w:rPr>
        <w:t>除报送日期按照进度款支付时间执行外，其余约定同通用条款</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12.3.4 总价合同的计量</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关于总价合同计量的约定：</w:t>
      </w:r>
      <w:r>
        <w:rPr>
          <w:rFonts w:ascii="Times New Roman" w:hAnsi="Times New Roman" w:eastAsia="仿宋_GB2312"/>
          <w:color w:val="auto"/>
          <w:szCs w:val="24"/>
          <w:highlight w:val="none"/>
          <w:u w:val="single"/>
        </w:rPr>
        <w:t xml:space="preserve">          不适用</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12.3.5总价合同采用支付分解表计量支付的，是否适用第</w:t>
      </w:r>
      <w:r>
        <w:rPr>
          <w:rFonts w:ascii="Times New Roman" w:hAnsi="Times New Roman" w:eastAsia="仿宋_GB2312"/>
          <w:color w:val="auto"/>
          <w:kern w:val="0"/>
          <w:szCs w:val="24"/>
          <w:highlight w:val="none"/>
        </w:rPr>
        <w:t xml:space="preserve">12.3.4 </w:t>
      </w:r>
      <w:r>
        <w:rPr>
          <w:rFonts w:ascii="Times New Roman" w:hAnsi="Times New Roman" w:eastAsia="仿宋_GB2312"/>
          <w:color w:val="auto"/>
          <w:szCs w:val="24"/>
          <w:highlight w:val="none"/>
        </w:rPr>
        <w:t>项</w:t>
      </w:r>
      <w:r>
        <w:rPr>
          <w:rFonts w:hint="eastAsia" w:ascii="Times New Roman" w:hAnsi="Times New Roman" w:eastAsia="仿宋_GB2312"/>
          <w:color w:val="auto"/>
          <w:kern w:val="0"/>
          <w:szCs w:val="24"/>
          <w:highlight w:val="none"/>
        </w:rPr>
        <w:t>〔</w:t>
      </w:r>
      <w:r>
        <w:rPr>
          <w:rFonts w:ascii="Times New Roman" w:hAnsi="Times New Roman" w:eastAsia="仿宋_GB2312"/>
          <w:color w:val="auto"/>
          <w:kern w:val="0"/>
          <w:szCs w:val="24"/>
          <w:highlight w:val="none"/>
        </w:rPr>
        <w:t>总价合同的计量</w:t>
      </w:r>
      <w:r>
        <w:rPr>
          <w:rFonts w:hint="eastAsia" w:ascii="Times New Roman" w:hAnsi="Times New Roman" w:eastAsia="仿宋_GB2312"/>
          <w:color w:val="auto"/>
          <w:kern w:val="0"/>
          <w:szCs w:val="24"/>
          <w:highlight w:val="none"/>
        </w:rPr>
        <w:t>〕</w:t>
      </w:r>
      <w:r>
        <w:rPr>
          <w:rFonts w:ascii="Times New Roman" w:hAnsi="Times New Roman" w:eastAsia="仿宋_GB2312"/>
          <w:color w:val="auto"/>
          <w:szCs w:val="24"/>
          <w:highlight w:val="none"/>
        </w:rPr>
        <w:t>约定</w:t>
      </w:r>
      <w:r>
        <w:rPr>
          <w:rFonts w:hint="eastAsia" w:ascii="Times New Roman" w:hAnsi="Times New Roman" w:eastAsia="仿宋_GB2312"/>
          <w:color w:val="auto"/>
          <w:szCs w:val="24"/>
          <w:highlight w:val="none"/>
        </w:rPr>
        <w:t>进行计量：</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不适用</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12.3.6 其他价格形式合同的计量</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其他价格形式的计量方式和程序：</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12.4 工程进度款支付</w:t>
      </w:r>
    </w:p>
    <w:p>
      <w:pPr>
        <w:ind w:firstLine="420" w:firstLineChars="200"/>
        <w:jc w:val="left"/>
        <w:rPr>
          <w:rFonts w:ascii="Times New Roman" w:hAnsi="Times New Roman" w:eastAsia="仿宋_GB2312"/>
          <w:color w:val="auto"/>
          <w:szCs w:val="24"/>
          <w:highlight w:val="none"/>
        </w:rPr>
      </w:pPr>
      <w:bookmarkStart w:id="984" w:name="_Toc292559416"/>
      <w:bookmarkStart w:id="985" w:name="_Toc297048397"/>
      <w:bookmarkStart w:id="986" w:name="_Toc300935006"/>
      <w:bookmarkStart w:id="987" w:name="_Toc303539163"/>
      <w:bookmarkStart w:id="988" w:name="_Toc292559921"/>
      <w:bookmarkStart w:id="989" w:name="_Toc297123556"/>
      <w:bookmarkStart w:id="990" w:name="_Toc296891251"/>
      <w:bookmarkStart w:id="991" w:name="_Toc296944550"/>
      <w:bookmarkStart w:id="992" w:name="_Toc297216215"/>
      <w:bookmarkStart w:id="993" w:name="_Toc297120511"/>
      <w:bookmarkStart w:id="994" w:name="_Toc296347210"/>
      <w:bookmarkStart w:id="995" w:name="_Toc296503211"/>
      <w:bookmarkStart w:id="996" w:name="_Toc296346712"/>
      <w:bookmarkStart w:id="997" w:name="_Toc296891039"/>
      <w:r>
        <w:rPr>
          <w:rFonts w:ascii="Times New Roman" w:hAnsi="Times New Roman" w:eastAsia="仿宋_GB2312"/>
          <w:color w:val="auto"/>
          <w:szCs w:val="24"/>
          <w:highlight w:val="none"/>
        </w:rPr>
        <w:t>12.4.1 付款周期</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关于付款周期的约定：</w:t>
      </w:r>
      <w:r>
        <w:rPr>
          <w:rFonts w:hint="eastAsia" w:ascii="仿宋_GB2312" w:hAnsi="微软雅黑" w:eastAsia="仿宋_GB2312"/>
          <w:color w:val="auto"/>
          <w:szCs w:val="24"/>
          <w:highlight w:val="none"/>
          <w:u w:val="single"/>
        </w:rPr>
        <w:t>见招标文件</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12.4.2 进度付款申请单的编制</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关于进度付款申请单编制的约定：</w:t>
      </w:r>
      <w:r>
        <w:rPr>
          <w:rFonts w:ascii="Times New Roman" w:hAnsi="Times New Roman" w:eastAsia="仿宋_GB2312"/>
          <w:color w:val="auto"/>
          <w:szCs w:val="24"/>
          <w:highlight w:val="none"/>
          <w:u w:val="single"/>
        </w:rPr>
        <w:t>按发包人要求执行</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Fonts w:ascii="Times New Roman" w:hAnsi="Times New Roman" w:eastAsia="仿宋_GB2312"/>
          <w:color w:val="auto"/>
          <w:szCs w:val="24"/>
          <w:highlight w:val="none"/>
        </w:rPr>
        <w:t>2.4.3 进度付款申请单的提交</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（1）单价合同进度付款申请单提交的约定</w:t>
      </w:r>
      <w:r>
        <w:rPr>
          <w:rFonts w:hint="eastAsia" w:ascii="Times New Roman" w:hAnsi="Times New Roman" w:eastAsia="仿宋_GB2312"/>
          <w:color w:val="auto"/>
          <w:szCs w:val="24"/>
          <w:highlight w:val="none"/>
        </w:rPr>
        <w:t>：</w:t>
      </w:r>
      <w:r>
        <w:rPr>
          <w:rFonts w:ascii="Times New Roman" w:hAnsi="Times New Roman" w:eastAsia="仿宋_GB2312"/>
          <w:color w:val="auto"/>
          <w:szCs w:val="24"/>
          <w:highlight w:val="none"/>
          <w:u w:val="single"/>
        </w:rPr>
        <w:t>按通用</w:t>
      </w:r>
      <w:r>
        <w:rPr>
          <w:rFonts w:hint="eastAsia" w:ascii="Times New Roman" w:hAnsi="Times New Roman" w:eastAsia="仿宋_GB2312"/>
          <w:color w:val="auto"/>
          <w:szCs w:val="24"/>
          <w:highlight w:val="none"/>
          <w:u w:val="single"/>
        </w:rPr>
        <w:t>合同</w:t>
      </w:r>
      <w:r>
        <w:rPr>
          <w:rFonts w:ascii="Times New Roman" w:hAnsi="Times New Roman" w:eastAsia="仿宋_GB2312"/>
          <w:color w:val="auto"/>
          <w:szCs w:val="24"/>
          <w:highlight w:val="none"/>
          <w:u w:val="single"/>
        </w:rPr>
        <w:t>条款执行</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（2）总价合同进度付款申请单提交的约定</w:t>
      </w:r>
      <w:r>
        <w:rPr>
          <w:rFonts w:hint="eastAsia" w:ascii="Times New Roman" w:hAnsi="Times New Roman" w:eastAsia="仿宋_GB2312"/>
          <w:color w:val="auto"/>
          <w:szCs w:val="24"/>
          <w:highlight w:val="none"/>
        </w:rPr>
        <w:t>：</w:t>
      </w:r>
      <w:r>
        <w:rPr>
          <w:rFonts w:ascii="Times New Roman" w:hAnsi="Times New Roman" w:eastAsia="仿宋_GB2312"/>
          <w:color w:val="auto"/>
          <w:szCs w:val="24"/>
          <w:highlight w:val="none"/>
          <w:u w:val="single"/>
        </w:rPr>
        <w:t xml:space="preserve">    不适用</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（3）其他价格形式合同进度付款申请单提交的约定：</w:t>
      </w:r>
      <w:r>
        <w:rPr>
          <w:rFonts w:ascii="Times New Roman" w:hAnsi="Times New Roman" w:eastAsia="仿宋_GB2312"/>
          <w:color w:val="auto"/>
          <w:szCs w:val="24"/>
          <w:highlight w:val="none"/>
          <w:u w:val="single"/>
        </w:rPr>
        <w:t xml:space="preserve">  /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12.4.4 进度款审核和支付</w:t>
      </w:r>
    </w:p>
    <w:p>
      <w:pPr>
        <w:ind w:firstLine="420" w:firstLineChars="200"/>
        <w:jc w:val="left"/>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（1）监理人审查并报送发包人的期限：</w:t>
      </w:r>
      <w:r>
        <w:rPr>
          <w:rFonts w:ascii="Times New Roman" w:hAnsi="Times New Roman" w:eastAsia="仿宋_GB2312"/>
          <w:color w:val="auto"/>
          <w:szCs w:val="24"/>
          <w:highlight w:val="none"/>
          <w:u w:val="single"/>
        </w:rPr>
        <w:t>按发包人要求</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发包人完成审批并签发进度款支付证书的期限：</w:t>
      </w:r>
      <w:r>
        <w:rPr>
          <w:rFonts w:ascii="Times New Roman" w:hAnsi="Times New Roman" w:eastAsia="仿宋_GB2312"/>
          <w:color w:val="auto"/>
          <w:szCs w:val="24"/>
          <w:highlight w:val="none"/>
          <w:u w:val="single"/>
        </w:rPr>
        <w:t>按发包人要求</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（2）发包人支付进度款的期限：</w:t>
      </w:r>
      <w:r>
        <w:rPr>
          <w:rFonts w:ascii="Times New Roman" w:hAnsi="Times New Roman" w:eastAsia="仿宋_GB2312"/>
          <w:color w:val="auto"/>
          <w:szCs w:val="24"/>
          <w:highlight w:val="none"/>
          <w:u w:val="single"/>
        </w:rPr>
        <w:t>接收到申请后</w:t>
      </w:r>
      <w:r>
        <w:rPr>
          <w:rFonts w:hint="eastAsia" w:ascii="Times New Roman" w:hAnsi="Times New Roman" w:eastAsia="仿宋_GB2312"/>
          <w:color w:val="auto"/>
          <w:szCs w:val="24"/>
          <w:highlight w:val="none"/>
          <w:u w:val="single"/>
        </w:rPr>
        <w:t>办理</w:t>
      </w:r>
      <w:r>
        <w:rPr>
          <w:rFonts w:ascii="Times New Roman" w:hAnsi="Times New Roman" w:eastAsia="仿宋_GB2312"/>
          <w:color w:val="auto"/>
          <w:szCs w:val="24"/>
          <w:highlight w:val="none"/>
          <w:u w:val="single"/>
        </w:rPr>
        <w:t>支付手续</w:t>
      </w:r>
      <w:r>
        <w:rPr>
          <w:rFonts w:ascii="Times New Roman" w:hAnsi="Times New Roman" w:eastAsia="仿宋_GB2312"/>
          <w:color w:val="auto"/>
          <w:szCs w:val="24"/>
          <w:highlight w:val="none"/>
        </w:rPr>
        <w:t>。</w:t>
      </w:r>
    </w:p>
    <w:p>
      <w:pPr>
        <w:ind w:firstLine="525" w:firstLineChars="25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发包人逾期支付进度款的违约金的计算方式：</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525" w:firstLineChars="25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12.4.6 支付分解表的编制</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2、总价合同支付分解表的编制与审批：</w:t>
      </w:r>
      <w:r>
        <w:rPr>
          <w:rFonts w:ascii="Times New Roman" w:hAnsi="Times New Roman" w:eastAsia="仿宋_GB2312"/>
          <w:color w:val="auto"/>
          <w:szCs w:val="24"/>
          <w:highlight w:val="none"/>
          <w:u w:val="single"/>
        </w:rPr>
        <w:t xml:space="preserve">      /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3、单价合同的总价项目支付分解表的编制与审批：</w:t>
      </w:r>
      <w:r>
        <w:rPr>
          <w:rFonts w:ascii="Times New Roman" w:hAnsi="Times New Roman" w:eastAsia="仿宋_GB2312"/>
          <w:color w:val="auto"/>
          <w:szCs w:val="24"/>
          <w:highlight w:val="none"/>
          <w:u w:val="single"/>
        </w:rPr>
        <w:t xml:space="preserve">   /   </w:t>
      </w:r>
      <w:r>
        <w:rPr>
          <w:rFonts w:ascii="Times New Roman" w:hAnsi="Times New Roman" w:eastAsia="仿宋_GB2312"/>
          <w:color w:val="auto"/>
          <w:szCs w:val="24"/>
          <w:highlight w:val="none"/>
        </w:rPr>
        <w:t>。</w:t>
      </w:r>
    </w:p>
    <w:bookmarkEnd w:id="827"/>
    <w:p>
      <w:pPr>
        <w:pStyle w:val="8"/>
        <w:spacing w:before="120" w:after="120" w:line="360" w:lineRule="auto"/>
        <w:rPr>
          <w:rFonts w:ascii="Times New Roman" w:hAnsi="Times New Roman" w:eastAsia="黑体"/>
          <w:b w:val="0"/>
          <w:color w:val="auto"/>
          <w:sz w:val="24"/>
          <w:szCs w:val="24"/>
          <w:highlight w:val="none"/>
        </w:rPr>
      </w:pPr>
      <w:bookmarkStart w:id="998" w:name="_Toc503261147"/>
      <w:bookmarkStart w:id="999" w:name="_Toc297120519"/>
      <w:bookmarkStart w:id="1000" w:name="_Toc303539172"/>
      <w:bookmarkStart w:id="1001" w:name="_Toc304295593"/>
      <w:bookmarkStart w:id="1002" w:name="_Toc296891047"/>
      <w:bookmarkStart w:id="1003" w:name="_Toc297048405"/>
      <w:bookmarkStart w:id="1004" w:name="_Toc296503219"/>
      <w:bookmarkStart w:id="1005" w:name="_Toc296347218"/>
      <w:bookmarkStart w:id="1006" w:name="_Toc312678053"/>
      <w:bookmarkStart w:id="1007" w:name="_Toc292559424"/>
      <w:bookmarkStart w:id="1008" w:name="_Toc292559929"/>
      <w:bookmarkStart w:id="1009" w:name="_Toc297216223"/>
      <w:bookmarkStart w:id="1010" w:name="_Toc296346720"/>
      <w:bookmarkStart w:id="1011" w:name="_Toc296891259"/>
      <w:bookmarkStart w:id="1012" w:name="_Toc296944558"/>
      <w:bookmarkStart w:id="1013" w:name="_Toc297123564"/>
      <w:bookmarkStart w:id="1014" w:name="_Toc300935015"/>
      <w:r>
        <w:rPr>
          <w:rFonts w:ascii="Times New Roman" w:hAnsi="Times New Roman" w:eastAsia="黑体"/>
          <w:b w:val="0"/>
          <w:color w:val="auto"/>
          <w:sz w:val="24"/>
          <w:szCs w:val="24"/>
          <w:highlight w:val="none"/>
        </w:rPr>
        <w:t>13.</w:t>
      </w:r>
      <w:r>
        <w:rPr>
          <w:rFonts w:hint="eastAsia" w:ascii="Times New Roman" w:hAnsi="Times New Roman" w:eastAsia="黑体"/>
          <w:b w:val="0"/>
          <w:color w:val="auto"/>
          <w:sz w:val="24"/>
          <w:szCs w:val="24"/>
          <w:highlight w:val="none"/>
        </w:rPr>
        <w:t xml:space="preserve"> </w:t>
      </w:r>
      <w:r>
        <w:rPr>
          <w:rFonts w:ascii="Times New Roman" w:hAnsi="Times New Roman" w:eastAsia="黑体"/>
          <w:b w:val="0"/>
          <w:color w:val="auto"/>
          <w:sz w:val="24"/>
          <w:szCs w:val="24"/>
          <w:highlight w:val="none"/>
        </w:rPr>
        <w:t>验收和工程试车</w:t>
      </w:r>
      <w:bookmarkEnd w:id="998"/>
    </w:p>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13.1 分部分项工程验收</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13.1.2监理人不能按时进行验收时，应提前</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24</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小时提交书面延期要求。</w:t>
      </w:r>
    </w:p>
    <w:p>
      <w:pPr>
        <w:ind w:firstLine="420" w:firstLineChars="200"/>
        <w:jc w:val="left"/>
        <w:rPr>
          <w:rFonts w:ascii="Times New Roman" w:hAnsi="Times New Roman" w:eastAsia="仿宋_GB2312"/>
          <w:b/>
          <w:color w:val="auto"/>
          <w:szCs w:val="24"/>
          <w:highlight w:val="none"/>
        </w:rPr>
      </w:pPr>
      <w:r>
        <w:rPr>
          <w:rFonts w:ascii="Times New Roman" w:hAnsi="Times New Roman" w:eastAsia="仿宋_GB2312"/>
          <w:color w:val="auto"/>
          <w:szCs w:val="24"/>
          <w:highlight w:val="none"/>
        </w:rPr>
        <w:t>关于延期最长不得超过：</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48</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小时。</w:t>
      </w:r>
    </w:p>
    <w:p>
      <w:pPr>
        <w:spacing w:after="120"/>
        <w:ind w:firstLine="420" w:firstLineChars="200"/>
        <w:rPr>
          <w:rFonts w:ascii="Times New Roman" w:hAnsi="Times New Roman" w:eastAsia="黑体"/>
          <w:color w:val="auto"/>
          <w:szCs w:val="24"/>
          <w:highlight w:val="none"/>
        </w:rPr>
      </w:pPr>
      <w:bookmarkStart w:id="1015" w:name="_Toc296891051"/>
      <w:bookmarkStart w:id="1016" w:name="_Toc297123565"/>
      <w:bookmarkStart w:id="1017" w:name="_Toc297120523"/>
      <w:bookmarkStart w:id="1018" w:name="_Toc300935016"/>
      <w:bookmarkStart w:id="1019" w:name="_Toc296347222"/>
      <w:bookmarkStart w:id="1020" w:name="_Toc297216224"/>
      <w:bookmarkStart w:id="1021" w:name="_Toc296346724"/>
      <w:bookmarkStart w:id="1022" w:name="_Toc292559933"/>
      <w:bookmarkStart w:id="1023" w:name="_Toc304295596"/>
      <w:bookmarkStart w:id="1024" w:name="_Toc296891263"/>
      <w:bookmarkStart w:id="1025" w:name="_Toc292559428"/>
      <w:bookmarkStart w:id="1026" w:name="_Toc312678056"/>
      <w:bookmarkStart w:id="1027" w:name="_Toc296944562"/>
      <w:bookmarkStart w:id="1028" w:name="_Toc297048409"/>
      <w:bookmarkStart w:id="1029" w:name="_Toc303539173"/>
      <w:bookmarkStart w:id="1030" w:name="_Toc296503223"/>
      <w:bookmarkStart w:id="1031" w:name="_Toc267251473"/>
      <w:bookmarkStart w:id="1032" w:name="_Toc267251476"/>
      <w:bookmarkStart w:id="1033" w:name="_Toc267251475"/>
      <w:bookmarkStart w:id="1034" w:name="_Toc267251471"/>
      <w:bookmarkStart w:id="1035" w:name="_Toc267251470"/>
      <w:bookmarkStart w:id="1036" w:name="_Toc267251472"/>
      <w:bookmarkStart w:id="1037" w:name="_Toc267251474"/>
      <w:r>
        <w:rPr>
          <w:rFonts w:ascii="Times New Roman" w:hAnsi="Times New Roman" w:eastAsia="黑体"/>
          <w:color w:val="auto"/>
          <w:szCs w:val="24"/>
          <w:highlight w:val="none"/>
        </w:rPr>
        <w:t>13.2 竣工验收</w:t>
      </w:r>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Pr>
        <w:ind w:firstLine="420" w:firstLineChars="200"/>
        <w:jc w:val="left"/>
        <w:rPr>
          <w:rFonts w:ascii="Times New Roman" w:hAnsi="Times New Roman" w:eastAsia="仿宋_GB2312"/>
          <w:color w:val="auto"/>
          <w:szCs w:val="24"/>
          <w:highlight w:val="none"/>
        </w:rPr>
      </w:pPr>
      <w:bookmarkStart w:id="1038" w:name="_Toc280868704"/>
      <w:bookmarkStart w:id="1039" w:name="_Toc280868705"/>
      <w:bookmarkStart w:id="1040" w:name="_Toc280868706"/>
      <w:bookmarkStart w:id="1041" w:name="_Toc280868707"/>
      <w:bookmarkStart w:id="1042" w:name="_Toc280868708"/>
      <w:bookmarkStart w:id="1043" w:name="_Toc280868709"/>
      <w:r>
        <w:rPr>
          <w:rFonts w:ascii="Times New Roman" w:hAnsi="Times New Roman" w:eastAsia="仿宋_GB2312"/>
          <w:color w:val="auto"/>
          <w:szCs w:val="24"/>
          <w:highlight w:val="none"/>
        </w:rPr>
        <w:t>13.2.2竣工验收程序</w:t>
      </w:r>
    </w:p>
    <w:bookmarkEnd w:id="1038"/>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关于竣工验收程序的约定：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按照招标文件执行</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发包人不按照本项约定组织竣工验收、颁发工程接收证书的违约金的计算方法：</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按照招标文件执行</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bookmarkEnd w:id="1039"/>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13.2.5移交、接收全部与部分工程</w:t>
      </w:r>
    </w:p>
    <w:bookmarkEnd w:id="1040"/>
    <w:p>
      <w:pPr>
        <w:ind w:firstLine="420" w:firstLineChars="200"/>
        <w:jc w:val="left"/>
        <w:rPr>
          <w:rFonts w:ascii="Times New Roman" w:hAnsi="Times New Roman" w:eastAsia="仿宋_GB2312"/>
          <w:color w:val="auto"/>
          <w:kern w:val="0"/>
          <w:szCs w:val="24"/>
          <w:highlight w:val="none"/>
        </w:rPr>
      </w:pPr>
      <w:r>
        <w:rPr>
          <w:rFonts w:hint="eastAsia" w:ascii="Times New Roman" w:hAnsi="Times New Roman" w:eastAsia="仿宋_GB2312"/>
          <w:color w:val="auto"/>
          <w:kern w:val="0"/>
          <w:szCs w:val="24"/>
          <w:highlight w:val="none"/>
        </w:rPr>
        <w:t>承包人向发包人移交工程的期限：</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按照招标文件执行</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u w:val="single"/>
        </w:rPr>
      </w:pPr>
      <w:r>
        <w:rPr>
          <w:rFonts w:ascii="Times New Roman" w:hAnsi="Times New Roman" w:eastAsia="仿宋_GB2312"/>
          <w:color w:val="auto"/>
          <w:kern w:val="0"/>
          <w:szCs w:val="24"/>
          <w:highlight w:val="none"/>
        </w:rPr>
        <w:t>发包人未按本合同约定接收全部或部分工程的，违约金的计算方法为：</w:t>
      </w:r>
      <w:r>
        <w:rPr>
          <w:rFonts w:hint="eastAsia" w:ascii="Times New Roman" w:hAnsi="Times New Roman" w:eastAsia="仿宋_GB2312"/>
          <w:color w:val="auto"/>
          <w:szCs w:val="24"/>
          <w:highlight w:val="none"/>
          <w:u w:val="single"/>
        </w:rPr>
        <w:t>按照招标文件执行</w:t>
      </w:r>
      <w:r>
        <w:rPr>
          <w:rFonts w:ascii="Times New Roman" w:hAnsi="Times New Roman" w:eastAsia="仿宋_GB2312"/>
          <w:color w:val="auto"/>
          <w:szCs w:val="24"/>
          <w:highlight w:val="none"/>
        </w:rPr>
        <w:t>。</w:t>
      </w:r>
    </w:p>
    <w:bookmarkEnd w:id="1041"/>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承包人未按时移交工程的，违约金的计算方法为：</w:t>
      </w:r>
      <w:r>
        <w:rPr>
          <w:rFonts w:hint="eastAsia" w:ascii="Times New Roman" w:hAnsi="Times New Roman" w:eastAsia="仿宋_GB2312"/>
          <w:color w:val="auto"/>
          <w:szCs w:val="24"/>
          <w:highlight w:val="none"/>
          <w:u w:val="single"/>
        </w:rPr>
        <w:t>按照招标文件执行</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13.3 工程试车</w:t>
      </w:r>
    </w:p>
    <w:bookmarkEnd w:id="1042"/>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13.3.1 试车程序</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工程试车内容：</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（1）单机无负荷试车费用由</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kern w:val="0"/>
          <w:szCs w:val="24"/>
          <w:highlight w:val="none"/>
        </w:rPr>
        <w:t>承担；</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（2）无负荷联动试车费用由</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kern w:val="0"/>
          <w:szCs w:val="24"/>
          <w:highlight w:val="none"/>
        </w:rPr>
        <w:t>承担。</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13.3.3 投料试车</w:t>
      </w:r>
    </w:p>
    <w:p>
      <w:pPr>
        <w:ind w:firstLine="420" w:firstLineChars="200"/>
        <w:jc w:val="left"/>
        <w:rPr>
          <w:rFonts w:ascii="Times New Roman" w:hAnsi="Times New Roman" w:eastAsia="仿宋_GB2312"/>
          <w:color w:val="auto"/>
          <w:kern w:val="0"/>
          <w:szCs w:val="24"/>
          <w:highlight w:val="none"/>
        </w:rPr>
      </w:pPr>
      <w:r>
        <w:rPr>
          <w:rFonts w:hint="eastAsia" w:ascii="Times New Roman" w:hAnsi="Times New Roman" w:eastAsia="仿宋_GB2312"/>
          <w:color w:val="auto"/>
          <w:kern w:val="0"/>
          <w:szCs w:val="24"/>
          <w:highlight w:val="none"/>
        </w:rPr>
        <w:t>关于投料试车相关事项的约定：</w:t>
      </w:r>
      <w:r>
        <w:rPr>
          <w:rFonts w:hint="eastAsia" w:ascii="Times New Roman" w:hAnsi="Times New Roman" w:eastAsia="仿宋_GB2312"/>
          <w:color w:val="auto"/>
          <w:szCs w:val="24"/>
          <w:highlight w:val="none"/>
          <w:u w:val="single"/>
        </w:rPr>
        <w:t xml:space="preserve">         /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13.6 竣工退场</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13.6.1 竣工退场</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承包人完成竣工退场的期限：</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3天</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kern w:val="0"/>
          <w:szCs w:val="24"/>
          <w:highlight w:val="none"/>
        </w:rPr>
        <w:t>。</w:t>
      </w:r>
    </w:p>
    <w:p>
      <w:pPr>
        <w:pStyle w:val="8"/>
        <w:spacing w:before="120" w:after="120" w:line="360" w:lineRule="auto"/>
        <w:rPr>
          <w:rFonts w:ascii="Times New Roman" w:hAnsi="Times New Roman" w:eastAsia="黑体"/>
          <w:b w:val="0"/>
          <w:color w:val="auto"/>
          <w:sz w:val="24"/>
          <w:szCs w:val="24"/>
          <w:highlight w:val="none"/>
        </w:rPr>
      </w:pPr>
      <w:bookmarkStart w:id="1044" w:name="_Toc503261148"/>
      <w:r>
        <w:rPr>
          <w:rFonts w:ascii="Times New Roman" w:hAnsi="Times New Roman" w:eastAsia="黑体"/>
          <w:b w:val="0"/>
          <w:color w:val="auto"/>
          <w:sz w:val="24"/>
          <w:szCs w:val="24"/>
          <w:highlight w:val="none"/>
        </w:rPr>
        <w:t>14. 竣工结算</w:t>
      </w:r>
      <w:bookmarkEnd w:id="1044"/>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14.1 竣工</w:t>
      </w:r>
      <w:r>
        <w:rPr>
          <w:rFonts w:hint="eastAsia" w:ascii="Times New Roman" w:hAnsi="Times New Roman" w:eastAsia="黑体"/>
          <w:color w:val="auto"/>
          <w:szCs w:val="24"/>
          <w:highlight w:val="none"/>
        </w:rPr>
        <w:t>结算</w:t>
      </w:r>
      <w:r>
        <w:rPr>
          <w:rFonts w:ascii="Times New Roman" w:hAnsi="Times New Roman" w:eastAsia="黑体"/>
          <w:color w:val="auto"/>
          <w:szCs w:val="24"/>
          <w:highlight w:val="none"/>
        </w:rPr>
        <w:t>申请</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承包人提交竣工</w:t>
      </w:r>
      <w:r>
        <w:rPr>
          <w:rFonts w:hint="eastAsia" w:ascii="Times New Roman" w:hAnsi="Times New Roman" w:eastAsia="仿宋_GB2312"/>
          <w:color w:val="auto"/>
          <w:szCs w:val="24"/>
          <w:highlight w:val="none"/>
        </w:rPr>
        <w:t>结算</w:t>
      </w:r>
      <w:r>
        <w:rPr>
          <w:rFonts w:ascii="Times New Roman" w:hAnsi="Times New Roman" w:eastAsia="仿宋_GB2312"/>
          <w:color w:val="auto"/>
          <w:szCs w:val="24"/>
          <w:highlight w:val="none"/>
        </w:rPr>
        <w:t>申请单的期限：</w:t>
      </w:r>
    </w:p>
    <w:p>
      <w:pPr>
        <w:ind w:firstLine="420" w:firstLineChars="200"/>
        <w:rPr>
          <w:rFonts w:ascii="Times New Roman" w:hAnsi="Times New Roman" w:eastAsia="仿宋_GB2312"/>
          <w:color w:val="auto"/>
          <w:szCs w:val="24"/>
          <w:highlight w:val="none"/>
          <w:u w:val="single"/>
        </w:rPr>
      </w:pPr>
      <w:r>
        <w:rPr>
          <w:rFonts w:hint="eastAsia" w:ascii="Times New Roman" w:hAnsi="Times New Roman" w:eastAsia="仿宋_GB2312"/>
          <w:color w:val="auto"/>
          <w:szCs w:val="24"/>
          <w:highlight w:val="none"/>
          <w:u w:val="single"/>
        </w:rPr>
        <w:t>1.合同工程完工后，施工单位应按照该工程合同（双方签字盖章确认）中有关的结算要求汇总编制完成竣工结算文件，并应在提交竣工验收单的同时准备好结算初审材料。</w:t>
      </w:r>
    </w:p>
    <w:p>
      <w:pPr>
        <w:numPr>
          <w:ilvl w:val="255"/>
          <w:numId w:val="0"/>
        </w:numPr>
        <w:ind w:firstLine="420" w:firstLineChars="200"/>
        <w:rPr>
          <w:rFonts w:ascii="Times New Roman" w:hAnsi="Times New Roman" w:eastAsia="仿宋_GB2312"/>
          <w:color w:val="auto"/>
          <w:szCs w:val="24"/>
          <w:highlight w:val="none"/>
          <w:u w:val="single"/>
        </w:rPr>
      </w:pPr>
      <w:r>
        <w:rPr>
          <w:rFonts w:hint="eastAsia" w:ascii="Times New Roman" w:hAnsi="Times New Roman" w:eastAsia="仿宋_GB2312"/>
          <w:color w:val="auto"/>
          <w:szCs w:val="24"/>
          <w:highlight w:val="none"/>
          <w:u w:val="single"/>
        </w:rPr>
        <w:t>2.工程竣工验收后10日历天内进行结算初审，核对初审材料是否按照要求准备齐全，初审材料包括：结算广联达电子版本、结算纸质版本；竣工图纸CAD版本、竣工图纸会签版本（施工单位、监理、发包人会签，竣工章）、投标文件电子版、内业资料（可不组卷，但内业中要求的材料要准备齐全）；初审后3日历天内，施工单位对初审材料进行补充；10日历天内未完成结算初审或初审后3日历天内未将初审材料补充完整，一次性扣合同额的2‰作为违约金，此外因延期而产生的罚款应按照延期的天数乘以合同额的1‰进行累计计算。已延期的经工程管理部结算工程师催告后14日历天内仍未提交或没有明确答复的，工程管理部结算工程师有权根据已有的材料编制竣工结算文件，作为办理竣工结算和支付结算款的依据。</w:t>
      </w:r>
    </w:p>
    <w:p>
      <w:pPr>
        <w:ind w:firstLine="420" w:firstLineChars="200"/>
        <w:rPr>
          <w:rFonts w:ascii="Times New Roman" w:hAnsi="Times New Roman" w:eastAsia="仿宋_GB2312"/>
          <w:color w:val="auto"/>
          <w:szCs w:val="24"/>
          <w:highlight w:val="none"/>
          <w:u w:val="single"/>
        </w:rPr>
      </w:pPr>
      <w:r>
        <w:rPr>
          <w:rFonts w:hint="eastAsia" w:ascii="Times New Roman" w:hAnsi="Times New Roman" w:eastAsia="仿宋_GB2312"/>
          <w:color w:val="auto"/>
          <w:szCs w:val="24"/>
          <w:highlight w:val="none"/>
          <w:u w:val="single"/>
        </w:rPr>
        <w:t>3.结算材料准备齐全、完整后进行结算复审，施工单位需按工程管理部相关要求配合经济工程师进行工程结算，有效次数不应小于2次，经经济工程师核实，认为施工单位应补充材料或修改结算文件的，须在确认之日起5日历天内完成；结算审核完成后，无争议部分结算和争议部分审核结果的意见均须在3日历天内完成；工程管理部结算会签后，施工单位须在3日历天内上报内业完整资料；超过规定时间，经工程管理部经济工程师催告后7日历天内仍未提交或没有明确答复的，一次性扣合同款的2‰作为违约金，此外因延期而产生的罚款应按照延期的天数乘以合同额的1‰进行累计计算，同时工程管理部经济工程师有权根据已有的材料编制竣工结算文件，作为办理竣工结算和支付结算款的依据，</w:t>
      </w:r>
    </w:p>
    <w:p>
      <w:pPr>
        <w:ind w:firstLine="420" w:firstLineChars="200"/>
        <w:rPr>
          <w:rFonts w:ascii="Times New Roman" w:hAnsi="Times New Roman" w:eastAsia="仿宋_GB2312"/>
          <w:color w:val="auto"/>
          <w:szCs w:val="24"/>
          <w:highlight w:val="none"/>
          <w:u w:val="single"/>
        </w:rPr>
      </w:pPr>
      <w:r>
        <w:rPr>
          <w:rFonts w:hint="eastAsia" w:ascii="Times New Roman" w:hAnsi="Times New Roman" w:eastAsia="仿宋_GB2312"/>
          <w:color w:val="auto"/>
          <w:szCs w:val="24"/>
          <w:highlight w:val="none"/>
          <w:u w:val="single"/>
        </w:rPr>
        <w:t>1）合同金额200万元以下，结算金额不超合同金额1.1倍的工程项目，审核周期为30日历天，工程量核定不超过第24日历天。</w:t>
      </w:r>
    </w:p>
    <w:p>
      <w:pPr>
        <w:ind w:firstLine="420" w:firstLineChars="200"/>
        <w:rPr>
          <w:rFonts w:ascii="Times New Roman" w:hAnsi="Times New Roman" w:eastAsia="仿宋_GB2312"/>
          <w:color w:val="auto"/>
          <w:szCs w:val="24"/>
          <w:highlight w:val="none"/>
          <w:u w:val="single"/>
        </w:rPr>
      </w:pPr>
      <w:r>
        <w:rPr>
          <w:rFonts w:hint="eastAsia" w:ascii="Times New Roman" w:hAnsi="Times New Roman" w:eastAsia="仿宋_GB2312"/>
          <w:color w:val="auto"/>
          <w:szCs w:val="24"/>
          <w:highlight w:val="none"/>
          <w:u w:val="single"/>
        </w:rPr>
        <w:t>2）合同金额200—1000万元以下，结算金额不超合同金额1.1倍的工程项目，审核周期为60日历天，工程量核定不超过第50日历天。</w:t>
      </w:r>
    </w:p>
    <w:p>
      <w:pPr>
        <w:ind w:firstLine="420" w:firstLineChars="200"/>
        <w:rPr>
          <w:rFonts w:ascii="Times New Roman" w:hAnsi="Times New Roman" w:eastAsia="仿宋_GB2312"/>
          <w:color w:val="auto"/>
          <w:szCs w:val="24"/>
          <w:highlight w:val="none"/>
          <w:u w:val="single"/>
        </w:rPr>
      </w:pPr>
      <w:r>
        <w:rPr>
          <w:rFonts w:hint="eastAsia" w:ascii="Times New Roman" w:hAnsi="Times New Roman" w:eastAsia="仿宋_GB2312"/>
          <w:color w:val="auto"/>
          <w:szCs w:val="24"/>
          <w:highlight w:val="none"/>
          <w:u w:val="single"/>
        </w:rPr>
        <w:t>3）合同金额1000万元以上，结算金额不超合同金额1.1倍的工程项目，审核周期为90日历天，工程量核定不超过第70日历天。</w:t>
      </w:r>
    </w:p>
    <w:p>
      <w:pPr>
        <w:numPr>
          <w:ilvl w:val="255"/>
          <w:numId w:val="0"/>
        </w:numPr>
        <w:ind w:firstLine="420" w:firstLineChars="200"/>
        <w:rPr>
          <w:rFonts w:ascii="Times New Roman" w:hAnsi="Times New Roman" w:eastAsia="仿宋_GB2312"/>
          <w:color w:val="auto"/>
          <w:szCs w:val="24"/>
          <w:highlight w:val="none"/>
          <w:u w:val="single"/>
        </w:rPr>
      </w:pPr>
      <w:r>
        <w:rPr>
          <w:rFonts w:hint="eastAsia" w:ascii="Times New Roman" w:hAnsi="Times New Roman" w:eastAsia="仿宋_GB2312"/>
          <w:color w:val="auto"/>
          <w:szCs w:val="24"/>
          <w:highlight w:val="none"/>
          <w:u w:val="single"/>
        </w:rPr>
        <w:t>以上环节中如施工单位任一环节中断配合，则从该环节起始时间和周期重新计算，但因施工单位的原因导致工程结算在规定的时间内未完成核对，视为已核对完成部分的金额为该工程的结算金额。每次结算的审核，施工单位审核人（需施工单位提供法人身份证复印件加盖公章、此项目对结算人员的委托书加盖公章，施工单位结算人员的身份证复印件加盖公章）需在工程项目结算审核签到表上填写相关信息。结算工程师要检查填写的内容是否真实，依据记录对施工单位进行处罚，所罚资金从工程尾款扣除，作为工程结余资金，投入其他维修改造工程。</w:t>
      </w:r>
    </w:p>
    <w:p>
      <w:pPr>
        <w:pStyle w:val="43"/>
        <w:spacing w:before="0" w:beforeAutospacing="0" w:after="0" w:afterAutospacing="0"/>
        <w:ind w:firstLine="628"/>
        <w:rPr>
          <w:rFonts w:ascii="Times New Roman" w:hAnsi="Times New Roman" w:eastAsia="仿宋_GB2312" w:cs="Times New Roman"/>
          <w:color w:val="auto"/>
          <w:kern w:val="2"/>
          <w:szCs w:val="24"/>
          <w:highlight w:val="none"/>
          <w:u w:val="single"/>
        </w:rPr>
      </w:pPr>
      <w:r>
        <w:rPr>
          <w:rFonts w:hint="eastAsia" w:ascii="Times New Roman" w:hAnsi="Times New Roman" w:eastAsia="仿宋_GB2312" w:cs="Times New Roman"/>
          <w:color w:val="auto"/>
          <w:kern w:val="2"/>
          <w:szCs w:val="24"/>
          <w:highlight w:val="none"/>
          <w:u w:val="single"/>
        </w:rPr>
        <w:t>施工单位对修缮工程项目结算一级审核核减率超过15%或在一结算级审核过程中有拖延结算日期扣款，总务处将在哈工大网页上对施工单位予以通报，并书面通知招标办。对被通报二次以上的施工单位，并列入哈尔滨工业大学禁止投标名单。</w:t>
      </w:r>
    </w:p>
    <w:p>
      <w:pPr>
        <w:pStyle w:val="43"/>
        <w:spacing w:before="0" w:beforeAutospacing="0" w:after="0" w:afterAutospacing="0"/>
        <w:ind w:firstLine="628"/>
        <w:rPr>
          <w:rFonts w:ascii="Times New Roman" w:hAnsi="Times New Roman" w:eastAsia="仿宋_GB2312" w:cs="Times New Roman"/>
          <w:color w:val="auto"/>
          <w:kern w:val="2"/>
          <w:szCs w:val="24"/>
          <w:highlight w:val="none"/>
          <w:u w:val="single"/>
        </w:rPr>
      </w:pPr>
      <w:r>
        <w:rPr>
          <w:rFonts w:hint="eastAsia" w:ascii="Times New Roman" w:hAnsi="Times New Roman" w:eastAsia="仿宋_GB2312" w:cs="Times New Roman"/>
          <w:color w:val="auto"/>
          <w:kern w:val="2"/>
          <w:szCs w:val="24"/>
          <w:highlight w:val="none"/>
          <w:u w:val="single"/>
        </w:rPr>
        <w:t>施工单位对修缮工程项目拒绝配合总务处工程管理部结算审核的，总务处将在哈工大网页上对施工单位予以通报，并列入哈尔滨工业大学禁止投标名单。</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竣工</w:t>
      </w:r>
      <w:r>
        <w:rPr>
          <w:rFonts w:hint="eastAsia" w:ascii="Times New Roman" w:hAnsi="Times New Roman" w:eastAsia="仿宋_GB2312"/>
          <w:color w:val="auto"/>
          <w:szCs w:val="24"/>
          <w:highlight w:val="none"/>
        </w:rPr>
        <w:t>结算</w:t>
      </w:r>
      <w:r>
        <w:rPr>
          <w:rFonts w:ascii="Times New Roman" w:hAnsi="Times New Roman" w:eastAsia="仿宋_GB2312"/>
          <w:color w:val="auto"/>
          <w:szCs w:val="24"/>
          <w:highlight w:val="none"/>
        </w:rPr>
        <w:t>申请单应包括的内容：</w:t>
      </w:r>
      <w:r>
        <w:rPr>
          <w:rFonts w:ascii="Times New Roman" w:hAnsi="Times New Roman" w:eastAsia="仿宋_GB2312"/>
          <w:color w:val="auto"/>
          <w:szCs w:val="24"/>
          <w:highlight w:val="none"/>
          <w:u w:val="single"/>
        </w:rPr>
        <w:t xml:space="preserve">  按发包人要求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14.2 竣工结算审核</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w:t>
      </w:r>
      <w:r>
        <w:rPr>
          <w:rFonts w:hint="eastAsia" w:ascii="Times New Roman" w:hAnsi="Times New Roman" w:eastAsia="仿宋_GB2312"/>
          <w:color w:val="auto"/>
          <w:szCs w:val="24"/>
          <w:highlight w:val="none"/>
        </w:rPr>
        <w:t>审批</w:t>
      </w:r>
      <w:r>
        <w:rPr>
          <w:rFonts w:ascii="Times New Roman" w:hAnsi="Times New Roman" w:eastAsia="仿宋_GB2312"/>
          <w:color w:val="auto"/>
          <w:szCs w:val="24"/>
          <w:highlight w:val="none"/>
        </w:rPr>
        <w:t>竣工付款申请单的期限：</w:t>
      </w:r>
      <w:r>
        <w:rPr>
          <w:rFonts w:ascii="Times New Roman" w:hAnsi="Times New Roman" w:eastAsia="仿宋_GB2312"/>
          <w:color w:val="auto"/>
          <w:szCs w:val="24"/>
          <w:highlight w:val="none"/>
          <w:u w:val="single"/>
        </w:rPr>
        <w:t xml:space="preserve">  按发包人要求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发包人完成竣工付款的期限：</w:t>
      </w:r>
      <w:r>
        <w:rPr>
          <w:rFonts w:ascii="Times New Roman" w:hAnsi="Times New Roman" w:eastAsia="仿宋_GB2312"/>
          <w:color w:val="auto"/>
          <w:szCs w:val="24"/>
          <w:highlight w:val="none"/>
          <w:u w:val="single"/>
        </w:rPr>
        <w:t xml:space="preserve">   按发包人要求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hint="eastAsia" w:ascii="Times New Roman" w:hAnsi="Times New Roman" w:eastAsia="仿宋_GB2312"/>
          <w:color w:val="auto"/>
          <w:szCs w:val="24"/>
          <w:highlight w:val="none"/>
        </w:rPr>
        <w:t>关于竣工付款证书异议部分复核的方式和程序：</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eastAsia="仿宋_GB2312"/>
          <w:color w:val="auto"/>
          <w:szCs w:val="24"/>
          <w:highlight w:val="none"/>
          <w:u w:val="single"/>
        </w:rPr>
      </w:pPr>
      <w:r>
        <w:rPr>
          <w:rFonts w:hint="eastAsia" w:eastAsia="仿宋_GB2312"/>
          <w:color w:val="auto"/>
          <w:szCs w:val="24"/>
          <w:highlight w:val="none"/>
        </w:rPr>
        <w:t>关于竣工结算与支付的约定：</w:t>
      </w:r>
      <w:r>
        <w:rPr>
          <w:rFonts w:hint="eastAsia" w:eastAsia="仿宋_GB2312"/>
          <w:color w:val="auto"/>
          <w:szCs w:val="24"/>
          <w:highlight w:val="none"/>
          <w:u w:val="single"/>
        </w:rPr>
        <w:t>见招标文件。</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14.4 最终结清</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14.4.1 最终结清申请单</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承包人提交最终结清申请单的份数：</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按发包人要求</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kern w:val="0"/>
          <w:szCs w:val="24"/>
          <w:highlight w:val="none"/>
        </w:rPr>
        <w:t>承包人提交最终结算申请单的期限：</w:t>
      </w:r>
      <w:r>
        <w:rPr>
          <w:rFonts w:ascii="Times New Roman" w:hAnsi="Times New Roman" w:eastAsia="仿宋_GB2312"/>
          <w:color w:val="auto"/>
          <w:szCs w:val="24"/>
          <w:highlight w:val="none"/>
          <w:u w:val="single"/>
        </w:rPr>
        <w:t xml:space="preserve">   按发包人要求   </w:t>
      </w:r>
      <w:r>
        <w:rPr>
          <w:rFonts w:ascii="Times New Roman" w:hAnsi="Times New Roman" w:eastAsia="仿宋_GB2312"/>
          <w:color w:val="auto"/>
          <w:szCs w:val="24"/>
          <w:highlight w:val="none"/>
        </w:rPr>
        <w:t xml:space="preserve">。 </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14.4.2 最终结清证书和支付</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（1）发包人完成最终结清申请单的</w:t>
      </w:r>
      <w:r>
        <w:rPr>
          <w:rFonts w:hint="eastAsia" w:ascii="Times New Roman" w:hAnsi="Times New Roman" w:eastAsia="仿宋_GB2312"/>
          <w:color w:val="auto"/>
          <w:szCs w:val="24"/>
          <w:highlight w:val="none"/>
        </w:rPr>
        <w:t>审批</w:t>
      </w:r>
      <w:r>
        <w:rPr>
          <w:rFonts w:ascii="Times New Roman" w:hAnsi="Times New Roman" w:eastAsia="仿宋_GB2312"/>
          <w:color w:val="auto"/>
          <w:szCs w:val="24"/>
          <w:highlight w:val="none"/>
        </w:rPr>
        <w:t>并颁发最终结清证书的期限：</w:t>
      </w:r>
      <w:r>
        <w:rPr>
          <w:rFonts w:ascii="Times New Roman" w:hAnsi="Times New Roman" w:eastAsia="仿宋_GB2312"/>
          <w:color w:val="auto"/>
          <w:szCs w:val="24"/>
          <w:highlight w:val="none"/>
          <w:u w:val="single"/>
        </w:rPr>
        <w:t xml:space="preserve"> 按照通用条款执行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（2）发包人完成支付的期限：</w:t>
      </w:r>
      <w:r>
        <w:rPr>
          <w:rFonts w:hint="eastAsia" w:ascii="Times New Roman" w:hAnsi="Times New Roman" w:eastAsia="仿宋_GB2312"/>
          <w:color w:val="auto"/>
          <w:szCs w:val="24"/>
          <w:highlight w:val="none"/>
          <w:u w:val="single"/>
        </w:rPr>
        <w:t>按学校工程款支付周期执行</w:t>
      </w:r>
      <w:r>
        <w:rPr>
          <w:rFonts w:ascii="Times New Roman" w:hAnsi="Times New Roman" w:eastAsia="仿宋_GB2312"/>
          <w:color w:val="auto"/>
          <w:szCs w:val="24"/>
          <w:highlight w:val="none"/>
        </w:rPr>
        <w:t>。</w:t>
      </w:r>
    </w:p>
    <w:bookmarkEnd w:id="1031"/>
    <w:bookmarkEnd w:id="1032"/>
    <w:bookmarkEnd w:id="1033"/>
    <w:bookmarkEnd w:id="1034"/>
    <w:bookmarkEnd w:id="1035"/>
    <w:bookmarkEnd w:id="1036"/>
    <w:bookmarkEnd w:id="1037"/>
    <w:bookmarkEnd w:id="1043"/>
    <w:p>
      <w:pPr>
        <w:pStyle w:val="8"/>
        <w:spacing w:before="120" w:after="120" w:line="360" w:lineRule="auto"/>
        <w:rPr>
          <w:rFonts w:ascii="Times New Roman" w:hAnsi="Times New Roman" w:eastAsia="黑体"/>
          <w:b w:val="0"/>
          <w:color w:val="auto"/>
          <w:sz w:val="24"/>
          <w:szCs w:val="24"/>
          <w:highlight w:val="none"/>
        </w:rPr>
      </w:pPr>
      <w:bookmarkStart w:id="1045" w:name="_Toc503261149"/>
      <w:bookmarkStart w:id="1046" w:name="_Toc267251483"/>
      <w:bookmarkStart w:id="1047" w:name="_Toc267251482"/>
      <w:bookmarkStart w:id="1048" w:name="_Toc267251484"/>
      <w:bookmarkStart w:id="1049" w:name="_Toc267251485"/>
      <w:bookmarkStart w:id="1050" w:name="_Toc267251488"/>
      <w:bookmarkStart w:id="1051" w:name="_Toc267251490"/>
      <w:bookmarkStart w:id="1052" w:name="_Toc267251489"/>
      <w:bookmarkStart w:id="1053" w:name="_Toc267251486"/>
      <w:bookmarkStart w:id="1054" w:name="_Toc267251496"/>
      <w:bookmarkStart w:id="1055" w:name="_Toc267251494"/>
      <w:bookmarkStart w:id="1056" w:name="_Toc267251497"/>
      <w:bookmarkStart w:id="1057" w:name="_Toc267251498"/>
      <w:bookmarkStart w:id="1058" w:name="_Toc267251493"/>
      <w:bookmarkStart w:id="1059" w:name="_Toc267251495"/>
      <w:bookmarkStart w:id="1060" w:name="_Toc267251499"/>
      <w:bookmarkStart w:id="1061" w:name="_Toc267251502"/>
      <w:bookmarkStart w:id="1062" w:name="_Toc267251503"/>
      <w:bookmarkStart w:id="1063" w:name="_Toc267251491"/>
      <w:bookmarkStart w:id="1064" w:name="_Toc267251501"/>
      <w:bookmarkStart w:id="1065" w:name="_Toc267251492"/>
      <w:bookmarkStart w:id="1066" w:name="_Toc267251504"/>
      <w:bookmarkStart w:id="1067" w:name="_Toc267251506"/>
      <w:bookmarkStart w:id="1068" w:name="_Toc267251507"/>
      <w:bookmarkStart w:id="1069" w:name="_Toc267251508"/>
      <w:r>
        <w:rPr>
          <w:rFonts w:ascii="Times New Roman" w:hAnsi="Times New Roman" w:eastAsia="黑体"/>
          <w:b w:val="0"/>
          <w:color w:val="auto"/>
          <w:sz w:val="24"/>
          <w:szCs w:val="24"/>
          <w:highlight w:val="none"/>
        </w:rPr>
        <w:t>15. 缺陷责任期与保修</w:t>
      </w:r>
      <w:bookmarkEnd w:id="1045"/>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15.2缺陷责任期</w:t>
      </w:r>
      <w:bookmarkEnd w:id="1046"/>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缺陷责任期的具体期限：</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15.3 质量保证金</w:t>
      </w:r>
    </w:p>
    <w:p>
      <w:pPr>
        <w:ind w:firstLine="420" w:firstLineChars="200"/>
        <w:jc w:val="left"/>
        <w:rPr>
          <w:rFonts w:eastAsia="仿宋_GB2312"/>
          <w:color w:val="auto"/>
          <w:szCs w:val="24"/>
          <w:highlight w:val="none"/>
        </w:rPr>
      </w:pPr>
      <w:r>
        <w:rPr>
          <w:rFonts w:hint="eastAsia" w:ascii="Times New Roman" w:hAnsi="Times New Roman" w:eastAsia="仿宋_GB2312"/>
          <w:color w:val="auto"/>
          <w:szCs w:val="24"/>
          <w:highlight w:val="none"/>
        </w:rPr>
        <w:t>关于是否扣留质量保证金的约定：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扣留质量保证金</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r>
        <w:rPr>
          <w:rFonts w:hint="eastAsia" w:eastAsia="仿宋_GB2312"/>
          <w:color w:val="auto"/>
          <w:szCs w:val="24"/>
          <w:highlight w:val="none"/>
        </w:rPr>
        <w:t>在工程项目竣工前，承包人按专用合同条款第</w:t>
      </w:r>
      <w:r>
        <w:rPr>
          <w:rFonts w:ascii="Times New Roman" w:hAnsi="Times New Roman" w:eastAsia="仿宋_GB2312"/>
          <w:color w:val="auto"/>
          <w:szCs w:val="24"/>
          <w:highlight w:val="none"/>
        </w:rPr>
        <w:t>3.7</w:t>
      </w:r>
      <w:r>
        <w:rPr>
          <w:rFonts w:hint="eastAsia" w:eastAsia="仿宋_GB2312"/>
          <w:color w:val="auto"/>
          <w:szCs w:val="24"/>
          <w:highlight w:val="none"/>
        </w:rPr>
        <w:t>条提供履约担保的，发包人不得同时预留工程质量保证金。</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 xml:space="preserve">15.3.1 </w:t>
      </w:r>
      <w:r>
        <w:rPr>
          <w:rFonts w:hint="eastAsia" w:ascii="Times New Roman" w:hAnsi="Times New Roman" w:eastAsia="仿宋_GB2312"/>
          <w:color w:val="auto"/>
          <w:szCs w:val="24"/>
          <w:highlight w:val="none"/>
        </w:rPr>
        <w:t>承包人提供</w:t>
      </w:r>
      <w:r>
        <w:rPr>
          <w:rFonts w:ascii="Times New Roman" w:hAnsi="Times New Roman" w:eastAsia="仿宋_GB2312"/>
          <w:color w:val="auto"/>
          <w:szCs w:val="24"/>
          <w:highlight w:val="none"/>
        </w:rPr>
        <w:t>质量保证金的</w:t>
      </w:r>
      <w:r>
        <w:rPr>
          <w:rFonts w:hint="eastAsia" w:ascii="Times New Roman" w:hAnsi="Times New Roman" w:eastAsia="仿宋_GB2312"/>
          <w:color w:val="auto"/>
          <w:szCs w:val="24"/>
          <w:highlight w:val="none"/>
        </w:rPr>
        <w:t>方</w:t>
      </w:r>
      <w:r>
        <w:rPr>
          <w:rFonts w:ascii="Times New Roman" w:hAnsi="Times New Roman" w:eastAsia="仿宋_GB2312"/>
          <w:color w:val="auto"/>
          <w:szCs w:val="24"/>
          <w:highlight w:val="none"/>
        </w:rPr>
        <w:t>式</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质量保证金采用以下第</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2</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种方式：</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（1）质量保证金保函，保证金额为：</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（2）</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3</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%的工程款；</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（3）其他</w:t>
      </w:r>
      <w:r>
        <w:rPr>
          <w:rFonts w:hint="eastAsia" w:ascii="Times New Roman" w:hAnsi="Times New Roman" w:eastAsia="仿宋_GB2312"/>
          <w:color w:val="auto"/>
          <w:kern w:val="0"/>
          <w:szCs w:val="24"/>
          <w:highlight w:val="none"/>
        </w:rPr>
        <w:t>方</w:t>
      </w:r>
      <w:r>
        <w:rPr>
          <w:rFonts w:ascii="Times New Roman" w:hAnsi="Times New Roman" w:eastAsia="仿宋_GB2312"/>
          <w:color w:val="auto"/>
          <w:kern w:val="0"/>
          <w:szCs w:val="24"/>
          <w:highlight w:val="none"/>
        </w:rPr>
        <w:t>式</w:t>
      </w:r>
      <w:r>
        <w:rPr>
          <w:rFonts w:hint="eastAsia" w:ascii="Times New Roman" w:hAnsi="Times New Roman" w:eastAsia="仿宋_GB2312"/>
          <w:color w:val="auto"/>
          <w:kern w:val="0"/>
          <w:szCs w:val="24"/>
          <w:highlight w:val="none"/>
        </w:rPr>
        <w:t>：</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 xml:space="preserve">15.3.2 质量保证金的扣留 </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质量保证金的扣留采取以下第</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3</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种方式：</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（1）在支付工程进度款时逐次扣留，在此情形下，质量保证金的计算基数不包括预付款的支付、扣回以及价格调整的金额；</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（2）工程竣工结算时一次性扣留质量保证金；</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（3）其他扣留方式</w:t>
      </w:r>
      <w:r>
        <w:rPr>
          <w:rFonts w:hint="eastAsia" w:ascii="Times New Roman" w:hAnsi="Times New Roman" w:eastAsia="仿宋_GB2312"/>
          <w:color w:val="auto"/>
          <w:kern w:val="0"/>
          <w:szCs w:val="24"/>
          <w:highlight w:val="none"/>
        </w:rPr>
        <w:t>：</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剩余最终竣工结算金额的3%为本项目质量保证金，在竣工结算二级审核后一次性扣留</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bookmarkEnd w:id="1047"/>
    <w:bookmarkEnd w:id="1048"/>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15.4保修</w:t>
      </w:r>
    </w:p>
    <w:bookmarkEnd w:id="1049"/>
    <w:p>
      <w:pPr>
        <w:ind w:firstLine="409" w:firstLineChars="195"/>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15.4.1 保修责任</w:t>
      </w:r>
    </w:p>
    <w:p>
      <w:pPr>
        <w:ind w:firstLine="409" w:firstLineChars="195"/>
        <w:jc w:val="left"/>
        <w:rPr>
          <w:rFonts w:ascii="Times New Roman" w:hAnsi="Times New Roman" w:eastAsia="仿宋_GB2312"/>
          <w:color w:val="auto"/>
          <w:kern w:val="0"/>
          <w:szCs w:val="24"/>
          <w:highlight w:val="none"/>
        </w:rPr>
      </w:pPr>
      <w:r>
        <w:rPr>
          <w:rFonts w:ascii="Times New Roman" w:hAnsi="Times New Roman" w:eastAsia="仿宋_GB2312"/>
          <w:color w:val="auto"/>
          <w:szCs w:val="24"/>
          <w:highlight w:val="none"/>
        </w:rPr>
        <w:t>工程保修期为：</w:t>
      </w:r>
      <w:r>
        <w:rPr>
          <w:rFonts w:hint="eastAsia" w:ascii="Times New Roman" w:hAnsi="Times New Roman" w:eastAsia="仿宋_GB2312"/>
          <w:color w:val="auto"/>
          <w:kern w:val="0"/>
          <w:szCs w:val="24"/>
          <w:highlight w:val="none"/>
          <w:u w:val="single"/>
        </w:rPr>
        <w:t xml:space="preserve">    /   </w:t>
      </w:r>
      <w:r>
        <w:rPr>
          <w:rFonts w:ascii="Times New Roman" w:hAnsi="Times New Roman" w:eastAsia="仿宋_GB2312"/>
          <w:color w:val="auto"/>
          <w:kern w:val="0"/>
          <w:szCs w:val="24"/>
          <w:highlight w:val="none"/>
        </w:rPr>
        <w:t>。</w:t>
      </w:r>
    </w:p>
    <w:p>
      <w:pPr>
        <w:ind w:firstLine="409" w:firstLineChars="195"/>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15.4.3 修复通知</w:t>
      </w:r>
    </w:p>
    <w:p>
      <w:pPr>
        <w:ind w:firstLine="409" w:firstLineChars="195"/>
        <w:jc w:val="left"/>
        <w:rPr>
          <w:color w:val="auto"/>
          <w:highlight w:val="none"/>
        </w:rPr>
      </w:pPr>
      <w:r>
        <w:rPr>
          <w:rFonts w:ascii="Times New Roman" w:hAnsi="Times New Roman" w:eastAsia="仿宋_GB2312"/>
          <w:color w:val="auto"/>
          <w:kern w:val="0"/>
          <w:szCs w:val="24"/>
          <w:highlight w:val="none"/>
        </w:rPr>
        <w:t>承包人收到保修通知并到达工程现场的合理时间：</w:t>
      </w:r>
      <w:r>
        <w:rPr>
          <w:rFonts w:hint="eastAsia" w:ascii="Times New Roman" w:hAnsi="Times New Roman" w:eastAsia="仿宋_GB2312"/>
          <w:color w:val="auto"/>
          <w:kern w:val="0"/>
          <w:szCs w:val="24"/>
          <w:highlight w:val="none"/>
        </w:rPr>
        <w:t xml:space="preserve"> </w:t>
      </w:r>
      <w:r>
        <w:rPr>
          <w:rFonts w:ascii="Times New Roman" w:hAnsi="Times New Roman" w:eastAsia="仿宋_GB2312"/>
          <w:color w:val="auto"/>
          <w:kern w:val="0"/>
          <w:szCs w:val="24"/>
          <w:highlight w:val="none"/>
          <w:u w:val="single"/>
        </w:rPr>
        <w:t>售后服务响应时间小于24小时</w:t>
      </w:r>
      <w:r>
        <w:rPr>
          <w:rFonts w:ascii="Times New Roman" w:hAnsi="Times New Roman" w:eastAsia="-webkit-standard"/>
          <w:color w:val="auto"/>
          <w:sz w:val="22"/>
          <w:highlight w:val="none"/>
        </w:rPr>
        <w:t>。</w:t>
      </w:r>
    </w:p>
    <w:bookmarkEnd w:id="1050"/>
    <w:bookmarkEnd w:id="1051"/>
    <w:bookmarkEnd w:id="1052"/>
    <w:bookmarkEnd w:id="1053"/>
    <w:p>
      <w:pPr>
        <w:pStyle w:val="8"/>
        <w:spacing w:before="120" w:after="120" w:line="360" w:lineRule="auto"/>
        <w:rPr>
          <w:rFonts w:ascii="Times New Roman" w:hAnsi="Times New Roman" w:eastAsia="黑体"/>
          <w:b w:val="0"/>
          <w:color w:val="auto"/>
          <w:sz w:val="24"/>
          <w:szCs w:val="24"/>
          <w:highlight w:val="none"/>
        </w:rPr>
      </w:pPr>
      <w:bookmarkStart w:id="1070" w:name="_Toc503261150"/>
      <w:bookmarkStart w:id="1071" w:name="_Toc280868717"/>
      <w:bookmarkStart w:id="1072" w:name="_Toc280868718"/>
      <w:r>
        <w:rPr>
          <w:rFonts w:ascii="Times New Roman" w:hAnsi="Times New Roman" w:eastAsia="黑体"/>
          <w:b w:val="0"/>
          <w:color w:val="auto"/>
          <w:sz w:val="24"/>
          <w:szCs w:val="24"/>
          <w:highlight w:val="none"/>
        </w:rPr>
        <w:t>16. 违约</w:t>
      </w:r>
      <w:bookmarkEnd w:id="1070"/>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16.1 发包人违约</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16.1.1发包人违约的情形</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发包人违约的其他情形：</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left="1200" w:hanging="1050" w:hangingChars="5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 xml:space="preserve">    16.1.2 发包人违约的责任</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发包人违约责任的承担方式和计算方法：</w:t>
      </w:r>
    </w:p>
    <w:p>
      <w:pPr>
        <w:ind w:firstLine="420" w:firstLineChars="200"/>
        <w:jc w:val="left"/>
        <w:rPr>
          <w:rFonts w:ascii="Times New Roman" w:hAnsi="Times New Roman" w:eastAsia="仿宋_GB2312"/>
          <w:color w:val="auto"/>
          <w:kern w:val="0"/>
          <w:szCs w:val="24"/>
          <w:highlight w:val="none"/>
          <w:u w:val="single"/>
        </w:rPr>
      </w:pPr>
      <w:r>
        <w:rPr>
          <w:rFonts w:ascii="Times New Roman" w:hAnsi="Times New Roman" w:eastAsia="仿宋_GB2312"/>
          <w:color w:val="auto"/>
          <w:kern w:val="0"/>
          <w:szCs w:val="24"/>
          <w:highlight w:val="none"/>
        </w:rPr>
        <w:t>（1）因发包人原因未能在计划开工日期前7天内下达开工通知的违约责任：</w:t>
      </w:r>
      <w:r>
        <w:rPr>
          <w:rFonts w:hint="eastAsia" w:ascii="Times New Roman" w:hAnsi="Times New Roman" w:eastAsia="仿宋_GB2312"/>
          <w:color w:val="auto"/>
          <w:kern w:val="0"/>
          <w:szCs w:val="24"/>
          <w:highlight w:val="none"/>
          <w:u w:val="single"/>
        </w:rPr>
        <w:t xml:space="preserve"> /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（2）因发包人原因未能按合同约定支付合同价款的违约责任：</w:t>
      </w:r>
      <w:r>
        <w:rPr>
          <w:rFonts w:hint="eastAsia" w:ascii="Times New Roman" w:hAnsi="Times New Roman" w:eastAsia="仿宋_GB2312"/>
          <w:color w:val="auto"/>
          <w:kern w:val="0"/>
          <w:szCs w:val="24"/>
          <w:highlight w:val="none"/>
          <w:u w:val="single"/>
        </w:rPr>
        <w:t xml:space="preserve">     /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（3）发包人违反第10.1款</w:t>
      </w:r>
      <w:r>
        <w:rPr>
          <w:rFonts w:hint="eastAsia" w:ascii="Times New Roman" w:hAnsi="Times New Roman" w:eastAsia="仿宋_GB2312"/>
          <w:color w:val="auto"/>
          <w:kern w:val="0"/>
          <w:szCs w:val="24"/>
          <w:highlight w:val="none"/>
        </w:rPr>
        <w:t>〔</w:t>
      </w:r>
      <w:r>
        <w:rPr>
          <w:rFonts w:ascii="Times New Roman" w:hAnsi="Times New Roman" w:eastAsia="仿宋_GB2312"/>
          <w:color w:val="auto"/>
          <w:kern w:val="0"/>
          <w:szCs w:val="24"/>
          <w:highlight w:val="none"/>
        </w:rPr>
        <w:t>变更的范围</w:t>
      </w:r>
      <w:r>
        <w:rPr>
          <w:rFonts w:hint="eastAsia" w:ascii="Times New Roman" w:hAnsi="Times New Roman" w:eastAsia="仿宋_GB2312"/>
          <w:color w:val="auto"/>
          <w:kern w:val="0"/>
          <w:szCs w:val="24"/>
          <w:highlight w:val="none"/>
        </w:rPr>
        <w:t>〕</w:t>
      </w:r>
      <w:r>
        <w:rPr>
          <w:rFonts w:ascii="Times New Roman" w:hAnsi="Times New Roman" w:eastAsia="仿宋_GB2312"/>
          <w:color w:val="auto"/>
          <w:kern w:val="0"/>
          <w:szCs w:val="24"/>
          <w:highlight w:val="none"/>
        </w:rPr>
        <w:t>第（2）项约定，自行实施被取消的工作或转由他人实施的违约责任：</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（5）因发包人违反合同约定造成暂停施工的违约责任：</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（6）发包人无正当理由没有在约定期限内发出复工指示，导致承包人无法复工的违约责任：</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（7）</w:t>
      </w:r>
      <w:r>
        <w:rPr>
          <w:rFonts w:hint="eastAsia" w:ascii="Times New Roman" w:hAnsi="Times New Roman" w:eastAsia="仿宋_GB2312"/>
          <w:color w:val="auto"/>
          <w:kern w:val="0"/>
          <w:szCs w:val="24"/>
          <w:highlight w:val="none"/>
        </w:rPr>
        <w:t>其他：</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16.1.3 因发包人违约解除合同</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承包人按16.1.1项</w:t>
      </w:r>
      <w:r>
        <w:rPr>
          <w:rFonts w:hint="eastAsia" w:ascii="Times New Roman" w:hAnsi="Times New Roman" w:eastAsia="仿宋_GB2312"/>
          <w:color w:val="auto"/>
          <w:kern w:val="0"/>
          <w:szCs w:val="24"/>
          <w:highlight w:val="none"/>
        </w:rPr>
        <w:t>〔</w:t>
      </w:r>
      <w:r>
        <w:rPr>
          <w:rFonts w:ascii="Times New Roman" w:hAnsi="Times New Roman" w:eastAsia="仿宋_GB2312"/>
          <w:color w:val="auto"/>
          <w:kern w:val="0"/>
          <w:szCs w:val="24"/>
          <w:highlight w:val="none"/>
        </w:rPr>
        <w:t>发包人违约的情形</w:t>
      </w:r>
      <w:r>
        <w:rPr>
          <w:rFonts w:hint="eastAsia" w:ascii="Times New Roman" w:hAnsi="Times New Roman" w:eastAsia="仿宋_GB2312"/>
          <w:color w:val="auto"/>
          <w:kern w:val="0"/>
          <w:szCs w:val="24"/>
          <w:highlight w:val="none"/>
        </w:rPr>
        <w:t>〕</w:t>
      </w:r>
      <w:r>
        <w:rPr>
          <w:rFonts w:ascii="Times New Roman" w:hAnsi="Times New Roman" w:eastAsia="仿宋_GB2312"/>
          <w:color w:val="auto"/>
          <w:kern w:val="0"/>
          <w:szCs w:val="24"/>
          <w:highlight w:val="none"/>
        </w:rPr>
        <w:t>约定暂停施工满</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60</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天后发包人仍不纠正其违约行为并致使合同目的不能实现的，承包人有权解除合同。</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16.2 承包人违约</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16.2.1 承包人违约的情形</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承包人违约的其他情形：</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按通用合同条款执行</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16.2.2承包人违约的责任</w:t>
      </w:r>
    </w:p>
    <w:p>
      <w:pPr>
        <w:ind w:firstLine="420" w:firstLineChars="200"/>
        <w:jc w:val="left"/>
        <w:rPr>
          <w:rFonts w:ascii="Times New Roman" w:hAnsi="Times New Roman" w:eastAsia="仿宋_GB2312"/>
          <w:color w:val="auto"/>
          <w:kern w:val="0"/>
          <w:szCs w:val="24"/>
          <w:highlight w:val="none"/>
          <w:u w:val="single"/>
        </w:rPr>
      </w:pPr>
      <w:r>
        <w:rPr>
          <w:rFonts w:ascii="Times New Roman" w:hAnsi="Times New Roman" w:eastAsia="仿宋_GB2312"/>
          <w:color w:val="auto"/>
          <w:kern w:val="0"/>
          <w:szCs w:val="24"/>
          <w:highlight w:val="none"/>
        </w:rPr>
        <w:t>承包人违约责任的承担方式和计算方法：</w:t>
      </w:r>
    </w:p>
    <w:p>
      <w:pPr>
        <w:ind w:firstLine="420" w:firstLineChars="200"/>
        <w:jc w:val="left"/>
        <w:rPr>
          <w:rFonts w:ascii="Times New Roman" w:hAnsi="Times New Roman" w:eastAsia="仿宋_GB2312"/>
          <w:color w:val="auto"/>
          <w:kern w:val="0"/>
          <w:szCs w:val="24"/>
          <w:highlight w:val="none"/>
          <w:u w:val="single"/>
        </w:rPr>
      </w:pPr>
      <w:r>
        <w:rPr>
          <w:rFonts w:hint="eastAsia" w:ascii="Times New Roman" w:hAnsi="Times New Roman" w:eastAsia="仿宋_GB2312"/>
          <w:color w:val="auto"/>
          <w:kern w:val="0"/>
          <w:szCs w:val="24"/>
          <w:highlight w:val="none"/>
          <w:u w:val="single"/>
        </w:rPr>
        <w:t>如承包人违反本合同约定，以任何形式将本合同部分或全部工作交给第三方完成的，承包人应按该部分工作相应合同价款的30%向发包人支付违约金，发包人有权解除本合同</w:t>
      </w:r>
      <w:r>
        <w:rPr>
          <w:rFonts w:ascii="Times New Roman" w:hAnsi="Times New Roman" w:eastAsia="仿宋_GB2312"/>
          <w:color w:val="auto"/>
          <w:kern w:val="0"/>
          <w:szCs w:val="24"/>
          <w:highlight w:val="none"/>
          <w:u w:val="single"/>
        </w:rPr>
        <w:t>。</w:t>
      </w:r>
    </w:p>
    <w:p>
      <w:pPr>
        <w:ind w:firstLine="420" w:firstLineChars="200"/>
        <w:jc w:val="left"/>
        <w:rPr>
          <w:rFonts w:ascii="Times New Roman" w:hAnsi="Times New Roman" w:eastAsia="仿宋_GB2312"/>
          <w:color w:val="auto"/>
          <w:kern w:val="0"/>
          <w:szCs w:val="24"/>
          <w:highlight w:val="none"/>
          <w:u w:val="single"/>
        </w:rPr>
      </w:pPr>
      <w:r>
        <w:rPr>
          <w:rFonts w:hint="eastAsia" w:ascii="Times New Roman" w:hAnsi="Times New Roman" w:eastAsia="仿宋_GB2312"/>
          <w:color w:val="auto"/>
          <w:kern w:val="0"/>
          <w:szCs w:val="24"/>
          <w:highlight w:val="none"/>
          <w:u w:val="single"/>
        </w:rPr>
        <w:t>对本合同约定应由承包人完成的工作，如承包人拒绝完成或不能按本合同要求完成，发包人有权安排其他单位完成，按所发生的费用从承包人合同价款中扣除。</w:t>
      </w:r>
    </w:p>
    <w:p>
      <w:pPr>
        <w:ind w:firstLine="420" w:firstLineChars="200"/>
        <w:jc w:val="left"/>
        <w:rPr>
          <w:rFonts w:ascii="Times New Roman" w:hAnsi="Times New Roman" w:eastAsia="仿宋_GB2312"/>
          <w:color w:val="auto"/>
          <w:kern w:val="0"/>
          <w:szCs w:val="24"/>
          <w:highlight w:val="none"/>
          <w:u w:val="single"/>
        </w:rPr>
      </w:pPr>
      <w:r>
        <w:rPr>
          <w:rFonts w:hint="eastAsia" w:ascii="Times New Roman" w:hAnsi="Times New Roman" w:eastAsia="仿宋_GB2312"/>
          <w:color w:val="auto"/>
          <w:kern w:val="0"/>
          <w:szCs w:val="24"/>
          <w:highlight w:val="none"/>
          <w:u w:val="single"/>
        </w:rPr>
        <w:t>本工程竣工验收应一次性合格，并达到规定验收标准。若竣工验收时工程未能一次性达到工程质量标准、通过验收的，承包人应按签约合同价的5%向发包人支付违约金。</w:t>
      </w:r>
    </w:p>
    <w:p>
      <w:pPr>
        <w:ind w:firstLine="420" w:firstLineChars="200"/>
        <w:jc w:val="left"/>
        <w:rPr>
          <w:rFonts w:ascii="Times New Roman" w:hAnsi="Times New Roman" w:eastAsia="仿宋_GB2312"/>
          <w:color w:val="auto"/>
          <w:kern w:val="0"/>
          <w:szCs w:val="24"/>
          <w:highlight w:val="none"/>
          <w:u w:val="single"/>
        </w:rPr>
      </w:pPr>
      <w:r>
        <w:rPr>
          <w:rFonts w:hint="eastAsia" w:ascii="Times New Roman" w:hAnsi="Times New Roman" w:eastAsia="仿宋_GB2312"/>
          <w:color w:val="auto"/>
          <w:kern w:val="0"/>
          <w:szCs w:val="24"/>
          <w:highlight w:val="none"/>
          <w:u w:val="single"/>
        </w:rPr>
        <w:t>承包人需按时支付工人劳动报酬，履约期内因承包人原因引起民工闹事的，每次承包人须向发包人支违约金10000元，同时发包人保留解除合同的权利。</w:t>
      </w:r>
    </w:p>
    <w:p>
      <w:pPr>
        <w:ind w:firstLine="420" w:firstLineChars="200"/>
        <w:jc w:val="left"/>
        <w:rPr>
          <w:rFonts w:ascii="Times New Roman" w:hAnsi="Times New Roman" w:eastAsia="仿宋_GB2312"/>
          <w:color w:val="auto"/>
          <w:kern w:val="0"/>
          <w:szCs w:val="24"/>
          <w:highlight w:val="none"/>
          <w:u w:val="single"/>
        </w:rPr>
      </w:pPr>
      <w:r>
        <w:rPr>
          <w:rFonts w:hint="eastAsia" w:ascii="Times New Roman" w:hAnsi="Times New Roman" w:eastAsia="仿宋_GB2312"/>
          <w:color w:val="auto"/>
          <w:kern w:val="0"/>
          <w:szCs w:val="24"/>
          <w:highlight w:val="none"/>
          <w:u w:val="single"/>
        </w:rPr>
        <w:t>发包人有权直接从应付给承包人的任何款项中扣除承包人应付的违约金、赔偿金等所有款项。</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16.2.3 因承包人违约解除合同</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关于承包人违约解除合同的特别约定：</w:t>
      </w:r>
      <w:r>
        <w:rPr>
          <w:rFonts w:ascii="Times New Roman" w:hAnsi="Times New Roman" w:eastAsia="仿宋_GB2312"/>
          <w:color w:val="auto"/>
          <w:kern w:val="0"/>
          <w:szCs w:val="24"/>
          <w:highlight w:val="none"/>
          <w:u w:val="single"/>
        </w:rPr>
        <w:t xml:space="preserve">       </w:t>
      </w:r>
      <w:r>
        <w:rPr>
          <w:rFonts w:hint="eastAsia" w:ascii="Times New Roman" w:hAnsi="Times New Roman" w:eastAsia="仿宋_GB2312"/>
          <w:color w:val="auto"/>
          <w:kern w:val="0"/>
          <w:szCs w:val="24"/>
          <w:highlight w:val="none"/>
          <w:u w:val="single"/>
        </w:rPr>
        <w:t>/</w:t>
      </w:r>
      <w:r>
        <w:rPr>
          <w:rFonts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rPr>
        <w:t>。</w:t>
      </w:r>
    </w:p>
    <w:p>
      <w:pPr>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发包人</w:t>
      </w:r>
      <w:r>
        <w:rPr>
          <w:rFonts w:hint="eastAsia" w:ascii="Times New Roman" w:hAnsi="Times New Roman" w:eastAsia="仿宋_GB2312"/>
          <w:color w:val="auto"/>
          <w:kern w:val="0"/>
          <w:szCs w:val="24"/>
          <w:highlight w:val="none"/>
        </w:rPr>
        <w:t>继续</w:t>
      </w:r>
      <w:r>
        <w:rPr>
          <w:rFonts w:ascii="Times New Roman" w:hAnsi="Times New Roman" w:eastAsia="仿宋_GB2312"/>
          <w:color w:val="auto"/>
          <w:kern w:val="0"/>
          <w:szCs w:val="24"/>
          <w:highlight w:val="none"/>
        </w:rPr>
        <w:t>使用承包人在施工现场的材料、设备、临时工程、承包人文件和由承包人或以其名义编制的其他文件</w:t>
      </w:r>
      <w:r>
        <w:rPr>
          <w:rFonts w:hint="eastAsia" w:ascii="Times New Roman" w:hAnsi="Times New Roman" w:eastAsia="仿宋_GB2312"/>
          <w:color w:val="auto"/>
          <w:kern w:val="0"/>
          <w:szCs w:val="24"/>
          <w:highlight w:val="none"/>
        </w:rPr>
        <w:t>的费用承担方式</w:t>
      </w:r>
      <w:r>
        <w:rPr>
          <w:rFonts w:ascii="Times New Roman" w:hAnsi="Times New Roman" w:eastAsia="仿宋_GB2312"/>
          <w:color w:val="auto"/>
          <w:kern w:val="0"/>
          <w:szCs w:val="24"/>
          <w:highlight w:val="none"/>
        </w:rPr>
        <w:t>：</w:t>
      </w:r>
      <w:r>
        <w:rPr>
          <w:rFonts w:hint="eastAsia" w:ascii="Times New Roman" w:hAnsi="Times New Roman" w:eastAsia="仿宋_GB2312"/>
          <w:color w:val="auto"/>
          <w:kern w:val="0"/>
          <w:szCs w:val="24"/>
          <w:highlight w:val="none"/>
          <w:u w:val="single"/>
        </w:rPr>
        <w:t xml:space="preserve">  </w:t>
      </w:r>
      <w:r>
        <w:rPr>
          <w:rFonts w:ascii="Times New Roman" w:hAnsi="Times New Roman" w:eastAsia="仿宋_GB2312"/>
          <w:color w:val="auto"/>
          <w:kern w:val="0"/>
          <w:szCs w:val="24"/>
          <w:highlight w:val="none"/>
          <w:u w:val="single"/>
        </w:rPr>
        <w:t xml:space="preserve">发包人  </w:t>
      </w:r>
      <w:r>
        <w:rPr>
          <w:rFonts w:hint="eastAsia" w:ascii="Times New Roman" w:hAnsi="Times New Roman" w:eastAsia="仿宋_GB2312"/>
          <w:color w:val="auto"/>
          <w:kern w:val="0"/>
          <w:szCs w:val="24"/>
          <w:highlight w:val="none"/>
        </w:rPr>
        <w:t>。</w:t>
      </w:r>
    </w:p>
    <w:p>
      <w:pPr>
        <w:pStyle w:val="8"/>
        <w:spacing w:before="120" w:after="120" w:line="360" w:lineRule="auto"/>
        <w:rPr>
          <w:rFonts w:ascii="Times New Roman" w:hAnsi="Times New Roman" w:eastAsia="黑体"/>
          <w:b w:val="0"/>
          <w:color w:val="auto"/>
          <w:sz w:val="24"/>
          <w:szCs w:val="24"/>
          <w:highlight w:val="none"/>
        </w:rPr>
      </w:pPr>
      <w:bookmarkStart w:id="1073" w:name="_Toc503261151"/>
      <w:r>
        <w:rPr>
          <w:rFonts w:ascii="Times New Roman" w:hAnsi="Times New Roman" w:eastAsia="黑体"/>
          <w:b w:val="0"/>
          <w:color w:val="auto"/>
          <w:sz w:val="24"/>
          <w:szCs w:val="24"/>
          <w:highlight w:val="none"/>
        </w:rPr>
        <w:t>17. 不可抗力</w:t>
      </w:r>
      <w:bookmarkEnd w:id="1073"/>
      <w:r>
        <w:rPr>
          <w:rFonts w:ascii="Times New Roman" w:hAnsi="Times New Roman" w:eastAsia="黑体"/>
          <w:b w:val="0"/>
          <w:color w:val="auto"/>
          <w:sz w:val="24"/>
          <w:szCs w:val="24"/>
          <w:highlight w:val="none"/>
        </w:rPr>
        <w:t xml:space="preserve"> </w:t>
      </w:r>
      <w:bookmarkEnd w:id="1071"/>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17.1 不可抗力的确认</w:t>
      </w:r>
    </w:p>
    <w:p>
      <w:pPr>
        <w:ind w:firstLine="420" w:firstLineChars="200"/>
        <w:jc w:val="left"/>
        <w:rPr>
          <w:rFonts w:ascii="Times New Roman" w:hAnsi="Times New Roman" w:eastAsia="仿宋_GB2312"/>
          <w:color w:val="auto"/>
          <w:kern w:val="0"/>
          <w:szCs w:val="24"/>
          <w:highlight w:val="none"/>
          <w:u w:val="single"/>
        </w:rPr>
      </w:pPr>
      <w:r>
        <w:rPr>
          <w:rFonts w:ascii="Times New Roman" w:hAnsi="Times New Roman" w:eastAsia="仿宋_GB2312"/>
          <w:color w:val="auto"/>
          <w:szCs w:val="24"/>
          <w:highlight w:val="none"/>
        </w:rPr>
        <w:t>除通用合同条款约定的不可抗力事件之外，视为不可抗力的其他情形：</w:t>
      </w:r>
      <w:r>
        <w:rPr>
          <w:rFonts w:ascii="Times New Roman" w:hAnsi="Times New Roman" w:eastAsia="仿宋_GB2312"/>
          <w:color w:val="auto"/>
          <w:kern w:val="0"/>
          <w:szCs w:val="24"/>
          <w:highlight w:val="none"/>
          <w:u w:val="single"/>
        </w:rPr>
        <w:t xml:space="preserve"> / </w:t>
      </w:r>
      <w:r>
        <w:rPr>
          <w:rFonts w:ascii="Times New Roman" w:hAnsi="Times New Roman" w:eastAsia="仿宋_GB2312"/>
          <w:color w:val="auto"/>
          <w:kern w:val="0"/>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17.4 因不可抗力解除合同</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合同解除后，发包人应在商定或确定发包人应支付款项后</w:t>
      </w:r>
      <w:r>
        <w:rPr>
          <w:rFonts w:hint="eastAsia" w:ascii="Times New Roman" w:hAnsi="Times New Roman" w:eastAsia="仿宋_GB2312"/>
          <w:color w:val="auto"/>
          <w:szCs w:val="24"/>
          <w:highlight w:val="none"/>
          <w:u w:val="single"/>
        </w:rPr>
        <w:t>按学校付款周期执行</w:t>
      </w:r>
      <w:r>
        <w:rPr>
          <w:rFonts w:ascii="Times New Roman" w:hAnsi="Times New Roman" w:eastAsia="仿宋_GB2312"/>
          <w:color w:val="auto"/>
          <w:szCs w:val="24"/>
          <w:highlight w:val="none"/>
        </w:rPr>
        <w:t>天内完成款项的支付。</w:t>
      </w:r>
    </w:p>
    <w:p>
      <w:pPr>
        <w:pStyle w:val="8"/>
        <w:spacing w:before="120" w:after="120" w:line="360" w:lineRule="auto"/>
        <w:rPr>
          <w:rFonts w:ascii="Times New Roman" w:hAnsi="Times New Roman" w:eastAsia="黑体"/>
          <w:b w:val="0"/>
          <w:color w:val="auto"/>
          <w:sz w:val="24"/>
          <w:szCs w:val="24"/>
          <w:highlight w:val="none"/>
        </w:rPr>
      </w:pPr>
      <w:bookmarkStart w:id="1074" w:name="_Toc503261152"/>
      <w:r>
        <w:rPr>
          <w:rFonts w:ascii="Times New Roman" w:hAnsi="Times New Roman" w:eastAsia="黑体"/>
          <w:b w:val="0"/>
          <w:color w:val="auto"/>
          <w:sz w:val="24"/>
          <w:szCs w:val="24"/>
          <w:highlight w:val="none"/>
        </w:rPr>
        <w:t>18. 保险</w:t>
      </w:r>
      <w:bookmarkEnd w:id="1074"/>
      <w:r>
        <w:rPr>
          <w:rFonts w:hint="eastAsia" w:ascii="Times New Roman" w:hAnsi="Times New Roman" w:eastAsia="黑体"/>
          <w:b w:val="0"/>
          <w:color w:val="auto"/>
          <w:sz w:val="24"/>
          <w:szCs w:val="24"/>
          <w:highlight w:val="none"/>
        </w:rPr>
        <w:t>（略）</w:t>
      </w:r>
    </w:p>
    <w:bookmarkEnd w:id="1054"/>
    <w:bookmarkEnd w:id="1055"/>
    <w:bookmarkEnd w:id="1056"/>
    <w:bookmarkEnd w:id="1057"/>
    <w:bookmarkEnd w:id="1058"/>
    <w:bookmarkEnd w:id="1059"/>
    <w:bookmarkEnd w:id="1060"/>
    <w:bookmarkEnd w:id="1061"/>
    <w:bookmarkEnd w:id="1062"/>
    <w:bookmarkEnd w:id="1063"/>
    <w:bookmarkEnd w:id="1064"/>
    <w:bookmarkEnd w:id="1065"/>
    <w:bookmarkEnd w:id="1072"/>
    <w:p>
      <w:pPr>
        <w:pStyle w:val="8"/>
        <w:spacing w:before="120" w:after="120" w:line="360" w:lineRule="auto"/>
        <w:rPr>
          <w:rFonts w:ascii="Times New Roman" w:hAnsi="Times New Roman" w:eastAsia="黑体"/>
          <w:b w:val="0"/>
          <w:color w:val="auto"/>
          <w:sz w:val="24"/>
          <w:szCs w:val="24"/>
          <w:highlight w:val="none"/>
        </w:rPr>
      </w:pPr>
      <w:bookmarkStart w:id="1075" w:name="_Toc503261153"/>
      <w:r>
        <w:rPr>
          <w:rFonts w:ascii="Times New Roman" w:hAnsi="Times New Roman" w:eastAsia="黑体"/>
          <w:b w:val="0"/>
          <w:color w:val="auto"/>
          <w:sz w:val="24"/>
          <w:szCs w:val="24"/>
          <w:highlight w:val="none"/>
        </w:rPr>
        <w:t>20. 争议解决</w:t>
      </w:r>
      <w:bookmarkEnd w:id="1075"/>
    </w:p>
    <w:bookmarkEnd w:id="1066"/>
    <w:bookmarkEnd w:id="1067"/>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20.3 争</w:t>
      </w:r>
      <w:bookmarkEnd w:id="1068"/>
      <w:r>
        <w:rPr>
          <w:rFonts w:ascii="Times New Roman" w:hAnsi="Times New Roman" w:eastAsia="黑体"/>
          <w:color w:val="auto"/>
          <w:szCs w:val="24"/>
          <w:highlight w:val="none"/>
        </w:rPr>
        <w:t>议评审</w:t>
      </w:r>
    </w:p>
    <w:p>
      <w:pPr>
        <w:ind w:left="149" w:leftChars="71" w:firstLine="315" w:firstLineChars="15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合同当事人是否同意将工程争议提交争议评审小组决</w:t>
      </w:r>
      <w:r>
        <w:rPr>
          <w:rFonts w:hint="eastAsia" w:ascii="Times New Roman" w:hAnsi="Times New Roman" w:eastAsia="仿宋_GB2312"/>
          <w:color w:val="auto"/>
          <w:szCs w:val="24"/>
          <w:highlight w:val="none"/>
        </w:rPr>
        <w:t>定：</w:t>
      </w:r>
      <w:r>
        <w:rPr>
          <w:rFonts w:hint="eastAsia" w:ascii="Times New Roman" w:hAnsi="Times New Roman" w:eastAsia="仿宋_GB2312"/>
          <w:color w:val="auto"/>
          <w:szCs w:val="24"/>
          <w:highlight w:val="none"/>
          <w:u w:val="single"/>
        </w:rPr>
        <w:t xml:space="preserve"> / </w:t>
      </w:r>
      <w:r>
        <w:rPr>
          <w:rFonts w:hint="eastAsia"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20.3.1 争议评审小组的确定</w:t>
      </w:r>
    </w:p>
    <w:p>
      <w:pPr>
        <w:ind w:firstLine="420" w:firstLineChars="200"/>
        <w:jc w:val="left"/>
        <w:rPr>
          <w:rFonts w:ascii="Times New Roman" w:hAnsi="Times New Roman" w:eastAsia="仿宋_GB2312"/>
          <w:color w:val="auto"/>
          <w:szCs w:val="24"/>
          <w:highlight w:val="none"/>
          <w:u w:val="single"/>
        </w:rPr>
      </w:pPr>
      <w:r>
        <w:rPr>
          <w:rFonts w:ascii="Times New Roman" w:hAnsi="Times New Roman" w:eastAsia="仿宋_GB2312"/>
          <w:color w:val="auto"/>
          <w:szCs w:val="24"/>
          <w:highlight w:val="none"/>
        </w:rPr>
        <w:t>争议评审小组成员的确定：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选定争议评审员的期限：</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争议评审小组成员的报酬承担方式：</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其他事项的约定：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autoSpaceDE w:val="0"/>
        <w:autoSpaceDN w:val="0"/>
        <w:adjustRightInd w:val="0"/>
        <w:ind w:firstLine="420" w:firstLineChars="200"/>
        <w:jc w:val="left"/>
        <w:rPr>
          <w:rFonts w:ascii="Times New Roman" w:hAnsi="Times New Roman" w:eastAsia="仿宋_GB2312"/>
          <w:color w:val="auto"/>
          <w:kern w:val="0"/>
          <w:szCs w:val="24"/>
          <w:highlight w:val="none"/>
        </w:rPr>
      </w:pPr>
      <w:r>
        <w:rPr>
          <w:rFonts w:ascii="Times New Roman" w:hAnsi="Times New Roman" w:eastAsia="仿宋_GB2312"/>
          <w:color w:val="auto"/>
          <w:kern w:val="0"/>
          <w:szCs w:val="24"/>
          <w:highlight w:val="none"/>
        </w:rPr>
        <w:t>20.3.2 争议评审小组的决定</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合同当事人关于本项的约定：</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w:t>
      </w:r>
    </w:p>
    <w:p>
      <w:pPr>
        <w:spacing w:after="120"/>
        <w:ind w:firstLine="420" w:firstLineChars="200"/>
        <w:rPr>
          <w:rFonts w:ascii="Times New Roman" w:hAnsi="Times New Roman" w:eastAsia="黑体"/>
          <w:color w:val="auto"/>
          <w:szCs w:val="24"/>
          <w:highlight w:val="none"/>
        </w:rPr>
      </w:pPr>
      <w:r>
        <w:rPr>
          <w:rFonts w:ascii="Times New Roman" w:hAnsi="Times New Roman" w:eastAsia="黑体"/>
          <w:color w:val="auto"/>
          <w:szCs w:val="24"/>
          <w:highlight w:val="none"/>
        </w:rPr>
        <w:t>20.4仲裁或诉讼</w:t>
      </w:r>
      <w:bookmarkEnd w:id="1069"/>
    </w:p>
    <w:p>
      <w:pPr>
        <w:spacing w:after="120"/>
        <w:ind w:firstLine="420" w:firstLineChars="200"/>
        <w:rPr>
          <w:rFonts w:ascii="Times New Roman" w:hAnsi="Times New Roman" w:eastAsia="黑体"/>
          <w:color w:val="auto"/>
          <w:szCs w:val="24"/>
          <w:highlight w:val="none"/>
        </w:rPr>
      </w:pPr>
      <w:r>
        <w:rPr>
          <w:rFonts w:ascii="Times New Roman" w:hAnsi="Times New Roman" w:eastAsia="仿宋_GB2312"/>
          <w:color w:val="auto"/>
          <w:szCs w:val="24"/>
          <w:highlight w:val="none"/>
        </w:rPr>
        <w:t>因合同及合同有关事项发生的争议，按下列第</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2</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种方式</w:t>
      </w:r>
      <w:r>
        <w:rPr>
          <w:rFonts w:hint="eastAsia" w:ascii="Times New Roman" w:hAnsi="Times New Roman" w:eastAsia="仿宋_GB2312"/>
          <w:color w:val="auto"/>
          <w:szCs w:val="24"/>
          <w:highlight w:val="none"/>
        </w:rPr>
        <w:t>解</w:t>
      </w:r>
      <w:r>
        <w:rPr>
          <w:rFonts w:ascii="Times New Roman" w:hAnsi="Times New Roman" w:eastAsia="仿宋_GB2312"/>
          <w:color w:val="auto"/>
          <w:szCs w:val="24"/>
          <w:highlight w:val="none"/>
        </w:rPr>
        <w:t>决：</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（1）向</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仲裁委员会申请仲裁；</w:t>
      </w:r>
    </w:p>
    <w:p>
      <w:pPr>
        <w:ind w:firstLine="420" w:firstLineChars="200"/>
        <w:jc w:val="left"/>
        <w:rPr>
          <w:rFonts w:ascii="Times New Roman" w:hAnsi="Times New Roman" w:eastAsia="仿宋_GB2312"/>
          <w:color w:val="auto"/>
          <w:szCs w:val="24"/>
          <w:highlight w:val="none"/>
        </w:rPr>
      </w:pPr>
      <w:r>
        <w:rPr>
          <w:rFonts w:ascii="Times New Roman" w:hAnsi="Times New Roman" w:eastAsia="仿宋_GB2312"/>
          <w:color w:val="auto"/>
          <w:szCs w:val="24"/>
          <w:highlight w:val="none"/>
        </w:rPr>
        <w:t>（2）向</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u w:val="single"/>
        </w:rPr>
        <w:t xml:space="preserve">  </w:t>
      </w:r>
      <w:r>
        <w:rPr>
          <w:rFonts w:hint="eastAsia" w:ascii="Times New Roman" w:hAnsi="Times New Roman" w:eastAsia="仿宋_GB2312"/>
          <w:color w:val="auto"/>
          <w:szCs w:val="24"/>
          <w:highlight w:val="none"/>
          <w:u w:val="single"/>
        </w:rPr>
        <w:t xml:space="preserve">原告住所地    </w:t>
      </w:r>
      <w:r>
        <w:rPr>
          <w:rFonts w:ascii="Times New Roman" w:hAnsi="Times New Roman" w:eastAsia="仿宋_GB2312"/>
          <w:color w:val="auto"/>
          <w:szCs w:val="24"/>
          <w:highlight w:val="none"/>
          <w:u w:val="single"/>
        </w:rPr>
        <w:t xml:space="preserve">  </w:t>
      </w:r>
      <w:r>
        <w:rPr>
          <w:rFonts w:ascii="Times New Roman" w:hAnsi="Times New Roman" w:eastAsia="仿宋_GB2312"/>
          <w:color w:val="auto"/>
          <w:szCs w:val="24"/>
          <w:highlight w:val="none"/>
        </w:rPr>
        <w:t>人民法院起诉。</w:t>
      </w:r>
    </w:p>
    <w:p>
      <w:pPr>
        <w:pStyle w:val="466"/>
        <w:ind w:firstLine="422" w:firstLineChars="200"/>
        <w:rPr>
          <w:rFonts w:ascii="Times New Roman" w:hAnsi="Times New Roman" w:eastAsia="仿宋_GB2312"/>
          <w:color w:val="auto"/>
          <w:szCs w:val="24"/>
          <w:highlight w:val="none"/>
        </w:rPr>
        <w:sectPr>
          <w:pgSz w:w="11907" w:h="16839"/>
          <w:pgMar w:top="1928" w:right="1531" w:bottom="1871" w:left="1531" w:header="1148" w:footer="709" w:gutter="0"/>
          <w:cols w:space="720" w:num="1"/>
          <w:docGrid w:linePitch="360" w:charSpace="0"/>
        </w:sectPr>
      </w:pPr>
      <w:r>
        <w:rPr>
          <w:rFonts w:hint="eastAsia" w:ascii="黑体" w:hAnsi="黑体" w:eastAsia="黑体" w:cs="宋体"/>
          <w:b/>
          <w:bCs/>
          <w:color w:val="auto"/>
          <w:highlight w:val="none"/>
        </w:rPr>
        <w:t>附件</w:t>
      </w:r>
      <w:r>
        <w:rPr>
          <w:rFonts w:ascii="Times New Roman" w:hAnsi="Times New Roman" w:eastAsia="仿宋_GB2312"/>
          <w:color w:val="auto"/>
          <w:szCs w:val="24"/>
          <w:highlight w:val="none"/>
        </w:rPr>
        <w:t>。</w:t>
      </w:r>
      <w:bookmarkEnd w:id="545"/>
      <w:bookmarkEnd w:id="546"/>
      <w:bookmarkEnd w:id="547"/>
      <w:bookmarkEnd w:id="548"/>
      <w:bookmarkEnd w:id="549"/>
      <w:bookmarkEnd w:id="550"/>
    </w:p>
    <w:p>
      <w:pPr>
        <w:autoSpaceDE w:val="0"/>
        <w:autoSpaceDN w:val="0"/>
        <w:adjustRightInd w:val="0"/>
        <w:jc w:val="center"/>
        <w:rPr>
          <w:rFonts w:ascii="黑体" w:hAnsi="黑体" w:eastAsia="黑体" w:cs="font3-Identity-H"/>
          <w:b/>
          <w:color w:val="auto"/>
          <w:kern w:val="0"/>
          <w:sz w:val="32"/>
          <w:szCs w:val="32"/>
          <w:highlight w:val="none"/>
        </w:rPr>
      </w:pPr>
      <w:r>
        <w:rPr>
          <w:rFonts w:hint="eastAsia" w:ascii="黑体" w:hAnsi="黑体" w:eastAsia="黑体" w:cs="font3-Identity-H"/>
          <w:b/>
          <w:color w:val="auto"/>
          <w:kern w:val="0"/>
          <w:sz w:val="32"/>
          <w:szCs w:val="32"/>
          <w:highlight w:val="none"/>
        </w:rPr>
        <w:t>哈尔滨工业大学总务处工程施工现场管理办法</w:t>
      </w:r>
    </w:p>
    <w:p>
      <w:pPr>
        <w:autoSpaceDE w:val="0"/>
        <w:autoSpaceDN w:val="0"/>
        <w:adjustRightInd w:val="0"/>
        <w:ind w:firstLine="2108" w:firstLineChars="1000"/>
        <w:jc w:val="left"/>
        <w:rPr>
          <w:rFonts w:ascii="仿宋" w:hAnsi="仿宋" w:eastAsia="仿宋" w:cs="font3-Identity-H"/>
          <w:b/>
          <w:color w:val="auto"/>
          <w:kern w:val="0"/>
          <w:szCs w:val="24"/>
          <w:highlight w:val="none"/>
        </w:rPr>
      </w:pPr>
      <w:r>
        <w:rPr>
          <w:rFonts w:hint="eastAsia" w:ascii="仿宋" w:hAnsi="仿宋" w:eastAsia="仿宋" w:cs="font3-Identity-H"/>
          <w:b/>
          <w:color w:val="auto"/>
          <w:kern w:val="0"/>
          <w:szCs w:val="24"/>
          <w:highlight w:val="none"/>
        </w:rPr>
        <w:t>第一章</w:t>
      </w:r>
      <w:r>
        <w:rPr>
          <w:rFonts w:ascii="仿宋" w:hAnsi="仿宋" w:eastAsia="仿宋" w:cs="font3-Identity-H"/>
          <w:b/>
          <w:color w:val="auto"/>
          <w:kern w:val="0"/>
          <w:szCs w:val="24"/>
          <w:highlight w:val="none"/>
        </w:rPr>
        <w:t xml:space="preserve"> </w:t>
      </w:r>
      <w:r>
        <w:rPr>
          <w:rFonts w:hint="eastAsia" w:ascii="仿宋" w:hAnsi="仿宋" w:eastAsia="仿宋" w:cs="font3-Identity-H"/>
          <w:b/>
          <w:color w:val="auto"/>
          <w:kern w:val="0"/>
          <w:szCs w:val="24"/>
          <w:highlight w:val="none"/>
        </w:rPr>
        <w:t>总则</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为严控大修工程质量，确保施工安全、严格执行施工进度，总务处决定加强对施工单位的全方位监管，对施工各环节进行全过程管理并予以客观评价。</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现根据《中华人民共和国安全生产法》《</w:t>
      </w:r>
      <w:r>
        <w:rPr>
          <w:rFonts w:ascii="仿宋" w:hAnsi="仿宋" w:eastAsia="仿宋" w:cs="宋体"/>
          <w:color w:val="auto"/>
          <w:kern w:val="0"/>
          <w:szCs w:val="24"/>
          <w:highlight w:val="none"/>
        </w:rPr>
        <w:t>中华人民共和国建筑法</w:t>
      </w:r>
      <w:r>
        <w:rPr>
          <w:rFonts w:hint="eastAsia" w:ascii="仿宋" w:hAnsi="仿宋" w:eastAsia="仿宋" w:cs="font3-Identity-H"/>
          <w:color w:val="auto"/>
          <w:kern w:val="0"/>
          <w:szCs w:val="24"/>
          <w:highlight w:val="none"/>
        </w:rPr>
        <w:t>》《</w:t>
      </w:r>
      <w:r>
        <w:rPr>
          <w:rFonts w:ascii="仿宋" w:hAnsi="仿宋" w:eastAsia="仿宋" w:cs="宋体"/>
          <w:color w:val="auto"/>
          <w:kern w:val="0"/>
          <w:szCs w:val="24"/>
          <w:highlight w:val="none"/>
        </w:rPr>
        <w:t>中华人民共和国环境保护法</w:t>
      </w:r>
      <w:r>
        <w:rPr>
          <w:rFonts w:hint="eastAsia" w:ascii="仿宋" w:hAnsi="仿宋" w:eastAsia="仿宋" w:cs="font3-Identity-H"/>
          <w:color w:val="auto"/>
          <w:kern w:val="0"/>
          <w:szCs w:val="24"/>
          <w:highlight w:val="none"/>
        </w:rPr>
        <w:t>》《</w:t>
      </w:r>
      <w:r>
        <w:rPr>
          <w:rFonts w:ascii="仿宋" w:hAnsi="仿宋" w:eastAsia="仿宋" w:cs="宋体"/>
          <w:color w:val="auto"/>
          <w:kern w:val="0"/>
          <w:szCs w:val="24"/>
          <w:highlight w:val="none"/>
        </w:rPr>
        <w:t>中华人民共和国环境噪声污染防治法</w:t>
      </w:r>
      <w:r>
        <w:rPr>
          <w:rFonts w:hint="eastAsia" w:ascii="仿宋" w:hAnsi="仿宋" w:eastAsia="仿宋" w:cs="font3-Identity-H"/>
          <w:color w:val="auto"/>
          <w:kern w:val="0"/>
          <w:szCs w:val="24"/>
          <w:highlight w:val="none"/>
        </w:rPr>
        <w:t>》《</w:t>
      </w:r>
      <w:r>
        <w:rPr>
          <w:rFonts w:ascii="仿宋" w:hAnsi="仿宋" w:eastAsia="仿宋" w:cs="宋体"/>
          <w:color w:val="auto"/>
          <w:kern w:val="0"/>
          <w:szCs w:val="24"/>
          <w:highlight w:val="none"/>
        </w:rPr>
        <w:t>中华人民共和国</w:t>
      </w:r>
      <w:r>
        <w:rPr>
          <w:rFonts w:hint="eastAsia" w:ascii="仿宋" w:hAnsi="仿宋" w:eastAsia="仿宋" w:cs="宋体"/>
          <w:color w:val="auto"/>
          <w:kern w:val="0"/>
          <w:szCs w:val="24"/>
          <w:highlight w:val="none"/>
        </w:rPr>
        <w:t>消防法</w:t>
      </w:r>
      <w:r>
        <w:rPr>
          <w:rFonts w:hint="eastAsia" w:ascii="仿宋" w:hAnsi="仿宋" w:eastAsia="仿宋" w:cs="font3-Identity-H"/>
          <w:color w:val="auto"/>
          <w:kern w:val="0"/>
          <w:szCs w:val="24"/>
          <w:highlight w:val="none"/>
        </w:rPr>
        <w:t>》</w:t>
      </w:r>
      <w:r>
        <w:rPr>
          <w:rFonts w:hint="eastAsia" w:ascii="仿宋" w:hAnsi="仿宋" w:eastAsia="仿宋" w:cs="Arial"/>
          <w:color w:val="auto"/>
          <w:kern w:val="0"/>
          <w:szCs w:val="24"/>
          <w:highlight w:val="none"/>
        </w:rPr>
        <w:t>《中华人民共和国消防条例实施细则》</w:t>
      </w:r>
      <w:r>
        <w:rPr>
          <w:rFonts w:hint="eastAsia" w:ascii="仿宋" w:hAnsi="仿宋" w:eastAsia="仿宋" w:cs="font3-Identity-H"/>
          <w:color w:val="auto"/>
          <w:kern w:val="0"/>
          <w:szCs w:val="24"/>
          <w:highlight w:val="none"/>
        </w:rPr>
        <w:t>等法律法规要求，结合我校发展建设规划、师生校园生活习惯的客观实际，制订本管理办法（以下简称《办法》）。</w:t>
      </w:r>
    </w:p>
    <w:p>
      <w:pPr>
        <w:autoSpaceDE w:val="0"/>
        <w:autoSpaceDN w:val="0"/>
        <w:adjustRightInd w:val="0"/>
        <w:ind w:firstLine="1887" w:firstLineChars="895"/>
        <w:jc w:val="left"/>
        <w:rPr>
          <w:rFonts w:ascii="仿宋" w:hAnsi="仿宋" w:eastAsia="仿宋" w:cs="font3-Identity-H"/>
          <w:b/>
          <w:color w:val="auto"/>
          <w:kern w:val="0"/>
          <w:szCs w:val="24"/>
          <w:highlight w:val="none"/>
        </w:rPr>
      </w:pPr>
      <w:r>
        <w:rPr>
          <w:rFonts w:hint="eastAsia" w:ascii="仿宋" w:hAnsi="仿宋" w:eastAsia="仿宋" w:cs="font3-Identity-H"/>
          <w:b/>
          <w:color w:val="auto"/>
          <w:kern w:val="0"/>
          <w:szCs w:val="24"/>
          <w:highlight w:val="none"/>
        </w:rPr>
        <w:t>第二章施工组织要求</w:t>
      </w:r>
    </w:p>
    <w:p>
      <w:pPr>
        <w:ind w:firstLine="420" w:firstLineChars="200"/>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第一条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施工单位进场前应按照学校保卫处要求、在规定时限内办理消防、占道报备审批手续，凭相关手续到总务处工程管理部取得开工通知单后方可开工。</w:t>
      </w:r>
    </w:p>
    <w:p>
      <w:pPr>
        <w:ind w:firstLine="420" w:firstLineChars="200"/>
        <w:rPr>
          <w:rFonts w:ascii="仿宋" w:hAnsi="仿宋" w:eastAsia="仿宋"/>
          <w:color w:val="auto"/>
          <w:szCs w:val="24"/>
          <w:highlight w:val="none"/>
        </w:rPr>
      </w:pPr>
      <w:bookmarkStart w:id="1076" w:name="_Toc167227973"/>
      <w:bookmarkStart w:id="1077" w:name="_Toc167230847"/>
      <w:bookmarkStart w:id="1078" w:name="_Toc167230366"/>
      <w:r>
        <w:rPr>
          <w:rFonts w:hint="eastAsia" w:ascii="仿宋" w:hAnsi="仿宋" w:eastAsia="仿宋"/>
          <w:color w:val="auto"/>
          <w:szCs w:val="24"/>
          <w:highlight w:val="none"/>
        </w:rPr>
        <w:t>第二条</w:t>
      </w:r>
      <w:r>
        <w:rPr>
          <w:rFonts w:ascii="仿宋" w:hAnsi="仿宋" w:eastAsia="仿宋"/>
          <w:color w:val="auto"/>
          <w:szCs w:val="24"/>
          <w:highlight w:val="none"/>
        </w:rPr>
        <w:t xml:space="preserve"> </w:t>
      </w:r>
      <w:r>
        <w:rPr>
          <w:rFonts w:hint="eastAsia" w:ascii="仿宋" w:hAnsi="仿宋" w:eastAsia="仿宋"/>
          <w:color w:val="auto"/>
          <w:szCs w:val="24"/>
          <w:highlight w:val="none"/>
        </w:rPr>
        <w:t>施工单位需向总务处工程管理部提供</w:t>
      </w:r>
      <w:bookmarkEnd w:id="1076"/>
      <w:bookmarkEnd w:id="1077"/>
      <w:bookmarkEnd w:id="1078"/>
      <w:r>
        <w:rPr>
          <w:rFonts w:hint="eastAsia" w:ascii="仿宋" w:hAnsi="仿宋" w:eastAsia="仿宋"/>
          <w:color w:val="auto"/>
          <w:szCs w:val="24"/>
          <w:highlight w:val="none"/>
        </w:rPr>
        <w:t>项目组织架构、企业资质、营业执照、安全生产许可证、质量保证体系、安全保证体系、管理人员名单及上岗证原件、特殊工种人员名单及上岗证、项目经理技术负责人的法人授权书备案，以及管理人员分工及联系方式、部分劳务人员分工及联系方式等招标文件及施工合同所要求提供的一切备案资料。</w:t>
      </w:r>
    </w:p>
    <w:p>
      <w:pPr>
        <w:pStyle w:val="524"/>
        <w:ind w:firstLine="480" w:firstLineChars="200"/>
        <w:outlineLvl w:val="2"/>
        <w:rPr>
          <w:rFonts w:ascii="仿宋" w:hAnsi="仿宋" w:eastAsia="仿宋"/>
          <w:color w:val="auto"/>
          <w:sz w:val="24"/>
          <w:szCs w:val="24"/>
          <w:highlight w:val="none"/>
        </w:rPr>
      </w:pPr>
      <w:r>
        <w:rPr>
          <w:rFonts w:hint="eastAsia" w:ascii="仿宋" w:hAnsi="仿宋" w:eastAsia="仿宋"/>
          <w:color w:val="auto"/>
          <w:sz w:val="24"/>
          <w:szCs w:val="24"/>
          <w:highlight w:val="none"/>
        </w:rPr>
        <w:t>第三条</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施工单位进场后必需在开工前提交《施工组织设计》。内容需含以下专项措施：质量保证措施、施工安全技术措施、文明施工方案、安全防火保证措施、环境保护措施、民工权益保障措施、</w:t>
      </w:r>
      <w:r>
        <w:rPr>
          <w:rStyle w:val="525"/>
          <w:rFonts w:hint="eastAsia" w:ascii="仿宋" w:hAnsi="仿宋" w:eastAsia="仿宋"/>
          <w:color w:val="auto"/>
          <w:szCs w:val="24"/>
          <w:highlight w:val="none"/>
        </w:rPr>
        <w:t>应急救援预案等专项方案和措施。《施工组织设计》审批合格后方可开工。</w:t>
      </w:r>
    </w:p>
    <w:p>
      <w:pPr>
        <w:pStyle w:val="524"/>
        <w:ind w:firstLine="480" w:firstLineChars="200"/>
        <w:outlineLvl w:val="2"/>
        <w:rPr>
          <w:rFonts w:ascii="仿宋" w:hAnsi="仿宋" w:eastAsia="仿宋"/>
          <w:color w:val="auto"/>
          <w:sz w:val="24"/>
          <w:szCs w:val="24"/>
          <w:highlight w:val="none"/>
        </w:rPr>
      </w:pPr>
      <w:r>
        <w:rPr>
          <w:rFonts w:hint="eastAsia" w:ascii="仿宋" w:hAnsi="仿宋" w:eastAsia="仿宋"/>
          <w:color w:val="auto"/>
          <w:sz w:val="24"/>
          <w:szCs w:val="24"/>
          <w:highlight w:val="none"/>
        </w:rPr>
        <w:t>第四条</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施工单位派驻现场的施工管理人员，包括项目经理、技术负责人、技术员、安全员、内业资料管理员等，须与投标文件约定的项目组织架构人员相符。一旦出现违规情形，学校将视具体情况按合同约定对施工单位予以处罚或终止合同。</w:t>
      </w:r>
    </w:p>
    <w:p>
      <w:pPr>
        <w:ind w:firstLine="420" w:firstLineChars="200"/>
        <w:rPr>
          <w:rFonts w:ascii="仿宋" w:hAnsi="仿宋" w:eastAsia="仿宋"/>
          <w:color w:val="auto"/>
          <w:szCs w:val="24"/>
          <w:highlight w:val="none"/>
        </w:rPr>
      </w:pPr>
      <w:r>
        <w:rPr>
          <w:rFonts w:hint="eastAsia" w:ascii="仿宋" w:hAnsi="仿宋" w:eastAsia="仿宋"/>
          <w:color w:val="auto"/>
          <w:szCs w:val="24"/>
          <w:highlight w:val="none"/>
        </w:rPr>
        <w:t>第五条</w:t>
      </w:r>
      <w:r>
        <w:rPr>
          <w:rFonts w:ascii="仿宋" w:hAnsi="仿宋" w:eastAsia="仿宋"/>
          <w:color w:val="auto"/>
          <w:szCs w:val="24"/>
          <w:highlight w:val="none"/>
        </w:rPr>
        <w:t xml:space="preserve"> </w:t>
      </w:r>
      <w:r>
        <w:rPr>
          <w:rFonts w:hint="eastAsia" w:ascii="仿宋" w:hAnsi="仿宋" w:eastAsia="仿宋"/>
          <w:color w:val="auto"/>
          <w:szCs w:val="24"/>
          <w:highlight w:val="none"/>
        </w:rPr>
        <w:t>对确因不可抗力因素发生人员变更的情况，施工单位应提前报告总务处工程管理部。施工单位需填写《施工单位项目管理人员变更申请</w:t>
      </w:r>
      <w:r>
        <w:rPr>
          <w:rFonts w:ascii="仿宋" w:hAnsi="仿宋" w:eastAsia="仿宋"/>
          <w:color w:val="auto"/>
          <w:szCs w:val="24"/>
          <w:highlight w:val="none"/>
        </w:rPr>
        <w:t>/批复表》并在规定时限内报送至总务处工程管理部。报送时，需附随报送以下资料：</w:t>
      </w:r>
    </w:p>
    <w:p>
      <w:pPr>
        <w:ind w:firstLine="210" w:firstLineChars="100"/>
        <w:rPr>
          <w:rFonts w:ascii="仿宋" w:hAnsi="仿宋" w:eastAsia="仿宋"/>
          <w:color w:val="auto"/>
          <w:szCs w:val="24"/>
          <w:highlight w:val="none"/>
        </w:rPr>
      </w:pPr>
      <w:r>
        <w:rPr>
          <w:rFonts w:ascii="仿宋" w:hAnsi="仿宋" w:eastAsia="仿宋"/>
          <w:color w:val="auto"/>
          <w:szCs w:val="24"/>
          <w:highlight w:val="none"/>
        </w:rPr>
        <w:t>1.合同约定的管理人员以及拟变更人员名单。</w:t>
      </w:r>
    </w:p>
    <w:p>
      <w:pPr>
        <w:ind w:firstLine="210" w:firstLineChars="100"/>
        <w:rPr>
          <w:rFonts w:ascii="仿宋" w:hAnsi="仿宋" w:eastAsia="仿宋"/>
          <w:color w:val="auto"/>
          <w:szCs w:val="24"/>
          <w:highlight w:val="none"/>
        </w:rPr>
      </w:pPr>
      <w:r>
        <w:rPr>
          <w:rFonts w:ascii="仿宋" w:hAnsi="仿宋" w:eastAsia="仿宋"/>
          <w:color w:val="auto"/>
          <w:szCs w:val="24"/>
          <w:highlight w:val="none"/>
        </w:rPr>
        <w:t>2拟变更人员的学历、经历、经验等证明材料（有效上岗证件、执业资格证件等原件及复印件，随时根据总务处要求提交备查）。</w:t>
      </w:r>
    </w:p>
    <w:p>
      <w:pPr>
        <w:ind w:firstLine="420" w:firstLineChars="200"/>
        <w:rPr>
          <w:rFonts w:ascii="仿宋" w:hAnsi="仿宋" w:eastAsia="仿宋"/>
          <w:color w:val="auto"/>
          <w:szCs w:val="24"/>
          <w:highlight w:val="none"/>
        </w:rPr>
      </w:pPr>
      <w:r>
        <w:rPr>
          <w:rFonts w:hint="eastAsia" w:ascii="仿宋" w:hAnsi="仿宋" w:eastAsia="仿宋"/>
          <w:color w:val="auto"/>
          <w:szCs w:val="24"/>
          <w:highlight w:val="none"/>
        </w:rPr>
        <w:t>第六条</w:t>
      </w:r>
      <w:r>
        <w:rPr>
          <w:rFonts w:ascii="仿宋" w:hAnsi="仿宋" w:eastAsia="仿宋"/>
          <w:color w:val="auto"/>
          <w:szCs w:val="24"/>
          <w:highlight w:val="none"/>
        </w:rPr>
        <w:t xml:space="preserve"> </w:t>
      </w:r>
      <w:r>
        <w:rPr>
          <w:rFonts w:hint="eastAsia" w:ascii="仿宋" w:hAnsi="仿宋" w:eastAsia="仿宋"/>
          <w:color w:val="auto"/>
          <w:szCs w:val="24"/>
          <w:highlight w:val="none"/>
        </w:rPr>
        <w:t>总承包单位负责各专业工程承包人相互之间的配合与协调工作、竣工资料的归档整理。总承包施工单位如需建设单位提供必要的信息或其它协助的，要提前以书面形式向建设单位提出申请。</w:t>
      </w:r>
    </w:p>
    <w:p>
      <w:pPr>
        <w:ind w:firstLine="420" w:firstLineChars="200"/>
        <w:rPr>
          <w:rFonts w:ascii="仿宋" w:hAnsi="仿宋" w:eastAsia="仿宋"/>
          <w:color w:val="auto"/>
          <w:szCs w:val="24"/>
          <w:highlight w:val="none"/>
        </w:rPr>
      </w:pPr>
      <w:r>
        <w:rPr>
          <w:rFonts w:hint="eastAsia" w:ascii="仿宋" w:hAnsi="仿宋" w:eastAsia="仿宋"/>
          <w:color w:val="auto"/>
          <w:szCs w:val="24"/>
          <w:highlight w:val="none"/>
        </w:rPr>
        <w:t>第七条</w:t>
      </w:r>
      <w:r>
        <w:rPr>
          <w:rFonts w:ascii="仿宋" w:hAnsi="仿宋" w:eastAsia="仿宋"/>
          <w:color w:val="auto"/>
          <w:szCs w:val="24"/>
          <w:highlight w:val="none"/>
        </w:rPr>
        <w:t xml:space="preserve"> </w:t>
      </w:r>
      <w:r>
        <w:rPr>
          <w:rFonts w:hint="eastAsia" w:ascii="仿宋" w:hAnsi="仿宋" w:eastAsia="仿宋"/>
          <w:color w:val="auto"/>
          <w:szCs w:val="24"/>
          <w:highlight w:val="none"/>
        </w:rPr>
        <w:t>对建设单位直接发包、不属于总承包单位承包范围内的专业工程项目，总承包单位须无条件全力配合施工。如因总承包单位不配合，造成对工程进度、施工质量等产生影响的、给学校造成经济或名誉损失的情况，学校将视具体情形予以严厉处罚。</w:t>
      </w:r>
    </w:p>
    <w:p>
      <w:pPr>
        <w:ind w:firstLine="420" w:firstLineChars="200"/>
        <w:rPr>
          <w:rFonts w:ascii="仿宋" w:hAnsi="仿宋" w:eastAsia="仿宋" w:cs="font3-Identity-H"/>
          <w:color w:val="auto"/>
          <w:kern w:val="0"/>
          <w:szCs w:val="24"/>
          <w:highlight w:val="none"/>
        </w:rPr>
      </w:pPr>
      <w:r>
        <w:rPr>
          <w:rFonts w:hint="eastAsia" w:ascii="仿宋" w:hAnsi="仿宋" w:eastAsia="仿宋"/>
          <w:color w:val="auto"/>
          <w:szCs w:val="24"/>
          <w:highlight w:val="none"/>
        </w:rPr>
        <w:t>第八条</w:t>
      </w:r>
      <w:r>
        <w:rPr>
          <w:rFonts w:hint="eastAsia" w:ascii="仿宋" w:hAnsi="仿宋" w:eastAsia="仿宋" w:cs="font3-Identity-H"/>
          <w:color w:val="auto"/>
          <w:kern w:val="0"/>
          <w:szCs w:val="24"/>
          <w:highlight w:val="none"/>
        </w:rPr>
        <w:t>施工环境要整洁、有序、卫生。有办公条件的在办公室需悬挂安全、质量等规章制度、岗位职责制度、项目部组织成员结构图、工程计划进度表。</w:t>
      </w:r>
      <w:r>
        <w:rPr>
          <w:rFonts w:hint="eastAsia" w:ascii="仿宋" w:hAnsi="仿宋" w:eastAsia="仿宋" w:cs="font2-Identity-H"/>
          <w:color w:val="auto"/>
          <w:kern w:val="0"/>
          <w:szCs w:val="24"/>
          <w:highlight w:val="none"/>
        </w:rPr>
        <w:t>第九条</w:t>
      </w:r>
      <w:r>
        <w:rPr>
          <w:rFonts w:hint="eastAsia" w:ascii="仿宋" w:hAnsi="仿宋" w:eastAsia="仿宋" w:cs="font3-Identity-H"/>
          <w:color w:val="auto"/>
          <w:kern w:val="0"/>
          <w:szCs w:val="24"/>
          <w:highlight w:val="none"/>
        </w:rPr>
        <w:t>施工场地按学校要求搭设统一规格围挡。</w:t>
      </w:r>
      <w:r>
        <w:rPr>
          <w:rFonts w:ascii="仿宋" w:hAnsi="仿宋" w:eastAsia="仿宋"/>
          <w:color w:val="auto"/>
          <w:szCs w:val="24"/>
          <w:highlight w:val="none"/>
        </w:rPr>
        <w:t>围挡</w:t>
      </w:r>
      <w:r>
        <w:rPr>
          <w:rFonts w:hint="eastAsia" w:ascii="仿宋" w:hAnsi="仿宋" w:eastAsia="仿宋"/>
          <w:color w:val="auto"/>
          <w:szCs w:val="24"/>
          <w:highlight w:val="none"/>
        </w:rPr>
        <w:t>应</w:t>
      </w:r>
      <w:r>
        <w:rPr>
          <w:rFonts w:ascii="仿宋" w:hAnsi="仿宋" w:eastAsia="仿宋"/>
          <w:color w:val="auto"/>
          <w:szCs w:val="24"/>
          <w:highlight w:val="none"/>
        </w:rPr>
        <w:t>坚固、稳定，</w:t>
      </w:r>
      <w:r>
        <w:rPr>
          <w:rFonts w:hint="eastAsia" w:ascii="仿宋" w:hAnsi="仿宋" w:eastAsia="仿宋"/>
          <w:color w:val="auto"/>
          <w:szCs w:val="24"/>
          <w:highlight w:val="none"/>
        </w:rPr>
        <w:t>须</w:t>
      </w:r>
      <w:r>
        <w:rPr>
          <w:rFonts w:ascii="仿宋" w:hAnsi="仿宋" w:eastAsia="仿宋"/>
          <w:color w:val="auto"/>
          <w:szCs w:val="24"/>
          <w:highlight w:val="none"/>
        </w:rPr>
        <w:t>进行抗风计算</w:t>
      </w:r>
      <w:r>
        <w:rPr>
          <w:rFonts w:hint="eastAsia" w:ascii="仿宋" w:hAnsi="仿宋" w:eastAsia="仿宋"/>
          <w:color w:val="auto"/>
          <w:szCs w:val="24"/>
          <w:highlight w:val="none"/>
        </w:rPr>
        <w:t>，围挡上</w:t>
      </w:r>
      <w:r>
        <w:rPr>
          <w:rFonts w:ascii="仿宋" w:hAnsi="仿宋" w:eastAsia="仿宋"/>
          <w:color w:val="auto"/>
          <w:szCs w:val="24"/>
          <w:highlight w:val="none"/>
        </w:rPr>
        <w:t>设置红</w:t>
      </w:r>
      <w:r>
        <w:rPr>
          <w:rFonts w:hint="eastAsia" w:ascii="仿宋" w:hAnsi="仿宋" w:eastAsia="仿宋"/>
          <w:color w:val="auto"/>
          <w:szCs w:val="24"/>
          <w:highlight w:val="none"/>
        </w:rPr>
        <w:t>色警示灯。</w:t>
      </w:r>
      <w:r>
        <w:rPr>
          <w:rFonts w:ascii="仿宋" w:hAnsi="仿宋" w:eastAsia="仿宋"/>
          <w:color w:val="auto"/>
          <w:szCs w:val="24"/>
          <w:highlight w:val="none"/>
        </w:rPr>
        <w:t>不</w:t>
      </w:r>
      <w:r>
        <w:rPr>
          <w:rFonts w:hint="eastAsia" w:ascii="仿宋" w:hAnsi="仿宋" w:eastAsia="仿宋"/>
          <w:color w:val="auto"/>
          <w:szCs w:val="24"/>
          <w:highlight w:val="none"/>
        </w:rPr>
        <w:t>准使用</w:t>
      </w:r>
      <w:r>
        <w:rPr>
          <w:rFonts w:ascii="仿宋" w:hAnsi="仿宋" w:eastAsia="仿宋"/>
          <w:color w:val="auto"/>
          <w:szCs w:val="24"/>
          <w:highlight w:val="none"/>
        </w:rPr>
        <w:t>彩条布、</w:t>
      </w:r>
      <w:r>
        <w:rPr>
          <w:rFonts w:hint="eastAsia" w:ascii="仿宋" w:hAnsi="仿宋" w:eastAsia="仿宋"/>
          <w:color w:val="auto"/>
          <w:szCs w:val="24"/>
          <w:highlight w:val="none"/>
        </w:rPr>
        <w:t>彩色钢板</w:t>
      </w:r>
      <w:r>
        <w:rPr>
          <w:rFonts w:ascii="仿宋" w:hAnsi="仿宋" w:eastAsia="仿宋"/>
          <w:color w:val="auto"/>
          <w:szCs w:val="24"/>
          <w:highlight w:val="none"/>
        </w:rPr>
        <w:t>、</w:t>
      </w:r>
      <w:r>
        <w:rPr>
          <w:rFonts w:hint="eastAsia" w:ascii="仿宋" w:hAnsi="仿宋" w:eastAsia="仿宋"/>
          <w:color w:val="auto"/>
          <w:szCs w:val="24"/>
          <w:highlight w:val="none"/>
        </w:rPr>
        <w:t>密目网等作为围挡材料</w:t>
      </w:r>
      <w:r>
        <w:rPr>
          <w:rFonts w:ascii="仿宋" w:hAnsi="仿宋" w:eastAsia="仿宋"/>
          <w:color w:val="auto"/>
          <w:szCs w:val="24"/>
          <w:highlight w:val="none"/>
        </w:rPr>
        <w:t>。施工区</w:t>
      </w:r>
      <w:r>
        <w:rPr>
          <w:rFonts w:hint="eastAsia" w:ascii="仿宋" w:hAnsi="仿宋" w:eastAsia="仿宋"/>
          <w:color w:val="auto"/>
          <w:szCs w:val="24"/>
          <w:highlight w:val="none"/>
        </w:rPr>
        <w:t>及</w:t>
      </w:r>
      <w:r>
        <w:rPr>
          <w:rFonts w:ascii="仿宋" w:hAnsi="仿宋" w:eastAsia="仿宋"/>
          <w:color w:val="auto"/>
          <w:szCs w:val="24"/>
          <w:highlight w:val="none"/>
        </w:rPr>
        <w:t>生活区</w:t>
      </w:r>
      <w:r>
        <w:rPr>
          <w:rFonts w:hint="eastAsia" w:ascii="仿宋" w:hAnsi="仿宋" w:eastAsia="仿宋"/>
          <w:color w:val="auto"/>
          <w:szCs w:val="24"/>
          <w:highlight w:val="none"/>
        </w:rPr>
        <w:t>的</w:t>
      </w:r>
      <w:r>
        <w:rPr>
          <w:rFonts w:ascii="仿宋" w:hAnsi="仿宋" w:eastAsia="仿宋"/>
          <w:color w:val="auto"/>
          <w:szCs w:val="24"/>
          <w:highlight w:val="none"/>
        </w:rPr>
        <w:t>围</w:t>
      </w:r>
      <w:r>
        <w:rPr>
          <w:rFonts w:hint="eastAsia" w:ascii="仿宋" w:hAnsi="仿宋" w:eastAsia="仿宋"/>
          <w:color w:val="auto"/>
          <w:szCs w:val="24"/>
          <w:highlight w:val="none"/>
        </w:rPr>
        <w:t>档高度</w:t>
      </w:r>
      <w:r>
        <w:rPr>
          <w:rFonts w:ascii="仿宋" w:hAnsi="仿宋" w:eastAsia="仿宋"/>
          <w:color w:val="auto"/>
          <w:szCs w:val="24"/>
          <w:highlight w:val="none"/>
        </w:rPr>
        <w:t>不</w:t>
      </w:r>
      <w:r>
        <w:rPr>
          <w:rFonts w:hint="eastAsia" w:ascii="仿宋" w:hAnsi="仿宋" w:eastAsia="仿宋"/>
          <w:color w:val="auto"/>
          <w:szCs w:val="24"/>
          <w:highlight w:val="none"/>
        </w:rPr>
        <w:t>得</w:t>
      </w:r>
      <w:r>
        <w:rPr>
          <w:rFonts w:ascii="仿宋" w:hAnsi="仿宋" w:eastAsia="仿宋"/>
          <w:color w:val="auto"/>
          <w:szCs w:val="24"/>
          <w:highlight w:val="none"/>
        </w:rPr>
        <w:t>低于2.2m-2.5m，其他地方不</w:t>
      </w:r>
      <w:r>
        <w:rPr>
          <w:rFonts w:hint="eastAsia" w:ascii="仿宋" w:hAnsi="仿宋" w:eastAsia="仿宋"/>
          <w:color w:val="auto"/>
          <w:szCs w:val="24"/>
          <w:highlight w:val="none"/>
        </w:rPr>
        <w:t>得</w:t>
      </w:r>
      <w:r>
        <w:rPr>
          <w:rFonts w:ascii="仿宋" w:hAnsi="仿宋" w:eastAsia="仿宋"/>
          <w:color w:val="auto"/>
          <w:szCs w:val="24"/>
          <w:highlight w:val="none"/>
        </w:rPr>
        <w:t>低于1.8m-2.0m。围挡立柱</w:t>
      </w:r>
      <w:r>
        <w:rPr>
          <w:rFonts w:hint="eastAsia" w:ascii="仿宋" w:hAnsi="仿宋" w:eastAsia="仿宋"/>
          <w:color w:val="auto"/>
          <w:szCs w:val="24"/>
          <w:highlight w:val="none"/>
        </w:rPr>
        <w:t>宽度为</w:t>
      </w:r>
      <w:r>
        <w:rPr>
          <w:rFonts w:ascii="仿宋" w:hAnsi="仿宋" w:eastAsia="仿宋"/>
          <w:color w:val="auto"/>
          <w:szCs w:val="24"/>
          <w:highlight w:val="none"/>
        </w:rPr>
        <w:t>2.5m-3.0m。施工单位</w:t>
      </w:r>
      <w:r>
        <w:rPr>
          <w:rFonts w:hint="eastAsia" w:ascii="仿宋" w:hAnsi="仿宋" w:eastAsia="仿宋"/>
          <w:color w:val="auto"/>
          <w:szCs w:val="24"/>
          <w:highlight w:val="none"/>
        </w:rPr>
        <w:t>要</w:t>
      </w:r>
      <w:r>
        <w:rPr>
          <w:rFonts w:ascii="仿宋" w:hAnsi="仿宋" w:eastAsia="仿宋"/>
          <w:color w:val="auto"/>
          <w:szCs w:val="24"/>
          <w:highlight w:val="none"/>
        </w:rPr>
        <w:t>定期进行检查</w:t>
      </w:r>
      <w:r>
        <w:rPr>
          <w:rFonts w:hint="eastAsia" w:ascii="仿宋" w:hAnsi="仿宋" w:eastAsia="仿宋"/>
          <w:color w:val="auto"/>
          <w:szCs w:val="24"/>
          <w:highlight w:val="none"/>
        </w:rPr>
        <w:t>维护</w:t>
      </w:r>
      <w:r>
        <w:rPr>
          <w:rFonts w:ascii="仿宋" w:hAnsi="仿宋" w:eastAsia="仿宋"/>
          <w:color w:val="auto"/>
          <w:szCs w:val="24"/>
          <w:highlight w:val="none"/>
        </w:rPr>
        <w:t>，出现开裂、沉降、倾斜等险情时，应立即采取相应加固措施。</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第十条施工现场根据实际情况选择适当位置悬挂工程“五图一牌”和安全警示标语。</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第十一条材料分类存放要求：</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1.</w:t>
      </w:r>
      <w:r>
        <w:rPr>
          <w:rFonts w:hint="eastAsia" w:ascii="仿宋" w:hAnsi="仿宋" w:eastAsia="仿宋" w:cs="font3-Identity-H"/>
          <w:color w:val="auto"/>
          <w:kern w:val="0"/>
          <w:szCs w:val="24"/>
          <w:highlight w:val="none"/>
        </w:rPr>
        <w:t>钢材、水泥、装饰材料、木质半成品，要做好防尘、防潮覆盖措施。</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2.</w:t>
      </w:r>
      <w:r>
        <w:rPr>
          <w:rFonts w:hint="eastAsia" w:ascii="仿宋" w:hAnsi="仿宋" w:eastAsia="仿宋" w:cs="font3-Identity-H"/>
          <w:color w:val="auto"/>
          <w:kern w:val="0"/>
          <w:szCs w:val="24"/>
          <w:highlight w:val="none"/>
        </w:rPr>
        <w:t>材料堆放区要设立醒目标识牌，规格齐全，按施工场地实际情况，设防排水设施。</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2-Identity-H"/>
          <w:color w:val="auto"/>
          <w:kern w:val="0"/>
          <w:szCs w:val="24"/>
          <w:highlight w:val="none"/>
        </w:rPr>
        <w:t>第十二条施工单位需按时参加每周召开一次监理例会。监理例会由监理单位组织，总务处工程管理部工程师、施工单位项目经理等相关人员参加。</w:t>
      </w:r>
    </w:p>
    <w:p>
      <w:pPr>
        <w:jc w:val="center"/>
        <w:rPr>
          <w:rFonts w:ascii="仿宋" w:hAnsi="仿宋" w:eastAsia="仿宋" w:cs="Arial"/>
          <w:b/>
          <w:color w:val="auto"/>
          <w:kern w:val="0"/>
          <w:szCs w:val="24"/>
          <w:highlight w:val="none"/>
        </w:rPr>
      </w:pPr>
      <w:r>
        <w:rPr>
          <w:rFonts w:hint="eastAsia" w:ascii="仿宋" w:hAnsi="仿宋" w:eastAsia="仿宋" w:cs="font3-Identity-H"/>
          <w:b/>
          <w:color w:val="auto"/>
          <w:kern w:val="0"/>
          <w:szCs w:val="24"/>
          <w:highlight w:val="none"/>
        </w:rPr>
        <w:t>第三章</w:t>
      </w:r>
      <w:r>
        <w:rPr>
          <w:rFonts w:hint="eastAsia" w:ascii="仿宋" w:hAnsi="仿宋" w:eastAsia="仿宋" w:cs="Arial"/>
          <w:b/>
          <w:color w:val="auto"/>
          <w:kern w:val="0"/>
          <w:szCs w:val="24"/>
          <w:highlight w:val="none"/>
        </w:rPr>
        <w:t>施工现场防火安全要求</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font3-Identity-H"/>
          <w:color w:val="auto"/>
          <w:kern w:val="0"/>
          <w:szCs w:val="24"/>
          <w:highlight w:val="none"/>
        </w:rPr>
        <w:t>第十三条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根据《</w:t>
      </w:r>
      <w:r>
        <w:rPr>
          <w:rFonts w:ascii="仿宋" w:hAnsi="仿宋" w:eastAsia="仿宋" w:cs="宋体"/>
          <w:color w:val="auto"/>
          <w:kern w:val="0"/>
          <w:szCs w:val="24"/>
          <w:highlight w:val="none"/>
        </w:rPr>
        <w:t>中华人民共和国</w:t>
      </w:r>
      <w:r>
        <w:rPr>
          <w:rFonts w:hint="eastAsia" w:ascii="仿宋" w:hAnsi="仿宋" w:eastAsia="仿宋" w:cs="宋体"/>
          <w:color w:val="auto"/>
          <w:kern w:val="0"/>
          <w:szCs w:val="24"/>
          <w:highlight w:val="none"/>
        </w:rPr>
        <w:t>消防法</w:t>
      </w:r>
      <w:r>
        <w:rPr>
          <w:rFonts w:hint="eastAsia" w:ascii="仿宋" w:hAnsi="仿宋" w:eastAsia="仿宋" w:cs="font3-Identity-H"/>
          <w:color w:val="auto"/>
          <w:kern w:val="0"/>
          <w:szCs w:val="24"/>
          <w:highlight w:val="none"/>
        </w:rPr>
        <w:t>》</w:t>
      </w:r>
      <w:r>
        <w:rPr>
          <w:rFonts w:hint="eastAsia" w:ascii="仿宋" w:hAnsi="仿宋" w:eastAsia="仿宋" w:cs="Arial"/>
          <w:color w:val="auto"/>
          <w:kern w:val="0"/>
          <w:szCs w:val="24"/>
          <w:highlight w:val="none"/>
        </w:rPr>
        <w:t>《中华人民共和国消防条例实施细则》相关要求，施工现场的消防工作应遵照国家有关法律、法规开展消防安全工作。</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第十四条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施工单位项目负责人应全面负责施工现场的防火安全工作。</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第十五条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施工现场进场前要建立严格、健全的防火检查制度，对可能出现的火险隐患，必须在开工前整理《隐患自查清单及防范措施》并报送总务处工程管理部审批</w:t>
      </w:r>
      <w:r>
        <w:rPr>
          <w:rFonts w:ascii="仿宋" w:hAnsi="仿宋" w:eastAsia="仿宋" w:cs="Arial"/>
          <w:color w:val="auto"/>
          <w:kern w:val="0"/>
          <w:szCs w:val="24"/>
          <w:highlight w:val="none"/>
        </w:rPr>
        <w:t>,审批通过后方可开工。</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第十六条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施工现场要有明显的防火宣传标志。要定期组织消防安全教育培训，根据施工周期，每月不少于一次。施工单位编制的施工组织设计、施工总平面图、施工方法和施工技术均要符合消防安全要求，要形成消防应急预案。施工现场如发生火警、火灾，应立即启动消防应急预案，同时逐级上报并组织力量扑救。</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第十七条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施工现场必须配备足够的消防器材，做到布局合理。要害部位应配备不少于</w:t>
      </w:r>
      <w:r>
        <w:rPr>
          <w:rFonts w:ascii="仿宋" w:hAnsi="仿宋" w:eastAsia="仿宋" w:cs="Arial"/>
          <w:color w:val="auto"/>
          <w:kern w:val="0"/>
          <w:szCs w:val="24"/>
          <w:highlight w:val="none"/>
        </w:rPr>
        <w:t>4具灭火器，要有明显的防火标志，指定专人经常检查、维护、保养、定期更新，保证灭火器材灵敏有效。施工现场夜间必须设有照明设备，并要安排力量加强值班巡逻。</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第十八条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施工现场必须设置临时消防通道。其消防车道的宽度不应小于</w:t>
      </w:r>
      <w:r>
        <w:rPr>
          <w:rFonts w:ascii="仿宋" w:hAnsi="仿宋" w:eastAsia="仿宋" w:cs="Arial"/>
          <w:color w:val="auto"/>
          <w:kern w:val="0"/>
          <w:szCs w:val="24"/>
          <w:highlight w:val="none"/>
        </w:rPr>
        <w:t>4m</w:t>
      </w:r>
      <w:r>
        <w:rPr>
          <w:rFonts w:hint="eastAsia" w:ascii="仿宋" w:hAnsi="仿宋" w:eastAsia="仿宋" w:cs="Arial"/>
          <w:color w:val="auto"/>
          <w:kern w:val="0"/>
          <w:szCs w:val="24"/>
          <w:highlight w:val="none"/>
        </w:rPr>
        <w:t>，并保证临时消防通道的畅通，禁止在临时消防通道上堆物、堆料或挤占临时消防车道。</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第十九条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开工前施工现场消防设施必须配备齐全，施工现场占地面积达到</w:t>
      </w:r>
      <w:r>
        <w:rPr>
          <w:rFonts w:ascii="仿宋" w:hAnsi="仿宋" w:eastAsia="仿宋" w:cs="Arial"/>
          <w:color w:val="auto"/>
          <w:kern w:val="0"/>
          <w:szCs w:val="24"/>
          <w:highlight w:val="none"/>
        </w:rPr>
        <w:t>1000㎡的，应敷设好室外临时消防水管、消防栓砂箱等消防设施。</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施工现场临时用电，必须严格执行《施工现场电气安全管理规定》，加强电气、电源、电力线路管理，防止发生电气火灾、触电等安全事故。施工现场存放易燃、可燃材料的库房、木工加工场所、油漆配料房和防水作业场所不得使用明露高热强光源灯具。</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第二十一条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电焊工、气焊工从事电气设备安装和电、气焊切割作业，必须持有有效操作证和用火证。用火前，要对易燃、可燃物清除，采取隔离等措施，配备专职安全人员和灭火器具，作业后必须确认无火源隐患后方可离去。用火证当日有效，用火地点变换，要重新办理用火证手续。</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第二十二条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氧气瓶、乙炔瓶，工作间距不得小于</w:t>
      </w:r>
      <w:r>
        <w:rPr>
          <w:rFonts w:ascii="仿宋" w:hAnsi="仿宋" w:eastAsia="仿宋" w:cs="Arial"/>
          <w:color w:val="auto"/>
          <w:kern w:val="0"/>
          <w:szCs w:val="24"/>
          <w:highlight w:val="none"/>
        </w:rPr>
        <w:t>5m，两瓶与明火作业距离不得小于10m。建筑工程室内禁止氧气瓶、乙炔瓶存放，室外存放要符合消防安全规定。气焊作业禁止使用液化石油气“钢瓶”。</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第二十三条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施工材料的存放、使用应符合防火要求。库房应采用非燃材料搭设。易燃易爆物品必须有严格的防火措施，应专库储存，分类单独存放，保持通风，配备灭火器材，指定防火负责人，确保施工安全。不准在施工现场的室内、人员经常出入的场所等范围内进行调配油漆、烯料。</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第二十四条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不准在高压架空线下面搭设临时性建筑物或堆放可燃物品。施工现场的房间内不准作为仓库使用，不准存放易燃、可燃材料，因施工需要进入现场内的可燃材料，要根据工程计划限量进入并采取可靠的防火措施。废弃材料应及时清除。</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第二十五条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施工现场严禁吸烟。不得在施工现场范围内设置宿舍和生活区，不得使用纯电阻类用电器。严禁工程中明火保温施工及宿舍内明火取暖。</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第二十六条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从事油漆粉刷或防水等危险作业时，要有具体的防火要求，必须派专职安全员看护。</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第二十七条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生活区的设置必须符合消防管理规定。严禁使用可燃材料搭设，宿舍内不得卧床吸烟，房间内住</w:t>
      </w:r>
      <w:r>
        <w:rPr>
          <w:rFonts w:ascii="仿宋" w:hAnsi="仿宋" w:eastAsia="仿宋" w:cs="Arial"/>
          <w:color w:val="auto"/>
          <w:kern w:val="0"/>
          <w:szCs w:val="24"/>
          <w:highlight w:val="none"/>
        </w:rPr>
        <w:t>20人以上必须设置不少于两处的安全门；居住100人以上时，要有消防安全通道及人员疏散预案。</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第二十八条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生活区的用电要符合防火安全规定。用火前要经保卫处检查审批，食堂使用的燃料必须符合安全使用规定，用火点和燃料不能在同一房间内，使用时要有专人管理，停火时要将总开关关闭，经常检查有无泄漏。</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第二十九条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施工现场应明确划分用火作业区，如易燃可燃材料堆场、仓库、易燃废品集中站严谨使用明火作业。施工现场的动火作业，必须根据不同等级执行审批制度。</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ascii="仿宋" w:hAnsi="仿宋" w:eastAsia="仿宋" w:cs="Arial"/>
          <w:color w:val="auto"/>
          <w:kern w:val="0"/>
          <w:szCs w:val="24"/>
          <w:highlight w:val="none"/>
        </w:rPr>
        <w:t>1.一级动火作业应由施工单位安全负责人填写动火申请表，编制安全技术措施方案，报公司安全部门、监理单位总工审查批准后方可动火。动火期限为1天。</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凡属下列情况之一的属一级动火作业：</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禁火区域内，贮存可燃气体、易燃气体的容器以及连接在一起的辅助设备，各种受压设备，危险性较大的登高焊、割作业，比较密封的室内、容器内、地下室等场所，堆有大量可燃和易燃材料的场所。</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ascii="仿宋" w:hAnsi="仿宋" w:eastAsia="仿宋" w:cs="Arial"/>
          <w:color w:val="auto"/>
          <w:kern w:val="0"/>
          <w:szCs w:val="24"/>
          <w:highlight w:val="none"/>
        </w:rPr>
        <w:t>2.二级动火作业由施工单位安全负责人填写动火申请表，编制安全技术措施方案，报项目经理、总监理工程师审查批准后，方可动火。动火期限为1天。</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二级动火作业：</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在具有一定危险因素的非禁火区域内进行临时焊、割等作业，无明显危险因素的场所进行用火作业，登高焊、割作业。</w:t>
      </w:r>
    </w:p>
    <w:p>
      <w:pPr>
        <w:rPr>
          <w:rFonts w:ascii="仿宋" w:hAnsi="仿宋" w:eastAsia="仿宋" w:cs="Arial"/>
          <w:b/>
          <w:color w:val="auto"/>
          <w:kern w:val="0"/>
          <w:szCs w:val="24"/>
          <w:highlight w:val="none"/>
        </w:rPr>
      </w:pPr>
      <w:r>
        <w:rPr>
          <w:rFonts w:ascii="仿宋" w:hAnsi="仿宋" w:eastAsia="仿宋" w:cs="Arial"/>
          <w:b/>
          <w:color w:val="auto"/>
          <w:kern w:val="0"/>
          <w:szCs w:val="24"/>
          <w:highlight w:val="none"/>
        </w:rPr>
        <w:t xml:space="preserve">                    第四章 附则</w:t>
      </w:r>
    </w:p>
    <w:p>
      <w:pPr>
        <w:autoSpaceDE w:val="0"/>
        <w:autoSpaceDN w:val="0"/>
        <w:adjustRightInd w:val="0"/>
        <w:ind w:firstLine="420" w:firstLineChars="20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第三十条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在施工过程中如有违反上述规定的视情节，</w:t>
      </w:r>
    </w:p>
    <w:p>
      <w:pPr>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按《</w:t>
      </w:r>
      <w:r>
        <w:rPr>
          <w:rFonts w:hint="eastAsia" w:ascii="仿宋" w:hAnsi="仿宋" w:eastAsia="仿宋" w:cs="font3-Identity-H"/>
          <w:color w:val="auto"/>
          <w:kern w:val="0"/>
          <w:szCs w:val="24"/>
          <w:highlight w:val="none"/>
        </w:rPr>
        <w:t>总务处修缮工程施工现场管理细则</w:t>
      </w:r>
      <w:r>
        <w:rPr>
          <w:rFonts w:hint="eastAsia" w:ascii="仿宋" w:hAnsi="仿宋" w:eastAsia="仿宋" w:cs="Arial"/>
          <w:color w:val="auto"/>
          <w:kern w:val="0"/>
          <w:szCs w:val="24"/>
          <w:highlight w:val="none"/>
        </w:rPr>
        <w:t>》处罚。</w:t>
      </w:r>
    </w:p>
    <w:p>
      <w:pPr>
        <w:autoSpaceDE w:val="0"/>
        <w:autoSpaceDN w:val="0"/>
        <w:adjustRightInd w:val="0"/>
        <w:ind w:firstLine="420" w:firstLineChars="200"/>
        <w:jc w:val="left"/>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第三十一条</w:t>
      </w:r>
      <w:r>
        <w:rPr>
          <w:rFonts w:ascii="仿宋" w:hAnsi="仿宋" w:eastAsia="仿宋" w:cs="Arial"/>
          <w:color w:val="auto"/>
          <w:kern w:val="0"/>
          <w:szCs w:val="24"/>
          <w:highlight w:val="none"/>
        </w:rPr>
        <w:t xml:space="preserve"> </w:t>
      </w:r>
      <w:r>
        <w:rPr>
          <w:rFonts w:hint="eastAsia" w:ascii="仿宋" w:hAnsi="仿宋" w:eastAsia="仿宋" w:cs="Arial"/>
          <w:color w:val="auto"/>
          <w:kern w:val="0"/>
          <w:szCs w:val="24"/>
          <w:highlight w:val="none"/>
        </w:rPr>
        <w:t>本办法自颁布之日起执行，未尽事宜由总务处工程管理部负责解释。</w:t>
      </w:r>
    </w:p>
    <w:p>
      <w:pPr>
        <w:pStyle w:val="466"/>
        <w:ind w:firstLine="420" w:firstLineChars="200"/>
        <w:rPr>
          <w:rFonts w:ascii="Times New Roman" w:hAnsi="Times New Roman" w:eastAsia="仿宋_GB2312"/>
          <w:color w:val="auto"/>
          <w:szCs w:val="24"/>
          <w:highlight w:val="none"/>
        </w:rPr>
        <w:sectPr>
          <w:pgSz w:w="11907" w:h="16839"/>
          <w:pgMar w:top="1928" w:right="1531" w:bottom="1871" w:left="1531" w:header="1148" w:footer="709" w:gutter="0"/>
          <w:cols w:space="720" w:num="1"/>
          <w:docGrid w:linePitch="360" w:charSpace="0"/>
        </w:sectPr>
      </w:pPr>
    </w:p>
    <w:p>
      <w:pPr>
        <w:autoSpaceDE w:val="0"/>
        <w:autoSpaceDN w:val="0"/>
        <w:adjustRightInd w:val="0"/>
        <w:jc w:val="center"/>
        <w:rPr>
          <w:rFonts w:ascii="黑体" w:hAnsi="黑体" w:eastAsia="黑体" w:cs="font3-Identity-H"/>
          <w:b/>
          <w:color w:val="auto"/>
          <w:kern w:val="0"/>
          <w:sz w:val="40"/>
          <w:szCs w:val="32"/>
          <w:highlight w:val="none"/>
        </w:rPr>
      </w:pPr>
      <w:r>
        <w:rPr>
          <w:rFonts w:hint="eastAsia" w:ascii="黑体" w:hAnsi="黑体" w:eastAsia="黑体" w:cs="font3-Identity-H"/>
          <w:b/>
          <w:color w:val="auto"/>
          <w:kern w:val="0"/>
          <w:sz w:val="40"/>
          <w:szCs w:val="32"/>
          <w:highlight w:val="none"/>
        </w:rPr>
        <w:t>哈尔滨工业大学总务处工程施工现场</w:t>
      </w:r>
    </w:p>
    <w:p>
      <w:pPr>
        <w:autoSpaceDE w:val="0"/>
        <w:autoSpaceDN w:val="0"/>
        <w:adjustRightInd w:val="0"/>
        <w:jc w:val="center"/>
        <w:rPr>
          <w:rFonts w:ascii="黑体" w:hAnsi="黑体" w:eastAsia="黑体" w:cs="font3-Identity-H"/>
          <w:b/>
          <w:color w:val="auto"/>
          <w:kern w:val="0"/>
          <w:sz w:val="40"/>
          <w:szCs w:val="32"/>
          <w:highlight w:val="none"/>
        </w:rPr>
      </w:pPr>
      <w:r>
        <w:rPr>
          <w:rFonts w:hint="eastAsia" w:ascii="黑体" w:hAnsi="黑体" w:eastAsia="黑体" w:cs="font3-Identity-H"/>
          <w:b/>
          <w:color w:val="auto"/>
          <w:kern w:val="0"/>
          <w:sz w:val="40"/>
          <w:szCs w:val="32"/>
          <w:highlight w:val="none"/>
        </w:rPr>
        <w:t>管理细则</w:t>
      </w:r>
    </w:p>
    <w:p>
      <w:pPr>
        <w:autoSpaceDE w:val="0"/>
        <w:autoSpaceDN w:val="0"/>
        <w:adjustRightInd w:val="0"/>
        <w:ind w:firstLine="420" w:firstLineChars="200"/>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为严控大修工程质量，确保施工安全、严格执行施工进度，总务处决定加强对施工单位的全方位监管，对施工各环节进行全过程管理并予以客观评价，特制订本细则。</w:t>
      </w:r>
    </w:p>
    <w:p>
      <w:pPr>
        <w:autoSpaceDE w:val="0"/>
        <w:autoSpaceDN w:val="0"/>
        <w:adjustRightInd w:val="0"/>
        <w:jc w:val="center"/>
        <w:rPr>
          <w:rFonts w:ascii="仿宋" w:hAnsi="仿宋" w:eastAsia="仿宋" w:cs="font2-Identity-H"/>
          <w:color w:val="auto"/>
          <w:kern w:val="0"/>
          <w:szCs w:val="24"/>
          <w:highlight w:val="none"/>
        </w:rPr>
      </w:pPr>
      <w:r>
        <w:rPr>
          <w:rFonts w:hint="eastAsia" w:ascii="仿宋" w:hAnsi="仿宋" w:eastAsia="仿宋" w:cs="font3-Identity-H"/>
          <w:b/>
          <w:color w:val="auto"/>
          <w:kern w:val="0"/>
          <w:szCs w:val="24"/>
          <w:highlight w:val="none"/>
        </w:rPr>
        <w:t>第一章</w:t>
      </w:r>
      <w:r>
        <w:rPr>
          <w:rFonts w:ascii="仿宋" w:hAnsi="仿宋" w:eastAsia="仿宋" w:cs="font3-Identity-H"/>
          <w:b/>
          <w:color w:val="auto"/>
          <w:kern w:val="0"/>
          <w:szCs w:val="24"/>
          <w:highlight w:val="none"/>
        </w:rPr>
        <w:t xml:space="preserve"> </w:t>
      </w:r>
      <w:r>
        <w:rPr>
          <w:rFonts w:hint="eastAsia" w:ascii="仿宋" w:hAnsi="仿宋" w:eastAsia="仿宋" w:cs="font3-Identity-H"/>
          <w:b/>
          <w:color w:val="auto"/>
          <w:kern w:val="0"/>
          <w:szCs w:val="24"/>
          <w:highlight w:val="none"/>
        </w:rPr>
        <w:t>总则</w:t>
      </w:r>
      <w:r>
        <w:rPr>
          <w:rFonts w:ascii="仿宋" w:hAnsi="仿宋" w:eastAsia="仿宋" w:cs="font2-Identity-H"/>
          <w:color w:val="auto"/>
          <w:kern w:val="0"/>
          <w:szCs w:val="24"/>
          <w:highlight w:val="none"/>
        </w:rPr>
        <w:t>'</w:t>
      </w:r>
    </w:p>
    <w:p>
      <w:pPr>
        <w:autoSpaceDE w:val="0"/>
        <w:autoSpaceDN w:val="0"/>
        <w:adjustRightInd w:val="0"/>
        <w:ind w:firstLine="420" w:firstLineChars="200"/>
        <w:jc w:val="left"/>
        <w:rPr>
          <w:rFonts w:ascii="仿宋" w:hAnsi="仿宋" w:eastAsia="仿宋" w:cs="font2-Identity-H"/>
          <w:color w:val="auto"/>
          <w:kern w:val="0"/>
          <w:szCs w:val="24"/>
          <w:highlight w:val="none"/>
        </w:rPr>
      </w:pPr>
      <w:r>
        <w:rPr>
          <w:rFonts w:hint="eastAsia" w:ascii="仿宋" w:hAnsi="仿宋" w:eastAsia="仿宋" w:cs="font3-Identity-H"/>
          <w:color w:val="auto"/>
          <w:kern w:val="0"/>
          <w:szCs w:val="24"/>
          <w:highlight w:val="none"/>
        </w:rPr>
        <w:t>第一条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依据《总务处修缮工程施工现场管理办法》的有关要求，结合我校现场施工环境实际，制定本考核细则和评分标准，对施工单位进行计分制考核。</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2-Identity-H"/>
          <w:color w:val="auto"/>
          <w:kern w:val="0"/>
          <w:szCs w:val="24"/>
          <w:highlight w:val="none"/>
        </w:rPr>
        <w:t>第二条</w:t>
      </w:r>
      <w:r>
        <w:rPr>
          <w:rFonts w:hint="eastAsia" w:ascii="仿宋" w:hAnsi="仿宋" w:eastAsia="仿宋" w:cs="font3-Identity-H"/>
          <w:color w:val="auto"/>
          <w:kern w:val="0"/>
          <w:szCs w:val="24"/>
          <w:highlight w:val="none"/>
        </w:rPr>
        <w:t>总务处工程管理部现场管理人员、监理人员依据考核细则和评分标准对施工单位进行打分。评分标准分值为</w:t>
      </w:r>
      <w:r>
        <w:rPr>
          <w:rFonts w:ascii="仿宋" w:hAnsi="仿宋" w:eastAsia="仿宋" w:cs="font2-Identity-H"/>
          <w:color w:val="auto"/>
          <w:kern w:val="0"/>
          <w:szCs w:val="24"/>
          <w:highlight w:val="none"/>
        </w:rPr>
        <w:t>100</w:t>
      </w:r>
      <w:r>
        <w:rPr>
          <w:rFonts w:hint="eastAsia" w:ascii="仿宋" w:hAnsi="仿宋" w:eastAsia="仿宋" w:cs="font3-Identity-H"/>
          <w:color w:val="auto"/>
          <w:kern w:val="0"/>
          <w:szCs w:val="24"/>
          <w:highlight w:val="none"/>
        </w:rPr>
        <w:t>分，得分</w:t>
      </w:r>
      <w:r>
        <w:rPr>
          <w:rFonts w:ascii="仿宋" w:hAnsi="仿宋" w:eastAsia="仿宋" w:cs="font3-Identity-H"/>
          <w:color w:val="auto"/>
          <w:kern w:val="0"/>
          <w:szCs w:val="24"/>
          <w:highlight w:val="none"/>
        </w:rPr>
        <w:t>90分以下为不合格。</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第三条总务处工程管理部在施工周期结束后将考核分值及评价结果上报学校相关部门备案。对单项工程得分在</w:t>
      </w:r>
      <w:r>
        <w:rPr>
          <w:rFonts w:ascii="仿宋" w:hAnsi="仿宋" w:eastAsia="仿宋" w:cs="font2-Identity-H"/>
          <w:color w:val="auto"/>
          <w:kern w:val="0"/>
          <w:szCs w:val="24"/>
          <w:highlight w:val="none"/>
        </w:rPr>
        <w:t>70</w:t>
      </w:r>
      <w:r>
        <w:rPr>
          <w:rFonts w:hint="eastAsia" w:ascii="仿宋" w:hAnsi="仿宋" w:eastAsia="仿宋" w:cs="font3-Identity-H"/>
          <w:color w:val="auto"/>
          <w:kern w:val="0"/>
          <w:szCs w:val="24"/>
          <w:highlight w:val="none"/>
        </w:rPr>
        <w:t>分以下的施工单位，总务处将建议学校将该施工单位列入《哈尔滨工业大学修缮工程招标限制名单》，视具体得分情况，限制期从一年至五年不等。</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其中</w:t>
      </w:r>
      <w:r>
        <w:rPr>
          <w:rFonts w:ascii="仿宋" w:hAnsi="仿宋" w:eastAsia="仿宋" w:cs="font3-Identity-H"/>
          <w:color w:val="auto"/>
          <w:kern w:val="0"/>
          <w:szCs w:val="24"/>
          <w:highlight w:val="none"/>
        </w:rPr>
        <w:t>90分限制一年，85分限制二年，80分限制三年，75分限制四年，70分限制五年。</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2-Identity-H"/>
          <w:color w:val="auto"/>
          <w:kern w:val="0"/>
          <w:szCs w:val="24"/>
          <w:highlight w:val="none"/>
        </w:rPr>
        <w:t>第四条</w:t>
      </w:r>
      <w:r>
        <w:rPr>
          <w:rFonts w:ascii="仿宋" w:hAnsi="仿宋" w:eastAsia="仿宋" w:cs="font2-Identity-H"/>
          <w:color w:val="auto"/>
          <w:kern w:val="0"/>
          <w:szCs w:val="24"/>
          <w:highlight w:val="none"/>
        </w:rPr>
        <w:t xml:space="preserve"> </w:t>
      </w:r>
      <w:r>
        <w:rPr>
          <w:rFonts w:hint="eastAsia" w:ascii="仿宋" w:hAnsi="仿宋" w:eastAsia="仿宋" w:cs="font2-Identity-H"/>
          <w:color w:val="auto"/>
          <w:kern w:val="0"/>
          <w:szCs w:val="24"/>
          <w:highlight w:val="none"/>
        </w:rPr>
        <w:t>对在</w:t>
      </w:r>
      <w:r>
        <w:rPr>
          <w:rFonts w:hint="eastAsia" w:ascii="仿宋" w:hAnsi="仿宋" w:eastAsia="仿宋" w:cs="font3-Identity-H"/>
          <w:color w:val="auto"/>
          <w:kern w:val="0"/>
          <w:szCs w:val="24"/>
          <w:highlight w:val="none"/>
        </w:rPr>
        <w:t>检查考核过程中发现下列问题的，总务处将直接给予施工单位不合格评价。对情节特别严重且不可挽回的，将立即解除施工合同。</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1</w:t>
      </w:r>
      <w:r>
        <w:rPr>
          <w:rFonts w:ascii="仿宋" w:hAnsi="仿宋" w:eastAsia="仿宋" w:cs="font3-Identity-H"/>
          <w:color w:val="auto"/>
          <w:kern w:val="0"/>
          <w:szCs w:val="24"/>
          <w:highlight w:val="none"/>
        </w:rPr>
        <w:t>.外业检查中发现重大安全隐患、质量缺陷的。因工程质量缺陷被责令停工、返工严重影响工程施工质量和施工进度的且造成重大影响和经济损失的。</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2</w:t>
      </w:r>
      <w:r>
        <w:rPr>
          <w:rFonts w:ascii="仿宋" w:hAnsi="仿宋" w:eastAsia="仿宋" w:cs="font3-Identity-H"/>
          <w:color w:val="auto"/>
          <w:kern w:val="0"/>
          <w:szCs w:val="24"/>
          <w:highlight w:val="none"/>
        </w:rPr>
        <w:t>.施工单位自身管理不善，安全措施落实不到位发生重大安全事故或责任事故，并且给学校带来严重影响的。</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3</w:t>
      </w:r>
      <w:r>
        <w:rPr>
          <w:rFonts w:ascii="仿宋" w:hAnsi="仿宋" w:eastAsia="仿宋" w:cs="font3-Identity-H"/>
          <w:color w:val="auto"/>
          <w:kern w:val="0"/>
          <w:szCs w:val="24"/>
          <w:highlight w:val="none"/>
        </w:rPr>
        <w:t>.施工单位擅自更改施工图设计与招标文件内容的。进场材料不经检验使用到工程上，给工程带来质量隐患的。</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4</w:t>
      </w:r>
      <w:r>
        <w:rPr>
          <w:rFonts w:ascii="仿宋" w:hAnsi="仿宋" w:eastAsia="仿宋" w:cs="font3-Identity-H"/>
          <w:color w:val="auto"/>
          <w:kern w:val="0"/>
          <w:szCs w:val="24"/>
          <w:highlight w:val="none"/>
        </w:rPr>
        <w:t>.施工单位对甲方、总监</w:t>
      </w:r>
      <w:r>
        <w:rPr>
          <w:rFonts w:hint="eastAsia" w:ascii="仿宋" w:hAnsi="仿宋" w:eastAsia="仿宋" w:cs="font3-Identity-H"/>
          <w:color w:val="auto"/>
          <w:kern w:val="0"/>
          <w:szCs w:val="24"/>
          <w:highlight w:val="none"/>
        </w:rPr>
        <w:t>代表指令落实不及时且造成工程质量、进度重大影响的情形。</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5.</w:t>
      </w:r>
      <w:r>
        <w:rPr>
          <w:rFonts w:hint="eastAsia" w:ascii="仿宋" w:hAnsi="仿宋" w:eastAsia="仿宋" w:cs="font3-Identity-H"/>
          <w:color w:val="auto"/>
          <w:kern w:val="0"/>
          <w:szCs w:val="24"/>
          <w:highlight w:val="none"/>
        </w:rPr>
        <w:t>施工现场项目经理等相关施工管理人员与投标文件及合同中约定的人员不一致且拒不整改的。</w:t>
      </w:r>
    </w:p>
    <w:p>
      <w:pPr>
        <w:autoSpaceDE w:val="0"/>
        <w:autoSpaceDN w:val="0"/>
        <w:adjustRightInd w:val="0"/>
        <w:ind w:firstLine="1792" w:firstLineChars="850"/>
        <w:jc w:val="left"/>
        <w:rPr>
          <w:rFonts w:ascii="仿宋" w:hAnsi="仿宋" w:eastAsia="仿宋" w:cs="font3-Identity-H"/>
          <w:b/>
          <w:color w:val="auto"/>
          <w:kern w:val="0"/>
          <w:szCs w:val="24"/>
          <w:highlight w:val="none"/>
        </w:rPr>
      </w:pPr>
      <w:r>
        <w:rPr>
          <w:rFonts w:hint="eastAsia" w:ascii="仿宋" w:hAnsi="仿宋" w:eastAsia="仿宋" w:cs="font3-Identity-H"/>
          <w:b/>
          <w:color w:val="auto"/>
          <w:kern w:val="0"/>
          <w:szCs w:val="24"/>
          <w:highlight w:val="none"/>
        </w:rPr>
        <w:t>第二章考核细则和评分标准</w:t>
      </w:r>
    </w:p>
    <w:p>
      <w:pPr>
        <w:autoSpaceDE w:val="0"/>
        <w:autoSpaceDN w:val="0"/>
        <w:adjustRightInd w:val="0"/>
        <w:ind w:firstLine="420" w:firstLineChars="200"/>
        <w:jc w:val="left"/>
        <w:rPr>
          <w:rFonts w:ascii="仿宋" w:hAnsi="仿宋" w:eastAsia="仿宋" w:cs="font3-Identity-H"/>
          <w:b/>
          <w:color w:val="auto"/>
          <w:kern w:val="0"/>
          <w:szCs w:val="24"/>
          <w:highlight w:val="none"/>
        </w:rPr>
      </w:pPr>
      <w:r>
        <w:rPr>
          <w:rFonts w:hint="eastAsia" w:ascii="仿宋" w:hAnsi="仿宋" w:eastAsia="仿宋" w:cs="font3-Identity-H"/>
          <w:color w:val="auto"/>
          <w:kern w:val="0"/>
          <w:szCs w:val="24"/>
          <w:highlight w:val="none"/>
        </w:rPr>
        <w:t>第五条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施工质量（</w:t>
      </w:r>
      <w:r>
        <w:rPr>
          <w:rFonts w:ascii="仿宋" w:hAnsi="仿宋" w:eastAsia="仿宋" w:cs="font3-Identity-H"/>
          <w:color w:val="auto"/>
          <w:kern w:val="0"/>
          <w:szCs w:val="24"/>
          <w:highlight w:val="none"/>
        </w:rPr>
        <w:t>30分）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1</w:t>
      </w:r>
      <w:r>
        <w:rPr>
          <w:rFonts w:ascii="仿宋" w:hAnsi="仿宋" w:eastAsia="仿宋" w:cs="font3-Identity-H"/>
          <w:color w:val="auto"/>
          <w:kern w:val="0"/>
          <w:szCs w:val="24"/>
          <w:highlight w:val="none"/>
        </w:rPr>
        <w:t>.自检资料未达到完整、规范、数据真实准确，不符合《建设工程施工质量验收规范》和监理工程师要求，每项扣5分。</w:t>
      </w:r>
    </w:p>
    <w:p>
      <w:pPr>
        <w:autoSpaceDE w:val="0"/>
        <w:autoSpaceDN w:val="0"/>
        <w:adjustRightInd w:val="0"/>
        <w:ind w:firstLine="420" w:firstLineChars="200"/>
        <w:jc w:val="left"/>
        <w:rPr>
          <w:rFonts w:ascii="仿宋" w:hAnsi="仿宋" w:eastAsia="仿宋" w:cs="font2-Identity-H"/>
          <w:color w:val="auto"/>
          <w:kern w:val="0"/>
          <w:szCs w:val="24"/>
          <w:highlight w:val="none"/>
        </w:rPr>
      </w:pPr>
      <w:r>
        <w:rPr>
          <w:rFonts w:ascii="仿宋" w:hAnsi="仿宋" w:eastAsia="仿宋" w:cs="font2-Identity-H"/>
          <w:color w:val="auto"/>
          <w:kern w:val="0"/>
          <w:szCs w:val="24"/>
          <w:highlight w:val="none"/>
        </w:rPr>
        <w:t>2.</w:t>
      </w:r>
      <w:r>
        <w:rPr>
          <w:rFonts w:hint="eastAsia" w:ascii="仿宋" w:hAnsi="仿宋" w:eastAsia="仿宋" w:cs="font3-Identity-H"/>
          <w:color w:val="auto"/>
          <w:kern w:val="0"/>
          <w:szCs w:val="24"/>
          <w:highlight w:val="none"/>
        </w:rPr>
        <w:t>已完工的分部分项工程不符合《工程质量检验评定标准》要求，分项工程质量检验评定不及时、不准确，合格率未达到</w:t>
      </w:r>
      <w:r>
        <w:rPr>
          <w:rFonts w:ascii="仿宋" w:hAnsi="仿宋" w:eastAsia="仿宋" w:cs="font2-Identity-H"/>
          <w:color w:val="auto"/>
          <w:kern w:val="0"/>
          <w:szCs w:val="24"/>
          <w:highlight w:val="none"/>
        </w:rPr>
        <w:t>95%</w:t>
      </w:r>
      <w:r>
        <w:rPr>
          <w:rFonts w:hint="eastAsia" w:ascii="仿宋" w:hAnsi="仿宋" w:eastAsia="仿宋" w:cs="font3-Identity-H"/>
          <w:color w:val="auto"/>
          <w:kern w:val="0"/>
          <w:szCs w:val="24"/>
          <w:highlight w:val="none"/>
        </w:rPr>
        <w:t>，每项（次）扣</w:t>
      </w:r>
      <w:r>
        <w:rPr>
          <w:rFonts w:ascii="仿宋" w:hAnsi="仿宋" w:eastAsia="仿宋" w:cs="font3-Identity-H"/>
          <w:color w:val="auto"/>
          <w:kern w:val="0"/>
          <w:szCs w:val="24"/>
          <w:highlight w:val="none"/>
        </w:rPr>
        <w:t>5分。</w:t>
      </w:r>
      <w:r>
        <w:rPr>
          <w:rFonts w:ascii="仿宋" w:hAnsi="仿宋" w:eastAsia="仿宋" w:cs="font2-Identity-H"/>
          <w:color w:val="auto"/>
          <w:kern w:val="0"/>
          <w:szCs w:val="24"/>
          <w:highlight w:val="none"/>
        </w:rPr>
        <w:t>7 y# r: U2 n7 K5 N9 g3</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3.</w:t>
      </w:r>
      <w:r>
        <w:rPr>
          <w:rFonts w:hint="eastAsia" w:ascii="仿宋" w:hAnsi="仿宋" w:eastAsia="仿宋" w:cs="font3-Identity-H"/>
          <w:color w:val="auto"/>
          <w:kern w:val="0"/>
          <w:szCs w:val="24"/>
          <w:highlight w:val="none"/>
        </w:rPr>
        <w:t>外业抽查存在工程质量缺陷，分部分项工程未达到质量验收标准，每项（次）扣</w:t>
      </w:r>
      <w:r>
        <w:rPr>
          <w:rFonts w:ascii="仿宋" w:hAnsi="仿宋" w:eastAsia="仿宋" w:cs="font3-Identity-H"/>
          <w:color w:val="auto"/>
          <w:kern w:val="0"/>
          <w:szCs w:val="24"/>
          <w:highlight w:val="none"/>
        </w:rPr>
        <w:t>5分。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4.工程质量问题较严重，造成局部返工，或影响工程进度和整体工程质量，每项（次）扣5分。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5</w:t>
      </w:r>
      <w:r>
        <w:rPr>
          <w:rFonts w:ascii="仿宋" w:hAnsi="仿宋" w:eastAsia="仿宋" w:cs="font3-Identity-H"/>
          <w:color w:val="auto"/>
          <w:kern w:val="0"/>
          <w:szCs w:val="24"/>
          <w:highlight w:val="none"/>
        </w:rPr>
        <w:t>.原材料进场前未经监理人员检查认可，需要进行检测的材料及半成品，检测次数不符合要求，不合格材料未及时清理出施工现场，未按规定进行取样检测的，每项（次）扣10分。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第六条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工程进度（</w:t>
      </w:r>
      <w:r>
        <w:rPr>
          <w:rFonts w:ascii="仿宋" w:hAnsi="仿宋" w:eastAsia="仿宋" w:cs="font3-Identity-H"/>
          <w:color w:val="auto"/>
          <w:kern w:val="0"/>
          <w:szCs w:val="24"/>
          <w:highlight w:val="none"/>
        </w:rPr>
        <w:t>10分）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1</w:t>
      </w:r>
      <w:r>
        <w:rPr>
          <w:rFonts w:ascii="仿宋" w:hAnsi="仿宋" w:eastAsia="仿宋" w:cs="font3-Identity-H"/>
          <w:color w:val="auto"/>
          <w:kern w:val="0"/>
          <w:szCs w:val="24"/>
          <w:highlight w:val="none"/>
        </w:rPr>
        <w:t>.</w:t>
      </w:r>
      <w:r>
        <w:rPr>
          <w:rFonts w:hint="eastAsia" w:ascii="仿宋" w:hAnsi="仿宋" w:eastAsia="仿宋" w:cs="font2-Identity-H"/>
          <w:color w:val="auto"/>
          <w:kern w:val="0"/>
          <w:szCs w:val="24"/>
          <w:highlight w:val="none"/>
        </w:rPr>
        <w:t>未严格</w:t>
      </w:r>
      <w:r>
        <w:rPr>
          <w:rFonts w:hint="eastAsia" w:ascii="仿宋" w:hAnsi="仿宋" w:eastAsia="仿宋" w:cs="font3-Identity-H"/>
          <w:color w:val="auto"/>
          <w:kern w:val="0"/>
          <w:szCs w:val="24"/>
          <w:highlight w:val="none"/>
        </w:rPr>
        <w:t>按工程管理部审批签字的施工进度计划组织施工。没有按时完成施工进度计划的，每项（次）扣</w:t>
      </w:r>
      <w:r>
        <w:rPr>
          <w:rFonts w:ascii="仿宋" w:hAnsi="仿宋" w:eastAsia="仿宋" w:cs="font3-Identity-H"/>
          <w:color w:val="auto"/>
          <w:kern w:val="0"/>
          <w:szCs w:val="24"/>
          <w:highlight w:val="none"/>
        </w:rPr>
        <w:t>4分。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2.</w:t>
      </w:r>
      <w:r>
        <w:rPr>
          <w:rFonts w:hint="eastAsia" w:ascii="仿宋" w:hAnsi="仿宋" w:eastAsia="仿宋" w:cs="font3-Identity-H"/>
          <w:color w:val="auto"/>
          <w:kern w:val="0"/>
          <w:szCs w:val="24"/>
          <w:highlight w:val="none"/>
        </w:rPr>
        <w:t>非建设方原因造成的实际施工进度与计划施工进度不符，严重滞后的，扣</w:t>
      </w:r>
      <w:r>
        <w:rPr>
          <w:rFonts w:ascii="仿宋" w:hAnsi="仿宋" w:eastAsia="仿宋" w:cs="font3-Identity-H"/>
          <w:color w:val="auto"/>
          <w:kern w:val="0"/>
          <w:szCs w:val="24"/>
          <w:highlight w:val="none"/>
        </w:rPr>
        <w:t>2分。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3.</w:t>
      </w:r>
      <w:r>
        <w:rPr>
          <w:rFonts w:ascii="仿宋" w:hAnsi="仿宋" w:eastAsia="仿宋" w:cs="font3-Identity-H"/>
          <w:color w:val="auto"/>
          <w:kern w:val="0"/>
          <w:szCs w:val="24"/>
          <w:highlight w:val="none"/>
        </w:rPr>
        <w:t xml:space="preserve"> 非建设方原因造成的</w:t>
      </w:r>
      <w:r>
        <w:rPr>
          <w:rFonts w:hint="eastAsia" w:ascii="仿宋" w:hAnsi="仿宋" w:eastAsia="仿宋" w:cs="font2-Identity-H"/>
          <w:color w:val="auto"/>
          <w:kern w:val="0"/>
          <w:szCs w:val="24"/>
          <w:highlight w:val="none"/>
        </w:rPr>
        <w:t>未达到</w:t>
      </w:r>
      <w:r>
        <w:rPr>
          <w:rFonts w:hint="eastAsia" w:ascii="仿宋" w:hAnsi="仿宋" w:eastAsia="仿宋" w:cs="font3-Identity-H"/>
          <w:color w:val="auto"/>
          <w:kern w:val="0"/>
          <w:szCs w:val="24"/>
          <w:highlight w:val="none"/>
        </w:rPr>
        <w:t>招标文件规定的阶段控制目标执行，每项（次）扣</w:t>
      </w:r>
      <w:r>
        <w:rPr>
          <w:rFonts w:ascii="仿宋" w:hAnsi="仿宋" w:eastAsia="仿宋" w:cs="font3-Identity-H"/>
          <w:color w:val="auto"/>
          <w:kern w:val="0"/>
          <w:szCs w:val="24"/>
          <w:highlight w:val="none"/>
        </w:rPr>
        <w:t>2分。</w:t>
      </w:r>
    </w:p>
    <w:p>
      <w:pPr>
        <w:autoSpaceDE w:val="0"/>
        <w:autoSpaceDN w:val="0"/>
        <w:adjustRightInd w:val="0"/>
        <w:ind w:firstLine="420" w:firstLineChars="200"/>
        <w:jc w:val="left"/>
        <w:rPr>
          <w:rFonts w:ascii="仿宋" w:hAnsi="仿宋" w:eastAsia="仿宋" w:cs="font2-Identity-H"/>
          <w:color w:val="auto"/>
          <w:kern w:val="0"/>
          <w:szCs w:val="24"/>
          <w:highlight w:val="none"/>
        </w:rPr>
      </w:pPr>
      <w:r>
        <w:rPr>
          <w:rFonts w:ascii="仿宋" w:hAnsi="仿宋" w:eastAsia="仿宋" w:cs="font3-Identity-H"/>
          <w:color w:val="auto"/>
          <w:kern w:val="0"/>
          <w:szCs w:val="24"/>
          <w:highlight w:val="none"/>
        </w:rPr>
        <w:t>4.</w:t>
      </w:r>
      <w:r>
        <w:rPr>
          <w:rFonts w:hint="eastAsia" w:ascii="仿宋" w:hAnsi="仿宋" w:eastAsia="仿宋" w:cs="font3-Identity-H"/>
          <w:color w:val="auto"/>
          <w:kern w:val="0"/>
          <w:szCs w:val="24"/>
          <w:highlight w:val="none"/>
        </w:rPr>
        <w:t>未经过论证和计算，编制的施工进度计划与实际进度不符的，扣</w:t>
      </w:r>
      <w:r>
        <w:rPr>
          <w:rFonts w:ascii="仿宋" w:hAnsi="仿宋" w:eastAsia="仿宋" w:cs="font3-Identity-H"/>
          <w:color w:val="auto"/>
          <w:kern w:val="0"/>
          <w:szCs w:val="24"/>
          <w:highlight w:val="none"/>
        </w:rPr>
        <w:t>2分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第七条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支付管理（</w:t>
      </w:r>
      <w:r>
        <w:rPr>
          <w:rFonts w:ascii="仿宋" w:hAnsi="仿宋" w:eastAsia="仿宋" w:cs="font3-Identity-H"/>
          <w:color w:val="auto"/>
          <w:kern w:val="0"/>
          <w:szCs w:val="24"/>
          <w:highlight w:val="none"/>
        </w:rPr>
        <w:t>5分）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1.工程进度结算申请未按时报送、工程量及施工项目计算不准确、数据填写不清晰、签字不齐全的,每项（次）扣2分。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2.工程项目资金流向不清晰、管理不规范，未做到专款专用，每项（次）扣2分。</w:t>
      </w:r>
    </w:p>
    <w:p>
      <w:pPr>
        <w:autoSpaceDE w:val="0"/>
        <w:autoSpaceDN w:val="0"/>
        <w:adjustRightInd w:val="0"/>
        <w:ind w:firstLine="420" w:firstLineChars="20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3.未及时报送月、季度统计报表，或报表数据不准确、项目不齐全等未达到规定要求的,每项（次）扣1分。</w:t>
      </w:r>
    </w:p>
    <w:p>
      <w:pPr>
        <w:autoSpaceDE w:val="0"/>
        <w:autoSpaceDN w:val="0"/>
        <w:adjustRightInd w:val="0"/>
        <w:ind w:firstLine="42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第八条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合同履约（</w:t>
      </w:r>
      <w:r>
        <w:rPr>
          <w:rFonts w:ascii="仿宋" w:hAnsi="仿宋" w:eastAsia="仿宋" w:cs="font3-Identity-H"/>
          <w:color w:val="auto"/>
          <w:kern w:val="0"/>
          <w:szCs w:val="24"/>
          <w:highlight w:val="none"/>
        </w:rPr>
        <w:t>10分）</w:t>
      </w:r>
    </w:p>
    <w:p>
      <w:pPr>
        <w:autoSpaceDE w:val="0"/>
        <w:autoSpaceDN w:val="0"/>
        <w:adjustRightInd w:val="0"/>
        <w:ind w:firstLine="420"/>
        <w:jc w:val="left"/>
        <w:rPr>
          <w:rFonts w:ascii="仿宋" w:hAnsi="仿宋" w:eastAsia="仿宋" w:cs="font2-Identity-H"/>
          <w:color w:val="auto"/>
          <w:kern w:val="0"/>
          <w:szCs w:val="24"/>
          <w:highlight w:val="none"/>
        </w:rPr>
      </w:pPr>
      <w:r>
        <w:rPr>
          <w:rFonts w:ascii="仿宋" w:hAnsi="仿宋" w:eastAsia="仿宋" w:cs="font2-Identity-H"/>
          <w:color w:val="auto"/>
          <w:kern w:val="0"/>
          <w:szCs w:val="24"/>
          <w:highlight w:val="none"/>
        </w:rPr>
        <w:t>1.</w:t>
      </w:r>
      <w:r>
        <w:rPr>
          <w:rFonts w:hint="eastAsia" w:ascii="仿宋" w:hAnsi="仿宋" w:eastAsia="仿宋" w:cs="font3-Identity-H"/>
          <w:color w:val="auto"/>
          <w:kern w:val="0"/>
          <w:szCs w:val="24"/>
          <w:highlight w:val="none"/>
        </w:rPr>
        <w:t>未经总务处、监理单位批准更换或减少工程技术管理人员，或现场施工管理人员不是招标文件确定的管理人员或管理人员无故缺岗，或施工单位擅自更换管理人员的，每项（次）扣</w:t>
      </w:r>
      <w:r>
        <w:rPr>
          <w:rFonts w:ascii="仿宋" w:hAnsi="仿宋" w:eastAsia="仿宋" w:cs="font3-Identity-H"/>
          <w:color w:val="auto"/>
          <w:kern w:val="0"/>
          <w:szCs w:val="24"/>
          <w:highlight w:val="none"/>
        </w:rPr>
        <w:t>3分。</w:t>
      </w:r>
    </w:p>
    <w:p>
      <w:pPr>
        <w:autoSpaceDE w:val="0"/>
        <w:autoSpaceDN w:val="0"/>
        <w:adjustRightInd w:val="0"/>
        <w:ind w:firstLine="42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2</w:t>
      </w:r>
      <w:r>
        <w:rPr>
          <w:rFonts w:ascii="仿宋" w:hAnsi="仿宋" w:eastAsia="仿宋" w:cs="font3-Identity-H"/>
          <w:color w:val="auto"/>
          <w:kern w:val="0"/>
          <w:szCs w:val="24"/>
          <w:highlight w:val="none"/>
        </w:rPr>
        <w:t>.经工程管理部审批合格的施工组织设计中列明的施工机械设备，施工单位没有按时、足额进场的或进场的施工机械设备、机具完好率未达到</w:t>
      </w:r>
      <w:r>
        <w:rPr>
          <w:rFonts w:ascii="仿宋" w:hAnsi="仿宋" w:eastAsia="仿宋" w:cs="font2-Identity-H"/>
          <w:color w:val="auto"/>
          <w:kern w:val="0"/>
          <w:szCs w:val="24"/>
          <w:highlight w:val="none"/>
        </w:rPr>
        <w:t>85%</w:t>
      </w:r>
      <w:r>
        <w:rPr>
          <w:rFonts w:hint="eastAsia" w:ascii="仿宋" w:hAnsi="仿宋" w:eastAsia="仿宋" w:cs="font2-Identity-H"/>
          <w:color w:val="auto"/>
          <w:kern w:val="0"/>
          <w:szCs w:val="24"/>
          <w:highlight w:val="none"/>
        </w:rPr>
        <w:t>的，每项（次）</w:t>
      </w:r>
      <w:r>
        <w:rPr>
          <w:rFonts w:hint="eastAsia" w:ascii="仿宋" w:hAnsi="仿宋" w:eastAsia="仿宋" w:cs="font3-Identity-H"/>
          <w:color w:val="auto"/>
          <w:kern w:val="0"/>
          <w:szCs w:val="24"/>
          <w:highlight w:val="none"/>
        </w:rPr>
        <w:t>扣</w:t>
      </w:r>
      <w:r>
        <w:rPr>
          <w:rFonts w:ascii="仿宋" w:hAnsi="仿宋" w:eastAsia="仿宋" w:cs="font3-Identity-H"/>
          <w:color w:val="auto"/>
          <w:kern w:val="0"/>
          <w:szCs w:val="24"/>
          <w:highlight w:val="none"/>
        </w:rPr>
        <w:t>2分。</w:t>
      </w:r>
    </w:p>
    <w:p>
      <w:pPr>
        <w:autoSpaceDE w:val="0"/>
        <w:autoSpaceDN w:val="0"/>
        <w:adjustRightInd w:val="0"/>
        <w:ind w:firstLine="420"/>
        <w:jc w:val="left"/>
        <w:rPr>
          <w:rFonts w:ascii="仿宋" w:hAnsi="仿宋" w:eastAsia="仿宋" w:cs="font2-Identity-H"/>
          <w:color w:val="auto"/>
          <w:kern w:val="0"/>
          <w:szCs w:val="24"/>
          <w:highlight w:val="none"/>
        </w:rPr>
      </w:pPr>
      <w:r>
        <w:rPr>
          <w:rFonts w:ascii="仿宋" w:hAnsi="仿宋" w:eastAsia="仿宋" w:cs="font3-Identity-H"/>
          <w:color w:val="auto"/>
          <w:kern w:val="0"/>
          <w:szCs w:val="24"/>
          <w:highlight w:val="none"/>
        </w:rPr>
        <w:t>3.实际使用的设备型号与施工组织设计内容不一致，且未经工程管理部审核备案的，每项（次）扣3分。</w:t>
      </w:r>
      <w:r>
        <w:rPr>
          <w:rFonts w:ascii="仿宋" w:hAnsi="仿宋" w:eastAsia="仿宋" w:cs="font2-Identity-H"/>
          <w:color w:val="auto"/>
          <w:kern w:val="0"/>
          <w:szCs w:val="24"/>
          <w:highlight w:val="none"/>
        </w:rPr>
        <w:t xml:space="preserve">- K% R8 </w:t>
      </w:r>
    </w:p>
    <w:p>
      <w:pPr>
        <w:autoSpaceDE w:val="0"/>
        <w:autoSpaceDN w:val="0"/>
        <w:adjustRightInd w:val="0"/>
        <w:ind w:firstLine="42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4</w:t>
      </w:r>
      <w:r>
        <w:rPr>
          <w:rFonts w:ascii="仿宋" w:hAnsi="仿宋" w:eastAsia="仿宋" w:cs="font3-Identity-H"/>
          <w:color w:val="auto"/>
          <w:kern w:val="0"/>
          <w:szCs w:val="24"/>
          <w:highlight w:val="none"/>
        </w:rPr>
        <w:t>.施工单位项目经理、总工、质检工程师等技术人员，离开施工现场未向工程管理部现场工程师或总监理工程师办理请假手续的，每项（次）扣2分。</w:t>
      </w:r>
    </w:p>
    <w:p>
      <w:pPr>
        <w:autoSpaceDE w:val="0"/>
        <w:autoSpaceDN w:val="0"/>
        <w:adjustRightInd w:val="0"/>
        <w:ind w:firstLine="42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第九条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施工资料管理（</w:t>
      </w:r>
      <w:r>
        <w:rPr>
          <w:rFonts w:ascii="仿宋" w:hAnsi="仿宋" w:eastAsia="仿宋" w:cs="font3-Identity-H"/>
          <w:color w:val="auto"/>
          <w:kern w:val="0"/>
          <w:szCs w:val="24"/>
          <w:highlight w:val="none"/>
        </w:rPr>
        <w:t>7分）</w:t>
      </w:r>
    </w:p>
    <w:p>
      <w:pPr>
        <w:autoSpaceDE w:val="0"/>
        <w:autoSpaceDN w:val="0"/>
        <w:adjustRightInd w:val="0"/>
        <w:ind w:firstLine="420"/>
        <w:jc w:val="left"/>
        <w:rPr>
          <w:rFonts w:ascii="仿宋" w:hAnsi="仿宋" w:eastAsia="仿宋" w:cs="font2-Identity-H"/>
          <w:color w:val="auto"/>
          <w:kern w:val="0"/>
          <w:szCs w:val="24"/>
          <w:highlight w:val="none"/>
        </w:rPr>
      </w:pPr>
      <w:r>
        <w:rPr>
          <w:rFonts w:ascii="仿宋" w:hAnsi="仿宋" w:eastAsia="仿宋" w:cs="font2-Identity-H"/>
          <w:color w:val="auto"/>
          <w:kern w:val="0"/>
          <w:szCs w:val="24"/>
          <w:highlight w:val="none"/>
        </w:rPr>
        <w:t>1</w:t>
      </w:r>
      <w:r>
        <w:rPr>
          <w:rFonts w:ascii="仿宋" w:hAnsi="仿宋" w:eastAsia="仿宋" w:cs="font3-Identity-H"/>
          <w:color w:val="auto"/>
          <w:kern w:val="0"/>
          <w:szCs w:val="24"/>
          <w:highlight w:val="none"/>
        </w:rPr>
        <w:t>.</w:t>
      </w:r>
      <w:r>
        <w:rPr>
          <w:rFonts w:hint="eastAsia" w:ascii="仿宋" w:hAnsi="仿宋" w:eastAsia="仿宋"/>
          <w:color w:val="auto"/>
          <w:szCs w:val="24"/>
          <w:highlight w:val="none"/>
        </w:rPr>
        <w:t>工程技术档案资料未做到齐全、完整、准确、系统，或</w:t>
      </w:r>
      <w:r>
        <w:rPr>
          <w:rFonts w:hint="eastAsia" w:ascii="仿宋" w:hAnsi="仿宋" w:eastAsia="仿宋" w:cs="font3-Identity-H"/>
          <w:color w:val="auto"/>
          <w:kern w:val="0"/>
          <w:szCs w:val="24"/>
          <w:highlight w:val="none"/>
        </w:rPr>
        <w:t>不符合</w:t>
      </w:r>
      <w:r>
        <w:rPr>
          <w:rFonts w:hint="eastAsia" w:ascii="仿宋" w:hAnsi="仿宋" w:eastAsia="仿宋"/>
          <w:color w:val="auto"/>
          <w:szCs w:val="24"/>
          <w:highlight w:val="none"/>
        </w:rPr>
        <w:t>《建设工程文件归档整理规范》</w:t>
      </w:r>
      <w:r>
        <w:rPr>
          <w:rFonts w:hint="eastAsia" w:ascii="仿宋" w:hAnsi="仿宋" w:eastAsia="仿宋" w:cs="font3-Identity-H"/>
          <w:color w:val="auto"/>
          <w:kern w:val="0"/>
          <w:szCs w:val="24"/>
          <w:highlight w:val="none"/>
        </w:rPr>
        <w:t>要求的</w:t>
      </w:r>
      <w:r>
        <w:rPr>
          <w:rFonts w:ascii="仿宋" w:hAnsi="仿宋" w:eastAsia="仿宋" w:cs="font2-Identity-H"/>
          <w:color w:val="auto"/>
          <w:kern w:val="0"/>
          <w:szCs w:val="24"/>
          <w:highlight w:val="none"/>
        </w:rPr>
        <w:t>,</w:t>
      </w:r>
      <w:r>
        <w:rPr>
          <w:rFonts w:hint="eastAsia" w:ascii="仿宋" w:hAnsi="仿宋" w:eastAsia="仿宋" w:cs="font2-Identity-H"/>
          <w:color w:val="auto"/>
          <w:kern w:val="0"/>
          <w:szCs w:val="24"/>
          <w:highlight w:val="none"/>
        </w:rPr>
        <w:t>每项（次）</w:t>
      </w:r>
      <w:r>
        <w:rPr>
          <w:rFonts w:hint="eastAsia" w:ascii="仿宋" w:hAnsi="仿宋" w:eastAsia="仿宋" w:cs="font3-Identity-H"/>
          <w:color w:val="auto"/>
          <w:kern w:val="0"/>
          <w:szCs w:val="24"/>
          <w:highlight w:val="none"/>
        </w:rPr>
        <w:t>扣</w:t>
      </w:r>
      <w:r>
        <w:rPr>
          <w:rFonts w:ascii="仿宋" w:hAnsi="仿宋" w:eastAsia="仿宋" w:cs="font3-Identity-H"/>
          <w:color w:val="auto"/>
          <w:kern w:val="0"/>
          <w:szCs w:val="24"/>
          <w:highlight w:val="none"/>
        </w:rPr>
        <w:t>1分。</w:t>
      </w:r>
    </w:p>
    <w:p>
      <w:pPr>
        <w:autoSpaceDE w:val="0"/>
        <w:autoSpaceDN w:val="0"/>
        <w:adjustRightInd w:val="0"/>
        <w:ind w:firstLine="42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2</w:t>
      </w:r>
      <w:r>
        <w:rPr>
          <w:rFonts w:ascii="仿宋" w:hAnsi="仿宋" w:eastAsia="仿宋" w:cs="font3-Identity-H"/>
          <w:color w:val="auto"/>
          <w:kern w:val="0"/>
          <w:szCs w:val="24"/>
          <w:highlight w:val="none"/>
        </w:rPr>
        <w:t>.工程技术</w:t>
      </w:r>
      <w:r>
        <w:rPr>
          <w:rFonts w:hint="eastAsia" w:ascii="仿宋" w:hAnsi="仿宋" w:eastAsia="仿宋"/>
          <w:color w:val="auto"/>
          <w:szCs w:val="24"/>
          <w:highlight w:val="none"/>
        </w:rPr>
        <w:t>档案资料未做到集中统一管理，未及时做好工程技术档案资料的接收和移交，工程内业</w:t>
      </w:r>
      <w:r>
        <w:rPr>
          <w:rFonts w:hint="eastAsia" w:ascii="仿宋" w:hAnsi="仿宋" w:eastAsia="仿宋" w:cs="font3-Identity-H"/>
          <w:color w:val="auto"/>
          <w:kern w:val="0"/>
          <w:szCs w:val="24"/>
          <w:highlight w:val="none"/>
        </w:rPr>
        <w:t>资料不齐全、不完整，达不到</w:t>
      </w:r>
      <w:r>
        <w:rPr>
          <w:rFonts w:hint="eastAsia" w:ascii="仿宋" w:hAnsi="仿宋" w:eastAsia="仿宋"/>
          <w:color w:val="auto"/>
          <w:szCs w:val="24"/>
          <w:highlight w:val="none"/>
        </w:rPr>
        <w:t>《建设工程文件归档整理规范》及工大档案馆</w:t>
      </w:r>
      <w:r>
        <w:rPr>
          <w:rFonts w:hint="eastAsia" w:ascii="仿宋" w:hAnsi="仿宋" w:eastAsia="仿宋" w:cs="font3-Identity-H"/>
          <w:color w:val="auto"/>
          <w:kern w:val="0"/>
          <w:szCs w:val="24"/>
          <w:highlight w:val="none"/>
        </w:rPr>
        <w:t>要求的，每项（次）扣</w:t>
      </w:r>
      <w:r>
        <w:rPr>
          <w:rFonts w:ascii="仿宋" w:hAnsi="仿宋" w:eastAsia="仿宋" w:cs="font3-Identity-H"/>
          <w:color w:val="auto"/>
          <w:kern w:val="0"/>
          <w:szCs w:val="24"/>
          <w:highlight w:val="none"/>
        </w:rPr>
        <w:t>1</w:t>
      </w:r>
      <w:r>
        <w:rPr>
          <w:rFonts w:hint="eastAsia" w:ascii="仿宋" w:hAnsi="仿宋" w:eastAsia="仿宋" w:cs="font2-Identity-H"/>
          <w:color w:val="auto"/>
          <w:kern w:val="0"/>
          <w:szCs w:val="24"/>
          <w:highlight w:val="none"/>
        </w:rPr>
        <w:t>分</w:t>
      </w:r>
      <w:r>
        <w:rPr>
          <w:rFonts w:hint="eastAsia" w:ascii="仿宋" w:hAnsi="仿宋" w:eastAsia="仿宋" w:cs="font3-Identity-H"/>
          <w:color w:val="auto"/>
          <w:kern w:val="0"/>
          <w:szCs w:val="24"/>
          <w:highlight w:val="none"/>
        </w:rPr>
        <w:t>。</w:t>
      </w:r>
    </w:p>
    <w:p>
      <w:pPr>
        <w:autoSpaceDE w:val="0"/>
        <w:autoSpaceDN w:val="0"/>
        <w:adjustRightInd w:val="0"/>
        <w:ind w:firstLine="420"/>
        <w:jc w:val="left"/>
        <w:rPr>
          <w:rFonts w:ascii="仿宋" w:hAnsi="仿宋" w:eastAsia="仿宋"/>
          <w:color w:val="auto"/>
          <w:szCs w:val="24"/>
          <w:highlight w:val="none"/>
        </w:rPr>
      </w:pPr>
      <w:r>
        <w:rPr>
          <w:rFonts w:ascii="仿宋" w:hAnsi="仿宋" w:eastAsia="仿宋" w:cs="font3-Identity-H"/>
          <w:color w:val="auto"/>
          <w:kern w:val="0"/>
          <w:szCs w:val="24"/>
          <w:highlight w:val="none"/>
        </w:rPr>
        <w:t>3.施工单位对技术内业</w:t>
      </w:r>
      <w:r>
        <w:rPr>
          <w:rFonts w:hint="eastAsia" w:ascii="仿宋" w:hAnsi="仿宋" w:eastAsia="仿宋"/>
          <w:color w:val="auto"/>
          <w:szCs w:val="24"/>
          <w:highlight w:val="none"/>
        </w:rPr>
        <w:t>资料的收发、整理未配备专职工程技术内业员，相关技术资料管理发放未指定专人办理进、领、用等手续，或不符合《建设工程文件归档整理规范》要求的，每项（次）扣</w:t>
      </w:r>
      <w:r>
        <w:rPr>
          <w:rFonts w:ascii="仿宋" w:hAnsi="仿宋" w:eastAsia="仿宋"/>
          <w:color w:val="auto"/>
          <w:szCs w:val="24"/>
          <w:highlight w:val="none"/>
        </w:rPr>
        <w:t>1分。</w:t>
      </w:r>
    </w:p>
    <w:p>
      <w:pPr>
        <w:ind w:firstLine="420"/>
        <w:rPr>
          <w:rFonts w:ascii="仿宋" w:hAnsi="仿宋" w:eastAsia="仿宋"/>
          <w:color w:val="auto"/>
          <w:szCs w:val="24"/>
          <w:highlight w:val="none"/>
        </w:rPr>
      </w:pPr>
      <w:r>
        <w:rPr>
          <w:rFonts w:ascii="仿宋" w:hAnsi="仿宋" w:eastAsia="仿宋"/>
          <w:color w:val="auto"/>
          <w:szCs w:val="24"/>
          <w:highlight w:val="none"/>
        </w:rPr>
        <w:t>4.</w:t>
      </w:r>
      <w:r>
        <w:rPr>
          <w:rFonts w:hint="eastAsia" w:ascii="仿宋" w:hAnsi="仿宋" w:eastAsia="仿宋"/>
          <w:color w:val="auto"/>
          <w:szCs w:val="24"/>
          <w:highlight w:val="none"/>
        </w:rPr>
        <w:t>施工技术记录、工程签证单、试运记录、材料半成品试验单、设计变更通知单、工程联系单等表格未使用总务处统一表格填写，各方人员签名不齐全，不盖章即送交归档，或签证不及时，补送补签的，</w:t>
      </w:r>
      <w:r>
        <w:rPr>
          <w:rFonts w:hint="eastAsia" w:ascii="仿宋" w:hAnsi="仿宋" w:eastAsia="仿宋" w:cs="font2-Identity-H"/>
          <w:color w:val="auto"/>
          <w:kern w:val="0"/>
          <w:szCs w:val="24"/>
          <w:highlight w:val="none"/>
        </w:rPr>
        <w:t>每项（次）</w:t>
      </w:r>
      <w:r>
        <w:rPr>
          <w:rFonts w:hint="eastAsia" w:ascii="仿宋" w:hAnsi="仿宋" w:eastAsia="仿宋"/>
          <w:color w:val="auto"/>
          <w:szCs w:val="24"/>
          <w:highlight w:val="none"/>
        </w:rPr>
        <w:t>扣</w:t>
      </w:r>
      <w:r>
        <w:rPr>
          <w:rFonts w:ascii="仿宋" w:hAnsi="仿宋" w:eastAsia="仿宋"/>
          <w:color w:val="auto"/>
          <w:szCs w:val="24"/>
          <w:highlight w:val="none"/>
        </w:rPr>
        <w:t>1分。</w:t>
      </w:r>
    </w:p>
    <w:p>
      <w:pPr>
        <w:ind w:firstLine="420"/>
        <w:rPr>
          <w:rFonts w:ascii="仿宋" w:hAnsi="仿宋" w:eastAsia="仿宋"/>
          <w:color w:val="auto"/>
          <w:szCs w:val="24"/>
          <w:highlight w:val="none"/>
        </w:rPr>
      </w:pPr>
      <w:r>
        <w:rPr>
          <w:rFonts w:ascii="仿宋" w:hAnsi="仿宋" w:eastAsia="仿宋" w:cs="font3-Identity-H"/>
          <w:color w:val="auto"/>
          <w:kern w:val="0"/>
          <w:szCs w:val="24"/>
          <w:highlight w:val="none"/>
        </w:rPr>
        <w:t>5.</w:t>
      </w:r>
      <w:r>
        <w:rPr>
          <w:rFonts w:hint="eastAsia" w:ascii="仿宋" w:hAnsi="仿宋" w:eastAsia="仿宋"/>
          <w:color w:val="auto"/>
          <w:szCs w:val="24"/>
          <w:highlight w:val="none"/>
        </w:rPr>
        <w:t>施工单位在工程竣工验收后需及时向工程管理部报送《建设工程施工技术内业管理资料》，其中包含光盘映像档案资料。光盘映像档案资料未达到主题明确、内容连贯简洁、影像清晰，未注明工程项目名称、所在位置、外观、周围环境、人防设施、消防设施、水电设施、设计特色、建筑特色等，每项（次）扣</w:t>
      </w:r>
      <w:r>
        <w:rPr>
          <w:rFonts w:ascii="仿宋" w:hAnsi="仿宋" w:eastAsia="仿宋"/>
          <w:color w:val="auto"/>
          <w:szCs w:val="24"/>
          <w:highlight w:val="none"/>
        </w:rPr>
        <w:t>1分。</w:t>
      </w:r>
    </w:p>
    <w:p>
      <w:pPr>
        <w:ind w:firstLine="420"/>
        <w:rPr>
          <w:rFonts w:ascii="仿宋" w:hAnsi="仿宋" w:eastAsia="仿宋"/>
          <w:color w:val="auto"/>
          <w:szCs w:val="24"/>
          <w:highlight w:val="none"/>
        </w:rPr>
      </w:pPr>
      <w:r>
        <w:rPr>
          <w:rFonts w:ascii="仿宋" w:hAnsi="仿宋" w:eastAsia="仿宋" w:cs="font2-Identity-H"/>
          <w:color w:val="auto"/>
          <w:kern w:val="0"/>
          <w:szCs w:val="24"/>
          <w:highlight w:val="none"/>
        </w:rPr>
        <w:t>6</w:t>
      </w:r>
      <w:r>
        <w:rPr>
          <w:rFonts w:ascii="仿宋" w:hAnsi="仿宋" w:eastAsia="仿宋" w:cs="font3-Identity-H"/>
          <w:color w:val="auto"/>
          <w:kern w:val="0"/>
          <w:szCs w:val="24"/>
          <w:highlight w:val="none"/>
        </w:rPr>
        <w:t>.</w:t>
      </w:r>
      <w:r>
        <w:rPr>
          <w:rFonts w:hint="eastAsia" w:ascii="仿宋" w:hAnsi="仿宋" w:eastAsia="仿宋"/>
          <w:color w:val="auto"/>
          <w:szCs w:val="24"/>
          <w:highlight w:val="none"/>
        </w:rPr>
        <w:t>在工程开工前，仔细研究图纸、及时组织图纸会审，认真审核投标工程量清单；对施工图图纸不清楚的部分，应及时提交设计单位进行答疑；涉及变更的内容必须有书面记载，严格遵守设计变更有关要求组织施工。</w:t>
      </w:r>
      <w:r>
        <w:rPr>
          <w:rFonts w:hint="eastAsia" w:ascii="仿宋" w:hAnsi="仿宋" w:eastAsia="仿宋" w:cs="font3-Identity-H"/>
          <w:color w:val="auto"/>
          <w:kern w:val="0"/>
          <w:szCs w:val="24"/>
          <w:highlight w:val="none"/>
        </w:rPr>
        <w:t>达不到要求</w:t>
      </w:r>
      <w:r>
        <w:rPr>
          <w:rFonts w:ascii="仿宋" w:hAnsi="仿宋" w:eastAsia="仿宋" w:cs="font2-Identity-H"/>
          <w:color w:val="auto"/>
          <w:kern w:val="0"/>
          <w:szCs w:val="24"/>
          <w:highlight w:val="none"/>
        </w:rPr>
        <w:t>,</w:t>
      </w:r>
      <w:r>
        <w:rPr>
          <w:rFonts w:hint="eastAsia" w:ascii="仿宋" w:hAnsi="仿宋" w:eastAsia="仿宋" w:cs="font3-Identity-H"/>
          <w:color w:val="auto"/>
          <w:kern w:val="0"/>
          <w:szCs w:val="24"/>
          <w:highlight w:val="none"/>
        </w:rPr>
        <w:t>每项（次）扣</w:t>
      </w:r>
      <w:r>
        <w:rPr>
          <w:rFonts w:ascii="仿宋" w:hAnsi="仿宋" w:eastAsia="仿宋" w:cs="font3-Identity-H"/>
          <w:color w:val="auto"/>
          <w:kern w:val="0"/>
          <w:szCs w:val="24"/>
          <w:highlight w:val="none"/>
        </w:rPr>
        <w:t>1分。</w:t>
      </w:r>
    </w:p>
    <w:p>
      <w:pPr>
        <w:autoSpaceDE w:val="0"/>
        <w:autoSpaceDN w:val="0"/>
        <w:adjustRightInd w:val="0"/>
        <w:ind w:firstLine="42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7.</w:t>
      </w:r>
      <w:r>
        <w:rPr>
          <w:rFonts w:hint="eastAsia" w:ascii="仿宋" w:hAnsi="仿宋" w:eastAsia="仿宋" w:cs="font3-Identity-H"/>
          <w:color w:val="auto"/>
          <w:kern w:val="0"/>
          <w:szCs w:val="24"/>
          <w:highlight w:val="none"/>
        </w:rPr>
        <w:t>建立公文（如监理通知单）回复处理无积压、丢失现象。达不到要求</w:t>
      </w:r>
      <w:r>
        <w:rPr>
          <w:rFonts w:ascii="仿宋" w:hAnsi="仿宋" w:eastAsia="仿宋" w:cs="font2-Identity-H"/>
          <w:color w:val="auto"/>
          <w:kern w:val="0"/>
          <w:szCs w:val="24"/>
          <w:highlight w:val="none"/>
        </w:rPr>
        <w:t>,</w:t>
      </w:r>
      <w:r>
        <w:rPr>
          <w:rFonts w:hint="eastAsia" w:ascii="仿宋" w:hAnsi="仿宋" w:eastAsia="仿宋" w:cs="font3-Identity-H"/>
          <w:color w:val="auto"/>
          <w:kern w:val="0"/>
          <w:szCs w:val="24"/>
          <w:highlight w:val="none"/>
        </w:rPr>
        <w:t>每项扣</w:t>
      </w:r>
      <w:r>
        <w:rPr>
          <w:rFonts w:ascii="仿宋" w:hAnsi="仿宋" w:eastAsia="仿宋" w:cs="font3-Identity-H"/>
          <w:color w:val="auto"/>
          <w:kern w:val="0"/>
          <w:szCs w:val="24"/>
          <w:highlight w:val="none"/>
        </w:rPr>
        <w:t>1分。</w:t>
      </w:r>
    </w:p>
    <w:p>
      <w:pPr>
        <w:ind w:firstLine="420"/>
        <w:rPr>
          <w:rFonts w:ascii="仿宋" w:hAnsi="仿宋" w:eastAsia="仿宋"/>
          <w:color w:val="auto"/>
          <w:szCs w:val="24"/>
          <w:highlight w:val="none"/>
        </w:rPr>
      </w:pPr>
      <w:r>
        <w:rPr>
          <w:rFonts w:hint="eastAsia" w:ascii="仿宋" w:hAnsi="仿宋" w:eastAsia="仿宋"/>
          <w:color w:val="auto"/>
          <w:szCs w:val="24"/>
          <w:highlight w:val="none"/>
        </w:rPr>
        <w:t>第十条</w:t>
      </w:r>
      <w:r>
        <w:rPr>
          <w:rFonts w:ascii="仿宋" w:hAnsi="仿宋" w:eastAsia="仿宋"/>
          <w:color w:val="auto"/>
          <w:szCs w:val="24"/>
          <w:highlight w:val="none"/>
        </w:rPr>
        <w:t xml:space="preserve"> </w:t>
      </w:r>
      <w:r>
        <w:rPr>
          <w:rFonts w:hint="eastAsia" w:ascii="仿宋" w:hAnsi="仿宋" w:eastAsia="仿宋"/>
          <w:color w:val="auto"/>
          <w:szCs w:val="24"/>
          <w:highlight w:val="none"/>
        </w:rPr>
        <w:t>安全文明施工（</w:t>
      </w:r>
      <w:r>
        <w:rPr>
          <w:rFonts w:ascii="仿宋" w:hAnsi="仿宋" w:eastAsia="仿宋"/>
          <w:color w:val="auto"/>
          <w:szCs w:val="24"/>
          <w:highlight w:val="none"/>
        </w:rPr>
        <w:t>30分）</w:t>
      </w:r>
    </w:p>
    <w:p>
      <w:pPr>
        <w:autoSpaceDE w:val="0"/>
        <w:autoSpaceDN w:val="0"/>
        <w:adjustRightInd w:val="0"/>
        <w:ind w:firstLine="42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1.</w:t>
      </w:r>
      <w:r>
        <w:rPr>
          <w:rFonts w:hint="eastAsia" w:ascii="仿宋" w:hAnsi="仿宋" w:eastAsia="仿宋" w:cs="font2-Identity-H"/>
          <w:color w:val="auto"/>
          <w:kern w:val="0"/>
          <w:szCs w:val="24"/>
          <w:highlight w:val="none"/>
        </w:rPr>
        <w:t>未</w:t>
      </w:r>
      <w:r>
        <w:rPr>
          <w:rFonts w:hint="eastAsia" w:ascii="仿宋" w:hAnsi="仿宋" w:eastAsia="仿宋" w:cs="font3-Identity-H"/>
          <w:color w:val="auto"/>
          <w:kern w:val="0"/>
          <w:szCs w:val="24"/>
          <w:highlight w:val="none"/>
        </w:rPr>
        <w:t>成立安全生产组织机构，未配备专职安全员，没有完整的施工安全内业资料，每项扣</w:t>
      </w:r>
      <w:r>
        <w:rPr>
          <w:rFonts w:ascii="仿宋" w:hAnsi="仿宋" w:eastAsia="仿宋" w:cs="font3-Identity-H"/>
          <w:color w:val="auto"/>
          <w:kern w:val="0"/>
          <w:szCs w:val="24"/>
          <w:highlight w:val="none"/>
        </w:rPr>
        <w:t>4分。</w:t>
      </w:r>
    </w:p>
    <w:p>
      <w:pPr>
        <w:autoSpaceDE w:val="0"/>
        <w:autoSpaceDN w:val="0"/>
        <w:adjustRightInd w:val="0"/>
        <w:ind w:firstLine="420"/>
        <w:jc w:val="left"/>
        <w:rPr>
          <w:rFonts w:ascii="仿宋" w:hAnsi="仿宋" w:eastAsia="仿宋" w:cs="font2-Identity-H"/>
          <w:color w:val="auto"/>
          <w:kern w:val="0"/>
          <w:szCs w:val="24"/>
          <w:highlight w:val="none"/>
        </w:rPr>
      </w:pPr>
      <w:r>
        <w:rPr>
          <w:rFonts w:ascii="仿宋" w:hAnsi="仿宋" w:eastAsia="仿宋" w:cs="font2-Identity-H"/>
          <w:color w:val="auto"/>
          <w:kern w:val="0"/>
          <w:szCs w:val="24"/>
          <w:highlight w:val="none"/>
        </w:rPr>
        <w:t>2.</w:t>
      </w:r>
      <w:r>
        <w:rPr>
          <w:rFonts w:hint="eastAsia" w:ascii="仿宋" w:hAnsi="仿宋" w:eastAsia="仿宋" w:cs="font2-Identity-H"/>
          <w:color w:val="auto"/>
          <w:kern w:val="0"/>
          <w:szCs w:val="24"/>
          <w:highlight w:val="none"/>
        </w:rPr>
        <w:t>未按照</w:t>
      </w:r>
      <w:r>
        <w:rPr>
          <w:rFonts w:hint="eastAsia" w:ascii="仿宋" w:hAnsi="仿宋" w:eastAsia="仿宋" w:cs="font3-Identity-H"/>
          <w:color w:val="auto"/>
          <w:kern w:val="0"/>
          <w:szCs w:val="24"/>
          <w:highlight w:val="none"/>
        </w:rPr>
        <w:t>《安全生产法》有关规定建立健全各项安全规章制度，安全责任不明确，施工现场未定期召开安全生产会议，不进行安全自检自查，或检查过程中没有形成安全检查记录，没有安全技术交底记录，发现安全隐患不及时排除的，每项（次）扣</w:t>
      </w:r>
      <w:r>
        <w:rPr>
          <w:rFonts w:ascii="仿宋" w:hAnsi="仿宋" w:eastAsia="仿宋" w:cs="font3-Identity-H"/>
          <w:color w:val="auto"/>
          <w:kern w:val="0"/>
          <w:szCs w:val="24"/>
          <w:highlight w:val="none"/>
        </w:rPr>
        <w:t>4分。</w:t>
      </w:r>
    </w:p>
    <w:p>
      <w:pPr>
        <w:autoSpaceDE w:val="0"/>
        <w:autoSpaceDN w:val="0"/>
        <w:adjustRightInd w:val="0"/>
        <w:ind w:firstLine="42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3.</w:t>
      </w:r>
      <w:r>
        <w:rPr>
          <w:rFonts w:hint="eastAsia" w:ascii="仿宋" w:hAnsi="仿宋" w:eastAsia="仿宋" w:cs="font3-Identity-H"/>
          <w:color w:val="auto"/>
          <w:kern w:val="0"/>
          <w:szCs w:val="24"/>
          <w:highlight w:val="none"/>
        </w:rPr>
        <w:t>施工现场未按照</w:t>
      </w:r>
      <w:r>
        <w:rPr>
          <w:rFonts w:hint="eastAsia" w:ascii="仿宋" w:hAnsi="仿宋" w:eastAsia="仿宋"/>
          <w:color w:val="auto"/>
          <w:szCs w:val="24"/>
          <w:highlight w:val="none"/>
        </w:rPr>
        <w:t>《建设工程安全生产管理条例》的有关规定</w:t>
      </w:r>
      <w:r>
        <w:rPr>
          <w:rFonts w:hint="eastAsia" w:ascii="仿宋" w:hAnsi="仿宋" w:eastAsia="仿宋" w:cs="font3-Identity-H"/>
          <w:color w:val="auto"/>
          <w:kern w:val="0"/>
          <w:szCs w:val="24"/>
          <w:highlight w:val="none"/>
        </w:rPr>
        <w:t>设置安全警示标志、照明、隔离等安全设施，交通管制指示标志，封闭围挡等措施的；安全制度的建立与落实要得力无安全隐患，防火、防电等安全措施符合要求，易燃易爆物品妥善保管，达不到要求的每项扣</w:t>
      </w:r>
      <w:r>
        <w:rPr>
          <w:rFonts w:ascii="仿宋" w:hAnsi="仿宋" w:eastAsia="仿宋" w:cs="font3-Identity-H"/>
          <w:color w:val="auto"/>
          <w:kern w:val="0"/>
          <w:szCs w:val="24"/>
          <w:highlight w:val="none"/>
        </w:rPr>
        <w:t>5分。</w:t>
      </w:r>
    </w:p>
    <w:p>
      <w:pPr>
        <w:autoSpaceDE w:val="0"/>
        <w:autoSpaceDN w:val="0"/>
        <w:adjustRightInd w:val="0"/>
        <w:ind w:firstLine="42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4.</w:t>
      </w:r>
      <w:r>
        <w:rPr>
          <w:rFonts w:hint="eastAsia" w:ascii="仿宋" w:hAnsi="仿宋" w:eastAsia="仿宋" w:cs="font3-Identity-H"/>
          <w:color w:val="auto"/>
          <w:kern w:val="0"/>
          <w:szCs w:val="24"/>
          <w:highlight w:val="none"/>
        </w:rPr>
        <w:t>施工现场存在安全隐患，出现安全事故的，如火情、火灾、失窃、交通肇事、用电、中毒事故和治安刑事案件的，或施工人员在学校聚众闹事的，每项（次）扣</w:t>
      </w:r>
      <w:r>
        <w:rPr>
          <w:rFonts w:ascii="仿宋" w:hAnsi="仿宋" w:eastAsia="仿宋" w:cs="font3-Identity-H"/>
          <w:color w:val="auto"/>
          <w:kern w:val="0"/>
          <w:szCs w:val="24"/>
          <w:highlight w:val="none"/>
        </w:rPr>
        <w:t>6分。</w:t>
      </w:r>
    </w:p>
    <w:p>
      <w:pPr>
        <w:autoSpaceDE w:val="0"/>
        <w:autoSpaceDN w:val="0"/>
        <w:adjustRightInd w:val="0"/>
        <w:ind w:firstLine="420"/>
        <w:jc w:val="left"/>
        <w:rPr>
          <w:rFonts w:eastAsia="仿宋_GB2312" w:cs="宋体"/>
          <w:color w:val="auto"/>
          <w:kern w:val="0"/>
          <w:szCs w:val="24"/>
          <w:highlight w:val="none"/>
        </w:rPr>
      </w:pPr>
      <w:r>
        <w:rPr>
          <w:rFonts w:ascii="仿宋" w:hAnsi="仿宋" w:eastAsia="仿宋" w:cs="font3-Identity-H"/>
          <w:color w:val="auto"/>
          <w:kern w:val="0"/>
          <w:szCs w:val="24"/>
          <w:highlight w:val="none"/>
        </w:rPr>
        <w:t>5.</w:t>
      </w:r>
      <w:r>
        <w:rPr>
          <w:rFonts w:hint="eastAsia" w:eastAsia="仿宋_GB2312" w:cs="宋体"/>
          <w:color w:val="auto"/>
          <w:kern w:val="0"/>
          <w:szCs w:val="24"/>
          <w:highlight w:val="none"/>
        </w:rPr>
        <w:t>施工单位未按照合同所列项目使用“安全文明施工费”，每项（次）扣</w:t>
      </w:r>
      <w:r>
        <w:rPr>
          <w:rFonts w:ascii="仿宋" w:hAnsi="仿宋" w:eastAsia="仿宋" w:cs="font3-Identity-H"/>
          <w:color w:val="auto"/>
          <w:kern w:val="0"/>
          <w:szCs w:val="24"/>
          <w:highlight w:val="none"/>
        </w:rPr>
        <w:t>3</w:t>
      </w:r>
      <w:r>
        <w:rPr>
          <w:rFonts w:hint="eastAsia" w:eastAsia="仿宋_GB2312" w:cs="宋体"/>
          <w:color w:val="auto"/>
          <w:kern w:val="0"/>
          <w:szCs w:val="24"/>
          <w:highlight w:val="none"/>
        </w:rPr>
        <w:t>分。</w:t>
      </w:r>
    </w:p>
    <w:p>
      <w:pPr>
        <w:autoSpaceDE w:val="0"/>
        <w:autoSpaceDN w:val="0"/>
        <w:adjustRightInd w:val="0"/>
        <w:ind w:firstLine="420"/>
        <w:jc w:val="left"/>
        <w:rPr>
          <w:rFonts w:ascii="仿宋" w:hAnsi="仿宋" w:eastAsia="仿宋" w:cs="font3-Identity-H"/>
          <w:color w:val="auto"/>
          <w:kern w:val="0"/>
          <w:szCs w:val="24"/>
          <w:highlight w:val="none"/>
        </w:rPr>
      </w:pPr>
      <w:r>
        <w:rPr>
          <w:rFonts w:ascii="仿宋" w:hAnsi="仿宋" w:eastAsia="仿宋" w:cs="font2-Identity-H"/>
          <w:color w:val="auto"/>
          <w:kern w:val="0"/>
          <w:szCs w:val="24"/>
          <w:highlight w:val="none"/>
        </w:rPr>
        <w:t>6</w:t>
      </w:r>
      <w:r>
        <w:rPr>
          <w:rFonts w:ascii="仿宋" w:hAnsi="仿宋" w:eastAsia="仿宋" w:cs="font3-Identity-H"/>
          <w:color w:val="auto"/>
          <w:kern w:val="0"/>
          <w:szCs w:val="24"/>
          <w:highlight w:val="none"/>
        </w:rPr>
        <w:t>.根据《</w:t>
      </w:r>
      <w:r>
        <w:rPr>
          <w:rFonts w:ascii="仿宋" w:hAnsi="仿宋" w:eastAsia="仿宋" w:cs="宋体"/>
          <w:color w:val="auto"/>
          <w:kern w:val="0"/>
          <w:szCs w:val="24"/>
          <w:highlight w:val="none"/>
        </w:rPr>
        <w:t>中华人民共和国环境保护法</w:t>
      </w:r>
      <w:r>
        <w:rPr>
          <w:rFonts w:hint="eastAsia" w:ascii="仿宋" w:hAnsi="仿宋" w:eastAsia="仿宋" w:cs="font3-Identity-H"/>
          <w:color w:val="auto"/>
          <w:kern w:val="0"/>
          <w:szCs w:val="24"/>
          <w:highlight w:val="none"/>
        </w:rPr>
        <w:t>》《</w:t>
      </w:r>
      <w:r>
        <w:rPr>
          <w:rFonts w:ascii="仿宋" w:hAnsi="仿宋" w:eastAsia="仿宋" w:cs="宋体"/>
          <w:color w:val="auto"/>
          <w:kern w:val="0"/>
          <w:szCs w:val="24"/>
          <w:highlight w:val="none"/>
        </w:rPr>
        <w:t>中华人民共和国环境噪声污染防治法</w:t>
      </w:r>
      <w:r>
        <w:rPr>
          <w:rFonts w:hint="eastAsia" w:ascii="仿宋" w:hAnsi="仿宋" w:eastAsia="仿宋" w:cs="font3-Identity-H"/>
          <w:color w:val="auto"/>
          <w:kern w:val="0"/>
          <w:szCs w:val="24"/>
          <w:highlight w:val="none"/>
        </w:rPr>
        <w:t>》的有关规定。禁止在教学楼、公寓附近进行强噪声作业。学生考试期间暂时停止一切施工行为。</w:t>
      </w:r>
    </w:p>
    <w:p>
      <w:pPr>
        <w:autoSpaceDE w:val="0"/>
        <w:autoSpaceDN w:val="0"/>
        <w:adjustRightInd w:val="0"/>
        <w:ind w:firstLine="380" w:firstLineChars="181"/>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在公寓、食堂、办公楼、教学楼附近进行工程作业施工的，必须经总务处批准后方可施工。施工单位不可占用、堵塞防火通道，必须保证防火通道畅通，作业现场内外道路畅通。不符合规定扣</w:t>
      </w:r>
      <w:r>
        <w:rPr>
          <w:rFonts w:ascii="仿宋" w:hAnsi="仿宋" w:eastAsia="仿宋" w:cs="font3-Identity-H"/>
          <w:color w:val="auto"/>
          <w:kern w:val="0"/>
          <w:szCs w:val="24"/>
          <w:highlight w:val="none"/>
        </w:rPr>
        <w:t>5分。</w:t>
      </w:r>
    </w:p>
    <w:p>
      <w:pPr>
        <w:autoSpaceDE w:val="0"/>
        <w:autoSpaceDN w:val="0"/>
        <w:adjustRightInd w:val="0"/>
        <w:ind w:firstLine="420"/>
        <w:jc w:val="left"/>
        <w:rPr>
          <w:rFonts w:ascii="仿宋" w:hAnsi="仿宋" w:eastAsia="仿宋" w:cs="font3-Identity-H"/>
          <w:color w:val="auto"/>
          <w:kern w:val="0"/>
          <w:szCs w:val="24"/>
          <w:highlight w:val="none"/>
        </w:rPr>
      </w:pPr>
      <w:r>
        <w:rPr>
          <w:rFonts w:ascii="仿宋" w:hAnsi="仿宋" w:eastAsia="仿宋" w:cs="font3-Identity-H"/>
          <w:color w:val="auto"/>
          <w:kern w:val="0"/>
          <w:szCs w:val="24"/>
          <w:highlight w:val="none"/>
        </w:rPr>
        <w:t>7.室内施工期间，施工单位工程管理人员、工人都要挂牌上岗，特殊工种必须持证上岗。施工现场要做到环境整洁、有序、卫生。达不到以上要求</w:t>
      </w:r>
      <w:r>
        <w:rPr>
          <w:rFonts w:hint="eastAsia" w:ascii="仿宋" w:hAnsi="仿宋" w:eastAsia="仿宋" w:cs="font2-Identity-H"/>
          <w:color w:val="auto"/>
          <w:kern w:val="0"/>
          <w:szCs w:val="24"/>
          <w:highlight w:val="none"/>
        </w:rPr>
        <w:t>的</w:t>
      </w:r>
      <w:r>
        <w:rPr>
          <w:rFonts w:hint="eastAsia" w:ascii="仿宋" w:hAnsi="仿宋" w:eastAsia="仿宋" w:cs="font3-Identity-H"/>
          <w:color w:val="auto"/>
          <w:kern w:val="0"/>
          <w:szCs w:val="24"/>
          <w:highlight w:val="none"/>
        </w:rPr>
        <w:t>扣</w:t>
      </w:r>
      <w:r>
        <w:rPr>
          <w:rFonts w:ascii="仿宋" w:hAnsi="仿宋" w:eastAsia="仿宋" w:cs="font3-Identity-H"/>
          <w:color w:val="auto"/>
          <w:kern w:val="0"/>
          <w:szCs w:val="24"/>
          <w:highlight w:val="none"/>
        </w:rPr>
        <w:t>3</w:t>
      </w:r>
      <w:r>
        <w:rPr>
          <w:rFonts w:hint="eastAsia" w:ascii="仿宋" w:hAnsi="仿宋" w:eastAsia="仿宋" w:cs="font2-Identity-H"/>
          <w:color w:val="auto"/>
          <w:kern w:val="0"/>
          <w:szCs w:val="24"/>
          <w:highlight w:val="none"/>
        </w:rPr>
        <w:t>分</w:t>
      </w:r>
      <w:r>
        <w:rPr>
          <w:rFonts w:hint="eastAsia" w:ascii="仿宋" w:hAnsi="仿宋" w:eastAsia="仿宋" w:cs="font3-Identity-H"/>
          <w:color w:val="auto"/>
          <w:kern w:val="0"/>
          <w:szCs w:val="24"/>
          <w:highlight w:val="none"/>
        </w:rPr>
        <w:t>。</w:t>
      </w:r>
    </w:p>
    <w:p>
      <w:pPr>
        <w:ind w:firstLine="420"/>
        <w:rPr>
          <w:rFonts w:ascii="仿宋" w:hAnsi="仿宋" w:eastAsia="仿宋"/>
          <w:color w:val="auto"/>
          <w:szCs w:val="24"/>
          <w:highlight w:val="none"/>
        </w:rPr>
      </w:pPr>
      <w:r>
        <w:rPr>
          <w:rFonts w:hint="eastAsia" w:ascii="仿宋" w:hAnsi="仿宋" w:eastAsia="仿宋"/>
          <w:color w:val="auto"/>
          <w:szCs w:val="24"/>
          <w:highlight w:val="none"/>
        </w:rPr>
        <w:t>第十一条</w:t>
      </w:r>
      <w:r>
        <w:rPr>
          <w:rFonts w:ascii="仿宋" w:hAnsi="仿宋" w:eastAsia="仿宋"/>
          <w:color w:val="auto"/>
          <w:szCs w:val="24"/>
          <w:highlight w:val="none"/>
        </w:rPr>
        <w:t xml:space="preserve"> </w:t>
      </w:r>
      <w:r>
        <w:rPr>
          <w:rFonts w:hint="eastAsia" w:ascii="仿宋" w:hAnsi="仿宋" w:eastAsia="仿宋"/>
          <w:color w:val="auto"/>
          <w:szCs w:val="24"/>
          <w:highlight w:val="none"/>
        </w:rPr>
        <w:t>工程材料及设备（</w:t>
      </w:r>
      <w:r>
        <w:rPr>
          <w:rFonts w:ascii="仿宋" w:hAnsi="仿宋" w:eastAsia="仿宋"/>
          <w:color w:val="auto"/>
          <w:szCs w:val="24"/>
          <w:highlight w:val="none"/>
        </w:rPr>
        <w:t>8分）</w:t>
      </w:r>
    </w:p>
    <w:p>
      <w:pPr>
        <w:autoSpaceDE w:val="0"/>
        <w:autoSpaceDN w:val="0"/>
        <w:adjustRightInd w:val="0"/>
        <w:ind w:firstLine="420"/>
        <w:jc w:val="left"/>
        <w:rPr>
          <w:rFonts w:ascii="仿宋" w:hAnsi="仿宋" w:eastAsia="仿宋" w:cs="font3-Identity-H"/>
          <w:b/>
          <w:color w:val="auto"/>
          <w:kern w:val="0"/>
          <w:szCs w:val="24"/>
          <w:highlight w:val="none"/>
        </w:rPr>
      </w:pPr>
      <w:r>
        <w:rPr>
          <w:rFonts w:ascii="仿宋" w:hAnsi="仿宋" w:eastAsia="仿宋" w:cs="font3-Identity-H"/>
          <w:color w:val="auto"/>
          <w:kern w:val="0"/>
          <w:szCs w:val="24"/>
          <w:highlight w:val="none"/>
        </w:rPr>
        <w:t>1.在施工过程中如发现施工单位偷工减料或使用不合格建筑装饰材料、材料构配件、设备的。按《质量管理条例》的有关规定扣8分并做以下处罚：</w:t>
      </w:r>
    </w:p>
    <w:p>
      <w:pPr>
        <w:autoSpaceDE w:val="0"/>
        <w:autoSpaceDN w:val="0"/>
        <w:adjustRightInd w:val="0"/>
        <w:ind w:firstLine="210" w:firstLineChars="1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w:t>
      </w:r>
      <w:r>
        <w:rPr>
          <w:rFonts w:ascii="仿宋" w:hAnsi="仿宋" w:eastAsia="仿宋" w:cs="font3-Identity-H"/>
          <w:color w:val="auto"/>
          <w:kern w:val="0"/>
          <w:szCs w:val="24"/>
          <w:highlight w:val="none"/>
        </w:rPr>
        <w:t>1）.处合同价款2%以上4%以下罚款。</w:t>
      </w:r>
    </w:p>
    <w:p>
      <w:pPr>
        <w:autoSpaceDE w:val="0"/>
        <w:autoSpaceDN w:val="0"/>
        <w:adjustRightInd w:val="0"/>
        <w:ind w:firstLine="210" w:firstLineChars="1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w:t>
      </w:r>
      <w:r>
        <w:rPr>
          <w:rFonts w:ascii="仿宋" w:hAnsi="仿宋" w:eastAsia="仿宋" w:cs="font3-Identity-H"/>
          <w:color w:val="auto"/>
          <w:kern w:val="0"/>
          <w:szCs w:val="24"/>
          <w:highlight w:val="none"/>
        </w:rPr>
        <w:t>2）.负责返工、一切损失由施工单位负责。</w:t>
      </w:r>
    </w:p>
    <w:p>
      <w:pPr>
        <w:autoSpaceDE w:val="0"/>
        <w:autoSpaceDN w:val="0"/>
        <w:adjustRightInd w:val="0"/>
        <w:ind w:firstLine="210" w:firstLineChars="1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w:t>
      </w:r>
      <w:r>
        <w:rPr>
          <w:rFonts w:ascii="仿宋" w:hAnsi="仿宋" w:eastAsia="仿宋" w:cs="font3-Identity-H"/>
          <w:color w:val="auto"/>
          <w:kern w:val="0"/>
          <w:szCs w:val="24"/>
          <w:highlight w:val="none"/>
        </w:rPr>
        <w:t>3）.对情节严重</w:t>
      </w:r>
      <w:r>
        <w:rPr>
          <w:rFonts w:ascii="仿宋" w:hAnsi="仿宋" w:eastAsia="仿宋" w:cs="font3-Identity-H"/>
          <w:color w:val="auto"/>
          <w:kern w:val="0"/>
          <w:szCs w:val="24"/>
          <w:highlight w:val="none"/>
        </w:rPr>
        <w:tab/>
      </w:r>
      <w:r>
        <w:rPr>
          <w:rFonts w:hint="eastAsia" w:ascii="仿宋" w:hAnsi="仿宋" w:eastAsia="仿宋" w:cs="font3-Identity-H"/>
          <w:color w:val="auto"/>
          <w:kern w:val="0"/>
          <w:szCs w:val="24"/>
          <w:highlight w:val="none"/>
        </w:rPr>
        <w:t>的，立即解除施工合同，并列入《哈尔滨工业大学修缮工程招标限制名单》。</w:t>
      </w:r>
    </w:p>
    <w:p>
      <w:pPr>
        <w:autoSpaceDE w:val="0"/>
        <w:autoSpaceDN w:val="0"/>
        <w:adjustRightInd w:val="0"/>
        <w:ind w:firstLine="1792" w:firstLineChars="850"/>
        <w:jc w:val="left"/>
        <w:rPr>
          <w:rFonts w:ascii="仿宋" w:hAnsi="仿宋" w:eastAsia="仿宋" w:cs="font3-Identity-H"/>
          <w:b/>
          <w:color w:val="auto"/>
          <w:kern w:val="0"/>
          <w:szCs w:val="24"/>
          <w:highlight w:val="none"/>
        </w:rPr>
      </w:pPr>
      <w:r>
        <w:rPr>
          <w:rFonts w:hint="eastAsia" w:ascii="仿宋" w:hAnsi="仿宋" w:eastAsia="仿宋" w:cs="font3-Identity-H"/>
          <w:b/>
          <w:color w:val="auto"/>
          <w:kern w:val="0"/>
          <w:szCs w:val="24"/>
          <w:highlight w:val="none"/>
        </w:rPr>
        <w:t>第三章</w:t>
      </w:r>
      <w:r>
        <w:rPr>
          <w:rFonts w:ascii="仿宋" w:hAnsi="仿宋" w:eastAsia="仿宋" w:cs="font3-Identity-H"/>
          <w:b/>
          <w:color w:val="auto"/>
          <w:kern w:val="0"/>
          <w:szCs w:val="24"/>
          <w:highlight w:val="none"/>
        </w:rPr>
        <w:t xml:space="preserve"> </w:t>
      </w:r>
      <w:r>
        <w:rPr>
          <w:rFonts w:hint="eastAsia" w:ascii="仿宋" w:hAnsi="仿宋" w:eastAsia="仿宋" w:cs="font3-Identity-H"/>
          <w:b/>
          <w:color w:val="auto"/>
          <w:kern w:val="0"/>
          <w:szCs w:val="24"/>
          <w:highlight w:val="none"/>
        </w:rPr>
        <w:t>附则</w:t>
      </w:r>
    </w:p>
    <w:p>
      <w:pPr>
        <w:autoSpaceDE w:val="0"/>
        <w:autoSpaceDN w:val="0"/>
        <w:adjustRightInd w:val="0"/>
        <w:ind w:firstLine="210" w:firstLineChars="100"/>
        <w:jc w:val="left"/>
        <w:rPr>
          <w:rFonts w:ascii="仿宋" w:hAnsi="仿宋" w:eastAsia="仿宋" w:cs="font3-Identity-H"/>
          <w:color w:val="auto"/>
          <w:kern w:val="0"/>
          <w:szCs w:val="24"/>
          <w:highlight w:val="none"/>
        </w:rPr>
      </w:pPr>
      <w:r>
        <w:rPr>
          <w:rFonts w:hint="eastAsia" w:ascii="仿宋" w:hAnsi="仿宋" w:eastAsia="仿宋" w:cs="font3-Identity-H"/>
          <w:color w:val="auto"/>
          <w:kern w:val="0"/>
          <w:szCs w:val="24"/>
          <w:highlight w:val="none"/>
        </w:rPr>
        <w:t>第十二条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总务处工程管理部对施工单位的考核结果由该项目负责人签署意见。扣分标准与罚款同步实施，每扣</w:t>
      </w:r>
      <w:r>
        <w:rPr>
          <w:rFonts w:ascii="仿宋" w:hAnsi="仿宋" w:eastAsia="仿宋" w:cs="font3-Identity-H"/>
          <w:color w:val="auto"/>
          <w:kern w:val="0"/>
          <w:szCs w:val="24"/>
          <w:highlight w:val="none"/>
        </w:rPr>
        <w:t>1分同时罚款10000元的处罚。</w:t>
      </w:r>
    </w:p>
    <w:p>
      <w:pPr>
        <w:pStyle w:val="466"/>
        <w:ind w:firstLine="210" w:firstLineChars="100"/>
        <w:rPr>
          <w:rFonts w:ascii="Times New Roman" w:hAnsi="Times New Roman" w:eastAsia="仿宋_GB2312"/>
          <w:color w:val="auto"/>
          <w:szCs w:val="24"/>
          <w:highlight w:val="none"/>
        </w:rPr>
        <w:sectPr>
          <w:pgSz w:w="11907" w:h="16839"/>
          <w:pgMar w:top="1928" w:right="1531" w:bottom="1871" w:left="1531" w:header="1148" w:footer="709" w:gutter="0"/>
          <w:cols w:space="720" w:num="1"/>
          <w:docGrid w:linePitch="360" w:charSpace="0"/>
        </w:sectPr>
      </w:pPr>
      <w:r>
        <w:rPr>
          <w:rFonts w:hint="eastAsia" w:ascii="仿宋" w:hAnsi="仿宋" w:eastAsia="仿宋" w:cs="font3-Identity-H"/>
          <w:color w:val="auto"/>
          <w:kern w:val="0"/>
          <w:szCs w:val="24"/>
          <w:highlight w:val="none"/>
        </w:rPr>
        <w:t>第十三条</w:t>
      </w:r>
      <w:r>
        <w:rPr>
          <w:rFonts w:ascii="仿宋" w:hAnsi="仿宋" w:eastAsia="仿宋" w:cs="font3-Identity-H"/>
          <w:color w:val="auto"/>
          <w:kern w:val="0"/>
          <w:szCs w:val="24"/>
          <w:highlight w:val="none"/>
        </w:rPr>
        <w:t xml:space="preserve"> </w:t>
      </w:r>
      <w:r>
        <w:rPr>
          <w:rFonts w:hint="eastAsia" w:ascii="仿宋" w:hAnsi="仿宋" w:eastAsia="仿宋" w:cs="font3-Identity-H"/>
          <w:color w:val="auto"/>
          <w:kern w:val="0"/>
          <w:szCs w:val="24"/>
          <w:highlight w:val="none"/>
        </w:rPr>
        <w:t>本细则自发布之日起执行，未尽事宜由总务处负责解释。</w:t>
      </w:r>
    </w:p>
    <w:p>
      <w:pPr>
        <w:ind w:firstLine="1807" w:firstLineChars="500"/>
        <w:outlineLvl w:val="0"/>
        <w:rPr>
          <w:rFonts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rPr>
        <w:t>哈工大施工现场安全隐患处罚条例</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A类：重大安全隐患或不合格：</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hint="eastAsia" w:asciiTheme="minorEastAsia" w:hAnsiTheme="minorEastAsia" w:eastAsiaTheme="minorEastAsia"/>
          <w:bCs/>
          <w:color w:val="auto"/>
          <w:highlight w:val="none"/>
        </w:rPr>
        <w:t>施工现场无安全技术交底、专项安全方案等技术资料，</w:t>
      </w:r>
      <w:r>
        <w:rPr>
          <w:rFonts w:hint="eastAsia" w:asciiTheme="minorEastAsia" w:hAnsiTheme="minorEastAsia" w:eastAsiaTheme="minorEastAsia"/>
          <w:color w:val="auto"/>
          <w:highlight w:val="none"/>
        </w:rPr>
        <w:t>罚款2000元/项。</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2、安全带不合格，高空作业不戴安全带或不正确佩戴安全带，罚款1000元/人次。</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2、吊篮没有配置或安装合格的安全大绳、安全配重和钢丝绳，罚款1000元/处。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3、吊篮前支架长度外伸长度超过吊篮方案要求、吊篮超载使用，罚款1000元/处。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4、吊装设备使用钢丝绳不合格、没有按施工方案固定或固定不牢固，罚款1000元/处。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5、未按要求擅自拆改脚手架拉结点、脚手架晃动严重仍然使用，罚款1000元/处。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6、临边施工洞口未按要求做有效的安全防护或者擅自拆改防护，采光顶、雨篷施工无有效防坠落措施，罚款1000元/处。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7、电焊、气割时易燃物不进行清理且无有效接火防火措施，罚款1000元/处。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8、气割使用压力表、气瓶、气带未按照规范要求使用或不合格，罚款1000元/处。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9、安全帽不合格，未按要求戴安全帽或不能正确佩戴安全帽，罚款500元/人次。</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10、施工现场用电违反“一机、一闸、一漏、一箱”，罚款500元/处。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11、禁止烟火区域现场吸烟或动火，罚款500元/处。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12、施工现场动火，未开具动火证、未设置专职看火人，罚款500元</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13、登高作业无专用工具或使用汽车吊登高无防护装置的，罚款500元</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14、高空行走未设置安全生命线以及相应保护装置，罚款500元</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15、隐患整改拒不签字认证整改或不按时整改，罚款500元</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次。</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16、施工现场未配备转运伤员的应急车辆，罚款500元/次。</w:t>
      </w:r>
    </w:p>
    <w:p>
      <w:pP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B类：一般安全隐患或不合格：</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1、吊篮安全大绳与结构接触部位未做防护的，罚款500 元/次。</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2、吊篮有一处绳夹有松动或绳夹数量不够或安装方向错误，罚款500 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3、吊篮未安装限位器或限位器安装不牢固，使用不灵活，罚款200 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4、吊篮支架或篮体连接部位少螺栓或缺螺母的，罚款200 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szCs w:val="18"/>
          <w:highlight w:val="none"/>
        </w:rPr>
        <w:t>乙炔氧气瓶的使用未按照安全距离隔开或存放区域有电线铺设和油脂、油漆等易燃物存放，罚款200元</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6、施工用电箱及设备保护零线与工作零线混接的，罚款200元/处。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7、施工人员进出吊篮时，违反规定操作的，罚款200元/人。</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8、脚手架未按施工方案搭设，罚款500元/处。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9、安全网、密目网、跳板未按照施工方案搭设，罚款500元/处。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10、安全通道未设置、无明显标志，罚款200元/处。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11、登高作业无专用工具直接在建筑物攀爬者，罚款500 元/人次。</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12、结构安装过程中，未设置安全攀爬工具或采用吊车登高的，罚款300元/人次。</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13、施工现场临时用电私拉乱接，存在安全隐患，罚款500元/次。</w:t>
      </w:r>
    </w:p>
    <w:p>
      <w:pPr>
        <w:rPr>
          <w:rFonts w:asciiTheme="minorEastAsia" w:hAnsiTheme="minorEastAsia" w:eastAsiaTheme="minorEastAsia"/>
          <w:b/>
          <w:color w:val="auto"/>
          <w:highlight w:val="none"/>
        </w:rPr>
      </w:pPr>
      <w:r>
        <w:rPr>
          <w:rFonts w:hint="eastAsia" w:asciiTheme="minorEastAsia" w:hAnsiTheme="minorEastAsia" w:eastAsiaTheme="minorEastAsia"/>
          <w:b/>
          <w:bCs/>
          <w:color w:val="auto"/>
          <w:highlight w:val="none"/>
        </w:rPr>
        <w:t>C类：</w:t>
      </w:r>
      <w:r>
        <w:rPr>
          <w:rFonts w:hint="eastAsia" w:asciiTheme="minorEastAsia" w:hAnsiTheme="minorEastAsia" w:eastAsiaTheme="minorEastAsia"/>
          <w:b/>
          <w:color w:val="auto"/>
          <w:highlight w:val="none"/>
        </w:rPr>
        <w:t>轻微安全隐患或不合格项</w:t>
      </w:r>
    </w:p>
    <w:p>
      <w:pPr>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1、施工现场（施工主体、作业加工区距离20m范围内）吸烟者，</w:t>
      </w:r>
      <w:r>
        <w:rPr>
          <w:rFonts w:hint="eastAsia" w:asciiTheme="minorEastAsia" w:hAnsiTheme="minorEastAsia" w:eastAsiaTheme="minorEastAsia"/>
          <w:color w:val="auto"/>
          <w:szCs w:val="18"/>
          <w:highlight w:val="none"/>
        </w:rPr>
        <w:t>罚款200元</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2、焊把线接头超过三个或绝缘老化的，</w:t>
      </w:r>
      <w:r>
        <w:rPr>
          <w:rFonts w:hint="eastAsia" w:asciiTheme="minorEastAsia" w:hAnsiTheme="minorEastAsia" w:eastAsiaTheme="minorEastAsia"/>
          <w:color w:val="auto"/>
          <w:szCs w:val="18"/>
          <w:highlight w:val="none"/>
        </w:rPr>
        <w:t>罚款100元</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3、高空作业时小零件和工具没有防坠落措施的，</w:t>
      </w:r>
      <w:r>
        <w:rPr>
          <w:rFonts w:hint="eastAsia" w:asciiTheme="minorEastAsia" w:hAnsiTheme="minorEastAsia" w:eastAsiaTheme="minorEastAsia"/>
          <w:color w:val="auto"/>
          <w:szCs w:val="18"/>
          <w:highlight w:val="none"/>
        </w:rPr>
        <w:t>罚款100元</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4、吊篮作业时，两台相邻吊篮高差超过2米的，</w:t>
      </w:r>
      <w:r>
        <w:rPr>
          <w:rFonts w:hint="eastAsia" w:asciiTheme="minorEastAsia" w:hAnsiTheme="minorEastAsia" w:eastAsiaTheme="minorEastAsia"/>
          <w:color w:val="auto"/>
          <w:szCs w:val="18"/>
          <w:highlight w:val="none"/>
        </w:rPr>
        <w:t>罚款100元</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5、配电线路老化严重，绝缘皮破损未包扎的，</w:t>
      </w:r>
      <w:r>
        <w:rPr>
          <w:rFonts w:hint="eastAsia" w:asciiTheme="minorEastAsia" w:hAnsiTheme="minorEastAsia" w:eastAsiaTheme="minorEastAsia"/>
          <w:color w:val="auto"/>
          <w:szCs w:val="18"/>
          <w:highlight w:val="none"/>
        </w:rPr>
        <w:t>罚款100元</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szCs w:val="18"/>
          <w:highlight w:val="none"/>
        </w:rPr>
      </w:pPr>
      <w:r>
        <w:rPr>
          <w:rFonts w:hint="eastAsia" w:asciiTheme="minorEastAsia" w:hAnsiTheme="minorEastAsia" w:eastAsiaTheme="minorEastAsia"/>
          <w:color w:val="auto"/>
          <w:highlight w:val="none"/>
        </w:rPr>
        <w:t>6、配电箱门开启未及时关闭或箱门损坏未按要求及时修复，</w:t>
      </w:r>
      <w:r>
        <w:rPr>
          <w:rFonts w:hint="eastAsia" w:asciiTheme="minorEastAsia" w:hAnsiTheme="minorEastAsia" w:eastAsiaTheme="minorEastAsia"/>
          <w:color w:val="auto"/>
          <w:szCs w:val="18"/>
          <w:highlight w:val="none"/>
        </w:rPr>
        <w:t>罚款100元</w:t>
      </w:r>
      <w:r>
        <w:rPr>
          <w:rFonts w:hint="eastAsia" w:asciiTheme="minorEastAsia" w:hAnsiTheme="minorEastAsia" w:eastAsiaTheme="minorEastAsia"/>
          <w:color w:val="auto"/>
          <w:highlight w:val="none"/>
        </w:rPr>
        <w:t>/处。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7、施工部位的脚手架无脚手板或存在探头板，罚款100元/处。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8、安全网上存异物、垃圾未清理，罚款100元/处。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9、密目网出现直径大于0.3m漏洞未修复，罚款100元/处。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10、脚手架安全通道杂物未清理，罚款100元/处。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11、拆模后木楞、模板上存在钉子未清除，罚款100元/处。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12、起重吊物下站人，罚款100元/处。</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13、施工现场带电作业未配备绝缘手套或者绝缘鞋，罚款100元/人次。</w:t>
      </w:r>
    </w:p>
    <w:p>
      <w:pPr>
        <w:ind w:firstLine="422" w:firstLineChars="20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其它未注明事项：对于施工现场检查过程中发现的，关于施工安全方面存在的问题，未能在处罚条例里面体现的项目，违反国家、地方法律法规、施工现场安全生产文明施工条例现象，视情节轻重另行处以100</w:t>
      </w:r>
      <w:r>
        <w:rPr>
          <w:rFonts w:asciiTheme="minorEastAsia" w:hAnsiTheme="minorEastAsia" w:eastAsiaTheme="minorEastAsia"/>
          <w:b/>
          <w:color w:val="auto"/>
          <w:szCs w:val="24"/>
          <w:highlight w:val="none"/>
        </w:rPr>
        <w:t>—</w:t>
      </w:r>
      <w:r>
        <w:rPr>
          <w:rFonts w:hint="eastAsia" w:asciiTheme="minorEastAsia" w:hAnsiTheme="minorEastAsia" w:eastAsiaTheme="minorEastAsia"/>
          <w:b/>
          <w:color w:val="auto"/>
          <w:szCs w:val="24"/>
          <w:highlight w:val="none"/>
        </w:rPr>
        <w:t>5000元处罚。</w:t>
      </w:r>
    </w:p>
    <w:p>
      <w:pPr>
        <w:ind w:firstLine="422" w:firstLineChars="20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上述安全隐患造成严重后果的，将按《哈尔滨工业大学总务处工程施工现场管理办法》《哈尔滨工业大学总务处工程施工现场管理细则》处理。情节特别严重的，立即解除施工合同，包赔损失，并列入《哈尔滨工业大学修缮工程招标限制名单》。</w:t>
      </w:r>
    </w:p>
    <w:p>
      <w:pPr>
        <w:ind w:firstLine="4410" w:firstLineChars="2100"/>
        <w:rPr>
          <w:rFonts w:asciiTheme="minorEastAsia" w:hAnsiTheme="minorEastAsia" w:eastAsiaTheme="minorEastAsia"/>
          <w:color w:val="auto"/>
          <w:szCs w:val="24"/>
          <w:highlight w:val="none"/>
        </w:rPr>
      </w:pP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szCs w:val="24"/>
          <w:highlight w:val="none"/>
        </w:rPr>
        <w:t xml:space="preserve">  哈工大总务处 工程管理部</w:t>
      </w:r>
    </w:p>
    <w:p>
      <w:pPr>
        <w:ind w:firstLine="211" w:firstLineChars="1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 xml:space="preserve">                                          施工单位确认(公章）:</w:t>
      </w:r>
    </w:p>
    <w:p>
      <w:pPr>
        <w:ind w:firstLine="4638" w:firstLineChars="22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项目经理（签字）：</w:t>
      </w:r>
    </w:p>
    <w:p>
      <w:pPr>
        <w:rPr>
          <w:rStyle w:val="121"/>
          <w:rFonts w:ascii="黑体" w:hAnsi="黑体" w:eastAsia="黑体" w:cs="黑体"/>
          <w:color w:val="auto"/>
          <w:kern w:val="0"/>
          <w:sz w:val="44"/>
          <w:szCs w:val="44"/>
          <w:highlight w:val="none"/>
        </w:rPr>
      </w:pPr>
      <w:r>
        <w:rPr>
          <w:rFonts w:hint="eastAsia" w:asciiTheme="minorEastAsia" w:hAnsiTheme="minorEastAsia" w:eastAsiaTheme="minorEastAsia"/>
          <w:b/>
          <w:color w:val="auto"/>
          <w:highlight w:val="none"/>
        </w:rPr>
        <w:t xml:space="preserve">                                            日期：</w:t>
      </w:r>
      <w:r>
        <w:rPr>
          <w:rStyle w:val="121"/>
          <w:rFonts w:ascii="黑体" w:hAnsi="黑体" w:eastAsia="黑体" w:cs="黑体"/>
          <w:color w:val="auto"/>
          <w:sz w:val="44"/>
          <w:szCs w:val="44"/>
          <w:highlight w:val="none"/>
        </w:rPr>
        <w:br w:type="page"/>
      </w:r>
    </w:p>
    <w:p>
      <w:pPr>
        <w:pStyle w:val="77"/>
        <w:spacing w:beforeAutospacing="0" w:afterAutospacing="0" w:line="360" w:lineRule="auto"/>
        <w:jc w:val="center"/>
        <w:rPr>
          <w:rStyle w:val="121"/>
          <w:rFonts w:ascii="黑体" w:hAnsi="黑体" w:eastAsia="黑体" w:cs="黑体"/>
          <w:color w:val="auto"/>
          <w:sz w:val="44"/>
          <w:szCs w:val="44"/>
          <w:highlight w:val="none"/>
        </w:rPr>
      </w:pPr>
      <w:r>
        <w:rPr>
          <w:rStyle w:val="121"/>
          <w:rFonts w:hint="eastAsia" w:ascii="黑体" w:hAnsi="黑体" w:eastAsia="黑体" w:cs="黑体"/>
          <w:color w:val="auto"/>
          <w:sz w:val="44"/>
          <w:szCs w:val="44"/>
          <w:highlight w:val="none"/>
        </w:rPr>
        <w:t>施工企业防疫防控承诺书</w:t>
      </w:r>
    </w:p>
    <w:p>
      <w:pPr>
        <w:pStyle w:val="77"/>
        <w:spacing w:beforeAutospacing="0" w:afterAutospacing="0" w:line="240" w:lineRule="exact"/>
        <w:ind w:left="2880"/>
        <w:rPr>
          <w:rStyle w:val="121"/>
          <w:rFonts w:ascii="方正仿宋_GB2312" w:hAnsi="方正仿宋_GB2312" w:eastAsia="方正仿宋_GB2312" w:cs="方正仿宋_GB2312"/>
          <w:b w:val="0"/>
          <w:bCs w:val="0"/>
          <w:color w:val="auto"/>
          <w:sz w:val="10"/>
          <w:szCs w:val="10"/>
          <w:highlight w:val="none"/>
        </w:rPr>
      </w:pPr>
    </w:p>
    <w:p>
      <w:pPr>
        <w:pStyle w:val="77"/>
        <w:spacing w:beforeAutospacing="0" w:afterAutospacing="0" w:line="460" w:lineRule="exact"/>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我单位承诺：</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按照哈工大总务处/后勤集团疫情防控要求，强化防疫工作落实，内容如下：</w:t>
      </w:r>
    </w:p>
    <w:p>
      <w:pPr>
        <w:pStyle w:val="77"/>
        <w:spacing w:beforeAutospacing="0" w:afterAutospacing="0" w:line="460" w:lineRule="exact"/>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 xml:space="preserve">    </w:t>
      </w:r>
      <w:r>
        <w:rPr>
          <w:rStyle w:val="121"/>
          <w:rFonts w:hint="eastAsia" w:cs="黑体" w:asciiTheme="minorEastAsia" w:hAnsiTheme="minorEastAsia" w:eastAsiaTheme="minorEastAsia"/>
          <w:bCs w:val="0"/>
          <w:color w:val="auto"/>
          <w:sz w:val="21"/>
          <w:szCs w:val="21"/>
          <w:highlight w:val="none"/>
        </w:rPr>
        <w:t>一、具体承诺</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bookmarkStart w:id="1079" w:name="_Toc31226"/>
      <w:r>
        <w:rPr>
          <w:rStyle w:val="121"/>
          <w:rFonts w:hint="eastAsia" w:cs="方正仿宋_GB2312" w:asciiTheme="minorEastAsia" w:hAnsiTheme="minorEastAsia" w:eastAsiaTheme="minorEastAsia"/>
          <w:bCs w:val="0"/>
          <w:color w:val="auto"/>
          <w:sz w:val="21"/>
          <w:szCs w:val="21"/>
          <w:highlight w:val="none"/>
        </w:rPr>
        <w:t>1、承诺提供的健康码、通行大数据、核酸检测报告真实有效，同时必须要做到，施工期间，严禁施工人员外出离开哈市。每日施工人员进入施工现场前，监理对进行龙江健康码和大数据行程码（简称“双码”）进行查验，留存截图。工程管理部对监理检查情况进行检查。对所有不符合防疫要求的人员一律禁止入场；</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 xml:space="preserve">2、对进入施工现场的施工人员及时测体温，如发现体温异常及疑似病人，及时报告并配合相关部门采取隔离措施。  </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3、施工场所须保持清洁、空气流通，并定期消杀，并做好详细记录。</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4、加强对施工人员“疫情防控”的宣传教育。</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5、对疫情有迟报、谎报、瞒报、漏报或处置不当的，工程管理部将追究施工单位责任。</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6、有关疫情信息，除按正常渠道外，不擅自在新闻媒体发布，注意正确宣传，防止恐慌，以维护稳定。</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7、施工人员必须施工现场、居住地“两点一线”，上班不得乘坐公共交通工具，不聚集不聚会。</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8、由发生疫情所在城市返回的施工人员不得进入施工现场。</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9、施工现场封闭管理，施工人员集中统一出入。施工期间，人员未经批准，不得离开施工现场，施工期间戴口罩。</w:t>
      </w:r>
    </w:p>
    <w:p>
      <w:pPr>
        <w:pStyle w:val="77"/>
        <w:spacing w:beforeAutospacing="0" w:afterAutospacing="0" w:line="460" w:lineRule="exact"/>
        <w:ind w:firstLine="422" w:firstLineChars="20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10、施工单位每天上报施工日报，内容除施工信息外，还要增加进场人员姓名、身份证号、当天双码截图。</w:t>
      </w:r>
    </w:p>
    <w:p>
      <w:pPr>
        <w:pStyle w:val="77"/>
        <w:spacing w:beforeAutospacing="0" w:afterAutospacing="0" w:line="460" w:lineRule="exact"/>
        <w:ind w:firstLine="422" w:firstLineChars="200"/>
        <w:rPr>
          <w:rFonts w:cs="方正仿宋_GB2312" w:asciiTheme="minorEastAsia" w:hAnsiTheme="minorEastAsia" w:eastAsiaTheme="minorEastAsia"/>
          <w:b/>
          <w:bCs/>
          <w:color w:val="auto"/>
          <w:sz w:val="21"/>
          <w:szCs w:val="21"/>
          <w:highlight w:val="none"/>
        </w:rPr>
      </w:pPr>
      <w:r>
        <w:rPr>
          <w:rFonts w:hint="eastAsia" w:cs="方正仿宋_GB2312" w:asciiTheme="minorEastAsia" w:hAnsiTheme="minorEastAsia" w:eastAsiaTheme="minorEastAsia"/>
          <w:b/>
          <w:bCs/>
          <w:color w:val="auto"/>
          <w:sz w:val="21"/>
          <w:szCs w:val="21"/>
          <w:highlight w:val="none"/>
        </w:rPr>
        <w:t>二、愿接受的处</w:t>
      </w:r>
      <w:r>
        <w:rPr>
          <w:rStyle w:val="121"/>
          <w:rFonts w:hint="eastAsia" w:cs="方正仿宋_GB2312" w:asciiTheme="minorEastAsia" w:hAnsiTheme="minorEastAsia" w:eastAsiaTheme="minorEastAsia"/>
          <w:b w:val="0"/>
          <w:bCs w:val="0"/>
          <w:color w:val="auto"/>
          <w:sz w:val="21"/>
          <w:szCs w:val="21"/>
          <w:highlight w:val="none"/>
        </w:rPr>
        <w:t>罚措施</w:t>
      </w:r>
      <w:bookmarkEnd w:id="1079"/>
    </w:p>
    <w:p>
      <w:pPr>
        <w:spacing w:line="460" w:lineRule="exact"/>
        <w:ind w:firstLine="420" w:firstLineChars="200"/>
        <w:rPr>
          <w:rFonts w:cs="方正仿宋_GB2312" w:asciiTheme="minorEastAsia" w:hAnsiTheme="minorEastAsia" w:eastAsiaTheme="minorEastAsia"/>
          <w:color w:val="auto"/>
          <w:sz w:val="21"/>
          <w:szCs w:val="21"/>
          <w:highlight w:val="none"/>
        </w:rPr>
      </w:pPr>
      <w:r>
        <w:rPr>
          <w:rFonts w:hint="eastAsia" w:cs="方正仿宋_GB2312" w:asciiTheme="minorEastAsia" w:hAnsiTheme="minorEastAsia" w:eastAsiaTheme="minorEastAsia"/>
          <w:color w:val="auto"/>
          <w:sz w:val="21"/>
          <w:szCs w:val="21"/>
          <w:highlight w:val="none"/>
        </w:rPr>
        <w:t>1、出现疫情漏报、瞒报，施工人员不经入校审批入校的，对施工单位处以每次一万至五万元罚款。</w:t>
      </w:r>
    </w:p>
    <w:p>
      <w:pPr>
        <w:spacing w:line="460" w:lineRule="exact"/>
        <w:ind w:firstLine="420" w:firstLineChars="200"/>
        <w:rPr>
          <w:rFonts w:cs="方正仿宋_GB2312" w:asciiTheme="minorEastAsia" w:hAnsiTheme="minorEastAsia" w:eastAsiaTheme="minorEastAsia"/>
          <w:color w:val="auto"/>
          <w:sz w:val="21"/>
          <w:szCs w:val="21"/>
          <w:highlight w:val="none"/>
        </w:rPr>
      </w:pPr>
      <w:r>
        <w:rPr>
          <w:rFonts w:hint="eastAsia" w:cs="方正仿宋_GB2312" w:asciiTheme="minorEastAsia" w:hAnsiTheme="minorEastAsia" w:eastAsiaTheme="minorEastAsia"/>
          <w:color w:val="auto"/>
          <w:sz w:val="21"/>
          <w:szCs w:val="21"/>
          <w:highlight w:val="none"/>
        </w:rPr>
        <w:t>2、出现施工人员疏于管理，不登记、不测温、不戴口罩情形，对施工单位处以每次两千千至五千元罚款。</w:t>
      </w:r>
    </w:p>
    <w:p>
      <w:pPr>
        <w:spacing w:line="460" w:lineRule="exact"/>
        <w:ind w:firstLine="420" w:firstLineChars="200"/>
        <w:rPr>
          <w:rFonts w:cs="方正仿宋_GB2312" w:asciiTheme="minorEastAsia" w:hAnsiTheme="minorEastAsia" w:eastAsiaTheme="minorEastAsia"/>
          <w:color w:val="auto"/>
          <w:sz w:val="21"/>
          <w:szCs w:val="21"/>
          <w:highlight w:val="none"/>
        </w:rPr>
      </w:pPr>
      <w:r>
        <w:rPr>
          <w:rFonts w:hint="eastAsia" w:cs="方正仿宋_GB2312" w:asciiTheme="minorEastAsia" w:hAnsiTheme="minorEastAsia" w:eastAsiaTheme="minorEastAsia"/>
          <w:color w:val="auto"/>
          <w:sz w:val="21"/>
          <w:szCs w:val="21"/>
          <w:highlight w:val="none"/>
        </w:rPr>
        <w:t>3、上报防疫信息、施工日报不及时、不准确的，对施工单位处以每次五千至一万元罚款。</w:t>
      </w:r>
    </w:p>
    <w:p>
      <w:pPr>
        <w:spacing w:line="460" w:lineRule="exact"/>
        <w:ind w:firstLine="420" w:firstLineChars="200"/>
        <w:rPr>
          <w:rStyle w:val="121"/>
          <w:rFonts w:cs="方正仿宋_GB2312" w:asciiTheme="minorEastAsia" w:hAnsiTheme="minorEastAsia" w:eastAsiaTheme="minorEastAsia"/>
          <w:b w:val="0"/>
          <w:bCs w:val="0"/>
          <w:color w:val="auto"/>
          <w:kern w:val="0"/>
          <w:sz w:val="21"/>
          <w:szCs w:val="21"/>
          <w:highlight w:val="none"/>
        </w:rPr>
      </w:pPr>
      <w:r>
        <w:rPr>
          <w:rFonts w:hint="eastAsia" w:cs="方正仿宋_GB2312" w:asciiTheme="minorEastAsia" w:hAnsiTheme="minorEastAsia" w:eastAsiaTheme="minorEastAsia"/>
          <w:color w:val="auto"/>
          <w:sz w:val="21"/>
          <w:szCs w:val="21"/>
          <w:highlight w:val="none"/>
        </w:rPr>
        <w:t>4、施工人员未经建设单位批准，擅自离开施工现场的，对施工单位处以每次五千至一万元</w:t>
      </w:r>
      <w:r>
        <w:rPr>
          <w:rStyle w:val="121"/>
          <w:rFonts w:hint="eastAsia" w:cs="方正仿宋_GB2312" w:asciiTheme="minorEastAsia" w:hAnsiTheme="minorEastAsia" w:eastAsiaTheme="minorEastAsia"/>
          <w:bCs w:val="0"/>
          <w:color w:val="auto"/>
          <w:kern w:val="0"/>
          <w:sz w:val="21"/>
          <w:szCs w:val="21"/>
          <w:highlight w:val="none"/>
        </w:rPr>
        <w:t>罚款。</w:t>
      </w:r>
    </w:p>
    <w:p>
      <w:pPr>
        <w:spacing w:line="460" w:lineRule="exact"/>
        <w:ind w:firstLine="422" w:firstLineChars="200"/>
        <w:rPr>
          <w:rStyle w:val="121"/>
          <w:rFonts w:cs="方正仿宋_GB2312" w:asciiTheme="minorEastAsia" w:hAnsiTheme="minorEastAsia" w:eastAsiaTheme="minorEastAsia"/>
          <w:b w:val="0"/>
          <w:bCs w:val="0"/>
          <w:color w:val="auto"/>
          <w:kern w:val="0"/>
          <w:sz w:val="21"/>
          <w:szCs w:val="21"/>
          <w:highlight w:val="none"/>
        </w:rPr>
      </w:pPr>
      <w:r>
        <w:rPr>
          <w:rStyle w:val="121"/>
          <w:rFonts w:hint="eastAsia" w:cs="方正仿宋_GB2312" w:asciiTheme="minorEastAsia" w:hAnsiTheme="minorEastAsia" w:eastAsiaTheme="minorEastAsia"/>
          <w:bCs w:val="0"/>
          <w:color w:val="auto"/>
          <w:kern w:val="0"/>
          <w:sz w:val="21"/>
          <w:szCs w:val="21"/>
          <w:highlight w:val="none"/>
        </w:rPr>
        <w:t>5、现场不配备专职防疫安全员、不按时消杀</w:t>
      </w:r>
      <w:r>
        <w:rPr>
          <w:rFonts w:hint="eastAsia" w:cs="方正仿宋_GB2312" w:asciiTheme="minorEastAsia" w:hAnsiTheme="minorEastAsia" w:eastAsiaTheme="minorEastAsia"/>
          <w:color w:val="auto"/>
          <w:sz w:val="21"/>
          <w:szCs w:val="21"/>
          <w:highlight w:val="none"/>
        </w:rPr>
        <w:t>的，对施工单位处以每次两千至一万元</w:t>
      </w:r>
      <w:r>
        <w:rPr>
          <w:rStyle w:val="121"/>
          <w:rFonts w:hint="eastAsia" w:cs="方正仿宋_GB2312" w:asciiTheme="minorEastAsia" w:hAnsiTheme="minorEastAsia" w:eastAsiaTheme="minorEastAsia"/>
          <w:bCs w:val="0"/>
          <w:color w:val="auto"/>
          <w:kern w:val="0"/>
          <w:sz w:val="21"/>
          <w:szCs w:val="21"/>
          <w:highlight w:val="none"/>
        </w:rPr>
        <w:t>罚款。</w:t>
      </w:r>
    </w:p>
    <w:p>
      <w:pPr>
        <w:spacing w:line="460" w:lineRule="exact"/>
        <w:ind w:firstLine="422" w:firstLineChars="200"/>
        <w:rPr>
          <w:rStyle w:val="121"/>
          <w:rFonts w:cs="方正仿宋_GB2312" w:asciiTheme="minorEastAsia" w:hAnsiTheme="minorEastAsia" w:eastAsiaTheme="minorEastAsia"/>
          <w:b w:val="0"/>
          <w:bCs w:val="0"/>
          <w:color w:val="auto"/>
          <w:kern w:val="0"/>
          <w:sz w:val="21"/>
          <w:szCs w:val="21"/>
          <w:highlight w:val="none"/>
        </w:rPr>
      </w:pPr>
      <w:r>
        <w:rPr>
          <w:rStyle w:val="121"/>
          <w:rFonts w:hint="eastAsia" w:cs="方正仿宋_GB2312" w:asciiTheme="minorEastAsia" w:hAnsiTheme="minorEastAsia" w:eastAsiaTheme="minorEastAsia"/>
          <w:bCs w:val="0"/>
          <w:color w:val="auto"/>
          <w:kern w:val="0"/>
          <w:sz w:val="21"/>
          <w:szCs w:val="21"/>
          <w:highlight w:val="none"/>
        </w:rPr>
        <w:t>6、其它涉及疫情防控或安全施工违规情形，处以五千至两万元罚款。</w:t>
      </w:r>
    </w:p>
    <w:p>
      <w:pPr>
        <w:spacing w:line="460" w:lineRule="exact"/>
        <w:ind w:firstLine="422" w:firstLineChars="200"/>
        <w:rPr>
          <w:rStyle w:val="121"/>
          <w:rFonts w:cs="方正仿宋_GB2312" w:asciiTheme="minorEastAsia" w:hAnsiTheme="minorEastAsia" w:eastAsiaTheme="minorEastAsia"/>
          <w:b w:val="0"/>
          <w:bCs w:val="0"/>
          <w:color w:val="auto"/>
          <w:kern w:val="0"/>
          <w:sz w:val="21"/>
          <w:szCs w:val="21"/>
          <w:highlight w:val="none"/>
        </w:rPr>
      </w:pPr>
      <w:r>
        <w:rPr>
          <w:rStyle w:val="121"/>
          <w:rFonts w:hint="eastAsia" w:cs="方正仿宋_GB2312" w:asciiTheme="minorEastAsia" w:hAnsiTheme="minorEastAsia" w:eastAsiaTheme="minorEastAsia"/>
          <w:bCs w:val="0"/>
          <w:color w:val="auto"/>
          <w:kern w:val="0"/>
          <w:sz w:val="21"/>
          <w:szCs w:val="21"/>
          <w:highlight w:val="none"/>
        </w:rPr>
        <w:t>7、对违反疫情防控要求，拒不整改、拒不配合处罚，或造成严重后果的，解除施工合同，并要求施工单位退还已支付的工程款，扣留履约保证金作为处罚。</w:t>
      </w:r>
    </w:p>
    <w:p>
      <w:pPr>
        <w:pStyle w:val="82"/>
        <w:ind w:firstLine="3162" w:firstLineChars="1500"/>
        <w:rPr>
          <w:rStyle w:val="121"/>
          <w:rFonts w:cs="方正仿宋_GB2312" w:asciiTheme="minorEastAsia" w:hAnsiTheme="minorEastAsia"/>
          <w:b w:val="0"/>
          <w:bCs w:val="0"/>
          <w:color w:val="auto"/>
          <w:kern w:val="0"/>
          <w:szCs w:val="21"/>
          <w:highlight w:val="none"/>
        </w:rPr>
      </w:pPr>
      <w:r>
        <w:rPr>
          <w:rStyle w:val="121"/>
          <w:rFonts w:hint="eastAsia" w:cs="方正仿宋_GB2312" w:asciiTheme="minorEastAsia" w:hAnsiTheme="minorEastAsia"/>
          <w:b/>
          <w:bCs w:val="0"/>
          <w:color w:val="auto"/>
          <w:kern w:val="0"/>
          <w:szCs w:val="21"/>
          <w:highlight w:val="none"/>
        </w:rPr>
        <w:t xml:space="preserve">施工单位（公章）： </w:t>
      </w:r>
    </w:p>
    <w:p>
      <w:pPr>
        <w:pStyle w:val="82"/>
        <w:ind w:firstLine="3162" w:firstLineChars="1500"/>
        <w:rPr>
          <w:rStyle w:val="121"/>
          <w:rFonts w:cs="方正仿宋_GB2312" w:asciiTheme="minorEastAsia" w:hAnsiTheme="minorEastAsia"/>
          <w:b w:val="0"/>
          <w:bCs w:val="0"/>
          <w:color w:val="auto"/>
          <w:kern w:val="0"/>
          <w:szCs w:val="21"/>
          <w:highlight w:val="none"/>
        </w:rPr>
      </w:pPr>
      <w:r>
        <w:rPr>
          <w:rStyle w:val="121"/>
          <w:rFonts w:hint="eastAsia" w:cs="方正仿宋_GB2312" w:asciiTheme="minorEastAsia" w:hAnsiTheme="minorEastAsia"/>
          <w:b/>
          <w:bCs w:val="0"/>
          <w:color w:val="auto"/>
          <w:kern w:val="0"/>
          <w:szCs w:val="21"/>
          <w:highlight w:val="none"/>
        </w:rPr>
        <w:t>施工单位项目经理签字：</w:t>
      </w:r>
    </w:p>
    <w:p>
      <w:pPr>
        <w:pStyle w:val="77"/>
        <w:spacing w:beforeAutospacing="0" w:afterAutospacing="0" w:line="360" w:lineRule="auto"/>
        <w:ind w:left="2880"/>
        <w:rPr>
          <w:rStyle w:val="121"/>
          <w:rFonts w:cs="方正仿宋_GB2312" w:asciiTheme="minorEastAsia" w:hAnsiTheme="minorEastAsia" w:eastAsiaTheme="minorEastAsia"/>
          <w:b w:val="0"/>
          <w:bCs w:val="0"/>
          <w:color w:val="auto"/>
          <w:sz w:val="21"/>
          <w:szCs w:val="21"/>
          <w:highlight w:val="none"/>
        </w:rPr>
      </w:pPr>
      <w:r>
        <w:rPr>
          <w:rStyle w:val="121"/>
          <w:rFonts w:hint="eastAsia" w:cs="方正仿宋_GB2312" w:asciiTheme="minorEastAsia" w:hAnsiTheme="minorEastAsia" w:eastAsiaTheme="minorEastAsia"/>
          <w:bCs w:val="0"/>
          <w:color w:val="auto"/>
          <w:sz w:val="21"/>
          <w:szCs w:val="21"/>
          <w:highlight w:val="none"/>
        </w:rPr>
        <w:t>一式两份，工程管理部、施工单位各留存一份</w:t>
      </w:r>
    </w:p>
    <w:p>
      <w:pPr>
        <w:pStyle w:val="466"/>
        <w:ind w:firstLine="420" w:firstLineChars="200"/>
        <w:rPr>
          <w:rFonts w:ascii="Times New Roman" w:hAnsi="Times New Roman" w:eastAsia="仿宋_GB2312"/>
          <w:color w:val="auto"/>
          <w:szCs w:val="24"/>
          <w:highlight w:val="none"/>
        </w:rPr>
        <w:sectPr>
          <w:pgSz w:w="11907" w:h="16839"/>
          <w:pgMar w:top="1928" w:right="1531" w:bottom="1871" w:left="1531" w:header="1148" w:footer="709" w:gutter="0"/>
          <w:cols w:space="720" w:num="1"/>
          <w:docGrid w:linePitch="360" w:charSpace="0"/>
        </w:sectPr>
      </w:pPr>
    </w:p>
    <w:p>
      <w:pPr>
        <w:pStyle w:val="4"/>
        <w:numPr>
          <w:ilvl w:val="0"/>
          <w:numId w:val="10"/>
        </w:numPr>
        <w:spacing w:before="2400" w:after="0"/>
        <w:jc w:val="center"/>
        <w:rPr>
          <w:rFonts w:ascii="微软雅黑" w:hAnsi="微软雅黑"/>
          <w:color w:val="auto"/>
          <w:highlight w:val="none"/>
          <w:lang w:val="en-US"/>
        </w:rPr>
      </w:pPr>
      <w:bookmarkStart w:id="1080" w:name="_Toc24463"/>
      <w:bookmarkStart w:id="1081" w:name="_Toc7288"/>
      <w:r>
        <w:rPr>
          <w:rFonts w:hint="eastAsia" w:ascii="微软雅黑" w:hAnsi="微软雅黑"/>
          <w:color w:val="auto"/>
          <w:highlight w:val="none"/>
          <w:lang w:val="en-US"/>
        </w:rPr>
        <w:t>响应文件格式</w:t>
      </w:r>
      <w:bookmarkEnd w:id="1080"/>
      <w:bookmarkEnd w:id="1081"/>
      <w:bookmarkStart w:id="1082" w:name="gxebdItem_SubmitDocStruct"/>
      <w:r>
        <w:rPr>
          <w:rFonts w:hint="eastAsia" w:ascii="微软雅黑" w:hAnsi="微软雅黑"/>
          <w:color w:val="auto"/>
          <w:highlight w:val="none"/>
          <w:lang w:val="en-US"/>
        </w:rPr>
        <w:t xml:space="preserve">  </w:t>
      </w:r>
      <w:bookmarkEnd w:id="1082"/>
    </w:p>
    <w:p>
      <w:pPr>
        <w:rPr>
          <w:rFonts w:ascii="微软雅黑"/>
          <w:b/>
          <w:color w:val="auto"/>
          <w:highlight w:val="none"/>
        </w:rPr>
      </w:pPr>
      <w:bookmarkStart w:id="1083" w:name="gxebdItem_tenderStruct"/>
      <w:bookmarkEnd w:id="1083"/>
    </w:p>
    <w:p>
      <w:pPr>
        <w:rPr>
          <w:rFonts w:ascii="微软雅黑"/>
          <w:b/>
          <w:color w:val="auto"/>
          <w:highlight w:val="none"/>
        </w:rPr>
      </w:pPr>
    </w:p>
    <w:p>
      <w:pPr>
        <w:rPr>
          <w:rFonts w:ascii="微软雅黑"/>
          <w:b/>
          <w:color w:val="auto"/>
          <w:highlight w:val="none"/>
        </w:rPr>
      </w:pPr>
    </w:p>
    <w:p>
      <w:pPr>
        <w:rPr>
          <w:rFonts w:ascii="微软雅黑"/>
          <w:b/>
          <w:color w:val="auto"/>
          <w:highlight w:val="none"/>
        </w:rPr>
        <w:sectPr>
          <w:pgSz w:w="11907" w:h="16839"/>
          <w:pgMar w:top="1928" w:right="1531" w:bottom="1871" w:left="1531" w:header="1148" w:footer="709" w:gutter="0"/>
          <w:cols w:space="720" w:num="1"/>
          <w:docGrid w:linePitch="360" w:charSpace="0"/>
        </w:sectPr>
      </w:pPr>
    </w:p>
    <w:p>
      <w:pPr>
        <w:pStyle w:val="5"/>
        <w:numPr>
          <w:ilvl w:val="0"/>
          <w:numId w:val="48"/>
        </w:numPr>
        <w:spacing w:line="360" w:lineRule="auto"/>
        <w:jc w:val="center"/>
        <w:rPr>
          <w:color w:val="auto"/>
          <w:sz w:val="32"/>
          <w:szCs w:val="32"/>
          <w:highlight w:val="none"/>
        </w:rPr>
      </w:pPr>
      <w:bookmarkStart w:id="1084" w:name="_Toc19459"/>
      <w:r>
        <w:rPr>
          <w:rFonts w:hint="eastAsia"/>
          <w:color w:val="auto"/>
          <w:sz w:val="32"/>
          <w:szCs w:val="32"/>
          <w:highlight w:val="none"/>
        </w:rPr>
        <w:t>响应文件封面或扉页格式</w:t>
      </w:r>
      <w:bookmarkEnd w:id="1084"/>
    </w:p>
    <w:p>
      <w:pPr>
        <w:spacing w:line="360" w:lineRule="auto"/>
        <w:jc w:val="right"/>
        <w:rPr>
          <w:rFonts w:ascii="微软雅黑" w:hAnsi="微软雅黑"/>
          <w:color w:val="auto"/>
          <w:sz w:val="36"/>
          <w:szCs w:val="36"/>
          <w:highlight w:val="none"/>
        </w:rPr>
      </w:pPr>
      <w:r>
        <w:rPr>
          <w:rFonts w:hint="eastAsia" w:ascii="微软雅黑" w:hAnsi="微软雅黑"/>
          <w:color w:val="auto"/>
          <w:sz w:val="32"/>
          <w:szCs w:val="32"/>
          <w:highlight w:val="none"/>
          <w:u w:val="single"/>
        </w:rPr>
        <w:t>正（副）</w:t>
      </w:r>
      <w:r>
        <w:rPr>
          <w:rFonts w:hint="eastAsia" w:ascii="微软雅黑" w:hAnsi="微软雅黑"/>
          <w:color w:val="auto"/>
          <w:sz w:val="32"/>
          <w:szCs w:val="32"/>
          <w:highlight w:val="none"/>
        </w:rPr>
        <w:t>本</w:t>
      </w:r>
    </w:p>
    <w:p>
      <w:pPr>
        <w:spacing w:line="360" w:lineRule="auto"/>
        <w:jc w:val="center"/>
        <w:rPr>
          <w:rFonts w:ascii="微软雅黑" w:hAnsi="微软雅黑"/>
          <w:color w:val="auto"/>
          <w:sz w:val="36"/>
          <w:szCs w:val="36"/>
          <w:highlight w:val="none"/>
        </w:rPr>
      </w:pPr>
    </w:p>
    <w:p>
      <w:pPr>
        <w:spacing w:line="360" w:lineRule="auto"/>
        <w:jc w:val="center"/>
        <w:rPr>
          <w:rFonts w:ascii="微软雅黑" w:hAnsi="微软雅黑"/>
          <w:b/>
          <w:color w:val="auto"/>
          <w:sz w:val="84"/>
          <w:szCs w:val="84"/>
          <w:highlight w:val="none"/>
        </w:rPr>
      </w:pPr>
      <w:r>
        <w:rPr>
          <w:rFonts w:hint="eastAsia" w:ascii="微软雅黑" w:hAnsi="微软雅黑"/>
          <w:b/>
          <w:color w:val="auto"/>
          <w:sz w:val="84"/>
          <w:szCs w:val="84"/>
          <w:highlight w:val="none"/>
        </w:rPr>
        <w:t>响应文件</w:t>
      </w:r>
    </w:p>
    <w:p>
      <w:pPr>
        <w:spacing w:line="360" w:lineRule="auto"/>
        <w:ind w:firstLine="1639" w:firstLineChars="546"/>
        <w:rPr>
          <w:rFonts w:ascii="微软雅黑" w:hAnsi="微软雅黑"/>
          <w:b/>
          <w:color w:val="auto"/>
          <w:sz w:val="30"/>
          <w:szCs w:val="30"/>
          <w:highlight w:val="none"/>
        </w:rPr>
      </w:pPr>
      <w:r>
        <w:rPr>
          <w:rFonts w:hint="eastAsia" w:ascii="微软雅黑" w:hAnsi="微软雅黑"/>
          <w:b/>
          <w:color w:val="auto"/>
          <w:sz w:val="30"/>
          <w:szCs w:val="30"/>
          <w:highlight w:val="none"/>
        </w:rPr>
        <w:t xml:space="preserve">项目名称： </w:t>
      </w:r>
    </w:p>
    <w:p>
      <w:pPr>
        <w:spacing w:line="360" w:lineRule="auto"/>
        <w:ind w:firstLine="1639" w:firstLineChars="546"/>
        <w:rPr>
          <w:rFonts w:ascii="微软雅黑" w:hAnsi="微软雅黑"/>
          <w:b/>
          <w:color w:val="auto"/>
          <w:sz w:val="30"/>
          <w:szCs w:val="30"/>
          <w:highlight w:val="none"/>
        </w:rPr>
      </w:pPr>
      <w:r>
        <w:rPr>
          <w:rFonts w:hint="eastAsia" w:ascii="微软雅黑" w:hAnsi="微软雅黑"/>
          <w:b/>
          <w:color w:val="auto"/>
          <w:sz w:val="30"/>
          <w:szCs w:val="30"/>
          <w:highlight w:val="none"/>
        </w:rPr>
        <w:t>项目编号：</w:t>
      </w:r>
    </w:p>
    <w:p>
      <w:pPr>
        <w:spacing w:line="360" w:lineRule="auto"/>
        <w:jc w:val="center"/>
        <w:rPr>
          <w:rFonts w:ascii="微软雅黑" w:hAnsi="微软雅黑"/>
          <w:color w:val="auto"/>
          <w:sz w:val="36"/>
          <w:szCs w:val="36"/>
          <w:highlight w:val="none"/>
        </w:rPr>
      </w:pPr>
    </w:p>
    <w:p>
      <w:pPr>
        <w:spacing w:line="360" w:lineRule="auto"/>
        <w:ind w:firstLine="1400" w:firstLineChars="500"/>
        <w:rPr>
          <w:rFonts w:ascii="微软雅黑" w:hAnsi="微软雅黑"/>
          <w:color w:val="auto"/>
          <w:sz w:val="28"/>
          <w:szCs w:val="28"/>
          <w:highlight w:val="none"/>
        </w:rPr>
      </w:pPr>
    </w:p>
    <w:p>
      <w:pPr>
        <w:spacing w:line="360" w:lineRule="auto"/>
        <w:ind w:firstLine="1400" w:firstLineChars="500"/>
        <w:rPr>
          <w:rFonts w:ascii="微软雅黑" w:hAnsi="微软雅黑"/>
          <w:color w:val="auto"/>
          <w:sz w:val="28"/>
          <w:szCs w:val="28"/>
          <w:highlight w:val="none"/>
        </w:rPr>
      </w:pPr>
    </w:p>
    <w:p>
      <w:pPr>
        <w:spacing w:line="360" w:lineRule="auto"/>
        <w:jc w:val="center"/>
        <w:rPr>
          <w:rFonts w:ascii="微软雅黑" w:hAnsi="微软雅黑"/>
          <w:color w:val="auto"/>
          <w:sz w:val="28"/>
          <w:szCs w:val="28"/>
          <w:highlight w:val="none"/>
        </w:rPr>
      </w:pPr>
      <w:r>
        <w:rPr>
          <w:rFonts w:hint="eastAsia" w:ascii="微软雅黑" w:hAnsi="微软雅黑"/>
          <w:color w:val="auto"/>
          <w:sz w:val="28"/>
          <w:szCs w:val="28"/>
          <w:highlight w:val="none"/>
        </w:rPr>
        <w:t>供应商名称：</w:t>
      </w:r>
      <w:r>
        <w:rPr>
          <w:rFonts w:hint="eastAsia" w:ascii="微软雅黑" w:hAnsi="微软雅黑"/>
          <w:color w:val="auto"/>
          <w:sz w:val="28"/>
          <w:szCs w:val="28"/>
          <w:highlight w:val="none"/>
          <w:u w:val="single"/>
        </w:rPr>
        <w:t xml:space="preserve">              </w:t>
      </w:r>
    </w:p>
    <w:p>
      <w:pPr>
        <w:jc w:val="center"/>
        <w:rPr>
          <w:rFonts w:ascii="微软雅黑"/>
          <w:b/>
          <w:color w:val="auto"/>
          <w:highlight w:val="none"/>
        </w:rPr>
        <w:sectPr>
          <w:pgSz w:w="11907" w:h="16839"/>
          <w:pgMar w:top="1928" w:right="1531" w:bottom="1871" w:left="1531" w:header="1148" w:footer="709" w:gutter="0"/>
          <w:cols w:space="720" w:num="1"/>
          <w:docGrid w:linePitch="360" w:charSpace="0"/>
        </w:sectPr>
      </w:pPr>
    </w:p>
    <w:p>
      <w:pPr>
        <w:rPr>
          <w:rFonts w:ascii="微软雅黑"/>
          <w:b/>
          <w:color w:val="auto"/>
          <w:highlight w:val="none"/>
        </w:rPr>
      </w:pPr>
    </w:p>
    <w:tbl>
      <w:tblPr>
        <w:tblStyle w:val="84"/>
        <w:tblW w:w="5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tcPr>
          <w:p>
            <w:pPr>
              <w:jc w:val="center"/>
              <w:rPr>
                <w:b/>
                <w:color w:val="auto"/>
                <w:szCs w:val="22"/>
                <w:highlight w:val="none"/>
              </w:rPr>
            </w:pPr>
            <w:r>
              <w:rPr>
                <w:rFonts w:hint="eastAsia"/>
                <w:b/>
                <w:color w:val="auto"/>
                <w:szCs w:val="22"/>
                <w:highlight w:val="none"/>
              </w:rPr>
              <w:t>名称</w:t>
            </w:r>
          </w:p>
        </w:tc>
        <w:tc>
          <w:tcPr>
            <w:tcW w:w="3021" w:type="dxa"/>
          </w:tcPr>
          <w:p>
            <w:pPr>
              <w:jc w:val="center"/>
              <w:rPr>
                <w:b/>
                <w:color w:val="auto"/>
                <w:szCs w:val="22"/>
                <w:highlight w:val="none"/>
              </w:rPr>
            </w:pPr>
            <w:r>
              <w:rPr>
                <w:rFonts w:hint="eastAsia"/>
                <w:b/>
                <w:color w:val="auto"/>
                <w:szCs w:val="22"/>
                <w:highlight w:val="none"/>
              </w:rPr>
              <w:t>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restart"/>
            <w:vAlign w:val="center"/>
          </w:tcPr>
          <w:p>
            <w:pPr>
              <w:jc w:val="center"/>
              <w:rPr>
                <w:color w:val="auto"/>
                <w:szCs w:val="22"/>
                <w:highlight w:val="none"/>
              </w:rPr>
            </w:pPr>
            <w:r>
              <w:rPr>
                <w:rFonts w:hint="eastAsia"/>
                <w:color w:val="auto"/>
                <w:szCs w:val="22"/>
                <w:highlight w:val="none"/>
              </w:rPr>
              <w:t>响应文件构成</w:t>
            </w:r>
          </w:p>
        </w:tc>
        <w:tc>
          <w:tcPr>
            <w:tcW w:w="3021" w:type="dxa"/>
          </w:tcPr>
          <w:p>
            <w:pPr>
              <w:rPr>
                <w:rFonts w:ascii="微软雅黑" w:hAnsi="微软雅黑"/>
                <w:color w:val="auto"/>
                <w:sz w:val="24"/>
                <w:szCs w:val="22"/>
                <w:highlight w:val="none"/>
              </w:rPr>
            </w:pPr>
            <w:r>
              <w:rPr>
                <w:rFonts w:hint="eastAsia" w:ascii="微软雅黑" w:hAnsi="微软雅黑"/>
                <w:color w:val="auto"/>
                <w:szCs w:val="22"/>
                <w:highlight w:val="none"/>
              </w:rPr>
              <w:t>★一、报价一览表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rPr>
                <w:rFonts w:ascii="微软雅黑" w:hAnsi="微软雅黑"/>
                <w:color w:val="auto"/>
                <w:sz w:val="24"/>
                <w:szCs w:val="22"/>
                <w:highlight w:val="none"/>
              </w:rPr>
            </w:pPr>
            <w:r>
              <w:rPr>
                <w:rFonts w:hint="eastAsia" w:ascii="微软雅黑" w:hAnsi="微软雅黑"/>
                <w:color w:val="auto"/>
                <w:szCs w:val="22"/>
                <w:highlight w:val="none"/>
              </w:rPr>
              <w:t>二、资格审查部分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49"/>
              </w:numPr>
              <w:ind w:firstLineChars="0"/>
              <w:rPr>
                <w:rFonts w:ascii="微软雅黑" w:hAnsi="微软雅黑"/>
                <w:color w:val="auto"/>
                <w:szCs w:val="22"/>
                <w:highlight w:val="none"/>
              </w:rPr>
            </w:pPr>
            <w:r>
              <w:rPr>
                <w:rFonts w:hint="eastAsia" w:ascii="微软雅黑" w:hAnsi="微软雅黑"/>
                <w:color w:val="auto"/>
                <w:szCs w:val="22"/>
                <w:highlight w:val="none"/>
              </w:rPr>
              <w:t>供应商资格审查一览表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rPr>
                <w:rFonts w:ascii="微软雅黑" w:hAnsi="微软雅黑"/>
                <w:color w:val="auto"/>
                <w:szCs w:val="22"/>
                <w:highlight w:val="none"/>
              </w:rPr>
            </w:pPr>
            <w:r>
              <w:rPr>
                <w:rFonts w:ascii="微软雅黑" w:hAnsi="微软雅黑"/>
                <w:color w:val="auto"/>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rPr>
                <w:rFonts w:ascii="微软雅黑" w:hAnsi="微软雅黑"/>
                <w:color w:val="auto"/>
                <w:szCs w:val="22"/>
                <w:highlight w:val="none"/>
              </w:rPr>
            </w:pPr>
            <w:r>
              <w:rPr>
                <w:rFonts w:hint="eastAsia" w:ascii="微软雅黑" w:hAnsi="微软雅黑"/>
                <w:color w:val="auto"/>
                <w:szCs w:val="22"/>
                <w:highlight w:val="none"/>
              </w:rPr>
              <w:t>三、商务部分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商务部分应答索引表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★技术需求承诺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★其它承诺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监狱企业证明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0"/>
              </w:numPr>
              <w:ind w:firstLineChars="0"/>
              <w:rPr>
                <w:rFonts w:ascii="微软雅黑" w:hAnsi="微软雅黑"/>
                <w:color w:val="auto"/>
                <w:szCs w:val="22"/>
                <w:highlight w:val="none"/>
              </w:rPr>
            </w:pPr>
            <w:r>
              <w:rPr>
                <w:rFonts w:hint="eastAsia" w:ascii="微软雅黑" w:hAnsi="微软雅黑"/>
                <w:color w:val="auto"/>
                <w:szCs w:val="22"/>
                <w:highlight w:val="none"/>
              </w:rPr>
              <w:t>类似业绩情况表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rPr>
                <w:rFonts w:ascii="微软雅黑" w:hAnsi="微软雅黑"/>
                <w:color w:val="auto"/>
                <w:szCs w:val="22"/>
                <w:highlight w:val="none"/>
              </w:rPr>
            </w:pPr>
            <w:r>
              <w:rPr>
                <w:rFonts w:ascii="微软雅黑" w:hAnsi="微软雅黑"/>
                <w:color w:val="auto"/>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rPr>
                <w:rFonts w:ascii="微软雅黑" w:hAnsi="微软雅黑"/>
                <w:color w:val="auto"/>
                <w:szCs w:val="22"/>
                <w:highlight w:val="none"/>
              </w:rPr>
            </w:pPr>
            <w:r>
              <w:rPr>
                <w:rFonts w:hint="eastAsia" w:ascii="微软雅黑" w:hAnsi="微软雅黑"/>
                <w:color w:val="auto"/>
                <w:szCs w:val="22"/>
                <w:highlight w:val="none"/>
              </w:rPr>
              <w:t>四、技术部分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336"/>
              <w:numPr>
                <w:ilvl w:val="0"/>
                <w:numId w:val="51"/>
              </w:numPr>
              <w:ind w:firstLineChars="0"/>
              <w:rPr>
                <w:rFonts w:ascii="微软雅黑" w:hAnsi="微软雅黑"/>
                <w:color w:val="auto"/>
                <w:szCs w:val="22"/>
                <w:highlight w:val="none"/>
              </w:rPr>
            </w:pPr>
            <w:r>
              <w:rPr>
                <w:rFonts w:hint="eastAsia" w:ascii="微软雅黑" w:hAnsi="微软雅黑"/>
                <w:color w:val="auto"/>
                <w:szCs w:val="22"/>
                <w:highlight w:val="none"/>
              </w:rPr>
              <w:t>技术部分应答索引表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pStyle w:val="77"/>
              <w:numPr>
                <w:ilvl w:val="0"/>
                <w:numId w:val="51"/>
              </w:numPr>
              <w:spacing w:beforeAutospacing="0" w:afterAutospacing="0"/>
              <w:rPr>
                <w:rFonts w:ascii="微软雅黑" w:hAnsi="微软雅黑" w:eastAsia="微软雅黑"/>
                <w:color w:val="auto"/>
                <w:kern w:val="20"/>
                <w:sz w:val="21"/>
                <w:szCs w:val="20"/>
                <w:highlight w:val="none"/>
                <w:lang w:val="zh-CN"/>
              </w:rPr>
            </w:pPr>
            <w:r>
              <w:rPr>
                <w:rFonts w:hint="eastAsia" w:ascii="微软雅黑" w:hAnsi="微软雅黑" w:eastAsia="微软雅黑"/>
                <w:color w:val="auto"/>
                <w:kern w:val="20"/>
                <w:sz w:val="21"/>
                <w:szCs w:val="20"/>
                <w:highlight w:val="none"/>
                <w:lang w:val="zh-CN"/>
              </w:rPr>
              <w:t>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vMerge w:val="continue"/>
            <w:vAlign w:val="center"/>
          </w:tcPr>
          <w:p>
            <w:pPr>
              <w:rPr>
                <w:color w:val="auto"/>
                <w:szCs w:val="22"/>
                <w:highlight w:val="none"/>
              </w:rPr>
            </w:pPr>
          </w:p>
        </w:tc>
        <w:tc>
          <w:tcPr>
            <w:tcW w:w="3021" w:type="dxa"/>
          </w:tcPr>
          <w:p>
            <w:pPr>
              <w:rPr>
                <w:rFonts w:ascii="微软雅黑" w:hAnsi="微软雅黑"/>
                <w:color w:val="auto"/>
                <w:szCs w:val="22"/>
                <w:highlight w:val="none"/>
              </w:rPr>
            </w:pPr>
            <w:r>
              <w:rPr>
                <w:rFonts w:ascii="微软雅黑" w:hAnsi="微软雅黑"/>
                <w:color w:val="auto"/>
                <w:szCs w:val="22"/>
                <w:highlight w:val="none"/>
              </w:rPr>
              <w:t>……</w:t>
            </w:r>
          </w:p>
        </w:tc>
      </w:tr>
    </w:tbl>
    <w:p>
      <w:pPr>
        <w:rPr>
          <w:rFonts w:ascii="微软雅黑"/>
          <w:b/>
          <w:color w:val="auto"/>
          <w:highlight w:val="none"/>
        </w:rPr>
      </w:pPr>
    </w:p>
    <w:p>
      <w:pPr>
        <w:rPr>
          <w:rFonts w:ascii="微软雅黑" w:hAnsi="微软雅黑"/>
          <w:b/>
          <w:color w:val="auto"/>
          <w:highlight w:val="none"/>
        </w:rPr>
      </w:pPr>
      <w:r>
        <w:rPr>
          <w:rFonts w:hint="eastAsia" w:ascii="微软雅黑"/>
          <w:b/>
          <w:color w:val="auto"/>
          <w:highlight w:val="none"/>
        </w:rPr>
        <w:t>注：1、</w:t>
      </w:r>
      <w:r>
        <w:rPr>
          <w:rFonts w:hint="eastAsia" w:ascii="微软雅黑" w:hAnsi="微软雅黑"/>
          <w:b/>
          <w:color w:val="auto"/>
          <w:highlight w:val="none"/>
        </w:rPr>
        <w:t>供应商应严格按照上表中的顺序编制响应文件目录及文件，其他材料可自行添加完善。</w:t>
      </w:r>
    </w:p>
    <w:p>
      <w:pPr>
        <w:rPr>
          <w:rFonts w:ascii="微软雅黑"/>
          <w:b/>
          <w:color w:val="auto"/>
          <w:highlight w:val="none"/>
        </w:rPr>
      </w:pPr>
      <w:r>
        <w:rPr>
          <w:rFonts w:hint="eastAsia" w:ascii="微软雅黑" w:hAnsi="微软雅黑"/>
          <w:b/>
          <w:color w:val="auto"/>
          <w:highlight w:val="none"/>
        </w:rPr>
        <w:t>2、上表中未标注★的内容根据项目情况及供应商的响应情况编制。如符合相应要求应按竞争性磋商文件给定格式和要求编制；如不符合的，可不编制。</w:t>
      </w:r>
    </w:p>
    <w:p>
      <w:pPr>
        <w:pStyle w:val="6"/>
        <w:ind w:firstLineChars="0"/>
        <w:jc w:val="both"/>
        <w:rPr>
          <w:rFonts w:ascii="微软雅黑" w:hAnsi="微软雅黑"/>
          <w:color w:val="auto"/>
          <w:highlight w:val="none"/>
        </w:rPr>
      </w:pPr>
    </w:p>
    <w:p>
      <w:pPr>
        <w:rPr>
          <w:rFonts w:ascii="微软雅黑"/>
          <w:b/>
          <w:color w:val="auto"/>
          <w:highlight w:val="none"/>
        </w:rPr>
        <w:sectPr>
          <w:pgSz w:w="11907" w:h="16839"/>
          <w:pgMar w:top="1928" w:right="1531" w:bottom="1871" w:left="1531" w:header="1148" w:footer="709" w:gutter="0"/>
          <w:cols w:space="720" w:num="1"/>
          <w:docGrid w:linePitch="360" w:charSpace="0"/>
        </w:sectPr>
      </w:pPr>
      <w:r>
        <w:rPr>
          <w:rFonts w:ascii="微软雅黑"/>
          <w:b/>
          <w:color w:val="auto"/>
          <w:highlight w:val="none"/>
        </w:rPr>
        <w:br w:type="page"/>
      </w:r>
    </w:p>
    <w:bookmarkEnd w:id="1"/>
    <w:p>
      <w:pPr>
        <w:rPr>
          <w:color w:val="auto"/>
          <w:highlight w:val="none"/>
          <w:u w:val="single"/>
        </w:rPr>
      </w:pPr>
      <w:bookmarkStart w:id="1085" w:name="gxebdItem_unprotect_1"/>
      <w:bookmarkStart w:id="1086" w:name="_Ref462505451"/>
    </w:p>
    <w:p>
      <w:pPr>
        <w:pStyle w:val="5"/>
        <w:numPr>
          <w:ilvl w:val="0"/>
          <w:numId w:val="48"/>
        </w:numPr>
        <w:spacing w:line="360" w:lineRule="auto"/>
        <w:jc w:val="center"/>
        <w:rPr>
          <w:b w:val="0"/>
          <w:color w:val="auto"/>
          <w:sz w:val="32"/>
          <w:szCs w:val="32"/>
          <w:highlight w:val="none"/>
        </w:rPr>
      </w:pPr>
      <w:bookmarkStart w:id="1087" w:name="_Toc16304"/>
      <w:r>
        <w:rPr>
          <w:rFonts w:hint="eastAsia"/>
          <w:color w:val="auto"/>
          <w:sz w:val="32"/>
          <w:szCs w:val="32"/>
          <w:highlight w:val="none"/>
        </w:rPr>
        <w:t>报价一览表</w:t>
      </w:r>
      <w:bookmarkEnd w:id="1087"/>
      <w:bookmarkStart w:id="1088" w:name="gxebdItem_price"/>
      <w:bookmarkEnd w:id="1088"/>
      <w:bookmarkStart w:id="1089" w:name="gxebdItem_price_Vertical"/>
      <w:bookmarkEnd w:id="1089"/>
    </w:p>
    <w:p>
      <w:pPr>
        <w:spacing w:line="320" w:lineRule="exact"/>
        <w:ind w:firstLine="240" w:firstLineChars="100"/>
        <w:rPr>
          <w:rFonts w:ascii="宋体" w:hAnsi="宋体"/>
          <w:b/>
          <w:color w:val="auto"/>
          <w:sz w:val="24"/>
          <w:highlight w:val="none"/>
        </w:rPr>
      </w:pPr>
    </w:p>
    <w:p>
      <w:pPr>
        <w:spacing w:line="320" w:lineRule="exact"/>
        <w:ind w:right="120" w:firstLine="240" w:firstLineChars="100"/>
        <w:jc w:val="right"/>
        <w:rPr>
          <w:rFonts w:ascii="宋体" w:hAnsi="宋体"/>
          <w:color w:val="auto"/>
          <w:sz w:val="24"/>
          <w:highlight w:val="none"/>
        </w:rPr>
      </w:pPr>
      <w:r>
        <w:rPr>
          <w:rFonts w:hint="eastAsia" w:ascii="宋体" w:hAnsi="宋体"/>
          <w:color w:val="auto"/>
          <w:sz w:val="24"/>
          <w:highlight w:val="none"/>
        </w:rPr>
        <w:t>单位:元</w:t>
      </w:r>
    </w:p>
    <w:tbl>
      <w:tblPr>
        <w:tblStyle w:val="83"/>
        <w:tblW w:w="937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836" w:type="dxa"/>
            <w:vAlign w:val="center"/>
          </w:tcPr>
          <w:p>
            <w:pPr>
              <w:jc w:val="center"/>
              <w:rPr>
                <w:rFonts w:ascii="宋体" w:hAnsi="宋体"/>
                <w:color w:val="auto"/>
                <w:sz w:val="24"/>
                <w:szCs w:val="22"/>
                <w:highlight w:val="none"/>
              </w:rPr>
            </w:pPr>
            <w:bookmarkStart w:id="1090" w:name="_Hlk37340354"/>
            <w:r>
              <w:rPr>
                <w:rFonts w:hint="eastAsia" w:ascii="宋体" w:hAnsi="宋体"/>
                <w:color w:val="auto"/>
                <w:sz w:val="24"/>
                <w:szCs w:val="22"/>
                <w:highlight w:val="none"/>
              </w:rPr>
              <w:t>总报价</w:t>
            </w:r>
          </w:p>
        </w:tc>
        <w:tc>
          <w:tcPr>
            <w:tcW w:w="6543" w:type="dxa"/>
            <w:vAlign w:val="center"/>
          </w:tcPr>
          <w:p>
            <w:pPr>
              <w:rPr>
                <w:rFonts w:ascii="宋体" w:hAnsi="宋体"/>
                <w:color w:val="auto"/>
                <w:sz w:val="24"/>
                <w:szCs w:val="22"/>
                <w:highlight w:val="none"/>
              </w:rPr>
            </w:pPr>
          </w:p>
          <w:p>
            <w:pPr>
              <w:rPr>
                <w:rFonts w:ascii="宋体" w:hAnsi="宋体"/>
                <w:b/>
                <w:color w:val="auto"/>
                <w:sz w:val="24"/>
                <w:szCs w:val="22"/>
                <w:highlight w:val="none"/>
              </w:rPr>
            </w:pPr>
            <w:r>
              <w:rPr>
                <w:rFonts w:hint="eastAsia" w:ascii="宋体" w:hAnsi="宋体"/>
                <w:b/>
                <w:color w:val="auto"/>
                <w:sz w:val="24"/>
                <w:szCs w:val="22"/>
                <w:highlight w:val="none"/>
              </w:rPr>
              <w:t>大写：</w:t>
            </w:r>
          </w:p>
          <w:p>
            <w:pPr>
              <w:rPr>
                <w:rFonts w:ascii="宋体" w:hAnsi="宋体"/>
                <w:b/>
                <w:color w:val="auto"/>
                <w:sz w:val="24"/>
                <w:szCs w:val="22"/>
                <w:highlight w:val="none"/>
              </w:rPr>
            </w:pPr>
          </w:p>
          <w:p>
            <w:pPr>
              <w:rPr>
                <w:rFonts w:ascii="宋体" w:hAnsi="宋体"/>
                <w:b/>
                <w:color w:val="auto"/>
                <w:sz w:val="24"/>
                <w:szCs w:val="22"/>
                <w:highlight w:val="none"/>
              </w:rPr>
            </w:pPr>
            <w:r>
              <w:rPr>
                <w:rFonts w:hint="eastAsia" w:ascii="宋体" w:hAnsi="宋体"/>
                <w:b/>
                <w:color w:val="auto"/>
                <w:sz w:val="24"/>
                <w:szCs w:val="22"/>
                <w:highlight w:val="none"/>
              </w:rPr>
              <w:t>小写：</w:t>
            </w:r>
          </w:p>
          <w:p>
            <w:pPr>
              <w:rPr>
                <w:rFonts w:ascii="宋体"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836" w:type="dxa"/>
            <w:vAlign w:val="center"/>
          </w:tcPr>
          <w:p>
            <w:pPr>
              <w:jc w:val="center"/>
              <w:rPr>
                <w:rFonts w:ascii="宋体" w:hAnsi="宋体"/>
                <w:color w:val="auto"/>
                <w:sz w:val="24"/>
                <w:szCs w:val="22"/>
                <w:highlight w:val="none"/>
              </w:rPr>
            </w:pPr>
            <w:r>
              <w:rPr>
                <w:rFonts w:hint="eastAsia" w:ascii="宋体" w:hAnsi="宋体"/>
                <w:color w:val="auto"/>
                <w:sz w:val="24"/>
                <w:szCs w:val="22"/>
                <w:highlight w:val="none"/>
                <w:lang w:val="en-US"/>
              </w:rPr>
              <w:t>安全文明施工费</w:t>
            </w:r>
          </w:p>
        </w:tc>
        <w:tc>
          <w:tcPr>
            <w:tcW w:w="6543" w:type="dxa"/>
            <w:vAlign w:val="center"/>
          </w:tcPr>
          <w:p>
            <w:pPr>
              <w:rPr>
                <w:rFonts w:ascii="宋体"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836" w:type="dxa"/>
            <w:vAlign w:val="center"/>
          </w:tcPr>
          <w:p>
            <w:pPr>
              <w:jc w:val="center"/>
              <w:rPr>
                <w:rFonts w:ascii="宋体" w:hAnsi="宋体"/>
                <w:color w:val="auto"/>
                <w:sz w:val="24"/>
                <w:szCs w:val="22"/>
                <w:highlight w:val="none"/>
                <w:lang w:val="en-US"/>
              </w:rPr>
            </w:pPr>
            <w:r>
              <w:rPr>
                <w:rFonts w:hint="eastAsia" w:ascii="宋体" w:hAnsi="宋体"/>
                <w:color w:val="auto"/>
                <w:sz w:val="24"/>
                <w:szCs w:val="22"/>
                <w:highlight w:val="none"/>
                <w:lang w:val="en-US"/>
              </w:rPr>
              <w:t>暂列金额</w:t>
            </w:r>
          </w:p>
          <w:p>
            <w:pPr>
              <w:jc w:val="center"/>
              <w:rPr>
                <w:rFonts w:ascii="宋体" w:hAnsi="宋体"/>
                <w:color w:val="auto"/>
                <w:sz w:val="24"/>
                <w:szCs w:val="22"/>
                <w:highlight w:val="none"/>
              </w:rPr>
            </w:pPr>
            <w:r>
              <w:rPr>
                <w:rFonts w:hint="eastAsia" w:ascii="宋体" w:hAnsi="宋体"/>
                <w:color w:val="auto"/>
                <w:sz w:val="24"/>
                <w:szCs w:val="22"/>
                <w:highlight w:val="none"/>
                <w:lang w:val="en-US"/>
              </w:rPr>
              <w:t>（不包括计日工部分）</w:t>
            </w:r>
          </w:p>
        </w:tc>
        <w:tc>
          <w:tcPr>
            <w:tcW w:w="6543" w:type="dxa"/>
            <w:vAlign w:val="center"/>
          </w:tcPr>
          <w:p>
            <w:pPr>
              <w:rPr>
                <w:rFonts w:ascii="宋体"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836" w:type="dxa"/>
            <w:vAlign w:val="center"/>
          </w:tcPr>
          <w:p>
            <w:pPr>
              <w:jc w:val="center"/>
              <w:rPr>
                <w:rFonts w:ascii="宋体" w:hAnsi="宋体"/>
                <w:color w:val="auto"/>
                <w:sz w:val="24"/>
                <w:szCs w:val="22"/>
                <w:highlight w:val="none"/>
              </w:rPr>
            </w:pPr>
            <w:r>
              <w:rPr>
                <w:rFonts w:hint="eastAsia" w:ascii="宋体" w:hAnsi="宋体"/>
                <w:color w:val="auto"/>
                <w:sz w:val="24"/>
                <w:szCs w:val="22"/>
                <w:highlight w:val="none"/>
                <w:lang w:val="en-US"/>
              </w:rPr>
              <w:t>专业工程暂估价</w:t>
            </w:r>
          </w:p>
        </w:tc>
        <w:tc>
          <w:tcPr>
            <w:tcW w:w="6543" w:type="dxa"/>
            <w:vAlign w:val="center"/>
          </w:tcPr>
          <w:p>
            <w:pPr>
              <w:rPr>
                <w:rFonts w:ascii="宋体"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836" w:type="dxa"/>
            <w:vAlign w:val="center"/>
          </w:tcPr>
          <w:p>
            <w:pPr>
              <w:jc w:val="center"/>
              <w:rPr>
                <w:rFonts w:ascii="宋体" w:hAnsi="宋体"/>
                <w:color w:val="auto"/>
                <w:sz w:val="24"/>
                <w:szCs w:val="22"/>
                <w:highlight w:val="none"/>
                <w:lang w:val="en-US"/>
              </w:rPr>
            </w:pPr>
            <w:r>
              <w:rPr>
                <w:rFonts w:hint="eastAsia" w:ascii="宋体" w:hAnsi="宋体"/>
                <w:color w:val="auto"/>
                <w:sz w:val="24"/>
                <w:szCs w:val="22"/>
                <w:highlight w:val="none"/>
                <w:lang w:val="en-US"/>
              </w:rPr>
              <w:t>合同履行期限</w:t>
            </w:r>
          </w:p>
        </w:tc>
        <w:tc>
          <w:tcPr>
            <w:tcW w:w="6543" w:type="dxa"/>
            <w:vAlign w:val="center"/>
          </w:tcPr>
          <w:p>
            <w:pPr>
              <w:rPr>
                <w:rFonts w:ascii="微软雅黑" w:hAnsi="微软雅黑"/>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836" w:type="dxa"/>
            <w:vAlign w:val="center"/>
          </w:tcPr>
          <w:p>
            <w:pPr>
              <w:jc w:val="center"/>
              <w:rPr>
                <w:rFonts w:ascii="宋体" w:hAnsi="宋体"/>
                <w:color w:val="auto"/>
                <w:sz w:val="24"/>
                <w:szCs w:val="22"/>
                <w:highlight w:val="none"/>
                <w:lang w:val="en-US"/>
              </w:rPr>
            </w:pPr>
            <w:r>
              <w:rPr>
                <w:rFonts w:hint="eastAsia" w:ascii="宋体" w:hAnsi="宋体"/>
                <w:color w:val="auto"/>
                <w:sz w:val="24"/>
                <w:szCs w:val="22"/>
                <w:highlight w:val="none"/>
                <w:lang w:val="en-US"/>
              </w:rPr>
              <w:t>质量标准</w:t>
            </w:r>
          </w:p>
        </w:tc>
        <w:tc>
          <w:tcPr>
            <w:tcW w:w="6543" w:type="dxa"/>
            <w:vAlign w:val="center"/>
          </w:tcPr>
          <w:p>
            <w:pPr>
              <w:rPr>
                <w:rFonts w:ascii="宋体"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836" w:type="dxa"/>
            <w:vAlign w:val="center"/>
          </w:tcPr>
          <w:p>
            <w:pPr>
              <w:jc w:val="center"/>
              <w:rPr>
                <w:rFonts w:ascii="宋体" w:hAnsi="宋体"/>
                <w:color w:val="auto"/>
                <w:sz w:val="24"/>
                <w:szCs w:val="22"/>
                <w:highlight w:val="none"/>
                <w:lang w:val="en-US"/>
              </w:rPr>
            </w:pPr>
            <w:r>
              <w:rPr>
                <w:rFonts w:hint="eastAsia" w:ascii="宋体" w:hAnsi="宋体"/>
                <w:color w:val="auto"/>
                <w:sz w:val="24"/>
                <w:szCs w:val="22"/>
                <w:highlight w:val="none"/>
                <w:lang w:val="en-US"/>
              </w:rPr>
              <w:t>备注</w:t>
            </w:r>
          </w:p>
        </w:tc>
        <w:tc>
          <w:tcPr>
            <w:tcW w:w="6543" w:type="dxa"/>
            <w:vAlign w:val="center"/>
          </w:tcPr>
          <w:p>
            <w:pPr>
              <w:rPr>
                <w:rFonts w:ascii="宋体" w:hAnsi="宋体"/>
                <w:color w:val="auto"/>
                <w:sz w:val="24"/>
                <w:szCs w:val="22"/>
                <w:highlight w:val="none"/>
              </w:rPr>
            </w:pPr>
          </w:p>
        </w:tc>
      </w:tr>
      <w:bookmarkEnd w:id="1090"/>
    </w:tbl>
    <w:p>
      <w:pPr>
        <w:spacing w:line="320" w:lineRule="exact"/>
        <w:ind w:firstLine="240" w:firstLineChars="100"/>
        <w:rPr>
          <w:rFonts w:ascii="宋体" w:hAnsi="宋体"/>
          <w:color w:val="auto"/>
          <w:sz w:val="24"/>
          <w:highlight w:val="none"/>
        </w:rPr>
      </w:pPr>
    </w:p>
    <w:p>
      <w:pPr>
        <w:spacing w:line="320" w:lineRule="exact"/>
        <w:ind w:right="960"/>
        <w:rPr>
          <w:rFonts w:ascii="宋体" w:hAnsi="宋体"/>
          <w:color w:val="auto"/>
          <w:sz w:val="24"/>
          <w:highlight w:val="none"/>
        </w:rPr>
      </w:pPr>
    </w:p>
    <w:p>
      <w:pPr>
        <w:rPr>
          <w:color w:val="auto"/>
          <w:highlight w:val="none"/>
          <w:lang w:val="en-US"/>
        </w:rPr>
      </w:pPr>
      <w:r>
        <w:rPr>
          <w:rFonts w:hint="eastAsia"/>
          <w:color w:val="auto"/>
          <w:highlight w:val="none"/>
        </w:rPr>
        <w:t>供应商声明：报价一览表中的“总报价”是所投工程及相关服务等全部费用的报价。</w:t>
      </w: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供应商名称：</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（加盖公章）</w:t>
      </w:r>
    </w:p>
    <w:p>
      <w:pPr>
        <w:rPr>
          <w:color w:val="auto"/>
          <w:highlight w:val="none"/>
        </w:rPr>
      </w:pPr>
    </w:p>
    <w:p>
      <w:pPr>
        <w:rPr>
          <w:color w:val="auto"/>
          <w:highlight w:val="none"/>
        </w:rPr>
      </w:pPr>
      <w:r>
        <w:rPr>
          <w:rFonts w:hint="eastAsia"/>
          <w:color w:val="auto"/>
          <w:highlight w:val="none"/>
        </w:rPr>
        <w:t>日期：</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日</w:t>
      </w:r>
    </w:p>
    <w:p>
      <w:pPr>
        <w:rPr>
          <w:color w:val="auto"/>
          <w:highlight w:val="none"/>
        </w:rPr>
      </w:pPr>
    </w:p>
    <w:p>
      <w:pPr>
        <w:rPr>
          <w:rFonts w:ascii="微软雅黑" w:hAnsi="微软雅黑"/>
          <w:color w:val="auto"/>
          <w:highlight w:val="none"/>
        </w:rPr>
      </w:pPr>
      <w:r>
        <w:rPr>
          <w:rFonts w:hint="eastAsia" w:ascii="微软雅黑" w:hAnsi="微软雅黑"/>
          <w:color w:val="auto"/>
          <w:highlight w:val="none"/>
        </w:rPr>
        <w:t>注：1、除可填报项目外，任何实质性修改将被视为非实质性响应，从而导致该</w:t>
      </w:r>
      <w:r>
        <w:rPr>
          <w:rFonts w:hint="eastAsia" w:ascii="微软雅黑" w:hAnsi="微软雅黑"/>
          <w:b/>
          <w:bCs/>
          <w:color w:val="auto"/>
          <w:highlight w:val="none"/>
        </w:rPr>
        <w:t>响应被拒绝</w:t>
      </w:r>
      <w:r>
        <w:rPr>
          <w:rFonts w:hint="eastAsia" w:ascii="微软雅黑" w:hAnsi="微软雅黑"/>
          <w:color w:val="auto"/>
          <w:highlight w:val="none"/>
        </w:rPr>
        <w:t>。</w:t>
      </w:r>
    </w:p>
    <w:p>
      <w:pPr>
        <w:ind w:firstLine="420" w:firstLineChars="200"/>
        <w:rPr>
          <w:color w:val="auto"/>
          <w:highlight w:val="none"/>
        </w:rPr>
      </w:pPr>
      <w:r>
        <w:rPr>
          <w:rFonts w:hint="eastAsia" w:ascii="微软雅黑" w:hAnsi="微软雅黑"/>
          <w:color w:val="auto"/>
          <w:highlight w:val="none"/>
        </w:rPr>
        <w:t>2、供应商如无特别说明事项，可不填写备注。</w:t>
      </w:r>
    </w:p>
    <w:p>
      <w:pPr>
        <w:rPr>
          <w:rFonts w:ascii="微软雅黑" w:hAnsi="微软雅黑"/>
          <w:b/>
          <w:bCs/>
          <w:color w:val="auto"/>
          <w:highlight w:val="none"/>
          <w:lang w:val="en-US"/>
        </w:rPr>
        <w:sectPr>
          <w:type w:val="oddPage"/>
          <w:pgSz w:w="11907" w:h="16839"/>
          <w:pgMar w:top="1928" w:right="1531" w:bottom="1871" w:left="1531" w:header="1148" w:footer="709" w:gutter="0"/>
          <w:cols w:space="720" w:num="1"/>
          <w:docGrid w:linePitch="360" w:charSpace="0"/>
        </w:sectPr>
      </w:pPr>
    </w:p>
    <w:p>
      <w:pPr>
        <w:pStyle w:val="5"/>
        <w:numPr>
          <w:ilvl w:val="0"/>
          <w:numId w:val="48"/>
        </w:numPr>
        <w:spacing w:line="360" w:lineRule="auto"/>
        <w:jc w:val="center"/>
        <w:rPr>
          <w:b w:val="0"/>
          <w:color w:val="auto"/>
          <w:sz w:val="32"/>
          <w:szCs w:val="32"/>
          <w:highlight w:val="none"/>
        </w:rPr>
      </w:pPr>
      <w:bookmarkStart w:id="1091" w:name="_Toc25644"/>
      <w:r>
        <w:rPr>
          <w:rFonts w:hint="eastAsia"/>
          <w:color w:val="auto"/>
          <w:sz w:val="32"/>
          <w:szCs w:val="32"/>
          <w:highlight w:val="none"/>
        </w:rPr>
        <w:t>资格审查部分</w:t>
      </w:r>
      <w:bookmarkEnd w:id="1091"/>
    </w:p>
    <w:p>
      <w:pPr>
        <w:pStyle w:val="5"/>
        <w:numPr>
          <w:ilvl w:val="0"/>
          <w:numId w:val="52"/>
        </w:numPr>
        <w:rPr>
          <w:bCs/>
          <w:color w:val="auto"/>
          <w:highlight w:val="none"/>
          <w:lang w:val="en-US"/>
        </w:rPr>
      </w:pPr>
      <w:bookmarkStart w:id="1092" w:name="_Toc9439"/>
      <w:r>
        <w:rPr>
          <w:rFonts w:hint="eastAsia"/>
          <w:color w:val="auto"/>
          <w:highlight w:val="none"/>
        </w:rPr>
        <w:t>供应商资格审查一览表</w:t>
      </w:r>
      <w:bookmarkEnd w:id="1092"/>
    </w:p>
    <w:bookmarkEnd w:id="1085"/>
    <w:p>
      <w:pPr>
        <w:spacing w:line="320" w:lineRule="exact"/>
        <w:ind w:firstLine="210" w:firstLineChars="100"/>
        <w:jc w:val="center"/>
        <w:rPr>
          <w:rFonts w:ascii="宋体" w:hAnsi="宋体"/>
          <w:b/>
          <w:color w:val="auto"/>
          <w:szCs w:val="21"/>
          <w:highlight w:val="none"/>
        </w:rPr>
      </w:pPr>
      <w:bookmarkStart w:id="1093" w:name="gxebdItem_unprotect_3"/>
      <w:r>
        <w:rPr>
          <w:rFonts w:hint="eastAsia" w:ascii="宋体" w:hAnsi="宋体"/>
          <w:b/>
          <w:color w:val="auto"/>
          <w:szCs w:val="21"/>
          <w:highlight w:val="none"/>
        </w:rPr>
        <w:t>供应商资格审查一览表</w:t>
      </w:r>
      <w:bookmarkStart w:id="1094" w:name="gxebdItem_Prequalification"/>
      <w:bookmarkEnd w:id="1094"/>
    </w:p>
    <w:p>
      <w:pPr>
        <w:rPr>
          <w:color w:val="auto"/>
          <w:highlight w:val="none"/>
        </w:rPr>
      </w:pPr>
      <w:r>
        <w:rPr>
          <w:color w:val="auto"/>
          <w:highlight w:val="none"/>
        </w:rPr>
        <w:t xml:space="preserve"> </w:t>
      </w:r>
    </w:p>
    <w:p>
      <w:pPr>
        <w:ind w:firstLine="420" w:firstLineChars="200"/>
        <w:jc w:val="center"/>
        <w:rPr>
          <w:color w:val="auto"/>
          <w:highlight w:val="none"/>
        </w:rPr>
      </w:pPr>
    </w:p>
    <w:tbl>
      <w:tblPr>
        <w:tblStyle w:val="83"/>
        <w:tblW w:w="14175" w:type="dxa"/>
        <w:jc w:val="center"/>
        <w:tblLayout w:type="fixed"/>
        <w:tblCellMar>
          <w:top w:w="0" w:type="dxa"/>
          <w:left w:w="108" w:type="dxa"/>
          <w:bottom w:w="0" w:type="dxa"/>
          <w:right w:w="108" w:type="dxa"/>
        </w:tblCellMar>
      </w:tblPr>
      <w:tblGrid>
        <w:gridCol w:w="1003"/>
        <w:gridCol w:w="4170"/>
        <w:gridCol w:w="4168"/>
        <w:gridCol w:w="2334"/>
        <w:gridCol w:w="2500"/>
      </w:tblGrid>
      <w:tr>
        <w:tblPrEx>
          <w:tblCellMar>
            <w:top w:w="0" w:type="dxa"/>
            <w:left w:w="108" w:type="dxa"/>
            <w:bottom w:w="0" w:type="dxa"/>
            <w:right w:w="108" w:type="dxa"/>
          </w:tblCellMar>
        </w:tblPrEx>
        <w:trPr>
          <w:trHeight w:val="370" w:hRule="atLeast"/>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autoSpaceDE w:val="0"/>
              <w:adjustRightInd w:val="0"/>
              <w:snapToGrid w:val="0"/>
              <w:spacing w:before="40" w:after="160"/>
              <w:jc w:val="center"/>
              <w:rPr>
                <w:rFonts w:cs="黑体"/>
                <w:b/>
                <w:color w:val="auto"/>
                <w:szCs w:val="21"/>
                <w:highlight w:val="none"/>
              </w:rPr>
            </w:pPr>
            <w:r>
              <w:rPr>
                <w:rFonts w:hint="eastAsia"/>
                <w:b/>
                <w:color w:val="auto"/>
                <w:szCs w:val="22"/>
                <w:highlight w:val="none"/>
              </w:rPr>
              <w:t>序号</w:t>
            </w: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b/>
                <w:color w:val="auto"/>
                <w:szCs w:val="21"/>
                <w:highlight w:val="none"/>
              </w:rPr>
            </w:pPr>
            <w:r>
              <w:rPr>
                <w:rFonts w:hint="eastAsia"/>
                <w:b/>
                <w:color w:val="auto"/>
                <w:szCs w:val="22"/>
                <w:highlight w:val="none"/>
              </w:rPr>
              <w:t>项     目</w:t>
            </w:r>
          </w:p>
        </w:tc>
        <w:tc>
          <w:tcPr>
            <w:tcW w:w="4168"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hAnsi="微软雅黑"/>
                <w:b/>
                <w:color w:val="auto"/>
                <w:kern w:val="0"/>
                <w:szCs w:val="21"/>
                <w:highlight w:val="none"/>
                <w:lang w:val="en-US"/>
              </w:rPr>
            </w:pPr>
            <w:r>
              <w:rPr>
                <w:rFonts w:hint="eastAsia" w:ascii="微软雅黑" w:hAnsi="微软雅黑"/>
                <w:b/>
                <w:color w:val="auto"/>
                <w:kern w:val="0"/>
                <w:szCs w:val="21"/>
                <w:highlight w:val="none"/>
                <w:lang w:val="en-US"/>
              </w:rPr>
              <w:t>合格条件</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b/>
                <w:color w:val="auto"/>
                <w:szCs w:val="22"/>
                <w:highlight w:val="none"/>
              </w:rPr>
            </w:pPr>
            <w:r>
              <w:rPr>
                <w:rFonts w:hint="eastAsia"/>
                <w:b/>
                <w:color w:val="auto"/>
                <w:szCs w:val="22"/>
                <w:highlight w:val="none"/>
                <w:lang w:val="en-US"/>
              </w:rPr>
              <w:t>证明文件在响应文件中所在页码</w:t>
            </w: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b/>
                <w:color w:val="auto"/>
                <w:szCs w:val="22"/>
                <w:highlight w:val="none"/>
              </w:rPr>
            </w:pPr>
            <w:r>
              <w:rPr>
                <w:rFonts w:hint="eastAsia"/>
                <w:b/>
                <w:color w:val="auto"/>
                <w:szCs w:val="22"/>
                <w:highlight w:val="none"/>
              </w:rPr>
              <w:t>备注</w:t>
            </w: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rFonts w:cs="黑体"/>
                <w:color w:val="auto"/>
                <w:szCs w:val="21"/>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cs="黑体"/>
                <w:color w:val="auto"/>
                <w:szCs w:val="21"/>
                <w:highlight w:val="none"/>
              </w:rPr>
            </w:pPr>
            <w:r>
              <w:rPr>
                <w:rFonts w:hint="eastAsia" w:cs="黑体"/>
                <w:color w:val="auto"/>
                <w:szCs w:val="21"/>
                <w:highlight w:val="none"/>
              </w:rPr>
              <w:t>具有独立承担民事责任的能力</w:t>
            </w:r>
          </w:p>
        </w:tc>
        <w:tc>
          <w:tcPr>
            <w:tcW w:w="4168" w:type="dxa"/>
            <w:tcBorders>
              <w:top w:val="single" w:color="000000" w:sz="4" w:space="0"/>
              <w:left w:val="nil"/>
              <w:bottom w:val="single" w:color="000000" w:sz="4" w:space="0"/>
              <w:right w:val="single" w:color="000000" w:sz="4" w:space="0"/>
            </w:tcBorders>
            <w:vAlign w:val="center"/>
          </w:tcPr>
          <w:p>
            <w:pPr>
              <w:spacing w:line="240" w:lineRule="exact"/>
              <w:rPr>
                <w:rFonts w:ascii="微软雅黑" w:hAnsi="微软雅黑"/>
                <w:color w:val="auto"/>
                <w:szCs w:val="22"/>
                <w:highlight w:val="none"/>
              </w:rPr>
            </w:pPr>
            <w:r>
              <w:rPr>
                <w:rFonts w:hint="eastAsia" w:cs="黑体"/>
                <w:color w:val="auto"/>
                <w:szCs w:val="21"/>
                <w:highlight w:val="none"/>
              </w:rPr>
              <w:t>提供有效的法人或者其他组织的营业执照等证明文件，自然人的身份证明。</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rFonts w:cs="黑体"/>
                <w:color w:val="auto"/>
                <w:szCs w:val="21"/>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cs="黑体"/>
                <w:color w:val="auto"/>
                <w:szCs w:val="21"/>
                <w:highlight w:val="none"/>
              </w:rPr>
            </w:pPr>
            <w:r>
              <w:rPr>
                <w:rFonts w:hint="eastAsia" w:cs="黑体"/>
                <w:color w:val="auto"/>
                <w:szCs w:val="21"/>
                <w:highlight w:val="none"/>
              </w:rPr>
              <w:t>具有良好的商业信誉和健全的财务会计制度</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r>
              <w:rPr>
                <w:rFonts w:hint="eastAsia" w:cs="黑体"/>
                <w:color w:val="auto"/>
                <w:szCs w:val="21"/>
                <w:highlight w:val="none"/>
              </w:rPr>
              <w:t>提供承诺或相关证明材料</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rFonts w:cs="黑体"/>
                <w:color w:val="auto"/>
                <w:szCs w:val="21"/>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cs="黑体"/>
                <w:color w:val="auto"/>
                <w:szCs w:val="21"/>
                <w:highlight w:val="none"/>
              </w:rPr>
            </w:pPr>
            <w:r>
              <w:rPr>
                <w:rFonts w:hint="eastAsia" w:cs="黑体"/>
                <w:color w:val="auto"/>
                <w:szCs w:val="21"/>
                <w:highlight w:val="none"/>
              </w:rPr>
              <w:t>具有履行合同所必需的设备和专业技术能力</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r>
              <w:rPr>
                <w:rFonts w:hint="eastAsia" w:cs="黑体"/>
                <w:color w:val="auto"/>
                <w:szCs w:val="21"/>
                <w:highlight w:val="none"/>
              </w:rPr>
              <w:t>提供承诺或相关证明材料</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rFonts w:cs="黑体"/>
                <w:color w:val="auto"/>
                <w:szCs w:val="21"/>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cs="黑体"/>
                <w:color w:val="auto"/>
                <w:szCs w:val="21"/>
                <w:highlight w:val="none"/>
              </w:rPr>
            </w:pPr>
            <w:r>
              <w:rPr>
                <w:rFonts w:hint="eastAsia" w:cs="黑体"/>
                <w:color w:val="auto"/>
                <w:szCs w:val="21"/>
                <w:highlight w:val="none"/>
              </w:rPr>
              <w:t>有依法缴纳税收和社会保障资金的良好记录</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r>
              <w:rPr>
                <w:rFonts w:hint="eastAsia" w:cs="黑体"/>
                <w:color w:val="auto"/>
                <w:szCs w:val="21"/>
                <w:highlight w:val="none"/>
              </w:rPr>
              <w:t>提供承诺或相关证明材料</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cs="黑体"/>
                <w:color w:val="auto"/>
                <w:szCs w:val="21"/>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书面声明</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color w:val="auto"/>
                <w:szCs w:val="22"/>
                <w:highlight w:val="none"/>
              </w:rPr>
              <w:t>按竞争性磋商文件给定格式声明签署</w:t>
            </w:r>
          </w:p>
          <w:p>
            <w:pPr>
              <w:autoSpaceDE w:val="0"/>
              <w:adjustRightInd w:val="0"/>
              <w:snapToGrid w:val="0"/>
              <w:spacing w:before="40" w:after="160"/>
              <w:jc w:val="center"/>
              <w:rPr>
                <w:color w:val="auto"/>
                <w:szCs w:val="22"/>
                <w:highlight w:val="none"/>
              </w:rPr>
            </w:pPr>
            <w:r>
              <w:rPr>
                <w:rFonts w:hint="eastAsia"/>
                <w:color w:val="auto"/>
                <w:szCs w:val="22"/>
                <w:highlight w:val="none"/>
              </w:rPr>
              <w:t>（格式后附）</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通过”信用中国”网站(www.creditchina.gov.cn)、中国政府采购网(www.ccgp.gov.cn)、“国家企业信用信息公示系统”（www.gsxt.gov.cn/index.html）渠道查询供应商信用记录</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color w:val="auto"/>
                <w:szCs w:val="22"/>
                <w:highlight w:val="none"/>
              </w:rPr>
              <w:t>供应商</w:t>
            </w:r>
            <w:r>
              <w:rPr>
                <w:rFonts w:hint="eastAsia"/>
                <w:bCs/>
                <w:color w:val="auto"/>
                <w:szCs w:val="22"/>
                <w:highlight w:val="none"/>
              </w:rPr>
              <w:t>不得列</w:t>
            </w:r>
            <w:r>
              <w:rPr>
                <w:rFonts w:hint="eastAsia"/>
                <w:color w:val="auto"/>
                <w:szCs w:val="22"/>
                <w:highlight w:val="none"/>
              </w:rPr>
              <w:t>入失信被执行人、重大税收违法案件当事人名单、政府采购严重违法失信行为记录名单（且处罚期限尚未届满的）</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ascii="微软雅黑" w:hAnsi="微软雅黑"/>
                <w:color w:val="auto"/>
                <w:szCs w:val="22"/>
                <w:highlight w:val="none"/>
              </w:rPr>
              <w:t>供应商无需提供，采购人或采购代理机构在资格审查时查询</w:t>
            </w: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企业资质</w:t>
            </w:r>
          </w:p>
        </w:tc>
        <w:tc>
          <w:tcPr>
            <w:tcW w:w="4168" w:type="dxa"/>
            <w:tcBorders>
              <w:top w:val="single" w:color="000000" w:sz="4" w:space="0"/>
              <w:left w:val="nil"/>
              <w:bottom w:val="single" w:color="000000" w:sz="4" w:space="0"/>
              <w:right w:val="single" w:color="000000" w:sz="4" w:space="0"/>
            </w:tcBorders>
            <w:vAlign w:val="center"/>
          </w:tcPr>
          <w:p>
            <w:pPr>
              <w:jc w:val="left"/>
              <w:rPr>
                <w:rFonts w:hint="eastAsia" w:ascii="微软雅黑" w:hAnsi="微软雅黑"/>
                <w:color w:val="auto"/>
                <w:szCs w:val="21"/>
                <w:highlight w:val="none"/>
              </w:rPr>
            </w:pPr>
            <w:r>
              <w:rPr>
                <w:rFonts w:hint="eastAsia" w:ascii="微软雅黑" w:hAnsi="微软雅黑"/>
                <w:color w:val="auto"/>
                <w:szCs w:val="21"/>
                <w:highlight w:val="none"/>
              </w:rPr>
              <w:t>供应商须具备中华人民共和国境内的独立法人资格，并在人员、设备、资金等方面具有相应的施工能力。须同时具备国家建设行政主管部门颁发的下列资质之一：</w:t>
            </w:r>
          </w:p>
          <w:p>
            <w:pPr>
              <w:pStyle w:val="2"/>
              <w:ind w:left="0" w:leftChars="0" w:firstLine="0" w:firstLineChars="0"/>
              <w:jc w:val="left"/>
              <w:rPr>
                <w:rFonts w:hint="eastAsia" w:ascii="微软雅黑" w:hAnsi="微软雅黑" w:eastAsia="微软雅黑" w:cs="Times New Roman"/>
                <w:color w:val="auto"/>
                <w:kern w:val="20"/>
                <w:sz w:val="21"/>
                <w:szCs w:val="21"/>
                <w:highlight w:val="none"/>
                <w:lang w:val="zh-CN" w:eastAsia="zh-CN" w:bidi="ar-SA"/>
              </w:rPr>
            </w:pPr>
            <w:r>
              <w:rPr>
                <w:rFonts w:hint="eastAsia" w:ascii="微软雅黑" w:hAnsi="微软雅黑" w:eastAsia="微软雅黑" w:cs="Times New Roman"/>
                <w:color w:val="auto"/>
                <w:kern w:val="20"/>
                <w:sz w:val="21"/>
                <w:szCs w:val="21"/>
                <w:highlight w:val="none"/>
                <w:lang w:val="zh-CN" w:eastAsia="zh-CN" w:bidi="ar-SA"/>
              </w:rPr>
              <w:t>1、机电工程施工总承包三级及以上资质，具备建设行政主管部门颁发的企业安全生产许可证；</w:t>
            </w:r>
          </w:p>
          <w:p>
            <w:pPr>
              <w:pStyle w:val="2"/>
              <w:ind w:left="0" w:leftChars="0" w:firstLine="0" w:firstLineChars="0"/>
              <w:jc w:val="left"/>
              <w:rPr>
                <w:rFonts w:hint="eastAsia" w:ascii="微软雅黑" w:hAnsi="微软雅黑" w:eastAsia="微软雅黑" w:cs="Times New Roman"/>
                <w:color w:val="auto"/>
                <w:kern w:val="20"/>
                <w:sz w:val="21"/>
                <w:szCs w:val="21"/>
                <w:highlight w:val="none"/>
                <w:lang w:val="zh-CN" w:eastAsia="zh-CN" w:bidi="ar-SA"/>
              </w:rPr>
            </w:pPr>
            <w:r>
              <w:rPr>
                <w:rFonts w:hint="eastAsia" w:ascii="微软雅黑" w:hAnsi="微软雅黑" w:eastAsia="微软雅黑" w:cs="Times New Roman"/>
                <w:color w:val="auto"/>
                <w:kern w:val="20"/>
                <w:sz w:val="21"/>
                <w:szCs w:val="21"/>
                <w:highlight w:val="none"/>
                <w:lang w:val="zh-CN" w:eastAsia="zh-CN" w:bidi="ar-SA"/>
              </w:rPr>
              <w:t>2、建筑机电安装工程专业承包三级及以上资质，具备建设行政主管部门颁发的企业安全生产许可证；</w:t>
            </w:r>
          </w:p>
          <w:p>
            <w:pPr>
              <w:autoSpaceDE w:val="0"/>
              <w:adjustRightInd w:val="0"/>
              <w:snapToGrid w:val="0"/>
              <w:spacing w:before="40" w:after="160"/>
              <w:jc w:val="left"/>
              <w:rPr>
                <w:color w:val="auto"/>
                <w:szCs w:val="22"/>
                <w:highlight w:val="none"/>
              </w:rPr>
            </w:pPr>
            <w:r>
              <w:rPr>
                <w:rFonts w:hint="eastAsia" w:ascii="微软雅黑" w:hAnsi="微软雅黑" w:cs="Times New Roman"/>
                <w:color w:val="auto"/>
                <w:kern w:val="20"/>
                <w:sz w:val="21"/>
                <w:szCs w:val="21"/>
                <w:highlight w:val="none"/>
                <w:lang w:val="en-US" w:eastAsia="zh-CN" w:bidi="ar-SA"/>
              </w:rPr>
              <w:t>3、建筑工程施工总承包三级及以上资质，具备建设行政主管部门颁发的企业安全生产许可证；</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项目经理资质</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ascii="微软雅黑" w:hAnsi="微软雅黑"/>
                <w:color w:val="auto"/>
                <w:szCs w:val="21"/>
                <w:highlight w:val="none"/>
              </w:rPr>
              <w:t>拟派本项目的项目经理须具备机电工程专业二级及以上国家注册建造师执业资格，同时具有安全生产考核证书，且未担任其他在施建设工程项目的项目经理工作</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lang w:val="en-US"/>
              </w:rPr>
            </w:pPr>
            <w:r>
              <w:rPr>
                <w:rFonts w:hint="eastAsia"/>
                <w:color w:val="auto"/>
                <w:szCs w:val="22"/>
                <w:highlight w:val="none"/>
                <w:lang w:val="en-US"/>
              </w:rPr>
              <w:t>技术负责人</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bCs/>
                <w:color w:val="auto"/>
                <w:szCs w:val="21"/>
                <w:highlight w:val="none"/>
                <w:lang w:val="en-US"/>
              </w:rPr>
            </w:pPr>
            <w:r>
              <w:rPr>
                <w:rFonts w:hint="eastAsia" w:ascii="微软雅黑" w:hAnsi="微软雅黑" w:cs="微软雅黑"/>
                <w:color w:val="auto"/>
                <w:szCs w:val="22"/>
                <w:highlight w:val="none"/>
              </w:rPr>
              <w:t>拟派技术负责人须具备建安类与本工程相适应的相关专业高级及以上职称，并具备相应的职称证书</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lang w:val="en-US"/>
              </w:rPr>
            </w:pPr>
            <w:r>
              <w:rPr>
                <w:rFonts w:hint="eastAsia"/>
                <w:color w:val="auto"/>
                <w:szCs w:val="22"/>
                <w:highlight w:val="none"/>
                <w:lang w:val="en-US"/>
              </w:rPr>
              <w:t>社保要求</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bCs/>
                <w:color w:val="auto"/>
                <w:szCs w:val="21"/>
                <w:highlight w:val="none"/>
                <w:lang w:val="en-US"/>
              </w:rPr>
            </w:pPr>
            <w:r>
              <w:rPr>
                <w:rFonts w:hint="eastAsia" w:ascii="微软雅黑" w:hAnsi="微软雅黑"/>
                <w:color w:val="auto"/>
                <w:szCs w:val="21"/>
                <w:highlight w:val="none"/>
              </w:rPr>
              <w:t>拟派项目经理、技术负责人及参加本工程投标的授权委托代理人必须是参加本项目投标人的合法在职人员，须提供参加本项目的投标人为其近6个月内任意2个月（2022年1月至今）缴纳职工基本养老保险的证明，缴纳养老保险证明须为在人力资源和社会保障网上打印的带有条形码的打印件并加盖企业公章，哈尔滨市企业应提供社保证明的查询方式及相关信息，包括社保号、身份证号、密码等；外省、市投标企业必须提供查询网址及相关信息，包括社保号、身份证号、密码等。</w:t>
            </w:r>
            <w:r>
              <w:rPr>
                <w:rFonts w:hint="eastAsia" w:ascii="微软雅黑" w:hAnsi="微软雅黑"/>
                <w:color w:val="auto"/>
                <w:szCs w:val="21"/>
                <w:highlight w:val="none"/>
                <w:lang w:eastAsia="zh-CN"/>
              </w:rPr>
              <w:t>（</w:t>
            </w:r>
            <w:r>
              <w:rPr>
                <w:rFonts w:hint="eastAsia" w:ascii="微软雅黑" w:hAnsi="微软雅黑"/>
                <w:color w:val="auto"/>
                <w:szCs w:val="21"/>
                <w:highlight w:val="none"/>
                <w:lang w:val="en-US" w:eastAsia="zh-CN"/>
              </w:rPr>
              <w:t>国家规定的六类人员除外</w:t>
            </w:r>
            <w:r>
              <w:rPr>
                <w:rFonts w:hint="eastAsia" w:ascii="微软雅黑" w:hAnsi="微软雅黑"/>
                <w:color w:val="auto"/>
                <w:szCs w:val="21"/>
                <w:highlight w:val="none"/>
                <w:lang w:eastAsia="zh-CN"/>
              </w:rPr>
              <w:t>）</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其他项目管理机构成员资质</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ascii="微软雅黑" w:hAnsi="微软雅黑"/>
                <w:color w:val="auto"/>
                <w:szCs w:val="21"/>
                <w:highlight w:val="none"/>
              </w:rPr>
              <w:t>拟派本项目管理机构除项目经理外，还须配备施工员（工长）1人、质量员（质量检查员）1人、安全员1 人。施工员具备岗位证书，质量员具备岗位证书，安全员具备有效的C类安全生产考核合格证书（C证）。（注：其他省份专业设置不同的，</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须提供本省“工程项目管理机构人员配置管理”相关文件，按磋商文件人数要求分别配备施工员、质量员。）</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lang w:val="en-US"/>
              </w:rPr>
              <w:t>业绩要求</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color w:val="auto"/>
                <w:szCs w:val="21"/>
                <w:highlight w:val="none"/>
              </w:rPr>
            </w:pP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在参加本次磋商前3年内（2019年7月1日-投标登记截止之日），完成一项类似电力改造维修工程施工业绩，并提供如下佐证材料：中标通知书、施工合同、竣工验收报告。竣工验收报告必须由建设、设计、监理、施工四方签字盖章，以竣工验收时间为准（注：原件彩色扫描版封装在技术标内）。</w:t>
            </w:r>
            <w:r>
              <w:rPr>
                <w:rFonts w:hint="eastAsia" w:ascii="微软雅黑" w:hAnsi="微软雅黑"/>
                <w:color w:val="auto"/>
                <w:szCs w:val="21"/>
                <w:highlight w:val="none"/>
                <w:lang w:val="en-US" w:eastAsia="zh-CN"/>
              </w:rPr>
              <w:t>采购</w:t>
            </w:r>
            <w:r>
              <w:rPr>
                <w:rFonts w:hint="eastAsia" w:ascii="微软雅黑" w:hAnsi="微软雅黑"/>
                <w:color w:val="auto"/>
                <w:szCs w:val="21"/>
                <w:highlight w:val="none"/>
              </w:rPr>
              <w:t>人有权在响应前对</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施工业绩进行现场核实，</w:t>
            </w:r>
            <w:r>
              <w:rPr>
                <w:rFonts w:hint="eastAsia" w:ascii="微软雅黑" w:hAnsi="微软雅黑"/>
                <w:color w:val="auto"/>
                <w:szCs w:val="21"/>
                <w:highlight w:val="none"/>
                <w:lang w:val="en-US" w:eastAsia="zh-CN"/>
              </w:rPr>
              <w:t>供应商</w:t>
            </w:r>
            <w:r>
              <w:rPr>
                <w:rFonts w:hint="eastAsia" w:ascii="微软雅黑" w:hAnsi="微软雅黑"/>
                <w:color w:val="auto"/>
                <w:szCs w:val="21"/>
                <w:highlight w:val="none"/>
              </w:rPr>
              <w:t>应给予配合。</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ascii="微软雅黑" w:hAnsi="微软雅黑"/>
                <w:color w:val="auto"/>
                <w:szCs w:val="21"/>
                <w:highlight w:val="none"/>
              </w:rPr>
              <w:t>企业审计报告</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rFonts w:ascii="微软雅黑" w:hAnsi="微软雅黑"/>
                <w:color w:val="auto"/>
                <w:szCs w:val="21"/>
                <w:highlight w:val="none"/>
              </w:rPr>
            </w:pPr>
            <w:r>
              <w:rPr>
                <w:rFonts w:hint="eastAsia" w:ascii="微软雅黑" w:hAnsi="微软雅黑"/>
                <w:color w:val="auto"/>
                <w:szCs w:val="21"/>
                <w:highlight w:val="none"/>
              </w:rPr>
              <w:t>供应商必须具有由有资质的会计师事务所出具的2021年度的真实有效的企业审计报告（成立年限不足1年的企业，须出具具备良好的商业信誉和健全的财务会计制度承诺函）</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color w:val="auto"/>
                <w:szCs w:val="22"/>
                <w:highlight w:val="none"/>
              </w:rPr>
            </w:pPr>
            <w:r>
              <w:rPr>
                <w:rFonts w:hint="eastAsia"/>
                <w:color w:val="auto"/>
                <w:szCs w:val="22"/>
                <w:highlight w:val="none"/>
              </w:rPr>
              <w:t>项目经理承诺书</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r>
              <w:rPr>
                <w:rFonts w:hint="eastAsia"/>
                <w:color w:val="auto"/>
                <w:szCs w:val="22"/>
                <w:highlight w:val="none"/>
              </w:rPr>
              <w:t>按竞争性磋商文件给定格式签署</w:t>
            </w:r>
          </w:p>
          <w:p>
            <w:pPr>
              <w:autoSpaceDE w:val="0"/>
              <w:adjustRightInd w:val="0"/>
              <w:snapToGrid w:val="0"/>
              <w:spacing w:before="40" w:after="160"/>
              <w:jc w:val="center"/>
              <w:rPr>
                <w:color w:val="auto"/>
                <w:szCs w:val="22"/>
                <w:highlight w:val="none"/>
              </w:rPr>
            </w:pPr>
            <w:r>
              <w:rPr>
                <w:rFonts w:hint="eastAsia"/>
                <w:color w:val="auto"/>
                <w:szCs w:val="22"/>
                <w:highlight w:val="none"/>
              </w:rPr>
              <w:t>（格式后附）</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r>
        <w:tblPrEx>
          <w:tblCellMar>
            <w:top w:w="0" w:type="dxa"/>
            <w:left w:w="108" w:type="dxa"/>
            <w:bottom w:w="0" w:type="dxa"/>
            <w:right w:w="108" w:type="dxa"/>
          </w:tblCellMar>
        </w:tblPrEx>
        <w:trPr>
          <w:jc w:val="center"/>
        </w:trPr>
        <w:tc>
          <w:tcPr>
            <w:tcW w:w="1003" w:type="dxa"/>
            <w:tcBorders>
              <w:top w:val="single" w:color="000000" w:sz="4" w:space="0"/>
              <w:left w:val="single" w:color="000000" w:sz="4" w:space="0"/>
              <w:bottom w:val="single" w:color="000000" w:sz="4" w:space="0"/>
              <w:right w:val="single" w:color="000000" w:sz="4" w:space="0"/>
            </w:tcBorders>
            <w:vAlign w:val="center"/>
          </w:tcPr>
          <w:p>
            <w:pPr>
              <w:pStyle w:val="336"/>
              <w:numPr>
                <w:ilvl w:val="0"/>
                <w:numId w:val="53"/>
              </w:numPr>
              <w:autoSpaceDE w:val="0"/>
              <w:adjustRightInd w:val="0"/>
              <w:snapToGrid w:val="0"/>
              <w:spacing w:before="40" w:after="160"/>
              <w:ind w:left="0" w:firstLine="0" w:firstLineChars="0"/>
              <w:jc w:val="center"/>
              <w:rPr>
                <w:color w:val="auto"/>
                <w:szCs w:val="22"/>
                <w:highlight w:val="none"/>
              </w:rPr>
            </w:pPr>
          </w:p>
        </w:tc>
        <w:tc>
          <w:tcPr>
            <w:tcW w:w="417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rPr>
                <w:rFonts w:hint="eastAsia"/>
                <w:color w:val="auto"/>
                <w:szCs w:val="22"/>
                <w:highlight w:val="none"/>
              </w:rPr>
            </w:pPr>
            <w:r>
              <w:rPr>
                <w:rFonts w:hint="eastAsia"/>
                <w:color w:val="auto"/>
                <w:highlight w:val="none"/>
              </w:rPr>
              <w:t>中小企业声明函</w:t>
            </w:r>
          </w:p>
        </w:tc>
        <w:tc>
          <w:tcPr>
            <w:tcW w:w="4168"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highlight w:val="none"/>
              </w:rPr>
            </w:pPr>
            <w:r>
              <w:rPr>
                <w:rFonts w:hint="eastAsia"/>
                <w:color w:val="auto"/>
                <w:highlight w:val="none"/>
              </w:rPr>
              <w:t>须为</w:t>
            </w:r>
            <w:r>
              <w:rPr>
                <w:rFonts w:hint="eastAsia"/>
                <w:color w:val="auto"/>
                <w:highlight w:val="none"/>
                <w:lang w:val="en-US"/>
              </w:rPr>
              <w:t>中型、小型、微型</w:t>
            </w:r>
            <w:r>
              <w:rPr>
                <w:rFonts w:hint="eastAsia"/>
                <w:color w:val="auto"/>
                <w:highlight w:val="none"/>
              </w:rPr>
              <w:t>企业，按竞争性磋商文件给定格式签署</w:t>
            </w:r>
          </w:p>
          <w:p>
            <w:pPr>
              <w:autoSpaceDE w:val="0"/>
              <w:adjustRightInd w:val="0"/>
              <w:snapToGrid w:val="0"/>
              <w:spacing w:before="40" w:after="160"/>
              <w:jc w:val="center"/>
              <w:rPr>
                <w:rFonts w:hint="eastAsia"/>
                <w:color w:val="auto"/>
                <w:szCs w:val="22"/>
                <w:highlight w:val="none"/>
              </w:rPr>
            </w:pPr>
            <w:r>
              <w:rPr>
                <w:rFonts w:hint="eastAsia"/>
                <w:color w:val="auto"/>
                <w:highlight w:val="none"/>
              </w:rPr>
              <w:t>（格式后附）</w:t>
            </w:r>
          </w:p>
        </w:tc>
        <w:tc>
          <w:tcPr>
            <w:tcW w:w="2334"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c>
          <w:tcPr>
            <w:tcW w:w="2500" w:type="dxa"/>
            <w:tcBorders>
              <w:top w:val="single" w:color="000000" w:sz="4" w:space="0"/>
              <w:left w:val="nil"/>
              <w:bottom w:val="single" w:color="000000" w:sz="4" w:space="0"/>
              <w:right w:val="single" w:color="000000" w:sz="4" w:space="0"/>
            </w:tcBorders>
            <w:vAlign w:val="center"/>
          </w:tcPr>
          <w:p>
            <w:pPr>
              <w:autoSpaceDE w:val="0"/>
              <w:adjustRightInd w:val="0"/>
              <w:snapToGrid w:val="0"/>
              <w:spacing w:before="40" w:after="160"/>
              <w:jc w:val="center"/>
              <w:rPr>
                <w:color w:val="auto"/>
                <w:szCs w:val="22"/>
                <w:highlight w:val="none"/>
              </w:rPr>
            </w:pPr>
          </w:p>
        </w:tc>
      </w:tr>
    </w:tbl>
    <w:p>
      <w:pPr>
        <w:rPr>
          <w:rFonts w:ascii="微软雅黑" w:hAnsi="微软雅黑"/>
          <w:b/>
          <w:color w:val="auto"/>
          <w:highlight w:val="none"/>
        </w:rPr>
        <w:sectPr>
          <w:pgSz w:w="16839" w:h="11907" w:orient="landscape"/>
          <w:pgMar w:top="1531" w:right="1928" w:bottom="1531" w:left="1871" w:header="1148" w:footer="709" w:gutter="0"/>
          <w:cols w:space="720" w:num="1"/>
          <w:docGrid w:linePitch="360" w:charSpace="0"/>
        </w:sectPr>
      </w:pPr>
    </w:p>
    <w:p>
      <w:pPr>
        <w:pStyle w:val="5"/>
        <w:numPr>
          <w:ilvl w:val="0"/>
          <w:numId w:val="52"/>
        </w:numPr>
        <w:rPr>
          <w:b w:val="0"/>
          <w:color w:val="auto"/>
          <w:highlight w:val="none"/>
        </w:rPr>
      </w:pPr>
      <w:bookmarkStart w:id="1095" w:name="_Toc4676"/>
      <w:r>
        <w:rPr>
          <w:rFonts w:hint="eastAsia"/>
          <w:color w:val="auto"/>
          <w:highlight w:val="none"/>
        </w:rPr>
        <w:t>资格审查资料</w:t>
      </w:r>
      <w:bookmarkEnd w:id="1095"/>
    </w:p>
    <w:p>
      <w:pPr>
        <w:rPr>
          <w:rFonts w:ascii="微软雅黑" w:hAnsi="微软雅黑"/>
          <w:b/>
          <w:color w:val="auto"/>
          <w:highlight w:val="none"/>
        </w:rPr>
      </w:pPr>
    </w:p>
    <w:p>
      <w:pPr>
        <w:jc w:val="center"/>
        <w:rPr>
          <w:rFonts w:ascii="微软雅黑" w:hAnsi="微软雅黑"/>
          <w:b/>
          <w:color w:val="auto"/>
          <w:highlight w:val="none"/>
        </w:rPr>
      </w:pPr>
      <w:r>
        <w:rPr>
          <w:rFonts w:hint="eastAsia" w:ascii="微软雅黑" w:hAnsi="微软雅黑"/>
          <w:b/>
          <w:color w:val="auto"/>
          <w:highlight w:val="none"/>
        </w:rPr>
        <w:t>营业执照等资格审查证明材料</w:t>
      </w:r>
    </w:p>
    <w:p>
      <w:pPr>
        <w:rPr>
          <w:rFonts w:ascii="微软雅黑" w:hAnsi="微软雅黑"/>
          <w:b/>
          <w:color w:val="auto"/>
          <w:highlight w:val="none"/>
        </w:rPr>
        <w:sectPr>
          <w:pgSz w:w="11907" w:h="16839"/>
          <w:pgMar w:top="1928" w:right="1531" w:bottom="1871" w:left="1531" w:header="1148" w:footer="709" w:gutter="0"/>
          <w:cols w:space="720" w:num="1"/>
          <w:docGrid w:linePitch="360" w:charSpace="0"/>
        </w:sectPr>
      </w:pPr>
    </w:p>
    <w:p>
      <w:pPr>
        <w:jc w:val="center"/>
        <w:rPr>
          <w:rFonts w:ascii="微软雅黑" w:hAnsi="微软雅黑"/>
          <w:b/>
          <w:color w:val="auto"/>
          <w:szCs w:val="21"/>
          <w:highlight w:val="none"/>
        </w:rPr>
      </w:pPr>
      <w:r>
        <w:rPr>
          <w:rFonts w:hint="eastAsia" w:ascii="微软雅黑" w:hAnsi="微软雅黑"/>
          <w:b/>
          <w:color w:val="auto"/>
          <w:szCs w:val="21"/>
          <w:highlight w:val="none"/>
        </w:rPr>
        <w:t>相关承诺（仅供参考）</w:t>
      </w:r>
    </w:p>
    <w:p>
      <w:pPr>
        <w:rPr>
          <w:rFonts w:ascii="微软雅黑" w:hAnsi="微软雅黑"/>
          <w:b/>
          <w:color w:val="auto"/>
          <w:highlight w:val="none"/>
        </w:rPr>
      </w:pPr>
    </w:p>
    <w:p>
      <w:pPr>
        <w:rPr>
          <w:rFonts w:ascii="宋体" w:hAnsi="宋体"/>
          <w:color w:val="auto"/>
          <w:szCs w:val="21"/>
          <w:highlight w:val="none"/>
        </w:rPr>
      </w:pPr>
      <w:r>
        <w:rPr>
          <w:rFonts w:hint="eastAsia" w:ascii="宋体" w:hAnsi="宋体"/>
          <w:color w:val="auto"/>
          <w:szCs w:val="21"/>
          <w:highlight w:val="none"/>
        </w:rPr>
        <w:t>我方承诺：</w:t>
      </w:r>
    </w:p>
    <w:p>
      <w:pPr>
        <w:ind w:firstLine="420" w:firstLineChars="200"/>
        <w:rPr>
          <w:rFonts w:ascii="宋体" w:hAnsi="宋体"/>
          <w:color w:val="auto"/>
          <w:szCs w:val="21"/>
          <w:highlight w:val="none"/>
        </w:rPr>
      </w:pPr>
      <w:r>
        <w:rPr>
          <w:rFonts w:hint="eastAsia" w:ascii="宋体" w:hAnsi="宋体"/>
          <w:color w:val="auto"/>
          <w:szCs w:val="21"/>
          <w:highlight w:val="none"/>
        </w:rPr>
        <w:t>参加本项目政府采购活动具有良好的商业信誉和健全的财务会计制度、具有履行合同所必需的设备和专业技术能力、有依法缴纳税收和社会保障资金的良好记录。</w:t>
      </w:r>
    </w:p>
    <w:p>
      <w:pPr>
        <w:rPr>
          <w:rFonts w:ascii="微软雅黑" w:hAnsi="微软雅黑"/>
          <w:b/>
          <w:color w:val="auto"/>
          <w:szCs w:val="21"/>
          <w:highlight w:val="none"/>
        </w:rPr>
      </w:pPr>
    </w:p>
    <w:p>
      <w:pPr>
        <w:rPr>
          <w:rFonts w:ascii="微软雅黑" w:hAnsi="微软雅黑"/>
          <w:b/>
          <w:color w:val="auto"/>
          <w:highlight w:val="none"/>
        </w:rPr>
      </w:pPr>
    </w:p>
    <w:p>
      <w:pPr>
        <w:rPr>
          <w:rFonts w:ascii="微软雅黑" w:hAnsi="微软雅黑"/>
          <w:b/>
          <w:color w:val="auto"/>
          <w:highlight w:val="none"/>
        </w:rPr>
      </w:pPr>
    </w:p>
    <w:p>
      <w:pPr>
        <w:rPr>
          <w:rFonts w:ascii="微软雅黑" w:hAnsi="微软雅黑"/>
          <w:b/>
          <w:color w:val="auto"/>
          <w:highlight w:val="none"/>
        </w:rPr>
      </w:pPr>
    </w:p>
    <w:p>
      <w:pPr>
        <w:rPr>
          <w:rFonts w:ascii="微软雅黑" w:hAnsi="微软雅黑"/>
          <w:b/>
          <w:color w:val="auto"/>
          <w:highlight w:val="none"/>
        </w:rPr>
      </w:pPr>
    </w:p>
    <w:p>
      <w:pPr>
        <w:rPr>
          <w:rFonts w:ascii="微软雅黑" w:hAnsi="微软雅黑"/>
          <w:b/>
          <w:color w:val="auto"/>
          <w:highlight w:val="none"/>
        </w:rPr>
      </w:pPr>
    </w:p>
    <w:p>
      <w:pPr>
        <w:rPr>
          <w:rFonts w:ascii="微软雅黑" w:hAnsi="微软雅黑"/>
          <w:b/>
          <w:color w:val="auto"/>
          <w:highlight w:val="none"/>
        </w:rPr>
      </w:pPr>
    </w:p>
    <w:p>
      <w:pPr>
        <w:rPr>
          <w:rFonts w:ascii="微软雅黑" w:hAnsi="微软雅黑"/>
          <w:b/>
          <w:color w:val="auto"/>
          <w:highlight w:val="none"/>
        </w:rPr>
      </w:pPr>
    </w:p>
    <w:p>
      <w:pPr>
        <w:jc w:val="center"/>
        <w:rPr>
          <w:rFonts w:ascii="微软雅黑" w:hAnsi="微软雅黑"/>
          <w:b/>
          <w:color w:val="auto"/>
          <w:highlight w:val="none"/>
        </w:rPr>
      </w:pPr>
      <w:r>
        <w:rPr>
          <w:rFonts w:hint="eastAsia" w:ascii="微软雅黑" w:hAnsi="微软雅黑"/>
          <w:b/>
          <w:color w:val="auto"/>
          <w:szCs w:val="21"/>
          <w:highlight w:val="none"/>
        </w:rPr>
        <w:t>或提供证明材料</w:t>
      </w:r>
    </w:p>
    <w:p>
      <w:pPr>
        <w:rPr>
          <w:rFonts w:ascii="微软雅黑" w:hAnsi="微软雅黑"/>
          <w:b/>
          <w:color w:val="auto"/>
          <w:highlight w:val="none"/>
        </w:rPr>
      </w:pPr>
    </w:p>
    <w:p>
      <w:pPr>
        <w:rPr>
          <w:rFonts w:ascii="微软雅黑" w:hAnsi="微软雅黑"/>
          <w:b/>
          <w:color w:val="auto"/>
          <w:highlight w:val="none"/>
        </w:rPr>
      </w:pPr>
    </w:p>
    <w:p>
      <w:pPr>
        <w:rPr>
          <w:rFonts w:ascii="微软雅黑" w:hAnsi="微软雅黑"/>
          <w:b/>
          <w:color w:val="auto"/>
          <w:highlight w:val="none"/>
        </w:rPr>
      </w:pPr>
    </w:p>
    <w:p>
      <w:pPr>
        <w:rPr>
          <w:rFonts w:ascii="微软雅黑" w:hAnsi="微软雅黑"/>
          <w:b/>
          <w:color w:val="auto"/>
          <w:highlight w:val="none"/>
        </w:rPr>
      </w:pPr>
    </w:p>
    <w:p>
      <w:pPr>
        <w:rPr>
          <w:rFonts w:ascii="微软雅黑" w:hAnsi="微软雅黑"/>
          <w:b/>
          <w:color w:val="auto"/>
          <w:highlight w:val="none"/>
        </w:rPr>
      </w:pPr>
    </w:p>
    <w:p>
      <w:pPr>
        <w:rPr>
          <w:rFonts w:ascii="微软雅黑" w:hAnsi="微软雅黑"/>
          <w:b/>
          <w:color w:val="auto"/>
          <w:highlight w:val="none"/>
        </w:rPr>
        <w:sectPr>
          <w:pgSz w:w="11907" w:h="16839"/>
          <w:pgMar w:top="1928" w:right="1531" w:bottom="1871" w:left="1531" w:header="1148" w:footer="709" w:gutter="0"/>
          <w:cols w:space="720" w:num="1"/>
          <w:docGrid w:linePitch="360" w:charSpace="0"/>
        </w:sectPr>
      </w:pPr>
    </w:p>
    <w:p>
      <w:pPr>
        <w:pStyle w:val="5"/>
        <w:numPr>
          <w:ilvl w:val="0"/>
          <w:numId w:val="52"/>
        </w:numPr>
        <w:rPr>
          <w:b w:val="0"/>
          <w:color w:val="auto"/>
          <w:highlight w:val="none"/>
        </w:rPr>
      </w:pPr>
      <w:bookmarkStart w:id="1096" w:name="_Toc19913"/>
      <w:r>
        <w:rPr>
          <w:rFonts w:hint="eastAsia"/>
          <w:color w:val="auto"/>
          <w:highlight w:val="none"/>
        </w:rPr>
        <w:t>书面声明</w:t>
      </w:r>
      <w:bookmarkEnd w:id="1096"/>
    </w:p>
    <w:p>
      <w:pPr>
        <w:jc w:val="center"/>
        <w:rPr>
          <w:rFonts w:ascii="微软雅黑" w:hAnsi="微软雅黑"/>
          <w:b/>
          <w:color w:val="auto"/>
          <w:highlight w:val="none"/>
        </w:rPr>
      </w:pPr>
      <w:r>
        <w:rPr>
          <w:rFonts w:hint="eastAsia" w:ascii="微软雅黑" w:hAnsi="微软雅黑"/>
          <w:b/>
          <w:color w:val="auto"/>
          <w:highlight w:val="none"/>
        </w:rPr>
        <w:t>书面声明1</w:t>
      </w:r>
    </w:p>
    <w:p>
      <w:pPr>
        <w:spacing w:line="360" w:lineRule="auto"/>
        <w:rPr>
          <w:rFonts w:ascii="宋体" w:hAnsi="宋体"/>
          <w:color w:val="auto"/>
          <w:sz w:val="24"/>
          <w:highlight w:val="none"/>
        </w:rPr>
      </w:pPr>
    </w:p>
    <w:p>
      <w:pPr>
        <w:ind w:firstLine="420" w:firstLineChars="200"/>
        <w:rPr>
          <w:rFonts w:ascii="微软雅黑" w:hAnsi="微软雅黑"/>
          <w:b/>
          <w:color w:val="auto"/>
          <w:szCs w:val="21"/>
          <w:highlight w:val="none"/>
        </w:rPr>
      </w:pPr>
      <w:r>
        <w:rPr>
          <w:rFonts w:hint="eastAsia" w:ascii="宋体" w:hAnsi="宋体"/>
          <w:color w:val="auto"/>
          <w:szCs w:val="21"/>
          <w:highlight w:val="none"/>
        </w:rPr>
        <w:t>我方声明在参加政府采购活动前3年内在经营活动中没有重大违法记录（重大违法记录是指供应商因违法经营受到刑事处罚或者责令停产停业、吊销许可证或者执照、较大数额罚款等行政处罚）。</w:t>
      </w:r>
    </w:p>
    <w:p>
      <w:pPr>
        <w:rPr>
          <w:rFonts w:ascii="微软雅黑" w:hAnsi="微软雅黑"/>
          <w:b/>
          <w:color w:val="auto"/>
          <w:szCs w:val="21"/>
          <w:highlight w:val="none"/>
        </w:rPr>
      </w:pPr>
    </w:p>
    <w:p>
      <w:pPr>
        <w:rPr>
          <w:color w:val="auto"/>
          <w:szCs w:val="21"/>
          <w:highlight w:val="none"/>
        </w:rPr>
      </w:pPr>
      <w:r>
        <w:rPr>
          <w:rFonts w:hint="eastAsia"/>
          <w:color w:val="auto"/>
          <w:szCs w:val="21"/>
          <w:highlight w:val="none"/>
        </w:rPr>
        <w:t>供应商名称：</w:t>
      </w:r>
      <w:r>
        <w:rPr>
          <w:color w:val="auto"/>
          <w:szCs w:val="21"/>
          <w:highlight w:val="none"/>
          <w:u w:val="single"/>
        </w:rPr>
        <w:t xml:space="preserve">                          </w:t>
      </w:r>
      <w:r>
        <w:rPr>
          <w:rFonts w:hint="eastAsia"/>
          <w:color w:val="auto"/>
          <w:szCs w:val="21"/>
          <w:highlight w:val="none"/>
        </w:rPr>
        <w:t>（加盖公章）</w:t>
      </w:r>
    </w:p>
    <w:p>
      <w:pPr>
        <w:ind w:firstLine="420" w:firstLineChars="200"/>
        <w:rPr>
          <w:color w:val="auto"/>
          <w:szCs w:val="21"/>
          <w:highlight w:val="none"/>
        </w:rPr>
      </w:pPr>
    </w:p>
    <w:p>
      <w:pPr>
        <w:rPr>
          <w:color w:val="auto"/>
          <w:szCs w:val="21"/>
          <w:highlight w:val="none"/>
        </w:rPr>
      </w:pPr>
      <w:r>
        <w:rPr>
          <w:rFonts w:hint="eastAsia"/>
          <w:color w:val="auto"/>
          <w:szCs w:val="21"/>
          <w:highlight w:val="none"/>
        </w:rPr>
        <w:t>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rPr>
          <w:color w:val="auto"/>
          <w:szCs w:val="21"/>
          <w:highlight w:val="none"/>
        </w:rPr>
      </w:pPr>
    </w:p>
    <w:p>
      <w:pPr>
        <w:rPr>
          <w:color w:val="auto"/>
          <w:szCs w:val="21"/>
          <w:highlight w:val="none"/>
        </w:rPr>
        <w:sectPr>
          <w:pgSz w:w="11907" w:h="16839"/>
          <w:pgMar w:top="1928" w:right="1531" w:bottom="1871" w:left="1531" w:header="1148" w:footer="709" w:gutter="0"/>
          <w:cols w:space="720" w:num="1"/>
          <w:docGrid w:linePitch="360" w:charSpace="0"/>
        </w:sectPr>
      </w:pPr>
    </w:p>
    <w:p>
      <w:pPr>
        <w:rPr>
          <w:color w:val="auto"/>
          <w:szCs w:val="21"/>
          <w:highlight w:val="none"/>
        </w:rPr>
      </w:pPr>
    </w:p>
    <w:p>
      <w:pPr>
        <w:jc w:val="center"/>
        <w:rPr>
          <w:rFonts w:ascii="微软雅黑" w:hAnsi="微软雅黑"/>
          <w:b/>
          <w:color w:val="auto"/>
          <w:highlight w:val="none"/>
        </w:rPr>
      </w:pPr>
      <w:r>
        <w:rPr>
          <w:rFonts w:hint="eastAsia" w:ascii="微软雅黑" w:hAnsi="微软雅黑"/>
          <w:b/>
          <w:color w:val="auto"/>
          <w:highlight w:val="none"/>
        </w:rPr>
        <w:t>书面声明2</w:t>
      </w:r>
    </w:p>
    <w:p>
      <w:pPr>
        <w:spacing w:line="360" w:lineRule="auto"/>
        <w:rPr>
          <w:rFonts w:ascii="宋体" w:hAnsi="宋体"/>
          <w:color w:val="auto"/>
          <w:sz w:val="24"/>
          <w:highlight w:val="none"/>
        </w:rPr>
      </w:pPr>
    </w:p>
    <w:p>
      <w:pPr>
        <w:ind w:firstLine="420" w:firstLineChars="200"/>
        <w:rPr>
          <w:rFonts w:ascii="微软雅黑" w:hAnsi="微软雅黑"/>
          <w:b/>
          <w:color w:val="auto"/>
          <w:szCs w:val="21"/>
          <w:highlight w:val="none"/>
        </w:rPr>
      </w:pPr>
      <w:r>
        <w:rPr>
          <w:rFonts w:hint="eastAsia" w:ascii="宋体" w:hAnsi="宋体"/>
          <w:color w:val="auto"/>
          <w:szCs w:val="21"/>
          <w:highlight w:val="none"/>
        </w:rPr>
        <w:t>我方声明不是为采购项目提供整体设计、规范编制或者项目管理、监理、检测等服务的供应商。</w:t>
      </w:r>
    </w:p>
    <w:p>
      <w:pPr>
        <w:rPr>
          <w:rFonts w:ascii="微软雅黑" w:hAnsi="微软雅黑"/>
          <w:b/>
          <w:color w:val="auto"/>
          <w:szCs w:val="21"/>
          <w:highlight w:val="none"/>
        </w:rPr>
      </w:pPr>
    </w:p>
    <w:p>
      <w:pPr>
        <w:rPr>
          <w:color w:val="auto"/>
          <w:szCs w:val="21"/>
          <w:highlight w:val="none"/>
        </w:rPr>
      </w:pPr>
      <w:r>
        <w:rPr>
          <w:rFonts w:hint="eastAsia"/>
          <w:color w:val="auto"/>
          <w:szCs w:val="21"/>
          <w:highlight w:val="none"/>
        </w:rPr>
        <w:t>供应商名称：</w:t>
      </w:r>
      <w:r>
        <w:rPr>
          <w:color w:val="auto"/>
          <w:szCs w:val="21"/>
          <w:highlight w:val="none"/>
          <w:u w:val="single"/>
        </w:rPr>
        <w:t xml:space="preserve">                          </w:t>
      </w:r>
      <w:r>
        <w:rPr>
          <w:rFonts w:hint="eastAsia"/>
          <w:color w:val="auto"/>
          <w:szCs w:val="21"/>
          <w:highlight w:val="none"/>
        </w:rPr>
        <w:t>（加盖公章）</w:t>
      </w:r>
    </w:p>
    <w:p>
      <w:pPr>
        <w:ind w:firstLine="420" w:firstLineChars="200"/>
        <w:rPr>
          <w:color w:val="auto"/>
          <w:szCs w:val="21"/>
          <w:highlight w:val="none"/>
        </w:rPr>
      </w:pPr>
    </w:p>
    <w:p>
      <w:pPr>
        <w:rPr>
          <w:color w:val="auto"/>
          <w:szCs w:val="21"/>
          <w:highlight w:val="none"/>
        </w:rPr>
      </w:pPr>
      <w:r>
        <w:rPr>
          <w:rFonts w:hint="eastAsia"/>
          <w:color w:val="auto"/>
          <w:szCs w:val="21"/>
          <w:highlight w:val="none"/>
        </w:rPr>
        <w:t>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rPr>
          <w:color w:val="auto"/>
          <w:szCs w:val="21"/>
          <w:highlight w:val="none"/>
        </w:rPr>
      </w:pPr>
    </w:p>
    <w:p>
      <w:pPr>
        <w:rPr>
          <w:rFonts w:ascii="微软雅黑" w:hAnsi="微软雅黑"/>
          <w:b/>
          <w:color w:val="auto"/>
          <w:szCs w:val="21"/>
          <w:highlight w:val="none"/>
        </w:rPr>
      </w:pPr>
    </w:p>
    <w:p>
      <w:pPr>
        <w:rPr>
          <w:rFonts w:ascii="微软雅黑" w:hAnsi="微软雅黑"/>
          <w:b/>
          <w:color w:val="auto"/>
          <w:szCs w:val="21"/>
          <w:highlight w:val="none"/>
        </w:rPr>
      </w:pPr>
    </w:p>
    <w:p>
      <w:pPr>
        <w:rPr>
          <w:rFonts w:ascii="微软雅黑" w:hAnsi="微软雅黑"/>
          <w:b/>
          <w:color w:val="auto"/>
          <w:szCs w:val="21"/>
          <w:highlight w:val="none"/>
        </w:rPr>
      </w:pPr>
    </w:p>
    <w:p>
      <w:pPr>
        <w:ind w:left="495"/>
        <w:rPr>
          <w:rFonts w:ascii="微软雅黑" w:hAnsi="微软雅黑"/>
          <w:color w:val="auto"/>
          <w:szCs w:val="21"/>
          <w:highlight w:val="none"/>
        </w:rPr>
        <w:sectPr>
          <w:pgSz w:w="11907" w:h="16839"/>
          <w:pgMar w:top="1928" w:right="1531" w:bottom="1871" w:left="1531" w:header="1148" w:footer="709" w:gutter="0"/>
          <w:cols w:space="720" w:num="1"/>
          <w:docGrid w:linePitch="360" w:charSpace="0"/>
        </w:sectPr>
      </w:pPr>
    </w:p>
    <w:p>
      <w:pPr>
        <w:jc w:val="center"/>
        <w:rPr>
          <w:rFonts w:ascii="微软雅黑" w:hAnsi="微软雅黑"/>
          <w:b/>
          <w:color w:val="auto"/>
          <w:highlight w:val="none"/>
        </w:rPr>
      </w:pPr>
      <w:r>
        <w:rPr>
          <w:rFonts w:hint="eastAsia" w:ascii="微软雅黑" w:hAnsi="微软雅黑"/>
          <w:b/>
          <w:color w:val="auto"/>
          <w:highlight w:val="none"/>
        </w:rPr>
        <w:t>书面声明3</w:t>
      </w:r>
    </w:p>
    <w:p>
      <w:pPr>
        <w:spacing w:line="360" w:lineRule="auto"/>
        <w:rPr>
          <w:rFonts w:ascii="宋体" w:hAnsi="宋体"/>
          <w:color w:val="auto"/>
          <w:sz w:val="24"/>
          <w:highlight w:val="none"/>
        </w:rPr>
      </w:pPr>
    </w:p>
    <w:p>
      <w:pPr>
        <w:ind w:firstLine="420" w:firstLineChars="200"/>
        <w:jc w:val="center"/>
        <w:rPr>
          <w:rFonts w:ascii="宋体" w:hAnsi="宋体"/>
          <w:color w:val="auto"/>
          <w:szCs w:val="21"/>
          <w:highlight w:val="none"/>
        </w:rPr>
      </w:pPr>
      <w:r>
        <w:rPr>
          <w:rFonts w:hint="eastAsia" w:ascii="宋体" w:hAnsi="宋体"/>
          <w:color w:val="auto"/>
          <w:szCs w:val="21"/>
          <w:highlight w:val="none"/>
        </w:rPr>
        <w:t>供应商关联单位列表</w:t>
      </w:r>
    </w:p>
    <w:p>
      <w:pPr>
        <w:ind w:firstLine="420" w:firstLineChars="200"/>
        <w:jc w:val="center"/>
        <w:rPr>
          <w:rFonts w:ascii="宋体" w:hAnsi="宋体"/>
          <w:color w:val="auto"/>
          <w:szCs w:val="21"/>
          <w:highlight w:val="none"/>
        </w:rPr>
      </w:pP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71"/>
        <w:gridCol w:w="1294"/>
        <w:gridCol w:w="1294"/>
        <w:gridCol w:w="1295"/>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771" w:type="dxa"/>
            <w:vAlign w:val="center"/>
          </w:tcPr>
          <w:p>
            <w:pPr>
              <w:jc w:val="center"/>
              <w:rPr>
                <w:rFonts w:ascii="宋体" w:hAnsi="宋体"/>
                <w:color w:val="auto"/>
                <w:szCs w:val="21"/>
                <w:highlight w:val="none"/>
              </w:rPr>
            </w:pPr>
            <w:r>
              <w:rPr>
                <w:rFonts w:hint="eastAsia" w:ascii="宋体" w:hAnsi="宋体"/>
                <w:color w:val="auto"/>
                <w:szCs w:val="21"/>
                <w:highlight w:val="none"/>
              </w:rPr>
              <w:t>供应商名称</w:t>
            </w:r>
          </w:p>
        </w:tc>
        <w:tc>
          <w:tcPr>
            <w:tcW w:w="1294" w:type="dxa"/>
            <w:vAlign w:val="center"/>
          </w:tcPr>
          <w:p>
            <w:pPr>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1294" w:type="dxa"/>
            <w:vAlign w:val="center"/>
          </w:tcPr>
          <w:p>
            <w:pPr>
              <w:jc w:val="center"/>
              <w:rPr>
                <w:rFonts w:ascii="宋体" w:hAnsi="宋体"/>
                <w:color w:val="auto"/>
                <w:szCs w:val="21"/>
                <w:highlight w:val="none"/>
              </w:rPr>
            </w:pPr>
            <w:r>
              <w:rPr>
                <w:rFonts w:hint="eastAsia" w:ascii="宋体" w:hAnsi="宋体"/>
                <w:color w:val="auto"/>
                <w:szCs w:val="21"/>
                <w:highlight w:val="none"/>
              </w:rPr>
              <w:t>法定代表人</w:t>
            </w:r>
          </w:p>
        </w:tc>
        <w:tc>
          <w:tcPr>
            <w:tcW w:w="1295" w:type="dxa"/>
            <w:vAlign w:val="center"/>
          </w:tcPr>
          <w:p>
            <w:pPr>
              <w:jc w:val="center"/>
              <w:rPr>
                <w:rFonts w:ascii="宋体" w:hAnsi="宋体"/>
                <w:color w:val="auto"/>
                <w:szCs w:val="21"/>
                <w:highlight w:val="none"/>
              </w:rPr>
            </w:pPr>
            <w:r>
              <w:rPr>
                <w:rFonts w:hint="eastAsia" w:ascii="宋体" w:hAnsi="宋体"/>
                <w:color w:val="auto"/>
                <w:szCs w:val="21"/>
                <w:highlight w:val="none"/>
              </w:rPr>
              <w:t>投资金额</w:t>
            </w:r>
          </w:p>
          <w:p>
            <w:pPr>
              <w:jc w:val="center"/>
              <w:rPr>
                <w:rFonts w:ascii="宋体" w:hAnsi="宋体"/>
                <w:color w:val="auto"/>
                <w:szCs w:val="21"/>
                <w:highlight w:val="none"/>
              </w:rPr>
            </w:pPr>
            <w:r>
              <w:rPr>
                <w:rFonts w:hint="eastAsia" w:ascii="宋体" w:hAnsi="宋体"/>
                <w:color w:val="auto"/>
                <w:szCs w:val="21"/>
                <w:highlight w:val="none"/>
              </w:rPr>
              <w:t>（元）</w:t>
            </w:r>
          </w:p>
        </w:tc>
        <w:tc>
          <w:tcPr>
            <w:tcW w:w="1295" w:type="dxa"/>
            <w:vAlign w:val="center"/>
          </w:tcPr>
          <w:p>
            <w:pPr>
              <w:jc w:val="center"/>
              <w:rPr>
                <w:rFonts w:ascii="宋体" w:hAnsi="宋体"/>
                <w:color w:val="auto"/>
                <w:szCs w:val="21"/>
                <w:highlight w:val="none"/>
              </w:rPr>
            </w:pPr>
            <w:r>
              <w:rPr>
                <w:rFonts w:hint="eastAsia" w:ascii="宋体" w:hAnsi="宋体"/>
                <w:color w:val="auto"/>
                <w:szCs w:val="21"/>
                <w:highlight w:val="none"/>
              </w:rPr>
              <w:t>所占比例</w:t>
            </w:r>
          </w:p>
          <w:p>
            <w:pPr>
              <w:jc w:val="center"/>
              <w:rPr>
                <w:rFonts w:ascii="宋体" w:hAnsi="宋体"/>
                <w:color w:val="auto"/>
                <w:szCs w:val="21"/>
                <w:highlight w:val="none"/>
              </w:rPr>
            </w:pPr>
            <w:r>
              <w:rPr>
                <w:rFonts w:hint="eastAsia" w:ascii="宋体" w:hAnsi="宋体"/>
                <w:color w:val="auto"/>
                <w:szCs w:val="21"/>
                <w:highlight w:val="none"/>
              </w:rPr>
              <w:t>（%）</w:t>
            </w:r>
          </w:p>
        </w:tc>
        <w:tc>
          <w:tcPr>
            <w:tcW w:w="1295" w:type="dxa"/>
            <w:vAlign w:val="center"/>
          </w:tcPr>
          <w:p>
            <w:pPr>
              <w:jc w:val="center"/>
              <w:rPr>
                <w:rFonts w:ascii="宋体" w:hAnsi="宋体"/>
                <w:color w:val="auto"/>
                <w:szCs w:val="21"/>
                <w:highlight w:val="none"/>
              </w:rPr>
            </w:pPr>
            <w:r>
              <w:rPr>
                <w:rFonts w:hint="eastAsia" w:ascii="宋体" w:hAnsi="宋体"/>
                <w:color w:val="auto"/>
                <w:szCs w:val="21"/>
                <w:highlight w:val="none"/>
              </w:rPr>
              <w:t>是否参加本标段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8244" w:type="dxa"/>
            <w:gridSpan w:val="6"/>
            <w:vAlign w:val="center"/>
          </w:tcPr>
          <w:p>
            <w:pPr>
              <w:jc w:val="both"/>
              <w:rPr>
                <w:rFonts w:ascii="宋体" w:hAnsi="宋体"/>
                <w:color w:val="auto"/>
                <w:szCs w:val="21"/>
                <w:highlight w:val="none"/>
              </w:rPr>
            </w:pPr>
            <w:r>
              <w:rPr>
                <w:rFonts w:hint="eastAsia" w:ascii="宋体" w:hAnsi="宋体"/>
                <w:color w:val="auto"/>
                <w:szCs w:val="21"/>
                <w:highlight w:val="none"/>
              </w:rPr>
              <w:t>单位负责人为同一人的供应商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771"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95"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771"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95"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auto"/>
                <w:szCs w:val="21"/>
                <w:highlight w:val="none"/>
              </w:rPr>
            </w:pPr>
            <w:r>
              <w:rPr>
                <w:rFonts w:ascii="宋体" w:hAnsi="宋体"/>
                <w:color w:val="auto"/>
                <w:szCs w:val="21"/>
                <w:highlight w:val="none"/>
              </w:rPr>
              <w:t>……</w:t>
            </w:r>
          </w:p>
        </w:tc>
        <w:tc>
          <w:tcPr>
            <w:tcW w:w="1771"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95"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8244" w:type="dxa"/>
            <w:gridSpan w:val="6"/>
            <w:vAlign w:val="center"/>
          </w:tcPr>
          <w:p>
            <w:pPr>
              <w:rPr>
                <w:rFonts w:ascii="宋体" w:hAnsi="宋体"/>
                <w:color w:val="auto"/>
                <w:szCs w:val="21"/>
                <w:highlight w:val="none"/>
              </w:rPr>
            </w:pPr>
            <w:r>
              <w:rPr>
                <w:rFonts w:hint="eastAsia" w:ascii="微软雅黑" w:hAnsi="微软雅黑"/>
                <w:color w:val="auto"/>
                <w:szCs w:val="21"/>
                <w:highlight w:val="none"/>
              </w:rPr>
              <w:t>存在直接控股、被控股、管理关系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771"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771"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auto"/>
                <w:szCs w:val="21"/>
                <w:highlight w:val="none"/>
              </w:rPr>
            </w:pPr>
            <w:r>
              <w:rPr>
                <w:rFonts w:ascii="宋体" w:hAnsi="宋体"/>
                <w:color w:val="auto"/>
                <w:szCs w:val="21"/>
                <w:highlight w:val="none"/>
              </w:rPr>
              <w:t>……</w:t>
            </w:r>
          </w:p>
        </w:tc>
        <w:tc>
          <w:tcPr>
            <w:tcW w:w="1771"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4"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p>
        </w:tc>
        <w:tc>
          <w:tcPr>
            <w:tcW w:w="1295" w:type="dxa"/>
            <w:vAlign w:val="center"/>
          </w:tcPr>
          <w:p>
            <w:pPr>
              <w:jc w:val="center"/>
              <w:rPr>
                <w:rFonts w:ascii="宋体" w:hAnsi="宋体"/>
                <w:color w:val="auto"/>
                <w:szCs w:val="21"/>
                <w:highlight w:val="none"/>
              </w:rPr>
            </w:pPr>
          </w:p>
        </w:tc>
      </w:tr>
    </w:tbl>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b/>
          <w:bCs/>
          <w:color w:val="auto"/>
          <w:szCs w:val="21"/>
          <w:highlight w:val="none"/>
        </w:rPr>
        <w:t>注：供应商如无关联单位可不填写具体内容，但不得删除此表</w:t>
      </w:r>
      <w:r>
        <w:rPr>
          <w:rFonts w:hint="eastAsia" w:ascii="微软雅黑" w:hAnsi="微软雅黑"/>
          <w:b/>
          <w:bCs/>
          <w:color w:val="auto"/>
          <w:highlight w:val="none"/>
        </w:rPr>
        <w:t>或对此表作实质性修改，并须加盖公章，否则投标无效。</w:t>
      </w:r>
    </w:p>
    <w:p>
      <w:pPr>
        <w:ind w:firstLine="420" w:firstLineChars="200"/>
        <w:rPr>
          <w:rFonts w:ascii="宋体" w:hAnsi="宋体"/>
          <w:color w:val="auto"/>
          <w:szCs w:val="21"/>
          <w:highlight w:val="none"/>
        </w:rPr>
      </w:pPr>
    </w:p>
    <w:p>
      <w:pPr>
        <w:ind w:firstLine="420" w:firstLineChars="200"/>
        <w:rPr>
          <w:rFonts w:ascii="微软雅黑" w:hAnsi="微软雅黑"/>
          <w:b/>
          <w:color w:val="auto"/>
          <w:szCs w:val="21"/>
          <w:highlight w:val="none"/>
        </w:rPr>
      </w:pPr>
    </w:p>
    <w:p>
      <w:pPr>
        <w:rPr>
          <w:rFonts w:ascii="微软雅黑" w:hAnsi="微软雅黑"/>
          <w:b/>
          <w:color w:val="auto"/>
          <w:szCs w:val="21"/>
          <w:highlight w:val="none"/>
        </w:rPr>
      </w:pPr>
    </w:p>
    <w:p>
      <w:pPr>
        <w:rPr>
          <w:color w:val="auto"/>
          <w:szCs w:val="21"/>
          <w:highlight w:val="none"/>
        </w:rPr>
      </w:pPr>
      <w:r>
        <w:rPr>
          <w:rFonts w:hint="eastAsia"/>
          <w:color w:val="auto"/>
          <w:szCs w:val="21"/>
          <w:highlight w:val="none"/>
        </w:rPr>
        <w:t>供应商名称：</w:t>
      </w:r>
      <w:r>
        <w:rPr>
          <w:color w:val="auto"/>
          <w:szCs w:val="21"/>
          <w:highlight w:val="none"/>
          <w:u w:val="single"/>
        </w:rPr>
        <w:t xml:space="preserve">                          </w:t>
      </w:r>
      <w:r>
        <w:rPr>
          <w:rFonts w:hint="eastAsia"/>
          <w:color w:val="auto"/>
          <w:szCs w:val="21"/>
          <w:highlight w:val="none"/>
        </w:rPr>
        <w:t>（加盖公章）</w:t>
      </w:r>
    </w:p>
    <w:p>
      <w:pPr>
        <w:ind w:firstLine="420" w:firstLineChars="200"/>
        <w:rPr>
          <w:color w:val="auto"/>
          <w:szCs w:val="21"/>
          <w:highlight w:val="none"/>
        </w:rPr>
      </w:pPr>
    </w:p>
    <w:p>
      <w:pPr>
        <w:rPr>
          <w:color w:val="auto"/>
          <w:szCs w:val="21"/>
          <w:highlight w:val="none"/>
        </w:rPr>
      </w:pPr>
      <w:r>
        <w:rPr>
          <w:rFonts w:hint="eastAsia"/>
          <w:color w:val="auto"/>
          <w:szCs w:val="21"/>
          <w:highlight w:val="none"/>
        </w:rPr>
        <w:t>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rPr>
          <w:color w:val="auto"/>
          <w:szCs w:val="21"/>
          <w:highlight w:val="none"/>
        </w:rPr>
      </w:pPr>
    </w:p>
    <w:p>
      <w:pPr>
        <w:rPr>
          <w:rFonts w:ascii="微软雅黑" w:hAnsi="微软雅黑"/>
          <w:b/>
          <w:color w:val="auto"/>
          <w:szCs w:val="21"/>
          <w:highlight w:val="none"/>
        </w:rPr>
      </w:pPr>
    </w:p>
    <w:p>
      <w:pPr>
        <w:rPr>
          <w:rFonts w:ascii="微软雅黑" w:hAnsi="微软雅黑"/>
          <w:b/>
          <w:color w:val="auto"/>
          <w:szCs w:val="21"/>
          <w:highlight w:val="none"/>
        </w:rPr>
      </w:pPr>
    </w:p>
    <w:p>
      <w:pPr>
        <w:rPr>
          <w:color w:val="auto"/>
          <w:szCs w:val="21"/>
          <w:highlight w:val="none"/>
        </w:rPr>
      </w:pPr>
    </w:p>
    <w:p>
      <w:pPr>
        <w:rPr>
          <w:color w:val="auto"/>
          <w:szCs w:val="21"/>
          <w:highlight w:val="none"/>
        </w:rPr>
      </w:pPr>
    </w:p>
    <w:p>
      <w:pPr>
        <w:rPr>
          <w:color w:val="auto"/>
          <w:highlight w:val="none"/>
        </w:rPr>
        <w:sectPr>
          <w:pgSz w:w="11907" w:h="16839"/>
          <w:pgMar w:top="1928" w:right="1531" w:bottom="1871" w:left="1531" w:header="1148" w:footer="709" w:gutter="0"/>
          <w:cols w:space="720" w:num="1"/>
          <w:docGrid w:linePitch="360" w:charSpace="0"/>
        </w:sectPr>
      </w:pPr>
    </w:p>
    <w:p>
      <w:pPr>
        <w:pStyle w:val="5"/>
        <w:numPr>
          <w:ilvl w:val="0"/>
          <w:numId w:val="52"/>
        </w:numPr>
        <w:rPr>
          <w:b w:val="0"/>
          <w:color w:val="auto"/>
          <w:highlight w:val="none"/>
        </w:rPr>
      </w:pPr>
      <w:bookmarkStart w:id="1097" w:name="_Toc6542"/>
      <w:r>
        <w:rPr>
          <w:rFonts w:hint="eastAsia"/>
          <w:color w:val="auto"/>
          <w:highlight w:val="none"/>
        </w:rPr>
        <w:t>项目经理承诺书</w:t>
      </w:r>
      <w:bookmarkEnd w:id="1097"/>
    </w:p>
    <w:p>
      <w:pPr>
        <w:jc w:val="center"/>
        <w:rPr>
          <w:rFonts w:ascii="微软雅黑" w:hAnsi="微软雅黑"/>
          <w:b/>
          <w:color w:val="auto"/>
          <w:highlight w:val="none"/>
        </w:rPr>
      </w:pPr>
      <w:r>
        <w:rPr>
          <w:rFonts w:hint="eastAsia" w:ascii="微软雅黑" w:hAnsi="微软雅黑"/>
          <w:b/>
          <w:color w:val="auto"/>
          <w:highlight w:val="none"/>
        </w:rPr>
        <w:t>项目经理承诺书</w:t>
      </w:r>
    </w:p>
    <w:p>
      <w:pPr>
        <w:spacing w:afterLines="100" w:line="440" w:lineRule="exact"/>
        <w:rPr>
          <w:rFonts w:ascii="宋体" w:hAnsi="宋体"/>
          <w:color w:val="auto"/>
          <w:szCs w:val="21"/>
          <w:highlight w:val="none"/>
        </w:rPr>
      </w:pPr>
      <w:r>
        <w:rPr>
          <w:rFonts w:hint="eastAsia" w:ascii="宋体" w:hAnsi="宋体"/>
          <w:color w:val="auto"/>
          <w:position w:val="-7"/>
          <w:szCs w:val="21"/>
          <w:highlight w:val="none"/>
        </w:rPr>
        <w:t>————————</w:t>
      </w:r>
      <w:r>
        <w:rPr>
          <w:rFonts w:hint="eastAsia" w:ascii="宋体" w:hAnsi="宋体"/>
          <w:color w:val="auto"/>
          <w:szCs w:val="21"/>
          <w:highlight w:val="none"/>
        </w:rPr>
        <w:t>（采购人名称）：</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（项目名称）（以下简称“本工程”）的项目经理</w:t>
      </w:r>
      <w:r>
        <w:rPr>
          <w:rFonts w:hint="eastAsia" w:ascii="宋体" w:hAnsi="宋体"/>
          <w:color w:val="auto"/>
          <w:szCs w:val="21"/>
          <w:highlight w:val="none"/>
          <w:u w:val="single"/>
        </w:rPr>
        <w:t xml:space="preserve">           （项目经理姓名）</w:t>
      </w:r>
      <w:r>
        <w:rPr>
          <w:rFonts w:hint="eastAsia" w:ascii="宋体" w:hAnsi="宋体"/>
          <w:color w:val="auto"/>
          <w:szCs w:val="21"/>
          <w:highlight w:val="none"/>
        </w:rPr>
        <w:t>现阶段没有担任任何在施建设工程项目的项目经理，同时承诺施工期间全职在场并不得以任何理由随意更换。</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p>
    <w:p>
      <w:pPr>
        <w:rPr>
          <w:color w:val="auto"/>
          <w:szCs w:val="21"/>
          <w:highlight w:val="none"/>
        </w:rPr>
      </w:pPr>
      <w:r>
        <w:rPr>
          <w:rFonts w:hint="eastAsia"/>
          <w:color w:val="auto"/>
          <w:szCs w:val="21"/>
          <w:highlight w:val="none"/>
        </w:rPr>
        <w:t>供应商名称：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（加盖公章）</w:t>
      </w:r>
    </w:p>
    <w:p>
      <w:pPr>
        <w:ind w:firstLine="420" w:firstLineChars="200"/>
        <w:rPr>
          <w:color w:val="auto"/>
          <w:szCs w:val="21"/>
          <w:highlight w:val="none"/>
        </w:rPr>
      </w:pPr>
    </w:p>
    <w:p>
      <w:pPr>
        <w:rPr>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日</w:t>
      </w:r>
    </w:p>
    <w:p>
      <w:pPr>
        <w:rPr>
          <w:rFonts w:ascii="微软雅黑" w:hAnsi="微软雅黑"/>
          <w:b/>
          <w:color w:val="auto"/>
          <w:highlight w:val="none"/>
        </w:rPr>
      </w:pPr>
    </w:p>
    <w:p>
      <w:pPr>
        <w:rPr>
          <w:rFonts w:ascii="微软雅黑" w:hAnsi="微软雅黑"/>
          <w:b/>
          <w:color w:val="auto"/>
          <w:highlight w:val="none"/>
        </w:rPr>
        <w:sectPr>
          <w:pgSz w:w="11907" w:h="16839"/>
          <w:pgMar w:top="1928" w:right="1531" w:bottom="1871" w:left="1531" w:header="1148" w:footer="709" w:gutter="0"/>
          <w:cols w:space="720" w:num="1"/>
          <w:docGrid w:linePitch="360" w:charSpace="0"/>
        </w:sectPr>
      </w:pPr>
    </w:p>
    <w:p>
      <w:pPr>
        <w:pStyle w:val="5"/>
        <w:numPr>
          <w:ilvl w:val="0"/>
          <w:numId w:val="52"/>
        </w:numPr>
        <w:rPr>
          <w:b w:val="0"/>
          <w:color w:val="auto"/>
          <w:highlight w:val="none"/>
        </w:rPr>
      </w:pPr>
      <w:bookmarkStart w:id="1098" w:name="_Toc24303"/>
      <w:r>
        <w:rPr>
          <w:rFonts w:hint="eastAsia"/>
          <w:color w:val="auto"/>
          <w:highlight w:val="none"/>
        </w:rPr>
        <w:t>联合体协议书</w:t>
      </w:r>
      <w:bookmarkEnd w:id="1098"/>
    </w:p>
    <w:p>
      <w:pPr>
        <w:spacing w:line="440" w:lineRule="exact"/>
        <w:ind w:right="302" w:rightChars="144"/>
        <w:jc w:val="center"/>
        <w:rPr>
          <w:rFonts w:ascii="微软雅黑" w:hAnsi="微软雅黑"/>
          <w:b/>
          <w:bCs/>
          <w:color w:val="auto"/>
          <w:szCs w:val="21"/>
          <w:highlight w:val="none"/>
        </w:rPr>
      </w:pPr>
      <w:r>
        <w:rPr>
          <w:rFonts w:hint="eastAsia" w:ascii="微软雅黑" w:hAnsi="微软雅黑"/>
          <w:b/>
          <w:bCs/>
          <w:color w:val="auto"/>
          <w:szCs w:val="21"/>
          <w:highlight w:val="none"/>
        </w:rPr>
        <w:t>联合体协议书</w:t>
      </w:r>
    </w:p>
    <w:p>
      <w:pPr>
        <w:spacing w:line="440" w:lineRule="exact"/>
        <w:ind w:right="302" w:rightChars="144"/>
        <w:rPr>
          <w:rFonts w:ascii="微软雅黑" w:hAnsi="微软雅黑"/>
          <w:color w:val="auto"/>
          <w:szCs w:val="21"/>
          <w:highlight w:val="none"/>
        </w:rPr>
      </w:pPr>
    </w:p>
    <w:p>
      <w:pPr>
        <w:spacing w:line="460" w:lineRule="exact"/>
        <w:ind w:firstLine="420" w:firstLineChars="200"/>
        <w:rPr>
          <w:rFonts w:ascii="微软雅黑" w:hAnsi="微软雅黑"/>
          <w:color w:val="auto"/>
          <w:szCs w:val="21"/>
          <w:highlight w:val="none"/>
        </w:rPr>
      </w:pP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（所有成员单位名称）自愿组成</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（联合体名称）联合体，共同参加</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（项目名称）采购项目竞争性磋商活动。现就联合体事宜订立如下协议。</w:t>
      </w:r>
    </w:p>
    <w:p>
      <w:pPr>
        <w:spacing w:line="460" w:lineRule="exact"/>
        <w:ind w:firstLine="420" w:firstLineChars="200"/>
        <w:rPr>
          <w:rFonts w:ascii="微软雅黑" w:hAnsi="微软雅黑"/>
          <w:color w:val="auto"/>
          <w:szCs w:val="21"/>
          <w:highlight w:val="none"/>
        </w:rPr>
      </w:pPr>
      <w:r>
        <w:rPr>
          <w:rFonts w:hint="eastAsia" w:ascii="微软雅黑" w:hAnsi="微软雅黑"/>
          <w:color w:val="auto"/>
          <w:szCs w:val="21"/>
          <w:highlight w:val="none"/>
        </w:rPr>
        <w:t>1.</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（某成员单位名称）为联合体的牵头人。</w:t>
      </w:r>
    </w:p>
    <w:p>
      <w:pPr>
        <w:spacing w:line="460" w:lineRule="exact"/>
        <w:ind w:firstLine="420" w:firstLineChars="200"/>
        <w:rPr>
          <w:rFonts w:ascii="微软雅黑" w:hAnsi="微软雅黑"/>
          <w:color w:val="auto"/>
          <w:szCs w:val="21"/>
          <w:highlight w:val="none"/>
        </w:rPr>
      </w:pPr>
      <w:r>
        <w:rPr>
          <w:rFonts w:hint="eastAsia" w:ascii="微软雅黑" w:hAnsi="微软雅黑"/>
          <w:color w:val="auto"/>
          <w:szCs w:val="21"/>
          <w:highlight w:val="none"/>
        </w:rPr>
        <w:t>2.联合体各成员授权牵头人代表联合体签署文件，提交和接收相关的资料、信息及指示，进行合同谈判活动，负责合同实施阶段的组织和协调工作，以及处理与本项目有关的一切事宜。</w:t>
      </w:r>
    </w:p>
    <w:p>
      <w:pPr>
        <w:spacing w:line="460" w:lineRule="exact"/>
        <w:ind w:firstLine="420" w:firstLineChars="200"/>
        <w:rPr>
          <w:rFonts w:ascii="微软雅黑" w:hAnsi="微软雅黑"/>
          <w:color w:val="auto"/>
          <w:szCs w:val="21"/>
          <w:highlight w:val="none"/>
        </w:rPr>
      </w:pPr>
      <w:r>
        <w:rPr>
          <w:rFonts w:hint="eastAsia" w:ascii="微软雅黑" w:hAnsi="微软雅黑"/>
          <w:color w:val="auto"/>
          <w:szCs w:val="21"/>
          <w:highlight w:val="none"/>
        </w:rPr>
        <w:t>3.联合体牵头人在本项目中签署的一切文件和处理的一切事宜，联合体各成员均予以承认。联合体各成员将严格按照竞争性磋商文件、响应文件和合同的要求全面履行义务，并向采购人承担连带责任。</w:t>
      </w:r>
    </w:p>
    <w:p>
      <w:pPr>
        <w:spacing w:line="460" w:lineRule="exact"/>
        <w:ind w:firstLine="420" w:firstLineChars="200"/>
        <w:rPr>
          <w:rFonts w:ascii="微软雅黑" w:hAnsi="微软雅黑"/>
          <w:color w:val="auto"/>
          <w:szCs w:val="21"/>
          <w:highlight w:val="none"/>
        </w:rPr>
      </w:pPr>
      <w:r>
        <w:rPr>
          <w:rFonts w:hint="eastAsia" w:ascii="微软雅黑" w:hAnsi="微软雅黑"/>
          <w:color w:val="auto"/>
          <w:szCs w:val="21"/>
          <w:highlight w:val="none"/>
        </w:rPr>
        <w:t>4.联合体各成员单位内部的职责分工如下：</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w:t>
      </w:r>
    </w:p>
    <w:p>
      <w:pPr>
        <w:spacing w:line="460" w:lineRule="exact"/>
        <w:ind w:firstLine="420" w:firstLineChars="200"/>
        <w:rPr>
          <w:rFonts w:ascii="微软雅黑" w:hAnsi="微软雅黑"/>
          <w:color w:val="auto"/>
          <w:szCs w:val="21"/>
          <w:highlight w:val="none"/>
        </w:rPr>
      </w:pPr>
      <w:r>
        <w:rPr>
          <w:rFonts w:hint="eastAsia" w:ascii="微软雅黑" w:hAnsi="微软雅黑"/>
          <w:color w:val="auto"/>
          <w:szCs w:val="21"/>
          <w:highlight w:val="none"/>
        </w:rPr>
        <w:t>5.本协议书自所有成员单位法定代表人（单位负责人）或其委托代理人签字或盖单位章之日起生效，合同履行完毕后自动失效。</w:t>
      </w:r>
    </w:p>
    <w:p>
      <w:pPr>
        <w:spacing w:line="460" w:lineRule="exact"/>
        <w:ind w:firstLine="420" w:firstLineChars="200"/>
        <w:rPr>
          <w:rFonts w:ascii="微软雅黑" w:hAnsi="微软雅黑"/>
          <w:color w:val="auto"/>
          <w:szCs w:val="21"/>
          <w:highlight w:val="none"/>
        </w:rPr>
      </w:pPr>
      <w:r>
        <w:rPr>
          <w:rFonts w:hint="eastAsia" w:ascii="微软雅黑" w:hAnsi="微软雅黑"/>
          <w:color w:val="auto"/>
          <w:szCs w:val="21"/>
          <w:highlight w:val="none"/>
        </w:rPr>
        <w:t>6.本协议书一式份，联合体成员和采购人各执一份。</w:t>
      </w:r>
    </w:p>
    <w:p>
      <w:pPr>
        <w:spacing w:line="460" w:lineRule="exact"/>
        <w:ind w:firstLine="420" w:firstLineChars="200"/>
        <w:rPr>
          <w:rFonts w:ascii="微软雅黑" w:hAnsi="微软雅黑"/>
          <w:color w:val="auto"/>
          <w:szCs w:val="21"/>
          <w:highlight w:val="none"/>
        </w:rPr>
      </w:pPr>
      <w:r>
        <w:rPr>
          <w:rFonts w:hint="eastAsia" w:ascii="微软雅黑" w:hAnsi="微软雅黑"/>
          <w:color w:val="auto"/>
          <w:szCs w:val="21"/>
          <w:highlight w:val="none"/>
        </w:rPr>
        <w:t>注：本协议书由法定代表人（单位负责人）签字的，应附法定代表人（单位负责人）身份证明；由委托代理人签字的，应附授权委托书。</w:t>
      </w:r>
    </w:p>
    <w:p>
      <w:pPr>
        <w:spacing w:line="460" w:lineRule="exact"/>
        <w:ind w:right="302" w:rightChars="144"/>
        <w:jc w:val="right"/>
        <w:rPr>
          <w:rFonts w:ascii="微软雅黑" w:hAnsi="微软雅黑"/>
          <w:color w:val="auto"/>
          <w:szCs w:val="21"/>
          <w:highlight w:val="none"/>
        </w:rPr>
      </w:pPr>
      <w:r>
        <w:rPr>
          <w:rFonts w:hint="eastAsia" w:ascii="微软雅黑" w:hAnsi="微软雅黑"/>
          <w:color w:val="auto"/>
          <w:szCs w:val="21"/>
          <w:highlight w:val="none"/>
        </w:rPr>
        <w:t>联合体牵头人名称：</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（盖单位章）</w:t>
      </w:r>
    </w:p>
    <w:p>
      <w:pPr>
        <w:spacing w:line="460" w:lineRule="exact"/>
        <w:ind w:right="302" w:rightChars="144"/>
        <w:jc w:val="right"/>
        <w:rPr>
          <w:rFonts w:ascii="微软雅黑" w:hAnsi="微软雅黑"/>
          <w:color w:val="auto"/>
          <w:szCs w:val="21"/>
          <w:highlight w:val="none"/>
        </w:rPr>
      </w:pPr>
      <w:r>
        <w:rPr>
          <w:rFonts w:hint="eastAsia" w:ascii="微软雅黑" w:hAnsi="微软雅黑"/>
          <w:color w:val="auto"/>
          <w:szCs w:val="21"/>
          <w:highlight w:val="none"/>
        </w:rPr>
        <w:t>法定代表人（单位负责人）或其委托代理人：</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（签字）</w:t>
      </w:r>
    </w:p>
    <w:p>
      <w:pPr>
        <w:spacing w:line="460" w:lineRule="exact"/>
        <w:ind w:right="302" w:rightChars="144"/>
        <w:jc w:val="right"/>
        <w:rPr>
          <w:rFonts w:ascii="微软雅黑" w:hAnsi="微软雅黑"/>
          <w:color w:val="auto"/>
          <w:szCs w:val="21"/>
          <w:highlight w:val="none"/>
        </w:rPr>
      </w:pPr>
      <w:r>
        <w:rPr>
          <w:rFonts w:hint="eastAsia" w:ascii="微软雅黑" w:hAnsi="微软雅黑"/>
          <w:color w:val="auto"/>
          <w:szCs w:val="21"/>
          <w:highlight w:val="none"/>
        </w:rPr>
        <w:t>联合体成员名称：</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（盖单位章）</w:t>
      </w:r>
    </w:p>
    <w:p>
      <w:pPr>
        <w:spacing w:line="460" w:lineRule="exact"/>
        <w:ind w:right="302" w:rightChars="144"/>
        <w:jc w:val="right"/>
        <w:rPr>
          <w:rFonts w:ascii="微软雅黑" w:hAnsi="微软雅黑"/>
          <w:color w:val="auto"/>
          <w:szCs w:val="21"/>
          <w:highlight w:val="none"/>
        </w:rPr>
      </w:pPr>
      <w:r>
        <w:rPr>
          <w:rFonts w:hint="eastAsia" w:ascii="微软雅黑" w:hAnsi="微软雅黑"/>
          <w:color w:val="auto"/>
          <w:szCs w:val="21"/>
          <w:highlight w:val="none"/>
        </w:rPr>
        <w:t>法定代表人（单位负责人）或其委托代理人：</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（签字）</w:t>
      </w:r>
    </w:p>
    <w:p>
      <w:pPr>
        <w:spacing w:line="460" w:lineRule="exact"/>
        <w:ind w:right="302" w:rightChars="144"/>
        <w:jc w:val="right"/>
        <w:rPr>
          <w:rFonts w:ascii="微软雅黑" w:hAnsi="微软雅黑"/>
          <w:color w:val="auto"/>
          <w:szCs w:val="21"/>
          <w:highlight w:val="none"/>
        </w:rPr>
      </w:pPr>
      <w:r>
        <w:rPr>
          <w:rFonts w:hint="eastAsia" w:ascii="微软雅黑" w:hAnsi="微软雅黑"/>
          <w:color w:val="auto"/>
          <w:szCs w:val="21"/>
          <w:highlight w:val="none"/>
        </w:rPr>
        <w:t>联合体成员名称：</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（盖单位章）</w:t>
      </w:r>
    </w:p>
    <w:p>
      <w:pPr>
        <w:spacing w:line="460" w:lineRule="exact"/>
        <w:ind w:right="302" w:rightChars="144"/>
        <w:jc w:val="right"/>
        <w:rPr>
          <w:rFonts w:ascii="微软雅黑" w:hAnsi="微软雅黑"/>
          <w:color w:val="auto"/>
          <w:szCs w:val="21"/>
          <w:highlight w:val="none"/>
        </w:rPr>
      </w:pPr>
      <w:r>
        <w:rPr>
          <w:rFonts w:hint="eastAsia" w:ascii="微软雅黑" w:hAnsi="微软雅黑"/>
          <w:color w:val="auto"/>
          <w:szCs w:val="21"/>
          <w:highlight w:val="none"/>
        </w:rPr>
        <w:t>法定代表人（单位负责人）或其委托代理人：</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（签字）</w:t>
      </w:r>
    </w:p>
    <w:p>
      <w:pPr>
        <w:spacing w:line="460" w:lineRule="exact"/>
        <w:ind w:right="302" w:rightChars="144" w:firstLine="1995" w:firstLineChars="950"/>
        <w:rPr>
          <w:rFonts w:ascii="微软雅黑" w:hAnsi="微软雅黑"/>
          <w:color w:val="auto"/>
          <w:szCs w:val="21"/>
          <w:highlight w:val="none"/>
        </w:rPr>
      </w:pPr>
      <w:r>
        <w:rPr>
          <w:rFonts w:hint="eastAsia" w:ascii="微软雅黑" w:hAnsi="微软雅黑"/>
          <w:color w:val="auto"/>
          <w:szCs w:val="21"/>
          <w:highlight w:val="none"/>
        </w:rPr>
        <w:t>……</w:t>
      </w:r>
    </w:p>
    <w:p>
      <w:pPr>
        <w:jc w:val="right"/>
        <w:rPr>
          <w:rFonts w:ascii="微软雅黑" w:hAnsi="微软雅黑"/>
          <w:color w:val="auto"/>
          <w:szCs w:val="21"/>
          <w:highlight w:val="none"/>
        </w:rPr>
      </w:pPr>
      <w:r>
        <w:rPr>
          <w:rFonts w:hint="eastAsia" w:ascii="微软雅黑" w:hAnsi="微软雅黑"/>
          <w:color w:val="auto"/>
          <w:szCs w:val="21"/>
          <w:highlight w:val="none"/>
        </w:rPr>
        <w:tab/>
      </w:r>
      <w:r>
        <w:rPr>
          <w:rFonts w:hint="eastAsia" w:ascii="微软雅黑" w:hAnsi="微软雅黑"/>
          <w:color w:val="auto"/>
          <w:szCs w:val="21"/>
          <w:highlight w:val="none"/>
        </w:rPr>
        <w:tab/>
      </w:r>
      <w:r>
        <w:rPr>
          <w:rFonts w:hint="eastAsia" w:ascii="微软雅黑" w:hAnsi="微软雅黑"/>
          <w:color w:val="auto"/>
          <w:szCs w:val="21"/>
          <w:highlight w:val="none"/>
        </w:rPr>
        <w:tab/>
      </w:r>
      <w:r>
        <w:rPr>
          <w:rFonts w:hint="eastAsia" w:ascii="微软雅黑" w:hAnsi="微软雅黑"/>
          <w:color w:val="auto"/>
          <w:szCs w:val="21"/>
          <w:highlight w:val="none"/>
        </w:rPr>
        <w:tab/>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年</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月</w:t>
      </w:r>
      <w:r>
        <w:rPr>
          <w:rFonts w:hint="eastAsia" w:ascii="微软雅黑" w:hAnsi="微软雅黑"/>
          <w:color w:val="auto"/>
          <w:szCs w:val="21"/>
          <w:highlight w:val="none"/>
          <w:u w:val="single"/>
        </w:rPr>
        <w:t xml:space="preserve">     </w:t>
      </w:r>
      <w:r>
        <w:rPr>
          <w:rFonts w:hint="eastAsia" w:ascii="微软雅黑" w:hAnsi="微软雅黑"/>
          <w:color w:val="auto"/>
          <w:szCs w:val="21"/>
          <w:highlight w:val="none"/>
        </w:rPr>
        <w:t>日</w:t>
      </w:r>
    </w:p>
    <w:p>
      <w:pPr>
        <w:rPr>
          <w:rFonts w:ascii="微软雅黑" w:hAnsi="微软雅黑"/>
          <w:color w:val="auto"/>
          <w:szCs w:val="21"/>
          <w:highlight w:val="none"/>
        </w:rPr>
      </w:pPr>
    </w:p>
    <w:p>
      <w:pPr>
        <w:rPr>
          <w:rFonts w:ascii="微软雅黑" w:hAnsi="微软雅黑"/>
          <w:b/>
          <w:color w:val="auto"/>
          <w:szCs w:val="21"/>
          <w:highlight w:val="none"/>
        </w:rPr>
      </w:pPr>
      <w:r>
        <w:rPr>
          <w:rFonts w:hint="eastAsia" w:ascii="微软雅黑" w:hAnsi="微软雅黑"/>
          <w:color w:val="auto"/>
          <w:szCs w:val="21"/>
          <w:highlight w:val="none"/>
        </w:rPr>
        <w:t>注：接受联合体的项目适用，如项目不接受联合体，此页可删除。</w:t>
      </w:r>
    </w:p>
    <w:p>
      <w:pPr>
        <w:rPr>
          <w:rFonts w:ascii="微软雅黑" w:hAnsi="微软雅黑"/>
          <w:b/>
          <w:color w:val="auto"/>
          <w:highlight w:val="none"/>
        </w:rPr>
        <w:sectPr>
          <w:pgSz w:w="11907" w:h="16839"/>
          <w:pgMar w:top="1928" w:right="1531" w:bottom="1871" w:left="1531" w:header="1148" w:footer="709" w:gutter="0"/>
          <w:cols w:space="720" w:num="1"/>
          <w:docGrid w:linePitch="360" w:charSpace="0"/>
        </w:sectPr>
      </w:pPr>
    </w:p>
    <w:p>
      <w:pPr>
        <w:rPr>
          <w:rFonts w:ascii="微软雅黑" w:hAnsi="微软雅黑"/>
          <w:b/>
          <w:color w:val="auto"/>
          <w:highlight w:val="none"/>
        </w:rPr>
      </w:pPr>
    </w:p>
    <w:p>
      <w:pPr>
        <w:pStyle w:val="5"/>
        <w:numPr>
          <w:ilvl w:val="0"/>
          <w:numId w:val="48"/>
        </w:numPr>
        <w:spacing w:line="360" w:lineRule="auto"/>
        <w:jc w:val="center"/>
        <w:rPr>
          <w:b w:val="0"/>
          <w:color w:val="auto"/>
          <w:sz w:val="32"/>
          <w:szCs w:val="32"/>
          <w:highlight w:val="none"/>
        </w:rPr>
      </w:pPr>
      <w:bookmarkStart w:id="1099" w:name="_Toc27050"/>
      <w:r>
        <w:rPr>
          <w:rFonts w:hint="eastAsia"/>
          <w:color w:val="auto"/>
          <w:sz w:val="32"/>
          <w:szCs w:val="32"/>
          <w:highlight w:val="none"/>
        </w:rPr>
        <w:t>商务部分</w:t>
      </w:r>
      <w:bookmarkEnd w:id="1086"/>
      <w:bookmarkEnd w:id="1099"/>
    </w:p>
    <w:p>
      <w:pPr>
        <w:pStyle w:val="5"/>
        <w:numPr>
          <w:ilvl w:val="0"/>
          <w:numId w:val="54"/>
        </w:numPr>
        <w:rPr>
          <w:color w:val="auto"/>
          <w:highlight w:val="none"/>
        </w:rPr>
      </w:pPr>
      <w:bookmarkStart w:id="1100" w:name="_Toc31246"/>
      <w:bookmarkStart w:id="1101" w:name="_Ref462505452"/>
      <w:r>
        <w:rPr>
          <w:rFonts w:hint="eastAsia"/>
          <w:color w:val="auto"/>
          <w:highlight w:val="none"/>
        </w:rPr>
        <w:t>商务部分应答索引表</w:t>
      </w:r>
      <w:bookmarkEnd w:id="1100"/>
      <w:bookmarkEnd w:id="1101"/>
    </w:p>
    <w:tbl>
      <w:tblPr>
        <w:tblStyle w:val="83"/>
        <w:tblW w:w="8835" w:type="dxa"/>
        <w:jc w:val="center"/>
        <w:tblLayout w:type="fixed"/>
        <w:tblCellMar>
          <w:top w:w="0" w:type="dxa"/>
          <w:left w:w="108" w:type="dxa"/>
          <w:bottom w:w="0" w:type="dxa"/>
          <w:right w:w="108" w:type="dxa"/>
        </w:tblCellMar>
      </w:tblPr>
      <w:tblGrid>
        <w:gridCol w:w="1129"/>
        <w:gridCol w:w="3969"/>
        <w:gridCol w:w="1748"/>
        <w:gridCol w:w="1270"/>
        <w:gridCol w:w="719"/>
      </w:tblGrid>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序号</w:t>
            </w:r>
          </w:p>
        </w:tc>
        <w:tc>
          <w:tcPr>
            <w:tcW w:w="3969"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项目</w:t>
            </w:r>
          </w:p>
        </w:tc>
        <w:tc>
          <w:tcPr>
            <w:tcW w:w="1748"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供应商应答内容</w:t>
            </w:r>
          </w:p>
        </w:tc>
        <w:tc>
          <w:tcPr>
            <w:tcW w:w="1270"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在响应文件中所在页码</w:t>
            </w:r>
          </w:p>
        </w:tc>
        <w:tc>
          <w:tcPr>
            <w:tcW w:w="719"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备注</w:t>
            </w: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pStyle w:val="178"/>
              <w:numPr>
                <w:ilvl w:val="0"/>
                <w:numId w:val="55"/>
              </w:numPr>
              <w:ind w:left="0" w:firstLine="0" w:firstLineChars="0"/>
              <w:jc w:val="center"/>
              <w:rPr>
                <w:rFonts w:ascii="微软雅黑"/>
                <w:color w:val="auto"/>
                <w:kern w:val="0"/>
                <w:szCs w:val="21"/>
                <w:highlight w:val="none"/>
                <w:lang w:val="en-US"/>
              </w:rPr>
            </w:pPr>
          </w:p>
        </w:tc>
        <w:tc>
          <w:tcPr>
            <w:tcW w:w="3969" w:type="dxa"/>
            <w:tcBorders>
              <w:top w:val="single" w:color="000000" w:sz="4" w:space="0"/>
              <w:left w:val="nil"/>
              <w:bottom w:val="single" w:color="000000" w:sz="4" w:space="0"/>
              <w:right w:val="single" w:color="000000" w:sz="4" w:space="0"/>
            </w:tcBorders>
          </w:tcPr>
          <w:p>
            <w:pPr>
              <w:rPr>
                <w:color w:val="auto"/>
                <w:szCs w:val="22"/>
                <w:highlight w:val="none"/>
              </w:rPr>
            </w:pPr>
            <w:r>
              <w:rPr>
                <w:rFonts w:hint="eastAsia"/>
                <w:color w:val="auto"/>
                <w:szCs w:val="22"/>
                <w:highlight w:val="none"/>
              </w:rPr>
              <w:t>法定代表人授权委托书</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r>
              <w:rPr>
                <w:rFonts w:hint="eastAsia" w:ascii="微软雅黑" w:hAnsi="微软雅黑"/>
                <w:color w:val="auto"/>
                <w:szCs w:val="22"/>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u w:val="singl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u w:val="singl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pStyle w:val="178"/>
              <w:numPr>
                <w:ilvl w:val="0"/>
                <w:numId w:val="55"/>
              </w:numPr>
              <w:ind w:left="0" w:firstLine="0" w:firstLineChars="0"/>
              <w:jc w:val="center"/>
              <w:rPr>
                <w:rFonts w:ascii="微软雅黑"/>
                <w:color w:val="auto"/>
                <w:kern w:val="0"/>
                <w:szCs w:val="21"/>
                <w:highlight w:val="none"/>
                <w:lang w:val="en-US"/>
              </w:rPr>
            </w:pPr>
          </w:p>
        </w:tc>
        <w:tc>
          <w:tcPr>
            <w:tcW w:w="3969" w:type="dxa"/>
            <w:tcBorders>
              <w:top w:val="single" w:color="000000" w:sz="4" w:space="0"/>
              <w:left w:val="nil"/>
              <w:bottom w:val="single" w:color="000000" w:sz="4" w:space="0"/>
              <w:right w:val="single" w:color="000000" w:sz="4" w:space="0"/>
            </w:tcBorders>
          </w:tcPr>
          <w:p>
            <w:pPr>
              <w:rPr>
                <w:color w:val="auto"/>
                <w:szCs w:val="22"/>
                <w:highlight w:val="none"/>
              </w:rPr>
            </w:pPr>
            <w:r>
              <w:rPr>
                <w:rFonts w:hint="eastAsia"/>
                <w:color w:val="auto"/>
                <w:szCs w:val="22"/>
                <w:highlight w:val="none"/>
              </w:rPr>
              <w:t>响应函</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r>
              <w:rPr>
                <w:rFonts w:hint="eastAsia" w:ascii="微软雅黑" w:hAnsi="微软雅黑"/>
                <w:color w:val="auto"/>
                <w:szCs w:val="22"/>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pStyle w:val="178"/>
              <w:numPr>
                <w:ilvl w:val="0"/>
                <w:numId w:val="55"/>
              </w:numPr>
              <w:ind w:left="0" w:firstLine="0" w:firstLineChars="0"/>
              <w:jc w:val="center"/>
              <w:rPr>
                <w:rFonts w:ascii="微软雅黑"/>
                <w:color w:val="auto"/>
                <w:kern w:val="0"/>
                <w:szCs w:val="21"/>
                <w:highlight w:val="none"/>
                <w:lang w:val="en-US"/>
              </w:rPr>
            </w:pPr>
          </w:p>
        </w:tc>
        <w:tc>
          <w:tcPr>
            <w:tcW w:w="3969" w:type="dxa"/>
            <w:tcBorders>
              <w:top w:val="single" w:color="000000" w:sz="4" w:space="0"/>
              <w:left w:val="nil"/>
              <w:bottom w:val="single" w:color="000000" w:sz="4" w:space="0"/>
              <w:right w:val="single" w:color="000000" w:sz="4" w:space="0"/>
            </w:tcBorders>
          </w:tcPr>
          <w:p>
            <w:pPr>
              <w:rPr>
                <w:color w:val="auto"/>
                <w:szCs w:val="22"/>
                <w:highlight w:val="none"/>
              </w:rPr>
            </w:pPr>
            <w:r>
              <w:rPr>
                <w:rFonts w:hint="eastAsia"/>
                <w:color w:val="auto"/>
                <w:highlight w:val="none"/>
                <w:lang w:val="en-US"/>
              </w:rPr>
              <w:t>技术需求承诺</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szCs w:val="22"/>
                <w:highlight w:val="none"/>
              </w:rPr>
            </w:pPr>
            <w:r>
              <w:rPr>
                <w:rFonts w:hint="eastAsia" w:ascii="微软雅黑" w:hAnsi="微软雅黑"/>
                <w:color w:val="auto"/>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pStyle w:val="178"/>
              <w:numPr>
                <w:ilvl w:val="0"/>
                <w:numId w:val="55"/>
              </w:numPr>
              <w:ind w:left="0" w:firstLine="0" w:firstLineChars="0"/>
              <w:jc w:val="center"/>
              <w:rPr>
                <w:rFonts w:ascii="微软雅黑"/>
                <w:color w:val="auto"/>
                <w:kern w:val="0"/>
                <w:szCs w:val="21"/>
                <w:highlight w:val="none"/>
                <w:lang w:val="en-US"/>
              </w:rPr>
            </w:pPr>
          </w:p>
        </w:tc>
        <w:tc>
          <w:tcPr>
            <w:tcW w:w="3969" w:type="dxa"/>
            <w:tcBorders>
              <w:top w:val="single" w:color="000000" w:sz="4" w:space="0"/>
              <w:left w:val="nil"/>
              <w:bottom w:val="single" w:color="000000" w:sz="4" w:space="0"/>
              <w:right w:val="single" w:color="000000" w:sz="4" w:space="0"/>
            </w:tcBorders>
          </w:tcPr>
          <w:p>
            <w:pPr>
              <w:rPr>
                <w:color w:val="auto"/>
                <w:szCs w:val="22"/>
                <w:highlight w:val="none"/>
              </w:rPr>
            </w:pPr>
            <w:r>
              <w:rPr>
                <w:rFonts w:hint="eastAsia"/>
                <w:color w:val="auto"/>
                <w:szCs w:val="22"/>
                <w:highlight w:val="none"/>
              </w:rPr>
              <w:t>其它承诺</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szCs w:val="22"/>
                <w:highlight w:val="none"/>
              </w:rPr>
            </w:pPr>
            <w:r>
              <w:rPr>
                <w:rFonts w:hint="eastAsia" w:ascii="微软雅黑" w:hAnsi="微软雅黑"/>
                <w:color w:val="auto"/>
                <w:szCs w:val="22"/>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numPr>
                <w:ilvl w:val="0"/>
                <w:numId w:val="55"/>
              </w:numPr>
              <w:ind w:left="0" w:firstLine="0"/>
              <w:jc w:val="center"/>
              <w:rPr>
                <w:rFonts w:ascii="微软雅黑" w:hAnsi="微软雅黑"/>
                <w:color w:val="auto"/>
                <w:kern w:val="0"/>
                <w:szCs w:val="21"/>
                <w:highlight w:val="none"/>
              </w:rPr>
            </w:pPr>
          </w:p>
        </w:tc>
        <w:tc>
          <w:tcPr>
            <w:tcW w:w="3969" w:type="dxa"/>
            <w:tcBorders>
              <w:top w:val="single" w:color="000000" w:sz="4" w:space="0"/>
              <w:left w:val="nil"/>
              <w:bottom w:val="single" w:color="000000" w:sz="4" w:space="0"/>
              <w:right w:val="single" w:color="000000" w:sz="4" w:space="0"/>
            </w:tcBorders>
          </w:tcPr>
          <w:p>
            <w:pPr>
              <w:rPr>
                <w:rFonts w:ascii="仿宋_GB2312" w:eastAsia="仿宋_GB2312"/>
                <w:color w:val="auto"/>
                <w:sz w:val="24"/>
                <w:szCs w:val="22"/>
                <w:highlight w:val="none"/>
              </w:rPr>
            </w:pPr>
            <w:r>
              <w:rPr>
                <w:rFonts w:hint="eastAsia"/>
                <w:color w:val="auto"/>
                <w:szCs w:val="22"/>
                <w:highlight w:val="none"/>
              </w:rPr>
              <w:t>已标价工程量清单</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r>
              <w:rPr>
                <w:rFonts w:hint="eastAsia" w:ascii="微软雅黑" w:hAnsi="微软雅黑"/>
                <w:color w:val="auto"/>
                <w:szCs w:val="22"/>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numPr>
                <w:ilvl w:val="0"/>
                <w:numId w:val="55"/>
              </w:numPr>
              <w:ind w:left="0" w:firstLine="0"/>
              <w:jc w:val="center"/>
              <w:rPr>
                <w:rFonts w:ascii="微软雅黑" w:hAnsi="微软雅黑"/>
                <w:color w:val="auto"/>
                <w:kern w:val="0"/>
                <w:szCs w:val="21"/>
                <w:highlight w:val="none"/>
              </w:rPr>
            </w:pPr>
          </w:p>
        </w:tc>
        <w:tc>
          <w:tcPr>
            <w:tcW w:w="3969" w:type="dxa"/>
            <w:tcBorders>
              <w:top w:val="single" w:color="000000" w:sz="4" w:space="0"/>
              <w:left w:val="nil"/>
              <w:bottom w:val="single" w:color="000000" w:sz="4" w:space="0"/>
              <w:right w:val="single" w:color="000000" w:sz="4" w:space="0"/>
            </w:tcBorders>
          </w:tcPr>
          <w:p>
            <w:pPr>
              <w:rPr>
                <w:rFonts w:ascii="仿宋_GB2312" w:eastAsia="仿宋_GB2312"/>
                <w:color w:val="auto"/>
                <w:sz w:val="24"/>
                <w:szCs w:val="22"/>
                <w:highlight w:val="none"/>
              </w:rPr>
            </w:pPr>
            <w:r>
              <w:rPr>
                <w:rFonts w:hint="eastAsia"/>
                <w:color w:val="auto"/>
                <w:szCs w:val="22"/>
                <w:highlight w:val="none"/>
              </w:rPr>
              <w:t>中小企业声明函</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r>
              <w:rPr>
                <w:rFonts w:hint="eastAsia" w:ascii="微软雅黑" w:hAnsi="微软雅黑"/>
                <w:color w:val="auto"/>
                <w:szCs w:val="22"/>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numPr>
                <w:ilvl w:val="0"/>
                <w:numId w:val="55"/>
              </w:numPr>
              <w:ind w:left="0" w:firstLine="0"/>
              <w:jc w:val="center"/>
              <w:rPr>
                <w:rFonts w:ascii="微软雅黑" w:hAnsi="微软雅黑"/>
                <w:color w:val="auto"/>
                <w:kern w:val="0"/>
                <w:szCs w:val="21"/>
                <w:highlight w:val="none"/>
              </w:rPr>
            </w:pPr>
          </w:p>
        </w:tc>
        <w:tc>
          <w:tcPr>
            <w:tcW w:w="3969" w:type="dxa"/>
            <w:tcBorders>
              <w:top w:val="single" w:color="000000" w:sz="4" w:space="0"/>
              <w:left w:val="nil"/>
              <w:bottom w:val="single" w:color="000000" w:sz="4" w:space="0"/>
              <w:right w:val="single" w:color="000000" w:sz="4" w:space="0"/>
            </w:tcBorders>
          </w:tcPr>
          <w:p>
            <w:pPr>
              <w:rPr>
                <w:rFonts w:ascii="仿宋_GB2312" w:eastAsia="仿宋_GB2312"/>
                <w:color w:val="auto"/>
                <w:sz w:val="24"/>
                <w:szCs w:val="22"/>
                <w:highlight w:val="none"/>
              </w:rPr>
            </w:pPr>
            <w:r>
              <w:rPr>
                <w:rFonts w:hint="eastAsia"/>
                <w:color w:val="auto"/>
                <w:szCs w:val="22"/>
                <w:highlight w:val="none"/>
              </w:rPr>
              <w:t>残疾人福利性单位声明函</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r>
              <w:rPr>
                <w:rFonts w:hint="eastAsia" w:ascii="微软雅黑" w:hAnsi="微软雅黑"/>
                <w:color w:val="auto"/>
                <w:szCs w:val="22"/>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numPr>
                <w:ilvl w:val="0"/>
                <w:numId w:val="55"/>
              </w:numPr>
              <w:ind w:left="0" w:firstLine="0"/>
              <w:jc w:val="center"/>
              <w:rPr>
                <w:rFonts w:ascii="微软雅黑" w:hAnsi="微软雅黑"/>
                <w:color w:val="auto"/>
                <w:kern w:val="0"/>
                <w:szCs w:val="21"/>
                <w:highlight w:val="none"/>
              </w:rPr>
            </w:pPr>
          </w:p>
        </w:tc>
        <w:tc>
          <w:tcPr>
            <w:tcW w:w="3969" w:type="dxa"/>
            <w:tcBorders>
              <w:top w:val="single" w:color="000000" w:sz="4" w:space="0"/>
              <w:left w:val="nil"/>
              <w:bottom w:val="single" w:color="000000" w:sz="4" w:space="0"/>
              <w:right w:val="single" w:color="000000" w:sz="4" w:space="0"/>
            </w:tcBorders>
          </w:tcPr>
          <w:p>
            <w:pPr>
              <w:rPr>
                <w:rFonts w:ascii="仿宋_GB2312" w:eastAsia="仿宋_GB2312"/>
                <w:color w:val="auto"/>
                <w:sz w:val="24"/>
                <w:szCs w:val="22"/>
                <w:highlight w:val="none"/>
              </w:rPr>
            </w:pPr>
            <w:r>
              <w:rPr>
                <w:rFonts w:hint="eastAsia"/>
                <w:color w:val="auto"/>
                <w:szCs w:val="22"/>
                <w:highlight w:val="none"/>
              </w:rPr>
              <w:t>监狱企业证明</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r>
              <w:rPr>
                <w:rFonts w:hint="eastAsia" w:ascii="微软雅黑" w:hAnsi="微软雅黑"/>
                <w:color w:val="auto"/>
                <w:szCs w:val="22"/>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numPr>
                <w:ilvl w:val="0"/>
                <w:numId w:val="55"/>
              </w:numPr>
              <w:ind w:left="0" w:firstLine="0"/>
              <w:jc w:val="center"/>
              <w:rPr>
                <w:rFonts w:ascii="微软雅黑" w:hAnsi="微软雅黑"/>
                <w:color w:val="auto"/>
                <w:kern w:val="0"/>
                <w:szCs w:val="21"/>
                <w:highlight w:val="none"/>
              </w:rPr>
            </w:pPr>
          </w:p>
        </w:tc>
        <w:tc>
          <w:tcPr>
            <w:tcW w:w="3969" w:type="dxa"/>
            <w:tcBorders>
              <w:top w:val="single" w:color="000000" w:sz="4" w:space="0"/>
              <w:left w:val="nil"/>
              <w:bottom w:val="single" w:color="000000" w:sz="4" w:space="0"/>
              <w:right w:val="single" w:color="000000" w:sz="4" w:space="0"/>
            </w:tcBorders>
          </w:tcPr>
          <w:p>
            <w:pPr>
              <w:rPr>
                <w:rFonts w:ascii="仿宋_GB2312" w:eastAsia="仿宋_GB2312"/>
                <w:color w:val="auto"/>
                <w:sz w:val="24"/>
                <w:szCs w:val="22"/>
                <w:highlight w:val="none"/>
              </w:rPr>
            </w:pPr>
            <w:r>
              <w:rPr>
                <w:rFonts w:hint="eastAsia" w:ascii="微软雅黑" w:hAnsi="微软雅黑"/>
                <w:color w:val="auto"/>
                <w:szCs w:val="22"/>
                <w:highlight w:val="none"/>
              </w:rPr>
              <w:t>类似业绩情况表</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s="黑体"/>
                <w:color w:val="auto"/>
                <w:szCs w:val="21"/>
                <w:highlight w:val="none"/>
              </w:rPr>
            </w:pPr>
            <w:r>
              <w:rPr>
                <w:rFonts w:hint="eastAsia" w:ascii="微软雅黑" w:hAnsi="微软雅黑"/>
                <w:color w:val="auto"/>
                <w:szCs w:val="22"/>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numPr>
                <w:ilvl w:val="0"/>
                <w:numId w:val="55"/>
              </w:numPr>
              <w:ind w:left="0" w:firstLine="0"/>
              <w:jc w:val="center"/>
              <w:rPr>
                <w:rFonts w:ascii="微软雅黑" w:hAnsi="微软雅黑"/>
                <w:color w:val="auto"/>
                <w:kern w:val="0"/>
                <w:szCs w:val="21"/>
                <w:highlight w:val="none"/>
              </w:rPr>
            </w:pPr>
          </w:p>
        </w:tc>
        <w:tc>
          <w:tcPr>
            <w:tcW w:w="3969" w:type="dxa"/>
            <w:tcBorders>
              <w:top w:val="single" w:color="000000" w:sz="4" w:space="0"/>
              <w:left w:val="nil"/>
              <w:bottom w:val="single" w:color="000000" w:sz="4" w:space="0"/>
              <w:right w:val="single" w:color="000000" w:sz="4" w:space="0"/>
            </w:tcBorders>
          </w:tcPr>
          <w:p>
            <w:pPr>
              <w:rPr>
                <w:rFonts w:ascii="仿宋_GB2312" w:eastAsia="仿宋_GB2312"/>
                <w:color w:val="auto"/>
                <w:sz w:val="24"/>
                <w:szCs w:val="22"/>
                <w:highlight w:val="none"/>
              </w:rPr>
            </w:pP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bl>
    <w:p>
      <w:pPr>
        <w:ind w:firstLine="525" w:firstLineChars="250"/>
        <w:rPr>
          <w:color w:val="auto"/>
          <w:highlight w:val="none"/>
        </w:rPr>
      </w:pPr>
      <w:r>
        <w:rPr>
          <w:rFonts w:hint="eastAsia"/>
          <w:color w:val="auto"/>
          <w:highlight w:val="none"/>
        </w:rPr>
        <w:t>注：上表内容可根据项目具体情况及供应商响应内容增加行数。</w:t>
      </w:r>
    </w:p>
    <w:p>
      <w:pPr>
        <w:spacing w:line="288" w:lineRule="auto"/>
        <w:rPr>
          <w:color w:val="auto"/>
          <w:highlight w:val="none"/>
        </w:rPr>
        <w:sectPr>
          <w:pgSz w:w="11907" w:h="16839"/>
          <w:pgMar w:top="1928" w:right="1531" w:bottom="1871" w:left="1531" w:header="1148" w:footer="709" w:gutter="0"/>
          <w:cols w:space="720" w:num="1"/>
          <w:docGrid w:linePitch="360" w:charSpace="0"/>
        </w:sectPr>
      </w:pPr>
      <w:r>
        <w:rPr>
          <w:color w:val="auto"/>
          <w:highlight w:val="none"/>
        </w:rPr>
        <w:br w:type="page"/>
      </w:r>
    </w:p>
    <w:p>
      <w:pPr>
        <w:spacing w:line="288" w:lineRule="auto"/>
        <w:rPr>
          <w:color w:val="auto"/>
          <w:highlight w:val="none"/>
        </w:rPr>
      </w:pPr>
    </w:p>
    <w:p>
      <w:pPr>
        <w:pStyle w:val="5"/>
        <w:numPr>
          <w:ilvl w:val="0"/>
          <w:numId w:val="54"/>
        </w:numPr>
        <w:rPr>
          <w:color w:val="auto"/>
          <w:highlight w:val="none"/>
        </w:rPr>
      </w:pPr>
      <w:bookmarkStart w:id="1102" w:name="_Ref462505454"/>
      <w:bookmarkStart w:id="1103" w:name="_Toc13207"/>
      <w:bookmarkStart w:id="1104" w:name="_Ref462740385"/>
      <w:r>
        <w:rPr>
          <w:rFonts w:hint="eastAsia"/>
          <w:color w:val="auto"/>
          <w:highlight w:val="none"/>
        </w:rPr>
        <w:t>法定代表人授权委</w:t>
      </w:r>
      <w:r>
        <w:rPr>
          <w:rFonts w:hint="eastAsia"/>
          <w:color w:val="auto"/>
          <w:highlight w:val="none"/>
          <w:u w:color="585858" w:themeColor="text1" w:themeTint="A6"/>
        </w:rPr>
        <w:t>托书</w:t>
      </w:r>
      <w:bookmarkEnd w:id="1102"/>
      <w:bookmarkEnd w:id="1103"/>
      <w:bookmarkEnd w:id="1104"/>
    </w:p>
    <w:p>
      <w:pPr>
        <w:jc w:val="center"/>
        <w:rPr>
          <w:color w:val="auto"/>
          <w:highlight w:val="none"/>
        </w:rPr>
      </w:pPr>
      <w:r>
        <w:rPr>
          <w:rFonts w:hint="eastAsia"/>
          <w:color w:val="auto"/>
          <w:highlight w:val="none"/>
        </w:rPr>
        <w:t>法定代表人授权委托书</w:t>
      </w:r>
    </w:p>
    <w:p>
      <w:pPr>
        <w:jc w:val="both"/>
        <w:rPr>
          <w:color w:val="auto"/>
          <w:highlight w:val="none"/>
        </w:rPr>
      </w:pPr>
      <w:r>
        <w:rPr>
          <w:rFonts w:hint="eastAsia"/>
          <w:color w:val="auto"/>
          <w:highlight w:val="none"/>
          <w:u w:val="single"/>
        </w:rPr>
        <w:t>宜国发项目管理有限公司</w:t>
      </w:r>
      <w:r>
        <w:rPr>
          <w:rFonts w:hint="eastAsia"/>
          <w:color w:val="auto"/>
          <w:highlight w:val="none"/>
        </w:rPr>
        <w:t>：</w:t>
      </w:r>
    </w:p>
    <w:p>
      <w:pPr>
        <w:ind w:firstLine="420" w:firstLineChars="200"/>
        <w:jc w:val="both"/>
        <w:rPr>
          <w:color w:val="auto"/>
          <w:highlight w:val="none"/>
        </w:rPr>
      </w:pPr>
      <w:r>
        <w:rPr>
          <w:rFonts w:hint="eastAsia" w:ascii="微软雅黑" w:hAnsi="微软雅黑"/>
          <w:color w:val="auto"/>
          <w:highlight w:val="none"/>
        </w:rPr>
        <w:t>本授权书声明：注册于</w:t>
      </w:r>
      <w:r>
        <w:rPr>
          <w:rFonts w:hint="eastAsia" w:ascii="微软雅黑" w:hAnsi="微软雅黑"/>
          <w:color w:val="auto"/>
          <w:highlight w:val="none"/>
          <w:u w:val="single" w:color="585858"/>
        </w:rPr>
        <w:t>（供应商地址）</w:t>
      </w:r>
      <w:r>
        <w:rPr>
          <w:rFonts w:hint="eastAsia" w:ascii="微软雅黑" w:hAnsi="微软雅黑"/>
          <w:color w:val="auto"/>
          <w:highlight w:val="none"/>
        </w:rPr>
        <w:t>的</w:t>
      </w:r>
      <w:r>
        <w:rPr>
          <w:rFonts w:hint="eastAsia" w:ascii="微软雅黑" w:hAnsi="微软雅黑"/>
          <w:color w:val="auto"/>
          <w:highlight w:val="none"/>
          <w:u w:val="single" w:color="585858"/>
        </w:rPr>
        <w:t>（供应商名称）</w:t>
      </w:r>
      <w:r>
        <w:rPr>
          <w:rFonts w:hint="eastAsia" w:ascii="微软雅黑" w:hAnsi="微软雅黑"/>
          <w:color w:val="auto"/>
          <w:highlight w:val="none"/>
        </w:rPr>
        <w:t>法定代表人</w:t>
      </w:r>
      <w:r>
        <w:rPr>
          <w:rFonts w:hint="eastAsia" w:ascii="微软雅黑" w:hAnsi="微软雅黑"/>
          <w:color w:val="auto"/>
          <w:highlight w:val="none"/>
          <w:u w:val="single" w:color="585858"/>
        </w:rPr>
        <w:t>（法定代表人姓名、职务或职称）</w:t>
      </w:r>
      <w:r>
        <w:rPr>
          <w:rFonts w:hint="eastAsia" w:ascii="微软雅黑" w:hAnsi="微软雅黑"/>
          <w:color w:val="auto"/>
          <w:highlight w:val="none"/>
        </w:rPr>
        <w:t>代表本公司授权在下面签字的</w:t>
      </w:r>
      <w:r>
        <w:rPr>
          <w:rFonts w:hint="eastAsia" w:ascii="微软雅黑" w:hAnsi="微软雅黑"/>
          <w:color w:val="auto"/>
          <w:highlight w:val="none"/>
          <w:u w:val="single" w:color="585858"/>
        </w:rPr>
        <w:t>（供应商代表姓名、职务或职称）</w:t>
      </w:r>
      <w:r>
        <w:rPr>
          <w:rFonts w:hint="eastAsia" w:ascii="微软雅黑" w:hAnsi="微软雅黑"/>
          <w:color w:val="auto"/>
          <w:highlight w:val="none"/>
        </w:rPr>
        <w:t>为本公司的合法代理人，就贵方组织的</w:t>
      </w:r>
      <w:r>
        <w:rPr>
          <w:rFonts w:hint="eastAsia" w:ascii="微软雅黑" w:hAnsi="微软雅黑"/>
          <w:color w:val="auto"/>
          <w:highlight w:val="none"/>
          <w:u w:val="single" w:color="585858"/>
        </w:rPr>
        <w:t>（项目名称）</w:t>
      </w:r>
      <w:r>
        <w:rPr>
          <w:rFonts w:hint="eastAsia" w:ascii="微软雅黑" w:hAnsi="微软雅黑"/>
          <w:color w:val="auto"/>
          <w:highlight w:val="none"/>
          <w:u w:val="single"/>
        </w:rPr>
        <w:t>（项目编号：       ）</w:t>
      </w:r>
      <w:r>
        <w:rPr>
          <w:rFonts w:hint="eastAsia" w:ascii="微软雅黑" w:hAnsi="微软雅黑"/>
          <w:color w:val="auto"/>
          <w:highlight w:val="none"/>
        </w:rPr>
        <w:t>，以本公司名义处理一切与之有关的事务。</w:t>
      </w:r>
    </w:p>
    <w:p>
      <w:pPr>
        <w:ind w:firstLine="420" w:firstLineChars="200"/>
        <w:jc w:val="both"/>
        <w:rPr>
          <w:color w:val="auto"/>
          <w:highlight w:val="none"/>
        </w:rPr>
      </w:pPr>
      <w:r>
        <w:rPr>
          <w:rFonts w:hint="eastAsia" w:ascii="微软雅黑" w:hAnsi="微软雅黑"/>
          <w:color w:val="auto"/>
          <w:highlight w:val="none"/>
        </w:rPr>
        <w:t>本授权书于</w:t>
      </w:r>
      <w:r>
        <w:rPr>
          <w:rFonts w:hint="eastAsia" w:ascii="微软雅黑" w:hAnsi="微软雅黑"/>
          <w:color w:val="auto"/>
          <w:highlight w:val="none"/>
          <w:u w:val="single"/>
        </w:rPr>
        <w:t xml:space="preserve">   年   月   日</w:t>
      </w:r>
      <w:r>
        <w:rPr>
          <w:rFonts w:hint="eastAsia" w:ascii="微软雅黑" w:hAnsi="微软雅黑"/>
          <w:color w:val="auto"/>
          <w:highlight w:val="none"/>
        </w:rPr>
        <w:t>签字生效，特此声明。</w:t>
      </w:r>
    </w:p>
    <w:p>
      <w:pPr>
        <w:jc w:val="both"/>
        <w:rPr>
          <w:color w:val="auto"/>
          <w:highlight w:val="none"/>
        </w:rPr>
      </w:pPr>
      <w:r>
        <w:rPr>
          <w:color w:val="auto"/>
          <w:highlight w:val="none"/>
        </w:rPr>
        <w:t xml:space="preserve"> </w:t>
      </w:r>
    </w:p>
    <w:p>
      <w:pPr>
        <w:ind w:firstLine="1995" w:firstLineChars="950"/>
        <w:rPr>
          <w:color w:val="auto"/>
          <w:highlight w:val="none"/>
          <w:u w:val="single" w:color="585858"/>
        </w:rPr>
      </w:pPr>
      <w:r>
        <w:rPr>
          <w:rFonts w:hint="eastAsia" w:ascii="微软雅黑" w:hAnsi="微软雅黑"/>
          <w:color w:val="auto"/>
          <w:highlight w:val="none"/>
        </w:rPr>
        <w:t>供应商代表（签字或名章）：</w:t>
      </w:r>
    </w:p>
    <w:p>
      <w:pPr>
        <w:ind w:firstLine="1995" w:firstLineChars="950"/>
        <w:rPr>
          <w:color w:val="auto"/>
          <w:highlight w:val="none"/>
        </w:rPr>
      </w:pPr>
      <w:r>
        <w:rPr>
          <w:rFonts w:hint="eastAsia" w:ascii="微软雅黑" w:hAnsi="微软雅黑"/>
          <w:color w:val="auto"/>
          <w:highlight w:val="none"/>
        </w:rPr>
        <w:t>法定代表人（签字或名章）：</w:t>
      </w:r>
    </w:p>
    <w:p>
      <w:pPr>
        <w:ind w:firstLine="1995" w:firstLineChars="950"/>
        <w:rPr>
          <w:color w:val="auto"/>
          <w:highlight w:val="none"/>
        </w:rPr>
      </w:pPr>
      <w:r>
        <w:rPr>
          <w:rFonts w:hint="eastAsia" w:ascii="微软雅黑" w:hAnsi="微软雅黑"/>
          <w:color w:val="auto"/>
          <w:highlight w:val="none"/>
        </w:rPr>
        <w:t>供应商名称（加盖公章）：</w:t>
      </w:r>
    </w:p>
    <w:p>
      <w:pPr>
        <w:rPr>
          <w:color w:val="auto"/>
          <w:highlight w:val="none"/>
          <w:u w:val="single"/>
        </w:rPr>
      </w:pPr>
    </w:p>
    <w:p>
      <w:pPr>
        <w:rPr>
          <w:color w:val="auto"/>
          <w:highlight w:val="none"/>
          <w:u w:val="single"/>
        </w:rPr>
      </w:pPr>
    </w:p>
    <w:p>
      <w:pPr>
        <w:rPr>
          <w:color w:val="auto"/>
          <w:highlight w:val="none"/>
        </w:rPr>
      </w:pPr>
      <w:r>
        <w:rPr>
          <w:rFonts w:hint="eastAsia"/>
          <w:color w:val="auto"/>
          <w:highlight w:val="none"/>
        </w:rPr>
        <w:t>后附：法定代表人及供应商代表的合法且有效的身份证复印件，否则视为非实质性响应，从而导致该</w:t>
      </w:r>
      <w:r>
        <w:rPr>
          <w:rFonts w:hint="eastAsia"/>
          <w:b/>
          <w:bCs/>
          <w:color w:val="auto"/>
          <w:highlight w:val="none"/>
        </w:rPr>
        <w:t>响应被拒绝</w:t>
      </w:r>
      <w:r>
        <w:rPr>
          <w:rFonts w:hint="eastAsia"/>
          <w:color w:val="auto"/>
          <w:highlight w:val="none"/>
        </w:rPr>
        <w:t>。</w:t>
      </w:r>
    </w:p>
    <w:p>
      <w:pPr>
        <w:ind w:firstLine="420" w:firstLineChars="200"/>
        <w:rPr>
          <w:rFonts w:ascii="微软雅黑" w:hAnsi="微软雅黑"/>
          <w:color w:val="auto"/>
          <w:highlight w:val="none"/>
        </w:rPr>
      </w:pPr>
    </w:p>
    <w:p>
      <w:pPr>
        <w:ind w:firstLine="420" w:firstLineChars="200"/>
        <w:rPr>
          <w:rFonts w:ascii="微软雅黑" w:hAnsi="微软雅黑"/>
          <w:color w:val="auto"/>
          <w:highlight w:val="none"/>
        </w:rPr>
      </w:pPr>
    </w:p>
    <w:p>
      <w:pPr>
        <w:ind w:firstLine="420" w:firstLineChars="200"/>
        <w:rPr>
          <w:rFonts w:ascii="微软雅黑" w:hAnsi="微软雅黑"/>
          <w:color w:val="auto"/>
          <w:highlight w:val="none"/>
        </w:rPr>
      </w:pPr>
    </w:p>
    <w:p>
      <w:pPr>
        <w:ind w:firstLine="420" w:firstLineChars="200"/>
        <w:rPr>
          <w:rFonts w:ascii="微软雅黑" w:hAnsi="微软雅黑"/>
          <w:color w:val="auto"/>
          <w:highlight w:val="none"/>
        </w:rPr>
      </w:pPr>
    </w:p>
    <w:p>
      <w:pPr>
        <w:ind w:firstLine="420" w:firstLineChars="200"/>
        <w:rPr>
          <w:rFonts w:ascii="微软雅黑" w:hAnsi="微软雅黑"/>
          <w:color w:val="auto"/>
          <w:highlight w:val="none"/>
        </w:rPr>
      </w:pPr>
      <w:r>
        <w:rPr>
          <w:rFonts w:hint="eastAsia" w:ascii="微软雅黑" w:hAnsi="微软雅黑"/>
          <w:color w:val="auto"/>
          <w:highlight w:val="none"/>
        </w:rPr>
        <w:t>注：</w:t>
      </w:r>
    </w:p>
    <w:p>
      <w:pPr>
        <w:ind w:firstLine="420" w:firstLineChars="200"/>
        <w:rPr>
          <w:rFonts w:ascii="微软雅黑" w:hAnsi="微软雅黑"/>
          <w:b/>
          <w:bCs/>
          <w:color w:val="auto"/>
          <w:highlight w:val="none"/>
        </w:rPr>
      </w:pPr>
      <w:r>
        <w:rPr>
          <w:rFonts w:hint="eastAsia" w:ascii="微软雅黑" w:hAnsi="微软雅黑"/>
          <w:color w:val="auto"/>
          <w:highlight w:val="none"/>
        </w:rPr>
        <w:t>1、除可填报项目外，任何实质性修改将被视为非实质性响应，从而导致该</w:t>
      </w:r>
      <w:r>
        <w:rPr>
          <w:rFonts w:hint="eastAsia" w:ascii="微软雅黑" w:hAnsi="微软雅黑"/>
          <w:b/>
          <w:bCs/>
          <w:color w:val="auto"/>
          <w:highlight w:val="none"/>
        </w:rPr>
        <w:t>响应被拒绝。</w:t>
      </w:r>
    </w:p>
    <w:p>
      <w:pPr>
        <w:ind w:firstLine="420" w:firstLineChars="200"/>
        <w:rPr>
          <w:rFonts w:ascii="微软雅黑" w:hAnsi="微软雅黑"/>
          <w:color w:val="auto"/>
          <w:highlight w:val="none"/>
        </w:rPr>
      </w:pPr>
      <w:r>
        <w:rPr>
          <w:rFonts w:hint="eastAsia" w:ascii="微软雅黑" w:hAnsi="微软雅黑"/>
          <w:color w:val="auto"/>
          <w:highlight w:val="none"/>
        </w:rPr>
        <w:t>2、供应商代表为供应商的法定代表人本人时，无需提供授权委托书，但须提供</w:t>
      </w:r>
      <w:r>
        <w:rPr>
          <w:rFonts w:hint="eastAsia"/>
          <w:color w:val="auto"/>
          <w:highlight w:val="none"/>
        </w:rPr>
        <w:t>法定代表人合法且有效的身份证复印件，否则视为非实质性响应，从而导致该</w:t>
      </w:r>
      <w:r>
        <w:rPr>
          <w:rFonts w:hint="eastAsia"/>
          <w:b/>
          <w:bCs/>
          <w:color w:val="auto"/>
          <w:highlight w:val="none"/>
        </w:rPr>
        <w:t>响应被拒绝</w:t>
      </w:r>
      <w:r>
        <w:rPr>
          <w:rFonts w:hint="eastAsia"/>
          <w:color w:val="auto"/>
          <w:highlight w:val="none"/>
        </w:rPr>
        <w:t>。</w:t>
      </w:r>
    </w:p>
    <w:p>
      <w:pPr>
        <w:ind w:firstLine="420" w:firstLineChars="200"/>
        <w:rPr>
          <w:rFonts w:ascii="宋体" w:hAnsi="宋体" w:eastAsia="宋体" w:cs="宋体"/>
          <w:color w:val="auto"/>
          <w:highlight w:val="none"/>
          <w:lang w:val="en-US"/>
        </w:rPr>
      </w:pPr>
    </w:p>
    <w:p>
      <w:pPr>
        <w:ind w:firstLine="420" w:firstLineChars="200"/>
        <w:rPr>
          <w:rFonts w:ascii="微软雅黑"/>
          <w:color w:val="auto"/>
          <w:highlight w:val="none"/>
        </w:rPr>
        <w:sectPr>
          <w:pgSz w:w="11907" w:h="16839"/>
          <w:pgMar w:top="1928" w:right="1531" w:bottom="1871" w:left="1531" w:header="1148" w:footer="709" w:gutter="0"/>
          <w:cols w:space="720" w:num="1"/>
          <w:docGrid w:linePitch="360" w:charSpace="0"/>
        </w:sectPr>
      </w:pPr>
    </w:p>
    <w:p>
      <w:pPr>
        <w:pStyle w:val="5"/>
        <w:numPr>
          <w:ilvl w:val="0"/>
          <w:numId w:val="54"/>
        </w:numPr>
        <w:rPr>
          <w:color w:val="auto"/>
          <w:highlight w:val="none"/>
          <w:u w:color="585858" w:themeColor="text1" w:themeTint="A6"/>
        </w:rPr>
      </w:pPr>
      <w:bookmarkStart w:id="1105" w:name="_Toc4499"/>
      <w:r>
        <w:rPr>
          <w:rFonts w:hint="eastAsia"/>
          <w:color w:val="auto"/>
          <w:highlight w:val="none"/>
          <w:u w:color="585858" w:themeColor="text1" w:themeTint="A6"/>
        </w:rPr>
        <w:t>响应函</w:t>
      </w:r>
      <w:bookmarkEnd w:id="1105"/>
    </w:p>
    <w:p>
      <w:pPr>
        <w:jc w:val="center"/>
        <w:rPr>
          <w:color w:val="auto"/>
          <w:highlight w:val="none"/>
          <w:u w:val="single"/>
        </w:rPr>
      </w:pPr>
      <w:r>
        <w:rPr>
          <w:rFonts w:hint="eastAsia"/>
          <w:color w:val="auto"/>
          <w:highlight w:val="none"/>
        </w:rPr>
        <w:t>响应函</w:t>
      </w:r>
    </w:p>
    <w:p>
      <w:pPr>
        <w:rPr>
          <w:color w:val="auto"/>
          <w:highlight w:val="none"/>
        </w:rPr>
      </w:pPr>
      <w:r>
        <w:rPr>
          <w:rFonts w:hint="eastAsia"/>
          <w:color w:val="auto"/>
          <w:highlight w:val="none"/>
          <w:u w:val="single"/>
        </w:rPr>
        <w:t>宜国发项目管理有限公司</w:t>
      </w:r>
    </w:p>
    <w:p>
      <w:pPr>
        <w:ind w:firstLine="420" w:firstLineChars="200"/>
        <w:jc w:val="both"/>
        <w:rPr>
          <w:b/>
          <w:bCs/>
          <w:color w:val="auto"/>
          <w:highlight w:val="none"/>
        </w:rPr>
      </w:pPr>
      <w:r>
        <w:rPr>
          <w:rFonts w:hint="eastAsia" w:ascii="微软雅黑" w:hAnsi="微软雅黑"/>
          <w:color w:val="auto"/>
          <w:highlight w:val="none"/>
        </w:rPr>
        <w:t>我方参加贵方组织的</w:t>
      </w:r>
      <w:r>
        <w:rPr>
          <w:rFonts w:hint="eastAsia" w:ascii="微软雅黑" w:hAnsi="微软雅黑"/>
          <w:color w:val="auto"/>
          <w:highlight w:val="none"/>
          <w:u w:val="single" w:color="585858"/>
        </w:rPr>
        <w:t xml:space="preserve"> (项目名称、项目编号) </w:t>
      </w:r>
      <w:r>
        <w:rPr>
          <w:rFonts w:hint="eastAsia" w:ascii="微软雅黑" w:hAnsi="微软雅黑"/>
          <w:color w:val="auto"/>
          <w:highlight w:val="none"/>
        </w:rPr>
        <w:t>的有关活动，并对此项目进行响应。为此</w:t>
      </w:r>
      <w:r>
        <w:rPr>
          <w:rFonts w:hint="eastAsia" w:ascii="微软雅黑" w:hAnsi="微软雅黑"/>
          <w:b/>
          <w:bCs/>
          <w:color w:val="auto"/>
          <w:highlight w:val="none"/>
        </w:rPr>
        <w:t>，我方承诺如下：</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同意在本项目竞争性磋商文件中规定的提交响应文件截止之日起</w:t>
      </w:r>
      <w:r>
        <w:rPr>
          <w:rFonts w:hint="eastAsia" w:ascii="微软雅黑" w:hAnsi="微软雅黑"/>
          <w:color w:val="auto"/>
          <w:highlight w:val="none"/>
          <w:u w:val="single" w:color="585858"/>
        </w:rPr>
        <w:t>（响应有效期天数）天</w:t>
      </w:r>
      <w:r>
        <w:rPr>
          <w:rFonts w:hint="eastAsia" w:ascii="微软雅黑" w:hAnsi="微软雅黑"/>
          <w:color w:val="auto"/>
          <w:highlight w:val="none"/>
        </w:rPr>
        <w:t>内遵守本响应文件中的承诺且在此期限期满之前均具有约束力。</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提供竞争性磋商文件规定的全部响应文件，并</w:t>
      </w:r>
      <w:r>
        <w:rPr>
          <w:rFonts w:hint="eastAsia" w:ascii="微软雅黑" w:hAnsi="微软雅黑"/>
          <w:color w:val="auto"/>
          <w:highlight w:val="none"/>
          <w:lang w:val="en-US"/>
        </w:rPr>
        <w:t>对响应文件的真实性、合法性承担法律责任</w:t>
      </w:r>
      <w:r>
        <w:rPr>
          <w:rFonts w:hint="eastAsia" w:ascii="微软雅黑" w:hAnsi="微软雅黑"/>
          <w:color w:val="auto"/>
          <w:highlight w:val="none"/>
        </w:rPr>
        <w:t>。</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按竞争性磋商文件要求提供和交付的</w:t>
      </w:r>
      <w:bookmarkStart w:id="1106" w:name="_Hlk38543601"/>
      <w:r>
        <w:rPr>
          <w:rFonts w:hint="eastAsia" w:ascii="微软雅黑" w:hAnsi="微软雅黑"/>
          <w:color w:val="auto"/>
          <w:highlight w:val="none"/>
        </w:rPr>
        <w:t>工程和服务</w:t>
      </w:r>
      <w:bookmarkEnd w:id="1106"/>
      <w:r>
        <w:rPr>
          <w:rFonts w:hint="eastAsia" w:ascii="微软雅黑" w:hAnsi="微软雅黑"/>
          <w:color w:val="auto"/>
          <w:highlight w:val="none"/>
        </w:rPr>
        <w:t>的报价详见报价一览表。</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完全理解报价超过最高限价或无报价时，响应无效。</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保证忠实地执行双方所签订的合同，并承担合同规定的责任和义务。</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完全理解竞争性磋商文件中的各项商务和技术要求。</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完全理解贵方不一定接受最低价响应或收到的任何响应。</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愿意向贵方提供任何与本项有关的数据、情况和技术资料。若贵方需要，我方愿意提供我方作出的一切承诺的证明材料。</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我方已详细审核全部响应文件，包括响应文件修改书（如有的话）、参考资料及有关附件，确认无误。</w:t>
      </w:r>
    </w:p>
    <w:p>
      <w:pPr>
        <w:pStyle w:val="6"/>
        <w:numPr>
          <w:ilvl w:val="0"/>
          <w:numId w:val="56"/>
        </w:numPr>
        <w:ind w:firstLineChars="0"/>
        <w:jc w:val="both"/>
        <w:rPr>
          <w:rFonts w:ascii="微软雅黑" w:hAnsi="微软雅黑"/>
          <w:color w:val="auto"/>
          <w:highlight w:val="none"/>
        </w:rPr>
      </w:pPr>
      <w:r>
        <w:rPr>
          <w:rFonts w:hint="eastAsia" w:ascii="微软雅黑" w:hAnsi="微软雅黑"/>
          <w:color w:val="auto"/>
          <w:highlight w:val="none"/>
        </w:rPr>
        <w:t>采购人若需追加采购本项目竞争性磋商文件所列工程及相关服务的，在不改变合同其他实质性条款的前提下，按相同或更优惠价格提供。</w:t>
      </w:r>
    </w:p>
    <w:p>
      <w:pPr>
        <w:ind w:firstLine="420" w:firstLineChars="200"/>
        <w:rPr>
          <w:color w:val="auto"/>
          <w:highlight w:val="none"/>
        </w:rPr>
      </w:pPr>
      <w:r>
        <w:rPr>
          <w:rFonts w:hint="eastAsia" w:ascii="微软雅黑" w:hAnsi="微软雅黑"/>
          <w:color w:val="auto"/>
          <w:highlight w:val="none"/>
        </w:rPr>
        <w:t>如果我方违反上述承诺，或承诺内容不属实，我方愿意承担一切不利的法律后果。</w:t>
      </w:r>
    </w:p>
    <w:p>
      <w:pPr>
        <w:rPr>
          <w:color w:val="auto"/>
          <w:highlight w:val="none"/>
        </w:rPr>
      </w:pPr>
      <w:r>
        <w:rPr>
          <w:color w:val="auto"/>
          <w:highlight w:val="none"/>
        </w:rPr>
        <w:t xml:space="preserve"> </w:t>
      </w:r>
      <w:r>
        <w:rPr>
          <w:rFonts w:hint="eastAsia" w:ascii="微软雅黑" w:hAnsi="微软雅黑"/>
          <w:color w:val="auto"/>
          <w:highlight w:val="none"/>
        </w:rPr>
        <w:t>与本项目有关的一切往来通讯请寄：</w:t>
      </w:r>
    </w:p>
    <w:p>
      <w:pPr>
        <w:ind w:left="1441" w:leftChars="686"/>
        <w:rPr>
          <w:color w:val="auto"/>
          <w:highlight w:val="none"/>
        </w:rPr>
      </w:pPr>
      <w:r>
        <w:rPr>
          <w:rFonts w:hint="eastAsia" w:ascii="微软雅黑" w:hAnsi="微软雅黑"/>
          <w:color w:val="auto"/>
          <w:highlight w:val="none"/>
        </w:rPr>
        <w:t>地址：</w:t>
      </w:r>
    </w:p>
    <w:p>
      <w:pPr>
        <w:ind w:left="1441" w:leftChars="686"/>
        <w:rPr>
          <w:color w:val="auto"/>
          <w:highlight w:val="none"/>
        </w:rPr>
      </w:pPr>
      <w:r>
        <w:rPr>
          <w:rFonts w:hint="eastAsia" w:ascii="微软雅黑" w:hAnsi="微软雅黑"/>
          <w:color w:val="auto"/>
          <w:highlight w:val="none"/>
        </w:rPr>
        <w:t>邮编：</w:t>
      </w:r>
    </w:p>
    <w:p>
      <w:pPr>
        <w:ind w:left="1441" w:leftChars="686"/>
        <w:rPr>
          <w:color w:val="auto"/>
          <w:highlight w:val="none"/>
        </w:rPr>
      </w:pPr>
      <w:r>
        <w:rPr>
          <w:rFonts w:hint="eastAsia" w:ascii="微软雅黑" w:hAnsi="微软雅黑"/>
          <w:color w:val="auto"/>
          <w:highlight w:val="none"/>
        </w:rPr>
        <w:t>电话：</w:t>
      </w:r>
    </w:p>
    <w:p>
      <w:pPr>
        <w:ind w:left="1441" w:leftChars="686"/>
        <w:rPr>
          <w:color w:val="auto"/>
          <w:highlight w:val="none"/>
        </w:rPr>
      </w:pPr>
      <w:r>
        <w:rPr>
          <w:rFonts w:hint="eastAsia" w:ascii="微软雅黑" w:hAnsi="微软雅黑"/>
          <w:color w:val="auto"/>
          <w:highlight w:val="none"/>
        </w:rPr>
        <w:t>传真：</w:t>
      </w:r>
    </w:p>
    <w:p>
      <w:pPr>
        <w:ind w:left="1441" w:leftChars="686"/>
        <w:rPr>
          <w:color w:val="auto"/>
          <w:highlight w:val="none"/>
        </w:rPr>
      </w:pPr>
      <w:r>
        <w:rPr>
          <w:rFonts w:hint="eastAsia" w:ascii="微软雅黑" w:hAnsi="微软雅黑"/>
          <w:color w:val="auto"/>
          <w:highlight w:val="none"/>
        </w:rPr>
        <w:t>供应商代表姓名：</w:t>
      </w:r>
    </w:p>
    <w:p>
      <w:pPr>
        <w:ind w:left="1441" w:leftChars="686"/>
        <w:rPr>
          <w:color w:val="auto"/>
          <w:highlight w:val="none"/>
        </w:rPr>
      </w:pPr>
      <w:r>
        <w:rPr>
          <w:rFonts w:hint="eastAsia" w:ascii="微软雅黑" w:hAnsi="微软雅黑"/>
          <w:color w:val="auto"/>
          <w:highlight w:val="none"/>
        </w:rPr>
        <w:t>供应商代表联系电话（手机、座机）：</w:t>
      </w:r>
    </w:p>
    <w:p>
      <w:pPr>
        <w:ind w:left="1441" w:leftChars="686"/>
        <w:rPr>
          <w:color w:val="auto"/>
          <w:highlight w:val="none"/>
        </w:rPr>
      </w:pPr>
      <w:r>
        <w:rPr>
          <w:rFonts w:hint="eastAsia" w:ascii="微软雅黑" w:hAnsi="微软雅黑"/>
          <w:color w:val="auto"/>
          <w:highlight w:val="none"/>
        </w:rPr>
        <w:t>供应商代表电子邮箱</w:t>
      </w:r>
      <w:r>
        <w:rPr>
          <w:color w:val="auto"/>
          <w:highlight w:val="none"/>
        </w:rPr>
        <w:t>:</w:t>
      </w:r>
    </w:p>
    <w:p>
      <w:pPr>
        <w:rPr>
          <w:color w:val="auto"/>
          <w:highlight w:val="none"/>
        </w:rPr>
      </w:pPr>
      <w:r>
        <w:rPr>
          <w:rFonts w:hint="eastAsia" w:ascii="微软雅黑" w:hAnsi="微软雅黑"/>
          <w:color w:val="auto"/>
          <w:highlight w:val="none"/>
        </w:rPr>
        <w:t>供应商代表（签字或名章）：</w:t>
      </w:r>
    </w:p>
    <w:p>
      <w:pPr>
        <w:rPr>
          <w:color w:val="auto"/>
          <w:highlight w:val="none"/>
          <w:u w:val="single" w:color="585858"/>
        </w:rPr>
      </w:pPr>
      <w:r>
        <w:rPr>
          <w:rFonts w:hint="eastAsia" w:ascii="微软雅黑" w:hAnsi="微软雅黑"/>
          <w:color w:val="auto"/>
          <w:highlight w:val="none"/>
        </w:rPr>
        <w:t>法定代表人（签字或名章）：</w:t>
      </w:r>
    </w:p>
    <w:p>
      <w:pPr>
        <w:rPr>
          <w:color w:val="auto"/>
          <w:highlight w:val="none"/>
        </w:rPr>
      </w:pPr>
      <w:r>
        <w:rPr>
          <w:rFonts w:hint="eastAsia" w:ascii="微软雅黑" w:hAnsi="微软雅黑"/>
          <w:color w:val="auto"/>
          <w:highlight w:val="none"/>
        </w:rPr>
        <w:t>供应商名称（加盖公章）：</w:t>
      </w:r>
    </w:p>
    <w:p>
      <w:pPr>
        <w:ind w:right="420"/>
        <w:rPr>
          <w:color w:val="auto"/>
          <w:highlight w:val="none"/>
        </w:rPr>
      </w:pPr>
      <w:r>
        <w:rPr>
          <w:rFonts w:hint="eastAsia" w:ascii="微软雅黑" w:hAnsi="微软雅黑"/>
          <w:color w:val="auto"/>
          <w:highlight w:val="none"/>
        </w:rPr>
        <w:t>日期： 年  月  日</w:t>
      </w:r>
    </w:p>
    <w:p>
      <w:pPr>
        <w:ind w:firstLine="420" w:firstLineChars="200"/>
        <w:rPr>
          <w:rFonts w:ascii="微软雅黑" w:hAnsi="微软雅黑"/>
          <w:color w:val="auto"/>
          <w:highlight w:val="none"/>
        </w:rPr>
      </w:pPr>
      <w:r>
        <w:rPr>
          <w:rFonts w:hint="eastAsia" w:ascii="微软雅黑" w:hAnsi="微软雅黑"/>
          <w:color w:val="auto"/>
          <w:highlight w:val="none"/>
        </w:rPr>
        <w:t>注：</w:t>
      </w:r>
    </w:p>
    <w:p>
      <w:pPr>
        <w:ind w:firstLine="420" w:firstLineChars="200"/>
        <w:rPr>
          <w:rFonts w:ascii="微软雅黑" w:hAnsi="微软雅黑"/>
          <w:color w:val="auto"/>
          <w:highlight w:val="none"/>
        </w:rPr>
        <w:sectPr>
          <w:pgSz w:w="11907" w:h="16839"/>
          <w:pgMar w:top="1928" w:right="1531" w:bottom="1871" w:left="1531" w:header="1148" w:footer="709" w:gutter="0"/>
          <w:cols w:space="720" w:num="1"/>
          <w:docGrid w:linePitch="360" w:charSpace="0"/>
        </w:sectPr>
      </w:pPr>
      <w:r>
        <w:rPr>
          <w:rFonts w:hint="eastAsia" w:ascii="微软雅黑" w:hAnsi="微软雅黑"/>
          <w:color w:val="auto"/>
          <w:highlight w:val="none"/>
          <w:lang w:val="en-US"/>
        </w:rPr>
        <w:t>1、</w:t>
      </w:r>
      <w:r>
        <w:rPr>
          <w:rFonts w:hint="eastAsia" w:ascii="微软雅黑" w:hAnsi="微软雅黑"/>
          <w:color w:val="auto"/>
          <w:highlight w:val="none"/>
        </w:rPr>
        <w:t>除可填报项目外，任何实质性修改将被视为非实质性响应，从而导致该</w:t>
      </w:r>
      <w:r>
        <w:rPr>
          <w:rFonts w:hint="eastAsia" w:ascii="微软雅黑" w:hAnsi="微软雅黑"/>
          <w:b/>
          <w:bCs/>
          <w:color w:val="auto"/>
          <w:highlight w:val="none"/>
        </w:rPr>
        <w:t>响应被拒绝</w:t>
      </w:r>
      <w:r>
        <w:rPr>
          <w:rFonts w:hint="eastAsia" w:ascii="微软雅黑" w:hAnsi="微软雅黑"/>
          <w:color w:val="auto"/>
          <w:highlight w:val="none"/>
        </w:rPr>
        <w:t>。</w:t>
      </w:r>
    </w:p>
    <w:p>
      <w:pPr>
        <w:pStyle w:val="5"/>
        <w:numPr>
          <w:ilvl w:val="0"/>
          <w:numId w:val="54"/>
        </w:numPr>
        <w:rPr>
          <w:color w:val="auto"/>
          <w:highlight w:val="none"/>
          <w:u w:color="585858" w:themeColor="text1" w:themeTint="A6"/>
        </w:rPr>
      </w:pPr>
      <w:bookmarkStart w:id="1107" w:name="_Toc14280"/>
      <w:r>
        <w:rPr>
          <w:rFonts w:hint="eastAsia"/>
          <w:color w:val="auto"/>
          <w:highlight w:val="none"/>
          <w:u w:color="585858" w:themeColor="text1" w:themeTint="A6"/>
        </w:rPr>
        <w:t>技术需求承诺</w:t>
      </w:r>
      <w:bookmarkEnd w:id="1107"/>
    </w:p>
    <w:p>
      <w:pPr>
        <w:jc w:val="center"/>
        <w:rPr>
          <w:color w:val="auto"/>
          <w:highlight w:val="none"/>
          <w:u w:val="single"/>
        </w:rPr>
      </w:pPr>
      <w:r>
        <w:rPr>
          <w:rFonts w:hint="eastAsia"/>
          <w:color w:val="auto"/>
          <w:highlight w:val="none"/>
          <w:u w:color="585858" w:themeColor="text1" w:themeTint="A6"/>
        </w:rPr>
        <w:t>技术需求承诺</w:t>
      </w:r>
    </w:p>
    <w:p>
      <w:pPr>
        <w:rPr>
          <w:color w:val="auto"/>
          <w:highlight w:val="none"/>
        </w:rPr>
      </w:pPr>
      <w:r>
        <w:rPr>
          <w:rFonts w:hint="eastAsia"/>
          <w:color w:val="auto"/>
          <w:highlight w:val="none"/>
        </w:rPr>
        <w:t>采购人：</w:t>
      </w:r>
    </w:p>
    <w:p>
      <w:pPr>
        <w:ind w:firstLine="420" w:firstLineChars="200"/>
        <w:rPr>
          <w:rFonts w:ascii="微软雅黑" w:hAnsi="微软雅黑"/>
          <w:color w:val="auto"/>
          <w:highlight w:val="none"/>
          <w:u w:val="single" w:color="585858"/>
        </w:rPr>
      </w:pPr>
      <w:r>
        <w:rPr>
          <w:rFonts w:hint="eastAsia" w:ascii="微软雅黑" w:hAnsi="微软雅黑"/>
          <w:color w:val="auto"/>
          <w:highlight w:val="none"/>
        </w:rPr>
        <w:t>我方承诺供货及施工时严格按照采购文件要求或响应文件承诺的技术指标提供货物、产品、材料等（技术指标不一致时按较高标准执行）。如不满足，按照采购人要求进行整改，如整改不合格，</w:t>
      </w:r>
      <w:r>
        <w:rPr>
          <w:rFonts w:hint="eastAsia" w:ascii="微软雅黑" w:hAnsi="微软雅黑" w:cs="宋体"/>
          <w:color w:val="auto"/>
          <w:szCs w:val="21"/>
          <w:highlight w:val="none"/>
          <w:lang w:val="en-US"/>
        </w:rPr>
        <w:t>视为供应商违约，终止合同，供应商</w:t>
      </w:r>
      <w:r>
        <w:rPr>
          <w:rFonts w:ascii="微软雅黑" w:hAnsi="微软雅黑" w:cs="宋体"/>
          <w:color w:val="auto"/>
          <w:szCs w:val="21"/>
          <w:highlight w:val="none"/>
          <w:lang w:val="en-US"/>
        </w:rPr>
        <w:t>履约保证金</w:t>
      </w:r>
      <w:r>
        <w:rPr>
          <w:rFonts w:hint="eastAsia" w:ascii="微软雅黑" w:hAnsi="微软雅黑" w:cs="宋体"/>
          <w:color w:val="auto"/>
          <w:szCs w:val="21"/>
          <w:highlight w:val="none"/>
          <w:lang w:val="en-US"/>
        </w:rPr>
        <w:t>不予退还，并在7天内足额退还采购人已经支付的全部合同价款</w:t>
      </w:r>
      <w:r>
        <w:rPr>
          <w:rFonts w:ascii="微软雅黑" w:hAnsi="微软雅黑" w:cs="宋体"/>
          <w:color w:val="auto"/>
          <w:szCs w:val="21"/>
          <w:highlight w:val="none"/>
          <w:lang w:val="en-US"/>
        </w:rPr>
        <w:t>，</w:t>
      </w:r>
      <w:r>
        <w:rPr>
          <w:rFonts w:hint="eastAsia" w:ascii="微软雅黑" w:hAnsi="微软雅黑" w:cs="宋体"/>
          <w:color w:val="auto"/>
          <w:szCs w:val="21"/>
          <w:highlight w:val="none"/>
          <w:lang w:val="en-US"/>
        </w:rPr>
        <w:t>无条件</w:t>
      </w:r>
      <w:r>
        <w:rPr>
          <w:rFonts w:ascii="微软雅黑" w:hAnsi="微软雅黑" w:cs="宋体"/>
          <w:color w:val="auto"/>
          <w:szCs w:val="21"/>
          <w:highlight w:val="none"/>
          <w:lang w:val="en-US"/>
        </w:rPr>
        <w:t>立即</w:t>
      </w:r>
      <w:r>
        <w:rPr>
          <w:rFonts w:hint="eastAsia" w:ascii="微软雅黑" w:hAnsi="微软雅黑" w:cs="宋体"/>
          <w:color w:val="auto"/>
          <w:szCs w:val="21"/>
          <w:highlight w:val="none"/>
          <w:lang w:val="en-US"/>
        </w:rPr>
        <w:t>撤离施工现场</w:t>
      </w:r>
      <w:r>
        <w:rPr>
          <w:rFonts w:ascii="微软雅黑" w:hAnsi="微软雅黑" w:cs="宋体"/>
          <w:color w:val="auto"/>
          <w:szCs w:val="21"/>
          <w:highlight w:val="none"/>
          <w:lang w:val="en-US"/>
        </w:rPr>
        <w:t>。</w:t>
      </w:r>
      <w:r>
        <w:rPr>
          <w:rFonts w:hint="eastAsia" w:ascii="微软雅黑" w:hAnsi="微软雅黑" w:cs="宋体"/>
          <w:color w:val="auto"/>
          <w:szCs w:val="21"/>
          <w:highlight w:val="none"/>
          <w:lang w:val="en-US"/>
        </w:rPr>
        <w:t>同时，采购人可以为维护权益向供应商追偿一切因此产生的费用(包括但不限于律师费/诉讼费/保全费/交通费/差旅费/鉴定费等)，均由供应商承担，并同意强制执行。</w:t>
      </w:r>
    </w:p>
    <w:p>
      <w:pPr>
        <w:rPr>
          <w:rFonts w:ascii="微软雅黑" w:hAnsi="微软雅黑"/>
          <w:b/>
          <w:color w:val="auto"/>
          <w:szCs w:val="21"/>
          <w:highlight w:val="none"/>
        </w:rPr>
      </w:pPr>
    </w:p>
    <w:p>
      <w:pPr>
        <w:rPr>
          <w:color w:val="auto"/>
          <w:szCs w:val="21"/>
          <w:highlight w:val="none"/>
        </w:rPr>
      </w:pPr>
      <w:r>
        <w:rPr>
          <w:rFonts w:hint="eastAsia"/>
          <w:color w:val="auto"/>
          <w:szCs w:val="21"/>
          <w:highlight w:val="none"/>
        </w:rPr>
        <w:t>供应商名称：</w:t>
      </w:r>
      <w:r>
        <w:rPr>
          <w:color w:val="auto"/>
          <w:szCs w:val="21"/>
          <w:highlight w:val="none"/>
          <w:u w:val="single"/>
        </w:rPr>
        <w:t xml:space="preserve">                          </w:t>
      </w:r>
      <w:r>
        <w:rPr>
          <w:rFonts w:hint="eastAsia"/>
          <w:color w:val="auto"/>
          <w:szCs w:val="21"/>
          <w:highlight w:val="none"/>
        </w:rPr>
        <w:t>（加盖公章）</w:t>
      </w:r>
    </w:p>
    <w:p>
      <w:pPr>
        <w:ind w:firstLine="420" w:firstLineChars="200"/>
        <w:rPr>
          <w:color w:val="auto"/>
          <w:szCs w:val="21"/>
          <w:highlight w:val="none"/>
        </w:rPr>
      </w:pPr>
    </w:p>
    <w:p>
      <w:pPr>
        <w:ind w:firstLine="420" w:firstLineChars="200"/>
        <w:rPr>
          <w:rFonts w:ascii="微软雅黑" w:hAnsi="微软雅黑"/>
          <w:color w:val="auto"/>
          <w:highlight w:val="none"/>
        </w:rPr>
        <w:sectPr>
          <w:pgSz w:w="11907" w:h="16839"/>
          <w:pgMar w:top="1928" w:right="1531" w:bottom="1871" w:left="1531" w:header="1148" w:footer="709" w:gutter="0"/>
          <w:cols w:space="720" w:num="1"/>
          <w:docGrid w:linePitch="360" w:charSpace="0"/>
        </w:sectPr>
      </w:pPr>
      <w:r>
        <w:rPr>
          <w:rFonts w:hint="eastAsia"/>
          <w:color w:val="auto"/>
          <w:szCs w:val="21"/>
          <w:highlight w:val="none"/>
        </w:rPr>
        <w:t>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pStyle w:val="5"/>
        <w:numPr>
          <w:ilvl w:val="0"/>
          <w:numId w:val="54"/>
        </w:numPr>
        <w:ind w:left="360" w:hanging="360"/>
        <w:rPr>
          <w:color w:val="auto"/>
          <w:highlight w:val="none"/>
          <w:u w:color="585858" w:themeColor="text1" w:themeTint="A6"/>
        </w:rPr>
      </w:pPr>
      <w:bookmarkStart w:id="1108" w:name="_Toc9435"/>
      <w:r>
        <w:rPr>
          <w:rFonts w:hint="eastAsia"/>
          <w:color w:val="auto"/>
          <w:highlight w:val="none"/>
          <w:u w:color="585858" w:themeColor="text1" w:themeTint="A6"/>
        </w:rPr>
        <w:t>其它承诺</w:t>
      </w:r>
      <w:bookmarkEnd w:id="1108"/>
    </w:p>
    <w:p>
      <w:pPr>
        <w:jc w:val="center"/>
        <w:rPr>
          <w:color w:val="auto"/>
          <w:highlight w:val="none"/>
          <w:u w:val="single"/>
        </w:rPr>
      </w:pPr>
      <w:r>
        <w:rPr>
          <w:rFonts w:hint="eastAsia"/>
          <w:color w:val="auto"/>
          <w:highlight w:val="none"/>
          <w:u w:color="585858" w:themeColor="text1" w:themeTint="A6"/>
        </w:rPr>
        <w:t>其它承诺</w:t>
      </w:r>
    </w:p>
    <w:p>
      <w:pPr>
        <w:rPr>
          <w:color w:val="auto"/>
          <w:highlight w:val="none"/>
        </w:rPr>
      </w:pPr>
      <w:r>
        <w:rPr>
          <w:rFonts w:hint="eastAsia"/>
          <w:color w:val="auto"/>
          <w:highlight w:val="none"/>
        </w:rPr>
        <w:t>采购人：</w:t>
      </w:r>
    </w:p>
    <w:p>
      <w:pPr>
        <w:ind w:firstLine="420" w:firstLineChars="200"/>
        <w:rPr>
          <w:rFonts w:ascii="微软雅黑" w:hAnsi="微软雅黑"/>
          <w:color w:val="auto"/>
          <w:highlight w:val="none"/>
          <w:u w:val="single" w:color="585858"/>
        </w:rPr>
      </w:pPr>
      <w:r>
        <w:rPr>
          <w:rFonts w:hint="eastAsia" w:ascii="微软雅黑" w:hAnsi="微软雅黑"/>
          <w:color w:val="auto"/>
          <w:highlight w:val="none"/>
        </w:rPr>
        <w:t>我方承诺在中标、成交后不违反采购文件规定进行分包、转包（采购文件（招标文件、竞争性谈判文件、询价文件或竞争性磋商文件）另有约定的除外）；如投标文件（响应文件）中存在上述情形，以此项承诺为准向采购人负责，并承担全部责任</w:t>
      </w:r>
      <w:r>
        <w:rPr>
          <w:rFonts w:hint="eastAsia" w:ascii="微软雅黑" w:hAnsi="微软雅黑" w:cs="宋体"/>
          <w:color w:val="auto"/>
          <w:szCs w:val="21"/>
          <w:highlight w:val="none"/>
          <w:lang w:val="en-US"/>
        </w:rPr>
        <w:t>。</w:t>
      </w:r>
    </w:p>
    <w:p>
      <w:pPr>
        <w:rPr>
          <w:rFonts w:ascii="微软雅黑" w:hAnsi="微软雅黑"/>
          <w:b/>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r>
        <w:rPr>
          <w:rFonts w:hint="eastAsia"/>
          <w:color w:val="auto"/>
          <w:szCs w:val="21"/>
          <w:highlight w:val="none"/>
        </w:rPr>
        <w:t>供应商名称：</w:t>
      </w:r>
      <w:r>
        <w:rPr>
          <w:color w:val="auto"/>
          <w:szCs w:val="21"/>
          <w:highlight w:val="none"/>
          <w:u w:val="single"/>
        </w:rPr>
        <w:t xml:space="preserve">                          </w:t>
      </w:r>
      <w:r>
        <w:rPr>
          <w:rFonts w:hint="eastAsia"/>
          <w:color w:val="auto"/>
          <w:szCs w:val="21"/>
          <w:highlight w:val="none"/>
        </w:rPr>
        <w:t>（加盖公章）</w:t>
      </w:r>
    </w:p>
    <w:p>
      <w:pPr>
        <w:ind w:firstLine="420" w:firstLineChars="200"/>
        <w:rPr>
          <w:color w:val="auto"/>
          <w:szCs w:val="21"/>
          <w:highlight w:val="none"/>
        </w:rPr>
      </w:pPr>
    </w:p>
    <w:p>
      <w:pPr>
        <w:rPr>
          <w:color w:val="auto"/>
          <w:szCs w:val="21"/>
          <w:highlight w:val="none"/>
        </w:rPr>
      </w:pPr>
      <w:r>
        <w:rPr>
          <w:rFonts w:hint="eastAsia"/>
          <w:color w:val="auto"/>
          <w:szCs w:val="21"/>
          <w:highlight w:val="none"/>
        </w:rPr>
        <w:t>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rPr>
          <w:color w:val="auto"/>
          <w:szCs w:val="21"/>
          <w:highlight w:val="none"/>
        </w:rPr>
      </w:pPr>
    </w:p>
    <w:p>
      <w:pPr>
        <w:rPr>
          <w:color w:val="auto"/>
          <w:szCs w:val="21"/>
          <w:highlight w:val="none"/>
        </w:rPr>
      </w:pPr>
      <w:r>
        <w:rPr>
          <w:rFonts w:hint="eastAsia"/>
          <w:color w:val="auto"/>
          <w:szCs w:val="21"/>
          <w:highlight w:val="none"/>
        </w:rPr>
        <w:t>注：如采购文件允许</w:t>
      </w:r>
      <w:r>
        <w:rPr>
          <w:rFonts w:hint="eastAsia" w:ascii="微软雅黑" w:hAnsi="微软雅黑"/>
          <w:color w:val="auto"/>
          <w:highlight w:val="none"/>
        </w:rPr>
        <w:t>分包、转包的，无需提供此项承诺。</w:t>
      </w:r>
    </w:p>
    <w:p>
      <w:pPr>
        <w:ind w:firstLine="420" w:firstLineChars="200"/>
        <w:rPr>
          <w:rFonts w:ascii="微软雅黑"/>
          <w:color w:val="auto"/>
          <w:highlight w:val="none"/>
        </w:rPr>
      </w:pPr>
    </w:p>
    <w:p>
      <w:pPr>
        <w:rPr>
          <w:color w:val="auto"/>
          <w:highlight w:val="none"/>
        </w:rPr>
        <w:sectPr>
          <w:pgSz w:w="11907" w:h="16839"/>
          <w:pgMar w:top="1928" w:right="1531" w:bottom="1871" w:left="1531" w:header="1148" w:footer="709" w:gutter="0"/>
          <w:cols w:space="720" w:num="1"/>
          <w:docGrid w:linePitch="360" w:charSpace="0"/>
        </w:sectPr>
      </w:pPr>
    </w:p>
    <w:p>
      <w:pPr>
        <w:pStyle w:val="5"/>
        <w:numPr>
          <w:ilvl w:val="0"/>
          <w:numId w:val="54"/>
        </w:numPr>
        <w:rPr>
          <w:color w:val="auto"/>
          <w:highlight w:val="none"/>
          <w:u w:color="585858" w:themeColor="text1" w:themeTint="A6"/>
        </w:rPr>
      </w:pPr>
      <w:bookmarkStart w:id="1109" w:name="_Toc7678"/>
      <w:r>
        <w:rPr>
          <w:rFonts w:hint="eastAsia"/>
          <w:color w:val="auto"/>
          <w:highlight w:val="none"/>
          <w:u w:color="585858" w:themeColor="text1" w:themeTint="A6"/>
        </w:rPr>
        <w:t>已标价工程量清单</w:t>
      </w:r>
      <w:bookmarkEnd w:id="1109"/>
    </w:p>
    <w:p>
      <w:pPr>
        <w:rPr>
          <w:rFonts w:ascii="黑体" w:hAnsi="宋体" w:eastAsia="黑体"/>
          <w:color w:val="auto"/>
          <w:szCs w:val="21"/>
          <w:highlight w:val="none"/>
        </w:rPr>
      </w:pPr>
    </w:p>
    <w:p>
      <w:pPr>
        <w:rPr>
          <w:rFonts w:ascii="微软雅黑" w:hAnsi="微软雅黑"/>
          <w:b/>
          <w:bCs/>
          <w:color w:val="auto"/>
          <w:highlight w:val="none"/>
          <w:lang w:val="en-US"/>
        </w:rPr>
      </w:pPr>
    </w:p>
    <w:p>
      <w:pPr>
        <w:rPr>
          <w:color w:val="auto"/>
          <w:highlight w:val="none"/>
          <w:lang w:val="en-US"/>
        </w:rPr>
        <w:sectPr>
          <w:pgSz w:w="11907" w:h="16839"/>
          <w:pgMar w:top="1928" w:right="1531" w:bottom="1871" w:left="1531" w:header="1148" w:footer="709" w:gutter="0"/>
          <w:cols w:space="720" w:num="1"/>
          <w:docGrid w:linePitch="360" w:charSpace="0"/>
        </w:sectPr>
      </w:pPr>
    </w:p>
    <w:p>
      <w:pPr>
        <w:pStyle w:val="5"/>
        <w:numPr>
          <w:ilvl w:val="0"/>
          <w:numId w:val="54"/>
        </w:numPr>
        <w:rPr>
          <w:color w:val="auto"/>
          <w:highlight w:val="none"/>
        </w:rPr>
      </w:pPr>
      <w:bookmarkStart w:id="1110" w:name="_Ref495647698"/>
      <w:bookmarkStart w:id="1111" w:name="_Toc4911"/>
      <w:r>
        <w:rPr>
          <w:rFonts w:hint="eastAsia"/>
          <w:color w:val="auto"/>
          <w:highlight w:val="none"/>
        </w:rPr>
        <w:t>中小企业声明函</w:t>
      </w:r>
      <w:bookmarkEnd w:id="1110"/>
      <w:bookmarkEnd w:id="1111"/>
    </w:p>
    <w:p>
      <w:pPr>
        <w:ind w:firstLine="420" w:firstLineChars="200"/>
        <w:jc w:val="center"/>
        <w:rPr>
          <w:b/>
          <w:bCs/>
          <w:color w:val="auto"/>
          <w:highlight w:val="none"/>
        </w:rPr>
      </w:pPr>
      <w:r>
        <w:rPr>
          <w:rFonts w:hint="eastAsia" w:ascii="微软雅黑" w:hAnsi="微软雅黑"/>
          <w:b/>
          <w:bCs/>
          <w:color w:val="auto"/>
          <w:highlight w:val="none"/>
        </w:rPr>
        <w:t>中小企业声明函</w:t>
      </w:r>
    </w:p>
    <w:p>
      <w:pPr>
        <w:rPr>
          <w:color w:val="auto"/>
          <w:highlight w:val="none"/>
        </w:rPr>
      </w:pPr>
      <w:r>
        <w:rPr>
          <w:color w:val="auto"/>
          <w:highlight w:val="none"/>
        </w:rPr>
        <w:t xml:space="preserve"> </w:t>
      </w:r>
    </w:p>
    <w:p>
      <w:pPr>
        <w:ind w:right="420"/>
        <w:rPr>
          <w:rFonts w:ascii="微软雅黑" w:hAnsi="微软雅黑"/>
          <w:color w:val="auto"/>
          <w:highlight w:val="none"/>
          <w:lang w:val="en-US"/>
        </w:rPr>
      </w:pPr>
      <w:r>
        <w:rPr>
          <w:rFonts w:hint="eastAsia" w:ascii="微软雅黑" w:hAnsi="微软雅黑"/>
          <w:color w:val="auto"/>
          <w:highlight w:val="none"/>
          <w:lang w:val="en-US"/>
        </w:rPr>
        <w:t>本公司（联合体）郑重声明，根据《政府采购促进中小企业发展管理办法》（财库﹝2020﹞46 号）的规定，本公司（联合体）参加</w:t>
      </w:r>
      <w:r>
        <w:rPr>
          <w:rFonts w:hint="eastAsia" w:ascii="微软雅黑" w:hAnsi="微软雅黑"/>
          <w:color w:val="auto"/>
          <w:highlight w:val="none"/>
          <w:u w:val="single"/>
          <w:lang w:val="en-US"/>
        </w:rPr>
        <w:t>（单位名称）</w:t>
      </w:r>
      <w:r>
        <w:rPr>
          <w:rFonts w:hint="eastAsia" w:ascii="微软雅黑" w:hAnsi="微软雅黑"/>
          <w:color w:val="auto"/>
          <w:highlight w:val="none"/>
          <w:lang w:val="en-US"/>
        </w:rPr>
        <w:t>的</w:t>
      </w:r>
      <w:r>
        <w:rPr>
          <w:rFonts w:hint="eastAsia" w:ascii="微软雅黑" w:hAnsi="微软雅黑"/>
          <w:color w:val="auto"/>
          <w:highlight w:val="none"/>
          <w:u w:val="single"/>
          <w:lang w:val="en-US"/>
        </w:rPr>
        <w:t>（项目名称）</w:t>
      </w:r>
      <w:r>
        <w:rPr>
          <w:rFonts w:hint="eastAsia" w:ascii="微软雅黑" w:hAnsi="微软雅黑"/>
          <w:color w:val="auto"/>
          <w:highlight w:val="none"/>
          <w:lang w:val="en-US"/>
        </w:rPr>
        <w:t>采购活动，工程的施工单位全部为符合政策要求的中小企业。相关企业（含联合体中的中小企业、签订分包意向协议的中小企业）的具体情况如下：</w:t>
      </w:r>
    </w:p>
    <w:p>
      <w:pPr>
        <w:ind w:right="420"/>
        <w:rPr>
          <w:rFonts w:ascii="微软雅黑" w:hAnsi="微软雅黑"/>
          <w:color w:val="auto"/>
          <w:highlight w:val="none"/>
          <w:u w:val="single"/>
          <w:lang w:val="en-US"/>
        </w:rPr>
      </w:pPr>
      <w:r>
        <w:rPr>
          <w:rFonts w:hint="eastAsia" w:ascii="微软雅黑" w:hAnsi="微软雅黑"/>
          <w:color w:val="auto"/>
          <w:highlight w:val="none"/>
          <w:lang w:val="en-US"/>
        </w:rPr>
        <w:t>1.</w:t>
      </w:r>
      <w:r>
        <w:rPr>
          <w:rFonts w:hint="eastAsia" w:ascii="微软雅黑" w:hAnsi="微软雅黑"/>
          <w:color w:val="auto"/>
          <w:highlight w:val="none"/>
          <w:u w:val="single"/>
          <w:lang w:val="en-US"/>
        </w:rPr>
        <w:t>（标的名称）</w:t>
      </w:r>
      <w:r>
        <w:rPr>
          <w:rFonts w:hint="eastAsia" w:ascii="微软雅黑" w:hAnsi="微软雅黑"/>
          <w:color w:val="auto"/>
          <w:highlight w:val="none"/>
          <w:lang w:val="en-US"/>
        </w:rPr>
        <w:t>，属于</w:t>
      </w:r>
      <w:r>
        <w:rPr>
          <w:rFonts w:hint="eastAsia" w:ascii="微软雅黑" w:hAnsi="微软雅黑"/>
          <w:color w:val="auto"/>
          <w:highlight w:val="none"/>
          <w:u w:val="single"/>
          <w:lang w:val="en-US"/>
        </w:rPr>
        <w:t>（采购文件中明确的所属行业）</w:t>
      </w:r>
      <w:r>
        <w:rPr>
          <w:rFonts w:hint="eastAsia" w:ascii="微软雅黑" w:hAnsi="微软雅黑"/>
          <w:color w:val="auto"/>
          <w:highlight w:val="none"/>
          <w:lang w:val="en-US"/>
        </w:rPr>
        <w:t>；承建企业为</w:t>
      </w:r>
      <w:r>
        <w:rPr>
          <w:rFonts w:hint="eastAsia" w:ascii="微软雅黑" w:hAnsi="微软雅黑"/>
          <w:color w:val="auto"/>
          <w:highlight w:val="none"/>
          <w:u w:val="single"/>
          <w:lang w:val="en-US"/>
        </w:rPr>
        <w:t>（企业名称）</w:t>
      </w:r>
      <w:r>
        <w:rPr>
          <w:rFonts w:hint="eastAsia" w:ascii="微软雅黑" w:hAnsi="微软雅黑"/>
          <w:color w:val="auto"/>
          <w:highlight w:val="none"/>
          <w:lang w:val="en-US"/>
        </w:rPr>
        <w:t>，从业人员</w:t>
      </w:r>
      <w:r>
        <w:rPr>
          <w:rFonts w:hint="eastAsia" w:ascii="微软雅黑" w:hAnsi="微软雅黑"/>
          <w:color w:val="auto"/>
          <w:highlight w:val="none"/>
          <w:u w:val="single"/>
          <w:lang w:val="en-US"/>
        </w:rPr>
        <w:t xml:space="preserve">     </w:t>
      </w:r>
      <w:r>
        <w:rPr>
          <w:rFonts w:hint="eastAsia" w:ascii="微软雅黑" w:hAnsi="微软雅黑"/>
          <w:color w:val="auto"/>
          <w:highlight w:val="none"/>
          <w:lang w:val="en-US"/>
        </w:rPr>
        <w:t>人，营业收入为</w:t>
      </w:r>
      <w:r>
        <w:rPr>
          <w:rFonts w:hint="eastAsia" w:ascii="微软雅黑" w:hAnsi="微软雅黑"/>
          <w:color w:val="auto"/>
          <w:highlight w:val="none"/>
          <w:u w:val="single"/>
          <w:lang w:val="en-US"/>
        </w:rPr>
        <w:t xml:space="preserve">     </w:t>
      </w:r>
      <w:r>
        <w:rPr>
          <w:rFonts w:hint="eastAsia" w:ascii="微软雅黑" w:hAnsi="微软雅黑"/>
          <w:color w:val="auto"/>
          <w:highlight w:val="none"/>
          <w:lang w:val="en-US"/>
        </w:rPr>
        <w:t>万元，资产总额为</w:t>
      </w:r>
      <w:r>
        <w:rPr>
          <w:rFonts w:hint="eastAsia" w:ascii="微软雅黑" w:hAnsi="微软雅黑"/>
          <w:color w:val="auto"/>
          <w:highlight w:val="none"/>
          <w:u w:val="single"/>
          <w:lang w:val="en-US"/>
        </w:rPr>
        <w:t xml:space="preserve">     </w:t>
      </w:r>
      <w:r>
        <w:rPr>
          <w:rFonts w:hint="eastAsia" w:ascii="微软雅黑" w:hAnsi="微软雅黑"/>
          <w:color w:val="auto"/>
          <w:highlight w:val="none"/>
          <w:lang w:val="en-US"/>
        </w:rPr>
        <w:t>万元，属于</w:t>
      </w:r>
      <w:r>
        <w:rPr>
          <w:rFonts w:hint="eastAsia" w:ascii="微软雅黑" w:hAnsi="微软雅黑"/>
          <w:color w:val="auto"/>
          <w:highlight w:val="none"/>
          <w:u w:val="single"/>
          <w:lang w:val="en-US"/>
        </w:rPr>
        <w:t>（中型企业、小型企业、微型企业）；</w:t>
      </w:r>
    </w:p>
    <w:p>
      <w:pPr>
        <w:ind w:right="420"/>
        <w:rPr>
          <w:rFonts w:ascii="微软雅黑" w:hAnsi="微软雅黑"/>
          <w:color w:val="auto"/>
          <w:highlight w:val="none"/>
          <w:lang w:val="en-US"/>
        </w:rPr>
      </w:pPr>
      <w:r>
        <w:rPr>
          <w:rFonts w:hint="eastAsia" w:ascii="微软雅黑" w:hAnsi="微软雅黑"/>
          <w:color w:val="auto"/>
          <w:highlight w:val="none"/>
          <w:lang w:val="en-US"/>
        </w:rPr>
        <w:t>2.（</w:t>
      </w:r>
      <w:r>
        <w:rPr>
          <w:rFonts w:hint="eastAsia" w:ascii="微软雅黑" w:hAnsi="微软雅黑"/>
          <w:color w:val="auto"/>
          <w:highlight w:val="none"/>
          <w:u w:val="single"/>
          <w:lang w:val="en-US"/>
        </w:rPr>
        <w:t>标的名称）</w:t>
      </w:r>
      <w:r>
        <w:rPr>
          <w:rFonts w:hint="eastAsia" w:ascii="微软雅黑" w:hAnsi="微软雅黑"/>
          <w:color w:val="auto"/>
          <w:highlight w:val="none"/>
          <w:lang w:val="en-US"/>
        </w:rPr>
        <w:t>，属于</w:t>
      </w:r>
      <w:r>
        <w:rPr>
          <w:rFonts w:hint="eastAsia" w:ascii="微软雅黑" w:hAnsi="微软雅黑"/>
          <w:color w:val="auto"/>
          <w:highlight w:val="none"/>
          <w:u w:val="single"/>
          <w:lang w:val="en-US"/>
        </w:rPr>
        <w:t>（采购文件中明确的所属行业）</w:t>
      </w:r>
      <w:r>
        <w:rPr>
          <w:rFonts w:hint="eastAsia" w:ascii="微软雅黑" w:hAnsi="微软雅黑"/>
          <w:color w:val="auto"/>
          <w:highlight w:val="none"/>
          <w:lang w:val="en-US"/>
        </w:rPr>
        <w:t>；承建企业为（</w:t>
      </w:r>
      <w:r>
        <w:rPr>
          <w:rFonts w:hint="eastAsia" w:ascii="微软雅黑" w:hAnsi="微软雅黑"/>
          <w:color w:val="auto"/>
          <w:highlight w:val="none"/>
          <w:u w:val="single"/>
          <w:lang w:val="en-US"/>
        </w:rPr>
        <w:t>企业名称）</w:t>
      </w:r>
      <w:r>
        <w:rPr>
          <w:rFonts w:hint="eastAsia" w:ascii="微软雅黑" w:hAnsi="微软雅黑"/>
          <w:color w:val="auto"/>
          <w:highlight w:val="none"/>
          <w:lang w:val="en-US"/>
        </w:rPr>
        <w:t>，从业人员</w:t>
      </w:r>
      <w:r>
        <w:rPr>
          <w:rFonts w:hint="eastAsia" w:ascii="微软雅黑" w:hAnsi="微软雅黑"/>
          <w:color w:val="auto"/>
          <w:highlight w:val="none"/>
          <w:u w:val="single"/>
          <w:lang w:val="en-US"/>
        </w:rPr>
        <w:t xml:space="preserve">     </w:t>
      </w:r>
      <w:r>
        <w:rPr>
          <w:rFonts w:hint="eastAsia" w:ascii="微软雅黑" w:hAnsi="微软雅黑"/>
          <w:color w:val="auto"/>
          <w:highlight w:val="none"/>
          <w:lang w:val="en-US"/>
        </w:rPr>
        <w:t>人，营业收入为</w:t>
      </w:r>
      <w:r>
        <w:rPr>
          <w:rFonts w:hint="eastAsia" w:ascii="微软雅黑" w:hAnsi="微软雅黑"/>
          <w:color w:val="auto"/>
          <w:highlight w:val="none"/>
          <w:u w:val="single"/>
          <w:lang w:val="en-US"/>
        </w:rPr>
        <w:t xml:space="preserve">     </w:t>
      </w:r>
      <w:r>
        <w:rPr>
          <w:rFonts w:hint="eastAsia" w:ascii="微软雅黑" w:hAnsi="微软雅黑"/>
          <w:color w:val="auto"/>
          <w:highlight w:val="none"/>
          <w:lang w:val="en-US"/>
        </w:rPr>
        <w:t>万元，资产总额为</w:t>
      </w:r>
      <w:r>
        <w:rPr>
          <w:rFonts w:hint="eastAsia" w:ascii="微软雅黑" w:hAnsi="微软雅黑"/>
          <w:color w:val="auto"/>
          <w:highlight w:val="none"/>
          <w:u w:val="single"/>
          <w:lang w:val="en-US"/>
        </w:rPr>
        <w:t xml:space="preserve">     </w:t>
      </w:r>
      <w:r>
        <w:rPr>
          <w:rFonts w:hint="eastAsia" w:ascii="微软雅黑" w:hAnsi="微软雅黑"/>
          <w:color w:val="auto"/>
          <w:highlight w:val="none"/>
          <w:lang w:val="en-US"/>
        </w:rPr>
        <w:t>万元，属于</w:t>
      </w:r>
      <w:r>
        <w:rPr>
          <w:rFonts w:hint="eastAsia" w:ascii="微软雅黑" w:hAnsi="微软雅黑"/>
          <w:color w:val="auto"/>
          <w:highlight w:val="none"/>
          <w:u w:val="single"/>
          <w:lang w:val="en-US"/>
        </w:rPr>
        <w:t>（中型企业、小型企业、微型企业）</w:t>
      </w:r>
      <w:r>
        <w:rPr>
          <w:rFonts w:hint="eastAsia" w:ascii="微软雅黑" w:hAnsi="微软雅黑"/>
          <w:color w:val="auto"/>
          <w:highlight w:val="none"/>
          <w:lang w:val="en-US"/>
        </w:rPr>
        <w:t>；</w:t>
      </w:r>
    </w:p>
    <w:p>
      <w:pPr>
        <w:ind w:right="420"/>
        <w:rPr>
          <w:rFonts w:ascii="微软雅黑" w:hAnsi="微软雅黑"/>
          <w:color w:val="auto"/>
          <w:highlight w:val="none"/>
          <w:lang w:val="en-US"/>
        </w:rPr>
      </w:pPr>
      <w:r>
        <w:rPr>
          <w:rFonts w:hint="eastAsia" w:ascii="微软雅黑" w:hAnsi="微软雅黑"/>
          <w:color w:val="auto"/>
          <w:highlight w:val="none"/>
          <w:lang w:val="en-US"/>
        </w:rPr>
        <w:t>……</w:t>
      </w:r>
    </w:p>
    <w:p>
      <w:pPr>
        <w:ind w:right="420"/>
        <w:rPr>
          <w:rFonts w:ascii="微软雅黑" w:hAnsi="微软雅黑"/>
          <w:color w:val="auto"/>
          <w:highlight w:val="none"/>
          <w:lang w:val="en-US"/>
        </w:rPr>
      </w:pPr>
      <w:r>
        <w:rPr>
          <w:rFonts w:hint="eastAsia" w:ascii="微软雅黑" w:hAnsi="微软雅黑"/>
          <w:color w:val="auto"/>
          <w:highlight w:val="none"/>
          <w:lang w:val="en-US"/>
        </w:rPr>
        <w:t>以上企业，不属于大企业的分支机构，不存在控股股东为大企业的情形，也不存在与大企业的负责人为同一人的情形。</w:t>
      </w:r>
    </w:p>
    <w:p>
      <w:pPr>
        <w:ind w:right="420"/>
        <w:rPr>
          <w:rFonts w:ascii="微软雅黑" w:hAnsi="微软雅黑"/>
          <w:color w:val="auto"/>
          <w:highlight w:val="none"/>
          <w:lang w:val="en-US"/>
        </w:rPr>
      </w:pPr>
      <w:r>
        <w:rPr>
          <w:rFonts w:hint="eastAsia" w:ascii="微软雅黑" w:hAnsi="微软雅黑"/>
          <w:color w:val="auto"/>
          <w:highlight w:val="none"/>
          <w:lang w:val="en-US"/>
        </w:rPr>
        <w:t>本企业对上述声明内容的真实性负责。如有虚假，将依法承担相应责任。</w:t>
      </w:r>
    </w:p>
    <w:p>
      <w:pPr>
        <w:ind w:right="420"/>
        <w:rPr>
          <w:rFonts w:ascii="微软雅黑" w:hAnsi="微软雅黑"/>
          <w:color w:val="auto"/>
          <w:highlight w:val="none"/>
          <w:lang w:val="en-US"/>
        </w:rPr>
      </w:pPr>
    </w:p>
    <w:p>
      <w:pPr>
        <w:ind w:right="420"/>
        <w:rPr>
          <w:rFonts w:ascii="微软雅黑" w:hAnsi="微软雅黑"/>
          <w:color w:val="auto"/>
          <w:highlight w:val="none"/>
          <w:lang w:val="en-US"/>
        </w:rPr>
      </w:pPr>
    </w:p>
    <w:p>
      <w:pPr>
        <w:ind w:right="420"/>
        <w:rPr>
          <w:rFonts w:ascii="微软雅黑" w:hAnsi="微软雅黑"/>
          <w:color w:val="auto"/>
          <w:highlight w:val="none"/>
          <w:lang w:val="en-US"/>
        </w:rPr>
      </w:pPr>
      <w:r>
        <w:rPr>
          <w:rFonts w:hint="eastAsia" w:ascii="微软雅黑" w:hAnsi="微软雅黑"/>
          <w:color w:val="auto"/>
          <w:highlight w:val="none"/>
          <w:lang w:val="en-US"/>
        </w:rPr>
        <w:t>供应商名称：</w:t>
      </w:r>
      <w:r>
        <w:rPr>
          <w:rFonts w:hint="eastAsia" w:ascii="微软雅黑" w:hAnsi="微软雅黑"/>
          <w:color w:val="auto"/>
          <w:highlight w:val="none"/>
          <w:u w:val="single"/>
          <w:lang w:val="en-US"/>
        </w:rPr>
        <w:t xml:space="preserve">         </w:t>
      </w:r>
      <w:r>
        <w:rPr>
          <w:rFonts w:ascii="微软雅黑" w:hAnsi="微软雅黑"/>
          <w:color w:val="auto"/>
          <w:highlight w:val="none"/>
          <w:u w:val="single"/>
          <w:lang w:val="en-US"/>
        </w:rPr>
        <w:t xml:space="preserve">                 </w:t>
      </w:r>
      <w:r>
        <w:rPr>
          <w:rFonts w:hint="eastAsia" w:ascii="微软雅黑" w:hAnsi="微软雅黑"/>
          <w:color w:val="auto"/>
          <w:highlight w:val="none"/>
          <w:lang w:val="en-US"/>
        </w:rPr>
        <w:t>（加盖公章）</w:t>
      </w:r>
    </w:p>
    <w:p>
      <w:pPr>
        <w:ind w:right="420"/>
        <w:rPr>
          <w:rFonts w:ascii="微软雅黑" w:hAnsi="微软雅黑"/>
          <w:color w:val="auto"/>
          <w:highlight w:val="none"/>
          <w:lang w:val="en-US"/>
        </w:rPr>
      </w:pPr>
    </w:p>
    <w:p>
      <w:pPr>
        <w:ind w:right="420"/>
        <w:rPr>
          <w:rFonts w:ascii="微软雅黑" w:hAnsi="微软雅黑"/>
          <w:color w:val="auto"/>
          <w:highlight w:val="none"/>
          <w:lang w:val="en-US"/>
        </w:rPr>
      </w:pPr>
      <w:r>
        <w:rPr>
          <w:rFonts w:hint="eastAsia" w:ascii="微软雅黑" w:hAnsi="微软雅黑"/>
          <w:color w:val="auto"/>
          <w:highlight w:val="none"/>
          <w:lang w:val="en-US"/>
        </w:rPr>
        <w:t>日期：</w:t>
      </w:r>
      <w:r>
        <w:rPr>
          <w:rFonts w:hint="eastAsia" w:ascii="微软雅黑" w:hAnsi="微软雅黑"/>
          <w:color w:val="auto"/>
          <w:highlight w:val="none"/>
          <w:u w:val="single"/>
          <w:lang w:val="en-US"/>
        </w:rPr>
        <w:t xml:space="preserve"> </w:t>
      </w:r>
      <w:r>
        <w:rPr>
          <w:rFonts w:ascii="微软雅黑" w:hAnsi="微软雅黑"/>
          <w:color w:val="auto"/>
          <w:highlight w:val="none"/>
          <w:u w:val="single"/>
          <w:lang w:val="en-US"/>
        </w:rPr>
        <w:t xml:space="preserve">  </w:t>
      </w:r>
      <w:r>
        <w:rPr>
          <w:rFonts w:hint="eastAsia" w:ascii="微软雅黑" w:hAnsi="微软雅黑"/>
          <w:color w:val="auto"/>
          <w:highlight w:val="none"/>
          <w:u w:val="single"/>
          <w:lang w:val="en-US"/>
        </w:rPr>
        <w:t xml:space="preserve">   </w:t>
      </w:r>
      <w:r>
        <w:rPr>
          <w:rFonts w:ascii="微软雅黑" w:hAnsi="微软雅黑"/>
          <w:color w:val="auto"/>
          <w:highlight w:val="none"/>
          <w:u w:val="single"/>
          <w:lang w:val="en-US"/>
        </w:rPr>
        <w:t xml:space="preserve">  </w:t>
      </w:r>
      <w:r>
        <w:rPr>
          <w:rFonts w:hint="eastAsia" w:ascii="微软雅黑" w:hAnsi="微软雅黑"/>
          <w:color w:val="auto"/>
          <w:highlight w:val="none"/>
          <w:u w:val="single"/>
          <w:lang w:val="en-US"/>
        </w:rPr>
        <w:t xml:space="preserve"> </w:t>
      </w:r>
      <w:r>
        <w:rPr>
          <w:rFonts w:hint="eastAsia" w:ascii="微软雅黑" w:hAnsi="微软雅黑"/>
          <w:color w:val="auto"/>
          <w:highlight w:val="none"/>
          <w:lang w:val="en-US"/>
        </w:rPr>
        <w:t>年</w:t>
      </w:r>
      <w:r>
        <w:rPr>
          <w:rFonts w:hint="eastAsia" w:ascii="微软雅黑" w:hAnsi="微软雅黑"/>
          <w:color w:val="auto"/>
          <w:highlight w:val="none"/>
          <w:u w:val="single"/>
          <w:lang w:val="en-US"/>
        </w:rPr>
        <w:t xml:space="preserve">    </w:t>
      </w:r>
      <w:r>
        <w:rPr>
          <w:rFonts w:ascii="微软雅黑" w:hAnsi="微软雅黑"/>
          <w:color w:val="auto"/>
          <w:highlight w:val="none"/>
          <w:u w:val="single"/>
          <w:lang w:val="en-US"/>
        </w:rPr>
        <w:t xml:space="preserve">  </w:t>
      </w:r>
      <w:r>
        <w:rPr>
          <w:rFonts w:hint="eastAsia" w:ascii="微软雅黑" w:hAnsi="微软雅黑"/>
          <w:color w:val="auto"/>
          <w:highlight w:val="none"/>
          <w:lang w:val="en-US"/>
        </w:rPr>
        <w:t>月</w:t>
      </w:r>
      <w:r>
        <w:rPr>
          <w:rFonts w:hint="eastAsia" w:ascii="微软雅黑" w:hAnsi="微软雅黑"/>
          <w:color w:val="auto"/>
          <w:highlight w:val="none"/>
          <w:u w:val="single"/>
          <w:lang w:val="en-US"/>
        </w:rPr>
        <w:t xml:space="preserve">    </w:t>
      </w:r>
      <w:r>
        <w:rPr>
          <w:rFonts w:ascii="微软雅黑" w:hAnsi="微软雅黑"/>
          <w:color w:val="auto"/>
          <w:highlight w:val="none"/>
          <w:u w:val="single"/>
          <w:lang w:val="en-US"/>
        </w:rPr>
        <w:t xml:space="preserve">  </w:t>
      </w:r>
      <w:r>
        <w:rPr>
          <w:rFonts w:hint="eastAsia" w:ascii="微软雅黑" w:hAnsi="微软雅黑"/>
          <w:color w:val="auto"/>
          <w:highlight w:val="none"/>
          <w:lang w:val="en-US"/>
        </w:rPr>
        <w:t>日</w:t>
      </w:r>
    </w:p>
    <w:p>
      <w:pPr>
        <w:ind w:right="420"/>
        <w:rPr>
          <w:rFonts w:ascii="微软雅黑" w:hAnsi="微软雅黑"/>
          <w:color w:val="auto"/>
          <w:highlight w:val="none"/>
          <w:lang w:val="en-US"/>
        </w:rPr>
      </w:pPr>
    </w:p>
    <w:p>
      <w:pPr>
        <w:ind w:right="420"/>
        <w:rPr>
          <w:rFonts w:ascii="微软雅黑" w:hAnsi="微软雅黑"/>
          <w:color w:val="auto"/>
          <w:highlight w:val="none"/>
          <w:lang w:val="en-US"/>
        </w:rPr>
      </w:pPr>
      <w:r>
        <w:rPr>
          <w:rFonts w:ascii="微软雅黑" w:hAnsi="微软雅黑"/>
          <w:color w:val="auto"/>
          <w:highlight w:val="none"/>
        </w:rPr>
        <w:pict>
          <v:shape id="_x0000_s1027" o:spid="_x0000_s1027" o:spt="32" type="#_x0000_t32" style="position:absolute;left:0pt;margin-left:0.95pt;margin-top:10.65pt;height:0pt;width:150.3pt;z-index:251659264;mso-width-relative:page;mso-height-relative:page;" filled="f" coordsize="21600,21600" o:gfxdata="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mh6p0wAAAAcBAAAPAAAAAAAAAAEAIAAAACIAAABkcnMvZG93bnJldi54bWxQSwEC&#10;FAAUAAAACACHTuJAF6qum/kBAADMAwAADgAAAAAAAAABACAAAAAiAQAAZHJzL2Uyb0RvYy54bWxQ&#10;SwUGAAAAAAYABgBZAQAAjQUAAAAA&#10;">
            <v:path arrowok="t"/>
            <v:fill on="f" focussize="0,0"/>
            <v:stroke/>
            <v:imagedata o:title=""/>
            <o:lock v:ext="edit"/>
          </v:shape>
        </w:pict>
      </w:r>
    </w:p>
    <w:p>
      <w:pPr>
        <w:ind w:right="420"/>
        <w:rPr>
          <w:color w:val="auto"/>
          <w:highlight w:val="none"/>
        </w:rPr>
      </w:pPr>
      <w:r>
        <w:rPr>
          <w:rFonts w:hint="eastAsia" w:ascii="微软雅黑" w:hAnsi="微软雅黑"/>
          <w:color w:val="auto"/>
          <w:highlight w:val="none"/>
          <w:lang w:val="en-US"/>
        </w:rPr>
        <w:t>注：从业人员、营业收入、资产总额填报上一年度数据，无上一年度数据的新成立企业可不填报。</w:t>
      </w:r>
    </w:p>
    <w:p>
      <w:pPr>
        <w:rPr>
          <w:color w:val="auto"/>
          <w:highlight w:val="none"/>
        </w:rPr>
      </w:pPr>
      <w:r>
        <w:rPr>
          <w:color w:val="auto"/>
          <w:highlight w:val="none"/>
        </w:rPr>
        <w:t xml:space="preserve"> </w:t>
      </w:r>
    </w:p>
    <w:p>
      <w:pPr>
        <w:ind w:firstLine="420" w:firstLineChars="200"/>
        <w:jc w:val="both"/>
        <w:rPr>
          <w:rFonts w:ascii="微软雅黑" w:hAnsi="微软雅黑"/>
          <w:color w:val="auto"/>
          <w:highlight w:val="none"/>
        </w:rPr>
      </w:pPr>
    </w:p>
    <w:p>
      <w:pPr>
        <w:ind w:firstLine="420" w:firstLineChars="200"/>
        <w:jc w:val="both"/>
        <w:rPr>
          <w:color w:val="auto"/>
          <w:highlight w:val="none"/>
        </w:rPr>
      </w:pPr>
    </w:p>
    <w:p>
      <w:pPr>
        <w:ind w:firstLine="420" w:firstLineChars="200"/>
        <w:jc w:val="both"/>
        <w:rPr>
          <w:color w:val="auto"/>
          <w:highlight w:val="none"/>
        </w:rPr>
        <w:sectPr>
          <w:pgSz w:w="11907" w:h="16839"/>
          <w:pgMar w:top="1928" w:right="1531" w:bottom="1871" w:left="1531" w:header="1148" w:footer="709" w:gutter="0"/>
          <w:cols w:space="720" w:num="1"/>
          <w:docGrid w:linePitch="360" w:charSpace="0"/>
        </w:sectPr>
      </w:pPr>
    </w:p>
    <w:p>
      <w:pPr>
        <w:ind w:firstLine="420" w:firstLineChars="200"/>
        <w:jc w:val="both"/>
        <w:rPr>
          <w:color w:val="auto"/>
          <w:highlight w:val="none"/>
        </w:rPr>
      </w:pPr>
    </w:p>
    <w:p>
      <w:pPr>
        <w:pStyle w:val="5"/>
        <w:numPr>
          <w:ilvl w:val="0"/>
          <w:numId w:val="54"/>
        </w:numPr>
        <w:rPr>
          <w:color w:val="auto"/>
          <w:highlight w:val="none"/>
        </w:rPr>
      </w:pPr>
      <w:bookmarkStart w:id="1112" w:name="_Toc27838"/>
      <w:bookmarkStart w:id="1113" w:name="_Ref495647699"/>
      <w:r>
        <w:rPr>
          <w:rFonts w:hint="eastAsia"/>
          <w:color w:val="auto"/>
          <w:highlight w:val="none"/>
        </w:rPr>
        <w:t>残疾人福利性单位声明函</w:t>
      </w:r>
      <w:bookmarkEnd w:id="1112"/>
      <w:bookmarkEnd w:id="1113"/>
    </w:p>
    <w:p>
      <w:pPr>
        <w:ind w:firstLine="420" w:firstLineChars="200"/>
        <w:jc w:val="center"/>
        <w:rPr>
          <w:b/>
          <w:bCs/>
          <w:color w:val="auto"/>
          <w:highlight w:val="none"/>
        </w:rPr>
      </w:pPr>
      <w:r>
        <w:rPr>
          <w:rFonts w:hint="eastAsia" w:ascii="微软雅黑" w:hAnsi="微软雅黑"/>
          <w:b/>
          <w:bCs/>
          <w:color w:val="auto"/>
          <w:highlight w:val="none"/>
        </w:rPr>
        <w:t>残疾人福利性单位声明函</w:t>
      </w:r>
    </w:p>
    <w:p>
      <w:pPr>
        <w:ind w:firstLine="420" w:firstLineChars="200"/>
        <w:jc w:val="both"/>
        <w:rPr>
          <w:color w:val="auto"/>
          <w:highlight w:val="none"/>
        </w:rPr>
      </w:pPr>
      <w:r>
        <w:rPr>
          <w:rFonts w:hint="eastAsia"/>
          <w:color w:val="auto"/>
          <w:highlight w:val="none"/>
        </w:rPr>
        <w:t xml:space="preserve"> </w:t>
      </w:r>
    </w:p>
    <w:p>
      <w:pPr>
        <w:ind w:firstLine="420" w:firstLineChars="200"/>
        <w:jc w:val="both"/>
        <w:rPr>
          <w:color w:val="auto"/>
          <w:highlight w:val="none"/>
        </w:rPr>
      </w:pPr>
      <w:r>
        <w:rPr>
          <w:rFonts w:hint="eastAsia" w:ascii="微软雅黑" w:hAnsi="微软雅黑"/>
          <w:color w:val="auto"/>
          <w:highlight w:val="none"/>
        </w:rPr>
        <w:t>本单位郑重声明，根据《财政部</w:t>
      </w:r>
      <w:r>
        <w:rPr>
          <w:rFonts w:hint="eastAsia"/>
          <w:color w:val="auto"/>
          <w:highlight w:val="none"/>
        </w:rPr>
        <w:t xml:space="preserve"> </w:t>
      </w:r>
      <w:r>
        <w:rPr>
          <w:rFonts w:hint="eastAsia" w:ascii="微软雅黑" w:hAnsi="微软雅黑"/>
          <w:color w:val="auto"/>
          <w:highlight w:val="none"/>
        </w:rPr>
        <w:t>民政部</w:t>
      </w:r>
      <w:r>
        <w:rPr>
          <w:rFonts w:hint="eastAsia"/>
          <w:color w:val="auto"/>
          <w:highlight w:val="none"/>
        </w:rPr>
        <w:t xml:space="preserve"> </w:t>
      </w:r>
      <w:r>
        <w:rPr>
          <w:rFonts w:hint="eastAsia" w:ascii="微软雅黑" w:hAnsi="微软雅黑"/>
          <w:color w:val="auto"/>
          <w:highlight w:val="none"/>
        </w:rPr>
        <w:t>中国残疾人联合会关于促进残疾人就业政府采购政策的通知》（财库〔</w:t>
      </w:r>
      <w:r>
        <w:rPr>
          <w:rFonts w:hint="eastAsia"/>
          <w:color w:val="auto"/>
          <w:highlight w:val="none"/>
        </w:rPr>
        <w:t>2017</w:t>
      </w:r>
      <w:r>
        <w:rPr>
          <w:rFonts w:hint="eastAsia" w:ascii="微软雅黑" w:hAnsi="微软雅黑"/>
          <w:color w:val="auto"/>
          <w:highlight w:val="none"/>
        </w:rPr>
        <w:t xml:space="preserve">〕 </w:t>
      </w:r>
      <w:r>
        <w:rPr>
          <w:rFonts w:hint="eastAsia"/>
          <w:color w:val="auto"/>
          <w:highlight w:val="none"/>
        </w:rPr>
        <w:t>141</w:t>
      </w:r>
      <w:r>
        <w:rPr>
          <w:rFonts w:hint="eastAsia" w:ascii="微软雅黑" w:hAnsi="微软雅黑"/>
          <w:color w:val="auto"/>
          <w:highlight w:val="none"/>
        </w:rPr>
        <w:t>号）的规定，本单位为符合条件的残疾人福利性单位，且本单位参加</w:t>
      </w:r>
      <w:r>
        <w:rPr>
          <w:rFonts w:hint="eastAsia"/>
          <w:color w:val="auto"/>
          <w:highlight w:val="none"/>
        </w:rPr>
        <w:t>______</w:t>
      </w:r>
      <w:r>
        <w:rPr>
          <w:rFonts w:hint="eastAsia" w:ascii="微软雅黑" w:hAnsi="微软雅黑"/>
          <w:color w:val="auto"/>
          <w:highlight w:val="none"/>
        </w:rPr>
        <w:t>单位的</w:t>
      </w:r>
      <w:r>
        <w:rPr>
          <w:rFonts w:hint="eastAsia"/>
          <w:color w:val="auto"/>
          <w:highlight w:val="none"/>
        </w:rPr>
        <w:t>______</w:t>
      </w:r>
      <w:r>
        <w:rPr>
          <w:rFonts w:hint="eastAsia" w:ascii="微软雅黑" w:hAnsi="微软雅黑"/>
          <w:color w:val="auto"/>
          <w:highlight w:val="none"/>
        </w:rPr>
        <w:t>项目采购活动提供本单位制造的货物（由本单位承担工程</w:t>
      </w:r>
      <w:r>
        <w:rPr>
          <w:rFonts w:hint="eastAsia"/>
          <w:color w:val="auto"/>
          <w:highlight w:val="none"/>
        </w:rPr>
        <w:t>/</w:t>
      </w:r>
      <w:r>
        <w:rPr>
          <w:rFonts w:hint="eastAsia" w:ascii="微软雅黑" w:hAnsi="微软雅黑"/>
          <w:color w:val="auto"/>
          <w:highlight w:val="none"/>
        </w:rPr>
        <w:t>提供服务），或者提供其他残疾人福利性单位制造的货物（不包括使用非残疾人福利性单位注册商标的货物）。</w:t>
      </w:r>
    </w:p>
    <w:p>
      <w:pPr>
        <w:ind w:firstLine="420" w:firstLineChars="200"/>
        <w:jc w:val="both"/>
        <w:rPr>
          <w:color w:val="auto"/>
          <w:highlight w:val="none"/>
        </w:rPr>
      </w:pPr>
      <w:r>
        <w:rPr>
          <w:rFonts w:hint="eastAsia" w:ascii="微软雅黑" w:hAnsi="微软雅黑"/>
          <w:color w:val="auto"/>
          <w:highlight w:val="none"/>
        </w:rPr>
        <w:t>本单位对上述声明的真实性负责。如有虚假，将依法承担相应责任。</w:t>
      </w:r>
    </w:p>
    <w:p>
      <w:pPr>
        <w:ind w:firstLine="420" w:firstLineChars="200"/>
        <w:jc w:val="both"/>
        <w:rPr>
          <w:color w:val="auto"/>
          <w:highlight w:val="none"/>
        </w:rPr>
      </w:pPr>
      <w:r>
        <w:rPr>
          <w:rFonts w:hint="eastAsia"/>
          <w:color w:val="auto"/>
          <w:highlight w:val="none"/>
        </w:rPr>
        <w:t xml:space="preserve"> </w:t>
      </w:r>
    </w:p>
    <w:p>
      <w:pPr>
        <w:ind w:firstLine="420" w:firstLineChars="200"/>
        <w:jc w:val="both"/>
        <w:rPr>
          <w:color w:val="auto"/>
          <w:highlight w:val="none"/>
        </w:rPr>
      </w:pPr>
      <w:r>
        <w:rPr>
          <w:rFonts w:hint="eastAsia"/>
          <w:color w:val="auto"/>
          <w:highlight w:val="none"/>
        </w:rPr>
        <w:t xml:space="preserve"> </w:t>
      </w:r>
    </w:p>
    <w:p>
      <w:pPr>
        <w:rPr>
          <w:color w:val="auto"/>
          <w:highlight w:val="none"/>
        </w:rPr>
      </w:pPr>
      <w:r>
        <w:rPr>
          <w:rFonts w:hint="eastAsia"/>
          <w:color w:val="auto"/>
          <w:highlight w:val="none"/>
        </w:rPr>
        <w:t>供应商名称：</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（加盖公章）</w:t>
      </w:r>
    </w:p>
    <w:p>
      <w:pPr>
        <w:rPr>
          <w:color w:val="auto"/>
          <w:highlight w:val="none"/>
        </w:rPr>
      </w:pPr>
    </w:p>
    <w:p>
      <w:pPr>
        <w:jc w:val="both"/>
        <w:rPr>
          <w:rFonts w:ascii="微软雅黑" w:hAnsi="微软雅黑"/>
          <w:color w:val="auto"/>
          <w:highlight w:val="none"/>
        </w:rPr>
      </w:pPr>
      <w:r>
        <w:rPr>
          <w:rFonts w:hint="eastAsia"/>
          <w:color w:val="auto"/>
          <w:highlight w:val="none"/>
        </w:rPr>
        <w:t>日期：</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日</w:t>
      </w:r>
    </w:p>
    <w:p>
      <w:pPr>
        <w:ind w:firstLine="420" w:firstLineChars="200"/>
        <w:jc w:val="both"/>
        <w:rPr>
          <w:color w:val="auto"/>
          <w:highlight w:val="none"/>
        </w:rPr>
      </w:pPr>
    </w:p>
    <w:p>
      <w:pPr>
        <w:rPr>
          <w:rFonts w:ascii="微软雅黑" w:hAnsi="微软雅黑"/>
          <w:b/>
          <w:color w:val="auto"/>
          <w:highlight w:val="none"/>
        </w:rPr>
        <w:sectPr>
          <w:pgSz w:w="11907" w:h="16839"/>
          <w:pgMar w:top="1928" w:right="1531" w:bottom="1871" w:left="1531" w:header="1148" w:footer="709" w:gutter="0"/>
          <w:cols w:space="720" w:num="1"/>
          <w:docGrid w:linePitch="360" w:charSpace="0"/>
        </w:sectPr>
      </w:pPr>
      <w:bookmarkStart w:id="1114" w:name="_Ref462505468"/>
      <w:r>
        <w:rPr>
          <w:rFonts w:ascii="微软雅黑" w:hAnsi="微软雅黑"/>
          <w:b/>
          <w:color w:val="auto"/>
          <w:highlight w:val="none"/>
        </w:rPr>
        <w:br w:type="page"/>
      </w:r>
    </w:p>
    <w:p>
      <w:pPr>
        <w:rPr>
          <w:rFonts w:ascii="微软雅黑" w:hAnsi="微软雅黑"/>
          <w:b/>
          <w:color w:val="auto"/>
          <w:highlight w:val="none"/>
        </w:rPr>
      </w:pPr>
    </w:p>
    <w:p>
      <w:pPr>
        <w:pStyle w:val="5"/>
        <w:numPr>
          <w:ilvl w:val="0"/>
          <w:numId w:val="54"/>
        </w:numPr>
        <w:rPr>
          <w:color w:val="auto"/>
          <w:highlight w:val="none"/>
        </w:rPr>
      </w:pPr>
      <w:bookmarkStart w:id="1115" w:name="_Toc25562"/>
      <w:r>
        <w:rPr>
          <w:rFonts w:hint="eastAsia"/>
          <w:color w:val="auto"/>
          <w:highlight w:val="none"/>
        </w:rPr>
        <w:t>监狱企业证明</w:t>
      </w:r>
      <w:bookmarkEnd w:id="1115"/>
    </w:p>
    <w:p>
      <w:pPr>
        <w:rPr>
          <w:rFonts w:ascii="微软雅黑" w:hAnsi="微软雅黑"/>
          <w:b/>
          <w:color w:val="auto"/>
          <w:highlight w:val="none"/>
        </w:rPr>
      </w:pPr>
    </w:p>
    <w:p>
      <w:pPr>
        <w:rPr>
          <w:rFonts w:ascii="微软雅黑" w:hAnsi="微软雅黑"/>
          <w:b/>
          <w:color w:val="auto"/>
          <w:highlight w:val="none"/>
        </w:rPr>
      </w:pPr>
    </w:p>
    <w:p>
      <w:pPr>
        <w:spacing w:line="432" w:lineRule="auto"/>
        <w:jc w:val="center"/>
        <w:rPr>
          <w:rFonts w:ascii="微软雅黑" w:hAnsi="微软雅黑"/>
          <w:color w:val="auto"/>
          <w:szCs w:val="21"/>
          <w:highlight w:val="none"/>
        </w:rPr>
      </w:pPr>
      <w:r>
        <w:rPr>
          <w:rFonts w:hint="eastAsia" w:ascii="微软雅黑" w:hAnsi="微软雅黑" w:cs="Arial Unicode MS"/>
          <w:color w:val="auto"/>
          <w:szCs w:val="21"/>
          <w:highlight w:val="none"/>
          <w:u w:color="000000"/>
          <w:lang w:val="zh-TW"/>
        </w:rPr>
        <w:t>监狱企业证明（如适用）</w:t>
      </w:r>
    </w:p>
    <w:p>
      <w:pPr>
        <w:spacing w:line="432" w:lineRule="auto"/>
        <w:rPr>
          <w:rFonts w:ascii="微软雅黑" w:hAnsi="微软雅黑"/>
          <w:color w:val="auto"/>
          <w:szCs w:val="21"/>
          <w:highlight w:val="none"/>
        </w:rPr>
      </w:pPr>
    </w:p>
    <w:p>
      <w:pPr>
        <w:rPr>
          <w:rFonts w:ascii="微软雅黑" w:hAnsi="微软雅黑"/>
          <w:color w:val="auto"/>
          <w:spacing w:val="6"/>
          <w:szCs w:val="21"/>
          <w:highlight w:val="none"/>
        </w:rPr>
      </w:pPr>
      <w:r>
        <w:rPr>
          <w:rFonts w:ascii="微软雅黑" w:hAnsi="微软雅黑"/>
          <w:color w:val="auto"/>
          <w:spacing w:val="6"/>
          <w:szCs w:val="21"/>
          <w:highlight w:val="none"/>
        </w:rPr>
        <w:t>提供由省级以上监狱管理局、戒毒管理局(含新疆生产建设兵团)出具的属于监狱企业的证明文件</w:t>
      </w:r>
      <w:r>
        <w:rPr>
          <w:rFonts w:hint="eastAsia" w:ascii="微软雅黑" w:hAnsi="微软雅黑"/>
          <w:color w:val="auto"/>
          <w:spacing w:val="6"/>
          <w:szCs w:val="21"/>
          <w:highlight w:val="none"/>
        </w:rPr>
        <w:t>，内容和格式自拟。</w:t>
      </w:r>
    </w:p>
    <w:p>
      <w:pPr>
        <w:rPr>
          <w:rFonts w:ascii="宋体" w:hAnsi="宋体"/>
          <w:color w:val="auto"/>
          <w:spacing w:val="6"/>
          <w:sz w:val="24"/>
          <w:highlight w:val="none"/>
        </w:rPr>
      </w:pPr>
    </w:p>
    <w:p>
      <w:pPr>
        <w:rPr>
          <w:rFonts w:ascii="宋体" w:hAnsi="宋体"/>
          <w:color w:val="auto"/>
          <w:spacing w:val="6"/>
          <w:sz w:val="24"/>
          <w:highlight w:val="none"/>
        </w:rPr>
        <w:sectPr>
          <w:pgSz w:w="11907" w:h="16839"/>
          <w:pgMar w:top="1928" w:right="1531" w:bottom="1871" w:left="1531" w:header="1148" w:footer="709" w:gutter="0"/>
          <w:cols w:space="720" w:num="1"/>
          <w:docGrid w:linePitch="360" w:charSpace="0"/>
        </w:sectPr>
      </w:pPr>
    </w:p>
    <w:p>
      <w:pPr>
        <w:rPr>
          <w:rFonts w:ascii="宋体" w:hAnsi="宋体"/>
          <w:color w:val="auto"/>
          <w:spacing w:val="6"/>
          <w:sz w:val="24"/>
          <w:highlight w:val="none"/>
        </w:rPr>
      </w:pPr>
    </w:p>
    <w:p>
      <w:pPr>
        <w:pStyle w:val="5"/>
        <w:numPr>
          <w:ilvl w:val="0"/>
          <w:numId w:val="54"/>
        </w:numPr>
        <w:rPr>
          <w:color w:val="auto"/>
          <w:highlight w:val="none"/>
        </w:rPr>
      </w:pPr>
      <w:bookmarkStart w:id="1116" w:name="_Toc9625"/>
      <w:r>
        <w:rPr>
          <w:rFonts w:hint="eastAsia"/>
          <w:color w:val="auto"/>
          <w:highlight w:val="none"/>
        </w:rPr>
        <w:t>类似业绩情况表</w:t>
      </w:r>
      <w:bookmarkEnd w:id="1116"/>
    </w:p>
    <w:p>
      <w:pPr>
        <w:spacing w:afterLines="50" w:line="440" w:lineRule="exact"/>
        <w:jc w:val="center"/>
        <w:rPr>
          <w:rFonts w:ascii="黑体" w:hAnsi="黑体" w:eastAsia="黑体"/>
          <w:color w:val="auto"/>
          <w:szCs w:val="21"/>
          <w:highlight w:val="none"/>
        </w:rPr>
      </w:pPr>
      <w:r>
        <w:rPr>
          <w:rFonts w:hint="eastAsia" w:ascii="宋体" w:hAnsi="宋体"/>
          <w:color w:val="auto"/>
          <w:spacing w:val="6"/>
          <w:szCs w:val="21"/>
          <w:highlight w:val="none"/>
        </w:rPr>
        <w:t>类似业绩情况表</w:t>
      </w:r>
    </w:p>
    <w:p>
      <w:pPr>
        <w:spacing w:line="360" w:lineRule="exact"/>
        <w:ind w:firstLine="420" w:firstLineChars="200"/>
        <w:rPr>
          <w:rFonts w:ascii="Times New Roman" w:hAnsi="Times New Roman"/>
          <w:color w:val="auto"/>
          <w:szCs w:val="21"/>
          <w:highlight w:val="none"/>
        </w:rPr>
      </w:pPr>
    </w:p>
    <w:tbl>
      <w:tblPr>
        <w:tblStyle w:val="83"/>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04"/>
        <w:gridCol w:w="1070"/>
        <w:gridCol w:w="1070"/>
        <w:gridCol w:w="1071"/>
        <w:gridCol w:w="1071"/>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b/>
                <w:color w:val="auto"/>
                <w:szCs w:val="21"/>
                <w:highlight w:val="none"/>
              </w:rPr>
            </w:pPr>
            <w:r>
              <w:rPr>
                <w:rFonts w:ascii="微软雅黑" w:hAnsi="微软雅黑"/>
                <w:b/>
                <w:color w:val="auto"/>
                <w:szCs w:val="21"/>
                <w:highlight w:val="none"/>
              </w:rPr>
              <w:t>序号</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b/>
                <w:color w:val="auto"/>
                <w:szCs w:val="21"/>
                <w:highlight w:val="none"/>
              </w:rPr>
            </w:pPr>
            <w:r>
              <w:rPr>
                <w:rFonts w:hint="eastAsia" w:ascii="微软雅黑" w:hAnsi="微软雅黑"/>
                <w:b/>
                <w:color w:val="auto"/>
                <w:szCs w:val="21"/>
                <w:highlight w:val="none"/>
              </w:rPr>
              <w:t>业绩项目</w:t>
            </w:r>
            <w:r>
              <w:rPr>
                <w:rFonts w:ascii="微软雅黑" w:hAnsi="微软雅黑"/>
                <w:b/>
                <w:color w:val="auto"/>
                <w:szCs w:val="21"/>
                <w:highlight w:val="none"/>
              </w:rPr>
              <w:t>名称</w:t>
            </w:r>
          </w:p>
        </w:tc>
        <w:tc>
          <w:tcPr>
            <w:tcW w:w="1070" w:type="dxa"/>
            <w:tcBorders>
              <w:top w:val="single" w:color="auto" w:sz="4" w:space="0"/>
              <w:left w:val="single" w:color="auto" w:sz="4" w:space="0"/>
              <w:bottom w:val="single" w:color="auto" w:sz="4" w:space="0"/>
              <w:right w:val="single" w:color="auto" w:sz="4" w:space="0"/>
            </w:tcBorders>
            <w:vAlign w:val="center"/>
          </w:tcPr>
          <w:p>
            <w:pPr>
              <w:pStyle w:val="82"/>
              <w:spacing w:after="0"/>
              <w:ind w:firstLine="0"/>
              <w:jc w:val="center"/>
              <w:rPr>
                <w:rFonts w:ascii="微软雅黑" w:hAnsi="微软雅黑" w:eastAsia="微软雅黑"/>
                <w:b/>
                <w:color w:val="auto"/>
                <w:kern w:val="20"/>
                <w:szCs w:val="21"/>
                <w:highlight w:val="none"/>
                <w:lang w:val="zh-CN"/>
              </w:rPr>
            </w:pPr>
            <w:r>
              <w:rPr>
                <w:rFonts w:hint="eastAsia" w:ascii="微软雅黑" w:hAnsi="微软雅黑" w:eastAsia="微软雅黑"/>
                <w:b/>
                <w:color w:val="auto"/>
                <w:kern w:val="20"/>
                <w:szCs w:val="21"/>
                <w:highlight w:val="none"/>
                <w:lang w:val="zh-CN"/>
              </w:rPr>
              <w:t>业绩年份</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b/>
                <w:color w:val="auto"/>
                <w:szCs w:val="21"/>
                <w:highlight w:val="none"/>
              </w:rPr>
            </w:pPr>
            <w:r>
              <w:rPr>
                <w:rFonts w:ascii="微软雅黑" w:hAnsi="微软雅黑"/>
                <w:b/>
                <w:color w:val="auto"/>
                <w:szCs w:val="21"/>
                <w:highlight w:val="none"/>
              </w:rPr>
              <w:t>买方名称</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b/>
                <w:color w:val="auto"/>
                <w:szCs w:val="21"/>
                <w:highlight w:val="none"/>
              </w:rPr>
            </w:pPr>
            <w:r>
              <w:rPr>
                <w:rFonts w:hint="eastAsia" w:ascii="微软雅黑" w:hAnsi="微软雅黑"/>
                <w:b/>
                <w:color w:val="auto"/>
                <w:szCs w:val="21"/>
                <w:highlight w:val="none"/>
              </w:rPr>
              <w:t>买方联系人及电话</w:t>
            </w:r>
          </w:p>
        </w:tc>
        <w:tc>
          <w:tcPr>
            <w:tcW w:w="10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b/>
                <w:color w:val="auto"/>
                <w:szCs w:val="21"/>
                <w:highlight w:val="none"/>
              </w:rPr>
            </w:pPr>
            <w:r>
              <w:rPr>
                <w:rFonts w:hint="eastAsia" w:ascii="微软雅黑" w:hAnsi="微软雅黑"/>
                <w:b/>
                <w:color w:val="auto"/>
                <w:szCs w:val="21"/>
                <w:highlight w:val="none"/>
              </w:rPr>
              <w:t>业绩主要服务内容</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b/>
                <w:color w:val="auto"/>
                <w:szCs w:val="21"/>
                <w:highlight w:val="none"/>
              </w:rPr>
            </w:pPr>
            <w:r>
              <w:rPr>
                <w:rFonts w:hint="eastAsia" w:ascii="微软雅黑" w:hAnsi="微软雅黑"/>
                <w:b/>
                <w:color w:val="auto"/>
                <w:szCs w:val="21"/>
                <w:highlight w:val="none"/>
              </w:rPr>
              <w:t>对应业绩所在页码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r>
              <w:rPr>
                <w:rFonts w:hint="eastAsia" w:ascii="微软雅黑" w:hAnsi="微软雅黑"/>
                <w:color w:val="auto"/>
                <w:szCs w:val="21"/>
                <w:highlight w:val="none"/>
              </w:rPr>
              <w:t>1</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0"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c>
          <w:tcPr>
            <w:tcW w:w="1070"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c>
          <w:tcPr>
            <w:tcW w:w="1071"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c>
          <w:tcPr>
            <w:tcW w:w="1071"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c>
          <w:tcPr>
            <w:tcW w:w="1184"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r>
              <w:rPr>
                <w:rFonts w:hint="eastAsia" w:ascii="微软雅黑" w:hAnsi="微软雅黑"/>
                <w:color w:val="auto"/>
                <w:szCs w:val="21"/>
                <w:highlight w:val="none"/>
              </w:rPr>
              <w:t>2</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r>
              <w:rPr>
                <w:rFonts w:hint="eastAsia" w:ascii="微软雅黑" w:hAnsi="微软雅黑"/>
                <w:color w:val="auto"/>
                <w:szCs w:val="21"/>
                <w:highlight w:val="none"/>
              </w:rPr>
              <w:t>3</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0"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c>
          <w:tcPr>
            <w:tcW w:w="1070"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c>
          <w:tcPr>
            <w:tcW w:w="1071"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c>
          <w:tcPr>
            <w:tcW w:w="1071"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c>
          <w:tcPr>
            <w:tcW w:w="1184" w:type="dxa"/>
            <w:tcBorders>
              <w:top w:val="single" w:color="auto" w:sz="4" w:space="0"/>
              <w:left w:val="single" w:color="auto" w:sz="4" w:space="0"/>
              <w:right w:val="single" w:color="auto" w:sz="4" w:space="0"/>
            </w:tcBorders>
            <w:vAlign w:val="center"/>
          </w:tcPr>
          <w:p>
            <w:pPr>
              <w:jc w:val="center"/>
              <w:rPr>
                <w:rFonts w:ascii="微软雅黑" w:hAnsi="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r>
              <w:rPr>
                <w:rFonts w:ascii="微软雅黑" w:hAnsi="微软雅黑"/>
                <w:color w:val="auto"/>
                <w:szCs w:val="21"/>
                <w:highlight w:val="none"/>
              </w:rPr>
              <w:t>……</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0" w:type="dxa"/>
            <w:tcBorders>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0" w:type="dxa"/>
            <w:tcBorders>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1" w:type="dxa"/>
            <w:tcBorders>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071" w:type="dxa"/>
            <w:tcBorders>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c>
          <w:tcPr>
            <w:tcW w:w="1184" w:type="dxa"/>
            <w:tcBorders>
              <w:left w:val="single" w:color="auto" w:sz="4" w:space="0"/>
              <w:bottom w:val="single" w:color="auto" w:sz="4" w:space="0"/>
              <w:right w:val="single" w:color="auto" w:sz="4" w:space="0"/>
            </w:tcBorders>
            <w:vAlign w:val="center"/>
          </w:tcPr>
          <w:p>
            <w:pPr>
              <w:jc w:val="center"/>
              <w:rPr>
                <w:rFonts w:ascii="微软雅黑" w:hAnsi="微软雅黑"/>
                <w:color w:val="auto"/>
                <w:szCs w:val="21"/>
                <w:highlight w:val="none"/>
              </w:rPr>
            </w:pPr>
          </w:p>
        </w:tc>
      </w:tr>
    </w:tbl>
    <w:p>
      <w:pPr>
        <w:spacing w:line="360" w:lineRule="exact"/>
        <w:ind w:firstLine="420" w:firstLineChars="200"/>
        <w:rPr>
          <w:rFonts w:ascii="Times New Roman" w:hAnsi="Times New Roman"/>
          <w:color w:val="auto"/>
          <w:szCs w:val="21"/>
          <w:highlight w:val="none"/>
        </w:rPr>
      </w:pPr>
    </w:p>
    <w:p>
      <w:pPr>
        <w:spacing w:line="360" w:lineRule="exact"/>
        <w:rPr>
          <w:rFonts w:ascii="微软雅黑" w:hAnsi="微软雅黑"/>
          <w:color w:val="auto"/>
          <w:szCs w:val="21"/>
          <w:highlight w:val="none"/>
        </w:rPr>
      </w:pPr>
    </w:p>
    <w:p>
      <w:pPr>
        <w:spacing w:line="360" w:lineRule="exact"/>
        <w:rPr>
          <w:rFonts w:ascii="Times New Roman" w:hAnsi="Times New Roman"/>
          <w:color w:val="auto"/>
          <w:szCs w:val="21"/>
          <w:highlight w:val="none"/>
        </w:rPr>
      </w:pPr>
    </w:p>
    <w:p>
      <w:pPr>
        <w:rPr>
          <w:rFonts w:ascii="微软雅黑" w:hAnsi="微软雅黑"/>
          <w:color w:val="auto"/>
          <w:spacing w:val="6"/>
          <w:szCs w:val="21"/>
          <w:highlight w:val="none"/>
        </w:rPr>
      </w:pPr>
      <w:r>
        <w:rPr>
          <w:rFonts w:hint="eastAsia" w:ascii="微软雅黑" w:hAnsi="微软雅黑"/>
          <w:color w:val="auto"/>
          <w:szCs w:val="21"/>
          <w:highlight w:val="none"/>
        </w:rPr>
        <w:t>注：</w:t>
      </w:r>
      <w:r>
        <w:rPr>
          <w:rFonts w:hint="eastAsia" w:ascii="微软雅黑" w:hAnsi="微软雅黑"/>
          <w:color w:val="auto"/>
          <w:szCs w:val="21"/>
          <w:highlight w:val="none"/>
          <w:lang w:val="en-US"/>
        </w:rPr>
        <w:t>1、除可填报项目外，任何实质性修改将被</w:t>
      </w:r>
      <w:r>
        <w:rPr>
          <w:rFonts w:hint="eastAsia" w:ascii="微软雅黑" w:hAnsi="微软雅黑"/>
          <w:color w:val="auto"/>
          <w:spacing w:val="6"/>
          <w:szCs w:val="21"/>
          <w:highlight w:val="none"/>
        </w:rPr>
        <w:t>视为未提供业绩。</w:t>
      </w:r>
    </w:p>
    <w:p>
      <w:pPr>
        <w:ind w:firstLine="444" w:firstLineChars="200"/>
        <w:rPr>
          <w:rFonts w:ascii="宋体" w:hAnsi="宋体"/>
          <w:color w:val="auto"/>
          <w:spacing w:val="6"/>
          <w:sz w:val="24"/>
          <w:highlight w:val="none"/>
        </w:rPr>
      </w:pPr>
      <w:r>
        <w:rPr>
          <w:rFonts w:ascii="微软雅黑" w:hAnsi="微软雅黑"/>
          <w:color w:val="auto"/>
          <w:spacing w:val="6"/>
          <w:szCs w:val="21"/>
          <w:highlight w:val="none"/>
        </w:rPr>
        <w:t>2</w:t>
      </w:r>
      <w:r>
        <w:rPr>
          <w:rFonts w:hint="eastAsia" w:ascii="微软雅黑" w:hAnsi="微软雅黑"/>
          <w:color w:val="auto"/>
          <w:spacing w:val="6"/>
          <w:szCs w:val="21"/>
          <w:highlight w:val="none"/>
        </w:rPr>
        <w:t>、</w:t>
      </w:r>
      <w:r>
        <w:rPr>
          <w:rFonts w:hint="eastAsia" w:ascii="微软雅黑" w:hAnsi="微软雅黑"/>
          <w:color w:val="auto"/>
          <w:szCs w:val="21"/>
          <w:highlight w:val="none"/>
        </w:rPr>
        <w:t>如本项目未要求提供业绩或供应商未提供业绩，此表可删除。</w:t>
      </w:r>
    </w:p>
    <w:p>
      <w:pPr>
        <w:rPr>
          <w:rFonts w:ascii="宋体" w:hAnsi="宋体"/>
          <w:color w:val="auto"/>
          <w:spacing w:val="6"/>
          <w:sz w:val="24"/>
          <w:highlight w:val="none"/>
        </w:rPr>
        <w:sectPr>
          <w:pgSz w:w="11907" w:h="16839"/>
          <w:pgMar w:top="1928" w:right="1531" w:bottom="1871" w:left="1531" w:header="1148" w:footer="709" w:gutter="0"/>
          <w:cols w:space="720" w:num="1"/>
          <w:docGrid w:linePitch="360" w:charSpace="0"/>
        </w:sectPr>
      </w:pPr>
    </w:p>
    <w:p>
      <w:pPr>
        <w:pStyle w:val="5"/>
        <w:numPr>
          <w:ilvl w:val="0"/>
          <w:numId w:val="54"/>
        </w:numPr>
        <w:rPr>
          <w:color w:val="auto"/>
          <w:highlight w:val="none"/>
        </w:rPr>
      </w:pPr>
      <w:bookmarkStart w:id="1117" w:name="_Toc5078"/>
      <w:bookmarkStart w:id="1118" w:name="_Ref462505466"/>
      <w:r>
        <w:rPr>
          <w:rFonts w:hint="eastAsia"/>
          <w:color w:val="auto"/>
          <w:highlight w:val="none"/>
        </w:rPr>
        <w:t>供应商认为需要提供的其他商务资料</w:t>
      </w:r>
      <w:bookmarkEnd w:id="1117"/>
      <w:bookmarkEnd w:id="1118"/>
    </w:p>
    <w:p>
      <w:pPr>
        <w:rPr>
          <w:color w:val="auto"/>
          <w:highlight w:val="none"/>
        </w:rPr>
      </w:pPr>
    </w:p>
    <w:p>
      <w:pPr>
        <w:rPr>
          <w:rFonts w:ascii="宋体" w:hAnsi="宋体"/>
          <w:color w:val="auto"/>
          <w:spacing w:val="6"/>
          <w:sz w:val="24"/>
          <w:highlight w:val="none"/>
        </w:rPr>
      </w:pPr>
    </w:p>
    <w:p>
      <w:pPr>
        <w:rPr>
          <w:rFonts w:ascii="微软雅黑" w:hAnsi="微软雅黑"/>
          <w:b/>
          <w:color w:val="auto"/>
          <w:highlight w:val="none"/>
        </w:rPr>
        <w:sectPr>
          <w:pgSz w:w="11907" w:h="16839"/>
          <w:pgMar w:top="1928" w:right="1531" w:bottom="1871" w:left="1531" w:header="1148" w:footer="709" w:gutter="0"/>
          <w:cols w:space="720" w:num="1"/>
          <w:docGrid w:linePitch="360" w:charSpace="0"/>
        </w:sectPr>
      </w:pPr>
    </w:p>
    <w:p>
      <w:pPr>
        <w:rPr>
          <w:rFonts w:ascii="微软雅黑" w:hAnsi="微软雅黑"/>
          <w:b/>
          <w:color w:val="auto"/>
          <w:highlight w:val="none"/>
        </w:rPr>
      </w:pPr>
    </w:p>
    <w:p>
      <w:pPr>
        <w:pStyle w:val="5"/>
        <w:numPr>
          <w:ilvl w:val="0"/>
          <w:numId w:val="48"/>
        </w:numPr>
        <w:spacing w:line="360" w:lineRule="auto"/>
        <w:jc w:val="center"/>
        <w:rPr>
          <w:b w:val="0"/>
          <w:color w:val="auto"/>
          <w:sz w:val="32"/>
          <w:szCs w:val="32"/>
          <w:highlight w:val="none"/>
        </w:rPr>
      </w:pPr>
      <w:bookmarkStart w:id="1119" w:name="_Toc29861"/>
      <w:r>
        <w:rPr>
          <w:rFonts w:hint="eastAsia"/>
          <w:color w:val="auto"/>
          <w:sz w:val="32"/>
          <w:szCs w:val="32"/>
          <w:highlight w:val="none"/>
        </w:rPr>
        <w:t>技术部分</w:t>
      </w:r>
      <w:bookmarkEnd w:id="1114"/>
      <w:bookmarkEnd w:id="1119"/>
    </w:p>
    <w:p>
      <w:pPr>
        <w:pStyle w:val="5"/>
        <w:numPr>
          <w:ilvl w:val="0"/>
          <w:numId w:val="57"/>
        </w:numPr>
        <w:rPr>
          <w:color w:val="auto"/>
          <w:highlight w:val="none"/>
        </w:rPr>
      </w:pPr>
      <w:bookmarkStart w:id="1120" w:name="_Toc15829"/>
      <w:bookmarkStart w:id="1121" w:name="_Ref462740395"/>
      <w:bookmarkStart w:id="1122" w:name="_Ref462505469"/>
      <w:r>
        <w:rPr>
          <w:rFonts w:hint="eastAsia"/>
          <w:color w:val="auto"/>
          <w:highlight w:val="none"/>
        </w:rPr>
        <w:t>技术部分应答索引表</w:t>
      </w:r>
      <w:bookmarkEnd w:id="1120"/>
    </w:p>
    <w:p>
      <w:pPr>
        <w:rPr>
          <w:color w:val="auto"/>
          <w:highlight w:val="none"/>
        </w:rPr>
      </w:pPr>
    </w:p>
    <w:tbl>
      <w:tblPr>
        <w:tblStyle w:val="83"/>
        <w:tblW w:w="8835" w:type="dxa"/>
        <w:jc w:val="center"/>
        <w:tblLayout w:type="fixed"/>
        <w:tblCellMar>
          <w:top w:w="0" w:type="dxa"/>
          <w:left w:w="108" w:type="dxa"/>
          <w:bottom w:w="0" w:type="dxa"/>
          <w:right w:w="108" w:type="dxa"/>
        </w:tblCellMar>
      </w:tblPr>
      <w:tblGrid>
        <w:gridCol w:w="1129"/>
        <w:gridCol w:w="3969"/>
        <w:gridCol w:w="1748"/>
        <w:gridCol w:w="1270"/>
        <w:gridCol w:w="719"/>
      </w:tblGrid>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序号</w:t>
            </w:r>
          </w:p>
        </w:tc>
        <w:tc>
          <w:tcPr>
            <w:tcW w:w="3969"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项目</w:t>
            </w:r>
          </w:p>
        </w:tc>
        <w:tc>
          <w:tcPr>
            <w:tcW w:w="1748"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供应商应答内容</w:t>
            </w:r>
          </w:p>
        </w:tc>
        <w:tc>
          <w:tcPr>
            <w:tcW w:w="1270"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在响应文件中所在页码</w:t>
            </w:r>
          </w:p>
        </w:tc>
        <w:tc>
          <w:tcPr>
            <w:tcW w:w="719" w:type="dxa"/>
            <w:tcBorders>
              <w:top w:val="single" w:color="000000" w:sz="4" w:space="0"/>
              <w:left w:val="nil"/>
              <w:bottom w:val="single" w:color="000000" w:sz="4" w:space="0"/>
              <w:right w:val="single" w:color="000000" w:sz="4" w:space="0"/>
            </w:tcBorders>
            <w:vAlign w:val="center"/>
          </w:tcPr>
          <w:p>
            <w:pPr>
              <w:spacing w:line="240" w:lineRule="exact"/>
              <w:jc w:val="center"/>
              <w:rPr>
                <w:rFonts w:ascii="微软雅黑"/>
                <w:b/>
                <w:color w:val="auto"/>
                <w:kern w:val="0"/>
                <w:szCs w:val="21"/>
                <w:highlight w:val="none"/>
                <w:lang w:val="en-US"/>
              </w:rPr>
            </w:pPr>
            <w:r>
              <w:rPr>
                <w:rFonts w:hint="eastAsia" w:ascii="微软雅黑" w:hAnsi="微软雅黑"/>
                <w:b/>
                <w:color w:val="auto"/>
                <w:kern w:val="0"/>
                <w:szCs w:val="21"/>
                <w:highlight w:val="none"/>
                <w:lang w:val="en-US"/>
              </w:rPr>
              <w:t>备注</w:t>
            </w: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pStyle w:val="178"/>
              <w:numPr>
                <w:ilvl w:val="0"/>
                <w:numId w:val="58"/>
              </w:numPr>
              <w:ind w:left="0" w:firstLine="0" w:firstLineChars="0"/>
              <w:jc w:val="center"/>
              <w:rPr>
                <w:rFonts w:ascii="微软雅黑"/>
                <w:color w:val="auto"/>
                <w:kern w:val="0"/>
                <w:szCs w:val="21"/>
                <w:highlight w:val="none"/>
                <w:lang w:val="en-US"/>
              </w:rPr>
            </w:pPr>
          </w:p>
        </w:tc>
        <w:tc>
          <w:tcPr>
            <w:tcW w:w="3969" w:type="dxa"/>
            <w:tcBorders>
              <w:top w:val="single" w:color="000000" w:sz="4" w:space="0"/>
              <w:left w:val="nil"/>
              <w:bottom w:val="single" w:color="000000" w:sz="4" w:space="0"/>
              <w:right w:val="single" w:color="000000" w:sz="4" w:space="0"/>
            </w:tcBorders>
          </w:tcPr>
          <w:p>
            <w:pPr>
              <w:pStyle w:val="77"/>
              <w:rPr>
                <w:rFonts w:ascii="微软雅黑" w:hAnsi="微软雅黑" w:eastAsia="微软雅黑"/>
                <w:color w:val="auto"/>
                <w:sz w:val="21"/>
                <w:szCs w:val="21"/>
                <w:highlight w:val="none"/>
              </w:rPr>
            </w:pPr>
            <w:r>
              <w:rPr>
                <w:rFonts w:hint="eastAsia" w:ascii="微软雅黑" w:hAnsi="微软雅黑" w:eastAsia="微软雅黑"/>
                <w:bCs/>
                <w:color w:val="auto"/>
                <w:sz w:val="21"/>
                <w:szCs w:val="21"/>
                <w:highlight w:val="none"/>
                <w:lang w:val="zh-CN"/>
              </w:rPr>
              <w:t>施工组织设计</w:t>
            </w: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r>
              <w:rPr>
                <w:rFonts w:hint="eastAsia" w:ascii="微软雅黑" w:hAnsi="微软雅黑"/>
                <w:color w:val="auto"/>
                <w:szCs w:val="22"/>
                <w:highlight w:val="none"/>
              </w:rPr>
              <w:t>有或没有</w:t>
            </w: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u w:val="singl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u w:val="singl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pStyle w:val="178"/>
              <w:numPr>
                <w:ilvl w:val="0"/>
                <w:numId w:val="58"/>
              </w:numPr>
              <w:ind w:left="0" w:firstLine="0" w:firstLineChars="0"/>
              <w:jc w:val="center"/>
              <w:rPr>
                <w:rFonts w:ascii="微软雅黑"/>
                <w:color w:val="auto"/>
                <w:kern w:val="0"/>
                <w:szCs w:val="21"/>
                <w:highlight w:val="none"/>
                <w:lang w:val="en-US"/>
              </w:rPr>
            </w:pPr>
          </w:p>
        </w:tc>
        <w:tc>
          <w:tcPr>
            <w:tcW w:w="3969" w:type="dxa"/>
            <w:tcBorders>
              <w:top w:val="single" w:color="000000" w:sz="4" w:space="0"/>
              <w:left w:val="nil"/>
              <w:bottom w:val="single" w:color="000000" w:sz="4" w:space="0"/>
              <w:right w:val="single" w:color="000000" w:sz="4" w:space="0"/>
            </w:tcBorders>
          </w:tcPr>
          <w:p>
            <w:pPr>
              <w:pStyle w:val="77"/>
              <w:rPr>
                <w:rFonts w:ascii="微软雅黑" w:hAnsi="微软雅黑" w:eastAsia="微软雅黑"/>
                <w:color w:val="auto"/>
                <w:sz w:val="21"/>
                <w:szCs w:val="21"/>
                <w:highlight w:val="none"/>
              </w:rPr>
            </w:pP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r>
        <w:tblPrEx>
          <w:tblCellMar>
            <w:top w:w="0" w:type="dxa"/>
            <w:left w:w="108" w:type="dxa"/>
            <w:bottom w:w="0" w:type="dxa"/>
            <w:right w:w="108" w:type="dxa"/>
          </w:tblCellMar>
        </w:tblPrEx>
        <w:trPr>
          <w:jc w:val="center"/>
        </w:trPr>
        <w:tc>
          <w:tcPr>
            <w:tcW w:w="1129" w:type="dxa"/>
            <w:tcBorders>
              <w:top w:val="single" w:color="000000" w:sz="4" w:space="0"/>
              <w:left w:val="single" w:color="000000" w:sz="4" w:space="0"/>
              <w:bottom w:val="single" w:color="000000" w:sz="4" w:space="0"/>
              <w:right w:val="single" w:color="000000" w:sz="4" w:space="0"/>
            </w:tcBorders>
          </w:tcPr>
          <w:p>
            <w:pPr>
              <w:jc w:val="center"/>
              <w:rPr>
                <w:rFonts w:ascii="微软雅黑" w:hAnsi="微软雅黑"/>
                <w:color w:val="auto"/>
                <w:kern w:val="0"/>
                <w:szCs w:val="21"/>
                <w:highlight w:val="none"/>
              </w:rPr>
            </w:pPr>
            <w:r>
              <w:rPr>
                <w:rFonts w:ascii="微软雅黑" w:hAnsi="微软雅黑"/>
                <w:color w:val="auto"/>
                <w:kern w:val="0"/>
                <w:szCs w:val="21"/>
                <w:highlight w:val="none"/>
              </w:rPr>
              <w:t>……</w:t>
            </w:r>
          </w:p>
        </w:tc>
        <w:tc>
          <w:tcPr>
            <w:tcW w:w="3969" w:type="dxa"/>
            <w:tcBorders>
              <w:top w:val="single" w:color="000000" w:sz="4" w:space="0"/>
              <w:left w:val="nil"/>
              <w:bottom w:val="single" w:color="000000" w:sz="4" w:space="0"/>
              <w:right w:val="single" w:color="000000" w:sz="4" w:space="0"/>
            </w:tcBorders>
          </w:tcPr>
          <w:p>
            <w:pPr>
              <w:pStyle w:val="77"/>
              <w:rPr>
                <w:rFonts w:ascii="微软雅黑" w:hAnsi="微软雅黑" w:eastAsia="微软雅黑"/>
                <w:caps/>
                <w:color w:val="auto"/>
                <w:sz w:val="21"/>
                <w:szCs w:val="21"/>
                <w:highlight w:val="none"/>
              </w:rPr>
            </w:pPr>
          </w:p>
        </w:tc>
        <w:tc>
          <w:tcPr>
            <w:tcW w:w="1748" w:type="dxa"/>
            <w:tcBorders>
              <w:top w:val="single" w:color="000000" w:sz="4" w:space="0"/>
              <w:left w:val="nil"/>
              <w:bottom w:val="single" w:color="000000" w:sz="4" w:space="0"/>
              <w:right w:val="single" w:color="000000" w:sz="4" w:space="0"/>
            </w:tcBorders>
          </w:tcPr>
          <w:p>
            <w:pPr>
              <w:spacing w:line="240" w:lineRule="exact"/>
              <w:jc w:val="center"/>
              <w:rPr>
                <w:rFonts w:ascii="微软雅黑" w:hAnsi="微软雅黑"/>
                <w:color w:val="auto"/>
                <w:kern w:val="0"/>
                <w:szCs w:val="21"/>
                <w:highlight w:val="none"/>
              </w:rPr>
            </w:pPr>
          </w:p>
        </w:tc>
        <w:tc>
          <w:tcPr>
            <w:tcW w:w="1270"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c>
          <w:tcPr>
            <w:tcW w:w="719" w:type="dxa"/>
            <w:tcBorders>
              <w:top w:val="single" w:color="000000" w:sz="4" w:space="0"/>
              <w:left w:val="nil"/>
              <w:bottom w:val="single" w:color="000000" w:sz="4" w:space="0"/>
              <w:right w:val="single" w:color="000000" w:sz="4" w:space="0"/>
            </w:tcBorders>
          </w:tcPr>
          <w:p>
            <w:pPr>
              <w:spacing w:line="240" w:lineRule="exact"/>
              <w:jc w:val="both"/>
              <w:rPr>
                <w:rFonts w:ascii="微软雅黑"/>
                <w:color w:val="auto"/>
                <w:kern w:val="0"/>
                <w:szCs w:val="21"/>
                <w:highlight w:val="none"/>
                <w:lang w:val="en-US"/>
              </w:rPr>
            </w:pPr>
          </w:p>
        </w:tc>
      </w:tr>
    </w:tbl>
    <w:p>
      <w:pPr>
        <w:rPr>
          <w:color w:val="auto"/>
          <w:highlight w:val="none"/>
        </w:rPr>
      </w:pPr>
      <w:r>
        <w:rPr>
          <w:rFonts w:hint="eastAsia"/>
          <w:color w:val="auto"/>
          <w:highlight w:val="none"/>
        </w:rPr>
        <w:t>注：上表内容可根据项目具体情况及供应商响应内容增加行数。</w:t>
      </w:r>
    </w:p>
    <w:p>
      <w:pPr>
        <w:rPr>
          <w:color w:val="auto"/>
          <w:highlight w:val="none"/>
        </w:rPr>
      </w:pPr>
    </w:p>
    <w:p>
      <w:pPr>
        <w:rPr>
          <w:color w:val="auto"/>
          <w:highlight w:val="none"/>
        </w:rPr>
      </w:pPr>
    </w:p>
    <w:p>
      <w:pPr>
        <w:rPr>
          <w:color w:val="auto"/>
          <w:highlight w:val="none"/>
        </w:rPr>
      </w:pPr>
    </w:p>
    <w:p>
      <w:pPr>
        <w:pStyle w:val="5"/>
        <w:rPr>
          <w:rFonts w:ascii="Cambria" w:hAnsi="Cambria"/>
          <w:color w:val="auto"/>
          <w:highlight w:val="none"/>
        </w:rPr>
        <w:sectPr>
          <w:pgSz w:w="11907" w:h="16839"/>
          <w:pgMar w:top="1928" w:right="1531" w:bottom="1871" w:left="1531" w:header="1148" w:footer="709" w:gutter="0"/>
          <w:cols w:space="720" w:num="1"/>
          <w:docGrid w:linePitch="360" w:charSpace="0"/>
        </w:sectPr>
      </w:pPr>
    </w:p>
    <w:bookmarkEnd w:id="1121"/>
    <w:bookmarkEnd w:id="1122"/>
    <w:p>
      <w:pPr>
        <w:pStyle w:val="5"/>
        <w:numPr>
          <w:ilvl w:val="0"/>
          <w:numId w:val="57"/>
        </w:numPr>
        <w:rPr>
          <w:color w:val="auto"/>
          <w:highlight w:val="none"/>
        </w:rPr>
      </w:pPr>
      <w:bookmarkStart w:id="1123" w:name="_Hlk38544041"/>
      <w:bookmarkStart w:id="1124" w:name="_Toc5339"/>
      <w:bookmarkStart w:id="1125" w:name="_Ref462505471"/>
      <w:r>
        <w:rPr>
          <w:rFonts w:hint="eastAsia"/>
          <w:color w:val="auto"/>
          <w:highlight w:val="none"/>
        </w:rPr>
        <w:t>施工组织设计</w:t>
      </w:r>
      <w:bookmarkEnd w:id="1123"/>
      <w:bookmarkEnd w:id="1124"/>
    </w:p>
    <w:p>
      <w:pPr>
        <w:jc w:val="center"/>
        <w:rPr>
          <w:color w:val="auto"/>
          <w:highlight w:val="none"/>
        </w:rPr>
      </w:pPr>
    </w:p>
    <w:bookmarkEnd w:id="1125"/>
    <w:p>
      <w:pPr>
        <w:snapToGrid w:val="0"/>
        <w:rPr>
          <w:rFonts w:ascii="微软雅黑" w:hAnsi="微软雅黑"/>
          <w:color w:val="auto"/>
          <w:highlight w:val="none"/>
        </w:rPr>
      </w:pPr>
    </w:p>
    <w:p>
      <w:pPr>
        <w:spacing w:line="240" w:lineRule="exact"/>
        <w:ind w:firstLine="2415" w:firstLineChars="1150"/>
        <w:rPr>
          <w:color w:val="auto"/>
          <w:highlight w:val="none"/>
        </w:rPr>
        <w:sectPr>
          <w:pgSz w:w="11907" w:h="16839"/>
          <w:pgMar w:top="1928" w:right="1531" w:bottom="1871" w:left="1531" w:header="1148" w:footer="709" w:gutter="0"/>
          <w:cols w:space="720" w:num="1"/>
          <w:docGrid w:linePitch="360" w:charSpace="0"/>
        </w:sectPr>
      </w:pPr>
    </w:p>
    <w:p>
      <w:pPr>
        <w:pStyle w:val="5"/>
        <w:numPr>
          <w:ilvl w:val="0"/>
          <w:numId w:val="57"/>
        </w:numPr>
        <w:rPr>
          <w:color w:val="auto"/>
          <w:highlight w:val="none"/>
          <w:lang w:val="en-US"/>
        </w:rPr>
      </w:pPr>
      <w:bookmarkStart w:id="1126" w:name="_Toc22460"/>
      <w:bookmarkStart w:id="1127" w:name="_Hlk38544056"/>
      <w:r>
        <w:rPr>
          <w:rFonts w:hint="eastAsia"/>
          <w:color w:val="auto"/>
          <w:highlight w:val="none"/>
        </w:rPr>
        <w:t>供应商认为需要提供的其他技术资料</w:t>
      </w:r>
      <w:bookmarkEnd w:id="1093"/>
      <w:bookmarkEnd w:id="1126"/>
      <w:bookmarkEnd w:id="1127"/>
    </w:p>
    <w:sectPr>
      <w:pgSz w:w="11907" w:h="16839"/>
      <w:pgMar w:top="1928" w:right="1531" w:bottom="1871" w:left="1531" w:header="114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serif">
    <w:altName w:val="Calibri"/>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10" w:usb3="00000000" w:csb0="00040000" w:csb1="00000000"/>
  </w:font>
  <w:font w:name="Malgun Gothic Semilight">
    <w:panose1 w:val="020B0502040204020203"/>
    <w:charset w:val="86"/>
    <w:family w:val="swiss"/>
    <w:pitch w:val="default"/>
    <w:sig w:usb0="900002AF" w:usb1="01D77CFB" w:usb2="00000012" w:usb3="00000000" w:csb0="203E01BD" w:csb1="D7FF0000"/>
  </w:font>
  <w:font w:name="华文中宋">
    <w:altName w:val="宋体"/>
    <w:panose1 w:val="02010600040101010101"/>
    <w:charset w:val="86"/>
    <w:family w:val="auto"/>
    <w:pitch w:val="default"/>
    <w:sig w:usb0="00000000" w:usb1="00000000" w:usb2="00000000" w:usb3="00000000" w:csb0="0004009F" w:csb1="DFD7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3-Identity-H">
    <w:altName w:val="宋体"/>
    <w:panose1 w:val="00000000000000000000"/>
    <w:charset w:val="86"/>
    <w:family w:val="auto"/>
    <w:pitch w:val="default"/>
    <w:sig w:usb0="00000000" w:usb1="00000000" w:usb2="00000010" w:usb3="00000000" w:csb0="00040000" w:csb1="00000000"/>
  </w:font>
  <w:font w:name="font2-Identity-H">
    <w:altName w:val="宋体"/>
    <w:panose1 w:val="00000000000000000000"/>
    <w:charset w:val="86"/>
    <w:family w:val="auto"/>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right" w:pos="8967"/>
      </w:tabs>
      <w:jc w:val="right"/>
      <w:rPr>
        <w:rFonts w:ascii="微软雅黑"/>
      </w:rPr>
    </w:pPr>
    <w:r>
      <w:rPr>
        <w:rFonts w:hint="eastAsia" w:ascii="微软雅黑" w:hAnsi="微软雅黑"/>
      </w:rPr>
      <w:t>第</w:t>
    </w:r>
    <w:r>
      <w:rPr>
        <w:rFonts w:ascii="微软雅黑" w:hAnsi="微软雅黑"/>
      </w:rPr>
      <w:t xml:space="preserve"> </w:t>
    </w:r>
    <w:r>
      <w:rPr>
        <w:rFonts w:ascii="微软雅黑" w:hAnsi="微软雅黑"/>
      </w:rPr>
      <w:fldChar w:fldCharType="begin"/>
    </w:r>
    <w:r>
      <w:rPr>
        <w:rFonts w:ascii="微软雅黑" w:hAnsi="微软雅黑"/>
      </w:rPr>
      <w:instrText xml:space="preserve">page</w:instrText>
    </w:r>
    <w:r>
      <w:rPr>
        <w:rFonts w:ascii="微软雅黑" w:hAnsi="微软雅黑"/>
      </w:rPr>
      <w:fldChar w:fldCharType="separate"/>
    </w:r>
    <w:r>
      <w:rPr>
        <w:rFonts w:ascii="微软雅黑" w:hAnsi="微软雅黑"/>
      </w:rPr>
      <w:t>73</w:t>
    </w:r>
    <w:r>
      <w:rPr>
        <w:rFonts w:ascii="微软雅黑" w:hAnsi="微软雅黑"/>
      </w:rPr>
      <w:fldChar w:fldCharType="end"/>
    </w:r>
    <w:r>
      <w:rPr>
        <w:rFonts w:ascii="微软雅黑" w:hAnsi="微软雅黑"/>
      </w:rPr>
      <w:t xml:space="preserve"> </w:t>
    </w:r>
    <w:r>
      <w:rPr>
        <w:rFonts w:hint="eastAsia" w:ascii="微软雅黑" w:hAnsi="微软雅黑"/>
      </w:rPr>
      <w:t>页</w:t>
    </w:r>
    <w:r>
      <w:rPr>
        <w:rFonts w:ascii="微软雅黑" w:hAnsi="微软雅黑"/>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right" w:pos="8967"/>
      </w:tabs>
      <w:rPr>
        <w:rFonts w:ascii="微软雅黑"/>
      </w:rPr>
    </w:pPr>
    <w:r>
      <w:rPr>
        <w:rFonts w:hint="eastAsia" w:ascii="微软雅黑" w:hAnsi="微软雅黑"/>
      </w:rPr>
      <w:t>第</w:t>
    </w:r>
    <w:r>
      <w:rPr>
        <w:rFonts w:ascii="微软雅黑" w:hAnsi="微软雅黑"/>
      </w:rPr>
      <w:t xml:space="preserve"> </w:t>
    </w:r>
    <w:r>
      <w:rPr>
        <w:rFonts w:ascii="微软雅黑" w:hAnsi="微软雅黑"/>
      </w:rPr>
      <w:fldChar w:fldCharType="begin"/>
    </w:r>
    <w:r>
      <w:rPr>
        <w:rFonts w:ascii="微软雅黑" w:hAnsi="微软雅黑"/>
      </w:rPr>
      <w:instrText xml:space="preserve">page</w:instrText>
    </w:r>
    <w:r>
      <w:rPr>
        <w:rFonts w:ascii="微软雅黑" w:hAnsi="微软雅黑"/>
      </w:rPr>
      <w:fldChar w:fldCharType="separate"/>
    </w:r>
    <w:r>
      <w:rPr>
        <w:rFonts w:ascii="微软雅黑" w:hAnsi="微软雅黑"/>
      </w:rPr>
      <w:t>70</w:t>
    </w:r>
    <w:r>
      <w:rPr>
        <w:rFonts w:ascii="微软雅黑" w:hAnsi="微软雅黑"/>
      </w:rPr>
      <w:fldChar w:fldCharType="end"/>
    </w:r>
    <w:r>
      <w:rPr>
        <w:rFonts w:ascii="微软雅黑" w:hAnsi="微软雅黑"/>
      </w:rPr>
      <w:t xml:space="preserve"> </w:t>
    </w:r>
    <w:r>
      <w:rPr>
        <w:rFonts w:hint="eastAsia" w:ascii="微软雅黑" w:hAnsi="微软雅黑"/>
      </w:rPr>
      <w:t>页</w:t>
    </w:r>
    <w:r>
      <w:rPr>
        <w:rFonts w:ascii="微软雅黑"/>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center" w:pos="4153"/>
        <w:tab w:val="right" w:pos="8306"/>
      </w:tabs>
      <w:jc w:val="both"/>
      <w:rPr>
        <w:rFonts w:eastAsia="仿宋_GB2312"/>
        <w:sz w:val="24"/>
      </w:rPr>
    </w:pPr>
    <w:r>
      <w:rPr>
        <w:sz w:val="24"/>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path/>
          <v:fill on="f" focussize="0,0"/>
          <v:stroke on="f" weight="0.5pt" joinstyle="miter"/>
          <v:imagedata o:title=""/>
          <o:lock v:ext="edit"/>
          <v:textbox inset="0mm,0mm,0mm,0mm" style="mso-fit-shape-to-text:t;">
            <w:txbxContent>
              <w:p>
                <w:pPr>
                  <w:pStyle w:val="53"/>
                  <w:tabs>
                    <w:tab w:val="center" w:pos="4153"/>
                    <w:tab w:val="right" w:pos="8306"/>
                  </w:tabs>
                </w:pPr>
                <w:r>
                  <w:fldChar w:fldCharType="begin"/>
                </w:r>
                <w:r>
                  <w:instrText xml:space="preserve"> PAGE  \* MERGEFORMAT </w:instrText>
                </w:r>
                <w:r>
                  <w:fldChar w:fldCharType="separate"/>
                </w:r>
                <w:r>
                  <w:t>195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path/>
          <v:fill on="f" focussize="0,0"/>
          <v:stroke on="f" weight="0.5pt" joinstyle="miter"/>
          <v:imagedata o:title=""/>
          <o:lock v:ext="edit"/>
          <v:textbox inset="0mm,0mm,0mm,0mm" style="mso-fit-shape-to-text:t;">
            <w:txbxContent>
              <w:p>
                <w:pPr>
                  <w:jc w:val="center"/>
                </w:pPr>
                <w:r>
                  <w:fldChar w:fldCharType="begin"/>
                </w:r>
                <w:r>
                  <w:instrText xml:space="preserve"> PAGE  \* MERGEFORMAT </w:instrText>
                </w:r>
                <w:r>
                  <w:fldChar w:fldCharType="separate"/>
                </w:r>
                <w:r>
                  <w:t>81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STYLEREF  "标题 1"  \* MERGEFORMAT </w:instrText>
    </w:r>
    <w:r>
      <w:fldChar w:fldCharType="separate"/>
    </w:r>
    <w:r>
      <w:t>竞争性磋商邀请</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STYLEREF  "标题 1"  \* MERGEFORMAT </w:instrText>
    </w:r>
    <w:r>
      <w:fldChar w:fldCharType="separate"/>
    </w:r>
    <w:r>
      <w:t>竞争性磋商邀请</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EF54F365"/>
    <w:multiLevelType w:val="singleLevel"/>
    <w:tmpl w:val="EF54F365"/>
    <w:lvl w:ilvl="0" w:tentative="0">
      <w:start w:val="1"/>
      <w:numFmt w:val="decimal"/>
      <w:suff w:val="nothing"/>
      <w:lvlText w:val="（%1）"/>
      <w:lvlJc w:val="left"/>
    </w:lvl>
  </w:abstractNum>
  <w:abstractNum w:abstractNumId="2">
    <w:nsid w:val="FFFFFF80"/>
    <w:multiLevelType w:val="singleLevel"/>
    <w:tmpl w:val="FFFFFF80"/>
    <w:lvl w:ilvl="0" w:tentative="0">
      <w:start w:val="1"/>
      <w:numFmt w:val="bullet"/>
      <w:pStyle w:val="44"/>
      <w:lvlText w:val=""/>
      <w:lvlJc w:val="left"/>
      <w:pPr>
        <w:tabs>
          <w:tab w:val="left" w:pos="1800"/>
        </w:tabs>
        <w:ind w:left="1800" w:hanging="360"/>
      </w:pPr>
      <w:rPr>
        <w:rFonts w:hint="default" w:ascii="Symbol" w:hAnsi="Symbol" w:eastAsia="Times New Roman"/>
      </w:rPr>
    </w:lvl>
  </w:abstractNum>
  <w:abstractNum w:abstractNumId="3">
    <w:nsid w:val="FFFFFF81"/>
    <w:multiLevelType w:val="singleLevel"/>
    <w:tmpl w:val="FFFFFF81"/>
    <w:lvl w:ilvl="0" w:tentative="0">
      <w:start w:val="1"/>
      <w:numFmt w:val="bullet"/>
      <w:pStyle w:val="19"/>
      <w:lvlText w:val=""/>
      <w:lvlJc w:val="left"/>
      <w:pPr>
        <w:tabs>
          <w:tab w:val="left" w:pos="1440"/>
        </w:tabs>
        <w:ind w:left="1440" w:hanging="360"/>
      </w:pPr>
      <w:rPr>
        <w:rFonts w:hint="default" w:ascii="Symbol" w:hAnsi="Symbol" w:eastAsia="Times New Roman"/>
      </w:rPr>
    </w:lvl>
  </w:abstractNum>
  <w:abstractNum w:abstractNumId="4">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eastAsia="Times New Roman"/>
      </w:rPr>
    </w:lvl>
  </w:abstractNum>
  <w:abstractNum w:abstractNumId="5">
    <w:nsid w:val="FFFFFF83"/>
    <w:multiLevelType w:val="singleLevel"/>
    <w:tmpl w:val="FFFFFF83"/>
    <w:lvl w:ilvl="0" w:tentative="0">
      <w:start w:val="1"/>
      <w:numFmt w:val="bullet"/>
      <w:pStyle w:val="38"/>
      <w:lvlText w:val=""/>
      <w:lvlJc w:val="left"/>
      <w:pPr>
        <w:tabs>
          <w:tab w:val="left" w:pos="720"/>
        </w:tabs>
        <w:ind w:left="720" w:hanging="360"/>
      </w:pPr>
      <w:rPr>
        <w:rFonts w:hint="default" w:ascii="Symbol" w:hAnsi="Symbol" w:eastAsia="Times New Roman"/>
      </w:rPr>
    </w:lvl>
  </w:abstractNum>
  <w:abstractNum w:abstractNumId="6">
    <w:nsid w:val="FFFFFF89"/>
    <w:multiLevelType w:val="singleLevel"/>
    <w:tmpl w:val="FFFFFF89"/>
    <w:lvl w:ilvl="0" w:tentative="0">
      <w:start w:val="1"/>
      <w:numFmt w:val="bullet"/>
      <w:pStyle w:val="25"/>
      <w:lvlText w:val="•"/>
      <w:lvlJc w:val="left"/>
      <w:pPr>
        <w:ind w:left="360" w:hanging="360"/>
      </w:pPr>
      <w:rPr>
        <w:rFonts w:hint="default" w:ascii="Cambria" w:hAnsi="Cambria" w:eastAsia="Times New Roman"/>
        <w:color w:val="7E97AD"/>
      </w:rPr>
    </w:lvl>
  </w:abstractNum>
  <w:abstractNum w:abstractNumId="7">
    <w:nsid w:val="00000002"/>
    <w:multiLevelType w:val="multilevel"/>
    <w:tmpl w:val="00000002"/>
    <w:lvl w:ilvl="0" w:tentative="0">
      <w:start w:val="1"/>
      <w:numFmt w:val="decimal"/>
      <w:pStyle w:val="18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00000005"/>
    <w:multiLevelType w:val="singleLevel"/>
    <w:tmpl w:val="00000005"/>
    <w:lvl w:ilvl="0" w:tentative="0">
      <w:start w:val="1"/>
      <w:numFmt w:val="decimal"/>
      <w:pStyle w:val="445"/>
      <w:suff w:val="nothing"/>
      <w:lvlText w:val="%1．"/>
      <w:lvlJc w:val="left"/>
      <w:pPr>
        <w:ind w:left="0" w:firstLine="400"/>
      </w:pPr>
      <w:rPr>
        <w:rFonts w:hint="default"/>
      </w:rPr>
    </w:lvl>
  </w:abstractNum>
  <w:abstractNum w:abstractNumId="9">
    <w:nsid w:val="00000006"/>
    <w:multiLevelType w:val="singleLevel"/>
    <w:tmpl w:val="00000006"/>
    <w:lvl w:ilvl="0" w:tentative="0">
      <w:start w:val="1"/>
      <w:numFmt w:val="decimal"/>
      <w:suff w:val="nothing"/>
      <w:lvlText w:val="（%1）"/>
      <w:lvlJc w:val="left"/>
    </w:lvl>
  </w:abstractNum>
  <w:abstractNum w:abstractNumId="10">
    <w:nsid w:val="03405053"/>
    <w:multiLevelType w:val="multilevel"/>
    <w:tmpl w:val="0340505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61624C2"/>
    <w:multiLevelType w:val="multilevel"/>
    <w:tmpl w:val="061624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8D51470"/>
    <w:multiLevelType w:val="multilevel"/>
    <w:tmpl w:val="08D51470"/>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6F6AA4"/>
    <w:multiLevelType w:val="multilevel"/>
    <w:tmpl w:val="0A6F6AA4"/>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ind w:left="567" w:hanging="567"/>
      </w:pPr>
      <w:rPr>
        <w:rFonts w:hint="eastAsia"/>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6" w:hanging="1276"/>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9" w:hanging="1559"/>
      </w:pPr>
      <w:rPr>
        <w:rFonts w:hint="default" w:ascii="Times New Roman" w:hAnsi="Times New Roman" w:cs="Times New Roman"/>
      </w:rPr>
    </w:lvl>
  </w:abstractNum>
  <w:abstractNum w:abstractNumId="14">
    <w:nsid w:val="0D663418"/>
    <w:multiLevelType w:val="multilevel"/>
    <w:tmpl w:val="0D6634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1801883"/>
    <w:multiLevelType w:val="multilevel"/>
    <w:tmpl w:val="11801883"/>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6">
    <w:nsid w:val="192C7065"/>
    <w:multiLevelType w:val="multilevel"/>
    <w:tmpl w:val="192C7065"/>
    <w:lvl w:ilvl="0" w:tentative="0">
      <w:start w:val="1"/>
      <w:numFmt w:val="decimal"/>
      <w:lvlText w:val="（%1）"/>
      <w:lvlJc w:val="left"/>
      <w:pPr>
        <w:ind w:left="575" w:hanging="420"/>
      </w:pPr>
      <w:rPr>
        <w:rFonts w:hint="eastAsia"/>
      </w:rPr>
    </w:lvl>
    <w:lvl w:ilvl="1" w:tentative="0">
      <w:start w:val="1"/>
      <w:numFmt w:val="lowerLetter"/>
      <w:lvlText w:val="%2)"/>
      <w:lvlJc w:val="left"/>
      <w:pPr>
        <w:ind w:left="995" w:hanging="420"/>
      </w:pPr>
    </w:lvl>
    <w:lvl w:ilvl="2" w:tentative="0">
      <w:start w:val="1"/>
      <w:numFmt w:val="lowerRoman"/>
      <w:lvlText w:val="%3."/>
      <w:lvlJc w:val="right"/>
      <w:pPr>
        <w:ind w:left="1415" w:hanging="420"/>
      </w:pPr>
    </w:lvl>
    <w:lvl w:ilvl="3" w:tentative="0">
      <w:start w:val="1"/>
      <w:numFmt w:val="decimal"/>
      <w:lvlText w:val="%4."/>
      <w:lvlJc w:val="left"/>
      <w:pPr>
        <w:ind w:left="1835" w:hanging="420"/>
      </w:pPr>
    </w:lvl>
    <w:lvl w:ilvl="4" w:tentative="0">
      <w:start w:val="1"/>
      <w:numFmt w:val="lowerLetter"/>
      <w:lvlText w:val="%5)"/>
      <w:lvlJc w:val="left"/>
      <w:pPr>
        <w:ind w:left="2255" w:hanging="420"/>
      </w:pPr>
    </w:lvl>
    <w:lvl w:ilvl="5" w:tentative="0">
      <w:start w:val="1"/>
      <w:numFmt w:val="lowerRoman"/>
      <w:lvlText w:val="%6."/>
      <w:lvlJc w:val="right"/>
      <w:pPr>
        <w:ind w:left="2675" w:hanging="420"/>
      </w:pPr>
    </w:lvl>
    <w:lvl w:ilvl="6" w:tentative="0">
      <w:start w:val="1"/>
      <w:numFmt w:val="decimal"/>
      <w:lvlText w:val="%7."/>
      <w:lvlJc w:val="left"/>
      <w:pPr>
        <w:ind w:left="3095" w:hanging="420"/>
      </w:pPr>
    </w:lvl>
    <w:lvl w:ilvl="7" w:tentative="0">
      <w:start w:val="1"/>
      <w:numFmt w:val="lowerLetter"/>
      <w:lvlText w:val="%8)"/>
      <w:lvlJc w:val="left"/>
      <w:pPr>
        <w:ind w:left="3515" w:hanging="420"/>
      </w:pPr>
    </w:lvl>
    <w:lvl w:ilvl="8" w:tentative="0">
      <w:start w:val="1"/>
      <w:numFmt w:val="lowerRoman"/>
      <w:lvlText w:val="%9."/>
      <w:lvlJc w:val="right"/>
      <w:pPr>
        <w:ind w:left="3935" w:hanging="420"/>
      </w:pPr>
    </w:lvl>
  </w:abstractNum>
  <w:abstractNum w:abstractNumId="17">
    <w:nsid w:val="19504923"/>
    <w:multiLevelType w:val="multilevel"/>
    <w:tmpl w:val="19504923"/>
    <w:lvl w:ilvl="0" w:tentative="0">
      <w:start w:val="1"/>
      <w:numFmt w:val="decimal"/>
      <w:lvlText w:val="%1."/>
      <w:lvlJc w:val="left"/>
      <w:pPr>
        <w:ind w:left="420" w:hanging="420"/>
      </w:pPr>
      <w:rPr>
        <w:rFonts w:hint="default" w:ascii="Times New Roman" w:hAnsi="Times New Roman" w:cs="Times New Roman"/>
        <w:color w:val="auto"/>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8">
    <w:nsid w:val="1D836AB0"/>
    <w:multiLevelType w:val="multilevel"/>
    <w:tmpl w:val="1D836AB0"/>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1E19652F"/>
    <w:multiLevelType w:val="multilevel"/>
    <w:tmpl w:val="1E19652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cs="Times New Roman"/>
      </w:rPr>
    </w:lvl>
    <w:lvl w:ilvl="2" w:tentative="0">
      <w:start w:val="1"/>
      <w:numFmt w:val="japaneseCounting"/>
      <w:lvlText w:val="（%3）"/>
      <w:lvlJc w:val="left"/>
      <w:pPr>
        <w:ind w:left="1050" w:hanging="1050"/>
      </w:pPr>
      <w:rPr>
        <w:rFonts w:hint="default"/>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20">
    <w:nsid w:val="229C7868"/>
    <w:multiLevelType w:val="multilevel"/>
    <w:tmpl w:val="229C7868"/>
    <w:lvl w:ilvl="0" w:tentative="0">
      <w:start w:val="1"/>
      <w:numFmt w:val="decimal"/>
      <w:lvlText w:val="%1"/>
      <w:lvlJc w:val="center"/>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7B044BE"/>
    <w:multiLevelType w:val="multilevel"/>
    <w:tmpl w:val="27B044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91837DF"/>
    <w:multiLevelType w:val="multilevel"/>
    <w:tmpl w:val="291837DF"/>
    <w:lvl w:ilvl="0" w:tentative="0">
      <w:start w:val="1"/>
      <w:numFmt w:val="chineseCountingThousand"/>
      <w:lvlText w:val="第%1部分"/>
      <w:lvlJc w:val="left"/>
      <w:pPr>
        <w:ind w:left="1290" w:hanging="1290"/>
      </w:pPr>
      <w:rPr>
        <w:rFonts w:hint="default" w:cs="Times New Roman"/>
      </w:rPr>
    </w:lvl>
    <w:lvl w:ilvl="1" w:tentative="0">
      <w:start w:val="1"/>
      <w:numFmt w:val="japaneseCounting"/>
      <w:lvlText w:val="%2、"/>
      <w:lvlJc w:val="left"/>
      <w:pPr>
        <w:ind w:left="900" w:hanging="48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99B4C64"/>
    <w:multiLevelType w:val="multilevel"/>
    <w:tmpl w:val="299B4C64"/>
    <w:lvl w:ilvl="0" w:tentative="0">
      <w:start w:val="1"/>
      <w:numFmt w:val="chineseCountingThousand"/>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4">
    <w:nsid w:val="2D1C501C"/>
    <w:multiLevelType w:val="multilevel"/>
    <w:tmpl w:val="2D1C50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E8C5DB9"/>
    <w:multiLevelType w:val="multilevel"/>
    <w:tmpl w:val="2E8C5DB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0445C99"/>
    <w:multiLevelType w:val="multilevel"/>
    <w:tmpl w:val="30445C9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ind w:left="567" w:hanging="567"/>
      </w:pPr>
      <w:rPr>
        <w:rFonts w:hint="eastAsia"/>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6" w:hanging="1276"/>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9" w:hanging="1559"/>
      </w:pPr>
      <w:rPr>
        <w:rFonts w:hint="default" w:ascii="Times New Roman" w:hAnsi="Times New Roman" w:cs="Times New Roman"/>
      </w:rPr>
    </w:lvl>
  </w:abstractNum>
  <w:abstractNum w:abstractNumId="27">
    <w:nsid w:val="33A02E45"/>
    <w:multiLevelType w:val="multilevel"/>
    <w:tmpl w:val="33A02E45"/>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4456F78"/>
    <w:multiLevelType w:val="multilevel"/>
    <w:tmpl w:val="34456F7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ind w:left="567" w:hanging="567"/>
      </w:pPr>
      <w:rPr>
        <w:rFonts w:hint="eastAsia"/>
        <w:b w:val="0"/>
        <w:color w:val="auto"/>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6" w:hanging="1276"/>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9" w:hanging="1559"/>
      </w:pPr>
      <w:rPr>
        <w:rFonts w:hint="default" w:ascii="Times New Roman" w:hAnsi="Times New Roman" w:cs="Times New Roman"/>
      </w:rPr>
    </w:lvl>
  </w:abstractNum>
  <w:abstractNum w:abstractNumId="29">
    <w:nsid w:val="367F6A45"/>
    <w:multiLevelType w:val="multilevel"/>
    <w:tmpl w:val="367F6A45"/>
    <w:lvl w:ilvl="0" w:tentative="0">
      <w:start w:val="1"/>
      <w:numFmt w:val="decimal"/>
      <w:pStyle w:val="22"/>
      <w:lvlText w:val="%1."/>
      <w:lvlJc w:val="left"/>
      <w:pPr>
        <w:ind w:left="360" w:hanging="360"/>
      </w:pPr>
      <w:rPr>
        <w:rFonts w:hint="default" w:cs="Times New Roman"/>
      </w:rPr>
    </w:lvl>
    <w:lvl w:ilvl="1" w:tentative="0">
      <w:start w:val="1"/>
      <w:numFmt w:val="decimal"/>
      <w:pStyle w:val="16"/>
      <w:lvlText w:val="%1.%2"/>
      <w:lvlJc w:val="left"/>
      <w:pPr>
        <w:tabs>
          <w:tab w:val="left" w:pos="432"/>
        </w:tabs>
        <w:ind w:left="432" w:hanging="432"/>
      </w:pPr>
      <w:rPr>
        <w:rFonts w:hint="default" w:cs="Times New Roman"/>
      </w:rPr>
    </w:lvl>
    <w:lvl w:ilvl="2" w:tentative="0">
      <w:start w:val="1"/>
      <w:numFmt w:val="lowerLetter"/>
      <w:pStyle w:val="35"/>
      <w:lvlText w:val="%3."/>
      <w:lvlJc w:val="left"/>
      <w:pPr>
        <w:ind w:left="792" w:hanging="360"/>
      </w:pPr>
      <w:rPr>
        <w:rFonts w:hint="default" w:cs="Times New Roman"/>
      </w:rPr>
    </w:lvl>
    <w:lvl w:ilvl="3" w:tentative="0">
      <w:start w:val="1"/>
      <w:numFmt w:val="lowerRoman"/>
      <w:pStyle w:val="45"/>
      <w:lvlText w:val="%4."/>
      <w:lvlJc w:val="left"/>
      <w:pPr>
        <w:ind w:left="1152" w:hanging="360"/>
      </w:pPr>
      <w:rPr>
        <w:rFonts w:hint="default" w:cs="Times New Roman"/>
      </w:rPr>
    </w:lvl>
    <w:lvl w:ilvl="4" w:tentative="0">
      <w:start w:val="1"/>
      <w:numFmt w:val="lowerLetter"/>
      <w:pStyle w:val="62"/>
      <w:lvlText w:val="(%5)"/>
      <w:lvlJc w:val="left"/>
      <w:pPr>
        <w:ind w:left="1512" w:hanging="360"/>
      </w:pPr>
      <w:rPr>
        <w:rFonts w:hint="default" w:cs="Times New Roman"/>
      </w:rPr>
    </w:lvl>
    <w:lvl w:ilvl="5" w:tentative="0">
      <w:start w:val="1"/>
      <w:numFmt w:val="lowerRoman"/>
      <w:lvlText w:val="(%6)"/>
      <w:lvlJc w:val="left"/>
      <w:pPr>
        <w:ind w:left="1872" w:hanging="360"/>
      </w:pPr>
      <w:rPr>
        <w:rFonts w:hint="default" w:cs="Times New Roman"/>
      </w:rPr>
    </w:lvl>
    <w:lvl w:ilvl="6" w:tentative="0">
      <w:start w:val="1"/>
      <w:numFmt w:val="decimal"/>
      <w:lvlText w:val="%7."/>
      <w:lvlJc w:val="left"/>
      <w:pPr>
        <w:ind w:left="2232" w:hanging="360"/>
      </w:pPr>
      <w:rPr>
        <w:rFonts w:hint="default" w:cs="Times New Roman"/>
      </w:rPr>
    </w:lvl>
    <w:lvl w:ilvl="7" w:tentative="0">
      <w:start w:val="1"/>
      <w:numFmt w:val="lowerLetter"/>
      <w:lvlText w:val="%8."/>
      <w:lvlJc w:val="left"/>
      <w:pPr>
        <w:ind w:left="2592" w:hanging="360"/>
      </w:pPr>
      <w:rPr>
        <w:rFonts w:hint="default" w:cs="Times New Roman"/>
      </w:rPr>
    </w:lvl>
    <w:lvl w:ilvl="8" w:tentative="0">
      <w:start w:val="1"/>
      <w:numFmt w:val="lowerRoman"/>
      <w:lvlText w:val="%9."/>
      <w:lvlJc w:val="left"/>
      <w:pPr>
        <w:ind w:left="2952" w:hanging="360"/>
      </w:pPr>
      <w:rPr>
        <w:rFonts w:hint="default" w:cs="Times New Roman"/>
      </w:rPr>
    </w:lvl>
  </w:abstractNum>
  <w:abstractNum w:abstractNumId="30">
    <w:nsid w:val="415D467C"/>
    <w:multiLevelType w:val="multilevel"/>
    <w:tmpl w:val="415D467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92A18B1"/>
    <w:multiLevelType w:val="multilevel"/>
    <w:tmpl w:val="492A18B1"/>
    <w:lvl w:ilvl="0" w:tentative="0">
      <w:start w:val="1"/>
      <w:numFmt w:val="chineseCountingThousand"/>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4BF36270"/>
    <w:multiLevelType w:val="multilevel"/>
    <w:tmpl w:val="4BF36270"/>
    <w:lvl w:ilvl="0" w:tentative="0">
      <w:start w:val="1"/>
      <w:numFmt w:val="decimal"/>
      <w:lvlText w:val="%1."/>
      <w:lvlJc w:val="left"/>
      <w:pPr>
        <w:ind w:left="425" w:hanging="425"/>
      </w:pPr>
      <w:rPr>
        <w:rFonts w:hint="default" w:ascii="Times New Roman" w:hAnsi="Times New Roman" w:cs="Times New Roman"/>
        <w:b/>
      </w:rPr>
    </w:lvl>
    <w:lvl w:ilvl="1" w:tentative="0">
      <w:start w:val="1"/>
      <w:numFmt w:val="decimal"/>
      <w:lvlText w:val="%1.%2."/>
      <w:lvlJc w:val="left"/>
      <w:pPr>
        <w:ind w:left="567" w:hanging="567"/>
      </w:pPr>
      <w:rPr>
        <w:rFonts w:hint="default" w:ascii="Times New Roman" w:hAnsi="Times New Roman" w:cs="Times New Roman"/>
        <w:b w:val="0"/>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6" w:hanging="1276"/>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9" w:hanging="1559"/>
      </w:pPr>
      <w:rPr>
        <w:rFonts w:hint="default" w:ascii="Times New Roman" w:hAnsi="Times New Roman" w:cs="Times New Roman"/>
      </w:rPr>
    </w:lvl>
  </w:abstractNum>
  <w:abstractNum w:abstractNumId="33">
    <w:nsid w:val="4EED328B"/>
    <w:multiLevelType w:val="singleLevel"/>
    <w:tmpl w:val="4EED328B"/>
    <w:lvl w:ilvl="0" w:tentative="0">
      <w:start w:val="6"/>
      <w:numFmt w:val="decimal"/>
      <w:lvlText w:val="%1."/>
      <w:lvlJc w:val="left"/>
      <w:pPr>
        <w:tabs>
          <w:tab w:val="left" w:pos="312"/>
        </w:tabs>
      </w:pPr>
    </w:lvl>
  </w:abstractNum>
  <w:abstractNum w:abstractNumId="34">
    <w:nsid w:val="4F053409"/>
    <w:multiLevelType w:val="multilevel"/>
    <w:tmpl w:val="4F053409"/>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F5A7758"/>
    <w:multiLevelType w:val="multilevel"/>
    <w:tmpl w:val="4F5A775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17664A1"/>
    <w:multiLevelType w:val="multilevel"/>
    <w:tmpl w:val="517664A1"/>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7">
    <w:nsid w:val="54CB3296"/>
    <w:multiLevelType w:val="multilevel"/>
    <w:tmpl w:val="54CB329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8CF71B9"/>
    <w:multiLevelType w:val="singleLevel"/>
    <w:tmpl w:val="58CF71B9"/>
    <w:lvl w:ilvl="0" w:tentative="0">
      <w:start w:val="1"/>
      <w:numFmt w:val="chineseCounting"/>
      <w:suff w:val="nothing"/>
      <w:lvlText w:val="（%1）"/>
      <w:lvlJc w:val="left"/>
      <w:pPr>
        <w:ind w:left="150"/>
      </w:pPr>
    </w:lvl>
  </w:abstractNum>
  <w:abstractNum w:abstractNumId="39">
    <w:nsid w:val="58CF7217"/>
    <w:multiLevelType w:val="singleLevel"/>
    <w:tmpl w:val="58CF7217"/>
    <w:lvl w:ilvl="0" w:tentative="0">
      <w:start w:val="1"/>
      <w:numFmt w:val="chineseCounting"/>
      <w:suff w:val="nothing"/>
      <w:lvlText w:val="（%1）"/>
      <w:lvlJc w:val="left"/>
      <w:pPr>
        <w:ind w:left="-60"/>
      </w:pPr>
    </w:lvl>
  </w:abstractNum>
  <w:abstractNum w:abstractNumId="40">
    <w:nsid w:val="58CF726B"/>
    <w:multiLevelType w:val="singleLevel"/>
    <w:tmpl w:val="58CF726B"/>
    <w:lvl w:ilvl="0" w:tentative="0">
      <w:start w:val="1"/>
      <w:numFmt w:val="chineseCounting"/>
      <w:suff w:val="nothing"/>
      <w:lvlText w:val="（%1）"/>
      <w:lvlJc w:val="left"/>
    </w:lvl>
  </w:abstractNum>
  <w:abstractNum w:abstractNumId="41">
    <w:nsid w:val="58CF7294"/>
    <w:multiLevelType w:val="singleLevel"/>
    <w:tmpl w:val="58CF7294"/>
    <w:lvl w:ilvl="0" w:tentative="0">
      <w:start w:val="1"/>
      <w:numFmt w:val="chineseCounting"/>
      <w:suff w:val="nothing"/>
      <w:lvlText w:val="（%1）"/>
      <w:lvlJc w:val="left"/>
    </w:lvl>
  </w:abstractNum>
  <w:abstractNum w:abstractNumId="42">
    <w:nsid w:val="58CF7957"/>
    <w:multiLevelType w:val="singleLevel"/>
    <w:tmpl w:val="58CF7957"/>
    <w:lvl w:ilvl="0" w:tentative="0">
      <w:start w:val="1"/>
      <w:numFmt w:val="chineseCounting"/>
      <w:suff w:val="nothing"/>
      <w:lvlText w:val="（%1）"/>
      <w:lvlJc w:val="left"/>
    </w:lvl>
  </w:abstractNum>
  <w:abstractNum w:abstractNumId="43">
    <w:nsid w:val="58CF7E1F"/>
    <w:multiLevelType w:val="multilevel"/>
    <w:tmpl w:val="58CF7E1F"/>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4">
    <w:nsid w:val="5A762ED7"/>
    <w:multiLevelType w:val="multilevel"/>
    <w:tmpl w:val="5A762ED7"/>
    <w:lvl w:ilvl="0" w:tentative="0">
      <w:start w:val="1"/>
      <w:numFmt w:val="decimal"/>
      <w:lvlText w:val="%1"/>
      <w:lvlJc w:val="center"/>
      <w:pPr>
        <w:ind w:left="420" w:hanging="420"/>
      </w:pPr>
      <w:rPr>
        <w:rFonts w:hint="eastAsia"/>
      </w:rPr>
    </w:lvl>
    <w:lvl w:ilvl="1" w:tentative="0">
      <w:start w:val="1"/>
      <w:numFmt w:val="lowerLetter"/>
      <w:lvlText w:val="%2)"/>
      <w:lvlJc w:val="left"/>
      <w:pPr>
        <w:ind w:left="874"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C492AE1"/>
    <w:multiLevelType w:val="multilevel"/>
    <w:tmpl w:val="5C492AE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66951D44"/>
    <w:multiLevelType w:val="multilevel"/>
    <w:tmpl w:val="66951D44"/>
    <w:lvl w:ilvl="0" w:tentative="0">
      <w:start w:val="1"/>
      <w:numFmt w:val="decimal"/>
      <w:lvlText w:val="(%1)"/>
      <w:lvlJc w:val="left"/>
      <w:pPr>
        <w:ind w:left="1554"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6C71ACF"/>
    <w:multiLevelType w:val="multilevel"/>
    <w:tmpl w:val="66C71ACF"/>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66D96FC4"/>
    <w:multiLevelType w:val="multilevel"/>
    <w:tmpl w:val="66D96FC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B0B567E"/>
    <w:multiLevelType w:val="multilevel"/>
    <w:tmpl w:val="6B0B567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50">
    <w:nsid w:val="6B22420F"/>
    <w:multiLevelType w:val="multilevel"/>
    <w:tmpl w:val="6B22420F"/>
    <w:lvl w:ilvl="0" w:tentative="0">
      <w:start w:val="1"/>
      <w:numFmt w:val="decimal"/>
      <w:pStyle w:val="34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E92200D"/>
    <w:multiLevelType w:val="multilevel"/>
    <w:tmpl w:val="6E92200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0427334"/>
    <w:multiLevelType w:val="multilevel"/>
    <w:tmpl w:val="7042733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53">
    <w:nsid w:val="707E6C9B"/>
    <w:multiLevelType w:val="multilevel"/>
    <w:tmpl w:val="707E6C9B"/>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10B02AF"/>
    <w:multiLevelType w:val="multilevel"/>
    <w:tmpl w:val="710B02AF"/>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5">
    <w:nsid w:val="785B03B3"/>
    <w:multiLevelType w:val="multilevel"/>
    <w:tmpl w:val="785B03B3"/>
    <w:lvl w:ilvl="0" w:tentative="0">
      <w:start w:val="1"/>
      <w:numFmt w:val="decimal"/>
      <w:lvlText w:val="（%1）"/>
      <w:lvlJc w:val="left"/>
      <w:pPr>
        <w:ind w:left="840" w:hanging="420"/>
      </w:pPr>
      <w:rPr>
        <w:rFonts w:hint="eastAsia"/>
        <w:b w:val="0"/>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56">
    <w:nsid w:val="7D9A5DFC"/>
    <w:multiLevelType w:val="multilevel"/>
    <w:tmpl w:val="7D9A5DFC"/>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9"/>
  </w:num>
  <w:num w:numId="2">
    <w:abstractNumId w:val="3"/>
  </w:num>
  <w:num w:numId="3">
    <w:abstractNumId w:val="6"/>
  </w:num>
  <w:num w:numId="4">
    <w:abstractNumId w:val="4"/>
  </w:num>
  <w:num w:numId="5">
    <w:abstractNumId w:val="5"/>
  </w:num>
  <w:num w:numId="6">
    <w:abstractNumId w:val="2"/>
  </w:num>
  <w:num w:numId="7">
    <w:abstractNumId w:val="7"/>
  </w:num>
  <w:num w:numId="8">
    <w:abstractNumId w:val="50"/>
  </w:num>
  <w:num w:numId="9">
    <w:abstractNumId w:val="8"/>
  </w:num>
  <w:num w:numId="10">
    <w:abstractNumId w:val="22"/>
  </w:num>
  <w:num w:numId="11">
    <w:abstractNumId w:val="20"/>
  </w:num>
  <w:num w:numId="12">
    <w:abstractNumId w:val="55"/>
  </w:num>
  <w:num w:numId="13">
    <w:abstractNumId w:val="30"/>
  </w:num>
  <w:num w:numId="14">
    <w:abstractNumId w:val="2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52"/>
  </w:num>
  <w:num w:numId="19">
    <w:abstractNumId w:val="49"/>
  </w:num>
  <w:num w:numId="20">
    <w:abstractNumId w:val="32"/>
    <w:lvlOverride w:ilvl="0">
      <w:startOverride w:val="1"/>
    </w:lvlOverride>
  </w:num>
  <w:num w:numId="21">
    <w:abstractNumId w:val="13"/>
  </w:num>
  <w:num w:numId="22">
    <w:abstractNumId w:val="26"/>
  </w:num>
  <w:num w:numId="23">
    <w:abstractNumId w:val="16"/>
  </w:num>
  <w:num w:numId="24">
    <w:abstractNumId w:val="25"/>
  </w:num>
  <w:num w:numId="25">
    <w:abstractNumId w:val="45"/>
  </w:num>
  <w:num w:numId="26">
    <w:abstractNumId w:val="19"/>
  </w:num>
  <w:num w:numId="27">
    <w:abstractNumId w:val="36"/>
  </w:num>
  <w:num w:numId="28">
    <w:abstractNumId w:val="28"/>
  </w:num>
  <w:num w:numId="29">
    <w:abstractNumId w:val="12"/>
  </w:num>
  <w:num w:numId="30">
    <w:abstractNumId w:val="53"/>
  </w:num>
  <w:num w:numId="31">
    <w:abstractNumId w:val="42"/>
  </w:num>
  <w:num w:numId="32">
    <w:abstractNumId w:val="38"/>
  </w:num>
  <w:num w:numId="33">
    <w:abstractNumId w:val="46"/>
  </w:num>
  <w:num w:numId="34">
    <w:abstractNumId w:val="43"/>
  </w:num>
  <w:num w:numId="35">
    <w:abstractNumId w:val="39"/>
  </w:num>
  <w:num w:numId="36">
    <w:abstractNumId w:val="0"/>
  </w:num>
  <w:num w:numId="37">
    <w:abstractNumId w:val="33"/>
  </w:num>
  <w:num w:numId="38">
    <w:abstractNumId w:val="40"/>
  </w:num>
  <w:num w:numId="39">
    <w:abstractNumId w:val="41"/>
  </w:num>
  <w:num w:numId="40">
    <w:abstractNumId w:val="34"/>
  </w:num>
  <w:num w:numId="41">
    <w:abstractNumId w:val="37"/>
  </w:num>
  <w:num w:numId="42">
    <w:abstractNumId w:val="47"/>
  </w:num>
  <w:num w:numId="43">
    <w:abstractNumId w:val="11"/>
  </w:num>
  <w:num w:numId="44">
    <w:abstractNumId w:val="9"/>
  </w:num>
  <w:num w:numId="45">
    <w:abstractNumId w:val="15"/>
  </w:num>
  <w:num w:numId="46">
    <w:abstractNumId w:val="1"/>
  </w:num>
  <w:num w:numId="47">
    <w:abstractNumId w:val="54"/>
  </w:num>
  <w:num w:numId="48">
    <w:abstractNumId w:val="27"/>
  </w:num>
  <w:num w:numId="49">
    <w:abstractNumId w:val="10"/>
  </w:num>
  <w:num w:numId="50">
    <w:abstractNumId w:val="35"/>
  </w:num>
  <w:num w:numId="51">
    <w:abstractNumId w:val="14"/>
  </w:num>
  <w:num w:numId="52">
    <w:abstractNumId w:val="56"/>
  </w:num>
  <w:num w:numId="53">
    <w:abstractNumId w:val="51"/>
  </w:num>
  <w:num w:numId="54">
    <w:abstractNumId w:val="31"/>
  </w:num>
  <w:num w:numId="55">
    <w:abstractNumId w:val="44"/>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dit="readOnly" w:enforcement="0"/>
  <w:defaultTabStop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ZjYmYzZGUwMGQ0NjRhZTA5ZmEwYzUzMGY3MDIwNGUifQ=="/>
    <w:docVar w:name="DataItemList" w:val="&lt;?xml version=&quot;1.0&quot; encoding=&quot;utf-8&quot;?&gt;&lt;dataItemList xmlns=&quot;http://www.gpcsoft.com&quot;&gt;&lt;dataItem&gt;&lt;id&gt;prjCode&lt;/id&gt;&lt;name&gt;项目编号&lt;/name&gt;&lt;value /&gt;&lt;type&gt;项目基本信息&lt;/type&gt;&lt;readOnly&gt;false&lt;/readOnly&gt;&lt;remark&gt;可选格式：竞争性谈判为JZ，公开招标为GK等&lt;/remark&gt;&lt;dataType&gt;string&lt;/dataType&gt;&lt;editType&gt;edit&lt;/editType&gt;&lt;maxLength /&gt;&lt;formatString /&gt;&lt;dataOptions /&gt;&lt;allowDefault&gt;false&lt;/allowDefault&gt;&lt;defaultValue /&gt;&lt;/dataItem&gt;&lt;dataItem&gt;&lt;id&gt;prjName&lt;/id&gt;&lt;name&gt;项目名称&lt;/name&gt;&lt;value /&gt;&lt;type&gt;项目基本信息&lt;/type&gt;&lt;readOnly&gt;false&lt;/readOnly&gt;&lt;remark&gt;可填写采购品名称&lt;/remark&gt;&lt;dataType&gt;string&lt;/dataType&gt;&lt;editType&gt;edit&lt;/editType&gt;&lt;maxLength /&gt;&lt;formatString /&gt;&lt;dataOptions /&gt;&lt;allowDefault&gt;false&lt;/allowDefault&gt;&lt;defaultValue /&gt;&lt;/dataItem&gt;&lt;dataItem&gt;&lt;id&gt;lyAddr&lt;/id&gt;&lt;name&gt;履约地点&lt;/name&gt;&lt;value /&gt;&lt;type&gt;合同信息&lt;/type&gt;&lt;readOnly&gt;false&lt;/readOnly&gt;&lt;remark /&gt;&lt;dataType&gt;string&lt;/dataType&gt;&lt;editType&gt;edit&lt;/editType&gt;&lt;maxLength /&gt;&lt;formatString /&gt;&lt;dataOptions /&gt;&lt;allowDefault&gt;false&lt;/allowDefault&gt;&lt;defaultValue /&gt;&lt;/dataItem&gt;&lt;dataItem&gt;&lt;id&gt;lyTime&lt;/id&gt;&lt;name&gt;履约时间&lt;/name&gt;&lt;value /&gt;&lt;type&gt;合同信息&lt;/type&gt;&lt;readOnly&gt;false&lt;/readOnly&gt;&lt;remark /&gt;&lt;dataType&gt;string&lt;/dataType&gt;&lt;editType&gt;edit&lt;/editType&gt;&lt;maxLength /&gt;&lt;formatString /&gt;&lt;dataOptions /&gt;&lt;allowDefault&gt;false&lt;/allowDefault&gt;&lt;defaultValue /&gt;&lt;/dataItem&gt;&lt;dataItem&gt;&lt;id&gt;tenderEndTime&lt;/id&gt;&lt;name&gt;接受投标文件截止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openTime&lt;/id&gt;&lt;name&gt;开标时间&lt;/name&gt;&lt;value /&gt;&lt;type&gt;开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purchaseOrgName&lt;/id&gt;&lt;name&gt;招标人（采购人）&lt;/name&gt;&lt;value /&gt;&lt;type&gt;机构信息&lt;/type&gt;&lt;readOnly&gt;false&lt;/readOnly&gt;&lt;remark /&gt;&lt;dataType&gt;string&lt;/dataType&gt;&lt;editType&gt;edit&lt;/editType&gt;&lt;maxLength /&gt;&lt;formatString /&gt;&lt;dataOptions /&gt;&lt;allowDefault&gt;false&lt;/allowDefault&gt;&lt;defaultValue /&gt;&lt;/dataItem&gt;&lt;dataItem&gt;&lt;id&gt;purchaseOrgLocation&lt;/id&gt;&lt;name&gt;招标人（采购人）地址&lt;/name&gt;&lt;value /&gt;&lt;type&gt;机构信息&lt;/type&gt;&lt;readOnly&gt;false&lt;/readOnly&gt;&lt;remark /&gt;&lt;dataType&gt;string&lt;/dataType&gt;&lt;editType&gt;edit&lt;/editType&gt;&lt;maxLength /&gt;&lt;formatString /&gt;&lt;dataOptions /&gt;&lt;allowDefault&gt;false&lt;/allowDefault&gt;&lt;defaultValue /&gt;&lt;/dataItem&gt;&lt;dataItem&gt;&lt;id&gt;cgrLinkerTel&lt;/id&gt;&lt;name&gt;采购人联系电话&lt;/name&gt;&lt;value /&gt;&lt;type&gt;机构信息&lt;/type&gt;&lt;readOnly&gt;false&lt;/readOnly&gt;&lt;remark /&gt;&lt;dataType&gt;string&lt;/dataType&gt;&lt;editType&gt;edit&lt;/editType&gt;&lt;maxLength /&gt;&lt;formatString /&gt;&lt;dataOptions /&gt;&lt;allowDefault&gt;false&lt;/allowDefault&gt;&lt;defaultValue /&gt;&lt;/dataItem&gt;&lt;dataItem&gt;&lt;id&gt;cgrLinker&lt;/id&gt;&lt;name&gt;采购人联系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lt;/id&gt;&lt;name&gt;项目负责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JBR&lt;/id&gt;&lt;name&gt;项目经办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JBRLink&lt;/id&gt;&lt;name&gt;项目经办人联系方式&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Link&lt;/id&gt;&lt;name&gt;负责人联系方式&lt;/name&gt;&lt;value /&gt;&lt;type&gt;机构信息&lt;/type&gt;&lt;readOnly&gt;false&lt;/readOnly&gt;&lt;remark&gt;负责人联系方式&lt;/remark&gt;&lt;dataType&gt;string&lt;/dataType&gt;&lt;editType&gt;edit&lt;/editType&gt;&lt;maxLength /&gt;&lt;formatString /&gt;&lt;dataOptions /&gt;&lt;allowDefault&gt;false&lt;/allowDefault&gt;&lt;defaultValue /&gt;&lt;/dataItem&gt;&lt;dataItem&gt;&lt;id&gt;prjJBREmail&lt;/id&gt;&lt;name&gt;经办人电子邮件&lt;/name&gt;&lt;value /&gt;&lt;type&gt;机构信息&lt;/type&gt;&lt;readOnly&gt;false&lt;/readOnly&gt;&lt;remark /&gt;&lt;dataType&gt;string&lt;/dataType&gt;&lt;editType&gt;edit&lt;/editType&gt;&lt;maxLength /&gt;&lt;formatString /&gt;&lt;dataOptions /&gt;&lt;allowDefault&gt;false&lt;/allowDefault&gt;&lt;defaultValue /&gt;&lt;/dataItem&gt;&lt;dataItem&gt;&lt;id&gt;pack_1_name&lt;/id&gt;&lt;name&gt;包件名称&lt;/name&gt;&lt;value /&gt;&lt;type&gt;包件信息&lt;/type&gt;&lt;readOnly&gt;false&lt;/readOnly&gt;&lt;remark /&gt;&lt;dataType&gt;string&lt;/dataType&gt;&lt;editType&gt;edit&lt;/editType&gt;&lt;maxLength /&gt;&lt;formatString /&gt;&lt;dataOptions /&gt;&lt;allowDefault&gt;false&lt;/allowDefault&gt;&lt;defaultValue /&gt;&lt;/dataItem&gt;&lt;dataItem&gt;&lt;id&gt;prjbudget&lt;/id&gt;&lt;name&gt;项目预算&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nowDate&lt;/id&gt;&lt;name&gt;当前时间&lt;/name&gt;&lt;value /&gt;&lt;type&gt;项目基本信息&lt;/type&gt;&lt;readOnly&gt;false&lt;/readOnly&gt;&lt;remark /&gt;&lt;dataType&gt;string&lt;/dataType&gt;&lt;editType&gt;edit&lt;/editType&gt;&lt;maxLength /&gt;&lt;formatString&gt;年月&lt;/formatString&gt;&lt;dataOptions /&gt;&lt;allowDefault&gt;false&lt;/allowDefault&gt;&lt;defaultValue /&gt;&lt;/dataItem&gt;&lt;dataItem&gt;&lt;id&gt;bidContent&lt;/id&gt;&lt;name&gt;招标范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angentName&lt;/id&gt;&lt;name&gt;代理机构名称&lt;/name&gt;&lt;value /&gt;&lt;type&gt;机构信息&lt;/type&gt;&lt;readOnly&gt;false&lt;/readOnly&gt;&lt;remark /&gt;&lt;dataType&gt;string&lt;/dataType&gt;&lt;editType&gt;edit&lt;/editType&gt;&lt;maxLength /&gt;&lt;formatString /&gt;&lt;dataOptions&gt;政府采购中心&lt;/dataOptions&gt;&lt;allowDefault&gt;false&lt;/allowDefault&gt;&lt;defaultValue /&gt;&lt;/dataItem&gt;&lt;dataItem&gt;&lt;id&gt;pack_1_code&lt;/id&gt;&lt;name&gt;包件编号&lt;/name&gt;&lt;value /&gt;&lt;type&gt;包件信息&lt;/type&gt;&lt;readOnly&gt;false&lt;/readOnly&gt;&lt;remark /&gt;&lt;dataType&gt;string&lt;/dataType&gt;&lt;editType&gt;edit&lt;/editType&gt;&lt;maxLength /&gt;&lt;formatString /&gt;&lt;dataOptions /&gt;&lt;allowDefault&gt;false&lt;/allowDefault&gt;&lt;defaultValue /&gt;&lt;/dataItem&gt;&lt;/dataItemList&gt;"/>
  </w:docVars>
  <w:rsids>
    <w:rsidRoot w:val="001A033A"/>
    <w:rsid w:val="000000F1"/>
    <w:rsid w:val="00000899"/>
    <w:rsid w:val="0000142B"/>
    <w:rsid w:val="00001C59"/>
    <w:rsid w:val="00002510"/>
    <w:rsid w:val="000045B0"/>
    <w:rsid w:val="00005631"/>
    <w:rsid w:val="00006555"/>
    <w:rsid w:val="00010F98"/>
    <w:rsid w:val="000116AD"/>
    <w:rsid w:val="00011B86"/>
    <w:rsid w:val="00011F37"/>
    <w:rsid w:val="00012551"/>
    <w:rsid w:val="0001349C"/>
    <w:rsid w:val="00013FF5"/>
    <w:rsid w:val="000149AA"/>
    <w:rsid w:val="00015949"/>
    <w:rsid w:val="000164EB"/>
    <w:rsid w:val="00020821"/>
    <w:rsid w:val="00020EB6"/>
    <w:rsid w:val="00022A7B"/>
    <w:rsid w:val="000246A9"/>
    <w:rsid w:val="00025B83"/>
    <w:rsid w:val="00031461"/>
    <w:rsid w:val="00032CC8"/>
    <w:rsid w:val="00033FDA"/>
    <w:rsid w:val="000349E5"/>
    <w:rsid w:val="00035DA6"/>
    <w:rsid w:val="000365CF"/>
    <w:rsid w:val="00036721"/>
    <w:rsid w:val="000367F3"/>
    <w:rsid w:val="00036B22"/>
    <w:rsid w:val="00037923"/>
    <w:rsid w:val="00037D5D"/>
    <w:rsid w:val="0004088A"/>
    <w:rsid w:val="000409E6"/>
    <w:rsid w:val="00040C03"/>
    <w:rsid w:val="000410C6"/>
    <w:rsid w:val="0004141C"/>
    <w:rsid w:val="0004298A"/>
    <w:rsid w:val="00042A8F"/>
    <w:rsid w:val="00043BB1"/>
    <w:rsid w:val="000453FD"/>
    <w:rsid w:val="0004601F"/>
    <w:rsid w:val="000460D7"/>
    <w:rsid w:val="00046216"/>
    <w:rsid w:val="00046C73"/>
    <w:rsid w:val="0004715A"/>
    <w:rsid w:val="00047880"/>
    <w:rsid w:val="00052D4B"/>
    <w:rsid w:val="00052E90"/>
    <w:rsid w:val="00053434"/>
    <w:rsid w:val="00053AE1"/>
    <w:rsid w:val="0005457A"/>
    <w:rsid w:val="00054AFA"/>
    <w:rsid w:val="00057539"/>
    <w:rsid w:val="00057827"/>
    <w:rsid w:val="00062B0A"/>
    <w:rsid w:val="00062F49"/>
    <w:rsid w:val="00065269"/>
    <w:rsid w:val="000669F9"/>
    <w:rsid w:val="000670AC"/>
    <w:rsid w:val="0006727C"/>
    <w:rsid w:val="000672FC"/>
    <w:rsid w:val="00067AF5"/>
    <w:rsid w:val="00067E25"/>
    <w:rsid w:val="000710F8"/>
    <w:rsid w:val="0007117C"/>
    <w:rsid w:val="00071FBA"/>
    <w:rsid w:val="00073654"/>
    <w:rsid w:val="000738CE"/>
    <w:rsid w:val="00074ECE"/>
    <w:rsid w:val="00075007"/>
    <w:rsid w:val="00075338"/>
    <w:rsid w:val="000754DE"/>
    <w:rsid w:val="00075990"/>
    <w:rsid w:val="0007609C"/>
    <w:rsid w:val="00076779"/>
    <w:rsid w:val="0008018F"/>
    <w:rsid w:val="00081EA5"/>
    <w:rsid w:val="00082BF6"/>
    <w:rsid w:val="000856E7"/>
    <w:rsid w:val="000857FC"/>
    <w:rsid w:val="000868FB"/>
    <w:rsid w:val="00086C4C"/>
    <w:rsid w:val="00086CD0"/>
    <w:rsid w:val="000879A8"/>
    <w:rsid w:val="000879CE"/>
    <w:rsid w:val="0009006A"/>
    <w:rsid w:val="00090F70"/>
    <w:rsid w:val="00091310"/>
    <w:rsid w:val="000923F0"/>
    <w:rsid w:val="00092BDA"/>
    <w:rsid w:val="00093F30"/>
    <w:rsid w:val="00093F89"/>
    <w:rsid w:val="00095F93"/>
    <w:rsid w:val="000967F0"/>
    <w:rsid w:val="00097035"/>
    <w:rsid w:val="000979AD"/>
    <w:rsid w:val="000A029C"/>
    <w:rsid w:val="000A16AC"/>
    <w:rsid w:val="000A2561"/>
    <w:rsid w:val="000A356C"/>
    <w:rsid w:val="000A4EF8"/>
    <w:rsid w:val="000A563F"/>
    <w:rsid w:val="000A57A6"/>
    <w:rsid w:val="000A5C53"/>
    <w:rsid w:val="000A5DA6"/>
    <w:rsid w:val="000A5FA5"/>
    <w:rsid w:val="000A635A"/>
    <w:rsid w:val="000A69B1"/>
    <w:rsid w:val="000A7216"/>
    <w:rsid w:val="000A73FD"/>
    <w:rsid w:val="000B036D"/>
    <w:rsid w:val="000B06ED"/>
    <w:rsid w:val="000B1436"/>
    <w:rsid w:val="000B1E36"/>
    <w:rsid w:val="000B252A"/>
    <w:rsid w:val="000B34F1"/>
    <w:rsid w:val="000B3A95"/>
    <w:rsid w:val="000B43C9"/>
    <w:rsid w:val="000B5BA5"/>
    <w:rsid w:val="000B5CB6"/>
    <w:rsid w:val="000B60A7"/>
    <w:rsid w:val="000B730F"/>
    <w:rsid w:val="000B7775"/>
    <w:rsid w:val="000B7CCF"/>
    <w:rsid w:val="000C0075"/>
    <w:rsid w:val="000C3B8C"/>
    <w:rsid w:val="000C4AF0"/>
    <w:rsid w:val="000C5F40"/>
    <w:rsid w:val="000C6179"/>
    <w:rsid w:val="000C703B"/>
    <w:rsid w:val="000C7331"/>
    <w:rsid w:val="000D08A0"/>
    <w:rsid w:val="000D0FBD"/>
    <w:rsid w:val="000D1F65"/>
    <w:rsid w:val="000D1F87"/>
    <w:rsid w:val="000D1F8C"/>
    <w:rsid w:val="000D38F5"/>
    <w:rsid w:val="000D5ACE"/>
    <w:rsid w:val="000E01A0"/>
    <w:rsid w:val="000E0742"/>
    <w:rsid w:val="000E0BC8"/>
    <w:rsid w:val="000E15AB"/>
    <w:rsid w:val="000E1FFD"/>
    <w:rsid w:val="000E3A3E"/>
    <w:rsid w:val="000E3B31"/>
    <w:rsid w:val="000E3DF0"/>
    <w:rsid w:val="000E59EA"/>
    <w:rsid w:val="000E6728"/>
    <w:rsid w:val="000E7A64"/>
    <w:rsid w:val="000E7ED4"/>
    <w:rsid w:val="000F03EB"/>
    <w:rsid w:val="000F0C52"/>
    <w:rsid w:val="000F12FD"/>
    <w:rsid w:val="000F2CEA"/>
    <w:rsid w:val="000F3DDA"/>
    <w:rsid w:val="000F5153"/>
    <w:rsid w:val="000F5796"/>
    <w:rsid w:val="000F5E24"/>
    <w:rsid w:val="000F76B1"/>
    <w:rsid w:val="000F76C6"/>
    <w:rsid w:val="001016A6"/>
    <w:rsid w:val="00102677"/>
    <w:rsid w:val="00104C77"/>
    <w:rsid w:val="00106D43"/>
    <w:rsid w:val="001116C3"/>
    <w:rsid w:val="00111B1A"/>
    <w:rsid w:val="00111D76"/>
    <w:rsid w:val="00114261"/>
    <w:rsid w:val="00115FF9"/>
    <w:rsid w:val="001165CF"/>
    <w:rsid w:val="00120A64"/>
    <w:rsid w:val="00121C85"/>
    <w:rsid w:val="001231F4"/>
    <w:rsid w:val="00123AA8"/>
    <w:rsid w:val="0012539E"/>
    <w:rsid w:val="00125A92"/>
    <w:rsid w:val="001268B0"/>
    <w:rsid w:val="00126DE5"/>
    <w:rsid w:val="00127935"/>
    <w:rsid w:val="00127B47"/>
    <w:rsid w:val="00127E4A"/>
    <w:rsid w:val="0013002C"/>
    <w:rsid w:val="00131ED4"/>
    <w:rsid w:val="0013383B"/>
    <w:rsid w:val="00134F08"/>
    <w:rsid w:val="0013565C"/>
    <w:rsid w:val="00135BBB"/>
    <w:rsid w:val="00136533"/>
    <w:rsid w:val="001417ED"/>
    <w:rsid w:val="0014378F"/>
    <w:rsid w:val="00143D2F"/>
    <w:rsid w:val="00143ED8"/>
    <w:rsid w:val="001451B5"/>
    <w:rsid w:val="001455E9"/>
    <w:rsid w:val="001458A8"/>
    <w:rsid w:val="00150A48"/>
    <w:rsid w:val="00152C9E"/>
    <w:rsid w:val="0015577D"/>
    <w:rsid w:val="00156031"/>
    <w:rsid w:val="00156190"/>
    <w:rsid w:val="00156F00"/>
    <w:rsid w:val="001600FF"/>
    <w:rsid w:val="00160600"/>
    <w:rsid w:val="00163683"/>
    <w:rsid w:val="00164070"/>
    <w:rsid w:val="001648FB"/>
    <w:rsid w:val="00172D3D"/>
    <w:rsid w:val="00172E89"/>
    <w:rsid w:val="00173466"/>
    <w:rsid w:val="0017388B"/>
    <w:rsid w:val="00176540"/>
    <w:rsid w:val="001778B7"/>
    <w:rsid w:val="00177EC8"/>
    <w:rsid w:val="00180FA7"/>
    <w:rsid w:val="001813E2"/>
    <w:rsid w:val="00182D9D"/>
    <w:rsid w:val="0018498C"/>
    <w:rsid w:val="00186358"/>
    <w:rsid w:val="00186731"/>
    <w:rsid w:val="0018776A"/>
    <w:rsid w:val="00187947"/>
    <w:rsid w:val="00190540"/>
    <w:rsid w:val="00190F42"/>
    <w:rsid w:val="00191D9F"/>
    <w:rsid w:val="00193D01"/>
    <w:rsid w:val="00197133"/>
    <w:rsid w:val="001A033A"/>
    <w:rsid w:val="001A0AF7"/>
    <w:rsid w:val="001A43F4"/>
    <w:rsid w:val="001B023D"/>
    <w:rsid w:val="001B0D7E"/>
    <w:rsid w:val="001B1163"/>
    <w:rsid w:val="001B2D38"/>
    <w:rsid w:val="001B3D61"/>
    <w:rsid w:val="001B4743"/>
    <w:rsid w:val="001B592F"/>
    <w:rsid w:val="001B608B"/>
    <w:rsid w:val="001B7A2C"/>
    <w:rsid w:val="001C0174"/>
    <w:rsid w:val="001C017A"/>
    <w:rsid w:val="001C3F62"/>
    <w:rsid w:val="001C4499"/>
    <w:rsid w:val="001C6C83"/>
    <w:rsid w:val="001C79E3"/>
    <w:rsid w:val="001D05CE"/>
    <w:rsid w:val="001D1D61"/>
    <w:rsid w:val="001D2482"/>
    <w:rsid w:val="001D308F"/>
    <w:rsid w:val="001D3243"/>
    <w:rsid w:val="001D3966"/>
    <w:rsid w:val="001D4309"/>
    <w:rsid w:val="001D43B1"/>
    <w:rsid w:val="001D5077"/>
    <w:rsid w:val="001D667A"/>
    <w:rsid w:val="001D7900"/>
    <w:rsid w:val="001D7C12"/>
    <w:rsid w:val="001D7FB5"/>
    <w:rsid w:val="001E0645"/>
    <w:rsid w:val="001E1176"/>
    <w:rsid w:val="001E3C65"/>
    <w:rsid w:val="001E3F25"/>
    <w:rsid w:val="001E55C6"/>
    <w:rsid w:val="001E603F"/>
    <w:rsid w:val="001E67C8"/>
    <w:rsid w:val="001F00FF"/>
    <w:rsid w:val="001F122E"/>
    <w:rsid w:val="001F1DB2"/>
    <w:rsid w:val="001F357D"/>
    <w:rsid w:val="001F3F63"/>
    <w:rsid w:val="001F4EFD"/>
    <w:rsid w:val="001F5CAD"/>
    <w:rsid w:val="001F669D"/>
    <w:rsid w:val="001F698F"/>
    <w:rsid w:val="001F77F3"/>
    <w:rsid w:val="00201F84"/>
    <w:rsid w:val="00202278"/>
    <w:rsid w:val="002027A0"/>
    <w:rsid w:val="00202E71"/>
    <w:rsid w:val="002035AF"/>
    <w:rsid w:val="0020654E"/>
    <w:rsid w:val="00206654"/>
    <w:rsid w:val="00206B95"/>
    <w:rsid w:val="00210382"/>
    <w:rsid w:val="00211414"/>
    <w:rsid w:val="00211C57"/>
    <w:rsid w:val="00212308"/>
    <w:rsid w:val="0021509C"/>
    <w:rsid w:val="00216833"/>
    <w:rsid w:val="002168CA"/>
    <w:rsid w:val="002239B0"/>
    <w:rsid w:val="00223EBA"/>
    <w:rsid w:val="0022419D"/>
    <w:rsid w:val="00225040"/>
    <w:rsid w:val="00225695"/>
    <w:rsid w:val="00230528"/>
    <w:rsid w:val="00231EAB"/>
    <w:rsid w:val="00231EF3"/>
    <w:rsid w:val="00232224"/>
    <w:rsid w:val="00232325"/>
    <w:rsid w:val="00234220"/>
    <w:rsid w:val="00235285"/>
    <w:rsid w:val="00236830"/>
    <w:rsid w:val="00236FCC"/>
    <w:rsid w:val="002370F4"/>
    <w:rsid w:val="00241125"/>
    <w:rsid w:val="00241DA5"/>
    <w:rsid w:val="0024312F"/>
    <w:rsid w:val="00243A79"/>
    <w:rsid w:val="00243E7F"/>
    <w:rsid w:val="002448D1"/>
    <w:rsid w:val="00244A4B"/>
    <w:rsid w:val="002460E0"/>
    <w:rsid w:val="0024671A"/>
    <w:rsid w:val="00246EF5"/>
    <w:rsid w:val="002510E4"/>
    <w:rsid w:val="00251A9C"/>
    <w:rsid w:val="002524B9"/>
    <w:rsid w:val="00252707"/>
    <w:rsid w:val="00253AA4"/>
    <w:rsid w:val="00254966"/>
    <w:rsid w:val="00256AD7"/>
    <w:rsid w:val="00256BAF"/>
    <w:rsid w:val="00256E1E"/>
    <w:rsid w:val="00256ECD"/>
    <w:rsid w:val="0026079C"/>
    <w:rsid w:val="00260882"/>
    <w:rsid w:val="0026151F"/>
    <w:rsid w:val="002632ED"/>
    <w:rsid w:val="00264562"/>
    <w:rsid w:val="00264855"/>
    <w:rsid w:val="0026490C"/>
    <w:rsid w:val="002650D5"/>
    <w:rsid w:val="0027213D"/>
    <w:rsid w:val="002740DC"/>
    <w:rsid w:val="002747BE"/>
    <w:rsid w:val="0027530F"/>
    <w:rsid w:val="002762BB"/>
    <w:rsid w:val="00277FE5"/>
    <w:rsid w:val="00282175"/>
    <w:rsid w:val="00283B05"/>
    <w:rsid w:val="00284134"/>
    <w:rsid w:val="00284CB7"/>
    <w:rsid w:val="00285597"/>
    <w:rsid w:val="00287E56"/>
    <w:rsid w:val="0029232C"/>
    <w:rsid w:val="00293B34"/>
    <w:rsid w:val="00293FC8"/>
    <w:rsid w:val="00296542"/>
    <w:rsid w:val="002967A4"/>
    <w:rsid w:val="00296CC9"/>
    <w:rsid w:val="002977B4"/>
    <w:rsid w:val="002A2018"/>
    <w:rsid w:val="002A2955"/>
    <w:rsid w:val="002A2B8B"/>
    <w:rsid w:val="002A41D5"/>
    <w:rsid w:val="002A5BB4"/>
    <w:rsid w:val="002A6AFE"/>
    <w:rsid w:val="002B15E7"/>
    <w:rsid w:val="002B3AA2"/>
    <w:rsid w:val="002B3EA8"/>
    <w:rsid w:val="002B5A4C"/>
    <w:rsid w:val="002B5AE8"/>
    <w:rsid w:val="002B60A6"/>
    <w:rsid w:val="002B7BD3"/>
    <w:rsid w:val="002C097E"/>
    <w:rsid w:val="002C1C26"/>
    <w:rsid w:val="002C277B"/>
    <w:rsid w:val="002C32F0"/>
    <w:rsid w:val="002C32FF"/>
    <w:rsid w:val="002C36AA"/>
    <w:rsid w:val="002C3F08"/>
    <w:rsid w:val="002C4941"/>
    <w:rsid w:val="002C5401"/>
    <w:rsid w:val="002C5FBB"/>
    <w:rsid w:val="002C6970"/>
    <w:rsid w:val="002C7170"/>
    <w:rsid w:val="002D0EF2"/>
    <w:rsid w:val="002D2F8D"/>
    <w:rsid w:val="002D4945"/>
    <w:rsid w:val="002D59AD"/>
    <w:rsid w:val="002D745A"/>
    <w:rsid w:val="002E07A5"/>
    <w:rsid w:val="002E187A"/>
    <w:rsid w:val="002E1B91"/>
    <w:rsid w:val="002E1E46"/>
    <w:rsid w:val="002E2D1A"/>
    <w:rsid w:val="002E3596"/>
    <w:rsid w:val="002E3E0A"/>
    <w:rsid w:val="002E42E6"/>
    <w:rsid w:val="002E4AA3"/>
    <w:rsid w:val="002E54A4"/>
    <w:rsid w:val="002E7D4F"/>
    <w:rsid w:val="002F4089"/>
    <w:rsid w:val="002F56C6"/>
    <w:rsid w:val="002F6258"/>
    <w:rsid w:val="002F70DB"/>
    <w:rsid w:val="002F71FA"/>
    <w:rsid w:val="002F7B5D"/>
    <w:rsid w:val="003003A3"/>
    <w:rsid w:val="00301397"/>
    <w:rsid w:val="00302ABC"/>
    <w:rsid w:val="00303303"/>
    <w:rsid w:val="00303C91"/>
    <w:rsid w:val="00304081"/>
    <w:rsid w:val="003045AE"/>
    <w:rsid w:val="00305134"/>
    <w:rsid w:val="00305961"/>
    <w:rsid w:val="00305C1D"/>
    <w:rsid w:val="00305C49"/>
    <w:rsid w:val="00307378"/>
    <w:rsid w:val="00311E02"/>
    <w:rsid w:val="003129A6"/>
    <w:rsid w:val="00312AB0"/>
    <w:rsid w:val="00312F62"/>
    <w:rsid w:val="003138E2"/>
    <w:rsid w:val="00315DFB"/>
    <w:rsid w:val="00315FD3"/>
    <w:rsid w:val="00316BF2"/>
    <w:rsid w:val="00316FD6"/>
    <w:rsid w:val="00317700"/>
    <w:rsid w:val="003177A9"/>
    <w:rsid w:val="003178DE"/>
    <w:rsid w:val="0032267D"/>
    <w:rsid w:val="0032326A"/>
    <w:rsid w:val="00323303"/>
    <w:rsid w:val="00323CE8"/>
    <w:rsid w:val="00323D4C"/>
    <w:rsid w:val="0032536E"/>
    <w:rsid w:val="00325CE5"/>
    <w:rsid w:val="00325E94"/>
    <w:rsid w:val="00326A4C"/>
    <w:rsid w:val="00327A16"/>
    <w:rsid w:val="00330775"/>
    <w:rsid w:val="00331776"/>
    <w:rsid w:val="00331A89"/>
    <w:rsid w:val="00331C02"/>
    <w:rsid w:val="00332C2F"/>
    <w:rsid w:val="00335D2E"/>
    <w:rsid w:val="003369F9"/>
    <w:rsid w:val="003405DD"/>
    <w:rsid w:val="00341150"/>
    <w:rsid w:val="003417D0"/>
    <w:rsid w:val="0034199C"/>
    <w:rsid w:val="00341A1A"/>
    <w:rsid w:val="00343DDC"/>
    <w:rsid w:val="003449F5"/>
    <w:rsid w:val="00345127"/>
    <w:rsid w:val="003505B6"/>
    <w:rsid w:val="00350A63"/>
    <w:rsid w:val="003526F7"/>
    <w:rsid w:val="00353243"/>
    <w:rsid w:val="003536B4"/>
    <w:rsid w:val="00353EB5"/>
    <w:rsid w:val="0035421E"/>
    <w:rsid w:val="00355EA9"/>
    <w:rsid w:val="00356A48"/>
    <w:rsid w:val="003573D6"/>
    <w:rsid w:val="0036006A"/>
    <w:rsid w:val="00361F73"/>
    <w:rsid w:val="003625CD"/>
    <w:rsid w:val="003627ED"/>
    <w:rsid w:val="00365A3B"/>
    <w:rsid w:val="0036619D"/>
    <w:rsid w:val="00367932"/>
    <w:rsid w:val="0037088E"/>
    <w:rsid w:val="00372BE0"/>
    <w:rsid w:val="00373611"/>
    <w:rsid w:val="00373A2B"/>
    <w:rsid w:val="00377136"/>
    <w:rsid w:val="003773F3"/>
    <w:rsid w:val="00377E72"/>
    <w:rsid w:val="00380116"/>
    <w:rsid w:val="003804E3"/>
    <w:rsid w:val="00381385"/>
    <w:rsid w:val="003816E3"/>
    <w:rsid w:val="00382055"/>
    <w:rsid w:val="00382A0C"/>
    <w:rsid w:val="0038510D"/>
    <w:rsid w:val="00386DC9"/>
    <w:rsid w:val="0039027C"/>
    <w:rsid w:val="00391E55"/>
    <w:rsid w:val="00393187"/>
    <w:rsid w:val="00393307"/>
    <w:rsid w:val="00393BB9"/>
    <w:rsid w:val="003943FF"/>
    <w:rsid w:val="00394804"/>
    <w:rsid w:val="003964ED"/>
    <w:rsid w:val="00396E74"/>
    <w:rsid w:val="003A14E3"/>
    <w:rsid w:val="003A16DE"/>
    <w:rsid w:val="003A20DE"/>
    <w:rsid w:val="003A2C14"/>
    <w:rsid w:val="003A3312"/>
    <w:rsid w:val="003A3D0E"/>
    <w:rsid w:val="003A3E07"/>
    <w:rsid w:val="003A3F86"/>
    <w:rsid w:val="003A4E01"/>
    <w:rsid w:val="003A5166"/>
    <w:rsid w:val="003A6A9A"/>
    <w:rsid w:val="003A6BD8"/>
    <w:rsid w:val="003A7678"/>
    <w:rsid w:val="003A7D07"/>
    <w:rsid w:val="003B033F"/>
    <w:rsid w:val="003B03DE"/>
    <w:rsid w:val="003B10DF"/>
    <w:rsid w:val="003B1650"/>
    <w:rsid w:val="003B28F2"/>
    <w:rsid w:val="003B60FF"/>
    <w:rsid w:val="003B61B7"/>
    <w:rsid w:val="003B7509"/>
    <w:rsid w:val="003C3DA9"/>
    <w:rsid w:val="003C6A4C"/>
    <w:rsid w:val="003C6DA1"/>
    <w:rsid w:val="003C70F8"/>
    <w:rsid w:val="003C769F"/>
    <w:rsid w:val="003D2434"/>
    <w:rsid w:val="003D2F94"/>
    <w:rsid w:val="003D30F9"/>
    <w:rsid w:val="003D414A"/>
    <w:rsid w:val="003D4174"/>
    <w:rsid w:val="003D66D7"/>
    <w:rsid w:val="003E0C0B"/>
    <w:rsid w:val="003E189C"/>
    <w:rsid w:val="003E26C5"/>
    <w:rsid w:val="003E31EE"/>
    <w:rsid w:val="003E4264"/>
    <w:rsid w:val="003E484F"/>
    <w:rsid w:val="003E4C40"/>
    <w:rsid w:val="003E7AC7"/>
    <w:rsid w:val="003F27C0"/>
    <w:rsid w:val="003F4F48"/>
    <w:rsid w:val="003F59D0"/>
    <w:rsid w:val="003F60A2"/>
    <w:rsid w:val="003F6318"/>
    <w:rsid w:val="00400369"/>
    <w:rsid w:val="0040235D"/>
    <w:rsid w:val="00405E0C"/>
    <w:rsid w:val="0040642A"/>
    <w:rsid w:val="00406A29"/>
    <w:rsid w:val="00407282"/>
    <w:rsid w:val="00407E0A"/>
    <w:rsid w:val="0041028B"/>
    <w:rsid w:val="004112AA"/>
    <w:rsid w:val="004119A6"/>
    <w:rsid w:val="00411EC9"/>
    <w:rsid w:val="00412516"/>
    <w:rsid w:val="004129A1"/>
    <w:rsid w:val="00412FF3"/>
    <w:rsid w:val="0041561A"/>
    <w:rsid w:val="0042012A"/>
    <w:rsid w:val="004201A1"/>
    <w:rsid w:val="0042094F"/>
    <w:rsid w:val="0042219D"/>
    <w:rsid w:val="00422A9F"/>
    <w:rsid w:val="0042348A"/>
    <w:rsid w:val="00424E2C"/>
    <w:rsid w:val="00425A77"/>
    <w:rsid w:val="00432688"/>
    <w:rsid w:val="004328F5"/>
    <w:rsid w:val="00432E43"/>
    <w:rsid w:val="00433147"/>
    <w:rsid w:val="0043343D"/>
    <w:rsid w:val="004340D4"/>
    <w:rsid w:val="00435581"/>
    <w:rsid w:val="004364EA"/>
    <w:rsid w:val="00437834"/>
    <w:rsid w:val="0044049E"/>
    <w:rsid w:val="004420C0"/>
    <w:rsid w:val="00442B5B"/>
    <w:rsid w:val="00443F50"/>
    <w:rsid w:val="00443FE5"/>
    <w:rsid w:val="0044450C"/>
    <w:rsid w:val="0044773B"/>
    <w:rsid w:val="00447A36"/>
    <w:rsid w:val="00447BC8"/>
    <w:rsid w:val="00450ED9"/>
    <w:rsid w:val="00451008"/>
    <w:rsid w:val="004513B5"/>
    <w:rsid w:val="00452373"/>
    <w:rsid w:val="00453488"/>
    <w:rsid w:val="0045369C"/>
    <w:rsid w:val="004568A5"/>
    <w:rsid w:val="004569C9"/>
    <w:rsid w:val="00456F33"/>
    <w:rsid w:val="0045743F"/>
    <w:rsid w:val="00457C0B"/>
    <w:rsid w:val="00460D44"/>
    <w:rsid w:val="00461484"/>
    <w:rsid w:val="00461A7D"/>
    <w:rsid w:val="00461D85"/>
    <w:rsid w:val="004623EE"/>
    <w:rsid w:val="00462D8F"/>
    <w:rsid w:val="0046371A"/>
    <w:rsid w:val="00463B04"/>
    <w:rsid w:val="00464B19"/>
    <w:rsid w:val="0046692E"/>
    <w:rsid w:val="00466B49"/>
    <w:rsid w:val="004674A2"/>
    <w:rsid w:val="00467B3C"/>
    <w:rsid w:val="004722DB"/>
    <w:rsid w:val="004751CD"/>
    <w:rsid w:val="004755CF"/>
    <w:rsid w:val="0047659C"/>
    <w:rsid w:val="00480D1A"/>
    <w:rsid w:val="0048215F"/>
    <w:rsid w:val="00482973"/>
    <w:rsid w:val="004867C2"/>
    <w:rsid w:val="00487CE6"/>
    <w:rsid w:val="0049264A"/>
    <w:rsid w:val="00494FF2"/>
    <w:rsid w:val="0049611D"/>
    <w:rsid w:val="004961D2"/>
    <w:rsid w:val="004A11DD"/>
    <w:rsid w:val="004A2101"/>
    <w:rsid w:val="004A2BBB"/>
    <w:rsid w:val="004A41BC"/>
    <w:rsid w:val="004A4554"/>
    <w:rsid w:val="004A4B80"/>
    <w:rsid w:val="004A4D6A"/>
    <w:rsid w:val="004A57E8"/>
    <w:rsid w:val="004A75D9"/>
    <w:rsid w:val="004B0B08"/>
    <w:rsid w:val="004B0E66"/>
    <w:rsid w:val="004B100C"/>
    <w:rsid w:val="004B3099"/>
    <w:rsid w:val="004B358A"/>
    <w:rsid w:val="004B3CB5"/>
    <w:rsid w:val="004B5AA6"/>
    <w:rsid w:val="004B60F6"/>
    <w:rsid w:val="004B68C5"/>
    <w:rsid w:val="004B73C7"/>
    <w:rsid w:val="004B7DBA"/>
    <w:rsid w:val="004C0249"/>
    <w:rsid w:val="004C4267"/>
    <w:rsid w:val="004C47A3"/>
    <w:rsid w:val="004C5F36"/>
    <w:rsid w:val="004C63A6"/>
    <w:rsid w:val="004C6C31"/>
    <w:rsid w:val="004C7D61"/>
    <w:rsid w:val="004D12A3"/>
    <w:rsid w:val="004D605C"/>
    <w:rsid w:val="004D65CD"/>
    <w:rsid w:val="004D7988"/>
    <w:rsid w:val="004E053F"/>
    <w:rsid w:val="004E12A4"/>
    <w:rsid w:val="004E2293"/>
    <w:rsid w:val="004E262D"/>
    <w:rsid w:val="004E2BA6"/>
    <w:rsid w:val="004E3193"/>
    <w:rsid w:val="004E36CC"/>
    <w:rsid w:val="004E3BCF"/>
    <w:rsid w:val="004E41DC"/>
    <w:rsid w:val="004E43A8"/>
    <w:rsid w:val="004E4E52"/>
    <w:rsid w:val="004E54C3"/>
    <w:rsid w:val="004E691D"/>
    <w:rsid w:val="004E7AC1"/>
    <w:rsid w:val="004E7BEF"/>
    <w:rsid w:val="004F0521"/>
    <w:rsid w:val="004F07C3"/>
    <w:rsid w:val="004F08EE"/>
    <w:rsid w:val="004F0AC3"/>
    <w:rsid w:val="004F21E3"/>
    <w:rsid w:val="004F38EC"/>
    <w:rsid w:val="004F38ED"/>
    <w:rsid w:val="004F4372"/>
    <w:rsid w:val="004F5252"/>
    <w:rsid w:val="004F5658"/>
    <w:rsid w:val="004F5F2D"/>
    <w:rsid w:val="004F7153"/>
    <w:rsid w:val="00500845"/>
    <w:rsid w:val="00500DFA"/>
    <w:rsid w:val="00501357"/>
    <w:rsid w:val="005013A8"/>
    <w:rsid w:val="005034AC"/>
    <w:rsid w:val="0050354A"/>
    <w:rsid w:val="005035BC"/>
    <w:rsid w:val="0050370F"/>
    <w:rsid w:val="005062C0"/>
    <w:rsid w:val="00506DE6"/>
    <w:rsid w:val="0051054B"/>
    <w:rsid w:val="00511164"/>
    <w:rsid w:val="0051129F"/>
    <w:rsid w:val="0051235E"/>
    <w:rsid w:val="00512A52"/>
    <w:rsid w:val="00514766"/>
    <w:rsid w:val="00514FDD"/>
    <w:rsid w:val="0051526E"/>
    <w:rsid w:val="00515C84"/>
    <w:rsid w:val="00521C3E"/>
    <w:rsid w:val="005231D7"/>
    <w:rsid w:val="005236CB"/>
    <w:rsid w:val="0052377F"/>
    <w:rsid w:val="00523AA0"/>
    <w:rsid w:val="0052412E"/>
    <w:rsid w:val="00524E4E"/>
    <w:rsid w:val="00524FAE"/>
    <w:rsid w:val="00526004"/>
    <w:rsid w:val="005270F6"/>
    <w:rsid w:val="005315E7"/>
    <w:rsid w:val="00533A26"/>
    <w:rsid w:val="00535072"/>
    <w:rsid w:val="005355CB"/>
    <w:rsid w:val="005368D2"/>
    <w:rsid w:val="00536A9D"/>
    <w:rsid w:val="00536B27"/>
    <w:rsid w:val="00540B64"/>
    <w:rsid w:val="00542280"/>
    <w:rsid w:val="00542B77"/>
    <w:rsid w:val="005435DF"/>
    <w:rsid w:val="005453CF"/>
    <w:rsid w:val="005460A8"/>
    <w:rsid w:val="0054615B"/>
    <w:rsid w:val="00546EFF"/>
    <w:rsid w:val="00546F06"/>
    <w:rsid w:val="005470FC"/>
    <w:rsid w:val="00547265"/>
    <w:rsid w:val="00547F76"/>
    <w:rsid w:val="00551078"/>
    <w:rsid w:val="005512F3"/>
    <w:rsid w:val="00552A5F"/>
    <w:rsid w:val="0055347A"/>
    <w:rsid w:val="00554F07"/>
    <w:rsid w:val="00555A05"/>
    <w:rsid w:val="00555D10"/>
    <w:rsid w:val="00555F74"/>
    <w:rsid w:val="0055646E"/>
    <w:rsid w:val="00557607"/>
    <w:rsid w:val="0056085A"/>
    <w:rsid w:val="00560FE7"/>
    <w:rsid w:val="005619E3"/>
    <w:rsid w:val="00565FDE"/>
    <w:rsid w:val="0056639F"/>
    <w:rsid w:val="00567D81"/>
    <w:rsid w:val="00571807"/>
    <w:rsid w:val="00571E1D"/>
    <w:rsid w:val="00572FDE"/>
    <w:rsid w:val="00573F05"/>
    <w:rsid w:val="00574A68"/>
    <w:rsid w:val="00575AF5"/>
    <w:rsid w:val="00575C55"/>
    <w:rsid w:val="00576D5B"/>
    <w:rsid w:val="00577678"/>
    <w:rsid w:val="005800EA"/>
    <w:rsid w:val="00581E59"/>
    <w:rsid w:val="00583043"/>
    <w:rsid w:val="0058320A"/>
    <w:rsid w:val="0058329A"/>
    <w:rsid w:val="00583F94"/>
    <w:rsid w:val="0058415A"/>
    <w:rsid w:val="005847BB"/>
    <w:rsid w:val="00585E43"/>
    <w:rsid w:val="00586020"/>
    <w:rsid w:val="005867A9"/>
    <w:rsid w:val="005869F3"/>
    <w:rsid w:val="00586EFB"/>
    <w:rsid w:val="0058753A"/>
    <w:rsid w:val="00593F33"/>
    <w:rsid w:val="00594992"/>
    <w:rsid w:val="00594FC9"/>
    <w:rsid w:val="00595068"/>
    <w:rsid w:val="005952FF"/>
    <w:rsid w:val="00595583"/>
    <w:rsid w:val="00595602"/>
    <w:rsid w:val="0059576F"/>
    <w:rsid w:val="00597D50"/>
    <w:rsid w:val="005A027B"/>
    <w:rsid w:val="005A0973"/>
    <w:rsid w:val="005A1903"/>
    <w:rsid w:val="005A2F14"/>
    <w:rsid w:val="005A4C2E"/>
    <w:rsid w:val="005A5A16"/>
    <w:rsid w:val="005A6583"/>
    <w:rsid w:val="005A6975"/>
    <w:rsid w:val="005A6F54"/>
    <w:rsid w:val="005A78B9"/>
    <w:rsid w:val="005A7900"/>
    <w:rsid w:val="005B16DE"/>
    <w:rsid w:val="005B1796"/>
    <w:rsid w:val="005B2611"/>
    <w:rsid w:val="005B28D9"/>
    <w:rsid w:val="005B31F9"/>
    <w:rsid w:val="005B32CB"/>
    <w:rsid w:val="005B389A"/>
    <w:rsid w:val="005B53A5"/>
    <w:rsid w:val="005B710E"/>
    <w:rsid w:val="005B76C2"/>
    <w:rsid w:val="005C145E"/>
    <w:rsid w:val="005C30C9"/>
    <w:rsid w:val="005C3BAB"/>
    <w:rsid w:val="005C5B21"/>
    <w:rsid w:val="005C5E2C"/>
    <w:rsid w:val="005C7327"/>
    <w:rsid w:val="005C75CA"/>
    <w:rsid w:val="005C7C33"/>
    <w:rsid w:val="005D0423"/>
    <w:rsid w:val="005D07C5"/>
    <w:rsid w:val="005D0A11"/>
    <w:rsid w:val="005D0D9C"/>
    <w:rsid w:val="005D1264"/>
    <w:rsid w:val="005D1FE3"/>
    <w:rsid w:val="005D2781"/>
    <w:rsid w:val="005D48A4"/>
    <w:rsid w:val="005D6B99"/>
    <w:rsid w:val="005D7D36"/>
    <w:rsid w:val="005E0C7E"/>
    <w:rsid w:val="005E0D07"/>
    <w:rsid w:val="005E0EA9"/>
    <w:rsid w:val="005E2D16"/>
    <w:rsid w:val="005E374A"/>
    <w:rsid w:val="005E40C1"/>
    <w:rsid w:val="005E4965"/>
    <w:rsid w:val="005E4C0C"/>
    <w:rsid w:val="005E55B7"/>
    <w:rsid w:val="005E6E7D"/>
    <w:rsid w:val="005E6F50"/>
    <w:rsid w:val="005E7632"/>
    <w:rsid w:val="005F07E2"/>
    <w:rsid w:val="005F1576"/>
    <w:rsid w:val="005F251B"/>
    <w:rsid w:val="005F32E7"/>
    <w:rsid w:val="005F3803"/>
    <w:rsid w:val="005F3962"/>
    <w:rsid w:val="005F3DFE"/>
    <w:rsid w:val="005F3E0F"/>
    <w:rsid w:val="005F648B"/>
    <w:rsid w:val="005F68D8"/>
    <w:rsid w:val="005F73C8"/>
    <w:rsid w:val="00600E2D"/>
    <w:rsid w:val="00601EF6"/>
    <w:rsid w:val="006025B4"/>
    <w:rsid w:val="00602BA8"/>
    <w:rsid w:val="00602E2B"/>
    <w:rsid w:val="006032DF"/>
    <w:rsid w:val="00603EA2"/>
    <w:rsid w:val="00604DEF"/>
    <w:rsid w:val="00605C69"/>
    <w:rsid w:val="00610480"/>
    <w:rsid w:val="00610A87"/>
    <w:rsid w:val="00611452"/>
    <w:rsid w:val="00611548"/>
    <w:rsid w:val="00612E3B"/>
    <w:rsid w:val="00613112"/>
    <w:rsid w:val="00615471"/>
    <w:rsid w:val="00615B14"/>
    <w:rsid w:val="00616B60"/>
    <w:rsid w:val="00616BBB"/>
    <w:rsid w:val="006207FA"/>
    <w:rsid w:val="006264A6"/>
    <w:rsid w:val="00631693"/>
    <w:rsid w:val="00632D10"/>
    <w:rsid w:val="006332EF"/>
    <w:rsid w:val="00633B84"/>
    <w:rsid w:val="00633F36"/>
    <w:rsid w:val="0063499C"/>
    <w:rsid w:val="0063512C"/>
    <w:rsid w:val="006351DD"/>
    <w:rsid w:val="00635934"/>
    <w:rsid w:val="006359F8"/>
    <w:rsid w:val="00637E92"/>
    <w:rsid w:val="00640995"/>
    <w:rsid w:val="0064148A"/>
    <w:rsid w:val="00641B32"/>
    <w:rsid w:val="0064227B"/>
    <w:rsid w:val="00644440"/>
    <w:rsid w:val="0064467A"/>
    <w:rsid w:val="00645A6F"/>
    <w:rsid w:val="00646278"/>
    <w:rsid w:val="0064761E"/>
    <w:rsid w:val="00647FE7"/>
    <w:rsid w:val="00652BEA"/>
    <w:rsid w:val="00654BAD"/>
    <w:rsid w:val="00655E97"/>
    <w:rsid w:val="00657E4D"/>
    <w:rsid w:val="0066107F"/>
    <w:rsid w:val="00661650"/>
    <w:rsid w:val="00662AB8"/>
    <w:rsid w:val="00664F1E"/>
    <w:rsid w:val="00665A8C"/>
    <w:rsid w:val="00665C64"/>
    <w:rsid w:val="00665DCE"/>
    <w:rsid w:val="0066618C"/>
    <w:rsid w:val="0066626E"/>
    <w:rsid w:val="00666800"/>
    <w:rsid w:val="0066740D"/>
    <w:rsid w:val="00667707"/>
    <w:rsid w:val="006709DF"/>
    <w:rsid w:val="00670A72"/>
    <w:rsid w:val="00670E65"/>
    <w:rsid w:val="006713D0"/>
    <w:rsid w:val="00671798"/>
    <w:rsid w:val="00672326"/>
    <w:rsid w:val="00672A22"/>
    <w:rsid w:val="006732EB"/>
    <w:rsid w:val="0067499D"/>
    <w:rsid w:val="006758AB"/>
    <w:rsid w:val="006764D2"/>
    <w:rsid w:val="00676C05"/>
    <w:rsid w:val="00677DB4"/>
    <w:rsid w:val="00681B50"/>
    <w:rsid w:val="00683616"/>
    <w:rsid w:val="00683783"/>
    <w:rsid w:val="00683E1F"/>
    <w:rsid w:val="00684027"/>
    <w:rsid w:val="006840D2"/>
    <w:rsid w:val="00685B8D"/>
    <w:rsid w:val="00685B93"/>
    <w:rsid w:val="00685D2A"/>
    <w:rsid w:val="0068764C"/>
    <w:rsid w:val="00690170"/>
    <w:rsid w:val="00690C86"/>
    <w:rsid w:val="00691790"/>
    <w:rsid w:val="00693151"/>
    <w:rsid w:val="0069328A"/>
    <w:rsid w:val="0069468B"/>
    <w:rsid w:val="0069507B"/>
    <w:rsid w:val="00695261"/>
    <w:rsid w:val="00695F4D"/>
    <w:rsid w:val="0069659B"/>
    <w:rsid w:val="00696D65"/>
    <w:rsid w:val="0069795B"/>
    <w:rsid w:val="006A036C"/>
    <w:rsid w:val="006A1D52"/>
    <w:rsid w:val="006A2182"/>
    <w:rsid w:val="006A21A8"/>
    <w:rsid w:val="006A38F6"/>
    <w:rsid w:val="006A395E"/>
    <w:rsid w:val="006A460E"/>
    <w:rsid w:val="006A5D96"/>
    <w:rsid w:val="006A5E44"/>
    <w:rsid w:val="006A64E4"/>
    <w:rsid w:val="006A6EE6"/>
    <w:rsid w:val="006B0BA4"/>
    <w:rsid w:val="006B1A99"/>
    <w:rsid w:val="006B45F1"/>
    <w:rsid w:val="006B4A83"/>
    <w:rsid w:val="006B55F6"/>
    <w:rsid w:val="006B5B2B"/>
    <w:rsid w:val="006B7067"/>
    <w:rsid w:val="006B75C8"/>
    <w:rsid w:val="006B76B5"/>
    <w:rsid w:val="006C09E8"/>
    <w:rsid w:val="006C127E"/>
    <w:rsid w:val="006C1740"/>
    <w:rsid w:val="006C1B32"/>
    <w:rsid w:val="006C3B98"/>
    <w:rsid w:val="006C4766"/>
    <w:rsid w:val="006C50E2"/>
    <w:rsid w:val="006C53DD"/>
    <w:rsid w:val="006C688A"/>
    <w:rsid w:val="006C7732"/>
    <w:rsid w:val="006D12EF"/>
    <w:rsid w:val="006D21AC"/>
    <w:rsid w:val="006D24E2"/>
    <w:rsid w:val="006D2694"/>
    <w:rsid w:val="006D2EF1"/>
    <w:rsid w:val="006D34C2"/>
    <w:rsid w:val="006D37CF"/>
    <w:rsid w:val="006D600C"/>
    <w:rsid w:val="006D60DF"/>
    <w:rsid w:val="006D62D6"/>
    <w:rsid w:val="006D6790"/>
    <w:rsid w:val="006D7089"/>
    <w:rsid w:val="006D7C20"/>
    <w:rsid w:val="006E0572"/>
    <w:rsid w:val="006E07E9"/>
    <w:rsid w:val="006E1B17"/>
    <w:rsid w:val="006E1E6B"/>
    <w:rsid w:val="006E29F4"/>
    <w:rsid w:val="006E35B7"/>
    <w:rsid w:val="006E39A6"/>
    <w:rsid w:val="006E39B1"/>
    <w:rsid w:val="006E47A6"/>
    <w:rsid w:val="006E4911"/>
    <w:rsid w:val="006E510E"/>
    <w:rsid w:val="006E5257"/>
    <w:rsid w:val="006E7669"/>
    <w:rsid w:val="006F0561"/>
    <w:rsid w:val="006F0AFE"/>
    <w:rsid w:val="006F13CE"/>
    <w:rsid w:val="006F1C72"/>
    <w:rsid w:val="006F2016"/>
    <w:rsid w:val="006F2CEA"/>
    <w:rsid w:val="006F3944"/>
    <w:rsid w:val="006F3B64"/>
    <w:rsid w:val="006F4B22"/>
    <w:rsid w:val="006F5ECA"/>
    <w:rsid w:val="006F76E0"/>
    <w:rsid w:val="006F7A7A"/>
    <w:rsid w:val="0070053A"/>
    <w:rsid w:val="00700A74"/>
    <w:rsid w:val="00702306"/>
    <w:rsid w:val="00702514"/>
    <w:rsid w:val="007060C3"/>
    <w:rsid w:val="007070D5"/>
    <w:rsid w:val="00707891"/>
    <w:rsid w:val="007106D9"/>
    <w:rsid w:val="007107E3"/>
    <w:rsid w:val="00710EA3"/>
    <w:rsid w:val="007110EF"/>
    <w:rsid w:val="007113AB"/>
    <w:rsid w:val="00714048"/>
    <w:rsid w:val="00715A64"/>
    <w:rsid w:val="00715ECE"/>
    <w:rsid w:val="007160C5"/>
    <w:rsid w:val="0071692C"/>
    <w:rsid w:val="00716C41"/>
    <w:rsid w:val="00716F7C"/>
    <w:rsid w:val="007177A9"/>
    <w:rsid w:val="0072169F"/>
    <w:rsid w:val="00721843"/>
    <w:rsid w:val="00722645"/>
    <w:rsid w:val="0072267F"/>
    <w:rsid w:val="0072289A"/>
    <w:rsid w:val="007230C7"/>
    <w:rsid w:val="007242D5"/>
    <w:rsid w:val="00726450"/>
    <w:rsid w:val="00726CDE"/>
    <w:rsid w:val="00726D08"/>
    <w:rsid w:val="00727864"/>
    <w:rsid w:val="0073026F"/>
    <w:rsid w:val="00730BD4"/>
    <w:rsid w:val="00731465"/>
    <w:rsid w:val="0073161A"/>
    <w:rsid w:val="0073215F"/>
    <w:rsid w:val="007324A1"/>
    <w:rsid w:val="00733D6B"/>
    <w:rsid w:val="00734AF5"/>
    <w:rsid w:val="00734BB2"/>
    <w:rsid w:val="00736107"/>
    <w:rsid w:val="0073615A"/>
    <w:rsid w:val="00736FF6"/>
    <w:rsid w:val="00741BFB"/>
    <w:rsid w:val="00742C89"/>
    <w:rsid w:val="00743DF9"/>
    <w:rsid w:val="007447C0"/>
    <w:rsid w:val="00745993"/>
    <w:rsid w:val="00745997"/>
    <w:rsid w:val="0074748F"/>
    <w:rsid w:val="00751165"/>
    <w:rsid w:val="00751606"/>
    <w:rsid w:val="007517EE"/>
    <w:rsid w:val="00753E47"/>
    <w:rsid w:val="00755533"/>
    <w:rsid w:val="00755D82"/>
    <w:rsid w:val="00755E1D"/>
    <w:rsid w:val="0075713B"/>
    <w:rsid w:val="00757308"/>
    <w:rsid w:val="00757EBC"/>
    <w:rsid w:val="00760686"/>
    <w:rsid w:val="0076276D"/>
    <w:rsid w:val="00762847"/>
    <w:rsid w:val="00763686"/>
    <w:rsid w:val="00764C06"/>
    <w:rsid w:val="00765366"/>
    <w:rsid w:val="007656E1"/>
    <w:rsid w:val="00765FD2"/>
    <w:rsid w:val="007665AB"/>
    <w:rsid w:val="00766FB6"/>
    <w:rsid w:val="00767C8E"/>
    <w:rsid w:val="007702AB"/>
    <w:rsid w:val="007705CA"/>
    <w:rsid w:val="007707D0"/>
    <w:rsid w:val="00770A64"/>
    <w:rsid w:val="007715B0"/>
    <w:rsid w:val="00771E95"/>
    <w:rsid w:val="00772612"/>
    <w:rsid w:val="00772712"/>
    <w:rsid w:val="00774830"/>
    <w:rsid w:val="00774887"/>
    <w:rsid w:val="007749BD"/>
    <w:rsid w:val="00774FF5"/>
    <w:rsid w:val="0077666C"/>
    <w:rsid w:val="00776CCE"/>
    <w:rsid w:val="00776E4E"/>
    <w:rsid w:val="00776FDF"/>
    <w:rsid w:val="00777938"/>
    <w:rsid w:val="007779BA"/>
    <w:rsid w:val="007809ED"/>
    <w:rsid w:val="00784684"/>
    <w:rsid w:val="007862DA"/>
    <w:rsid w:val="00786931"/>
    <w:rsid w:val="00786E0A"/>
    <w:rsid w:val="007873ED"/>
    <w:rsid w:val="00787E32"/>
    <w:rsid w:val="00792403"/>
    <w:rsid w:val="00792C2F"/>
    <w:rsid w:val="00794387"/>
    <w:rsid w:val="00794432"/>
    <w:rsid w:val="007966B0"/>
    <w:rsid w:val="0079770B"/>
    <w:rsid w:val="007A061E"/>
    <w:rsid w:val="007A1761"/>
    <w:rsid w:val="007A22B0"/>
    <w:rsid w:val="007A23A1"/>
    <w:rsid w:val="007A36FF"/>
    <w:rsid w:val="007A6CA3"/>
    <w:rsid w:val="007A71BF"/>
    <w:rsid w:val="007A7D26"/>
    <w:rsid w:val="007B009E"/>
    <w:rsid w:val="007B2757"/>
    <w:rsid w:val="007B27DB"/>
    <w:rsid w:val="007B30B5"/>
    <w:rsid w:val="007B3EAD"/>
    <w:rsid w:val="007B4570"/>
    <w:rsid w:val="007B52FA"/>
    <w:rsid w:val="007B631F"/>
    <w:rsid w:val="007B65AD"/>
    <w:rsid w:val="007B7C7C"/>
    <w:rsid w:val="007C0ABF"/>
    <w:rsid w:val="007C154A"/>
    <w:rsid w:val="007C617F"/>
    <w:rsid w:val="007C6213"/>
    <w:rsid w:val="007C6502"/>
    <w:rsid w:val="007C70C9"/>
    <w:rsid w:val="007D0891"/>
    <w:rsid w:val="007D141D"/>
    <w:rsid w:val="007D2319"/>
    <w:rsid w:val="007D2632"/>
    <w:rsid w:val="007D307C"/>
    <w:rsid w:val="007D41C4"/>
    <w:rsid w:val="007D44CE"/>
    <w:rsid w:val="007D5E91"/>
    <w:rsid w:val="007D74DF"/>
    <w:rsid w:val="007D7BCE"/>
    <w:rsid w:val="007E0574"/>
    <w:rsid w:val="007E0B2A"/>
    <w:rsid w:val="007E0DE1"/>
    <w:rsid w:val="007E12BA"/>
    <w:rsid w:val="007E12E3"/>
    <w:rsid w:val="007E1339"/>
    <w:rsid w:val="007E221D"/>
    <w:rsid w:val="007E3D68"/>
    <w:rsid w:val="007E4673"/>
    <w:rsid w:val="007E628C"/>
    <w:rsid w:val="007F00E5"/>
    <w:rsid w:val="007F0E01"/>
    <w:rsid w:val="007F1248"/>
    <w:rsid w:val="007F165E"/>
    <w:rsid w:val="007F24EB"/>
    <w:rsid w:val="007F3ECC"/>
    <w:rsid w:val="007F42D2"/>
    <w:rsid w:val="007F519A"/>
    <w:rsid w:val="007F5667"/>
    <w:rsid w:val="007F573F"/>
    <w:rsid w:val="007F602D"/>
    <w:rsid w:val="007F72AA"/>
    <w:rsid w:val="00801AAB"/>
    <w:rsid w:val="00802DA7"/>
    <w:rsid w:val="008049C0"/>
    <w:rsid w:val="00805918"/>
    <w:rsid w:val="00806ABF"/>
    <w:rsid w:val="00806B15"/>
    <w:rsid w:val="0080739B"/>
    <w:rsid w:val="00810ED2"/>
    <w:rsid w:val="00811902"/>
    <w:rsid w:val="00811B51"/>
    <w:rsid w:val="00813EDB"/>
    <w:rsid w:val="00814156"/>
    <w:rsid w:val="0081589F"/>
    <w:rsid w:val="008159B2"/>
    <w:rsid w:val="008159CB"/>
    <w:rsid w:val="00816958"/>
    <w:rsid w:val="00817291"/>
    <w:rsid w:val="008202FC"/>
    <w:rsid w:val="0082072A"/>
    <w:rsid w:val="00821392"/>
    <w:rsid w:val="00821641"/>
    <w:rsid w:val="00823212"/>
    <w:rsid w:val="00823491"/>
    <w:rsid w:val="00825B26"/>
    <w:rsid w:val="0082686F"/>
    <w:rsid w:val="00826B5D"/>
    <w:rsid w:val="00827801"/>
    <w:rsid w:val="008278B5"/>
    <w:rsid w:val="00827E34"/>
    <w:rsid w:val="00830ADC"/>
    <w:rsid w:val="00831A06"/>
    <w:rsid w:val="00833B01"/>
    <w:rsid w:val="00833FDE"/>
    <w:rsid w:val="0083524D"/>
    <w:rsid w:val="0083659A"/>
    <w:rsid w:val="008367B6"/>
    <w:rsid w:val="00836ED8"/>
    <w:rsid w:val="00837DB8"/>
    <w:rsid w:val="00840641"/>
    <w:rsid w:val="00840B06"/>
    <w:rsid w:val="00840C73"/>
    <w:rsid w:val="008425AD"/>
    <w:rsid w:val="00843E63"/>
    <w:rsid w:val="00843FEC"/>
    <w:rsid w:val="008450D9"/>
    <w:rsid w:val="00847B56"/>
    <w:rsid w:val="00847DF0"/>
    <w:rsid w:val="00850BB9"/>
    <w:rsid w:val="008515AA"/>
    <w:rsid w:val="00851C4A"/>
    <w:rsid w:val="008521FD"/>
    <w:rsid w:val="0085298C"/>
    <w:rsid w:val="00854B25"/>
    <w:rsid w:val="008550F5"/>
    <w:rsid w:val="00855864"/>
    <w:rsid w:val="00855CC8"/>
    <w:rsid w:val="008562E5"/>
    <w:rsid w:val="00860625"/>
    <w:rsid w:val="00861D2B"/>
    <w:rsid w:val="0086253B"/>
    <w:rsid w:val="00863027"/>
    <w:rsid w:val="008666C5"/>
    <w:rsid w:val="008674FB"/>
    <w:rsid w:val="008677B5"/>
    <w:rsid w:val="00870A57"/>
    <w:rsid w:val="00871057"/>
    <w:rsid w:val="008716D2"/>
    <w:rsid w:val="00872DA2"/>
    <w:rsid w:val="008750C3"/>
    <w:rsid w:val="00875AF4"/>
    <w:rsid w:val="008768C3"/>
    <w:rsid w:val="00876AD3"/>
    <w:rsid w:val="008801F3"/>
    <w:rsid w:val="00881B2B"/>
    <w:rsid w:val="00882E99"/>
    <w:rsid w:val="00884E9E"/>
    <w:rsid w:val="00886A8D"/>
    <w:rsid w:val="00887875"/>
    <w:rsid w:val="00891048"/>
    <w:rsid w:val="0089351F"/>
    <w:rsid w:val="0089384B"/>
    <w:rsid w:val="008940BB"/>
    <w:rsid w:val="00896BA8"/>
    <w:rsid w:val="008977A7"/>
    <w:rsid w:val="008A02E5"/>
    <w:rsid w:val="008A0ADF"/>
    <w:rsid w:val="008A1BE5"/>
    <w:rsid w:val="008A2947"/>
    <w:rsid w:val="008A3C8A"/>
    <w:rsid w:val="008A6E1C"/>
    <w:rsid w:val="008A718E"/>
    <w:rsid w:val="008B0540"/>
    <w:rsid w:val="008B148C"/>
    <w:rsid w:val="008B2091"/>
    <w:rsid w:val="008B20C5"/>
    <w:rsid w:val="008B2D4B"/>
    <w:rsid w:val="008B5ECE"/>
    <w:rsid w:val="008B5EEF"/>
    <w:rsid w:val="008B61BB"/>
    <w:rsid w:val="008B65D9"/>
    <w:rsid w:val="008B69EE"/>
    <w:rsid w:val="008B7195"/>
    <w:rsid w:val="008B71FF"/>
    <w:rsid w:val="008C09AE"/>
    <w:rsid w:val="008C1E8A"/>
    <w:rsid w:val="008C2B88"/>
    <w:rsid w:val="008C30FD"/>
    <w:rsid w:val="008C32AA"/>
    <w:rsid w:val="008C4954"/>
    <w:rsid w:val="008C5BC3"/>
    <w:rsid w:val="008C61E9"/>
    <w:rsid w:val="008C6BF8"/>
    <w:rsid w:val="008D060B"/>
    <w:rsid w:val="008D063C"/>
    <w:rsid w:val="008D0CB9"/>
    <w:rsid w:val="008D0FAB"/>
    <w:rsid w:val="008D18DF"/>
    <w:rsid w:val="008D2503"/>
    <w:rsid w:val="008D348F"/>
    <w:rsid w:val="008D3A44"/>
    <w:rsid w:val="008D4CD9"/>
    <w:rsid w:val="008D51A1"/>
    <w:rsid w:val="008D537C"/>
    <w:rsid w:val="008D671F"/>
    <w:rsid w:val="008D6E61"/>
    <w:rsid w:val="008D72CA"/>
    <w:rsid w:val="008E00E3"/>
    <w:rsid w:val="008E0EA2"/>
    <w:rsid w:val="008E1977"/>
    <w:rsid w:val="008E27A8"/>
    <w:rsid w:val="008E2C65"/>
    <w:rsid w:val="008E3661"/>
    <w:rsid w:val="008E4022"/>
    <w:rsid w:val="008E734B"/>
    <w:rsid w:val="008E76BC"/>
    <w:rsid w:val="008F0F43"/>
    <w:rsid w:val="008F4C82"/>
    <w:rsid w:val="008F5514"/>
    <w:rsid w:val="008F5B16"/>
    <w:rsid w:val="008F5B5F"/>
    <w:rsid w:val="008F6577"/>
    <w:rsid w:val="008F6A71"/>
    <w:rsid w:val="008F6E14"/>
    <w:rsid w:val="008F7733"/>
    <w:rsid w:val="008F7954"/>
    <w:rsid w:val="00900BDC"/>
    <w:rsid w:val="009010DB"/>
    <w:rsid w:val="009012F7"/>
    <w:rsid w:val="00902554"/>
    <w:rsid w:val="00904DDF"/>
    <w:rsid w:val="0090514E"/>
    <w:rsid w:val="00905943"/>
    <w:rsid w:val="00906643"/>
    <w:rsid w:val="00906823"/>
    <w:rsid w:val="009102FE"/>
    <w:rsid w:val="00910D5B"/>
    <w:rsid w:val="00911DD7"/>
    <w:rsid w:val="00911E06"/>
    <w:rsid w:val="00912843"/>
    <w:rsid w:val="009138D4"/>
    <w:rsid w:val="009143C1"/>
    <w:rsid w:val="00915ADF"/>
    <w:rsid w:val="009169B0"/>
    <w:rsid w:val="00916B99"/>
    <w:rsid w:val="0091706A"/>
    <w:rsid w:val="009211C7"/>
    <w:rsid w:val="009212BE"/>
    <w:rsid w:val="00921591"/>
    <w:rsid w:val="009223F9"/>
    <w:rsid w:val="00922908"/>
    <w:rsid w:val="00922FA2"/>
    <w:rsid w:val="00924ABE"/>
    <w:rsid w:val="00924F1D"/>
    <w:rsid w:val="00925418"/>
    <w:rsid w:val="00925AE7"/>
    <w:rsid w:val="00927ADA"/>
    <w:rsid w:val="00931B1A"/>
    <w:rsid w:val="00931BC7"/>
    <w:rsid w:val="00932B8B"/>
    <w:rsid w:val="00933D28"/>
    <w:rsid w:val="0093458E"/>
    <w:rsid w:val="00934CCA"/>
    <w:rsid w:val="00934F4A"/>
    <w:rsid w:val="0093548D"/>
    <w:rsid w:val="009356CE"/>
    <w:rsid w:val="009360B4"/>
    <w:rsid w:val="0093688F"/>
    <w:rsid w:val="00936DEB"/>
    <w:rsid w:val="00940715"/>
    <w:rsid w:val="009437E3"/>
    <w:rsid w:val="00943AE7"/>
    <w:rsid w:val="00943BD6"/>
    <w:rsid w:val="00943F7B"/>
    <w:rsid w:val="0094727A"/>
    <w:rsid w:val="0094759D"/>
    <w:rsid w:val="009500F5"/>
    <w:rsid w:val="00951A6C"/>
    <w:rsid w:val="00952F8C"/>
    <w:rsid w:val="00952FC5"/>
    <w:rsid w:val="009531FE"/>
    <w:rsid w:val="0095323F"/>
    <w:rsid w:val="00953444"/>
    <w:rsid w:val="00953845"/>
    <w:rsid w:val="00954605"/>
    <w:rsid w:val="00954F85"/>
    <w:rsid w:val="009560E1"/>
    <w:rsid w:val="00956154"/>
    <w:rsid w:val="009579E3"/>
    <w:rsid w:val="00960BCE"/>
    <w:rsid w:val="00962063"/>
    <w:rsid w:val="0096425A"/>
    <w:rsid w:val="009647B3"/>
    <w:rsid w:val="00965673"/>
    <w:rsid w:val="00965744"/>
    <w:rsid w:val="009661AC"/>
    <w:rsid w:val="00966A0D"/>
    <w:rsid w:val="00966A51"/>
    <w:rsid w:val="009705D4"/>
    <w:rsid w:val="009715CA"/>
    <w:rsid w:val="00972147"/>
    <w:rsid w:val="00972CB8"/>
    <w:rsid w:val="00972F1F"/>
    <w:rsid w:val="00973FB6"/>
    <w:rsid w:val="009779A5"/>
    <w:rsid w:val="00980230"/>
    <w:rsid w:val="00981631"/>
    <w:rsid w:val="009819DB"/>
    <w:rsid w:val="00982A15"/>
    <w:rsid w:val="00983941"/>
    <w:rsid w:val="00984A5D"/>
    <w:rsid w:val="009856E4"/>
    <w:rsid w:val="00986C3D"/>
    <w:rsid w:val="00987CC1"/>
    <w:rsid w:val="00993CA2"/>
    <w:rsid w:val="009940F1"/>
    <w:rsid w:val="009941D6"/>
    <w:rsid w:val="00994845"/>
    <w:rsid w:val="009956BB"/>
    <w:rsid w:val="00995A04"/>
    <w:rsid w:val="0099766C"/>
    <w:rsid w:val="00997B63"/>
    <w:rsid w:val="009A2752"/>
    <w:rsid w:val="009A3921"/>
    <w:rsid w:val="009A3FF7"/>
    <w:rsid w:val="009A5A2F"/>
    <w:rsid w:val="009A6366"/>
    <w:rsid w:val="009A7002"/>
    <w:rsid w:val="009B1002"/>
    <w:rsid w:val="009B15EC"/>
    <w:rsid w:val="009B1601"/>
    <w:rsid w:val="009B1A92"/>
    <w:rsid w:val="009B2806"/>
    <w:rsid w:val="009B308E"/>
    <w:rsid w:val="009B3FE8"/>
    <w:rsid w:val="009B4259"/>
    <w:rsid w:val="009B4C38"/>
    <w:rsid w:val="009B5E0A"/>
    <w:rsid w:val="009B651C"/>
    <w:rsid w:val="009B79CE"/>
    <w:rsid w:val="009B7CD1"/>
    <w:rsid w:val="009C0BAA"/>
    <w:rsid w:val="009C0EBA"/>
    <w:rsid w:val="009C168E"/>
    <w:rsid w:val="009C16DA"/>
    <w:rsid w:val="009C2CC4"/>
    <w:rsid w:val="009C49AC"/>
    <w:rsid w:val="009C71C5"/>
    <w:rsid w:val="009C720A"/>
    <w:rsid w:val="009D1A3B"/>
    <w:rsid w:val="009D2D62"/>
    <w:rsid w:val="009D2D77"/>
    <w:rsid w:val="009D2EA1"/>
    <w:rsid w:val="009D3584"/>
    <w:rsid w:val="009D4370"/>
    <w:rsid w:val="009D5440"/>
    <w:rsid w:val="009D61FF"/>
    <w:rsid w:val="009D66FB"/>
    <w:rsid w:val="009D6998"/>
    <w:rsid w:val="009D792D"/>
    <w:rsid w:val="009E05D0"/>
    <w:rsid w:val="009E0AA4"/>
    <w:rsid w:val="009E215D"/>
    <w:rsid w:val="009E244E"/>
    <w:rsid w:val="009E3C7A"/>
    <w:rsid w:val="009E4E5A"/>
    <w:rsid w:val="009E5194"/>
    <w:rsid w:val="009E5990"/>
    <w:rsid w:val="009E7027"/>
    <w:rsid w:val="009E70B3"/>
    <w:rsid w:val="009F22AC"/>
    <w:rsid w:val="009F2BCD"/>
    <w:rsid w:val="009F757A"/>
    <w:rsid w:val="009F7C52"/>
    <w:rsid w:val="00A00442"/>
    <w:rsid w:val="00A00BCF"/>
    <w:rsid w:val="00A00EA7"/>
    <w:rsid w:val="00A010C7"/>
    <w:rsid w:val="00A01256"/>
    <w:rsid w:val="00A0285A"/>
    <w:rsid w:val="00A03762"/>
    <w:rsid w:val="00A047BF"/>
    <w:rsid w:val="00A04F3E"/>
    <w:rsid w:val="00A059F1"/>
    <w:rsid w:val="00A05DA0"/>
    <w:rsid w:val="00A0615D"/>
    <w:rsid w:val="00A068EB"/>
    <w:rsid w:val="00A06A21"/>
    <w:rsid w:val="00A0781F"/>
    <w:rsid w:val="00A10221"/>
    <w:rsid w:val="00A10722"/>
    <w:rsid w:val="00A10F2D"/>
    <w:rsid w:val="00A116B2"/>
    <w:rsid w:val="00A1229D"/>
    <w:rsid w:val="00A12A1B"/>
    <w:rsid w:val="00A12DBD"/>
    <w:rsid w:val="00A1350B"/>
    <w:rsid w:val="00A13E4A"/>
    <w:rsid w:val="00A14D2D"/>
    <w:rsid w:val="00A1500E"/>
    <w:rsid w:val="00A15144"/>
    <w:rsid w:val="00A170F1"/>
    <w:rsid w:val="00A177BE"/>
    <w:rsid w:val="00A20D43"/>
    <w:rsid w:val="00A21077"/>
    <w:rsid w:val="00A2131C"/>
    <w:rsid w:val="00A21BB2"/>
    <w:rsid w:val="00A21F85"/>
    <w:rsid w:val="00A22175"/>
    <w:rsid w:val="00A23548"/>
    <w:rsid w:val="00A245E2"/>
    <w:rsid w:val="00A25C70"/>
    <w:rsid w:val="00A26A97"/>
    <w:rsid w:val="00A26C05"/>
    <w:rsid w:val="00A26C9C"/>
    <w:rsid w:val="00A30623"/>
    <w:rsid w:val="00A30F28"/>
    <w:rsid w:val="00A31593"/>
    <w:rsid w:val="00A31E0E"/>
    <w:rsid w:val="00A322FD"/>
    <w:rsid w:val="00A33094"/>
    <w:rsid w:val="00A34D4F"/>
    <w:rsid w:val="00A35239"/>
    <w:rsid w:val="00A3555C"/>
    <w:rsid w:val="00A35D19"/>
    <w:rsid w:val="00A36DBA"/>
    <w:rsid w:val="00A41258"/>
    <w:rsid w:val="00A41683"/>
    <w:rsid w:val="00A41A82"/>
    <w:rsid w:val="00A41D6F"/>
    <w:rsid w:val="00A42099"/>
    <w:rsid w:val="00A43BEF"/>
    <w:rsid w:val="00A4416F"/>
    <w:rsid w:val="00A44961"/>
    <w:rsid w:val="00A463F8"/>
    <w:rsid w:val="00A46B18"/>
    <w:rsid w:val="00A46D2C"/>
    <w:rsid w:val="00A50746"/>
    <w:rsid w:val="00A51386"/>
    <w:rsid w:val="00A52959"/>
    <w:rsid w:val="00A5436E"/>
    <w:rsid w:val="00A5493A"/>
    <w:rsid w:val="00A54CD9"/>
    <w:rsid w:val="00A5512F"/>
    <w:rsid w:val="00A56112"/>
    <w:rsid w:val="00A57D81"/>
    <w:rsid w:val="00A60223"/>
    <w:rsid w:val="00A6054E"/>
    <w:rsid w:val="00A6084E"/>
    <w:rsid w:val="00A6085E"/>
    <w:rsid w:val="00A62F32"/>
    <w:rsid w:val="00A634AC"/>
    <w:rsid w:val="00A63773"/>
    <w:rsid w:val="00A63777"/>
    <w:rsid w:val="00A64839"/>
    <w:rsid w:val="00A65051"/>
    <w:rsid w:val="00A651CB"/>
    <w:rsid w:val="00A659B9"/>
    <w:rsid w:val="00A65EC6"/>
    <w:rsid w:val="00A66F02"/>
    <w:rsid w:val="00A7042C"/>
    <w:rsid w:val="00A70462"/>
    <w:rsid w:val="00A70BBB"/>
    <w:rsid w:val="00A7164A"/>
    <w:rsid w:val="00A72CDC"/>
    <w:rsid w:val="00A73673"/>
    <w:rsid w:val="00A73780"/>
    <w:rsid w:val="00A74105"/>
    <w:rsid w:val="00A74504"/>
    <w:rsid w:val="00A750B3"/>
    <w:rsid w:val="00A76890"/>
    <w:rsid w:val="00A76A1C"/>
    <w:rsid w:val="00A77748"/>
    <w:rsid w:val="00A8085C"/>
    <w:rsid w:val="00A81460"/>
    <w:rsid w:val="00A8192E"/>
    <w:rsid w:val="00A81F18"/>
    <w:rsid w:val="00A83675"/>
    <w:rsid w:val="00A83862"/>
    <w:rsid w:val="00A84AC0"/>
    <w:rsid w:val="00A84F02"/>
    <w:rsid w:val="00A85FA6"/>
    <w:rsid w:val="00A8695F"/>
    <w:rsid w:val="00A9041A"/>
    <w:rsid w:val="00A91823"/>
    <w:rsid w:val="00A91C0F"/>
    <w:rsid w:val="00A92D8E"/>
    <w:rsid w:val="00A93E72"/>
    <w:rsid w:val="00A949A0"/>
    <w:rsid w:val="00A9558A"/>
    <w:rsid w:val="00A965DB"/>
    <w:rsid w:val="00AA63E5"/>
    <w:rsid w:val="00AA6669"/>
    <w:rsid w:val="00AB062C"/>
    <w:rsid w:val="00AB08B7"/>
    <w:rsid w:val="00AB103E"/>
    <w:rsid w:val="00AB124E"/>
    <w:rsid w:val="00AB1686"/>
    <w:rsid w:val="00AB21BB"/>
    <w:rsid w:val="00AB29B8"/>
    <w:rsid w:val="00AB3928"/>
    <w:rsid w:val="00AB3CCB"/>
    <w:rsid w:val="00AB5B0A"/>
    <w:rsid w:val="00AC014D"/>
    <w:rsid w:val="00AC0201"/>
    <w:rsid w:val="00AC0F98"/>
    <w:rsid w:val="00AC1E83"/>
    <w:rsid w:val="00AC1F85"/>
    <w:rsid w:val="00AC2FA6"/>
    <w:rsid w:val="00AC340A"/>
    <w:rsid w:val="00AC43D5"/>
    <w:rsid w:val="00AC4A50"/>
    <w:rsid w:val="00AC4E80"/>
    <w:rsid w:val="00AD1E27"/>
    <w:rsid w:val="00AD2525"/>
    <w:rsid w:val="00AD3599"/>
    <w:rsid w:val="00AD368F"/>
    <w:rsid w:val="00AD4412"/>
    <w:rsid w:val="00AD5174"/>
    <w:rsid w:val="00AD6388"/>
    <w:rsid w:val="00AD6C77"/>
    <w:rsid w:val="00AD6DFA"/>
    <w:rsid w:val="00AE025B"/>
    <w:rsid w:val="00AE06A3"/>
    <w:rsid w:val="00AE13E4"/>
    <w:rsid w:val="00AE1C25"/>
    <w:rsid w:val="00AE1ED5"/>
    <w:rsid w:val="00AE278C"/>
    <w:rsid w:val="00AE56AE"/>
    <w:rsid w:val="00AE61DF"/>
    <w:rsid w:val="00AE70C1"/>
    <w:rsid w:val="00AF28AF"/>
    <w:rsid w:val="00AF2B65"/>
    <w:rsid w:val="00AF39A3"/>
    <w:rsid w:val="00AF4A58"/>
    <w:rsid w:val="00AF5B10"/>
    <w:rsid w:val="00AF5DE5"/>
    <w:rsid w:val="00AF63B6"/>
    <w:rsid w:val="00AF6974"/>
    <w:rsid w:val="00AF71ED"/>
    <w:rsid w:val="00B013C2"/>
    <w:rsid w:val="00B03985"/>
    <w:rsid w:val="00B0421A"/>
    <w:rsid w:val="00B04976"/>
    <w:rsid w:val="00B05AA1"/>
    <w:rsid w:val="00B06B62"/>
    <w:rsid w:val="00B07389"/>
    <w:rsid w:val="00B07448"/>
    <w:rsid w:val="00B074EA"/>
    <w:rsid w:val="00B10A62"/>
    <w:rsid w:val="00B11515"/>
    <w:rsid w:val="00B13419"/>
    <w:rsid w:val="00B13EE1"/>
    <w:rsid w:val="00B14517"/>
    <w:rsid w:val="00B14F79"/>
    <w:rsid w:val="00B15340"/>
    <w:rsid w:val="00B1665C"/>
    <w:rsid w:val="00B1680E"/>
    <w:rsid w:val="00B20A2B"/>
    <w:rsid w:val="00B20BA7"/>
    <w:rsid w:val="00B2154F"/>
    <w:rsid w:val="00B21AD0"/>
    <w:rsid w:val="00B21D2D"/>
    <w:rsid w:val="00B22CB7"/>
    <w:rsid w:val="00B23202"/>
    <w:rsid w:val="00B244C9"/>
    <w:rsid w:val="00B25024"/>
    <w:rsid w:val="00B255AC"/>
    <w:rsid w:val="00B26A16"/>
    <w:rsid w:val="00B26D00"/>
    <w:rsid w:val="00B278C9"/>
    <w:rsid w:val="00B3020A"/>
    <w:rsid w:val="00B305F1"/>
    <w:rsid w:val="00B31019"/>
    <w:rsid w:val="00B31A03"/>
    <w:rsid w:val="00B31ADD"/>
    <w:rsid w:val="00B31D27"/>
    <w:rsid w:val="00B34A99"/>
    <w:rsid w:val="00B350E5"/>
    <w:rsid w:val="00B36146"/>
    <w:rsid w:val="00B3619A"/>
    <w:rsid w:val="00B37D6B"/>
    <w:rsid w:val="00B426C8"/>
    <w:rsid w:val="00B4294B"/>
    <w:rsid w:val="00B43390"/>
    <w:rsid w:val="00B441C0"/>
    <w:rsid w:val="00B44495"/>
    <w:rsid w:val="00B4753D"/>
    <w:rsid w:val="00B478AC"/>
    <w:rsid w:val="00B50B3B"/>
    <w:rsid w:val="00B52FE8"/>
    <w:rsid w:val="00B53ECC"/>
    <w:rsid w:val="00B54D02"/>
    <w:rsid w:val="00B55D1C"/>
    <w:rsid w:val="00B5628B"/>
    <w:rsid w:val="00B5688F"/>
    <w:rsid w:val="00B56D74"/>
    <w:rsid w:val="00B56F10"/>
    <w:rsid w:val="00B576D1"/>
    <w:rsid w:val="00B614A8"/>
    <w:rsid w:val="00B6327B"/>
    <w:rsid w:val="00B633AA"/>
    <w:rsid w:val="00B638B4"/>
    <w:rsid w:val="00B6392A"/>
    <w:rsid w:val="00B644BD"/>
    <w:rsid w:val="00B64750"/>
    <w:rsid w:val="00B64904"/>
    <w:rsid w:val="00B64996"/>
    <w:rsid w:val="00B6578E"/>
    <w:rsid w:val="00B65C13"/>
    <w:rsid w:val="00B665E0"/>
    <w:rsid w:val="00B67E7D"/>
    <w:rsid w:val="00B700CF"/>
    <w:rsid w:val="00B704A8"/>
    <w:rsid w:val="00B705E2"/>
    <w:rsid w:val="00B70A58"/>
    <w:rsid w:val="00B71E5B"/>
    <w:rsid w:val="00B725CF"/>
    <w:rsid w:val="00B72AF7"/>
    <w:rsid w:val="00B72E65"/>
    <w:rsid w:val="00B7414A"/>
    <w:rsid w:val="00B75026"/>
    <w:rsid w:val="00B75AE5"/>
    <w:rsid w:val="00B77B92"/>
    <w:rsid w:val="00B8172A"/>
    <w:rsid w:val="00B81BAC"/>
    <w:rsid w:val="00B8268D"/>
    <w:rsid w:val="00B82ECA"/>
    <w:rsid w:val="00B8355B"/>
    <w:rsid w:val="00B83DC5"/>
    <w:rsid w:val="00B86A8E"/>
    <w:rsid w:val="00B875A3"/>
    <w:rsid w:val="00B90C1D"/>
    <w:rsid w:val="00B90CFA"/>
    <w:rsid w:val="00B9107A"/>
    <w:rsid w:val="00B911AA"/>
    <w:rsid w:val="00B91319"/>
    <w:rsid w:val="00B91690"/>
    <w:rsid w:val="00B919DA"/>
    <w:rsid w:val="00B92667"/>
    <w:rsid w:val="00B931E9"/>
    <w:rsid w:val="00B95F0B"/>
    <w:rsid w:val="00B9776C"/>
    <w:rsid w:val="00B97974"/>
    <w:rsid w:val="00BA1F2E"/>
    <w:rsid w:val="00BA2C20"/>
    <w:rsid w:val="00BA4A3B"/>
    <w:rsid w:val="00BA4BA4"/>
    <w:rsid w:val="00BA4E91"/>
    <w:rsid w:val="00BA6BF4"/>
    <w:rsid w:val="00BA7646"/>
    <w:rsid w:val="00BB080F"/>
    <w:rsid w:val="00BB0F79"/>
    <w:rsid w:val="00BB1FEE"/>
    <w:rsid w:val="00BB2E01"/>
    <w:rsid w:val="00BB3CB4"/>
    <w:rsid w:val="00BB3D21"/>
    <w:rsid w:val="00BB4E20"/>
    <w:rsid w:val="00BB4F9E"/>
    <w:rsid w:val="00BB586A"/>
    <w:rsid w:val="00BB72FC"/>
    <w:rsid w:val="00BB77CA"/>
    <w:rsid w:val="00BC2456"/>
    <w:rsid w:val="00BC3085"/>
    <w:rsid w:val="00BC35D6"/>
    <w:rsid w:val="00BC42ED"/>
    <w:rsid w:val="00BC5346"/>
    <w:rsid w:val="00BC6C6A"/>
    <w:rsid w:val="00BC6DCD"/>
    <w:rsid w:val="00BC7BC6"/>
    <w:rsid w:val="00BC7FDC"/>
    <w:rsid w:val="00BD06EC"/>
    <w:rsid w:val="00BD31D5"/>
    <w:rsid w:val="00BD5365"/>
    <w:rsid w:val="00BD6AB4"/>
    <w:rsid w:val="00BE0A3B"/>
    <w:rsid w:val="00BE3E41"/>
    <w:rsid w:val="00BE6485"/>
    <w:rsid w:val="00BE73C5"/>
    <w:rsid w:val="00BE7B47"/>
    <w:rsid w:val="00BE7FDB"/>
    <w:rsid w:val="00BF0C56"/>
    <w:rsid w:val="00BF2520"/>
    <w:rsid w:val="00BF276C"/>
    <w:rsid w:val="00BF37D2"/>
    <w:rsid w:val="00BF3EF5"/>
    <w:rsid w:val="00BF4174"/>
    <w:rsid w:val="00BF54B4"/>
    <w:rsid w:val="00BF567B"/>
    <w:rsid w:val="00BF74FE"/>
    <w:rsid w:val="00C00897"/>
    <w:rsid w:val="00C02045"/>
    <w:rsid w:val="00C02474"/>
    <w:rsid w:val="00C03CF8"/>
    <w:rsid w:val="00C07282"/>
    <w:rsid w:val="00C074A8"/>
    <w:rsid w:val="00C07A48"/>
    <w:rsid w:val="00C106E7"/>
    <w:rsid w:val="00C12A4F"/>
    <w:rsid w:val="00C13CA0"/>
    <w:rsid w:val="00C15822"/>
    <w:rsid w:val="00C15D31"/>
    <w:rsid w:val="00C23266"/>
    <w:rsid w:val="00C233A7"/>
    <w:rsid w:val="00C2428C"/>
    <w:rsid w:val="00C24B2C"/>
    <w:rsid w:val="00C250FF"/>
    <w:rsid w:val="00C273C1"/>
    <w:rsid w:val="00C2748F"/>
    <w:rsid w:val="00C27984"/>
    <w:rsid w:val="00C3076B"/>
    <w:rsid w:val="00C3155A"/>
    <w:rsid w:val="00C33C44"/>
    <w:rsid w:val="00C33FCB"/>
    <w:rsid w:val="00C353EB"/>
    <w:rsid w:val="00C356F5"/>
    <w:rsid w:val="00C35B77"/>
    <w:rsid w:val="00C41261"/>
    <w:rsid w:val="00C42BAB"/>
    <w:rsid w:val="00C42CC9"/>
    <w:rsid w:val="00C4644D"/>
    <w:rsid w:val="00C467CC"/>
    <w:rsid w:val="00C46FB8"/>
    <w:rsid w:val="00C51378"/>
    <w:rsid w:val="00C519A2"/>
    <w:rsid w:val="00C60182"/>
    <w:rsid w:val="00C604F2"/>
    <w:rsid w:val="00C6058C"/>
    <w:rsid w:val="00C605C4"/>
    <w:rsid w:val="00C60747"/>
    <w:rsid w:val="00C60F46"/>
    <w:rsid w:val="00C6204C"/>
    <w:rsid w:val="00C63584"/>
    <w:rsid w:val="00C65A61"/>
    <w:rsid w:val="00C65BDA"/>
    <w:rsid w:val="00C65FD5"/>
    <w:rsid w:val="00C66328"/>
    <w:rsid w:val="00C669B9"/>
    <w:rsid w:val="00C7005B"/>
    <w:rsid w:val="00C70A20"/>
    <w:rsid w:val="00C71B10"/>
    <w:rsid w:val="00C71C7C"/>
    <w:rsid w:val="00C730FA"/>
    <w:rsid w:val="00C739BA"/>
    <w:rsid w:val="00C73E1F"/>
    <w:rsid w:val="00C745B5"/>
    <w:rsid w:val="00C74DE4"/>
    <w:rsid w:val="00C751AE"/>
    <w:rsid w:val="00C75B92"/>
    <w:rsid w:val="00C75D27"/>
    <w:rsid w:val="00C76558"/>
    <w:rsid w:val="00C76634"/>
    <w:rsid w:val="00C769FB"/>
    <w:rsid w:val="00C76E5D"/>
    <w:rsid w:val="00C778F3"/>
    <w:rsid w:val="00C80E2B"/>
    <w:rsid w:val="00C81D52"/>
    <w:rsid w:val="00C8233D"/>
    <w:rsid w:val="00C83A5A"/>
    <w:rsid w:val="00C83C1B"/>
    <w:rsid w:val="00C84927"/>
    <w:rsid w:val="00C852E7"/>
    <w:rsid w:val="00C8676C"/>
    <w:rsid w:val="00C874EE"/>
    <w:rsid w:val="00C902B1"/>
    <w:rsid w:val="00C9322F"/>
    <w:rsid w:val="00C952D7"/>
    <w:rsid w:val="00C95712"/>
    <w:rsid w:val="00C95DFB"/>
    <w:rsid w:val="00C96A37"/>
    <w:rsid w:val="00CA01B4"/>
    <w:rsid w:val="00CA01E9"/>
    <w:rsid w:val="00CA0CE0"/>
    <w:rsid w:val="00CA1161"/>
    <w:rsid w:val="00CA12D4"/>
    <w:rsid w:val="00CA2819"/>
    <w:rsid w:val="00CA3369"/>
    <w:rsid w:val="00CA59B1"/>
    <w:rsid w:val="00CA62E0"/>
    <w:rsid w:val="00CB0B1C"/>
    <w:rsid w:val="00CB349F"/>
    <w:rsid w:val="00CB384C"/>
    <w:rsid w:val="00CB3BC8"/>
    <w:rsid w:val="00CB3D66"/>
    <w:rsid w:val="00CB4B39"/>
    <w:rsid w:val="00CB4C65"/>
    <w:rsid w:val="00CB4C6D"/>
    <w:rsid w:val="00CB4E3D"/>
    <w:rsid w:val="00CB63B4"/>
    <w:rsid w:val="00CC000F"/>
    <w:rsid w:val="00CC0310"/>
    <w:rsid w:val="00CC0AC0"/>
    <w:rsid w:val="00CC1205"/>
    <w:rsid w:val="00CC25A4"/>
    <w:rsid w:val="00CC36FF"/>
    <w:rsid w:val="00CC489F"/>
    <w:rsid w:val="00CC4EC5"/>
    <w:rsid w:val="00CC54D7"/>
    <w:rsid w:val="00CC57FB"/>
    <w:rsid w:val="00CC6303"/>
    <w:rsid w:val="00CC727D"/>
    <w:rsid w:val="00CD048F"/>
    <w:rsid w:val="00CD07CE"/>
    <w:rsid w:val="00CD095C"/>
    <w:rsid w:val="00CD1BC9"/>
    <w:rsid w:val="00CD2674"/>
    <w:rsid w:val="00CD2E4F"/>
    <w:rsid w:val="00CD36A6"/>
    <w:rsid w:val="00CD4533"/>
    <w:rsid w:val="00CD461F"/>
    <w:rsid w:val="00CD502D"/>
    <w:rsid w:val="00CD6D6C"/>
    <w:rsid w:val="00CD7C8F"/>
    <w:rsid w:val="00CE015C"/>
    <w:rsid w:val="00CE14AE"/>
    <w:rsid w:val="00CE1F7B"/>
    <w:rsid w:val="00CE202C"/>
    <w:rsid w:val="00CE24A0"/>
    <w:rsid w:val="00CE2542"/>
    <w:rsid w:val="00CE3573"/>
    <w:rsid w:val="00CE3B01"/>
    <w:rsid w:val="00CE4092"/>
    <w:rsid w:val="00CE7130"/>
    <w:rsid w:val="00CF093D"/>
    <w:rsid w:val="00CF16A2"/>
    <w:rsid w:val="00CF1EAE"/>
    <w:rsid w:val="00CF2882"/>
    <w:rsid w:val="00CF359C"/>
    <w:rsid w:val="00CF405C"/>
    <w:rsid w:val="00CF41AE"/>
    <w:rsid w:val="00CF4D1D"/>
    <w:rsid w:val="00CF52DC"/>
    <w:rsid w:val="00CF6723"/>
    <w:rsid w:val="00CF6E29"/>
    <w:rsid w:val="00CF7050"/>
    <w:rsid w:val="00CF710B"/>
    <w:rsid w:val="00D00036"/>
    <w:rsid w:val="00D00146"/>
    <w:rsid w:val="00D00368"/>
    <w:rsid w:val="00D01439"/>
    <w:rsid w:val="00D01B42"/>
    <w:rsid w:val="00D02150"/>
    <w:rsid w:val="00D02EF7"/>
    <w:rsid w:val="00D04C19"/>
    <w:rsid w:val="00D05099"/>
    <w:rsid w:val="00D06888"/>
    <w:rsid w:val="00D068BB"/>
    <w:rsid w:val="00D06CAB"/>
    <w:rsid w:val="00D075EB"/>
    <w:rsid w:val="00D078B4"/>
    <w:rsid w:val="00D10598"/>
    <w:rsid w:val="00D150FF"/>
    <w:rsid w:val="00D154E6"/>
    <w:rsid w:val="00D16D55"/>
    <w:rsid w:val="00D209EA"/>
    <w:rsid w:val="00D20F09"/>
    <w:rsid w:val="00D2176C"/>
    <w:rsid w:val="00D222C7"/>
    <w:rsid w:val="00D237DA"/>
    <w:rsid w:val="00D23CC7"/>
    <w:rsid w:val="00D2433E"/>
    <w:rsid w:val="00D27C0F"/>
    <w:rsid w:val="00D302C2"/>
    <w:rsid w:val="00D30563"/>
    <w:rsid w:val="00D30BC2"/>
    <w:rsid w:val="00D31A00"/>
    <w:rsid w:val="00D33F8C"/>
    <w:rsid w:val="00D349A5"/>
    <w:rsid w:val="00D35AD2"/>
    <w:rsid w:val="00D400D5"/>
    <w:rsid w:val="00D40AC0"/>
    <w:rsid w:val="00D418E5"/>
    <w:rsid w:val="00D41D06"/>
    <w:rsid w:val="00D42508"/>
    <w:rsid w:val="00D43042"/>
    <w:rsid w:val="00D43079"/>
    <w:rsid w:val="00D44D55"/>
    <w:rsid w:val="00D4797F"/>
    <w:rsid w:val="00D52233"/>
    <w:rsid w:val="00D5298F"/>
    <w:rsid w:val="00D53F39"/>
    <w:rsid w:val="00D55D35"/>
    <w:rsid w:val="00D564D6"/>
    <w:rsid w:val="00D6041A"/>
    <w:rsid w:val="00D614BD"/>
    <w:rsid w:val="00D61DF8"/>
    <w:rsid w:val="00D62425"/>
    <w:rsid w:val="00D62D64"/>
    <w:rsid w:val="00D62F01"/>
    <w:rsid w:val="00D63902"/>
    <w:rsid w:val="00D650A9"/>
    <w:rsid w:val="00D65B05"/>
    <w:rsid w:val="00D67C6C"/>
    <w:rsid w:val="00D67E1E"/>
    <w:rsid w:val="00D70001"/>
    <w:rsid w:val="00D71D1A"/>
    <w:rsid w:val="00D72D31"/>
    <w:rsid w:val="00D73A9E"/>
    <w:rsid w:val="00D75E1B"/>
    <w:rsid w:val="00D7752D"/>
    <w:rsid w:val="00D80D7E"/>
    <w:rsid w:val="00D8550C"/>
    <w:rsid w:val="00D858BD"/>
    <w:rsid w:val="00D85A21"/>
    <w:rsid w:val="00D8656C"/>
    <w:rsid w:val="00D865E0"/>
    <w:rsid w:val="00D867AD"/>
    <w:rsid w:val="00D878EE"/>
    <w:rsid w:val="00D87B89"/>
    <w:rsid w:val="00D87C5D"/>
    <w:rsid w:val="00D9051D"/>
    <w:rsid w:val="00D913E6"/>
    <w:rsid w:val="00D920AA"/>
    <w:rsid w:val="00D9359F"/>
    <w:rsid w:val="00D952C6"/>
    <w:rsid w:val="00DA032E"/>
    <w:rsid w:val="00DA1EF6"/>
    <w:rsid w:val="00DA1F46"/>
    <w:rsid w:val="00DA2CAB"/>
    <w:rsid w:val="00DA3496"/>
    <w:rsid w:val="00DA49EB"/>
    <w:rsid w:val="00DA4B8B"/>
    <w:rsid w:val="00DA5948"/>
    <w:rsid w:val="00DA6B70"/>
    <w:rsid w:val="00DA71F8"/>
    <w:rsid w:val="00DA79CA"/>
    <w:rsid w:val="00DB0B67"/>
    <w:rsid w:val="00DB119C"/>
    <w:rsid w:val="00DB12B0"/>
    <w:rsid w:val="00DB16EA"/>
    <w:rsid w:val="00DB21D7"/>
    <w:rsid w:val="00DB2271"/>
    <w:rsid w:val="00DB417D"/>
    <w:rsid w:val="00DB4E20"/>
    <w:rsid w:val="00DB4F1F"/>
    <w:rsid w:val="00DB51EF"/>
    <w:rsid w:val="00DB6407"/>
    <w:rsid w:val="00DB662F"/>
    <w:rsid w:val="00DC0C9D"/>
    <w:rsid w:val="00DC0F99"/>
    <w:rsid w:val="00DC1FE2"/>
    <w:rsid w:val="00DC2859"/>
    <w:rsid w:val="00DC29DF"/>
    <w:rsid w:val="00DC3399"/>
    <w:rsid w:val="00DC3964"/>
    <w:rsid w:val="00DC4BF4"/>
    <w:rsid w:val="00DC6501"/>
    <w:rsid w:val="00DC6E28"/>
    <w:rsid w:val="00DD099D"/>
    <w:rsid w:val="00DD226F"/>
    <w:rsid w:val="00DD38AA"/>
    <w:rsid w:val="00DD4AA3"/>
    <w:rsid w:val="00DD5478"/>
    <w:rsid w:val="00DD5D9F"/>
    <w:rsid w:val="00DD61EA"/>
    <w:rsid w:val="00DD6750"/>
    <w:rsid w:val="00DD7563"/>
    <w:rsid w:val="00DD7A05"/>
    <w:rsid w:val="00DE07AF"/>
    <w:rsid w:val="00DE10EC"/>
    <w:rsid w:val="00DE20AA"/>
    <w:rsid w:val="00DE2419"/>
    <w:rsid w:val="00DE30F9"/>
    <w:rsid w:val="00DE3766"/>
    <w:rsid w:val="00DE46F0"/>
    <w:rsid w:val="00DE5521"/>
    <w:rsid w:val="00DE5BAF"/>
    <w:rsid w:val="00DE5FCA"/>
    <w:rsid w:val="00DE765B"/>
    <w:rsid w:val="00DE7BF2"/>
    <w:rsid w:val="00DF1622"/>
    <w:rsid w:val="00DF1A2E"/>
    <w:rsid w:val="00DF1ECC"/>
    <w:rsid w:val="00DF32E0"/>
    <w:rsid w:val="00DF3668"/>
    <w:rsid w:val="00DF38CB"/>
    <w:rsid w:val="00DF58CB"/>
    <w:rsid w:val="00DF5DB5"/>
    <w:rsid w:val="00DF5FA4"/>
    <w:rsid w:val="00DF6A51"/>
    <w:rsid w:val="00DF7485"/>
    <w:rsid w:val="00E001D8"/>
    <w:rsid w:val="00E0089F"/>
    <w:rsid w:val="00E00C73"/>
    <w:rsid w:val="00E0278E"/>
    <w:rsid w:val="00E02BA1"/>
    <w:rsid w:val="00E03AED"/>
    <w:rsid w:val="00E056F3"/>
    <w:rsid w:val="00E05FA5"/>
    <w:rsid w:val="00E104CE"/>
    <w:rsid w:val="00E105FB"/>
    <w:rsid w:val="00E11C4E"/>
    <w:rsid w:val="00E11E23"/>
    <w:rsid w:val="00E123D7"/>
    <w:rsid w:val="00E12E5B"/>
    <w:rsid w:val="00E13078"/>
    <w:rsid w:val="00E14840"/>
    <w:rsid w:val="00E14920"/>
    <w:rsid w:val="00E158BE"/>
    <w:rsid w:val="00E163AF"/>
    <w:rsid w:val="00E2124C"/>
    <w:rsid w:val="00E21754"/>
    <w:rsid w:val="00E241FF"/>
    <w:rsid w:val="00E253AA"/>
    <w:rsid w:val="00E2634A"/>
    <w:rsid w:val="00E26C7C"/>
    <w:rsid w:val="00E26C95"/>
    <w:rsid w:val="00E27053"/>
    <w:rsid w:val="00E27698"/>
    <w:rsid w:val="00E277D7"/>
    <w:rsid w:val="00E30784"/>
    <w:rsid w:val="00E31135"/>
    <w:rsid w:val="00E3138B"/>
    <w:rsid w:val="00E34669"/>
    <w:rsid w:val="00E35773"/>
    <w:rsid w:val="00E3577F"/>
    <w:rsid w:val="00E35EF1"/>
    <w:rsid w:val="00E37941"/>
    <w:rsid w:val="00E40013"/>
    <w:rsid w:val="00E404A1"/>
    <w:rsid w:val="00E4111C"/>
    <w:rsid w:val="00E413AB"/>
    <w:rsid w:val="00E41E76"/>
    <w:rsid w:val="00E44A47"/>
    <w:rsid w:val="00E47814"/>
    <w:rsid w:val="00E50A7A"/>
    <w:rsid w:val="00E51E94"/>
    <w:rsid w:val="00E5441D"/>
    <w:rsid w:val="00E5586C"/>
    <w:rsid w:val="00E57082"/>
    <w:rsid w:val="00E57CD9"/>
    <w:rsid w:val="00E60175"/>
    <w:rsid w:val="00E60888"/>
    <w:rsid w:val="00E614BB"/>
    <w:rsid w:val="00E617C7"/>
    <w:rsid w:val="00E61817"/>
    <w:rsid w:val="00E61ACD"/>
    <w:rsid w:val="00E665D9"/>
    <w:rsid w:val="00E6794D"/>
    <w:rsid w:val="00E712F6"/>
    <w:rsid w:val="00E71A6F"/>
    <w:rsid w:val="00E72117"/>
    <w:rsid w:val="00E72601"/>
    <w:rsid w:val="00E75433"/>
    <w:rsid w:val="00E772FB"/>
    <w:rsid w:val="00E773AF"/>
    <w:rsid w:val="00E80C7D"/>
    <w:rsid w:val="00E81DAE"/>
    <w:rsid w:val="00E81E97"/>
    <w:rsid w:val="00E825CF"/>
    <w:rsid w:val="00E82DF9"/>
    <w:rsid w:val="00E83B2E"/>
    <w:rsid w:val="00E85283"/>
    <w:rsid w:val="00E85C4B"/>
    <w:rsid w:val="00E877AB"/>
    <w:rsid w:val="00E87A51"/>
    <w:rsid w:val="00E9326E"/>
    <w:rsid w:val="00E936DE"/>
    <w:rsid w:val="00E93DDB"/>
    <w:rsid w:val="00E95240"/>
    <w:rsid w:val="00E96C21"/>
    <w:rsid w:val="00E96F8A"/>
    <w:rsid w:val="00E97CC1"/>
    <w:rsid w:val="00EA0447"/>
    <w:rsid w:val="00EA054C"/>
    <w:rsid w:val="00EA1A8F"/>
    <w:rsid w:val="00EA2432"/>
    <w:rsid w:val="00EA26F2"/>
    <w:rsid w:val="00EA30A4"/>
    <w:rsid w:val="00EA3956"/>
    <w:rsid w:val="00EA490B"/>
    <w:rsid w:val="00EA65D5"/>
    <w:rsid w:val="00EA6FA1"/>
    <w:rsid w:val="00EB1023"/>
    <w:rsid w:val="00EB2F00"/>
    <w:rsid w:val="00EB4054"/>
    <w:rsid w:val="00EB4F0E"/>
    <w:rsid w:val="00EB5D27"/>
    <w:rsid w:val="00EB6B07"/>
    <w:rsid w:val="00EC098B"/>
    <w:rsid w:val="00EC0EE7"/>
    <w:rsid w:val="00EC16CB"/>
    <w:rsid w:val="00EC1A6C"/>
    <w:rsid w:val="00EC1E34"/>
    <w:rsid w:val="00EC2B06"/>
    <w:rsid w:val="00EC482B"/>
    <w:rsid w:val="00EC546B"/>
    <w:rsid w:val="00EC7360"/>
    <w:rsid w:val="00EC7C1A"/>
    <w:rsid w:val="00ED04D9"/>
    <w:rsid w:val="00ED0D55"/>
    <w:rsid w:val="00ED1089"/>
    <w:rsid w:val="00ED20BC"/>
    <w:rsid w:val="00ED2E8C"/>
    <w:rsid w:val="00ED5087"/>
    <w:rsid w:val="00ED7509"/>
    <w:rsid w:val="00EE0E93"/>
    <w:rsid w:val="00EE0F85"/>
    <w:rsid w:val="00EE1045"/>
    <w:rsid w:val="00EE152A"/>
    <w:rsid w:val="00EE1E2D"/>
    <w:rsid w:val="00EE3E3D"/>
    <w:rsid w:val="00EE4BA4"/>
    <w:rsid w:val="00EE507B"/>
    <w:rsid w:val="00EE5DE3"/>
    <w:rsid w:val="00EE6585"/>
    <w:rsid w:val="00EE663A"/>
    <w:rsid w:val="00EF33C0"/>
    <w:rsid w:val="00EF48A6"/>
    <w:rsid w:val="00EF546F"/>
    <w:rsid w:val="00EF7FF2"/>
    <w:rsid w:val="00F00E76"/>
    <w:rsid w:val="00F032B8"/>
    <w:rsid w:val="00F033BD"/>
    <w:rsid w:val="00F04684"/>
    <w:rsid w:val="00F04FD2"/>
    <w:rsid w:val="00F05E4F"/>
    <w:rsid w:val="00F06779"/>
    <w:rsid w:val="00F10316"/>
    <w:rsid w:val="00F10AD3"/>
    <w:rsid w:val="00F11DF1"/>
    <w:rsid w:val="00F1281E"/>
    <w:rsid w:val="00F131E6"/>
    <w:rsid w:val="00F13331"/>
    <w:rsid w:val="00F15EE6"/>
    <w:rsid w:val="00F16075"/>
    <w:rsid w:val="00F16FAD"/>
    <w:rsid w:val="00F1717D"/>
    <w:rsid w:val="00F171F0"/>
    <w:rsid w:val="00F209E7"/>
    <w:rsid w:val="00F21D06"/>
    <w:rsid w:val="00F21D3C"/>
    <w:rsid w:val="00F22230"/>
    <w:rsid w:val="00F22B49"/>
    <w:rsid w:val="00F22D2A"/>
    <w:rsid w:val="00F2318C"/>
    <w:rsid w:val="00F2593A"/>
    <w:rsid w:val="00F26751"/>
    <w:rsid w:val="00F306AF"/>
    <w:rsid w:val="00F30869"/>
    <w:rsid w:val="00F34C5F"/>
    <w:rsid w:val="00F353D7"/>
    <w:rsid w:val="00F35E4E"/>
    <w:rsid w:val="00F362BD"/>
    <w:rsid w:val="00F37317"/>
    <w:rsid w:val="00F37F6B"/>
    <w:rsid w:val="00F404F4"/>
    <w:rsid w:val="00F429F9"/>
    <w:rsid w:val="00F45147"/>
    <w:rsid w:val="00F4682B"/>
    <w:rsid w:val="00F470C1"/>
    <w:rsid w:val="00F50798"/>
    <w:rsid w:val="00F52423"/>
    <w:rsid w:val="00F54004"/>
    <w:rsid w:val="00F546DE"/>
    <w:rsid w:val="00F546FD"/>
    <w:rsid w:val="00F54B97"/>
    <w:rsid w:val="00F563D9"/>
    <w:rsid w:val="00F56684"/>
    <w:rsid w:val="00F57505"/>
    <w:rsid w:val="00F578F2"/>
    <w:rsid w:val="00F6050E"/>
    <w:rsid w:val="00F61F33"/>
    <w:rsid w:val="00F6353C"/>
    <w:rsid w:val="00F63850"/>
    <w:rsid w:val="00F64A2E"/>
    <w:rsid w:val="00F64B0D"/>
    <w:rsid w:val="00F662A1"/>
    <w:rsid w:val="00F66369"/>
    <w:rsid w:val="00F668D6"/>
    <w:rsid w:val="00F67739"/>
    <w:rsid w:val="00F7181C"/>
    <w:rsid w:val="00F72728"/>
    <w:rsid w:val="00F7418F"/>
    <w:rsid w:val="00F74681"/>
    <w:rsid w:val="00F74966"/>
    <w:rsid w:val="00F75B05"/>
    <w:rsid w:val="00F75BF2"/>
    <w:rsid w:val="00F76EE5"/>
    <w:rsid w:val="00F8038D"/>
    <w:rsid w:val="00F80865"/>
    <w:rsid w:val="00F811CE"/>
    <w:rsid w:val="00F8271D"/>
    <w:rsid w:val="00F82A4A"/>
    <w:rsid w:val="00F85411"/>
    <w:rsid w:val="00F854EC"/>
    <w:rsid w:val="00F85A42"/>
    <w:rsid w:val="00F87934"/>
    <w:rsid w:val="00F916D1"/>
    <w:rsid w:val="00F91B73"/>
    <w:rsid w:val="00F91E0C"/>
    <w:rsid w:val="00F9233C"/>
    <w:rsid w:val="00F93C02"/>
    <w:rsid w:val="00F9405D"/>
    <w:rsid w:val="00F9518C"/>
    <w:rsid w:val="00F952FF"/>
    <w:rsid w:val="00F9762C"/>
    <w:rsid w:val="00F97E6F"/>
    <w:rsid w:val="00FA0226"/>
    <w:rsid w:val="00FA121B"/>
    <w:rsid w:val="00FA12D0"/>
    <w:rsid w:val="00FA40F1"/>
    <w:rsid w:val="00FA4217"/>
    <w:rsid w:val="00FA5115"/>
    <w:rsid w:val="00FA6065"/>
    <w:rsid w:val="00FA71AF"/>
    <w:rsid w:val="00FA7823"/>
    <w:rsid w:val="00FB1878"/>
    <w:rsid w:val="00FB19F1"/>
    <w:rsid w:val="00FB2143"/>
    <w:rsid w:val="00FB3AC0"/>
    <w:rsid w:val="00FB51EB"/>
    <w:rsid w:val="00FC3C21"/>
    <w:rsid w:val="00FC4643"/>
    <w:rsid w:val="00FC4FB4"/>
    <w:rsid w:val="00FC5EA5"/>
    <w:rsid w:val="00FC6DA9"/>
    <w:rsid w:val="00FC725F"/>
    <w:rsid w:val="00FC7852"/>
    <w:rsid w:val="00FD1544"/>
    <w:rsid w:val="00FD15B1"/>
    <w:rsid w:val="00FD1DC1"/>
    <w:rsid w:val="00FD1FC6"/>
    <w:rsid w:val="00FD2249"/>
    <w:rsid w:val="00FD23B3"/>
    <w:rsid w:val="00FD4F4D"/>
    <w:rsid w:val="00FD50FF"/>
    <w:rsid w:val="00FD66B3"/>
    <w:rsid w:val="00FD702C"/>
    <w:rsid w:val="00FD7742"/>
    <w:rsid w:val="00FD7C36"/>
    <w:rsid w:val="00FE010F"/>
    <w:rsid w:val="00FE0A37"/>
    <w:rsid w:val="00FE1A72"/>
    <w:rsid w:val="00FE306C"/>
    <w:rsid w:val="00FE3804"/>
    <w:rsid w:val="00FE51EE"/>
    <w:rsid w:val="00FE6598"/>
    <w:rsid w:val="00FE69DA"/>
    <w:rsid w:val="00FF0233"/>
    <w:rsid w:val="00FF2D48"/>
    <w:rsid w:val="00FF332B"/>
    <w:rsid w:val="00FF35E2"/>
    <w:rsid w:val="00FF3D19"/>
    <w:rsid w:val="00FF404E"/>
    <w:rsid w:val="00FF464C"/>
    <w:rsid w:val="00FF5365"/>
    <w:rsid w:val="00FF58F8"/>
    <w:rsid w:val="00FF6F3F"/>
    <w:rsid w:val="00FF71CC"/>
    <w:rsid w:val="00FF79E1"/>
    <w:rsid w:val="00FF7A19"/>
    <w:rsid w:val="0197646C"/>
    <w:rsid w:val="01D14C78"/>
    <w:rsid w:val="02080216"/>
    <w:rsid w:val="02DD33AD"/>
    <w:rsid w:val="02E453B1"/>
    <w:rsid w:val="02E95234"/>
    <w:rsid w:val="031D2A84"/>
    <w:rsid w:val="036C38B1"/>
    <w:rsid w:val="03905078"/>
    <w:rsid w:val="03BA71F7"/>
    <w:rsid w:val="045A4AFD"/>
    <w:rsid w:val="04635C33"/>
    <w:rsid w:val="04A95786"/>
    <w:rsid w:val="06BE7F58"/>
    <w:rsid w:val="06E171A4"/>
    <w:rsid w:val="07354BE2"/>
    <w:rsid w:val="076A180B"/>
    <w:rsid w:val="07B02AA0"/>
    <w:rsid w:val="07CA3CCC"/>
    <w:rsid w:val="07EB029E"/>
    <w:rsid w:val="09F511E3"/>
    <w:rsid w:val="0AE80876"/>
    <w:rsid w:val="0B076BC8"/>
    <w:rsid w:val="0CDA7707"/>
    <w:rsid w:val="0CF85436"/>
    <w:rsid w:val="0D9F0070"/>
    <w:rsid w:val="0DE62171"/>
    <w:rsid w:val="0E3E7F64"/>
    <w:rsid w:val="0E527F6D"/>
    <w:rsid w:val="0E7E6900"/>
    <w:rsid w:val="0EE863D9"/>
    <w:rsid w:val="11513438"/>
    <w:rsid w:val="11BB0B0F"/>
    <w:rsid w:val="12C733B4"/>
    <w:rsid w:val="13724E6D"/>
    <w:rsid w:val="137663FA"/>
    <w:rsid w:val="149A40EB"/>
    <w:rsid w:val="14B92683"/>
    <w:rsid w:val="15834CEE"/>
    <w:rsid w:val="15A44651"/>
    <w:rsid w:val="15E02E68"/>
    <w:rsid w:val="165A4927"/>
    <w:rsid w:val="168C5B5B"/>
    <w:rsid w:val="171E4694"/>
    <w:rsid w:val="1859635E"/>
    <w:rsid w:val="188F2C49"/>
    <w:rsid w:val="19DE51FB"/>
    <w:rsid w:val="1A5326BB"/>
    <w:rsid w:val="1A9A483F"/>
    <w:rsid w:val="1BA0441A"/>
    <w:rsid w:val="1BDD588F"/>
    <w:rsid w:val="1C595DD4"/>
    <w:rsid w:val="1C5B334F"/>
    <w:rsid w:val="1CF65D04"/>
    <w:rsid w:val="1D0F67DE"/>
    <w:rsid w:val="1DE430D9"/>
    <w:rsid w:val="1DF64549"/>
    <w:rsid w:val="1E06634F"/>
    <w:rsid w:val="1EA2065E"/>
    <w:rsid w:val="1F3367F5"/>
    <w:rsid w:val="1FD60205"/>
    <w:rsid w:val="1FFE5FCF"/>
    <w:rsid w:val="20205BCA"/>
    <w:rsid w:val="23A432CF"/>
    <w:rsid w:val="23D66B40"/>
    <w:rsid w:val="24662937"/>
    <w:rsid w:val="24AD52A9"/>
    <w:rsid w:val="24B028C5"/>
    <w:rsid w:val="250C30B2"/>
    <w:rsid w:val="2540383D"/>
    <w:rsid w:val="254C5D7B"/>
    <w:rsid w:val="25A877E6"/>
    <w:rsid w:val="25C43BE1"/>
    <w:rsid w:val="26754E25"/>
    <w:rsid w:val="2679460E"/>
    <w:rsid w:val="26BD3BAE"/>
    <w:rsid w:val="27A32D51"/>
    <w:rsid w:val="28402A0D"/>
    <w:rsid w:val="28654B3B"/>
    <w:rsid w:val="289730C3"/>
    <w:rsid w:val="29CD2CBB"/>
    <w:rsid w:val="2A0B6B85"/>
    <w:rsid w:val="2A8B7AF9"/>
    <w:rsid w:val="2BD7331F"/>
    <w:rsid w:val="2BE640CA"/>
    <w:rsid w:val="2C714F54"/>
    <w:rsid w:val="2D10350A"/>
    <w:rsid w:val="2D325380"/>
    <w:rsid w:val="2D401522"/>
    <w:rsid w:val="2D4E3555"/>
    <w:rsid w:val="2D6C78AB"/>
    <w:rsid w:val="2DB65FC6"/>
    <w:rsid w:val="2DD317FB"/>
    <w:rsid w:val="2E6C1C06"/>
    <w:rsid w:val="2E974C7B"/>
    <w:rsid w:val="2F45310A"/>
    <w:rsid w:val="3082583C"/>
    <w:rsid w:val="30E67CAC"/>
    <w:rsid w:val="31BB0C04"/>
    <w:rsid w:val="31BB2DB3"/>
    <w:rsid w:val="32290A3C"/>
    <w:rsid w:val="32C87D7A"/>
    <w:rsid w:val="33144268"/>
    <w:rsid w:val="33707600"/>
    <w:rsid w:val="33DB0B1F"/>
    <w:rsid w:val="34112C4A"/>
    <w:rsid w:val="34191323"/>
    <w:rsid w:val="34C35366"/>
    <w:rsid w:val="34D128B0"/>
    <w:rsid w:val="35356EF4"/>
    <w:rsid w:val="3550120F"/>
    <w:rsid w:val="36446796"/>
    <w:rsid w:val="366A3303"/>
    <w:rsid w:val="366D0636"/>
    <w:rsid w:val="367D16ED"/>
    <w:rsid w:val="36E630A0"/>
    <w:rsid w:val="36EA1E1A"/>
    <w:rsid w:val="374469A1"/>
    <w:rsid w:val="37641D8B"/>
    <w:rsid w:val="376809A4"/>
    <w:rsid w:val="378D0316"/>
    <w:rsid w:val="38060BE3"/>
    <w:rsid w:val="38163FD6"/>
    <w:rsid w:val="389A6BCF"/>
    <w:rsid w:val="38BE075D"/>
    <w:rsid w:val="39E656C1"/>
    <w:rsid w:val="3A1E3BF8"/>
    <w:rsid w:val="3A311770"/>
    <w:rsid w:val="3C110FCE"/>
    <w:rsid w:val="3C167B97"/>
    <w:rsid w:val="3C7D5E5F"/>
    <w:rsid w:val="3E2F6CB8"/>
    <w:rsid w:val="3E802736"/>
    <w:rsid w:val="40F97AC6"/>
    <w:rsid w:val="41442250"/>
    <w:rsid w:val="4153762E"/>
    <w:rsid w:val="41DE4F4E"/>
    <w:rsid w:val="42517999"/>
    <w:rsid w:val="43043580"/>
    <w:rsid w:val="43301FF1"/>
    <w:rsid w:val="43677132"/>
    <w:rsid w:val="44266B11"/>
    <w:rsid w:val="46CC15BC"/>
    <w:rsid w:val="47B34B2D"/>
    <w:rsid w:val="4B601658"/>
    <w:rsid w:val="4BE07B8E"/>
    <w:rsid w:val="4D8F3416"/>
    <w:rsid w:val="4DAA619C"/>
    <w:rsid w:val="4DC46F1F"/>
    <w:rsid w:val="4E887239"/>
    <w:rsid w:val="4EC9732C"/>
    <w:rsid w:val="4EE951F3"/>
    <w:rsid w:val="4F3D590F"/>
    <w:rsid w:val="500C007D"/>
    <w:rsid w:val="50B60730"/>
    <w:rsid w:val="512D29AD"/>
    <w:rsid w:val="53BA404D"/>
    <w:rsid w:val="55222DF8"/>
    <w:rsid w:val="553E2EE6"/>
    <w:rsid w:val="55422200"/>
    <w:rsid w:val="56633896"/>
    <w:rsid w:val="5711039F"/>
    <w:rsid w:val="583B5AE4"/>
    <w:rsid w:val="58ED73F5"/>
    <w:rsid w:val="598C6340"/>
    <w:rsid w:val="59933DFE"/>
    <w:rsid w:val="5A4B01B0"/>
    <w:rsid w:val="5A530353"/>
    <w:rsid w:val="5AD9459C"/>
    <w:rsid w:val="5B432BF7"/>
    <w:rsid w:val="5B852A6B"/>
    <w:rsid w:val="5C59248E"/>
    <w:rsid w:val="5D2E1CDE"/>
    <w:rsid w:val="5E136C85"/>
    <w:rsid w:val="5EDF6DBE"/>
    <w:rsid w:val="5F4816E8"/>
    <w:rsid w:val="5F7545B1"/>
    <w:rsid w:val="5FAB2CFE"/>
    <w:rsid w:val="615D0A98"/>
    <w:rsid w:val="61725F8D"/>
    <w:rsid w:val="62381A20"/>
    <w:rsid w:val="631853A8"/>
    <w:rsid w:val="64BE0C8D"/>
    <w:rsid w:val="64F26B6D"/>
    <w:rsid w:val="65953340"/>
    <w:rsid w:val="66115A83"/>
    <w:rsid w:val="667F4631"/>
    <w:rsid w:val="67B51A2D"/>
    <w:rsid w:val="67F715F0"/>
    <w:rsid w:val="683378A4"/>
    <w:rsid w:val="68AF5F4D"/>
    <w:rsid w:val="690579BE"/>
    <w:rsid w:val="6931163F"/>
    <w:rsid w:val="69A75FE7"/>
    <w:rsid w:val="6A2E78BF"/>
    <w:rsid w:val="6AF938B1"/>
    <w:rsid w:val="6C256223"/>
    <w:rsid w:val="6CD23573"/>
    <w:rsid w:val="6D8879A2"/>
    <w:rsid w:val="6E4B20A0"/>
    <w:rsid w:val="6ED154A7"/>
    <w:rsid w:val="6F33787F"/>
    <w:rsid w:val="6F5A50AB"/>
    <w:rsid w:val="6F926CE6"/>
    <w:rsid w:val="702E20D4"/>
    <w:rsid w:val="702F4E0E"/>
    <w:rsid w:val="706F1EA6"/>
    <w:rsid w:val="708570D9"/>
    <w:rsid w:val="70C66A35"/>
    <w:rsid w:val="72557AEC"/>
    <w:rsid w:val="726E2F4F"/>
    <w:rsid w:val="735D2066"/>
    <w:rsid w:val="73FF5900"/>
    <w:rsid w:val="74091256"/>
    <w:rsid w:val="74C5064E"/>
    <w:rsid w:val="74E37A34"/>
    <w:rsid w:val="75AA4254"/>
    <w:rsid w:val="766643CE"/>
    <w:rsid w:val="770C130E"/>
    <w:rsid w:val="774348AC"/>
    <w:rsid w:val="78C51235"/>
    <w:rsid w:val="791458E1"/>
    <w:rsid w:val="799F294B"/>
    <w:rsid w:val="79A54830"/>
    <w:rsid w:val="79D254AD"/>
    <w:rsid w:val="7A4F7812"/>
    <w:rsid w:val="7B767BCF"/>
    <w:rsid w:val="7CE447C0"/>
    <w:rsid w:val="7D391169"/>
    <w:rsid w:val="7E4E4567"/>
    <w:rsid w:val="7EB5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18" w:semiHidden="0" w:name="heading 6"/>
    <w:lsdException w:qFormat="1" w:uiPriority="18" w:semiHidden="0" w:name="heading 7"/>
    <w:lsdException w:qFormat="1" w:uiPriority="9" w:semiHidden="0" w:name="heading 8"/>
    <w:lsdException w:qFormat="1" w:uiPriority="18"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qFormat="1" w:uiPriority="99" w:semiHidden="0" w:name="line number"/>
    <w:lsdException w:qFormat="1" w:uiPriority="0" w:semiHidden="0" w:name="page number"/>
    <w:lsdException w:uiPriority="0" w:name="endnote reference"/>
    <w:lsdException w:qFormat="1" w:uiPriority="99" w:semiHidden="0" w:name="endnote text"/>
    <w:lsdException w:qFormat="1" w:uiPriority="99" w:semiHidden="0" w:name="table of authorities"/>
    <w:lsdException w:uiPriority="0" w:name="macro"/>
    <w:lsdException w:qFormat="1" w:uiPriority="99" w:semiHidden="0" w:name="toa heading"/>
    <w:lsdException w:qFormat="1" w:uiPriority="99" w:semiHidden="0" w:name="List"/>
    <w:lsdException w:qFormat="1" w:uiPriority="1"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iPriority="0" w:semiHidden="0" w:name="Title"/>
    <w:lsdException w:qFormat="1" w:uiPriority="99" w:semiHidden="0" w:name="Closing"/>
    <w:lsdException w:qFormat="1" w:uiPriority="20" w:semiHidden="0" w:name="Signature"/>
    <w:lsdException w:qFormat="1" w:uiPriority="1" w:name="Default Paragraph Font"/>
    <w:lsdException w:qFormat="1" w:uiPriority="0" w:semiHidden="0" w:name="Body Text"/>
    <w:lsdException w:qFormat="1"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uiPriority="0" w:name="Message Header"/>
    <w:lsdException w:qFormat="1" w:uiPriority="19" w:semiHidden="0" w:name="Subtitle"/>
    <w:lsdException w:qFormat="1" w:uiPriority="99" w:semiHidden="0"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iPriority="20" w:semiHidden="0" w:name="Emphasis"/>
    <w:lsdException w:qFormat="1" w:uiPriority="0" w:semiHidden="0" w:name="Document Map"/>
    <w:lsdException w:qFormat="1" w:uiPriority="0" w:semiHidden="0" w:name="Plain Text"/>
    <w:lsdException w:qFormat="1" w:uiPriority="99" w:semiHidden="0" w:name="E-mail Signature"/>
    <w:lsdException w:qFormat="1" w:unhideWhenUsed="0" w:uiPriority="99" w:semiHidden="0" w:name="Normal (Web)"/>
    <w:lsdException w:uiPriority="0" w:name="HTML Acronym"/>
    <w:lsdException w:qFormat="1" w:uiPriority="99"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uiPriority="0" w:name="Table 3D effects 1"/>
    <w:lsdException w:uiPriority="0" w:name="Table 3D effects 2"/>
    <w:lsdException w:uiPriority="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0"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mbria" w:hAnsi="Cambria" w:eastAsia="微软雅黑" w:cs="Times New Roman"/>
      <w:kern w:val="20"/>
      <w:sz w:val="21"/>
      <w:lang w:val="zh-CN" w:eastAsia="zh-CN" w:bidi="ar-SA"/>
    </w:rPr>
  </w:style>
  <w:style w:type="paragraph" w:styleId="4">
    <w:name w:val="heading 1"/>
    <w:basedOn w:val="1"/>
    <w:next w:val="1"/>
    <w:link w:val="185"/>
    <w:qFormat/>
    <w:uiPriority w:val="0"/>
    <w:pPr>
      <w:pageBreakBefore/>
      <w:spacing w:beforeLines="1000" w:after="360"/>
      <w:outlineLvl w:val="0"/>
    </w:pPr>
    <w:rPr>
      <w:color w:val="595959"/>
      <w:sz w:val="36"/>
    </w:rPr>
  </w:style>
  <w:style w:type="paragraph" w:styleId="5">
    <w:name w:val="heading 2"/>
    <w:basedOn w:val="6"/>
    <w:next w:val="1"/>
    <w:link w:val="186"/>
    <w:unhideWhenUsed/>
    <w:qFormat/>
    <w:uiPriority w:val="0"/>
    <w:pPr>
      <w:ind w:firstLine="0" w:firstLineChars="0"/>
      <w:jc w:val="both"/>
      <w:outlineLvl w:val="1"/>
    </w:pPr>
    <w:rPr>
      <w:rFonts w:ascii="微软雅黑" w:hAnsi="微软雅黑"/>
      <w:b/>
      <w:color w:val="auto"/>
    </w:rPr>
  </w:style>
  <w:style w:type="paragraph" w:styleId="7">
    <w:name w:val="heading 3"/>
    <w:basedOn w:val="1"/>
    <w:next w:val="1"/>
    <w:link w:val="525"/>
    <w:unhideWhenUsed/>
    <w:qFormat/>
    <w:uiPriority w:val="0"/>
    <w:pPr>
      <w:keepNext/>
      <w:keepLines/>
      <w:spacing w:before="200"/>
      <w:outlineLvl w:val="2"/>
    </w:pPr>
    <w:rPr>
      <w:rFonts w:ascii="Calibri" w:hAnsi="Calibri" w:eastAsia="宋体" w:cs="Arial"/>
      <w:b/>
      <w:bCs/>
      <w:color w:val="7E97AD"/>
    </w:rPr>
  </w:style>
  <w:style w:type="paragraph" w:styleId="8">
    <w:name w:val="heading 4"/>
    <w:basedOn w:val="1"/>
    <w:next w:val="1"/>
    <w:link w:val="188"/>
    <w:unhideWhenUsed/>
    <w:qFormat/>
    <w:uiPriority w:val="0"/>
    <w:pPr>
      <w:keepNext/>
      <w:keepLines/>
      <w:spacing w:before="200"/>
      <w:outlineLvl w:val="3"/>
    </w:pPr>
    <w:rPr>
      <w:rFonts w:ascii="Calibri" w:hAnsi="Calibri" w:eastAsia="宋体" w:cs="Arial"/>
      <w:b/>
      <w:bCs/>
      <w:i/>
      <w:iCs/>
      <w:color w:val="7E97AD"/>
    </w:rPr>
  </w:style>
  <w:style w:type="paragraph" w:styleId="9">
    <w:name w:val="heading 5"/>
    <w:basedOn w:val="1"/>
    <w:next w:val="1"/>
    <w:link w:val="189"/>
    <w:unhideWhenUsed/>
    <w:qFormat/>
    <w:uiPriority w:val="0"/>
    <w:pPr>
      <w:keepNext/>
      <w:keepLines/>
      <w:spacing w:before="200"/>
      <w:outlineLvl w:val="4"/>
    </w:pPr>
    <w:rPr>
      <w:rFonts w:ascii="Calibri" w:hAnsi="Calibri" w:eastAsia="宋体" w:cs="Arial"/>
      <w:color w:val="7E97AD"/>
    </w:rPr>
  </w:style>
  <w:style w:type="paragraph" w:styleId="10">
    <w:name w:val="heading 6"/>
    <w:basedOn w:val="1"/>
    <w:next w:val="1"/>
    <w:link w:val="190"/>
    <w:unhideWhenUsed/>
    <w:qFormat/>
    <w:uiPriority w:val="18"/>
    <w:pPr>
      <w:keepNext/>
      <w:keepLines/>
      <w:spacing w:before="200"/>
      <w:outlineLvl w:val="5"/>
    </w:pPr>
    <w:rPr>
      <w:rFonts w:ascii="Calibri" w:hAnsi="Calibri" w:eastAsia="宋体" w:cs="Arial"/>
      <w:i/>
      <w:iCs/>
      <w:color w:val="7E97AD"/>
    </w:rPr>
  </w:style>
  <w:style w:type="paragraph" w:styleId="11">
    <w:name w:val="heading 7"/>
    <w:basedOn w:val="1"/>
    <w:next w:val="1"/>
    <w:link w:val="191"/>
    <w:unhideWhenUsed/>
    <w:qFormat/>
    <w:uiPriority w:val="18"/>
    <w:pPr>
      <w:keepNext/>
      <w:keepLines/>
      <w:spacing w:before="200"/>
      <w:outlineLvl w:val="6"/>
    </w:pPr>
    <w:rPr>
      <w:rFonts w:ascii="Calibri" w:hAnsi="Calibri" w:eastAsia="宋体" w:cs="Arial"/>
      <w:i/>
      <w:iCs/>
      <w:color w:val="404040"/>
    </w:rPr>
  </w:style>
  <w:style w:type="paragraph" w:styleId="12">
    <w:name w:val="heading 8"/>
    <w:basedOn w:val="1"/>
    <w:next w:val="1"/>
    <w:link w:val="192"/>
    <w:unhideWhenUsed/>
    <w:qFormat/>
    <w:uiPriority w:val="9"/>
    <w:pPr>
      <w:keepNext/>
      <w:keepLines/>
      <w:spacing w:before="200"/>
      <w:outlineLvl w:val="7"/>
    </w:pPr>
    <w:rPr>
      <w:rFonts w:ascii="Calibri" w:hAnsi="Calibri" w:eastAsia="宋体" w:cs="Arial"/>
      <w:color w:val="404040"/>
    </w:rPr>
  </w:style>
  <w:style w:type="paragraph" w:styleId="13">
    <w:name w:val="heading 9"/>
    <w:basedOn w:val="1"/>
    <w:next w:val="1"/>
    <w:link w:val="193"/>
    <w:unhideWhenUsed/>
    <w:qFormat/>
    <w:uiPriority w:val="18"/>
    <w:pPr>
      <w:keepNext/>
      <w:keepLines/>
      <w:spacing w:before="200"/>
      <w:outlineLvl w:val="8"/>
    </w:pPr>
    <w:rPr>
      <w:rFonts w:ascii="Calibri" w:hAnsi="Calibri" w:eastAsia="宋体" w:cs="Arial"/>
      <w:i/>
      <w:iCs/>
      <w:color w:val="404040"/>
    </w:rPr>
  </w:style>
  <w:style w:type="character" w:default="1" w:styleId="120">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203"/>
    <w:unhideWhenUsed/>
    <w:qFormat/>
    <w:uiPriority w:val="0"/>
    <w:pPr>
      <w:spacing w:after="120"/>
      <w:ind w:left="360"/>
    </w:pPr>
    <w:rPr>
      <w:color w:val="595959"/>
    </w:rPr>
  </w:style>
  <w:style w:type="paragraph" w:customStyle="1" w:styleId="6">
    <w:name w:val="列出段落1"/>
    <w:basedOn w:val="1"/>
    <w:qFormat/>
    <w:uiPriority w:val="99"/>
    <w:pPr>
      <w:ind w:firstLine="420" w:firstLineChars="200"/>
    </w:pPr>
    <w:rPr>
      <w:color w:val="595959"/>
    </w:rPr>
  </w:style>
  <w:style w:type="paragraph" w:styleId="14">
    <w:name w:val="List 3"/>
    <w:basedOn w:val="1"/>
    <w:unhideWhenUsed/>
    <w:qFormat/>
    <w:uiPriority w:val="99"/>
    <w:pPr>
      <w:ind w:left="1080" w:hanging="360"/>
      <w:contextualSpacing/>
    </w:pPr>
    <w:rPr>
      <w:color w:val="595959"/>
    </w:rPr>
  </w:style>
  <w:style w:type="paragraph" w:styleId="15">
    <w:name w:val="toc 7"/>
    <w:basedOn w:val="1"/>
    <w:next w:val="1"/>
    <w:unhideWhenUsed/>
    <w:qFormat/>
    <w:uiPriority w:val="39"/>
    <w:pPr>
      <w:spacing w:after="100"/>
      <w:ind w:left="1320"/>
    </w:pPr>
    <w:rPr>
      <w:color w:val="595959"/>
    </w:rPr>
  </w:style>
  <w:style w:type="paragraph" w:styleId="16">
    <w:name w:val="List Number 2"/>
    <w:basedOn w:val="1"/>
    <w:unhideWhenUsed/>
    <w:qFormat/>
    <w:uiPriority w:val="99"/>
    <w:pPr>
      <w:numPr>
        <w:ilvl w:val="1"/>
        <w:numId w:val="1"/>
      </w:numPr>
      <w:ind w:left="431" w:hanging="431"/>
      <w:contextualSpacing/>
    </w:pPr>
    <w:rPr>
      <w:color w:val="595959"/>
    </w:rPr>
  </w:style>
  <w:style w:type="paragraph" w:styleId="17">
    <w:name w:val="table of authorities"/>
    <w:basedOn w:val="1"/>
    <w:next w:val="1"/>
    <w:unhideWhenUsed/>
    <w:qFormat/>
    <w:uiPriority w:val="99"/>
    <w:pPr>
      <w:ind w:left="220" w:hanging="220"/>
    </w:pPr>
    <w:rPr>
      <w:color w:val="595959"/>
    </w:rPr>
  </w:style>
  <w:style w:type="paragraph" w:styleId="18">
    <w:name w:val="Note Heading"/>
    <w:basedOn w:val="1"/>
    <w:next w:val="1"/>
    <w:link w:val="196"/>
    <w:unhideWhenUsed/>
    <w:qFormat/>
    <w:uiPriority w:val="99"/>
    <w:rPr>
      <w:color w:val="595959"/>
    </w:rPr>
  </w:style>
  <w:style w:type="paragraph" w:styleId="19">
    <w:name w:val="List Bullet 4"/>
    <w:basedOn w:val="1"/>
    <w:unhideWhenUsed/>
    <w:qFormat/>
    <w:uiPriority w:val="99"/>
    <w:pPr>
      <w:numPr>
        <w:ilvl w:val="0"/>
        <w:numId w:val="2"/>
      </w:numPr>
      <w:contextualSpacing/>
    </w:pPr>
    <w:rPr>
      <w:color w:val="595959"/>
    </w:rPr>
  </w:style>
  <w:style w:type="paragraph" w:styleId="20">
    <w:name w:val="index 8"/>
    <w:basedOn w:val="1"/>
    <w:next w:val="1"/>
    <w:unhideWhenUsed/>
    <w:qFormat/>
    <w:uiPriority w:val="99"/>
    <w:pPr>
      <w:ind w:left="1760" w:hanging="220"/>
    </w:pPr>
    <w:rPr>
      <w:color w:val="595959"/>
    </w:rPr>
  </w:style>
  <w:style w:type="paragraph" w:styleId="21">
    <w:name w:val="E-mail Signature"/>
    <w:basedOn w:val="1"/>
    <w:link w:val="197"/>
    <w:unhideWhenUsed/>
    <w:qFormat/>
    <w:uiPriority w:val="99"/>
    <w:rPr>
      <w:color w:val="595959"/>
    </w:rPr>
  </w:style>
  <w:style w:type="paragraph" w:styleId="22">
    <w:name w:val="List Number"/>
    <w:basedOn w:val="1"/>
    <w:unhideWhenUsed/>
    <w:qFormat/>
    <w:uiPriority w:val="99"/>
    <w:pPr>
      <w:numPr>
        <w:ilvl w:val="0"/>
        <w:numId w:val="1"/>
      </w:numPr>
      <w:ind w:left="357" w:hanging="357"/>
      <w:contextualSpacing/>
    </w:pPr>
    <w:rPr>
      <w:color w:val="595959"/>
    </w:rPr>
  </w:style>
  <w:style w:type="paragraph" w:styleId="23">
    <w:name w:val="Normal Indent"/>
    <w:basedOn w:val="1"/>
    <w:link w:val="473"/>
    <w:qFormat/>
    <w:uiPriority w:val="0"/>
    <w:pPr>
      <w:widowControl w:val="0"/>
      <w:ind w:firstLine="420" w:firstLineChars="200"/>
      <w:jc w:val="both"/>
    </w:pPr>
    <w:rPr>
      <w:rFonts w:ascii="Times New Roman" w:hAnsi="Times New Roman" w:eastAsia="宋体"/>
      <w:kern w:val="2"/>
      <w:szCs w:val="24"/>
      <w:lang w:val="en-US"/>
    </w:rPr>
  </w:style>
  <w:style w:type="paragraph" w:styleId="24">
    <w:name w:val="index 5"/>
    <w:basedOn w:val="1"/>
    <w:next w:val="1"/>
    <w:unhideWhenUsed/>
    <w:qFormat/>
    <w:uiPriority w:val="99"/>
    <w:pPr>
      <w:ind w:left="1100" w:hanging="220"/>
    </w:pPr>
    <w:rPr>
      <w:color w:val="595959"/>
    </w:rPr>
  </w:style>
  <w:style w:type="paragraph" w:styleId="25">
    <w:name w:val="List Bullet"/>
    <w:basedOn w:val="1"/>
    <w:unhideWhenUsed/>
    <w:qFormat/>
    <w:uiPriority w:val="1"/>
    <w:pPr>
      <w:numPr>
        <w:ilvl w:val="0"/>
        <w:numId w:val="3"/>
      </w:numPr>
      <w:spacing w:after="40"/>
    </w:pPr>
    <w:rPr>
      <w:color w:val="595959"/>
    </w:rPr>
  </w:style>
  <w:style w:type="paragraph" w:styleId="26">
    <w:name w:val="Document Map"/>
    <w:basedOn w:val="1"/>
    <w:link w:val="198"/>
    <w:unhideWhenUsed/>
    <w:qFormat/>
    <w:uiPriority w:val="0"/>
    <w:rPr>
      <w:rFonts w:ascii="Tahoma" w:hAnsi="Tahoma" w:eastAsia="Times New Roman" w:cs="Tahoma"/>
      <w:color w:val="595959"/>
      <w:sz w:val="16"/>
    </w:rPr>
  </w:style>
  <w:style w:type="paragraph" w:styleId="27">
    <w:name w:val="toa heading"/>
    <w:basedOn w:val="1"/>
    <w:next w:val="1"/>
    <w:unhideWhenUsed/>
    <w:qFormat/>
    <w:uiPriority w:val="99"/>
    <w:pPr>
      <w:spacing w:before="120"/>
    </w:pPr>
    <w:rPr>
      <w:rFonts w:ascii="Calibri" w:hAnsi="Calibri" w:eastAsia="宋体" w:cs="Arial"/>
      <w:b/>
      <w:bCs/>
      <w:color w:val="595959"/>
      <w:sz w:val="24"/>
    </w:rPr>
  </w:style>
  <w:style w:type="paragraph" w:styleId="28">
    <w:name w:val="annotation text"/>
    <w:basedOn w:val="1"/>
    <w:link w:val="194"/>
    <w:unhideWhenUsed/>
    <w:qFormat/>
    <w:uiPriority w:val="0"/>
  </w:style>
  <w:style w:type="paragraph" w:styleId="29">
    <w:name w:val="index 6"/>
    <w:basedOn w:val="1"/>
    <w:next w:val="1"/>
    <w:unhideWhenUsed/>
    <w:qFormat/>
    <w:uiPriority w:val="99"/>
    <w:pPr>
      <w:ind w:left="1320" w:hanging="220"/>
    </w:pPr>
    <w:rPr>
      <w:color w:val="595959"/>
    </w:rPr>
  </w:style>
  <w:style w:type="paragraph" w:styleId="30">
    <w:name w:val="Salutation"/>
    <w:basedOn w:val="1"/>
    <w:next w:val="1"/>
    <w:link w:val="199"/>
    <w:unhideWhenUsed/>
    <w:qFormat/>
    <w:uiPriority w:val="99"/>
    <w:rPr>
      <w:color w:val="595959"/>
    </w:rPr>
  </w:style>
  <w:style w:type="paragraph" w:styleId="31">
    <w:name w:val="Body Text 3"/>
    <w:basedOn w:val="1"/>
    <w:link w:val="200"/>
    <w:unhideWhenUsed/>
    <w:qFormat/>
    <w:uiPriority w:val="99"/>
    <w:pPr>
      <w:spacing w:after="120"/>
    </w:pPr>
    <w:rPr>
      <w:color w:val="595959"/>
      <w:sz w:val="16"/>
    </w:rPr>
  </w:style>
  <w:style w:type="paragraph" w:styleId="32">
    <w:name w:val="Closing"/>
    <w:basedOn w:val="1"/>
    <w:link w:val="201"/>
    <w:unhideWhenUsed/>
    <w:qFormat/>
    <w:uiPriority w:val="99"/>
    <w:pPr>
      <w:ind w:left="4320"/>
    </w:pPr>
    <w:rPr>
      <w:color w:val="595959"/>
    </w:rPr>
  </w:style>
  <w:style w:type="paragraph" w:styleId="33">
    <w:name w:val="List Bullet 3"/>
    <w:basedOn w:val="1"/>
    <w:unhideWhenUsed/>
    <w:qFormat/>
    <w:uiPriority w:val="99"/>
    <w:pPr>
      <w:numPr>
        <w:ilvl w:val="0"/>
        <w:numId w:val="4"/>
      </w:numPr>
      <w:contextualSpacing/>
    </w:pPr>
    <w:rPr>
      <w:color w:val="595959"/>
    </w:rPr>
  </w:style>
  <w:style w:type="paragraph" w:styleId="34">
    <w:name w:val="Body Text"/>
    <w:basedOn w:val="1"/>
    <w:link w:val="202"/>
    <w:unhideWhenUsed/>
    <w:qFormat/>
    <w:uiPriority w:val="0"/>
    <w:pPr>
      <w:spacing w:after="120"/>
    </w:pPr>
    <w:rPr>
      <w:color w:val="595959"/>
    </w:rPr>
  </w:style>
  <w:style w:type="paragraph" w:styleId="35">
    <w:name w:val="List Number 3"/>
    <w:basedOn w:val="1"/>
    <w:unhideWhenUsed/>
    <w:qFormat/>
    <w:uiPriority w:val="99"/>
    <w:pPr>
      <w:numPr>
        <w:ilvl w:val="2"/>
        <w:numId w:val="1"/>
      </w:numPr>
      <w:contextualSpacing/>
    </w:pPr>
    <w:rPr>
      <w:color w:val="595959"/>
    </w:rPr>
  </w:style>
  <w:style w:type="paragraph" w:styleId="36">
    <w:name w:val="List 2"/>
    <w:basedOn w:val="1"/>
    <w:unhideWhenUsed/>
    <w:qFormat/>
    <w:uiPriority w:val="99"/>
    <w:pPr>
      <w:ind w:left="720" w:hanging="360"/>
      <w:contextualSpacing/>
    </w:pPr>
    <w:rPr>
      <w:color w:val="595959"/>
    </w:rPr>
  </w:style>
  <w:style w:type="paragraph" w:styleId="37">
    <w:name w:val="List Continue"/>
    <w:basedOn w:val="1"/>
    <w:unhideWhenUsed/>
    <w:qFormat/>
    <w:uiPriority w:val="99"/>
    <w:pPr>
      <w:spacing w:after="120"/>
      <w:ind w:left="360"/>
      <w:contextualSpacing/>
    </w:pPr>
    <w:rPr>
      <w:color w:val="595959"/>
    </w:rPr>
  </w:style>
  <w:style w:type="paragraph" w:styleId="38">
    <w:name w:val="List Bullet 2"/>
    <w:basedOn w:val="1"/>
    <w:unhideWhenUsed/>
    <w:qFormat/>
    <w:uiPriority w:val="99"/>
    <w:pPr>
      <w:numPr>
        <w:ilvl w:val="0"/>
        <w:numId w:val="5"/>
      </w:numPr>
      <w:contextualSpacing/>
    </w:pPr>
    <w:rPr>
      <w:color w:val="595959"/>
    </w:rPr>
  </w:style>
  <w:style w:type="paragraph" w:styleId="39">
    <w:name w:val="HTML Address"/>
    <w:basedOn w:val="1"/>
    <w:link w:val="204"/>
    <w:unhideWhenUsed/>
    <w:qFormat/>
    <w:uiPriority w:val="99"/>
    <w:rPr>
      <w:i/>
      <w:iCs/>
      <w:color w:val="595959"/>
    </w:rPr>
  </w:style>
  <w:style w:type="paragraph" w:styleId="40">
    <w:name w:val="index 4"/>
    <w:basedOn w:val="1"/>
    <w:next w:val="1"/>
    <w:unhideWhenUsed/>
    <w:qFormat/>
    <w:uiPriority w:val="99"/>
    <w:pPr>
      <w:ind w:left="880" w:hanging="220"/>
    </w:pPr>
    <w:rPr>
      <w:color w:val="595959"/>
    </w:rPr>
  </w:style>
  <w:style w:type="paragraph" w:styleId="41">
    <w:name w:val="toc 5"/>
    <w:basedOn w:val="1"/>
    <w:next w:val="1"/>
    <w:unhideWhenUsed/>
    <w:qFormat/>
    <w:uiPriority w:val="0"/>
    <w:pPr>
      <w:spacing w:after="100"/>
      <w:ind w:left="880"/>
    </w:pPr>
    <w:rPr>
      <w:color w:val="595959"/>
    </w:rPr>
  </w:style>
  <w:style w:type="paragraph" w:styleId="42">
    <w:name w:val="toc 3"/>
    <w:basedOn w:val="1"/>
    <w:next w:val="1"/>
    <w:unhideWhenUsed/>
    <w:qFormat/>
    <w:uiPriority w:val="0"/>
    <w:pPr>
      <w:spacing w:after="100"/>
      <w:ind w:left="440"/>
    </w:pPr>
    <w:rPr>
      <w:color w:val="595959"/>
    </w:rPr>
  </w:style>
  <w:style w:type="paragraph" w:styleId="43">
    <w:name w:val="Plain Text"/>
    <w:basedOn w:val="1"/>
    <w:link w:val="205"/>
    <w:unhideWhenUsed/>
    <w:qFormat/>
    <w:uiPriority w:val="0"/>
    <w:rPr>
      <w:rFonts w:ascii="Consolas" w:hAnsi="Consolas" w:eastAsia="Times New Roman" w:cs="Consolas"/>
      <w:color w:val="595959"/>
    </w:rPr>
  </w:style>
  <w:style w:type="paragraph" w:styleId="44">
    <w:name w:val="List Bullet 5"/>
    <w:basedOn w:val="1"/>
    <w:unhideWhenUsed/>
    <w:qFormat/>
    <w:uiPriority w:val="99"/>
    <w:pPr>
      <w:numPr>
        <w:ilvl w:val="0"/>
        <w:numId w:val="6"/>
      </w:numPr>
      <w:contextualSpacing/>
    </w:pPr>
    <w:rPr>
      <w:color w:val="595959"/>
    </w:rPr>
  </w:style>
  <w:style w:type="paragraph" w:styleId="45">
    <w:name w:val="List Number 4"/>
    <w:basedOn w:val="1"/>
    <w:unhideWhenUsed/>
    <w:qFormat/>
    <w:uiPriority w:val="99"/>
    <w:pPr>
      <w:numPr>
        <w:ilvl w:val="3"/>
        <w:numId w:val="1"/>
      </w:numPr>
      <w:contextualSpacing/>
    </w:pPr>
    <w:rPr>
      <w:color w:val="595959"/>
    </w:rPr>
  </w:style>
  <w:style w:type="paragraph" w:styleId="46">
    <w:name w:val="toc 8"/>
    <w:basedOn w:val="1"/>
    <w:next w:val="1"/>
    <w:unhideWhenUsed/>
    <w:qFormat/>
    <w:uiPriority w:val="39"/>
    <w:pPr>
      <w:spacing w:after="100"/>
      <w:ind w:left="1540"/>
    </w:pPr>
    <w:rPr>
      <w:color w:val="595959"/>
    </w:rPr>
  </w:style>
  <w:style w:type="paragraph" w:styleId="47">
    <w:name w:val="index 3"/>
    <w:basedOn w:val="1"/>
    <w:next w:val="1"/>
    <w:unhideWhenUsed/>
    <w:qFormat/>
    <w:uiPriority w:val="99"/>
    <w:pPr>
      <w:ind w:left="660" w:hanging="220"/>
    </w:pPr>
    <w:rPr>
      <w:color w:val="595959"/>
    </w:rPr>
  </w:style>
  <w:style w:type="paragraph" w:styleId="48">
    <w:name w:val="Date"/>
    <w:basedOn w:val="1"/>
    <w:next w:val="1"/>
    <w:link w:val="206"/>
    <w:unhideWhenUsed/>
    <w:qFormat/>
    <w:uiPriority w:val="0"/>
    <w:rPr>
      <w:color w:val="595959"/>
    </w:rPr>
  </w:style>
  <w:style w:type="paragraph" w:styleId="49">
    <w:name w:val="Body Text Indent 2"/>
    <w:basedOn w:val="1"/>
    <w:link w:val="207"/>
    <w:unhideWhenUsed/>
    <w:qFormat/>
    <w:uiPriority w:val="99"/>
    <w:pPr>
      <w:spacing w:after="120" w:line="480" w:lineRule="auto"/>
      <w:ind w:left="360"/>
    </w:pPr>
    <w:rPr>
      <w:color w:val="595959"/>
    </w:rPr>
  </w:style>
  <w:style w:type="paragraph" w:styleId="50">
    <w:name w:val="endnote text"/>
    <w:basedOn w:val="1"/>
    <w:link w:val="208"/>
    <w:unhideWhenUsed/>
    <w:qFormat/>
    <w:uiPriority w:val="99"/>
    <w:rPr>
      <w:color w:val="595959"/>
    </w:rPr>
  </w:style>
  <w:style w:type="paragraph" w:styleId="51">
    <w:name w:val="List Continue 5"/>
    <w:basedOn w:val="1"/>
    <w:unhideWhenUsed/>
    <w:qFormat/>
    <w:uiPriority w:val="99"/>
    <w:pPr>
      <w:spacing w:after="120"/>
      <w:ind w:left="1800"/>
      <w:contextualSpacing/>
    </w:pPr>
    <w:rPr>
      <w:color w:val="595959"/>
    </w:rPr>
  </w:style>
  <w:style w:type="paragraph" w:styleId="52">
    <w:name w:val="Balloon Text"/>
    <w:basedOn w:val="1"/>
    <w:link w:val="209"/>
    <w:unhideWhenUsed/>
    <w:qFormat/>
    <w:uiPriority w:val="99"/>
    <w:rPr>
      <w:rFonts w:ascii="Tahoma" w:hAnsi="Tahoma" w:eastAsia="Times New Roman" w:cs="Tahoma"/>
      <w:color w:val="595959"/>
      <w:sz w:val="16"/>
    </w:rPr>
  </w:style>
  <w:style w:type="paragraph" w:styleId="53">
    <w:name w:val="footer"/>
    <w:basedOn w:val="1"/>
    <w:link w:val="210"/>
    <w:unhideWhenUsed/>
    <w:qFormat/>
    <w:uiPriority w:val="99"/>
    <w:pPr>
      <w:pBdr>
        <w:top w:val="single" w:color="B1C0CD" w:sz="4" w:space="6"/>
        <w:left w:val="single" w:color="FFFFFF" w:sz="4" w:space="20"/>
        <w:right w:val="single" w:color="FFFFFF" w:sz="2" w:space="20"/>
      </w:pBdr>
    </w:pPr>
    <w:rPr>
      <w:color w:val="595959"/>
    </w:rPr>
  </w:style>
  <w:style w:type="paragraph" w:styleId="54">
    <w:name w:val="header"/>
    <w:basedOn w:val="1"/>
    <w:link w:val="211"/>
    <w:unhideWhenUsed/>
    <w:qFormat/>
    <w:uiPriority w:val="99"/>
    <w:pPr>
      <w:tabs>
        <w:tab w:val="center" w:pos="4680"/>
        <w:tab w:val="right" w:pos="9360"/>
      </w:tabs>
    </w:pPr>
    <w:rPr>
      <w:color w:val="595959"/>
    </w:rPr>
  </w:style>
  <w:style w:type="paragraph" w:styleId="55">
    <w:name w:val="Signature"/>
    <w:basedOn w:val="1"/>
    <w:link w:val="212"/>
    <w:unhideWhenUsed/>
    <w:qFormat/>
    <w:uiPriority w:val="20"/>
    <w:pPr>
      <w:spacing w:before="720" w:line="312" w:lineRule="auto"/>
      <w:contextualSpacing/>
    </w:pPr>
    <w:rPr>
      <w:color w:val="595959"/>
    </w:rPr>
  </w:style>
  <w:style w:type="paragraph" w:styleId="56">
    <w:name w:val="toc 1"/>
    <w:basedOn w:val="1"/>
    <w:next w:val="1"/>
    <w:unhideWhenUsed/>
    <w:qFormat/>
    <w:uiPriority w:val="39"/>
    <w:pPr>
      <w:tabs>
        <w:tab w:val="right" w:leader="underscore" w:pos="9090"/>
      </w:tabs>
      <w:spacing w:after="100"/>
    </w:pPr>
    <w:rPr>
      <w:color w:val="7F7F7F"/>
      <w:sz w:val="22"/>
    </w:rPr>
  </w:style>
  <w:style w:type="paragraph" w:styleId="57">
    <w:name w:val="List Continue 4"/>
    <w:basedOn w:val="1"/>
    <w:unhideWhenUsed/>
    <w:qFormat/>
    <w:uiPriority w:val="99"/>
    <w:pPr>
      <w:spacing w:after="120"/>
      <w:ind w:left="1440"/>
      <w:contextualSpacing/>
    </w:pPr>
    <w:rPr>
      <w:color w:val="595959"/>
    </w:rPr>
  </w:style>
  <w:style w:type="paragraph" w:styleId="58">
    <w:name w:val="toc 4"/>
    <w:basedOn w:val="1"/>
    <w:next w:val="1"/>
    <w:unhideWhenUsed/>
    <w:qFormat/>
    <w:uiPriority w:val="0"/>
    <w:pPr>
      <w:spacing w:after="100"/>
      <w:ind w:left="660"/>
    </w:pPr>
    <w:rPr>
      <w:color w:val="595959"/>
    </w:rPr>
  </w:style>
  <w:style w:type="paragraph" w:styleId="59">
    <w:name w:val="index heading"/>
    <w:basedOn w:val="1"/>
    <w:next w:val="60"/>
    <w:unhideWhenUsed/>
    <w:qFormat/>
    <w:uiPriority w:val="99"/>
    <w:rPr>
      <w:rFonts w:ascii="Calibri" w:hAnsi="Calibri" w:eastAsia="宋体" w:cs="Arial"/>
      <w:b/>
      <w:bCs/>
      <w:color w:val="595959"/>
    </w:rPr>
  </w:style>
  <w:style w:type="paragraph" w:styleId="60">
    <w:name w:val="index 1"/>
    <w:basedOn w:val="1"/>
    <w:next w:val="1"/>
    <w:unhideWhenUsed/>
    <w:qFormat/>
    <w:uiPriority w:val="99"/>
  </w:style>
  <w:style w:type="paragraph" w:styleId="61">
    <w:name w:val="Subtitle"/>
    <w:basedOn w:val="1"/>
    <w:next w:val="1"/>
    <w:link w:val="213"/>
    <w:unhideWhenUsed/>
    <w:qFormat/>
    <w:uiPriority w:val="19"/>
    <w:pPr>
      <w:ind w:left="432" w:right="1080"/>
    </w:pPr>
    <w:rPr>
      <w:rFonts w:ascii="Calibri" w:hAnsi="Calibri" w:eastAsia="宋体" w:cs="Arial"/>
      <w:caps/>
      <w:color w:val="7E97AD"/>
      <w:sz w:val="56"/>
    </w:rPr>
  </w:style>
  <w:style w:type="paragraph" w:styleId="62">
    <w:name w:val="List Number 5"/>
    <w:basedOn w:val="1"/>
    <w:unhideWhenUsed/>
    <w:qFormat/>
    <w:uiPriority w:val="99"/>
    <w:pPr>
      <w:numPr>
        <w:ilvl w:val="4"/>
        <w:numId w:val="1"/>
      </w:numPr>
      <w:contextualSpacing/>
    </w:pPr>
    <w:rPr>
      <w:color w:val="595959"/>
    </w:rPr>
  </w:style>
  <w:style w:type="paragraph" w:styleId="63">
    <w:name w:val="List"/>
    <w:basedOn w:val="1"/>
    <w:unhideWhenUsed/>
    <w:qFormat/>
    <w:uiPriority w:val="99"/>
    <w:pPr>
      <w:ind w:left="360" w:hanging="360"/>
      <w:contextualSpacing/>
    </w:pPr>
    <w:rPr>
      <w:color w:val="595959"/>
    </w:rPr>
  </w:style>
  <w:style w:type="paragraph" w:styleId="64">
    <w:name w:val="footnote text"/>
    <w:basedOn w:val="1"/>
    <w:link w:val="467"/>
    <w:qFormat/>
    <w:uiPriority w:val="0"/>
    <w:pPr>
      <w:widowControl w:val="0"/>
      <w:snapToGrid w:val="0"/>
    </w:pPr>
    <w:rPr>
      <w:rFonts w:ascii="Times New Roman" w:hAnsi="Times New Roman" w:eastAsia="宋体"/>
      <w:kern w:val="2"/>
      <w:sz w:val="18"/>
      <w:szCs w:val="18"/>
      <w:lang w:val="en-US"/>
    </w:rPr>
  </w:style>
  <w:style w:type="paragraph" w:styleId="65">
    <w:name w:val="toc 6"/>
    <w:basedOn w:val="1"/>
    <w:next w:val="1"/>
    <w:unhideWhenUsed/>
    <w:qFormat/>
    <w:uiPriority w:val="39"/>
    <w:pPr>
      <w:spacing w:after="100"/>
      <w:ind w:left="1100"/>
    </w:pPr>
    <w:rPr>
      <w:color w:val="595959"/>
    </w:rPr>
  </w:style>
  <w:style w:type="paragraph" w:styleId="66">
    <w:name w:val="List 5"/>
    <w:basedOn w:val="1"/>
    <w:unhideWhenUsed/>
    <w:qFormat/>
    <w:uiPriority w:val="99"/>
    <w:pPr>
      <w:ind w:left="1800" w:hanging="360"/>
      <w:contextualSpacing/>
    </w:pPr>
    <w:rPr>
      <w:color w:val="595959"/>
    </w:rPr>
  </w:style>
  <w:style w:type="paragraph" w:styleId="67">
    <w:name w:val="Body Text Indent 3"/>
    <w:basedOn w:val="1"/>
    <w:link w:val="214"/>
    <w:unhideWhenUsed/>
    <w:qFormat/>
    <w:uiPriority w:val="0"/>
    <w:pPr>
      <w:spacing w:after="120"/>
      <w:ind w:left="360"/>
    </w:pPr>
    <w:rPr>
      <w:color w:val="595959"/>
      <w:sz w:val="16"/>
    </w:rPr>
  </w:style>
  <w:style w:type="paragraph" w:styleId="68">
    <w:name w:val="index 7"/>
    <w:basedOn w:val="1"/>
    <w:next w:val="1"/>
    <w:unhideWhenUsed/>
    <w:qFormat/>
    <w:uiPriority w:val="99"/>
    <w:pPr>
      <w:ind w:left="1540" w:hanging="220"/>
    </w:pPr>
    <w:rPr>
      <w:color w:val="595959"/>
    </w:rPr>
  </w:style>
  <w:style w:type="paragraph" w:styleId="69">
    <w:name w:val="index 9"/>
    <w:basedOn w:val="1"/>
    <w:next w:val="1"/>
    <w:unhideWhenUsed/>
    <w:qFormat/>
    <w:uiPriority w:val="99"/>
    <w:pPr>
      <w:ind w:left="1980" w:hanging="220"/>
    </w:pPr>
    <w:rPr>
      <w:color w:val="595959"/>
    </w:rPr>
  </w:style>
  <w:style w:type="paragraph" w:styleId="70">
    <w:name w:val="table of figures"/>
    <w:basedOn w:val="1"/>
    <w:next w:val="1"/>
    <w:unhideWhenUsed/>
    <w:qFormat/>
    <w:uiPriority w:val="99"/>
    <w:rPr>
      <w:color w:val="595959"/>
    </w:rPr>
  </w:style>
  <w:style w:type="paragraph" w:styleId="71">
    <w:name w:val="toc 2"/>
    <w:basedOn w:val="1"/>
    <w:next w:val="1"/>
    <w:unhideWhenUsed/>
    <w:qFormat/>
    <w:uiPriority w:val="39"/>
    <w:pPr>
      <w:spacing w:after="100"/>
      <w:ind w:left="220"/>
    </w:pPr>
    <w:rPr>
      <w:color w:val="595959"/>
    </w:rPr>
  </w:style>
  <w:style w:type="paragraph" w:styleId="72">
    <w:name w:val="toc 9"/>
    <w:basedOn w:val="1"/>
    <w:next w:val="1"/>
    <w:unhideWhenUsed/>
    <w:qFormat/>
    <w:uiPriority w:val="39"/>
    <w:pPr>
      <w:spacing w:after="100"/>
      <w:ind w:left="1760"/>
    </w:pPr>
    <w:rPr>
      <w:color w:val="595959"/>
    </w:rPr>
  </w:style>
  <w:style w:type="paragraph" w:styleId="73">
    <w:name w:val="Body Text 2"/>
    <w:basedOn w:val="1"/>
    <w:link w:val="215"/>
    <w:unhideWhenUsed/>
    <w:qFormat/>
    <w:uiPriority w:val="99"/>
    <w:pPr>
      <w:spacing w:after="120" w:line="480" w:lineRule="auto"/>
    </w:pPr>
    <w:rPr>
      <w:color w:val="595959"/>
    </w:rPr>
  </w:style>
  <w:style w:type="paragraph" w:styleId="74">
    <w:name w:val="List 4"/>
    <w:basedOn w:val="1"/>
    <w:unhideWhenUsed/>
    <w:qFormat/>
    <w:uiPriority w:val="99"/>
    <w:pPr>
      <w:ind w:left="1440" w:hanging="360"/>
      <w:contextualSpacing/>
    </w:pPr>
    <w:rPr>
      <w:color w:val="595959"/>
    </w:rPr>
  </w:style>
  <w:style w:type="paragraph" w:styleId="75">
    <w:name w:val="List Continue 2"/>
    <w:basedOn w:val="1"/>
    <w:unhideWhenUsed/>
    <w:qFormat/>
    <w:uiPriority w:val="99"/>
    <w:pPr>
      <w:spacing w:after="120"/>
      <w:ind w:left="720"/>
      <w:contextualSpacing/>
    </w:pPr>
    <w:rPr>
      <w:color w:val="595959"/>
    </w:rPr>
  </w:style>
  <w:style w:type="paragraph" w:styleId="76">
    <w:name w:val="HTML Preformatted"/>
    <w:basedOn w:val="1"/>
    <w:link w:val="216"/>
    <w:unhideWhenUsed/>
    <w:qFormat/>
    <w:uiPriority w:val="99"/>
    <w:rPr>
      <w:rFonts w:ascii="Consolas" w:hAnsi="Consolas" w:eastAsia="Times New Roman" w:cs="Consolas"/>
      <w:color w:val="595959"/>
    </w:rPr>
  </w:style>
  <w:style w:type="paragraph" w:styleId="77">
    <w:name w:val="Normal (Web)"/>
    <w:basedOn w:val="1"/>
    <w:qFormat/>
    <w:uiPriority w:val="99"/>
    <w:pPr>
      <w:widowControl w:val="0"/>
      <w:spacing w:beforeAutospacing="1" w:afterAutospacing="1"/>
    </w:pPr>
    <w:rPr>
      <w:rFonts w:asciiTheme="minorHAnsi" w:hAnsiTheme="minorHAnsi" w:eastAsiaTheme="minorEastAsia"/>
      <w:kern w:val="0"/>
      <w:sz w:val="24"/>
      <w:szCs w:val="24"/>
      <w:lang w:val="en-US"/>
    </w:rPr>
  </w:style>
  <w:style w:type="paragraph" w:styleId="78">
    <w:name w:val="List Continue 3"/>
    <w:basedOn w:val="1"/>
    <w:unhideWhenUsed/>
    <w:qFormat/>
    <w:uiPriority w:val="99"/>
    <w:pPr>
      <w:spacing w:after="120"/>
      <w:ind w:left="1080"/>
      <w:contextualSpacing/>
    </w:pPr>
    <w:rPr>
      <w:color w:val="595959"/>
    </w:rPr>
  </w:style>
  <w:style w:type="paragraph" w:styleId="79">
    <w:name w:val="index 2"/>
    <w:basedOn w:val="1"/>
    <w:next w:val="1"/>
    <w:unhideWhenUsed/>
    <w:qFormat/>
    <w:uiPriority w:val="99"/>
    <w:pPr>
      <w:ind w:left="440" w:hanging="220"/>
    </w:pPr>
    <w:rPr>
      <w:color w:val="595959"/>
    </w:rPr>
  </w:style>
  <w:style w:type="paragraph" w:styleId="80">
    <w:name w:val="Title"/>
    <w:basedOn w:val="1"/>
    <w:next w:val="1"/>
    <w:link w:val="217"/>
    <w:unhideWhenUsed/>
    <w:qFormat/>
    <w:uiPriority w:val="0"/>
    <w:pPr>
      <w:pBdr>
        <w:top w:val="single" w:color="7E97AD" w:sz="4" w:space="16"/>
        <w:left w:val="single" w:color="7E97AD" w:sz="4" w:space="20"/>
        <w:bottom w:val="single" w:color="7E97AD" w:sz="4" w:space="16"/>
        <w:right w:val="single" w:color="7E97AD" w:sz="4" w:space="20"/>
      </w:pBdr>
      <w:shd w:val="clear" w:color="auto" w:fill="7E97AD"/>
      <w:spacing w:after="240" w:line="204" w:lineRule="auto"/>
      <w:ind w:left="432" w:right="432"/>
    </w:pPr>
    <w:rPr>
      <w:rFonts w:ascii="Calibri" w:hAnsi="Calibri" w:eastAsia="宋体" w:cs="Arial"/>
      <w:caps/>
      <w:color w:val="FFFFFF"/>
      <w:kern w:val="28"/>
      <w:sz w:val="72"/>
    </w:rPr>
  </w:style>
  <w:style w:type="paragraph" w:styleId="81">
    <w:name w:val="annotation subject"/>
    <w:basedOn w:val="28"/>
    <w:next w:val="28"/>
    <w:link w:val="195"/>
    <w:unhideWhenUsed/>
    <w:qFormat/>
    <w:uiPriority w:val="99"/>
    <w:rPr>
      <w:b/>
      <w:bCs/>
    </w:rPr>
  </w:style>
  <w:style w:type="paragraph" w:styleId="82">
    <w:name w:val="Body Text First Indent"/>
    <w:basedOn w:val="1"/>
    <w:link w:val="338"/>
    <w:qFormat/>
    <w:uiPriority w:val="99"/>
    <w:pPr>
      <w:widowControl w:val="0"/>
      <w:ind w:firstLine="420"/>
      <w:jc w:val="both"/>
    </w:pPr>
    <w:rPr>
      <w:rFonts w:ascii="Times New Roman" w:hAnsi="Times New Roman" w:eastAsia="宋体"/>
      <w:color w:val="auto"/>
      <w:kern w:val="2"/>
      <w:lang w:val="en-US"/>
    </w:rPr>
  </w:style>
  <w:style w:type="table" w:styleId="84">
    <w:name w:val="Table Grid"/>
    <w:basedOn w:val="83"/>
    <w:qFormat/>
    <w:uiPriority w:val="0"/>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Theme"/>
    <w:basedOn w:val="83"/>
    <w:unhideWhenUsed/>
    <w:qFormat/>
    <w:uiPriority w:val="99"/>
    <w:pPr>
      <w:spacing w:line="300" w:lineRule="auto"/>
    </w:pPr>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6">
    <w:name w:val="Table Colorful 1"/>
    <w:basedOn w:val="83"/>
    <w:unhideWhenUsed/>
    <w:qFormat/>
    <w:uiPriority w:val="99"/>
    <w:pPr>
      <w:spacing w:line="300" w:lineRule="auto"/>
    </w:pPr>
    <w:rPr>
      <w:rFonts w:ascii="Cambria" w:hAnsi="Cambria" w:eastAsia="黑体"/>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7">
    <w:name w:val="Table Colorful 2"/>
    <w:basedOn w:val="83"/>
    <w:unhideWhenUsed/>
    <w:qFormat/>
    <w:uiPriority w:val="99"/>
    <w:pPr>
      <w:spacing w:line="300" w:lineRule="auto"/>
    </w:pPr>
    <w:rPr>
      <w:rFonts w:ascii="Cambria" w:hAnsi="Cambria" w:eastAsia="黑体"/>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8">
    <w:name w:val="Table Colorful 3"/>
    <w:basedOn w:val="83"/>
    <w:unhideWhenUsed/>
    <w:qFormat/>
    <w:uiPriority w:val="99"/>
    <w:pPr>
      <w:spacing w:line="300" w:lineRule="auto"/>
    </w:pPr>
    <w:rPr>
      <w:rFonts w:ascii="Cambria" w:hAnsi="Cambria" w:eastAsia="黑体"/>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Elegant"/>
    <w:basedOn w:val="83"/>
    <w:unhideWhenUsed/>
    <w:qFormat/>
    <w:uiPriority w:val="99"/>
    <w:pPr>
      <w:spacing w:line="300" w:lineRule="auto"/>
    </w:pPr>
    <w:rPr>
      <w:rFonts w:ascii="Cambria" w:hAnsi="Cambria" w:eastAsia="黑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90">
    <w:name w:val="Table Classic 1"/>
    <w:basedOn w:val="83"/>
    <w:unhideWhenUsed/>
    <w:qFormat/>
    <w:uiPriority w:val="99"/>
    <w:pPr>
      <w:spacing w:line="300" w:lineRule="auto"/>
    </w:pPr>
    <w:rPr>
      <w:rFonts w:ascii="Cambria" w:hAnsi="Cambria" w:eastAsia="黑体"/>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Classic 2"/>
    <w:basedOn w:val="83"/>
    <w:unhideWhenUsed/>
    <w:qFormat/>
    <w:uiPriority w:val="99"/>
    <w:pPr>
      <w:spacing w:line="300" w:lineRule="auto"/>
    </w:pPr>
    <w:rPr>
      <w:rFonts w:ascii="Cambria" w:hAnsi="Cambria" w:eastAsia="黑体"/>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Classic 3"/>
    <w:basedOn w:val="83"/>
    <w:unhideWhenUsed/>
    <w:qFormat/>
    <w:uiPriority w:val="99"/>
    <w:pPr>
      <w:spacing w:line="300" w:lineRule="auto"/>
    </w:pPr>
    <w:rPr>
      <w:rFonts w:ascii="Cambria" w:hAnsi="Cambria" w:eastAsia="黑体"/>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93">
    <w:name w:val="Table Classic 4"/>
    <w:basedOn w:val="83"/>
    <w:unhideWhenUsed/>
    <w:qFormat/>
    <w:uiPriority w:val="99"/>
    <w:pPr>
      <w:spacing w:line="300" w:lineRule="auto"/>
    </w:pPr>
    <w:rPr>
      <w:rFonts w:ascii="Cambria" w:hAnsi="Cambria" w:eastAsia="黑体"/>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4">
    <w:name w:val="Table Simple 1"/>
    <w:basedOn w:val="83"/>
    <w:unhideWhenUsed/>
    <w:qFormat/>
    <w:uiPriority w:val="99"/>
    <w:pPr>
      <w:spacing w:line="300" w:lineRule="auto"/>
    </w:pPr>
    <w:rPr>
      <w:rFonts w:ascii="Cambria" w:hAnsi="Cambria" w:eastAsia="黑体"/>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95">
    <w:name w:val="Table Simple 2"/>
    <w:basedOn w:val="83"/>
    <w:unhideWhenUsed/>
    <w:qFormat/>
    <w:uiPriority w:val="99"/>
    <w:pPr>
      <w:spacing w:line="300" w:lineRule="auto"/>
    </w:pPr>
    <w:rPr>
      <w:rFonts w:ascii="Cambria" w:hAnsi="Cambria" w:eastAsia="黑体"/>
    </w:rPr>
    <w:tblPr>
      <w:tblCellMar>
        <w:top w:w="0" w:type="dxa"/>
        <w:left w:w="108" w:type="dxa"/>
        <w:bottom w:w="0" w:type="dxa"/>
        <w:right w:w="108" w:type="dxa"/>
      </w:tblCellMa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Simple 3"/>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7">
    <w:name w:val="Table Subtle 1"/>
    <w:basedOn w:val="83"/>
    <w:unhideWhenUsed/>
    <w:qFormat/>
    <w:uiPriority w:val="99"/>
    <w:pPr>
      <w:spacing w:line="300" w:lineRule="auto"/>
    </w:pPr>
    <w:rPr>
      <w:rFonts w:ascii="Cambria" w:hAnsi="Cambria" w:eastAsia="黑体"/>
    </w:rPr>
    <w:tblPr>
      <w:tblCellMar>
        <w:top w:w="0" w:type="dxa"/>
        <w:left w:w="108" w:type="dxa"/>
        <w:bottom w:w="0" w:type="dxa"/>
        <w:right w:w="108" w:type="dxa"/>
      </w:tblCellMar>
    </w:tblPr>
    <w:tblStylePr w:type="firstRow">
      <w:rPr>
        <w:rFonts w:cs="Times New Roman"/>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single" w:color="000000" w:sz="12" w:space="0"/>
          <w:bottom w:val="nil"/>
          <w:right w:val="nil"/>
          <w:insideH w:val="nil"/>
          <w:insideV w:val="nil"/>
          <w:tl2br w:val="nil"/>
          <w:tr2bl w:val="nil"/>
        </w:tcBorders>
      </w:tcPr>
    </w:tblStylePr>
    <w:tblStylePr w:type="band1Horz">
      <w:rPr>
        <w:rFonts w:cs="Times New Roman"/>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8">
    <w:name w:val="Table Subtle 2"/>
    <w:basedOn w:val="83"/>
    <w:unhideWhenUsed/>
    <w:qFormat/>
    <w:uiPriority w:val="99"/>
    <w:pPr>
      <w:spacing w:line="300" w:lineRule="auto"/>
    </w:pPr>
    <w:rPr>
      <w:rFonts w:ascii="Cambria" w:hAnsi="Cambria" w:eastAsia="黑体"/>
    </w:r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9">
    <w:name w:val="Table List 1"/>
    <w:basedOn w:val="83"/>
    <w:unhideWhenUsed/>
    <w:qFormat/>
    <w:uiPriority w:val="99"/>
    <w:pPr>
      <w:spacing w:line="300" w:lineRule="auto"/>
    </w:pPr>
    <w:rPr>
      <w:rFonts w:ascii="Cambria" w:hAnsi="Cambria" w:eastAsia="黑体"/>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0">
    <w:name w:val="Table List 2"/>
    <w:basedOn w:val="83"/>
    <w:unhideWhenUsed/>
    <w:qFormat/>
    <w:uiPriority w:val="99"/>
    <w:pPr>
      <w:spacing w:line="300" w:lineRule="auto"/>
    </w:pPr>
    <w:rPr>
      <w:rFonts w:ascii="Cambria" w:hAnsi="Cambria" w:eastAsia="黑体"/>
    </w:r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1">
    <w:name w:val="Table List 3"/>
    <w:basedOn w:val="83"/>
    <w:unhideWhenUsed/>
    <w:qFormat/>
    <w:uiPriority w:val="99"/>
    <w:pPr>
      <w:spacing w:line="300" w:lineRule="auto"/>
    </w:pPr>
    <w:rPr>
      <w:rFonts w:ascii="Cambria" w:hAnsi="Cambria" w:eastAsia="黑体"/>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102">
    <w:name w:val="Table List 4"/>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3">
    <w:name w:val="Table List 5"/>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104">
    <w:name w:val="Table List 6"/>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5">
    <w:name w:val="Table List 7"/>
    <w:basedOn w:val="83"/>
    <w:unhideWhenUsed/>
    <w:qFormat/>
    <w:uiPriority w:val="99"/>
    <w:pPr>
      <w:spacing w:line="300" w:lineRule="auto"/>
    </w:pPr>
    <w:rPr>
      <w:rFonts w:ascii="Cambria" w:hAnsi="Cambria" w:eastAsia="黑体"/>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6">
    <w:name w:val="Table List 8"/>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7">
    <w:name w:val="Table Contemporary"/>
    <w:basedOn w:val="83"/>
    <w:unhideWhenUsed/>
    <w:qFormat/>
    <w:uiPriority w:val="99"/>
    <w:pPr>
      <w:spacing w:line="300" w:lineRule="auto"/>
    </w:pPr>
    <w:rPr>
      <w:rFonts w:ascii="Cambria" w:hAnsi="Cambria" w:eastAsia="黑体"/>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8">
    <w:name w:val="Table Grid 1"/>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83"/>
    <w:unhideWhenUsed/>
    <w:qFormat/>
    <w:uiPriority w:val="99"/>
    <w:pPr>
      <w:spacing w:line="300" w:lineRule="auto"/>
    </w:pPr>
    <w:rPr>
      <w:rFonts w:ascii="Cambria" w:hAnsi="Cambria" w:eastAsia="黑体"/>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83"/>
    <w:unhideWhenUsed/>
    <w:qFormat/>
    <w:uiPriority w:val="99"/>
    <w:pPr>
      <w:spacing w:line="300" w:lineRule="auto"/>
    </w:pPr>
    <w:rPr>
      <w:rFonts w:ascii="Cambria" w:hAnsi="Cambria" w:eastAsia="黑体"/>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83"/>
    <w:unhideWhenUsed/>
    <w:qFormat/>
    <w:uiPriority w:val="99"/>
    <w:pPr>
      <w:spacing w:line="300" w:lineRule="auto"/>
    </w:pPr>
    <w:rPr>
      <w:rFonts w:ascii="Cambria" w:hAnsi="Cambria" w:eastAsia="黑体"/>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83"/>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83"/>
    <w:unhideWhenUsed/>
    <w:qFormat/>
    <w:uiPriority w:val="99"/>
    <w:pPr>
      <w:spacing w:line="300" w:lineRule="auto"/>
    </w:pPr>
    <w:rPr>
      <w:rFonts w:ascii="Cambria" w:hAnsi="Cambria" w:eastAsia="黑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83"/>
    <w:unhideWhenUsed/>
    <w:qFormat/>
    <w:uiPriority w:val="99"/>
    <w:pPr>
      <w:spacing w:line="300" w:lineRule="auto"/>
    </w:pPr>
    <w:rPr>
      <w:rFonts w:ascii="Cambria" w:hAnsi="Cambria" w:eastAsia="黑体"/>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83"/>
    <w:unhideWhenUsed/>
    <w:qFormat/>
    <w:uiPriority w:val="99"/>
    <w:pPr>
      <w:spacing w:line="300" w:lineRule="auto"/>
    </w:pPr>
    <w:rPr>
      <w:rFonts w:ascii="Cambria" w:hAnsi="Cambria" w:eastAsia="黑体"/>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83"/>
    <w:unhideWhenUsed/>
    <w:qFormat/>
    <w:uiPriority w:val="99"/>
    <w:pPr>
      <w:spacing w:line="300" w:lineRule="auto"/>
    </w:pPr>
    <w:rPr>
      <w:rFonts w:ascii="Cambria" w:hAnsi="Cambria" w:eastAsia="黑体"/>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qFormat/>
    <w:uiPriority w:val="22"/>
    <w:rPr>
      <w:b/>
      <w:bCs/>
    </w:rPr>
  </w:style>
  <w:style w:type="character" w:styleId="122">
    <w:name w:val="page number"/>
    <w:basedOn w:val="120"/>
    <w:unhideWhenUsed/>
    <w:qFormat/>
    <w:uiPriority w:val="0"/>
    <w:rPr>
      <w:rFonts w:cs="Times New Roman"/>
    </w:rPr>
  </w:style>
  <w:style w:type="character" w:styleId="123">
    <w:name w:val="FollowedHyperlink"/>
    <w:basedOn w:val="120"/>
    <w:unhideWhenUsed/>
    <w:qFormat/>
    <w:uiPriority w:val="99"/>
    <w:rPr>
      <w:rFonts w:cs="Times New Roman"/>
      <w:color w:val="800080"/>
      <w:u w:val="single"/>
    </w:rPr>
  </w:style>
  <w:style w:type="character" w:styleId="124">
    <w:name w:val="Emphasis"/>
    <w:basedOn w:val="120"/>
    <w:unhideWhenUsed/>
    <w:qFormat/>
    <w:uiPriority w:val="20"/>
  </w:style>
  <w:style w:type="character" w:styleId="125">
    <w:name w:val="line number"/>
    <w:basedOn w:val="120"/>
    <w:unhideWhenUsed/>
    <w:qFormat/>
    <w:uiPriority w:val="99"/>
    <w:rPr>
      <w:rFonts w:cs="Times New Roman"/>
    </w:rPr>
  </w:style>
  <w:style w:type="character" w:styleId="126">
    <w:name w:val="HTML Definition"/>
    <w:basedOn w:val="120"/>
    <w:unhideWhenUsed/>
    <w:qFormat/>
    <w:uiPriority w:val="99"/>
  </w:style>
  <w:style w:type="character" w:styleId="127">
    <w:name w:val="HTML Typewriter"/>
    <w:basedOn w:val="120"/>
    <w:unhideWhenUsed/>
    <w:qFormat/>
    <w:uiPriority w:val="99"/>
    <w:rPr>
      <w:rFonts w:ascii="Consolas" w:hAnsi="Consolas" w:eastAsia="Times New Roman"/>
      <w:sz w:val="20"/>
    </w:rPr>
  </w:style>
  <w:style w:type="character" w:styleId="128">
    <w:name w:val="HTML Variable"/>
    <w:basedOn w:val="120"/>
    <w:unhideWhenUsed/>
    <w:qFormat/>
    <w:uiPriority w:val="99"/>
  </w:style>
  <w:style w:type="character" w:styleId="129">
    <w:name w:val="Hyperlink"/>
    <w:basedOn w:val="120"/>
    <w:unhideWhenUsed/>
    <w:qFormat/>
    <w:uiPriority w:val="99"/>
    <w:rPr>
      <w:color w:val="646464"/>
      <w:u w:val="single"/>
    </w:rPr>
  </w:style>
  <w:style w:type="character" w:styleId="130">
    <w:name w:val="HTML Code"/>
    <w:basedOn w:val="120"/>
    <w:unhideWhenUsed/>
    <w:qFormat/>
    <w:uiPriority w:val="99"/>
    <w:rPr>
      <w:rFonts w:ascii="Consolas" w:hAnsi="Consolas" w:eastAsia="Times New Roman"/>
      <w:sz w:val="20"/>
    </w:rPr>
  </w:style>
  <w:style w:type="character" w:styleId="131">
    <w:name w:val="annotation reference"/>
    <w:basedOn w:val="120"/>
    <w:unhideWhenUsed/>
    <w:qFormat/>
    <w:uiPriority w:val="99"/>
    <w:rPr>
      <w:sz w:val="21"/>
    </w:rPr>
  </w:style>
  <w:style w:type="character" w:styleId="132">
    <w:name w:val="HTML Cite"/>
    <w:basedOn w:val="120"/>
    <w:unhideWhenUsed/>
    <w:qFormat/>
    <w:uiPriority w:val="99"/>
  </w:style>
  <w:style w:type="character" w:styleId="133">
    <w:name w:val="footnote reference"/>
    <w:qFormat/>
    <w:uiPriority w:val="0"/>
    <w:rPr>
      <w:vertAlign w:val="superscript"/>
    </w:rPr>
  </w:style>
  <w:style w:type="character" w:styleId="134">
    <w:name w:val="HTML Keyboard"/>
    <w:basedOn w:val="120"/>
    <w:unhideWhenUsed/>
    <w:qFormat/>
    <w:uiPriority w:val="99"/>
    <w:rPr>
      <w:rFonts w:ascii="Consolas" w:hAnsi="Consolas" w:eastAsia="Times New Roman"/>
      <w:sz w:val="20"/>
    </w:rPr>
  </w:style>
  <w:style w:type="character" w:styleId="135">
    <w:name w:val="HTML Sample"/>
    <w:unhideWhenUsed/>
    <w:qFormat/>
    <w:uiPriority w:val="99"/>
    <w:rPr>
      <w:rFonts w:ascii="serif" w:hAnsi="serif" w:eastAsia="serif" w:cs="serif"/>
      <w:sz w:val="21"/>
      <w:szCs w:val="21"/>
    </w:rPr>
  </w:style>
  <w:style w:type="table" w:customStyle="1" w:styleId="136">
    <w:name w:val="浅色底纹1"/>
    <w:basedOn w:val="83"/>
    <w:qFormat/>
    <w:uiPriority w:val="60"/>
    <w:rPr>
      <w:rFonts w:ascii="Cambria" w:hAnsi="Cambria" w:eastAsia="黑体"/>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pPr>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C0C0C0"/>
      </w:tcPr>
    </w:tblStylePr>
    <w:tblStylePr w:type="band1Horz">
      <w:rPr>
        <w:rFonts w:cs="Times New Roman"/>
      </w:rPr>
      <w:tcPr>
        <w:tcBorders>
          <w:top w:val="nil"/>
          <w:left w:val="nil"/>
          <w:bottom w:val="nil"/>
          <w:right w:val="nil"/>
          <w:insideH w:val="nil"/>
          <w:insideV w:val="nil"/>
          <w:tl2br w:val="nil"/>
          <w:tr2bl w:val="nil"/>
        </w:tcBorders>
        <w:shd w:val="clear" w:color="auto" w:fill="C0C0C0"/>
      </w:tcPr>
    </w:tblStylePr>
  </w:style>
  <w:style w:type="table" w:customStyle="1" w:styleId="137">
    <w:name w:val="浅色列表1"/>
    <w:basedOn w:val="83"/>
    <w:qFormat/>
    <w:uiPriority w:val="61"/>
    <w:rPr>
      <w:rFonts w:ascii="Cambria" w:hAnsi="Cambria" w:eastAsia="黑体"/>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38">
    <w:name w:val="浅色网格1"/>
    <w:basedOn w:val="83"/>
    <w:qFormat/>
    <w:uiPriority w:val="62"/>
    <w:rPr>
      <w:rFonts w:ascii="Cambria" w:hAnsi="Cambria" w:eastAsia="黑体"/>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pPr>
      <w:rPr>
        <w:rFonts w:ascii="Calibri" w:hAnsi="Calibri" w:eastAsia="宋体" w:cs="Arial"/>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39">
    <w:name w:val="中等深浅底纹 11"/>
    <w:basedOn w:val="83"/>
    <w:qFormat/>
    <w:uiPriority w:val="63"/>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pPr>
      <w:rPr>
        <w:rFonts w:cs="Times New Roman"/>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0C0C0"/>
      </w:tcPr>
    </w:tblStylePr>
    <w:tblStylePr w:type="band1Horz">
      <w:rPr>
        <w:rFonts w:cs="Times New Roman"/>
      </w:rPr>
      <w:tcPr>
        <w:shd w:val="clear" w:color="auto" w:fill="C0C0C0"/>
      </w:tcPr>
    </w:tblStylePr>
    <w:tblStylePr w:type="band2Horz">
      <w:rPr>
        <w:rFonts w:cs="Times New Roman"/>
      </w:rPr>
    </w:tblStylePr>
  </w:style>
  <w:style w:type="table" w:customStyle="1" w:styleId="140">
    <w:name w:val="中等深浅底纹 21"/>
    <w:basedOn w:val="83"/>
    <w:qFormat/>
    <w:uiPriority w:val="64"/>
    <w:rPr>
      <w:rFonts w:ascii="Cambria" w:hAnsi="Cambria" w:eastAsia="黑体"/>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00000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00000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00000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141">
    <w:name w:val="中等深浅列表 11"/>
    <w:basedOn w:val="83"/>
    <w:qFormat/>
    <w:uiPriority w:val="65"/>
    <w:rPr>
      <w:rFonts w:ascii="Cambria" w:hAnsi="Cambria" w:eastAsia="黑体"/>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rPr>
        <w:rFonts w:ascii="Calibri" w:hAnsi="Calibri" w:eastAsia="宋体" w:cs="Arial"/>
      </w:rPr>
      <w:tcPr>
        <w:tcBorders>
          <w:top w:val="nil"/>
          <w:left w:val="nil"/>
          <w:bottom w:val="single" w:color="000000" w:sz="8" w:space="0"/>
          <w:right w:val="nil"/>
          <w:insideH w:val="nil"/>
          <w:insideV w:val="nil"/>
          <w:tl2br w:val="nil"/>
          <w:tr2bl w:val="nil"/>
        </w:tcBorders>
      </w:tcPr>
    </w:tblStylePr>
    <w:tblStylePr w:type="lastRow">
      <w:rPr>
        <w:rFonts w:cs="Times New Roman"/>
        <w:b/>
        <w:bCs/>
        <w:color w:val="1F2123"/>
      </w:r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band1Vert">
      <w:rPr>
        <w:rFonts w:cs="Times New Roman"/>
      </w:rPr>
      <w:tcPr>
        <w:shd w:val="clear" w:color="auto" w:fill="C0C0C0"/>
      </w:tcPr>
    </w:tblStylePr>
    <w:tblStylePr w:type="band1Horz">
      <w:rPr>
        <w:rFonts w:cs="Times New Roman"/>
      </w:rPr>
      <w:tcPr>
        <w:shd w:val="clear" w:color="auto" w:fill="C0C0C0"/>
      </w:tcPr>
    </w:tblStylePr>
  </w:style>
  <w:style w:type="table" w:customStyle="1" w:styleId="142">
    <w:name w:val="中等深浅列表 21"/>
    <w:basedOn w:val="83"/>
    <w:qFormat/>
    <w:uiPriority w:val="66"/>
    <w:rPr>
      <w:rFonts w:ascii="Calibri" w:hAnsi="Calibri" w:cs="Arial"/>
      <w:color w:val="00000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rFonts w:cs="Arial"/>
        <w:sz w:val="24"/>
        <w:szCs w:val="24"/>
      </w:rPr>
      <w:tcPr>
        <w:tcBorders>
          <w:top w:val="nil"/>
          <w:left w:val="nil"/>
          <w:bottom w:val="single" w:color="000000" w:sz="24" w:space="0"/>
          <w:right w:val="nil"/>
          <w:insideH w:val="nil"/>
          <w:insideV w:val="nil"/>
          <w:tl2br w:val="nil"/>
          <w:tr2bl w:val="nil"/>
        </w:tcBorders>
        <w:shd w:val="clear" w:color="auto" w:fill="FFFFFF"/>
      </w:tcPr>
    </w:tblStylePr>
    <w:tblStylePr w:type="lastRow">
      <w:rPr>
        <w:rFonts w:cs="Arial"/>
      </w:rPr>
      <w:tcPr>
        <w:tcBorders>
          <w:top w:val="single" w:color="000000"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000000" w:sz="8" w:space="0"/>
          <w:insideH w:val="nil"/>
          <w:insideV w:val="nil"/>
          <w:tl2br w:val="nil"/>
          <w:tr2bl w:val="nil"/>
        </w:tcBorders>
        <w:shd w:val="clear" w:color="auto" w:fill="FFFFFF"/>
      </w:tcPr>
    </w:tblStylePr>
    <w:tblStylePr w:type="lastCol">
      <w:rPr>
        <w:rFonts w:cs="Arial"/>
      </w:rPr>
      <w:tcPr>
        <w:tcBorders>
          <w:top w:val="nil"/>
          <w:left w:val="single" w:color="000000"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C0C0C0"/>
      </w:tcPr>
    </w:tblStylePr>
    <w:tblStylePr w:type="band1Horz">
      <w:rPr>
        <w:rFonts w:cs="Arial"/>
      </w:rPr>
      <w:tcPr>
        <w:tcBorders>
          <w:top w:val="nil"/>
          <w:left w:val="nil"/>
          <w:bottom w:val="nil"/>
          <w:right w:val="nil"/>
          <w:insideH w:val="nil"/>
          <w:insideV w:val="nil"/>
          <w:tl2br w:val="nil"/>
          <w:tr2bl w:val="nil"/>
        </w:tcBorders>
        <w:shd w:val="clear" w:color="auto" w:fill="C0C0C0"/>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143">
    <w:name w:val="中等深浅网格 11"/>
    <w:basedOn w:val="83"/>
    <w:qFormat/>
    <w:uiPriority w:val="67"/>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cPr>
        <w:tcBorders>
          <w:top w:val="single" w:color="404040"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table" w:customStyle="1" w:styleId="144">
    <w:name w:val="中等深浅网格 21"/>
    <w:basedOn w:val="83"/>
    <w:qFormat/>
    <w:uiPriority w:val="68"/>
    <w:rPr>
      <w:rFonts w:ascii="Calibri" w:hAnsi="Calibri" w:cs="Arial"/>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rFonts w:cs="Arial"/>
        <w:b/>
        <w:bCs/>
        <w:color w:val="000000"/>
      </w:rPr>
      <w:tcPr>
        <w:shd w:val="clear" w:color="auto" w:fill="E6E6E6"/>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CCCCCC"/>
      </w:tcPr>
    </w:tblStylePr>
    <w:tblStylePr w:type="band1Vert">
      <w:rPr>
        <w:rFonts w:cs="Arial"/>
      </w:rPr>
      <w:tcPr>
        <w:shd w:val="clear" w:color="auto" w:fill="808080"/>
      </w:tcPr>
    </w:tblStylePr>
    <w:tblStylePr w:type="band1Horz">
      <w:rPr>
        <w:rFonts w:cs="Arial"/>
      </w:rPr>
      <w:tcPr>
        <w:shd w:val="clear" w:color="auto" w:fill="808080"/>
      </w:tcPr>
    </w:tblStylePr>
    <w:tblStylePr w:type="nwCell">
      <w:rPr>
        <w:rFonts w:cs="Arial"/>
      </w:rPr>
      <w:tcPr>
        <w:shd w:val="clear" w:color="auto" w:fill="FFFFFF"/>
      </w:tcPr>
    </w:tblStylePr>
  </w:style>
  <w:style w:type="table" w:customStyle="1" w:styleId="145">
    <w:name w:val="中等深浅网格 3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00000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00000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00000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style>
  <w:style w:type="table" w:customStyle="1" w:styleId="146">
    <w:name w:val="深色列表1"/>
    <w:basedOn w:val="83"/>
    <w:qFormat/>
    <w:uiPriority w:val="70"/>
    <w:rPr>
      <w:rFonts w:ascii="Cambria" w:hAnsi="Cambria" w:eastAsia="黑体"/>
      <w:color w:val="FFFFFF"/>
    </w:rPr>
    <w:tblPr>
      <w:tblCellMar>
        <w:top w:w="0" w:type="dxa"/>
        <w:left w:w="108" w:type="dxa"/>
        <w:bottom w:w="0" w:type="dxa"/>
        <w:right w:w="108" w:type="dxa"/>
      </w:tblCellMar>
    </w:tblPr>
    <w:tcPr>
      <w:shd w:val="clear" w:color="auto" w:fill="00000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00000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000000"/>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000000"/>
      </w:tcPr>
    </w:tblStylePr>
    <w:tblStylePr w:type="band1Vert">
      <w:rPr>
        <w:rFonts w:cs="Times New Roman"/>
      </w:rPr>
      <w:tcPr>
        <w:tcBorders>
          <w:top w:val="nil"/>
          <w:left w:val="nil"/>
          <w:bottom w:val="nil"/>
          <w:right w:val="nil"/>
          <w:insideH w:val="nil"/>
          <w:insideV w:val="nil"/>
          <w:tl2br w:val="nil"/>
          <w:tr2bl w:val="nil"/>
        </w:tcBorders>
        <w:shd w:val="clear" w:color="auto" w:fill="000000"/>
      </w:tcPr>
    </w:tblStylePr>
    <w:tblStylePr w:type="band1Horz">
      <w:rPr>
        <w:rFonts w:cs="Times New Roman"/>
      </w:rPr>
      <w:tcPr>
        <w:tcBorders>
          <w:top w:val="nil"/>
          <w:left w:val="nil"/>
          <w:bottom w:val="nil"/>
          <w:right w:val="nil"/>
          <w:insideH w:val="nil"/>
          <w:insideV w:val="nil"/>
          <w:tl2br w:val="nil"/>
          <w:tr2bl w:val="nil"/>
        </w:tcBorders>
        <w:shd w:val="clear" w:color="auto" w:fill="000000"/>
      </w:tcPr>
    </w:tblStylePr>
  </w:style>
  <w:style w:type="table" w:customStyle="1" w:styleId="147">
    <w:name w:val="彩色底纹1"/>
    <w:basedOn w:val="83"/>
    <w:qFormat/>
    <w:uiPriority w:val="71"/>
    <w:rPr>
      <w:rFonts w:ascii="Cambria" w:hAnsi="Cambria" w:eastAsia="黑体"/>
      <w:color w:val="000000"/>
    </w:rPr>
    <w:tblPr>
      <w:tblBorders>
        <w:top w:val="single" w:color="CC8E60"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000000"/>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000000"/>
      </w:tcPr>
    </w:tblStylePr>
    <w:tblStylePr w:type="band1Vert">
      <w:rPr>
        <w:rFonts w:cs="Times New Roman"/>
      </w:rPr>
      <w:tcPr>
        <w:shd w:val="clear" w:color="auto" w:fill="999999"/>
      </w:tcPr>
    </w:tblStylePr>
    <w:tblStylePr w:type="band1Horz">
      <w:rPr>
        <w:rFonts w:cs="Times New Roman"/>
      </w:r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148">
    <w:name w:val="彩色列表1"/>
    <w:basedOn w:val="83"/>
    <w:qFormat/>
    <w:uiPriority w:val="72"/>
    <w:rPr>
      <w:rFonts w:ascii="Cambria" w:hAnsi="Cambria" w:eastAsia="黑体"/>
      <w:color w:val="000000"/>
    </w:rPr>
    <w:tblPr>
      <w:tblCellMar>
        <w:top w:w="0" w:type="dxa"/>
        <w:left w:w="108" w:type="dxa"/>
        <w:bottom w:w="0" w:type="dxa"/>
        <w:right w:w="108" w:type="dxa"/>
      </w:tblCellMar>
    </w:tblPr>
    <w:tcPr>
      <w:shd w:val="clear" w:color="auto" w:fill="E6E6E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C0C0C0"/>
      </w:tcPr>
    </w:tblStylePr>
    <w:tblStylePr w:type="band1Horz">
      <w:rPr>
        <w:rFonts w:cs="Times New Roman"/>
      </w:rPr>
      <w:tcPr>
        <w:shd w:val="clear" w:color="auto" w:fill="CCCCCC"/>
      </w:tcPr>
    </w:tblStylePr>
  </w:style>
  <w:style w:type="table" w:customStyle="1" w:styleId="149">
    <w:name w:val="彩色网格1"/>
    <w:basedOn w:val="83"/>
    <w:qFormat/>
    <w:uiPriority w:val="73"/>
    <w:rPr>
      <w:rFonts w:ascii="Cambria" w:hAnsi="Cambria" w:eastAsia="黑体"/>
      <w:color w:val="000000"/>
    </w:rPr>
    <w:tblPr>
      <w:tblBorders>
        <w:insideH w:val="single" w:color="FFFFFF" w:sz="4" w:space="0"/>
      </w:tblBorders>
      <w:tblCellMar>
        <w:top w:w="0" w:type="dxa"/>
        <w:left w:w="108" w:type="dxa"/>
        <w:bottom w:w="0" w:type="dxa"/>
        <w:right w:w="108" w:type="dxa"/>
      </w:tblCellMar>
    </w:tblPr>
    <w:tcPr>
      <w:shd w:val="clear" w:color="auto" w:fill="CCCCCC"/>
    </w:tcPr>
    <w:tblStylePr w:type="firstRow">
      <w:rPr>
        <w:rFonts w:cs="Times New Roman"/>
        <w:b/>
        <w:bCs/>
      </w:rPr>
      <w:tcPr>
        <w:shd w:val="clear" w:color="auto" w:fill="999999"/>
      </w:tcPr>
    </w:tblStylePr>
    <w:tblStylePr w:type="lastRow">
      <w:rPr>
        <w:rFonts w:cs="Times New Roman"/>
        <w:b/>
        <w:bCs/>
        <w:color w:val="000000"/>
      </w:rPr>
      <w:tcPr>
        <w:shd w:val="clear" w:color="auto" w:fill="999999"/>
      </w:tcPr>
    </w:tblStylePr>
    <w:tblStylePr w:type="firstCol">
      <w:rPr>
        <w:rFonts w:cs="Times New Roman"/>
        <w:color w:val="FFFFFF"/>
      </w:rPr>
      <w:tcPr>
        <w:shd w:val="clear" w:color="auto" w:fill="000000"/>
      </w:tcPr>
    </w:tblStylePr>
    <w:tblStylePr w:type="lastCol">
      <w:rPr>
        <w:rFonts w:cs="Times New Roman"/>
        <w:color w:val="FFFFFF"/>
      </w:rPr>
      <w:tcPr>
        <w:shd w:val="clear" w:color="auto" w:fill="000000"/>
      </w:tc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paragraph" w:customStyle="1" w:styleId="150">
    <w:name w:val="无间距"/>
    <w:link w:val="240"/>
    <w:qFormat/>
    <w:uiPriority w:val="1"/>
    <w:pPr>
      <w:spacing w:before="40"/>
    </w:pPr>
    <w:rPr>
      <w:rFonts w:ascii="Cambria" w:hAnsi="Cambria" w:eastAsia="黑体" w:cs="Times New Roman"/>
      <w:color w:val="595959"/>
      <w:lang w:val="zh-CN" w:eastAsia="zh-CN" w:bidi="ar-SA"/>
    </w:rPr>
  </w:style>
  <w:style w:type="paragraph" w:customStyle="1" w:styleId="151">
    <w:name w:val="引言"/>
    <w:basedOn w:val="1"/>
    <w:next w:val="1"/>
    <w:link w:val="219"/>
    <w:unhideWhenUsed/>
    <w:qFormat/>
    <w:uiPriority w:val="9"/>
    <w:pPr>
      <w:spacing w:before="240" w:after="240"/>
      <w:ind w:left="720" w:right="720"/>
    </w:pPr>
    <w:rPr>
      <w:i/>
      <w:iCs/>
      <w:color w:val="7E97AD"/>
      <w:sz w:val="28"/>
    </w:rPr>
  </w:style>
  <w:style w:type="paragraph" w:customStyle="1" w:styleId="152">
    <w:name w:val="书目1"/>
    <w:basedOn w:val="1"/>
    <w:next w:val="1"/>
    <w:unhideWhenUsed/>
    <w:qFormat/>
    <w:uiPriority w:val="37"/>
    <w:rPr>
      <w:color w:val="595959"/>
    </w:rPr>
  </w:style>
  <w:style w:type="paragraph" w:customStyle="1" w:styleId="153">
    <w:name w:val="块文本"/>
    <w:basedOn w:val="1"/>
    <w:unhideWhenUsed/>
    <w:qFormat/>
    <w:uiPriority w:val="99"/>
    <w:pPr>
      <w:pBdr>
        <w:top w:val="single" w:color="7E97AD" w:sz="2" w:space="10"/>
        <w:left w:val="single" w:color="7E97AD" w:sz="2" w:space="10"/>
        <w:bottom w:val="single" w:color="7E97AD" w:sz="2" w:space="10"/>
        <w:right w:val="single" w:color="7E97AD" w:sz="2" w:space="10"/>
      </w:pBdr>
      <w:ind w:left="1152" w:right="1152"/>
    </w:pPr>
    <w:rPr>
      <w:i/>
      <w:iCs/>
      <w:color w:val="7E97AD"/>
    </w:rPr>
  </w:style>
  <w:style w:type="paragraph" w:customStyle="1" w:styleId="154">
    <w:name w:val="正文文本第一缩进"/>
    <w:basedOn w:val="34"/>
    <w:link w:val="220"/>
    <w:unhideWhenUsed/>
    <w:qFormat/>
    <w:uiPriority w:val="99"/>
    <w:pPr>
      <w:spacing w:after="200"/>
      <w:ind w:firstLine="360"/>
    </w:pPr>
  </w:style>
  <w:style w:type="paragraph" w:customStyle="1" w:styleId="155">
    <w:name w:val="正文文本第一缩进 2"/>
    <w:basedOn w:val="3"/>
    <w:link w:val="221"/>
    <w:unhideWhenUsed/>
    <w:qFormat/>
    <w:uiPriority w:val="99"/>
    <w:pPr>
      <w:spacing w:after="200"/>
      <w:ind w:firstLine="360"/>
    </w:pPr>
  </w:style>
  <w:style w:type="paragraph" w:customStyle="1" w:styleId="156">
    <w:name w:val="描述"/>
    <w:basedOn w:val="1"/>
    <w:next w:val="1"/>
    <w:unhideWhenUsed/>
    <w:qFormat/>
    <w:uiPriority w:val="35"/>
    <w:rPr>
      <w:b/>
      <w:bCs/>
      <w:color w:val="7E97AD"/>
      <w:sz w:val="18"/>
    </w:rPr>
  </w:style>
  <w:style w:type="paragraph" w:customStyle="1" w:styleId="157">
    <w:name w:val="注释文本"/>
    <w:basedOn w:val="1"/>
    <w:link w:val="224"/>
    <w:unhideWhenUsed/>
    <w:qFormat/>
    <w:uiPriority w:val="99"/>
    <w:rPr>
      <w:color w:val="595959"/>
    </w:rPr>
  </w:style>
  <w:style w:type="paragraph" w:customStyle="1" w:styleId="158">
    <w:name w:val="注释主题"/>
    <w:basedOn w:val="157"/>
    <w:next w:val="157"/>
    <w:link w:val="225"/>
    <w:unhideWhenUsed/>
    <w:qFormat/>
    <w:uiPriority w:val="99"/>
    <w:rPr>
      <w:b/>
      <w:bCs/>
    </w:rPr>
  </w:style>
  <w:style w:type="paragraph" w:customStyle="1" w:styleId="159">
    <w:name w:val="信封地址"/>
    <w:basedOn w:val="1"/>
    <w:unhideWhenUsed/>
    <w:qFormat/>
    <w:uiPriority w:val="99"/>
    <w:pPr>
      <w:framePr w:w="7920" w:h="1980" w:hRule="exact" w:hSpace="180" w:wrap="around" w:vAnchor="margin" w:hAnchor="page" w:xAlign="center" w:yAlign="bottom"/>
      <w:ind w:left="2880"/>
    </w:pPr>
    <w:rPr>
      <w:rFonts w:ascii="Calibri" w:hAnsi="Calibri" w:eastAsia="宋体" w:cs="Arial"/>
      <w:color w:val="595959"/>
      <w:sz w:val="24"/>
    </w:rPr>
  </w:style>
  <w:style w:type="paragraph" w:customStyle="1" w:styleId="160">
    <w:name w:val="信封寄信人地址"/>
    <w:basedOn w:val="1"/>
    <w:unhideWhenUsed/>
    <w:qFormat/>
    <w:uiPriority w:val="99"/>
    <w:rPr>
      <w:rFonts w:ascii="Calibri" w:hAnsi="Calibri" w:eastAsia="宋体" w:cs="Arial"/>
      <w:color w:val="595959"/>
    </w:rPr>
  </w:style>
  <w:style w:type="paragraph" w:customStyle="1" w:styleId="161">
    <w:name w:val="页脚文本"/>
    <w:basedOn w:val="1"/>
    <w:link w:val="229"/>
    <w:unhideWhenUsed/>
    <w:qFormat/>
    <w:uiPriority w:val="99"/>
    <w:rPr>
      <w:color w:val="595959"/>
    </w:rPr>
  </w:style>
  <w:style w:type="paragraph" w:customStyle="1" w:styleId="162">
    <w:name w:val="重要引言"/>
    <w:basedOn w:val="1"/>
    <w:next w:val="1"/>
    <w:link w:val="233"/>
    <w:unhideWhenUsed/>
    <w:qFormat/>
    <w:uiPriority w:val="30"/>
    <w:pPr>
      <w:pBdr>
        <w:bottom w:val="single" w:color="7E97AD" w:sz="4" w:space="4"/>
      </w:pBdr>
      <w:spacing w:before="200" w:after="280"/>
      <w:ind w:left="936" w:right="936"/>
    </w:pPr>
    <w:rPr>
      <w:b/>
      <w:bCs/>
      <w:i/>
      <w:iCs/>
      <w:color w:val="7E97AD"/>
    </w:rPr>
  </w:style>
  <w:style w:type="paragraph" w:customStyle="1" w:styleId="163">
    <w:name w:val="列表段落1"/>
    <w:basedOn w:val="1"/>
    <w:unhideWhenUsed/>
    <w:qFormat/>
    <w:uiPriority w:val="34"/>
    <w:pPr>
      <w:ind w:left="720"/>
      <w:contextualSpacing/>
    </w:pPr>
    <w:rPr>
      <w:color w:val="595959"/>
    </w:rPr>
  </w:style>
  <w:style w:type="paragraph" w:customStyle="1" w:styleId="164">
    <w:name w:val="宏"/>
    <w:link w:val="235"/>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eastAsia="Times New Roman" w:cs="Consolas"/>
      <w:color w:val="595959"/>
      <w:lang w:val="zh-CN" w:eastAsia="zh-CN" w:bidi="ar-SA"/>
    </w:rPr>
  </w:style>
  <w:style w:type="paragraph" w:customStyle="1" w:styleId="165">
    <w:name w:val="消息头"/>
    <w:basedOn w:val="1"/>
    <w:link w:val="23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libri" w:hAnsi="Calibri" w:eastAsia="宋体" w:cs="Arial"/>
      <w:color w:val="595959"/>
      <w:sz w:val="24"/>
    </w:rPr>
  </w:style>
  <w:style w:type="paragraph" w:customStyle="1" w:styleId="166">
    <w:name w:val="正常 (Web)"/>
    <w:basedOn w:val="1"/>
    <w:unhideWhenUsed/>
    <w:qFormat/>
    <w:uiPriority w:val="99"/>
    <w:rPr>
      <w:rFonts w:ascii="Times New Roman" w:hAnsi="Times New Roman" w:eastAsia="黑体"/>
      <w:color w:val="595959"/>
      <w:sz w:val="24"/>
    </w:rPr>
  </w:style>
  <w:style w:type="paragraph" w:customStyle="1" w:styleId="167">
    <w:name w:val="正常缩进"/>
    <w:basedOn w:val="1"/>
    <w:unhideWhenUsed/>
    <w:qFormat/>
    <w:uiPriority w:val="99"/>
    <w:pPr>
      <w:ind w:left="720"/>
    </w:pPr>
    <w:rPr>
      <w:color w:val="595959"/>
    </w:rPr>
  </w:style>
  <w:style w:type="paragraph" w:customStyle="1" w:styleId="168">
    <w:name w:val="目录标题"/>
    <w:basedOn w:val="4"/>
    <w:next w:val="1"/>
    <w:unhideWhenUsed/>
    <w:qFormat/>
    <w:uiPriority w:val="39"/>
    <w:pPr>
      <w:outlineLvl w:val="9"/>
    </w:pPr>
  </w:style>
  <w:style w:type="paragraph" w:customStyle="1" w:styleId="169">
    <w:name w:val="表格标题"/>
    <w:basedOn w:val="1"/>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ascii="Calibri" w:hAnsi="Calibri" w:eastAsia="宋体" w:cs="Arial"/>
      <w:caps/>
      <w:color w:val="FFFFFF"/>
      <w:sz w:val="24"/>
    </w:rPr>
  </w:style>
  <w:style w:type="paragraph" w:customStyle="1" w:styleId="170">
    <w:name w:val="公司信息"/>
    <w:basedOn w:val="1"/>
    <w:qFormat/>
    <w:uiPriority w:val="2"/>
    <w:pPr>
      <w:spacing w:after="40"/>
    </w:pPr>
    <w:rPr>
      <w:color w:val="595959"/>
    </w:rPr>
  </w:style>
  <w:style w:type="paragraph" w:customStyle="1" w:styleId="171">
    <w:name w:val="摘要"/>
    <w:basedOn w:val="1"/>
    <w:qFormat/>
    <w:uiPriority w:val="20"/>
    <w:pPr>
      <w:spacing w:before="360"/>
      <w:ind w:left="432" w:right="1080"/>
    </w:pPr>
    <w:rPr>
      <w:i/>
      <w:iCs/>
      <w:color w:val="7F7F7F"/>
      <w:sz w:val="28"/>
    </w:rPr>
  </w:style>
  <w:style w:type="paragraph" w:customStyle="1" w:styleId="172">
    <w:name w:val="表格文字"/>
    <w:basedOn w:val="1"/>
    <w:qFormat/>
    <w:uiPriority w:val="10"/>
    <w:pPr>
      <w:spacing w:before="60" w:after="60"/>
      <w:ind w:left="144" w:right="144"/>
    </w:pPr>
    <w:rPr>
      <w:color w:val="595959"/>
    </w:rPr>
  </w:style>
  <w:style w:type="paragraph" w:customStyle="1" w:styleId="173">
    <w:name w:val="表格反转标题"/>
    <w:basedOn w:val="1"/>
    <w:qFormat/>
    <w:uiPriority w:val="10"/>
    <w:pPr>
      <w:spacing w:after="40"/>
      <w:ind w:left="144" w:right="144"/>
    </w:pPr>
    <w:rPr>
      <w:rFonts w:ascii="Calibri" w:hAnsi="Calibri" w:eastAsia="宋体" w:cs="Arial"/>
      <w:caps/>
      <w:color w:val="FFFFFF"/>
      <w:sz w:val="24"/>
    </w:rPr>
  </w:style>
  <w:style w:type="paragraph" w:customStyle="1" w:styleId="174">
    <w:name w:val="页眉阴影"/>
    <w:basedOn w:val="1"/>
    <w:qFormat/>
    <w:uiPriority w:val="99"/>
    <w:pPr>
      <w:pBdr>
        <w:top w:val="single" w:color="7E97AD" w:sz="2" w:space="6"/>
        <w:left w:val="single" w:color="7E97AD" w:sz="2" w:space="20"/>
        <w:bottom w:val="single" w:color="7E97AD" w:sz="2" w:space="6"/>
        <w:right w:val="single" w:color="7E97AD" w:sz="2" w:space="20"/>
      </w:pBdr>
      <w:shd w:val="clear" w:color="auto" w:fill="7E97AD"/>
    </w:pPr>
    <w:rPr>
      <w:rFonts w:ascii="Calibri" w:hAnsi="Calibri" w:eastAsia="宋体" w:cs="Arial"/>
      <w:caps/>
      <w:color w:val="FFFFFF"/>
      <w:sz w:val="40"/>
    </w:rPr>
  </w:style>
  <w:style w:type="paragraph" w:customStyle="1" w:styleId="175">
    <w:name w:val="p0"/>
    <w:basedOn w:val="1"/>
    <w:qFormat/>
    <w:uiPriority w:val="0"/>
    <w:pPr>
      <w:jc w:val="both"/>
    </w:pPr>
    <w:rPr>
      <w:rFonts w:ascii="Times New Roman" w:hAnsi="Times New Roman" w:eastAsia="宋体"/>
      <w:kern w:val="0"/>
      <w:szCs w:val="21"/>
      <w:lang w:val="en-US"/>
    </w:rPr>
  </w:style>
  <w:style w:type="paragraph" w:customStyle="1" w:styleId="176">
    <w:name w:val="p17"/>
    <w:basedOn w:val="1"/>
    <w:qFormat/>
    <w:uiPriority w:val="0"/>
    <w:pPr>
      <w:jc w:val="both"/>
    </w:pPr>
    <w:rPr>
      <w:rFonts w:ascii="宋体" w:hAnsi="宋体" w:eastAsia="宋体" w:cs="宋体"/>
      <w:kern w:val="0"/>
      <w:szCs w:val="21"/>
      <w:lang w:val="en-US"/>
    </w:rPr>
  </w:style>
  <w:style w:type="paragraph" w:customStyle="1" w:styleId="177">
    <w:name w:val="p18"/>
    <w:basedOn w:val="1"/>
    <w:qFormat/>
    <w:uiPriority w:val="0"/>
    <w:pPr>
      <w:ind w:left="709" w:hanging="709"/>
      <w:jc w:val="both"/>
    </w:pPr>
    <w:rPr>
      <w:rFonts w:ascii="宋体" w:hAnsi="宋体" w:eastAsia="宋体" w:cs="宋体"/>
      <w:kern w:val="0"/>
      <w:szCs w:val="21"/>
      <w:lang w:val="en-US"/>
    </w:rPr>
  </w:style>
  <w:style w:type="paragraph" w:customStyle="1" w:styleId="178">
    <w:name w:val="列出段落2"/>
    <w:basedOn w:val="1"/>
    <w:qFormat/>
    <w:uiPriority w:val="99"/>
    <w:pPr>
      <w:ind w:firstLine="420" w:firstLineChars="200"/>
    </w:pPr>
    <w:rPr>
      <w:color w:val="595959"/>
    </w:rPr>
  </w:style>
  <w:style w:type="paragraph" w:customStyle="1" w:styleId="179">
    <w:name w:val="样式 标题 2 + 宋体 五号 非加粗 黑色"/>
    <w:basedOn w:val="5"/>
    <w:qFormat/>
    <w:uiPriority w:val="0"/>
    <w:pPr>
      <w:widowControl w:val="0"/>
      <w:spacing w:before="260" w:after="260" w:line="416" w:lineRule="atLeast"/>
      <w:ind w:left="240"/>
    </w:pPr>
    <w:rPr>
      <w:rFonts w:ascii="宋体" w:hAnsi="宋体" w:eastAsia="宋体"/>
      <w:caps/>
      <w:kern w:val="2"/>
      <w:szCs w:val="32"/>
      <w:lang w:val="en-US"/>
    </w:rPr>
  </w:style>
  <w:style w:type="paragraph" w:customStyle="1" w:styleId="180">
    <w:name w:val="样式1"/>
    <w:basedOn w:val="1"/>
    <w:qFormat/>
    <w:uiPriority w:val="0"/>
    <w:pPr>
      <w:widowControl w:val="0"/>
      <w:numPr>
        <w:ilvl w:val="0"/>
        <w:numId w:val="7"/>
      </w:numPr>
      <w:jc w:val="both"/>
    </w:pPr>
    <w:rPr>
      <w:rFonts w:ascii="宋体" w:hAnsi="宋体" w:eastAsia="宋体"/>
      <w:kern w:val="2"/>
      <w:szCs w:val="21"/>
      <w:lang w:val="en-US"/>
    </w:rPr>
  </w:style>
  <w:style w:type="paragraph" w:customStyle="1" w:styleId="181">
    <w:name w:val="列出段落3"/>
    <w:basedOn w:val="1"/>
    <w:unhideWhenUsed/>
    <w:qFormat/>
    <w:uiPriority w:val="99"/>
    <w:pPr>
      <w:ind w:firstLine="420" w:firstLineChars="200"/>
    </w:pPr>
  </w:style>
  <w:style w:type="paragraph" w:customStyle="1" w:styleId="182">
    <w:name w:val="列出段落4"/>
    <w:basedOn w:val="1"/>
    <w:qFormat/>
    <w:uiPriority w:val="34"/>
    <w:pPr>
      <w:ind w:firstLine="420" w:firstLineChars="200"/>
    </w:pPr>
  </w:style>
  <w:style w:type="paragraph" w:customStyle="1" w:styleId="183">
    <w:name w:val="列出段落5"/>
    <w:basedOn w:val="1"/>
    <w:semiHidden/>
    <w:qFormat/>
    <w:uiPriority w:val="99"/>
    <w:pPr>
      <w:ind w:firstLine="420" w:firstLineChars="200"/>
    </w:pPr>
  </w:style>
  <w:style w:type="paragraph" w:customStyle="1" w:styleId="184">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85">
    <w:name w:val="标题 1 Char"/>
    <w:basedOn w:val="120"/>
    <w:link w:val="4"/>
    <w:qFormat/>
    <w:uiPriority w:val="0"/>
    <w:rPr>
      <w:rFonts w:ascii="Cambria" w:hAnsi="Cambria" w:eastAsia="微软雅黑" w:cs="Times New Roman"/>
      <w:color w:val="595959"/>
      <w:kern w:val="20"/>
      <w:sz w:val="36"/>
      <w:szCs w:val="20"/>
      <w:lang w:val="zh-CN"/>
    </w:rPr>
  </w:style>
  <w:style w:type="character" w:customStyle="1" w:styleId="186">
    <w:name w:val="标题 2 Char"/>
    <w:basedOn w:val="120"/>
    <w:link w:val="5"/>
    <w:qFormat/>
    <w:uiPriority w:val="0"/>
    <w:rPr>
      <w:rFonts w:ascii="微软雅黑" w:hAnsi="微软雅黑" w:eastAsia="微软雅黑"/>
      <w:b/>
      <w:kern w:val="20"/>
      <w:sz w:val="21"/>
      <w:lang w:val="zh-CN"/>
    </w:rPr>
  </w:style>
  <w:style w:type="character" w:customStyle="1" w:styleId="187">
    <w:name w:val="标题 3 Char"/>
    <w:basedOn w:val="120"/>
    <w:link w:val="7"/>
    <w:qFormat/>
    <w:uiPriority w:val="0"/>
    <w:rPr>
      <w:rFonts w:ascii="Calibri" w:hAnsi="Calibri" w:eastAsia="宋体" w:cs="Arial"/>
      <w:b/>
      <w:bCs/>
      <w:color w:val="7E97AD"/>
      <w:kern w:val="20"/>
      <w:szCs w:val="20"/>
      <w:lang w:val="zh-CN"/>
    </w:rPr>
  </w:style>
  <w:style w:type="character" w:customStyle="1" w:styleId="188">
    <w:name w:val="标题 4 Char"/>
    <w:basedOn w:val="120"/>
    <w:link w:val="8"/>
    <w:qFormat/>
    <w:uiPriority w:val="0"/>
    <w:rPr>
      <w:rFonts w:ascii="Calibri" w:hAnsi="Calibri" w:eastAsia="宋体" w:cs="Arial"/>
      <w:b/>
      <w:bCs/>
      <w:i/>
      <w:iCs/>
      <w:color w:val="7E97AD"/>
      <w:kern w:val="20"/>
      <w:szCs w:val="20"/>
      <w:lang w:val="zh-CN"/>
    </w:rPr>
  </w:style>
  <w:style w:type="character" w:customStyle="1" w:styleId="189">
    <w:name w:val="标题 5 Char"/>
    <w:basedOn w:val="120"/>
    <w:link w:val="9"/>
    <w:qFormat/>
    <w:uiPriority w:val="0"/>
    <w:rPr>
      <w:rFonts w:ascii="Calibri" w:hAnsi="Calibri" w:eastAsia="宋体" w:cs="Arial"/>
      <w:color w:val="7E97AD"/>
      <w:kern w:val="20"/>
      <w:szCs w:val="20"/>
      <w:lang w:val="zh-CN"/>
    </w:rPr>
  </w:style>
  <w:style w:type="character" w:customStyle="1" w:styleId="190">
    <w:name w:val="标题 6 Char"/>
    <w:basedOn w:val="120"/>
    <w:link w:val="10"/>
    <w:qFormat/>
    <w:uiPriority w:val="18"/>
    <w:rPr>
      <w:rFonts w:ascii="Calibri" w:hAnsi="Calibri" w:eastAsia="宋体" w:cs="Arial"/>
      <w:i/>
      <w:iCs/>
      <w:color w:val="7E97AD"/>
      <w:kern w:val="20"/>
      <w:szCs w:val="20"/>
      <w:lang w:val="zh-CN"/>
    </w:rPr>
  </w:style>
  <w:style w:type="character" w:customStyle="1" w:styleId="191">
    <w:name w:val="标题 7 Char"/>
    <w:basedOn w:val="120"/>
    <w:link w:val="11"/>
    <w:qFormat/>
    <w:uiPriority w:val="18"/>
    <w:rPr>
      <w:rFonts w:ascii="Calibri" w:hAnsi="Calibri" w:eastAsia="宋体" w:cs="Arial"/>
      <w:i/>
      <w:iCs/>
      <w:color w:val="404040"/>
      <w:kern w:val="20"/>
      <w:szCs w:val="20"/>
      <w:lang w:val="zh-CN"/>
    </w:rPr>
  </w:style>
  <w:style w:type="character" w:customStyle="1" w:styleId="192">
    <w:name w:val="标题 8 Char"/>
    <w:basedOn w:val="120"/>
    <w:link w:val="12"/>
    <w:qFormat/>
    <w:uiPriority w:val="9"/>
    <w:rPr>
      <w:rFonts w:ascii="Calibri" w:hAnsi="Calibri" w:eastAsia="宋体" w:cs="Arial"/>
      <w:color w:val="404040"/>
      <w:kern w:val="20"/>
      <w:szCs w:val="20"/>
      <w:lang w:val="zh-CN"/>
    </w:rPr>
  </w:style>
  <w:style w:type="character" w:customStyle="1" w:styleId="193">
    <w:name w:val="标题 9 Char"/>
    <w:basedOn w:val="120"/>
    <w:link w:val="13"/>
    <w:qFormat/>
    <w:uiPriority w:val="18"/>
    <w:rPr>
      <w:rFonts w:ascii="Calibri" w:hAnsi="Calibri" w:eastAsia="宋体" w:cs="Arial"/>
      <w:i/>
      <w:iCs/>
      <w:color w:val="404040"/>
      <w:kern w:val="20"/>
      <w:szCs w:val="20"/>
      <w:lang w:val="zh-CN"/>
    </w:rPr>
  </w:style>
  <w:style w:type="character" w:customStyle="1" w:styleId="194">
    <w:name w:val="批注文字 Char"/>
    <w:basedOn w:val="120"/>
    <w:link w:val="28"/>
    <w:qFormat/>
    <w:uiPriority w:val="0"/>
    <w:rPr>
      <w:rFonts w:ascii="Cambria" w:hAnsi="Cambria" w:eastAsia="微软雅黑" w:cs="Times New Roman"/>
      <w:color w:val="000000"/>
      <w:kern w:val="20"/>
      <w:szCs w:val="20"/>
      <w:lang w:val="zh-CN"/>
    </w:rPr>
  </w:style>
  <w:style w:type="character" w:customStyle="1" w:styleId="195">
    <w:name w:val="批注主题 Char"/>
    <w:basedOn w:val="194"/>
    <w:link w:val="81"/>
    <w:qFormat/>
    <w:uiPriority w:val="99"/>
    <w:rPr>
      <w:rFonts w:ascii="Cambria" w:hAnsi="Cambria" w:eastAsia="微软雅黑" w:cs="Times New Roman"/>
      <w:b/>
      <w:bCs/>
      <w:color w:val="000000"/>
      <w:kern w:val="20"/>
      <w:szCs w:val="20"/>
      <w:lang w:val="zh-CN"/>
    </w:rPr>
  </w:style>
  <w:style w:type="character" w:customStyle="1" w:styleId="196">
    <w:name w:val="注释标题 Char"/>
    <w:basedOn w:val="120"/>
    <w:link w:val="18"/>
    <w:qFormat/>
    <w:uiPriority w:val="99"/>
    <w:rPr>
      <w:rFonts w:ascii="Cambria" w:hAnsi="Cambria" w:eastAsia="微软雅黑" w:cs="Times New Roman"/>
      <w:color w:val="595959"/>
      <w:kern w:val="20"/>
      <w:szCs w:val="20"/>
      <w:lang w:val="zh-CN"/>
    </w:rPr>
  </w:style>
  <w:style w:type="character" w:customStyle="1" w:styleId="197">
    <w:name w:val="电子邮件签名 Char"/>
    <w:basedOn w:val="120"/>
    <w:link w:val="21"/>
    <w:qFormat/>
    <w:uiPriority w:val="99"/>
    <w:rPr>
      <w:rFonts w:ascii="Cambria" w:hAnsi="Cambria" w:eastAsia="微软雅黑" w:cs="Times New Roman"/>
      <w:color w:val="595959"/>
      <w:kern w:val="20"/>
      <w:szCs w:val="20"/>
      <w:lang w:val="zh-CN"/>
    </w:rPr>
  </w:style>
  <w:style w:type="character" w:customStyle="1" w:styleId="198">
    <w:name w:val="文档结构图 Char"/>
    <w:basedOn w:val="120"/>
    <w:link w:val="26"/>
    <w:qFormat/>
    <w:uiPriority w:val="99"/>
    <w:rPr>
      <w:rFonts w:ascii="Tahoma" w:hAnsi="Tahoma" w:eastAsia="Times New Roman" w:cs="Tahoma"/>
      <w:color w:val="595959"/>
      <w:kern w:val="20"/>
      <w:sz w:val="16"/>
      <w:szCs w:val="20"/>
      <w:lang w:val="zh-CN"/>
    </w:rPr>
  </w:style>
  <w:style w:type="character" w:customStyle="1" w:styleId="199">
    <w:name w:val="称呼 Char"/>
    <w:basedOn w:val="120"/>
    <w:link w:val="30"/>
    <w:qFormat/>
    <w:uiPriority w:val="99"/>
    <w:rPr>
      <w:rFonts w:ascii="Cambria" w:hAnsi="Cambria" w:eastAsia="微软雅黑" w:cs="Times New Roman"/>
      <w:color w:val="595959"/>
      <w:kern w:val="20"/>
      <w:szCs w:val="20"/>
      <w:lang w:val="zh-CN"/>
    </w:rPr>
  </w:style>
  <w:style w:type="character" w:customStyle="1" w:styleId="200">
    <w:name w:val="正文文本 3 Char"/>
    <w:basedOn w:val="120"/>
    <w:link w:val="31"/>
    <w:qFormat/>
    <w:uiPriority w:val="99"/>
    <w:rPr>
      <w:rFonts w:ascii="Cambria" w:hAnsi="Cambria" w:eastAsia="微软雅黑" w:cs="Times New Roman"/>
      <w:color w:val="595959"/>
      <w:kern w:val="20"/>
      <w:sz w:val="16"/>
      <w:szCs w:val="20"/>
      <w:lang w:val="zh-CN"/>
    </w:rPr>
  </w:style>
  <w:style w:type="character" w:customStyle="1" w:styleId="201">
    <w:name w:val="结束语 Char"/>
    <w:basedOn w:val="120"/>
    <w:link w:val="32"/>
    <w:qFormat/>
    <w:uiPriority w:val="99"/>
    <w:rPr>
      <w:rFonts w:ascii="Cambria" w:hAnsi="Cambria" w:eastAsia="微软雅黑" w:cs="Times New Roman"/>
      <w:color w:val="595959"/>
      <w:kern w:val="20"/>
      <w:szCs w:val="20"/>
      <w:lang w:val="zh-CN"/>
    </w:rPr>
  </w:style>
  <w:style w:type="character" w:customStyle="1" w:styleId="202">
    <w:name w:val="正文文本 Char"/>
    <w:basedOn w:val="120"/>
    <w:link w:val="34"/>
    <w:qFormat/>
    <w:uiPriority w:val="0"/>
    <w:rPr>
      <w:rFonts w:ascii="Cambria" w:hAnsi="Cambria" w:eastAsia="微软雅黑" w:cs="Times New Roman"/>
      <w:color w:val="595959"/>
      <w:kern w:val="20"/>
      <w:szCs w:val="20"/>
      <w:lang w:val="zh-CN"/>
    </w:rPr>
  </w:style>
  <w:style w:type="character" w:customStyle="1" w:styleId="203">
    <w:name w:val="正文文本缩进 Char"/>
    <w:basedOn w:val="120"/>
    <w:link w:val="3"/>
    <w:qFormat/>
    <w:uiPriority w:val="0"/>
    <w:rPr>
      <w:rFonts w:ascii="Cambria" w:hAnsi="Cambria" w:eastAsia="微软雅黑" w:cs="Times New Roman"/>
      <w:color w:val="595959"/>
      <w:kern w:val="20"/>
      <w:szCs w:val="20"/>
      <w:lang w:val="zh-CN"/>
    </w:rPr>
  </w:style>
  <w:style w:type="character" w:customStyle="1" w:styleId="204">
    <w:name w:val="HTML 地址 Char"/>
    <w:basedOn w:val="120"/>
    <w:link w:val="39"/>
    <w:qFormat/>
    <w:uiPriority w:val="99"/>
    <w:rPr>
      <w:rFonts w:ascii="Cambria" w:hAnsi="Cambria" w:eastAsia="微软雅黑" w:cs="Times New Roman"/>
      <w:i/>
      <w:iCs/>
      <w:color w:val="595959"/>
      <w:kern w:val="20"/>
      <w:szCs w:val="20"/>
      <w:lang w:val="zh-CN"/>
    </w:rPr>
  </w:style>
  <w:style w:type="character" w:customStyle="1" w:styleId="205">
    <w:name w:val="纯文本 Char"/>
    <w:basedOn w:val="120"/>
    <w:link w:val="43"/>
    <w:qFormat/>
    <w:uiPriority w:val="0"/>
    <w:rPr>
      <w:rFonts w:ascii="Consolas" w:hAnsi="Consolas" w:eastAsia="Times New Roman" w:cs="Consolas"/>
      <w:color w:val="595959"/>
      <w:kern w:val="20"/>
      <w:szCs w:val="20"/>
      <w:lang w:val="zh-CN"/>
    </w:rPr>
  </w:style>
  <w:style w:type="character" w:customStyle="1" w:styleId="206">
    <w:name w:val="日期 Char"/>
    <w:basedOn w:val="120"/>
    <w:link w:val="48"/>
    <w:qFormat/>
    <w:uiPriority w:val="0"/>
    <w:rPr>
      <w:rFonts w:ascii="Cambria" w:hAnsi="Cambria" w:eastAsia="微软雅黑" w:cs="Times New Roman"/>
      <w:color w:val="595959"/>
      <w:kern w:val="20"/>
      <w:szCs w:val="20"/>
      <w:lang w:val="zh-CN"/>
    </w:rPr>
  </w:style>
  <w:style w:type="character" w:customStyle="1" w:styleId="207">
    <w:name w:val="正文文本缩进 2 Char"/>
    <w:basedOn w:val="120"/>
    <w:link w:val="49"/>
    <w:qFormat/>
    <w:uiPriority w:val="99"/>
    <w:rPr>
      <w:rFonts w:ascii="Cambria" w:hAnsi="Cambria" w:eastAsia="微软雅黑" w:cs="Times New Roman"/>
      <w:color w:val="595959"/>
      <w:kern w:val="20"/>
      <w:szCs w:val="20"/>
      <w:lang w:val="zh-CN"/>
    </w:rPr>
  </w:style>
  <w:style w:type="character" w:customStyle="1" w:styleId="208">
    <w:name w:val="尾注文本 Char"/>
    <w:basedOn w:val="120"/>
    <w:link w:val="50"/>
    <w:qFormat/>
    <w:uiPriority w:val="99"/>
    <w:rPr>
      <w:rFonts w:ascii="Cambria" w:hAnsi="Cambria" w:eastAsia="微软雅黑" w:cs="Times New Roman"/>
      <w:color w:val="595959"/>
      <w:kern w:val="20"/>
      <w:szCs w:val="20"/>
      <w:lang w:val="zh-CN"/>
    </w:rPr>
  </w:style>
  <w:style w:type="character" w:customStyle="1" w:styleId="209">
    <w:name w:val="批注框文本 Char"/>
    <w:basedOn w:val="120"/>
    <w:link w:val="52"/>
    <w:qFormat/>
    <w:uiPriority w:val="99"/>
    <w:rPr>
      <w:rFonts w:ascii="Tahoma" w:hAnsi="Tahoma" w:eastAsia="Times New Roman" w:cs="Tahoma"/>
      <w:color w:val="595959"/>
      <w:kern w:val="20"/>
      <w:sz w:val="16"/>
      <w:szCs w:val="20"/>
      <w:lang w:val="zh-CN"/>
    </w:rPr>
  </w:style>
  <w:style w:type="character" w:customStyle="1" w:styleId="210">
    <w:name w:val="页脚 Char"/>
    <w:basedOn w:val="120"/>
    <w:link w:val="53"/>
    <w:qFormat/>
    <w:uiPriority w:val="99"/>
    <w:rPr>
      <w:rFonts w:ascii="Cambria" w:hAnsi="Cambria" w:eastAsia="微软雅黑" w:cs="Times New Roman"/>
      <w:color w:val="595959"/>
      <w:kern w:val="20"/>
      <w:szCs w:val="20"/>
      <w:lang w:val="zh-CN"/>
    </w:rPr>
  </w:style>
  <w:style w:type="character" w:customStyle="1" w:styleId="211">
    <w:name w:val="页眉 Char"/>
    <w:basedOn w:val="120"/>
    <w:link w:val="54"/>
    <w:qFormat/>
    <w:uiPriority w:val="99"/>
    <w:rPr>
      <w:rFonts w:ascii="Cambria" w:hAnsi="Cambria" w:eastAsia="微软雅黑" w:cs="Times New Roman"/>
      <w:color w:val="595959"/>
      <w:kern w:val="20"/>
      <w:szCs w:val="20"/>
      <w:lang w:val="zh-CN"/>
    </w:rPr>
  </w:style>
  <w:style w:type="character" w:customStyle="1" w:styleId="212">
    <w:name w:val="签名 Char"/>
    <w:basedOn w:val="120"/>
    <w:link w:val="55"/>
    <w:qFormat/>
    <w:uiPriority w:val="20"/>
    <w:rPr>
      <w:rFonts w:ascii="Cambria" w:hAnsi="Cambria" w:eastAsia="微软雅黑" w:cs="Times New Roman"/>
      <w:color w:val="595959"/>
      <w:kern w:val="20"/>
      <w:szCs w:val="20"/>
      <w:lang w:val="zh-CN"/>
    </w:rPr>
  </w:style>
  <w:style w:type="character" w:customStyle="1" w:styleId="213">
    <w:name w:val="副标题 Char"/>
    <w:basedOn w:val="120"/>
    <w:link w:val="61"/>
    <w:qFormat/>
    <w:uiPriority w:val="19"/>
    <w:rPr>
      <w:rFonts w:ascii="Calibri" w:hAnsi="Calibri" w:eastAsia="宋体" w:cs="Arial"/>
      <w:caps/>
      <w:color w:val="7E97AD"/>
      <w:kern w:val="20"/>
      <w:sz w:val="56"/>
      <w:szCs w:val="20"/>
      <w:lang w:val="zh-CN"/>
    </w:rPr>
  </w:style>
  <w:style w:type="character" w:customStyle="1" w:styleId="214">
    <w:name w:val="正文文本缩进 3 Char"/>
    <w:basedOn w:val="120"/>
    <w:link w:val="67"/>
    <w:qFormat/>
    <w:uiPriority w:val="99"/>
    <w:rPr>
      <w:rFonts w:ascii="Cambria" w:hAnsi="Cambria" w:eastAsia="微软雅黑" w:cs="Times New Roman"/>
      <w:color w:val="595959"/>
      <w:kern w:val="20"/>
      <w:sz w:val="16"/>
      <w:szCs w:val="20"/>
      <w:lang w:val="zh-CN"/>
    </w:rPr>
  </w:style>
  <w:style w:type="character" w:customStyle="1" w:styleId="215">
    <w:name w:val="正文文本 2 Char"/>
    <w:basedOn w:val="120"/>
    <w:link w:val="73"/>
    <w:qFormat/>
    <w:uiPriority w:val="99"/>
    <w:rPr>
      <w:rFonts w:ascii="Cambria" w:hAnsi="Cambria" w:eastAsia="微软雅黑" w:cs="Times New Roman"/>
      <w:color w:val="595959"/>
      <w:kern w:val="20"/>
      <w:szCs w:val="20"/>
      <w:lang w:val="zh-CN"/>
    </w:rPr>
  </w:style>
  <w:style w:type="character" w:customStyle="1" w:styleId="216">
    <w:name w:val="HTML 预设格式 Char"/>
    <w:basedOn w:val="120"/>
    <w:link w:val="76"/>
    <w:qFormat/>
    <w:uiPriority w:val="99"/>
    <w:rPr>
      <w:rFonts w:ascii="Consolas" w:hAnsi="Consolas" w:eastAsia="Times New Roman" w:cs="Consolas"/>
      <w:color w:val="595959"/>
      <w:kern w:val="20"/>
      <w:szCs w:val="20"/>
      <w:lang w:val="zh-CN"/>
    </w:rPr>
  </w:style>
  <w:style w:type="character" w:customStyle="1" w:styleId="217">
    <w:name w:val="标题 Char"/>
    <w:basedOn w:val="120"/>
    <w:link w:val="80"/>
    <w:qFormat/>
    <w:uiPriority w:val="0"/>
    <w:rPr>
      <w:rFonts w:ascii="Calibri" w:hAnsi="Calibri" w:eastAsia="宋体" w:cs="Arial"/>
      <w:caps/>
      <w:color w:val="FFFFFF"/>
      <w:kern w:val="28"/>
      <w:sz w:val="72"/>
      <w:szCs w:val="20"/>
      <w:shd w:val="clear" w:color="auto" w:fill="7E97AD"/>
      <w:lang w:val="zh-CN"/>
    </w:rPr>
  </w:style>
  <w:style w:type="character" w:customStyle="1" w:styleId="218">
    <w:name w:val="占位符文本1"/>
    <w:semiHidden/>
    <w:qFormat/>
    <w:uiPriority w:val="99"/>
    <w:rPr>
      <w:color w:val="808080"/>
    </w:rPr>
  </w:style>
  <w:style w:type="character" w:customStyle="1" w:styleId="219">
    <w:name w:val="引言字符"/>
    <w:link w:val="151"/>
    <w:qFormat/>
    <w:locked/>
    <w:uiPriority w:val="9"/>
    <w:rPr>
      <w:rFonts w:ascii="Cambria" w:hAnsi="Cambria" w:eastAsia="微软雅黑" w:cs="Times New Roman"/>
      <w:i/>
      <w:iCs/>
      <w:color w:val="7E97AD"/>
      <w:kern w:val="20"/>
      <w:sz w:val="28"/>
      <w:szCs w:val="20"/>
      <w:lang w:val="zh-CN"/>
    </w:rPr>
  </w:style>
  <w:style w:type="character" w:customStyle="1" w:styleId="220">
    <w:name w:val="正文文本第一缩进字符"/>
    <w:basedOn w:val="202"/>
    <w:link w:val="154"/>
    <w:qFormat/>
    <w:locked/>
    <w:uiPriority w:val="99"/>
    <w:rPr>
      <w:rFonts w:ascii="Cambria" w:hAnsi="Cambria" w:eastAsia="微软雅黑" w:cs="Times New Roman"/>
      <w:color w:val="595959"/>
      <w:kern w:val="20"/>
      <w:szCs w:val="20"/>
      <w:lang w:val="zh-CN"/>
    </w:rPr>
  </w:style>
  <w:style w:type="character" w:customStyle="1" w:styleId="221">
    <w:name w:val="正文文本第一缩进 2 字符"/>
    <w:basedOn w:val="203"/>
    <w:link w:val="155"/>
    <w:qFormat/>
    <w:locked/>
    <w:uiPriority w:val="99"/>
    <w:rPr>
      <w:rFonts w:ascii="Cambria" w:hAnsi="Cambria" w:eastAsia="微软雅黑" w:cs="Times New Roman"/>
      <w:color w:val="595959"/>
      <w:kern w:val="20"/>
      <w:szCs w:val="20"/>
      <w:lang w:val="zh-CN"/>
    </w:rPr>
  </w:style>
  <w:style w:type="character" w:customStyle="1" w:styleId="222">
    <w:name w:val="书名"/>
    <w:unhideWhenUsed/>
    <w:qFormat/>
    <w:uiPriority w:val="33"/>
    <w:rPr>
      <w:b/>
      <w:smallCaps/>
      <w:spacing w:val="5"/>
    </w:rPr>
  </w:style>
  <w:style w:type="character" w:customStyle="1" w:styleId="223">
    <w:name w:val="注释引用"/>
    <w:unhideWhenUsed/>
    <w:qFormat/>
    <w:uiPriority w:val="99"/>
    <w:rPr>
      <w:sz w:val="16"/>
    </w:rPr>
  </w:style>
  <w:style w:type="character" w:customStyle="1" w:styleId="224">
    <w:name w:val="备注文本字符"/>
    <w:link w:val="157"/>
    <w:qFormat/>
    <w:locked/>
    <w:uiPriority w:val="99"/>
    <w:rPr>
      <w:rFonts w:ascii="Cambria" w:hAnsi="Cambria" w:eastAsia="微软雅黑" w:cs="Times New Roman"/>
      <w:color w:val="595959"/>
      <w:kern w:val="20"/>
      <w:szCs w:val="20"/>
      <w:lang w:val="zh-CN"/>
    </w:rPr>
  </w:style>
  <w:style w:type="character" w:customStyle="1" w:styleId="225">
    <w:name w:val="备注主题字符"/>
    <w:link w:val="158"/>
    <w:qFormat/>
    <w:locked/>
    <w:uiPriority w:val="99"/>
    <w:rPr>
      <w:rFonts w:ascii="Cambria" w:hAnsi="Cambria" w:eastAsia="微软雅黑" w:cs="Times New Roman"/>
      <w:b/>
      <w:bCs/>
      <w:color w:val="595959"/>
      <w:kern w:val="20"/>
      <w:szCs w:val="20"/>
      <w:lang w:val="zh-CN"/>
    </w:rPr>
  </w:style>
  <w:style w:type="character" w:customStyle="1" w:styleId="226">
    <w:name w:val="尾注参考线"/>
    <w:unhideWhenUsed/>
    <w:qFormat/>
    <w:uiPriority w:val="99"/>
    <w:rPr>
      <w:vertAlign w:val="superscript"/>
    </w:rPr>
  </w:style>
  <w:style w:type="character" w:customStyle="1" w:styleId="227">
    <w:name w:val="已访问的超链接1"/>
    <w:unhideWhenUsed/>
    <w:qFormat/>
    <w:uiPriority w:val="99"/>
    <w:rPr>
      <w:color w:val="969696"/>
      <w:u w:val="single"/>
    </w:rPr>
  </w:style>
  <w:style w:type="character" w:customStyle="1" w:styleId="228">
    <w:name w:val="页脚参考线"/>
    <w:unhideWhenUsed/>
    <w:qFormat/>
    <w:uiPriority w:val="99"/>
    <w:rPr>
      <w:vertAlign w:val="superscript"/>
    </w:rPr>
  </w:style>
  <w:style w:type="character" w:customStyle="1" w:styleId="229">
    <w:name w:val="页脚文本字符"/>
    <w:link w:val="161"/>
    <w:qFormat/>
    <w:locked/>
    <w:uiPriority w:val="99"/>
    <w:rPr>
      <w:rFonts w:ascii="Cambria" w:hAnsi="Cambria" w:eastAsia="微软雅黑" w:cs="Times New Roman"/>
      <w:color w:val="595959"/>
      <w:kern w:val="20"/>
      <w:szCs w:val="20"/>
      <w:lang w:val="zh-CN"/>
    </w:rPr>
  </w:style>
  <w:style w:type="character" w:customStyle="1" w:styleId="230">
    <w:name w:val="HTML 缩写词"/>
    <w:basedOn w:val="120"/>
    <w:unhideWhenUsed/>
    <w:qFormat/>
    <w:uiPriority w:val="99"/>
    <w:rPr>
      <w:rFonts w:cs="Times New Roman"/>
    </w:rPr>
  </w:style>
  <w:style w:type="character" w:customStyle="1" w:styleId="231">
    <w:name w:val="HTML 示例"/>
    <w:unhideWhenUsed/>
    <w:qFormat/>
    <w:uiPriority w:val="99"/>
    <w:rPr>
      <w:rFonts w:ascii="Consolas" w:hAnsi="Consolas" w:eastAsia="Times New Roman"/>
      <w:sz w:val="24"/>
    </w:rPr>
  </w:style>
  <w:style w:type="character" w:customStyle="1" w:styleId="232">
    <w:name w:val="重要强调"/>
    <w:unhideWhenUsed/>
    <w:qFormat/>
    <w:uiPriority w:val="21"/>
    <w:rPr>
      <w:b/>
      <w:i/>
      <w:color w:val="7E97AD"/>
    </w:rPr>
  </w:style>
  <w:style w:type="character" w:customStyle="1" w:styleId="233">
    <w:name w:val="重要引言字符"/>
    <w:link w:val="162"/>
    <w:qFormat/>
    <w:locked/>
    <w:uiPriority w:val="30"/>
    <w:rPr>
      <w:rFonts w:ascii="Cambria" w:hAnsi="Cambria" w:eastAsia="微软雅黑" w:cs="Times New Roman"/>
      <w:b/>
      <w:bCs/>
      <w:i/>
      <w:iCs/>
      <w:color w:val="7E97AD"/>
      <w:kern w:val="20"/>
      <w:szCs w:val="20"/>
      <w:lang w:val="zh-CN"/>
    </w:rPr>
  </w:style>
  <w:style w:type="character" w:customStyle="1" w:styleId="234">
    <w:name w:val="重要参考资料"/>
    <w:unhideWhenUsed/>
    <w:qFormat/>
    <w:uiPriority w:val="32"/>
    <w:rPr>
      <w:b/>
      <w:smallCaps/>
      <w:color w:val="CC8E60"/>
      <w:spacing w:val="5"/>
      <w:u w:val="single"/>
    </w:rPr>
  </w:style>
  <w:style w:type="character" w:customStyle="1" w:styleId="235">
    <w:name w:val="宏文本字符"/>
    <w:link w:val="164"/>
    <w:qFormat/>
    <w:locked/>
    <w:uiPriority w:val="99"/>
    <w:rPr>
      <w:rFonts w:ascii="Consolas" w:hAnsi="Consolas" w:eastAsia="Times New Roman" w:cs="Consolas"/>
      <w:color w:val="595959"/>
      <w:kern w:val="0"/>
      <w:sz w:val="20"/>
      <w:szCs w:val="20"/>
      <w:lang w:val="zh-CN"/>
    </w:rPr>
  </w:style>
  <w:style w:type="character" w:customStyle="1" w:styleId="236">
    <w:name w:val="消息头字符"/>
    <w:link w:val="165"/>
    <w:qFormat/>
    <w:locked/>
    <w:uiPriority w:val="99"/>
    <w:rPr>
      <w:rFonts w:ascii="Calibri" w:hAnsi="Calibri" w:eastAsia="宋体" w:cs="Arial"/>
      <w:color w:val="595959"/>
      <w:kern w:val="20"/>
      <w:sz w:val="24"/>
      <w:szCs w:val="20"/>
      <w:shd w:val="pct20" w:color="auto" w:fill="auto"/>
      <w:lang w:val="zh-CN"/>
    </w:rPr>
  </w:style>
  <w:style w:type="character" w:customStyle="1" w:styleId="237">
    <w:name w:val="增强"/>
    <w:unhideWhenUsed/>
    <w:qFormat/>
    <w:uiPriority w:val="1"/>
    <w:rPr>
      <w:b/>
    </w:rPr>
  </w:style>
  <w:style w:type="character" w:customStyle="1" w:styleId="238">
    <w:name w:val="次要强调"/>
    <w:unhideWhenUsed/>
    <w:qFormat/>
    <w:uiPriority w:val="19"/>
    <w:rPr>
      <w:i/>
      <w:color w:val="7F7F7F"/>
    </w:rPr>
  </w:style>
  <w:style w:type="character" w:customStyle="1" w:styleId="239">
    <w:name w:val="次要参考资料"/>
    <w:unhideWhenUsed/>
    <w:qFormat/>
    <w:uiPriority w:val="31"/>
    <w:rPr>
      <w:smallCaps/>
      <w:color w:val="CC8E60"/>
      <w:u w:val="single"/>
    </w:rPr>
  </w:style>
  <w:style w:type="character" w:customStyle="1" w:styleId="240">
    <w:name w:val="无间距字符"/>
    <w:basedOn w:val="120"/>
    <w:link w:val="150"/>
    <w:qFormat/>
    <w:locked/>
    <w:uiPriority w:val="1"/>
    <w:rPr>
      <w:rFonts w:ascii="Cambria" w:hAnsi="Cambria" w:eastAsia="黑体" w:cs="Times New Roman"/>
      <w:color w:val="595959"/>
      <w:kern w:val="0"/>
      <w:sz w:val="20"/>
      <w:szCs w:val="20"/>
      <w:lang w:val="zh-CN"/>
    </w:rPr>
  </w:style>
  <w:style w:type="character" w:customStyle="1" w:styleId="241">
    <w:name w:val="批注文字 字符1"/>
    <w:semiHidden/>
    <w:qFormat/>
    <w:uiPriority w:val="99"/>
    <w:rPr>
      <w:rFonts w:eastAsia="微软雅黑"/>
      <w:color w:val="595959"/>
      <w:kern w:val="20"/>
      <w:sz w:val="21"/>
      <w:lang w:val="zh-CN"/>
    </w:rPr>
  </w:style>
  <w:style w:type="table" w:customStyle="1" w:styleId="242">
    <w:name w:val="彩色网格强调文字颜色 1"/>
    <w:basedOn w:val="83"/>
    <w:qFormat/>
    <w:uiPriority w:val="73"/>
    <w:rPr>
      <w:rFonts w:ascii="Cambria" w:hAnsi="Cambria" w:eastAsia="黑体"/>
      <w:color w:val="000000"/>
    </w:rPr>
    <w:tblPr>
      <w:tblBorders>
        <w:insideH w:val="single" w:color="FFFFFF" w:sz="4" w:space="0"/>
      </w:tblBorders>
      <w:tblCellMar>
        <w:top w:w="0" w:type="dxa"/>
        <w:left w:w="108" w:type="dxa"/>
        <w:bottom w:w="0" w:type="dxa"/>
        <w:right w:w="108" w:type="dxa"/>
      </w:tblCellMar>
    </w:tblPr>
    <w:tcPr>
      <w:shd w:val="clear" w:color="auto" w:fill="E5EAEE"/>
    </w:tcPr>
    <w:tblStylePr w:type="firstRow">
      <w:rPr>
        <w:rFonts w:cs="Times New Roman"/>
        <w:b/>
        <w:bCs/>
      </w:rPr>
      <w:tcPr>
        <w:shd w:val="clear" w:color="auto" w:fill="CBD5DE"/>
      </w:tcPr>
    </w:tblStylePr>
    <w:tblStylePr w:type="lastRow">
      <w:rPr>
        <w:rFonts w:cs="Times New Roman"/>
        <w:b/>
        <w:bCs/>
        <w:color w:val="000000"/>
      </w:rPr>
      <w:tcPr>
        <w:shd w:val="clear" w:color="auto" w:fill="CBD5DE"/>
      </w:tcPr>
    </w:tblStylePr>
    <w:tblStylePr w:type="firstCol">
      <w:rPr>
        <w:rFonts w:cs="Times New Roman"/>
        <w:color w:val="FFFFFF"/>
      </w:rPr>
      <w:tcPr>
        <w:shd w:val="clear" w:color="auto" w:fill="577188"/>
      </w:tcPr>
    </w:tblStylePr>
    <w:tblStylePr w:type="lastCol">
      <w:rPr>
        <w:rFonts w:cs="Times New Roman"/>
        <w:color w:val="FFFFFF"/>
      </w:rPr>
      <w:tcPr>
        <w:shd w:val="clear" w:color="auto" w:fill="577188"/>
      </w:tc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243">
    <w:name w:val="彩色网格强调文字颜色 2"/>
    <w:basedOn w:val="83"/>
    <w:qFormat/>
    <w:uiPriority w:val="73"/>
    <w:rPr>
      <w:rFonts w:ascii="Cambria" w:hAnsi="Cambria" w:eastAsia="黑体"/>
      <w:color w:val="000000"/>
    </w:rPr>
    <w:tblPr>
      <w:tblBorders>
        <w:insideH w:val="single" w:color="FFFFFF" w:sz="4" w:space="0"/>
      </w:tblBorders>
      <w:tblCellMar>
        <w:top w:w="0" w:type="dxa"/>
        <w:left w:w="108" w:type="dxa"/>
        <w:bottom w:w="0" w:type="dxa"/>
        <w:right w:w="108" w:type="dxa"/>
      </w:tblCellMar>
    </w:tblPr>
    <w:tcPr>
      <w:shd w:val="clear" w:color="auto" w:fill="F4E8DF"/>
    </w:tcPr>
    <w:tblStylePr w:type="firstRow">
      <w:rPr>
        <w:rFonts w:cs="Times New Roman"/>
        <w:b/>
        <w:bCs/>
      </w:rPr>
      <w:tcPr>
        <w:shd w:val="clear" w:color="auto" w:fill="EAD1BF"/>
      </w:tcPr>
    </w:tblStylePr>
    <w:tblStylePr w:type="lastRow">
      <w:rPr>
        <w:rFonts w:cs="Times New Roman"/>
        <w:b/>
        <w:bCs/>
        <w:color w:val="000000"/>
      </w:rPr>
      <w:tcPr>
        <w:shd w:val="clear" w:color="auto" w:fill="EAD1BF"/>
      </w:tcPr>
    </w:tblStylePr>
    <w:tblStylePr w:type="firstCol">
      <w:rPr>
        <w:rFonts w:cs="Times New Roman"/>
        <w:color w:val="FFFFFF"/>
      </w:rPr>
      <w:tcPr>
        <w:shd w:val="clear" w:color="auto" w:fill="AA6736"/>
      </w:tcPr>
    </w:tblStylePr>
    <w:tblStylePr w:type="lastCol">
      <w:rPr>
        <w:rFonts w:cs="Times New Roman"/>
        <w:color w:val="FFFFFF"/>
      </w:rPr>
      <w:tcPr>
        <w:shd w:val="clear" w:color="auto" w:fill="AA6736"/>
      </w:tc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244">
    <w:name w:val="彩色网格强调文字颜色 3"/>
    <w:basedOn w:val="83"/>
    <w:qFormat/>
    <w:uiPriority w:val="73"/>
    <w:rPr>
      <w:rFonts w:ascii="Cambria" w:hAnsi="Cambria" w:eastAsia="黑体"/>
      <w:color w:val="000000"/>
    </w:rPr>
    <w:tblPr>
      <w:tblBorders>
        <w:insideH w:val="single" w:color="FFFFFF" w:sz="4" w:space="0"/>
      </w:tblBorders>
      <w:tblCellMar>
        <w:top w:w="0" w:type="dxa"/>
        <w:left w:w="108" w:type="dxa"/>
        <w:bottom w:w="0" w:type="dxa"/>
        <w:right w:w="108" w:type="dxa"/>
      </w:tblCellMar>
    </w:tblPr>
    <w:tcPr>
      <w:shd w:val="clear" w:color="auto" w:fill="E5E0DE"/>
    </w:tcPr>
    <w:tblStylePr w:type="firstRow">
      <w:rPr>
        <w:rFonts w:cs="Times New Roman"/>
        <w:b/>
        <w:bCs/>
      </w:rPr>
      <w:tcPr>
        <w:shd w:val="clear" w:color="auto" w:fill="CBC2BD"/>
      </w:tcPr>
    </w:tblStylePr>
    <w:tblStylePr w:type="lastRow">
      <w:rPr>
        <w:rFonts w:cs="Times New Roman"/>
        <w:b/>
        <w:bCs/>
        <w:color w:val="000000"/>
      </w:rPr>
      <w:tcPr>
        <w:shd w:val="clear" w:color="auto" w:fill="CBC2BD"/>
      </w:tcPr>
    </w:tblStylePr>
    <w:tblStylePr w:type="firstCol">
      <w:rPr>
        <w:rFonts w:cs="Times New Roman"/>
        <w:color w:val="FFFFFF"/>
      </w:rPr>
      <w:tcPr>
        <w:shd w:val="clear" w:color="auto" w:fill="5B4F47"/>
      </w:tcPr>
    </w:tblStylePr>
    <w:tblStylePr w:type="lastCol">
      <w:rPr>
        <w:rFonts w:cs="Times New Roman"/>
        <w:color w:val="FFFFFF"/>
      </w:rPr>
      <w:tcPr>
        <w:shd w:val="clear" w:color="auto" w:fill="5B4F47"/>
      </w:tc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245">
    <w:name w:val="彩色网格强调文字颜色 4"/>
    <w:basedOn w:val="83"/>
    <w:qFormat/>
    <w:uiPriority w:val="73"/>
    <w:rPr>
      <w:rFonts w:ascii="Cambria" w:hAnsi="Cambria" w:eastAsia="黑体"/>
      <w:color w:val="000000"/>
    </w:rPr>
    <w:tblPr>
      <w:tblBorders>
        <w:insideH w:val="single" w:color="FFFFFF" w:sz="4" w:space="0"/>
      </w:tblBorders>
      <w:tblCellMar>
        <w:top w:w="0" w:type="dxa"/>
        <w:left w:w="108" w:type="dxa"/>
        <w:bottom w:w="0" w:type="dxa"/>
        <w:right w:w="108" w:type="dxa"/>
      </w:tblCellMar>
    </w:tblPr>
    <w:tcPr>
      <w:shd w:val="clear" w:color="auto" w:fill="F0E9E1"/>
    </w:tcPr>
    <w:tblStylePr w:type="firstRow">
      <w:rPr>
        <w:rFonts w:cs="Times New Roman"/>
        <w:b/>
        <w:bCs/>
      </w:rPr>
      <w:tcPr>
        <w:shd w:val="clear" w:color="auto" w:fill="E1D3C4"/>
      </w:tcPr>
    </w:tblStylePr>
    <w:tblStylePr w:type="lastRow">
      <w:rPr>
        <w:rFonts w:cs="Times New Roman"/>
        <w:b/>
        <w:bCs/>
        <w:color w:val="000000"/>
      </w:rPr>
      <w:tcPr>
        <w:shd w:val="clear" w:color="auto" w:fill="E1D3C4"/>
      </w:tcPr>
    </w:tblStylePr>
    <w:tblStylePr w:type="firstCol">
      <w:rPr>
        <w:rFonts w:cs="Times New Roman"/>
        <w:color w:val="FFFFFF"/>
      </w:rPr>
      <w:tcPr>
        <w:shd w:val="clear" w:color="auto" w:fill="8E6E49"/>
      </w:tcPr>
    </w:tblStylePr>
    <w:tblStylePr w:type="lastCol">
      <w:rPr>
        <w:rFonts w:cs="Times New Roman"/>
        <w:color w:val="FFFFFF"/>
      </w:rPr>
      <w:tcPr>
        <w:shd w:val="clear" w:color="auto" w:fill="8E6E49"/>
      </w:tc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246">
    <w:name w:val="彩色网格强调文字颜色 5"/>
    <w:basedOn w:val="83"/>
    <w:qFormat/>
    <w:uiPriority w:val="73"/>
    <w:rPr>
      <w:rFonts w:ascii="Cambria" w:hAnsi="Cambria" w:eastAsia="黑体"/>
      <w:color w:val="000000"/>
    </w:rPr>
    <w:tblPr>
      <w:tblBorders>
        <w:insideH w:val="single" w:color="FFFFFF" w:sz="4" w:space="0"/>
      </w:tblBorders>
      <w:tblCellMar>
        <w:top w:w="0" w:type="dxa"/>
        <w:left w:w="108" w:type="dxa"/>
        <w:bottom w:w="0" w:type="dxa"/>
        <w:right w:w="108" w:type="dxa"/>
      </w:tblCellMar>
    </w:tblPr>
    <w:tcPr>
      <w:shd w:val="clear" w:color="auto" w:fill="DFE4E5"/>
    </w:tcPr>
    <w:tblStylePr w:type="firstRow">
      <w:rPr>
        <w:rFonts w:cs="Times New Roman"/>
        <w:b/>
        <w:bCs/>
      </w:rPr>
      <w:tcPr>
        <w:shd w:val="clear" w:color="auto" w:fill="C1C9CB"/>
      </w:tcPr>
    </w:tblStylePr>
    <w:tblStylePr w:type="lastRow">
      <w:rPr>
        <w:rFonts w:cs="Times New Roman"/>
        <w:b/>
        <w:bCs/>
        <w:color w:val="000000"/>
      </w:rPr>
      <w:tcPr>
        <w:shd w:val="clear" w:color="auto" w:fill="C1C9CB"/>
      </w:tcPr>
    </w:tblStylePr>
    <w:tblStylePr w:type="firstCol">
      <w:rPr>
        <w:rFonts w:cs="Times New Roman"/>
        <w:color w:val="FFFFFF"/>
      </w:rPr>
      <w:tcPr>
        <w:shd w:val="clear" w:color="auto" w:fill="4D595B"/>
      </w:tcPr>
    </w:tblStylePr>
    <w:tblStylePr w:type="lastCol">
      <w:rPr>
        <w:rFonts w:cs="Times New Roman"/>
        <w:color w:val="FFFFFF"/>
      </w:rPr>
      <w:tcPr>
        <w:shd w:val="clear" w:color="auto" w:fill="4D595B"/>
      </w:tc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247">
    <w:name w:val="彩色网格强调文字颜色 6"/>
    <w:basedOn w:val="83"/>
    <w:qFormat/>
    <w:uiPriority w:val="73"/>
    <w:rPr>
      <w:rFonts w:ascii="Cambria" w:hAnsi="Cambria" w:eastAsia="黑体"/>
      <w:color w:val="000000"/>
    </w:rPr>
    <w:tblPr>
      <w:tblBorders>
        <w:insideH w:val="single" w:color="FFFFFF" w:sz="4" w:space="0"/>
      </w:tblBorders>
      <w:tblCellMar>
        <w:top w:w="0" w:type="dxa"/>
        <w:left w:w="108" w:type="dxa"/>
        <w:bottom w:w="0" w:type="dxa"/>
        <w:right w:w="108" w:type="dxa"/>
      </w:tblCellMar>
    </w:tblPr>
    <w:tcPr>
      <w:shd w:val="clear" w:color="auto" w:fill="EBE9E2"/>
    </w:tcPr>
    <w:tblStylePr w:type="firstRow">
      <w:rPr>
        <w:rFonts w:cs="Times New Roman"/>
        <w:b/>
        <w:bCs/>
      </w:rPr>
      <w:tcPr>
        <w:shd w:val="clear" w:color="auto" w:fill="D7D3C5"/>
      </w:tcPr>
    </w:tblStylePr>
    <w:tblStylePr w:type="lastRow">
      <w:rPr>
        <w:rFonts w:cs="Times New Roman"/>
        <w:b/>
        <w:bCs/>
        <w:color w:val="000000"/>
      </w:rPr>
      <w:tcPr>
        <w:shd w:val="clear" w:color="auto" w:fill="D7D3C5"/>
      </w:tcPr>
    </w:tblStylePr>
    <w:tblStylePr w:type="firstCol">
      <w:rPr>
        <w:rFonts w:cs="Times New Roman"/>
        <w:color w:val="FFFFFF"/>
      </w:rPr>
      <w:tcPr>
        <w:shd w:val="clear" w:color="auto" w:fill="776E51"/>
      </w:tcPr>
    </w:tblStylePr>
    <w:tblStylePr w:type="lastCol">
      <w:rPr>
        <w:rFonts w:cs="Times New Roman"/>
        <w:color w:val="FFFFFF"/>
      </w:rPr>
      <w:tcPr>
        <w:shd w:val="clear" w:color="auto" w:fill="776E51"/>
      </w:tc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248">
    <w:name w:val="彩色列表强调文字颜色 1"/>
    <w:basedOn w:val="83"/>
    <w:qFormat/>
    <w:uiPriority w:val="72"/>
    <w:rPr>
      <w:rFonts w:ascii="Cambria" w:hAnsi="Cambria" w:eastAsia="黑体"/>
      <w:color w:val="000000"/>
    </w:rPr>
    <w:tblPr>
      <w:tblCellMar>
        <w:top w:w="0" w:type="dxa"/>
        <w:left w:w="108" w:type="dxa"/>
        <w:bottom w:w="0" w:type="dxa"/>
        <w:right w:w="108" w:type="dxa"/>
      </w:tblCellMar>
    </w:tblPr>
    <w:tcPr>
      <w:shd w:val="clear" w:color="auto" w:fill="F2F4F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shd w:val="clear" w:color="auto" w:fill="E5EAEE"/>
      </w:tcPr>
    </w:tblStylePr>
  </w:style>
  <w:style w:type="table" w:customStyle="1" w:styleId="249">
    <w:name w:val="彩色列表强调文字颜色 2"/>
    <w:basedOn w:val="83"/>
    <w:qFormat/>
    <w:uiPriority w:val="72"/>
    <w:rPr>
      <w:rFonts w:ascii="Cambria" w:hAnsi="Cambria" w:eastAsia="黑体"/>
      <w:color w:val="000000"/>
    </w:rPr>
    <w:tblPr>
      <w:tblCellMar>
        <w:top w:w="0" w:type="dxa"/>
        <w:left w:w="108" w:type="dxa"/>
        <w:bottom w:w="0" w:type="dxa"/>
        <w:right w:w="108" w:type="dxa"/>
      </w:tblCellMar>
    </w:tblPr>
    <w:tcPr>
      <w:shd w:val="clear" w:color="auto" w:fill="FAF3EF"/>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shd w:val="clear" w:color="auto" w:fill="F4E8DF"/>
      </w:tcPr>
    </w:tblStylePr>
  </w:style>
  <w:style w:type="table" w:customStyle="1" w:styleId="250">
    <w:name w:val="彩色列表强调文字颜色 3"/>
    <w:basedOn w:val="83"/>
    <w:qFormat/>
    <w:uiPriority w:val="72"/>
    <w:rPr>
      <w:rFonts w:ascii="Cambria" w:hAnsi="Cambria" w:eastAsia="黑体"/>
      <w:color w:val="000000"/>
    </w:rPr>
    <w:tblPr>
      <w:tblCellMar>
        <w:top w:w="0" w:type="dxa"/>
        <w:left w:w="108" w:type="dxa"/>
        <w:bottom w:w="0" w:type="dxa"/>
        <w:right w:w="108" w:type="dxa"/>
      </w:tblCellMar>
    </w:tblPr>
    <w:tcPr>
      <w:shd w:val="clear" w:color="auto" w:fill="F2F0EE"/>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98754E"/>
      </w:tcPr>
    </w:tblStylePr>
    <w:tblStylePr w:type="lastRow">
      <w:rPr>
        <w:rFonts w:cs="Times New Roman"/>
        <w:b/>
        <w:bCs/>
        <w:color w:val="98754E"/>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shd w:val="clear" w:color="auto" w:fill="E5E0DE"/>
      </w:tcPr>
    </w:tblStylePr>
  </w:style>
  <w:style w:type="table" w:customStyle="1" w:styleId="251">
    <w:name w:val="彩色列表强调文字颜色 4"/>
    <w:basedOn w:val="83"/>
    <w:qFormat/>
    <w:uiPriority w:val="72"/>
    <w:rPr>
      <w:rFonts w:ascii="Cambria" w:hAnsi="Cambria" w:eastAsia="黑体"/>
      <w:color w:val="000000"/>
    </w:rPr>
    <w:tblPr>
      <w:tblCellMar>
        <w:top w:w="0" w:type="dxa"/>
        <w:left w:w="108" w:type="dxa"/>
        <w:bottom w:w="0" w:type="dxa"/>
        <w:right w:w="108" w:type="dxa"/>
      </w:tblCellMar>
    </w:tblPr>
    <w:tcPr>
      <w:shd w:val="clear" w:color="auto" w:fill="F7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61544C"/>
      </w:tcPr>
    </w:tblStylePr>
    <w:tblStylePr w:type="lastRow">
      <w:rPr>
        <w:rFonts w:cs="Times New Roman"/>
        <w:b/>
        <w:bCs/>
        <w:color w:val="61544C"/>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shd w:val="clear" w:color="auto" w:fill="F0E9E1"/>
      </w:tcPr>
    </w:tblStylePr>
  </w:style>
  <w:style w:type="table" w:customStyle="1" w:styleId="252">
    <w:name w:val="彩色列表强调文字颜色 5"/>
    <w:basedOn w:val="83"/>
    <w:qFormat/>
    <w:uiPriority w:val="72"/>
    <w:rPr>
      <w:rFonts w:ascii="Cambria" w:hAnsi="Cambria" w:eastAsia="黑体"/>
      <w:color w:val="000000"/>
    </w:rPr>
    <w:tblPr>
      <w:tblCellMar>
        <w:top w:w="0" w:type="dxa"/>
        <w:left w:w="108" w:type="dxa"/>
        <w:bottom w:w="0" w:type="dxa"/>
        <w:right w:w="108" w:type="dxa"/>
      </w:tblCellMar>
    </w:tblPr>
    <w:tcPr>
      <w:shd w:val="clear" w:color="auto" w:fill="EFF1F2"/>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7F7657"/>
      </w:tcPr>
    </w:tblStylePr>
    <w:tblStylePr w:type="lastRow">
      <w:rPr>
        <w:rFonts w:cs="Times New Roman"/>
        <w:b/>
        <w:bCs/>
        <w:color w:val="7F7657"/>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shd w:val="clear" w:color="auto" w:fill="DFE4E5"/>
      </w:tcPr>
    </w:tblStylePr>
  </w:style>
  <w:style w:type="table" w:customStyle="1" w:styleId="253">
    <w:name w:val="彩色列表强调文字颜色 6"/>
    <w:basedOn w:val="83"/>
    <w:qFormat/>
    <w:uiPriority w:val="72"/>
    <w:rPr>
      <w:rFonts w:ascii="Cambria" w:hAnsi="Cambria" w:eastAsia="黑体"/>
      <w:color w:val="000000"/>
    </w:rPr>
    <w:tblPr>
      <w:tblCellMar>
        <w:top w:w="0" w:type="dxa"/>
        <w:left w:w="108" w:type="dxa"/>
        <w:bottom w:w="0" w:type="dxa"/>
        <w:right w:w="108" w:type="dxa"/>
      </w:tblCellMar>
    </w:tblPr>
    <w:tcPr>
      <w:shd w:val="clear" w:color="auto" w:fill="F5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525F62"/>
      </w:tcPr>
    </w:tblStylePr>
    <w:tblStylePr w:type="lastRow">
      <w:rPr>
        <w:rFonts w:cs="Times New Roman"/>
        <w:b/>
        <w:bCs/>
        <w:color w:val="525F62"/>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shd w:val="clear" w:color="auto" w:fill="EBE9E2"/>
      </w:tcPr>
    </w:tblStylePr>
  </w:style>
  <w:style w:type="table" w:customStyle="1" w:styleId="254">
    <w:name w:val="彩色底纹强调文字颜色 1"/>
    <w:basedOn w:val="83"/>
    <w:qFormat/>
    <w:uiPriority w:val="71"/>
    <w:rPr>
      <w:rFonts w:ascii="Cambria" w:hAnsi="Cambria" w:eastAsia="黑体"/>
      <w:color w:val="000000"/>
    </w:rPr>
    <w:tblPr>
      <w:tblBorders>
        <w:top w:val="single" w:color="CC8E60" w:sz="24" w:space="0"/>
        <w:left w:val="single" w:color="7E97AD" w:sz="4" w:space="0"/>
        <w:bottom w:val="single" w:color="7E97AD" w:sz="4" w:space="0"/>
        <w:right w:val="single" w:color="7E97AD" w:sz="4" w:space="0"/>
        <w:insideH w:val="single" w:color="FFFFFF" w:sz="4" w:space="0"/>
        <w:insideV w:val="single" w:color="FFFFFF" w:sz="4" w:space="0"/>
      </w:tblBorders>
      <w:tblCellMar>
        <w:top w:w="0" w:type="dxa"/>
        <w:left w:w="108" w:type="dxa"/>
        <w:bottom w:w="0" w:type="dxa"/>
        <w:right w:w="108" w:type="dxa"/>
      </w:tblCellMar>
    </w:tblPr>
    <w:tcPr>
      <w:shd w:val="clear" w:color="auto" w:fill="F2F4F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55A6D"/>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band1Vert">
      <w:rPr>
        <w:rFonts w:cs="Times New Roman"/>
      </w:rPr>
      <w:tcPr>
        <w:shd w:val="clear" w:color="auto" w:fill="CBD5DE"/>
      </w:tcPr>
    </w:tblStylePr>
    <w:tblStylePr w:type="band1Horz">
      <w:rPr>
        <w:rFonts w:cs="Times New Roman"/>
      </w:r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55">
    <w:name w:val="彩色底纹强调文字颜色 2"/>
    <w:basedOn w:val="83"/>
    <w:qFormat/>
    <w:uiPriority w:val="71"/>
    <w:rPr>
      <w:rFonts w:ascii="Cambria" w:hAnsi="Cambria" w:eastAsia="黑体"/>
      <w:color w:val="000000"/>
    </w:rPr>
    <w:tblPr>
      <w:tblBorders>
        <w:top w:val="single" w:color="CC8E60" w:sz="24" w:space="0"/>
        <w:left w:val="single" w:color="CC8E60" w:sz="4" w:space="0"/>
        <w:bottom w:val="single" w:color="CC8E60" w:sz="4" w:space="0"/>
        <w:right w:val="single" w:color="CC8E60" w:sz="4" w:space="0"/>
        <w:insideH w:val="single" w:color="FFFFFF" w:sz="4" w:space="0"/>
        <w:insideV w:val="single" w:color="FFFFFF" w:sz="4" w:space="0"/>
      </w:tblBorders>
      <w:tblCellMar>
        <w:top w:w="0" w:type="dxa"/>
        <w:left w:w="108" w:type="dxa"/>
        <w:bottom w:w="0" w:type="dxa"/>
        <w:right w:w="108" w:type="dxa"/>
      </w:tblCellMar>
    </w:tblPr>
    <w:tcPr>
      <w:shd w:val="clear" w:color="auto" w:fill="FAF3EF"/>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88522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band1Vert">
      <w:rPr>
        <w:rFonts w:cs="Times New Roman"/>
      </w:rPr>
      <w:tcPr>
        <w:shd w:val="clear" w:color="auto" w:fill="EAD1BF"/>
      </w:tcPr>
    </w:tblStylePr>
    <w:tblStylePr w:type="band1Horz">
      <w:rPr>
        <w:rFonts w:cs="Times New Roman"/>
      </w:r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256">
    <w:name w:val="彩色底纹强调文字颜色 3"/>
    <w:basedOn w:val="83"/>
    <w:qFormat/>
    <w:uiPriority w:val="71"/>
    <w:rPr>
      <w:rFonts w:ascii="Cambria" w:hAnsi="Cambria" w:eastAsia="黑体"/>
      <w:color w:val="000000"/>
    </w:rPr>
    <w:tblPr>
      <w:tblBorders>
        <w:top w:val="single" w:color="B4936D" w:sz="24" w:space="0"/>
        <w:left w:val="single" w:color="7A6A60" w:sz="4" w:space="0"/>
        <w:bottom w:val="single" w:color="7A6A60" w:sz="4" w:space="0"/>
        <w:right w:val="single" w:color="7A6A60" w:sz="4" w:space="0"/>
        <w:insideH w:val="single" w:color="FFFFFF" w:sz="4" w:space="0"/>
        <w:insideV w:val="single" w:color="FFFFFF" w:sz="4" w:space="0"/>
      </w:tblBorders>
      <w:tblCellMar>
        <w:top w:w="0" w:type="dxa"/>
        <w:left w:w="108" w:type="dxa"/>
        <w:bottom w:w="0" w:type="dxa"/>
        <w:right w:w="108" w:type="dxa"/>
      </w:tblCellMar>
    </w:tblPr>
    <w:tcPr>
      <w:shd w:val="clear" w:color="auto" w:fill="F2F0EE"/>
    </w:tcPr>
    <w:tblStylePr w:type="firstRow">
      <w:rPr>
        <w:rFonts w:cs="Times New Roman"/>
        <w:b/>
        <w:bCs/>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93F3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band1Vert">
      <w:rPr>
        <w:rFonts w:cs="Times New Roman"/>
      </w:rPr>
      <w:tcPr>
        <w:shd w:val="clear" w:color="auto" w:fill="CBC2BD"/>
      </w:tcPr>
    </w:tblStylePr>
    <w:tblStylePr w:type="band1Horz">
      <w:rPr>
        <w:rFonts w:cs="Times New Roman"/>
      </w:rPr>
      <w:tcPr>
        <w:shd w:val="clear" w:color="auto" w:fill="BEB4AD"/>
      </w:tcPr>
    </w:tblStylePr>
  </w:style>
  <w:style w:type="table" w:customStyle="1" w:styleId="257">
    <w:name w:val="彩色底纹强调文字颜色 4"/>
    <w:basedOn w:val="83"/>
    <w:qFormat/>
    <w:uiPriority w:val="71"/>
    <w:rPr>
      <w:rFonts w:ascii="Cambria" w:hAnsi="Cambria" w:eastAsia="黑体"/>
      <w:color w:val="000000"/>
    </w:rPr>
    <w:tblPr>
      <w:tblBorders>
        <w:top w:val="single" w:color="7A6A60" w:sz="24" w:space="0"/>
        <w:left w:val="single" w:color="B4936D" w:sz="4" w:space="0"/>
        <w:bottom w:val="single" w:color="B4936D" w:sz="4" w:space="0"/>
        <w:right w:val="single" w:color="B4936D" w:sz="4" w:space="0"/>
        <w:insideH w:val="single" w:color="FFFFFF" w:sz="4" w:space="0"/>
        <w:insideV w:val="single" w:color="FFFFFF" w:sz="4" w:space="0"/>
      </w:tblBorders>
      <w:tblCellMar>
        <w:top w:w="0" w:type="dxa"/>
        <w:left w:w="108" w:type="dxa"/>
        <w:bottom w:w="0" w:type="dxa"/>
        <w:right w:w="108" w:type="dxa"/>
      </w:tblCellMar>
    </w:tblPr>
    <w:tcPr>
      <w:shd w:val="clear" w:color="auto" w:fill="F7F4F0"/>
    </w:tcPr>
    <w:tblStylePr w:type="firstRow">
      <w:rPr>
        <w:rFonts w:cs="Times New Roman"/>
        <w:b/>
        <w:bCs/>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72583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band1Vert">
      <w:rPr>
        <w:rFonts w:cs="Times New Roman"/>
      </w:rPr>
      <w:tcPr>
        <w:shd w:val="clear" w:color="auto" w:fill="E1D3C4"/>
      </w:tcPr>
    </w:tblStylePr>
    <w:tblStylePr w:type="band1Horz">
      <w:rPr>
        <w:rFonts w:cs="Times New Roman"/>
      </w:r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258">
    <w:name w:val="彩色底纹强调文字颜色 5"/>
    <w:basedOn w:val="83"/>
    <w:qFormat/>
    <w:uiPriority w:val="71"/>
    <w:rPr>
      <w:rFonts w:ascii="Cambria" w:hAnsi="Cambria" w:eastAsia="黑体"/>
      <w:color w:val="000000"/>
    </w:rPr>
    <w:tblPr>
      <w:tblBorders>
        <w:top w:val="single" w:color="9D936F" w:sz="24" w:space="0"/>
        <w:left w:val="single" w:color="67787B" w:sz="4" w:space="0"/>
        <w:bottom w:val="single" w:color="67787B" w:sz="4" w:space="0"/>
        <w:right w:val="single" w:color="67787B" w:sz="4" w:space="0"/>
        <w:insideH w:val="single" w:color="FFFFFF" w:sz="4" w:space="0"/>
        <w:insideV w:val="single" w:color="FFFFFF" w:sz="4" w:space="0"/>
      </w:tblBorders>
      <w:tblCellMar>
        <w:top w:w="0" w:type="dxa"/>
        <w:left w:w="108" w:type="dxa"/>
        <w:bottom w:w="0" w:type="dxa"/>
        <w:right w:w="108" w:type="dxa"/>
      </w:tblCellMar>
    </w:tblPr>
    <w:tcPr>
      <w:shd w:val="clear" w:color="auto" w:fill="EFF1F2"/>
    </w:tcPr>
    <w:tblStylePr w:type="firstRow">
      <w:rPr>
        <w:rFonts w:cs="Times New Roman"/>
        <w:b/>
        <w:bCs/>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3D474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band1Vert">
      <w:rPr>
        <w:rFonts w:cs="Times New Roman"/>
      </w:rPr>
      <w:tcPr>
        <w:shd w:val="clear" w:color="auto" w:fill="C1C9CB"/>
      </w:tcPr>
    </w:tblStylePr>
    <w:tblStylePr w:type="band1Horz">
      <w:rPr>
        <w:rFonts w:cs="Times New Roman"/>
      </w:r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259">
    <w:name w:val="彩色底纹强调文字颜色 6"/>
    <w:basedOn w:val="83"/>
    <w:qFormat/>
    <w:uiPriority w:val="71"/>
    <w:rPr>
      <w:rFonts w:ascii="Cambria" w:hAnsi="Cambria" w:eastAsia="黑体"/>
      <w:color w:val="000000"/>
    </w:rPr>
    <w:tblPr>
      <w:tblBorders>
        <w:top w:val="single" w:color="67787B" w:sz="24" w:space="0"/>
        <w:left w:val="single" w:color="9D936F" w:sz="4" w:space="0"/>
        <w:bottom w:val="single" w:color="9D936F" w:sz="4" w:space="0"/>
        <w:right w:val="single" w:color="9D936F" w:sz="4" w:space="0"/>
        <w:insideH w:val="single" w:color="FFFFFF" w:sz="4" w:space="0"/>
        <w:insideV w:val="single" w:color="FFFFFF" w:sz="4" w:space="0"/>
      </w:tblBorders>
      <w:tblCellMar>
        <w:top w:w="0" w:type="dxa"/>
        <w:left w:w="108" w:type="dxa"/>
        <w:bottom w:w="0" w:type="dxa"/>
        <w:right w:w="108" w:type="dxa"/>
      </w:tblCellMar>
    </w:tblPr>
    <w:tcPr>
      <w:shd w:val="clear" w:color="auto" w:fill="F5F4F0"/>
    </w:tcPr>
    <w:tblStylePr w:type="firstRow">
      <w:rPr>
        <w:rFonts w:cs="Times New Roman"/>
        <w:b/>
        <w:bCs/>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5F5841"/>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band1Vert">
      <w:rPr>
        <w:rFonts w:cs="Times New Roman"/>
      </w:rPr>
      <w:tcPr>
        <w:shd w:val="clear" w:color="auto" w:fill="D7D3C5"/>
      </w:tcPr>
    </w:tblStylePr>
    <w:tblStylePr w:type="band1Horz">
      <w:rPr>
        <w:rFonts w:cs="Times New Roman"/>
      </w:r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260">
    <w:name w:val="深色列表强调文字颜色 1"/>
    <w:basedOn w:val="83"/>
    <w:qFormat/>
    <w:uiPriority w:val="70"/>
    <w:rPr>
      <w:rFonts w:ascii="Cambria" w:hAnsi="Cambria" w:eastAsia="黑体"/>
      <w:color w:val="FFFFFF"/>
    </w:rPr>
    <w:tblPr>
      <w:tblCellMar>
        <w:top w:w="0" w:type="dxa"/>
        <w:left w:w="108" w:type="dxa"/>
        <w:bottom w:w="0" w:type="dxa"/>
        <w:right w:w="108" w:type="dxa"/>
      </w:tblCellMar>
    </w:tblPr>
    <w:tcPr>
      <w:shd w:val="clear" w:color="auto" w:fill="7E97A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94B5A"/>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77188"/>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77188"/>
      </w:tcPr>
    </w:tblStylePr>
    <w:tblStylePr w:type="band1Vert">
      <w:rPr>
        <w:rFonts w:cs="Times New Roman"/>
      </w:rPr>
      <w:tcPr>
        <w:tcBorders>
          <w:top w:val="nil"/>
          <w:left w:val="nil"/>
          <w:bottom w:val="nil"/>
          <w:right w:val="nil"/>
          <w:insideH w:val="nil"/>
          <w:insideV w:val="nil"/>
          <w:tl2br w:val="nil"/>
          <w:tr2bl w:val="nil"/>
        </w:tcBorders>
        <w:shd w:val="clear" w:color="auto" w:fill="577188"/>
      </w:tcPr>
    </w:tblStylePr>
    <w:tblStylePr w:type="band1Horz">
      <w:rPr>
        <w:rFonts w:cs="Times New Roman"/>
      </w:rPr>
      <w:tcPr>
        <w:tcBorders>
          <w:top w:val="nil"/>
          <w:left w:val="nil"/>
          <w:bottom w:val="nil"/>
          <w:right w:val="nil"/>
          <w:insideH w:val="nil"/>
          <w:insideV w:val="nil"/>
          <w:tl2br w:val="nil"/>
          <w:tr2bl w:val="nil"/>
        </w:tcBorders>
        <w:shd w:val="clear" w:color="auto" w:fill="577188"/>
      </w:tcPr>
    </w:tblStylePr>
  </w:style>
  <w:style w:type="table" w:customStyle="1" w:styleId="261">
    <w:name w:val="深色列表强调文字颜色 2"/>
    <w:basedOn w:val="83"/>
    <w:qFormat/>
    <w:uiPriority w:val="70"/>
    <w:rPr>
      <w:rFonts w:ascii="Cambria" w:hAnsi="Cambria" w:eastAsia="黑体"/>
      <w:color w:val="FFFFFF"/>
    </w:rPr>
    <w:tblPr>
      <w:tblCellMar>
        <w:top w:w="0" w:type="dxa"/>
        <w:left w:w="108" w:type="dxa"/>
        <w:bottom w:w="0" w:type="dxa"/>
        <w:right w:w="108" w:type="dxa"/>
      </w:tblCellMar>
    </w:tblPr>
    <w:tcPr>
      <w:shd w:val="clear" w:color="auto" w:fill="CC8E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714424"/>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AA6736"/>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AA6736"/>
      </w:tcPr>
    </w:tblStylePr>
    <w:tblStylePr w:type="band1Vert">
      <w:rPr>
        <w:rFonts w:cs="Times New Roman"/>
      </w:rPr>
      <w:tcPr>
        <w:tcBorders>
          <w:top w:val="nil"/>
          <w:left w:val="nil"/>
          <w:bottom w:val="nil"/>
          <w:right w:val="nil"/>
          <w:insideH w:val="nil"/>
          <w:insideV w:val="nil"/>
          <w:tl2br w:val="nil"/>
          <w:tr2bl w:val="nil"/>
        </w:tcBorders>
        <w:shd w:val="clear" w:color="auto" w:fill="AA6736"/>
      </w:tcPr>
    </w:tblStylePr>
    <w:tblStylePr w:type="band1Horz">
      <w:rPr>
        <w:rFonts w:cs="Times New Roman"/>
      </w:rPr>
      <w:tcPr>
        <w:tcBorders>
          <w:top w:val="nil"/>
          <w:left w:val="nil"/>
          <w:bottom w:val="nil"/>
          <w:right w:val="nil"/>
          <w:insideH w:val="nil"/>
          <w:insideV w:val="nil"/>
          <w:tl2br w:val="nil"/>
          <w:tr2bl w:val="nil"/>
        </w:tcBorders>
        <w:shd w:val="clear" w:color="auto" w:fill="AA6736"/>
      </w:tcPr>
    </w:tblStylePr>
  </w:style>
  <w:style w:type="table" w:customStyle="1" w:styleId="262">
    <w:name w:val="深色列表强调文字颜色 3"/>
    <w:basedOn w:val="83"/>
    <w:qFormat/>
    <w:uiPriority w:val="70"/>
    <w:rPr>
      <w:rFonts w:ascii="Cambria" w:hAnsi="Cambria" w:eastAsia="黑体"/>
      <w:color w:val="FFFFFF"/>
    </w:rPr>
    <w:tblPr>
      <w:tblCellMar>
        <w:top w:w="0" w:type="dxa"/>
        <w:left w:w="108" w:type="dxa"/>
        <w:bottom w:w="0" w:type="dxa"/>
        <w:right w:w="108" w:type="dxa"/>
      </w:tblCellMar>
    </w:tblPr>
    <w:tcPr>
      <w:shd w:val="clear" w:color="auto" w:fill="7A6A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C342F"/>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B4F47"/>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B4F47"/>
      </w:tcPr>
    </w:tblStylePr>
    <w:tblStylePr w:type="band1Vert">
      <w:rPr>
        <w:rFonts w:cs="Times New Roman"/>
      </w:rPr>
      <w:tcPr>
        <w:tcBorders>
          <w:top w:val="nil"/>
          <w:left w:val="nil"/>
          <w:bottom w:val="nil"/>
          <w:right w:val="nil"/>
          <w:insideH w:val="nil"/>
          <w:insideV w:val="nil"/>
          <w:tl2br w:val="nil"/>
          <w:tr2bl w:val="nil"/>
        </w:tcBorders>
        <w:shd w:val="clear" w:color="auto" w:fill="5B4F47"/>
      </w:tcPr>
    </w:tblStylePr>
    <w:tblStylePr w:type="band1Horz">
      <w:rPr>
        <w:rFonts w:cs="Times New Roman"/>
      </w:rPr>
      <w:tcPr>
        <w:tcBorders>
          <w:top w:val="nil"/>
          <w:left w:val="nil"/>
          <w:bottom w:val="nil"/>
          <w:right w:val="nil"/>
          <w:insideH w:val="nil"/>
          <w:insideV w:val="nil"/>
          <w:tl2br w:val="nil"/>
          <w:tr2bl w:val="nil"/>
        </w:tcBorders>
        <w:shd w:val="clear" w:color="auto" w:fill="5B4F47"/>
      </w:tcPr>
    </w:tblStylePr>
  </w:style>
  <w:style w:type="table" w:customStyle="1" w:styleId="263">
    <w:name w:val="深色列表强调文字颜色 4"/>
    <w:basedOn w:val="83"/>
    <w:qFormat/>
    <w:uiPriority w:val="70"/>
    <w:rPr>
      <w:rFonts w:ascii="Cambria" w:hAnsi="Cambria" w:eastAsia="黑体"/>
      <w:color w:val="FFFFFF"/>
    </w:rPr>
    <w:tblPr>
      <w:tblCellMar>
        <w:top w:w="0" w:type="dxa"/>
        <w:left w:w="108" w:type="dxa"/>
        <w:bottom w:w="0" w:type="dxa"/>
        <w:right w:w="108" w:type="dxa"/>
      </w:tblCellMar>
    </w:tblPr>
    <w:tcPr>
      <w:shd w:val="clear" w:color="auto" w:fill="B4936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5E493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8E6E49"/>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8E6E49"/>
      </w:tcPr>
    </w:tblStylePr>
    <w:tblStylePr w:type="band1Vert">
      <w:rPr>
        <w:rFonts w:cs="Times New Roman"/>
      </w:rPr>
      <w:tcPr>
        <w:tcBorders>
          <w:top w:val="nil"/>
          <w:left w:val="nil"/>
          <w:bottom w:val="nil"/>
          <w:right w:val="nil"/>
          <w:insideH w:val="nil"/>
          <w:insideV w:val="nil"/>
          <w:tl2br w:val="nil"/>
          <w:tr2bl w:val="nil"/>
        </w:tcBorders>
        <w:shd w:val="clear" w:color="auto" w:fill="8E6E49"/>
      </w:tcPr>
    </w:tblStylePr>
    <w:tblStylePr w:type="band1Horz">
      <w:rPr>
        <w:rFonts w:cs="Times New Roman"/>
      </w:rPr>
      <w:tcPr>
        <w:tcBorders>
          <w:top w:val="nil"/>
          <w:left w:val="nil"/>
          <w:bottom w:val="nil"/>
          <w:right w:val="nil"/>
          <w:insideH w:val="nil"/>
          <w:insideV w:val="nil"/>
          <w:tl2br w:val="nil"/>
          <w:tr2bl w:val="nil"/>
        </w:tcBorders>
        <w:shd w:val="clear" w:color="auto" w:fill="8E6E49"/>
      </w:tcPr>
    </w:tblStylePr>
  </w:style>
  <w:style w:type="table" w:customStyle="1" w:styleId="264">
    <w:name w:val="深色列表强调文字颜色 5"/>
    <w:basedOn w:val="83"/>
    <w:qFormat/>
    <w:uiPriority w:val="70"/>
    <w:rPr>
      <w:rFonts w:ascii="Cambria" w:hAnsi="Cambria" w:eastAsia="黑体"/>
      <w:color w:val="FFFFFF"/>
    </w:rPr>
    <w:tblPr>
      <w:tblCellMar>
        <w:top w:w="0" w:type="dxa"/>
        <w:left w:w="108" w:type="dxa"/>
        <w:bottom w:w="0" w:type="dxa"/>
        <w:right w:w="108" w:type="dxa"/>
      </w:tblCellMar>
    </w:tblPr>
    <w:tcPr>
      <w:shd w:val="clear" w:color="auto" w:fill="67787B"/>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33B3D"/>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4D595B"/>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4D595B"/>
      </w:tcPr>
    </w:tblStylePr>
    <w:tblStylePr w:type="band1Vert">
      <w:rPr>
        <w:rFonts w:cs="Times New Roman"/>
      </w:rPr>
      <w:tcPr>
        <w:tcBorders>
          <w:top w:val="nil"/>
          <w:left w:val="nil"/>
          <w:bottom w:val="nil"/>
          <w:right w:val="nil"/>
          <w:insideH w:val="nil"/>
          <w:insideV w:val="nil"/>
          <w:tl2br w:val="nil"/>
          <w:tr2bl w:val="nil"/>
        </w:tcBorders>
        <w:shd w:val="clear" w:color="auto" w:fill="4D595B"/>
      </w:tcPr>
    </w:tblStylePr>
    <w:tblStylePr w:type="band1Horz">
      <w:rPr>
        <w:rFonts w:cs="Times New Roman"/>
      </w:rPr>
      <w:tcPr>
        <w:tcBorders>
          <w:top w:val="nil"/>
          <w:left w:val="nil"/>
          <w:bottom w:val="nil"/>
          <w:right w:val="nil"/>
          <w:insideH w:val="nil"/>
          <w:insideV w:val="nil"/>
          <w:tl2br w:val="nil"/>
          <w:tr2bl w:val="nil"/>
        </w:tcBorders>
        <w:shd w:val="clear" w:color="auto" w:fill="4D595B"/>
      </w:tcPr>
    </w:tblStylePr>
  </w:style>
  <w:style w:type="table" w:customStyle="1" w:styleId="265">
    <w:name w:val="深色列表强调文字颜色 6"/>
    <w:basedOn w:val="83"/>
    <w:qFormat/>
    <w:uiPriority w:val="70"/>
    <w:rPr>
      <w:rFonts w:ascii="Cambria" w:hAnsi="Cambria" w:eastAsia="黑体"/>
      <w:color w:val="FFFFFF"/>
    </w:rPr>
    <w:tblPr>
      <w:tblCellMar>
        <w:top w:w="0" w:type="dxa"/>
        <w:left w:w="108" w:type="dxa"/>
        <w:bottom w:w="0" w:type="dxa"/>
        <w:right w:w="108" w:type="dxa"/>
      </w:tblCellMar>
    </w:tblPr>
    <w:tcPr>
      <w:shd w:val="clear" w:color="auto" w:fill="9D936F"/>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4F4936"/>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776E51"/>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776E51"/>
      </w:tcPr>
    </w:tblStylePr>
    <w:tblStylePr w:type="band1Vert">
      <w:rPr>
        <w:rFonts w:cs="Times New Roman"/>
      </w:rPr>
      <w:tcPr>
        <w:tcBorders>
          <w:top w:val="nil"/>
          <w:left w:val="nil"/>
          <w:bottom w:val="nil"/>
          <w:right w:val="nil"/>
          <w:insideH w:val="nil"/>
          <w:insideV w:val="nil"/>
          <w:tl2br w:val="nil"/>
          <w:tr2bl w:val="nil"/>
        </w:tcBorders>
        <w:shd w:val="clear" w:color="auto" w:fill="776E51"/>
      </w:tcPr>
    </w:tblStylePr>
    <w:tblStylePr w:type="band1Horz">
      <w:rPr>
        <w:rFonts w:cs="Times New Roman"/>
      </w:rPr>
      <w:tcPr>
        <w:tcBorders>
          <w:top w:val="nil"/>
          <w:left w:val="nil"/>
          <w:bottom w:val="nil"/>
          <w:right w:val="nil"/>
          <w:insideH w:val="nil"/>
          <w:insideV w:val="nil"/>
          <w:tl2br w:val="nil"/>
          <w:tr2bl w:val="nil"/>
        </w:tcBorders>
        <w:shd w:val="clear" w:color="auto" w:fill="776E51"/>
      </w:tcPr>
    </w:tblStylePr>
  </w:style>
  <w:style w:type="table" w:customStyle="1" w:styleId="266">
    <w:name w:val="浅色网格强调文字颜色 1"/>
    <w:basedOn w:val="83"/>
    <w:qFormat/>
    <w:uiPriority w:val="62"/>
    <w:rPr>
      <w:rFonts w:ascii="Cambria" w:hAnsi="Cambria" w:eastAsia="黑体"/>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CellMar>
        <w:top w:w="0" w:type="dxa"/>
        <w:left w:w="108" w:type="dxa"/>
        <w:bottom w:w="0" w:type="dxa"/>
        <w:right w:w="108" w:type="dxa"/>
      </w:tblCellMar>
    </w:tblPr>
    <w:tblStylePr w:type="firstRow">
      <w:pPr>
        <w:spacing w:before="0" w:after="0"/>
      </w:pPr>
      <w:rPr>
        <w:rFonts w:ascii="Calibri" w:hAnsi="Calibri" w:eastAsia="宋体" w:cs="Arial"/>
        <w:b/>
        <w:bCs/>
      </w:rPr>
      <w:tcPr>
        <w:tcBorders>
          <w:top w:val="single" w:color="7E97AD" w:sz="8" w:space="0"/>
          <w:left w:val="single" w:color="7E97AD" w:sz="8" w:space="0"/>
          <w:bottom w:val="single" w:color="7E97AD" w:sz="18" w:space="0"/>
          <w:right w:val="single" w:color="7E97AD"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2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267">
    <w:name w:val="浅色网格强调文字颜色 2"/>
    <w:basedOn w:val="83"/>
    <w:qFormat/>
    <w:uiPriority w:val="62"/>
    <w:rPr>
      <w:rFonts w:ascii="Cambria" w:hAnsi="Cambria" w:eastAsia="黑体"/>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CellMar>
        <w:top w:w="0" w:type="dxa"/>
        <w:left w:w="108" w:type="dxa"/>
        <w:bottom w:w="0" w:type="dxa"/>
        <w:right w:w="108" w:type="dxa"/>
      </w:tblCellMar>
    </w:tblPr>
    <w:tblStylePr w:type="firstRow">
      <w:pPr>
        <w:spacing w:before="0" w:after="0"/>
      </w:pPr>
      <w:rPr>
        <w:rFonts w:ascii="Calibri" w:hAnsi="Calibri" w:eastAsia="宋体" w:cs="Arial"/>
        <w:b/>
        <w:bCs/>
      </w:rPr>
      <w:tcPr>
        <w:tcBorders>
          <w:top w:val="single" w:color="CC8E60" w:sz="8" w:space="0"/>
          <w:left w:val="single" w:color="CC8E60" w:sz="8" w:space="0"/>
          <w:bottom w:val="single" w:color="CC8E60" w:sz="18" w:space="0"/>
          <w:right w:val="single" w:color="CC8E60"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2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268">
    <w:name w:val="浅色网格强调文字颜色 3"/>
    <w:basedOn w:val="83"/>
    <w:qFormat/>
    <w:uiPriority w:val="62"/>
    <w:rPr>
      <w:rFonts w:ascii="Cambria" w:hAnsi="Cambria" w:eastAsia="黑体"/>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CellMar>
        <w:top w:w="0" w:type="dxa"/>
        <w:left w:w="108" w:type="dxa"/>
        <w:bottom w:w="0" w:type="dxa"/>
        <w:right w:w="108" w:type="dxa"/>
      </w:tblCellMar>
    </w:tblPr>
    <w:tblStylePr w:type="firstRow">
      <w:pPr>
        <w:spacing w:before="0" w:after="0"/>
      </w:pPr>
      <w:rPr>
        <w:rFonts w:ascii="Calibri" w:hAnsi="Calibri" w:eastAsia="宋体" w:cs="Arial"/>
        <w:b/>
        <w:bCs/>
      </w:rPr>
      <w:tcPr>
        <w:tcBorders>
          <w:top w:val="single" w:color="7A6A60" w:sz="8" w:space="0"/>
          <w:left w:val="single" w:color="7A6A60" w:sz="8" w:space="0"/>
          <w:bottom w:val="single" w:color="7A6A60" w:sz="18" w:space="0"/>
          <w:right w:val="single" w:color="7A6A60"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2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269">
    <w:name w:val="浅色网格强调文字颜色 4"/>
    <w:basedOn w:val="83"/>
    <w:qFormat/>
    <w:uiPriority w:val="62"/>
    <w:rPr>
      <w:rFonts w:ascii="Cambria" w:hAnsi="Cambria" w:eastAsia="黑体"/>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CellMar>
        <w:top w:w="0" w:type="dxa"/>
        <w:left w:w="108" w:type="dxa"/>
        <w:bottom w:w="0" w:type="dxa"/>
        <w:right w:w="108" w:type="dxa"/>
      </w:tblCellMar>
    </w:tblPr>
    <w:tblStylePr w:type="firstRow">
      <w:pPr>
        <w:spacing w:before="0" w:after="0"/>
      </w:pPr>
      <w:rPr>
        <w:rFonts w:ascii="Calibri" w:hAnsi="Calibri" w:eastAsia="宋体" w:cs="Arial"/>
        <w:b/>
        <w:bCs/>
      </w:rPr>
      <w:tcPr>
        <w:tcBorders>
          <w:top w:val="single" w:color="B4936D" w:sz="8" w:space="0"/>
          <w:left w:val="single" w:color="B4936D" w:sz="8" w:space="0"/>
          <w:bottom w:val="single" w:color="B4936D" w:sz="18" w:space="0"/>
          <w:right w:val="single" w:color="B4936D"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2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270">
    <w:name w:val="浅色网格强调文字颜色 5"/>
    <w:basedOn w:val="83"/>
    <w:qFormat/>
    <w:uiPriority w:val="62"/>
    <w:rPr>
      <w:rFonts w:ascii="Cambria" w:hAnsi="Cambria" w:eastAsia="黑体"/>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CellMar>
        <w:top w:w="0" w:type="dxa"/>
        <w:left w:w="108" w:type="dxa"/>
        <w:bottom w:w="0" w:type="dxa"/>
        <w:right w:w="108" w:type="dxa"/>
      </w:tblCellMar>
    </w:tblPr>
    <w:tblStylePr w:type="firstRow">
      <w:pPr>
        <w:spacing w:before="0" w:after="0"/>
      </w:pPr>
      <w:rPr>
        <w:rFonts w:ascii="Calibri" w:hAnsi="Calibri" w:eastAsia="宋体" w:cs="Arial"/>
        <w:b/>
        <w:bCs/>
      </w:rPr>
      <w:tcPr>
        <w:tcBorders>
          <w:top w:val="single" w:color="67787B" w:sz="8" w:space="0"/>
          <w:left w:val="single" w:color="67787B" w:sz="8" w:space="0"/>
          <w:bottom w:val="single" w:color="67787B" w:sz="18" w:space="0"/>
          <w:right w:val="single" w:color="67787B"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2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271">
    <w:name w:val="浅色网格强调文字颜色 6"/>
    <w:basedOn w:val="83"/>
    <w:qFormat/>
    <w:uiPriority w:val="62"/>
    <w:rPr>
      <w:rFonts w:ascii="Cambria" w:hAnsi="Cambria" w:eastAsia="黑体"/>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CellMar>
        <w:top w:w="0" w:type="dxa"/>
        <w:left w:w="108" w:type="dxa"/>
        <w:bottom w:w="0" w:type="dxa"/>
        <w:right w:w="108" w:type="dxa"/>
      </w:tblCellMar>
    </w:tblPr>
    <w:tblStylePr w:type="firstRow">
      <w:pPr>
        <w:spacing w:before="0" w:after="0"/>
      </w:pPr>
      <w:rPr>
        <w:rFonts w:ascii="Calibri" w:hAnsi="Calibri" w:eastAsia="宋体" w:cs="Arial"/>
        <w:b/>
        <w:bCs/>
      </w:rPr>
      <w:tcPr>
        <w:tcBorders>
          <w:top w:val="single" w:color="9D936F" w:sz="8" w:space="0"/>
          <w:left w:val="single" w:color="9D936F" w:sz="8" w:space="0"/>
          <w:bottom w:val="single" w:color="9D936F" w:sz="18" w:space="0"/>
          <w:right w:val="single" w:color="9D936F"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2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272">
    <w:name w:val="浅色列表强调文字颜色 1"/>
    <w:basedOn w:val="83"/>
    <w:qFormat/>
    <w:uiPriority w:val="61"/>
    <w:rPr>
      <w:rFonts w:ascii="Cambria" w:hAnsi="Cambria" w:eastAsia="黑体"/>
    </w:rPr>
    <w:tblPr>
      <w:tblBorders>
        <w:top w:val="single" w:color="7E97AD" w:sz="8" w:space="0"/>
        <w:left w:val="single" w:color="7E97AD" w:sz="8" w:space="0"/>
        <w:bottom w:val="single" w:color="7E97AD" w:sz="8" w:space="0"/>
        <w:right w:val="single" w:color="7E97AD"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7E97AD"/>
      </w:tcPr>
    </w:tblStylePr>
    <w:tblStylePr w:type="lastRow">
      <w:pPr>
        <w:spacing w:before="0" w:after="0"/>
      </w:pPr>
      <w:rPr>
        <w:rFonts w:cs="Times New Roman"/>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273">
    <w:name w:val="浅色列表强调文字颜色 2"/>
    <w:basedOn w:val="83"/>
    <w:qFormat/>
    <w:uiPriority w:val="61"/>
    <w:rPr>
      <w:rFonts w:ascii="Cambria" w:hAnsi="Cambria" w:eastAsia="黑体"/>
    </w:rPr>
    <w:tblPr>
      <w:tblBorders>
        <w:top w:val="single" w:color="CC8E60" w:sz="8" w:space="0"/>
        <w:left w:val="single" w:color="CC8E60" w:sz="8" w:space="0"/>
        <w:bottom w:val="single" w:color="CC8E60" w:sz="8" w:space="0"/>
        <w:right w:val="single" w:color="CC8E6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CC8E60"/>
      </w:tcPr>
    </w:tblStylePr>
    <w:tblStylePr w:type="lastRow">
      <w:pPr>
        <w:spacing w:before="0" w:after="0"/>
      </w:pPr>
      <w:rPr>
        <w:rFonts w:cs="Times New Roman"/>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274">
    <w:name w:val="浅色列表强调文字颜色 3"/>
    <w:basedOn w:val="83"/>
    <w:qFormat/>
    <w:uiPriority w:val="61"/>
    <w:rPr>
      <w:rFonts w:ascii="Cambria" w:hAnsi="Cambria" w:eastAsia="黑体"/>
    </w:rPr>
    <w:tblPr>
      <w:tblBorders>
        <w:top w:val="single" w:color="7A6A60" w:sz="8" w:space="0"/>
        <w:left w:val="single" w:color="7A6A60" w:sz="8" w:space="0"/>
        <w:bottom w:val="single" w:color="7A6A60" w:sz="8" w:space="0"/>
        <w:right w:val="single" w:color="7A6A6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7A6A60"/>
      </w:tcPr>
    </w:tblStylePr>
    <w:tblStylePr w:type="lastRow">
      <w:pPr>
        <w:spacing w:before="0" w:after="0"/>
      </w:pPr>
      <w:rPr>
        <w:rFonts w:cs="Times New Roman"/>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275">
    <w:name w:val="浅色列表强调文字颜色 4"/>
    <w:basedOn w:val="83"/>
    <w:qFormat/>
    <w:uiPriority w:val="61"/>
    <w:rPr>
      <w:rFonts w:ascii="Cambria" w:hAnsi="Cambria" w:eastAsia="黑体"/>
    </w:rPr>
    <w:tblPr>
      <w:tblBorders>
        <w:top w:val="single" w:color="B4936D" w:sz="8" w:space="0"/>
        <w:left w:val="single" w:color="B4936D" w:sz="8" w:space="0"/>
        <w:bottom w:val="single" w:color="B4936D" w:sz="8" w:space="0"/>
        <w:right w:val="single" w:color="B4936D"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B4936D"/>
      </w:tcPr>
    </w:tblStylePr>
    <w:tblStylePr w:type="lastRow">
      <w:pPr>
        <w:spacing w:before="0" w:after="0"/>
      </w:pPr>
      <w:rPr>
        <w:rFonts w:cs="Times New Roman"/>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276">
    <w:name w:val="浅色列表强调文字颜色 5"/>
    <w:basedOn w:val="83"/>
    <w:qFormat/>
    <w:uiPriority w:val="61"/>
    <w:rPr>
      <w:rFonts w:ascii="Cambria" w:hAnsi="Cambria" w:eastAsia="黑体"/>
    </w:rPr>
    <w:tblPr>
      <w:tblBorders>
        <w:top w:val="single" w:color="67787B" w:sz="8" w:space="0"/>
        <w:left w:val="single" w:color="67787B" w:sz="8" w:space="0"/>
        <w:bottom w:val="single" w:color="67787B" w:sz="8" w:space="0"/>
        <w:right w:val="single" w:color="67787B"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67787B"/>
      </w:tcPr>
    </w:tblStylePr>
    <w:tblStylePr w:type="lastRow">
      <w:pPr>
        <w:spacing w:before="0" w:after="0"/>
      </w:pPr>
      <w:rPr>
        <w:rFonts w:cs="Times New Roman"/>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277">
    <w:name w:val="浅色列表强调文字颜色 6"/>
    <w:basedOn w:val="83"/>
    <w:qFormat/>
    <w:uiPriority w:val="61"/>
    <w:rPr>
      <w:rFonts w:ascii="Cambria" w:hAnsi="Cambria" w:eastAsia="黑体"/>
    </w:rPr>
    <w:tblPr>
      <w:tblBorders>
        <w:top w:val="single" w:color="9D936F" w:sz="8" w:space="0"/>
        <w:left w:val="single" w:color="9D936F" w:sz="8" w:space="0"/>
        <w:bottom w:val="single" w:color="9D936F" w:sz="8" w:space="0"/>
        <w:right w:val="single" w:color="9D936F"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9D936F"/>
      </w:tcPr>
    </w:tblStylePr>
    <w:tblStylePr w:type="lastRow">
      <w:pPr>
        <w:spacing w:before="0" w:after="0"/>
      </w:pPr>
      <w:rPr>
        <w:rFonts w:cs="Times New Roman"/>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278">
    <w:name w:val="浅色底纹强调文字颜色 1"/>
    <w:basedOn w:val="83"/>
    <w:qFormat/>
    <w:uiPriority w:val="60"/>
    <w:rPr>
      <w:rFonts w:ascii="Cambria" w:hAnsi="Cambria" w:eastAsia="黑体"/>
      <w:color w:val="577188"/>
    </w:rPr>
    <w:tblPr>
      <w:tblBorders>
        <w:top w:val="single" w:color="7E97AD" w:sz="8" w:space="0"/>
        <w:bottom w:val="single" w:color="7E97AD"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la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tcBorders>
          <w:top w:val="nil"/>
          <w:left w:val="nil"/>
          <w:bottom w:val="nil"/>
          <w:right w:val="nil"/>
          <w:insideH w:val="nil"/>
          <w:insideV w:val="nil"/>
          <w:tl2br w:val="nil"/>
          <w:tr2bl w:val="nil"/>
        </w:tcBorders>
        <w:shd w:val="clear" w:color="auto" w:fill="DFE5EA"/>
      </w:tcPr>
    </w:tblStylePr>
  </w:style>
  <w:style w:type="table" w:customStyle="1" w:styleId="279">
    <w:name w:val="浅色底纹强调文字颜色 2"/>
    <w:basedOn w:val="83"/>
    <w:qFormat/>
    <w:uiPriority w:val="60"/>
    <w:rPr>
      <w:rFonts w:ascii="Cambria" w:hAnsi="Cambria" w:eastAsia="黑体"/>
      <w:color w:val="AA6736"/>
    </w:rPr>
    <w:tblPr>
      <w:tblBorders>
        <w:top w:val="single" w:color="CC8E60" w:sz="8" w:space="0"/>
        <w:bottom w:val="single" w:color="CC8E60"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la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tcBorders>
          <w:top w:val="nil"/>
          <w:left w:val="nil"/>
          <w:bottom w:val="nil"/>
          <w:right w:val="nil"/>
          <w:insideH w:val="nil"/>
          <w:insideV w:val="nil"/>
          <w:tl2br w:val="nil"/>
          <w:tr2bl w:val="nil"/>
        </w:tcBorders>
        <w:shd w:val="clear" w:color="auto" w:fill="F2E2D7"/>
      </w:tcPr>
    </w:tblStylePr>
  </w:style>
  <w:style w:type="table" w:customStyle="1" w:styleId="280">
    <w:name w:val="浅色底纹强调文字颜色 3"/>
    <w:basedOn w:val="83"/>
    <w:qFormat/>
    <w:uiPriority w:val="60"/>
    <w:rPr>
      <w:rFonts w:ascii="Cambria" w:hAnsi="Cambria" w:eastAsia="黑体"/>
      <w:color w:val="5B4F47"/>
    </w:rPr>
    <w:tblPr>
      <w:tblBorders>
        <w:top w:val="single" w:color="7A6A60" w:sz="8" w:space="0"/>
        <w:bottom w:val="single" w:color="7A6A60"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la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tcBorders>
          <w:top w:val="nil"/>
          <w:left w:val="nil"/>
          <w:bottom w:val="nil"/>
          <w:right w:val="nil"/>
          <w:insideH w:val="nil"/>
          <w:insideV w:val="nil"/>
          <w:tl2br w:val="nil"/>
          <w:tr2bl w:val="nil"/>
        </w:tcBorders>
        <w:shd w:val="clear" w:color="auto" w:fill="DFD9D6"/>
      </w:tcPr>
    </w:tblStylePr>
  </w:style>
  <w:style w:type="table" w:customStyle="1" w:styleId="281">
    <w:name w:val="浅色底纹强调文字颜色 4"/>
    <w:basedOn w:val="83"/>
    <w:qFormat/>
    <w:uiPriority w:val="60"/>
    <w:rPr>
      <w:rFonts w:ascii="Cambria" w:hAnsi="Cambria" w:eastAsia="黑体"/>
      <w:color w:val="8E6E49"/>
    </w:rPr>
    <w:tblPr>
      <w:tblBorders>
        <w:top w:val="single" w:color="B4936D" w:sz="8" w:space="0"/>
        <w:bottom w:val="single" w:color="B4936D"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la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tcBorders>
          <w:top w:val="nil"/>
          <w:left w:val="nil"/>
          <w:bottom w:val="nil"/>
          <w:right w:val="nil"/>
          <w:insideH w:val="nil"/>
          <w:insideV w:val="nil"/>
          <w:tl2br w:val="nil"/>
          <w:tr2bl w:val="nil"/>
        </w:tcBorders>
        <w:shd w:val="clear" w:color="auto" w:fill="ECE4DA"/>
      </w:tcPr>
    </w:tblStylePr>
  </w:style>
  <w:style w:type="table" w:customStyle="1" w:styleId="282">
    <w:name w:val="浅色底纹强调文字颜色 5"/>
    <w:basedOn w:val="83"/>
    <w:qFormat/>
    <w:uiPriority w:val="60"/>
    <w:rPr>
      <w:rFonts w:ascii="Cambria" w:hAnsi="Cambria" w:eastAsia="黑体"/>
      <w:color w:val="4D595B"/>
    </w:rPr>
    <w:tblPr>
      <w:tblBorders>
        <w:top w:val="single" w:color="67787B" w:sz="8" w:space="0"/>
        <w:bottom w:val="single" w:color="67787B"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la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tcBorders>
          <w:top w:val="nil"/>
          <w:left w:val="nil"/>
          <w:bottom w:val="nil"/>
          <w:right w:val="nil"/>
          <w:insideH w:val="nil"/>
          <w:insideV w:val="nil"/>
          <w:tl2br w:val="nil"/>
          <w:tr2bl w:val="nil"/>
        </w:tcBorders>
        <w:shd w:val="clear" w:color="auto" w:fill="D8DEDF"/>
      </w:tcPr>
    </w:tblStylePr>
  </w:style>
  <w:style w:type="table" w:customStyle="1" w:styleId="283">
    <w:name w:val="浅色底纹强调文字颜色 6"/>
    <w:basedOn w:val="83"/>
    <w:qFormat/>
    <w:uiPriority w:val="60"/>
    <w:rPr>
      <w:rFonts w:ascii="Cambria" w:hAnsi="Cambria" w:eastAsia="黑体"/>
      <w:color w:val="776E51"/>
    </w:rPr>
    <w:tblPr>
      <w:tblBorders>
        <w:top w:val="single" w:color="9D936F" w:sz="8" w:space="0"/>
        <w:bottom w:val="single" w:color="9D936F" w:sz="8" w:space="0"/>
      </w:tblBorders>
      <w:tblCellMar>
        <w:top w:w="0" w:type="dxa"/>
        <w:left w:w="108" w:type="dxa"/>
        <w:bottom w:w="0" w:type="dxa"/>
        <w:right w:w="108" w:type="dxa"/>
      </w:tblCellMar>
    </w:tblPr>
    <w:tblStylePr w:type="fir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la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tcBorders>
          <w:top w:val="nil"/>
          <w:left w:val="nil"/>
          <w:bottom w:val="nil"/>
          <w:right w:val="nil"/>
          <w:insideH w:val="nil"/>
          <w:insideV w:val="nil"/>
          <w:tl2br w:val="nil"/>
          <w:tr2bl w:val="nil"/>
        </w:tcBorders>
        <w:shd w:val="clear" w:color="auto" w:fill="E6E4DB"/>
      </w:tcPr>
    </w:tblStylePr>
  </w:style>
  <w:style w:type="table" w:customStyle="1" w:styleId="284">
    <w:name w:val="中等深浅网格 1 强调文字颜色 1"/>
    <w:basedOn w:val="83"/>
    <w:qFormat/>
    <w:uiPriority w:val="67"/>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insideV w:val="single" w:color="9EB0C1" w:sz="8" w:space="0"/>
      </w:tblBorders>
      <w:tblCellMar>
        <w:top w:w="0" w:type="dxa"/>
        <w:left w:w="108" w:type="dxa"/>
        <w:bottom w:w="0" w:type="dxa"/>
        <w:right w:w="108" w:type="dxa"/>
      </w:tblCellMar>
    </w:tblPr>
    <w:tcPr>
      <w:shd w:val="clear" w:color="auto" w:fill="DFE5EA"/>
    </w:tcPr>
    <w:tblStylePr w:type="firstRow">
      <w:rPr>
        <w:rFonts w:cs="Times New Roman"/>
        <w:b/>
        <w:bCs/>
      </w:rPr>
    </w:tblStylePr>
    <w:tblStylePr w:type="lastRow">
      <w:rPr>
        <w:rFonts w:cs="Times New Roman"/>
        <w:b/>
        <w:bCs/>
      </w:rPr>
      <w:tcPr>
        <w:tcBorders>
          <w:top w:val="single" w:color="9EB0C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285">
    <w:name w:val="中等深浅网格 1 强调文字颜色 2"/>
    <w:basedOn w:val="83"/>
    <w:qFormat/>
    <w:uiPriority w:val="67"/>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insideV w:val="single" w:color="D8AA87" w:sz="8" w:space="0"/>
      </w:tblBorders>
      <w:tblCellMar>
        <w:top w:w="0" w:type="dxa"/>
        <w:left w:w="108" w:type="dxa"/>
        <w:bottom w:w="0" w:type="dxa"/>
        <w:right w:w="108" w:type="dxa"/>
      </w:tblCellMar>
    </w:tblPr>
    <w:tcPr>
      <w:shd w:val="clear" w:color="auto" w:fill="F2E2D7"/>
    </w:tcPr>
    <w:tblStylePr w:type="firstRow">
      <w:rPr>
        <w:rFonts w:cs="Times New Roman"/>
        <w:b/>
        <w:bCs/>
      </w:rPr>
    </w:tblStylePr>
    <w:tblStylePr w:type="lastRow">
      <w:rPr>
        <w:rFonts w:cs="Times New Roman"/>
        <w:b/>
        <w:bCs/>
      </w:rPr>
      <w:tcPr>
        <w:tcBorders>
          <w:top w:val="single" w:color="D8AA87"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286">
    <w:name w:val="中等深浅网格 1 强调文字颜色 3"/>
    <w:basedOn w:val="83"/>
    <w:qFormat/>
    <w:uiPriority w:val="67"/>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insideV w:val="single" w:color="9E8E84" w:sz="8" w:space="0"/>
      </w:tblBorders>
      <w:tblCellMar>
        <w:top w:w="0" w:type="dxa"/>
        <w:left w:w="108" w:type="dxa"/>
        <w:bottom w:w="0" w:type="dxa"/>
        <w:right w:w="108" w:type="dxa"/>
      </w:tblCellMar>
    </w:tblPr>
    <w:tcPr>
      <w:shd w:val="clear" w:color="auto" w:fill="DFD9D6"/>
    </w:tcPr>
    <w:tblStylePr w:type="firstRow">
      <w:rPr>
        <w:rFonts w:cs="Times New Roman"/>
        <w:b/>
        <w:bCs/>
      </w:rPr>
    </w:tblStylePr>
    <w:tblStylePr w:type="lastRow">
      <w:rPr>
        <w:rFonts w:cs="Times New Roman"/>
        <w:b/>
        <w:bCs/>
      </w:rPr>
      <w:tcPr>
        <w:tcBorders>
          <w:top w:val="single" w:color="9E8E84"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287">
    <w:name w:val="中等深浅网格 1 强调文字颜色 4"/>
    <w:basedOn w:val="83"/>
    <w:qFormat/>
    <w:uiPriority w:val="67"/>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insideV w:val="single" w:color="C6AD91" w:sz="8" w:space="0"/>
      </w:tblBorders>
      <w:tblCellMar>
        <w:top w:w="0" w:type="dxa"/>
        <w:left w:w="108" w:type="dxa"/>
        <w:bottom w:w="0" w:type="dxa"/>
        <w:right w:w="108" w:type="dxa"/>
      </w:tblCellMar>
    </w:tblPr>
    <w:tcPr>
      <w:shd w:val="clear" w:color="auto" w:fill="ECE4DA"/>
    </w:tcPr>
    <w:tblStylePr w:type="firstRow">
      <w:rPr>
        <w:rFonts w:cs="Times New Roman"/>
        <w:b/>
        <w:bCs/>
      </w:rPr>
    </w:tblStylePr>
    <w:tblStylePr w:type="lastRow">
      <w:rPr>
        <w:rFonts w:cs="Times New Roman"/>
        <w:b/>
        <w:bCs/>
      </w:rPr>
      <w:tcPr>
        <w:tcBorders>
          <w:top w:val="single" w:color="C6AD9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288">
    <w:name w:val="中等深浅网格 1 强调文字颜色 5"/>
    <w:basedOn w:val="83"/>
    <w:qFormat/>
    <w:uiPriority w:val="67"/>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insideV w:val="single" w:color="8B9B9E" w:sz="8" w:space="0"/>
      </w:tblBorders>
      <w:tblCellMar>
        <w:top w:w="0" w:type="dxa"/>
        <w:left w:w="108" w:type="dxa"/>
        <w:bottom w:w="0" w:type="dxa"/>
        <w:right w:w="108" w:type="dxa"/>
      </w:tblCellMar>
    </w:tblPr>
    <w:tcPr>
      <w:shd w:val="clear" w:color="auto" w:fill="D8DEDF"/>
    </w:tcPr>
    <w:tblStylePr w:type="firstRow">
      <w:rPr>
        <w:rFonts w:cs="Times New Roman"/>
        <w:b/>
        <w:bCs/>
      </w:rPr>
    </w:tblStylePr>
    <w:tblStylePr w:type="lastRow">
      <w:rPr>
        <w:rFonts w:cs="Times New Roman"/>
        <w:b/>
        <w:bCs/>
      </w:rPr>
      <w:tcPr>
        <w:tcBorders>
          <w:top w:val="single" w:color="8B9B9E"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289">
    <w:name w:val="中等深浅网格 1 强调文字颜色 6"/>
    <w:basedOn w:val="83"/>
    <w:qFormat/>
    <w:uiPriority w:val="67"/>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insideV w:val="single" w:color="B5AE93" w:sz="8" w:space="0"/>
      </w:tblBorders>
      <w:tblCellMar>
        <w:top w:w="0" w:type="dxa"/>
        <w:left w:w="108" w:type="dxa"/>
        <w:bottom w:w="0" w:type="dxa"/>
        <w:right w:w="108" w:type="dxa"/>
      </w:tblCellMar>
    </w:tblPr>
    <w:tcPr>
      <w:shd w:val="clear" w:color="auto" w:fill="E6E4DB"/>
    </w:tcPr>
    <w:tblStylePr w:type="firstRow">
      <w:rPr>
        <w:rFonts w:cs="Times New Roman"/>
        <w:b/>
        <w:bCs/>
      </w:rPr>
    </w:tblStylePr>
    <w:tblStylePr w:type="lastRow">
      <w:rPr>
        <w:rFonts w:cs="Times New Roman"/>
        <w:b/>
        <w:bCs/>
      </w:rPr>
      <w:tcPr>
        <w:tcBorders>
          <w:top w:val="single" w:color="B5AE93"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290">
    <w:name w:val="中等深浅网格 2 强调文字颜色 1"/>
    <w:basedOn w:val="83"/>
    <w:qFormat/>
    <w:uiPriority w:val="68"/>
    <w:rPr>
      <w:rFonts w:ascii="Calibri" w:hAnsi="Calibri" w:cs="Arial"/>
      <w:color w:val="000000"/>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CellMar>
        <w:top w:w="0" w:type="dxa"/>
        <w:left w:w="108" w:type="dxa"/>
        <w:bottom w:w="0" w:type="dxa"/>
        <w:right w:w="108" w:type="dxa"/>
      </w:tblCellMar>
    </w:tblPr>
    <w:tcPr>
      <w:shd w:val="clear" w:color="auto" w:fill="DFE5EA"/>
    </w:tcPr>
    <w:tblStylePr w:type="firstRow">
      <w:rPr>
        <w:rFonts w:cs="Arial"/>
        <w:b/>
        <w:bCs/>
        <w:color w:val="000000"/>
      </w:rPr>
      <w:tcPr>
        <w:shd w:val="clear" w:color="auto" w:fill="F2F4F6"/>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E5EAEE"/>
      </w:tcPr>
    </w:tblStylePr>
    <w:tblStylePr w:type="band1Vert">
      <w:rPr>
        <w:rFonts w:cs="Arial"/>
      </w:rPr>
      <w:tcPr>
        <w:shd w:val="clear" w:color="auto" w:fill="BECBD6"/>
      </w:tcPr>
    </w:tblStylePr>
    <w:tblStylePr w:type="band1Horz">
      <w:rPr>
        <w:rFonts w:cs="Arial"/>
      </w:rPr>
      <w:tcPr>
        <w:shd w:val="clear" w:color="auto" w:fill="BECBD6"/>
      </w:tcPr>
    </w:tblStylePr>
    <w:tblStylePr w:type="nwCell">
      <w:rPr>
        <w:rFonts w:cs="Arial"/>
      </w:rPr>
      <w:tcPr>
        <w:shd w:val="clear" w:color="auto" w:fill="FFFFFF"/>
      </w:tcPr>
    </w:tblStylePr>
  </w:style>
  <w:style w:type="table" w:customStyle="1" w:styleId="291">
    <w:name w:val="中等深浅网格 2 强调文字颜色 2"/>
    <w:basedOn w:val="83"/>
    <w:qFormat/>
    <w:uiPriority w:val="68"/>
    <w:rPr>
      <w:rFonts w:ascii="Calibri" w:hAnsi="Calibri" w:cs="Arial"/>
      <w:color w:val="000000"/>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CellMar>
        <w:top w:w="0" w:type="dxa"/>
        <w:left w:w="108" w:type="dxa"/>
        <w:bottom w:w="0" w:type="dxa"/>
        <w:right w:w="108" w:type="dxa"/>
      </w:tblCellMar>
    </w:tblPr>
    <w:tcPr>
      <w:shd w:val="clear" w:color="auto" w:fill="F2E2D7"/>
    </w:tcPr>
    <w:tblStylePr w:type="firstRow">
      <w:rPr>
        <w:rFonts w:cs="Arial"/>
        <w:b/>
        <w:bCs/>
        <w:color w:val="000000"/>
      </w:rPr>
      <w:tcPr>
        <w:shd w:val="clear" w:color="auto" w:fill="FAF3EF"/>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F4E8DF"/>
      </w:tcPr>
    </w:tblStylePr>
    <w:tblStylePr w:type="band1Vert">
      <w:rPr>
        <w:rFonts w:cs="Arial"/>
      </w:rPr>
      <w:tcPr>
        <w:shd w:val="clear" w:color="auto" w:fill="E5C6AF"/>
      </w:tcPr>
    </w:tblStylePr>
    <w:tblStylePr w:type="band1Horz">
      <w:rPr>
        <w:rFonts w:cs="Arial"/>
      </w:rPr>
      <w:tcPr>
        <w:shd w:val="clear" w:color="auto" w:fill="E5C6AF"/>
      </w:tcPr>
    </w:tblStylePr>
    <w:tblStylePr w:type="nwCell">
      <w:rPr>
        <w:rFonts w:cs="Arial"/>
      </w:rPr>
      <w:tcPr>
        <w:shd w:val="clear" w:color="auto" w:fill="FFFFFF"/>
      </w:tcPr>
    </w:tblStylePr>
  </w:style>
  <w:style w:type="table" w:customStyle="1" w:styleId="292">
    <w:name w:val="中等深浅网格 2 强调文字颜色 3"/>
    <w:basedOn w:val="83"/>
    <w:qFormat/>
    <w:uiPriority w:val="68"/>
    <w:rPr>
      <w:rFonts w:ascii="Calibri" w:hAnsi="Calibri" w:cs="Arial"/>
      <w:color w:val="000000"/>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CellMar>
        <w:top w:w="0" w:type="dxa"/>
        <w:left w:w="108" w:type="dxa"/>
        <w:bottom w:w="0" w:type="dxa"/>
        <w:right w:w="108" w:type="dxa"/>
      </w:tblCellMar>
    </w:tblPr>
    <w:tcPr>
      <w:shd w:val="clear" w:color="auto" w:fill="DFD9D6"/>
    </w:tcPr>
    <w:tblStylePr w:type="firstRow">
      <w:rPr>
        <w:rFonts w:cs="Arial"/>
        <w:b/>
        <w:bCs/>
        <w:color w:val="000000"/>
      </w:rPr>
      <w:tcPr>
        <w:shd w:val="clear" w:color="auto" w:fill="F2F0EE"/>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E5E0DE"/>
      </w:tcPr>
    </w:tblStylePr>
    <w:tblStylePr w:type="band1Vert">
      <w:rPr>
        <w:rFonts w:cs="Arial"/>
      </w:rPr>
      <w:tcPr>
        <w:shd w:val="clear" w:color="auto" w:fill="BEB4AD"/>
      </w:tcPr>
    </w:tblStylePr>
    <w:tblStylePr w:type="band1Horz">
      <w:rPr>
        <w:rFonts w:cs="Arial"/>
      </w:rPr>
      <w:tcPr>
        <w:shd w:val="clear" w:color="auto" w:fill="BEB4AD"/>
      </w:tcPr>
    </w:tblStylePr>
    <w:tblStylePr w:type="nwCell">
      <w:rPr>
        <w:rFonts w:cs="Arial"/>
      </w:rPr>
      <w:tcPr>
        <w:shd w:val="clear" w:color="auto" w:fill="FFFFFF"/>
      </w:tcPr>
    </w:tblStylePr>
  </w:style>
  <w:style w:type="table" w:customStyle="1" w:styleId="293">
    <w:name w:val="中等深浅网格 2 强调文字颜色 4"/>
    <w:basedOn w:val="83"/>
    <w:qFormat/>
    <w:uiPriority w:val="68"/>
    <w:rPr>
      <w:rFonts w:ascii="Calibri" w:hAnsi="Calibri" w:cs="Arial"/>
      <w:color w:val="000000"/>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CellMar>
        <w:top w:w="0" w:type="dxa"/>
        <w:left w:w="108" w:type="dxa"/>
        <w:bottom w:w="0" w:type="dxa"/>
        <w:right w:w="108" w:type="dxa"/>
      </w:tblCellMar>
    </w:tblPr>
    <w:tcPr>
      <w:shd w:val="clear" w:color="auto" w:fill="ECE4DA"/>
    </w:tcPr>
    <w:tblStylePr w:type="firstRow">
      <w:rPr>
        <w:rFonts w:cs="Arial"/>
        <w:b/>
        <w:bCs/>
        <w:color w:val="000000"/>
      </w:rPr>
      <w:tcPr>
        <w:shd w:val="clear" w:color="auto" w:fill="F7F4F0"/>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F0E9E1"/>
      </w:tcPr>
    </w:tblStylePr>
    <w:tblStylePr w:type="band1Vert">
      <w:rPr>
        <w:rFonts w:cs="Arial"/>
      </w:rPr>
      <w:tcPr>
        <w:shd w:val="clear" w:color="auto" w:fill="D9C9B6"/>
      </w:tcPr>
    </w:tblStylePr>
    <w:tblStylePr w:type="band1Horz">
      <w:rPr>
        <w:rFonts w:cs="Arial"/>
      </w:rPr>
      <w:tcPr>
        <w:shd w:val="clear" w:color="auto" w:fill="D9C9B6"/>
      </w:tcPr>
    </w:tblStylePr>
    <w:tblStylePr w:type="nwCell">
      <w:rPr>
        <w:rFonts w:cs="Arial"/>
      </w:rPr>
      <w:tcPr>
        <w:shd w:val="clear" w:color="auto" w:fill="FFFFFF"/>
      </w:tcPr>
    </w:tblStylePr>
  </w:style>
  <w:style w:type="table" w:customStyle="1" w:styleId="294">
    <w:name w:val="中等深浅网格 2 强调文字颜色 5"/>
    <w:basedOn w:val="83"/>
    <w:qFormat/>
    <w:uiPriority w:val="68"/>
    <w:rPr>
      <w:rFonts w:ascii="Calibri" w:hAnsi="Calibri" w:cs="Arial"/>
      <w:color w:val="000000"/>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CellMar>
        <w:top w:w="0" w:type="dxa"/>
        <w:left w:w="108" w:type="dxa"/>
        <w:bottom w:w="0" w:type="dxa"/>
        <w:right w:w="108" w:type="dxa"/>
      </w:tblCellMar>
    </w:tblPr>
    <w:tcPr>
      <w:shd w:val="clear" w:color="auto" w:fill="D8DEDF"/>
    </w:tcPr>
    <w:tblStylePr w:type="firstRow">
      <w:rPr>
        <w:rFonts w:cs="Arial"/>
        <w:b/>
        <w:bCs/>
        <w:color w:val="000000"/>
      </w:rPr>
      <w:tcPr>
        <w:shd w:val="clear" w:color="auto" w:fill="EFF1F2"/>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DFE4E5"/>
      </w:tcPr>
    </w:tblStylePr>
    <w:tblStylePr w:type="band1Vert">
      <w:rPr>
        <w:rFonts w:cs="Arial"/>
      </w:rPr>
      <w:tcPr>
        <w:shd w:val="clear" w:color="auto" w:fill="B1BCBE"/>
      </w:tcPr>
    </w:tblStylePr>
    <w:tblStylePr w:type="band1Horz">
      <w:rPr>
        <w:rFonts w:cs="Arial"/>
      </w:rPr>
      <w:tcPr>
        <w:shd w:val="clear" w:color="auto" w:fill="B1BCBE"/>
      </w:tcPr>
    </w:tblStylePr>
    <w:tblStylePr w:type="nwCell">
      <w:rPr>
        <w:rFonts w:cs="Arial"/>
      </w:rPr>
      <w:tcPr>
        <w:shd w:val="clear" w:color="auto" w:fill="FFFFFF"/>
      </w:tcPr>
    </w:tblStylePr>
  </w:style>
  <w:style w:type="table" w:customStyle="1" w:styleId="295">
    <w:name w:val="中等深浅网格 2 强调文字颜色 6"/>
    <w:basedOn w:val="83"/>
    <w:qFormat/>
    <w:uiPriority w:val="68"/>
    <w:rPr>
      <w:rFonts w:ascii="Calibri" w:hAnsi="Calibri" w:cs="Arial"/>
      <w:color w:val="000000"/>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CellMar>
        <w:top w:w="0" w:type="dxa"/>
        <w:left w:w="108" w:type="dxa"/>
        <w:bottom w:w="0" w:type="dxa"/>
        <w:right w:w="108" w:type="dxa"/>
      </w:tblCellMar>
    </w:tblPr>
    <w:tcPr>
      <w:shd w:val="clear" w:color="auto" w:fill="E6E4DB"/>
    </w:tcPr>
    <w:tblStylePr w:type="firstRow">
      <w:rPr>
        <w:rFonts w:cs="Arial"/>
        <w:b/>
        <w:bCs/>
        <w:color w:val="000000"/>
      </w:rPr>
      <w:tcPr>
        <w:shd w:val="clear" w:color="auto" w:fill="F5F4F0"/>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EBE9E2"/>
      </w:tcPr>
    </w:tblStylePr>
    <w:tblStylePr w:type="band1Vert">
      <w:rPr>
        <w:rFonts w:cs="Arial"/>
      </w:rPr>
      <w:tcPr>
        <w:shd w:val="clear" w:color="auto" w:fill="CEC9B7"/>
      </w:tcPr>
    </w:tblStylePr>
    <w:tblStylePr w:type="band1Horz">
      <w:rPr>
        <w:rFonts w:cs="Arial"/>
      </w:rPr>
      <w:tcPr>
        <w:shd w:val="clear" w:color="auto" w:fill="CEC9B7"/>
      </w:tcPr>
    </w:tblStylePr>
    <w:tblStylePr w:type="nwCell">
      <w:rPr>
        <w:rFonts w:cs="Arial"/>
      </w:rPr>
      <w:tcPr>
        <w:shd w:val="clear" w:color="auto" w:fill="FFFFFF"/>
      </w:tcPr>
    </w:tblStylePr>
  </w:style>
  <w:style w:type="table" w:customStyle="1" w:styleId="296">
    <w:name w:val="中等深浅网格 3 强调文字颜色 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E5E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E97A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E97A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E97A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E97A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style>
  <w:style w:type="table" w:customStyle="1" w:styleId="297">
    <w:name w:val="中等深浅网格 3 强调文字颜色 2"/>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2E2D7"/>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CC8E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CC8E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CC8E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CC8E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style>
  <w:style w:type="table" w:customStyle="1" w:styleId="298">
    <w:name w:val="中等深浅网格 3 强调文字颜色 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9D6"/>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A6A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A6A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A6A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A6A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style>
  <w:style w:type="table" w:customStyle="1" w:styleId="299">
    <w:name w:val="中等深浅网格 3 强调文字颜色 4"/>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CE4D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B4936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B4936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B4936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B4936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style>
  <w:style w:type="table" w:customStyle="1" w:styleId="300">
    <w:name w:val="中等深浅网格 3 强调文字颜色 5"/>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8DEDF"/>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67787B"/>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67787B"/>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67787B"/>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67787B"/>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style>
  <w:style w:type="table" w:customStyle="1" w:styleId="301">
    <w:name w:val="中等深浅网格 3 强调文字颜色 6"/>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4DB"/>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9D936F"/>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9D936F"/>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9D936F"/>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9D936F"/>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style>
  <w:style w:type="table" w:customStyle="1" w:styleId="302">
    <w:name w:val="中等深浅列表 1 强调文字颜色 1"/>
    <w:basedOn w:val="83"/>
    <w:qFormat/>
    <w:uiPriority w:val="65"/>
    <w:rPr>
      <w:rFonts w:ascii="Cambria" w:hAnsi="Cambria" w:eastAsia="黑体"/>
      <w:color w:val="000000"/>
    </w:rPr>
    <w:tblPr>
      <w:tblBorders>
        <w:top w:val="single" w:color="7E97AD" w:sz="8" w:space="0"/>
        <w:bottom w:val="single" w:color="7E97AD" w:sz="8" w:space="0"/>
      </w:tblBorders>
      <w:tblCellMar>
        <w:top w:w="0" w:type="dxa"/>
        <w:left w:w="108" w:type="dxa"/>
        <w:bottom w:w="0" w:type="dxa"/>
        <w:right w:w="108" w:type="dxa"/>
      </w:tblCellMar>
    </w:tblPr>
    <w:tblStylePr w:type="firstRow">
      <w:rPr>
        <w:rFonts w:ascii="Calibri" w:hAnsi="Calibri" w:eastAsia="宋体" w:cs="Arial"/>
      </w:rPr>
      <w:tcPr>
        <w:tcBorders>
          <w:top w:val="nil"/>
          <w:left w:val="nil"/>
          <w:bottom w:val="single" w:color="7E97AD" w:sz="8" w:space="0"/>
          <w:right w:val="nil"/>
          <w:insideH w:val="nil"/>
          <w:insideV w:val="nil"/>
          <w:tl2br w:val="nil"/>
          <w:tr2bl w:val="nil"/>
        </w:tcBorders>
      </w:tcPr>
    </w:tblStylePr>
    <w:tblStylePr w:type="lastRow">
      <w:rPr>
        <w:rFonts w:cs="Times New Roman"/>
        <w:b/>
        <w:bCs/>
        <w:color w:val="1F2123"/>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band1Vert">
      <w:rPr>
        <w:rFonts w:cs="Times New Roman"/>
      </w:rPr>
      <w:tcPr>
        <w:shd w:val="clear" w:color="auto" w:fill="DFE5EA"/>
      </w:tcPr>
    </w:tblStylePr>
    <w:tblStylePr w:type="band1Horz">
      <w:rPr>
        <w:rFonts w:cs="Times New Roman"/>
      </w:rPr>
      <w:tcPr>
        <w:shd w:val="clear" w:color="auto" w:fill="DFE5EA"/>
      </w:tcPr>
    </w:tblStylePr>
  </w:style>
  <w:style w:type="table" w:customStyle="1" w:styleId="303">
    <w:name w:val="中等深浅列表 1 强调文字颜色 2"/>
    <w:basedOn w:val="83"/>
    <w:qFormat/>
    <w:uiPriority w:val="65"/>
    <w:rPr>
      <w:rFonts w:ascii="Cambria" w:hAnsi="Cambria" w:eastAsia="黑体"/>
      <w:color w:val="000000"/>
    </w:rPr>
    <w:tblPr>
      <w:tblBorders>
        <w:top w:val="single" w:color="CC8E60" w:sz="8" w:space="0"/>
        <w:bottom w:val="single" w:color="CC8E60" w:sz="8" w:space="0"/>
      </w:tblBorders>
      <w:tblCellMar>
        <w:top w:w="0" w:type="dxa"/>
        <w:left w:w="108" w:type="dxa"/>
        <w:bottom w:w="0" w:type="dxa"/>
        <w:right w:w="108" w:type="dxa"/>
      </w:tblCellMar>
    </w:tblPr>
    <w:tblStylePr w:type="firstRow">
      <w:rPr>
        <w:rFonts w:ascii="Calibri" w:hAnsi="Calibri" w:eastAsia="宋体" w:cs="Arial"/>
      </w:rPr>
      <w:tcPr>
        <w:tcBorders>
          <w:top w:val="nil"/>
          <w:left w:val="nil"/>
          <w:bottom w:val="single" w:color="CC8E60" w:sz="8" w:space="0"/>
          <w:right w:val="nil"/>
          <w:insideH w:val="nil"/>
          <w:insideV w:val="nil"/>
          <w:tl2br w:val="nil"/>
          <w:tr2bl w:val="nil"/>
        </w:tcBorders>
      </w:tcPr>
    </w:tblStylePr>
    <w:tblStylePr w:type="lastRow">
      <w:rPr>
        <w:rFonts w:cs="Times New Roman"/>
        <w:b/>
        <w:bCs/>
        <w:color w:val="1F2123"/>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band1Vert">
      <w:rPr>
        <w:rFonts w:cs="Times New Roman"/>
      </w:rPr>
      <w:tcPr>
        <w:shd w:val="clear" w:color="auto" w:fill="F2E2D7"/>
      </w:tcPr>
    </w:tblStylePr>
    <w:tblStylePr w:type="band1Horz">
      <w:rPr>
        <w:rFonts w:cs="Times New Roman"/>
      </w:rPr>
      <w:tcPr>
        <w:shd w:val="clear" w:color="auto" w:fill="F2E2D7"/>
      </w:tcPr>
    </w:tblStylePr>
  </w:style>
  <w:style w:type="table" w:customStyle="1" w:styleId="304">
    <w:name w:val="中等深浅列表 1 强调文字颜色 3"/>
    <w:basedOn w:val="83"/>
    <w:qFormat/>
    <w:uiPriority w:val="65"/>
    <w:rPr>
      <w:rFonts w:ascii="Cambria" w:hAnsi="Cambria" w:eastAsia="黑体"/>
      <w:color w:val="000000"/>
    </w:rPr>
    <w:tblPr>
      <w:tblBorders>
        <w:top w:val="single" w:color="7A6A60" w:sz="8" w:space="0"/>
        <w:bottom w:val="single" w:color="7A6A60" w:sz="8" w:space="0"/>
      </w:tblBorders>
      <w:tblCellMar>
        <w:top w:w="0" w:type="dxa"/>
        <w:left w:w="108" w:type="dxa"/>
        <w:bottom w:w="0" w:type="dxa"/>
        <w:right w:w="108" w:type="dxa"/>
      </w:tblCellMar>
    </w:tblPr>
    <w:tblStylePr w:type="firstRow">
      <w:rPr>
        <w:rFonts w:ascii="Calibri" w:hAnsi="Calibri" w:eastAsia="宋体" w:cs="Arial"/>
      </w:rPr>
      <w:tcPr>
        <w:tcBorders>
          <w:top w:val="nil"/>
          <w:left w:val="nil"/>
          <w:bottom w:val="single" w:color="7A6A60" w:sz="8" w:space="0"/>
          <w:right w:val="nil"/>
          <w:insideH w:val="nil"/>
          <w:insideV w:val="nil"/>
          <w:tl2br w:val="nil"/>
          <w:tr2bl w:val="nil"/>
        </w:tcBorders>
      </w:tcPr>
    </w:tblStylePr>
    <w:tblStylePr w:type="lastRow">
      <w:rPr>
        <w:rFonts w:cs="Times New Roman"/>
        <w:b/>
        <w:bCs/>
        <w:color w:val="1F2123"/>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band1Vert">
      <w:rPr>
        <w:rFonts w:cs="Times New Roman"/>
      </w:rPr>
      <w:tcPr>
        <w:shd w:val="clear" w:color="auto" w:fill="DFD9D6"/>
      </w:tcPr>
    </w:tblStylePr>
    <w:tblStylePr w:type="band1Horz">
      <w:rPr>
        <w:rFonts w:cs="Times New Roman"/>
      </w:rPr>
      <w:tcPr>
        <w:shd w:val="clear" w:color="auto" w:fill="DFD9D6"/>
      </w:tcPr>
    </w:tblStylePr>
  </w:style>
  <w:style w:type="table" w:customStyle="1" w:styleId="305">
    <w:name w:val="中等深浅列表 1 强调文字颜色 4"/>
    <w:basedOn w:val="83"/>
    <w:qFormat/>
    <w:uiPriority w:val="65"/>
    <w:rPr>
      <w:rFonts w:ascii="Cambria" w:hAnsi="Cambria" w:eastAsia="黑体"/>
      <w:color w:val="000000"/>
    </w:rPr>
    <w:tblPr>
      <w:tblBorders>
        <w:top w:val="single" w:color="B4936D" w:sz="8" w:space="0"/>
        <w:bottom w:val="single" w:color="B4936D" w:sz="8" w:space="0"/>
      </w:tblBorders>
      <w:tblCellMar>
        <w:top w:w="0" w:type="dxa"/>
        <w:left w:w="108" w:type="dxa"/>
        <w:bottom w:w="0" w:type="dxa"/>
        <w:right w:w="108" w:type="dxa"/>
      </w:tblCellMar>
    </w:tblPr>
    <w:tblStylePr w:type="firstRow">
      <w:rPr>
        <w:rFonts w:ascii="Calibri" w:hAnsi="Calibri" w:eastAsia="宋体" w:cs="Arial"/>
      </w:rPr>
      <w:tcPr>
        <w:tcBorders>
          <w:top w:val="nil"/>
          <w:left w:val="nil"/>
          <w:bottom w:val="single" w:color="B4936D" w:sz="8" w:space="0"/>
          <w:right w:val="nil"/>
          <w:insideH w:val="nil"/>
          <w:insideV w:val="nil"/>
          <w:tl2br w:val="nil"/>
          <w:tr2bl w:val="nil"/>
        </w:tcBorders>
      </w:tcPr>
    </w:tblStylePr>
    <w:tblStylePr w:type="lastRow">
      <w:rPr>
        <w:rFonts w:cs="Times New Roman"/>
        <w:b/>
        <w:bCs/>
        <w:color w:val="1F2123"/>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band1Vert">
      <w:rPr>
        <w:rFonts w:cs="Times New Roman"/>
      </w:rPr>
      <w:tcPr>
        <w:shd w:val="clear" w:color="auto" w:fill="ECE4DA"/>
      </w:tcPr>
    </w:tblStylePr>
    <w:tblStylePr w:type="band1Horz">
      <w:rPr>
        <w:rFonts w:cs="Times New Roman"/>
      </w:rPr>
      <w:tcPr>
        <w:shd w:val="clear" w:color="auto" w:fill="ECE4DA"/>
      </w:tcPr>
    </w:tblStylePr>
  </w:style>
  <w:style w:type="table" w:customStyle="1" w:styleId="306">
    <w:name w:val="中等深浅列表 1 强调文字颜色 5"/>
    <w:basedOn w:val="83"/>
    <w:qFormat/>
    <w:uiPriority w:val="65"/>
    <w:rPr>
      <w:rFonts w:ascii="Cambria" w:hAnsi="Cambria" w:eastAsia="黑体"/>
      <w:color w:val="000000"/>
    </w:rPr>
    <w:tblPr>
      <w:tblBorders>
        <w:top w:val="single" w:color="67787B" w:sz="8" w:space="0"/>
        <w:bottom w:val="single" w:color="67787B" w:sz="8" w:space="0"/>
      </w:tblBorders>
      <w:tblCellMar>
        <w:top w:w="0" w:type="dxa"/>
        <w:left w:w="108" w:type="dxa"/>
        <w:bottom w:w="0" w:type="dxa"/>
        <w:right w:w="108" w:type="dxa"/>
      </w:tblCellMar>
    </w:tblPr>
    <w:tblStylePr w:type="firstRow">
      <w:rPr>
        <w:rFonts w:ascii="Calibri" w:hAnsi="Calibri" w:eastAsia="宋体" w:cs="Arial"/>
      </w:rPr>
      <w:tcPr>
        <w:tcBorders>
          <w:top w:val="nil"/>
          <w:left w:val="nil"/>
          <w:bottom w:val="single" w:color="67787B" w:sz="8" w:space="0"/>
          <w:right w:val="nil"/>
          <w:insideH w:val="nil"/>
          <w:insideV w:val="nil"/>
          <w:tl2br w:val="nil"/>
          <w:tr2bl w:val="nil"/>
        </w:tcBorders>
      </w:tcPr>
    </w:tblStylePr>
    <w:tblStylePr w:type="lastRow">
      <w:rPr>
        <w:rFonts w:cs="Times New Roman"/>
        <w:b/>
        <w:bCs/>
        <w:color w:val="1F2123"/>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band1Vert">
      <w:rPr>
        <w:rFonts w:cs="Times New Roman"/>
      </w:rPr>
      <w:tcPr>
        <w:shd w:val="clear" w:color="auto" w:fill="D8DEDF"/>
      </w:tcPr>
    </w:tblStylePr>
    <w:tblStylePr w:type="band1Horz">
      <w:rPr>
        <w:rFonts w:cs="Times New Roman"/>
      </w:rPr>
      <w:tcPr>
        <w:shd w:val="clear" w:color="auto" w:fill="D8DEDF"/>
      </w:tcPr>
    </w:tblStylePr>
  </w:style>
  <w:style w:type="table" w:customStyle="1" w:styleId="307">
    <w:name w:val="中等深浅列表 1 强调文字颜色 6"/>
    <w:basedOn w:val="83"/>
    <w:qFormat/>
    <w:uiPriority w:val="65"/>
    <w:rPr>
      <w:rFonts w:ascii="Cambria" w:hAnsi="Cambria" w:eastAsia="黑体"/>
      <w:color w:val="000000"/>
    </w:rPr>
    <w:tblPr>
      <w:tblBorders>
        <w:top w:val="single" w:color="9D936F" w:sz="8" w:space="0"/>
        <w:bottom w:val="single" w:color="9D936F" w:sz="8" w:space="0"/>
      </w:tblBorders>
      <w:tblCellMar>
        <w:top w:w="0" w:type="dxa"/>
        <w:left w:w="108" w:type="dxa"/>
        <w:bottom w:w="0" w:type="dxa"/>
        <w:right w:w="108" w:type="dxa"/>
      </w:tblCellMar>
    </w:tblPr>
    <w:tblStylePr w:type="firstRow">
      <w:rPr>
        <w:rFonts w:ascii="Calibri" w:hAnsi="Calibri" w:eastAsia="宋体" w:cs="Arial"/>
      </w:rPr>
      <w:tcPr>
        <w:tcBorders>
          <w:top w:val="nil"/>
          <w:left w:val="nil"/>
          <w:bottom w:val="single" w:color="9D936F" w:sz="8" w:space="0"/>
          <w:right w:val="nil"/>
          <w:insideH w:val="nil"/>
          <w:insideV w:val="nil"/>
          <w:tl2br w:val="nil"/>
          <w:tr2bl w:val="nil"/>
        </w:tcBorders>
      </w:tcPr>
    </w:tblStylePr>
    <w:tblStylePr w:type="lastRow">
      <w:rPr>
        <w:rFonts w:cs="Times New Roman"/>
        <w:b/>
        <w:bCs/>
        <w:color w:val="1F2123"/>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band1Vert">
      <w:rPr>
        <w:rFonts w:cs="Times New Roman"/>
      </w:rPr>
      <w:tcPr>
        <w:shd w:val="clear" w:color="auto" w:fill="E6E4DB"/>
      </w:tcPr>
    </w:tblStylePr>
    <w:tblStylePr w:type="band1Horz">
      <w:rPr>
        <w:rFonts w:cs="Times New Roman"/>
      </w:rPr>
      <w:tcPr>
        <w:shd w:val="clear" w:color="auto" w:fill="E6E4DB"/>
      </w:tcPr>
    </w:tblStylePr>
  </w:style>
  <w:style w:type="table" w:customStyle="1" w:styleId="308">
    <w:name w:val="中等深浅列表 2 强调文字颜色 1"/>
    <w:basedOn w:val="83"/>
    <w:qFormat/>
    <w:uiPriority w:val="66"/>
    <w:rPr>
      <w:rFonts w:ascii="Calibri" w:hAnsi="Calibri" w:cs="Arial"/>
      <w:color w:val="000000"/>
    </w:rPr>
    <w:tblPr>
      <w:tblBorders>
        <w:top w:val="single" w:color="7E97AD" w:sz="8" w:space="0"/>
        <w:left w:val="single" w:color="7E97AD" w:sz="8" w:space="0"/>
        <w:bottom w:val="single" w:color="7E97AD" w:sz="8" w:space="0"/>
        <w:right w:val="single" w:color="7E97AD" w:sz="8" w:space="0"/>
      </w:tblBorders>
      <w:tblCellMar>
        <w:top w:w="0" w:type="dxa"/>
        <w:left w:w="108" w:type="dxa"/>
        <w:bottom w:w="0" w:type="dxa"/>
        <w:right w:w="108" w:type="dxa"/>
      </w:tblCellMar>
    </w:tblPr>
    <w:tblStylePr w:type="firstRow">
      <w:rPr>
        <w:rFonts w:cs="Arial"/>
        <w:sz w:val="24"/>
        <w:szCs w:val="24"/>
      </w:rPr>
      <w:tcPr>
        <w:tcBorders>
          <w:top w:val="nil"/>
          <w:left w:val="nil"/>
          <w:bottom w:val="single" w:color="7E97AD" w:sz="24" w:space="0"/>
          <w:right w:val="nil"/>
          <w:insideH w:val="nil"/>
          <w:insideV w:val="nil"/>
          <w:tl2br w:val="nil"/>
          <w:tr2bl w:val="nil"/>
        </w:tcBorders>
        <w:shd w:val="clear" w:color="auto" w:fill="FFFFFF"/>
      </w:tcPr>
    </w:tblStylePr>
    <w:tblStylePr w:type="lastRow">
      <w:rPr>
        <w:rFonts w:cs="Arial"/>
      </w:rPr>
      <w:tcPr>
        <w:tcBorders>
          <w:top w:val="single" w:color="7E97AD"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7E97AD" w:sz="8" w:space="0"/>
          <w:insideH w:val="nil"/>
          <w:insideV w:val="nil"/>
          <w:tl2br w:val="nil"/>
          <w:tr2bl w:val="nil"/>
        </w:tcBorders>
        <w:shd w:val="clear" w:color="auto" w:fill="FFFFFF"/>
      </w:tcPr>
    </w:tblStylePr>
    <w:tblStylePr w:type="lastCol">
      <w:rPr>
        <w:rFonts w:cs="Arial"/>
      </w:rPr>
      <w:tcPr>
        <w:tcBorders>
          <w:top w:val="nil"/>
          <w:left w:val="single" w:color="7E97AD"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DFE5EA"/>
      </w:tcPr>
    </w:tblStylePr>
    <w:tblStylePr w:type="band1Horz">
      <w:rPr>
        <w:rFonts w:cs="Arial"/>
      </w:rPr>
      <w:tcPr>
        <w:tcBorders>
          <w:top w:val="nil"/>
          <w:left w:val="nil"/>
          <w:bottom w:val="nil"/>
          <w:right w:val="nil"/>
          <w:insideH w:val="nil"/>
          <w:insideV w:val="nil"/>
          <w:tl2br w:val="nil"/>
          <w:tr2bl w:val="nil"/>
        </w:tcBorders>
        <w:shd w:val="clear" w:color="auto" w:fill="DFE5EA"/>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09">
    <w:name w:val="中等深浅列表 2 强调文字颜色 2"/>
    <w:basedOn w:val="83"/>
    <w:qFormat/>
    <w:uiPriority w:val="66"/>
    <w:rPr>
      <w:rFonts w:ascii="Calibri" w:hAnsi="Calibri" w:cs="Arial"/>
      <w:color w:val="000000"/>
    </w:rPr>
    <w:tblPr>
      <w:tblBorders>
        <w:top w:val="single" w:color="CC8E60" w:sz="8" w:space="0"/>
        <w:left w:val="single" w:color="CC8E60" w:sz="8" w:space="0"/>
        <w:bottom w:val="single" w:color="CC8E60" w:sz="8" w:space="0"/>
        <w:right w:val="single" w:color="CC8E60" w:sz="8" w:space="0"/>
      </w:tblBorders>
      <w:tblCellMar>
        <w:top w:w="0" w:type="dxa"/>
        <w:left w:w="108" w:type="dxa"/>
        <w:bottom w:w="0" w:type="dxa"/>
        <w:right w:w="108" w:type="dxa"/>
      </w:tblCellMar>
    </w:tblPr>
    <w:tblStylePr w:type="firstRow">
      <w:rPr>
        <w:rFonts w:cs="Arial"/>
        <w:sz w:val="24"/>
        <w:szCs w:val="24"/>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Arial"/>
      </w:rPr>
      <w:tcPr>
        <w:tcBorders>
          <w:top w:val="single" w:color="CC8E60"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CC8E60" w:sz="8" w:space="0"/>
          <w:insideH w:val="nil"/>
          <w:insideV w:val="nil"/>
          <w:tl2br w:val="nil"/>
          <w:tr2bl w:val="nil"/>
        </w:tcBorders>
        <w:shd w:val="clear" w:color="auto" w:fill="FFFFFF"/>
      </w:tcPr>
    </w:tblStylePr>
    <w:tblStylePr w:type="lastCol">
      <w:rPr>
        <w:rFonts w:cs="Arial"/>
      </w:rPr>
      <w:tcPr>
        <w:tcBorders>
          <w:top w:val="nil"/>
          <w:left w:val="single" w:color="CC8E60"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F2E2D7"/>
      </w:tcPr>
    </w:tblStylePr>
    <w:tblStylePr w:type="band1Horz">
      <w:rPr>
        <w:rFonts w:cs="Arial"/>
      </w:rPr>
      <w:tcPr>
        <w:tcBorders>
          <w:top w:val="nil"/>
          <w:left w:val="nil"/>
          <w:bottom w:val="nil"/>
          <w:right w:val="nil"/>
          <w:insideH w:val="nil"/>
          <w:insideV w:val="nil"/>
          <w:tl2br w:val="nil"/>
          <w:tr2bl w:val="nil"/>
        </w:tcBorders>
        <w:shd w:val="clear" w:color="auto" w:fill="F2E2D7"/>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10">
    <w:name w:val="中等深浅列表 2 强调文字颜色 3"/>
    <w:basedOn w:val="83"/>
    <w:qFormat/>
    <w:uiPriority w:val="66"/>
    <w:rPr>
      <w:rFonts w:ascii="Calibri" w:hAnsi="Calibri" w:cs="Arial"/>
      <w:color w:val="000000"/>
    </w:rPr>
    <w:tblPr>
      <w:tblBorders>
        <w:top w:val="single" w:color="7A6A60" w:sz="8" w:space="0"/>
        <w:left w:val="single" w:color="7A6A60" w:sz="8" w:space="0"/>
        <w:bottom w:val="single" w:color="7A6A60" w:sz="8" w:space="0"/>
        <w:right w:val="single" w:color="7A6A60" w:sz="8" w:space="0"/>
      </w:tblBorders>
      <w:tblCellMar>
        <w:top w:w="0" w:type="dxa"/>
        <w:left w:w="108" w:type="dxa"/>
        <w:bottom w:w="0" w:type="dxa"/>
        <w:right w:w="108" w:type="dxa"/>
      </w:tblCellMar>
    </w:tblPr>
    <w:tblStylePr w:type="firstRow">
      <w:rPr>
        <w:rFonts w:cs="Arial"/>
        <w:sz w:val="24"/>
        <w:szCs w:val="24"/>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Arial"/>
      </w:rPr>
      <w:tcPr>
        <w:tcBorders>
          <w:top w:val="single" w:color="7A6A60"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7A6A60" w:sz="8" w:space="0"/>
          <w:insideH w:val="nil"/>
          <w:insideV w:val="nil"/>
          <w:tl2br w:val="nil"/>
          <w:tr2bl w:val="nil"/>
        </w:tcBorders>
        <w:shd w:val="clear" w:color="auto" w:fill="FFFFFF"/>
      </w:tcPr>
    </w:tblStylePr>
    <w:tblStylePr w:type="lastCol">
      <w:rPr>
        <w:rFonts w:cs="Arial"/>
      </w:rPr>
      <w:tcPr>
        <w:tcBorders>
          <w:top w:val="nil"/>
          <w:left w:val="single" w:color="7A6A60"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DFD9D6"/>
      </w:tcPr>
    </w:tblStylePr>
    <w:tblStylePr w:type="band1Horz">
      <w:rPr>
        <w:rFonts w:cs="Arial"/>
      </w:rPr>
      <w:tcPr>
        <w:tcBorders>
          <w:top w:val="nil"/>
          <w:left w:val="nil"/>
          <w:bottom w:val="nil"/>
          <w:right w:val="nil"/>
          <w:insideH w:val="nil"/>
          <w:insideV w:val="nil"/>
          <w:tl2br w:val="nil"/>
          <w:tr2bl w:val="nil"/>
        </w:tcBorders>
        <w:shd w:val="clear" w:color="auto" w:fill="DFD9D6"/>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11">
    <w:name w:val="中等深浅列表 2 强调文字颜色 4"/>
    <w:basedOn w:val="83"/>
    <w:qFormat/>
    <w:uiPriority w:val="66"/>
    <w:rPr>
      <w:rFonts w:ascii="Calibri" w:hAnsi="Calibri" w:cs="Arial"/>
      <w:color w:val="000000"/>
    </w:rPr>
    <w:tblPr>
      <w:tblBorders>
        <w:top w:val="single" w:color="B4936D" w:sz="8" w:space="0"/>
        <w:left w:val="single" w:color="B4936D" w:sz="8" w:space="0"/>
        <w:bottom w:val="single" w:color="B4936D" w:sz="8" w:space="0"/>
        <w:right w:val="single" w:color="B4936D" w:sz="8" w:space="0"/>
      </w:tblBorders>
      <w:tblCellMar>
        <w:top w:w="0" w:type="dxa"/>
        <w:left w:w="108" w:type="dxa"/>
        <w:bottom w:w="0" w:type="dxa"/>
        <w:right w:w="108" w:type="dxa"/>
      </w:tblCellMar>
    </w:tblPr>
    <w:tblStylePr w:type="firstRow">
      <w:rPr>
        <w:rFonts w:cs="Arial"/>
        <w:sz w:val="24"/>
        <w:szCs w:val="24"/>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Arial"/>
      </w:rPr>
      <w:tcPr>
        <w:tcBorders>
          <w:top w:val="single" w:color="B4936D"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B4936D" w:sz="8" w:space="0"/>
          <w:insideH w:val="nil"/>
          <w:insideV w:val="nil"/>
          <w:tl2br w:val="nil"/>
          <w:tr2bl w:val="nil"/>
        </w:tcBorders>
        <w:shd w:val="clear" w:color="auto" w:fill="FFFFFF"/>
      </w:tcPr>
    </w:tblStylePr>
    <w:tblStylePr w:type="lastCol">
      <w:rPr>
        <w:rFonts w:cs="Arial"/>
      </w:rPr>
      <w:tcPr>
        <w:tcBorders>
          <w:top w:val="nil"/>
          <w:left w:val="single" w:color="B4936D"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ECE4DA"/>
      </w:tcPr>
    </w:tblStylePr>
    <w:tblStylePr w:type="band1Horz">
      <w:rPr>
        <w:rFonts w:cs="Arial"/>
      </w:rPr>
      <w:tcPr>
        <w:tcBorders>
          <w:top w:val="nil"/>
          <w:left w:val="nil"/>
          <w:bottom w:val="nil"/>
          <w:right w:val="nil"/>
          <w:insideH w:val="nil"/>
          <w:insideV w:val="nil"/>
          <w:tl2br w:val="nil"/>
          <w:tr2bl w:val="nil"/>
        </w:tcBorders>
        <w:shd w:val="clear" w:color="auto" w:fill="ECE4DA"/>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12">
    <w:name w:val="中等深浅列表 2 强调文字颜色 5"/>
    <w:basedOn w:val="83"/>
    <w:qFormat/>
    <w:uiPriority w:val="66"/>
    <w:rPr>
      <w:rFonts w:ascii="Calibri" w:hAnsi="Calibri" w:cs="Arial"/>
      <w:color w:val="000000"/>
    </w:rPr>
    <w:tblPr>
      <w:tblBorders>
        <w:top w:val="single" w:color="67787B" w:sz="8" w:space="0"/>
        <w:left w:val="single" w:color="67787B" w:sz="8" w:space="0"/>
        <w:bottom w:val="single" w:color="67787B" w:sz="8" w:space="0"/>
        <w:right w:val="single" w:color="67787B" w:sz="8" w:space="0"/>
      </w:tblBorders>
      <w:tblCellMar>
        <w:top w:w="0" w:type="dxa"/>
        <w:left w:w="108" w:type="dxa"/>
        <w:bottom w:w="0" w:type="dxa"/>
        <w:right w:w="108" w:type="dxa"/>
      </w:tblCellMar>
    </w:tblPr>
    <w:tblStylePr w:type="firstRow">
      <w:rPr>
        <w:rFonts w:cs="Arial"/>
        <w:sz w:val="24"/>
        <w:szCs w:val="24"/>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Arial"/>
      </w:rPr>
      <w:tcPr>
        <w:tcBorders>
          <w:top w:val="single" w:color="67787B"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67787B" w:sz="8" w:space="0"/>
          <w:insideH w:val="nil"/>
          <w:insideV w:val="nil"/>
          <w:tl2br w:val="nil"/>
          <w:tr2bl w:val="nil"/>
        </w:tcBorders>
        <w:shd w:val="clear" w:color="auto" w:fill="FFFFFF"/>
      </w:tcPr>
    </w:tblStylePr>
    <w:tblStylePr w:type="lastCol">
      <w:rPr>
        <w:rFonts w:cs="Arial"/>
      </w:rPr>
      <w:tcPr>
        <w:tcBorders>
          <w:top w:val="nil"/>
          <w:left w:val="single" w:color="67787B"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D8DEDF"/>
      </w:tcPr>
    </w:tblStylePr>
    <w:tblStylePr w:type="band1Horz">
      <w:rPr>
        <w:rFonts w:cs="Arial"/>
      </w:rPr>
      <w:tcPr>
        <w:tcBorders>
          <w:top w:val="nil"/>
          <w:left w:val="nil"/>
          <w:bottom w:val="nil"/>
          <w:right w:val="nil"/>
          <w:insideH w:val="nil"/>
          <w:insideV w:val="nil"/>
          <w:tl2br w:val="nil"/>
          <w:tr2bl w:val="nil"/>
        </w:tcBorders>
        <w:shd w:val="clear" w:color="auto" w:fill="D8DEDF"/>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13">
    <w:name w:val="中等深浅列表 2 强调文字颜色 6"/>
    <w:basedOn w:val="83"/>
    <w:qFormat/>
    <w:uiPriority w:val="66"/>
    <w:rPr>
      <w:rFonts w:ascii="Calibri" w:hAnsi="Calibri" w:cs="Arial"/>
      <w:color w:val="000000"/>
    </w:rPr>
    <w:tblPr>
      <w:tblBorders>
        <w:top w:val="single" w:color="9D936F" w:sz="8" w:space="0"/>
        <w:left w:val="single" w:color="9D936F" w:sz="8" w:space="0"/>
        <w:bottom w:val="single" w:color="9D936F" w:sz="8" w:space="0"/>
        <w:right w:val="single" w:color="9D936F" w:sz="8" w:space="0"/>
      </w:tblBorders>
      <w:tblCellMar>
        <w:top w:w="0" w:type="dxa"/>
        <w:left w:w="108" w:type="dxa"/>
        <w:bottom w:w="0" w:type="dxa"/>
        <w:right w:w="108" w:type="dxa"/>
      </w:tblCellMar>
    </w:tblPr>
    <w:tblStylePr w:type="firstRow">
      <w:rPr>
        <w:rFonts w:cs="Arial"/>
        <w:sz w:val="24"/>
        <w:szCs w:val="24"/>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Arial"/>
      </w:rPr>
      <w:tcPr>
        <w:tcBorders>
          <w:top w:val="single" w:color="9D936F"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9D936F" w:sz="8" w:space="0"/>
          <w:insideH w:val="nil"/>
          <w:insideV w:val="nil"/>
          <w:tl2br w:val="nil"/>
          <w:tr2bl w:val="nil"/>
        </w:tcBorders>
        <w:shd w:val="clear" w:color="auto" w:fill="FFFFFF"/>
      </w:tcPr>
    </w:tblStylePr>
    <w:tblStylePr w:type="lastCol">
      <w:rPr>
        <w:rFonts w:cs="Arial"/>
      </w:rPr>
      <w:tcPr>
        <w:tcBorders>
          <w:top w:val="nil"/>
          <w:left w:val="single" w:color="9D936F"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E6E4DB"/>
      </w:tcPr>
    </w:tblStylePr>
    <w:tblStylePr w:type="band1Horz">
      <w:rPr>
        <w:rFonts w:cs="Arial"/>
      </w:rPr>
      <w:tcPr>
        <w:tcBorders>
          <w:top w:val="nil"/>
          <w:left w:val="nil"/>
          <w:bottom w:val="nil"/>
          <w:right w:val="nil"/>
          <w:insideH w:val="nil"/>
          <w:insideV w:val="nil"/>
          <w:tl2br w:val="nil"/>
          <w:tr2bl w:val="nil"/>
        </w:tcBorders>
        <w:shd w:val="clear" w:color="auto" w:fill="E6E4DB"/>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14">
    <w:name w:val="中等深浅底纹 1 强调文字颜色 1"/>
    <w:basedOn w:val="83"/>
    <w:qFormat/>
    <w:uiPriority w:val="63"/>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9EB0C1" w:sz="8" w:space="0"/>
          <w:left w:val="single" w:color="9EB0C1" w:sz="8" w:space="0"/>
          <w:bottom w:val="single" w:color="9EB0C1" w:sz="8" w:space="0"/>
          <w:right w:val="single" w:color="9EB0C1" w:sz="8" w:space="0"/>
          <w:insideH w:val="nil"/>
          <w:insideV w:val="nil"/>
          <w:tl2br w:val="nil"/>
          <w:tr2bl w:val="nil"/>
        </w:tcBorders>
        <w:shd w:val="clear" w:color="auto" w:fill="7E97AD"/>
      </w:tcPr>
    </w:tblStylePr>
    <w:tblStylePr w:type="lastRow">
      <w:pPr>
        <w:spacing w:before="0" w:after="0"/>
      </w:pPr>
      <w:rPr>
        <w:rFonts w:cs="Times New Roman"/>
        <w:b/>
        <w:bCs/>
      </w:rPr>
      <w:tcPr>
        <w:tcBorders>
          <w:top w:val="double" w:color="9EB0C1" w:sz="6" w:space="0"/>
          <w:left w:val="single" w:color="9EB0C1" w:sz="8" w:space="0"/>
          <w:bottom w:val="single" w:color="9EB0C1" w:sz="8" w:space="0"/>
          <w:right w:val="single" w:color="9EB0C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E5EA"/>
      </w:tcPr>
    </w:tblStylePr>
    <w:tblStylePr w:type="band1Horz">
      <w:rPr>
        <w:rFonts w:cs="Times New Roman"/>
      </w:rPr>
      <w:tcPr>
        <w:shd w:val="clear" w:color="auto" w:fill="DFE5EA"/>
      </w:tcPr>
    </w:tblStylePr>
    <w:tblStylePr w:type="band2Horz">
      <w:rPr>
        <w:rFonts w:cs="Times New Roman"/>
      </w:rPr>
    </w:tblStylePr>
  </w:style>
  <w:style w:type="table" w:customStyle="1" w:styleId="315">
    <w:name w:val="中等深浅底纹 1 强调文字颜色 2"/>
    <w:basedOn w:val="83"/>
    <w:qFormat/>
    <w:uiPriority w:val="63"/>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D8AA87" w:sz="8" w:space="0"/>
          <w:left w:val="single" w:color="D8AA87" w:sz="8" w:space="0"/>
          <w:bottom w:val="single" w:color="D8AA87" w:sz="8" w:space="0"/>
          <w:right w:val="single" w:color="D8AA87" w:sz="8" w:space="0"/>
          <w:insideH w:val="nil"/>
          <w:insideV w:val="nil"/>
          <w:tl2br w:val="nil"/>
          <w:tr2bl w:val="nil"/>
        </w:tcBorders>
        <w:shd w:val="clear" w:color="auto" w:fill="CC8E60"/>
      </w:tcPr>
    </w:tblStylePr>
    <w:tblStylePr w:type="lastRow">
      <w:pPr>
        <w:spacing w:before="0" w:after="0"/>
      </w:pPr>
      <w:rPr>
        <w:rFonts w:cs="Times New Roman"/>
        <w:b/>
        <w:bCs/>
      </w:rPr>
      <w:tcPr>
        <w:tcBorders>
          <w:top w:val="double" w:color="D8AA87" w:sz="6" w:space="0"/>
          <w:left w:val="single" w:color="D8AA87" w:sz="8" w:space="0"/>
          <w:bottom w:val="single" w:color="D8AA87" w:sz="8" w:space="0"/>
          <w:right w:val="single" w:color="D8AA87"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2E2D7"/>
      </w:tcPr>
    </w:tblStylePr>
    <w:tblStylePr w:type="band1Horz">
      <w:rPr>
        <w:rFonts w:cs="Times New Roman"/>
      </w:rPr>
      <w:tcPr>
        <w:shd w:val="clear" w:color="auto" w:fill="F2E2D7"/>
      </w:tcPr>
    </w:tblStylePr>
    <w:tblStylePr w:type="band2Horz">
      <w:rPr>
        <w:rFonts w:cs="Times New Roman"/>
      </w:rPr>
    </w:tblStylePr>
  </w:style>
  <w:style w:type="table" w:customStyle="1" w:styleId="316">
    <w:name w:val="中等深浅底纹 1 强调文字颜色 3"/>
    <w:basedOn w:val="83"/>
    <w:qFormat/>
    <w:uiPriority w:val="63"/>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9E8E84" w:sz="8" w:space="0"/>
          <w:left w:val="single" w:color="9E8E84" w:sz="8" w:space="0"/>
          <w:bottom w:val="single" w:color="9E8E84" w:sz="8" w:space="0"/>
          <w:right w:val="single" w:color="9E8E84" w:sz="8" w:space="0"/>
          <w:insideH w:val="nil"/>
          <w:insideV w:val="nil"/>
          <w:tl2br w:val="nil"/>
          <w:tr2bl w:val="nil"/>
        </w:tcBorders>
        <w:shd w:val="clear" w:color="auto" w:fill="7A6A60"/>
      </w:tcPr>
    </w:tblStylePr>
    <w:tblStylePr w:type="lastRow">
      <w:pPr>
        <w:spacing w:before="0" w:after="0"/>
      </w:pPr>
      <w:rPr>
        <w:rFonts w:cs="Times New Roman"/>
        <w:b/>
        <w:bCs/>
      </w:rPr>
      <w:tcPr>
        <w:tcBorders>
          <w:top w:val="double" w:color="9E8E84" w:sz="6" w:space="0"/>
          <w:left w:val="single" w:color="9E8E84" w:sz="8" w:space="0"/>
          <w:bottom w:val="single" w:color="9E8E84" w:sz="8" w:space="0"/>
          <w:right w:val="single" w:color="9E8E84"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D9D6"/>
      </w:tcPr>
    </w:tblStylePr>
    <w:tblStylePr w:type="band1Horz">
      <w:rPr>
        <w:rFonts w:cs="Times New Roman"/>
      </w:rPr>
      <w:tcPr>
        <w:shd w:val="clear" w:color="auto" w:fill="DFD9D6"/>
      </w:tcPr>
    </w:tblStylePr>
    <w:tblStylePr w:type="band2Horz">
      <w:rPr>
        <w:rFonts w:cs="Times New Roman"/>
      </w:rPr>
    </w:tblStylePr>
  </w:style>
  <w:style w:type="table" w:customStyle="1" w:styleId="317">
    <w:name w:val="中等深浅底纹 1 强调文字颜色 4"/>
    <w:basedOn w:val="83"/>
    <w:qFormat/>
    <w:uiPriority w:val="63"/>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C6AD91" w:sz="8" w:space="0"/>
          <w:left w:val="single" w:color="C6AD91" w:sz="8" w:space="0"/>
          <w:bottom w:val="single" w:color="C6AD91" w:sz="8" w:space="0"/>
          <w:right w:val="single" w:color="C6AD91" w:sz="8" w:space="0"/>
          <w:insideH w:val="nil"/>
          <w:insideV w:val="nil"/>
          <w:tl2br w:val="nil"/>
          <w:tr2bl w:val="nil"/>
        </w:tcBorders>
        <w:shd w:val="clear" w:color="auto" w:fill="B4936D"/>
      </w:tcPr>
    </w:tblStylePr>
    <w:tblStylePr w:type="lastRow">
      <w:pPr>
        <w:spacing w:before="0" w:after="0"/>
      </w:pPr>
      <w:rPr>
        <w:rFonts w:cs="Times New Roman"/>
        <w:b/>
        <w:bCs/>
      </w:rPr>
      <w:tcPr>
        <w:tcBorders>
          <w:top w:val="double" w:color="C6AD91" w:sz="6" w:space="0"/>
          <w:left w:val="single" w:color="C6AD91" w:sz="8" w:space="0"/>
          <w:bottom w:val="single" w:color="C6AD91" w:sz="8" w:space="0"/>
          <w:right w:val="single" w:color="C6AD9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CE4DA"/>
      </w:tcPr>
    </w:tblStylePr>
    <w:tblStylePr w:type="band1Horz">
      <w:rPr>
        <w:rFonts w:cs="Times New Roman"/>
      </w:rPr>
      <w:tcPr>
        <w:shd w:val="clear" w:color="auto" w:fill="ECE4DA"/>
      </w:tcPr>
    </w:tblStylePr>
    <w:tblStylePr w:type="band2Horz">
      <w:rPr>
        <w:rFonts w:cs="Times New Roman"/>
      </w:rPr>
    </w:tblStylePr>
  </w:style>
  <w:style w:type="table" w:customStyle="1" w:styleId="318">
    <w:name w:val="中等深浅底纹 1 强调文字颜色 5"/>
    <w:basedOn w:val="83"/>
    <w:qFormat/>
    <w:uiPriority w:val="63"/>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8B9B9E" w:sz="8" w:space="0"/>
          <w:left w:val="single" w:color="8B9B9E" w:sz="8" w:space="0"/>
          <w:bottom w:val="single" w:color="8B9B9E" w:sz="8" w:space="0"/>
          <w:right w:val="single" w:color="8B9B9E" w:sz="8" w:space="0"/>
          <w:insideH w:val="nil"/>
          <w:insideV w:val="nil"/>
          <w:tl2br w:val="nil"/>
          <w:tr2bl w:val="nil"/>
        </w:tcBorders>
        <w:shd w:val="clear" w:color="auto" w:fill="67787B"/>
      </w:tcPr>
    </w:tblStylePr>
    <w:tblStylePr w:type="lastRow">
      <w:pPr>
        <w:spacing w:before="0" w:after="0"/>
      </w:pPr>
      <w:rPr>
        <w:rFonts w:cs="Times New Roman"/>
        <w:b/>
        <w:bCs/>
      </w:rPr>
      <w:tcPr>
        <w:tcBorders>
          <w:top w:val="double" w:color="8B9B9E" w:sz="6" w:space="0"/>
          <w:left w:val="single" w:color="8B9B9E" w:sz="8" w:space="0"/>
          <w:bottom w:val="single" w:color="8B9B9E" w:sz="8" w:space="0"/>
          <w:right w:val="single" w:color="8B9B9E"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8DEDF"/>
      </w:tcPr>
    </w:tblStylePr>
    <w:tblStylePr w:type="band1Horz">
      <w:rPr>
        <w:rFonts w:cs="Times New Roman"/>
      </w:rPr>
      <w:tcPr>
        <w:shd w:val="clear" w:color="auto" w:fill="D8DEDF"/>
      </w:tcPr>
    </w:tblStylePr>
    <w:tblStylePr w:type="band2Horz">
      <w:rPr>
        <w:rFonts w:cs="Times New Roman"/>
      </w:rPr>
    </w:tblStylePr>
  </w:style>
  <w:style w:type="table" w:customStyle="1" w:styleId="319">
    <w:name w:val="中等深浅底纹 1 强调文字颜色 6"/>
    <w:basedOn w:val="83"/>
    <w:qFormat/>
    <w:uiPriority w:val="63"/>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B5AE93" w:sz="8" w:space="0"/>
          <w:left w:val="single" w:color="B5AE93" w:sz="8" w:space="0"/>
          <w:bottom w:val="single" w:color="B5AE93" w:sz="8" w:space="0"/>
          <w:right w:val="single" w:color="B5AE93" w:sz="8" w:space="0"/>
          <w:insideH w:val="nil"/>
          <w:insideV w:val="nil"/>
          <w:tl2br w:val="nil"/>
          <w:tr2bl w:val="nil"/>
        </w:tcBorders>
        <w:shd w:val="clear" w:color="auto" w:fill="9D936F"/>
      </w:tcPr>
    </w:tblStylePr>
    <w:tblStylePr w:type="lastRow">
      <w:pPr>
        <w:spacing w:before="0" w:after="0"/>
      </w:pPr>
      <w:rPr>
        <w:rFonts w:cs="Times New Roman"/>
        <w:b/>
        <w:bCs/>
      </w:rPr>
      <w:tcPr>
        <w:tcBorders>
          <w:top w:val="double" w:color="B5AE93" w:sz="6" w:space="0"/>
          <w:left w:val="single" w:color="B5AE93" w:sz="8" w:space="0"/>
          <w:bottom w:val="single" w:color="B5AE93" w:sz="8" w:space="0"/>
          <w:right w:val="single" w:color="B5AE93"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6E4DB"/>
      </w:tcPr>
    </w:tblStylePr>
    <w:tblStylePr w:type="band1Horz">
      <w:rPr>
        <w:rFonts w:cs="Times New Roman"/>
      </w:rPr>
      <w:tcPr>
        <w:shd w:val="clear" w:color="auto" w:fill="E6E4DB"/>
      </w:tcPr>
    </w:tblStylePr>
    <w:tblStylePr w:type="band2Horz">
      <w:rPr>
        <w:rFonts w:cs="Times New Roman"/>
      </w:rPr>
    </w:tblStylePr>
  </w:style>
  <w:style w:type="table" w:customStyle="1" w:styleId="320">
    <w:name w:val="中等深浅底纹 2 强调文字颜色 1"/>
    <w:basedOn w:val="83"/>
    <w:qFormat/>
    <w:uiPriority w:val="64"/>
    <w:rPr>
      <w:rFonts w:ascii="Cambria" w:hAnsi="Cambria" w:eastAsia="黑体"/>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E97A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E97A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E97A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21">
    <w:name w:val="中等深浅底纹 2 强调文字颜色 2"/>
    <w:basedOn w:val="83"/>
    <w:qFormat/>
    <w:uiPriority w:val="64"/>
    <w:rPr>
      <w:rFonts w:ascii="Cambria" w:hAnsi="Cambria" w:eastAsia="黑体"/>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CC8E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CC8E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CC8E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22">
    <w:name w:val="中等深浅底纹 2 强调文字颜色 3"/>
    <w:basedOn w:val="83"/>
    <w:qFormat/>
    <w:uiPriority w:val="64"/>
    <w:rPr>
      <w:rFonts w:ascii="Cambria" w:hAnsi="Cambria" w:eastAsia="黑体"/>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A6A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A6A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A6A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23">
    <w:name w:val="中等深浅底纹 2 强调文字颜色 4"/>
    <w:basedOn w:val="83"/>
    <w:qFormat/>
    <w:uiPriority w:val="64"/>
    <w:rPr>
      <w:rFonts w:ascii="Cambria" w:hAnsi="Cambria" w:eastAsia="黑体"/>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B4936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B4936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B4936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24">
    <w:name w:val="中等深浅底纹 2 强调文字颜色 5"/>
    <w:basedOn w:val="83"/>
    <w:qFormat/>
    <w:uiPriority w:val="64"/>
    <w:rPr>
      <w:rFonts w:ascii="Cambria" w:hAnsi="Cambria" w:eastAsia="黑体"/>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67787B"/>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67787B"/>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67787B"/>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25">
    <w:name w:val="中等深浅底纹 2 强调文字颜色 6"/>
    <w:basedOn w:val="83"/>
    <w:qFormat/>
    <w:uiPriority w:val="64"/>
    <w:rPr>
      <w:rFonts w:ascii="Cambria" w:hAnsi="Cambria" w:eastAsia="黑体"/>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9D936F"/>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9D936F"/>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9D936F"/>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26">
    <w:name w:val="表格 3D 效果 1"/>
    <w:basedOn w:val="83"/>
    <w:unhideWhenUsed/>
    <w:qFormat/>
    <w:uiPriority w:val="99"/>
    <w:pPr>
      <w:spacing w:line="300" w:lineRule="auto"/>
    </w:pPr>
    <w:rPr>
      <w:rFonts w:ascii="Cambria" w:hAnsi="Cambria" w:eastAsia="黑体"/>
    </w:rPr>
    <w:tblPr>
      <w:tblCellMar>
        <w:top w:w="0" w:type="dxa"/>
        <w:left w:w="108" w:type="dxa"/>
        <w:bottom w:w="0" w:type="dxa"/>
        <w:right w:w="108" w:type="dxa"/>
      </w:tblCellMar>
    </w:tblPr>
    <w:tcPr>
      <w:shd w:val="solid" w:color="C0C0C0" w:fill="FFFFFF"/>
    </w:tcPr>
    <w:tblStylePr w:type="firstRow">
      <w:rPr>
        <w:rFonts w:cs="Times New Roman"/>
        <w:b/>
        <w:bCs/>
        <w:color w:val="800080"/>
      </w:rPr>
      <w:tcPr>
        <w:tcBorders>
          <w:top w:val="nil"/>
          <w:left w:val="nil"/>
          <w:bottom w:val="single" w:color="808080" w:sz="6" w:space="0"/>
          <w:right w:val="nil"/>
          <w:insideH w:val="nil"/>
          <w:insideV w:val="nil"/>
          <w:tl2br w:val="nil"/>
          <w:tr2bl w:val="nil"/>
        </w:tcBorders>
      </w:tcPr>
    </w:tblStylePr>
    <w:tblStylePr w:type="lastRow">
      <w:rPr>
        <w:rFonts w:cs="Times New Roman"/>
      </w:rPr>
      <w:tcPr>
        <w:tcBorders>
          <w:top w:val="single" w:color="FFFFFF"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single" w:color="FFFFFF" w:sz="6" w:space="0"/>
          <w:bottom w:val="nil"/>
          <w:right w:val="nil"/>
          <w:insideH w:val="nil"/>
          <w:insideV w:val="nil"/>
          <w:tl2br w:val="nil"/>
          <w:tr2bl w:val="nil"/>
        </w:tcBorders>
      </w:tcPr>
    </w:tblStylePr>
    <w:tblStylePr w:type="neCell">
      <w:rPr>
        <w:rFonts w:cs="Times New Roman"/>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tcPr>
    </w:tblStylePr>
    <w:tblStylePr w:type="seCell">
      <w:rPr>
        <w:rFonts w:cs="Times New Roman"/>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327">
    <w:name w:val="表格 3D 效果 2"/>
    <w:basedOn w:val="83"/>
    <w:unhideWhenUsed/>
    <w:qFormat/>
    <w:uiPriority w:val="99"/>
    <w:pPr>
      <w:spacing w:line="300" w:lineRule="auto"/>
    </w:pPr>
    <w:rPr>
      <w:rFonts w:ascii="Cambria" w:hAnsi="Cambria" w:eastAsia="黑体"/>
    </w:rPr>
    <w:tblPr>
      <w:tblCellMar>
        <w:top w:w="0" w:type="dxa"/>
        <w:left w:w="108" w:type="dxa"/>
        <w:bottom w:w="0" w:type="dxa"/>
        <w:right w:w="108" w:type="dxa"/>
      </w:tblCellMar>
    </w:tblPr>
    <w:tcPr>
      <w:shd w:val="solid" w:color="C0C0C0" w:fill="FFFFFF"/>
    </w:tc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28">
    <w:name w:val="表格 3D 效果 3"/>
    <w:basedOn w:val="83"/>
    <w:unhideWhenUsed/>
    <w:qFormat/>
    <w:uiPriority w:val="99"/>
    <w:pPr>
      <w:spacing w:line="300" w:lineRule="auto"/>
    </w:pPr>
    <w:rPr>
      <w:rFonts w:ascii="Cambria" w:hAnsi="Cambria" w:eastAsia="黑体"/>
    </w:rPr>
    <w:tblPr>
      <w:tblCellMar>
        <w:top w:w="0" w:type="dxa"/>
        <w:left w:w="108" w:type="dxa"/>
        <w:bottom w:w="0" w:type="dxa"/>
        <w:right w:w="108" w:type="dxa"/>
      </w:tblCellMar>
    </w:tbl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29">
    <w:name w:val="表列 1"/>
    <w:basedOn w:val="83"/>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30">
    <w:name w:val="表列 2"/>
    <w:basedOn w:val="83"/>
    <w:unhideWhenUsed/>
    <w:qFormat/>
    <w:uiPriority w:val="99"/>
    <w:pPr>
      <w:spacing w:line="300" w:lineRule="auto"/>
    </w:pPr>
    <w:rPr>
      <w:rFonts w:ascii="Cambria" w:hAnsi="Cambria" w:eastAsia="黑体"/>
      <w:b/>
      <w:bCs/>
    </w:rPr>
    <w:tblPr>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31">
    <w:name w:val="表列 3"/>
    <w:basedOn w:val="83"/>
    <w:unhideWhenUsed/>
    <w:qFormat/>
    <w:uiPriority w:val="99"/>
    <w:pPr>
      <w:spacing w:line="300" w:lineRule="auto"/>
    </w:pPr>
    <w:rPr>
      <w:rFonts w:ascii="Cambria" w:hAnsi="Cambria" w:eastAsia="黑体"/>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332">
    <w:name w:val="表列 4"/>
    <w:basedOn w:val="83"/>
    <w:unhideWhenUsed/>
    <w:qFormat/>
    <w:uiPriority w:val="99"/>
    <w:pPr>
      <w:spacing w:line="300" w:lineRule="auto"/>
    </w:pPr>
    <w:rPr>
      <w:rFonts w:ascii="Cambria" w:hAnsi="Cambria" w:eastAsia="黑体"/>
    </w:rPr>
    <w:tblPr>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333">
    <w:name w:val="表列 5"/>
    <w:basedOn w:val="83"/>
    <w:unhideWhenUsed/>
    <w:qFormat/>
    <w:uiPriority w:val="99"/>
    <w:pPr>
      <w:spacing w:line="300" w:lineRule="auto"/>
    </w:pPr>
    <w:rPr>
      <w:rFonts w:ascii="Cambria" w:hAnsi="Cambria" w:eastAsia="黑体"/>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cPr>
        <w:tcBorders>
          <w:top w:val="nil"/>
          <w:left w:val="nil"/>
          <w:bottom w:val="single" w:color="808080" w:sz="6" w:space="0"/>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334">
    <w:name w:val="财务表格"/>
    <w:basedOn w:val="83"/>
    <w:qFormat/>
    <w:uiPriority w:val="99"/>
    <w:pPr>
      <w:ind w:left="144" w:right="144"/>
      <w:jc w:val="right"/>
    </w:pPr>
    <w:rPr>
      <w:rFonts w:ascii="Cambria" w:hAnsi="Cambria" w:eastAsia="黑体"/>
    </w:rPr>
    <w:tblPr>
      <w:tblBorders>
        <w:insideH w:val="single" w:color="D9D9D9" w:sz="4" w:space="0"/>
      </w:tblBorders>
      <w:tblCellMar>
        <w:top w:w="0" w:type="dxa"/>
        <w:left w:w="0" w:type="dxa"/>
        <w:bottom w:w="0" w:type="dxa"/>
        <w:right w:w="0" w:type="dxa"/>
      </w:tblCellMar>
    </w:tblPr>
    <w:tblStylePr w:type="firstRow">
      <w:pPr>
        <w:jc w:val="right"/>
      </w:pPr>
      <w:rPr>
        <w:rFonts w:ascii="Calibri" w:hAnsi="Calibri" w:eastAsia="宋体" w:cs="Times New Roman"/>
        <w:b w:val="0"/>
        <w:caps/>
        <w:smallCaps w:val="0"/>
        <w:color w:val="7E97AD"/>
        <w:sz w:val="22"/>
      </w:rPr>
    </w:tblStylePr>
    <w:tblStylePr w:type="firstCol">
      <w:pPr>
        <w:jc w:val="left"/>
      </w:pPr>
      <w:rPr>
        <w:rFonts w:cs="Times New Roman"/>
        <w:b/>
      </w:rPr>
    </w:tblStylePr>
  </w:style>
  <w:style w:type="paragraph" w:customStyle="1" w:styleId="335">
    <w:name w:val="修订1"/>
    <w:hidden/>
    <w:semiHidden/>
    <w:qFormat/>
    <w:uiPriority w:val="99"/>
    <w:rPr>
      <w:rFonts w:ascii="Cambria" w:hAnsi="Cambria" w:eastAsia="微软雅黑" w:cs="Times New Roman"/>
      <w:color w:val="000000"/>
      <w:kern w:val="20"/>
      <w:sz w:val="21"/>
      <w:lang w:val="zh-CN" w:eastAsia="zh-CN" w:bidi="ar-SA"/>
    </w:rPr>
  </w:style>
  <w:style w:type="paragraph" w:styleId="336">
    <w:name w:val="List Paragraph"/>
    <w:basedOn w:val="1"/>
    <w:link w:val="343"/>
    <w:qFormat/>
    <w:uiPriority w:val="0"/>
    <w:pPr>
      <w:ind w:firstLine="420" w:firstLineChars="200"/>
    </w:pPr>
  </w:style>
  <w:style w:type="paragraph" w:customStyle="1" w:styleId="337">
    <w:name w:val="Char Char2 Char Char Char Char"/>
    <w:basedOn w:val="1"/>
    <w:qFormat/>
    <w:uiPriority w:val="0"/>
    <w:pPr>
      <w:widowControl w:val="0"/>
      <w:jc w:val="both"/>
    </w:pPr>
    <w:rPr>
      <w:rFonts w:ascii="Times New Roman" w:hAnsi="Times New Roman" w:eastAsia="宋体"/>
      <w:kern w:val="2"/>
      <w:szCs w:val="21"/>
      <w:lang w:val="en-US"/>
    </w:rPr>
  </w:style>
  <w:style w:type="character" w:customStyle="1" w:styleId="338">
    <w:name w:val="正文首行缩进 Char"/>
    <w:link w:val="82"/>
    <w:qFormat/>
    <w:uiPriority w:val="99"/>
    <w:rPr>
      <w:kern w:val="2"/>
      <w:sz w:val="21"/>
    </w:rPr>
  </w:style>
  <w:style w:type="character" w:customStyle="1" w:styleId="339">
    <w:name w:val="标题5 Char"/>
    <w:link w:val="340"/>
    <w:qFormat/>
    <w:uiPriority w:val="0"/>
    <w:rPr>
      <w:kern w:val="2"/>
      <w:sz w:val="21"/>
      <w:szCs w:val="24"/>
    </w:rPr>
  </w:style>
  <w:style w:type="paragraph" w:customStyle="1" w:styleId="340">
    <w:name w:val="标题5"/>
    <w:basedOn w:val="1"/>
    <w:link w:val="339"/>
    <w:qFormat/>
    <w:uiPriority w:val="0"/>
    <w:pPr>
      <w:widowControl w:val="0"/>
      <w:numPr>
        <w:ilvl w:val="0"/>
        <w:numId w:val="8"/>
      </w:numPr>
      <w:spacing w:before="100" w:beforeAutospacing="1" w:after="100" w:afterAutospacing="1"/>
      <w:jc w:val="both"/>
      <w:outlineLvl w:val="4"/>
    </w:pPr>
    <w:rPr>
      <w:rFonts w:ascii="Times New Roman" w:hAnsi="Times New Roman" w:eastAsia="宋体"/>
      <w:kern w:val="2"/>
      <w:szCs w:val="24"/>
      <w:lang w:val="en-US"/>
    </w:rPr>
  </w:style>
  <w:style w:type="character" w:customStyle="1" w:styleId="341">
    <w:name w:val="apple-converted-space"/>
    <w:qFormat/>
    <w:uiPriority w:val="0"/>
  </w:style>
  <w:style w:type="character" w:customStyle="1" w:styleId="342">
    <w:name w:val="Char Char11"/>
    <w:qFormat/>
    <w:uiPriority w:val="0"/>
    <w:rPr>
      <w:kern w:val="2"/>
      <w:sz w:val="18"/>
    </w:rPr>
  </w:style>
  <w:style w:type="character" w:customStyle="1" w:styleId="343">
    <w:name w:val="列出段落 Char"/>
    <w:link w:val="336"/>
    <w:qFormat/>
    <w:uiPriority w:val="99"/>
    <w:rPr>
      <w:rFonts w:ascii="Cambria" w:hAnsi="Cambria" w:eastAsia="微软雅黑"/>
      <w:kern w:val="20"/>
      <w:sz w:val="21"/>
      <w:lang w:val="zh-CN"/>
    </w:rPr>
  </w:style>
  <w:style w:type="character" w:customStyle="1" w:styleId="344">
    <w:name w:val="标书-正文 Char"/>
    <w:link w:val="345"/>
    <w:qFormat/>
    <w:uiPriority w:val="0"/>
    <w:rPr>
      <w:rFonts w:ascii="Arial" w:hAnsi="Arial" w:cs="Arial"/>
      <w:kern w:val="2"/>
      <w:sz w:val="21"/>
    </w:rPr>
  </w:style>
  <w:style w:type="paragraph" w:customStyle="1" w:styleId="345">
    <w:name w:val="标书-正文"/>
    <w:basedOn w:val="1"/>
    <w:link w:val="344"/>
    <w:qFormat/>
    <w:uiPriority w:val="0"/>
    <w:pPr>
      <w:widowControl w:val="0"/>
      <w:spacing w:before="56" w:after="113" w:line="300" w:lineRule="auto"/>
      <w:ind w:firstLine="200" w:firstLineChars="200"/>
    </w:pPr>
    <w:rPr>
      <w:rFonts w:ascii="Arial" w:hAnsi="Arial" w:eastAsia="宋体" w:cs="Arial"/>
      <w:kern w:val="2"/>
      <w:lang w:val="en-US"/>
    </w:rPr>
  </w:style>
  <w:style w:type="character" w:customStyle="1" w:styleId="346">
    <w:name w:val="批注主题 Char1"/>
    <w:semiHidden/>
    <w:qFormat/>
    <w:uiPriority w:val="99"/>
    <w:rPr>
      <w:b/>
      <w:bCs/>
      <w:kern w:val="2"/>
      <w:sz w:val="21"/>
      <w:szCs w:val="24"/>
    </w:rPr>
  </w:style>
  <w:style w:type="character" w:customStyle="1" w:styleId="347">
    <w:name w:val="书籍标题1"/>
    <w:qFormat/>
    <w:uiPriority w:val="0"/>
    <w:rPr>
      <w:b/>
      <w:bCs/>
      <w:smallCaps/>
      <w:spacing w:val="5"/>
    </w:rPr>
  </w:style>
  <w:style w:type="character" w:customStyle="1" w:styleId="348">
    <w:name w:val="正文首行缩进 Char1"/>
    <w:basedOn w:val="202"/>
    <w:semiHidden/>
    <w:qFormat/>
    <w:uiPriority w:val="0"/>
    <w:rPr>
      <w:rFonts w:ascii="Cambria" w:hAnsi="Cambria" w:eastAsia="微软雅黑" w:cs="Times New Roman"/>
      <w:color w:val="595959"/>
      <w:kern w:val="20"/>
      <w:sz w:val="21"/>
      <w:szCs w:val="20"/>
      <w:lang w:val="zh-CN"/>
    </w:rPr>
  </w:style>
  <w:style w:type="paragraph" w:customStyle="1" w:styleId="349">
    <w:name w:val="xl90"/>
    <w:basedOn w:val="1"/>
    <w:qFormat/>
    <w:uiPriority w:val="0"/>
    <w:pPr>
      <w:pBdr>
        <w:bottom w:val="single" w:color="auto" w:sz="8" w:space="0"/>
        <w:right w:val="single" w:color="auto" w:sz="8" w:space="0"/>
      </w:pBdr>
      <w:spacing w:before="100" w:beforeAutospacing="1" w:after="100" w:afterAutospacing="1"/>
      <w:jc w:val="both"/>
    </w:pPr>
    <w:rPr>
      <w:rFonts w:ascii="Arial" w:hAnsi="Arial" w:eastAsia="宋体" w:cs="Arial"/>
      <w:kern w:val="0"/>
      <w:szCs w:val="21"/>
      <w:lang w:val="en-US"/>
    </w:rPr>
  </w:style>
  <w:style w:type="paragraph" w:customStyle="1" w:styleId="350">
    <w:name w:val="xl145"/>
    <w:basedOn w:val="1"/>
    <w:qFormat/>
    <w:uiPriority w:val="0"/>
    <w:pPr>
      <w:pBdr>
        <w:right w:val="single" w:color="auto" w:sz="8" w:space="0"/>
      </w:pBdr>
      <w:spacing w:before="100" w:beforeAutospacing="1" w:after="100" w:afterAutospacing="1"/>
      <w:jc w:val="both"/>
    </w:pPr>
    <w:rPr>
      <w:rFonts w:ascii="新宋体" w:hAnsi="新宋体" w:eastAsia="新宋体" w:cs="宋体"/>
      <w:kern w:val="0"/>
      <w:szCs w:val="21"/>
      <w:lang w:val="en-US"/>
    </w:rPr>
  </w:style>
  <w:style w:type="paragraph" w:customStyle="1" w:styleId="351">
    <w:name w:val="xl136"/>
    <w:basedOn w:val="1"/>
    <w:qFormat/>
    <w:uiPriority w:val="0"/>
    <w:pPr>
      <w:pBdr>
        <w:left w:val="single" w:color="auto" w:sz="8" w:space="0"/>
        <w:bottom w:val="single" w:color="000000" w:sz="8" w:space="0"/>
        <w:right w:val="single" w:color="auto" w:sz="8" w:space="0"/>
      </w:pBdr>
      <w:spacing w:before="100" w:beforeAutospacing="1" w:after="100" w:afterAutospacing="1"/>
    </w:pPr>
    <w:rPr>
      <w:rFonts w:ascii="宋体" w:hAnsi="宋体" w:eastAsia="宋体" w:cs="宋体"/>
      <w:kern w:val="0"/>
      <w:szCs w:val="21"/>
      <w:lang w:val="en-US"/>
    </w:rPr>
  </w:style>
  <w:style w:type="paragraph" w:customStyle="1" w:styleId="352">
    <w:name w:val="xl84"/>
    <w:basedOn w:val="1"/>
    <w:qFormat/>
    <w:uiPriority w:val="0"/>
    <w:pPr>
      <w:pBdr>
        <w:left w:val="single" w:color="auto" w:sz="8" w:space="0"/>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353">
    <w:name w:val="xl149"/>
    <w:basedOn w:val="1"/>
    <w:qFormat/>
    <w:uiPriority w:val="0"/>
    <w:pPr>
      <w:pBdr>
        <w:right w:val="single" w:color="auto" w:sz="8" w:space="0"/>
      </w:pBdr>
      <w:spacing w:before="100" w:beforeAutospacing="1" w:after="100" w:afterAutospacing="1"/>
      <w:jc w:val="center"/>
    </w:pPr>
    <w:rPr>
      <w:rFonts w:ascii="宋体" w:hAnsi="宋体" w:eastAsia="宋体" w:cs="宋体"/>
      <w:kern w:val="0"/>
      <w:sz w:val="24"/>
      <w:szCs w:val="24"/>
      <w:lang w:val="en-US"/>
    </w:rPr>
  </w:style>
  <w:style w:type="paragraph" w:customStyle="1" w:styleId="354">
    <w:name w:val="xl93"/>
    <w:basedOn w:val="1"/>
    <w:qFormat/>
    <w:uiPriority w:val="0"/>
    <w:pPr>
      <w:pBdr>
        <w:bottom w:val="single" w:color="auto" w:sz="8" w:space="0"/>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355">
    <w:name w:val="xl125"/>
    <w:basedOn w:val="1"/>
    <w:qFormat/>
    <w:uiPriority w:val="0"/>
    <w:pPr>
      <w:pBdr>
        <w:bottom w:val="single" w:color="auto" w:sz="8" w:space="0"/>
        <w:right w:val="single" w:color="auto" w:sz="8" w:space="0"/>
      </w:pBdr>
      <w:spacing w:before="100" w:beforeAutospacing="1" w:after="100" w:afterAutospacing="1"/>
    </w:pPr>
    <w:rPr>
      <w:rFonts w:eastAsia="宋体" w:cs="宋体"/>
      <w:kern w:val="0"/>
      <w:szCs w:val="21"/>
      <w:lang w:val="en-US"/>
    </w:rPr>
  </w:style>
  <w:style w:type="paragraph" w:customStyle="1" w:styleId="356">
    <w:name w:val="xl98"/>
    <w:basedOn w:val="1"/>
    <w:qFormat/>
    <w:uiPriority w:val="0"/>
    <w:pPr>
      <w:pBdr>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357">
    <w:name w:val="xl75"/>
    <w:basedOn w:val="1"/>
    <w:qFormat/>
    <w:uiPriority w:val="0"/>
    <w:pPr>
      <w:pBdr>
        <w:bottom w:val="single" w:color="auto" w:sz="8" w:space="0"/>
        <w:right w:val="single" w:color="auto" w:sz="8" w:space="0"/>
      </w:pBdr>
      <w:spacing w:before="100" w:beforeAutospacing="1" w:after="100" w:afterAutospacing="1"/>
    </w:pPr>
    <w:rPr>
      <w:rFonts w:ascii="宋体" w:hAnsi="宋体" w:eastAsia="宋体" w:cs="宋体"/>
      <w:color w:val="008080"/>
      <w:kern w:val="0"/>
      <w:szCs w:val="21"/>
      <w:u w:val="single"/>
      <w:lang w:val="en-US"/>
    </w:rPr>
  </w:style>
  <w:style w:type="paragraph" w:customStyle="1" w:styleId="358">
    <w:name w:val="xl81"/>
    <w:basedOn w:val="1"/>
    <w:qFormat/>
    <w:uiPriority w:val="0"/>
    <w:pPr>
      <w:pBdr>
        <w:bottom w:val="single" w:color="auto" w:sz="8" w:space="0"/>
        <w:right w:val="single" w:color="auto" w:sz="8" w:space="0"/>
      </w:pBdr>
      <w:spacing w:before="100" w:beforeAutospacing="1" w:after="100" w:afterAutospacing="1"/>
    </w:pPr>
    <w:rPr>
      <w:rFonts w:ascii="宋体" w:hAnsi="宋体" w:eastAsia="宋体" w:cs="宋体"/>
      <w:kern w:val="0"/>
      <w:sz w:val="20"/>
      <w:lang w:val="en-US"/>
    </w:rPr>
  </w:style>
  <w:style w:type="paragraph" w:customStyle="1" w:styleId="359">
    <w:name w:val="xl156"/>
    <w:basedOn w:val="1"/>
    <w:qFormat/>
    <w:uiPriority w:val="0"/>
    <w:pPr>
      <w:pBdr>
        <w:left w:val="single" w:color="auto" w:sz="8" w:space="0"/>
      </w:pBdr>
      <w:spacing w:before="100" w:beforeAutospacing="1" w:after="100" w:afterAutospacing="1"/>
      <w:jc w:val="center"/>
    </w:pPr>
    <w:rPr>
      <w:rFonts w:ascii="宋体" w:hAnsi="宋体" w:eastAsia="宋体" w:cs="宋体"/>
      <w:kern w:val="0"/>
      <w:sz w:val="24"/>
      <w:szCs w:val="24"/>
      <w:lang w:val="en-US"/>
    </w:rPr>
  </w:style>
  <w:style w:type="paragraph" w:customStyle="1" w:styleId="360">
    <w:name w:val="font10"/>
    <w:basedOn w:val="1"/>
    <w:qFormat/>
    <w:uiPriority w:val="0"/>
    <w:pPr>
      <w:spacing w:before="100" w:beforeAutospacing="1" w:after="100" w:afterAutospacing="1"/>
    </w:pPr>
    <w:rPr>
      <w:rFonts w:ascii="宋体" w:hAnsi="宋体" w:eastAsia="宋体" w:cs="宋体"/>
      <w:color w:val="FF0000"/>
      <w:kern w:val="0"/>
      <w:szCs w:val="21"/>
      <w:lang w:val="en-US"/>
    </w:rPr>
  </w:style>
  <w:style w:type="paragraph" w:customStyle="1" w:styleId="361">
    <w:name w:val="xl137"/>
    <w:basedOn w:val="1"/>
    <w:qFormat/>
    <w:uiPriority w:val="0"/>
    <w:pPr>
      <w:pBdr>
        <w:top w:val="single" w:color="000000" w:sz="8" w:space="0"/>
        <w:left w:val="single" w:color="auto" w:sz="8" w:space="0"/>
        <w:right w:val="single" w:color="auto" w:sz="8" w:space="0"/>
      </w:pBdr>
      <w:spacing w:before="100" w:beforeAutospacing="1" w:after="100" w:afterAutospacing="1"/>
    </w:pPr>
    <w:rPr>
      <w:rFonts w:ascii="宋体" w:hAnsi="宋体" w:eastAsia="宋体" w:cs="宋体"/>
      <w:kern w:val="0"/>
      <w:szCs w:val="21"/>
      <w:lang w:val="en-US"/>
    </w:rPr>
  </w:style>
  <w:style w:type="paragraph" w:customStyle="1" w:styleId="362">
    <w:name w:val="xl127"/>
    <w:basedOn w:val="1"/>
    <w:qFormat/>
    <w:uiPriority w:val="0"/>
    <w:pPr>
      <w:pBdr>
        <w:left w:val="single" w:color="auto" w:sz="8" w:space="0"/>
        <w:bottom w:val="single" w:color="auto" w:sz="8" w:space="0"/>
        <w:right w:val="single" w:color="auto" w:sz="8" w:space="0"/>
      </w:pBdr>
      <w:spacing w:before="100" w:beforeAutospacing="1" w:after="100" w:afterAutospacing="1"/>
    </w:pPr>
    <w:rPr>
      <w:rFonts w:ascii="Arial" w:hAnsi="Arial" w:eastAsia="宋体" w:cs="Arial"/>
      <w:color w:val="FF0000"/>
      <w:kern w:val="0"/>
      <w:szCs w:val="21"/>
      <w:lang w:val="en-US"/>
    </w:rPr>
  </w:style>
  <w:style w:type="paragraph" w:customStyle="1" w:styleId="363">
    <w:name w:val="xl133"/>
    <w:basedOn w:val="1"/>
    <w:qFormat/>
    <w:uiPriority w:val="0"/>
    <w:pPr>
      <w:pBdr>
        <w:left w:val="single" w:color="auto" w:sz="8" w:space="0"/>
        <w:bottom w:val="single" w:color="auto" w:sz="8" w:space="0"/>
        <w:right w:val="single" w:color="000000" w:sz="8" w:space="0"/>
      </w:pBdr>
      <w:spacing w:before="100" w:beforeAutospacing="1" w:after="100" w:afterAutospacing="1"/>
    </w:pPr>
    <w:rPr>
      <w:rFonts w:ascii="宋体" w:hAnsi="宋体" w:eastAsia="宋体" w:cs="宋体"/>
      <w:kern w:val="0"/>
      <w:szCs w:val="21"/>
      <w:lang w:val="en-US"/>
    </w:rPr>
  </w:style>
  <w:style w:type="paragraph" w:customStyle="1" w:styleId="364">
    <w:name w:val="xl118"/>
    <w:basedOn w:val="1"/>
    <w:qFormat/>
    <w:uiPriority w:val="0"/>
    <w:pPr>
      <w:pBdr>
        <w:right w:val="single" w:color="auto" w:sz="8" w:space="0"/>
      </w:pBdr>
      <w:shd w:val="clear" w:color="000000" w:fill="FFFFFF"/>
      <w:spacing w:before="100" w:beforeAutospacing="1" w:after="100" w:afterAutospacing="1"/>
    </w:pPr>
    <w:rPr>
      <w:rFonts w:eastAsia="宋体" w:cs="宋体"/>
      <w:color w:val="FF0000"/>
      <w:kern w:val="0"/>
      <w:szCs w:val="21"/>
      <w:lang w:val="en-US"/>
    </w:rPr>
  </w:style>
  <w:style w:type="paragraph" w:customStyle="1" w:styleId="365">
    <w:name w:val="xl112"/>
    <w:basedOn w:val="1"/>
    <w:qFormat/>
    <w:uiPriority w:val="0"/>
    <w:pPr>
      <w:pBdr>
        <w:left w:val="single" w:color="auto" w:sz="8" w:space="0"/>
        <w:bottom w:val="single" w:color="auto" w:sz="8" w:space="0"/>
        <w:right w:val="single" w:color="auto" w:sz="8" w:space="0"/>
      </w:pBdr>
      <w:spacing w:before="100" w:beforeAutospacing="1" w:after="100" w:afterAutospacing="1"/>
      <w:jc w:val="both"/>
    </w:pPr>
    <w:rPr>
      <w:rFonts w:eastAsia="宋体" w:cs="宋体"/>
      <w:b/>
      <w:bCs/>
      <w:color w:val="FF0000"/>
      <w:kern w:val="0"/>
      <w:szCs w:val="21"/>
      <w:lang w:val="en-US"/>
    </w:rPr>
  </w:style>
  <w:style w:type="paragraph" w:customStyle="1" w:styleId="366">
    <w:name w:val="xl99"/>
    <w:basedOn w:val="1"/>
    <w:qFormat/>
    <w:uiPriority w:val="0"/>
    <w:pPr>
      <w:pBdr>
        <w:left w:val="single" w:color="auto" w:sz="8" w:space="0"/>
        <w:right w:val="single" w:color="auto" w:sz="8" w:space="0"/>
      </w:pBdr>
      <w:spacing w:before="100" w:beforeAutospacing="1" w:after="100" w:afterAutospacing="1"/>
    </w:pPr>
    <w:rPr>
      <w:rFonts w:ascii="宋体" w:hAnsi="宋体" w:eastAsia="宋体" w:cs="宋体"/>
      <w:kern w:val="0"/>
      <w:sz w:val="20"/>
      <w:lang w:val="en-US"/>
    </w:rPr>
  </w:style>
  <w:style w:type="paragraph" w:customStyle="1" w:styleId="367">
    <w:name w:val="xl86"/>
    <w:basedOn w:val="1"/>
    <w:qFormat/>
    <w:uiPriority w:val="0"/>
    <w:pPr>
      <w:pBdr>
        <w:top w:val="single" w:color="auto" w:sz="8" w:space="0"/>
        <w:left w:val="single" w:color="auto" w:sz="8" w:space="0"/>
        <w:right w:val="single" w:color="auto" w:sz="8" w:space="0"/>
      </w:pBdr>
      <w:spacing w:before="100" w:beforeAutospacing="1" w:after="100" w:afterAutospacing="1"/>
      <w:jc w:val="both"/>
    </w:pPr>
    <w:rPr>
      <w:rFonts w:eastAsia="宋体" w:cs="宋体"/>
      <w:color w:val="FF0000"/>
      <w:kern w:val="0"/>
      <w:szCs w:val="21"/>
      <w:lang w:val="en-US"/>
    </w:rPr>
  </w:style>
  <w:style w:type="paragraph" w:customStyle="1" w:styleId="368">
    <w:name w:val="xl103"/>
    <w:basedOn w:val="1"/>
    <w:qFormat/>
    <w:uiPriority w:val="0"/>
    <w:pPr>
      <w:pBdr>
        <w:left w:val="single" w:color="auto" w:sz="8" w:space="0"/>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369">
    <w:name w:val="font16"/>
    <w:basedOn w:val="1"/>
    <w:qFormat/>
    <w:uiPriority w:val="0"/>
    <w:pPr>
      <w:spacing w:before="100" w:beforeAutospacing="1" w:after="100" w:afterAutospacing="1"/>
    </w:pPr>
    <w:rPr>
      <w:rFonts w:ascii="新宋体" w:hAnsi="新宋体" w:eastAsia="新宋体" w:cs="宋体"/>
      <w:color w:val="008080"/>
      <w:kern w:val="0"/>
      <w:szCs w:val="21"/>
      <w:u w:val="single"/>
      <w:lang w:val="en-US"/>
    </w:rPr>
  </w:style>
  <w:style w:type="paragraph" w:customStyle="1" w:styleId="370">
    <w:name w:val="xl109"/>
    <w:basedOn w:val="1"/>
    <w:qFormat/>
    <w:uiPriority w:val="0"/>
    <w:pPr>
      <w:pBdr>
        <w:bottom w:val="single" w:color="auto" w:sz="8" w:space="0"/>
        <w:right w:val="single" w:color="auto" w:sz="8" w:space="0"/>
      </w:pBdr>
      <w:spacing w:before="100" w:beforeAutospacing="1" w:after="100" w:afterAutospacing="1"/>
      <w:jc w:val="both"/>
    </w:pPr>
    <w:rPr>
      <w:rFonts w:eastAsia="宋体" w:cs="宋体"/>
      <w:color w:val="FF0000"/>
      <w:kern w:val="0"/>
      <w:szCs w:val="21"/>
      <w:lang w:val="en-US"/>
    </w:rPr>
  </w:style>
  <w:style w:type="paragraph" w:customStyle="1" w:styleId="371">
    <w:name w:val="xl71"/>
    <w:basedOn w:val="1"/>
    <w:qFormat/>
    <w:uiPriority w:val="0"/>
    <w:pPr>
      <w:pBdr>
        <w:right w:val="single" w:color="auto" w:sz="8" w:space="0"/>
      </w:pBdr>
      <w:spacing w:before="100" w:beforeAutospacing="1" w:after="100" w:afterAutospacing="1"/>
    </w:pPr>
    <w:rPr>
      <w:rFonts w:ascii="宋体" w:hAnsi="宋体" w:eastAsia="宋体" w:cs="宋体"/>
      <w:color w:val="FF0000"/>
      <w:kern w:val="0"/>
      <w:szCs w:val="21"/>
      <w:lang w:val="en-US"/>
    </w:rPr>
  </w:style>
  <w:style w:type="paragraph" w:customStyle="1" w:styleId="372">
    <w:name w:val="xl95"/>
    <w:basedOn w:val="1"/>
    <w:qFormat/>
    <w:uiPriority w:val="0"/>
    <w:pPr>
      <w:pBdr>
        <w:bottom w:val="single" w:color="auto" w:sz="8" w:space="0"/>
        <w:right w:val="single" w:color="auto" w:sz="8" w:space="0"/>
      </w:pBdr>
      <w:spacing w:before="100" w:beforeAutospacing="1" w:after="100" w:afterAutospacing="1"/>
      <w:jc w:val="both"/>
    </w:pPr>
    <w:rPr>
      <w:rFonts w:ascii="Arial" w:hAnsi="Arial" w:eastAsia="宋体" w:cs="Arial"/>
      <w:kern w:val="0"/>
      <w:szCs w:val="21"/>
      <w:lang w:val="en-US"/>
    </w:rPr>
  </w:style>
  <w:style w:type="paragraph" w:customStyle="1" w:styleId="373">
    <w:name w:val="xl80"/>
    <w:basedOn w:val="1"/>
    <w:qFormat/>
    <w:uiPriority w:val="0"/>
    <w:pPr>
      <w:pBdr>
        <w:left w:val="single" w:color="auto" w:sz="8" w:space="0"/>
        <w:bottom w:val="single" w:color="auto" w:sz="8" w:space="0"/>
        <w:right w:val="single" w:color="auto" w:sz="8" w:space="0"/>
      </w:pBdr>
      <w:spacing w:before="100" w:beforeAutospacing="1" w:after="100" w:afterAutospacing="1"/>
    </w:pPr>
    <w:rPr>
      <w:rFonts w:ascii="宋体" w:hAnsi="宋体" w:eastAsia="宋体" w:cs="宋体"/>
      <w:color w:val="FF0000"/>
      <w:kern w:val="0"/>
      <w:szCs w:val="21"/>
      <w:lang w:val="en-US"/>
    </w:rPr>
  </w:style>
  <w:style w:type="paragraph" w:customStyle="1" w:styleId="374">
    <w:name w:val="xl142"/>
    <w:basedOn w:val="1"/>
    <w:qFormat/>
    <w:uiPriority w:val="0"/>
    <w:pPr>
      <w:pBdr>
        <w:bottom w:val="single" w:color="auto" w:sz="8" w:space="0"/>
        <w:right w:val="single" w:color="auto" w:sz="8" w:space="0"/>
      </w:pBdr>
      <w:spacing w:before="100" w:beforeAutospacing="1" w:after="100" w:afterAutospacing="1"/>
      <w:jc w:val="both"/>
    </w:pPr>
    <w:rPr>
      <w:rFonts w:ascii="新宋体" w:hAnsi="新宋体" w:eastAsia="新宋体" w:cs="宋体"/>
      <w:kern w:val="0"/>
      <w:szCs w:val="21"/>
      <w:lang w:val="en-US"/>
    </w:rPr>
  </w:style>
  <w:style w:type="paragraph" w:customStyle="1" w:styleId="375">
    <w:name w:val="xl111"/>
    <w:basedOn w:val="1"/>
    <w:qFormat/>
    <w:uiPriority w:val="0"/>
    <w:pPr>
      <w:pBdr>
        <w:top w:val="single" w:color="auto" w:sz="8" w:space="0"/>
        <w:left w:val="single" w:color="auto" w:sz="8" w:space="0"/>
        <w:right w:val="single" w:color="auto" w:sz="8" w:space="0"/>
      </w:pBdr>
      <w:spacing w:before="100" w:beforeAutospacing="1" w:after="100" w:afterAutospacing="1"/>
      <w:jc w:val="both"/>
    </w:pPr>
    <w:rPr>
      <w:rFonts w:eastAsia="宋体" w:cs="宋体"/>
      <w:b/>
      <w:bCs/>
      <w:color w:val="FF0000"/>
      <w:kern w:val="0"/>
      <w:szCs w:val="21"/>
      <w:lang w:val="en-US"/>
    </w:rPr>
  </w:style>
  <w:style w:type="paragraph" w:customStyle="1" w:styleId="376">
    <w:name w:val="xl78"/>
    <w:basedOn w:val="1"/>
    <w:qFormat/>
    <w:uiPriority w:val="0"/>
    <w:pPr>
      <w:pBdr>
        <w:top w:val="single" w:color="auto" w:sz="8" w:space="0"/>
        <w:left w:val="single" w:color="auto" w:sz="8" w:space="0"/>
        <w:right w:val="single" w:color="auto" w:sz="8" w:space="0"/>
      </w:pBdr>
      <w:spacing w:before="100" w:beforeAutospacing="1" w:after="100" w:afterAutospacing="1"/>
    </w:pPr>
    <w:rPr>
      <w:rFonts w:ascii="宋体" w:hAnsi="宋体" w:eastAsia="宋体" w:cs="宋体"/>
      <w:color w:val="FF0000"/>
      <w:kern w:val="0"/>
      <w:szCs w:val="21"/>
      <w:lang w:val="en-US"/>
    </w:rPr>
  </w:style>
  <w:style w:type="paragraph" w:customStyle="1" w:styleId="377">
    <w:name w:val="xl101"/>
    <w:basedOn w:val="1"/>
    <w:qFormat/>
    <w:uiPriority w:val="0"/>
    <w:pPr>
      <w:pBdr>
        <w:top w:val="single" w:color="auto" w:sz="8" w:space="0"/>
        <w:left w:val="single" w:color="auto" w:sz="8" w:space="0"/>
        <w:right w:val="single" w:color="auto" w:sz="8" w:space="0"/>
      </w:pBdr>
      <w:spacing w:before="100" w:beforeAutospacing="1" w:after="100" w:afterAutospacing="1"/>
    </w:pPr>
    <w:rPr>
      <w:rFonts w:ascii="Arial" w:hAnsi="Arial" w:eastAsia="宋体" w:cs="Arial"/>
      <w:kern w:val="0"/>
      <w:sz w:val="20"/>
      <w:lang w:val="en-US"/>
    </w:rPr>
  </w:style>
  <w:style w:type="paragraph" w:customStyle="1" w:styleId="378">
    <w:name w:val="font8"/>
    <w:basedOn w:val="1"/>
    <w:qFormat/>
    <w:uiPriority w:val="0"/>
    <w:pPr>
      <w:spacing w:before="100" w:beforeAutospacing="1" w:after="100" w:afterAutospacing="1"/>
    </w:pPr>
    <w:rPr>
      <w:rFonts w:ascii="Times New Roman" w:hAnsi="Times New Roman" w:eastAsia="宋体"/>
      <w:color w:val="000000"/>
      <w:kern w:val="0"/>
      <w:sz w:val="14"/>
      <w:szCs w:val="14"/>
      <w:lang w:val="en-US"/>
    </w:rPr>
  </w:style>
  <w:style w:type="paragraph" w:customStyle="1" w:styleId="379">
    <w:name w:val="xl102"/>
    <w:basedOn w:val="1"/>
    <w:qFormat/>
    <w:uiPriority w:val="0"/>
    <w:pPr>
      <w:pBdr>
        <w:top w:val="single" w:color="auto" w:sz="8" w:space="0"/>
        <w:left w:val="single" w:color="auto" w:sz="8" w:space="0"/>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380">
    <w:name w:val="font14"/>
    <w:basedOn w:val="1"/>
    <w:qFormat/>
    <w:uiPriority w:val="0"/>
    <w:pPr>
      <w:spacing w:before="100" w:beforeAutospacing="1" w:after="100" w:afterAutospacing="1"/>
    </w:pPr>
    <w:rPr>
      <w:rFonts w:ascii="Arial" w:hAnsi="Arial" w:eastAsia="宋体" w:cs="Arial"/>
      <w:color w:val="000000"/>
      <w:kern w:val="0"/>
      <w:szCs w:val="21"/>
      <w:lang w:val="en-US"/>
    </w:rPr>
  </w:style>
  <w:style w:type="paragraph" w:customStyle="1" w:styleId="381">
    <w:name w:val="xl151"/>
    <w:basedOn w:val="1"/>
    <w:qFormat/>
    <w:uiPriority w:val="0"/>
    <w:pPr>
      <w:pBdr>
        <w:right w:val="single" w:color="auto" w:sz="8" w:space="0"/>
      </w:pBdr>
      <w:spacing w:before="100" w:beforeAutospacing="1" w:after="100" w:afterAutospacing="1"/>
      <w:jc w:val="center"/>
    </w:pPr>
    <w:rPr>
      <w:rFonts w:ascii="宋体" w:hAnsi="宋体" w:eastAsia="宋体" w:cs="宋体"/>
      <w:kern w:val="0"/>
      <w:sz w:val="20"/>
      <w:lang w:val="en-US"/>
    </w:rPr>
  </w:style>
  <w:style w:type="paragraph" w:customStyle="1" w:styleId="382">
    <w:name w:val="xl115"/>
    <w:basedOn w:val="1"/>
    <w:qFormat/>
    <w:uiPriority w:val="0"/>
    <w:pPr>
      <w:pBdr>
        <w:left w:val="single" w:color="auto" w:sz="8" w:space="0"/>
        <w:bottom w:val="single" w:color="auto" w:sz="8" w:space="0"/>
        <w:right w:val="single" w:color="auto" w:sz="8" w:space="0"/>
      </w:pBdr>
      <w:spacing w:before="100" w:beforeAutospacing="1" w:after="100" w:afterAutospacing="1"/>
      <w:jc w:val="both"/>
    </w:pPr>
    <w:rPr>
      <w:rFonts w:ascii="宋体" w:hAnsi="宋体" w:eastAsia="宋体" w:cs="宋体"/>
      <w:b/>
      <w:bCs/>
      <w:kern w:val="0"/>
      <w:szCs w:val="21"/>
      <w:lang w:val="en-US"/>
    </w:rPr>
  </w:style>
  <w:style w:type="paragraph" w:customStyle="1" w:styleId="383">
    <w:name w:val="xl114"/>
    <w:basedOn w:val="1"/>
    <w:qFormat/>
    <w:uiPriority w:val="0"/>
    <w:pPr>
      <w:pBdr>
        <w:top w:val="single" w:color="auto" w:sz="8" w:space="0"/>
        <w:left w:val="single" w:color="auto" w:sz="8" w:space="0"/>
        <w:right w:val="single" w:color="auto" w:sz="8" w:space="0"/>
      </w:pBdr>
      <w:spacing w:before="100" w:beforeAutospacing="1" w:after="100" w:afterAutospacing="1"/>
      <w:jc w:val="both"/>
    </w:pPr>
    <w:rPr>
      <w:rFonts w:ascii="宋体" w:hAnsi="宋体" w:eastAsia="宋体" w:cs="宋体"/>
      <w:b/>
      <w:bCs/>
      <w:kern w:val="0"/>
      <w:szCs w:val="21"/>
      <w:lang w:val="en-US"/>
    </w:rPr>
  </w:style>
  <w:style w:type="paragraph" w:customStyle="1" w:styleId="384">
    <w:name w:val="xl153"/>
    <w:basedOn w:val="1"/>
    <w:qFormat/>
    <w:uiPriority w:val="0"/>
    <w:pPr>
      <w:pBdr>
        <w:top w:val="single" w:color="auto" w:sz="8" w:space="0"/>
        <w:right w:val="single" w:color="auto" w:sz="8" w:space="0"/>
      </w:pBdr>
      <w:spacing w:before="100" w:beforeAutospacing="1" w:after="100" w:afterAutospacing="1"/>
      <w:jc w:val="center"/>
    </w:pPr>
    <w:rPr>
      <w:rFonts w:ascii="宋体" w:hAnsi="宋体" w:eastAsia="宋体" w:cs="宋体"/>
      <w:kern w:val="0"/>
      <w:szCs w:val="21"/>
      <w:lang w:val="en-US"/>
    </w:rPr>
  </w:style>
  <w:style w:type="paragraph" w:customStyle="1" w:styleId="385">
    <w:name w:val="xl121"/>
    <w:basedOn w:val="1"/>
    <w:qFormat/>
    <w:uiPriority w:val="0"/>
    <w:pPr>
      <w:pBdr>
        <w:top w:val="single" w:color="auto" w:sz="8" w:space="0"/>
        <w:left w:val="single" w:color="auto" w:sz="8" w:space="0"/>
        <w:right w:val="single" w:color="000000" w:sz="8" w:space="0"/>
      </w:pBdr>
      <w:shd w:val="clear" w:color="000000" w:fill="FFFFFF"/>
      <w:spacing w:before="100" w:beforeAutospacing="1" w:after="100" w:afterAutospacing="1"/>
      <w:jc w:val="center"/>
    </w:pPr>
    <w:rPr>
      <w:rFonts w:ascii="宋体" w:hAnsi="宋体" w:eastAsia="宋体" w:cs="宋体"/>
      <w:color w:val="FF0000"/>
      <w:kern w:val="0"/>
      <w:szCs w:val="21"/>
      <w:lang w:val="en-US"/>
    </w:rPr>
  </w:style>
  <w:style w:type="paragraph" w:customStyle="1" w:styleId="386">
    <w:name w:val="xl134"/>
    <w:basedOn w:val="1"/>
    <w:qFormat/>
    <w:uiPriority w:val="0"/>
    <w:pPr>
      <w:pBdr>
        <w:left w:val="single" w:color="auto" w:sz="8" w:space="0"/>
        <w:right w:val="single" w:color="000000" w:sz="8" w:space="0"/>
      </w:pBdr>
      <w:spacing w:before="100" w:beforeAutospacing="1" w:after="100" w:afterAutospacing="1"/>
    </w:pPr>
    <w:rPr>
      <w:rFonts w:ascii="宋体" w:hAnsi="宋体" w:eastAsia="宋体" w:cs="宋体"/>
      <w:kern w:val="0"/>
      <w:szCs w:val="21"/>
      <w:lang w:val="en-US"/>
    </w:rPr>
  </w:style>
  <w:style w:type="paragraph" w:customStyle="1" w:styleId="387">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88">
    <w:name w:val="xl89"/>
    <w:basedOn w:val="1"/>
    <w:qFormat/>
    <w:uiPriority w:val="0"/>
    <w:pPr>
      <w:pBdr>
        <w:left w:val="single" w:color="auto" w:sz="8" w:space="0"/>
        <w:bottom w:val="single" w:color="auto" w:sz="8" w:space="0"/>
        <w:right w:val="single" w:color="auto" w:sz="8" w:space="0"/>
      </w:pBdr>
      <w:spacing w:before="100" w:beforeAutospacing="1" w:after="100" w:afterAutospacing="1"/>
    </w:pPr>
    <w:rPr>
      <w:rFonts w:ascii="宋体" w:hAnsi="宋体" w:eastAsia="宋体" w:cs="宋体"/>
      <w:kern w:val="0"/>
      <w:sz w:val="20"/>
      <w:lang w:val="en-US"/>
    </w:rPr>
  </w:style>
  <w:style w:type="paragraph" w:customStyle="1" w:styleId="389">
    <w:name w:val="xl113"/>
    <w:basedOn w:val="1"/>
    <w:qFormat/>
    <w:uiPriority w:val="0"/>
    <w:pPr>
      <w:pBdr>
        <w:left w:val="single" w:color="auto" w:sz="8" w:space="0"/>
        <w:right w:val="single" w:color="auto" w:sz="8" w:space="0"/>
      </w:pBdr>
      <w:spacing w:before="100" w:beforeAutospacing="1" w:after="100" w:afterAutospacing="1"/>
      <w:jc w:val="both"/>
    </w:pPr>
    <w:rPr>
      <w:rFonts w:ascii="宋体" w:hAnsi="宋体" w:eastAsia="宋体" w:cs="宋体"/>
      <w:b/>
      <w:bCs/>
      <w:kern w:val="0"/>
      <w:szCs w:val="21"/>
      <w:lang w:val="en-US"/>
    </w:rPr>
  </w:style>
  <w:style w:type="paragraph" w:customStyle="1" w:styleId="390">
    <w:name w:val="font9"/>
    <w:basedOn w:val="1"/>
    <w:qFormat/>
    <w:uiPriority w:val="0"/>
    <w:pPr>
      <w:spacing w:before="100" w:beforeAutospacing="1" w:after="100" w:afterAutospacing="1"/>
    </w:pPr>
    <w:rPr>
      <w:rFonts w:ascii="宋体" w:hAnsi="宋体" w:eastAsia="宋体" w:cs="宋体"/>
      <w:color w:val="008080"/>
      <w:kern w:val="0"/>
      <w:szCs w:val="21"/>
      <w:u w:val="single"/>
      <w:lang w:val="en-US"/>
    </w:rPr>
  </w:style>
  <w:style w:type="paragraph" w:customStyle="1" w:styleId="391">
    <w:name w:val="xl79"/>
    <w:basedOn w:val="1"/>
    <w:qFormat/>
    <w:uiPriority w:val="0"/>
    <w:pPr>
      <w:pBdr>
        <w:left w:val="single" w:color="auto" w:sz="8" w:space="0"/>
        <w:right w:val="single" w:color="auto" w:sz="8" w:space="0"/>
      </w:pBdr>
      <w:spacing w:before="100" w:beforeAutospacing="1" w:after="100" w:afterAutospacing="1"/>
    </w:pPr>
    <w:rPr>
      <w:rFonts w:ascii="宋体" w:hAnsi="宋体" w:eastAsia="宋体" w:cs="宋体"/>
      <w:color w:val="FF0000"/>
      <w:kern w:val="0"/>
      <w:szCs w:val="21"/>
      <w:lang w:val="en-US"/>
    </w:rPr>
  </w:style>
  <w:style w:type="paragraph" w:customStyle="1" w:styleId="392">
    <w:name w:val="xl129"/>
    <w:basedOn w:val="1"/>
    <w:qFormat/>
    <w:uiPriority w:val="0"/>
    <w:pPr>
      <w:pBdr>
        <w:bottom w:val="single" w:color="auto" w:sz="8" w:space="0"/>
        <w:right w:val="single" w:color="auto" w:sz="8" w:space="0"/>
      </w:pBdr>
      <w:spacing w:before="100" w:beforeAutospacing="1" w:after="100" w:afterAutospacing="1"/>
      <w:jc w:val="both"/>
    </w:pPr>
    <w:rPr>
      <w:rFonts w:ascii="Wingdings" w:hAnsi="Wingdings" w:eastAsia="宋体" w:cs="宋体"/>
      <w:kern w:val="0"/>
      <w:szCs w:val="21"/>
      <w:lang w:val="en-US"/>
    </w:rPr>
  </w:style>
  <w:style w:type="paragraph" w:customStyle="1" w:styleId="393">
    <w:name w:val="font24"/>
    <w:basedOn w:val="1"/>
    <w:qFormat/>
    <w:uiPriority w:val="0"/>
    <w:pPr>
      <w:spacing w:before="100" w:beforeAutospacing="1" w:after="100" w:afterAutospacing="1"/>
    </w:pPr>
    <w:rPr>
      <w:rFonts w:ascii="宋体" w:hAnsi="宋体" w:eastAsia="宋体" w:cs="宋体"/>
      <w:kern w:val="0"/>
      <w:sz w:val="18"/>
      <w:szCs w:val="18"/>
      <w:lang w:val="en-US"/>
    </w:rPr>
  </w:style>
  <w:style w:type="paragraph" w:customStyle="1" w:styleId="394">
    <w:name w:val="xl83"/>
    <w:basedOn w:val="1"/>
    <w:qFormat/>
    <w:uiPriority w:val="0"/>
    <w:pPr>
      <w:pBdr>
        <w:left w:val="single" w:color="auto" w:sz="8" w:space="0"/>
        <w:bottom w:val="single" w:color="auto" w:sz="8" w:space="0"/>
        <w:right w:val="single" w:color="auto" w:sz="8" w:space="0"/>
      </w:pBdr>
      <w:spacing w:before="100" w:beforeAutospacing="1" w:after="100" w:afterAutospacing="1"/>
      <w:jc w:val="both"/>
    </w:pPr>
    <w:rPr>
      <w:rFonts w:eastAsia="宋体" w:cs="宋体"/>
      <w:color w:val="FF0000"/>
      <w:kern w:val="0"/>
      <w:szCs w:val="21"/>
      <w:lang w:val="en-US"/>
    </w:rPr>
  </w:style>
  <w:style w:type="paragraph" w:customStyle="1" w:styleId="395">
    <w:name w:val="xl104"/>
    <w:basedOn w:val="1"/>
    <w:qFormat/>
    <w:uiPriority w:val="0"/>
    <w:pPr>
      <w:pBdr>
        <w:left w:val="single" w:color="auto" w:sz="8" w:space="0"/>
        <w:bottom w:val="single" w:color="auto" w:sz="8" w:space="0"/>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396">
    <w:name w:val="xl130"/>
    <w:basedOn w:val="1"/>
    <w:qFormat/>
    <w:uiPriority w:val="0"/>
    <w:pPr>
      <w:pBdr>
        <w:left w:val="single" w:color="auto" w:sz="8" w:space="0"/>
        <w:right w:val="single" w:color="auto" w:sz="8" w:space="0"/>
      </w:pBdr>
      <w:spacing w:before="100" w:beforeAutospacing="1" w:after="100" w:afterAutospacing="1"/>
    </w:pPr>
    <w:rPr>
      <w:rFonts w:ascii="Arial" w:hAnsi="Arial" w:eastAsia="宋体" w:cs="Arial"/>
      <w:color w:val="FF0000"/>
      <w:kern w:val="0"/>
      <w:szCs w:val="21"/>
      <w:lang w:val="en-US"/>
    </w:rPr>
  </w:style>
  <w:style w:type="paragraph" w:customStyle="1" w:styleId="397">
    <w:name w:val="font6"/>
    <w:basedOn w:val="1"/>
    <w:qFormat/>
    <w:uiPriority w:val="0"/>
    <w:pPr>
      <w:spacing w:before="100" w:beforeAutospacing="1" w:after="100" w:afterAutospacing="1"/>
    </w:pPr>
    <w:rPr>
      <w:rFonts w:ascii="宋体" w:hAnsi="宋体" w:eastAsia="宋体" w:cs="宋体"/>
      <w:b/>
      <w:bCs/>
      <w:color w:val="000000"/>
      <w:kern w:val="0"/>
      <w:szCs w:val="21"/>
      <w:lang w:val="en-US"/>
    </w:rPr>
  </w:style>
  <w:style w:type="paragraph" w:customStyle="1" w:styleId="398">
    <w:name w:val="xl97"/>
    <w:basedOn w:val="1"/>
    <w:qFormat/>
    <w:uiPriority w:val="0"/>
    <w:pPr>
      <w:pBdr>
        <w:right w:val="single" w:color="auto" w:sz="8" w:space="0"/>
      </w:pBdr>
      <w:spacing w:before="100" w:beforeAutospacing="1" w:after="100" w:afterAutospacing="1"/>
      <w:jc w:val="both"/>
    </w:pPr>
    <w:rPr>
      <w:rFonts w:ascii="Arial" w:hAnsi="Arial" w:eastAsia="宋体" w:cs="Arial"/>
      <w:kern w:val="0"/>
      <w:szCs w:val="21"/>
      <w:lang w:val="en-US"/>
    </w:rPr>
  </w:style>
  <w:style w:type="paragraph" w:customStyle="1" w:styleId="399">
    <w:name w:val="xl67"/>
    <w:basedOn w:val="1"/>
    <w:qFormat/>
    <w:uiPriority w:val="0"/>
    <w:pPr>
      <w:pBdr>
        <w:left w:val="single" w:color="auto" w:sz="8" w:space="0"/>
        <w:right w:val="single" w:color="auto" w:sz="8" w:space="0"/>
      </w:pBdr>
      <w:spacing w:before="100" w:beforeAutospacing="1" w:after="100" w:afterAutospacing="1"/>
    </w:pPr>
    <w:rPr>
      <w:rFonts w:ascii="宋体" w:hAnsi="宋体" w:eastAsia="宋体" w:cs="宋体"/>
      <w:kern w:val="0"/>
      <w:szCs w:val="21"/>
      <w:lang w:val="en-US"/>
    </w:rPr>
  </w:style>
  <w:style w:type="paragraph" w:customStyle="1" w:styleId="400">
    <w:name w:val="xl76"/>
    <w:basedOn w:val="1"/>
    <w:qFormat/>
    <w:uiPriority w:val="0"/>
    <w:pPr>
      <w:pBdr>
        <w:bottom w:val="single" w:color="auto" w:sz="8" w:space="0"/>
        <w:right w:val="single" w:color="auto" w:sz="8" w:space="0"/>
      </w:pBdr>
      <w:spacing w:before="100" w:beforeAutospacing="1" w:after="100" w:afterAutospacing="1"/>
      <w:jc w:val="both"/>
    </w:pPr>
    <w:rPr>
      <w:rFonts w:ascii="宋体" w:hAnsi="宋体" w:eastAsia="宋体" w:cs="宋体"/>
      <w:color w:val="008080"/>
      <w:kern w:val="0"/>
      <w:szCs w:val="21"/>
      <w:u w:val="single"/>
      <w:lang w:val="en-US"/>
    </w:rPr>
  </w:style>
  <w:style w:type="paragraph" w:customStyle="1" w:styleId="401">
    <w:name w:val="xl68"/>
    <w:basedOn w:val="1"/>
    <w:qFormat/>
    <w:uiPriority w:val="0"/>
    <w:pPr>
      <w:pBdr>
        <w:left w:val="single" w:color="auto" w:sz="8" w:space="0"/>
        <w:bottom w:val="single" w:color="auto" w:sz="8" w:space="0"/>
        <w:right w:val="single" w:color="auto" w:sz="8" w:space="0"/>
      </w:pBdr>
      <w:spacing w:before="100" w:beforeAutospacing="1" w:after="100" w:afterAutospacing="1"/>
    </w:pPr>
    <w:rPr>
      <w:rFonts w:ascii="宋体" w:hAnsi="宋体" w:eastAsia="宋体" w:cs="宋体"/>
      <w:kern w:val="0"/>
      <w:szCs w:val="21"/>
      <w:lang w:val="en-US"/>
    </w:rPr>
  </w:style>
  <w:style w:type="paragraph" w:customStyle="1" w:styleId="402">
    <w:name w:val="xl72"/>
    <w:basedOn w:val="1"/>
    <w:qFormat/>
    <w:uiPriority w:val="0"/>
    <w:pPr>
      <w:pBdr>
        <w:right w:val="single" w:color="auto" w:sz="8" w:space="0"/>
      </w:pBdr>
      <w:spacing w:before="100" w:beforeAutospacing="1" w:after="100" w:afterAutospacing="1"/>
    </w:pPr>
    <w:rPr>
      <w:rFonts w:eastAsia="宋体" w:cs="宋体"/>
      <w:color w:val="FF0000"/>
      <w:kern w:val="0"/>
      <w:szCs w:val="21"/>
      <w:lang w:val="en-US"/>
    </w:rPr>
  </w:style>
  <w:style w:type="paragraph" w:customStyle="1" w:styleId="403">
    <w:name w:val="xl106"/>
    <w:basedOn w:val="1"/>
    <w:qFormat/>
    <w:uiPriority w:val="0"/>
    <w:pPr>
      <w:pBdr>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404">
    <w:name w:val="xl70"/>
    <w:basedOn w:val="1"/>
    <w:qFormat/>
    <w:uiPriority w:val="0"/>
    <w:pPr>
      <w:pBdr>
        <w:right w:val="single" w:color="auto" w:sz="8" w:space="0"/>
      </w:pBdr>
      <w:spacing w:before="100" w:beforeAutospacing="1" w:after="100" w:afterAutospacing="1"/>
    </w:pPr>
    <w:rPr>
      <w:rFonts w:eastAsia="宋体" w:cs="宋体"/>
      <w:kern w:val="0"/>
      <w:szCs w:val="21"/>
      <w:lang w:val="en-US"/>
    </w:rPr>
  </w:style>
  <w:style w:type="paragraph" w:customStyle="1" w:styleId="405">
    <w:name w:val="xl66"/>
    <w:basedOn w:val="1"/>
    <w:qFormat/>
    <w:uiPriority w:val="0"/>
    <w:pPr>
      <w:pBdr>
        <w:top w:val="single" w:color="auto" w:sz="8" w:space="0"/>
        <w:left w:val="single" w:color="auto" w:sz="8" w:space="0"/>
        <w:right w:val="single" w:color="auto" w:sz="8" w:space="0"/>
      </w:pBdr>
      <w:spacing w:before="100" w:beforeAutospacing="1" w:after="100" w:afterAutospacing="1"/>
    </w:pPr>
    <w:rPr>
      <w:rFonts w:ascii="宋体" w:hAnsi="宋体" w:eastAsia="宋体" w:cs="宋体"/>
      <w:kern w:val="0"/>
      <w:szCs w:val="21"/>
      <w:lang w:val="en-US"/>
    </w:rPr>
  </w:style>
  <w:style w:type="paragraph" w:customStyle="1" w:styleId="406">
    <w:name w:val="xl87"/>
    <w:basedOn w:val="1"/>
    <w:qFormat/>
    <w:uiPriority w:val="0"/>
    <w:pPr>
      <w:pBdr>
        <w:left w:val="single" w:color="auto" w:sz="8" w:space="0"/>
        <w:bottom w:val="single" w:color="auto" w:sz="8" w:space="0"/>
        <w:right w:val="single" w:color="auto" w:sz="8" w:space="0"/>
      </w:pBdr>
      <w:spacing w:before="100" w:beforeAutospacing="1" w:after="100" w:afterAutospacing="1"/>
    </w:pPr>
    <w:rPr>
      <w:rFonts w:ascii="Arial" w:hAnsi="Arial" w:eastAsia="宋体" w:cs="Arial"/>
      <w:color w:val="FF0000"/>
      <w:kern w:val="0"/>
      <w:sz w:val="20"/>
      <w:lang w:val="en-US"/>
    </w:rPr>
  </w:style>
  <w:style w:type="paragraph" w:customStyle="1" w:styleId="407">
    <w:name w:val="xl82"/>
    <w:basedOn w:val="1"/>
    <w:qFormat/>
    <w:uiPriority w:val="0"/>
    <w:pPr>
      <w:pBdr>
        <w:left w:val="single" w:color="auto" w:sz="8" w:space="0"/>
        <w:bottom w:val="single" w:color="auto" w:sz="8" w:space="0"/>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408">
    <w:name w:val="font7"/>
    <w:basedOn w:val="1"/>
    <w:qFormat/>
    <w:uiPriority w:val="0"/>
    <w:pPr>
      <w:spacing w:before="100" w:beforeAutospacing="1" w:after="100" w:afterAutospacing="1"/>
    </w:pPr>
    <w:rPr>
      <w:rFonts w:ascii="宋体" w:hAnsi="宋体" w:eastAsia="宋体" w:cs="宋体"/>
      <w:color w:val="000000"/>
      <w:kern w:val="0"/>
      <w:szCs w:val="21"/>
      <w:lang w:val="en-US"/>
    </w:rPr>
  </w:style>
  <w:style w:type="paragraph" w:customStyle="1" w:styleId="409">
    <w:name w:val="xl141"/>
    <w:basedOn w:val="1"/>
    <w:qFormat/>
    <w:uiPriority w:val="0"/>
    <w:pPr>
      <w:pBdr>
        <w:left w:val="single" w:color="auto" w:sz="8" w:space="0"/>
        <w:bottom w:val="single" w:color="auto" w:sz="8" w:space="0"/>
        <w:right w:val="single" w:color="000000" w:sz="8" w:space="0"/>
      </w:pBdr>
      <w:spacing w:before="100" w:beforeAutospacing="1" w:after="100" w:afterAutospacing="1"/>
      <w:jc w:val="center"/>
    </w:pPr>
    <w:rPr>
      <w:rFonts w:ascii="宋体" w:hAnsi="宋体" w:eastAsia="宋体" w:cs="宋体"/>
      <w:color w:val="008080"/>
      <w:kern w:val="0"/>
      <w:szCs w:val="21"/>
      <w:u w:val="single"/>
      <w:lang w:val="en-US"/>
    </w:rPr>
  </w:style>
  <w:style w:type="paragraph" w:customStyle="1" w:styleId="410">
    <w:name w:val="xl148"/>
    <w:basedOn w:val="1"/>
    <w:qFormat/>
    <w:uiPriority w:val="0"/>
    <w:pPr>
      <w:pBdr>
        <w:left w:val="single" w:color="auto" w:sz="8" w:space="0"/>
        <w:bottom w:val="single" w:color="auto" w:sz="8" w:space="0"/>
        <w:right w:val="single" w:color="000000" w:sz="8" w:space="0"/>
      </w:pBdr>
      <w:spacing w:before="100" w:beforeAutospacing="1" w:after="100" w:afterAutospacing="1"/>
      <w:jc w:val="center"/>
    </w:pPr>
    <w:rPr>
      <w:rFonts w:ascii="宋体" w:hAnsi="宋体" w:eastAsia="宋体" w:cs="宋体"/>
      <w:kern w:val="0"/>
      <w:szCs w:val="21"/>
      <w:lang w:val="en-US"/>
    </w:rPr>
  </w:style>
  <w:style w:type="paragraph" w:customStyle="1" w:styleId="411">
    <w:name w:val="xl140"/>
    <w:basedOn w:val="1"/>
    <w:qFormat/>
    <w:uiPriority w:val="0"/>
    <w:pPr>
      <w:pBdr>
        <w:bottom w:val="single" w:color="auto" w:sz="8" w:space="0"/>
        <w:right w:val="single" w:color="auto" w:sz="8" w:space="0"/>
      </w:pBdr>
      <w:spacing w:before="100" w:beforeAutospacing="1" w:after="100" w:afterAutospacing="1"/>
      <w:jc w:val="both"/>
    </w:pPr>
    <w:rPr>
      <w:rFonts w:ascii="宋体" w:hAnsi="宋体" w:eastAsia="宋体" w:cs="宋体"/>
      <w:b/>
      <w:bCs/>
      <w:kern w:val="0"/>
      <w:szCs w:val="21"/>
      <w:lang w:val="en-US"/>
    </w:rPr>
  </w:style>
  <w:style w:type="paragraph" w:customStyle="1" w:styleId="412">
    <w:name w:val="xl124"/>
    <w:basedOn w:val="1"/>
    <w:qFormat/>
    <w:uiPriority w:val="0"/>
    <w:pPr>
      <w:pBdr>
        <w:left w:val="single" w:color="auto" w:sz="8" w:space="0"/>
        <w:right w:val="single" w:color="000000" w:sz="8" w:space="0"/>
      </w:pBdr>
      <w:shd w:val="clear" w:color="000000" w:fill="FFFFFF"/>
      <w:spacing w:before="100" w:beforeAutospacing="1" w:after="100" w:afterAutospacing="1"/>
      <w:jc w:val="center"/>
    </w:pPr>
    <w:rPr>
      <w:rFonts w:ascii="宋体" w:hAnsi="宋体" w:eastAsia="宋体" w:cs="宋体"/>
      <w:kern w:val="0"/>
      <w:szCs w:val="21"/>
      <w:lang w:val="en-US"/>
    </w:rPr>
  </w:style>
  <w:style w:type="paragraph" w:customStyle="1" w:styleId="413">
    <w:name w:val="xl150"/>
    <w:basedOn w:val="1"/>
    <w:qFormat/>
    <w:uiPriority w:val="0"/>
    <w:pPr>
      <w:pBdr>
        <w:left w:val="single" w:color="auto" w:sz="8" w:space="0"/>
        <w:right w:val="single" w:color="auto" w:sz="8" w:space="0"/>
      </w:pBdr>
      <w:spacing w:before="100" w:beforeAutospacing="1" w:after="100" w:afterAutospacing="1"/>
      <w:jc w:val="center"/>
    </w:pPr>
    <w:rPr>
      <w:rFonts w:ascii="宋体" w:hAnsi="宋体" w:eastAsia="宋体" w:cs="宋体"/>
      <w:kern w:val="0"/>
      <w:sz w:val="24"/>
      <w:szCs w:val="24"/>
      <w:lang w:val="en-US"/>
    </w:rPr>
  </w:style>
  <w:style w:type="paragraph" w:customStyle="1" w:styleId="414">
    <w:name w:val="0"/>
    <w:basedOn w:val="1"/>
    <w:qFormat/>
    <w:uiPriority w:val="0"/>
    <w:pPr>
      <w:snapToGrid w:val="0"/>
      <w:jc w:val="both"/>
    </w:pPr>
    <w:rPr>
      <w:rFonts w:ascii="Times New Roman" w:hAnsi="Times New Roman" w:eastAsia="Arial Unicode MS"/>
      <w:kern w:val="0"/>
      <w:lang w:val="en-US"/>
    </w:rPr>
  </w:style>
  <w:style w:type="paragraph" w:customStyle="1" w:styleId="415">
    <w:name w:val="xl147"/>
    <w:basedOn w:val="1"/>
    <w:qFormat/>
    <w:uiPriority w:val="0"/>
    <w:pPr>
      <w:pBdr>
        <w:top w:val="single" w:color="auto" w:sz="8" w:space="0"/>
        <w:left w:val="single" w:color="auto" w:sz="8" w:space="0"/>
        <w:right w:val="single" w:color="000000" w:sz="8" w:space="0"/>
      </w:pBdr>
      <w:spacing w:before="100" w:beforeAutospacing="1" w:after="100" w:afterAutospacing="1"/>
      <w:jc w:val="center"/>
    </w:pPr>
    <w:rPr>
      <w:rFonts w:ascii="宋体" w:hAnsi="宋体" w:eastAsia="宋体" w:cs="宋体"/>
      <w:kern w:val="0"/>
      <w:szCs w:val="21"/>
      <w:lang w:val="en-US"/>
    </w:rPr>
  </w:style>
  <w:style w:type="paragraph" w:customStyle="1" w:styleId="416">
    <w:name w:val="font21"/>
    <w:basedOn w:val="1"/>
    <w:qFormat/>
    <w:uiPriority w:val="0"/>
    <w:pPr>
      <w:spacing w:before="100" w:beforeAutospacing="1" w:after="100" w:afterAutospacing="1"/>
    </w:pPr>
    <w:rPr>
      <w:rFonts w:ascii="宋体" w:hAnsi="宋体" w:eastAsia="宋体" w:cs="宋体"/>
      <w:color w:val="FF0000"/>
      <w:kern w:val="0"/>
      <w:szCs w:val="21"/>
      <w:u w:val="single"/>
      <w:lang w:val="en-US"/>
    </w:rPr>
  </w:style>
  <w:style w:type="paragraph" w:customStyle="1" w:styleId="417">
    <w:name w:val="xl128"/>
    <w:basedOn w:val="1"/>
    <w:qFormat/>
    <w:uiPriority w:val="0"/>
    <w:pPr>
      <w:pBdr>
        <w:right w:val="single" w:color="auto" w:sz="8" w:space="0"/>
      </w:pBdr>
      <w:spacing w:before="100" w:beforeAutospacing="1" w:after="100" w:afterAutospacing="1"/>
      <w:jc w:val="both"/>
    </w:pPr>
    <w:rPr>
      <w:rFonts w:ascii="Wingdings" w:hAnsi="Wingdings" w:eastAsia="宋体" w:cs="宋体"/>
      <w:kern w:val="0"/>
      <w:szCs w:val="21"/>
      <w:lang w:val="en-US"/>
    </w:rPr>
  </w:style>
  <w:style w:type="paragraph" w:customStyle="1" w:styleId="418">
    <w:name w:val="xl122"/>
    <w:basedOn w:val="1"/>
    <w:qFormat/>
    <w:uiPriority w:val="0"/>
    <w:pPr>
      <w:pBdr>
        <w:left w:val="single" w:color="auto" w:sz="8" w:space="0"/>
        <w:bottom w:val="single" w:color="auto" w:sz="8" w:space="0"/>
        <w:right w:val="single" w:color="000000" w:sz="8" w:space="0"/>
      </w:pBdr>
      <w:shd w:val="clear" w:color="000000" w:fill="FFFFFF"/>
      <w:spacing w:before="100" w:beforeAutospacing="1" w:after="100" w:afterAutospacing="1"/>
      <w:jc w:val="center"/>
    </w:pPr>
    <w:rPr>
      <w:rFonts w:ascii="宋体" w:hAnsi="宋体" w:eastAsia="宋体" w:cs="宋体"/>
      <w:color w:val="FF0000"/>
      <w:kern w:val="0"/>
      <w:szCs w:val="21"/>
      <w:lang w:val="en-US"/>
    </w:rPr>
  </w:style>
  <w:style w:type="paragraph" w:customStyle="1" w:styleId="419">
    <w:name w:val="font5"/>
    <w:basedOn w:val="1"/>
    <w:qFormat/>
    <w:uiPriority w:val="0"/>
    <w:pPr>
      <w:spacing w:before="100" w:beforeAutospacing="1" w:after="100" w:afterAutospacing="1"/>
    </w:pPr>
    <w:rPr>
      <w:rFonts w:eastAsia="宋体" w:cs="宋体"/>
      <w:color w:val="000000"/>
      <w:kern w:val="0"/>
      <w:szCs w:val="21"/>
      <w:lang w:val="en-US"/>
    </w:rPr>
  </w:style>
  <w:style w:type="paragraph" w:customStyle="1" w:styleId="420">
    <w:name w:val="xl154"/>
    <w:basedOn w:val="1"/>
    <w:qFormat/>
    <w:uiPriority w:val="0"/>
    <w:pPr>
      <w:pBdr>
        <w:right w:val="single" w:color="auto" w:sz="8" w:space="0"/>
      </w:pBdr>
      <w:spacing w:before="100" w:beforeAutospacing="1" w:after="100" w:afterAutospacing="1"/>
      <w:jc w:val="center"/>
    </w:pPr>
    <w:rPr>
      <w:rFonts w:ascii="宋体" w:hAnsi="宋体" w:eastAsia="宋体" w:cs="宋体"/>
      <w:kern w:val="0"/>
      <w:szCs w:val="21"/>
      <w:lang w:val="en-US"/>
    </w:rPr>
  </w:style>
  <w:style w:type="paragraph" w:customStyle="1" w:styleId="421">
    <w:name w:val="xl77"/>
    <w:basedOn w:val="1"/>
    <w:qFormat/>
    <w:uiPriority w:val="0"/>
    <w:pPr>
      <w:pBdr>
        <w:bottom w:val="single" w:color="auto" w:sz="8" w:space="0"/>
        <w:right w:val="single" w:color="auto" w:sz="8" w:space="0"/>
      </w:pBdr>
      <w:spacing w:before="100" w:beforeAutospacing="1" w:after="100" w:afterAutospacing="1"/>
    </w:pPr>
    <w:rPr>
      <w:rFonts w:ascii="宋体" w:hAnsi="宋体" w:eastAsia="宋体" w:cs="宋体"/>
      <w:kern w:val="0"/>
      <w:sz w:val="24"/>
      <w:szCs w:val="24"/>
      <w:lang w:val="en-US"/>
    </w:rPr>
  </w:style>
  <w:style w:type="paragraph" w:customStyle="1" w:styleId="422">
    <w:name w:val="xl131"/>
    <w:basedOn w:val="1"/>
    <w:qFormat/>
    <w:uiPriority w:val="0"/>
    <w:pPr>
      <w:pBdr>
        <w:top w:val="single" w:color="auto" w:sz="8" w:space="0"/>
        <w:left w:val="single" w:color="auto" w:sz="8" w:space="0"/>
        <w:right w:val="single" w:color="auto" w:sz="8" w:space="0"/>
      </w:pBdr>
      <w:spacing w:before="100" w:beforeAutospacing="1" w:after="100" w:afterAutospacing="1"/>
    </w:pPr>
    <w:rPr>
      <w:rFonts w:ascii="Arial" w:hAnsi="Arial" w:eastAsia="宋体" w:cs="Arial"/>
      <w:color w:val="FF0000"/>
      <w:kern w:val="0"/>
      <w:szCs w:val="21"/>
      <w:lang w:val="en-US"/>
    </w:rPr>
  </w:style>
  <w:style w:type="paragraph" w:customStyle="1" w:styleId="423">
    <w:name w:val="xl85"/>
    <w:basedOn w:val="1"/>
    <w:qFormat/>
    <w:uiPriority w:val="0"/>
    <w:pPr>
      <w:pBdr>
        <w:top w:val="single" w:color="auto" w:sz="8" w:space="0"/>
        <w:left w:val="single" w:color="auto" w:sz="8" w:space="0"/>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424">
    <w:name w:val="xl146"/>
    <w:basedOn w:val="1"/>
    <w:qFormat/>
    <w:uiPriority w:val="0"/>
    <w:pPr>
      <w:pBdr>
        <w:left w:val="single" w:color="auto" w:sz="8" w:space="0"/>
        <w:right w:val="single" w:color="000000" w:sz="8" w:space="0"/>
      </w:pBdr>
      <w:spacing w:before="100" w:beforeAutospacing="1" w:after="100" w:afterAutospacing="1"/>
      <w:jc w:val="center"/>
    </w:pPr>
    <w:rPr>
      <w:rFonts w:ascii="宋体" w:hAnsi="宋体" w:eastAsia="宋体" w:cs="宋体"/>
      <w:kern w:val="0"/>
      <w:szCs w:val="21"/>
      <w:lang w:val="en-US"/>
    </w:rPr>
  </w:style>
  <w:style w:type="paragraph" w:customStyle="1" w:styleId="425">
    <w:name w:val="font23"/>
    <w:basedOn w:val="1"/>
    <w:qFormat/>
    <w:uiPriority w:val="0"/>
    <w:pPr>
      <w:spacing w:before="100" w:beforeAutospacing="1" w:after="100" w:afterAutospacing="1"/>
    </w:pPr>
    <w:rPr>
      <w:rFonts w:ascii="Times New Roman" w:hAnsi="Times New Roman" w:eastAsia="宋体"/>
      <w:color w:val="FF0000"/>
      <w:kern w:val="0"/>
      <w:sz w:val="14"/>
      <w:szCs w:val="14"/>
      <w:lang w:val="en-US"/>
    </w:rPr>
  </w:style>
  <w:style w:type="paragraph" w:customStyle="1" w:styleId="426">
    <w:name w:val="xl105"/>
    <w:basedOn w:val="1"/>
    <w:qFormat/>
    <w:uiPriority w:val="0"/>
    <w:pPr>
      <w:pBdr>
        <w:top w:val="single" w:color="auto" w:sz="8" w:space="0"/>
        <w:left w:val="single" w:color="auto" w:sz="8" w:space="0"/>
        <w:right w:val="single" w:color="auto" w:sz="8" w:space="0"/>
      </w:pBdr>
      <w:spacing w:before="100" w:beforeAutospacing="1" w:after="100" w:afterAutospacing="1"/>
    </w:pPr>
    <w:rPr>
      <w:rFonts w:ascii="Arial" w:hAnsi="Arial" w:eastAsia="宋体" w:cs="Arial"/>
      <w:color w:val="FF0000"/>
      <w:kern w:val="0"/>
      <w:sz w:val="20"/>
      <w:lang w:val="en-US"/>
    </w:rPr>
  </w:style>
  <w:style w:type="paragraph" w:customStyle="1" w:styleId="427">
    <w:name w:val="xl73"/>
    <w:basedOn w:val="1"/>
    <w:qFormat/>
    <w:uiPriority w:val="0"/>
    <w:pPr>
      <w:pBdr>
        <w:right w:val="single" w:color="auto" w:sz="8" w:space="0"/>
      </w:pBdr>
      <w:spacing w:before="100" w:beforeAutospacing="1" w:after="100" w:afterAutospacing="1"/>
      <w:jc w:val="both"/>
    </w:pPr>
    <w:rPr>
      <w:rFonts w:ascii="宋体" w:hAnsi="宋体" w:eastAsia="宋体" w:cs="宋体"/>
      <w:color w:val="008080"/>
      <w:kern w:val="0"/>
      <w:szCs w:val="21"/>
      <w:u w:val="single"/>
      <w:lang w:val="en-US"/>
    </w:rPr>
  </w:style>
  <w:style w:type="paragraph" w:customStyle="1" w:styleId="428">
    <w:name w:val="font17"/>
    <w:basedOn w:val="1"/>
    <w:qFormat/>
    <w:uiPriority w:val="0"/>
    <w:pPr>
      <w:spacing w:before="100" w:beforeAutospacing="1" w:after="100" w:afterAutospacing="1"/>
    </w:pPr>
    <w:rPr>
      <w:rFonts w:ascii="新宋体" w:hAnsi="新宋体" w:eastAsia="新宋体" w:cs="宋体"/>
      <w:color w:val="000000"/>
      <w:kern w:val="0"/>
      <w:szCs w:val="21"/>
      <w:lang w:val="en-US"/>
    </w:rPr>
  </w:style>
  <w:style w:type="paragraph" w:customStyle="1" w:styleId="429">
    <w:name w:val="xl120"/>
    <w:basedOn w:val="1"/>
    <w:qFormat/>
    <w:uiPriority w:val="0"/>
    <w:pPr>
      <w:pBdr>
        <w:left w:val="single" w:color="auto" w:sz="8" w:space="0"/>
        <w:right w:val="single" w:color="000000" w:sz="8" w:space="0"/>
      </w:pBdr>
      <w:shd w:val="clear" w:color="000000" w:fill="FFFFFF"/>
      <w:spacing w:before="100" w:beforeAutospacing="1" w:after="100" w:afterAutospacing="1"/>
      <w:jc w:val="center"/>
    </w:pPr>
    <w:rPr>
      <w:rFonts w:ascii="宋体" w:hAnsi="宋体" w:eastAsia="宋体" w:cs="宋体"/>
      <w:color w:val="FF0000"/>
      <w:kern w:val="0"/>
      <w:szCs w:val="21"/>
      <w:lang w:val="en-US"/>
    </w:rPr>
  </w:style>
  <w:style w:type="paragraph" w:customStyle="1" w:styleId="430">
    <w:name w:val="xl119"/>
    <w:basedOn w:val="1"/>
    <w:qFormat/>
    <w:uiPriority w:val="0"/>
    <w:pPr>
      <w:pBdr>
        <w:left w:val="single" w:color="auto" w:sz="8" w:space="0"/>
        <w:bottom w:val="single" w:color="auto" w:sz="8" w:space="0"/>
        <w:right w:val="single" w:color="000000" w:sz="8" w:space="0"/>
      </w:pBdr>
      <w:shd w:val="clear" w:color="000000" w:fill="FFFFFF"/>
      <w:spacing w:before="100" w:beforeAutospacing="1" w:after="100" w:afterAutospacing="1"/>
      <w:jc w:val="center"/>
    </w:pPr>
    <w:rPr>
      <w:rFonts w:ascii="宋体" w:hAnsi="宋体" w:eastAsia="宋体" w:cs="宋体"/>
      <w:kern w:val="0"/>
      <w:szCs w:val="21"/>
      <w:lang w:val="en-US"/>
    </w:rPr>
  </w:style>
  <w:style w:type="paragraph" w:customStyle="1" w:styleId="431">
    <w:name w:val="xl100"/>
    <w:basedOn w:val="1"/>
    <w:qFormat/>
    <w:uiPriority w:val="0"/>
    <w:pPr>
      <w:pBdr>
        <w:top w:val="single" w:color="auto" w:sz="8" w:space="0"/>
        <w:left w:val="single" w:color="auto" w:sz="8" w:space="0"/>
        <w:right w:val="single" w:color="auto" w:sz="8" w:space="0"/>
      </w:pBdr>
      <w:spacing w:before="100" w:beforeAutospacing="1" w:after="100" w:afterAutospacing="1"/>
    </w:pPr>
    <w:rPr>
      <w:rFonts w:ascii="宋体" w:hAnsi="宋体" w:eastAsia="宋体" w:cs="宋体"/>
      <w:kern w:val="0"/>
      <w:sz w:val="20"/>
      <w:lang w:val="en-US"/>
    </w:rPr>
  </w:style>
  <w:style w:type="paragraph" w:customStyle="1" w:styleId="432">
    <w:name w:val="xl138"/>
    <w:basedOn w:val="1"/>
    <w:qFormat/>
    <w:uiPriority w:val="0"/>
    <w:pPr>
      <w:pBdr>
        <w:bottom w:val="single" w:color="auto" w:sz="8" w:space="0"/>
        <w:right w:val="single" w:color="auto" w:sz="8" w:space="0"/>
      </w:pBdr>
      <w:spacing w:before="100" w:beforeAutospacing="1" w:after="100" w:afterAutospacing="1"/>
    </w:pPr>
    <w:rPr>
      <w:rFonts w:ascii="宋体" w:hAnsi="宋体" w:eastAsia="宋体" w:cs="宋体"/>
      <w:color w:val="FF0000"/>
      <w:kern w:val="0"/>
      <w:szCs w:val="21"/>
      <w:lang w:val="en-US"/>
    </w:rPr>
  </w:style>
  <w:style w:type="paragraph" w:customStyle="1" w:styleId="433">
    <w:name w:val="font15"/>
    <w:basedOn w:val="1"/>
    <w:qFormat/>
    <w:uiPriority w:val="0"/>
    <w:pPr>
      <w:spacing w:before="100" w:beforeAutospacing="1" w:after="100" w:afterAutospacing="1"/>
    </w:pPr>
    <w:rPr>
      <w:rFonts w:ascii="宋体" w:hAnsi="宋体" w:eastAsia="宋体" w:cs="宋体"/>
      <w:color w:val="008080"/>
      <w:kern w:val="0"/>
      <w:szCs w:val="21"/>
      <w:u w:val="single"/>
      <w:lang w:val="en-US"/>
    </w:rPr>
  </w:style>
  <w:style w:type="paragraph" w:customStyle="1" w:styleId="434">
    <w:name w:val="xl108"/>
    <w:basedOn w:val="1"/>
    <w:qFormat/>
    <w:uiPriority w:val="0"/>
    <w:pPr>
      <w:pBdr>
        <w:left w:val="single" w:color="auto" w:sz="8" w:space="0"/>
        <w:bottom w:val="single" w:color="auto" w:sz="8" w:space="0"/>
        <w:right w:val="single" w:color="auto" w:sz="8" w:space="0"/>
      </w:pBdr>
      <w:spacing w:before="100" w:beforeAutospacing="1" w:after="100" w:afterAutospacing="1"/>
    </w:pPr>
    <w:rPr>
      <w:rFonts w:ascii="宋体" w:hAnsi="宋体" w:eastAsia="宋体" w:cs="宋体"/>
      <w:b/>
      <w:bCs/>
      <w:kern w:val="0"/>
      <w:szCs w:val="21"/>
      <w:lang w:val="en-US"/>
    </w:rPr>
  </w:style>
  <w:style w:type="paragraph" w:customStyle="1" w:styleId="435">
    <w:name w:val="xl139"/>
    <w:basedOn w:val="1"/>
    <w:qFormat/>
    <w:uiPriority w:val="0"/>
    <w:pPr>
      <w:pBdr>
        <w:right w:val="single" w:color="auto" w:sz="8" w:space="0"/>
      </w:pBdr>
      <w:spacing w:before="100" w:beforeAutospacing="1" w:after="100" w:afterAutospacing="1"/>
      <w:jc w:val="both"/>
    </w:pPr>
    <w:rPr>
      <w:rFonts w:ascii="宋体" w:hAnsi="宋体" w:eastAsia="宋体" w:cs="宋体"/>
      <w:b/>
      <w:bCs/>
      <w:kern w:val="0"/>
      <w:szCs w:val="21"/>
      <w:lang w:val="en-US"/>
    </w:rPr>
  </w:style>
  <w:style w:type="paragraph" w:customStyle="1" w:styleId="436">
    <w:name w:val="font19"/>
    <w:basedOn w:val="1"/>
    <w:qFormat/>
    <w:uiPriority w:val="0"/>
    <w:pPr>
      <w:spacing w:before="100" w:beforeAutospacing="1" w:after="100" w:afterAutospacing="1"/>
    </w:pPr>
    <w:rPr>
      <w:rFonts w:eastAsia="宋体" w:cs="宋体"/>
      <w:color w:val="000000"/>
      <w:kern w:val="0"/>
      <w:sz w:val="20"/>
      <w:lang w:val="en-US"/>
    </w:rPr>
  </w:style>
  <w:style w:type="paragraph" w:customStyle="1" w:styleId="437">
    <w:name w:val="xl117"/>
    <w:basedOn w:val="1"/>
    <w:qFormat/>
    <w:uiPriority w:val="0"/>
    <w:pPr>
      <w:pBdr>
        <w:bottom w:val="single" w:color="auto" w:sz="8" w:space="0"/>
        <w:right w:val="single" w:color="auto" w:sz="8" w:space="0"/>
      </w:pBdr>
      <w:shd w:val="clear" w:color="000000" w:fill="FFFFFF"/>
      <w:spacing w:before="100" w:beforeAutospacing="1" w:after="100" w:afterAutospacing="1"/>
    </w:pPr>
    <w:rPr>
      <w:rFonts w:ascii="宋体" w:hAnsi="宋体" w:eastAsia="宋体" w:cs="宋体"/>
      <w:kern w:val="0"/>
      <w:szCs w:val="21"/>
      <w:lang w:val="en-US"/>
    </w:rPr>
  </w:style>
  <w:style w:type="paragraph" w:customStyle="1" w:styleId="438">
    <w:name w:val="xl155"/>
    <w:basedOn w:val="1"/>
    <w:qFormat/>
    <w:uiPriority w:val="0"/>
    <w:pPr>
      <w:spacing w:before="100" w:beforeAutospacing="1" w:after="100" w:afterAutospacing="1"/>
      <w:jc w:val="center"/>
    </w:pPr>
    <w:rPr>
      <w:rFonts w:ascii="宋体" w:hAnsi="宋体" w:eastAsia="宋体" w:cs="宋体"/>
      <w:kern w:val="0"/>
      <w:sz w:val="24"/>
      <w:szCs w:val="24"/>
      <w:lang w:val="en-US"/>
    </w:rPr>
  </w:style>
  <w:style w:type="paragraph" w:customStyle="1" w:styleId="439">
    <w:name w:val="xl88"/>
    <w:basedOn w:val="1"/>
    <w:qFormat/>
    <w:uiPriority w:val="0"/>
    <w:pPr>
      <w:pBdr>
        <w:bottom w:val="single" w:color="auto" w:sz="8" w:space="0"/>
        <w:right w:val="single" w:color="auto" w:sz="8" w:space="0"/>
      </w:pBdr>
      <w:spacing w:before="100" w:beforeAutospacing="1" w:after="100" w:afterAutospacing="1"/>
      <w:jc w:val="both"/>
    </w:pPr>
    <w:rPr>
      <w:rFonts w:ascii="宋体" w:hAnsi="宋体" w:eastAsia="宋体" w:cs="宋体"/>
      <w:color w:val="FF0000"/>
      <w:kern w:val="0"/>
      <w:szCs w:val="21"/>
      <w:lang w:val="en-US"/>
    </w:rPr>
  </w:style>
  <w:style w:type="paragraph" w:customStyle="1" w:styleId="440">
    <w:name w:val="xl92"/>
    <w:basedOn w:val="1"/>
    <w:qFormat/>
    <w:uiPriority w:val="0"/>
    <w:pPr>
      <w:pBdr>
        <w:left w:val="single" w:color="auto" w:sz="8" w:space="0"/>
        <w:bottom w:val="single" w:color="auto" w:sz="8" w:space="0"/>
        <w:right w:val="single" w:color="auto" w:sz="8" w:space="0"/>
      </w:pBdr>
      <w:spacing w:before="100" w:beforeAutospacing="1" w:after="100" w:afterAutospacing="1"/>
    </w:pPr>
    <w:rPr>
      <w:rFonts w:ascii="Arial" w:hAnsi="Arial" w:eastAsia="宋体" w:cs="Arial"/>
      <w:kern w:val="0"/>
      <w:szCs w:val="21"/>
      <w:lang w:val="en-US"/>
    </w:rPr>
  </w:style>
  <w:style w:type="paragraph" w:customStyle="1" w:styleId="441">
    <w:name w:val="xl144"/>
    <w:basedOn w:val="1"/>
    <w:qFormat/>
    <w:uiPriority w:val="0"/>
    <w:pPr>
      <w:pBdr>
        <w:right w:val="single" w:color="auto" w:sz="8" w:space="0"/>
      </w:pBdr>
      <w:spacing w:before="100" w:beforeAutospacing="1" w:after="100" w:afterAutospacing="1"/>
      <w:jc w:val="both"/>
    </w:pPr>
    <w:rPr>
      <w:rFonts w:ascii="新宋体" w:hAnsi="新宋体" w:eastAsia="新宋体" w:cs="宋体"/>
      <w:color w:val="FF0000"/>
      <w:kern w:val="0"/>
      <w:szCs w:val="21"/>
      <w:lang w:val="en-US"/>
    </w:rPr>
  </w:style>
  <w:style w:type="paragraph" w:customStyle="1" w:styleId="442">
    <w:name w:val="xl110"/>
    <w:basedOn w:val="1"/>
    <w:qFormat/>
    <w:uiPriority w:val="0"/>
    <w:pPr>
      <w:pBdr>
        <w:left w:val="single" w:color="auto" w:sz="8" w:space="0"/>
        <w:right w:val="single" w:color="auto" w:sz="8" w:space="0"/>
      </w:pBdr>
      <w:spacing w:before="100" w:beforeAutospacing="1" w:after="100" w:afterAutospacing="1"/>
      <w:jc w:val="both"/>
    </w:pPr>
    <w:rPr>
      <w:rFonts w:eastAsia="宋体" w:cs="宋体"/>
      <w:b/>
      <w:bCs/>
      <w:color w:val="FF0000"/>
      <w:kern w:val="0"/>
      <w:szCs w:val="21"/>
      <w:lang w:val="en-US"/>
    </w:rPr>
  </w:style>
  <w:style w:type="paragraph" w:customStyle="1" w:styleId="443">
    <w:name w:val="xl143"/>
    <w:basedOn w:val="1"/>
    <w:qFormat/>
    <w:uiPriority w:val="0"/>
    <w:pPr>
      <w:pBdr>
        <w:right w:val="single" w:color="auto" w:sz="8" w:space="0"/>
      </w:pBdr>
      <w:spacing w:before="100" w:beforeAutospacing="1" w:after="100" w:afterAutospacing="1"/>
      <w:ind w:firstLine="100" w:firstLineChars="100"/>
    </w:pPr>
    <w:rPr>
      <w:rFonts w:ascii="Wingdings" w:hAnsi="Wingdings" w:eastAsia="宋体" w:cs="宋体"/>
      <w:kern w:val="0"/>
      <w:szCs w:val="21"/>
      <w:lang w:val="en-US"/>
    </w:rPr>
  </w:style>
  <w:style w:type="paragraph" w:customStyle="1" w:styleId="444">
    <w:name w:val="xl132"/>
    <w:basedOn w:val="1"/>
    <w:qFormat/>
    <w:uiPriority w:val="0"/>
    <w:pPr>
      <w:pBdr>
        <w:bottom w:val="single" w:color="auto" w:sz="8" w:space="0"/>
        <w:right w:val="single" w:color="auto" w:sz="8" w:space="0"/>
      </w:pBdr>
      <w:spacing w:before="100" w:beforeAutospacing="1" w:after="100" w:afterAutospacing="1"/>
    </w:pPr>
    <w:rPr>
      <w:rFonts w:ascii="宋体" w:hAnsi="宋体" w:eastAsia="宋体" w:cs="宋体"/>
      <w:color w:val="FF0000"/>
      <w:kern w:val="0"/>
      <w:szCs w:val="21"/>
      <w:lang w:val="en-US"/>
    </w:rPr>
  </w:style>
  <w:style w:type="paragraph" w:customStyle="1" w:styleId="445">
    <w:name w:val="样式 样式 样式 样式 标题 2 + 宋体 五号 非加粗 黑色 + 段前: 6 磅 段后: 0 磅 行距: 单倍行距 + 段前:..."/>
    <w:basedOn w:val="1"/>
    <w:qFormat/>
    <w:uiPriority w:val="0"/>
    <w:pPr>
      <w:keepNext/>
      <w:keepLines/>
      <w:widowControl w:val="0"/>
      <w:numPr>
        <w:ilvl w:val="0"/>
        <w:numId w:val="9"/>
      </w:numPr>
      <w:spacing w:before="240"/>
      <w:jc w:val="both"/>
      <w:outlineLvl w:val="1"/>
    </w:pPr>
    <w:rPr>
      <w:rFonts w:ascii="宋体" w:hAnsi="宋体" w:eastAsia="宋体" w:cs="宋体"/>
      <w:b/>
      <w:bCs/>
      <w:color w:val="000000"/>
      <w:kern w:val="2"/>
      <w:lang w:val="en-US"/>
    </w:rPr>
  </w:style>
  <w:style w:type="paragraph" w:customStyle="1" w:styleId="446">
    <w:name w:val="样式 宋体 五号 行距: 单倍行距"/>
    <w:basedOn w:val="1"/>
    <w:qFormat/>
    <w:uiPriority w:val="0"/>
    <w:pPr>
      <w:widowControl w:val="0"/>
      <w:jc w:val="both"/>
    </w:pPr>
    <w:rPr>
      <w:rFonts w:ascii="宋体" w:hAnsi="宋体" w:eastAsia="宋体" w:cs="宋体"/>
      <w:kern w:val="2"/>
      <w:lang w:val="en-US"/>
    </w:rPr>
  </w:style>
  <w:style w:type="paragraph" w:customStyle="1" w:styleId="447">
    <w:name w:val="xl91"/>
    <w:basedOn w:val="1"/>
    <w:qFormat/>
    <w:uiPriority w:val="0"/>
    <w:pPr>
      <w:pBdr>
        <w:left w:val="single" w:color="auto" w:sz="8" w:space="0"/>
        <w:bottom w:val="single" w:color="auto" w:sz="8" w:space="0"/>
        <w:right w:val="single" w:color="auto" w:sz="8" w:space="0"/>
      </w:pBdr>
      <w:spacing w:before="100" w:beforeAutospacing="1" w:after="100" w:afterAutospacing="1"/>
    </w:pPr>
    <w:rPr>
      <w:rFonts w:ascii="Arial" w:hAnsi="Arial" w:eastAsia="宋体" w:cs="Arial"/>
      <w:kern w:val="0"/>
      <w:sz w:val="20"/>
      <w:lang w:val="en-US"/>
    </w:rPr>
  </w:style>
  <w:style w:type="paragraph" w:customStyle="1" w:styleId="448">
    <w:name w:val="font12"/>
    <w:basedOn w:val="1"/>
    <w:qFormat/>
    <w:uiPriority w:val="0"/>
    <w:pPr>
      <w:spacing w:before="100" w:beforeAutospacing="1" w:after="100" w:afterAutospacing="1"/>
    </w:pPr>
    <w:rPr>
      <w:rFonts w:eastAsia="宋体" w:cs="宋体"/>
      <w:color w:val="FF0000"/>
      <w:kern w:val="0"/>
      <w:szCs w:val="21"/>
      <w:lang w:val="en-US"/>
    </w:rPr>
  </w:style>
  <w:style w:type="paragraph" w:customStyle="1" w:styleId="449">
    <w:name w:val="xl65"/>
    <w:basedOn w:val="1"/>
    <w:qFormat/>
    <w:uiPriority w:val="0"/>
    <w:pPr>
      <w:pBdr>
        <w:right w:val="single" w:color="auto" w:sz="8" w:space="0"/>
      </w:pBdr>
      <w:spacing w:before="100" w:beforeAutospacing="1" w:after="100" w:afterAutospacing="1"/>
    </w:pPr>
    <w:rPr>
      <w:rFonts w:ascii="宋体" w:hAnsi="宋体" w:eastAsia="宋体" w:cs="宋体"/>
      <w:kern w:val="0"/>
      <w:szCs w:val="21"/>
      <w:lang w:val="en-US"/>
    </w:rPr>
  </w:style>
  <w:style w:type="paragraph" w:customStyle="1" w:styleId="450">
    <w:name w:val="font13"/>
    <w:basedOn w:val="1"/>
    <w:qFormat/>
    <w:uiPriority w:val="0"/>
    <w:pPr>
      <w:spacing w:before="100" w:beforeAutospacing="1" w:after="100" w:afterAutospacing="1"/>
    </w:pPr>
    <w:rPr>
      <w:rFonts w:eastAsia="宋体" w:cs="宋体"/>
      <w:color w:val="FF0000"/>
      <w:kern w:val="0"/>
      <w:szCs w:val="21"/>
      <w:lang w:val="en-US"/>
    </w:rPr>
  </w:style>
  <w:style w:type="paragraph" w:customStyle="1" w:styleId="451">
    <w:name w:val="font18"/>
    <w:basedOn w:val="1"/>
    <w:qFormat/>
    <w:uiPriority w:val="0"/>
    <w:pPr>
      <w:spacing w:before="100" w:beforeAutospacing="1" w:after="100" w:afterAutospacing="1"/>
    </w:pPr>
    <w:rPr>
      <w:rFonts w:ascii="宋体" w:hAnsi="宋体" w:eastAsia="宋体" w:cs="宋体"/>
      <w:color w:val="000000"/>
      <w:kern w:val="0"/>
      <w:sz w:val="20"/>
      <w:lang w:val="en-US"/>
    </w:rPr>
  </w:style>
  <w:style w:type="paragraph" w:customStyle="1" w:styleId="452">
    <w:name w:val="xl135"/>
    <w:basedOn w:val="1"/>
    <w:qFormat/>
    <w:uiPriority w:val="0"/>
    <w:pPr>
      <w:pBdr>
        <w:top w:val="single" w:color="auto" w:sz="8" w:space="0"/>
        <w:left w:val="single" w:color="auto" w:sz="8" w:space="0"/>
        <w:right w:val="single" w:color="000000" w:sz="8" w:space="0"/>
      </w:pBdr>
      <w:spacing w:before="100" w:beforeAutospacing="1" w:after="100" w:afterAutospacing="1"/>
    </w:pPr>
    <w:rPr>
      <w:rFonts w:ascii="宋体" w:hAnsi="宋体" w:eastAsia="宋体" w:cs="宋体"/>
      <w:kern w:val="0"/>
      <w:szCs w:val="21"/>
      <w:lang w:val="en-US"/>
    </w:rPr>
  </w:style>
  <w:style w:type="paragraph" w:customStyle="1" w:styleId="453">
    <w:name w:val="xl126"/>
    <w:basedOn w:val="1"/>
    <w:qFormat/>
    <w:uiPriority w:val="0"/>
    <w:pPr>
      <w:pBdr>
        <w:left w:val="single" w:color="auto" w:sz="8" w:space="0"/>
        <w:bottom w:val="single" w:color="auto" w:sz="8" w:space="0"/>
        <w:right w:val="single" w:color="auto" w:sz="8" w:space="0"/>
      </w:pBdr>
      <w:spacing w:before="100" w:beforeAutospacing="1" w:after="100" w:afterAutospacing="1"/>
    </w:pPr>
    <w:rPr>
      <w:rFonts w:eastAsia="宋体" w:cs="宋体"/>
      <w:color w:val="FF0000"/>
      <w:kern w:val="0"/>
      <w:szCs w:val="21"/>
      <w:lang w:val="en-US"/>
    </w:rPr>
  </w:style>
  <w:style w:type="paragraph" w:customStyle="1" w:styleId="454">
    <w:name w:val="xl152"/>
    <w:basedOn w:val="1"/>
    <w:qFormat/>
    <w:uiPriority w:val="0"/>
    <w:pPr>
      <w:pBdr>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4"/>
      <w:lang w:val="en-US"/>
    </w:rPr>
  </w:style>
  <w:style w:type="paragraph" w:customStyle="1" w:styleId="455">
    <w:name w:val="xl123"/>
    <w:basedOn w:val="1"/>
    <w:qFormat/>
    <w:uiPriority w:val="0"/>
    <w:pPr>
      <w:pBdr>
        <w:top w:val="single" w:color="auto" w:sz="8" w:space="0"/>
        <w:left w:val="single" w:color="auto" w:sz="8" w:space="0"/>
        <w:right w:val="single" w:color="000000" w:sz="8" w:space="0"/>
      </w:pBdr>
      <w:shd w:val="clear" w:color="000000" w:fill="FFFFFF"/>
      <w:spacing w:before="100" w:beforeAutospacing="1" w:after="100" w:afterAutospacing="1"/>
      <w:jc w:val="center"/>
    </w:pPr>
    <w:rPr>
      <w:rFonts w:ascii="宋体" w:hAnsi="宋体" w:eastAsia="宋体" w:cs="宋体"/>
      <w:kern w:val="0"/>
      <w:szCs w:val="21"/>
      <w:lang w:val="en-US"/>
    </w:rPr>
  </w:style>
  <w:style w:type="paragraph" w:customStyle="1" w:styleId="456">
    <w:name w:val="font11"/>
    <w:basedOn w:val="1"/>
    <w:qFormat/>
    <w:uiPriority w:val="0"/>
    <w:pPr>
      <w:spacing w:before="100" w:beforeAutospacing="1" w:after="100" w:afterAutospacing="1"/>
    </w:pPr>
    <w:rPr>
      <w:rFonts w:ascii="宋体" w:hAnsi="宋体" w:eastAsia="宋体" w:cs="宋体"/>
      <w:color w:val="FF0000"/>
      <w:kern w:val="0"/>
      <w:szCs w:val="21"/>
      <w:lang w:val="en-US"/>
    </w:rPr>
  </w:style>
  <w:style w:type="paragraph" w:customStyle="1" w:styleId="457">
    <w:name w:val="xl96"/>
    <w:basedOn w:val="1"/>
    <w:qFormat/>
    <w:uiPriority w:val="0"/>
    <w:pPr>
      <w:pBdr>
        <w:left w:val="single" w:color="auto" w:sz="8" w:space="0"/>
        <w:right w:val="single" w:color="auto" w:sz="8" w:space="0"/>
      </w:pBdr>
      <w:spacing w:before="100" w:beforeAutospacing="1" w:after="100" w:afterAutospacing="1"/>
    </w:pPr>
    <w:rPr>
      <w:rFonts w:ascii="Arial" w:hAnsi="Arial" w:eastAsia="宋体" w:cs="Arial"/>
      <w:kern w:val="0"/>
      <w:sz w:val="20"/>
      <w:lang w:val="en-US"/>
    </w:rPr>
  </w:style>
  <w:style w:type="paragraph" w:customStyle="1" w:styleId="458">
    <w:name w:val="xl116"/>
    <w:basedOn w:val="1"/>
    <w:qFormat/>
    <w:uiPriority w:val="0"/>
    <w:pPr>
      <w:pBdr>
        <w:right w:val="single" w:color="auto" w:sz="8" w:space="0"/>
      </w:pBdr>
      <w:shd w:val="clear" w:color="000000" w:fill="FFFFFF"/>
      <w:spacing w:before="100" w:beforeAutospacing="1" w:after="100" w:afterAutospacing="1"/>
    </w:pPr>
    <w:rPr>
      <w:rFonts w:ascii="宋体" w:hAnsi="宋体" w:eastAsia="宋体" w:cs="宋体"/>
      <w:color w:val="FF0000"/>
      <w:kern w:val="0"/>
      <w:szCs w:val="21"/>
      <w:lang w:val="en-US"/>
    </w:rPr>
  </w:style>
  <w:style w:type="paragraph" w:customStyle="1" w:styleId="459">
    <w:name w:val="xl107"/>
    <w:basedOn w:val="1"/>
    <w:qFormat/>
    <w:uiPriority w:val="0"/>
    <w:pPr>
      <w:pBdr>
        <w:right w:val="single" w:color="auto" w:sz="8" w:space="0"/>
      </w:pBdr>
      <w:spacing w:before="100" w:beforeAutospacing="1" w:after="100" w:afterAutospacing="1"/>
    </w:pPr>
    <w:rPr>
      <w:rFonts w:ascii="宋体" w:hAnsi="宋体" w:eastAsia="宋体" w:cs="宋体"/>
      <w:kern w:val="0"/>
      <w:sz w:val="24"/>
      <w:szCs w:val="24"/>
      <w:lang w:val="en-US"/>
    </w:rPr>
  </w:style>
  <w:style w:type="paragraph" w:customStyle="1" w:styleId="460">
    <w:name w:val="xl94"/>
    <w:basedOn w:val="1"/>
    <w:qFormat/>
    <w:uiPriority w:val="0"/>
    <w:pPr>
      <w:pBdr>
        <w:bottom w:val="single" w:color="auto" w:sz="8" w:space="0"/>
        <w:right w:val="single" w:color="auto" w:sz="8" w:space="0"/>
      </w:pBdr>
      <w:spacing w:before="100" w:beforeAutospacing="1" w:after="100" w:afterAutospacing="1"/>
      <w:jc w:val="both"/>
    </w:pPr>
    <w:rPr>
      <w:rFonts w:ascii="宋体" w:hAnsi="宋体" w:eastAsia="宋体" w:cs="宋体"/>
      <w:kern w:val="0"/>
      <w:szCs w:val="21"/>
      <w:lang w:val="en-US"/>
    </w:rPr>
  </w:style>
  <w:style w:type="paragraph" w:customStyle="1" w:styleId="461">
    <w:name w:val="xl74"/>
    <w:basedOn w:val="1"/>
    <w:qFormat/>
    <w:uiPriority w:val="0"/>
    <w:pPr>
      <w:pBdr>
        <w:right w:val="single" w:color="auto" w:sz="8" w:space="0"/>
      </w:pBdr>
      <w:spacing w:before="100" w:beforeAutospacing="1" w:after="100" w:afterAutospacing="1"/>
      <w:jc w:val="both"/>
    </w:pPr>
    <w:rPr>
      <w:rFonts w:ascii="宋体" w:hAnsi="宋体" w:eastAsia="宋体" w:cs="宋体"/>
      <w:color w:val="FF0000"/>
      <w:kern w:val="0"/>
      <w:szCs w:val="21"/>
      <w:lang w:val="en-US"/>
    </w:rPr>
  </w:style>
  <w:style w:type="paragraph" w:customStyle="1" w:styleId="462">
    <w:name w:val="font20"/>
    <w:basedOn w:val="1"/>
    <w:qFormat/>
    <w:uiPriority w:val="0"/>
    <w:pPr>
      <w:spacing w:before="100" w:beforeAutospacing="1" w:after="100" w:afterAutospacing="1"/>
    </w:pPr>
    <w:rPr>
      <w:rFonts w:ascii="Arial" w:hAnsi="Arial" w:eastAsia="宋体" w:cs="Arial"/>
      <w:color w:val="000000"/>
      <w:kern w:val="0"/>
      <w:sz w:val="20"/>
      <w:lang w:val="en-US"/>
    </w:rPr>
  </w:style>
  <w:style w:type="paragraph" w:customStyle="1" w:styleId="463">
    <w:name w:val="font22"/>
    <w:basedOn w:val="1"/>
    <w:qFormat/>
    <w:uiPriority w:val="0"/>
    <w:pPr>
      <w:spacing w:before="100" w:beforeAutospacing="1" w:after="100" w:afterAutospacing="1"/>
    </w:pPr>
    <w:rPr>
      <w:rFonts w:ascii="新宋体" w:hAnsi="新宋体" w:eastAsia="新宋体" w:cs="宋体"/>
      <w:color w:val="FF0000"/>
      <w:kern w:val="0"/>
      <w:szCs w:val="21"/>
      <w:lang w:val="en-US"/>
    </w:rPr>
  </w:style>
  <w:style w:type="paragraph" w:customStyle="1" w:styleId="464">
    <w:name w:val="xl69"/>
    <w:basedOn w:val="1"/>
    <w:qFormat/>
    <w:uiPriority w:val="0"/>
    <w:pPr>
      <w:pBdr>
        <w:bottom w:val="single" w:color="auto" w:sz="8" w:space="0"/>
        <w:right w:val="single" w:color="auto" w:sz="8" w:space="0"/>
      </w:pBdr>
      <w:spacing w:before="100" w:beforeAutospacing="1" w:after="100" w:afterAutospacing="1"/>
    </w:pPr>
    <w:rPr>
      <w:rFonts w:ascii="宋体" w:hAnsi="宋体" w:eastAsia="宋体" w:cs="宋体"/>
      <w:kern w:val="0"/>
      <w:szCs w:val="21"/>
      <w:lang w:val="en-US"/>
    </w:rPr>
  </w:style>
  <w:style w:type="character" w:customStyle="1" w:styleId="465">
    <w:name w:val="纯文本 Char1"/>
    <w:basedOn w:val="120"/>
    <w:qFormat/>
    <w:uiPriority w:val="99"/>
    <w:rPr>
      <w:rFonts w:ascii="宋体" w:hAnsi="Courier New" w:cs="Courier New"/>
      <w:kern w:val="2"/>
      <w:sz w:val="21"/>
      <w:szCs w:val="21"/>
    </w:rPr>
  </w:style>
  <w:style w:type="paragraph" w:customStyle="1" w:styleId="46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7">
    <w:name w:val="脚注文本 Char"/>
    <w:basedOn w:val="120"/>
    <w:link w:val="64"/>
    <w:qFormat/>
    <w:uiPriority w:val="0"/>
    <w:rPr>
      <w:kern w:val="2"/>
      <w:sz w:val="18"/>
      <w:szCs w:val="18"/>
    </w:rPr>
  </w:style>
  <w:style w:type="character" w:customStyle="1" w:styleId="468">
    <w:name w:val="正文文本样式 Char"/>
    <w:link w:val="469"/>
    <w:qFormat/>
    <w:uiPriority w:val="0"/>
    <w:rPr>
      <w:rFonts w:cs="宋体"/>
      <w:kern w:val="2"/>
      <w:sz w:val="24"/>
    </w:rPr>
  </w:style>
  <w:style w:type="paragraph" w:customStyle="1" w:styleId="469">
    <w:name w:val="正文文本样式"/>
    <w:basedOn w:val="1"/>
    <w:link w:val="468"/>
    <w:qFormat/>
    <w:uiPriority w:val="0"/>
    <w:pPr>
      <w:widowControl w:val="0"/>
      <w:spacing w:line="360" w:lineRule="auto"/>
      <w:ind w:firstLine="482"/>
      <w:jc w:val="both"/>
    </w:pPr>
    <w:rPr>
      <w:rFonts w:ascii="Times New Roman" w:hAnsi="Times New Roman" w:eastAsia="宋体" w:cs="宋体"/>
      <w:kern w:val="2"/>
      <w:sz w:val="24"/>
      <w:lang w:val="en-US"/>
    </w:rPr>
  </w:style>
  <w:style w:type="character" w:customStyle="1" w:styleId="470">
    <w:name w:val="text2"/>
    <w:basedOn w:val="120"/>
    <w:qFormat/>
    <w:uiPriority w:val="0"/>
  </w:style>
  <w:style w:type="character" w:customStyle="1" w:styleId="471">
    <w:name w:val="p141"/>
    <w:qFormat/>
    <w:uiPriority w:val="0"/>
    <w:rPr>
      <w:sz w:val="21"/>
      <w:szCs w:val="21"/>
    </w:rPr>
  </w:style>
  <w:style w:type="character" w:customStyle="1" w:styleId="472">
    <w:name w:val="Char Char17"/>
    <w:qFormat/>
    <w:uiPriority w:val="0"/>
    <w:rPr>
      <w:rFonts w:ascii="Arial" w:hAnsi="Arial" w:eastAsia="黑体"/>
      <w:b/>
      <w:bCs/>
      <w:kern w:val="2"/>
      <w:sz w:val="32"/>
      <w:szCs w:val="32"/>
      <w:lang w:val="en-US" w:eastAsia="zh-CN" w:bidi="ar-SA"/>
    </w:rPr>
  </w:style>
  <w:style w:type="character" w:customStyle="1" w:styleId="473">
    <w:name w:val="正文缩进 Char"/>
    <w:link w:val="23"/>
    <w:qFormat/>
    <w:uiPriority w:val="0"/>
    <w:rPr>
      <w:kern w:val="2"/>
      <w:sz w:val="21"/>
      <w:szCs w:val="24"/>
    </w:rPr>
  </w:style>
  <w:style w:type="character" w:customStyle="1" w:styleId="474">
    <w:name w:val="Char Char1"/>
    <w:qFormat/>
    <w:uiPriority w:val="0"/>
    <w:rPr>
      <w:rFonts w:ascii="宋体" w:hAnsi="Courier New" w:eastAsia="宋体"/>
      <w:kern w:val="2"/>
      <w:sz w:val="21"/>
      <w:lang w:val="en-US" w:eastAsia="zh-CN" w:bidi="ar-SA"/>
    </w:rPr>
  </w:style>
  <w:style w:type="paragraph" w:customStyle="1" w:styleId="475">
    <w:name w:val="默认段落字体 Para Char Char Char Char Char Char Char Char Char Char"/>
    <w:basedOn w:val="1"/>
    <w:qFormat/>
    <w:uiPriority w:val="0"/>
    <w:pPr>
      <w:widowControl w:val="0"/>
      <w:jc w:val="both"/>
    </w:pPr>
    <w:rPr>
      <w:rFonts w:ascii="Tahoma" w:hAnsi="Tahoma" w:eastAsia="宋体"/>
      <w:kern w:val="2"/>
      <w:sz w:val="24"/>
      <w:lang w:val="en-US"/>
    </w:rPr>
  </w:style>
  <w:style w:type="paragraph" w:customStyle="1" w:styleId="476">
    <w:name w:val="批注文字 New"/>
    <w:basedOn w:val="1"/>
    <w:qFormat/>
    <w:uiPriority w:val="0"/>
    <w:pPr>
      <w:widowControl w:val="0"/>
    </w:pPr>
    <w:rPr>
      <w:rFonts w:ascii="Times New Roman" w:hAnsi="Times New Roman" w:eastAsia="宋体"/>
      <w:kern w:val="2"/>
      <w:szCs w:val="24"/>
      <w:lang w:val="en-US"/>
    </w:rPr>
  </w:style>
  <w:style w:type="paragraph" w:customStyle="1" w:styleId="477">
    <w:name w:val="Char Char Char Char"/>
    <w:basedOn w:val="26"/>
    <w:qFormat/>
    <w:uiPriority w:val="0"/>
    <w:pPr>
      <w:widowControl w:val="0"/>
      <w:shd w:val="clear" w:color="auto" w:fill="000080"/>
      <w:jc w:val="both"/>
    </w:pPr>
    <w:rPr>
      <w:rFonts w:eastAsia="宋体" w:cs="Times New Roman"/>
      <w:color w:val="auto"/>
      <w:kern w:val="2"/>
      <w:sz w:val="24"/>
      <w:szCs w:val="24"/>
      <w:lang w:val="en-US"/>
    </w:rPr>
  </w:style>
  <w:style w:type="paragraph" w:customStyle="1" w:styleId="478">
    <w:name w:val="Char Char Char Char Char Char Char Char Char Char"/>
    <w:basedOn w:val="1"/>
    <w:qFormat/>
    <w:uiPriority w:val="0"/>
    <w:pPr>
      <w:widowControl w:val="0"/>
      <w:jc w:val="both"/>
    </w:pPr>
    <w:rPr>
      <w:rFonts w:ascii="Tahoma" w:hAnsi="Tahoma" w:eastAsia="宋体"/>
      <w:kern w:val="2"/>
      <w:sz w:val="24"/>
      <w:lang w:val="en-US"/>
    </w:rPr>
  </w:style>
  <w:style w:type="paragraph" w:customStyle="1" w:styleId="479">
    <w:name w:val="默认段落字体 Para Char"/>
    <w:basedOn w:val="1"/>
    <w:qFormat/>
    <w:uiPriority w:val="0"/>
    <w:pPr>
      <w:widowControl w:val="0"/>
      <w:jc w:val="both"/>
    </w:pPr>
    <w:rPr>
      <w:rFonts w:ascii="Tahoma" w:hAnsi="Tahoma" w:eastAsia="宋体"/>
      <w:kern w:val="2"/>
      <w:sz w:val="24"/>
      <w:lang w:val="en-US"/>
    </w:rPr>
  </w:style>
  <w:style w:type="paragraph" w:customStyle="1" w:styleId="480">
    <w:name w:val="Char Char2 Char"/>
    <w:basedOn w:val="1"/>
    <w:qFormat/>
    <w:uiPriority w:val="0"/>
    <w:pPr>
      <w:widowControl w:val="0"/>
      <w:jc w:val="both"/>
    </w:pPr>
    <w:rPr>
      <w:rFonts w:ascii="宋体" w:hAnsi="宋体" w:eastAsia="宋体"/>
      <w:b/>
      <w:kern w:val="2"/>
      <w:sz w:val="28"/>
      <w:szCs w:val="28"/>
      <w:lang w:val="en-US"/>
    </w:rPr>
  </w:style>
  <w:style w:type="paragraph" w:customStyle="1" w:styleId="481">
    <w:name w:val="Char"/>
    <w:basedOn w:val="1"/>
    <w:qFormat/>
    <w:uiPriority w:val="0"/>
    <w:pPr>
      <w:widowControl w:val="0"/>
      <w:jc w:val="both"/>
    </w:pPr>
    <w:rPr>
      <w:rFonts w:ascii="Tahoma" w:hAnsi="Tahoma" w:eastAsia="宋体"/>
      <w:kern w:val="2"/>
      <w:sz w:val="24"/>
      <w:lang w:val="en-US"/>
    </w:rPr>
  </w:style>
  <w:style w:type="paragraph" w:customStyle="1" w:styleId="482">
    <w:name w:val="Char Char Char"/>
    <w:basedOn w:val="1"/>
    <w:qFormat/>
    <w:uiPriority w:val="0"/>
    <w:pPr>
      <w:widowControl w:val="0"/>
      <w:jc w:val="both"/>
    </w:pPr>
    <w:rPr>
      <w:rFonts w:ascii="宋体" w:hAnsi="宋体" w:eastAsia="宋体"/>
      <w:b/>
      <w:kern w:val="2"/>
      <w:sz w:val="28"/>
      <w:szCs w:val="28"/>
      <w:lang w:val="en-US"/>
    </w:rPr>
  </w:style>
  <w:style w:type="character" w:customStyle="1" w:styleId="483">
    <w:name w:val="文字 Char"/>
    <w:link w:val="484"/>
    <w:qFormat/>
    <w:locked/>
    <w:uiPriority w:val="0"/>
    <w:rPr>
      <w:rFonts w:ascii="宋体" w:hAnsi="宋体"/>
      <w:sz w:val="28"/>
    </w:rPr>
  </w:style>
  <w:style w:type="paragraph" w:customStyle="1" w:styleId="484">
    <w:name w:val="文字"/>
    <w:basedOn w:val="1"/>
    <w:link w:val="483"/>
    <w:qFormat/>
    <w:uiPriority w:val="0"/>
    <w:pPr>
      <w:widowControl w:val="0"/>
      <w:tabs>
        <w:tab w:val="left" w:pos="8520"/>
      </w:tabs>
      <w:spacing w:line="312" w:lineRule="auto"/>
      <w:ind w:right="-210" w:firstLine="556"/>
      <w:jc w:val="both"/>
    </w:pPr>
    <w:rPr>
      <w:rFonts w:ascii="宋体" w:hAnsi="宋体" w:eastAsia="宋体"/>
      <w:kern w:val="0"/>
      <w:sz w:val="28"/>
      <w:lang w:val="en-US"/>
    </w:rPr>
  </w:style>
  <w:style w:type="paragraph" w:customStyle="1" w:styleId="4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6">
    <w:name w:val="style1"/>
    <w:basedOn w:val="1"/>
    <w:qFormat/>
    <w:uiPriority w:val="0"/>
    <w:pPr>
      <w:spacing w:before="100" w:beforeAutospacing="1" w:after="100" w:afterAutospacing="1"/>
    </w:pPr>
    <w:rPr>
      <w:rFonts w:ascii="宋体" w:hAnsi="宋体" w:eastAsia="宋体" w:cs="宋体"/>
      <w:kern w:val="0"/>
      <w:sz w:val="24"/>
      <w:szCs w:val="24"/>
      <w:lang w:val="en-US"/>
    </w:rPr>
  </w:style>
  <w:style w:type="paragraph" w:styleId="487">
    <w:name w:val="No Spacing"/>
    <w:qFormat/>
    <w:uiPriority w:val="1"/>
    <w:rPr>
      <w:rFonts w:ascii="Calibri" w:hAnsi="Calibri" w:eastAsia="宋体" w:cs="Times New Roman"/>
      <w:sz w:val="22"/>
      <w:szCs w:val="22"/>
      <w:lang w:val="en-US" w:eastAsia="en-US" w:bidi="en-US"/>
    </w:rPr>
  </w:style>
  <w:style w:type="paragraph" w:customStyle="1" w:styleId="488">
    <w:name w:val="默认段落字体 Para Char Char Char Char"/>
    <w:basedOn w:val="1"/>
    <w:qFormat/>
    <w:uiPriority w:val="0"/>
    <w:pPr>
      <w:widowControl w:val="0"/>
      <w:jc w:val="both"/>
    </w:pPr>
    <w:rPr>
      <w:rFonts w:ascii="Times New Roman" w:hAnsi="Times New Roman" w:eastAsia="宋体"/>
      <w:kern w:val="2"/>
      <w:szCs w:val="24"/>
      <w:lang w:val="en-US"/>
    </w:rPr>
  </w:style>
  <w:style w:type="character" w:customStyle="1" w:styleId="489">
    <w:name w:val="font141"/>
    <w:qFormat/>
    <w:uiPriority w:val="0"/>
    <w:rPr>
      <w:rFonts w:hint="eastAsia" w:ascii="宋体" w:hAnsi="宋体" w:eastAsia="宋体" w:cs="宋体"/>
      <w:color w:val="000000"/>
      <w:sz w:val="22"/>
      <w:szCs w:val="22"/>
      <w:u w:val="none"/>
    </w:rPr>
  </w:style>
  <w:style w:type="character" w:customStyle="1" w:styleId="490">
    <w:name w:val="font41"/>
    <w:basedOn w:val="120"/>
    <w:qFormat/>
    <w:uiPriority w:val="0"/>
    <w:rPr>
      <w:rFonts w:hint="eastAsia" w:ascii="华文细黑" w:hAnsi="华文细黑" w:eastAsia="华文细黑" w:cs="华文细黑"/>
      <w:color w:val="000000"/>
      <w:sz w:val="20"/>
      <w:szCs w:val="20"/>
      <w:u w:val="none"/>
    </w:rPr>
  </w:style>
  <w:style w:type="paragraph" w:customStyle="1" w:styleId="491">
    <w:name w:val="_Style 4"/>
    <w:basedOn w:val="1"/>
    <w:qFormat/>
    <w:uiPriority w:val="34"/>
    <w:pPr>
      <w:widowControl w:val="0"/>
      <w:ind w:firstLine="420" w:firstLineChars="200"/>
      <w:jc w:val="both"/>
    </w:pPr>
    <w:rPr>
      <w:rFonts w:ascii="Calibri" w:hAnsi="Calibri" w:eastAsia="宋体"/>
      <w:kern w:val="2"/>
      <w:sz w:val="24"/>
      <w:szCs w:val="24"/>
      <w:lang w:val="en-US"/>
    </w:rPr>
  </w:style>
  <w:style w:type="character" w:customStyle="1" w:styleId="492">
    <w:name w:val="font01"/>
    <w:qFormat/>
    <w:uiPriority w:val="0"/>
    <w:rPr>
      <w:rFonts w:hint="eastAsia" w:ascii="宋体" w:hAnsi="宋体" w:eastAsia="宋体" w:cs="宋体"/>
      <w:color w:val="000000"/>
      <w:sz w:val="21"/>
      <w:szCs w:val="21"/>
      <w:u w:val="none"/>
    </w:rPr>
  </w:style>
  <w:style w:type="paragraph" w:customStyle="1" w:styleId="493">
    <w:name w:val="p15"/>
    <w:basedOn w:val="1"/>
    <w:qFormat/>
    <w:uiPriority w:val="0"/>
    <w:pPr>
      <w:jc w:val="both"/>
    </w:pPr>
    <w:rPr>
      <w:rFonts w:ascii="Times New Roman" w:hAnsi="Times New Roman" w:eastAsia="宋体"/>
      <w:kern w:val="0"/>
      <w:sz w:val="24"/>
      <w:szCs w:val="24"/>
      <w:lang w:val="en-US"/>
    </w:rPr>
  </w:style>
  <w:style w:type="paragraph" w:customStyle="1" w:styleId="494">
    <w:name w:val="tabletext"/>
    <w:basedOn w:val="1"/>
    <w:qFormat/>
    <w:uiPriority w:val="0"/>
    <w:pPr>
      <w:spacing w:before="100" w:beforeAutospacing="1" w:after="100" w:afterAutospacing="1"/>
    </w:pPr>
    <w:rPr>
      <w:rFonts w:ascii="宋体" w:hAnsi="宋体" w:eastAsia="宋体" w:cs="宋体"/>
      <w:kern w:val="0"/>
      <w:sz w:val="24"/>
      <w:szCs w:val="24"/>
      <w:lang w:val="en-US"/>
    </w:rPr>
  </w:style>
  <w:style w:type="paragraph" w:customStyle="1" w:styleId="495">
    <w:name w:val="a2"/>
    <w:basedOn w:val="1"/>
    <w:qFormat/>
    <w:uiPriority w:val="0"/>
    <w:pPr>
      <w:spacing w:before="100" w:beforeAutospacing="1" w:after="100" w:afterAutospacing="1"/>
    </w:pPr>
    <w:rPr>
      <w:rFonts w:ascii="宋体" w:hAnsi="宋体" w:eastAsia="宋体" w:cs="宋体"/>
      <w:kern w:val="0"/>
      <w:sz w:val="24"/>
      <w:szCs w:val="24"/>
      <w:lang w:val="en-US"/>
    </w:rPr>
  </w:style>
  <w:style w:type="paragraph" w:customStyle="1" w:styleId="496">
    <w:name w:val="Char Char"/>
    <w:basedOn w:val="1"/>
    <w:qFormat/>
    <w:uiPriority w:val="0"/>
    <w:pPr>
      <w:widowControl w:val="0"/>
      <w:jc w:val="both"/>
    </w:pPr>
    <w:rPr>
      <w:rFonts w:ascii="Tahoma" w:hAnsi="Tahoma" w:eastAsia="宋体"/>
      <w:kern w:val="2"/>
      <w:sz w:val="24"/>
      <w:lang w:val="en-US"/>
    </w:rPr>
  </w:style>
  <w:style w:type="paragraph" w:customStyle="1" w:styleId="497">
    <w:name w:val="style11"/>
    <w:basedOn w:val="1"/>
    <w:qFormat/>
    <w:uiPriority w:val="0"/>
    <w:pPr>
      <w:spacing w:before="100" w:beforeAutospacing="1" w:after="100" w:afterAutospacing="1"/>
    </w:pPr>
    <w:rPr>
      <w:rFonts w:ascii="宋体" w:hAnsi="宋体" w:eastAsia="宋体" w:cs="宋体"/>
      <w:kern w:val="0"/>
      <w:sz w:val="20"/>
      <w:lang w:val="en-US"/>
    </w:rPr>
  </w:style>
  <w:style w:type="paragraph" w:customStyle="1" w:styleId="498">
    <w:name w:val="style13"/>
    <w:basedOn w:val="1"/>
    <w:qFormat/>
    <w:uiPriority w:val="0"/>
    <w:pPr>
      <w:spacing w:before="100" w:beforeAutospacing="1" w:after="100" w:afterAutospacing="1"/>
    </w:pPr>
    <w:rPr>
      <w:rFonts w:ascii="宋体" w:hAnsi="宋体" w:eastAsia="宋体" w:cs="宋体"/>
      <w:color w:val="000000"/>
      <w:kern w:val="0"/>
      <w:sz w:val="20"/>
      <w:lang w:val="en-US"/>
    </w:rPr>
  </w:style>
  <w:style w:type="character" w:customStyle="1" w:styleId="499">
    <w:name w:val="style121"/>
    <w:qFormat/>
    <w:uiPriority w:val="0"/>
    <w:rPr>
      <w:color w:val="000000"/>
    </w:rPr>
  </w:style>
  <w:style w:type="paragraph" w:customStyle="1" w:styleId="500">
    <w:name w:val="reader-word-layer"/>
    <w:basedOn w:val="1"/>
    <w:qFormat/>
    <w:uiPriority w:val="0"/>
    <w:pPr>
      <w:spacing w:before="100" w:beforeAutospacing="1" w:after="100" w:afterAutospacing="1"/>
    </w:pPr>
    <w:rPr>
      <w:rFonts w:ascii="宋体" w:hAnsi="宋体" w:eastAsia="宋体" w:cs="宋体"/>
      <w:kern w:val="0"/>
      <w:sz w:val="24"/>
      <w:szCs w:val="24"/>
      <w:lang w:val="en-US"/>
    </w:rPr>
  </w:style>
  <w:style w:type="paragraph" w:customStyle="1" w:styleId="501">
    <w:name w:val="0-正"/>
    <w:basedOn w:val="1"/>
    <w:qFormat/>
    <w:uiPriority w:val="0"/>
    <w:pPr>
      <w:widowControl w:val="0"/>
      <w:adjustRightInd w:val="0"/>
      <w:snapToGrid w:val="0"/>
      <w:spacing w:line="360" w:lineRule="auto"/>
      <w:ind w:firstLine="480" w:firstLineChars="200"/>
      <w:jc w:val="both"/>
    </w:pPr>
    <w:rPr>
      <w:rFonts w:ascii="宋体" w:hAnsi="宋体" w:eastAsia="宋体"/>
      <w:kern w:val="2"/>
      <w:sz w:val="24"/>
      <w:szCs w:val="24"/>
      <w:lang w:val="en-US"/>
    </w:rPr>
  </w:style>
  <w:style w:type="character" w:customStyle="1" w:styleId="502">
    <w:name w:val="正文1 Char Char"/>
    <w:link w:val="503"/>
    <w:qFormat/>
    <w:uiPriority w:val="0"/>
    <w:rPr>
      <w:rFonts w:eastAsia="仿宋_GB2312"/>
      <w:sz w:val="24"/>
    </w:rPr>
  </w:style>
  <w:style w:type="paragraph" w:customStyle="1" w:styleId="503">
    <w:name w:val="正文1"/>
    <w:basedOn w:val="1"/>
    <w:link w:val="502"/>
    <w:qFormat/>
    <w:uiPriority w:val="0"/>
    <w:pPr>
      <w:widowControl w:val="0"/>
      <w:spacing w:line="360" w:lineRule="auto"/>
      <w:jc w:val="both"/>
    </w:pPr>
    <w:rPr>
      <w:rFonts w:ascii="Times New Roman" w:hAnsi="Times New Roman" w:eastAsia="仿宋_GB2312"/>
      <w:kern w:val="0"/>
      <w:sz w:val="24"/>
      <w:lang w:val="en-US"/>
    </w:rPr>
  </w:style>
  <w:style w:type="paragraph" w:customStyle="1" w:styleId="504">
    <w:name w:val="正文，首行缩进:"/>
    <w:basedOn w:val="1"/>
    <w:qFormat/>
    <w:uiPriority w:val="0"/>
    <w:pPr>
      <w:widowControl w:val="0"/>
      <w:spacing w:line="360" w:lineRule="auto"/>
      <w:ind w:firstLine="540" w:firstLineChars="225"/>
    </w:pPr>
    <w:rPr>
      <w:rFonts w:ascii="Arial" w:hAnsi="Arial" w:eastAsia="宋体" w:cs="宋体"/>
      <w:kern w:val="2"/>
      <w:sz w:val="24"/>
      <w:lang w:val="en-US"/>
    </w:rPr>
  </w:style>
  <w:style w:type="character" w:customStyle="1" w:styleId="505">
    <w:name w:val="Hyperlink.0"/>
    <w:qFormat/>
    <w:uiPriority w:val="0"/>
    <w:rPr>
      <w:rFonts w:ascii="宋体" w:hAnsi="宋体" w:eastAsia="宋体" w:cs="宋体"/>
      <w:sz w:val="24"/>
      <w:szCs w:val="24"/>
      <w:lang w:val="en-US"/>
    </w:rPr>
  </w:style>
  <w:style w:type="character" w:customStyle="1" w:styleId="506">
    <w:name w:val="fontborder"/>
    <w:qFormat/>
    <w:uiPriority w:val="0"/>
    <w:rPr>
      <w:bdr w:val="single" w:color="000000" w:sz="4" w:space="0"/>
    </w:rPr>
  </w:style>
  <w:style w:type="character" w:customStyle="1" w:styleId="507">
    <w:name w:val="c-gap-right-small2"/>
    <w:basedOn w:val="120"/>
    <w:qFormat/>
    <w:uiPriority w:val="99"/>
  </w:style>
  <w:style w:type="character" w:customStyle="1" w:styleId="508">
    <w:name w:val="fontstrikethrough"/>
    <w:qFormat/>
    <w:uiPriority w:val="0"/>
    <w:rPr>
      <w:strike/>
    </w:rPr>
  </w:style>
  <w:style w:type="character" w:customStyle="1" w:styleId="509">
    <w:name w:val="Hyperlink.1"/>
    <w:qFormat/>
    <w:uiPriority w:val="0"/>
    <w:rPr>
      <w:rFonts w:ascii="宋体" w:hAnsi="宋体" w:eastAsia="宋体" w:cs="宋体"/>
      <w:u w:val="single"/>
      <w:lang w:val="zh-TW" w:eastAsia="zh-TW"/>
    </w:rPr>
  </w:style>
  <w:style w:type="character" w:customStyle="1" w:styleId="510">
    <w:name w:val="无"/>
    <w:qFormat/>
    <w:uiPriority w:val="0"/>
  </w:style>
  <w:style w:type="character" w:customStyle="1" w:styleId="511">
    <w:name w:val="Hyperlink.2"/>
    <w:qFormat/>
    <w:uiPriority w:val="0"/>
    <w:rPr>
      <w:kern w:val="2"/>
      <w:u w:val="single"/>
      <w:lang w:val="zh-TW" w:eastAsia="zh-TW"/>
    </w:rPr>
  </w:style>
  <w:style w:type="character" w:customStyle="1" w:styleId="512">
    <w:name w:val="批注文字 Char1"/>
    <w:basedOn w:val="120"/>
    <w:qFormat/>
    <w:uiPriority w:val="0"/>
  </w:style>
  <w:style w:type="character" w:customStyle="1" w:styleId="513">
    <w:name w:val="批注框文本 Char1"/>
    <w:basedOn w:val="120"/>
    <w:semiHidden/>
    <w:qFormat/>
    <w:uiPriority w:val="99"/>
    <w:rPr>
      <w:sz w:val="18"/>
      <w:szCs w:val="18"/>
    </w:rPr>
  </w:style>
  <w:style w:type="paragraph" w:customStyle="1" w:styleId="514">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15">
    <w:name w:val="文档正文"/>
    <w:basedOn w:val="1"/>
    <w:qFormat/>
    <w:uiPriority w:val="99"/>
    <w:pPr>
      <w:spacing w:line="460" w:lineRule="exact"/>
      <w:ind w:left="120"/>
    </w:pPr>
    <w:rPr>
      <w:rFonts w:ascii="Times New Roman" w:hAnsi="Times New Roman" w:eastAsia="宋体"/>
      <w:spacing w:val="4"/>
      <w:kern w:val="0"/>
      <w:sz w:val="24"/>
      <w:szCs w:val="24"/>
      <w:lang w:val="en-US" w:eastAsia="en-US"/>
    </w:rPr>
  </w:style>
  <w:style w:type="paragraph" w:customStyle="1" w:styleId="516">
    <w:name w:val="TOC 标题1"/>
    <w:next w:val="514"/>
    <w:qFormat/>
    <w:uiPriority w:val="0"/>
    <w:pPr>
      <w:keepNext/>
      <w:keepLines/>
      <w:spacing w:before="480" w:line="276" w:lineRule="auto"/>
    </w:pPr>
    <w:rPr>
      <w:rFonts w:ascii="Cambria" w:hAnsi="Cambria" w:eastAsia="Cambria" w:cs="Cambria"/>
      <w:b/>
      <w:bCs/>
      <w:color w:val="365F91"/>
      <w:sz w:val="28"/>
      <w:szCs w:val="28"/>
      <w:u w:color="365F91"/>
      <w:lang w:val="en-US" w:eastAsia="zh-CN" w:bidi="ar-SA"/>
    </w:rPr>
  </w:style>
  <w:style w:type="paragraph" w:customStyle="1" w:styleId="517">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table" w:customStyle="1" w:styleId="518">
    <w:name w:val="Table Normal"/>
    <w:qFormat/>
    <w:uiPriority w:val="0"/>
    <w:rPr>
      <w:rFonts w:ascii="Calibri" w:hAnsi="Calibri"/>
    </w:rPr>
    <w:tblPr>
      <w:tblCellMar>
        <w:top w:w="0" w:type="dxa"/>
        <w:left w:w="0" w:type="dxa"/>
        <w:bottom w:w="0" w:type="dxa"/>
        <w:right w:w="0" w:type="dxa"/>
      </w:tblCellMar>
    </w:tblPr>
  </w:style>
  <w:style w:type="paragraph" w:customStyle="1" w:styleId="519">
    <w:name w:val="应用正文"/>
    <w:basedOn w:val="1"/>
    <w:qFormat/>
    <w:uiPriority w:val="0"/>
    <w:pPr>
      <w:spacing w:line="360" w:lineRule="auto"/>
      <w:ind w:firstLine="200" w:firstLineChars="200"/>
    </w:pPr>
    <w:rPr>
      <w:sz w:val="22"/>
    </w:rPr>
  </w:style>
  <w:style w:type="paragraph" w:customStyle="1" w:styleId="520">
    <w:name w:val="_Style 166"/>
    <w:basedOn w:val="1"/>
    <w:next w:val="336"/>
    <w:qFormat/>
    <w:uiPriority w:val="34"/>
    <w:pPr>
      <w:ind w:firstLine="420" w:firstLineChars="200"/>
    </w:pPr>
    <w:rPr>
      <w:rFonts w:ascii="Calibri" w:hAnsi="Calibri"/>
      <w:szCs w:val="22"/>
    </w:rPr>
  </w:style>
  <w:style w:type="paragraph" w:customStyle="1" w:styleId="521">
    <w:name w:val="_Style 155"/>
    <w:basedOn w:val="1"/>
    <w:next w:val="82"/>
    <w:qFormat/>
    <w:uiPriority w:val="99"/>
    <w:pPr>
      <w:spacing w:line="312" w:lineRule="auto"/>
      <w:ind w:firstLine="420"/>
    </w:pPr>
  </w:style>
  <w:style w:type="paragraph" w:customStyle="1" w:styleId="522">
    <w:name w:val="_Style 6"/>
    <w:basedOn w:val="4"/>
    <w:next w:val="1"/>
    <w:qFormat/>
    <w:uiPriority w:val="0"/>
    <w:pPr>
      <w:outlineLvl w:val="9"/>
    </w:pPr>
  </w:style>
  <w:style w:type="paragraph" w:customStyle="1" w:styleId="523">
    <w:name w:val="Normal_3"/>
    <w:basedOn w:val="1"/>
    <w:qFormat/>
    <w:uiPriority w:val="0"/>
    <w:rPr>
      <w:rFonts w:ascii="Times New Roman" w:hAnsi="Times New Roman" w:eastAsia="宋体"/>
      <w:kern w:val="0"/>
      <w:sz w:val="24"/>
      <w:szCs w:val="24"/>
      <w:lang w:val="en-US"/>
    </w:rPr>
  </w:style>
  <w:style w:type="paragraph" w:customStyle="1" w:styleId="524">
    <w:name w:val="3"/>
    <w:basedOn w:val="1"/>
    <w:qFormat/>
    <w:uiPriority w:val="0"/>
    <w:rPr>
      <w:rFonts w:ascii="仿宋_GB2312" w:eastAsia="仿宋_GB2312"/>
      <w:kern w:val="0"/>
      <w:sz w:val="30"/>
      <w:szCs w:val="30"/>
    </w:rPr>
  </w:style>
  <w:style w:type="character" w:customStyle="1" w:styleId="525">
    <w:name w:val="标题 3 字符"/>
    <w:link w:val="7"/>
    <w:qFormat/>
    <w:uiPriority w:val="0"/>
    <w:rPr>
      <w:rFonts w:eastAsia="微软雅黑"/>
      <w:b/>
      <w:bCs/>
      <w:kern w:val="2"/>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3F157-A8E0-4ED8-BEAB-182EDA7ACF7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214</Pages>
  <Words>113862</Words>
  <Characters>118749</Characters>
  <Lines>928</Lines>
  <Paragraphs>261</Paragraphs>
  <TotalTime>314</TotalTime>
  <ScaleCrop>false</ScaleCrop>
  <LinksUpToDate>false</LinksUpToDate>
  <CharactersWithSpaces>123833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2021-11-23T13:44:00Z</dcterms:created>
  <dc:creator>stone</dc:creator>
  <cp:lastModifiedBy>宗南</cp:lastModifiedBy>
  <cp:lastPrinted>2018-05-15T02:04:00Z</cp:lastPrinted>
  <dcterms:modified xsi:type="dcterms:W3CDTF">2022-08-15T13:21:18Z</dcterms:modified>
  <dc:title>招 标 文 件 </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prjname">
    <vt:lpwstr>铁道党校LED屏显示系统采购项目</vt:lpwstr>
  </property>
  <property fmtid="{D5CDD505-2E9C-101B-9397-08002B2CF9AE}" pid="4" name="prjcode">
    <vt:lpwstr>GC-HG4190885</vt:lpwstr>
  </property>
  <property fmtid="{D5CDD505-2E9C-101B-9397-08002B2CF9AE}" pid="5" name="angentname">
    <vt:lpwstr>中央国家机关政府采购中心</vt:lpwstr>
  </property>
  <property fmtid="{D5CDD505-2E9C-101B-9397-08002B2CF9AE}" pid="6" name="purchaseorgname">
    <vt:lpwstr>铁道党校</vt:lpwstr>
  </property>
  <property fmtid="{D5CDD505-2E9C-101B-9397-08002B2CF9AE}" pid="7" name="ICV">
    <vt:lpwstr>07F26DBB31114080B589BCFE68CF90DC</vt:lpwstr>
  </property>
  <property fmtid="{D5CDD505-2E9C-101B-9397-08002B2CF9AE}" pid="8" name="commondata">
    <vt:lpwstr>eyJoZGlkIjoiMzVjNTNmOGQ5YjM4M2QzYzk3MjZlNDVjZjdlNjU0YjUifQ==</vt:lpwstr>
  </property>
</Properties>
</file>