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ascii="宋体" w:hAnsi="宋体" w:eastAsia="宋体" w:cs="宋体"/>
          <w:color w:val="auto"/>
          <w:spacing w:val="30"/>
          <w:kern w:val="52"/>
          <w:sz w:val="64"/>
          <w:szCs w:val="64"/>
          <w:highlight w:val="none"/>
        </w:rPr>
      </w:pPr>
      <w:r>
        <w:rPr>
          <w:rFonts w:hint="eastAsia" w:ascii="宋体" w:hAnsi="宋体" w:eastAsia="宋体" w:cs="宋体"/>
          <w:color w:val="auto"/>
          <w:sz w:val="32"/>
          <w:highlight w:val="none"/>
        </w:rPr>
        <w:drawing>
          <wp:inline distT="0" distB="0" distL="0" distR="0">
            <wp:extent cx="1372870" cy="1347470"/>
            <wp:effectExtent l="0" t="0" r="0" b="5080"/>
            <wp:docPr id="1" name="图片 1" descr="003838bb567ad4db658ca6a05c2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838bb567ad4db658ca6a05c2e1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72870" cy="1347470"/>
                    </a:xfrm>
                    <a:prstGeom prst="rect">
                      <a:avLst/>
                    </a:prstGeom>
                    <a:noFill/>
                    <a:ln>
                      <a:noFill/>
                    </a:ln>
                  </pic:spPr>
                </pic:pic>
              </a:graphicData>
            </a:graphic>
          </wp:inline>
        </w:drawing>
      </w: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广西建采项目管理有限公司</w:t>
      </w:r>
    </w:p>
    <w:p>
      <w:pPr>
        <w:snapToGrid w:val="0"/>
        <w:spacing w:before="156" w:beforeLines="50" w:line="360" w:lineRule="auto"/>
        <w:jc w:val="center"/>
        <w:rPr>
          <w:rFonts w:hint="eastAsia" w:ascii="宋体" w:hAnsi="宋体" w:eastAsia="宋体" w:cs="宋体"/>
          <w:color w:val="auto"/>
          <w:sz w:val="44"/>
          <w:szCs w:val="44"/>
          <w:highlight w:val="none"/>
        </w:rPr>
      </w:pPr>
    </w:p>
    <w:p>
      <w:pPr>
        <w:snapToGrid w:val="0"/>
        <w:spacing w:before="156" w:beforeLines="50" w:line="360" w:lineRule="auto"/>
        <w:jc w:val="center"/>
        <w:rPr>
          <w:rFonts w:hint="eastAsia" w:ascii="宋体" w:hAnsi="宋体" w:eastAsia="宋体" w:cs="宋体"/>
          <w:b/>
          <w:bCs/>
          <w:color w:val="auto"/>
          <w:sz w:val="84"/>
          <w:szCs w:val="84"/>
          <w:highlight w:val="none"/>
        </w:rPr>
      </w:pPr>
      <w:r>
        <w:rPr>
          <w:rFonts w:hint="eastAsia" w:ascii="宋体" w:hAnsi="宋体" w:eastAsia="宋体" w:cs="宋体"/>
          <w:color w:val="auto"/>
          <w:sz w:val="84"/>
          <w:szCs w:val="84"/>
          <w:highlight w:val="none"/>
        </w:rPr>
        <w:t>竞争性谈判文件</w:t>
      </w:r>
    </w:p>
    <w:p>
      <w:pPr>
        <w:snapToGrid w:val="0"/>
        <w:spacing w:line="360" w:lineRule="auto"/>
        <w:rPr>
          <w:rFonts w:hint="eastAsia" w:ascii="宋体" w:hAnsi="宋体" w:eastAsia="宋体" w:cs="宋体"/>
          <w:color w:val="auto"/>
          <w:sz w:val="30"/>
          <w:szCs w:val="72"/>
          <w:highlight w:val="none"/>
        </w:rPr>
      </w:pPr>
    </w:p>
    <w:p>
      <w:pPr>
        <w:pStyle w:val="14"/>
        <w:snapToGrid w:val="0"/>
        <w:spacing w:line="360" w:lineRule="auto"/>
        <w:ind w:firstLine="1193" w:firstLineChars="396"/>
        <w:rPr>
          <w:rFonts w:hint="eastAsia" w:ascii="宋体" w:hAnsi="宋体" w:eastAsia="宋体" w:cs="宋体"/>
          <w:b/>
          <w:bCs/>
          <w:color w:val="auto"/>
          <w:sz w:val="30"/>
          <w:szCs w:val="30"/>
          <w:highlight w:val="none"/>
        </w:rPr>
      </w:pPr>
    </w:p>
    <w:p>
      <w:pPr>
        <w:pStyle w:val="14"/>
        <w:snapToGrid w:val="0"/>
        <w:spacing w:line="360" w:lineRule="auto"/>
        <w:ind w:firstLine="1807" w:firstLineChars="600"/>
        <w:rPr>
          <w:rFonts w:hint="eastAsia" w:ascii="宋体" w:hAnsi="宋体" w:eastAsia="宋体" w:cs="宋体"/>
          <w:b/>
          <w:bCs/>
          <w:color w:val="auto"/>
          <w:sz w:val="30"/>
          <w:szCs w:val="30"/>
          <w:highlight w:val="none"/>
        </w:rPr>
      </w:pPr>
    </w:p>
    <w:p>
      <w:pPr>
        <w:pStyle w:val="14"/>
        <w:snapToGrid w:val="0"/>
        <w:spacing w:line="360" w:lineRule="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kern w:val="2"/>
          <w:sz w:val="30"/>
          <w:szCs w:val="30"/>
          <w:highlight w:val="none"/>
          <w:lang w:eastAsia="zh-CN"/>
        </w:rPr>
        <w:t>2022年广西康养食品科学与技术重点实验室建设仪器设备采购项目（第二次）</w:t>
      </w:r>
    </w:p>
    <w:p>
      <w:pPr>
        <w:pStyle w:val="14"/>
        <w:snapToGrid w:val="0"/>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项目编号：GXZC2022-J1-002520-JCXM</w:t>
      </w:r>
      <w:r>
        <w:rPr>
          <w:rFonts w:hint="eastAsia" w:hAnsi="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 购 人：</w:t>
      </w:r>
      <w:r>
        <w:rPr>
          <w:rFonts w:hint="eastAsia" w:ascii="宋体" w:hAnsi="宋体" w:eastAsia="宋体" w:cs="宋体"/>
          <w:b/>
          <w:color w:val="auto"/>
          <w:sz w:val="32"/>
          <w:szCs w:val="32"/>
          <w:highlight w:val="none"/>
        </w:rPr>
        <w:t>贺州学院</w:t>
      </w: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color w:val="auto"/>
          <w:sz w:val="32"/>
          <w:szCs w:val="32"/>
          <w:highlight w:val="none"/>
        </w:rPr>
        <w:t>广西建采项目管理有限公司</w:t>
      </w:r>
    </w:p>
    <w:p>
      <w:pPr>
        <w:pStyle w:val="14"/>
        <w:snapToGrid w:val="0"/>
        <w:spacing w:line="360" w:lineRule="auto"/>
        <w:ind w:firstLine="1125" w:firstLineChars="393"/>
        <w:rPr>
          <w:rFonts w:hint="eastAsia" w:ascii="宋体" w:hAnsi="宋体" w:eastAsia="宋体" w:cs="宋体"/>
          <w:b/>
          <w:bCs/>
          <w:color w:val="auto"/>
          <w:w w:val="95"/>
          <w:sz w:val="30"/>
          <w:szCs w:val="30"/>
          <w:highlight w:val="none"/>
        </w:rPr>
      </w:pPr>
    </w:p>
    <w:p>
      <w:pPr>
        <w:pStyle w:val="14"/>
        <w:snapToGrid w:val="0"/>
        <w:spacing w:line="360" w:lineRule="auto"/>
        <w:jc w:val="center"/>
        <w:rPr>
          <w:rFonts w:hint="eastAsia" w:ascii="宋体" w:hAnsi="宋体" w:eastAsia="宋体" w:cs="宋体"/>
          <w:color w:val="auto"/>
          <w:szCs w:val="20"/>
          <w:highlight w:val="none"/>
        </w:rPr>
      </w:pPr>
      <w:r>
        <w:rPr>
          <w:rFonts w:hint="eastAsia" w:ascii="宋体" w:hAnsi="宋体" w:eastAsia="宋体" w:cs="宋体"/>
          <w:b/>
          <w:bCs/>
          <w:color w:val="auto"/>
          <w:w w:val="95"/>
          <w:sz w:val="30"/>
          <w:szCs w:val="30"/>
          <w:highlight w:val="none"/>
        </w:rPr>
        <w:t>2022年</w:t>
      </w:r>
      <w:r>
        <w:rPr>
          <w:rFonts w:hint="eastAsia" w:hAnsi="宋体" w:cs="宋体"/>
          <w:b/>
          <w:bCs/>
          <w:color w:val="auto"/>
          <w:w w:val="95"/>
          <w:sz w:val="30"/>
          <w:szCs w:val="30"/>
          <w:highlight w:val="none"/>
          <w:lang w:val="en-US" w:eastAsia="zh-CN"/>
        </w:rPr>
        <w:t>8</w:t>
      </w:r>
      <w:r>
        <w:rPr>
          <w:rFonts w:hint="eastAsia" w:ascii="宋体" w:hAnsi="宋体" w:eastAsia="宋体" w:cs="宋体"/>
          <w:b/>
          <w:bCs/>
          <w:color w:val="auto"/>
          <w:w w:val="95"/>
          <w:sz w:val="30"/>
          <w:szCs w:val="30"/>
          <w:highlight w:val="none"/>
        </w:rPr>
        <w:t>月</w:t>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0"/>
          <w:szCs w:val="30"/>
          <w:highlight w:val="none"/>
        </w:rPr>
        <w:br w:type="page"/>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line="400" w:lineRule="exact"/>
        <w:jc w:val="center"/>
        <w:rPr>
          <w:rFonts w:hint="eastAsia" w:ascii="宋体" w:hAnsi="宋体" w:eastAsia="宋体" w:cs="宋体"/>
          <w:b/>
          <w:color w:val="auto"/>
          <w:sz w:val="44"/>
          <w:szCs w:val="44"/>
          <w:highlight w:val="none"/>
        </w:rPr>
      </w:pPr>
    </w:p>
    <w:p>
      <w:pPr>
        <w:pStyle w:val="19"/>
        <w:tabs>
          <w:tab w:val="right" w:leader="dot" w:pos="9638"/>
        </w:tabs>
        <w:rPr>
          <w:rFonts w:hint="eastAsia" w:ascii="宋体" w:hAnsi="宋体" w:eastAsia="宋体" w:cs="宋体"/>
          <w:color w:val="auto"/>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TOC \o "1-3" \h \z \u</w:instrText>
      </w:r>
      <w:r>
        <w:rPr>
          <w:rFonts w:hint="eastAsia" w:ascii="宋体" w:hAnsi="宋体" w:eastAsia="宋体" w:cs="宋体"/>
          <w:b/>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竞争性谈判公告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评审程序和评定成交的标准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638"/>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931"/>
          <w:tab w:val="clear" w:pos="8296"/>
        </w:tabs>
        <w:snapToGrid w:val="0"/>
        <w:spacing w:line="500" w:lineRule="atLeast"/>
        <w:ind w:left="0" w:leftChars="0"/>
        <w:rPr>
          <w:rFonts w:hint="eastAsia" w:ascii="宋体" w:hAnsi="宋体" w:eastAsia="宋体" w:cs="宋体"/>
          <w:b/>
          <w:color w:val="auto"/>
          <w:sz w:val="24"/>
          <w:highlight w:val="none"/>
        </w:rPr>
      </w:pPr>
      <w:r>
        <w:rPr>
          <w:rFonts w:hint="eastAsia" w:ascii="宋体" w:hAnsi="宋体" w:eastAsia="宋体" w:cs="宋体"/>
          <w:color w:val="auto"/>
          <w:highlight w:val="none"/>
        </w:rPr>
        <w:fldChar w:fldCharType="end"/>
      </w:r>
    </w:p>
    <w:p>
      <w:pPr>
        <w:spacing w:line="400" w:lineRule="exact"/>
        <w:jc w:val="left"/>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pPr>
    </w:p>
    <w:p>
      <w:pPr>
        <w:pStyle w:val="3"/>
        <w:spacing w:line="240" w:lineRule="auto"/>
        <w:jc w:val="center"/>
        <w:rPr>
          <w:rFonts w:hint="eastAsia" w:ascii="宋体" w:hAnsi="宋体" w:eastAsia="宋体" w:cs="宋体"/>
          <w:b w:val="0"/>
          <w:bCs w:val="0"/>
          <w:color w:val="auto"/>
          <w:sz w:val="32"/>
          <w:szCs w:val="32"/>
          <w:highlight w:val="none"/>
        </w:rPr>
      </w:pPr>
      <w:bookmarkStart w:id="0" w:name="_Toc14271"/>
      <w:r>
        <w:rPr>
          <w:rFonts w:hint="eastAsia" w:ascii="宋体" w:hAnsi="宋体" w:eastAsia="宋体" w:cs="宋体"/>
          <w:color w:val="auto"/>
          <w:highlight w:val="none"/>
        </w:rPr>
        <w:t>第一章 竞争性谈判公告</w:t>
      </w:r>
      <w:bookmarkEnd w:id="0"/>
    </w:p>
    <w:p>
      <w:pPr>
        <w:pStyle w:val="14"/>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广西建采项目管理有限公司</w:t>
      </w:r>
    </w:p>
    <w:p>
      <w:pPr>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关于</w:t>
      </w:r>
      <w:r>
        <w:rPr>
          <w:rFonts w:hint="eastAsia" w:ascii="宋体" w:hAnsi="宋体" w:cs="宋体"/>
          <w:b/>
          <w:color w:val="auto"/>
          <w:sz w:val="28"/>
          <w:szCs w:val="28"/>
          <w:highlight w:val="none"/>
          <w:lang w:eastAsia="zh-CN"/>
        </w:rPr>
        <w:t>2022年广西康养食品科学与技术重点实验室建设仪器设备采购项目（第二次）</w:t>
      </w:r>
    </w:p>
    <w:p>
      <w:pPr>
        <w:jc w:val="center"/>
        <w:rPr>
          <w:rFonts w:hint="eastAsia" w:ascii="宋体" w:hAnsi="宋体" w:eastAsia="宋体" w:cs="宋体"/>
          <w:color w:val="auto"/>
          <w:szCs w:val="21"/>
          <w:highlight w:val="none"/>
        </w:rPr>
      </w:pPr>
      <w:r>
        <w:rPr>
          <w:rFonts w:hint="eastAsia" w:ascii="宋体" w:hAnsi="宋体" w:eastAsia="宋体" w:cs="宋体"/>
          <w:b/>
          <w:color w:val="auto"/>
          <w:kern w:val="0"/>
          <w:sz w:val="28"/>
          <w:szCs w:val="28"/>
          <w:highlight w:val="none"/>
        </w:rPr>
        <w:t>竞争性谈判公告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bookmarkStart w:id="1" w:name="_Hlk37430271"/>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2022年广西康养食品科学与技术重点实验室建设仪器设备采购项目（第二次）</w:t>
      </w:r>
      <w:r>
        <w:rPr>
          <w:rFonts w:hint="eastAsia" w:ascii="宋体" w:hAnsi="宋体" w:eastAsia="宋体" w:cs="宋体"/>
          <w:color w:val="auto"/>
          <w:szCs w:val="21"/>
          <w:highlight w:val="none"/>
        </w:rPr>
        <w:t>采购项目的潜在供应商应在政采云平台（https://www.zcygov.cn/）获取（下载）竞争性谈判文件，并于2022年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分（北京时间）前提交响应文件。</w:t>
      </w:r>
    </w:p>
    <w:p>
      <w:pPr>
        <w:spacing w:line="400" w:lineRule="exact"/>
        <w:ind w:firstLine="480" w:firstLineChars="200"/>
        <w:rPr>
          <w:rFonts w:hint="eastAsia" w:ascii="宋体" w:hAnsi="宋体" w:eastAsia="宋体" w:cs="宋体"/>
          <w:color w:val="auto"/>
          <w:sz w:val="24"/>
          <w:highlight w:val="none"/>
        </w:rPr>
      </w:pPr>
      <w:bookmarkStart w:id="2" w:name="_Toc28359018"/>
      <w:bookmarkStart w:id="3" w:name="_Toc35393636"/>
      <w:bookmarkStart w:id="4" w:name="_Toc71365369"/>
      <w:bookmarkStart w:id="5" w:name="_Toc35393805"/>
      <w:bookmarkStart w:id="6" w:name="_Toc71366047"/>
      <w:bookmarkStart w:id="7" w:name="_Toc28359095"/>
      <w:r>
        <w:rPr>
          <w:rFonts w:hint="eastAsia" w:ascii="宋体" w:hAnsi="宋体" w:eastAsia="宋体" w:cs="宋体"/>
          <w:color w:val="auto"/>
          <w:sz w:val="24"/>
          <w:highlight w:val="none"/>
        </w:rPr>
        <w:t>一、项目基本情况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项目编号：GXZC2022-J1-002520-JCXM</w:t>
      </w:r>
      <w:r>
        <w:rPr>
          <w:rFonts w:hint="eastAsia" w:ascii="宋体" w:hAnsi="宋体" w:cs="宋体"/>
          <w:color w:val="auto"/>
          <w:szCs w:val="21"/>
          <w:highlight w:val="none"/>
          <w:lang w:eastAsia="zh-CN"/>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2022年广西康养食品科学与技术重点实验室建设仪器设备采购项目（第二次）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采购方式：竞争性谈判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贰佰陆拾万元整（￥2600000.00）</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贰佰陆拾万元整（￥2600000.00）</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采购需求：液相色谱-质谱联用仪</w:t>
      </w:r>
      <w:r>
        <w:rPr>
          <w:rFonts w:hint="eastAsia" w:ascii="宋体" w:hAnsi="宋体" w:eastAsia="宋体" w:cs="宋体"/>
          <w:color w:val="auto"/>
          <w:szCs w:val="21"/>
          <w:highlight w:val="none"/>
          <w:lang w:eastAsia="zh-CN"/>
        </w:rPr>
        <w:t>一台</w:t>
      </w:r>
      <w:r>
        <w:rPr>
          <w:rFonts w:hint="eastAsia" w:ascii="宋体" w:hAnsi="宋体" w:eastAsia="宋体" w:cs="宋体"/>
          <w:color w:val="auto"/>
          <w:szCs w:val="21"/>
          <w:highlight w:val="none"/>
        </w:rPr>
        <w:t>，具体详见</w:t>
      </w:r>
      <w:r>
        <w:rPr>
          <w:rFonts w:hint="eastAsia" w:ascii="宋体" w:hAnsi="宋体" w:eastAsia="宋体" w:cs="宋体"/>
          <w:color w:val="auto"/>
          <w:highlight w:val="none"/>
        </w:rPr>
        <w:t xml:space="preserve">第三章 </w:t>
      </w:r>
      <w:r>
        <w:rPr>
          <w:rFonts w:hint="eastAsia" w:ascii="宋体" w:hAnsi="宋体" w:eastAsia="宋体" w:cs="宋体"/>
          <w:color w:val="auto"/>
          <w:szCs w:val="21"/>
          <w:highlight w:val="none"/>
        </w:rPr>
        <w:t>《</w:t>
      </w:r>
      <w:r>
        <w:rPr>
          <w:rFonts w:hint="eastAsia" w:ascii="宋体" w:hAnsi="宋体" w:eastAsia="宋体" w:cs="宋体"/>
          <w:color w:val="auto"/>
          <w:highlight w:val="none"/>
        </w:rPr>
        <w:t>采购需求</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w:t>
      </w:r>
      <w:r>
        <w:rPr>
          <w:rFonts w:hint="eastAsia" w:ascii="宋体" w:hAnsi="宋体" w:eastAsia="宋体" w:cs="宋体"/>
          <w:bCs/>
          <w:color w:val="auto"/>
          <w:szCs w:val="21"/>
          <w:highlight w:val="none"/>
          <w:lang w:eastAsia="zh-CN"/>
        </w:rPr>
        <w:t>签订合同后90个工作日内安装调试完毕并交付使用</w:t>
      </w:r>
      <w:r>
        <w:rPr>
          <w:rFonts w:hint="eastAsia" w:ascii="宋体" w:hAnsi="宋体" w:eastAsia="宋体" w:cs="宋体"/>
          <w:bCs/>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本项目（是/否）接受联合体：否。</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二、申请人的资格条件：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三、获取竞争性谈判文件</w:t>
      </w:r>
    </w:p>
    <w:p>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时间：</w:t>
      </w:r>
      <w:r>
        <w:rPr>
          <w:rFonts w:hint="eastAsia" w:ascii="宋体" w:hAnsi="宋体" w:eastAsia="宋体" w:cs="宋体"/>
          <w:color w:val="auto"/>
          <w:highlight w:val="none"/>
        </w:rPr>
        <w:t>2022年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9</w:t>
      </w:r>
      <w:r>
        <w:rPr>
          <w:rFonts w:hint="eastAsia" w:ascii="宋体" w:hAnsi="宋体" w:eastAsia="宋体" w:cs="宋体"/>
          <w:color w:val="auto"/>
          <w:highlight w:val="none"/>
        </w:rPr>
        <w:t>日</w:t>
      </w:r>
      <w:r>
        <w:rPr>
          <w:rFonts w:hint="eastAsia" w:ascii="宋体" w:hAnsi="宋体" w:eastAsia="宋体" w:cs="宋体"/>
          <w:color w:val="auto"/>
          <w:szCs w:val="21"/>
          <w:highlight w:val="none"/>
        </w:rPr>
        <w:t>至</w:t>
      </w:r>
      <w:r>
        <w:rPr>
          <w:rFonts w:hint="eastAsia" w:ascii="宋体" w:hAnsi="宋体" w:eastAsia="宋体" w:cs="宋体"/>
          <w:color w:val="auto"/>
          <w:highlight w:val="none"/>
        </w:rPr>
        <w:t>2022年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12</w:t>
      </w:r>
      <w:r>
        <w:rPr>
          <w:rFonts w:hint="eastAsia" w:ascii="宋体" w:hAnsi="宋体" w:eastAsia="宋体" w:cs="宋体"/>
          <w:color w:val="auto"/>
          <w:highlight w:val="none"/>
        </w:rPr>
        <w:t>日</w:t>
      </w:r>
      <w:r>
        <w:rPr>
          <w:rFonts w:hint="eastAsia" w:ascii="宋体" w:hAnsi="宋体" w:eastAsia="宋体" w:cs="宋体"/>
          <w:color w:val="auto"/>
          <w:szCs w:val="21"/>
          <w:highlight w:val="none"/>
        </w:rPr>
        <w:t>，每天上午00:00-12:00；下午1</w:t>
      </w:r>
      <w:r>
        <w:rPr>
          <w:rFonts w:hint="eastAsia" w:ascii="宋体" w:hAnsi="宋体" w:eastAsia="宋体" w:cs="宋体"/>
          <w:color w:val="auto"/>
          <w:highlight w:val="none"/>
        </w:rPr>
        <w:t>2</w:t>
      </w:r>
      <w:r>
        <w:rPr>
          <w:rFonts w:hint="eastAsia" w:ascii="宋体" w:hAnsi="宋体" w:eastAsia="宋体" w:cs="宋体"/>
          <w:color w:val="auto"/>
          <w:szCs w:val="21"/>
          <w:highlight w:val="none"/>
        </w:rPr>
        <w:t>:</w:t>
      </w:r>
      <w:r>
        <w:rPr>
          <w:rFonts w:hint="eastAsia" w:ascii="宋体" w:hAnsi="宋体" w:eastAsia="宋体" w:cs="宋体"/>
          <w:color w:val="auto"/>
          <w:highlight w:val="none"/>
        </w:rPr>
        <w:t>00</w:t>
      </w:r>
      <w:r>
        <w:rPr>
          <w:rFonts w:hint="eastAsia" w:ascii="宋体" w:hAnsi="宋体" w:eastAsia="宋体" w:cs="宋体"/>
          <w:color w:val="auto"/>
          <w:szCs w:val="21"/>
          <w:highlight w:val="none"/>
        </w:rPr>
        <w:t>-23:</w:t>
      </w:r>
      <w:r>
        <w:rPr>
          <w:rFonts w:hint="eastAsia" w:ascii="宋体" w:hAnsi="宋体" w:eastAsia="宋体" w:cs="宋体"/>
          <w:color w:val="auto"/>
          <w:highlight w:val="none"/>
        </w:rPr>
        <w:t>59</w:t>
      </w:r>
      <w:r>
        <w:rPr>
          <w:rFonts w:hint="eastAsia" w:ascii="宋体" w:hAnsi="宋体" w:eastAsia="宋体" w:cs="宋体"/>
          <w:color w:val="auto"/>
          <w:szCs w:val="21"/>
          <w:highlight w:val="none"/>
        </w:rPr>
        <w:t>（北京时间，法定节假日除外）。</w:t>
      </w:r>
    </w:p>
    <w:p>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地点：“政采云”平台（http：//www.zcygov.cn）。</w:t>
      </w:r>
    </w:p>
    <w:p>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方式：网上下载。本项目不发放纸质文件，供应商应自行在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r>
        <w:rPr>
          <w:rFonts w:hint="eastAsia" w:ascii="宋体" w:hAnsi="宋体" w:eastAsia="宋体" w:cs="宋体"/>
          <w:bCs/>
          <w:color w:val="auto"/>
          <w:kern w:val="0"/>
          <w:szCs w:val="21"/>
          <w:highlight w:val="none"/>
        </w:rPr>
        <w:t>“政采云”平台（http：//www.zcygov.cn）下载竞争性谈判文件（操作路径：登录“政采云”平台-项目采购-获取采购文件-找到本项目-点击“申请获取采购文件”），电子响应文件制作需要基于“政采云”平台获取的竞争性谈判文件编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售价：0元。</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四、响应文件提交</w:t>
      </w:r>
    </w:p>
    <w:p>
      <w:pPr>
        <w:spacing w:line="400" w:lineRule="exact"/>
        <w:ind w:left="422"/>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1、首次响应文件提交截止时间：2022年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分（北京时间）</w:t>
      </w:r>
    </w:p>
    <w:p>
      <w:pPr>
        <w:spacing w:line="400" w:lineRule="exact"/>
        <w:ind w:left="42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2、地点：通过“政采云”平台在线提交。</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五、开启</w:t>
      </w:r>
    </w:p>
    <w:p>
      <w:pPr>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1、首次响应文件开启时间：</w:t>
      </w:r>
      <w:bookmarkStart w:id="38" w:name="_GoBack"/>
      <w:bookmarkEnd w:id="38"/>
      <w:r>
        <w:rPr>
          <w:rFonts w:hint="eastAsia" w:ascii="宋体" w:hAnsi="宋体" w:eastAsia="宋体" w:cs="宋体"/>
          <w:bCs/>
          <w:color w:val="auto"/>
          <w:kern w:val="0"/>
          <w:szCs w:val="21"/>
          <w:highlight w:val="none"/>
        </w:rPr>
        <w:t>2022年</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时</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分（北京时间）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w:t>
      </w:r>
      <w:r>
        <w:rPr>
          <w:rFonts w:hint="eastAsia" w:ascii="宋体" w:hAnsi="宋体" w:cs="宋体"/>
          <w:color w:val="auto"/>
          <w:szCs w:val="21"/>
        </w:rPr>
        <w:t>广西壮族自治区贺州市八步区贺州市平安东路绿洲家园B区B-2栋5号商铺3F广西建采项目管理有限公司-开标室</w:t>
      </w:r>
      <w:r>
        <w:rPr>
          <w:rFonts w:hint="eastAsia" w:ascii="宋体" w:hAnsi="宋体" w:eastAsia="宋体" w:cs="宋体"/>
          <w:color w:val="auto"/>
          <w:szCs w:val="21"/>
          <w:highlight w:val="none"/>
        </w:rPr>
        <w:t>。</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六、公告期限</w:t>
      </w:r>
    </w:p>
    <w:p>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七、其他补充事宜</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1、竞标保证金（人民币）：</w:t>
      </w:r>
      <w:r>
        <w:rPr>
          <w:rFonts w:hint="eastAsia" w:ascii="宋体" w:hAnsi="宋体" w:cs="宋体"/>
          <w:color w:val="auto"/>
          <w:szCs w:val="21"/>
          <w:highlight w:val="none"/>
          <w:lang w:eastAsia="zh-CN"/>
        </w:rPr>
        <w:t>贰万陆仟元整（￥26000.00）</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保证金的交纳方式：银行转账、支票、汇票、本票或者金融、担保机构出具的保函，禁止采用现钞方式。采用银行转账方式的，在响应文件提交截止时间前交至以下账户且到账；并注明项目名称或项目编号及所竞分标（如有）。</w:t>
      </w:r>
    </w:p>
    <w:p>
      <w:pPr>
        <w:widowControl/>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开户名：</w:t>
      </w:r>
      <w:r>
        <w:rPr>
          <w:rFonts w:hint="eastAsia" w:ascii="宋体" w:hAnsi="宋体" w:cs="宋体"/>
          <w:color w:val="auto"/>
          <w:szCs w:val="21"/>
          <w:highlight w:val="none"/>
          <w:lang w:eastAsia="zh-CN"/>
        </w:rPr>
        <w:t>广西建采项目管理有限公司</w:t>
      </w:r>
    </w:p>
    <w:p>
      <w:pPr>
        <w:widowControl/>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账 号：</w:t>
      </w:r>
      <w:r>
        <w:rPr>
          <w:rFonts w:hint="eastAsia" w:ascii="宋体" w:hAnsi="宋体" w:cs="宋体"/>
          <w:color w:val="auto"/>
          <w:szCs w:val="21"/>
          <w:highlight w:val="none"/>
          <w:lang w:eastAsia="zh-CN"/>
        </w:rPr>
        <w:t>45050164740200001325</w:t>
      </w:r>
    </w:p>
    <w:p>
      <w:pPr>
        <w:widowControl/>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开户行：</w:t>
      </w:r>
      <w:r>
        <w:rPr>
          <w:rFonts w:hint="eastAsia" w:ascii="宋体" w:hAnsi="宋体" w:cs="宋体"/>
          <w:color w:val="auto"/>
          <w:szCs w:val="21"/>
          <w:highlight w:val="none"/>
          <w:lang w:eastAsia="zh-CN"/>
        </w:rPr>
        <w:t>中国建设银行贺州城东支行</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4、网上查询地址：</w:t>
      </w:r>
      <w:r>
        <w:rPr>
          <w:rFonts w:hint="eastAsia" w:ascii="宋体" w:hAnsi="宋体" w:cs="宋体"/>
          <w:color w:val="auto"/>
          <w:szCs w:val="21"/>
          <w:highlight w:val="none"/>
        </w:rPr>
        <w:t>中国政府采购网、广西政府采购网、广西建采项目管理有限公司</w:t>
      </w:r>
      <w:r>
        <w:rPr>
          <w:rFonts w:hint="eastAsia" w:ascii="宋体" w:hAnsi="宋体" w:cs="宋体"/>
          <w:color w:val="auto"/>
          <w:szCs w:val="21"/>
          <w:highlight w:val="none"/>
          <w:lang w:val="en-US" w:eastAsia="zh-CN"/>
        </w:rPr>
        <w:t>网</w:t>
      </w:r>
      <w:r>
        <w:rPr>
          <w:rFonts w:hint="eastAsia" w:ascii="宋体" w:hAnsi="宋体" w:eastAsia="宋体" w:cs="宋体"/>
          <w:color w:val="auto"/>
          <w:szCs w:val="21"/>
          <w:highlight w:val="none"/>
        </w:rPr>
        <w:t>。</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5、本项目需要落实的政府采购政策：</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（2）政府采购支持采用本国产品的政策。</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（3）强制采购节能产品；优先采购节能产品、环境标志产品。</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（4）政府采购促进残疾人就业政策。</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（5）政府采购支持监狱企业发展。</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（6）扶持不发达地区和少数民族地区政策</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6、谈判注意事项：</w:t>
      </w:r>
    </w:p>
    <w:p>
      <w:pPr>
        <w:widowControl/>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响应文件提交方式：本项目为全流程电子化政府采购项目，通过“政采云”平台（http：//www.zcygov.cn）实行在线电子竞标，供应商应先安装“政采云电子交易客户端”（请自行前往“政采云”平台进行下载），并按照本项目竞争性谈判文件和“政采云”平台的要求编制、加密后在首次响应文件提交截止时间前通过网络上传至“政采云”平台，</w:t>
      </w:r>
      <w:r>
        <w:rPr>
          <w:rFonts w:hint="eastAsia" w:ascii="宋体" w:hAnsi="宋体" w:eastAsia="宋体" w:cs="宋体"/>
          <w:b/>
          <w:color w:val="auto"/>
          <w:szCs w:val="21"/>
          <w:highlight w:val="none"/>
        </w:rPr>
        <w:t>供应商在“政采云”平台提交电子版响应文件时，请填写参加远程开标活动经办人联系方式。</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（2）供应商应及时熟悉掌握电子标系统操作指南（见政采云电子卖场首页右上角—服务中心—帮助文档—项目采购）：</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https://service.zcygov.cn/#/knowledges/tree?tag=AG1DtGwBFdiHxlNdhY0r</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；及时完成CA申领和绑定（见广西壮族自治区政府采购网—办事服务—下载专区-政采云CA证书办理操作指南）。</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（4）为确保网上操作合法、有效和安全，请供应商确保在电子竞标过程中能够对相关数据电文进行加密和使用电子签章，妥善保管CA数字证书并使用有效的CA数字证书参与整个采购活动。</w:t>
      </w:r>
    </w:p>
    <w:p>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7、CA证书在线解密：首次响应文件开启时，须要供应商携带制作响应文件时用来加密的有效数字证书（CA认证）登录“政采云”平台电子开标大厅现场按规定时间对加密的响应文件进行解密，否则后果自负。</w:t>
      </w:r>
    </w:p>
    <w:p>
      <w:pPr>
        <w:widowControl/>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8、供应商需要在具备有摄像头及语音功能且互联网网络状况良好的电脑登录“政采云”平台远程开标大厅参与本次谈判，否则后果自负。</w:t>
      </w:r>
    </w:p>
    <w:p>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9、若对项目采购电子交易系统操作有疑问，可登录“政采云”平台（https://www.zcygov.cn/），点击右侧咨询小采，获取采小蜜智能服务管家帮助，或拨打政采云服务热线400-881-7190获取热线服务帮助。</w:t>
      </w:r>
    </w:p>
    <w:p>
      <w:pPr>
        <w:widowControl/>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highlight w:val="none"/>
        </w:rPr>
        <w:t>监管部门：广西壮族自治区财政厅政府采购监督管理处  电话：0771-5331544</w:t>
      </w:r>
    </w:p>
    <w:p>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八、凡对本次采购提出询问，请按以下方式联系。</w:t>
      </w:r>
      <w:bookmarkEnd w:id="2"/>
      <w:bookmarkEnd w:id="3"/>
      <w:bookmarkEnd w:id="4"/>
      <w:bookmarkEnd w:id="5"/>
      <w:bookmarkEnd w:id="6"/>
      <w:bookmarkEnd w:id="7"/>
    </w:p>
    <w:p>
      <w:pPr>
        <w:spacing w:line="400" w:lineRule="exact"/>
        <w:ind w:firstLine="567" w:firstLineChars="270"/>
        <w:jc w:val="left"/>
        <w:rPr>
          <w:rFonts w:hint="eastAsia" w:ascii="宋体" w:hAnsi="宋体" w:eastAsia="宋体" w:cs="宋体"/>
          <w:color w:val="auto"/>
          <w:szCs w:val="21"/>
          <w:highlight w:val="none"/>
        </w:rPr>
      </w:pPr>
      <w:bookmarkStart w:id="8" w:name="_Toc35393637"/>
      <w:bookmarkStart w:id="9" w:name="_Toc35393806"/>
      <w:bookmarkStart w:id="10" w:name="_Toc28359096"/>
      <w:bookmarkStart w:id="11" w:name="_Toc28359019"/>
      <w:r>
        <w:rPr>
          <w:rFonts w:hint="eastAsia" w:ascii="宋体" w:hAnsi="宋体" w:eastAsia="宋体" w:cs="宋体"/>
          <w:color w:val="auto"/>
          <w:szCs w:val="21"/>
          <w:highlight w:val="none"/>
        </w:rPr>
        <w:t>1.采购人信息</w:t>
      </w:r>
    </w:p>
    <w:p>
      <w:pPr>
        <w:spacing w:line="400" w:lineRule="exact"/>
        <w:ind w:firstLine="567" w:firstLine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highlight w:val="none"/>
        </w:rPr>
        <w:t>贺州学院</w:t>
      </w:r>
    </w:p>
    <w:p>
      <w:pPr>
        <w:spacing w:line="400" w:lineRule="exact"/>
        <w:ind w:firstLine="567" w:firstLine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地址：贺州市西环路18号</w:t>
      </w:r>
    </w:p>
    <w:p>
      <w:pPr>
        <w:spacing w:line="400" w:lineRule="exact"/>
        <w:ind w:firstLine="567" w:firstLineChars="27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联系方式：</w:t>
      </w:r>
      <w:bookmarkStart w:id="12" w:name="_Toc28359086"/>
      <w:bookmarkStart w:id="13" w:name="_Toc28359009"/>
      <w:r>
        <w:rPr>
          <w:rFonts w:hint="eastAsia" w:ascii="宋体" w:hAnsi="宋体" w:eastAsia="宋体" w:cs="宋体"/>
          <w:color w:val="auto"/>
          <w:szCs w:val="21"/>
          <w:highlight w:val="none"/>
        </w:rPr>
        <w:t>0774-5228681</w:t>
      </w:r>
    </w:p>
    <w:p>
      <w:pPr>
        <w:spacing w:line="400" w:lineRule="exact"/>
        <w:ind w:firstLine="567" w:firstLine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bookmarkEnd w:id="12"/>
      <w:bookmarkEnd w:id="13"/>
    </w:p>
    <w:p>
      <w:pPr>
        <w:spacing w:line="400" w:lineRule="exact"/>
        <w:ind w:firstLine="567" w:firstLine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称：广西建采项目管理有限公司</w:t>
      </w:r>
    </w:p>
    <w:p>
      <w:pPr>
        <w:spacing w:line="400" w:lineRule="exact"/>
        <w:ind w:firstLine="567" w:firstLine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址：贺州市平安东路绿洲家园B区B-2栋5号商铺2F</w:t>
      </w:r>
    </w:p>
    <w:p>
      <w:pPr>
        <w:spacing w:line="400" w:lineRule="exact"/>
        <w:ind w:firstLine="567" w:firstLine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bookmarkStart w:id="14" w:name="_Toc28359010"/>
      <w:bookmarkStart w:id="15" w:name="_Toc28359087"/>
      <w:r>
        <w:rPr>
          <w:rFonts w:hint="eastAsia" w:ascii="宋体" w:hAnsi="宋体" w:eastAsia="宋体" w:cs="宋体"/>
          <w:color w:val="auto"/>
          <w:szCs w:val="21"/>
          <w:highlight w:val="none"/>
        </w:rPr>
        <w:t>0774-5081968</w:t>
      </w:r>
    </w:p>
    <w:p>
      <w:pPr>
        <w:spacing w:line="400" w:lineRule="exact"/>
        <w:ind w:firstLine="567" w:firstLineChars="27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3.项目联系方式</w:t>
      </w:r>
      <w:bookmarkEnd w:id="14"/>
      <w:bookmarkEnd w:id="15"/>
    </w:p>
    <w:p>
      <w:pPr>
        <w:pStyle w:val="14"/>
        <w:spacing w:line="400" w:lineRule="exact"/>
        <w:ind w:firstLine="567" w:firstLineChars="270"/>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项目联系人：刘宇倩</w:t>
      </w:r>
    </w:p>
    <w:p>
      <w:pPr>
        <w:spacing w:line="400" w:lineRule="exact"/>
        <w:ind w:firstLine="567" w:firstLine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话：0774-5081968</w:t>
      </w:r>
    </w:p>
    <w:bookmarkEnd w:id="1"/>
    <w:bookmarkEnd w:id="8"/>
    <w:bookmarkEnd w:id="9"/>
    <w:bookmarkEnd w:id="10"/>
    <w:bookmarkEnd w:id="11"/>
    <w:p>
      <w:pPr>
        <w:spacing w:line="400" w:lineRule="exact"/>
        <w:ind w:firstLine="7035" w:firstLineChars="3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广西建采项目管理有限公司</w:t>
      </w:r>
    </w:p>
    <w:p>
      <w:pPr>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2022年</w:t>
      </w:r>
      <w:r>
        <w:rPr>
          <w:rFonts w:hint="eastAsia" w:ascii="宋体" w:hAnsi="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cs="宋体"/>
          <w:color w:val="auto"/>
          <w:highlight w:val="none"/>
          <w:lang w:val="en-US" w:eastAsia="zh-CN"/>
        </w:rPr>
        <w:t>9</w:t>
      </w:r>
      <w:r>
        <w:rPr>
          <w:rFonts w:hint="eastAsia" w:ascii="宋体" w:hAnsi="宋体" w:eastAsia="宋体" w:cs="宋体"/>
          <w:color w:val="auto"/>
          <w:highlight w:val="none"/>
        </w:rPr>
        <w:t>日</w:t>
      </w:r>
    </w:p>
    <w:p>
      <w:pPr>
        <w:pStyle w:val="3"/>
        <w:jc w:val="center"/>
        <w:rPr>
          <w:rFonts w:hint="eastAsia" w:ascii="宋体" w:hAnsi="宋体" w:eastAsia="宋体" w:cs="宋体"/>
          <w:color w:val="auto"/>
          <w:highlight w:val="none"/>
        </w:rPr>
      </w:pPr>
      <w:bookmarkStart w:id="16" w:name="_Toc9759"/>
      <w:r>
        <w:rPr>
          <w:rFonts w:hint="eastAsia" w:ascii="宋体" w:hAnsi="宋体" w:eastAsia="宋体" w:cs="宋体"/>
          <w:color w:val="auto"/>
          <w:highlight w:val="none"/>
        </w:rPr>
        <w:t>第二章 供应商须知</w:t>
      </w:r>
      <w:bookmarkEnd w:id="16"/>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p>
      <w:pPr>
        <w:spacing w:line="400" w:lineRule="exact"/>
        <w:jc w:val="center"/>
        <w:rPr>
          <w:rFonts w:hint="eastAsia" w:ascii="宋体" w:hAnsi="宋体" w:eastAsia="宋体" w:cs="宋体"/>
          <w:b/>
          <w:color w:val="auto"/>
          <w:sz w:val="32"/>
          <w:szCs w:val="32"/>
          <w:highlight w:val="none"/>
        </w:rPr>
      </w:pPr>
    </w:p>
    <w:tbl>
      <w:tblPr>
        <w:tblStyle w:val="23"/>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8695"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9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869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695" w:type="dxa"/>
            <w:vAlign w:val="center"/>
          </w:tcPr>
          <w:p>
            <w:pPr>
              <w:pStyle w:val="9"/>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本项目不允许分包。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8695" w:type="dxa"/>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资格文件</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2022年1月以来任意连续三个月的依法缴纳税收的凭据复印件</w:t>
            </w:r>
            <w:r>
              <w:rPr>
                <w:rFonts w:hint="eastAsia" w:ascii="宋体" w:hAnsi="宋体" w:cs="宋体"/>
                <w:color w:val="auto"/>
                <w:szCs w:val="21"/>
                <w:highlight w:val="none"/>
              </w:rPr>
              <w:t>；</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2022年1月以来任意连续三个月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财务状况报告（提供2021经审计的财务状况报告复印件或者银行出具的资信证明；供应商成立不满一年的应按提供首次响应文件提交截止时间上一个月的财务状况报告复印件；（上述财务状况报告包括：①供应商执行《企业会计准则》的，提供资产负债表、利润表、现金流量表、所有者权益变动表（如有）及其附注，以下称“四/三表一注”；②供应商执行《小企业会计准则》的，提供资产负债表、利润表、现金流量表及其附注，以下称“三表一注”）；③供应商执行《政府会计制度》的，提供资产负债表、收入费用表和净资产变动表及其附注。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、除谈判文件规定必须提供以外，供应商认为需要提供的其他证明材料；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2.竞标声明必须由法定代表人在规定签章处逐一签字并加盖供应商公章，否则响应文件按无效响应处理。</w:t>
            </w:r>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3.供应商直接控股、管理关系信息表必须由法定代表人或者委托代理人在规定签章处逐一签字并加盖供应商公章，否则响应文件按无效响应处理。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8695" w:type="dxa"/>
            <w:vAlign w:val="center"/>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报价文件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商务技术文件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2、售后服务承诺（格式自拟）；（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3、技术偏离表（格式后附）；（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、第三章《采购需求》中要求提供的材料（</w:t>
            </w:r>
            <w:r>
              <w:rPr>
                <w:rFonts w:hint="eastAsia" w:ascii="宋体" w:hAnsi="宋体" w:cs="宋体"/>
                <w:b/>
                <w:bCs/>
                <w:color w:val="auto"/>
                <w:szCs w:val="21"/>
                <w:highlight w:val="none"/>
              </w:rPr>
              <w:t>如有要求，必</w:t>
            </w:r>
            <w:r>
              <w:rPr>
                <w:rFonts w:hint="eastAsia" w:ascii="宋体" w:hAnsi="宋体" w:cs="宋体"/>
                <w:b/>
                <w:color w:val="auto"/>
                <w:szCs w:val="21"/>
                <w:highlight w:val="none"/>
              </w:rPr>
              <w:t>须提供，否则响应文件按无效响应处理</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、对应采购需求的技术要求、商务要求提供的其他文件资料（格式自拟）；</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、供应商认为需要提供的其他有关资料。</w:t>
            </w:r>
          </w:p>
          <w:p>
            <w:pPr>
              <w:snapToGrid w:val="0"/>
              <w:spacing w:line="360" w:lineRule="auto"/>
              <w:ind w:firstLine="422" w:firstLineChars="200"/>
              <w:jc w:val="left"/>
              <w:rPr>
                <w:rFonts w:ascii="宋体" w:hAnsi="宋体" w:cs="宋体"/>
                <w:b/>
                <w:color w:val="auto"/>
                <w:szCs w:val="21"/>
                <w:highlight w:val="none"/>
              </w:rPr>
            </w:pPr>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cs="宋体"/>
                <w:b/>
                <w:color w:val="auto"/>
                <w:szCs w:val="21"/>
                <w:highlight w:val="none"/>
              </w:rPr>
              <w:t>注：以上标明“必须提供”材料复印件的，必须加盖供应商公章，否则响应文件按无效响应处理。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8695"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竞标报价包含竞标货物（包括备品备件、专用工具等）的价格（包括已在中国</w:t>
            </w:r>
            <w:r>
              <w:rPr>
                <w:rFonts w:hint="eastAsia" w:ascii="宋体" w:hAnsi="宋体" w:eastAsia="宋体" w:cs="宋体"/>
                <w:color w:val="auto"/>
                <w:highlight w:val="none"/>
              </w:rPr>
              <w:t>境内</w:t>
            </w:r>
            <w:r>
              <w:rPr>
                <w:rFonts w:hint="eastAsia" w:ascii="宋体" w:hAnsi="宋体" w:eastAsia="宋体" w:cs="宋体"/>
                <w:color w:val="auto"/>
                <w:szCs w:val="21"/>
                <w:highlight w:val="none"/>
              </w:rPr>
              <w:t>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8695" w:type="dxa"/>
            <w:vAlign w:val="center"/>
          </w:tcPr>
          <w:p>
            <w:pPr>
              <w:pStyle w:val="8"/>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竞标有效期：首次响应文件提交截止之日起60天内。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8695"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本项目收取竞标保证金，具体规定如下：</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谈判保证金人民币</w:t>
            </w:r>
            <w:r>
              <w:rPr>
                <w:rFonts w:hint="eastAsia" w:ascii="宋体" w:hAnsi="宋体" w:cs="宋体"/>
                <w:color w:val="auto"/>
                <w:kern w:val="0"/>
                <w:szCs w:val="21"/>
                <w:highlight w:val="none"/>
                <w:u w:val="single"/>
                <w:lang w:eastAsia="zh-CN"/>
              </w:rPr>
              <w:t>贰万陆仟元整（￥26000.00）</w:t>
            </w:r>
            <w:r>
              <w:rPr>
                <w:rFonts w:hint="eastAsia" w:ascii="宋体" w:hAnsi="宋体" w:eastAsia="宋体" w:cs="宋体"/>
                <w:color w:val="auto"/>
                <w:kern w:val="0"/>
                <w:szCs w:val="21"/>
                <w:highlight w:val="none"/>
              </w:rPr>
              <w:t>；</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竞标保证金的交纳方式：银行转账、支票、汇票、本票或者金融、担保机构出具的保函，禁止采用现钞方式。采用银行转账方式的，在响应文件提交截止时间前交至</w:t>
            </w:r>
            <w:r>
              <w:rPr>
                <w:rFonts w:hint="eastAsia" w:ascii="宋体" w:hAnsi="宋体" w:eastAsia="宋体" w:cs="宋体"/>
                <w:color w:val="auto"/>
                <w:szCs w:val="21"/>
                <w:highlight w:val="none"/>
              </w:rPr>
              <w:t>以下账户</w:t>
            </w:r>
            <w:r>
              <w:rPr>
                <w:rFonts w:hint="eastAsia" w:ascii="宋体" w:hAnsi="宋体" w:eastAsia="宋体" w:cs="宋体"/>
                <w:color w:val="auto"/>
                <w:kern w:val="0"/>
                <w:szCs w:val="21"/>
                <w:highlight w:val="none"/>
              </w:rPr>
              <w:t>且到账；</w:t>
            </w:r>
            <w:r>
              <w:rPr>
                <w:rFonts w:hint="eastAsia" w:ascii="宋体" w:hAnsi="宋体" w:eastAsia="宋体" w:cs="宋体"/>
                <w:color w:val="auto"/>
                <w:szCs w:val="20"/>
                <w:highlight w:val="none"/>
              </w:rPr>
              <w:t>并注明项目名称或项目编号及所竞分标（如有）。</w:t>
            </w:r>
          </w:p>
          <w:p>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开户名： </w:t>
            </w:r>
            <w:r>
              <w:rPr>
                <w:rFonts w:hint="eastAsia" w:ascii="宋体" w:hAnsi="宋体" w:cs="宋体"/>
                <w:color w:val="auto"/>
                <w:highlight w:val="none"/>
                <w:lang w:eastAsia="zh-CN"/>
              </w:rPr>
              <w:t>广西建采项目管理有限公司</w:t>
            </w:r>
          </w:p>
          <w:p>
            <w:pPr>
              <w:spacing w:line="42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账 号： </w:t>
            </w:r>
            <w:r>
              <w:rPr>
                <w:rFonts w:hint="eastAsia" w:ascii="宋体" w:hAnsi="宋体" w:cs="宋体"/>
                <w:color w:val="auto"/>
                <w:highlight w:val="none"/>
                <w:lang w:eastAsia="zh-CN"/>
              </w:rPr>
              <w:t>45050164740200001325</w:t>
            </w:r>
          </w:p>
          <w:p>
            <w:pPr>
              <w:spacing w:line="42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开户行：</w:t>
            </w:r>
            <w:r>
              <w:rPr>
                <w:rFonts w:hint="eastAsia" w:ascii="宋体" w:hAnsi="宋体" w:cs="宋体"/>
                <w:color w:val="auto"/>
                <w:highlight w:val="none"/>
                <w:lang w:eastAsia="zh-CN"/>
              </w:rPr>
              <w:t>中国建设银行贺州城东支行</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1.竞标保证金采用银行转账交纳方式的，在响应文件提交截止时间前交至指定账户并且到账，供应商应将银行转账底单的复印件作为竞标保证金提交凭证。</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2.竞标保证金采用支票、汇票、本票或者金融、担保机构出具的保函交纳方式的，供应商应将支票、汇票、本票或者金融、担保机构出具的保函的复印件作为竞标保证金提交凭证。</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3.供应商为联合体的，可以由联合体中的一方或者多方共同交纳谈判保证金，其交纳的保证金对联合体各方均具有约束力。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响应文件提交截止时间后提交的，或者未足额交纳的，或者保函额度不足的，视为无效竞标保证金。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2.供应商采用现钞方式或者从个人账户（自然人竞标除外）转出的竞标保证金，视为无效竞标保证金。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3.支票、汇票或者本票出现无效或者背书情形的，视为无效竞标保证金。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4.保函有效期低于竞标有效期的，视为无效竞标保证金。</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5.竞标保证金采用金融、担保机构出具的保函为有条件保函的，视为无效竞标保证金。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p>
        </w:tc>
        <w:tc>
          <w:tcPr>
            <w:tcW w:w="869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响应文件应按资格文件、报价文件、商务技术文件分别编制，并按“政采云”平台的要求编制、加密、上传。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695" w:type="dxa"/>
            <w:vAlign w:val="center"/>
          </w:tcPr>
          <w:p>
            <w:pPr>
              <w:spacing w:line="360" w:lineRule="auto"/>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首次响应文件提交截止时间：详见竞争性谈判公告。</w:t>
            </w:r>
          </w:p>
          <w:p>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8695"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谈判小组的人数：3人。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8695"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采购代理机构将依托电子交易平台发起开始解密指令，</w:t>
            </w:r>
            <w:r>
              <w:rPr>
                <w:rFonts w:hint="eastAsia" w:ascii="宋体" w:hAnsi="宋体" w:eastAsia="宋体" w:cs="宋体"/>
                <w:b/>
                <w:color w:val="auto"/>
                <w:szCs w:val="21"/>
                <w:highlight w:val="none"/>
              </w:rPr>
              <w:t>供应商的法定代表人或其委托代理人须携带加密时所用的CA锁按平台提示和采购文件的规定登录到“政采云”平台电子开标大厅签到并在发起解密指令之时起30分钟内完成对电子响应文件在线解密。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b/>
                <w:bCs/>
                <w:color w:val="auto"/>
                <w:szCs w:val="21"/>
                <w:highlight w:val="none"/>
              </w:rPr>
              <w:t>响应文件未按时解密的，视为响应文件无效。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8695"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8695"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谈判的顺序：按“政采云”系统的编号顺序。</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符合谈判资格的供应商必须在接到谈判通知后规定时间内参加谈判，未在规定时间内参加谈判的视同放弃参加谈判权利，其响应文件按无效响应处理。</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参与谈判前，供应商法定代表人或者委托代理人必须向谈判小组出示本人有效证件原件[有效证件可以是身份证（含临时身份证明）或者护照的其中一项]。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92" w:type="dxa"/>
            <w:vMerge w:val="continue"/>
            <w:vAlign w:val="center"/>
          </w:tcPr>
          <w:p>
            <w:pPr>
              <w:spacing w:line="360" w:lineRule="auto"/>
              <w:jc w:val="center"/>
              <w:rPr>
                <w:rFonts w:hint="eastAsia" w:ascii="宋体" w:hAnsi="宋体" w:eastAsia="宋体" w:cs="宋体"/>
                <w:color w:val="auto"/>
                <w:szCs w:val="21"/>
                <w:highlight w:val="none"/>
              </w:rPr>
            </w:pPr>
          </w:p>
        </w:tc>
        <w:tc>
          <w:tcPr>
            <w:tcW w:w="8695" w:type="dxa"/>
            <w:vAlign w:val="center"/>
          </w:tcPr>
          <w:p>
            <w:pPr>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评标价相同时，按照最后报价由低到高顺序依次推荐；最后报价相同时，按节能环保优先、技术指标高优先、质保期长优先、交货期短优先、故障响应时间短优先的顺序依次推荐。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8695"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后五个工作日内，成交供应商须向采购人支付合同总价的2%或5%作为履约保证金（如成交供应商是中小企业的，履约保证金为合同总价的2%；如成交供应商是非中小企业的，履约保证金为合同总价的5%）。成交供应商没有履行本合同项下约定的责任和义务所需承担的违约金、赔偿金及其他费用，采购人有权直接从履约保证金中扣除，履约保证金中不足以扣除的，采购人有权从任何一笔货款中扣除。剩余履约保证金（如有）自合同约定的质保期届满后由采购人无息返还给成交供应商。项目履约保证金转入以下指定账户：</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账户名称：贺州学院  </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开户银行：中国农业银行股份有限公司贺州分行             </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银行账号：20327101040005615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8695"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1、委托代理人负责签订合同的，须携带授权委托书及委托代理人身份证原件等其他资格证件。</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8695"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接收质疑函方式：以纸质书面形式。</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rPr>
              <w:t>质疑联系部门及联系方式：</w:t>
            </w:r>
            <w:r>
              <w:rPr>
                <w:rFonts w:hint="eastAsia" w:ascii="宋体" w:hAnsi="宋体" w:eastAsia="宋体" w:cs="宋体"/>
                <w:color w:val="auto"/>
                <w:sz w:val="21"/>
                <w:highlight w:val="none"/>
              </w:rPr>
              <w:t>广西建采项目管理有限公司，</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质疑联系人：刘宇倩       联系电话：0774-5081968 ，</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通讯地址：贺州市平安东路绿洲家园B区B-2栋5号商铺2F</w:t>
            </w:r>
          </w:p>
          <w:p>
            <w:pPr>
              <w:pStyle w:val="14"/>
              <w:snapToGrid w:val="0"/>
              <w:spacing w:line="360" w:lineRule="auto"/>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现场提交质疑办理业务时间： 工作日，上午8:00-12:00；下午15:00-18:00（北京时间）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8695" w:type="dxa"/>
            <w:vAlign w:val="center"/>
          </w:tcPr>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1、采购代理服务费支付方式：本项目的招标代理服务费按以下收费标准向成交供应商收取，领取成交通知书前，成交供应商应向采购代理机构一次付清招标代理服务费，否则采购代理机构有权不予以办理。</w:t>
            </w:r>
          </w:p>
          <w:p>
            <w:pPr>
              <w:pStyle w:val="14"/>
              <w:snapToGrid w:val="0"/>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2、采购代理服务费收取标准：</w:t>
            </w:r>
          </w:p>
          <w:p>
            <w:pPr>
              <w:pStyle w:val="14"/>
              <w:snapToGrid w:val="0"/>
              <w:spacing w:line="400" w:lineRule="exact"/>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以成交金额为计费额，按本须知正文第32.2条规定的收费计算标准（货物类）采用差额定率累进法计算出收费基准价格，采购代理服务费收费以（收费基准价格）收取。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8695" w:type="dxa"/>
            <w:vAlign w:val="center"/>
          </w:tcPr>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8695" w:type="dxa"/>
            <w:vAlign w:val="center"/>
          </w:tcPr>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谈判文件中描述供应商的“公章”是指根据我国对公章的管理规定，用供应商法定主体行为名称制作的印章（含电子印章），除本谈判文件有特殊规定外，供应商的财务章、部门章、分公司章、工会章、合同章、竞标专用章、业务专用章及银行的转账章、现金收讫章、现金付讫章等其他形式印章均不能代替公章。</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2.供应商为其他组织或者自然人时，本谈判文件规定的法定代表人指负责人或者自然人。本谈判文件所称负责人是指参加竞标的其他组织</w:t>
            </w:r>
            <w:r>
              <w:rPr>
                <w:rFonts w:hint="eastAsia" w:ascii="宋体" w:hAnsi="宋体" w:eastAsia="宋体" w:cs="宋体"/>
                <w:bCs/>
                <w:color w:val="auto"/>
                <w:sz w:val="21"/>
                <w:highlight w:val="none"/>
              </w:rPr>
              <w:t>营业执照或者执业许可证等证照上</w:t>
            </w:r>
            <w:r>
              <w:rPr>
                <w:rFonts w:hint="eastAsia" w:ascii="宋体" w:hAnsi="宋体" w:eastAsia="宋体" w:cs="宋体"/>
                <w:color w:val="auto"/>
                <w:sz w:val="21"/>
                <w:highlight w:val="none"/>
              </w:rPr>
              <w:t>的负责人，本谈判文件所称自然人指参与竞标的自然人本人，</w:t>
            </w:r>
            <w:r>
              <w:rPr>
                <w:rFonts w:hint="eastAsia" w:ascii="宋体" w:hAnsi="宋体" w:eastAsia="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3.本谈判文件中描述供应商的“签字”是指供应商的法定代表人或者委托代理人在文件规定签署处签名（含电子签名）的行为，私章、印鉴等其他形式均不能代替签字。</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4.自然人竞标的，谈判文件规定盖章的地方自然人可以加盖手指指印。</w:t>
            </w:r>
          </w:p>
          <w:p>
            <w:pPr>
              <w:pStyle w:val="14"/>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5、本谈判文件所称的“以上”“以下”“以内”“届满”，包括本数；所称的“不满”“超过”“以外”，不包括本数。</w:t>
            </w:r>
          </w:p>
        </w:tc>
      </w:tr>
    </w:tbl>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供应商须知正文</w:t>
      </w: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pPr>
        <w:spacing w:line="400" w:lineRule="exact"/>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 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w:t>
      </w:r>
      <w:r>
        <w:rPr>
          <w:rFonts w:hint="eastAsia" w:ascii="宋体" w:hAnsi="宋体" w:eastAsia="宋体" w:cs="宋体"/>
          <w:b/>
          <w:color w:val="auto"/>
          <w:szCs w:val="21"/>
          <w:highlight w:val="none"/>
        </w:rPr>
        <w:t>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2.5“竞标”是指按照本项目竞争性谈判公告或者邀请函规定的方式供应商获取谈判文件、提交响应文件并希望获得标的的行为。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是指：供应商根据本谈判文件要求，编制包含报价、技术和服务等所有内容的文件。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“实质性要求”是指采购需求中带“▲”的条款或者不能负偏离的条款或者已经指明不满足按响应文件按无效响应处理的条款。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供应商的资格条件</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 竞标费用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bCs/>
          <w:color w:val="auto"/>
          <w:szCs w:val="21"/>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bookmarkStart w:id="17" w:name="_Hlk65857072"/>
      <w:r>
        <w:rPr>
          <w:rFonts w:hint="eastAsia" w:ascii="宋体" w:hAnsi="宋体" w:eastAsia="宋体" w:cs="宋体"/>
          <w:color w:val="auto"/>
          <w:szCs w:val="21"/>
          <w:highlight w:val="none"/>
        </w:rPr>
        <w:t>根据《政府采购促进中小企业发展管理办法》（财库〔2020〕46号）第九条第二款和《广西壮族自治区财政厅关于进一步发挥政府采购政策功能促进企业发展的通知》（桂财采〔2022〕30号）第四条第一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17"/>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8" w:name="_Toc254970673"/>
      <w:bookmarkStart w:id="19" w:name="_Toc254970532"/>
      <w:r>
        <w:rPr>
          <w:rFonts w:hint="eastAsia" w:ascii="宋体" w:hAnsi="宋体" w:eastAsia="宋体" w:cs="宋体"/>
          <w:b w:val="0"/>
          <w:color w:val="auto"/>
          <w:sz w:val="21"/>
          <w:szCs w:val="21"/>
          <w:highlight w:val="none"/>
        </w:rPr>
        <w:t>6.1本项目不允许转包。</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18"/>
      <w:bookmarkEnd w:id="19"/>
    </w:p>
    <w:p>
      <w:pPr>
        <w:spacing w:line="360" w:lineRule="auto"/>
        <w:ind w:firstLine="420" w:firstLineChars="200"/>
        <w:rPr>
          <w:rFonts w:hint="eastAsia" w:ascii="宋体" w:hAnsi="宋体" w:eastAsia="宋体" w:cs="宋体"/>
          <w:color w:val="auto"/>
          <w:szCs w:val="21"/>
          <w:highlight w:val="none"/>
        </w:rPr>
      </w:pPr>
      <w:bookmarkStart w:id="20" w:name="_8.1提供相同品牌产品且通过资格审查、符合性审查的不同投标人参加同一合"/>
      <w:bookmarkEnd w:id="20"/>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7.3供应商在竞标活动中提供任何虚假材料,其响应文件按无效响应处理，并报监管部门查处；签订合同后发现的,成交供应商须依法赔偿采购人，且民事赔偿并不免除违法供应商的行政与刑事责任。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（6）不同供应商的竞标保证金从同一单位或者个人账户转出。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w:t>
      </w:r>
      <w:bookmarkStart w:id="21" w:name="_Hlk54682620"/>
      <w:r>
        <w:rPr>
          <w:rFonts w:hint="eastAsia" w:ascii="宋体" w:hAnsi="宋体" w:eastAsia="宋体" w:cs="宋体"/>
          <w:color w:val="auto"/>
          <w:szCs w:val="21"/>
          <w:highlight w:val="none"/>
        </w:rPr>
        <w:t>，将报同级监督管理部门</w:t>
      </w:r>
      <w:bookmarkEnd w:id="21"/>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hint="eastAsia" w:ascii="宋体" w:hAnsi="宋体" w:eastAsia="宋体" w:cs="宋体"/>
          <w:color w:val="auto"/>
          <w:highlight w:val="none"/>
        </w:rPr>
      </w:pPr>
      <w:bookmarkStart w:id="22" w:name="_Toc254970534"/>
      <w:bookmarkStart w:id="23" w:name="_Toc254970675"/>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二、谈判文件</w:t>
      </w:r>
      <w:bookmarkEnd w:id="22"/>
      <w:bookmarkEnd w:id="23"/>
    </w:p>
    <w:p>
      <w:pPr>
        <w:spacing w:line="360" w:lineRule="auto"/>
        <w:jc w:val="center"/>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8.谈判文件的构成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（1）竞争性谈判公告；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（5）合同文本；</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（6）评审程序和评定成交的标准；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提交首次响应文件截止之日前，采购人、采购代理机构或者谈判小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之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10.2采购人和采购代理机构可以视采购具体情况，变更</w:t>
      </w: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highlight w:val="none"/>
        </w:rPr>
        <w:t>，并</w:t>
      </w:r>
      <w:r>
        <w:rPr>
          <w:rFonts w:hint="eastAsia" w:ascii="宋体" w:hAnsi="宋体" w:eastAsia="宋体" w:cs="宋体"/>
          <w:color w:val="auto"/>
          <w:szCs w:val="21"/>
          <w:highlight w:val="none"/>
        </w:rPr>
        <w:t>在原公告发布媒体上发布更正公告。</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10.3</w:t>
      </w:r>
      <w:r>
        <w:rPr>
          <w:rFonts w:hint="eastAsia" w:ascii="宋体" w:hAnsi="宋体" w:eastAsia="宋体" w:cs="宋体"/>
          <w:color w:val="auto"/>
          <w:szCs w:val="21"/>
          <w:highlight w:val="none"/>
        </w:rPr>
        <w:t>谈判文件澄清、答复、修改、补充的内容为谈判文件的组成部分。</w:t>
      </w:r>
      <w:r>
        <w:rPr>
          <w:rFonts w:hint="eastAsia" w:ascii="宋体" w:hAnsi="宋体" w:eastAsia="宋体" w:cs="宋体"/>
          <w:b/>
          <w:color w:val="auto"/>
          <w:szCs w:val="21"/>
          <w:highlight w:val="none"/>
        </w:rPr>
        <w:t>当谈判文件与谈判文件的澄清、答复、修改、补充通知就同一内容的表述不一致时，以最后发出的文件为准。</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highlight w:val="none"/>
        </w:rPr>
        <w:t>10.4</w:t>
      </w:r>
      <w:r>
        <w:rPr>
          <w:rFonts w:hint="eastAsia" w:ascii="宋体" w:hAnsi="宋体" w:eastAsia="宋体" w:cs="宋体"/>
          <w:b/>
          <w:color w:val="auto"/>
          <w:szCs w:val="21"/>
          <w:highlight w:val="none"/>
        </w:rPr>
        <w:t>响应文件未按谈判文件的澄清、修改后的内容编制的，其响应文件作无效响应处理。</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t>三、响应文件的编制</w:t>
      </w:r>
    </w:p>
    <w:p>
      <w:pPr>
        <w:spacing w:line="360" w:lineRule="auto"/>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供应商没有按照谈判文件要求提供全部资料，或者供应商没有对谈判文件在各方面作出实质性响应可能导致其响应文件按无效响应处理，是供应商应当考虑的风险。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15.1竞标报价应按谈判文件中“竞标报价表”格式填写。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15.2竞标报价的内容详见“供应商须知前附表”。</w:t>
      </w:r>
    </w:p>
    <w:p>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15.3.2最后报价超过所竞标分标规定的采购预算金额或者最高限价的，其响应文件将按无效响应处理。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17.竞标保证金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17.1供应商须按“供应商须知前附表”的规定提交竞标保证金。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17.2竞标保证金的退还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根据《广西壮族自治区财政厅关于进一步发挥政府采购政策功能促进企业发展的通知》（桂财采〔2022〕30号）第一条第五款的规定，未</w:t>
      </w:r>
      <w:r>
        <w:rPr>
          <w:rFonts w:hint="eastAsia" w:ascii="宋体" w:hAnsi="宋体" w:eastAsia="宋体" w:cs="宋体"/>
          <w:color w:val="auto"/>
          <w:spacing w:val="-6"/>
          <w:szCs w:val="21"/>
          <w:highlight w:val="none"/>
        </w:rPr>
        <w:t>成交供应商的竞标保证金自成交通知书发出之日起4个工作日内退还</w:t>
      </w:r>
      <w:r>
        <w:rPr>
          <w:rFonts w:hint="eastAsia" w:ascii="宋体" w:hAnsi="宋体" w:eastAsia="宋体" w:cs="宋体"/>
          <w:color w:val="auto"/>
          <w:szCs w:val="21"/>
          <w:highlight w:val="none"/>
        </w:rPr>
        <w:t xml:space="preserve">；成交供应商的竞标保证金自签订合同之日起4个工作日内退还。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17.3竞标保证金不计息。</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17.4供应商有下列情形之一的，竞标保证金将不予退还：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（1）供应商在提交首次响应文件截止时间后撤回响应文件的；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（4）除因不可抗力或者谈判文件认可的情形以外，成交供应商不与采购人签订合同的；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（5）供应商与采购人、其他供应商或者采购代理机构恶意串通的；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 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18.1供应商应按本谈判文件规定的格式和顺序编制、装订响应文件并标注页码，响应文件内容</w:t>
      </w:r>
      <w:r>
        <w:rPr>
          <w:rFonts w:hint="eastAsia" w:ascii="宋体" w:hAnsi="宋体" w:eastAsia="宋体" w:cs="宋体"/>
          <w:color w:val="auto"/>
          <w:spacing w:val="-6"/>
          <w:szCs w:val="21"/>
          <w:highlight w:val="none"/>
        </w:rPr>
        <w:t>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pacing w:val="-6"/>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18.2响应文件应按资格证明文件、报价商务技术文件分别编制电子文件，并按“政采云”平台的要求编制、加密、上传。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24" w:name="_Hlk65832699"/>
      <w:r>
        <w:rPr>
          <w:rFonts w:hint="eastAsia" w:ascii="宋体" w:hAnsi="宋体" w:eastAsia="宋体" w:cs="宋体"/>
          <w:color w:val="auto"/>
          <w:szCs w:val="21"/>
          <w:highlight w:val="none"/>
        </w:rPr>
        <w:t>3响应文件须由供应商在规定位置盖公章并签字</w:t>
      </w:r>
      <w:bookmarkStart w:id="25" w:name="_Hlk65832569"/>
      <w:r>
        <w:rPr>
          <w:rFonts w:hint="eastAsia" w:ascii="宋体" w:hAnsi="宋体" w:eastAsia="宋体" w:cs="宋体"/>
          <w:color w:val="auto"/>
          <w:szCs w:val="21"/>
          <w:highlight w:val="none"/>
        </w:rPr>
        <w:t>（具体以供应商须知前附表或响应文件格式规定为准）</w:t>
      </w:r>
      <w:bookmarkEnd w:id="24"/>
      <w:bookmarkEnd w:id="25"/>
      <w:r>
        <w:rPr>
          <w:rFonts w:hint="eastAsia" w:ascii="宋体" w:hAnsi="宋体" w:eastAsia="宋体" w:cs="宋体"/>
          <w:color w:val="auto"/>
          <w:szCs w:val="21"/>
          <w:highlight w:val="none"/>
        </w:rPr>
        <w:t>，否则其响应文件按无效响应处理。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19.响应文件的加密、解密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19.1电子响应文件编制完成后，供应商应按“政采云”平台的要求进行加密，并在规定时间内解密，否则，由此产生的后果由供应商自行负责。</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widowControl/>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20.2本项目为全流程电子化政府采购项目，通过“政采云”平台（http：//www.zcygov.cn）实行在线电子竞标，供应商应先安装“政采云电子交易客户端”（请自行前往“政采云”平台进行下载），并按照本项目竞争性谈判文件和“政采云”平台的要求编制、加密后在首次响应文件提交截止时间前通过网络上传至“政采云”平台，</w:t>
      </w:r>
      <w:r>
        <w:rPr>
          <w:rFonts w:hint="eastAsia" w:ascii="宋体" w:hAnsi="宋体" w:eastAsia="宋体" w:cs="宋体"/>
          <w:b/>
          <w:color w:val="auto"/>
          <w:szCs w:val="21"/>
          <w:highlight w:val="none"/>
        </w:rPr>
        <w:t>供应商在“政采云”平台提交电子版响应文件时，请填写参加远程开标活动经办人联系方式。</w:t>
      </w:r>
    </w:p>
    <w:p>
      <w:pPr>
        <w:pStyle w:val="6"/>
        <w:keepNext w:val="0"/>
        <w:keepLines w:val="0"/>
        <w:spacing w:before="0" w:after="0" w:line="360" w:lineRule="auto"/>
        <w:ind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20.3未在规定时间内上传或者未按“政采云”平台的要求编制、加密的电子响应文件，“政采云”平台将拒收。</w:t>
      </w:r>
    </w:p>
    <w:p>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20.4电子响应文件提交方式见“竞争性谈判公告”中“四、响应文件提交”。</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22.首次响应文件的退回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22.1在首次响应文件提交截止时间止提交响应文件的供应商不足3家时，采购代理机构将根据“政采云”平台的操作将电子版响应文件退回，除此之外采购人和采购代理机构对已提交的电子响应文件概不退回。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23.1供应商在首次响应文件提交截止时间后书面通知采购人、采购代理机构书面撤回响应文件的，将根据本须知正文17.4的规定不予退还其竞标保证金。</w:t>
      </w:r>
    </w:p>
    <w:p>
      <w:pPr>
        <w:spacing w:line="360" w:lineRule="auto"/>
        <w:ind w:firstLine="420" w:firstLineChars="200"/>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四、评审及谈判</w:t>
      </w:r>
    </w:p>
    <w:p>
      <w:pPr>
        <w:spacing w:line="360" w:lineRule="auto"/>
        <w:ind w:left="420" w:firstLine="420"/>
        <w:rPr>
          <w:rFonts w:hint="eastAsia" w:ascii="宋体" w:hAnsi="宋体" w:eastAsia="宋体" w:cs="宋体"/>
          <w:color w:val="auto"/>
          <w:szCs w:val="21"/>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 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color w:val="auto"/>
          <w:szCs w:val="21"/>
          <w:highlight w:val="none"/>
        </w:rPr>
        <w:t>供应商的法定代表人或其委托代理人须携带加密时所用的CA锁按平台提示和采购文件的规定登录到“政采云”平台电子开标大厅签到并在发起解密指令之时起30分钟内完成对电子响应文件在线解密。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b/>
          <w:bCs/>
          <w:color w:val="auto"/>
          <w:szCs w:val="21"/>
          <w:highlight w:val="none"/>
        </w:rPr>
        <w:t>响应文件未按时解密的，视为响应文件无效。</w:t>
      </w:r>
      <w:r>
        <w:rPr>
          <w:rFonts w:hint="eastAsia" w:ascii="宋体" w:hAnsi="宋体" w:eastAsia="宋体" w:cs="宋体"/>
          <w:color w:val="auto"/>
          <w:szCs w:val="21"/>
          <w:highlight w:val="none"/>
        </w:rPr>
        <w:t>（解密异常情况处理：详见本章26.2电子交易活动的中止。）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25.3成功解密响应文件的供应商不足3家的，不得谈判。</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 评审程序和评定成交的标准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评审程序和评定成交的标准”规定的评审程序对响应文件进行评审，并按照评定成交的标准推荐成交候选供应商。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（4）其他无法保证电子交易的公平、公正和安全的情况。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9"/>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27.2采购代理机构应当在成交供应商确定后2个工作日内，在省级以上财政部门指定的媒体上公告成交结果，同时向成交供应商发出成交通知书。</w:t>
      </w:r>
      <w:r>
        <w:rPr>
          <w:rFonts w:hint="eastAsia" w:ascii="宋体" w:hAnsi="宋体" w:eastAsia="宋体" w:cs="宋体"/>
          <w:b/>
          <w:color w:val="auto"/>
          <w:kern w:val="0"/>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eastAsia="宋体" w:cs="宋体"/>
          <w:color w:val="auto"/>
          <w:kern w:val="0"/>
          <w:szCs w:val="21"/>
          <w:highlight w:val="none"/>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pPr>
        <w:pStyle w:val="9"/>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27.3出现下列情形之一的，采购人或者采购代理机构应当终止竞争性谈判采购活动，发布项目终止公告并说明原因，重新开展采购活动：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（一）因情况变化，不再符合规定的竞争性谈判采购方式适用情形的；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（二）出现影响采购公正的违法、违规行为的；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（三）在采购过程中符合竞争要求的供应商或者报价未超过采购预算的供应商不足3家的，但“第四章 评审程序和评定成交的标准”第3.7条规定的情形除外。</w:t>
      </w:r>
    </w:p>
    <w:p>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27.4在采购活动中因重大变故，采购任务取消的，采购人或者采购代理机构应当终止采购活动，通知所有参加采购活动的供应商。</w:t>
      </w:r>
    </w:p>
    <w:p>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pStyle w:val="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28.2在履约保证金退还日期前，若成交供应商的开户名称、开户银行、帐号有变动的，请以书面形式通知履约保证金收取单位，否则由此产生的后果由成交供应商自负。</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签订合同时间：采购单位在中标、成交通知书发出之日起20日内和中标、成交供应商签订政府采购合同，签订政府采购合同前，成交供应商须入驻政采云平台正式供应商。</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29.3成交供应商拒绝与采购人签订合同的，按照本须知正文第27.5条的规定执行。</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pStyle w:val="7"/>
        <w:spacing w:after="120"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auto"/>
          <w:szCs w:val="21"/>
          <w:highlight w:val="none"/>
        </w:rPr>
        <w:t>但答复的内容不得涉及商业秘密。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w:t>
      </w:r>
      <w:r>
        <w:rPr>
          <w:rFonts w:hint="eastAsia" w:ascii="宋体" w:hAnsi="宋体" w:eastAsia="宋体" w:cs="宋体"/>
          <w:color w:val="auto"/>
          <w:szCs w:val="21"/>
          <w:highlight w:val="none"/>
        </w:rPr>
        <w:t>详见“供应商须知前附表”</w:t>
      </w:r>
      <w:r>
        <w:rPr>
          <w:rFonts w:hint="eastAsia" w:ascii="宋体" w:hAnsi="宋体" w:eastAsia="宋体" w:cs="宋体"/>
          <w:color w:val="auto"/>
          <w:highlight w:val="none"/>
        </w:rPr>
        <w:t>。具体质疑起算时间如下：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（1）对可以质疑的谈判文件提出质疑的，为获取谈判文件之日；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32.2代理服务费收费计算标准：</w:t>
      </w:r>
    </w:p>
    <w:tbl>
      <w:tblPr>
        <w:tblStyle w:val="23"/>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合计收费＝ 1.5 ＋ 0.55＝ 2.05 （万元）</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代理服务费交纳银行帐号信息</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账户名称：广西建采项目管理有限公司</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中国建设银行贺州城东支行             </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银行账号：45050164740200001325</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 需要补充的其他内容</w:t>
      </w:r>
    </w:p>
    <w:p>
      <w:pPr>
        <w:pStyle w:val="14"/>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33.1本谈判文件解释规则详见“供应商须知前附表”。</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kern w:val="0"/>
          <w:szCs w:val="21"/>
          <w:highlight w:val="none"/>
        </w:rPr>
        <w:t>33.2 其他事</w:t>
      </w:r>
      <w:r>
        <w:rPr>
          <w:rFonts w:hint="eastAsia" w:ascii="宋体" w:hAnsi="宋体" w:eastAsia="宋体" w:cs="宋体"/>
          <w:color w:val="auto"/>
          <w:highlight w:val="none"/>
        </w:rPr>
        <w:t>项详见“供应商须知前附表”。</w:t>
      </w:r>
    </w:p>
    <w:p>
      <w:pPr>
        <w:pStyle w:val="14"/>
        <w:spacing w:line="360" w:lineRule="auto"/>
        <w:ind w:firstLine="400" w:firstLineChars="200"/>
        <w:contextualSpacing/>
        <w:rPr>
          <w:rFonts w:hint="eastAsia" w:ascii="宋体" w:hAnsi="宋体" w:eastAsia="宋体" w:cs="宋体"/>
          <w:color w:val="auto"/>
          <w:sz w:val="21"/>
          <w:highlight w:val="none"/>
        </w:rPr>
      </w:pPr>
      <w:r>
        <w:rPr>
          <w:rFonts w:hint="eastAsia" w:ascii="宋体" w:hAnsi="宋体" w:eastAsia="宋体" w:cs="宋体"/>
          <w:color w:val="auto"/>
          <w:highlight w:val="none"/>
        </w:rPr>
        <w:t>33.3</w:t>
      </w:r>
      <w:bookmarkStart w:id="26" w:name="_Hlk65857140"/>
      <w:r>
        <w:rPr>
          <w:rFonts w:hint="eastAsia" w:ascii="宋体" w:hAnsi="宋体" w:eastAsia="宋体" w:cs="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pStyle w:val="14"/>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4"/>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（2）在工程采购项目中，工程由中小企业承建，即工程施工单位为中小企业，不对其中涉及的货物的制造商和服务的承接商作出要求；</w:t>
      </w:r>
    </w:p>
    <w:p>
      <w:pPr>
        <w:pStyle w:val="14"/>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4"/>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依据本谈判文件规定享受扶持政策获得政府采购合同的，小微企业不得将合同分包给大中型企业，中型企业不得将合同分包给大型企业。</w:t>
      </w:r>
      <w:bookmarkEnd w:id="26"/>
    </w:p>
    <w:p>
      <w:pPr>
        <w:pStyle w:val="3"/>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val="0"/>
          <w:color w:val="auto"/>
          <w:sz w:val="32"/>
          <w:szCs w:val="32"/>
          <w:highlight w:val="none"/>
        </w:rPr>
        <w:br w:type="page"/>
      </w:r>
      <w:bookmarkStart w:id="27" w:name="_Toc676"/>
      <w:r>
        <w:rPr>
          <w:rFonts w:hint="eastAsia" w:ascii="宋体" w:hAnsi="宋体" w:eastAsia="宋体" w:cs="宋体"/>
          <w:color w:val="auto"/>
          <w:highlight w:val="none"/>
        </w:rPr>
        <w:t>第三章 采购需求</w:t>
      </w:r>
      <w:bookmarkEnd w:id="27"/>
    </w:p>
    <w:p>
      <w:pPr>
        <w:spacing w:line="360" w:lineRule="auto"/>
        <w:jc w:val="left"/>
        <w:rPr>
          <w:rFonts w:hint="eastAsia" w:ascii="宋体" w:hAnsi="宋体" w:eastAsia="宋体" w:cs="宋体"/>
          <w:b/>
          <w:color w:val="auto"/>
          <w:szCs w:val="21"/>
          <w:highlight w:val="none"/>
        </w:rPr>
      </w:pPr>
      <w:bookmarkStart w:id="28" w:name="_Hlk48036094"/>
      <w:r>
        <w:rPr>
          <w:rFonts w:hint="eastAsia" w:ascii="宋体" w:hAnsi="宋体" w:eastAsia="宋体" w:cs="宋体"/>
          <w:b/>
          <w:color w:val="auto"/>
          <w:szCs w:val="21"/>
          <w:highlight w:val="none"/>
        </w:rPr>
        <w:t>说明：</w:t>
      </w:r>
    </w:p>
    <w:p>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节能产品政府采购品目清单），供应商的竞标货物必须使用政府强制采购的节能产品，否则响应文件作无效响应处理。成交供应商须在供货时提供相应的节能产品认证证书。</w:t>
      </w:r>
    </w:p>
    <w:p>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3、如供应商竞标产品存在侵犯他人的知识产权或者专利成果行为的，由供应商自行承担相应法律责任。</w:t>
      </w:r>
    </w:p>
    <w:p>
      <w:pPr>
        <w:spacing w:line="360" w:lineRule="exact"/>
        <w:ind w:left="-10" w:leftChars="-5" w:right="2" w:rightChars="1"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4、“实质性要求”是指竞争性谈判文件中已经指明不满足则响应无效的条款，或者不能负偏离的条款，或者采购需求中带“▲”的条款。</w:t>
      </w:r>
    </w:p>
    <w:p>
      <w:pPr>
        <w:keepLines/>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5、供应商应根据自身实际情况如实响应竞争性谈判文件，不得仅将竞争性谈判文件内容简单复制粘贴作为竞标响应，否则将作无效响应处理。</w:t>
      </w:r>
    </w:p>
    <w:bookmarkEnd w:id="28"/>
    <w:tbl>
      <w:tblPr>
        <w:tblStyle w:val="23"/>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9"/>
        <w:gridCol w:w="1489"/>
        <w:gridCol w:w="833"/>
        <w:gridCol w:w="1398"/>
        <w:gridCol w:w="5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19"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序号</w:t>
            </w:r>
          </w:p>
        </w:tc>
        <w:tc>
          <w:tcPr>
            <w:tcW w:w="1489" w:type="dxa"/>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标的的名称</w:t>
            </w:r>
          </w:p>
        </w:tc>
        <w:tc>
          <w:tcPr>
            <w:tcW w:w="833" w:type="dxa"/>
            <w:vAlign w:val="center"/>
          </w:tcPr>
          <w:p>
            <w:pPr>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kern w:val="0"/>
                <w:szCs w:val="21"/>
                <w:highlight w:val="none"/>
                <w:lang w:eastAsia="zh-CN"/>
              </w:rPr>
              <w:t>所属行业</w:t>
            </w:r>
          </w:p>
        </w:tc>
        <w:tc>
          <w:tcPr>
            <w:tcW w:w="1398" w:type="dxa"/>
            <w:vAlign w:val="center"/>
          </w:tcPr>
          <w:p>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数量及单位</w:t>
            </w:r>
          </w:p>
        </w:tc>
        <w:tc>
          <w:tcPr>
            <w:tcW w:w="5519"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技术</w:t>
            </w:r>
            <w:r>
              <w:rPr>
                <w:rFonts w:hint="eastAsia" w:ascii="宋体" w:hAnsi="宋体" w:eastAsia="宋体" w:cs="宋体"/>
                <w:b/>
                <w:color w:val="auto"/>
                <w:kern w:val="0"/>
                <w:szCs w:val="21"/>
                <w:highlight w:val="none"/>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619"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489"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 w:val="22"/>
                <w:highlight w:val="none"/>
              </w:rPr>
              <w:t>液相色谱-质谱联用仪</w:t>
            </w:r>
          </w:p>
        </w:tc>
        <w:tc>
          <w:tcPr>
            <w:tcW w:w="833"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工业</w:t>
            </w:r>
          </w:p>
        </w:tc>
        <w:tc>
          <w:tcPr>
            <w:tcW w:w="1398"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1套</w:t>
            </w:r>
          </w:p>
        </w:tc>
        <w:tc>
          <w:tcPr>
            <w:tcW w:w="5519" w:type="dxa"/>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一、应用范围：</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于大批量基质样品中的有机化合物成分定性定量分析，如食品安全中农药残留分析、兽药残留分析，食品与保健品中的非法添加物和违禁添加药物分析，药物分析中的合成中间体和杂质、药代药动学及药理毒理学分析中的定量定性分析；符合国际、国内相关标准和法规的要求。</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二、工作条件</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1.电源电压：220±10% V，50 Hz。</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2.环境温度： 15～30℃</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3.相对湿度：20～80%</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三、技术参数</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（一）液相色谱部分:</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超高效二元梯度泵系统：</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1.1泵类型：并联双柱塞(冲程体积10μL)</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1.2物理双泵头：减低故障率，便于维护</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1.3流速范围：0.0001-10.0000mL/min</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1.4耐压：≥105Mpa</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1.5流速精确度：≤0.06%RSD</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1.6混合器控温：可实现流动相快速、稳定混合</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1.7浓度梯度范围：0~100%(0.1%步进)</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1.8自我诊断/自我恢复：自动检测到批处理分析过程中意外混入的气泡，自动执行Purge，快速恢复至正常分析状态。</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1.9智能流量控制功能：防止瞬间高压损害色谱柱，延长色谱柱使用寿命。</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1.10梯度模式：二元高压梯度系统，要求独立两台输液泵而非二元一体泵，以降低故障率且便于维护</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 pH范围：1–14</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2．在线脱气机</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脱气流路：3路线上脱气</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自动进样器</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3.1线性：&gt;0.9999%</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3.2耐压：105Mpa</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3.3进样周期：≦6.7秒</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3.4进样速度：4秒</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3.5样品数量：160位(1.5mL/2mL样品瓶)</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3.7样品数量扩展：最多可扩展至16000个样品</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3.8交叉污染： &lt;0.0003%</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3.9支持多种自动前处理功能：样品稀释、添加、混合、Co-injection功能、自动衍生等</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柱温箱</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 温度控制类型：强制空气循环</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温度控制范围：室温-10℃~85℃</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 双重漏液传感器：含气体和液体双重传感器</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（二）质谱部分</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离子源</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配备独立的插拔式的电喷雾离子源（ESI）和大气压化学离子源（APCI），（无需复合源），ESI及APCI喷针可1分钟内插拔式互换，ESI源及APCI源的快速更换无需放空质谱真空系统，并且采用90度垂直喷雾设计。</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离子源流速范围：ESI离子源：无需分流，流速≥2.8 mL/min；APCI离子源：无需分流，流速≥2.8 mL/min；不降低灵敏度情况下能直接转移常规液相方法至质谱，高流速缩短分析时间，适合分析大批量样品。</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离子源采用两路辅助加热雾化气，以助于获得更好的离子化效率。辅助加热气温度可达700℃（软件可以设定且使用的温度），且可根据化合物特点进行加热气温度的优化，提高雾化效率和离子化效率，适应宽流速范围，减少离子抑制效应。</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 离子源接口(大气压-真空界面，即离子传输系统)：采用气帘气技术的锥孔结构，不得采用毛细管或其他类似的直管设计装置，免除清洗毛细管的时间和节省使用成本。</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 具有主动排放废气装置带动离子源内溶剂气体排放，防止气体在密闭的离子源腔体中的回流，降低离子源的记忆效应和污染，维护试验环境，保障工作人员健康。</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质量分析器：三重四极杆，无需控温。</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离子引入（真空环境）：采用射频（RF）聚焦离子技术进行离子聚焦，确保最佳的离子聚焦效果和离子传输效率，有效消除“记忆效应”和“交叉污染”。</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碰撞室(Q2)：采用＞90度弯曲加速高压聚焦的四级杆碰撞室设计，不得采用直线结构设计的碰撞池，以用于空间排除不受电场控制的中性粒子污染。</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正负切换时间：不大于50 ms，正负切换模式与单一模式下扫描灵敏度无损失。</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 质量数范围: 低质量端质量数可达6m/z以下，高质量端质量数不大于2000m/z</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 四极杆扫描速度：≥10000 Da/s</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 质量稳定性：0.1 Da/24小时</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 线性离子阱扫描速度：≥20000Da/s。</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扫描方式</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3.1具有母离子扫描，子离子扫描，中性丢失扫描，选择性离子扫描，多反应监测定量扫描等扫描方式。</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线性离子阱扫描功能：增强子离子扫描 (EPI、孙离子扫描(MS3)、增强全扫描 (EMS)、增强高分辨扫描 (ER) 、增强多电荷扫描 (EMC)、时间延迟碎裂扫描 (TDF)。</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线性离子阱与三重四极杆同时使用的扫描功能：多反应离子监测-信息相关采集-增强子离子扫描 (MRM-IDA-EPI)、多反应离子监测-信息相关采集-增强子离子扫描-信息相关采集-孙离子扫描、母离子扫描-信息相关采集-增强子离子扫描、中性丢失扫描-信息相关采集-增强子离子扫描、增强全扫描-信息相关采集-增强子离子扫描。</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3.4实际定量分析，可设置驻留时间(dwell time)为1ms。不分时间窗口，正、负切换同时检测，满足一次进样＞400对MRM分析（约15分钟），避免分时间窗口带来的因色谱条件变化引起的漏测漏检。</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气源供应：仪器所用的雾化气和碰撞气只需氮气一种气源，无需额外其它任何气体。</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真空系统：大抽速机械泵和长寿命涡轮分子泵组合差分抽气高真空系统，无需额外水冷却系统，具备自动断电保护功能。</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检测性能</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6.1灵敏度和重现性：</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 ESI源</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ESI正离子灵敏度：1pg利血平，柱上进样，信噪比&gt;400000:1。</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ESI正离子重现性：50fg 利血平连续进样10次，峰面积CV 小于2%</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ESI负离子灵敏度：1 pg氯霉素直接进样，MRM分析测量m/z152（子离子）、m/z321（母离子），信噪比&gt;400000:1。</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ESI负离子重现性：50fg 氯霉素分别连续进样10次，峰面积CV 小于2%</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6.1.2 200fg柱上量克伦特罗在二级全扫描模式下，可以获得不少于4个大于10%相对丰度子离子，并能够准确的在谱库中检索，且匹配系数≥80%。</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6.1.3 线性离子阱灵敏度：利血平增强子离子扫描与三重四极杆MS2扫描灵敏度相比，至少提升2个数量级，显著提高低含量化合物二级谱质量，需附谱图证明资料，线性离子阱与三重四极杆切换速度&lt;1ms。</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 检测器类型：采用电子倍增器。如采用其他的例如光电倍增管，必须提供原厂的同型号5套检测器。</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 兼容性</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 可以兼容后续升级的不同流速前端分离设备：纳升-微升一体液相色谱，毛细管电泳等。</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 软件部分</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 原厂家生产质谱工作站软件适于 Microsoft windows操作系统环境，可单独控制液相部分和质谱部分。可以实现数据采集，数据分析，液相和质谱同步控制，在线监测，反馈显示和序列采集。自动识别色谱流出物的质谱图，定性分析和定量分析；有建立数据库功能，谱库检索功能。</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 配备智能MRM算法，根据每个MRM目标物的保留时间自动安排MRM分析，无需设置MRM采集时间窗口。</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 配备批处理数据定量软件，具备大规模处理数据的能力，可以在同一界面对成百上千个数据分析，并同一界面对每个需要分析的化合物进行分析。</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配置MRM化合物方法数据库，高质量的方法包数据库中包含中英文，分类、CAS号、离子对、加和离子、质谱去簇电压、碰撞电压等信息，且库内物质种类超过2500种农药、兽药、食品添加、非法添加、营养成分、毒物、食品药品包材等常见检测项目。以利于扩项参数优化时更快速完成方法建立。</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9.5要求质谱工作站软件除可控制质谱仪外，也可直接控制市面主流液相色谱，包括Agilent 公司、Shimadzu公司、 Sciex公司、Waters公司等，以方便未来实验室的仪器资源整合。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（三）氮气发生器</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采用超细化中空纤维膜分离技术，所产氮气纯度高，环保</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 氮气流速≥30L/min，出口最高压力不低于100psi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氮气纯度高达99.9%（提供具有相关资质的第三方检测机构出具纯度报告）</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具有压力保护装置：当氮气发生器内部压力异常时，系统具有自我保护功能</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氮气压力露点低: ≤－40℃</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无悬浮液体，无邻苯二甲酸酯</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 空压机和氮气发生器连接方式：外置式</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 配套空压机（流量≥30L/min，压力≥8bar）</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3.9 氮气发生器零噪音设计，可实现氮气发生器挂壁安装，节省空间</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3.10 配备该设备正常运转所必备的工具包及所需的零配件</w:t>
            </w:r>
            <w:r>
              <w:rPr>
                <w:rFonts w:hint="eastAsia" w:ascii="宋体" w:hAnsi="宋体" w:eastAsia="宋体" w:cs="宋体"/>
                <w:color w:val="auto"/>
                <w:kern w:val="0"/>
                <w:szCs w:val="21"/>
                <w:highlight w:val="none"/>
              </w:rPr>
              <w:tab/>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四、配置</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1.三重四级杆线性离子阱质谱仪主机 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2.独立的ESI离子源和独立的APCI离子源  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3.原装仪器控制及数据处理软件 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4.超高效液相色谱仪基础系统1套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5.高压二元梯度泵 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6.原装柱温箱 1套, 液体自动进样器 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7.UPS稳压电源（带隔离变压器）1套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8.氮气发生器1台</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9.色谱柱 ：C18-AQ HP, 3um, 2.1x100  兽残专用色谱柱 1根， FC-ODS (2.0 mm I.D. ×150 mm, 3 um) 农残分析专用色谱柱 1根，Atlantis Premier BEH Z-HILIC (2.1 × 150 mm, 2.5 μm) 1根， ChromCore AR C18 (2.1×150 mm, 3.0 μm) 1根，AdvanceBio 肽谱分析 120Å，2.1 x 150 mm, 2.7 µm  1根，</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C18, 2um, 2.1x100mm 液相色谱柱 1根，C18, 2um保护柱芯2个</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农药残留分析数据库 1套，兽药残留分析数据库 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机械泵油（1L），2瓶</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ESI喷针 6根，APCI喷针1根</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 打印机 1台</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 样品瓶（2ml，含盖、垫），500个</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 调谐液 2套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 品牌抽湿机 1 台</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18.1000mL 流动相瓶（1L），5个</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 质谱预安装包（含验收需要的标准品），1套</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20. 工作站电脑：（CPU：Intel i5系列或更高,内存：8G内存,硬盘：1T， windows 10  专业版64位 中文版系统，DVD光驱，23寸显示器 ）1套 </w:t>
            </w:r>
          </w:p>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说明：上述只提及主要配置。</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应根据所</w:t>
            </w:r>
            <w:r>
              <w:rPr>
                <w:rFonts w:hint="eastAsia" w:ascii="宋体" w:hAnsi="宋体" w:eastAsia="宋体" w:cs="宋体"/>
                <w:color w:val="auto"/>
                <w:kern w:val="0"/>
                <w:szCs w:val="21"/>
                <w:highlight w:val="none"/>
                <w:lang w:eastAsia="zh-CN"/>
              </w:rPr>
              <w:t>竞标产品</w:t>
            </w:r>
            <w:r>
              <w:rPr>
                <w:rFonts w:hint="eastAsia" w:ascii="宋体" w:hAnsi="宋体" w:eastAsia="宋体" w:cs="宋体"/>
                <w:color w:val="auto"/>
                <w:kern w:val="0"/>
                <w:szCs w:val="21"/>
                <w:highlight w:val="none"/>
              </w:rPr>
              <w:t>的特点，提供足够的部件，确保仪器安装、调试后即能进行正常的操作、检测样品等</w:t>
            </w:r>
          </w:p>
        </w:tc>
      </w:tr>
    </w:tbl>
    <w:p>
      <w:pPr>
        <w:rPr>
          <w:rFonts w:hint="eastAsia" w:ascii="宋体" w:hAnsi="宋体" w:eastAsia="宋体" w:cs="宋体"/>
          <w:color w:val="auto"/>
          <w:highlight w:val="none"/>
        </w:rPr>
      </w:pPr>
    </w:p>
    <w:tbl>
      <w:tblPr>
        <w:tblStyle w:val="23"/>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8"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报价要求</w:t>
            </w:r>
          </w:p>
        </w:tc>
        <w:tc>
          <w:tcPr>
            <w:tcW w:w="77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color w:val="auto"/>
                <w:szCs w:val="21"/>
                <w:highlight w:val="none"/>
              </w:rPr>
            </w:pPr>
            <w:r>
              <w:rPr>
                <w:rFonts w:hint="eastAsia" w:ascii="宋体" w:hAnsi="宋体" w:eastAsia="宋体" w:cs="宋体"/>
                <w:color w:val="auto"/>
                <w:highlight w:val="none"/>
              </w:rPr>
              <w:t>供应商应就采购需求中所有的货物和服务内容作完整唯一报价。报价指货物、服务、随配附件、备品备件、工具、运抵指定交货地点、设备安装配件及附属材料、安装施工、调试验收等至验收合格所发生的各种费用和售后服务、保险费、税金及其他所有成本费用的总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交货期</w:t>
            </w:r>
            <w:r>
              <w:rPr>
                <w:rFonts w:hint="eastAsia" w:ascii="宋体" w:hAnsi="宋体" w:eastAsia="宋体" w:cs="宋体"/>
                <w:color w:val="auto"/>
                <w:szCs w:val="21"/>
                <w:highlight w:val="none"/>
              </w:rPr>
              <w:t>和地点</w:t>
            </w:r>
          </w:p>
        </w:tc>
        <w:tc>
          <w:tcPr>
            <w:tcW w:w="77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交货期：</w:t>
            </w:r>
            <w:r>
              <w:rPr>
                <w:rFonts w:hint="eastAsia" w:ascii="宋体" w:hAnsi="宋体" w:eastAsia="宋体" w:cs="宋体"/>
                <w:bCs/>
                <w:color w:val="auto"/>
                <w:szCs w:val="21"/>
                <w:highlight w:val="none"/>
                <w:lang w:eastAsia="zh-CN"/>
              </w:rPr>
              <w:t>签订合同后90个工作日内安装调试完毕并交付使用</w:t>
            </w:r>
            <w:r>
              <w:rPr>
                <w:rFonts w:hint="eastAsia" w:ascii="宋体" w:hAnsi="宋体" w:eastAsia="宋体" w:cs="宋体"/>
                <w:bCs/>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▲付款条件</w:t>
            </w:r>
          </w:p>
        </w:tc>
        <w:tc>
          <w:tcPr>
            <w:tcW w:w="77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Cs w:val="21"/>
                <w:highlight w:val="none"/>
              </w:rPr>
            </w:pPr>
            <w:r>
              <w:rPr>
                <w:rFonts w:hint="eastAsia" w:ascii="宋体" w:hAnsi="宋体" w:cs="宋体"/>
                <w:bCs/>
                <w:color w:val="auto"/>
                <w:szCs w:val="21"/>
                <w:highlight w:val="none"/>
              </w:rPr>
              <w:t>货物正常交付使用，经双方验收合格且乙方开具合格发票后，甲方办理全额付款手续。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及其他</w:t>
            </w:r>
          </w:p>
        </w:tc>
        <w:tc>
          <w:tcPr>
            <w:tcW w:w="77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1、免费送货上门、免费安装调试至最佳状态、免费培训操作人员。</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2、质保期：按国家有关产品“三包”规定执行“三包”，质量保证期</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年，自交货验收合格之日起计。</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3、在质量保证期内，提供产品免费技术支持，且维修、零件更换、人工、差旅等一切费用由成交供应商承担。须返厂维修的，运费由成交供应商负责支付（因采购人人为因素损坏除外）。在质量保证期满后，成交供应商提供技术支持。维修期间，供应商应提供备用设备保证采购人正常使用。</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4、维修响应：</w:t>
            </w:r>
            <w:r>
              <w:rPr>
                <w:rFonts w:hint="eastAsia" w:ascii="宋体" w:hAnsi="宋体" w:eastAsia="宋体" w:cs="宋体"/>
                <w:color w:val="auto"/>
                <w:highlight w:val="none"/>
                <w:lang w:eastAsia="zh-CN"/>
              </w:rPr>
              <w:t>成交人须有</w:t>
            </w:r>
            <w:r>
              <w:rPr>
                <w:rFonts w:hint="eastAsia" w:ascii="宋体" w:hAnsi="宋体" w:eastAsia="宋体" w:cs="宋体"/>
                <w:color w:val="auto"/>
                <w:highlight w:val="none"/>
              </w:rPr>
              <w:t>免费800或400服务电话，在线工程师4小时内为用户解决相关问题。需要上门服务的在2个工作日内上门服务</w:t>
            </w:r>
            <w:r>
              <w:rPr>
                <w:rFonts w:hint="eastAsia" w:ascii="宋体" w:hAnsi="宋体" w:eastAsia="宋体" w:cs="宋体"/>
                <w:color w:val="auto"/>
                <w:highlight w:val="none"/>
                <w:lang w:eastAsia="zh-CN"/>
              </w:rPr>
              <w:t>。设备故障</w:t>
            </w:r>
            <w:r>
              <w:rPr>
                <w:rFonts w:hint="eastAsia" w:ascii="宋体" w:hAnsi="宋体" w:eastAsia="宋体" w:cs="宋体"/>
                <w:color w:val="auto"/>
                <w:highlight w:val="none"/>
              </w:rPr>
              <w:t>一般情况下24小时恢复正常使用，若不能修复则应有合理应对方案。</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5、成交供应商提供保修期外的维护及技术指导、配件供应等技术服务。</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rPr>
              <w:t>为用户</w:t>
            </w:r>
            <w:r>
              <w:rPr>
                <w:rFonts w:hint="eastAsia" w:ascii="宋体" w:hAnsi="宋体" w:eastAsia="宋体" w:cs="宋体"/>
                <w:color w:val="auto"/>
                <w:highlight w:val="none"/>
              </w:rPr>
              <w:t>提供相关的布局图和设计要求，提供实验室建设安装资料并作相应的指导</w:t>
            </w:r>
            <w:r>
              <w:rPr>
                <w:rFonts w:hint="eastAsia" w:ascii="宋体" w:hAnsi="宋体" w:eastAsia="宋体" w:cs="宋体"/>
                <w:color w:val="auto"/>
                <w:highlight w:val="none"/>
                <w:lang w:eastAsia="zh-CN"/>
              </w:rPr>
              <w:t>。</w:t>
            </w:r>
          </w:p>
          <w:p>
            <w:pPr>
              <w:widowControl/>
              <w:spacing w:line="4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提供5人参加</w:t>
            </w:r>
            <w:r>
              <w:rPr>
                <w:rFonts w:hint="eastAsia" w:ascii="宋体" w:hAnsi="宋体" w:eastAsia="宋体" w:cs="宋体"/>
                <w:color w:val="auto"/>
                <w:szCs w:val="21"/>
                <w:highlight w:val="none"/>
                <w:lang w:eastAsia="zh-CN"/>
              </w:rPr>
              <w:t>设备生产</w:t>
            </w:r>
            <w:r>
              <w:rPr>
                <w:rFonts w:hint="eastAsia" w:ascii="宋体" w:hAnsi="宋体" w:eastAsia="宋体" w:cs="宋体"/>
                <w:color w:val="auto"/>
                <w:szCs w:val="21"/>
                <w:highlight w:val="none"/>
              </w:rPr>
              <w:t>厂商举办的仪器分析中心培训班</w:t>
            </w:r>
            <w:r>
              <w:rPr>
                <w:rFonts w:hint="eastAsia" w:ascii="宋体" w:hAnsi="宋体" w:eastAsia="宋体" w:cs="宋体"/>
                <w:color w:val="auto"/>
                <w:szCs w:val="21"/>
                <w:highlight w:val="none"/>
                <w:lang w:eastAsia="zh-CN"/>
              </w:rPr>
              <w:t>的名额。</w:t>
            </w:r>
          </w:p>
          <w:p>
            <w:pPr>
              <w:widowControl/>
              <w:spacing w:line="44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highlight w:val="none"/>
                <w:lang w:eastAsia="zh-CN"/>
              </w:rPr>
              <w:t>设备</w:t>
            </w:r>
            <w:r>
              <w:rPr>
                <w:rFonts w:hint="eastAsia" w:ascii="宋体" w:hAnsi="宋体" w:eastAsia="宋体" w:cs="宋体"/>
                <w:color w:val="auto"/>
                <w:highlight w:val="none"/>
              </w:rPr>
              <w:t>到货后，</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免费提供全面安装工具、并由</w:t>
            </w:r>
            <w:r>
              <w:rPr>
                <w:rFonts w:hint="eastAsia" w:ascii="宋体" w:hAnsi="宋体" w:eastAsia="宋体" w:cs="宋体"/>
                <w:color w:val="auto"/>
                <w:szCs w:val="21"/>
                <w:highlight w:val="none"/>
                <w:lang w:eastAsia="zh-CN"/>
              </w:rPr>
              <w:t>设备</w:t>
            </w:r>
            <w:r>
              <w:rPr>
                <w:rFonts w:hint="eastAsia" w:ascii="宋体" w:hAnsi="宋体" w:eastAsia="宋体" w:cs="宋体"/>
                <w:color w:val="auto"/>
                <w:szCs w:val="21"/>
                <w:highlight w:val="none"/>
              </w:rPr>
              <w:t>工程师免费安装。</w:t>
            </w:r>
            <w:r>
              <w:rPr>
                <w:rFonts w:hint="eastAsia" w:ascii="宋体" w:hAnsi="宋体" w:eastAsia="宋体" w:cs="宋体"/>
                <w:color w:val="auto"/>
                <w:szCs w:val="21"/>
                <w:highlight w:val="none"/>
                <w:lang w:eastAsia="zh-CN"/>
              </w:rPr>
              <w:t>设备</w:t>
            </w:r>
            <w:r>
              <w:rPr>
                <w:rFonts w:hint="eastAsia" w:ascii="宋体" w:hAnsi="宋体" w:eastAsia="宋体" w:cs="宋体"/>
                <w:color w:val="auto"/>
                <w:szCs w:val="21"/>
                <w:highlight w:val="none"/>
              </w:rPr>
              <w:t>安装后，安装工程师为用户进行现场基本操作培训。</w:t>
            </w:r>
            <w:r>
              <w:rPr>
                <w:rFonts w:hint="eastAsia" w:ascii="宋体" w:hAnsi="宋体" w:eastAsia="宋体" w:cs="宋体"/>
                <w:color w:val="auto"/>
                <w:szCs w:val="21"/>
                <w:highlight w:val="none"/>
                <w:lang w:eastAsia="zh-CN"/>
              </w:rPr>
              <w:t>设备</w:t>
            </w:r>
            <w:r>
              <w:rPr>
                <w:rFonts w:hint="eastAsia" w:ascii="宋体" w:hAnsi="宋体" w:eastAsia="宋体" w:cs="宋体"/>
                <w:color w:val="auto"/>
                <w:szCs w:val="21"/>
                <w:highlight w:val="none"/>
              </w:rPr>
              <w:t>安装使用后在第1 年</w:t>
            </w:r>
            <w:r>
              <w:rPr>
                <w:rFonts w:hint="eastAsia" w:ascii="宋体" w:hAnsi="宋体" w:eastAsia="宋体" w:cs="宋体"/>
                <w:color w:val="auto"/>
                <w:szCs w:val="21"/>
                <w:highlight w:val="none"/>
                <w:lang w:eastAsia="zh-CN"/>
              </w:rPr>
              <w:t>生产厂家须</w:t>
            </w:r>
            <w:r>
              <w:rPr>
                <w:rFonts w:hint="eastAsia" w:ascii="宋体" w:hAnsi="宋体" w:eastAsia="宋体" w:cs="宋体"/>
                <w:color w:val="auto"/>
                <w:szCs w:val="21"/>
                <w:highlight w:val="none"/>
              </w:rPr>
              <w:t>免费派专职应用工程师上门做软件及应用方法培训，时长不少于3天</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验收标准、规范</w:t>
            </w:r>
          </w:p>
          <w:p>
            <w:pPr>
              <w:spacing w:line="360" w:lineRule="auto"/>
              <w:jc w:val="center"/>
              <w:rPr>
                <w:rFonts w:hint="eastAsia" w:ascii="宋体" w:hAnsi="宋体" w:eastAsia="宋体" w:cs="宋体"/>
                <w:color w:val="auto"/>
                <w:szCs w:val="21"/>
                <w:highlight w:val="none"/>
              </w:rPr>
            </w:pPr>
          </w:p>
        </w:tc>
        <w:tc>
          <w:tcPr>
            <w:tcW w:w="7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1.验收条件及标准</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（1）符合合同要求及国家相关标准；</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（2）参数配置符合或优于合同要求；</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应在合同签订时提供厂家出具的同型号仪器验收报告或说明书等原件供采购人核查，</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人如不按上述要求提供相关材料的，采购人有权利不予签订合同。货物最终验收时，采购人有权将产品送至国家认定的第三方认证（检测）机构进行检测，检测的结果若与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文件中所响应的内容或签订合同时提供的材料不一致的，采购人有权不予验收，并报同级监管部门处理。由此可能导致的没收</w:t>
            </w:r>
            <w:r>
              <w:rPr>
                <w:rFonts w:hint="eastAsia" w:ascii="宋体" w:hAnsi="宋体" w:eastAsia="宋体" w:cs="宋体"/>
                <w:color w:val="auto"/>
                <w:highlight w:val="none"/>
                <w:lang w:eastAsia="zh-CN"/>
              </w:rPr>
              <w:t>成交人竞标</w:t>
            </w:r>
            <w:r>
              <w:rPr>
                <w:rFonts w:hint="eastAsia" w:ascii="宋体" w:hAnsi="宋体" w:eastAsia="宋体" w:cs="宋体"/>
                <w:color w:val="auto"/>
                <w:highlight w:val="none"/>
              </w:rPr>
              <w:t>保证金等后果以及对采购人造成的一切损失，均有中标人自行承担。</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2.验收方法及方案：</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（1）验收方式：设备到达单位，安装、调试完毕且正常，供需双方共同确认货物性能合格后，完成货物验收。</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（2）验收费用：验收所产生的劳务费、检验费（含抽检时可能对样品造成的物理伤害和破坏）、场保费及相关发生的全部费用均由成交人承担。</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（3）交付验收应按约定的时间进行，如因采购人的原因而导致不能按时交付，将按延期时间顺延交付时间。</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3.实施和安装要求：</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（1）供应商必须服从甲方现场负责人的指挥，按指定地点进行安装；</w:t>
            </w:r>
          </w:p>
          <w:p>
            <w:pPr>
              <w:widowControl/>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（2）安装过程中的所有安全保障由供应商自行负责；</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（3）严格按所投产品的安装规范要求进行安装，确保安全。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进口产品说明</w:t>
            </w:r>
          </w:p>
        </w:tc>
        <w:tc>
          <w:tcPr>
            <w:tcW w:w="77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货物已按规定办妥进口产品采购审核手续，</w:t>
            </w:r>
            <w:r>
              <w:rPr>
                <w:rFonts w:hint="eastAsia" w:ascii="宋体" w:hAnsi="宋体" w:eastAsia="宋体" w:cs="宋体"/>
                <w:color w:val="auto"/>
                <w:highlight w:val="none"/>
                <w:lang w:eastAsia="zh-CN"/>
              </w:rPr>
              <w:t>竞标产品</w:t>
            </w:r>
            <w:r>
              <w:rPr>
                <w:rFonts w:hint="eastAsia" w:ascii="宋体" w:hAnsi="宋体" w:eastAsia="宋体" w:cs="宋体"/>
                <w:color w:val="auto"/>
                <w:highlight w:val="none"/>
              </w:rPr>
              <w:t>可选用进口产品；但如选用进口产品时必须为全套原装进口产品（即通过中国海关报关验放进入中国境内且产自关境外的产品），同时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必须负责办理进口产品所有相关手续并承担所有费用。优先采购向我国企业转让技术、与我国企业签订消化吸收再创新方案的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的进口产品。其他货物不接受进口产品参与投标，否则作无效标处理。</w:t>
            </w:r>
          </w:p>
          <w:p>
            <w:pPr>
              <w:widowControl/>
              <w:spacing w:line="440"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竞标产品</w:t>
            </w:r>
            <w:r>
              <w:rPr>
                <w:rFonts w:hint="eastAsia" w:ascii="宋体" w:hAnsi="宋体" w:eastAsia="宋体" w:cs="宋体"/>
                <w:color w:val="auto"/>
                <w:highlight w:val="none"/>
              </w:rPr>
              <w:t>为进口设备，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在投标文件中必须提供投标进口产品生产厂家或国内代理商出具的授权书复印件和售后服务承诺书</w:t>
            </w:r>
          </w:p>
        </w:tc>
      </w:tr>
    </w:tbl>
    <w:p>
      <w:pPr>
        <w:widowControl/>
        <w:jc w:val="left"/>
        <w:rPr>
          <w:rFonts w:hint="eastAsia" w:ascii="宋体" w:hAnsi="宋体" w:eastAsia="宋体" w:cs="宋体"/>
          <w:color w:val="auto"/>
          <w:sz w:val="20"/>
          <w:szCs w:val="20"/>
          <w:highlight w:val="none"/>
        </w:rPr>
      </w:pPr>
    </w:p>
    <w:p>
      <w:pPr>
        <w:pStyle w:val="3"/>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29" w:name="_Toc10267"/>
      <w:r>
        <w:rPr>
          <w:rFonts w:hint="eastAsia" w:ascii="宋体" w:hAnsi="宋体" w:eastAsia="宋体" w:cs="宋体"/>
          <w:color w:val="auto"/>
          <w:highlight w:val="none"/>
        </w:rPr>
        <w:t xml:space="preserve">第四章  </w:t>
      </w:r>
      <w:bookmarkStart w:id="30" w:name="_Hlk68601507"/>
      <w:r>
        <w:rPr>
          <w:rFonts w:hint="eastAsia" w:ascii="宋体" w:hAnsi="宋体" w:eastAsia="宋体" w:cs="宋体"/>
          <w:color w:val="auto"/>
          <w:highlight w:val="none"/>
        </w:rPr>
        <w:t>评审程序和评定成交的标准</w:t>
      </w:r>
      <w:bookmarkEnd w:id="29"/>
      <w:bookmarkEnd w:id="30"/>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1.确认谈判文件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（3）查询记录和证据留存方式：将查询网站中的查询记录截图并作为评审资料保存。</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（2）响应文件中的资格证明文件缺少任一项“供应商须知前附表”资格证明文件规定的“必须提供”的文件资料的；</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（3）响应文件中的资格证明文件出现任一项不符合“供应商须知前附表”资格证明文件规定的“必须提供”的文件资料要求或者无效的；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2.4通过资格审查的合格供应商不足3家（本章3.7条规定除外）的，不得进入符合性审查环节，应当重新开展采购活动。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3.1由谈判小组对资格审查的合格的供应商的响应文件进行竞标报价、商务、技术等实质性要求符合性审查，以确定其是否满足谈判文件的实质性要求。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eastAsia="宋体" w:cs="宋体"/>
          <w:color w:val="auto"/>
          <w:highlight w:val="none"/>
        </w:rPr>
        <w:t>有利于采购人</w:t>
      </w:r>
      <w:r>
        <w:rPr>
          <w:rFonts w:hint="eastAsia" w:ascii="宋体" w:hAnsi="宋体" w:eastAsia="宋体" w:cs="宋体"/>
          <w:color w:val="auto"/>
          <w:szCs w:val="21"/>
          <w:highlight w:val="none"/>
        </w:rPr>
        <w:t>的原则由谈判小组进行判定。供应商的澄清、说明或者更正必须由法定代表人或者其委托代理人签字或者加盖供应商公章。</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3）提交的竞标保证金无效的或者未按照谈判文件的规定提交竞标保证金；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5）商务条款中标“▲”的条款发生负偏离或者允许负偏离的条款数超过“供应商须知前附表”规定项数的；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6）未对竞标有效期作出响应或者响应文件承诺的竞标有效期不满足谈判文件要求；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7）响应文件的实质性内容未使用中文表述、使用计量单位不符合谈判文件要求的；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8）响应文件中的文件资料因填写不齐全或者内容虚假或者出现其他情形而导致被谈判小组认定无效的；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9）响应文件含有采购人不能接受的附加条件的；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10）属于“供应商须知正文”第7.5条的情形的；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11）技术要求中标“▲”的条款发生负偏离或允许负偏离的条款数超过“供应商须知前附表”规定项数的；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12）虚假竞标，或者出现其他情形而导致被谈判小组认定无效的；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bookmarkStart w:id="31" w:name="_Hlk71704147"/>
      <w:r>
        <w:rPr>
          <w:rFonts w:hint="eastAsia" w:ascii="宋体" w:hAnsi="宋体" w:eastAsia="宋体" w:cs="宋体"/>
          <w:color w:val="auto"/>
          <w:szCs w:val="21"/>
          <w:highlight w:val="none"/>
        </w:rPr>
        <w:t>谈判文件未载明允许提供备选（替代）竞标方案或明确不允许提供备选（替代）竞标方案时，供应商提供了备选（替代）竞标方案的；</w:t>
      </w:r>
      <w:bookmarkEnd w:id="3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14）响应文件标注的项目名称或者项目编号与谈判文件标注的项目名称或者项目编号不一致的；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b/>
          <w:color w:val="auto"/>
          <w:szCs w:val="21"/>
          <w:highlight w:val="none"/>
        </w:rPr>
        <w:t>谈判文件明确不允许分包，响应文件拟分包的；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16）未响应谈判文件实质性要求；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17）法律、法规和谈判文件规定的其他无效情形。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报价商务技术文件中规定的“竞标报价表”的；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的；供应商未就所竞标分标的单项内容作唯一报价的；供应商未就所竞标分标的全部内容作完整唯一总价报价的；供应商响应文件中存在有选择、有条件报价的（谈判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4）最后报价超过所竞标分标规定的采购预算金额或者最高限价的（如本项目公布了最高限价）；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5）修正后的报价，供应商不确认的；或者经供应商确认修正后的最后报价超过所竞标分标规定的采购预算金额或者最高限价（如本项目公布了最高限价）；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6）响应文件响应的标的数量及单位与竞争性谈判采购文件要求实质性不一致的。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公开招标的货物、服务采购项目，招标过程中提交投标文件或者经评审实质性响应招标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3.8通过符合性审查的合格供应商不足3家的，不得进入谈判环节，应当重新开展采购活动。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4.谈判程序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4.1谈判小组按照“供应商须知前附表”第26条确定的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4.3对谈判文件作出的实质性变动是谈判文件的有效组成部分，谈判小组应当及时以电子谈判记录形式同时通知所有参加谈判的供应商。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zCs w:val="21"/>
          <w:highlight w:val="none"/>
        </w:rPr>
        <w:t>。供应商为自然人的，必须由本人签字并附身份证明。参加谈判的供应商未在规定时间内以电子回函的形式重新提交响应文件的，视同退出谈判，其响应文件按无效响应处理。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4.5谈判中，谈判的任何一方不得透露与谈判有关的其他供应商的技术资料、价格和其他信息。</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4.6对谈判过程提交的响应文件进行有效性、完整性和响应程度审查，通过审查的合格供应商不足3家的，采购人或者采购代理机构应当重新开展采购活动。</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小组在评审过程中认为供应商的报价明显低于通过符合性审查的其他供应商的报价的，有可能影响产品质量或者不能诚信履约的，应当要求其在评标现场合理的时间内提供书面说明，必要时提交相关证明材料。供应商不能证明其报价合理性的，谈判小组应当将其作为无效报价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5.3最后报价是供应商响应文件的有效组成部分。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5.4已经提交响应文件的供应商，在提交最后报价之前，可以根据谈判情况退出谈判。采购人、采购代理机构将退还退出谈判的供应商的保证金。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5.5供应商未在规定时间内提交最后报价的，视为退出谈判，其响应文件按无效响应处理。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5.6谈判小组收齐某一分标最后报价后或达到规定时间后统一开启，谈判小组对最后报价进行有效性、完整性和响应程度的审查。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5.7响应文件首次及最后报价出现前后不一致的，按照本章第3.4条的规定修正。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5.9供应商出现最后报价按无效响应处理或者响应文件按无效响应处理时</w:t>
      </w:r>
      <w:r>
        <w:rPr>
          <w:rFonts w:hint="eastAsia" w:ascii="宋体" w:hAnsi="宋体" w:eastAsia="宋体" w:cs="宋体"/>
          <w:color w:val="auto"/>
          <w:sz w:val="22"/>
          <w:szCs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6.1评标价为供应商的最后报价进行政策性扣除后的价格，评标价只是作为评审时使用。最终成交供应商的成交金额等于最后报价（如有修正，以确认修正后的最后报价为准）。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6.2政策性扣除计算方法。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促进中小企业发展管理办法》的规定，供应商属于《政府采购促进中小企业发展管理办法》规定的小微企业的，对竞标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6.5除上述情况外，评标价＝最后报价。</w:t>
      </w:r>
    </w:p>
    <w:p>
      <w:pPr>
        <w:spacing w:line="360" w:lineRule="auto"/>
        <w:ind w:firstLine="420" w:firstLineChars="20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二、评定成交的标准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 成交候选人推荐原则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32" w:name="_Toc12503"/>
      <w:r>
        <w:rPr>
          <w:rFonts w:hint="eastAsia" w:ascii="宋体" w:hAnsi="宋体" w:eastAsia="宋体" w:cs="宋体"/>
          <w:color w:val="auto"/>
          <w:highlight w:val="none"/>
        </w:rPr>
        <w:t>第五章 响应文件格式</w:t>
      </w:r>
      <w:bookmarkEnd w:id="32"/>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pacing w:line="240" w:lineRule="atLeast"/>
        <w:rPr>
          <w:rFonts w:hint="eastAsia" w:ascii="宋体" w:hAnsi="宋体" w:eastAsia="宋体" w:cs="宋体"/>
          <w:b/>
          <w:color w:val="auto"/>
          <w:sz w:val="32"/>
          <w:szCs w:val="32"/>
          <w:highlight w:val="none"/>
        </w:rPr>
      </w:pPr>
    </w:p>
    <w:p>
      <w:pPr>
        <w:snapToGrid w:val="0"/>
        <w:spacing w:before="50" w:after="50"/>
        <w:outlineLvl w:val="1"/>
        <w:rPr>
          <w:rFonts w:hint="eastAsia" w:ascii="宋体" w:hAnsi="宋体" w:eastAsia="宋体" w:cs="宋体"/>
          <w:b/>
          <w:bCs/>
          <w:color w:val="auto"/>
          <w:sz w:val="24"/>
          <w:highlight w:val="none"/>
        </w:rPr>
      </w:pPr>
    </w:p>
    <w:p>
      <w:pPr>
        <w:snapToGrid w:val="0"/>
        <w:spacing w:before="50" w:after="50"/>
        <w:outlineLvl w:val="1"/>
        <w:rPr>
          <w:rFonts w:hint="eastAsia" w:ascii="宋体" w:hAnsi="宋体" w:eastAsia="宋体" w:cs="宋体"/>
          <w:b/>
          <w:bCs/>
          <w:color w:val="auto"/>
          <w:sz w:val="24"/>
          <w:highlight w:val="none"/>
        </w:rPr>
      </w:pPr>
    </w:p>
    <w:p>
      <w:pPr>
        <w:spacing w:line="240" w:lineRule="atLeast"/>
        <w:rPr>
          <w:rFonts w:hint="eastAsia" w:ascii="宋体" w:hAnsi="宋体" w:eastAsia="宋体" w:cs="宋体"/>
          <w:b/>
          <w:bCs/>
          <w:color w:val="auto"/>
          <w:sz w:val="32"/>
          <w:szCs w:val="32"/>
          <w:highlight w:val="none"/>
        </w:rPr>
      </w:pPr>
    </w:p>
    <w:p>
      <w:pPr>
        <w:spacing w:line="240" w:lineRule="atLeast"/>
        <w:rPr>
          <w:rFonts w:hint="eastAsia" w:ascii="宋体" w:hAnsi="宋体" w:eastAsia="宋体" w:cs="宋体"/>
          <w:b/>
          <w:color w:val="auto"/>
          <w:sz w:val="32"/>
          <w:szCs w:val="32"/>
          <w:highlight w:val="none"/>
        </w:rPr>
      </w:pPr>
      <w:bookmarkStart w:id="33" w:name="_Toc71365382"/>
      <w:bookmarkStart w:id="34" w:name="_Toc71366060"/>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一、资格证明文件格式</w:t>
      </w:r>
      <w:bookmarkEnd w:id="33"/>
      <w:bookmarkEnd w:id="34"/>
    </w:p>
    <w:p>
      <w:pPr>
        <w:snapToGrid w:val="0"/>
        <w:spacing w:before="120"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p>
    <w:p>
      <w:pPr>
        <w:snapToGrid w:val="0"/>
        <w:spacing w:before="120" w:beforeLines="50" w:after="50"/>
        <w:rPr>
          <w:rFonts w:hint="eastAsia" w:ascii="宋体" w:hAnsi="宋体" w:eastAsia="宋体" w:cs="宋体"/>
          <w:bCs/>
          <w:color w:val="auto"/>
          <w:sz w:val="32"/>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p>
    <w:p>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120" w:beforeLines="50" w:after="50"/>
        <w:ind w:firstLine="640" w:firstLineChars="200"/>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2.资格文件目录</w:t>
      </w:r>
    </w:p>
    <w:p>
      <w:pPr>
        <w:snapToGrid w:val="0"/>
        <w:spacing w:before="120"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pPr>
        <w:snapToGrid w:val="0"/>
        <w:spacing w:before="120" w:beforeLines="50" w:after="50" w:line="360" w:lineRule="auto"/>
        <w:rPr>
          <w:rFonts w:hint="eastAsia" w:ascii="宋体" w:hAnsi="宋体" w:eastAsia="宋体" w:cs="宋体"/>
          <w:color w:val="auto"/>
          <w:sz w:val="24"/>
          <w:szCs w:val="20"/>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20" w:lineRule="exact"/>
        <w:jc w:val="left"/>
        <w:rPr>
          <w:rFonts w:hint="eastAsia" w:ascii="宋体" w:hAnsi="宋体" w:eastAsia="宋体" w:cs="宋体"/>
          <w:color w:val="auto"/>
          <w:szCs w:val="21"/>
          <w:highlight w:val="none"/>
        </w:rPr>
      </w:pPr>
    </w:p>
    <w:p>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供应商直接控股、管理关系信息表</w:t>
      </w:r>
    </w:p>
    <w:p>
      <w:pPr>
        <w:snapToGrid w:val="0"/>
        <w:spacing w:before="120" w:beforeLines="50" w:after="50"/>
        <w:jc w:val="center"/>
        <w:rPr>
          <w:rFonts w:hint="eastAsia" w:ascii="宋体" w:hAnsi="宋体" w:eastAsia="宋体" w:cs="宋体"/>
          <w:b/>
          <w:color w:val="auto"/>
          <w:sz w:val="32"/>
          <w:szCs w:val="32"/>
          <w:highlight w:val="none"/>
        </w:rPr>
      </w:pPr>
    </w:p>
    <w:p>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pPr>
        <w:snapToGrid w:val="0"/>
        <w:spacing w:before="50" w:after="120" w:afterLines="50"/>
        <w:jc w:val="center"/>
        <w:rPr>
          <w:rFonts w:hint="eastAsia" w:ascii="宋体" w:hAnsi="宋体" w:eastAsia="宋体" w:cs="宋体"/>
          <w:b/>
          <w:color w:val="auto"/>
          <w:sz w:val="32"/>
          <w:szCs w:val="32"/>
          <w:highlight w:val="none"/>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8"/>
                <w:szCs w:val="28"/>
                <w:highlight w:val="none"/>
              </w:rPr>
            </w:pPr>
          </w:p>
        </w:tc>
      </w:tr>
    </w:tbl>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pPr>
        <w:spacing w:line="360" w:lineRule="auto"/>
        <w:ind w:firstLine="420" w:firstLineChars="200"/>
        <w:contextualSpacing/>
        <w:jc w:val="left"/>
        <w:rPr>
          <w:rFonts w:hint="eastAsia" w:ascii="宋体" w:hAnsi="宋体" w:eastAsia="宋体" w:cs="宋体"/>
          <w:color w:val="auto"/>
          <w:szCs w:val="21"/>
          <w:highlight w:val="none"/>
        </w:rPr>
      </w:pPr>
    </w:p>
    <w:p>
      <w:pPr>
        <w:spacing w:line="360" w:lineRule="auto"/>
        <w:ind w:firstLine="560" w:firstLineChars="200"/>
        <w:contextualSpacing/>
        <w:jc w:val="left"/>
        <w:rPr>
          <w:rFonts w:hint="eastAsia" w:ascii="宋体" w:hAnsi="宋体" w:eastAsia="宋体" w:cs="宋体"/>
          <w:color w:val="auto"/>
          <w:sz w:val="28"/>
          <w:szCs w:val="28"/>
          <w:highlight w:val="none"/>
        </w:rPr>
      </w:pPr>
    </w:p>
    <w:p>
      <w:pPr>
        <w:spacing w:line="360" w:lineRule="auto"/>
        <w:ind w:right="480"/>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p>
    <w:p>
      <w:pPr>
        <w:spacing w:line="360" w:lineRule="auto"/>
        <w:ind w:right="480" w:firstLine="3360" w:firstLineChars="14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供应商（盖公章 ）： </w:t>
      </w:r>
    </w:p>
    <w:p>
      <w:pPr>
        <w:spacing w:line="360" w:lineRule="auto"/>
        <w:ind w:right="480" w:firstLine="5280" w:firstLineChars="2200"/>
        <w:contextualSpacing/>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pPr>
        <w:snapToGrid w:val="0"/>
        <w:jc w:val="center"/>
        <w:rPr>
          <w:rFonts w:hint="eastAsia" w:ascii="宋体" w:hAnsi="宋体" w:eastAsia="宋体" w:cs="宋体"/>
          <w:b/>
          <w:color w:val="auto"/>
          <w:sz w:val="32"/>
          <w:szCs w:val="32"/>
          <w:highlight w:val="none"/>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宋体" w:hAnsi="宋体" w:eastAsia="宋体" w:cs="宋体"/>
                <w:color w:val="auto"/>
                <w:kern w:val="0"/>
                <w:sz w:val="28"/>
                <w:szCs w:val="28"/>
                <w:highlight w:val="none"/>
              </w:rPr>
            </w:pPr>
          </w:p>
        </w:tc>
      </w:tr>
    </w:tbl>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pPr>
        <w:spacing w:line="360" w:lineRule="auto"/>
        <w:contextualSpacing/>
        <w:jc w:val="left"/>
        <w:rPr>
          <w:rFonts w:hint="eastAsia" w:ascii="宋体" w:hAnsi="宋体" w:eastAsia="宋体" w:cs="宋体"/>
          <w:color w:val="auto"/>
          <w:sz w:val="28"/>
          <w:szCs w:val="28"/>
          <w:highlight w:val="none"/>
        </w:rPr>
      </w:pPr>
    </w:p>
    <w:p>
      <w:pPr>
        <w:spacing w:line="360" w:lineRule="auto"/>
        <w:contextualSpacing/>
        <w:jc w:val="left"/>
        <w:rPr>
          <w:rFonts w:hint="eastAsia" w:ascii="宋体" w:hAnsi="宋体" w:eastAsia="宋体" w:cs="宋体"/>
          <w:color w:val="auto"/>
          <w:sz w:val="28"/>
          <w:szCs w:val="28"/>
          <w:highlight w:val="none"/>
        </w:rPr>
      </w:pPr>
    </w:p>
    <w:p>
      <w:pPr>
        <w:spacing w:line="360" w:lineRule="auto"/>
        <w:contextualSpacing/>
        <w:jc w:val="left"/>
        <w:rPr>
          <w:rFonts w:hint="eastAsia" w:ascii="宋体" w:hAnsi="宋体" w:eastAsia="宋体" w:cs="宋体"/>
          <w:color w:val="auto"/>
          <w:sz w:val="28"/>
          <w:szCs w:val="28"/>
          <w:highlight w:val="none"/>
        </w:rPr>
      </w:pPr>
    </w:p>
    <w:p>
      <w:pPr>
        <w:spacing w:line="360" w:lineRule="auto"/>
        <w:contextualSpacing/>
        <w:jc w:val="left"/>
        <w:rPr>
          <w:rFonts w:hint="eastAsia" w:ascii="宋体" w:hAnsi="宋体" w:eastAsia="宋体" w:cs="宋体"/>
          <w:color w:val="auto"/>
          <w:sz w:val="28"/>
          <w:szCs w:val="28"/>
          <w:highlight w:val="none"/>
        </w:rPr>
      </w:pPr>
    </w:p>
    <w:p>
      <w:pPr>
        <w:spacing w:line="360" w:lineRule="auto"/>
        <w:contextualSpacing/>
        <w:jc w:val="left"/>
        <w:rPr>
          <w:rFonts w:hint="eastAsia" w:ascii="宋体" w:hAnsi="宋体" w:eastAsia="宋体" w:cs="宋体"/>
          <w:color w:val="auto"/>
          <w:sz w:val="28"/>
          <w:szCs w:val="28"/>
          <w:highlight w:val="none"/>
        </w:rPr>
      </w:pPr>
    </w:p>
    <w:p>
      <w:pPr>
        <w:spacing w:line="360" w:lineRule="auto"/>
        <w:contextualSpacing/>
        <w:jc w:val="left"/>
        <w:rPr>
          <w:rFonts w:hint="eastAsia" w:ascii="宋体" w:hAnsi="宋体" w:eastAsia="宋体" w:cs="宋体"/>
          <w:color w:val="auto"/>
          <w:sz w:val="28"/>
          <w:szCs w:val="28"/>
          <w:highlight w:val="none"/>
        </w:rPr>
      </w:pPr>
    </w:p>
    <w:p>
      <w:pPr>
        <w:spacing w:line="360" w:lineRule="auto"/>
        <w:ind w:right="480"/>
        <w:contextualSpacing/>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法定代表人或者委托代理人签字：</w:t>
      </w:r>
    </w:p>
    <w:p>
      <w:pPr>
        <w:spacing w:line="360" w:lineRule="auto"/>
        <w:ind w:right="480" w:firstLine="3720" w:firstLineChars="155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年    月    日</w:t>
      </w:r>
    </w:p>
    <w:p>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竞标声明</w:t>
      </w:r>
    </w:p>
    <w:p>
      <w:pPr>
        <w:spacing w:line="320" w:lineRule="exact"/>
        <w:jc w:val="center"/>
        <w:rPr>
          <w:rFonts w:hint="eastAsia" w:ascii="宋体" w:hAnsi="宋体" w:eastAsia="宋体" w:cs="宋体"/>
          <w:color w:val="auto"/>
          <w:sz w:val="24"/>
          <w:szCs w:val="20"/>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（1）将按谈判文件的约定履行合同责任和义务；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（2）已详细审查全部谈判文件，包括补遗文件（如有）；</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（4）响应谈判文件规定的竞标有效期。</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p>
    <w:p>
      <w:pPr>
        <w:pStyle w:val="14"/>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7.与本谈判有关的一切正式往来信函请寄：邮政编号：</w:t>
      </w:r>
    </w:p>
    <w:p>
      <w:pPr>
        <w:pStyle w:val="14"/>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 电子函件：</w:t>
      </w:r>
    </w:p>
    <w:p>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帐号/行号：</w:t>
      </w:r>
    </w:p>
    <w:p>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hint="eastAsia" w:ascii="宋体" w:hAnsi="宋体" w:eastAsia="宋体" w:cs="宋体"/>
          <w:color w:val="auto"/>
          <w:szCs w:val="21"/>
          <w:highlight w:val="none"/>
        </w:rPr>
      </w:pPr>
      <w:r>
        <w:rPr>
          <w:rFonts w:hint="eastAsia" w:ascii="宋体" w:hAnsi="宋体" w:eastAsia="宋体" w:cs="宋体"/>
          <w:color w:val="auto"/>
          <w:sz w:val="24"/>
          <w:highlight w:val="none"/>
        </w:rPr>
        <w:t>特此承诺。</w:t>
      </w:r>
    </w:p>
    <w:p>
      <w:pPr>
        <w:spacing w:line="360" w:lineRule="auto"/>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注：如为联合体竞标，盖章处须加盖联合体各方公章并由联合体各方法定代表人分别签署，否则响应文件按无效响应处理。</w:t>
      </w:r>
    </w:p>
    <w:p>
      <w:pPr>
        <w:spacing w:line="360" w:lineRule="auto"/>
        <w:contextualSpacing/>
        <w:jc w:val="left"/>
        <w:rPr>
          <w:rFonts w:hint="eastAsia" w:ascii="宋体" w:hAnsi="宋体" w:eastAsia="宋体" w:cs="宋体"/>
          <w:color w:val="auto"/>
          <w:szCs w:val="21"/>
          <w:highlight w:val="none"/>
        </w:rPr>
      </w:pPr>
    </w:p>
    <w:p>
      <w:pPr>
        <w:spacing w:line="360" w:lineRule="auto"/>
        <w:ind w:firstLine="3780" w:firstLineChars="1800"/>
        <w:contextualSpacing/>
        <w:rPr>
          <w:rFonts w:hint="eastAsia" w:ascii="宋体" w:hAnsi="宋体" w:eastAsia="宋体" w:cs="宋体"/>
          <w:color w:val="auto"/>
          <w:highlight w:val="none"/>
        </w:rPr>
      </w:pPr>
      <w:r>
        <w:rPr>
          <w:rFonts w:hint="eastAsia" w:ascii="宋体" w:hAnsi="宋体" w:eastAsia="宋体" w:cs="宋体"/>
          <w:color w:val="auto"/>
          <w:highlight w:val="none"/>
        </w:rPr>
        <w:t>法定代表人（签字或者盖章）：</w:t>
      </w:r>
    </w:p>
    <w:p>
      <w:pPr>
        <w:spacing w:line="360" w:lineRule="auto"/>
        <w:ind w:firstLine="3780" w:firstLineChars="1800"/>
        <w:contextualSpacing/>
        <w:rPr>
          <w:rFonts w:hint="eastAsia" w:ascii="宋体" w:hAnsi="宋体" w:eastAsia="宋体" w:cs="宋体"/>
          <w:color w:val="auto"/>
          <w:szCs w:val="21"/>
          <w:highlight w:val="none"/>
          <w:u w:val="single"/>
        </w:rPr>
      </w:pPr>
      <w:r>
        <w:rPr>
          <w:rFonts w:hint="eastAsia" w:ascii="宋体" w:hAnsi="宋体" w:eastAsia="宋体" w:cs="宋体"/>
          <w:color w:val="auto"/>
          <w:highlight w:val="none"/>
        </w:rPr>
        <w:t>供应商（盖公章）：</w:t>
      </w:r>
    </w:p>
    <w:p>
      <w:pPr>
        <w:spacing w:line="360" w:lineRule="auto"/>
        <w:ind w:right="482" w:firstLine="210" w:firstLineChars="100"/>
        <w:contextualSpacing/>
        <w:jc w:val="center"/>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年    月    日 </w:t>
      </w:r>
    </w:p>
    <w:p>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br w:type="page"/>
      </w:r>
    </w:p>
    <w:p>
      <w:pPr>
        <w:spacing w:before="240" w:beforeLines="100" w:after="120"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法定代表人身份证明</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名：性      别：</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龄：职      务：</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w:t>
      </w:r>
    </w:p>
    <w:p>
      <w:pPr>
        <w:spacing w:line="360" w:lineRule="auto"/>
        <w:ind w:firstLine="4080" w:firstLineChars="17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pPr>
        <w:spacing w:line="360" w:lineRule="auto"/>
        <w:contextualSpacing/>
        <w:jc w:val="center"/>
        <w:rPr>
          <w:rFonts w:hint="eastAsia" w:ascii="宋体" w:hAnsi="宋体" w:eastAsia="宋体" w:cs="宋体"/>
          <w:b/>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注：自然人竞标的无需提供，联合体竞标的只需牵头人出具。</w:t>
      </w:r>
    </w:p>
    <w:p>
      <w:pPr>
        <w:adjustRightInd w:val="0"/>
        <w:snapToGrid w:val="0"/>
        <w:spacing w:line="300" w:lineRule="auto"/>
        <w:jc w:val="left"/>
        <w:rPr>
          <w:rFonts w:hint="eastAsia" w:ascii="宋体" w:hAnsi="宋体" w:eastAsia="宋体" w:cs="宋体"/>
          <w:b/>
          <w:color w:val="auto"/>
          <w:szCs w:val="21"/>
          <w:highlight w:val="none"/>
        </w:rPr>
      </w:pPr>
    </w:p>
    <w:p>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授权委托书</w:t>
      </w:r>
    </w:p>
    <w:p>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（非联合体竞标格式）</w:t>
      </w:r>
    </w:p>
    <w:p>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（如有委托时）</w:t>
      </w:r>
    </w:p>
    <w:p>
      <w:pPr>
        <w:spacing w:line="360" w:lineRule="auto"/>
        <w:contextualSpacing/>
        <w:rPr>
          <w:rFonts w:hint="eastAsia" w:ascii="宋体" w:hAnsi="宋体" w:eastAsia="宋体" w:cs="宋体"/>
          <w:color w:val="auto"/>
          <w:sz w:val="32"/>
          <w:szCs w:val="32"/>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sym w:font="Wingdings 2" w:char="00A3"/>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以我方的名义参加项目的竞标活动，并代表我方全权办理针对上述项目的所有采购程序和环节的具体事务和签署相关文件。</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法定代表人（签字或者盖章）：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供应商（盖公章）：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法定代表人必须在授权委托书上亲笔签字或者盖章，委托代理人必须在授权委托书上亲笔签字，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2.法人、其他组织竞标时“我方”是指“我单位”，自然人竞标时“我方”是指“本人”。</w:t>
      </w:r>
    </w:p>
    <w:p>
      <w:pPr>
        <w:spacing w:line="360" w:lineRule="auto"/>
        <w:ind w:firstLine="420" w:firstLineChars="200"/>
        <w:contextualSpacing/>
        <w:jc w:val="left"/>
        <w:rPr>
          <w:rFonts w:hint="eastAsia" w:ascii="宋体" w:hAnsi="宋体" w:eastAsia="宋体" w:cs="宋体"/>
          <w:color w:val="auto"/>
          <w:szCs w:val="21"/>
          <w:highlight w:val="none"/>
        </w:rPr>
      </w:pPr>
    </w:p>
    <w:p>
      <w:pPr>
        <w:spacing w:line="360" w:lineRule="auto"/>
        <w:contextualSpacing/>
        <w:jc w:val="left"/>
        <w:rPr>
          <w:rFonts w:hint="eastAsia" w:ascii="宋体" w:hAnsi="宋体" w:eastAsia="宋体" w:cs="宋体"/>
          <w:color w:val="auto"/>
          <w:szCs w:val="21"/>
          <w:highlight w:val="none"/>
        </w:rPr>
      </w:pPr>
    </w:p>
    <w:p>
      <w:pPr>
        <w:spacing w:line="360" w:lineRule="auto"/>
        <w:ind w:right="420"/>
        <w:contextualSpacing/>
        <w:jc w:val="left"/>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 xml:space="preserve">报价文件格式 </w:t>
      </w:r>
    </w:p>
    <w:p>
      <w:pPr>
        <w:snapToGrid w:val="0"/>
        <w:spacing w:before="120"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1.报价文件封面格式</w:t>
      </w:r>
    </w:p>
    <w:p>
      <w:pPr>
        <w:snapToGrid w:val="0"/>
        <w:spacing w:before="120" w:beforeLines="50" w:after="50"/>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  价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640" w:firstLineChars="200"/>
        <w:rPr>
          <w:rFonts w:hint="eastAsia" w:ascii="宋体" w:hAnsi="宋体" w:eastAsia="宋体" w:cs="宋体"/>
          <w:bCs/>
          <w:color w:val="auto"/>
          <w:sz w:val="32"/>
          <w:szCs w:val="32"/>
          <w:highlight w:val="none"/>
        </w:rPr>
      </w:pPr>
    </w:p>
    <w:p>
      <w:pPr>
        <w:pStyle w:val="7"/>
        <w:snapToGrid w:val="0"/>
        <w:spacing w:before="50" w:after="50"/>
        <w:ind w:firstLine="0"/>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2.报价文件目录</w:t>
      </w:r>
    </w:p>
    <w:p>
      <w:pPr>
        <w:snapToGrid w:val="0"/>
        <w:spacing w:before="120"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pPr>
        <w:spacing w:line="400" w:lineRule="exact"/>
        <w:rPr>
          <w:rFonts w:hint="eastAsia" w:ascii="宋体" w:hAnsi="宋体" w:eastAsia="宋体" w:cs="宋体"/>
          <w:color w:val="auto"/>
          <w:sz w:val="32"/>
          <w:szCs w:val="32"/>
          <w:highlight w:val="none"/>
        </w:rPr>
      </w:pP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无串通竞标行为的承诺函</w:t>
      </w:r>
    </w:p>
    <w:p>
      <w:pPr>
        <w:spacing w:line="360" w:lineRule="auto"/>
        <w:ind w:firstLine="640" w:firstLineChars="200"/>
        <w:contextualSpacing/>
        <w:rPr>
          <w:rFonts w:hint="eastAsia" w:ascii="宋体" w:hAnsi="宋体" w:eastAsia="宋体" w:cs="宋体"/>
          <w:color w:val="auto"/>
          <w:sz w:val="32"/>
          <w:szCs w:val="32"/>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供应商（盖公章 ）：</w:t>
      </w:r>
    </w:p>
    <w:p>
      <w:pPr>
        <w:spacing w:line="360" w:lineRule="auto"/>
        <w:ind w:firstLine="480" w:firstLineChars="20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360" w:lineRule="auto"/>
        <w:ind w:firstLine="640" w:firstLineChars="200"/>
        <w:contextualSpacing/>
        <w:jc w:val="center"/>
        <w:rPr>
          <w:rFonts w:hint="eastAsia" w:ascii="宋体" w:hAnsi="宋体" w:eastAsia="宋体" w:cs="宋体"/>
          <w:color w:val="auto"/>
          <w:sz w:val="32"/>
          <w:szCs w:val="32"/>
          <w:highlight w:val="none"/>
        </w:rPr>
      </w:pPr>
    </w:p>
    <w:p>
      <w:pPr>
        <w:tabs>
          <w:tab w:val="left" w:pos="3479"/>
        </w:tabs>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竞  标  报  价  表</w:t>
      </w:r>
    </w:p>
    <w:p>
      <w:pPr>
        <w:spacing w:line="520" w:lineRule="exact"/>
        <w:jc w:val="center"/>
        <w:rPr>
          <w:rFonts w:hint="eastAsia" w:ascii="宋体" w:hAnsi="宋体" w:eastAsia="宋体" w:cs="宋体"/>
          <w:bCs/>
          <w:color w:val="auto"/>
          <w:sz w:val="32"/>
          <w:szCs w:val="32"/>
          <w:highlight w:val="none"/>
        </w:rPr>
      </w:pP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项目名称：项目编号： 分标（如有）：</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p>
      <w:pPr>
        <w:snapToGrid w:val="0"/>
        <w:spacing w:before="50" w:after="50"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单位：元</w:t>
      </w:r>
    </w:p>
    <w:tbl>
      <w:tblPr>
        <w:tblStyle w:val="23"/>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3390"/>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数量及单位</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①</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规格</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型号</w:t>
            </w: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生产厂家</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单价</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竞标报价</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8"/>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 以上竞标报价表中“货物名称、数量及单位、品牌、规格型号、生产厂家”必须如实填写完整，品牌、规格型号没有则填无，填写有缺漏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其响应文件按无效响应处理。</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2.供应商的报价表必须加盖供应商公章并由法定代表人或者委托代理人签字，</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pPr>
        <w:spacing w:line="360" w:lineRule="auto"/>
        <w:ind w:firstLine="480" w:firstLineChars="200"/>
        <w:contextualSpacing/>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报价一经涂改，应在涂改处加盖供应商公章或者由法定代表人或者授权委托人签字或者盖章</w:t>
      </w:r>
      <w:r>
        <w:rPr>
          <w:rFonts w:hint="eastAsia" w:ascii="宋体" w:hAnsi="宋体" w:eastAsia="宋体" w:cs="宋体"/>
          <w:b/>
          <w:color w:val="auto"/>
          <w:sz w:val="24"/>
          <w:highlight w:val="none"/>
        </w:rPr>
        <w:t>，否则其响应文件按无效响应处理。</w:t>
      </w:r>
    </w:p>
    <w:p>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4.谈判文件中列明采购专用耗材的，应按谈判文件规定的耗材量或者按耗材的常规试用量提供报价。</w:t>
      </w:r>
    </w:p>
    <w:p>
      <w:pPr>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6"/>
          <w:sz w:val="24"/>
          <w:highlight w:val="none"/>
        </w:rPr>
        <w:t>如有多分标，分别列明各分标的报价表，</w:t>
      </w:r>
      <w:r>
        <w:rPr>
          <w:rFonts w:hint="eastAsia" w:ascii="宋体" w:hAnsi="宋体" w:eastAsia="宋体" w:cs="宋体"/>
          <w:b/>
          <w:color w:val="auto"/>
          <w:spacing w:val="-6"/>
          <w:sz w:val="24"/>
          <w:highlight w:val="none"/>
        </w:rPr>
        <w:t>否则其响应文件按无效响应处理。</w:t>
      </w:r>
    </w:p>
    <w:p>
      <w:pPr>
        <w:spacing w:line="360" w:lineRule="auto"/>
        <w:ind w:right="-817" w:rightChars="-389" w:firstLine="2640" w:firstLineChars="1100"/>
        <w:contextualSpacing/>
        <w:rPr>
          <w:rFonts w:hint="eastAsia" w:ascii="宋体" w:hAnsi="宋体" w:eastAsia="宋体" w:cs="宋体"/>
          <w:color w:val="auto"/>
          <w:sz w:val="24"/>
          <w:highlight w:val="none"/>
        </w:rPr>
      </w:pP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法定代表人或者委托代理人（签字）：                    </w:t>
      </w:r>
    </w:p>
    <w:p>
      <w:pPr>
        <w:spacing w:line="360" w:lineRule="auto"/>
        <w:ind w:right="-817" w:rightChars="-389" w:firstLine="2640" w:firstLineChars="1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pPr>
        <w:spacing w:line="360" w:lineRule="auto"/>
        <w:ind w:right="-817" w:rightChars="-389" w:firstLine="4080" w:firstLineChars="1700"/>
        <w:contextualSpacing/>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   年   月   日</w:t>
      </w:r>
    </w:p>
    <w:p>
      <w:pPr>
        <w:spacing w:line="360" w:lineRule="auto"/>
        <w:ind w:right="420"/>
        <w:contextualSpacing/>
        <w:jc w:val="left"/>
        <w:rPr>
          <w:rFonts w:hint="eastAsia" w:ascii="宋体" w:hAnsi="宋体" w:eastAsia="宋体" w:cs="宋体"/>
          <w:b/>
          <w:bCs/>
          <w:color w:val="auto"/>
          <w:sz w:val="32"/>
          <w:szCs w:val="32"/>
          <w:highlight w:val="none"/>
        </w:rPr>
      </w:pPr>
    </w:p>
    <w:p>
      <w:pPr>
        <w:spacing w:line="360" w:lineRule="auto"/>
        <w:ind w:right="420"/>
        <w:contextualSpacing/>
        <w:jc w:val="left"/>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 xml:space="preserve">商务技术文件格式 </w:t>
      </w:r>
    </w:p>
    <w:p>
      <w:pPr>
        <w:snapToGrid w:val="0"/>
        <w:spacing w:before="120"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1.商务技术文件封面格式</w:t>
      </w:r>
    </w:p>
    <w:p>
      <w:pPr>
        <w:snapToGrid w:val="0"/>
        <w:spacing w:before="120" w:beforeLines="50" w:after="50"/>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技 术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640" w:firstLineChars="200"/>
        <w:rPr>
          <w:rFonts w:hint="eastAsia" w:ascii="宋体" w:hAnsi="宋体" w:eastAsia="宋体" w:cs="宋体"/>
          <w:bCs/>
          <w:color w:val="auto"/>
          <w:sz w:val="32"/>
          <w:szCs w:val="32"/>
          <w:highlight w:val="none"/>
        </w:rPr>
      </w:pPr>
    </w:p>
    <w:p>
      <w:pPr>
        <w:pStyle w:val="7"/>
        <w:snapToGrid w:val="0"/>
        <w:spacing w:before="50" w:after="50"/>
        <w:ind w:firstLine="0"/>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2.商务技术文件目录</w:t>
      </w:r>
    </w:p>
    <w:p>
      <w:pPr>
        <w:snapToGrid w:val="0"/>
        <w:spacing w:before="120"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pPr>
        <w:spacing w:line="360" w:lineRule="auto"/>
        <w:ind w:firstLine="420" w:firstLineChars="200"/>
        <w:contextualSpacing/>
        <w:jc w:val="left"/>
        <w:rPr>
          <w:rFonts w:hint="eastAsia" w:ascii="宋体" w:hAnsi="宋体" w:eastAsia="宋体" w:cs="宋体"/>
          <w:color w:val="auto"/>
          <w:szCs w:val="21"/>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 w:val="32"/>
          <w:szCs w:val="32"/>
          <w:highlight w:val="none"/>
        </w:rPr>
        <w:br w:type="page"/>
      </w:r>
      <w:r>
        <w:rPr>
          <w:rFonts w:hint="eastAsia" w:ascii="宋体" w:hAnsi="宋体" w:eastAsia="宋体" w:cs="宋体"/>
          <w:bCs/>
          <w:color w:val="auto"/>
          <w:sz w:val="44"/>
          <w:szCs w:val="44"/>
          <w:highlight w:val="none"/>
        </w:rPr>
        <w:t>商务要求偏离表格式</w:t>
      </w:r>
    </w:p>
    <w:p>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（注：按采购需求具体条款修改）</w:t>
      </w:r>
    </w:p>
    <w:p>
      <w:pPr>
        <w:snapToGrid w:val="0"/>
        <w:spacing w:before="50"/>
        <w:jc w:val="left"/>
        <w:rPr>
          <w:rFonts w:hint="eastAsia" w:ascii="宋体" w:hAnsi="宋体" w:eastAsia="宋体" w:cs="宋体"/>
          <w:color w:val="auto"/>
          <w:sz w:val="24"/>
          <w:highlight w:val="none"/>
        </w:rPr>
      </w:pPr>
    </w:p>
    <w:p>
      <w:pPr>
        <w:pStyle w:val="1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所竞分标（如有）：</w:t>
      </w:r>
    </w:p>
    <w:tbl>
      <w:tblPr>
        <w:tblStyle w:val="23"/>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hint="eastAsia" w:ascii="宋体" w:hAnsi="宋体" w:eastAsia="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hint="eastAsia" w:ascii="宋体" w:hAnsi="宋体" w:eastAsia="宋体" w:cs="宋体"/>
                <w:color w:val="auto"/>
                <w:sz w:val="24"/>
                <w:highlight w:val="none"/>
              </w:rPr>
            </w:pPr>
          </w:p>
        </w:tc>
      </w:tr>
    </w:tbl>
    <w:p>
      <w:pPr>
        <w:pStyle w:val="10"/>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pStyle w:val="10"/>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说明：应对照谈判文件“第三章 采购需求”中的商务要求逐条明确响应，并作出偏离说明。</w:t>
      </w:r>
    </w:p>
    <w:p>
      <w:pPr>
        <w:pStyle w:val="10"/>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2.供应商应根据自身的承诺，对照谈判文件要求在“偏离说明”中注明“正偏离”、“负偏离”或者“无偏离”。既不属于“正偏离”也不属于“负偏离”即为“无偏离”。</w:t>
      </w:r>
    </w:p>
    <w:p>
      <w:pPr>
        <w:spacing w:line="360" w:lineRule="auto"/>
        <w:contextualSpacing/>
        <w:jc w:val="left"/>
        <w:rPr>
          <w:rFonts w:hint="eastAsia" w:ascii="宋体" w:hAnsi="宋体" w:eastAsia="宋体" w:cs="宋体"/>
          <w:color w:val="auto"/>
          <w:sz w:val="24"/>
          <w:highlight w:val="none"/>
          <w:u w:val="single"/>
        </w:rPr>
      </w:pPr>
    </w:p>
    <w:p>
      <w:pPr>
        <w:spacing w:line="360" w:lineRule="auto"/>
        <w:contextualSpacing/>
        <w:jc w:val="left"/>
        <w:rPr>
          <w:rFonts w:hint="eastAsia" w:ascii="宋体" w:hAnsi="宋体" w:eastAsia="宋体" w:cs="宋体"/>
          <w:color w:val="auto"/>
          <w:sz w:val="24"/>
          <w:highlight w:val="none"/>
          <w:u w:val="single"/>
        </w:rPr>
      </w:pPr>
    </w:p>
    <w:p>
      <w:pPr>
        <w:spacing w:line="360" w:lineRule="auto"/>
        <w:ind w:right="-817" w:rightChars="-389"/>
        <w:contextualSpacing/>
        <w:rPr>
          <w:rFonts w:hint="eastAsia" w:ascii="宋体" w:hAnsi="宋体" w:eastAsia="宋体" w:cs="宋体"/>
          <w:color w:val="auto"/>
          <w:sz w:val="24"/>
          <w:highlight w:val="none"/>
        </w:rPr>
      </w:pPr>
    </w:p>
    <w:p>
      <w:pPr>
        <w:spacing w:line="360" w:lineRule="auto"/>
        <w:ind w:right="-817" w:rightChars="-389"/>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p>
    <w:p>
      <w:pPr>
        <w:spacing w:line="360" w:lineRule="auto"/>
        <w:ind w:right="-817" w:rightChars="-389" w:firstLine="3240" w:firstLineChars="135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pPr>
        <w:spacing w:line="360" w:lineRule="auto"/>
        <w:ind w:right="-817" w:rightChars="-389" w:firstLine="3240" w:firstLineChars="135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pPr>
        <w:spacing w:line="360" w:lineRule="auto"/>
        <w:ind w:right="-817" w:rightChars="-389"/>
        <w:contextualSpacing/>
        <w:rPr>
          <w:rFonts w:hint="eastAsia" w:ascii="宋体" w:hAnsi="宋体" w:eastAsia="宋体" w:cs="宋体"/>
          <w:b/>
          <w:color w:val="auto"/>
          <w:sz w:val="32"/>
          <w:szCs w:val="32"/>
          <w:highlight w:val="non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rPr>
          <w:rFonts w:hint="eastAsia" w:ascii="宋体" w:hAnsi="宋体" w:eastAsia="宋体" w:cs="宋体"/>
          <w:color w:val="auto"/>
          <w:szCs w:val="21"/>
          <w:highlight w:val="none"/>
          <w:u w:val="single"/>
        </w:rPr>
      </w:pPr>
    </w:p>
    <w:p>
      <w:pPr>
        <w:adjustRightInd w:val="0"/>
        <w:snapToGrid w:val="0"/>
        <w:spacing w:line="30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Cs/>
          <w:color w:val="auto"/>
          <w:sz w:val="44"/>
          <w:szCs w:val="44"/>
          <w:highlight w:val="none"/>
        </w:rPr>
        <w:t>技术要求偏离表</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分标（如有）号：</w:t>
      </w:r>
    </w:p>
    <w:tbl>
      <w:tblPr>
        <w:tblStyle w:val="23"/>
        <w:tblW w:w="98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3"/>
        <w:gridCol w:w="2964"/>
        <w:gridCol w:w="16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谈判文件要求</w:t>
            </w: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竞标响应</w:t>
            </w:r>
          </w:p>
        </w:tc>
        <w:tc>
          <w:tcPr>
            <w:tcW w:w="1617"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1617"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992"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3293" w:type="dxa"/>
            <w:tcBorders>
              <w:lef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2964" w:type="dxa"/>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c>
          <w:tcPr>
            <w:tcW w:w="1617" w:type="dxa"/>
            <w:tcBorders>
              <w:right w:val="single" w:color="auto" w:sz="4" w:space="0"/>
            </w:tcBorders>
            <w:vAlign w:val="center"/>
          </w:tcPr>
          <w:p>
            <w:pPr>
              <w:pStyle w:val="12"/>
              <w:spacing w:line="360" w:lineRule="auto"/>
              <w:ind w:firstLine="0" w:firstLineChars="0"/>
              <w:jc w:val="center"/>
              <w:rPr>
                <w:rFonts w:hint="eastAsia" w:ascii="宋体" w:hAnsi="宋体" w:eastAsia="宋体" w:cs="宋体"/>
                <w:color w:val="auto"/>
                <w:kern w:val="2"/>
                <w:sz w:val="24"/>
                <w:szCs w:val="24"/>
                <w:highlight w:val="none"/>
              </w:rPr>
            </w:pPr>
          </w:p>
        </w:tc>
      </w:tr>
    </w:tbl>
    <w:p>
      <w:pPr>
        <w:pStyle w:val="12"/>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2"/>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说明：应对照谈判文件“第三章 采购需求”中的技术要求逐条实质性响应，并作出偏离说明。</w:t>
      </w:r>
    </w:p>
    <w:p>
      <w:pPr>
        <w:pStyle w:val="12"/>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2.供应商应根据竞标设备的性能指标，对照谈判文件要求，在“偏离说明”中注明“正偏离”、“负偏离”或者“无偏离”。既不属于“正偏离”也不属于“负偏离”即为“无偏离”。</w:t>
      </w:r>
    </w:p>
    <w:p>
      <w:pPr>
        <w:pStyle w:val="12"/>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其竞标响应有正偏离的，请在技术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pPr>
        <w:pStyle w:val="12"/>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如技术偏离表中的竞标响应与佐证材料不一致的，以佐证材料为准。</w:t>
      </w:r>
    </w:p>
    <w:p>
      <w:pPr>
        <w:pStyle w:val="12"/>
        <w:spacing w:line="360" w:lineRule="auto"/>
        <w:ind w:firstLine="0" w:firstLineChars="0"/>
        <w:contextualSpacing/>
        <w:rPr>
          <w:rFonts w:hint="eastAsia" w:ascii="宋体" w:hAnsi="宋体" w:eastAsia="宋体" w:cs="宋体"/>
          <w:color w:val="auto"/>
          <w:sz w:val="24"/>
          <w:szCs w:val="24"/>
          <w:highlight w:val="none"/>
        </w:rPr>
      </w:pPr>
    </w:p>
    <w:p>
      <w:pPr>
        <w:spacing w:line="360" w:lineRule="auto"/>
        <w:ind w:right="-817" w:rightChars="-389"/>
        <w:contextualSpacing/>
        <w:rPr>
          <w:rFonts w:hint="eastAsia" w:ascii="宋体" w:hAnsi="宋体" w:eastAsia="宋体" w:cs="宋体"/>
          <w:color w:val="auto"/>
          <w:sz w:val="24"/>
          <w:highlight w:val="none"/>
        </w:rPr>
      </w:pPr>
    </w:p>
    <w:p>
      <w:pPr>
        <w:spacing w:line="360" w:lineRule="auto"/>
        <w:ind w:right="-817" w:rightChars="-389"/>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法定代表人或者委托代理人（签字）：</w:t>
      </w:r>
    </w:p>
    <w:p>
      <w:pPr>
        <w:spacing w:line="360" w:lineRule="auto"/>
        <w:ind w:right="-817" w:rightChars="-389" w:firstLine="2880" w:firstLineChars="1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pPr>
        <w:spacing w:line="360" w:lineRule="auto"/>
        <w:ind w:right="-817" w:rightChars="-389" w:firstLine="2880" w:firstLineChars="1200"/>
        <w:contextualSpacing/>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   年   月   日</w:t>
      </w:r>
    </w:p>
    <w:p>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其他文书、文件格式</w:t>
      </w:r>
    </w:p>
    <w:p>
      <w:pPr>
        <w:adjustRightInd w:val="0"/>
        <w:snapToGrid w:val="0"/>
        <w:spacing w:line="300" w:lineRule="auto"/>
        <w:jc w:val="center"/>
        <w:rPr>
          <w:rFonts w:hint="eastAsia" w:ascii="宋体" w:hAnsi="宋体" w:eastAsia="宋体" w:cs="宋体"/>
          <w:bCs/>
          <w:color w:val="auto"/>
          <w:sz w:val="44"/>
          <w:szCs w:val="44"/>
          <w:highlight w:val="none"/>
        </w:rPr>
      </w:pPr>
      <w:bookmarkStart w:id="35" w:name="_Toc71365383"/>
      <w:bookmarkStart w:id="36" w:name="_Toc71366061"/>
      <w:r>
        <w:rPr>
          <w:rFonts w:hint="eastAsia" w:ascii="宋体" w:hAnsi="宋体" w:eastAsia="宋体" w:cs="宋体"/>
          <w:bCs/>
          <w:color w:val="auto"/>
          <w:sz w:val="44"/>
          <w:szCs w:val="44"/>
          <w:highlight w:val="none"/>
        </w:rPr>
        <w:t>中小企业声明函（货物）</w:t>
      </w:r>
      <w:bookmarkEnd w:id="35"/>
      <w:bookmarkEnd w:id="36"/>
    </w:p>
    <w:p>
      <w:pPr>
        <w:rPr>
          <w:rFonts w:hint="eastAsia" w:ascii="宋体" w:hAnsi="宋体" w:eastAsia="宋体" w:cs="宋体"/>
          <w:color w:val="auto"/>
          <w:highlight w:val="none"/>
        </w:rPr>
      </w:pPr>
    </w:p>
    <w:p>
      <w:pPr>
        <w:pStyle w:val="11"/>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pPr>
        <w:pStyle w:val="11"/>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11"/>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pStyle w:val="11"/>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11"/>
        <w:spacing w:after="0" w:line="360" w:lineRule="auto"/>
        <w:ind w:left="3960" w:right="1808"/>
        <w:contextualSpacing/>
        <w:rPr>
          <w:rFonts w:hint="eastAsia" w:ascii="宋体" w:hAnsi="宋体" w:eastAsia="宋体" w:cs="宋体"/>
          <w:color w:val="auto"/>
          <w:sz w:val="24"/>
          <w:highlight w:val="none"/>
        </w:rPr>
      </w:pPr>
    </w:p>
    <w:p>
      <w:pPr>
        <w:pStyle w:val="11"/>
        <w:spacing w:after="0" w:line="360" w:lineRule="auto"/>
        <w:ind w:left="3960" w:right="1808"/>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企业名称（章）： </w:t>
      </w:r>
    </w:p>
    <w:p>
      <w:pPr>
        <w:pStyle w:val="11"/>
        <w:spacing w:after="0" w:line="360" w:lineRule="auto"/>
        <w:ind w:left="3960" w:right="1808"/>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11"/>
        <w:spacing w:after="0" w:line="360" w:lineRule="auto"/>
        <w:ind w:left="3960" w:right="1808"/>
        <w:contextualSpacing/>
        <w:rPr>
          <w:rFonts w:hint="eastAsia" w:ascii="宋体" w:hAnsi="宋体" w:eastAsia="宋体" w:cs="宋体"/>
          <w:color w:val="auto"/>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hint="eastAsia" w:ascii="宋体" w:hAnsi="宋体" w:eastAsia="宋体" w:cs="宋体"/>
          <w:color w:val="auto"/>
          <w:sz w:val="24"/>
          <w:highlight w:val="none"/>
        </w:rPr>
      </w:pPr>
    </w:p>
    <w:p>
      <w:pPr>
        <w:spacing w:line="360" w:lineRule="auto"/>
        <w:contextualSpacing/>
        <w:jc w:val="center"/>
        <w:rPr>
          <w:rFonts w:hint="eastAsia" w:ascii="宋体" w:hAnsi="宋体" w:eastAsia="宋体" w:cs="宋体"/>
          <w:color w:val="auto"/>
          <w:sz w:val="24"/>
          <w:highlight w:val="none"/>
        </w:rPr>
      </w:pPr>
    </w:p>
    <w:p>
      <w:pPr>
        <w:pStyle w:val="14"/>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w:t>
      </w: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中小微企业划型标准</w:t>
      </w:r>
    </w:p>
    <w:p>
      <w:pPr>
        <w:ind w:left="1871"/>
        <w:rPr>
          <w:rFonts w:hint="eastAsia" w:ascii="宋体" w:hAnsi="宋体" w:eastAsia="宋体" w:cs="宋体"/>
          <w:color w:val="auto"/>
          <w:szCs w:val="21"/>
          <w:highlight w:val="none"/>
        </w:rPr>
      </w:pPr>
    </w:p>
    <w:tbl>
      <w:tblPr>
        <w:tblStyle w:val="2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spacing w:line="360" w:lineRule="auto"/>
        <w:ind w:firstLine="525" w:firstLineChars="250"/>
        <w:rPr>
          <w:rFonts w:hint="eastAsia" w:ascii="宋体" w:hAnsi="宋体" w:eastAsia="宋体" w:cs="宋体"/>
          <w:color w:val="auto"/>
          <w:szCs w:val="21"/>
          <w:highlight w:val="none"/>
        </w:rPr>
      </w:pP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44"/>
          <w:szCs w:val="44"/>
          <w:highlight w:val="none"/>
        </w:rPr>
        <w:t>残疾人福利性单位声明函</w:t>
      </w:r>
    </w:p>
    <w:p>
      <w:pPr>
        <w:spacing w:line="520" w:lineRule="exact"/>
        <w:rPr>
          <w:rFonts w:hint="eastAsia" w:ascii="宋体" w:hAnsi="宋体" w:eastAsia="宋体" w:cs="宋体"/>
          <w:color w:val="auto"/>
          <w:sz w:val="32"/>
          <w:szCs w:val="32"/>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spacing w:line="360" w:lineRule="auto"/>
        <w:ind w:firstLine="3600" w:firstLineChars="15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widowControl/>
        <w:spacing w:line="360" w:lineRule="auto"/>
        <w:jc w:val="center"/>
        <w:rPr>
          <w:rFonts w:hint="eastAsia" w:ascii="宋体" w:hAnsi="宋体" w:eastAsia="宋体" w:cs="宋体"/>
          <w:b/>
          <w:color w:val="auto"/>
          <w:sz w:val="30"/>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szCs w:val="44"/>
          <w:highlight w:val="none"/>
        </w:rPr>
        <w:t>质疑函</w:t>
      </w:r>
      <w:r>
        <w:rPr>
          <w:rFonts w:hint="eastAsia" w:ascii="宋体" w:hAnsi="宋体" w:eastAsia="宋体" w:cs="宋体"/>
          <w:color w:val="auto"/>
          <w:sz w:val="28"/>
          <w:szCs w:val="28"/>
          <w:highlight w:val="none"/>
        </w:rPr>
        <w:t>（格式）</w:t>
      </w:r>
    </w:p>
    <w:p>
      <w:pPr>
        <w:spacing w:line="360" w:lineRule="auto"/>
        <w:jc w:val="center"/>
        <w:rPr>
          <w:rFonts w:hint="eastAsia" w:ascii="宋体" w:hAnsi="宋体" w:eastAsia="宋体" w:cs="宋体"/>
          <w:b/>
          <w:bCs/>
          <w:color w:val="auto"/>
          <w:sz w:val="32"/>
          <w:szCs w:val="32"/>
          <w:highlight w:val="none"/>
        </w:rPr>
      </w:pPr>
    </w:p>
    <w:p>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p>
    <w:p>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p>
    <w:p>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p>
    <w:p>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p>
    <w:p>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4"/>
        <w:spacing w:line="360" w:lineRule="auto"/>
        <w:contextualSpacing/>
        <w:rPr>
          <w:rFonts w:hint="eastAsia" w:ascii="宋体" w:hAnsi="宋体" w:eastAsia="宋体" w:cs="宋体"/>
          <w:b/>
          <w:color w:val="auto"/>
          <w:sz w:val="24"/>
          <w:szCs w:val="24"/>
          <w:highlight w:val="none"/>
        </w:rPr>
      </w:pPr>
    </w:p>
    <w:p>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hint="eastAsia" w:ascii="宋体" w:hAnsi="宋体" w:eastAsia="宋体" w:cs="宋体"/>
          <w:b/>
          <w:color w:val="auto"/>
          <w:sz w:val="24"/>
          <w:szCs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投诉书</w:t>
      </w:r>
      <w:r>
        <w:rPr>
          <w:rFonts w:hint="eastAsia" w:ascii="宋体" w:hAnsi="宋体" w:eastAsia="宋体" w:cs="宋体"/>
          <w:color w:val="auto"/>
          <w:sz w:val="28"/>
          <w:szCs w:val="28"/>
          <w:highlight w:val="none"/>
        </w:rPr>
        <w:t>（格式）</w:t>
      </w:r>
    </w:p>
    <w:p>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授权代表：联系电话：</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联系人：联系电话：</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p>
    <w:p>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地址：邮编：</w:t>
      </w:r>
    </w:p>
    <w:p>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4"/>
        <w:spacing w:line="360" w:lineRule="auto"/>
        <w:ind w:left="23" w:leftChars="1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投诉人于年月日，向提出质疑，质疑事项为：</w:t>
      </w:r>
    </w:p>
    <w:p>
      <w:pPr>
        <w:pStyle w:val="14"/>
        <w:spacing w:line="360" w:lineRule="auto"/>
        <w:ind w:left="23" w:leftChars="11" w:firstLine="540" w:firstLineChars="225"/>
        <w:rPr>
          <w:rFonts w:hint="eastAsia" w:ascii="宋体" w:hAnsi="宋体" w:eastAsia="宋体" w:cs="宋体"/>
          <w:bCs/>
          <w:color w:val="auto"/>
          <w:sz w:val="24"/>
          <w:szCs w:val="24"/>
          <w:highlight w:val="none"/>
          <w:u w:val="single"/>
        </w:rPr>
      </w:pPr>
    </w:p>
    <w:p>
      <w:pPr>
        <w:pStyle w:val="14"/>
        <w:spacing w:line="360" w:lineRule="auto"/>
        <w:ind w:left="23" w:leftChars="11" w:firstLine="540" w:firstLineChars="225"/>
        <w:rPr>
          <w:rFonts w:hint="eastAsia" w:ascii="宋体" w:hAnsi="宋体" w:eastAsia="宋体" w:cs="宋体"/>
          <w:bCs/>
          <w:color w:val="auto"/>
          <w:sz w:val="24"/>
          <w:szCs w:val="24"/>
          <w:highlight w:val="none"/>
          <w:u w:val="single"/>
        </w:rPr>
      </w:pPr>
    </w:p>
    <w:p>
      <w:pPr>
        <w:pStyle w:val="14"/>
        <w:spacing w:line="360" w:lineRule="auto"/>
        <w:ind w:left="23" w:leftChars="11" w:firstLine="540" w:firstLineChars="225"/>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rPr>
        <w:t>年月日，</w:t>
      </w:r>
      <w:r>
        <w:rPr>
          <w:rFonts w:hint="eastAsia" w:ascii="宋体" w:hAnsi="宋体" w:eastAsia="宋体" w:cs="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p>
    <w:p>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p>
    <w:p>
      <w:pPr>
        <w:pStyle w:val="14"/>
        <w:spacing w:line="360" w:lineRule="auto"/>
        <w:ind w:left="25" w:leftChars="12" w:firstLine="472" w:firstLineChars="197"/>
        <w:rPr>
          <w:rFonts w:hint="eastAsia" w:ascii="宋体" w:hAnsi="宋体" w:eastAsia="宋体" w:cs="宋体"/>
          <w:color w:val="auto"/>
          <w:sz w:val="24"/>
          <w:szCs w:val="24"/>
          <w:highlight w:val="none"/>
        </w:rPr>
      </w:pPr>
    </w:p>
    <w:p>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p>
    <w:p>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p>
    <w:p>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p>
    <w:p>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pPr>
        <w:pStyle w:val="14"/>
        <w:spacing w:line="360" w:lineRule="auto"/>
        <w:ind w:left="25" w:leftChars="12" w:firstLine="352" w:firstLineChars="147"/>
        <w:rPr>
          <w:rFonts w:hint="eastAsia" w:ascii="宋体" w:hAnsi="宋体" w:eastAsia="宋体" w:cs="宋体"/>
          <w:color w:val="auto"/>
          <w:sz w:val="24"/>
          <w:szCs w:val="24"/>
          <w:highlight w:val="none"/>
        </w:rPr>
      </w:pP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4"/>
        <w:spacing w:line="360" w:lineRule="auto"/>
        <w:ind w:left="25" w:leftChars="12" w:firstLine="352" w:firstLineChars="147"/>
        <w:rPr>
          <w:rFonts w:hint="eastAsia" w:ascii="宋体" w:hAnsi="宋体" w:eastAsia="宋体" w:cs="宋体"/>
          <w:color w:val="auto"/>
          <w:sz w:val="24"/>
          <w:szCs w:val="24"/>
          <w:highlight w:val="none"/>
        </w:rPr>
      </w:pPr>
    </w:p>
    <w:p>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4"/>
        <w:spacing w:line="360" w:lineRule="auto"/>
        <w:ind w:left="25" w:leftChars="12" w:firstLine="472" w:firstLineChars="197"/>
        <w:rPr>
          <w:rFonts w:hint="eastAsia" w:ascii="宋体" w:hAnsi="宋体" w:eastAsia="宋体" w:cs="宋体"/>
          <w:color w:val="auto"/>
          <w:sz w:val="24"/>
          <w:szCs w:val="24"/>
          <w:highlight w:val="none"/>
        </w:rPr>
      </w:pPr>
    </w:p>
    <w:p>
      <w:pPr>
        <w:pStyle w:val="14"/>
        <w:snapToGrid w:val="0"/>
        <w:spacing w:line="360" w:lineRule="auto"/>
        <w:rPr>
          <w:rFonts w:hint="eastAsia" w:ascii="宋体" w:hAnsi="宋体" w:eastAsia="宋体" w:cs="宋体"/>
          <w:b/>
          <w:color w:val="auto"/>
          <w:sz w:val="24"/>
          <w:szCs w:val="24"/>
          <w:highlight w:val="none"/>
        </w:rPr>
      </w:pPr>
    </w:p>
    <w:p>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7" w:name="_Toc27822"/>
      <w:r>
        <w:rPr>
          <w:rFonts w:hint="eastAsia" w:ascii="宋体" w:hAnsi="宋体" w:eastAsia="宋体" w:cs="宋体"/>
          <w:color w:val="auto"/>
          <w:highlight w:val="none"/>
        </w:rPr>
        <w:t>第六章 合同文本</w:t>
      </w:r>
      <w:bookmarkEnd w:id="37"/>
    </w:p>
    <w:p>
      <w:pPr>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《政府采购合同》</w:t>
      </w:r>
    </w:p>
    <w:p>
      <w:pPr>
        <w:snapToGrid w:val="0"/>
        <w:spacing w:line="400" w:lineRule="exact"/>
        <w:ind w:right="480" w:firstLine="5250" w:firstLineChars="2500"/>
        <w:rPr>
          <w:rFonts w:hint="eastAsia" w:ascii="宋体" w:hAnsi="宋体" w:eastAsia="宋体" w:cs="宋体"/>
          <w:bCs/>
          <w:color w:val="auto"/>
          <w:szCs w:val="21"/>
          <w:highlight w:val="none"/>
        </w:rPr>
      </w:pPr>
    </w:p>
    <w:p>
      <w:pPr>
        <w:snapToGrid w:val="0"/>
        <w:spacing w:line="400" w:lineRule="exact"/>
        <w:ind w:right="480" w:firstLine="5250" w:firstLineChars="25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pPr>
        <w:snapToGrid w:val="0"/>
        <w:spacing w:line="400" w:lineRule="exact"/>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采购人（甲方）：  采购计划号：</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供应商（乙方）：</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  项目编号：</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签订地点：  签订时间：</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本合同为中小企业预留合同：（是/否）</w:t>
      </w:r>
    </w:p>
    <w:p>
      <w:pPr>
        <w:snapToGrid w:val="0"/>
        <w:spacing w:line="360" w:lineRule="auto"/>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根据《中华人民共和国政府采购法》、《中华人民共和国民法典》等法律、法规规定，按照竞争性谈判文件规定条款和成交供应商承诺，甲乙双方签订本合同。</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第一条　合同标的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1.供货一览表</w:t>
      </w:r>
    </w:p>
    <w:tbl>
      <w:tblPr>
        <w:tblStyle w:val="23"/>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33"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105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商标品牌</w:t>
            </w:r>
          </w:p>
        </w:tc>
        <w:tc>
          <w:tcPr>
            <w:tcW w:w="1233"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10"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生产厂家</w:t>
            </w:r>
          </w:p>
        </w:tc>
        <w:tc>
          <w:tcPr>
            <w:tcW w:w="73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9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14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59"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10" w:type="dxa"/>
          </w:tcPr>
          <w:p>
            <w:pPr>
              <w:snapToGrid w:val="0"/>
              <w:spacing w:line="360" w:lineRule="auto"/>
              <w:jc w:val="center"/>
              <w:rPr>
                <w:rFonts w:hint="eastAsia" w:ascii="宋体" w:hAnsi="宋体" w:eastAsia="宋体" w:cs="宋体"/>
                <w:color w:val="auto"/>
                <w:sz w:val="24"/>
                <w:highlight w:val="none"/>
              </w:rPr>
            </w:pPr>
          </w:p>
        </w:tc>
        <w:tc>
          <w:tcPr>
            <w:tcW w:w="737" w:type="dxa"/>
          </w:tcPr>
          <w:p>
            <w:pPr>
              <w:snapToGrid w:val="0"/>
              <w:spacing w:line="360" w:lineRule="auto"/>
              <w:jc w:val="center"/>
              <w:rPr>
                <w:rFonts w:hint="eastAsia" w:ascii="宋体" w:hAnsi="宋体" w:eastAsia="宋体" w:cs="宋体"/>
                <w:color w:val="auto"/>
                <w:sz w:val="24"/>
                <w:highlight w:val="none"/>
              </w:rPr>
            </w:pPr>
          </w:p>
        </w:tc>
        <w:tc>
          <w:tcPr>
            <w:tcW w:w="735" w:type="dxa"/>
          </w:tcPr>
          <w:p>
            <w:pPr>
              <w:snapToGrid w:val="0"/>
              <w:spacing w:line="360" w:lineRule="auto"/>
              <w:jc w:val="center"/>
              <w:rPr>
                <w:rFonts w:hint="eastAsia" w:ascii="宋体" w:hAnsi="宋体" w:eastAsia="宋体" w:cs="宋体"/>
                <w:color w:val="auto"/>
                <w:sz w:val="24"/>
                <w:highlight w:val="none"/>
              </w:rPr>
            </w:pPr>
          </w:p>
        </w:tc>
        <w:tc>
          <w:tcPr>
            <w:tcW w:w="1095" w:type="dxa"/>
            <w:vAlign w:val="center"/>
          </w:tcPr>
          <w:p>
            <w:pPr>
              <w:snapToGrid w:val="0"/>
              <w:spacing w:line="360" w:lineRule="auto"/>
              <w:jc w:val="center"/>
              <w:rPr>
                <w:rFonts w:hint="eastAsia" w:ascii="宋体" w:hAnsi="宋体" w:eastAsia="宋体" w:cs="宋体"/>
                <w:color w:val="auto"/>
                <w:sz w:val="24"/>
                <w:highlight w:val="none"/>
              </w:rPr>
            </w:pPr>
          </w:p>
        </w:tc>
        <w:tc>
          <w:tcPr>
            <w:tcW w:w="1145"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59"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10" w:type="dxa"/>
          </w:tcPr>
          <w:p>
            <w:pPr>
              <w:snapToGrid w:val="0"/>
              <w:spacing w:line="360" w:lineRule="auto"/>
              <w:jc w:val="center"/>
              <w:rPr>
                <w:rFonts w:hint="eastAsia" w:ascii="宋体" w:hAnsi="宋体" w:eastAsia="宋体" w:cs="宋体"/>
                <w:color w:val="auto"/>
                <w:sz w:val="24"/>
                <w:highlight w:val="none"/>
              </w:rPr>
            </w:pPr>
          </w:p>
        </w:tc>
        <w:tc>
          <w:tcPr>
            <w:tcW w:w="737" w:type="dxa"/>
          </w:tcPr>
          <w:p>
            <w:pPr>
              <w:snapToGrid w:val="0"/>
              <w:spacing w:line="360" w:lineRule="auto"/>
              <w:jc w:val="center"/>
              <w:rPr>
                <w:rFonts w:hint="eastAsia" w:ascii="宋体" w:hAnsi="宋体" w:eastAsia="宋体" w:cs="宋体"/>
                <w:color w:val="auto"/>
                <w:sz w:val="24"/>
                <w:highlight w:val="none"/>
              </w:rPr>
            </w:pPr>
          </w:p>
        </w:tc>
        <w:tc>
          <w:tcPr>
            <w:tcW w:w="735" w:type="dxa"/>
          </w:tcPr>
          <w:p>
            <w:pPr>
              <w:snapToGrid w:val="0"/>
              <w:spacing w:line="360" w:lineRule="auto"/>
              <w:jc w:val="center"/>
              <w:rPr>
                <w:rFonts w:hint="eastAsia" w:ascii="宋体" w:hAnsi="宋体" w:eastAsia="宋体" w:cs="宋体"/>
                <w:color w:val="auto"/>
                <w:sz w:val="24"/>
                <w:highlight w:val="none"/>
              </w:rPr>
            </w:pPr>
          </w:p>
        </w:tc>
        <w:tc>
          <w:tcPr>
            <w:tcW w:w="1095" w:type="dxa"/>
            <w:vAlign w:val="center"/>
          </w:tcPr>
          <w:p>
            <w:pPr>
              <w:snapToGrid w:val="0"/>
              <w:spacing w:line="360" w:lineRule="auto"/>
              <w:jc w:val="center"/>
              <w:rPr>
                <w:rFonts w:hint="eastAsia" w:ascii="宋体" w:hAnsi="宋体" w:eastAsia="宋体" w:cs="宋体"/>
                <w:color w:val="auto"/>
                <w:sz w:val="24"/>
                <w:highlight w:val="none"/>
              </w:rPr>
            </w:pPr>
          </w:p>
        </w:tc>
        <w:tc>
          <w:tcPr>
            <w:tcW w:w="1145"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59"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10" w:type="dxa"/>
          </w:tcPr>
          <w:p>
            <w:pPr>
              <w:snapToGrid w:val="0"/>
              <w:spacing w:line="360" w:lineRule="auto"/>
              <w:jc w:val="center"/>
              <w:rPr>
                <w:rFonts w:hint="eastAsia" w:ascii="宋体" w:hAnsi="宋体" w:eastAsia="宋体" w:cs="宋体"/>
                <w:color w:val="auto"/>
                <w:sz w:val="24"/>
                <w:highlight w:val="none"/>
              </w:rPr>
            </w:pPr>
          </w:p>
        </w:tc>
        <w:tc>
          <w:tcPr>
            <w:tcW w:w="737" w:type="dxa"/>
          </w:tcPr>
          <w:p>
            <w:pPr>
              <w:snapToGrid w:val="0"/>
              <w:spacing w:line="360" w:lineRule="auto"/>
              <w:jc w:val="center"/>
              <w:rPr>
                <w:rFonts w:hint="eastAsia" w:ascii="宋体" w:hAnsi="宋体" w:eastAsia="宋体" w:cs="宋体"/>
                <w:color w:val="auto"/>
                <w:sz w:val="24"/>
                <w:highlight w:val="none"/>
              </w:rPr>
            </w:pPr>
          </w:p>
        </w:tc>
        <w:tc>
          <w:tcPr>
            <w:tcW w:w="735" w:type="dxa"/>
          </w:tcPr>
          <w:p>
            <w:pPr>
              <w:snapToGrid w:val="0"/>
              <w:spacing w:line="360" w:lineRule="auto"/>
              <w:jc w:val="center"/>
              <w:rPr>
                <w:rFonts w:hint="eastAsia" w:ascii="宋体" w:hAnsi="宋体" w:eastAsia="宋体" w:cs="宋体"/>
                <w:color w:val="auto"/>
                <w:sz w:val="24"/>
                <w:highlight w:val="none"/>
              </w:rPr>
            </w:pPr>
          </w:p>
        </w:tc>
        <w:tc>
          <w:tcPr>
            <w:tcW w:w="1095" w:type="dxa"/>
            <w:vAlign w:val="center"/>
          </w:tcPr>
          <w:p>
            <w:pPr>
              <w:snapToGrid w:val="0"/>
              <w:spacing w:line="360" w:lineRule="auto"/>
              <w:jc w:val="center"/>
              <w:rPr>
                <w:rFonts w:hint="eastAsia" w:ascii="宋体" w:hAnsi="宋体" w:eastAsia="宋体" w:cs="宋体"/>
                <w:color w:val="auto"/>
                <w:sz w:val="24"/>
                <w:highlight w:val="none"/>
              </w:rPr>
            </w:pPr>
          </w:p>
        </w:tc>
        <w:tc>
          <w:tcPr>
            <w:tcW w:w="1145" w:type="dxa"/>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人民币合计金额（大写）                          （小写）                 </w:t>
            </w:r>
          </w:p>
        </w:tc>
      </w:tr>
    </w:tbl>
    <w:p>
      <w:pPr>
        <w:snapToGrid w:val="0"/>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第二条　质量要求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2.乙方所提供的货物必须是全新、未使用的原装产品，且在正常安装、使用和保养条件下，其使用寿命期内各项指标均达到竞争性谈判文件规定或者响应文件承诺的质量要求。</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第三条　权利保证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1.乙方应保证所提供货物在使用时不会侵犯任何第三方的专利权、商标权、工业设计权或者其他权利。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2.乙方应按竞争性谈判文件规定或者响应文件承诺的时间向甲方提供使用货物的有关技术资料。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4.乙方保证将要交付的货物的所有权完全属于乙方且无任何抵押、质押、查封等产权瑕疵。</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　包装和运输</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1.乙方提供的货物均应按竞争性谈判文件规定或者响应文件承诺的要求的包装材料、包装标准、包装方式进行包装，每一包装单元内应附详细的装箱单和质量合格证。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2.货物的运输方式：。</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3.乙方负责货物运输，货物运输合理损耗及计算方法：。</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第五条　交付和验收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1.交付时间：；交付地点：。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2.乙方提供不符合竞争性谈判文件规定或者响应文件承诺的和本合同规定的货物，甲方有权拒绝接受。</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4.甲方应当在到货（安装、调试完）后七个工作日内进行验收，逾期不验收的，乙方可视同验收合格。验收合格后由甲乙双方签署货物验收单并加盖甲方公章，甲乙双方各执一份。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6.甲方对验收有异议的，在验收后五个工作日内以书面形式向乙方提出，乙方应自收到甲方书面异议后日内及时予以解决。</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第六条　安装和培训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1.甲方应提供必要安装条件（如场地、电源、水源等）。</w:t>
      </w:r>
    </w:p>
    <w:p>
      <w:pPr>
        <w:snapToGrid w:val="0"/>
        <w:spacing w:line="360" w:lineRule="auto"/>
        <w:ind w:firstLine="436" w:firstLineChars="200"/>
        <w:rPr>
          <w:rFonts w:hint="eastAsia" w:ascii="宋体" w:hAnsi="宋体" w:eastAsia="宋体" w:cs="宋体"/>
          <w:color w:val="auto"/>
          <w:spacing w:val="-11"/>
          <w:sz w:val="24"/>
          <w:highlight w:val="none"/>
          <w:u w:val="single"/>
        </w:rPr>
      </w:pPr>
      <w:r>
        <w:rPr>
          <w:rFonts w:hint="eastAsia" w:ascii="宋体" w:hAnsi="宋体" w:eastAsia="宋体" w:cs="宋体"/>
          <w:color w:val="auto"/>
          <w:spacing w:val="-11"/>
          <w:sz w:val="24"/>
          <w:highlight w:val="none"/>
        </w:rPr>
        <w:t>2.乙方响应文件承诺负责甲方有关人员的培训。培训时间、地点：。</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  售后服务、保修期</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1.乙方应按照国家有关法律法规和“三包”规定以及本合同所附的《服务承诺》，为甲方提供售后服务。</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2.货物保修期：。</w:t>
      </w:r>
    </w:p>
    <w:p>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3.乙方提供的服务承诺和售后服务及保修期责任等其它具体约定事项。（见合同附件）</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第八条　付款方式</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.当采购数量与实际使用数量不一致时，乙方应根据实际使用量供货，合同的最终结算金额按实际使用量乘以成交单价进行计算，但不得超出合同价的10%。</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付款方式：</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line="360" w:lineRule="auto"/>
        <w:ind w:left="-61" w:firstLine="51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九</w:t>
      </w:r>
      <w:r>
        <w:rPr>
          <w:rFonts w:hint="eastAsia" w:ascii="宋体" w:hAnsi="宋体" w:eastAsia="宋体" w:cs="宋体"/>
          <w:b/>
          <w:color w:val="auto"/>
          <w:sz w:val="24"/>
          <w:highlight w:val="none"/>
        </w:rPr>
        <w:t>条  履约保证金</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1.本合同签订后5个工作日内，乙方应向甲方支付合同总价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%的履约保证金，作为乙方认真履行合同条款的保证。 </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p>
    <w:p>
      <w:pPr>
        <w:snapToGrid w:val="0"/>
        <w:spacing w:line="360" w:lineRule="auto"/>
        <w:ind w:left="-61" w:firstLine="51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  税费</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本合同执行中相关的一切税费均由乙方负担，合同另有约定的除外。</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第十一条  质量保证及售后服务</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乙方应按竞争性谈判文件规定的产品名称、商标品牌、生产厂家、规格型号、技术参数、质量标准向甲方提供未经使用的全新产品。不符合要求的，根据实际情况，经双方协商，可按以下办法处理：</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pPr>
        <w:pStyle w:val="14"/>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pStyle w:val="14"/>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2.如在使用过程中发生质量问题，乙方在接到甲方通知后到达甲方现场处理的时间（</w:t>
      </w:r>
      <w:r>
        <w:rPr>
          <w:rFonts w:hint="eastAsia" w:ascii="宋体" w:hAnsi="宋体" w:eastAsia="宋体" w:cs="宋体"/>
          <w:color w:val="auto"/>
          <w:sz w:val="24"/>
          <w:szCs w:val="24"/>
          <w:highlight w:val="none"/>
          <w:u w:val="single"/>
        </w:rPr>
        <w:t>按响应文件承诺的数据填写</w:t>
      </w:r>
      <w:r>
        <w:rPr>
          <w:rFonts w:hint="eastAsia" w:ascii="宋体" w:hAnsi="宋体" w:eastAsia="宋体" w:cs="宋体"/>
          <w:color w:val="auto"/>
          <w:sz w:val="24"/>
          <w:szCs w:val="24"/>
          <w:highlight w:val="none"/>
        </w:rPr>
        <w:t>）小时内。</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3.在保修期内，乙方应对货物出现的质量及安全问题负责处理解决并承担一切费用。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4.上述的货物保修期为年，因人为因素出现的故障不在免费保修范围内。超过保修期的机器设备，终生维修，维修时只收部件成本费。</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  调试和验收</w:t>
      </w:r>
    </w:p>
    <w:p>
      <w:pPr>
        <w:pStyle w:val="14"/>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4.对技术复杂的货物，甲方应请国家认可的专业检测机构参与初步验收及最终验收，并由其出具质量检测报告。</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5.验收时乙方必须在现场，验收完毕后作出验收结果报告；验收费用按竞争性谈判文件约定承担方负责。</w:t>
      </w:r>
    </w:p>
    <w:p>
      <w:pPr>
        <w:pStyle w:val="14"/>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第十三条  货物包装、发运及运输</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2.使用说明书（货物属于进口产品的，供货时应同时附上中文使用说明书）、质量检验证明书、随配附件和工具以及清单一并附于货物内。</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3.乙方在货物发运手续办理完毕后二十四小时内或者货到甲方四十八小时前通知甲方，以准备接货。</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4.货物在交付甲方前发生的风险均由乙方负责。</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5.货物在规定的交付期限内由乙方送达甲方指定的地点视为交付，乙方同时需通知甲方货物已送达。</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第十四条　违约责任</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2.乙方提供的货物如侵犯了第三方合法权益而引发的任何纠纷或者诉讼，均由乙方负责交涉并承担全部责任。</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3.因包装、运输引起的货物损坏，按质量不合格处罚。</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5.乙方未按本合同和响应文件中规定的服务承诺提供售后服务的，乙方应按本合同合计金额 5%向甲方支付违约金。</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6.乙方提供的货物在保修期内，因设计、工艺或者材料的缺陷和其它质量原因造成的问题，由乙方负责，费用从余款或者履约保证金中扣除，不足另补。</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7.甲乙双方有其它违约行为的，由违约方向对方支付违约内容涉及货款额的5%，违约内容涉及货款额的5%不足以赔偿经济损失的按实际赔偿。</w:t>
      </w:r>
    </w:p>
    <w:p>
      <w:pPr>
        <w:pStyle w:val="14"/>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不可抗力事件处理</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3.不可抗力事件延续一百二十天以上，双方应通过友好协商，确定是否继续履行合同。</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第十六条  合同争议解决</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2.因履行本合同引起的或者与本合同有关的争议，甲乙双方应首先通过友好协商解决，如果协商不能解决，可向甲方所在地人民法院提起诉讼。</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3.诉讼期间，本合同继续履行。</w:t>
      </w:r>
    </w:p>
    <w:p>
      <w:pPr>
        <w:pStyle w:val="14"/>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  合同生效及其它</w:t>
      </w:r>
    </w:p>
    <w:p>
      <w:pPr>
        <w:pStyle w:val="14"/>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合同经双方法定代表人或者委托代理人签字并加盖单位公章后生效（委托代理人签字的需后附授权委托书，格式自拟）。</w:t>
      </w:r>
    </w:p>
    <w:p>
      <w:pPr>
        <w:pStyle w:val="14"/>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2.合同执行中涉及采购资金和采购内容修改或者补充的，须经财政部门审批，并签书面补充协议报财政部门备案，方可作为主合同不可分割的一部分。</w:t>
      </w:r>
    </w:p>
    <w:p>
      <w:pPr>
        <w:pStyle w:val="14"/>
        <w:snapToGrid w:val="0"/>
        <w:spacing w:line="360" w:lineRule="auto"/>
        <w:ind w:left="283" w:leftChars="135" w:firstLine="14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3.本合同未尽事宜，遵照《中华人民共和国民法典》有关条文执行。</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第十八条　合同的变更、终止与转让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1.除《中华人民共和国政府采购法》第五十条规定的情形外，本合同一经签订，甲乙双方不得擅自变更、中止或者终止。</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2.乙方不得擅自转让（无进口资格的供应商委托进口货物除外）其应履行的合同义务。</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第十九条　</w:t>
      </w:r>
      <w:r>
        <w:rPr>
          <w:rFonts w:hint="eastAsia" w:ascii="宋体" w:hAnsi="宋体" w:eastAsia="宋体" w:cs="宋体"/>
          <w:b/>
          <w:bCs/>
          <w:color w:val="auto"/>
          <w:kern w:val="0"/>
          <w:sz w:val="24"/>
          <w:highlight w:val="none"/>
        </w:rPr>
        <w:t>本合同书与下列文件一起构成合同文件</w:t>
      </w:r>
    </w:p>
    <w:p>
      <w:pPr>
        <w:pStyle w:val="14"/>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pPr>
        <w:pStyle w:val="14"/>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2.竞标声明书；</w:t>
      </w:r>
    </w:p>
    <w:p>
      <w:pPr>
        <w:pStyle w:val="14"/>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3.商务要求偏离表和技术要求偏离表；</w:t>
      </w:r>
    </w:p>
    <w:p>
      <w:pPr>
        <w:pStyle w:val="14"/>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pPr>
        <w:pStyle w:val="14"/>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5.竞标报价表；</w:t>
      </w:r>
    </w:p>
    <w:p>
      <w:pPr>
        <w:pStyle w:val="14"/>
        <w:snapToGri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6.其他合同文件。</w:t>
      </w:r>
    </w:p>
    <w:p>
      <w:pPr>
        <w:pStyle w:val="14"/>
        <w:snapToGrid w:val="0"/>
        <w:spacing w:line="360" w:lineRule="auto"/>
        <w:ind w:firstLine="424" w:firstLineChars="177"/>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7.上述合同文件互相补充和解释。如果合同文件之间存在矛盾或者不一致之处，以上述文件的排列顺序在先者为准。</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第二十条　</w:t>
      </w:r>
      <w:r>
        <w:rPr>
          <w:rFonts w:hint="eastAsia" w:ascii="宋体" w:hAnsi="宋体" w:eastAsia="宋体" w:cs="宋体"/>
          <w:color w:val="auto"/>
          <w:sz w:val="24"/>
          <w:highlight w:val="none"/>
        </w:rPr>
        <w:t>本合同一式四份，具有同等法律效力，财政部门（政府采购监管部门）、采购代理机构各一份，甲乙双方各一份（可根据需要另增加）。</w:t>
      </w:r>
    </w:p>
    <w:p>
      <w:pPr>
        <w:snapToGrid w:val="0"/>
        <w:spacing w:line="360" w:lineRule="auto"/>
        <w:ind w:left="-61" w:firstLine="514"/>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本合同甲乙双方签字盖章后生效，自签订之日起七个工作日内，甲方应当将合同副本报同级财政部门备案。</w:t>
      </w:r>
    </w:p>
    <w:p>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rPr>
        <w:t>本合同自签订之日起2个工作日内，甲方应当将采购合同在同级财政部门指定的媒体上公告。</w:t>
      </w:r>
    </w:p>
    <w:p>
      <w:pPr>
        <w:snapToGrid w:val="0"/>
        <w:spacing w:line="360" w:lineRule="auto"/>
        <w:rPr>
          <w:rFonts w:hint="eastAsia" w:ascii="宋体" w:hAnsi="宋体" w:eastAsia="宋体" w:cs="宋体"/>
          <w:color w:val="auto"/>
          <w:sz w:val="24"/>
          <w:highlight w:val="none"/>
        </w:rPr>
      </w:pPr>
    </w:p>
    <w:tbl>
      <w:tblPr>
        <w:tblStyle w:val="23"/>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甲方（章）           </w:t>
            </w:r>
          </w:p>
          <w:p>
            <w:pPr>
              <w:snapToGrid w:val="0"/>
              <w:spacing w:line="360" w:lineRule="auto"/>
              <w:rPr>
                <w:rFonts w:hint="eastAsia" w:ascii="宋体" w:hAnsi="宋体" w:eastAsia="宋体" w:cs="宋体"/>
                <w:color w:val="auto"/>
                <w:sz w:val="24"/>
                <w:highlight w:val="none"/>
              </w:rPr>
            </w:pPr>
          </w:p>
          <w:p>
            <w:pPr>
              <w:snapToGrid w:val="0"/>
              <w:spacing w:line="360" w:lineRule="auto"/>
              <w:ind w:firstLine="1080" w:firstLineChars="4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乙方（章）              </w:t>
            </w:r>
          </w:p>
          <w:p>
            <w:pPr>
              <w:snapToGrid w:val="0"/>
              <w:spacing w:line="360" w:lineRule="auto"/>
              <w:rPr>
                <w:rFonts w:hint="eastAsia" w:ascii="宋体" w:hAnsi="宋体" w:eastAsia="宋体" w:cs="宋体"/>
                <w:color w:val="auto"/>
                <w:sz w:val="24"/>
                <w:highlight w:val="none"/>
              </w:rPr>
            </w:pPr>
          </w:p>
          <w:p>
            <w:pPr>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单位地址：</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p>
        </w:tc>
        <w:tc>
          <w:tcPr>
            <w:tcW w:w="4517" w:type="dxa"/>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451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r>
    </w:tbl>
    <w:p>
      <w:pPr>
        <w:spacing w:line="480" w:lineRule="auto"/>
        <w:jc w:val="center"/>
        <w:rPr>
          <w:rFonts w:hint="eastAsia" w:ascii="宋体" w:hAnsi="宋体" w:cs="宋体"/>
          <w:b/>
          <w:color w:val="auto"/>
          <w:kern w:val="1"/>
          <w:sz w:val="28"/>
          <w:szCs w:val="28"/>
          <w:highlight w:val="none"/>
        </w:rPr>
      </w:pPr>
    </w:p>
    <w:p>
      <w:pPr>
        <w:spacing w:line="480" w:lineRule="auto"/>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合 同 附 件</w:t>
      </w:r>
    </w:p>
    <w:tbl>
      <w:tblPr>
        <w:tblStyle w:val="23"/>
        <w:tblW w:w="9376" w:type="dxa"/>
        <w:jc w:val="center"/>
        <w:tblLayout w:type="fixed"/>
        <w:tblCellMar>
          <w:top w:w="0" w:type="dxa"/>
          <w:left w:w="108" w:type="dxa"/>
          <w:bottom w:w="0" w:type="dxa"/>
          <w:right w:w="108" w:type="dxa"/>
        </w:tblCellMar>
      </w:tblPr>
      <w:tblGrid>
        <w:gridCol w:w="4742"/>
        <w:gridCol w:w="4634"/>
      </w:tblGrid>
      <w:tr>
        <w:tblPrEx>
          <w:tblCellMar>
            <w:top w:w="0" w:type="dxa"/>
            <w:left w:w="108" w:type="dxa"/>
            <w:bottom w:w="0" w:type="dxa"/>
            <w:right w:w="108" w:type="dxa"/>
          </w:tblCellMar>
        </w:tblPrEx>
        <w:trPr>
          <w:trHeight w:val="102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1、供应商承诺具体事项：</w:t>
            </w:r>
          </w:p>
        </w:tc>
      </w:tr>
      <w:tr>
        <w:tblPrEx>
          <w:tblCellMar>
            <w:top w:w="0" w:type="dxa"/>
            <w:left w:w="108" w:type="dxa"/>
            <w:bottom w:w="0" w:type="dxa"/>
            <w:right w:w="108" w:type="dxa"/>
          </w:tblCellMar>
        </w:tblPrEx>
        <w:trPr>
          <w:trHeight w:val="969"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2、售后服务具体事项：</w:t>
            </w:r>
          </w:p>
        </w:tc>
      </w:tr>
      <w:tr>
        <w:tblPrEx>
          <w:tblCellMar>
            <w:top w:w="0" w:type="dxa"/>
            <w:left w:w="108" w:type="dxa"/>
            <w:bottom w:w="0" w:type="dxa"/>
            <w:right w:w="108" w:type="dxa"/>
          </w:tblCellMar>
        </w:tblPrEx>
        <w:trPr>
          <w:trHeight w:val="1024"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3、保修期责任：</w:t>
            </w:r>
          </w:p>
        </w:tc>
      </w:tr>
      <w:tr>
        <w:tblPrEx>
          <w:tblCellMar>
            <w:top w:w="0" w:type="dxa"/>
            <w:left w:w="108" w:type="dxa"/>
            <w:bottom w:w="0" w:type="dxa"/>
            <w:right w:w="108" w:type="dxa"/>
          </w:tblCellMar>
        </w:tblPrEx>
        <w:trPr>
          <w:trHeight w:val="931" w:hRule="atLeast"/>
          <w:jc w:val="center"/>
        </w:trPr>
        <w:tc>
          <w:tcPr>
            <w:tcW w:w="9376" w:type="dxa"/>
            <w:gridSpan w:val="2"/>
            <w:tcBorders>
              <w:top w:val="single" w:color="000000" w:sz="4" w:space="0"/>
              <w:left w:val="single" w:color="000000" w:sz="4" w:space="0"/>
              <w:bottom w:val="single" w:color="000000" w:sz="4" w:space="0"/>
              <w:right w:val="single" w:color="000000" w:sz="4" w:space="0"/>
            </w:tcBorders>
            <w:vAlign w:val="top"/>
          </w:tcPr>
          <w:p>
            <w:pPr>
              <w:spacing w:line="36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4、其他具体事项：</w:t>
            </w:r>
          </w:p>
        </w:tc>
      </w:tr>
      <w:tr>
        <w:tblPrEx>
          <w:tblCellMar>
            <w:top w:w="0" w:type="dxa"/>
            <w:left w:w="108" w:type="dxa"/>
            <w:bottom w:w="0" w:type="dxa"/>
            <w:right w:w="108" w:type="dxa"/>
          </w:tblCellMar>
        </w:tblPrEx>
        <w:trPr>
          <w:trHeight w:val="1164" w:hRule="atLeast"/>
          <w:jc w:val="center"/>
        </w:trPr>
        <w:tc>
          <w:tcPr>
            <w:tcW w:w="474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甲方（章）</w:t>
            </w:r>
          </w:p>
          <w:p>
            <w:pPr>
              <w:spacing w:line="360" w:lineRule="exact"/>
              <w:ind w:firstLine="422"/>
              <w:rPr>
                <w:rFonts w:hint="eastAsia" w:ascii="宋体" w:hAnsi="宋体" w:cs="宋体"/>
                <w:color w:val="auto"/>
                <w:kern w:val="1"/>
                <w:sz w:val="24"/>
                <w:szCs w:val="24"/>
                <w:highlight w:val="none"/>
              </w:rPr>
            </w:pPr>
          </w:p>
          <w:p>
            <w:pPr>
              <w:spacing w:line="360" w:lineRule="exact"/>
              <w:ind w:firstLine="422"/>
              <w:rPr>
                <w:rFonts w:hint="eastAsia" w:ascii="宋体" w:hAnsi="宋体" w:cs="宋体"/>
                <w:color w:val="auto"/>
                <w:kern w:val="1"/>
                <w:sz w:val="24"/>
                <w:szCs w:val="24"/>
                <w:highlight w:val="none"/>
              </w:rPr>
            </w:pPr>
          </w:p>
          <w:p>
            <w:pPr>
              <w:spacing w:line="360" w:lineRule="exact"/>
              <w:ind w:firstLine="422"/>
              <w:rPr>
                <w:rFonts w:hint="eastAsia" w:ascii="宋体" w:hAnsi="宋体" w:cs="宋体"/>
                <w:color w:val="auto"/>
                <w:kern w:val="1"/>
                <w:sz w:val="24"/>
                <w:szCs w:val="24"/>
                <w:highlight w:val="none"/>
              </w:rPr>
            </w:pPr>
          </w:p>
          <w:p>
            <w:pPr>
              <w:spacing w:line="360" w:lineRule="exact"/>
              <w:ind w:firstLine="422"/>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                      年   月   日 </w:t>
            </w:r>
          </w:p>
        </w:tc>
        <w:tc>
          <w:tcPr>
            <w:tcW w:w="463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乙方（章）</w:t>
            </w:r>
          </w:p>
          <w:p>
            <w:pPr>
              <w:spacing w:line="360" w:lineRule="exact"/>
              <w:ind w:firstLine="422"/>
              <w:rPr>
                <w:rFonts w:hint="eastAsia" w:ascii="宋体" w:hAnsi="宋体" w:cs="宋体"/>
                <w:color w:val="auto"/>
                <w:kern w:val="1"/>
                <w:sz w:val="24"/>
                <w:szCs w:val="24"/>
                <w:highlight w:val="none"/>
              </w:rPr>
            </w:pPr>
          </w:p>
          <w:p>
            <w:pPr>
              <w:spacing w:line="360" w:lineRule="exact"/>
              <w:ind w:firstLine="422"/>
              <w:rPr>
                <w:rFonts w:hint="eastAsia" w:ascii="宋体" w:hAnsi="宋体" w:cs="宋体"/>
                <w:color w:val="auto"/>
                <w:kern w:val="1"/>
                <w:sz w:val="24"/>
                <w:szCs w:val="24"/>
                <w:highlight w:val="none"/>
              </w:rPr>
            </w:pPr>
          </w:p>
          <w:p>
            <w:pPr>
              <w:spacing w:line="360" w:lineRule="exact"/>
              <w:ind w:firstLine="422"/>
              <w:rPr>
                <w:rFonts w:hint="eastAsia" w:ascii="宋体" w:hAnsi="宋体" w:cs="宋体"/>
                <w:color w:val="auto"/>
                <w:kern w:val="1"/>
                <w:sz w:val="24"/>
                <w:szCs w:val="24"/>
                <w:highlight w:val="none"/>
              </w:rPr>
            </w:pPr>
          </w:p>
          <w:p>
            <w:pPr>
              <w:spacing w:line="360" w:lineRule="exact"/>
              <w:ind w:firstLine="422"/>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                       年   月   日</w:t>
            </w:r>
          </w:p>
        </w:tc>
      </w:tr>
    </w:tbl>
    <w:p>
      <w:pPr>
        <w:spacing w:line="360" w:lineRule="exac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注：售后服务事项填不下时可另加附页。</w:t>
      </w:r>
    </w:p>
    <w:p>
      <w:pPr>
        <w:tabs>
          <w:tab w:val="left" w:pos="5040"/>
        </w:tabs>
        <w:spacing w:line="400" w:lineRule="exact"/>
        <w:ind w:firstLine="420" w:firstLineChars="200"/>
        <w:rPr>
          <w:rFonts w:hint="eastAsia" w:ascii="宋体" w:hAnsi="宋体" w:cs="宋体"/>
          <w:color w:val="auto"/>
          <w:szCs w:val="21"/>
          <w:highlight w:val="none"/>
        </w:rPr>
      </w:pPr>
    </w:p>
    <w:p>
      <w:pPr>
        <w:snapToGrid w:val="0"/>
        <w:spacing w:line="360" w:lineRule="auto"/>
        <w:rPr>
          <w:rFonts w:hint="eastAsia" w:ascii="宋体" w:hAnsi="宋体" w:eastAsia="宋体" w:cs="宋体"/>
          <w:color w:val="auto"/>
          <w:sz w:val="24"/>
          <w:highlight w:val="none"/>
        </w:rPr>
      </w:pPr>
    </w:p>
    <w:sectPr>
      <w:footerReference r:id="rId5" w:type="first"/>
      <w:pgSz w:w="11910" w:h="16840"/>
      <w:pgMar w:top="1134" w:right="1134" w:bottom="1134" w:left="1134" w:header="85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21</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9525" b="12065"/>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dA5I80BAACZAwAADgAAAAAAAAABACAAAAAeAQAAZHJzL2Uy&#10;b0RvYy54bWxQSwUGAAAAAAYABgBZAQAAXQ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MjU3Nzc2N2MxN2Y5MzIzYmQ2YzU2NTMzODM1MjYifQ=="/>
  </w:docVars>
  <w:rsids>
    <w:rsidRoot w:val="00F34B14"/>
    <w:rsid w:val="00000672"/>
    <w:rsid w:val="00001799"/>
    <w:rsid w:val="000022D9"/>
    <w:rsid w:val="00002D29"/>
    <w:rsid w:val="000040C5"/>
    <w:rsid w:val="00004A8A"/>
    <w:rsid w:val="0000574C"/>
    <w:rsid w:val="00005E55"/>
    <w:rsid w:val="00005FDF"/>
    <w:rsid w:val="00006586"/>
    <w:rsid w:val="000065BA"/>
    <w:rsid w:val="0001045D"/>
    <w:rsid w:val="00010D39"/>
    <w:rsid w:val="000112BB"/>
    <w:rsid w:val="0001149B"/>
    <w:rsid w:val="0001172C"/>
    <w:rsid w:val="00012854"/>
    <w:rsid w:val="00012EA6"/>
    <w:rsid w:val="000139DC"/>
    <w:rsid w:val="00013D8C"/>
    <w:rsid w:val="00013DFE"/>
    <w:rsid w:val="00013F03"/>
    <w:rsid w:val="000141EA"/>
    <w:rsid w:val="00014385"/>
    <w:rsid w:val="000159F6"/>
    <w:rsid w:val="00016960"/>
    <w:rsid w:val="00017396"/>
    <w:rsid w:val="000177DB"/>
    <w:rsid w:val="00020227"/>
    <w:rsid w:val="000203E4"/>
    <w:rsid w:val="00020455"/>
    <w:rsid w:val="00022731"/>
    <w:rsid w:val="00022792"/>
    <w:rsid w:val="000242CE"/>
    <w:rsid w:val="00025382"/>
    <w:rsid w:val="00025636"/>
    <w:rsid w:val="00025E36"/>
    <w:rsid w:val="00026627"/>
    <w:rsid w:val="00026886"/>
    <w:rsid w:val="00030496"/>
    <w:rsid w:val="000329E0"/>
    <w:rsid w:val="000333A0"/>
    <w:rsid w:val="000352E9"/>
    <w:rsid w:val="00036548"/>
    <w:rsid w:val="00036A07"/>
    <w:rsid w:val="00036E33"/>
    <w:rsid w:val="00037E2D"/>
    <w:rsid w:val="00040571"/>
    <w:rsid w:val="0004156E"/>
    <w:rsid w:val="00041597"/>
    <w:rsid w:val="0004440C"/>
    <w:rsid w:val="00045880"/>
    <w:rsid w:val="000462CB"/>
    <w:rsid w:val="00046B5E"/>
    <w:rsid w:val="0004783A"/>
    <w:rsid w:val="000509D9"/>
    <w:rsid w:val="0005398D"/>
    <w:rsid w:val="000552A6"/>
    <w:rsid w:val="00055D41"/>
    <w:rsid w:val="00057CEC"/>
    <w:rsid w:val="00060DCE"/>
    <w:rsid w:val="000623B4"/>
    <w:rsid w:val="000634A7"/>
    <w:rsid w:val="00063E85"/>
    <w:rsid w:val="00063F81"/>
    <w:rsid w:val="00064847"/>
    <w:rsid w:val="0006484B"/>
    <w:rsid w:val="000673E2"/>
    <w:rsid w:val="000703B6"/>
    <w:rsid w:val="000711E4"/>
    <w:rsid w:val="000719F9"/>
    <w:rsid w:val="00072AED"/>
    <w:rsid w:val="00073F47"/>
    <w:rsid w:val="00075B7E"/>
    <w:rsid w:val="00077C70"/>
    <w:rsid w:val="00080B57"/>
    <w:rsid w:val="00081BA3"/>
    <w:rsid w:val="00081D2E"/>
    <w:rsid w:val="0008267B"/>
    <w:rsid w:val="00082D02"/>
    <w:rsid w:val="00083B91"/>
    <w:rsid w:val="0008520B"/>
    <w:rsid w:val="000871B8"/>
    <w:rsid w:val="00087DB6"/>
    <w:rsid w:val="000913BE"/>
    <w:rsid w:val="000918F8"/>
    <w:rsid w:val="00092442"/>
    <w:rsid w:val="0009588E"/>
    <w:rsid w:val="000959EE"/>
    <w:rsid w:val="00095B51"/>
    <w:rsid w:val="00097DA0"/>
    <w:rsid w:val="000A0D6B"/>
    <w:rsid w:val="000A1389"/>
    <w:rsid w:val="000A166E"/>
    <w:rsid w:val="000A2B0E"/>
    <w:rsid w:val="000A398F"/>
    <w:rsid w:val="000A509C"/>
    <w:rsid w:val="000A6007"/>
    <w:rsid w:val="000A65A6"/>
    <w:rsid w:val="000A7275"/>
    <w:rsid w:val="000A7A12"/>
    <w:rsid w:val="000A7CA5"/>
    <w:rsid w:val="000B039A"/>
    <w:rsid w:val="000B1801"/>
    <w:rsid w:val="000B1D0C"/>
    <w:rsid w:val="000B2D03"/>
    <w:rsid w:val="000B3815"/>
    <w:rsid w:val="000B3C7B"/>
    <w:rsid w:val="000B6C95"/>
    <w:rsid w:val="000C0C58"/>
    <w:rsid w:val="000C1679"/>
    <w:rsid w:val="000C2F89"/>
    <w:rsid w:val="000C30BB"/>
    <w:rsid w:val="000C366E"/>
    <w:rsid w:val="000C4635"/>
    <w:rsid w:val="000C548E"/>
    <w:rsid w:val="000C5698"/>
    <w:rsid w:val="000C6DE4"/>
    <w:rsid w:val="000C716B"/>
    <w:rsid w:val="000D01EB"/>
    <w:rsid w:val="000D056E"/>
    <w:rsid w:val="000D0675"/>
    <w:rsid w:val="000D0A89"/>
    <w:rsid w:val="000D1389"/>
    <w:rsid w:val="000D1798"/>
    <w:rsid w:val="000D1A2A"/>
    <w:rsid w:val="000D2626"/>
    <w:rsid w:val="000D2B7D"/>
    <w:rsid w:val="000D4A06"/>
    <w:rsid w:val="000D73DD"/>
    <w:rsid w:val="000D7D9B"/>
    <w:rsid w:val="000E02FA"/>
    <w:rsid w:val="000E18E2"/>
    <w:rsid w:val="000E28AB"/>
    <w:rsid w:val="000E28C1"/>
    <w:rsid w:val="000E2E3E"/>
    <w:rsid w:val="000E33C5"/>
    <w:rsid w:val="000E3583"/>
    <w:rsid w:val="000E3AF0"/>
    <w:rsid w:val="000E3D53"/>
    <w:rsid w:val="000E4E04"/>
    <w:rsid w:val="000E684C"/>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D7E"/>
    <w:rsid w:val="00104EDE"/>
    <w:rsid w:val="00105AA1"/>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0990"/>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1C48"/>
    <w:rsid w:val="00152A87"/>
    <w:rsid w:val="00154486"/>
    <w:rsid w:val="00156D0E"/>
    <w:rsid w:val="00156DD9"/>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17F"/>
    <w:rsid w:val="00176CA7"/>
    <w:rsid w:val="001778C5"/>
    <w:rsid w:val="00177E56"/>
    <w:rsid w:val="00177F0A"/>
    <w:rsid w:val="00185617"/>
    <w:rsid w:val="00186ADE"/>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4287"/>
    <w:rsid w:val="001C4479"/>
    <w:rsid w:val="001C76B7"/>
    <w:rsid w:val="001C76FB"/>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2B9F"/>
    <w:rsid w:val="001E30C0"/>
    <w:rsid w:val="001E4A8D"/>
    <w:rsid w:val="001E5A94"/>
    <w:rsid w:val="001E7648"/>
    <w:rsid w:val="001F127B"/>
    <w:rsid w:val="001F2A2E"/>
    <w:rsid w:val="001F3B72"/>
    <w:rsid w:val="001F3C63"/>
    <w:rsid w:val="001F4460"/>
    <w:rsid w:val="001F5DAF"/>
    <w:rsid w:val="001F637C"/>
    <w:rsid w:val="001F6B6C"/>
    <w:rsid w:val="001F711A"/>
    <w:rsid w:val="001F75B0"/>
    <w:rsid w:val="001F7686"/>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861"/>
    <w:rsid w:val="0022054D"/>
    <w:rsid w:val="002225FA"/>
    <w:rsid w:val="00224DE1"/>
    <w:rsid w:val="002255B2"/>
    <w:rsid w:val="00225664"/>
    <w:rsid w:val="002269DC"/>
    <w:rsid w:val="00227F2D"/>
    <w:rsid w:val="00231851"/>
    <w:rsid w:val="002319FB"/>
    <w:rsid w:val="00231B89"/>
    <w:rsid w:val="00231B8E"/>
    <w:rsid w:val="002355BE"/>
    <w:rsid w:val="00236DE9"/>
    <w:rsid w:val="00237D5A"/>
    <w:rsid w:val="00241300"/>
    <w:rsid w:val="00241D3C"/>
    <w:rsid w:val="002439AB"/>
    <w:rsid w:val="002450D5"/>
    <w:rsid w:val="00245587"/>
    <w:rsid w:val="00245F2B"/>
    <w:rsid w:val="00246F95"/>
    <w:rsid w:val="00247676"/>
    <w:rsid w:val="00247F3A"/>
    <w:rsid w:val="00250122"/>
    <w:rsid w:val="00250755"/>
    <w:rsid w:val="00250AE3"/>
    <w:rsid w:val="00251C4A"/>
    <w:rsid w:val="0025271C"/>
    <w:rsid w:val="00252A91"/>
    <w:rsid w:val="002533CD"/>
    <w:rsid w:val="002544C1"/>
    <w:rsid w:val="00254EAB"/>
    <w:rsid w:val="002557AF"/>
    <w:rsid w:val="00256474"/>
    <w:rsid w:val="002566B1"/>
    <w:rsid w:val="002575E3"/>
    <w:rsid w:val="002603C1"/>
    <w:rsid w:val="002609A1"/>
    <w:rsid w:val="002612B1"/>
    <w:rsid w:val="00266165"/>
    <w:rsid w:val="0026782A"/>
    <w:rsid w:val="0027125E"/>
    <w:rsid w:val="00271767"/>
    <w:rsid w:val="002719C1"/>
    <w:rsid w:val="00272293"/>
    <w:rsid w:val="002723C8"/>
    <w:rsid w:val="00273CBE"/>
    <w:rsid w:val="002802D7"/>
    <w:rsid w:val="0028232C"/>
    <w:rsid w:val="002827F1"/>
    <w:rsid w:val="00282EC3"/>
    <w:rsid w:val="002835B0"/>
    <w:rsid w:val="0028407E"/>
    <w:rsid w:val="0028410F"/>
    <w:rsid w:val="002854BF"/>
    <w:rsid w:val="002856A2"/>
    <w:rsid w:val="00286603"/>
    <w:rsid w:val="00286A98"/>
    <w:rsid w:val="00286FB5"/>
    <w:rsid w:val="00287763"/>
    <w:rsid w:val="00290606"/>
    <w:rsid w:val="00290F9D"/>
    <w:rsid w:val="002918A7"/>
    <w:rsid w:val="00291D6D"/>
    <w:rsid w:val="00291FF1"/>
    <w:rsid w:val="002923F6"/>
    <w:rsid w:val="00293361"/>
    <w:rsid w:val="00294AE8"/>
    <w:rsid w:val="00295287"/>
    <w:rsid w:val="002952B1"/>
    <w:rsid w:val="00295D11"/>
    <w:rsid w:val="00295FA0"/>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7169"/>
    <w:rsid w:val="002C0C1C"/>
    <w:rsid w:val="002C184E"/>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E109C"/>
    <w:rsid w:val="002E115E"/>
    <w:rsid w:val="002E1439"/>
    <w:rsid w:val="002E193E"/>
    <w:rsid w:val="002E1D76"/>
    <w:rsid w:val="002E243C"/>
    <w:rsid w:val="002E26C4"/>
    <w:rsid w:val="002E33E9"/>
    <w:rsid w:val="002E4B37"/>
    <w:rsid w:val="002E4BF9"/>
    <w:rsid w:val="002E6F5B"/>
    <w:rsid w:val="002F16DD"/>
    <w:rsid w:val="002F199D"/>
    <w:rsid w:val="002F23B2"/>
    <w:rsid w:val="002F4084"/>
    <w:rsid w:val="002F4672"/>
    <w:rsid w:val="002F4A08"/>
    <w:rsid w:val="002F4ADB"/>
    <w:rsid w:val="002F531E"/>
    <w:rsid w:val="002F5ACC"/>
    <w:rsid w:val="002F6C2C"/>
    <w:rsid w:val="002F704B"/>
    <w:rsid w:val="002F72C3"/>
    <w:rsid w:val="002F768C"/>
    <w:rsid w:val="002F7D1E"/>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3026"/>
    <w:rsid w:val="00313213"/>
    <w:rsid w:val="0031421F"/>
    <w:rsid w:val="00314B31"/>
    <w:rsid w:val="00314B36"/>
    <w:rsid w:val="00315158"/>
    <w:rsid w:val="00315346"/>
    <w:rsid w:val="00315A65"/>
    <w:rsid w:val="00317BA7"/>
    <w:rsid w:val="00320BE2"/>
    <w:rsid w:val="00321886"/>
    <w:rsid w:val="00321902"/>
    <w:rsid w:val="00323694"/>
    <w:rsid w:val="00324D63"/>
    <w:rsid w:val="003255AF"/>
    <w:rsid w:val="003256EB"/>
    <w:rsid w:val="003259DB"/>
    <w:rsid w:val="00325F20"/>
    <w:rsid w:val="003267F2"/>
    <w:rsid w:val="00331A48"/>
    <w:rsid w:val="003330C9"/>
    <w:rsid w:val="0033364C"/>
    <w:rsid w:val="00334415"/>
    <w:rsid w:val="00335460"/>
    <w:rsid w:val="0033691E"/>
    <w:rsid w:val="00336CCB"/>
    <w:rsid w:val="0033745F"/>
    <w:rsid w:val="00337631"/>
    <w:rsid w:val="00337F44"/>
    <w:rsid w:val="003401AC"/>
    <w:rsid w:val="003411D1"/>
    <w:rsid w:val="003416BA"/>
    <w:rsid w:val="00341BD6"/>
    <w:rsid w:val="00342A8A"/>
    <w:rsid w:val="00342F99"/>
    <w:rsid w:val="00344726"/>
    <w:rsid w:val="003454A4"/>
    <w:rsid w:val="00350E6C"/>
    <w:rsid w:val="003518A6"/>
    <w:rsid w:val="00351E7F"/>
    <w:rsid w:val="00352953"/>
    <w:rsid w:val="00354062"/>
    <w:rsid w:val="003542B0"/>
    <w:rsid w:val="00355C0D"/>
    <w:rsid w:val="003566A9"/>
    <w:rsid w:val="00356988"/>
    <w:rsid w:val="00356B20"/>
    <w:rsid w:val="00357128"/>
    <w:rsid w:val="0035755E"/>
    <w:rsid w:val="00357A80"/>
    <w:rsid w:val="00361B8B"/>
    <w:rsid w:val="00363F39"/>
    <w:rsid w:val="00364AB0"/>
    <w:rsid w:val="00365094"/>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5C"/>
    <w:rsid w:val="00380BBE"/>
    <w:rsid w:val="00381D70"/>
    <w:rsid w:val="00382128"/>
    <w:rsid w:val="0038235E"/>
    <w:rsid w:val="003829D0"/>
    <w:rsid w:val="00382FBA"/>
    <w:rsid w:val="0038444F"/>
    <w:rsid w:val="00384E83"/>
    <w:rsid w:val="00387051"/>
    <w:rsid w:val="00387ECF"/>
    <w:rsid w:val="0039021B"/>
    <w:rsid w:val="00390429"/>
    <w:rsid w:val="0039327C"/>
    <w:rsid w:val="003933A2"/>
    <w:rsid w:val="0039366C"/>
    <w:rsid w:val="003938F3"/>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659"/>
    <w:rsid w:val="003B7733"/>
    <w:rsid w:val="003C0166"/>
    <w:rsid w:val="003C21AA"/>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85E"/>
    <w:rsid w:val="003E3300"/>
    <w:rsid w:val="003E5B89"/>
    <w:rsid w:val="003E6340"/>
    <w:rsid w:val="003E65AC"/>
    <w:rsid w:val="003E6E24"/>
    <w:rsid w:val="003E72B9"/>
    <w:rsid w:val="003E7ED4"/>
    <w:rsid w:val="003F0E52"/>
    <w:rsid w:val="003F0EF2"/>
    <w:rsid w:val="003F0F6B"/>
    <w:rsid w:val="003F1F40"/>
    <w:rsid w:val="003F1FE3"/>
    <w:rsid w:val="003F3865"/>
    <w:rsid w:val="003F3A0A"/>
    <w:rsid w:val="003F4632"/>
    <w:rsid w:val="003F47BA"/>
    <w:rsid w:val="003F5DA1"/>
    <w:rsid w:val="003F6617"/>
    <w:rsid w:val="0040063B"/>
    <w:rsid w:val="00401070"/>
    <w:rsid w:val="00402332"/>
    <w:rsid w:val="004025C2"/>
    <w:rsid w:val="00403E55"/>
    <w:rsid w:val="00404532"/>
    <w:rsid w:val="00404681"/>
    <w:rsid w:val="0040496D"/>
    <w:rsid w:val="00405010"/>
    <w:rsid w:val="0040595A"/>
    <w:rsid w:val="00406923"/>
    <w:rsid w:val="0040713A"/>
    <w:rsid w:val="0040763D"/>
    <w:rsid w:val="004105B0"/>
    <w:rsid w:val="00410EC5"/>
    <w:rsid w:val="00411B1F"/>
    <w:rsid w:val="004133A8"/>
    <w:rsid w:val="00413821"/>
    <w:rsid w:val="00413D43"/>
    <w:rsid w:val="004141A3"/>
    <w:rsid w:val="00414909"/>
    <w:rsid w:val="00415E66"/>
    <w:rsid w:val="00416112"/>
    <w:rsid w:val="00416DF0"/>
    <w:rsid w:val="00417AE0"/>
    <w:rsid w:val="00417BAA"/>
    <w:rsid w:val="00420BA9"/>
    <w:rsid w:val="00420D7A"/>
    <w:rsid w:val="00420D9E"/>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127B"/>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78EB"/>
    <w:rsid w:val="00460303"/>
    <w:rsid w:val="00460697"/>
    <w:rsid w:val="00462593"/>
    <w:rsid w:val="00465EEF"/>
    <w:rsid w:val="00466D03"/>
    <w:rsid w:val="00466DF6"/>
    <w:rsid w:val="0046711B"/>
    <w:rsid w:val="00467312"/>
    <w:rsid w:val="00471156"/>
    <w:rsid w:val="00472429"/>
    <w:rsid w:val="004725E5"/>
    <w:rsid w:val="004726FE"/>
    <w:rsid w:val="00472751"/>
    <w:rsid w:val="00473128"/>
    <w:rsid w:val="0047470A"/>
    <w:rsid w:val="00475078"/>
    <w:rsid w:val="00475226"/>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3F3A"/>
    <w:rsid w:val="004B4779"/>
    <w:rsid w:val="004B4922"/>
    <w:rsid w:val="004B57DF"/>
    <w:rsid w:val="004C03A0"/>
    <w:rsid w:val="004C2138"/>
    <w:rsid w:val="004C2ED0"/>
    <w:rsid w:val="004C32D4"/>
    <w:rsid w:val="004C3940"/>
    <w:rsid w:val="004C51FD"/>
    <w:rsid w:val="004C65A8"/>
    <w:rsid w:val="004C786C"/>
    <w:rsid w:val="004C7963"/>
    <w:rsid w:val="004D2314"/>
    <w:rsid w:val="004D2F63"/>
    <w:rsid w:val="004D35BA"/>
    <w:rsid w:val="004D4701"/>
    <w:rsid w:val="004D47C7"/>
    <w:rsid w:val="004D618D"/>
    <w:rsid w:val="004D6202"/>
    <w:rsid w:val="004D62A9"/>
    <w:rsid w:val="004D6FC3"/>
    <w:rsid w:val="004D7476"/>
    <w:rsid w:val="004E0306"/>
    <w:rsid w:val="004E0572"/>
    <w:rsid w:val="004E0BB5"/>
    <w:rsid w:val="004E25A8"/>
    <w:rsid w:val="004E2AA0"/>
    <w:rsid w:val="004E3930"/>
    <w:rsid w:val="004E3ED9"/>
    <w:rsid w:val="004E5866"/>
    <w:rsid w:val="004E6097"/>
    <w:rsid w:val="004E61EF"/>
    <w:rsid w:val="004E6772"/>
    <w:rsid w:val="004E76A7"/>
    <w:rsid w:val="004E7736"/>
    <w:rsid w:val="004E7B03"/>
    <w:rsid w:val="004F0064"/>
    <w:rsid w:val="004F06AC"/>
    <w:rsid w:val="004F1AE6"/>
    <w:rsid w:val="004F243F"/>
    <w:rsid w:val="004F3E0C"/>
    <w:rsid w:val="004F6929"/>
    <w:rsid w:val="004F6A2D"/>
    <w:rsid w:val="004F7160"/>
    <w:rsid w:val="00500258"/>
    <w:rsid w:val="0050175E"/>
    <w:rsid w:val="00501A99"/>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0102"/>
    <w:rsid w:val="00560DB5"/>
    <w:rsid w:val="00562149"/>
    <w:rsid w:val="005630D8"/>
    <w:rsid w:val="00563FFD"/>
    <w:rsid w:val="00565855"/>
    <w:rsid w:val="005677CE"/>
    <w:rsid w:val="00567B5D"/>
    <w:rsid w:val="00570445"/>
    <w:rsid w:val="00572E9A"/>
    <w:rsid w:val="00573733"/>
    <w:rsid w:val="00574554"/>
    <w:rsid w:val="00576089"/>
    <w:rsid w:val="005764B1"/>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0FA"/>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341"/>
    <w:rsid w:val="005A46EC"/>
    <w:rsid w:val="005A4847"/>
    <w:rsid w:val="005A494F"/>
    <w:rsid w:val="005B0160"/>
    <w:rsid w:val="005B0185"/>
    <w:rsid w:val="005B07EC"/>
    <w:rsid w:val="005B09D8"/>
    <w:rsid w:val="005B24F3"/>
    <w:rsid w:val="005B2B11"/>
    <w:rsid w:val="005B2E00"/>
    <w:rsid w:val="005B370E"/>
    <w:rsid w:val="005B4DA3"/>
    <w:rsid w:val="005B5B71"/>
    <w:rsid w:val="005B5BEE"/>
    <w:rsid w:val="005B7784"/>
    <w:rsid w:val="005B77D2"/>
    <w:rsid w:val="005C019B"/>
    <w:rsid w:val="005C144E"/>
    <w:rsid w:val="005C1625"/>
    <w:rsid w:val="005C30F5"/>
    <w:rsid w:val="005C357E"/>
    <w:rsid w:val="005C51A5"/>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8C7"/>
    <w:rsid w:val="00614E91"/>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7774"/>
    <w:rsid w:val="0064024C"/>
    <w:rsid w:val="00640291"/>
    <w:rsid w:val="00641FAC"/>
    <w:rsid w:val="006432A5"/>
    <w:rsid w:val="00643664"/>
    <w:rsid w:val="00643CAA"/>
    <w:rsid w:val="0064448B"/>
    <w:rsid w:val="00652137"/>
    <w:rsid w:val="00652680"/>
    <w:rsid w:val="00652A09"/>
    <w:rsid w:val="006530A1"/>
    <w:rsid w:val="00653CDE"/>
    <w:rsid w:val="006540B4"/>
    <w:rsid w:val="0065636A"/>
    <w:rsid w:val="00656C3C"/>
    <w:rsid w:val="00657003"/>
    <w:rsid w:val="00657126"/>
    <w:rsid w:val="006572C1"/>
    <w:rsid w:val="00660238"/>
    <w:rsid w:val="006602EF"/>
    <w:rsid w:val="00661277"/>
    <w:rsid w:val="006616FE"/>
    <w:rsid w:val="006619D1"/>
    <w:rsid w:val="00663FEA"/>
    <w:rsid w:val="00664253"/>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E78"/>
    <w:rsid w:val="00682F28"/>
    <w:rsid w:val="00684842"/>
    <w:rsid w:val="00685BD6"/>
    <w:rsid w:val="006878A6"/>
    <w:rsid w:val="00690437"/>
    <w:rsid w:val="00690E65"/>
    <w:rsid w:val="0069188E"/>
    <w:rsid w:val="00691974"/>
    <w:rsid w:val="00691A3F"/>
    <w:rsid w:val="00692CE6"/>
    <w:rsid w:val="00693B6C"/>
    <w:rsid w:val="006942AE"/>
    <w:rsid w:val="0069483C"/>
    <w:rsid w:val="00695421"/>
    <w:rsid w:val="00695AE4"/>
    <w:rsid w:val="00696D4B"/>
    <w:rsid w:val="00697BD3"/>
    <w:rsid w:val="00697DFA"/>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32F4"/>
    <w:rsid w:val="006C3382"/>
    <w:rsid w:val="006C3C54"/>
    <w:rsid w:val="006C40F4"/>
    <w:rsid w:val="006C427B"/>
    <w:rsid w:val="006C4F9F"/>
    <w:rsid w:val="006C61AB"/>
    <w:rsid w:val="006C650D"/>
    <w:rsid w:val="006C748D"/>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582"/>
    <w:rsid w:val="006F3DE3"/>
    <w:rsid w:val="006F511F"/>
    <w:rsid w:val="006F61D8"/>
    <w:rsid w:val="006F62B7"/>
    <w:rsid w:val="006F70BC"/>
    <w:rsid w:val="006F713A"/>
    <w:rsid w:val="006F76BF"/>
    <w:rsid w:val="00705161"/>
    <w:rsid w:val="007066A4"/>
    <w:rsid w:val="00706F37"/>
    <w:rsid w:val="00707D09"/>
    <w:rsid w:val="0071209F"/>
    <w:rsid w:val="007125A2"/>
    <w:rsid w:val="00713F79"/>
    <w:rsid w:val="007148A8"/>
    <w:rsid w:val="00715C48"/>
    <w:rsid w:val="007171E0"/>
    <w:rsid w:val="00717C40"/>
    <w:rsid w:val="0072033C"/>
    <w:rsid w:val="00720B1B"/>
    <w:rsid w:val="00721062"/>
    <w:rsid w:val="00721E5D"/>
    <w:rsid w:val="007229D4"/>
    <w:rsid w:val="007230F8"/>
    <w:rsid w:val="007233F4"/>
    <w:rsid w:val="00723646"/>
    <w:rsid w:val="00724044"/>
    <w:rsid w:val="007244E1"/>
    <w:rsid w:val="007248D3"/>
    <w:rsid w:val="00725137"/>
    <w:rsid w:val="007263ED"/>
    <w:rsid w:val="00727A43"/>
    <w:rsid w:val="00727FF2"/>
    <w:rsid w:val="007323E0"/>
    <w:rsid w:val="00733791"/>
    <w:rsid w:val="00733857"/>
    <w:rsid w:val="00733DE2"/>
    <w:rsid w:val="007346E7"/>
    <w:rsid w:val="007352EA"/>
    <w:rsid w:val="007364E5"/>
    <w:rsid w:val="0073792F"/>
    <w:rsid w:val="00740DA6"/>
    <w:rsid w:val="00741A0E"/>
    <w:rsid w:val="00741D1E"/>
    <w:rsid w:val="00741EE2"/>
    <w:rsid w:val="00742367"/>
    <w:rsid w:val="00742EAA"/>
    <w:rsid w:val="00743818"/>
    <w:rsid w:val="007439E2"/>
    <w:rsid w:val="00743E9C"/>
    <w:rsid w:val="007441FB"/>
    <w:rsid w:val="00744517"/>
    <w:rsid w:val="00744810"/>
    <w:rsid w:val="00747079"/>
    <w:rsid w:val="007476CA"/>
    <w:rsid w:val="00747DE2"/>
    <w:rsid w:val="007504BF"/>
    <w:rsid w:val="007506CD"/>
    <w:rsid w:val="0075267F"/>
    <w:rsid w:val="007526EC"/>
    <w:rsid w:val="0075310C"/>
    <w:rsid w:val="00753347"/>
    <w:rsid w:val="00753C48"/>
    <w:rsid w:val="007545C1"/>
    <w:rsid w:val="00754C97"/>
    <w:rsid w:val="00754FE4"/>
    <w:rsid w:val="00755538"/>
    <w:rsid w:val="00756236"/>
    <w:rsid w:val="00756271"/>
    <w:rsid w:val="00756521"/>
    <w:rsid w:val="00756AB7"/>
    <w:rsid w:val="00760477"/>
    <w:rsid w:val="00761AF4"/>
    <w:rsid w:val="00762071"/>
    <w:rsid w:val="007623FB"/>
    <w:rsid w:val="0076376A"/>
    <w:rsid w:val="007646B9"/>
    <w:rsid w:val="0076500F"/>
    <w:rsid w:val="0076504E"/>
    <w:rsid w:val="00765D24"/>
    <w:rsid w:val="00765E6A"/>
    <w:rsid w:val="007664E0"/>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E6D"/>
    <w:rsid w:val="007928DC"/>
    <w:rsid w:val="00792E53"/>
    <w:rsid w:val="007933DF"/>
    <w:rsid w:val="007939CC"/>
    <w:rsid w:val="00796FB8"/>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6423"/>
    <w:rsid w:val="007B7490"/>
    <w:rsid w:val="007B774A"/>
    <w:rsid w:val="007C0525"/>
    <w:rsid w:val="007C0B56"/>
    <w:rsid w:val="007C13F7"/>
    <w:rsid w:val="007C218D"/>
    <w:rsid w:val="007C2D28"/>
    <w:rsid w:val="007C3E22"/>
    <w:rsid w:val="007C67C6"/>
    <w:rsid w:val="007C707A"/>
    <w:rsid w:val="007C7E59"/>
    <w:rsid w:val="007D0B91"/>
    <w:rsid w:val="007D1452"/>
    <w:rsid w:val="007D1E29"/>
    <w:rsid w:val="007D460C"/>
    <w:rsid w:val="007D4AD3"/>
    <w:rsid w:val="007D4C8D"/>
    <w:rsid w:val="007D5AA9"/>
    <w:rsid w:val="007D5D19"/>
    <w:rsid w:val="007D5FDC"/>
    <w:rsid w:val="007D6D68"/>
    <w:rsid w:val="007E01DA"/>
    <w:rsid w:val="007E1603"/>
    <w:rsid w:val="007E2E85"/>
    <w:rsid w:val="007E32DA"/>
    <w:rsid w:val="007E3FFB"/>
    <w:rsid w:val="007E4998"/>
    <w:rsid w:val="007E4A9C"/>
    <w:rsid w:val="007E6914"/>
    <w:rsid w:val="007E7F78"/>
    <w:rsid w:val="007F0C8B"/>
    <w:rsid w:val="007F1517"/>
    <w:rsid w:val="007F1D44"/>
    <w:rsid w:val="007F2C13"/>
    <w:rsid w:val="007F2CEC"/>
    <w:rsid w:val="007F4949"/>
    <w:rsid w:val="007F55DE"/>
    <w:rsid w:val="007F5605"/>
    <w:rsid w:val="007F6147"/>
    <w:rsid w:val="007F78FF"/>
    <w:rsid w:val="00800F6C"/>
    <w:rsid w:val="008025BE"/>
    <w:rsid w:val="00804C86"/>
    <w:rsid w:val="008051FC"/>
    <w:rsid w:val="008055A9"/>
    <w:rsid w:val="008070EB"/>
    <w:rsid w:val="00807376"/>
    <w:rsid w:val="00810B0E"/>
    <w:rsid w:val="00810E8E"/>
    <w:rsid w:val="0081142D"/>
    <w:rsid w:val="00812462"/>
    <w:rsid w:val="008126E2"/>
    <w:rsid w:val="0081481D"/>
    <w:rsid w:val="00814BE8"/>
    <w:rsid w:val="00814F6E"/>
    <w:rsid w:val="00815B84"/>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1758"/>
    <w:rsid w:val="00831977"/>
    <w:rsid w:val="0083279F"/>
    <w:rsid w:val="00833B7F"/>
    <w:rsid w:val="00834906"/>
    <w:rsid w:val="00836075"/>
    <w:rsid w:val="00836417"/>
    <w:rsid w:val="00837CA6"/>
    <w:rsid w:val="008411F9"/>
    <w:rsid w:val="008413AB"/>
    <w:rsid w:val="00842D10"/>
    <w:rsid w:val="0084322B"/>
    <w:rsid w:val="00843B93"/>
    <w:rsid w:val="00843F81"/>
    <w:rsid w:val="00844087"/>
    <w:rsid w:val="0084519E"/>
    <w:rsid w:val="00846370"/>
    <w:rsid w:val="00847C2B"/>
    <w:rsid w:val="00851A7C"/>
    <w:rsid w:val="0085270D"/>
    <w:rsid w:val="008532BF"/>
    <w:rsid w:val="00853BF4"/>
    <w:rsid w:val="00854294"/>
    <w:rsid w:val="008555FB"/>
    <w:rsid w:val="0085788B"/>
    <w:rsid w:val="00857941"/>
    <w:rsid w:val="00857A9E"/>
    <w:rsid w:val="00857DE2"/>
    <w:rsid w:val="00863E7D"/>
    <w:rsid w:val="0086407F"/>
    <w:rsid w:val="00864E79"/>
    <w:rsid w:val="00866111"/>
    <w:rsid w:val="0086661F"/>
    <w:rsid w:val="00866A0D"/>
    <w:rsid w:val="00866DB5"/>
    <w:rsid w:val="0086784E"/>
    <w:rsid w:val="00867AF1"/>
    <w:rsid w:val="008720B3"/>
    <w:rsid w:val="00872118"/>
    <w:rsid w:val="00872827"/>
    <w:rsid w:val="00872A32"/>
    <w:rsid w:val="00874ECA"/>
    <w:rsid w:val="00876EAE"/>
    <w:rsid w:val="00880386"/>
    <w:rsid w:val="00880F95"/>
    <w:rsid w:val="00882B44"/>
    <w:rsid w:val="00882FE5"/>
    <w:rsid w:val="00886138"/>
    <w:rsid w:val="00886E66"/>
    <w:rsid w:val="008871B0"/>
    <w:rsid w:val="008912F5"/>
    <w:rsid w:val="0089217C"/>
    <w:rsid w:val="008928A1"/>
    <w:rsid w:val="00893671"/>
    <w:rsid w:val="00895838"/>
    <w:rsid w:val="00895A72"/>
    <w:rsid w:val="00895CDF"/>
    <w:rsid w:val="008968C7"/>
    <w:rsid w:val="00897A55"/>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AFE"/>
    <w:rsid w:val="008B7034"/>
    <w:rsid w:val="008B7227"/>
    <w:rsid w:val="008C191C"/>
    <w:rsid w:val="008C1DA4"/>
    <w:rsid w:val="008C2CD5"/>
    <w:rsid w:val="008C2E29"/>
    <w:rsid w:val="008C32B7"/>
    <w:rsid w:val="008C3618"/>
    <w:rsid w:val="008C3F20"/>
    <w:rsid w:val="008C43AD"/>
    <w:rsid w:val="008C59FB"/>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566C"/>
    <w:rsid w:val="008D58D9"/>
    <w:rsid w:val="008D66EA"/>
    <w:rsid w:val="008D6E59"/>
    <w:rsid w:val="008D7155"/>
    <w:rsid w:val="008D7DE4"/>
    <w:rsid w:val="008E09B3"/>
    <w:rsid w:val="008E141A"/>
    <w:rsid w:val="008E1A44"/>
    <w:rsid w:val="008E28E6"/>
    <w:rsid w:val="008E2B60"/>
    <w:rsid w:val="008E3232"/>
    <w:rsid w:val="008E3674"/>
    <w:rsid w:val="008E3B6C"/>
    <w:rsid w:val="008E688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2838"/>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065F"/>
    <w:rsid w:val="009313DD"/>
    <w:rsid w:val="00931BDE"/>
    <w:rsid w:val="009321B1"/>
    <w:rsid w:val="00932ED7"/>
    <w:rsid w:val="0093357E"/>
    <w:rsid w:val="0093422D"/>
    <w:rsid w:val="00934DD7"/>
    <w:rsid w:val="009369A9"/>
    <w:rsid w:val="00936CF7"/>
    <w:rsid w:val="00937201"/>
    <w:rsid w:val="0093734A"/>
    <w:rsid w:val="00937783"/>
    <w:rsid w:val="00937D89"/>
    <w:rsid w:val="00940FE1"/>
    <w:rsid w:val="00942306"/>
    <w:rsid w:val="009424B8"/>
    <w:rsid w:val="009433A4"/>
    <w:rsid w:val="00943D88"/>
    <w:rsid w:val="0094435B"/>
    <w:rsid w:val="00944668"/>
    <w:rsid w:val="00944DC6"/>
    <w:rsid w:val="0094537D"/>
    <w:rsid w:val="0094573F"/>
    <w:rsid w:val="009458B0"/>
    <w:rsid w:val="00945B52"/>
    <w:rsid w:val="00945DC0"/>
    <w:rsid w:val="00945F05"/>
    <w:rsid w:val="00946348"/>
    <w:rsid w:val="009471AD"/>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EB1"/>
    <w:rsid w:val="00966522"/>
    <w:rsid w:val="00967D3F"/>
    <w:rsid w:val="00967E78"/>
    <w:rsid w:val="00970D7E"/>
    <w:rsid w:val="00970F18"/>
    <w:rsid w:val="00971CF1"/>
    <w:rsid w:val="009721E9"/>
    <w:rsid w:val="00972A58"/>
    <w:rsid w:val="00973772"/>
    <w:rsid w:val="0097451E"/>
    <w:rsid w:val="00975E1E"/>
    <w:rsid w:val="00975E70"/>
    <w:rsid w:val="00977CD6"/>
    <w:rsid w:val="00982481"/>
    <w:rsid w:val="00982D26"/>
    <w:rsid w:val="0098330E"/>
    <w:rsid w:val="009849E9"/>
    <w:rsid w:val="0098606E"/>
    <w:rsid w:val="00987812"/>
    <w:rsid w:val="00990225"/>
    <w:rsid w:val="0099244B"/>
    <w:rsid w:val="009947B6"/>
    <w:rsid w:val="00995150"/>
    <w:rsid w:val="009957F3"/>
    <w:rsid w:val="00995D67"/>
    <w:rsid w:val="009970BF"/>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547"/>
    <w:rsid w:val="009D1678"/>
    <w:rsid w:val="009D1693"/>
    <w:rsid w:val="009D1C49"/>
    <w:rsid w:val="009D2721"/>
    <w:rsid w:val="009D2F60"/>
    <w:rsid w:val="009D338C"/>
    <w:rsid w:val="009D3D0D"/>
    <w:rsid w:val="009D5BAC"/>
    <w:rsid w:val="009D64BD"/>
    <w:rsid w:val="009D7B2F"/>
    <w:rsid w:val="009D7B6C"/>
    <w:rsid w:val="009D7F83"/>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17A5"/>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8D2"/>
    <w:rsid w:val="00A47ECC"/>
    <w:rsid w:val="00A5008C"/>
    <w:rsid w:val="00A50171"/>
    <w:rsid w:val="00A5102E"/>
    <w:rsid w:val="00A51083"/>
    <w:rsid w:val="00A5132E"/>
    <w:rsid w:val="00A51533"/>
    <w:rsid w:val="00A51E68"/>
    <w:rsid w:val="00A52F3B"/>
    <w:rsid w:val="00A531D4"/>
    <w:rsid w:val="00A55ACD"/>
    <w:rsid w:val="00A55CFA"/>
    <w:rsid w:val="00A575B8"/>
    <w:rsid w:val="00A61E3B"/>
    <w:rsid w:val="00A647B1"/>
    <w:rsid w:val="00A64DEF"/>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BC9"/>
    <w:rsid w:val="00A77566"/>
    <w:rsid w:val="00A80563"/>
    <w:rsid w:val="00A8311C"/>
    <w:rsid w:val="00A84BC8"/>
    <w:rsid w:val="00A84C5F"/>
    <w:rsid w:val="00A85D91"/>
    <w:rsid w:val="00A86973"/>
    <w:rsid w:val="00A8721F"/>
    <w:rsid w:val="00A8740B"/>
    <w:rsid w:val="00A87519"/>
    <w:rsid w:val="00A905A2"/>
    <w:rsid w:val="00A9246D"/>
    <w:rsid w:val="00A93644"/>
    <w:rsid w:val="00A93BD0"/>
    <w:rsid w:val="00A944A1"/>
    <w:rsid w:val="00A95D69"/>
    <w:rsid w:val="00A975A4"/>
    <w:rsid w:val="00A977B3"/>
    <w:rsid w:val="00A97DC8"/>
    <w:rsid w:val="00AA2001"/>
    <w:rsid w:val="00AA2B5C"/>
    <w:rsid w:val="00AA4E59"/>
    <w:rsid w:val="00AA5328"/>
    <w:rsid w:val="00AA5393"/>
    <w:rsid w:val="00AA63D4"/>
    <w:rsid w:val="00AA6767"/>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122"/>
    <w:rsid w:val="00AC531F"/>
    <w:rsid w:val="00AC6121"/>
    <w:rsid w:val="00AC626D"/>
    <w:rsid w:val="00AC6CB1"/>
    <w:rsid w:val="00AC79DA"/>
    <w:rsid w:val="00AD0091"/>
    <w:rsid w:val="00AD23D8"/>
    <w:rsid w:val="00AD23EF"/>
    <w:rsid w:val="00AD307B"/>
    <w:rsid w:val="00AD31F9"/>
    <w:rsid w:val="00AD41B3"/>
    <w:rsid w:val="00AD4B31"/>
    <w:rsid w:val="00AD4C48"/>
    <w:rsid w:val="00AD57AF"/>
    <w:rsid w:val="00AD6267"/>
    <w:rsid w:val="00AD7317"/>
    <w:rsid w:val="00AE01A8"/>
    <w:rsid w:val="00AE069F"/>
    <w:rsid w:val="00AE0CBD"/>
    <w:rsid w:val="00AE123A"/>
    <w:rsid w:val="00AE28A7"/>
    <w:rsid w:val="00AE33A6"/>
    <w:rsid w:val="00AE3715"/>
    <w:rsid w:val="00AE3729"/>
    <w:rsid w:val="00AE55B2"/>
    <w:rsid w:val="00AE5C6A"/>
    <w:rsid w:val="00AE65F7"/>
    <w:rsid w:val="00AE7280"/>
    <w:rsid w:val="00AF033A"/>
    <w:rsid w:val="00AF1699"/>
    <w:rsid w:val="00AF3896"/>
    <w:rsid w:val="00AF3CEE"/>
    <w:rsid w:val="00AF6C33"/>
    <w:rsid w:val="00B0098A"/>
    <w:rsid w:val="00B00A5F"/>
    <w:rsid w:val="00B0225F"/>
    <w:rsid w:val="00B029B8"/>
    <w:rsid w:val="00B02F60"/>
    <w:rsid w:val="00B032B8"/>
    <w:rsid w:val="00B04B46"/>
    <w:rsid w:val="00B05050"/>
    <w:rsid w:val="00B0534D"/>
    <w:rsid w:val="00B06368"/>
    <w:rsid w:val="00B06FC6"/>
    <w:rsid w:val="00B07163"/>
    <w:rsid w:val="00B07429"/>
    <w:rsid w:val="00B12105"/>
    <w:rsid w:val="00B12FE6"/>
    <w:rsid w:val="00B1303F"/>
    <w:rsid w:val="00B1364A"/>
    <w:rsid w:val="00B13D3C"/>
    <w:rsid w:val="00B1525C"/>
    <w:rsid w:val="00B16715"/>
    <w:rsid w:val="00B17910"/>
    <w:rsid w:val="00B20F18"/>
    <w:rsid w:val="00B21516"/>
    <w:rsid w:val="00B22CE0"/>
    <w:rsid w:val="00B23738"/>
    <w:rsid w:val="00B23BEF"/>
    <w:rsid w:val="00B247BB"/>
    <w:rsid w:val="00B25C11"/>
    <w:rsid w:val="00B25EDF"/>
    <w:rsid w:val="00B25EE6"/>
    <w:rsid w:val="00B27BC0"/>
    <w:rsid w:val="00B3115A"/>
    <w:rsid w:val="00B31A5C"/>
    <w:rsid w:val="00B33C19"/>
    <w:rsid w:val="00B34861"/>
    <w:rsid w:val="00B363BD"/>
    <w:rsid w:val="00B369F7"/>
    <w:rsid w:val="00B36A99"/>
    <w:rsid w:val="00B37537"/>
    <w:rsid w:val="00B41B81"/>
    <w:rsid w:val="00B42980"/>
    <w:rsid w:val="00B434B2"/>
    <w:rsid w:val="00B434C7"/>
    <w:rsid w:val="00B43D45"/>
    <w:rsid w:val="00B44771"/>
    <w:rsid w:val="00B4650E"/>
    <w:rsid w:val="00B468F2"/>
    <w:rsid w:val="00B46B45"/>
    <w:rsid w:val="00B46D3D"/>
    <w:rsid w:val="00B46F6B"/>
    <w:rsid w:val="00B47286"/>
    <w:rsid w:val="00B47894"/>
    <w:rsid w:val="00B50234"/>
    <w:rsid w:val="00B50350"/>
    <w:rsid w:val="00B51BF4"/>
    <w:rsid w:val="00B52C68"/>
    <w:rsid w:val="00B542FE"/>
    <w:rsid w:val="00B55A1B"/>
    <w:rsid w:val="00B561DB"/>
    <w:rsid w:val="00B57494"/>
    <w:rsid w:val="00B61DCE"/>
    <w:rsid w:val="00B62188"/>
    <w:rsid w:val="00B62467"/>
    <w:rsid w:val="00B62F79"/>
    <w:rsid w:val="00B62F82"/>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4662"/>
    <w:rsid w:val="00B85402"/>
    <w:rsid w:val="00B864A3"/>
    <w:rsid w:val="00B86C2A"/>
    <w:rsid w:val="00B877F1"/>
    <w:rsid w:val="00B902A5"/>
    <w:rsid w:val="00B90420"/>
    <w:rsid w:val="00B913E4"/>
    <w:rsid w:val="00B91DB9"/>
    <w:rsid w:val="00B93EFE"/>
    <w:rsid w:val="00B94956"/>
    <w:rsid w:val="00B94C7F"/>
    <w:rsid w:val="00B956B5"/>
    <w:rsid w:val="00B95C3A"/>
    <w:rsid w:val="00B95FCE"/>
    <w:rsid w:val="00BA0D44"/>
    <w:rsid w:val="00BA0E26"/>
    <w:rsid w:val="00BA31BF"/>
    <w:rsid w:val="00BA43FC"/>
    <w:rsid w:val="00BA478B"/>
    <w:rsid w:val="00BA5224"/>
    <w:rsid w:val="00BA7B27"/>
    <w:rsid w:val="00BA7E3B"/>
    <w:rsid w:val="00BB079C"/>
    <w:rsid w:val="00BB2B56"/>
    <w:rsid w:val="00BB39C1"/>
    <w:rsid w:val="00BB5D16"/>
    <w:rsid w:val="00BB6180"/>
    <w:rsid w:val="00BB69E6"/>
    <w:rsid w:val="00BB7D2A"/>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37C6"/>
    <w:rsid w:val="00C0508D"/>
    <w:rsid w:val="00C058AF"/>
    <w:rsid w:val="00C11AAA"/>
    <w:rsid w:val="00C124C1"/>
    <w:rsid w:val="00C128AE"/>
    <w:rsid w:val="00C136D6"/>
    <w:rsid w:val="00C13D5B"/>
    <w:rsid w:val="00C14381"/>
    <w:rsid w:val="00C16047"/>
    <w:rsid w:val="00C17AE2"/>
    <w:rsid w:val="00C20F27"/>
    <w:rsid w:val="00C215CF"/>
    <w:rsid w:val="00C2244B"/>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C3C"/>
    <w:rsid w:val="00C360B3"/>
    <w:rsid w:val="00C3679B"/>
    <w:rsid w:val="00C37027"/>
    <w:rsid w:val="00C3778D"/>
    <w:rsid w:val="00C405A3"/>
    <w:rsid w:val="00C42752"/>
    <w:rsid w:val="00C42973"/>
    <w:rsid w:val="00C44F9C"/>
    <w:rsid w:val="00C4730E"/>
    <w:rsid w:val="00C5019C"/>
    <w:rsid w:val="00C5034F"/>
    <w:rsid w:val="00C52479"/>
    <w:rsid w:val="00C5291F"/>
    <w:rsid w:val="00C52C59"/>
    <w:rsid w:val="00C5349E"/>
    <w:rsid w:val="00C5354B"/>
    <w:rsid w:val="00C54467"/>
    <w:rsid w:val="00C54D3D"/>
    <w:rsid w:val="00C55116"/>
    <w:rsid w:val="00C55A30"/>
    <w:rsid w:val="00C57C58"/>
    <w:rsid w:val="00C6028F"/>
    <w:rsid w:val="00C608F1"/>
    <w:rsid w:val="00C631E1"/>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8FE"/>
    <w:rsid w:val="00CA0FAC"/>
    <w:rsid w:val="00CA25C0"/>
    <w:rsid w:val="00CA3451"/>
    <w:rsid w:val="00CA4948"/>
    <w:rsid w:val="00CA52F9"/>
    <w:rsid w:val="00CA568B"/>
    <w:rsid w:val="00CA7500"/>
    <w:rsid w:val="00CB1239"/>
    <w:rsid w:val="00CB178B"/>
    <w:rsid w:val="00CB19FE"/>
    <w:rsid w:val="00CB23C2"/>
    <w:rsid w:val="00CB304C"/>
    <w:rsid w:val="00CB53E8"/>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55F9"/>
    <w:rsid w:val="00CF71A6"/>
    <w:rsid w:val="00CF7495"/>
    <w:rsid w:val="00CF7671"/>
    <w:rsid w:val="00D01CF9"/>
    <w:rsid w:val="00D02387"/>
    <w:rsid w:val="00D0334D"/>
    <w:rsid w:val="00D0374D"/>
    <w:rsid w:val="00D05A76"/>
    <w:rsid w:val="00D07F1D"/>
    <w:rsid w:val="00D10558"/>
    <w:rsid w:val="00D1203E"/>
    <w:rsid w:val="00D13E70"/>
    <w:rsid w:val="00D16C58"/>
    <w:rsid w:val="00D17019"/>
    <w:rsid w:val="00D170C1"/>
    <w:rsid w:val="00D21168"/>
    <w:rsid w:val="00D235C8"/>
    <w:rsid w:val="00D2438C"/>
    <w:rsid w:val="00D25DFA"/>
    <w:rsid w:val="00D26C3F"/>
    <w:rsid w:val="00D27185"/>
    <w:rsid w:val="00D27C40"/>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138D"/>
    <w:rsid w:val="00D72A1C"/>
    <w:rsid w:val="00D73580"/>
    <w:rsid w:val="00D73802"/>
    <w:rsid w:val="00D73868"/>
    <w:rsid w:val="00D73C2C"/>
    <w:rsid w:val="00D73D52"/>
    <w:rsid w:val="00D745E7"/>
    <w:rsid w:val="00D77495"/>
    <w:rsid w:val="00D774ED"/>
    <w:rsid w:val="00D777F6"/>
    <w:rsid w:val="00D77F88"/>
    <w:rsid w:val="00D8044C"/>
    <w:rsid w:val="00D81EAA"/>
    <w:rsid w:val="00D8259F"/>
    <w:rsid w:val="00D825F2"/>
    <w:rsid w:val="00D828B1"/>
    <w:rsid w:val="00D84F27"/>
    <w:rsid w:val="00D850D4"/>
    <w:rsid w:val="00D862D1"/>
    <w:rsid w:val="00D873C6"/>
    <w:rsid w:val="00D91027"/>
    <w:rsid w:val="00D937E0"/>
    <w:rsid w:val="00D94C7D"/>
    <w:rsid w:val="00D94CA4"/>
    <w:rsid w:val="00D94FB4"/>
    <w:rsid w:val="00D95E99"/>
    <w:rsid w:val="00DA098C"/>
    <w:rsid w:val="00DA1A3A"/>
    <w:rsid w:val="00DA2C65"/>
    <w:rsid w:val="00DA395D"/>
    <w:rsid w:val="00DA44EB"/>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D132B"/>
    <w:rsid w:val="00DD1725"/>
    <w:rsid w:val="00DD21B9"/>
    <w:rsid w:val="00DD2427"/>
    <w:rsid w:val="00DD2A18"/>
    <w:rsid w:val="00DD5AB3"/>
    <w:rsid w:val="00DD5B1A"/>
    <w:rsid w:val="00DD61E8"/>
    <w:rsid w:val="00DD62C0"/>
    <w:rsid w:val="00DD7859"/>
    <w:rsid w:val="00DE03AC"/>
    <w:rsid w:val="00DE0A1D"/>
    <w:rsid w:val="00DE15B2"/>
    <w:rsid w:val="00DE1A9A"/>
    <w:rsid w:val="00DE3D2C"/>
    <w:rsid w:val="00DE43D0"/>
    <w:rsid w:val="00DE5E82"/>
    <w:rsid w:val="00DE5FA6"/>
    <w:rsid w:val="00DE6494"/>
    <w:rsid w:val="00DE6AA1"/>
    <w:rsid w:val="00DE6C57"/>
    <w:rsid w:val="00DE74D7"/>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3D0"/>
    <w:rsid w:val="00E046A9"/>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405F1"/>
    <w:rsid w:val="00E43054"/>
    <w:rsid w:val="00E434C4"/>
    <w:rsid w:val="00E44FE4"/>
    <w:rsid w:val="00E45D30"/>
    <w:rsid w:val="00E46013"/>
    <w:rsid w:val="00E4654B"/>
    <w:rsid w:val="00E477C3"/>
    <w:rsid w:val="00E5048D"/>
    <w:rsid w:val="00E50AC4"/>
    <w:rsid w:val="00E50E2C"/>
    <w:rsid w:val="00E51077"/>
    <w:rsid w:val="00E5132D"/>
    <w:rsid w:val="00E51741"/>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395F"/>
    <w:rsid w:val="00E8473F"/>
    <w:rsid w:val="00E85E41"/>
    <w:rsid w:val="00E85EA1"/>
    <w:rsid w:val="00E91044"/>
    <w:rsid w:val="00E910D3"/>
    <w:rsid w:val="00E923CF"/>
    <w:rsid w:val="00E9335F"/>
    <w:rsid w:val="00E95111"/>
    <w:rsid w:val="00EA061E"/>
    <w:rsid w:val="00EA14C8"/>
    <w:rsid w:val="00EA19D3"/>
    <w:rsid w:val="00EA6649"/>
    <w:rsid w:val="00EB05D0"/>
    <w:rsid w:val="00EB07C5"/>
    <w:rsid w:val="00EB1D49"/>
    <w:rsid w:val="00EB42DD"/>
    <w:rsid w:val="00EB559F"/>
    <w:rsid w:val="00EB5F3D"/>
    <w:rsid w:val="00EB6EC2"/>
    <w:rsid w:val="00EC1CEB"/>
    <w:rsid w:val="00EC21A7"/>
    <w:rsid w:val="00EC268C"/>
    <w:rsid w:val="00EC3753"/>
    <w:rsid w:val="00EC398F"/>
    <w:rsid w:val="00EC3CB8"/>
    <w:rsid w:val="00EC3D46"/>
    <w:rsid w:val="00EC4E71"/>
    <w:rsid w:val="00EC6667"/>
    <w:rsid w:val="00EC7269"/>
    <w:rsid w:val="00ED0365"/>
    <w:rsid w:val="00ED0865"/>
    <w:rsid w:val="00ED094F"/>
    <w:rsid w:val="00ED16B6"/>
    <w:rsid w:val="00ED1C60"/>
    <w:rsid w:val="00ED2EB9"/>
    <w:rsid w:val="00ED4469"/>
    <w:rsid w:val="00ED5F23"/>
    <w:rsid w:val="00ED6DC0"/>
    <w:rsid w:val="00ED79CE"/>
    <w:rsid w:val="00ED7A7A"/>
    <w:rsid w:val="00EE038C"/>
    <w:rsid w:val="00EE040B"/>
    <w:rsid w:val="00EE47C5"/>
    <w:rsid w:val="00EE490C"/>
    <w:rsid w:val="00EE613B"/>
    <w:rsid w:val="00EE7E17"/>
    <w:rsid w:val="00EF2C8E"/>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37"/>
    <w:rsid w:val="00F53D40"/>
    <w:rsid w:val="00F545ED"/>
    <w:rsid w:val="00F5687F"/>
    <w:rsid w:val="00F5727D"/>
    <w:rsid w:val="00F575C7"/>
    <w:rsid w:val="00F60305"/>
    <w:rsid w:val="00F61B12"/>
    <w:rsid w:val="00F620C5"/>
    <w:rsid w:val="00F62398"/>
    <w:rsid w:val="00F626C5"/>
    <w:rsid w:val="00F631E8"/>
    <w:rsid w:val="00F63223"/>
    <w:rsid w:val="00F63264"/>
    <w:rsid w:val="00F6379E"/>
    <w:rsid w:val="00F70799"/>
    <w:rsid w:val="00F70906"/>
    <w:rsid w:val="00F70A8B"/>
    <w:rsid w:val="00F724FB"/>
    <w:rsid w:val="00F72578"/>
    <w:rsid w:val="00F72A26"/>
    <w:rsid w:val="00F733C3"/>
    <w:rsid w:val="00F756DD"/>
    <w:rsid w:val="00F75DB3"/>
    <w:rsid w:val="00F80047"/>
    <w:rsid w:val="00F8104D"/>
    <w:rsid w:val="00F81587"/>
    <w:rsid w:val="00F82571"/>
    <w:rsid w:val="00F85258"/>
    <w:rsid w:val="00F85B72"/>
    <w:rsid w:val="00F8766F"/>
    <w:rsid w:val="00F9104C"/>
    <w:rsid w:val="00F91082"/>
    <w:rsid w:val="00F91A9A"/>
    <w:rsid w:val="00F93ABB"/>
    <w:rsid w:val="00F94D79"/>
    <w:rsid w:val="00F975D3"/>
    <w:rsid w:val="00FA118A"/>
    <w:rsid w:val="00FA11CD"/>
    <w:rsid w:val="00FA31C7"/>
    <w:rsid w:val="00FA472D"/>
    <w:rsid w:val="00FA7254"/>
    <w:rsid w:val="00FB0214"/>
    <w:rsid w:val="00FB080C"/>
    <w:rsid w:val="00FB18F6"/>
    <w:rsid w:val="00FB2964"/>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6590"/>
    <w:rsid w:val="00FC75AC"/>
    <w:rsid w:val="00FD01BF"/>
    <w:rsid w:val="00FD0525"/>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8E5"/>
    <w:rsid w:val="01DF6ED8"/>
    <w:rsid w:val="023D3C0F"/>
    <w:rsid w:val="02511F9D"/>
    <w:rsid w:val="02E66FBD"/>
    <w:rsid w:val="03056ED3"/>
    <w:rsid w:val="034E5B8A"/>
    <w:rsid w:val="03821A33"/>
    <w:rsid w:val="03A314B8"/>
    <w:rsid w:val="03D82B98"/>
    <w:rsid w:val="03E655A0"/>
    <w:rsid w:val="03F83E8B"/>
    <w:rsid w:val="03FA5BAB"/>
    <w:rsid w:val="06AB7243"/>
    <w:rsid w:val="07001AF1"/>
    <w:rsid w:val="07B72767"/>
    <w:rsid w:val="08077E72"/>
    <w:rsid w:val="08890AE6"/>
    <w:rsid w:val="09CC2AAC"/>
    <w:rsid w:val="09D820EE"/>
    <w:rsid w:val="0A652D3E"/>
    <w:rsid w:val="0B3A48F0"/>
    <w:rsid w:val="0BE8528E"/>
    <w:rsid w:val="0C92213C"/>
    <w:rsid w:val="0D4F221D"/>
    <w:rsid w:val="0D84032B"/>
    <w:rsid w:val="10A27F31"/>
    <w:rsid w:val="10CA487C"/>
    <w:rsid w:val="11927058"/>
    <w:rsid w:val="12A604D9"/>
    <w:rsid w:val="12E97DAA"/>
    <w:rsid w:val="13AF4F03"/>
    <w:rsid w:val="14736E66"/>
    <w:rsid w:val="149B6AC2"/>
    <w:rsid w:val="15264037"/>
    <w:rsid w:val="15293653"/>
    <w:rsid w:val="1534169A"/>
    <w:rsid w:val="15C03E03"/>
    <w:rsid w:val="162A25EB"/>
    <w:rsid w:val="16FD2A55"/>
    <w:rsid w:val="17366761"/>
    <w:rsid w:val="177C01F0"/>
    <w:rsid w:val="17CE6630"/>
    <w:rsid w:val="17DC2DB3"/>
    <w:rsid w:val="19061566"/>
    <w:rsid w:val="19820BA0"/>
    <w:rsid w:val="19B1165B"/>
    <w:rsid w:val="1AFA16D5"/>
    <w:rsid w:val="1B4F19F8"/>
    <w:rsid w:val="1BD92184"/>
    <w:rsid w:val="1C3C4E61"/>
    <w:rsid w:val="1C5170A2"/>
    <w:rsid w:val="1CFE41C5"/>
    <w:rsid w:val="1D4061A8"/>
    <w:rsid w:val="1D815B4C"/>
    <w:rsid w:val="1E9B4F4B"/>
    <w:rsid w:val="1F063325"/>
    <w:rsid w:val="1FBC5DF5"/>
    <w:rsid w:val="1FC55574"/>
    <w:rsid w:val="1FD82001"/>
    <w:rsid w:val="1FFB5110"/>
    <w:rsid w:val="20781442"/>
    <w:rsid w:val="21326115"/>
    <w:rsid w:val="218A75A3"/>
    <w:rsid w:val="21B83F86"/>
    <w:rsid w:val="21E55E66"/>
    <w:rsid w:val="221178A8"/>
    <w:rsid w:val="221213CF"/>
    <w:rsid w:val="22236483"/>
    <w:rsid w:val="22327A92"/>
    <w:rsid w:val="22590D61"/>
    <w:rsid w:val="22965435"/>
    <w:rsid w:val="22BD6F35"/>
    <w:rsid w:val="231D53A2"/>
    <w:rsid w:val="23A36271"/>
    <w:rsid w:val="23B7504C"/>
    <w:rsid w:val="24571307"/>
    <w:rsid w:val="24BA2984"/>
    <w:rsid w:val="25246333"/>
    <w:rsid w:val="26446DE3"/>
    <w:rsid w:val="264D165B"/>
    <w:rsid w:val="26D7699F"/>
    <w:rsid w:val="2722121C"/>
    <w:rsid w:val="274A5E17"/>
    <w:rsid w:val="2813617D"/>
    <w:rsid w:val="2912495F"/>
    <w:rsid w:val="29E210ED"/>
    <w:rsid w:val="2B09065E"/>
    <w:rsid w:val="2B2A4E65"/>
    <w:rsid w:val="2B6B7072"/>
    <w:rsid w:val="2B774624"/>
    <w:rsid w:val="2B7C0995"/>
    <w:rsid w:val="2C7A72BE"/>
    <w:rsid w:val="2F401D3C"/>
    <w:rsid w:val="2FA95C88"/>
    <w:rsid w:val="3041370F"/>
    <w:rsid w:val="30B900DD"/>
    <w:rsid w:val="31083A05"/>
    <w:rsid w:val="32453A27"/>
    <w:rsid w:val="3263064A"/>
    <w:rsid w:val="32AC0C06"/>
    <w:rsid w:val="32BE2CA3"/>
    <w:rsid w:val="336562CD"/>
    <w:rsid w:val="336E78FE"/>
    <w:rsid w:val="34CA3F9D"/>
    <w:rsid w:val="3537750C"/>
    <w:rsid w:val="3537798C"/>
    <w:rsid w:val="357F7ED5"/>
    <w:rsid w:val="35C13FC9"/>
    <w:rsid w:val="362E6D87"/>
    <w:rsid w:val="364257B6"/>
    <w:rsid w:val="36F834D1"/>
    <w:rsid w:val="36FA2A83"/>
    <w:rsid w:val="374264D3"/>
    <w:rsid w:val="37DB7874"/>
    <w:rsid w:val="37EA5922"/>
    <w:rsid w:val="38276B93"/>
    <w:rsid w:val="3A0B64A7"/>
    <w:rsid w:val="3AF74C02"/>
    <w:rsid w:val="3B033E48"/>
    <w:rsid w:val="3BC6658C"/>
    <w:rsid w:val="3C0059A5"/>
    <w:rsid w:val="3C134E78"/>
    <w:rsid w:val="3CA136DB"/>
    <w:rsid w:val="3DF6345D"/>
    <w:rsid w:val="3EE13701"/>
    <w:rsid w:val="3F1A4BB3"/>
    <w:rsid w:val="40192BA6"/>
    <w:rsid w:val="410F4616"/>
    <w:rsid w:val="41257F1B"/>
    <w:rsid w:val="41C32627"/>
    <w:rsid w:val="42550A18"/>
    <w:rsid w:val="425600A9"/>
    <w:rsid w:val="42565626"/>
    <w:rsid w:val="42627205"/>
    <w:rsid w:val="42F473A1"/>
    <w:rsid w:val="441E62C0"/>
    <w:rsid w:val="44274ACD"/>
    <w:rsid w:val="45811C7C"/>
    <w:rsid w:val="45B8534F"/>
    <w:rsid w:val="4644585A"/>
    <w:rsid w:val="468B3EFB"/>
    <w:rsid w:val="46F9547C"/>
    <w:rsid w:val="470A6193"/>
    <w:rsid w:val="47947B37"/>
    <w:rsid w:val="47AD0F98"/>
    <w:rsid w:val="47DC4F5C"/>
    <w:rsid w:val="482A68F9"/>
    <w:rsid w:val="48B40671"/>
    <w:rsid w:val="49053137"/>
    <w:rsid w:val="499B5738"/>
    <w:rsid w:val="499F244D"/>
    <w:rsid w:val="4A8F58C2"/>
    <w:rsid w:val="4AF96BC7"/>
    <w:rsid w:val="4BFB4050"/>
    <w:rsid w:val="4CEF36E2"/>
    <w:rsid w:val="4D3B1120"/>
    <w:rsid w:val="4DAF4CC1"/>
    <w:rsid w:val="4DE70ED6"/>
    <w:rsid w:val="4F372FFB"/>
    <w:rsid w:val="4FA76FA4"/>
    <w:rsid w:val="513F391C"/>
    <w:rsid w:val="51564E44"/>
    <w:rsid w:val="515D0CC4"/>
    <w:rsid w:val="51FD51CE"/>
    <w:rsid w:val="525953CC"/>
    <w:rsid w:val="52C10D75"/>
    <w:rsid w:val="544A03E2"/>
    <w:rsid w:val="550C4BD7"/>
    <w:rsid w:val="55572986"/>
    <w:rsid w:val="57C7233A"/>
    <w:rsid w:val="59434B84"/>
    <w:rsid w:val="59F60831"/>
    <w:rsid w:val="5A957D93"/>
    <w:rsid w:val="5B3760D9"/>
    <w:rsid w:val="5C5352C5"/>
    <w:rsid w:val="5D1B26A7"/>
    <w:rsid w:val="5D2835C7"/>
    <w:rsid w:val="5D8D2FE3"/>
    <w:rsid w:val="5E9F376C"/>
    <w:rsid w:val="5F80710D"/>
    <w:rsid w:val="606007BB"/>
    <w:rsid w:val="60AC7F66"/>
    <w:rsid w:val="60D937A0"/>
    <w:rsid w:val="60EF62BC"/>
    <w:rsid w:val="618835DC"/>
    <w:rsid w:val="61BF10D9"/>
    <w:rsid w:val="61ED0262"/>
    <w:rsid w:val="62736A6B"/>
    <w:rsid w:val="629F7BDB"/>
    <w:rsid w:val="638E03D8"/>
    <w:rsid w:val="640C7C21"/>
    <w:rsid w:val="64567A45"/>
    <w:rsid w:val="6463489B"/>
    <w:rsid w:val="64E45EF7"/>
    <w:rsid w:val="657D1A47"/>
    <w:rsid w:val="66A57729"/>
    <w:rsid w:val="677435B2"/>
    <w:rsid w:val="67EF75F1"/>
    <w:rsid w:val="69124F16"/>
    <w:rsid w:val="69C64B0E"/>
    <w:rsid w:val="69CD5C14"/>
    <w:rsid w:val="69CF0D33"/>
    <w:rsid w:val="6AB24495"/>
    <w:rsid w:val="6B9946B3"/>
    <w:rsid w:val="6BA77809"/>
    <w:rsid w:val="6BD12B2E"/>
    <w:rsid w:val="6D1837C6"/>
    <w:rsid w:val="6DE76850"/>
    <w:rsid w:val="6E2E1A3E"/>
    <w:rsid w:val="6E9A1018"/>
    <w:rsid w:val="6EC4376E"/>
    <w:rsid w:val="6FB20BD4"/>
    <w:rsid w:val="6FBA59BE"/>
    <w:rsid w:val="70296B3E"/>
    <w:rsid w:val="70611204"/>
    <w:rsid w:val="7142407F"/>
    <w:rsid w:val="71680975"/>
    <w:rsid w:val="7234593E"/>
    <w:rsid w:val="72EF4CB6"/>
    <w:rsid w:val="74A90C7C"/>
    <w:rsid w:val="74FA2C30"/>
    <w:rsid w:val="7525362E"/>
    <w:rsid w:val="758D3E7D"/>
    <w:rsid w:val="75971ED7"/>
    <w:rsid w:val="76BC49EB"/>
    <w:rsid w:val="77000DA2"/>
    <w:rsid w:val="77B133DB"/>
    <w:rsid w:val="78121FA2"/>
    <w:rsid w:val="781E69D1"/>
    <w:rsid w:val="78340059"/>
    <w:rsid w:val="789B54DF"/>
    <w:rsid w:val="7A3F58DF"/>
    <w:rsid w:val="7ADD0453"/>
    <w:rsid w:val="7AF46346"/>
    <w:rsid w:val="7B0F5EBF"/>
    <w:rsid w:val="7B130FB9"/>
    <w:rsid w:val="7BDE0625"/>
    <w:rsid w:val="7BF64EDE"/>
    <w:rsid w:val="7C08003E"/>
    <w:rsid w:val="7C400C1E"/>
    <w:rsid w:val="7D41037E"/>
    <w:rsid w:val="7D6A4FC2"/>
    <w:rsid w:val="7DD11708"/>
    <w:rsid w:val="7DD83ECB"/>
    <w:rsid w:val="7EBC46EA"/>
    <w:rsid w:val="7EC167BD"/>
    <w:rsid w:val="7F3DBB14"/>
    <w:rsid w:val="7FC4310F"/>
    <w:rsid w:val="7FF82C26"/>
    <w:rsid w:val="8DEF3BEE"/>
    <w:rsid w:val="9F5DFCA4"/>
    <w:rsid w:val="BFD78AC9"/>
    <w:rsid w:val="DFFAD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1"/>
    <w:qFormat/>
    <w:uiPriority w:val="9"/>
    <w:pPr>
      <w:keepNext/>
      <w:keepLines/>
      <w:spacing w:before="280" w:after="290" w:line="376" w:lineRule="auto"/>
      <w:outlineLvl w:val="4"/>
    </w:pPr>
    <w:rPr>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ascii="宋体" w:hAnsi="宋体"/>
      <w:bCs/>
      <w:szCs w:val="21"/>
    </w:rPr>
  </w:style>
  <w:style w:type="paragraph" w:styleId="7">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50"/>
    <w:qFormat/>
    <w:uiPriority w:val="0"/>
    <w:pPr>
      <w:jc w:val="left"/>
    </w:pPr>
  </w:style>
  <w:style w:type="paragraph" w:styleId="10">
    <w:name w:val="Body Text 3"/>
    <w:basedOn w:val="1"/>
    <w:link w:val="49"/>
    <w:unhideWhenUsed/>
    <w:qFormat/>
    <w:uiPriority w:val="99"/>
    <w:pPr>
      <w:spacing w:after="120"/>
    </w:pPr>
    <w:rPr>
      <w:sz w:val="16"/>
      <w:szCs w:val="16"/>
    </w:rPr>
  </w:style>
  <w:style w:type="paragraph" w:styleId="11">
    <w:name w:val="Body Text"/>
    <w:basedOn w:val="1"/>
    <w:link w:val="48"/>
    <w:unhideWhenUsed/>
    <w:qFormat/>
    <w:uiPriority w:val="0"/>
    <w:pPr>
      <w:spacing w:after="120"/>
    </w:pPr>
  </w:style>
  <w:style w:type="paragraph" w:styleId="12">
    <w:name w:val="Body Text Indent"/>
    <w:basedOn w:val="1"/>
    <w:link w:val="46"/>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5"/>
    <w:link w:val="57"/>
    <w:qFormat/>
    <w:uiPriority w:val="0"/>
    <w:rPr>
      <w:rFonts w:ascii="宋体" w:hAnsi="Courier New"/>
      <w:kern w:val="0"/>
      <w:sz w:val="20"/>
      <w:szCs w:val="21"/>
    </w:rPr>
  </w:style>
  <w:style w:type="paragraph" w:styleId="15">
    <w:name w:val="Date"/>
    <w:basedOn w:val="1"/>
    <w:next w:val="1"/>
    <w:link w:val="45"/>
    <w:unhideWhenUsed/>
    <w:qFormat/>
    <w:uiPriority w:val="99"/>
    <w:pPr>
      <w:ind w:left="100" w:leftChars="2500"/>
    </w:pPr>
  </w:style>
  <w:style w:type="paragraph" w:styleId="16">
    <w:name w:val="Balloon Text"/>
    <w:basedOn w:val="1"/>
    <w:semiHidden/>
    <w:qFormat/>
    <w:uiPriority w:val="0"/>
    <w:rPr>
      <w:sz w:val="18"/>
      <w:szCs w:val="18"/>
    </w:rPr>
  </w:style>
  <w:style w:type="paragraph" w:styleId="17">
    <w:name w:val="footer"/>
    <w:basedOn w:val="1"/>
    <w:link w:val="44"/>
    <w:unhideWhenUsed/>
    <w:qFormat/>
    <w:uiPriority w:val="99"/>
    <w:pPr>
      <w:tabs>
        <w:tab w:val="center" w:pos="4153"/>
        <w:tab w:val="right" w:pos="8306"/>
      </w:tabs>
      <w:snapToGrid w:val="0"/>
      <w:jc w:val="left"/>
    </w:pPr>
    <w:rPr>
      <w:kern w:val="0"/>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rPr>
      <w:rFonts w:ascii="Calibri" w:hAnsi="Calibri"/>
      <w:kern w:val="0"/>
      <w:sz w:val="24"/>
    </w:rPr>
  </w:style>
  <w:style w:type="paragraph" w:styleId="22">
    <w:name w:val="annotation subject"/>
    <w:basedOn w:val="9"/>
    <w:next w:val="9"/>
    <w:link w:val="56"/>
    <w:qFormat/>
    <w:uiPriority w:val="99"/>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paragraph" w:customStyle="1" w:styleId="28">
    <w:name w:val="默认段落字体 Para Char Char Char Char Char Char Char Char Char1 Char Char Char Char"/>
    <w:basedOn w:val="1"/>
    <w:qFormat/>
    <w:uiPriority w:val="0"/>
    <w:rPr>
      <w:rFonts w:ascii="Tahoma" w:hAnsi="Tahoma"/>
      <w:sz w:val="24"/>
      <w:szCs w:val="20"/>
    </w:rPr>
  </w:style>
  <w:style w:type="paragraph" w:customStyle="1" w:styleId="29">
    <w:name w:val="_Style 27"/>
    <w:basedOn w:val="1"/>
    <w:qFormat/>
    <w:uiPriority w:val="34"/>
    <w:pPr>
      <w:ind w:firstLine="420" w:firstLineChars="200"/>
    </w:pPr>
  </w:style>
  <w:style w:type="paragraph" w:customStyle="1" w:styleId="30">
    <w:name w:val="表格文字"/>
    <w:basedOn w:val="1"/>
    <w:qFormat/>
    <w:uiPriority w:val="99"/>
    <w:pPr>
      <w:spacing w:before="25" w:after="25"/>
      <w:jc w:val="left"/>
    </w:pPr>
    <w:rPr>
      <w:bCs/>
      <w:spacing w:val="10"/>
      <w:kern w:val="0"/>
      <w:sz w:val="24"/>
    </w:rPr>
  </w:style>
  <w:style w:type="paragraph" w:customStyle="1" w:styleId="3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2">
    <w:name w:val="Table Paragraph"/>
    <w:basedOn w:val="1"/>
    <w:qFormat/>
    <w:uiPriority w:val="1"/>
    <w:pPr>
      <w:jc w:val="left"/>
    </w:pPr>
    <w:rPr>
      <w:rFonts w:ascii="Calibri" w:hAnsi="Calibri"/>
      <w:kern w:val="0"/>
      <w:sz w:val="22"/>
      <w:szCs w:val="22"/>
      <w:lang w:eastAsia="en-US"/>
    </w:rPr>
  </w:style>
  <w:style w:type="character" w:customStyle="1" w:styleId="33">
    <w:name w:val="font21"/>
    <w:qFormat/>
    <w:uiPriority w:val="0"/>
    <w:rPr>
      <w:rFonts w:hint="eastAsia" w:ascii="宋体" w:hAnsi="宋体" w:eastAsia="宋体" w:cs="宋体"/>
      <w:color w:val="000000"/>
      <w:sz w:val="18"/>
      <w:szCs w:val="18"/>
    </w:rPr>
  </w:style>
  <w:style w:type="character" w:customStyle="1" w:styleId="34">
    <w:name w:val="正文文本缩进 字符1"/>
    <w:qFormat/>
    <w:uiPriority w:val="0"/>
    <w:rPr>
      <w:rFonts w:ascii="仿宋_GB2312" w:hAnsi="Times New Roman" w:eastAsia="仿宋_GB2312" w:cs="Times New Roman"/>
      <w:sz w:val="32"/>
      <w:szCs w:val="20"/>
    </w:rPr>
  </w:style>
  <w:style w:type="character" w:customStyle="1" w:styleId="35">
    <w:name w:val="批注文字 Char2"/>
    <w:qFormat/>
    <w:uiPriority w:val="0"/>
    <w:rPr>
      <w:rFonts w:ascii="Times New Roman" w:hAnsi="Times New Roman"/>
      <w:kern w:val="2"/>
      <w:sz w:val="21"/>
      <w:szCs w:val="24"/>
    </w:rPr>
  </w:style>
  <w:style w:type="character" w:customStyle="1" w:styleId="36">
    <w:name w:val="批注文字 字符2"/>
    <w:qFormat/>
    <w:uiPriority w:val="0"/>
    <w:rPr>
      <w:rFonts w:ascii="Times New Roman" w:hAnsi="Times New Roman"/>
      <w:kern w:val="2"/>
      <w:sz w:val="21"/>
      <w:szCs w:val="24"/>
    </w:rPr>
  </w:style>
  <w:style w:type="character" w:customStyle="1" w:styleId="37">
    <w:name w:val="纯文本 字符2"/>
    <w:qFormat/>
    <w:uiPriority w:val="0"/>
    <w:rPr>
      <w:rFonts w:ascii="宋体" w:hAnsi="Courier New" w:eastAsia="宋体" w:cs="Courier New"/>
      <w:szCs w:val="21"/>
    </w:rPr>
  </w:style>
  <w:style w:type="character" w:customStyle="1" w:styleId="38">
    <w:name w:val="批注文字 字符1"/>
    <w:qFormat/>
    <w:uiPriority w:val="0"/>
    <w:rPr>
      <w:kern w:val="2"/>
      <w:sz w:val="21"/>
      <w:szCs w:val="24"/>
    </w:rPr>
  </w:style>
  <w:style w:type="character" w:customStyle="1" w:styleId="39">
    <w:name w:val="标题 1 字符"/>
    <w:qFormat/>
    <w:uiPriority w:val="9"/>
    <w:rPr>
      <w:b/>
      <w:bCs/>
      <w:kern w:val="44"/>
      <w:sz w:val="44"/>
      <w:szCs w:val="44"/>
    </w:rPr>
  </w:style>
  <w:style w:type="character" w:customStyle="1" w:styleId="40">
    <w:name w:val="纯文本 字符1"/>
    <w:qFormat/>
    <w:uiPriority w:val="0"/>
    <w:rPr>
      <w:rFonts w:ascii="宋体" w:hAnsi="Courier New"/>
    </w:rPr>
  </w:style>
  <w:style w:type="character" w:customStyle="1" w:styleId="41">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2">
    <w:name w:val="apple-style-span"/>
    <w:qFormat/>
    <w:uiPriority w:val="0"/>
  </w:style>
  <w:style w:type="character" w:customStyle="1" w:styleId="43">
    <w:name w:val="页眉 Char"/>
    <w:link w:val="18"/>
    <w:qFormat/>
    <w:uiPriority w:val="99"/>
    <w:rPr>
      <w:sz w:val="18"/>
      <w:szCs w:val="18"/>
    </w:rPr>
  </w:style>
  <w:style w:type="character" w:customStyle="1" w:styleId="44">
    <w:name w:val="页脚 Char1"/>
    <w:link w:val="17"/>
    <w:qFormat/>
    <w:uiPriority w:val="99"/>
    <w:rPr>
      <w:sz w:val="18"/>
      <w:szCs w:val="18"/>
    </w:rPr>
  </w:style>
  <w:style w:type="character" w:customStyle="1" w:styleId="45">
    <w:name w:val="日期 Char"/>
    <w:link w:val="15"/>
    <w:semiHidden/>
    <w:qFormat/>
    <w:uiPriority w:val="99"/>
    <w:rPr>
      <w:rFonts w:ascii="Times New Roman" w:hAnsi="Times New Roman"/>
      <w:kern w:val="2"/>
      <w:sz w:val="21"/>
      <w:szCs w:val="24"/>
    </w:rPr>
  </w:style>
  <w:style w:type="character" w:customStyle="1" w:styleId="46">
    <w:name w:val="正文文本缩进 Char"/>
    <w:link w:val="12"/>
    <w:qFormat/>
    <w:uiPriority w:val="0"/>
    <w:rPr>
      <w:rFonts w:ascii="仿宋_GB2312" w:hAnsi="Times New Roman" w:eastAsia="仿宋_GB2312" w:cs="Times New Roman"/>
      <w:sz w:val="32"/>
      <w:szCs w:val="20"/>
    </w:rPr>
  </w:style>
  <w:style w:type="character" w:customStyle="1" w:styleId="47">
    <w:name w:val="批注文字 Char1"/>
    <w:qFormat/>
    <w:uiPriority w:val="0"/>
    <w:rPr>
      <w:rFonts w:ascii="Times New Roman" w:hAnsi="Times New Roman"/>
      <w:kern w:val="2"/>
      <w:sz w:val="21"/>
      <w:szCs w:val="24"/>
    </w:rPr>
  </w:style>
  <w:style w:type="character" w:customStyle="1" w:styleId="48">
    <w:name w:val="正文文本 Char"/>
    <w:link w:val="11"/>
    <w:qFormat/>
    <w:uiPriority w:val="0"/>
    <w:rPr>
      <w:rFonts w:ascii="Times New Roman" w:hAnsi="Times New Roman"/>
      <w:kern w:val="2"/>
      <w:sz w:val="21"/>
      <w:szCs w:val="24"/>
    </w:rPr>
  </w:style>
  <w:style w:type="character" w:customStyle="1" w:styleId="49">
    <w:name w:val="正文文本 3 Char"/>
    <w:link w:val="10"/>
    <w:semiHidden/>
    <w:qFormat/>
    <w:uiPriority w:val="99"/>
    <w:rPr>
      <w:rFonts w:ascii="Times New Roman" w:hAnsi="Times New Roman"/>
      <w:kern w:val="2"/>
      <w:sz w:val="16"/>
      <w:szCs w:val="16"/>
    </w:rPr>
  </w:style>
  <w:style w:type="character" w:customStyle="1" w:styleId="50">
    <w:name w:val="批注文字 Char"/>
    <w:link w:val="9"/>
    <w:qFormat/>
    <w:uiPriority w:val="0"/>
    <w:rPr>
      <w:rFonts w:ascii="Times New Roman" w:hAnsi="Times New Roman"/>
      <w:kern w:val="2"/>
      <w:sz w:val="21"/>
      <w:szCs w:val="24"/>
    </w:rPr>
  </w:style>
  <w:style w:type="character" w:customStyle="1" w:styleId="51">
    <w:name w:val="标题 5 Char"/>
    <w:link w:val="6"/>
    <w:semiHidden/>
    <w:qFormat/>
    <w:uiPriority w:val="9"/>
    <w:rPr>
      <w:rFonts w:ascii="Times New Roman" w:hAnsi="Times New Roman"/>
      <w:b/>
      <w:bCs/>
      <w:kern w:val="2"/>
      <w:sz w:val="28"/>
      <w:szCs w:val="28"/>
    </w:rPr>
  </w:style>
  <w:style w:type="character" w:customStyle="1" w:styleId="52">
    <w:name w:val="标题 2 Char"/>
    <w:link w:val="4"/>
    <w:qFormat/>
    <w:uiPriority w:val="9"/>
    <w:rPr>
      <w:rFonts w:ascii="Cambria" w:hAnsi="Cambria" w:eastAsia="宋体" w:cs="Times New Roman"/>
      <w:b/>
      <w:bCs/>
      <w:kern w:val="2"/>
      <w:sz w:val="32"/>
      <w:szCs w:val="32"/>
    </w:rPr>
  </w:style>
  <w:style w:type="character" w:customStyle="1" w:styleId="53">
    <w:name w:val="标题 1 Char"/>
    <w:link w:val="3"/>
    <w:qFormat/>
    <w:uiPriority w:val="0"/>
    <w:rPr>
      <w:b/>
      <w:bCs/>
      <w:kern w:val="44"/>
      <w:sz w:val="44"/>
      <w:szCs w:val="44"/>
    </w:rPr>
  </w:style>
  <w:style w:type="character" w:customStyle="1" w:styleId="54">
    <w:name w:val="页脚 Char"/>
    <w:qFormat/>
    <w:uiPriority w:val="99"/>
    <w:rPr>
      <w:lang w:eastAsia="zh-CN"/>
    </w:rPr>
  </w:style>
  <w:style w:type="character" w:customStyle="1" w:styleId="55">
    <w:name w:val="纯文本 Char1"/>
    <w:qFormat/>
    <w:uiPriority w:val="0"/>
    <w:rPr>
      <w:rFonts w:ascii="宋体" w:hAnsi="Courier New" w:eastAsia="宋体" w:cs="Courier New"/>
      <w:szCs w:val="21"/>
    </w:rPr>
  </w:style>
  <w:style w:type="character" w:customStyle="1" w:styleId="56">
    <w:name w:val="批注主题 Char"/>
    <w:link w:val="22"/>
    <w:qFormat/>
    <w:uiPriority w:val="99"/>
    <w:rPr>
      <w:rFonts w:ascii="Times New Roman" w:hAnsi="Times New Roman"/>
      <w:b/>
      <w:bCs/>
      <w:kern w:val="2"/>
      <w:sz w:val="21"/>
      <w:szCs w:val="24"/>
    </w:rPr>
  </w:style>
  <w:style w:type="character" w:customStyle="1" w:styleId="57">
    <w:name w:val="纯文本 Char"/>
    <w:link w:val="14"/>
    <w:qFormat/>
    <w:uiPriority w:val="0"/>
    <w:rPr>
      <w:rFonts w:ascii="宋体" w:hAnsi="Courier New" w:eastAsia="宋体" w:cs="Courier New"/>
      <w:szCs w:val="21"/>
    </w:rPr>
  </w:style>
  <w:style w:type="character" w:customStyle="1" w:styleId="58">
    <w:name w:val="textcontents"/>
    <w:qFormat/>
    <w:uiPriority w:val="0"/>
  </w:style>
  <w:style w:type="table" w:customStyle="1" w:styleId="59">
    <w:name w:val="Table Normal"/>
    <w:unhideWhenUsed/>
    <w:qFormat/>
    <w:uiPriority w:val="0"/>
    <w:tblPr>
      <w:tblCellMar>
        <w:top w:w="0" w:type="dxa"/>
        <w:left w:w="0" w:type="dxa"/>
        <w:bottom w:w="0" w:type="dxa"/>
        <w:right w:w="0" w:type="dxa"/>
      </w:tblCellMar>
    </w:tblPr>
  </w:style>
  <w:style w:type="paragraph" w:styleId="60">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62</Pages>
  <Words>36955</Words>
  <Characters>39519</Characters>
  <Lines>330</Lines>
  <Paragraphs>92</Paragraphs>
  <TotalTime>0</TotalTime>
  <ScaleCrop>false</ScaleCrop>
  <LinksUpToDate>false</LinksUpToDate>
  <CharactersWithSpaces>40885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2022-07-15T09:21:00Z</dcterms:created>
  <dc:creator>KWZB</dc:creator>
  <cp:lastModifiedBy>Administrator</cp:lastModifiedBy>
  <cp:lastPrinted>2020-04-04T00:20:00Z</cp:lastPrinted>
  <dcterms:modified xsi:type="dcterms:W3CDTF">2022-08-09T09:20:31Z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679E1373ED2145E8BAC720202930744F</vt:lpwstr>
  </property>
</Properties>
</file>