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1"/>
        </w:numPr>
        <w:rPr>
          <w:rFonts w:hint="eastAsia" w:ascii="宋体" w:hAnsi="宋体" w:eastAsia="宋体" w:cs="宋体"/>
          <w:szCs w:val="28"/>
        </w:rPr>
      </w:pPr>
      <w:bookmarkStart w:id="0" w:name="_Toc28848"/>
      <w:r>
        <w:rPr>
          <w:rFonts w:hint="eastAsia" w:ascii="宋体" w:hAnsi="宋体" w:eastAsia="宋体" w:cs="宋体"/>
          <w:szCs w:val="28"/>
        </w:rPr>
        <w:t>采购项目技术、服务及其他商务要求</w:t>
      </w:r>
      <w:bookmarkEnd w:id="0"/>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技术参数</w:t>
      </w:r>
    </w:p>
    <w:p>
      <w:pPr>
        <w:rPr>
          <w:rFonts w:hint="eastAsia" w:ascii="宋体" w:hAnsi="宋体" w:eastAsia="宋体" w:cs="宋体"/>
          <w:lang w:val="en-US" w:eastAsia="zh-CN"/>
        </w:rPr>
      </w:pPr>
    </w:p>
    <w:tbl>
      <w:tblPr>
        <w:tblStyle w:val="7"/>
        <w:tblW w:w="47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7"/>
        <w:gridCol w:w="1536"/>
        <w:gridCol w:w="623"/>
        <w:gridCol w:w="779"/>
        <w:gridCol w:w="45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序号</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标的物名称</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w:t>
            </w:r>
          </w:p>
        </w:tc>
        <w:tc>
          <w:tcPr>
            <w:tcW w:w="275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1"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滚杠提升机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1.所有输送主体及接触物料的零部件采用不锈钢或食品级胶皮:</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2.输送物料为:枳实；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4.输送能力</w:t>
            </w:r>
            <w:r>
              <w:rPr>
                <w:rFonts w:hint="eastAsia" w:ascii="宋体" w:hAnsi="宋体" w:eastAsia="宋体" w:cs="宋体"/>
                <w:sz w:val="24"/>
                <w:szCs w:val="24"/>
              </w:rPr>
              <w:t>≥</w:t>
            </w:r>
            <w:r>
              <w:rPr>
                <w:rFonts w:hint="eastAsia" w:ascii="宋体" w:hAnsi="宋体" w:eastAsia="宋体" w:cs="宋体"/>
                <w:sz w:val="24"/>
                <w:szCs w:val="24"/>
                <w:lang w:val="en-US" w:eastAsia="zh-CN"/>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5.功率:</w:t>
            </w:r>
            <w:r>
              <w:rPr>
                <w:rFonts w:hint="eastAsia" w:ascii="宋体" w:hAnsi="宋体" w:eastAsia="宋体" w:cs="宋体"/>
                <w:sz w:val="24"/>
                <w:szCs w:val="24"/>
              </w:rPr>
              <w:t>≤</w:t>
            </w:r>
            <w:r>
              <w:rPr>
                <w:rFonts w:hint="eastAsia" w:ascii="宋体" w:hAnsi="宋体" w:eastAsia="宋体" w:cs="宋体"/>
                <w:sz w:val="24"/>
                <w:szCs w:val="24"/>
                <w:lang w:val="en-US" w:eastAsia="zh-CN"/>
              </w:rPr>
              <w:t>0.75kw；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6.配料斗，与滚杠分级机衔接，注意底部密封，不可漏料；</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7.斜坡端配底部接料板，支架配可调脚垫；</w:t>
            </w:r>
          </w:p>
          <w:p>
            <w:pPr>
              <w:pStyle w:val="5"/>
              <w:keepNext w:val="0"/>
              <w:keepLines w:val="0"/>
              <w:pageBreakBefore w:val="0"/>
              <w:kinsoku/>
              <w:wordWrap/>
              <w:overflowPunct/>
              <w:topLinePunct w:val="0"/>
              <w:autoSpaceDE/>
              <w:autoSpaceDN/>
              <w:bidi w:val="0"/>
              <w:adjustRightInd/>
              <w:snapToGrid/>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8.该设备为非标定制，尺寸约有偏差。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6"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滚杠分级机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1.所有输送主体及接触物料的零部件采用不锈钢或食品级胶皮；</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2.分选物料为:枳实；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3.输送能力</w:t>
            </w:r>
            <w:r>
              <w:rPr>
                <w:rFonts w:hint="eastAsia" w:ascii="宋体" w:hAnsi="宋体" w:eastAsia="宋体" w:cs="宋体"/>
                <w:sz w:val="24"/>
                <w:szCs w:val="24"/>
              </w:rPr>
              <w:t>≥</w:t>
            </w:r>
            <w:r>
              <w:rPr>
                <w:rFonts w:hint="eastAsia" w:ascii="宋体" w:hAnsi="宋体" w:eastAsia="宋体" w:cs="宋体"/>
                <w:sz w:val="24"/>
                <w:szCs w:val="24"/>
                <w:lang w:val="en-US" w:eastAsia="zh-CN"/>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4.功率</w:t>
            </w:r>
            <w:r>
              <w:rPr>
                <w:rFonts w:hint="eastAsia" w:ascii="宋体" w:hAnsi="宋体" w:eastAsia="宋体" w:cs="宋体"/>
                <w:sz w:val="24"/>
                <w:szCs w:val="24"/>
              </w:rPr>
              <w:t>≤</w:t>
            </w:r>
            <w:r>
              <w:rPr>
                <w:rFonts w:hint="eastAsia" w:ascii="宋体" w:hAnsi="宋体" w:eastAsia="宋体" w:cs="宋体"/>
                <w:sz w:val="24"/>
                <w:szCs w:val="24"/>
                <w:lang w:val="en-US" w:eastAsia="zh-CN"/>
              </w:rPr>
              <w:t>1.5kw；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5.分级等级:3个等级。</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6.设备底座带调节脚杯；</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7.输送机底部配料斗；</w:t>
            </w:r>
          </w:p>
          <w:p>
            <w:pPr>
              <w:pStyle w:val="5"/>
              <w:keepNext w:val="0"/>
              <w:keepLines w:val="0"/>
              <w:pageBreakBefore w:val="0"/>
              <w:kinsoku/>
              <w:wordWrap/>
              <w:overflowPunct/>
              <w:topLinePunct w:val="0"/>
              <w:autoSpaceDE/>
              <w:autoSpaceDN/>
              <w:bidi w:val="0"/>
              <w:adjustRightInd/>
              <w:snapToGrid/>
              <w:ind w:left="0" w:leftChars="0" w:firstLine="480" w:firstLineChars="200"/>
              <w:rPr>
                <w:rFonts w:hint="eastAsia" w:ascii="宋体" w:hAnsi="宋体" w:eastAsia="宋体" w:cs="宋体"/>
                <w:b/>
                <w:bCs/>
                <w:sz w:val="24"/>
                <w:szCs w:val="24"/>
              </w:rPr>
            </w:pPr>
            <w:r>
              <w:rPr>
                <w:rFonts w:hint="eastAsia" w:ascii="宋体" w:hAnsi="宋体" w:eastAsia="宋体" w:cs="宋体"/>
                <w:sz w:val="24"/>
                <w:szCs w:val="24"/>
                <w:lang w:val="en-US" w:eastAsia="zh-CN"/>
              </w:rPr>
              <w:t>8.该设备为非标定制，尺寸约有偏差。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1"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进仓提升机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5.输送能力</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6.功率</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1.1kw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连体暂存仓</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1、碳钢框架喷漆；</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2、满足生产暂存容量。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1"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出料提升机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5.输送能力</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6.功率</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1.1kw。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3"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转弯提升机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5.输送能力</w:t>
            </w:r>
            <w:r>
              <w:rPr>
                <w:rFonts w:hint="eastAsia" w:ascii="宋体" w:hAnsi="宋体" w:eastAsia="宋体" w:cs="宋体"/>
                <w:sz w:val="24"/>
                <w:szCs w:val="24"/>
              </w:rPr>
              <w:t>≥</w:t>
            </w:r>
            <w:r>
              <w:rPr>
                <w:rFonts w:hint="eastAsia" w:ascii="宋体" w:hAnsi="宋体" w:eastAsia="宋体" w:cs="宋体"/>
                <w:sz w:val="24"/>
                <w:szCs w:val="24"/>
                <w:lang w:val="en-US" w:eastAsia="zh-CN"/>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6.功率</w:t>
            </w:r>
            <w:r>
              <w:rPr>
                <w:rFonts w:hint="eastAsia" w:ascii="宋体" w:hAnsi="宋体" w:eastAsia="宋体" w:cs="宋体"/>
                <w:sz w:val="24"/>
                <w:szCs w:val="24"/>
              </w:rPr>
              <w:t>≤</w:t>
            </w:r>
            <w:r>
              <w:rPr>
                <w:rFonts w:hint="eastAsia" w:ascii="宋体" w:hAnsi="宋体" w:eastAsia="宋体" w:cs="宋体"/>
                <w:sz w:val="24"/>
                <w:szCs w:val="24"/>
                <w:lang w:val="en-US" w:eastAsia="zh-CN"/>
              </w:rPr>
              <w:t>1.5kw；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b/>
                <w:bCs/>
                <w:sz w:val="24"/>
                <w:szCs w:val="24"/>
              </w:rPr>
            </w:pPr>
            <w:r>
              <w:rPr>
                <w:rFonts w:hint="eastAsia" w:ascii="宋体" w:hAnsi="宋体" w:eastAsia="宋体" w:cs="宋体"/>
                <w:sz w:val="24"/>
                <w:szCs w:val="24"/>
                <w:lang w:val="en-US" w:eastAsia="zh-CN"/>
              </w:rPr>
              <w:t>7、耕地瑞配座都接料板，支架配可调脚杯。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切半机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1、碳钢材质。</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2、自动机械切半，速度可调整。</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3、功率</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1.5KW。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74"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高速切片机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5.处理能力</w:t>
            </w:r>
            <w:r>
              <w:rPr>
                <w:rFonts w:hint="eastAsia" w:ascii="宋体" w:hAnsi="宋体" w:eastAsia="宋体" w:cs="宋体"/>
                <w:sz w:val="24"/>
                <w:szCs w:val="24"/>
              </w:rPr>
              <w:t>≥</w:t>
            </w:r>
            <w:r>
              <w:rPr>
                <w:rFonts w:hint="eastAsia" w:ascii="宋体" w:hAnsi="宋体" w:eastAsia="宋体" w:cs="宋体"/>
                <w:sz w:val="24"/>
                <w:szCs w:val="24"/>
                <w:lang w:val="en-US" w:eastAsia="zh-CN"/>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6.功率</w:t>
            </w:r>
            <w:r>
              <w:rPr>
                <w:rFonts w:hint="eastAsia" w:ascii="宋体" w:hAnsi="宋体" w:eastAsia="宋体" w:cs="宋体"/>
                <w:sz w:val="24"/>
                <w:szCs w:val="24"/>
              </w:rPr>
              <w:t>≤</w:t>
            </w:r>
            <w:r>
              <w:rPr>
                <w:rFonts w:hint="eastAsia" w:ascii="宋体" w:hAnsi="宋体" w:eastAsia="宋体" w:cs="宋体"/>
                <w:sz w:val="24"/>
                <w:szCs w:val="24"/>
                <w:lang w:val="en-US" w:eastAsia="zh-CN"/>
              </w:rPr>
              <w:t>1.5kw；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7、耕地瑞配座都接料板，支架配可调脚杯。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4"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提升输送机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5.输送能力</w:t>
            </w:r>
            <w:r>
              <w:rPr>
                <w:rFonts w:hint="eastAsia" w:ascii="宋体" w:hAnsi="宋体" w:eastAsia="宋体" w:cs="宋体"/>
                <w:sz w:val="24"/>
                <w:szCs w:val="24"/>
              </w:rPr>
              <w:t>≥</w:t>
            </w:r>
            <w:r>
              <w:rPr>
                <w:rFonts w:hint="eastAsia" w:ascii="宋体" w:hAnsi="宋体" w:eastAsia="宋体" w:cs="宋体"/>
                <w:sz w:val="24"/>
                <w:szCs w:val="24"/>
                <w:lang w:val="en-US" w:eastAsia="zh-CN"/>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6.功率</w:t>
            </w:r>
            <w:r>
              <w:rPr>
                <w:rFonts w:hint="eastAsia" w:ascii="宋体" w:hAnsi="宋体" w:eastAsia="宋体" w:cs="宋体"/>
                <w:sz w:val="24"/>
                <w:szCs w:val="24"/>
              </w:rPr>
              <w:t>≤</w:t>
            </w:r>
            <w:r>
              <w:rPr>
                <w:rFonts w:hint="eastAsia" w:ascii="宋体" w:hAnsi="宋体" w:eastAsia="宋体" w:cs="宋体"/>
                <w:sz w:val="24"/>
                <w:szCs w:val="24"/>
                <w:lang w:val="en-US" w:eastAsia="zh-CN"/>
              </w:rPr>
              <w:t>1.5kw；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7、耕地瑞配座都接料板，支架配可调脚杯。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9"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摆臂式布料机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1.有效带宽600mmPVC皮带输送；</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2.所有输透主体及接触物料的零部件采用不锈钢或食品级材质制作，链板两侧需加食品级夹布胶皮挡边；</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3.设备底座带调节脚杯；</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4.按臂角度两角可以微调5°。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4"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枳壳静压脉冲式烘干机 蓄电能</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1主传动系统：分层独立前驱传动，变频调速，承重层受力。</w:t>
            </w:r>
          </w:p>
          <w:p>
            <w:pPr>
              <w:pStyle w:val="9"/>
              <w:keepNext w:val="0"/>
              <w:keepLines w:val="0"/>
              <w:pageBreakBefore w:val="0"/>
              <w:kinsoku/>
              <w:wordWrap/>
              <w:overflowPunct/>
              <w:topLinePunct w:val="0"/>
              <w:autoSpaceDE/>
              <w:autoSpaceDN/>
              <w:bidi w:val="0"/>
              <w:adjustRightInd/>
              <w:snapToGrid/>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2、设备配置标准：设备所有与物料接触部分采用不锈钢 304 材料，主体框架等其他部分采用碳钢酸洗磷化喷塑保护，配置移动挡板系统，所有与物料接触部分没有相对摩擦；整机采用螺丝冷连接（除轨道外）。</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链条：采用新型合金钢专业套筒滚子链+一体化防磨损边导轮，配置自动张紧、自动加油润滑系统（免维护）链条链轮双驱传动技术，承重层受力（上张紧），互锁联动保护系统，采用机械锻压制造而成，链条极限拉力荷载</w:t>
            </w:r>
            <w:r>
              <w:rPr>
                <w:rFonts w:hint="eastAsia" w:ascii="宋体" w:hAnsi="宋体" w:eastAsia="宋体" w:cs="宋体"/>
                <w:sz w:val="24"/>
                <w:szCs w:val="24"/>
              </w:rPr>
              <w:t>≥90.17kN</w:t>
            </w:r>
            <w:r>
              <w:rPr>
                <w:rFonts w:hint="eastAsia" w:ascii="宋体" w:hAnsi="宋体" w:cs="宋体"/>
                <w:sz w:val="24"/>
                <w:szCs w:val="24"/>
                <w:lang w:eastAsia="zh-CN"/>
              </w:rPr>
              <w:t>；链条节距</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63.5</w:t>
            </w:r>
            <w:r>
              <w:rPr>
                <w:rFonts w:hint="eastAsia" w:ascii="宋体" w:hAnsi="宋体" w:eastAsia="宋体" w:cs="宋体"/>
                <w:i w:val="0"/>
                <w:iCs w:val="0"/>
                <w:color w:val="000000"/>
                <w:kern w:val="0"/>
                <w:sz w:val="24"/>
                <w:szCs w:val="24"/>
                <w:u w:val="none"/>
                <w:lang w:val="en-US" w:eastAsia="zh-CN" w:bidi="ar"/>
              </w:rPr>
              <w:t>mm</w:t>
            </w:r>
            <w:r>
              <w:rPr>
                <w:rFonts w:hint="eastAsia" w:ascii="宋体" w:hAnsi="宋体" w:cs="宋体"/>
                <w:i w:val="0"/>
                <w:iCs w:val="0"/>
                <w:color w:val="000000"/>
                <w:kern w:val="0"/>
                <w:sz w:val="24"/>
                <w:szCs w:val="24"/>
                <w:u w:val="none"/>
                <w:lang w:val="en-US" w:eastAsia="zh-CN" w:bidi="ar"/>
              </w:rPr>
              <w:t>提供</w:t>
            </w:r>
            <w:r>
              <w:rPr>
                <w:rFonts w:hint="eastAsia" w:ascii="宋体" w:hAnsi="宋体" w:eastAsia="宋体" w:cs="宋体"/>
                <w:i w:val="0"/>
                <w:iCs w:val="0"/>
                <w:color w:val="000000"/>
                <w:kern w:val="0"/>
                <w:sz w:val="24"/>
                <w:szCs w:val="24"/>
                <w:u w:val="none"/>
                <w:lang w:val="en-US" w:eastAsia="zh-CN" w:bidi="ar"/>
              </w:rPr>
              <w:t>传动系统检测报告</w:t>
            </w:r>
            <w:r>
              <w:rPr>
                <w:rFonts w:hint="eastAsia" w:ascii="宋体" w:hAnsi="宋体" w:cs="宋体"/>
                <w:i w:val="0"/>
                <w:iCs w:val="0"/>
                <w:color w:val="000000"/>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4、产能：鲜料</w:t>
            </w:r>
            <w:r>
              <w:rPr>
                <w:rFonts w:hint="eastAsia" w:ascii="宋体" w:hAnsi="宋体" w:eastAsia="宋体" w:cs="宋体"/>
                <w:sz w:val="24"/>
                <w:szCs w:val="24"/>
              </w:rPr>
              <w:t>≥</w:t>
            </w:r>
            <w:r>
              <w:rPr>
                <w:rFonts w:hint="eastAsia" w:ascii="宋体" w:hAnsi="宋体" w:eastAsia="宋体" w:cs="宋体"/>
                <w:sz w:val="24"/>
                <w:szCs w:val="24"/>
                <w:lang w:val="en-US" w:eastAsia="zh-CN"/>
              </w:rPr>
              <w:t>10吨/24h；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5、PLC自动触摸控制；变频调速</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6、机门密封：机门之间间隙≤5mm，表面光滑流畅，无压板、螺钉等障碍物；机门之间采用凹凸嵌入式衔接，专业密封，保温阻燃效果达标。保温板：厚度50mm；防火等级A1</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7、热源：蓄电能方式，全自动化作业，无需人力值守。</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8、功率≤160kw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9、送风系统—双腔静压箱式脉冲送风系统，需分层分段主动控温送风，在烘室内从上到下形成中、高、低不同温区； 热风强度按照一定频率强弱变化，物料受强—弱—强—弱风力变化的热风干燥处理；具备内循环、外循环、内外循环兼容三种热风循环模式，可自由转换，三维四效节能。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9"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进均湿提升布料机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1.有效带宽500mm镀锌链板输送；</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2.所有输透主体及接触物料的零部件采用不锈钢制作，链板两侧需加食品级夹布胶皮挡边，布料机容料深度不低于100mm；</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3.设备底座带调节脚杯；</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4.设计运行度:3.5-17.5m/min(0.75kw，无板调速)；</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5.生产能力:≥400KG/h(枳实)；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6.按臂角度两角可以微调5°。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0"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枳壳自动均湿机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1.材质：骨架碳钢喷塑，自动均湿机接触物料部分不锈钢或食品级材料；</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2、自动运行控制；</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3.功率</w:t>
            </w:r>
            <w:r>
              <w:rPr>
                <w:rFonts w:hint="eastAsia" w:ascii="宋体" w:hAnsi="宋体" w:eastAsia="宋体" w:cs="宋体"/>
                <w:sz w:val="24"/>
                <w:szCs w:val="24"/>
              </w:rPr>
              <w:t>≤</w:t>
            </w:r>
            <w:r>
              <w:rPr>
                <w:rFonts w:hint="eastAsia" w:ascii="宋体" w:hAnsi="宋体" w:eastAsia="宋体" w:cs="宋体"/>
                <w:sz w:val="24"/>
                <w:szCs w:val="24"/>
                <w:lang w:val="en-US" w:eastAsia="zh-CN"/>
              </w:rPr>
              <w:t>8.5kw；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4.处理量≥10t/24h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5"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转弯输送机1</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5.输送能力</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6.功率</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1.5kw；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7、耕地瑞配座都接料板，支架配可调脚杯。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9"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15</w:t>
            </w:r>
          </w:p>
        </w:tc>
        <w:tc>
          <w:tcPr>
            <w:tcW w:w="9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转弯输送机2</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5.输送能力</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6.功率</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1.5kw；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7、耕地瑞配座都接料板，支架配可调脚杯。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16</w:t>
            </w:r>
          </w:p>
        </w:tc>
        <w:tc>
          <w:tcPr>
            <w:tcW w:w="9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进料输送机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1.碳钢喷塑；</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2.输送物料:枳实；</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3.镀锌链板；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4.两侧配挡料板；</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5.输送能力</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400KG/h；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6.功率</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1.5kw；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7、耕地瑞配座都接料板，支架配可调脚杯。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7"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17</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蓄电能枳壳射流式烘干机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1主传动系统：分层独立前驱传动，变频调速，承重层受力；</w:t>
            </w:r>
          </w:p>
          <w:p>
            <w:pPr>
              <w:pStyle w:val="9"/>
              <w:keepNext w:val="0"/>
              <w:keepLines w:val="0"/>
              <w:pageBreakBefore w:val="0"/>
              <w:kinsoku/>
              <w:wordWrap/>
              <w:overflowPunct/>
              <w:topLinePunct w:val="0"/>
              <w:autoSpaceDE/>
              <w:autoSpaceDN/>
              <w:bidi w:val="0"/>
              <w:adjustRightInd/>
              <w:snapToGrid/>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2、设备配置标准：设备所有与物料接触部分采用不锈钢 304 材料，主体框架等其他部分采用碳钢酸洗磷化喷塑保护，配置移动挡板系统，所有与物料接触部分没有相对摩擦；整机采用螺丝冷连接（除轨道外）</w:t>
            </w:r>
            <w:r>
              <w:rPr>
                <w:rFonts w:hint="eastAsia" w:ascii="宋体" w:hAnsi="宋体" w:cs="宋体"/>
                <w:sz w:val="24"/>
                <w:szCs w:val="24"/>
                <w:lang w:val="en-US" w:eastAsia="zh-CN"/>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3、链条：采用新型合金钢专业套筒滚子链+一体化防磨损边导轮，配置自动张紧、自动加油润滑系统（免维护）链条链轮双驱传动技术，承重层受力（上张紧），互锁联动保护系统，采用机械锻压制造而成</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链条极限拉力荷载</w:t>
            </w:r>
            <w:r>
              <w:rPr>
                <w:rFonts w:hint="eastAsia" w:ascii="宋体" w:hAnsi="宋体" w:eastAsia="宋体" w:cs="宋体"/>
                <w:sz w:val="24"/>
                <w:szCs w:val="24"/>
              </w:rPr>
              <w:t>≥90.17kN</w:t>
            </w:r>
            <w:r>
              <w:rPr>
                <w:rFonts w:hint="eastAsia" w:ascii="宋体" w:hAnsi="宋体" w:cs="宋体"/>
                <w:sz w:val="24"/>
                <w:szCs w:val="24"/>
                <w:lang w:eastAsia="zh-CN"/>
              </w:rPr>
              <w:t>；链条节距</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63.5</w:t>
            </w:r>
            <w:r>
              <w:rPr>
                <w:rFonts w:hint="eastAsia" w:ascii="宋体" w:hAnsi="宋体" w:eastAsia="宋体" w:cs="宋体"/>
                <w:i w:val="0"/>
                <w:iCs w:val="0"/>
                <w:color w:val="000000"/>
                <w:kern w:val="0"/>
                <w:sz w:val="24"/>
                <w:szCs w:val="24"/>
                <w:u w:val="none"/>
                <w:lang w:val="en-US" w:eastAsia="zh-CN" w:bidi="ar"/>
              </w:rPr>
              <w:t>mm</w:t>
            </w:r>
            <w:r>
              <w:rPr>
                <w:rFonts w:hint="eastAsia" w:ascii="宋体" w:hAnsi="宋体" w:cs="宋体"/>
                <w:i w:val="0"/>
                <w:iCs w:val="0"/>
                <w:color w:val="000000"/>
                <w:kern w:val="0"/>
                <w:sz w:val="24"/>
                <w:szCs w:val="24"/>
                <w:u w:val="none"/>
                <w:lang w:val="en-US" w:eastAsia="zh-CN" w:bidi="ar"/>
              </w:rPr>
              <w:t>提供</w:t>
            </w:r>
            <w:r>
              <w:rPr>
                <w:rFonts w:hint="eastAsia" w:ascii="宋体" w:hAnsi="宋体" w:eastAsia="宋体" w:cs="宋体"/>
                <w:i w:val="0"/>
                <w:iCs w:val="0"/>
                <w:color w:val="000000"/>
                <w:kern w:val="0"/>
                <w:sz w:val="24"/>
                <w:szCs w:val="24"/>
                <w:u w:val="none"/>
                <w:lang w:val="en-US" w:eastAsia="zh-CN" w:bidi="ar"/>
              </w:rPr>
              <w:t>传动系统检测报告</w:t>
            </w:r>
            <w:r>
              <w:rPr>
                <w:rFonts w:hint="eastAsia" w:ascii="宋体" w:hAnsi="宋体" w:cs="宋体"/>
                <w:i w:val="0"/>
                <w:iCs w:val="0"/>
                <w:color w:val="000000"/>
                <w:kern w:val="0"/>
                <w:sz w:val="24"/>
                <w:szCs w:val="24"/>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4、产能：鲜料</w:t>
            </w:r>
            <w:r>
              <w:rPr>
                <w:rFonts w:hint="eastAsia" w:ascii="宋体" w:hAnsi="宋体" w:eastAsia="宋体" w:cs="宋体"/>
                <w:sz w:val="24"/>
                <w:szCs w:val="24"/>
              </w:rPr>
              <w:t>≥</w:t>
            </w:r>
            <w:r>
              <w:rPr>
                <w:rFonts w:hint="eastAsia" w:ascii="宋体" w:hAnsi="宋体" w:eastAsia="宋体" w:cs="宋体"/>
                <w:sz w:val="24"/>
                <w:szCs w:val="24"/>
                <w:lang w:val="en-US" w:eastAsia="zh-CN"/>
              </w:rPr>
              <w:t>10吨/24h；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5、PLC自动触摸控制；变频调速；</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6、机门密封：机门之间间隙≤5mm，表面光滑流畅，无压板、螺钉等障碍物；机门之间采用凹凸嵌入式衔接，专业密封，保温阻燃效果好；</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7、保温板：厚度50mm防火等级A1；</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8、热源：蓄电能方式，全自动化作业，无需人力值守；</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9、功率≤160kw；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10、送风系统—双腔静压箱式脉冲送风系统，需分层分段主动控温送风，在烘室内从上到下形成中、高、低不同温区； 热风强度按照一定频率强弱变化，物料受强—弱—强—弱风力变化的热风干燥处理；具备内循环、外循环、内外循环兼容三种热风循环模式，可自由转换，三维四效节能。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2" w:hRule="atLeast"/>
        </w:trPr>
        <w:tc>
          <w:tcPr>
            <w:tcW w:w="44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18</w:t>
            </w:r>
          </w:p>
        </w:tc>
        <w:tc>
          <w:tcPr>
            <w:tcW w:w="93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包装封口一体机</w:t>
            </w:r>
          </w:p>
        </w:tc>
        <w:tc>
          <w:tcPr>
            <w:tcW w:w="381"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4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1.产能：鲜料10吨/24h；</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2.电子称重，人工套袋，自动夹持，半自动封口；</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3.适合袋子的尺寸最大长1100，宽600；</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4.电压：380V；</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5.功率</w:t>
            </w:r>
            <w:r>
              <w:rPr>
                <w:rFonts w:hint="eastAsia" w:ascii="宋体" w:hAnsi="宋体" w:eastAsia="宋体" w:cs="宋体"/>
                <w:color w:val="000000"/>
                <w:sz w:val="24"/>
                <w:szCs w:val="24"/>
              </w:rPr>
              <w:t>≤</w:t>
            </w:r>
            <w:r>
              <w:rPr>
                <w:rFonts w:hint="eastAsia" w:ascii="宋体" w:hAnsi="宋体" w:eastAsia="宋体" w:cs="宋体"/>
                <w:i w:val="0"/>
                <w:iCs w:val="0"/>
                <w:color w:val="000000"/>
                <w:kern w:val="0"/>
                <w:sz w:val="24"/>
                <w:szCs w:val="24"/>
                <w:u w:val="none"/>
                <w:lang w:val="en-US" w:eastAsia="zh-CN" w:bidi="ar"/>
              </w:rPr>
              <w:t>5.2KW；</w:t>
            </w:r>
          </w:p>
          <w:p>
            <w:pPr>
              <w:keepNext w:val="0"/>
              <w:keepLines w:val="0"/>
              <w:pageBreakBefore w:val="0"/>
              <w:widowControl/>
              <w:suppressLineNumbers w:val="0"/>
              <w:kinsoku/>
              <w:wordWrap/>
              <w:overflowPunct/>
              <w:topLinePunct w:val="0"/>
              <w:autoSpaceDE/>
              <w:autoSpaceDN/>
              <w:bidi w:val="0"/>
              <w:adjustRightInd/>
              <w:snapToGrid/>
              <w:ind w:firstLine="480" w:firstLineChars="20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6.材质：框架碳钢；</w:t>
            </w:r>
          </w:p>
        </w:tc>
      </w:tr>
    </w:tbl>
    <w:p>
      <w:pPr>
        <w:pStyle w:val="4"/>
        <w:keepNext w:val="0"/>
        <w:keepLines w:val="0"/>
        <w:pageBreakBefore w:val="0"/>
        <w:widowControl w:val="0"/>
        <w:kinsoku/>
        <w:wordWrap/>
        <w:overflowPunct/>
        <w:topLinePunct w:val="0"/>
        <w:bidi w:val="0"/>
        <w:snapToGrid/>
        <w:spacing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附平面布置图</w:t>
      </w:r>
    </w:p>
    <w:p>
      <w:pPr>
        <w:rPr>
          <w:rFonts w:hint="default"/>
          <w:lang w:val="en-US" w:eastAsia="zh-CN"/>
        </w:rPr>
      </w:pPr>
      <w:r>
        <w:drawing>
          <wp:inline distT="0" distB="0" distL="114300" distR="114300">
            <wp:extent cx="5934075" cy="3604895"/>
            <wp:effectExtent l="0" t="0" r="952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934075" cy="3604895"/>
                    </a:xfrm>
                    <a:prstGeom prst="rect">
                      <a:avLst/>
                    </a:prstGeom>
                    <a:noFill/>
                    <a:ln>
                      <a:noFill/>
                    </a:ln>
                  </pic:spPr>
                </pic:pic>
              </a:graphicData>
            </a:graphic>
          </wp:inline>
        </w:drawing>
      </w:r>
    </w:p>
    <w:p>
      <w:pPr>
        <w:pStyle w:val="4"/>
        <w:keepNext w:val="0"/>
        <w:keepLines w:val="0"/>
        <w:pageBreakBefore w:val="0"/>
        <w:widowControl w:val="0"/>
        <w:kinsoku/>
        <w:wordWrap/>
        <w:overflowPunct/>
        <w:topLinePunct w:val="0"/>
        <w:bidi w:val="0"/>
        <w:snapToGrid/>
        <w:spacing w:line="360" w:lineRule="auto"/>
        <w:ind w:left="0" w:leftChars="0"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二、商务要求</w:t>
      </w:r>
      <w:r>
        <w:rPr>
          <w:rFonts w:hint="eastAsia" w:ascii="宋体" w:hAnsi="宋体" w:cs="宋体"/>
          <w:b/>
          <w:bCs/>
          <w:sz w:val="24"/>
          <w:szCs w:val="24"/>
          <w:lang w:val="en-US" w:eastAsia="zh-CN"/>
        </w:rPr>
        <w:t>（实质性要求）</w:t>
      </w:r>
      <w:r>
        <w:rPr>
          <w:rFonts w:hint="eastAsia" w:ascii="宋体" w:hAnsi="宋体" w:eastAsia="宋体" w:cs="宋体"/>
          <w:b/>
          <w:bCs/>
          <w:sz w:val="24"/>
          <w:szCs w:val="24"/>
          <w:lang w:val="en-US" w:eastAsia="zh-CN"/>
        </w:rPr>
        <w:t>：</w:t>
      </w:r>
    </w:p>
    <w:p>
      <w:pPr>
        <w:keepNext w:val="0"/>
        <w:keepLines w:val="0"/>
        <w:pageBreakBefore w:val="0"/>
        <w:widowControl w:val="0"/>
        <w:kinsoku/>
        <w:wordWrap/>
        <w:overflowPunct/>
        <w:topLinePunct w:val="0"/>
        <w:bidi w:val="0"/>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（一）交货期及地点</w:t>
      </w:r>
    </w:p>
    <w:p>
      <w:pPr>
        <w:keepNext w:val="0"/>
        <w:keepLines w:val="0"/>
        <w:pageBreakBefore w:val="0"/>
        <w:widowControl w:val="0"/>
        <w:kinsoku/>
        <w:wordWrap/>
        <w:overflowPunct/>
        <w:topLinePunct w:val="0"/>
        <w:bidi w:val="0"/>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1.完成时间：合同签订后或安装场地满足安装要求后30日历日内完成货物交货能正常投入运行使用。</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2.交货地点：采购人指定地点。</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（二）付款方式</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根据合同约定，成交供应商须向采购人出具合法有效完整的完税发票及凭证资料进行支付结算。</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（三）质保期</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所投所有产品须满足国家三包要求，整机质保期1年。</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 xml:space="preserve">（四）售后服务 </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1.电话响应：采购人遇到使用及技术问题，服务商应为采购方提供技术支持电话，解答采购方在使用中遇到的问题，20分钟内为采购人提出解决问题的办法。</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2.现场响应：采购人遇到使用及技术问题，电话响应不能解决的，服务商应在2小时内派出专业人员进行技术支持并解决问题。</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3.如出现任何质量问题投标人须5小时内修复完成，不能完成修复的须提供同型号配件予以代替使用。如需换货或返厂维修的，投标人须在7日内完成，且期间提供备用件，设备不能停机停产。</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（五）培训要求</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成交供应商货物安装调试完毕后，须安排专业人员针对此项目设备免费提供使用培训，保证培训对象能熟练使用及简单故障排除。根据采购人的工作安排进行人员培训。</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（六）验收标准</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1.按国家有关规定以及采购人竞选文件的质量要求和技术指标、供应商的投标文件及承诺与本合同约定标准进行验收；采购人、供应商双方如对质量要求和技术指标的约定标准有相互抵触或异议的事项，由采购人在招标与投标文件中按质量要求和技术指标比较优胜的原则确定该项的约定标准进行验收；</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2.成交供应商负责产品安装、调试并根据采购人提供的施工图纸施工，直至采购人能正常使用，所需的一切材料、备件、专业工具均由中标人负责提供。中标人应向采购人提供产品安装、维修所需的专用工具和仪器，并列出清单与价格，该价格包括在投标总价格中。</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3.货物到达安装现场后，成交供应商需按采购人的要求现场组织安装、调试、达到正常运行要求，保证采购人正常使用。所需的费用（安装、运输、吊装及二次搬运等）包括在本次合同总价格中。</w:t>
      </w:r>
    </w:p>
    <w:p>
      <w:pPr>
        <w:keepNext w:val="0"/>
        <w:keepLines w:val="0"/>
        <w:pageBreakBefore w:val="0"/>
        <w:widowControl w:val="0"/>
        <w:kinsoku/>
        <w:wordWrap/>
        <w:overflowPunct/>
        <w:topLinePunct w:val="0"/>
        <w:bidi w:val="0"/>
        <w:snapToGrid/>
        <w:spacing w:after="0" w:line="360" w:lineRule="auto"/>
        <w:ind w:left="0" w:leftChars="0" w:firstLine="480" w:firstLineChars="200"/>
        <w:textAlignment w:val="auto"/>
        <w:rPr>
          <w:rFonts w:hint="eastAsia" w:ascii="宋体" w:hAnsi="宋体" w:eastAsia="宋体" w:cs="宋体"/>
          <w:b w:val="0"/>
          <w:bCs/>
          <w:color w:val="auto"/>
          <w:kern w:val="2"/>
          <w:sz w:val="24"/>
          <w:szCs w:val="24"/>
          <w:lang w:val="en-US" w:eastAsia="zh-CN" w:bidi="ar-SA"/>
        </w:rPr>
      </w:pPr>
      <w:r>
        <w:rPr>
          <w:rFonts w:hint="eastAsia" w:ascii="宋体" w:hAnsi="宋体" w:eastAsia="宋体" w:cs="宋体"/>
          <w:b w:val="0"/>
          <w:bCs/>
          <w:color w:val="auto"/>
          <w:kern w:val="2"/>
          <w:sz w:val="24"/>
          <w:szCs w:val="24"/>
          <w:lang w:val="en-US" w:eastAsia="zh-CN" w:bidi="ar-SA"/>
        </w:rPr>
        <w:t>4.成交供应商必须保证提供的货物（包括零部件）是全新的、未使用过的、具有稳定性、可靠性、安全性、并完全符合国家、行业规定的质量、规格和制造标准及环保要求同性能要求等标准，凡竞选文件中未提及的设备配件、附件、安装材料、调试验收所需的附属配件及成交供应商应向采购人提供设备安装、维修所需的工具和仪器，并列出清单与价格，该价格包括在总价格中；成交供应商必须保证所提供的设备、配件相兼容，如不兼容、不能正常使用或有其他问题，成交供应商须在不降低标准的前提下无偿提供配件或更换配置。</w:t>
      </w:r>
    </w:p>
    <w:p>
      <w:pPr>
        <w:keepNext w:val="0"/>
        <w:keepLines w:val="0"/>
        <w:pageBreakBefore w:val="0"/>
        <w:widowControl w:val="0"/>
        <w:kinsoku/>
        <w:wordWrap/>
        <w:overflowPunct/>
        <w:topLinePunct w:val="0"/>
        <w:bidi w:val="0"/>
        <w:snapToGrid/>
        <w:spacing w:after="0" w:line="360" w:lineRule="auto"/>
        <w:ind w:left="0" w:leftChars="0" w:firstLine="480" w:firstLineChars="200"/>
        <w:textAlignment w:val="auto"/>
      </w:pPr>
      <w:r>
        <w:rPr>
          <w:rFonts w:hint="eastAsia" w:ascii="宋体" w:hAnsi="宋体" w:eastAsia="宋体" w:cs="宋体"/>
          <w:b w:val="0"/>
          <w:bCs/>
          <w:color w:val="auto"/>
          <w:kern w:val="2"/>
          <w:sz w:val="24"/>
          <w:szCs w:val="24"/>
          <w:lang w:val="en-US" w:eastAsia="zh-CN" w:bidi="ar-SA"/>
        </w:rPr>
        <w:t>5.本项目验收时，采购人将邀请第三方检测机构对核心设备的重要参数协助验收，如第三方检测机构检测结果为合格，则检测费用由采购人承担；如第三方检测机构检测结果为不合格，成交供应商应无条件整改</w:t>
      </w:r>
      <w:bookmarkStart w:id="1" w:name="_GoBack"/>
      <w:bookmarkEnd w:id="1"/>
      <w:r>
        <w:rPr>
          <w:rFonts w:hint="eastAsia" w:ascii="宋体" w:hAnsi="宋体" w:eastAsia="宋体" w:cs="宋体"/>
          <w:b w:val="0"/>
          <w:bCs/>
          <w:color w:val="auto"/>
          <w:kern w:val="2"/>
          <w:sz w:val="24"/>
          <w:szCs w:val="24"/>
          <w:lang w:val="en-US" w:eastAsia="zh-CN" w:bidi="ar-SA"/>
        </w:rPr>
        <w:t>至验收合格，并承担检测费用（在合同价款中扣除）；如无法通过整改满足要求的，视为成交供应商违约，采购人有权终止合同，给采购人造成损失的，还应承担赔偿责任及一切违约责任。</w:t>
      </w:r>
      <w:r>
        <w:rPr>
          <w:rFonts w:hint="eastAsia" w:ascii="宋体" w:hAnsi="宋体" w:eastAsia="宋体" w:cs="宋体"/>
          <w:b w:val="0"/>
          <w:bCs/>
          <w:color w:val="auto"/>
          <w:kern w:val="2"/>
          <w:sz w:val="24"/>
          <w:szCs w:val="24"/>
          <w:lang w:val="en-US" w:eastAsia="zh-CN" w:bidi="ar-SA"/>
        </w:rPr>
        <w:t>（提供专项承诺）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6DF5F6"/>
    <w:multiLevelType w:val="singleLevel"/>
    <w:tmpl w:val="F36DF5F6"/>
    <w:lvl w:ilvl="0" w:tentative="0">
      <w:start w:val="5"/>
      <w:numFmt w:val="chineseCounting"/>
      <w:suff w:val="space"/>
      <w:lvlText w:val="第%1章"/>
      <w:lvlJc w:val="left"/>
      <w:rPr>
        <w:rFonts w:hint="eastAsia"/>
      </w:rPr>
    </w:lvl>
  </w:abstractNum>
  <w:abstractNum w:abstractNumId="1">
    <w:nsid w:val="65106E65"/>
    <w:multiLevelType w:val="singleLevel"/>
    <w:tmpl w:val="65106E65"/>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0MWY5NzNmNTA5ODMwMDQ2ZTRmZmFmNjQzYThiYTUifQ=="/>
  </w:docVars>
  <w:rsids>
    <w:rsidRoot w:val="1EB22694"/>
    <w:rsid w:val="1EB22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jc w:val="center"/>
      <w:outlineLvl w:val="0"/>
    </w:pPr>
    <w:rPr>
      <w:b/>
      <w:bCs/>
      <w:kern w:val="44"/>
      <w:sz w:val="28"/>
      <w:szCs w:val="44"/>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引文目录1"/>
    <w:basedOn w:val="1"/>
    <w:next w:val="1"/>
    <w:qFormat/>
    <w:uiPriority w:val="0"/>
    <w:pPr>
      <w:ind w:left="420" w:leftChars="200"/>
    </w:pPr>
  </w:style>
  <w:style w:type="paragraph" w:styleId="4">
    <w:name w:val="table of authorities"/>
    <w:basedOn w:val="1"/>
    <w:next w:val="1"/>
    <w:qFormat/>
    <w:uiPriority w:val="0"/>
    <w:pPr>
      <w:ind w:left="420" w:leftChars="200"/>
    </w:pPr>
  </w:style>
  <w:style w:type="paragraph" w:styleId="5">
    <w:name w:val="Normal Indent"/>
    <w:basedOn w:val="1"/>
    <w:qFormat/>
    <w:uiPriority w:val="0"/>
    <w:pPr>
      <w:ind w:firstLine="420" w:firstLineChars="200"/>
    </w:pPr>
  </w:style>
  <w:style w:type="paragraph" w:styleId="6">
    <w:name w:val="footnote text"/>
    <w:basedOn w:val="1"/>
    <w:unhideWhenUsed/>
    <w:qFormat/>
    <w:uiPriority w:val="0"/>
    <w:pPr>
      <w:snapToGrid w:val="0"/>
      <w:jc w:val="left"/>
    </w:pPr>
    <w:rPr>
      <w:rFonts w:ascii="Times New Roman" w:hAnsi="Times New Roman" w:cs="Times New Roman"/>
      <w:sz w:val="18"/>
      <w:szCs w:val="18"/>
    </w:rPr>
  </w:style>
  <w:style w:type="paragraph" w:customStyle="1" w:styleId="9">
    <w:name w:val="正文_0"/>
    <w:next w:val="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2022-08-15T13:58:00Z</dcterms:created>
  <dc:creator>所谓无所谓</dc:creator>
  <cp:lastModifiedBy>所谓无所谓</cp:lastModifiedBy>
  <dcterms:modified xsi:type="dcterms:W3CDTF">2022-08-15T13:58:32Z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9A35AFF4B95D47C3864906EEC4ABBD6C</vt:lpwstr>
  </property>
</Properties>
</file>