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宁夏回族自治区民政厅社会组织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档案电子化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Cs w:val="32"/>
          <w:lang w:eastAsia="zh-CN"/>
        </w:rPr>
        <w:t>竞争性磋商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Cs w:val="32"/>
        </w:rPr>
        <w:t>公告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outlineLvl w:val="5"/>
        <w:rPr>
          <w:rFonts w:ascii="仿宋" w:hAnsi="仿宋" w:eastAsia="仿宋"/>
          <w:b/>
          <w:bCs/>
          <w:vanish/>
          <w:color w:val="A00000"/>
          <w:sz w:val="32"/>
          <w:szCs w:val="32"/>
        </w:rPr>
      </w:pPr>
      <w:r>
        <w:rPr>
          <w:rFonts w:ascii="仿宋" w:hAnsi="仿宋" w:eastAsia="仿宋"/>
          <w:b/>
          <w:bCs/>
          <w:vanish/>
          <w:color w:val="A00000"/>
          <w:sz w:val="32"/>
          <w:szCs w:val="32"/>
        </w:rPr>
        <w:t>公告概要：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一、项目基本情况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项目编号：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NXYH2022-ZC028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宁夏回族自治区民政厅社会组织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档案电子化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采购方式：竞争性磋商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 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预算金额（元）：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320000.00元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最高限价（如有）：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320000.00元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采购需求：</w:t>
      </w:r>
      <w:bookmarkStart w:id="4" w:name="_GoBack"/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对民政厅档案室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现有40万页纸质文件进行整理、排序、编页、图像扫描、著录、装订、换盒等工作。</w:t>
      </w:r>
    </w:p>
    <w:bookmarkEnd w:id="4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合同履行期限：</w:t>
      </w:r>
      <w:r>
        <w:rPr>
          <w:rFonts w:hint="eastAsia" w:ascii="仿宋" w:hAnsi="仿宋" w:eastAsia="仿宋" w:cs="仿宋"/>
          <w:sz w:val="32"/>
          <w:szCs w:val="32"/>
        </w:rPr>
        <w:t>自合同签订之日起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个月内完成项目全部内容。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本项目（是/否）接受联合体投标: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不接受。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Style w:val="9"/>
          <w:rFonts w:hint="eastAsia" w:ascii="黑体" w:hAnsi="黑体" w:cs="黑体"/>
          <w:b w:val="0"/>
          <w:bCs/>
          <w:sz w:val="32"/>
          <w:szCs w:val="32"/>
          <w:lang w:eastAsia="zh-CN"/>
        </w:rPr>
        <w:t>申请人</w:t>
      </w: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的资格要求：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1.满足《中华人民共和国政府采购法》第二十二条规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2.落实政府采购政策需满足的资格要求：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本项目为专门面向中小微企业采购的项目，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专门面向中小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微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企业采购的项目，不再执行价格评审优惠的扶持政策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残疾人企业和监狱企业视同为中小微企业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；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凡在宁夏回族自治区境内注册的中小微企业，不分政府采购项目的资金性质（含财政性资金和单位自有资金）、不分合同金额，在取得政府采购中标通知书及合同后，均可按照《宁夏回族自治区政府采购合同线上信用融资管理暂行办法》（宁财规发[2019]8号）的通知办理融资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Style w:val="9"/>
          <w:rFonts w:hint="eastAsia" w:ascii="仿宋_GB2312" w:hAnsi="仿宋_GB2312" w:eastAsia="仿宋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3.本项目的特定资格要求：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无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三、获取</w:t>
      </w:r>
      <w:r>
        <w:rPr>
          <w:rStyle w:val="9"/>
          <w:rFonts w:hint="eastAsia" w:ascii="黑体" w:hAnsi="黑体" w:cs="黑体"/>
          <w:b w:val="0"/>
          <w:bCs w:val="0"/>
          <w:sz w:val="32"/>
          <w:szCs w:val="32"/>
          <w:lang w:eastAsia="zh-CN"/>
        </w:rPr>
        <w:t>采购</w:t>
      </w: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文件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2022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8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15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2022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22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日（磋商文件的发售期限自开始之日起不得少于5个工作日）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，每天上午0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：00至12:00，下午1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:00（北京时间，法定节假日除外 ）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color w:val="000000"/>
          <w:sz w:val="32"/>
          <w:szCs w:val="32"/>
        </w:rPr>
        <w:t>地点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中国政府采购网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color w:val="000000"/>
          <w:sz w:val="32"/>
          <w:szCs w:val="32"/>
        </w:rPr>
        <w:t>方式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免费下载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</w:rPr>
        <w:t>售价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：0元 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Style w:val="9"/>
          <w:rFonts w:hint="eastAsia" w:ascii="黑体" w:hAnsi="黑体" w:cs="黑体"/>
          <w:b w:val="0"/>
          <w:bCs w:val="0"/>
          <w:sz w:val="32"/>
          <w:szCs w:val="32"/>
          <w:lang w:eastAsia="zh-CN"/>
        </w:rPr>
        <w:t>响应</w:t>
      </w: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文件</w:t>
      </w:r>
      <w:r>
        <w:rPr>
          <w:rStyle w:val="9"/>
          <w:rFonts w:hint="eastAsia" w:ascii="黑体" w:hAnsi="黑体" w:cs="黑体"/>
          <w:b w:val="0"/>
          <w:bCs w:val="0"/>
          <w:sz w:val="32"/>
          <w:szCs w:val="32"/>
          <w:lang w:eastAsia="zh-CN"/>
        </w:rPr>
        <w:t>提交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截止时间：2022年 8 月 26 日 09 点 30 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（北京时间）（从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磋商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文件发出之日起至供应商提交首次响应文件截止之日止不得少于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宁夏友合工程咨询有限公司（银川市金凤区泰康街隆基商务大厦八楼812室）。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>
      <w:pPr>
        <w:rPr>
          <w:rStyle w:val="9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五、开启：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26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点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分（北京时间）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宁夏友合工程咨询有限公司（银川市金凤区泰康街隆基商务大厦八楼812室）。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cs="黑体"/>
          <w:b w:val="0"/>
          <w:bCs w:val="0"/>
          <w:sz w:val="32"/>
          <w:szCs w:val="32"/>
          <w:lang w:eastAsia="zh-CN"/>
        </w:rPr>
        <w:t>六</w:t>
      </w: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、公告期限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自本公告发布之日起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个工作日。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 xml:space="preserve">六、其他补充事宜 </w:t>
      </w:r>
      <w:r>
        <w:rPr>
          <w:rStyle w:val="9"/>
          <w:rFonts w:hint="eastAsia" w:ascii="仿宋" w:hAnsi="仿宋" w:eastAsia="仿宋"/>
          <w:b w:val="0"/>
          <w:bCs w:val="0"/>
          <w:sz w:val="32"/>
          <w:szCs w:val="32"/>
        </w:rPr>
        <w:t xml:space="preserve"> 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Style w:val="9"/>
          <w:rFonts w:hint="default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Style w:val="9"/>
          <w:rFonts w:hint="eastAsia" w:ascii="黑体" w:hAnsi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黑体" w:hAnsi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无 </w:t>
      </w:r>
      <w:r>
        <w:rPr>
          <w:rStyle w:val="9"/>
          <w:rFonts w:hint="eastAsia" w:ascii="黑体" w:hAnsi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七、</w:t>
      </w:r>
      <w:r>
        <w:rPr>
          <w:rStyle w:val="9"/>
          <w:rFonts w:hint="eastAsia" w:ascii="黑体" w:hAnsi="黑体" w:cs="黑体"/>
          <w:b w:val="0"/>
          <w:bCs w:val="0"/>
          <w:sz w:val="32"/>
          <w:szCs w:val="32"/>
          <w:lang w:eastAsia="zh-CN"/>
        </w:rPr>
        <w:t>对本次采购提出询问，请按以下方式联系</w:t>
      </w: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名称：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 xml:space="preserve">宁夏回族自治区民政厅  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　　　　　　　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地址：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shd w:val="clear" w:fill="FFFFFF"/>
        </w:rPr>
        <w:t> 宁夏银川市金凤区阅福路207号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　　　　　　　　　　　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联系方式：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shd w:val="clear" w:fill="FFFFFF"/>
        </w:rPr>
        <w:t>0951-5915617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　　　　　　　　　　 </w:t>
      </w:r>
      <w:bookmarkStart w:id="0" w:name="_Toc28359009"/>
      <w:bookmarkStart w:id="1" w:name="_Toc2835908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2.采购代理机构信息（如有）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bookmarkStart w:id="2" w:name="_Toc28359010"/>
      <w:bookmarkStart w:id="3" w:name="_Toc28359087"/>
      <w:r>
        <w:rPr>
          <w:rFonts w:hint="eastAsia" w:ascii="仿宋" w:hAnsi="仿宋" w:eastAsia="仿宋" w:cs="仿宋"/>
          <w:color w:val="000000"/>
          <w:sz w:val="32"/>
          <w:szCs w:val="32"/>
        </w:rPr>
        <w:t>名称：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none"/>
          <w:lang w:eastAsia="zh-CN"/>
        </w:rPr>
        <w:t>宁夏友合工程咨询有限公司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地址：</w:t>
      </w:r>
      <w:r>
        <w:rPr>
          <w:rFonts w:hint="eastAsia" w:ascii="仿宋" w:hAnsi="仿宋" w:eastAsia="仿宋" w:cs="仿宋"/>
          <w:spacing w:val="-11"/>
          <w:sz w:val="32"/>
          <w:szCs w:val="32"/>
          <w:u w:val="none"/>
        </w:rPr>
        <w:t>银川市金凤区</w:t>
      </w:r>
      <w:r>
        <w:rPr>
          <w:rFonts w:hint="eastAsia" w:ascii="仿宋" w:hAnsi="仿宋" w:eastAsia="仿宋" w:cs="仿宋"/>
          <w:spacing w:val="-11"/>
          <w:sz w:val="32"/>
          <w:szCs w:val="32"/>
          <w:u w:val="none"/>
          <w:lang w:eastAsia="zh-CN"/>
        </w:rPr>
        <w:t>泰康街隆基大厦八楼</w:t>
      </w:r>
      <w:r>
        <w:rPr>
          <w:rFonts w:hint="eastAsia" w:ascii="仿宋" w:hAnsi="仿宋" w:eastAsia="仿宋" w:cs="仿宋"/>
          <w:spacing w:val="-11"/>
          <w:sz w:val="32"/>
          <w:szCs w:val="32"/>
          <w:u w:val="none"/>
          <w:lang w:val="en-US" w:eastAsia="zh-CN"/>
        </w:rPr>
        <w:t>812室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　　　　　　　　　　　　　　　　　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联系方式：</w:t>
      </w:r>
      <w:r>
        <w:rPr>
          <w:rFonts w:hint="eastAsia" w:ascii="仿宋" w:hAnsi="仿宋" w:eastAsia="仿宋" w:cs="仿宋"/>
          <w:sz w:val="32"/>
          <w:szCs w:val="32"/>
          <w:u w:val="none"/>
        </w:rPr>
        <w:t>0951-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5969378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3.项目联系方式</w:t>
      </w:r>
      <w:bookmarkEnd w:id="2"/>
      <w:bookmarkEnd w:id="3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  <w:u w:val="none"/>
          <w:shd w:val="clear" w:color="auto" w:fill="FFFFFF"/>
        </w:rPr>
        <w:t>采购人项目联系人：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袁灏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u w:val="none"/>
          <w:shd w:val="clear" w:color="auto" w:fill="FFFFFF"/>
        </w:rPr>
        <w:t>电 话：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shd w:val="clear" w:fill="FFFFFF"/>
        </w:rPr>
        <w:t>0951-5915617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u w:val="none"/>
          <w:shd w:val="clear" w:color="auto" w:fill="FFFFFF"/>
        </w:rPr>
        <w:t>采购代理机构联系人:</w:t>
      </w:r>
      <w:r>
        <w:rPr>
          <w:rFonts w:hint="eastAsia" w:ascii="仿宋" w:hAnsi="仿宋" w:eastAsia="仿宋" w:cs="仿宋"/>
          <w:sz w:val="32"/>
          <w:szCs w:val="32"/>
          <w:u w:val="none"/>
          <w:shd w:val="clear" w:color="auto" w:fill="FFFFFF"/>
          <w:lang w:val="en-US" w:eastAsia="zh-CN"/>
        </w:rPr>
        <w:t>赵琳</w:t>
      </w:r>
      <w:r>
        <w:rPr>
          <w:rFonts w:hint="eastAsia" w:ascii="仿宋" w:hAnsi="仿宋" w:eastAsia="仿宋" w:cs="仿宋"/>
          <w:sz w:val="32"/>
          <w:szCs w:val="32"/>
          <w:u w:val="none"/>
          <w:shd w:val="clear" w:color="auto" w:fill="FFFFFF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shd w:val="clear" w:color="auto" w:fill="FFFFFF"/>
        </w:rPr>
        <w:t>电话:</w:t>
      </w:r>
      <w:r>
        <w:rPr>
          <w:rFonts w:hint="eastAsia" w:ascii="仿宋" w:hAnsi="仿宋" w:eastAsia="仿宋" w:cs="仿宋"/>
          <w:sz w:val="32"/>
          <w:szCs w:val="32"/>
          <w:u w:val="none"/>
        </w:rPr>
        <w:t>0951-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5969378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　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代理机构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（如有）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none"/>
          <w:lang w:eastAsia="zh-CN"/>
        </w:rPr>
        <w:t>宁夏友合工程咨询有限公司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</w:p>
    <w:p>
      <w:pPr>
        <w:pStyle w:val="4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</w:t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15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</w:t>
      </w:r>
    </w:p>
    <w:p>
      <w:pPr>
        <w:pStyle w:val="4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MjgzYzE5ZTRkYmVhYTZiNzExNTdjYTEzZWZjYTMifQ=="/>
  </w:docVars>
  <w:rsids>
    <w:rsidRoot w:val="00000000"/>
    <w:rsid w:val="00FF6DA0"/>
    <w:rsid w:val="123633CB"/>
    <w:rsid w:val="239C5EF4"/>
    <w:rsid w:val="5401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/>
      <w:ind w:left="0" w:right="0"/>
      <w:jc w:val="center"/>
      <w:outlineLvl w:val="0"/>
    </w:pPr>
    <w:rPr>
      <w:rFonts w:ascii="Cambria" w:hAnsi="Cambria" w:eastAsia="Cambria"/>
      <w:b/>
      <w:sz w:val="32"/>
      <w:szCs w:val="32"/>
    </w:rPr>
  </w:style>
  <w:style w:type="paragraph" w:styleId="4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</Words>
  <Characters>1068</Characters>
  <Lines>0</Lines>
  <Paragraphs>0</Paragraphs>
  <TotalTime>28</TotalTime>
  <ScaleCrop>false</ScaleCrop>
  <LinksUpToDate>false</LinksUpToDate>
  <CharactersWithSpaces>1311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2022-08-15T07:56:00Z</dcterms:created>
  <dc:creator>Administrator</dc:creator>
  <cp:lastModifiedBy>.縼葎.*</cp:lastModifiedBy>
  <dcterms:modified xsi:type="dcterms:W3CDTF">2022-08-15T11:10:43Z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899DC20E7A61409D9700C57E2E33CAA9</vt:lpwstr>
  </property>
</Properties>
</file>