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ind w:firstLine="3534" w:firstLineChars="1100"/>
        <w:jc w:val="both"/>
        <w:rPr>
          <w:snapToGrid w:val="0"/>
          <w:kern w:val="0"/>
        </w:rPr>
      </w:pPr>
      <w:bookmarkStart w:id="1" w:name="_GoBack"/>
      <w:bookmarkEnd w:id="1"/>
      <w:r>
        <w:rPr>
          <w:rFonts w:hint="eastAsia"/>
          <w:snapToGrid w:val="0"/>
          <w:kern w:val="0"/>
        </w:rPr>
        <w:t>采购需求</w:t>
      </w:r>
    </w:p>
    <w:p>
      <w:pPr>
        <w:spacing w:line="360" w:lineRule="auto"/>
        <w:jc w:val="left"/>
        <w:rPr>
          <w:rFonts w:ascii="宋体" w:hAnsi="宋体"/>
          <w:snapToGrid w:val="0"/>
          <w:kern w:val="0"/>
          <w:sz w:val="24"/>
        </w:rPr>
      </w:pPr>
      <w:r>
        <w:rPr>
          <w:rFonts w:hint="eastAsia" w:ascii="宋体" w:hAnsi="宋体"/>
          <w:snapToGrid w:val="0"/>
          <w:kern w:val="0"/>
          <w:sz w:val="24"/>
        </w:rPr>
        <w:t>前注：</w:t>
      </w:r>
    </w:p>
    <w:p>
      <w:pPr>
        <w:spacing w:line="360" w:lineRule="auto"/>
        <w:jc w:val="left"/>
        <w:rPr>
          <w:rFonts w:ascii="宋体" w:hAnsi="宋体"/>
          <w:snapToGrid w:val="0"/>
          <w:kern w:val="0"/>
          <w:sz w:val="24"/>
        </w:rPr>
      </w:pPr>
      <w:r>
        <w:rPr>
          <w:rFonts w:hint="eastAsia" w:ascii="宋体" w:hAnsi="宋体"/>
          <w:snapToGrid w:val="0"/>
          <w:kern w:val="0"/>
          <w:sz w:val="24"/>
        </w:rPr>
        <w:t>1、本采购需求中提出的技术方案仅为参考，如无明确限制，投标供应商可以进行优化，提供满足采购人实际需要的更优（或者性能实质上不低于的）技术方案或者设备配置，且此方案或配置须经评标委员会评审认可；（本项目不适用）</w:t>
      </w:r>
    </w:p>
    <w:p>
      <w:pPr>
        <w:spacing w:line="360" w:lineRule="auto"/>
        <w:jc w:val="left"/>
        <w:rPr>
          <w:rFonts w:ascii="宋体" w:hAnsi="宋体"/>
          <w:snapToGrid w:val="0"/>
          <w:kern w:val="0"/>
          <w:sz w:val="24"/>
        </w:rPr>
      </w:pPr>
      <w:r>
        <w:rPr>
          <w:rFonts w:hint="eastAsia" w:ascii="宋体" w:hAnsi="宋体"/>
          <w:snapToGrid w:val="0"/>
          <w:kern w:val="0"/>
          <w:sz w:val="24"/>
        </w:rPr>
        <w:t>2、为鼓励不同品牌的充分竞争，如某设备的某技术参数或要求属于个别品牌专有，则该技术参数及要求不具有限制性，投标供应商可对该参数或要求进行适当调整，且此调整须经评标委员会评审认可；（本项目不适用）</w:t>
      </w:r>
    </w:p>
    <w:p>
      <w:pPr>
        <w:spacing w:line="360" w:lineRule="auto"/>
        <w:jc w:val="left"/>
        <w:rPr>
          <w:rFonts w:ascii="宋体" w:hAnsi="宋体"/>
          <w:snapToGrid w:val="0"/>
          <w:kern w:val="0"/>
          <w:sz w:val="24"/>
        </w:rPr>
      </w:pPr>
      <w:r>
        <w:rPr>
          <w:rFonts w:hint="eastAsia" w:ascii="宋体" w:hAnsi="宋体"/>
          <w:snapToGrid w:val="0"/>
          <w:kern w:val="0"/>
          <w:sz w:val="24"/>
        </w:rPr>
        <w:t>3、为有助于投标供应商选择投标产品，推荐</w:t>
      </w:r>
      <w:r>
        <w:rPr>
          <w:rFonts w:hint="eastAsia" w:ascii="宋体" w:hAnsi="宋体"/>
          <w:snapToGrid w:val="0"/>
          <w:kern w:val="0"/>
          <w:sz w:val="24"/>
          <w:u w:val="single"/>
        </w:rPr>
        <w:t xml:space="preserve">  /  </w:t>
      </w:r>
      <w:r>
        <w:rPr>
          <w:rFonts w:hint="eastAsia" w:ascii="宋体" w:hAnsi="宋体"/>
          <w:snapToGrid w:val="0"/>
          <w:kern w:val="0"/>
          <w:sz w:val="24"/>
        </w:rPr>
        <w:t>品牌，这些品牌仅供参考，并无限制性。投标供应商可以选择性能不低于推荐品牌的其他产品（本项目不适用）；</w:t>
      </w:r>
    </w:p>
    <w:p>
      <w:pPr>
        <w:spacing w:line="360" w:lineRule="auto"/>
        <w:jc w:val="left"/>
        <w:rPr>
          <w:rFonts w:ascii="宋体" w:hAnsi="宋体"/>
          <w:snapToGrid w:val="0"/>
          <w:kern w:val="0"/>
          <w:sz w:val="24"/>
        </w:rPr>
      </w:pPr>
      <w:r>
        <w:rPr>
          <w:rFonts w:hint="eastAsia" w:ascii="宋体" w:hAnsi="宋体"/>
          <w:snapToGrid w:val="0"/>
          <w:kern w:val="0"/>
          <w:sz w:val="24"/>
        </w:rPr>
        <w:t>4、投标供应商应当在投标文件中列出完成本项目并通过验收所需的全部费用。中标供应商必须确保整体通过采购人及有关主管部门验收,所发生的验收费用由中标供应商承担；如投标供应商因未及时踏勘现场而导致的报价缺项漏项废标、或中标后无法完工，投标供应商自行承担一切后果；</w:t>
      </w:r>
    </w:p>
    <w:p>
      <w:pPr>
        <w:spacing w:line="360" w:lineRule="auto"/>
        <w:jc w:val="left"/>
        <w:rPr>
          <w:rFonts w:ascii="宋体" w:hAnsi="宋体"/>
          <w:snapToGrid w:val="0"/>
          <w:kern w:val="0"/>
          <w:sz w:val="24"/>
        </w:rPr>
      </w:pPr>
      <w:r>
        <w:rPr>
          <w:rFonts w:hint="eastAsia" w:ascii="宋体" w:hAnsi="宋体"/>
          <w:snapToGrid w:val="0"/>
          <w:kern w:val="0"/>
          <w:sz w:val="24"/>
        </w:rPr>
        <w:t>5、根据《关于规范政府采购进口产品有关工作的通知》及政府采购管理部门的相关规定，下列采购需求中如涉及进口产品则已履行相关论证手续，经核准采购进口设备，但不限制满足招标文件要求的国内产品参与竞争；</w:t>
      </w:r>
    </w:p>
    <w:p>
      <w:pPr>
        <w:spacing w:line="360" w:lineRule="auto"/>
        <w:jc w:val="left"/>
        <w:rPr>
          <w:rFonts w:ascii="宋体" w:hAnsi="宋体"/>
          <w:snapToGrid w:val="0"/>
          <w:kern w:val="0"/>
          <w:sz w:val="24"/>
        </w:rPr>
      </w:pPr>
      <w:r>
        <w:rPr>
          <w:rFonts w:hint="eastAsia" w:ascii="宋体" w:hAnsi="宋体"/>
          <w:snapToGrid w:val="0"/>
          <w:kern w:val="0"/>
          <w:sz w:val="24"/>
        </w:rPr>
        <w:t>6、在采购活动开始前没有获准采购进口产品而开展采购活动的，视同为拒绝采购进口产品；</w:t>
      </w:r>
    </w:p>
    <w:p>
      <w:pPr>
        <w:spacing w:line="360" w:lineRule="auto"/>
        <w:jc w:val="left"/>
        <w:rPr>
          <w:rFonts w:ascii="宋体" w:hAnsi="宋体"/>
          <w:snapToGrid w:val="0"/>
          <w:kern w:val="0"/>
          <w:sz w:val="24"/>
        </w:rPr>
      </w:pPr>
      <w:r>
        <w:rPr>
          <w:rFonts w:hint="eastAsia" w:ascii="宋体" w:hAnsi="宋体"/>
          <w:snapToGrid w:val="0"/>
          <w:kern w:val="0"/>
          <w:sz w:val="24"/>
        </w:rPr>
        <w:t>7、下列采购需求中：如属于最新一期《节能产品政府采购清单》中政府强制采购的节能产品，则投标供应商所投产品须为最新一期《节能产品政府采购清单》内所列产品；</w:t>
      </w:r>
    </w:p>
    <w:p>
      <w:pPr>
        <w:spacing w:line="360" w:lineRule="auto"/>
        <w:jc w:val="left"/>
        <w:rPr>
          <w:rFonts w:ascii="宋体" w:hAnsi="宋体"/>
          <w:snapToGrid w:val="0"/>
          <w:kern w:val="0"/>
          <w:sz w:val="24"/>
        </w:rPr>
      </w:pPr>
      <w:r>
        <w:rPr>
          <w:rFonts w:hint="eastAsia" w:ascii="宋体" w:hAnsi="宋体"/>
          <w:snapToGrid w:val="0"/>
          <w:kern w:val="0"/>
          <w:sz w:val="24"/>
        </w:rPr>
        <w:t>8、下列采购需求中：标注▲的产品，投标供应商在投标文件《主要成交标的承诺函》中填写名称、规格、型号、数量、单价等信息，承诺函随评审结果一并公吿；</w:t>
      </w:r>
    </w:p>
    <w:p>
      <w:pPr>
        <w:spacing w:line="360" w:lineRule="auto"/>
        <w:jc w:val="left"/>
        <w:rPr>
          <w:rFonts w:ascii="宋体" w:hAnsi="宋体"/>
          <w:snapToGrid w:val="0"/>
          <w:kern w:val="0"/>
          <w:sz w:val="24"/>
        </w:rPr>
      </w:pPr>
      <w:r>
        <w:rPr>
          <w:rFonts w:ascii="宋体" w:hAnsi="宋体"/>
          <w:snapToGrid w:val="0"/>
          <w:kern w:val="0"/>
          <w:sz w:val="24"/>
        </w:rPr>
        <w:t>9</w:t>
      </w:r>
      <w:r>
        <w:rPr>
          <w:rFonts w:hint="eastAsia" w:ascii="宋体" w:hAnsi="宋体"/>
          <w:snapToGrid w:val="0"/>
          <w:kern w:val="0"/>
          <w:sz w:val="24"/>
        </w:rPr>
        <w:t>、如对本招标文件有任何疑问或澄清要求，请按本招标文件“投标供应商须知前附表”中约定方式联系中盛精诚工程项目管理有限公司，或接受答疑截止时间前联系采购人，否则视同理解和接受，投标供应商对招标文件、采购过程、中标结果的质疑，应当在法定质疑期内一次性提出针对同一采购程序环节的质疑。</w:t>
      </w:r>
    </w:p>
    <w:p>
      <w:pPr>
        <w:pStyle w:val="7"/>
        <w:ind w:left="378" w:firstLine="378"/>
      </w:pPr>
    </w:p>
    <w:p>
      <w:pPr>
        <w:pStyle w:val="10"/>
        <w:spacing w:line="360" w:lineRule="auto"/>
        <w:ind w:firstLine="0" w:firstLineChars="0"/>
        <w:rPr>
          <w:rFonts w:ascii="宋体" w:hAnsi="宋体"/>
          <w:b/>
          <w:sz w:val="24"/>
          <w:szCs w:val="24"/>
        </w:rPr>
      </w:pPr>
      <w:r>
        <w:rPr>
          <w:rFonts w:hint="eastAsia" w:ascii="宋体" w:hAnsi="宋体"/>
          <w:b/>
          <w:sz w:val="24"/>
          <w:szCs w:val="24"/>
        </w:rPr>
        <w:t>一、采购清单</w:t>
      </w:r>
    </w:p>
    <w:p>
      <w:pPr>
        <w:pStyle w:val="10"/>
        <w:spacing w:line="400" w:lineRule="exact"/>
        <w:ind w:firstLine="0" w:firstLineChars="0"/>
        <w:rPr>
          <w:rFonts w:ascii="宋体" w:hAnsi="宋体"/>
          <w:sz w:val="28"/>
          <w:szCs w:val="28"/>
        </w:rPr>
      </w:pPr>
    </w:p>
    <w:tbl>
      <w:tblPr>
        <w:tblStyle w:val="8"/>
        <w:tblW w:w="1101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078"/>
        <w:gridCol w:w="1270"/>
        <w:gridCol w:w="6634"/>
        <w:gridCol w:w="632"/>
        <w:gridCol w:w="63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pStyle w:val="11"/>
              <w:pBdr>
                <w:bottom w:val="none" w:color="auto" w:sz="0" w:space="0"/>
              </w:pBdr>
              <w:tabs>
                <w:tab w:val="left" w:pos="420"/>
              </w:tabs>
              <w:adjustRightInd/>
              <w:spacing w:line="240" w:lineRule="auto"/>
              <w:jc w:val="left"/>
              <w:rPr>
                <w:rFonts w:ascii="宋体" w:hAnsi="宋体"/>
                <w:b/>
                <w:kern w:val="2"/>
                <w:szCs w:val="24"/>
              </w:rPr>
            </w:pPr>
            <w:r>
              <w:rPr>
                <w:rFonts w:hint="eastAsia" w:ascii="宋体" w:hAnsi="宋体"/>
                <w:b/>
                <w:kern w:val="2"/>
                <w:szCs w:val="24"/>
              </w:rPr>
              <w:t>包号</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pStyle w:val="11"/>
              <w:pBdr>
                <w:bottom w:val="none" w:color="auto" w:sz="0" w:space="0"/>
              </w:pBdr>
              <w:tabs>
                <w:tab w:val="left" w:pos="420"/>
              </w:tabs>
              <w:adjustRightInd/>
              <w:spacing w:line="240" w:lineRule="auto"/>
              <w:rPr>
                <w:rFonts w:ascii="宋体" w:hAnsi="宋体"/>
                <w:b/>
                <w:kern w:val="2"/>
                <w:szCs w:val="24"/>
              </w:rPr>
            </w:pPr>
            <w:r>
              <w:rPr>
                <w:rFonts w:hint="eastAsia" w:ascii="宋体" w:hAnsi="宋体"/>
                <w:b/>
                <w:kern w:val="2"/>
                <w:szCs w:val="24"/>
              </w:rPr>
              <w:t>序号</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pStyle w:val="11"/>
              <w:pBdr>
                <w:bottom w:val="none" w:color="auto" w:sz="0" w:space="0"/>
              </w:pBdr>
              <w:tabs>
                <w:tab w:val="left" w:pos="420"/>
              </w:tabs>
              <w:adjustRightInd/>
              <w:spacing w:line="240" w:lineRule="auto"/>
              <w:jc w:val="left"/>
              <w:rPr>
                <w:rFonts w:ascii="宋体" w:hAnsi="宋体"/>
                <w:b/>
                <w:kern w:val="2"/>
                <w:szCs w:val="24"/>
              </w:rPr>
            </w:pPr>
            <w:r>
              <w:rPr>
                <w:rFonts w:hint="eastAsia" w:ascii="宋体" w:hAnsi="宋体"/>
                <w:b/>
                <w:kern w:val="2"/>
                <w:szCs w:val="24"/>
              </w:rPr>
              <w:t>项目名称</w:t>
            </w:r>
          </w:p>
        </w:tc>
        <w:tc>
          <w:tcPr>
            <w:tcW w:w="6634" w:type="dxa"/>
            <w:tcBorders>
              <w:top w:val="single" w:color="auto" w:sz="4" w:space="0"/>
              <w:left w:val="single" w:color="auto" w:sz="4" w:space="0"/>
              <w:bottom w:val="single" w:color="auto" w:sz="4" w:space="0"/>
              <w:right w:val="single" w:color="auto" w:sz="4" w:space="0"/>
            </w:tcBorders>
            <w:noWrap w:val="0"/>
            <w:vAlign w:val="center"/>
          </w:tcPr>
          <w:p>
            <w:pPr>
              <w:pStyle w:val="11"/>
              <w:pBdr>
                <w:bottom w:val="none" w:color="auto" w:sz="0" w:space="0"/>
              </w:pBdr>
              <w:tabs>
                <w:tab w:val="left" w:pos="420"/>
              </w:tabs>
              <w:adjustRightInd/>
              <w:spacing w:line="240" w:lineRule="auto"/>
              <w:ind w:left="438" w:firstLine="380"/>
              <w:rPr>
                <w:rFonts w:ascii="宋体" w:hAnsi="宋体"/>
                <w:b/>
                <w:kern w:val="2"/>
                <w:szCs w:val="24"/>
              </w:rPr>
            </w:pPr>
            <w:r>
              <w:rPr>
                <w:rFonts w:hint="eastAsia" w:ascii="宋体" w:hAnsi="宋体"/>
                <w:b/>
                <w:kern w:val="2"/>
                <w:szCs w:val="24"/>
              </w:rPr>
              <w:t>主要技术参数</w:t>
            </w:r>
          </w:p>
        </w:tc>
        <w:tc>
          <w:tcPr>
            <w:tcW w:w="632" w:type="dxa"/>
            <w:tcBorders>
              <w:top w:val="single" w:color="auto" w:sz="4" w:space="0"/>
              <w:left w:val="single" w:color="auto" w:sz="4" w:space="0"/>
              <w:bottom w:val="single" w:color="auto" w:sz="4" w:space="0"/>
              <w:right w:val="single" w:color="auto" w:sz="4" w:space="0"/>
            </w:tcBorders>
            <w:noWrap w:val="0"/>
            <w:vAlign w:val="top"/>
          </w:tcPr>
          <w:p>
            <w:pPr>
              <w:pStyle w:val="11"/>
              <w:pBdr>
                <w:bottom w:val="none" w:color="auto" w:sz="0" w:space="0"/>
              </w:pBdr>
              <w:tabs>
                <w:tab w:val="left" w:pos="420"/>
              </w:tabs>
              <w:adjustRightInd/>
              <w:spacing w:line="240" w:lineRule="auto"/>
              <w:jc w:val="left"/>
              <w:rPr>
                <w:rFonts w:ascii="宋体" w:hAnsi="宋体"/>
                <w:b/>
                <w:kern w:val="2"/>
                <w:szCs w:val="24"/>
              </w:rPr>
            </w:pPr>
            <w:r>
              <w:rPr>
                <w:rFonts w:hint="eastAsia" w:ascii="宋体" w:hAnsi="宋体"/>
                <w:b/>
                <w:kern w:val="2"/>
                <w:szCs w:val="24"/>
              </w:rPr>
              <w:t>单位</w:t>
            </w:r>
          </w:p>
        </w:tc>
        <w:tc>
          <w:tcPr>
            <w:tcW w:w="632" w:type="dxa"/>
            <w:tcBorders>
              <w:top w:val="single" w:color="auto" w:sz="4" w:space="0"/>
              <w:left w:val="single" w:color="auto" w:sz="4" w:space="0"/>
              <w:bottom w:val="single" w:color="auto" w:sz="4" w:space="0"/>
              <w:right w:val="single" w:color="auto" w:sz="4" w:space="0"/>
            </w:tcBorders>
            <w:noWrap w:val="0"/>
            <w:vAlign w:val="center"/>
          </w:tcPr>
          <w:p>
            <w:pPr>
              <w:pStyle w:val="11"/>
              <w:pBdr>
                <w:bottom w:val="none" w:color="auto" w:sz="0" w:space="0"/>
              </w:pBdr>
              <w:tabs>
                <w:tab w:val="left" w:pos="420"/>
              </w:tabs>
              <w:adjustRightInd/>
              <w:spacing w:line="240" w:lineRule="auto"/>
              <w:jc w:val="left"/>
              <w:rPr>
                <w:rFonts w:ascii="宋体" w:hAnsi="宋体"/>
                <w:b/>
                <w:kern w:val="2"/>
                <w:szCs w:val="24"/>
              </w:rPr>
            </w:pPr>
            <w:r>
              <w:rPr>
                <w:rFonts w:hint="eastAsia" w:ascii="宋体" w:hAnsi="宋体"/>
                <w:b/>
                <w:kern w:val="2"/>
                <w:szCs w:val="24"/>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4" w:type="dxa"/>
            <w:tcBorders>
              <w:top w:val="single" w:color="auto" w:sz="4" w:space="0"/>
              <w:left w:val="single" w:color="auto" w:sz="4" w:space="0"/>
              <w:right w:val="single" w:color="auto" w:sz="4" w:space="0"/>
            </w:tcBorders>
            <w:noWrap w:val="0"/>
            <w:vAlign w:val="center"/>
          </w:tcPr>
          <w:p>
            <w:pPr>
              <w:spacing w:line="640" w:lineRule="exact"/>
              <w:jc w:val="center"/>
              <w:rPr>
                <w:rFonts w:ascii="宋体" w:hAnsi="Calibri" w:cs="宋体"/>
                <w:sz w:val="24"/>
              </w:rPr>
            </w:pPr>
            <w:r>
              <w:rPr>
                <w:rFonts w:hint="eastAsia" w:ascii="宋体" w:hAnsi="宋体" w:cs="宋体"/>
                <w:b/>
                <w:bCs/>
                <w:sz w:val="24"/>
              </w:rPr>
              <w:t>一</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bCs/>
                <w:color w:val="000000"/>
                <w:sz w:val="24"/>
              </w:rPr>
            </w:pPr>
            <w:r>
              <w:rPr>
                <w:rFonts w:hint="eastAsia" w:ascii="宋体" w:hAnsi="宋体" w:cs="宋体"/>
                <w:bCs/>
                <w:color w:val="000000"/>
                <w:sz w:val="24"/>
              </w:rPr>
              <w:t>1</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Calibri" w:cs="宋体"/>
                <w:sz w:val="24"/>
              </w:rPr>
            </w:pPr>
            <w:r>
              <w:rPr>
                <w:rFonts w:hint="eastAsia"/>
                <w:sz w:val="24"/>
              </w:rPr>
              <w:t>数据分析管理软件</w:t>
            </w:r>
          </w:p>
        </w:tc>
        <w:tc>
          <w:tcPr>
            <w:tcW w:w="6634" w:type="dxa"/>
            <w:tcBorders>
              <w:top w:val="single" w:color="auto" w:sz="4" w:space="0"/>
              <w:left w:val="single" w:color="auto" w:sz="4" w:space="0"/>
              <w:bottom w:val="single" w:color="auto" w:sz="4" w:space="0"/>
              <w:right w:val="single" w:color="auto" w:sz="4" w:space="0"/>
            </w:tcBorders>
            <w:noWrap w:val="0"/>
            <w:vAlign w:val="center"/>
          </w:tcPr>
          <w:p>
            <w:pPr>
              <w:pStyle w:val="2"/>
              <w:spacing w:before="156" w:beforeLines="50" w:after="156" w:afterLines="50" w:line="360" w:lineRule="auto"/>
            </w:pPr>
            <w:r>
              <w:rPr>
                <w:rFonts w:hint="eastAsia"/>
              </w:rPr>
              <w:t>硬件设备要求</w:t>
            </w:r>
          </w:p>
          <w:p>
            <w:pPr>
              <w:numPr>
                <w:ilvl w:val="0"/>
                <w:numId w:val="1"/>
              </w:numPr>
            </w:pPr>
            <w:r>
              <w:rPr>
                <w:rFonts w:hint="eastAsia"/>
              </w:rPr>
              <w:t>服务器处理器： 2.0GHz以上</w:t>
            </w:r>
          </w:p>
          <w:p>
            <w:pPr>
              <w:numPr>
                <w:ilvl w:val="0"/>
                <w:numId w:val="1"/>
              </w:numPr>
            </w:pPr>
            <w:r>
              <w:rPr>
                <w:rFonts w:hint="eastAsia"/>
              </w:rPr>
              <w:t>内存：4G以上</w:t>
            </w:r>
          </w:p>
          <w:p>
            <w:pPr>
              <w:numPr>
                <w:ilvl w:val="0"/>
                <w:numId w:val="1"/>
              </w:numPr>
            </w:pPr>
            <w:r>
              <w:rPr>
                <w:rFonts w:hint="eastAsia"/>
              </w:rPr>
              <w:t>硬盘：200G以上</w:t>
            </w:r>
            <w:bookmarkStart w:id="0" w:name="_Toc511152826"/>
          </w:p>
          <w:p>
            <w:pPr>
              <w:pStyle w:val="2"/>
              <w:spacing w:before="156" w:beforeLines="50" w:after="156" w:afterLines="50" w:line="360" w:lineRule="auto"/>
            </w:pPr>
            <w:r>
              <w:rPr>
                <w:rFonts w:hint="eastAsia"/>
              </w:rPr>
              <w:t>支撑软件</w:t>
            </w:r>
            <w:bookmarkEnd w:id="0"/>
          </w:p>
          <w:p>
            <w:pPr>
              <w:numPr>
                <w:ilvl w:val="0"/>
                <w:numId w:val="2"/>
              </w:numPr>
            </w:pPr>
            <w:r>
              <w:rPr>
                <w:rFonts w:hint="eastAsia"/>
              </w:rPr>
              <w:t>操作系统：Windows 2003 server 或者 Windows 2008 sever</w:t>
            </w:r>
          </w:p>
          <w:p>
            <w:pPr>
              <w:numPr>
                <w:ilvl w:val="0"/>
                <w:numId w:val="2"/>
              </w:numPr>
            </w:pPr>
            <w:r>
              <w:rPr>
                <w:rFonts w:hint="eastAsia"/>
              </w:rPr>
              <w:t>应用框架：Microsoft.net 2.0以上</w:t>
            </w:r>
          </w:p>
          <w:p>
            <w:pPr>
              <w:pStyle w:val="2"/>
              <w:spacing w:before="156" w:beforeLines="50" w:after="156" w:afterLines="50" w:line="360" w:lineRule="auto"/>
            </w:pPr>
            <w:r>
              <w:rPr>
                <w:rFonts w:hint="eastAsia"/>
              </w:rPr>
              <w:t>软件功能</w:t>
            </w:r>
          </w:p>
          <w:p>
            <w:pPr>
              <w:numPr>
                <w:ilvl w:val="0"/>
                <w:numId w:val="3"/>
              </w:numPr>
            </w:pPr>
            <w:r>
              <w:rPr>
                <w:rFonts w:hint="eastAsia"/>
              </w:rPr>
              <w:t>高速实时数据接收</w:t>
            </w:r>
          </w:p>
          <w:p>
            <w:pPr>
              <w:ind w:left="420"/>
            </w:pPr>
            <w:r>
              <w:rPr>
                <w:rFonts w:hint="eastAsia"/>
              </w:rPr>
              <w:t>实时接收传感器高速数据，确保数据完整性，需充分考虑数据粘包、分包等特殊情况；</w:t>
            </w:r>
          </w:p>
          <w:p>
            <w:pPr>
              <w:numPr>
                <w:ilvl w:val="0"/>
                <w:numId w:val="3"/>
              </w:numPr>
            </w:pPr>
            <w:r>
              <w:rPr>
                <w:rFonts w:hint="eastAsia"/>
              </w:rPr>
              <w:t>数据分析处理</w:t>
            </w:r>
          </w:p>
          <w:p>
            <w:pPr>
              <w:ind w:firstLine="420"/>
            </w:pPr>
            <w:r>
              <w:rPr>
                <w:rFonts w:hint="eastAsia"/>
              </w:rPr>
              <w:t>数据进行卡尔曼滤波分析；</w:t>
            </w:r>
          </w:p>
          <w:p>
            <w:pPr>
              <w:ind w:firstLine="420"/>
            </w:pPr>
            <w:r>
              <w:rPr>
                <w:rFonts w:hint="eastAsia"/>
              </w:rPr>
              <w:t>数据进行傅里叶变换、小波变换算法；</w:t>
            </w:r>
          </w:p>
          <w:p>
            <w:pPr>
              <w:ind w:firstLine="420"/>
            </w:pPr>
            <w:r>
              <w:rPr>
                <w:rFonts w:hint="eastAsia"/>
              </w:rPr>
              <w:t>数据进行加速度、角度、位移计算；</w:t>
            </w:r>
          </w:p>
          <w:p>
            <w:pPr>
              <w:numPr>
                <w:ilvl w:val="0"/>
                <w:numId w:val="3"/>
              </w:numPr>
            </w:pPr>
            <w:r>
              <w:rPr>
                <w:rFonts w:hint="eastAsia"/>
              </w:rPr>
              <w:t>数据展示</w:t>
            </w:r>
          </w:p>
          <w:p>
            <w:pPr>
              <w:ind w:left="420"/>
            </w:pPr>
            <w:r>
              <w:rPr>
                <w:rFonts w:hint="eastAsia"/>
              </w:rPr>
              <w:t>数据可以进行列表展示；</w:t>
            </w:r>
          </w:p>
          <w:p>
            <w:pPr>
              <w:ind w:left="420"/>
            </w:pPr>
            <w:r>
              <w:rPr>
                <w:rFonts w:hint="eastAsia"/>
              </w:rPr>
              <w:t>数据可进行3D展示；</w:t>
            </w:r>
          </w:p>
          <w:p>
            <w:pPr>
              <w:numPr>
                <w:ilvl w:val="0"/>
                <w:numId w:val="3"/>
              </w:numPr>
            </w:pPr>
            <w:r>
              <w:rPr>
                <w:rFonts w:hint="eastAsia"/>
              </w:rPr>
              <w:t>参数配置</w:t>
            </w:r>
          </w:p>
          <w:p>
            <w:pPr>
              <w:ind w:left="420"/>
            </w:pPr>
            <w:r>
              <w:rPr>
                <w:rFonts w:hint="eastAsia"/>
              </w:rPr>
              <w:t>可修改设备所有配置参数；</w:t>
            </w:r>
          </w:p>
          <w:p>
            <w:pPr>
              <w:numPr>
                <w:ilvl w:val="0"/>
                <w:numId w:val="3"/>
              </w:numPr>
            </w:pPr>
            <w:r>
              <w:rPr>
                <w:rFonts w:hint="eastAsia"/>
              </w:rPr>
              <w:t>软件部署</w:t>
            </w:r>
          </w:p>
          <w:p>
            <w:pPr>
              <w:ind w:left="420"/>
            </w:pPr>
            <w:r>
              <w:rPr>
                <w:rFonts w:hint="eastAsia"/>
              </w:rPr>
              <w:t>可灵活部署，实用性强；</w:t>
            </w:r>
          </w:p>
          <w:p>
            <w:pPr>
              <w:numPr>
                <w:ilvl w:val="0"/>
                <w:numId w:val="3"/>
              </w:numPr>
            </w:pPr>
            <w:r>
              <w:rPr>
                <w:rFonts w:hint="eastAsia"/>
              </w:rPr>
              <w:t>数据导出</w:t>
            </w:r>
          </w:p>
          <w:p>
            <w:pPr>
              <w:ind w:left="420"/>
            </w:pPr>
            <w:r>
              <w:rPr>
                <w:rFonts w:hint="eastAsia"/>
              </w:rPr>
              <w:t>采集数据结果可到出到Excel表格；</w:t>
            </w:r>
          </w:p>
        </w:tc>
        <w:tc>
          <w:tcPr>
            <w:tcW w:w="6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640" w:lineRule="exact"/>
              <w:jc w:val="center"/>
              <w:rPr>
                <w:rFonts w:ascii="宋体" w:hAnsi="Calibri" w:cs="宋体"/>
                <w:sz w:val="24"/>
              </w:rPr>
            </w:pPr>
            <w:r>
              <w:rPr>
                <w:rFonts w:hint="eastAsia" w:ascii="宋体" w:hAnsi="Calibri" w:cs="宋体"/>
                <w:sz w:val="24"/>
              </w:rPr>
              <w:t>套</w:t>
            </w:r>
          </w:p>
        </w:tc>
        <w:tc>
          <w:tcPr>
            <w:tcW w:w="6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640" w:lineRule="exact"/>
              <w:jc w:val="center"/>
              <w:rPr>
                <w:rFonts w:ascii="宋体" w:hAnsi="Calibri" w:cs="宋体"/>
                <w:sz w:val="24"/>
              </w:rPr>
            </w:pPr>
            <w:r>
              <w:rPr>
                <w:rFonts w:hint="eastAsia" w:ascii="宋体" w:hAnsi="Calibri" w:cs="宋体"/>
                <w:sz w:val="24"/>
              </w:rPr>
              <w:t>1</w:t>
            </w:r>
          </w:p>
        </w:tc>
      </w:tr>
    </w:tbl>
    <w:p>
      <w:pPr>
        <w:pStyle w:val="10"/>
        <w:spacing w:line="400" w:lineRule="exact"/>
        <w:ind w:firstLine="0" w:firstLineChars="0"/>
        <w:rPr>
          <w:rFonts w:hint="eastAsia" w:ascii="宋体" w:hAnsi="宋体"/>
          <w:sz w:val="28"/>
          <w:szCs w:val="28"/>
          <w:highlight w:val="yellow"/>
        </w:rPr>
      </w:pPr>
    </w:p>
    <w:p>
      <w:pPr>
        <w:pStyle w:val="10"/>
        <w:spacing w:line="400" w:lineRule="exact"/>
        <w:ind w:firstLine="0" w:firstLineChars="0"/>
        <w:rPr>
          <w:rFonts w:ascii="宋体" w:hAnsi="宋体"/>
          <w:sz w:val="28"/>
          <w:szCs w:val="28"/>
          <w:highlight w:val="yellow"/>
        </w:rPr>
      </w:pPr>
    </w:p>
    <w:p>
      <w:pPr>
        <w:pStyle w:val="4"/>
        <w:rPr>
          <w:rFonts w:hAnsi="宋体"/>
          <w:color w:val="FF0000"/>
          <w:sz w:val="24"/>
          <w:szCs w:val="24"/>
        </w:rPr>
      </w:pPr>
      <w:r>
        <w:rPr>
          <w:rFonts w:hint="eastAsia" w:hAnsi="宋体"/>
          <w:color w:val="FF0000"/>
          <w:sz w:val="24"/>
          <w:szCs w:val="24"/>
        </w:rPr>
        <w:t>说明：</w:t>
      </w:r>
    </w:p>
    <w:p>
      <w:pPr>
        <w:pStyle w:val="4"/>
        <w:numPr>
          <w:ilvl w:val="0"/>
          <w:numId w:val="4"/>
        </w:numPr>
        <w:rPr>
          <w:rFonts w:hAnsi="宋体"/>
          <w:color w:val="FF0000"/>
          <w:sz w:val="24"/>
          <w:szCs w:val="24"/>
        </w:rPr>
      </w:pPr>
      <w:r>
        <w:rPr>
          <w:rFonts w:hint="eastAsia" w:hAnsi="宋体"/>
          <w:color w:val="FF0000"/>
          <w:sz w:val="24"/>
          <w:szCs w:val="24"/>
        </w:rPr>
        <w:t>供应商提供产品的技术参数不得低于上表中的主要技术参数要求</w:t>
      </w:r>
    </w:p>
    <w:p>
      <w:pPr>
        <w:numPr>
          <w:ilvl w:val="0"/>
          <w:numId w:val="4"/>
        </w:numPr>
        <w:rPr>
          <w:rFonts w:hint="eastAsia" w:ascii="宋体" w:hAnsi="宋体"/>
          <w:sz w:val="24"/>
        </w:rPr>
      </w:pPr>
      <w:r>
        <w:rPr>
          <w:rFonts w:hint="eastAsia" w:ascii="宋体" w:hAnsi="宋体"/>
          <w:sz w:val="24"/>
        </w:rPr>
        <w:t>供应商负责设计、开发与调试的全部工作；</w:t>
      </w:r>
    </w:p>
    <w:p>
      <w:pPr>
        <w:numPr>
          <w:ilvl w:val="0"/>
          <w:numId w:val="4"/>
        </w:numPr>
        <w:rPr>
          <w:rFonts w:hint="eastAsia" w:ascii="宋体" w:hAnsi="宋体"/>
          <w:sz w:val="24"/>
        </w:rPr>
      </w:pPr>
      <w:r>
        <w:rPr>
          <w:rFonts w:hint="eastAsia" w:ascii="宋体" w:hAnsi="宋体"/>
          <w:sz w:val="24"/>
        </w:rPr>
        <w:t>供应商成交后应提供完整的设计、安装、调试与验收流程；</w:t>
      </w:r>
    </w:p>
    <w:p>
      <w:pPr>
        <w:pStyle w:val="4"/>
        <w:numPr>
          <w:ilvl w:val="0"/>
          <w:numId w:val="4"/>
        </w:numPr>
        <w:rPr>
          <w:rFonts w:hAnsi="宋体"/>
          <w:sz w:val="24"/>
          <w:szCs w:val="24"/>
        </w:rPr>
      </w:pPr>
      <w:r>
        <w:rPr>
          <w:rFonts w:hint="eastAsia" w:hAnsi="宋体"/>
          <w:sz w:val="24"/>
          <w:szCs w:val="24"/>
        </w:rPr>
        <w:t>供应商必须以包为最小单位报价；</w:t>
      </w:r>
    </w:p>
    <w:p>
      <w:pPr>
        <w:pStyle w:val="10"/>
        <w:spacing w:line="360" w:lineRule="auto"/>
        <w:ind w:firstLine="0" w:firstLineChars="0"/>
        <w:rPr>
          <w:rFonts w:ascii="宋体" w:hAnsi="宋体"/>
          <w:b/>
          <w:sz w:val="24"/>
          <w:szCs w:val="24"/>
        </w:rPr>
      </w:pPr>
      <w:r>
        <w:rPr>
          <w:rFonts w:hint="eastAsia" w:ascii="宋体" w:hAnsi="宋体"/>
          <w:b/>
          <w:sz w:val="24"/>
          <w:szCs w:val="24"/>
        </w:rPr>
        <w:t>二、交货期（工期）</w:t>
      </w:r>
    </w:p>
    <w:p>
      <w:pPr>
        <w:pStyle w:val="10"/>
        <w:spacing w:line="360" w:lineRule="auto"/>
        <w:ind w:firstLine="0" w:firstLineChars="0"/>
        <w:rPr>
          <w:rFonts w:ascii="宋体" w:hAnsi="宋体"/>
          <w:sz w:val="24"/>
          <w:szCs w:val="24"/>
        </w:rPr>
      </w:pPr>
      <w:r>
        <w:rPr>
          <w:rFonts w:hint="eastAsia" w:ascii="宋体" w:hAnsi="宋体"/>
          <w:sz w:val="24"/>
          <w:szCs w:val="24"/>
        </w:rPr>
        <w:tab/>
      </w:r>
      <w:r>
        <w:rPr>
          <w:rFonts w:hint="eastAsia" w:ascii="宋体" w:hAnsi="宋体"/>
          <w:sz w:val="24"/>
          <w:szCs w:val="24"/>
        </w:rPr>
        <w:t>见供应商须知前附表。</w:t>
      </w:r>
    </w:p>
    <w:p>
      <w:pPr>
        <w:pStyle w:val="10"/>
        <w:spacing w:line="400" w:lineRule="exact"/>
        <w:ind w:firstLine="0" w:firstLineChars="0"/>
        <w:rPr>
          <w:rFonts w:ascii="宋体" w:hAnsi="宋体"/>
          <w:b/>
          <w:sz w:val="24"/>
          <w:szCs w:val="24"/>
        </w:rPr>
      </w:pPr>
      <w:r>
        <w:rPr>
          <w:rFonts w:hint="eastAsia" w:ascii="宋体" w:hAnsi="宋体"/>
          <w:b/>
          <w:sz w:val="24"/>
          <w:szCs w:val="24"/>
        </w:rPr>
        <w:t>三、交货地点</w:t>
      </w:r>
    </w:p>
    <w:p>
      <w:pPr>
        <w:widowControl/>
        <w:spacing w:line="400" w:lineRule="exact"/>
        <w:ind w:firstLine="480" w:firstLineChars="200"/>
        <w:jc w:val="left"/>
        <w:rPr>
          <w:rFonts w:ascii="宋体" w:hAnsi="宋体"/>
          <w:sz w:val="24"/>
        </w:rPr>
      </w:pPr>
      <w:r>
        <w:rPr>
          <w:rFonts w:hint="eastAsia" w:ascii="宋体" w:hAnsi="宋体"/>
          <w:sz w:val="24"/>
        </w:rPr>
        <w:t>见供应商须知前附表。</w:t>
      </w:r>
    </w:p>
    <w:p>
      <w:pPr>
        <w:pStyle w:val="10"/>
        <w:spacing w:line="400" w:lineRule="exact"/>
        <w:ind w:firstLine="0" w:firstLineChars="0"/>
        <w:rPr>
          <w:rFonts w:ascii="宋体" w:hAnsi="宋体"/>
          <w:b/>
          <w:sz w:val="24"/>
          <w:szCs w:val="24"/>
        </w:rPr>
      </w:pPr>
      <w:r>
        <w:rPr>
          <w:rFonts w:hint="eastAsia" w:ascii="宋体" w:hAnsi="宋体"/>
          <w:b/>
          <w:sz w:val="24"/>
          <w:szCs w:val="24"/>
        </w:rPr>
        <w:t>四、售后服务要求</w:t>
      </w:r>
    </w:p>
    <w:p>
      <w:pPr>
        <w:widowControl/>
        <w:spacing w:line="400" w:lineRule="exact"/>
        <w:ind w:firstLine="480" w:firstLineChars="200"/>
        <w:jc w:val="left"/>
        <w:rPr>
          <w:rFonts w:ascii="宋体" w:hAnsi="宋体"/>
          <w:sz w:val="24"/>
        </w:rPr>
      </w:pPr>
      <w:r>
        <w:rPr>
          <w:rFonts w:hint="eastAsia" w:ascii="宋体" w:hAnsi="宋体"/>
          <w:sz w:val="24"/>
        </w:rPr>
        <w:t>1、</w:t>
      </w:r>
      <w:r>
        <w:rPr>
          <w:rFonts w:hint="eastAsia" w:ascii="宋体" w:hAnsi="宋体"/>
          <w:color w:val="FF0000"/>
          <w:sz w:val="24"/>
        </w:rPr>
        <w:t>项目的质量保证期为自验收合格之日起壹年</w:t>
      </w:r>
      <w:r>
        <w:rPr>
          <w:rFonts w:hint="eastAsia" w:ascii="宋体" w:hAnsi="宋体"/>
          <w:sz w:val="24"/>
        </w:rPr>
        <w:t>，终身服务。乙方需承诺所提供的货物和服务符合合同约定的品质、型号、规格以及技术标准。如设备/系统出现问题和故障，由乙方负责判定故障原因，并提出解决方案并予以实施。在质量保证期外，为本项目所供设备/系统提供终身维修服务。</w:t>
      </w:r>
    </w:p>
    <w:p>
      <w:pPr>
        <w:widowControl/>
        <w:spacing w:line="400" w:lineRule="exact"/>
        <w:ind w:firstLine="480" w:firstLineChars="200"/>
        <w:jc w:val="left"/>
        <w:rPr>
          <w:rFonts w:ascii="宋体" w:hAnsi="宋体"/>
          <w:sz w:val="24"/>
        </w:rPr>
      </w:pPr>
      <w:r>
        <w:rPr>
          <w:rFonts w:hint="eastAsia" w:ascii="宋体" w:hAnsi="宋体"/>
          <w:sz w:val="24"/>
        </w:rPr>
        <w:t xml:space="preserve">2、在质量保证期内，如设备/系统出现质量瑕疵或缺陷，乙方应在接到甲方通知后 6小时内到达，并在12小时内完成更换、维修等工作。甲方有权选择免费更换、修复、减少价款、赔偿损失等方式要求乙方承担质量保证责任。 </w:t>
      </w:r>
    </w:p>
    <w:p>
      <w:pPr>
        <w:widowControl/>
        <w:spacing w:line="400" w:lineRule="exact"/>
        <w:ind w:firstLine="480" w:firstLineChars="200"/>
        <w:jc w:val="left"/>
        <w:rPr>
          <w:rFonts w:ascii="宋体" w:hAnsi="宋体"/>
          <w:sz w:val="24"/>
        </w:rPr>
      </w:pPr>
      <w:r>
        <w:rPr>
          <w:rFonts w:hint="eastAsia" w:ascii="宋体" w:hAnsi="宋体"/>
          <w:sz w:val="24"/>
        </w:rPr>
        <w:t xml:space="preserve">3、在质量保证期外，如设备/系统出现故障，乙方应在接到甲方通知后12小时内到达，并在24小时内完成更换、维修等工作。货物维修或更换费用由甲方承担，价格不高于投标单价。 </w:t>
      </w:r>
    </w:p>
    <w:p>
      <w:pPr>
        <w:widowControl/>
        <w:spacing w:line="400" w:lineRule="exact"/>
        <w:ind w:firstLine="480" w:firstLineChars="200"/>
        <w:jc w:val="left"/>
        <w:rPr>
          <w:rFonts w:ascii="宋体" w:hAnsi="宋体"/>
          <w:sz w:val="24"/>
        </w:rPr>
      </w:pPr>
      <w:r>
        <w:rPr>
          <w:rFonts w:hint="eastAsia" w:ascii="宋体" w:hAnsi="宋体"/>
          <w:sz w:val="24"/>
        </w:rPr>
        <w:t>4、成交后供应商提供完善的售后服务方案。</w:t>
      </w:r>
    </w:p>
    <w:p>
      <w:pPr>
        <w:pStyle w:val="10"/>
        <w:spacing w:line="400" w:lineRule="exact"/>
        <w:ind w:firstLine="0" w:firstLineChars="0"/>
        <w:rPr>
          <w:rFonts w:ascii="宋体" w:hAnsi="宋体"/>
          <w:b/>
          <w:sz w:val="24"/>
          <w:szCs w:val="24"/>
        </w:rPr>
      </w:pPr>
      <w:r>
        <w:rPr>
          <w:rFonts w:hint="eastAsia" w:ascii="宋体" w:hAnsi="宋体"/>
          <w:b/>
          <w:sz w:val="24"/>
          <w:szCs w:val="24"/>
        </w:rPr>
        <w:t>五、验收标准</w:t>
      </w:r>
    </w:p>
    <w:p>
      <w:pPr>
        <w:widowControl/>
        <w:spacing w:line="400" w:lineRule="exact"/>
        <w:ind w:firstLine="480" w:firstLineChars="200"/>
        <w:jc w:val="left"/>
        <w:rPr>
          <w:rFonts w:ascii="宋体" w:hAnsi="宋体"/>
          <w:sz w:val="24"/>
        </w:rPr>
      </w:pPr>
      <w:r>
        <w:rPr>
          <w:rFonts w:hint="eastAsia" w:ascii="宋体" w:hAnsi="宋体"/>
          <w:sz w:val="24"/>
        </w:rPr>
        <w:t>1、采购人和相关部门按照国家规定标准验收，没有国家标准的按行业标准验收，无行业标准的按地方或企业标准验收，供应商予以配合。涉及安全、消防、环保等其他需要由质检或行业主管部门验收的项目，采购人须约请相关部门和专家参加项目验收。</w:t>
      </w:r>
    </w:p>
    <w:p>
      <w:pPr>
        <w:widowControl/>
        <w:spacing w:line="400" w:lineRule="exact"/>
        <w:ind w:firstLine="480" w:firstLineChars="200"/>
        <w:jc w:val="left"/>
        <w:rPr>
          <w:rFonts w:ascii="宋体" w:hAnsi="宋体"/>
          <w:b/>
          <w:bCs/>
          <w:kern w:val="44"/>
          <w:sz w:val="24"/>
        </w:rPr>
      </w:pPr>
      <w:r>
        <w:rPr>
          <w:rFonts w:hint="eastAsia" w:ascii="宋体" w:hAnsi="宋体"/>
          <w:sz w:val="24"/>
        </w:rPr>
        <w:t>2、货物在验收时，供应商应提供发票、产品合格证书、装箱清单等,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供应商提供的必要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99EB1"/>
    <w:multiLevelType w:val="multilevel"/>
    <w:tmpl w:val="8BF99EB1"/>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284C17A0"/>
    <w:multiLevelType w:val="multilevel"/>
    <w:tmpl w:val="284C17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A61FE3"/>
    <w:multiLevelType w:val="multilevel"/>
    <w:tmpl w:val="67A61F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BB6005"/>
    <w:multiLevelType w:val="multilevel"/>
    <w:tmpl w:val="6DBB60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MzdmYmE0ODNjNjRmN2NjMWY0MzZkMDNhZmM4NjcifQ=="/>
  </w:docVars>
  <w:rsids>
    <w:rsidRoot w:val="4A2C4546"/>
    <w:rsid w:val="4A2C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ind w:firstLine="660"/>
    </w:pPr>
    <w:rPr>
      <w:rFonts w:ascii="宋体" w:hAnsi="宋体"/>
      <w:color w:val="000000"/>
      <w:sz w:val="24"/>
      <w:szCs w:val="20"/>
    </w:rPr>
  </w:style>
  <w:style w:type="paragraph" w:styleId="4">
    <w:name w:val="Plain Text"/>
    <w:basedOn w:val="1"/>
    <w:qFormat/>
    <w:uiPriority w:val="0"/>
    <w:rPr>
      <w:rFonts w:ascii="宋体" w:hAnsi="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line="360" w:lineRule="auto"/>
      <w:jc w:val="center"/>
      <w:outlineLvl w:val="0"/>
    </w:pPr>
    <w:rPr>
      <w:rFonts w:ascii="Cambria" w:hAnsi="Cambria"/>
      <w:b/>
      <w:bCs/>
      <w:sz w:val="32"/>
      <w:szCs w:val="32"/>
    </w:rPr>
  </w:style>
  <w:style w:type="paragraph" w:styleId="7">
    <w:name w:val="Body Text First Indent 2"/>
    <w:basedOn w:val="3"/>
    <w:qFormat/>
    <w:uiPriority w:val="0"/>
    <w:pPr>
      <w:spacing w:after="120"/>
      <w:ind w:left="420" w:leftChars="200" w:firstLine="420" w:firstLineChars="200"/>
    </w:pPr>
    <w:rPr>
      <w:sz w:val="21"/>
    </w:rPr>
  </w:style>
  <w:style w:type="paragraph" w:styleId="10">
    <w:name w:val="List Paragraph"/>
    <w:basedOn w:val="1"/>
    <w:qFormat/>
    <w:uiPriority w:val="34"/>
    <w:pPr>
      <w:ind w:firstLine="420" w:firstLineChars="200"/>
    </w:pPr>
    <w:rPr>
      <w:rFonts w:ascii="Calibri" w:hAnsi="Calibri"/>
      <w:szCs w:val="22"/>
    </w:rPr>
  </w:style>
  <w:style w:type="paragraph" w:customStyle="1" w:styleId="11">
    <w:name w:val="D&amp;L"/>
    <w:basedOn w:val="5"/>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2022-07-11T02:18:00Z</dcterms:created>
  <dc:creator>WR</dc:creator>
  <cp:lastModifiedBy>WR</cp:lastModifiedBy>
  <dcterms:modified xsi:type="dcterms:W3CDTF">2022-07-11T02:19:01Z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ACE8E21DAF7D4CB8B709C51D0A4248AF</vt:lpwstr>
  </property>
</Properties>
</file>