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0" w:after="0" w:line="360" w:lineRule="auto"/>
        <w:rPr>
          <w:rFonts w:hint="eastAsia" w:ascii="宋体" w:hAnsi="宋体" w:cs="宋体"/>
        </w:rPr>
      </w:pPr>
      <w:r>
        <w:rPr>
          <w:rFonts w:hint="eastAsia" w:ascii="宋体" w:hAnsi="宋体" w:cs="宋体"/>
          <w:lang w:eastAsia="zh-CN"/>
        </w:rPr>
        <w:t>采购需</w:t>
      </w:r>
      <w:r>
        <w:rPr>
          <w:rFonts w:hint="eastAsia" w:ascii="宋体" w:hAnsi="宋体" w:cs="宋体"/>
        </w:rPr>
        <w:t>求</w:t>
      </w:r>
    </w:p>
    <w:p>
      <w:pPr>
        <w:spacing w:line="240" w:lineRule="auto"/>
        <w:rPr>
          <w:rFonts w:hint="eastAsia" w:ascii="宋体" w:hAnsi="宋体" w:cs="宋体"/>
          <w:b/>
          <w:sz w:val="24"/>
        </w:rPr>
      </w:pPr>
      <w:r>
        <w:rPr>
          <w:rFonts w:hint="eastAsia" w:ascii="宋体" w:hAnsi="宋体" w:cs="宋体"/>
          <w:b/>
          <w:sz w:val="24"/>
        </w:rPr>
        <w:t>一、项目概况</w:t>
      </w:r>
    </w:p>
    <w:p>
      <w:pPr>
        <w:pStyle w:val="7"/>
        <w:widowControl/>
        <w:spacing w:line="360" w:lineRule="auto"/>
        <w:ind w:firstLine="480" w:firstLineChars="200"/>
        <w:jc w:val="both"/>
        <w:rPr>
          <w:rFonts w:hint="eastAsia" w:ascii="宋体" w:hAnsi="宋体" w:cs="宋体"/>
          <w:bCs/>
          <w:kern w:val="0"/>
          <w:sz w:val="24"/>
          <w:szCs w:val="24"/>
        </w:rPr>
      </w:pPr>
      <w:r>
        <w:rPr>
          <w:rFonts w:hint="eastAsia" w:ascii="宋体" w:hAnsi="宋体" w:cs="宋体"/>
          <w:bCs/>
          <w:kern w:val="0"/>
          <w:sz w:val="24"/>
          <w:szCs w:val="24"/>
        </w:rPr>
        <w:t>1、项目概述：本项目为</w:t>
      </w:r>
      <w:r>
        <w:rPr>
          <w:rFonts w:hint="eastAsia" w:ascii="宋体" w:hAnsi="宋体" w:cs="宋体"/>
          <w:bCs/>
          <w:kern w:val="0"/>
          <w:sz w:val="24"/>
          <w:szCs w:val="24"/>
          <w:lang w:eastAsia="zh-CN"/>
        </w:rPr>
        <w:t>乐山师范学院2022-2023年食堂零星物资（小吃、糕点类）采购项目（第五次）</w:t>
      </w:r>
      <w:r>
        <w:rPr>
          <w:rFonts w:hint="eastAsia" w:ascii="宋体" w:hAnsi="宋体" w:cs="宋体"/>
          <w:bCs/>
          <w:kern w:val="0"/>
          <w:sz w:val="24"/>
          <w:szCs w:val="24"/>
        </w:rPr>
        <w:t>，</w:t>
      </w:r>
      <w:r>
        <w:rPr>
          <w:rFonts w:hint="eastAsia" w:ascii="宋体" w:hAnsi="宋体"/>
          <w:bCs/>
          <w:sz w:val="24"/>
          <w:szCs w:val="24"/>
        </w:rPr>
        <w:t>由1名供应商配送。</w:t>
      </w:r>
    </w:p>
    <w:p>
      <w:pPr>
        <w:pStyle w:val="7"/>
        <w:widowControl/>
        <w:ind w:firstLine="480" w:firstLineChars="200"/>
        <w:jc w:val="both"/>
        <w:rPr>
          <w:rFonts w:hint="eastAsia" w:ascii="宋体" w:hAnsi="宋体" w:cs="宋体"/>
          <w:bCs/>
          <w:kern w:val="0"/>
          <w:sz w:val="24"/>
          <w:szCs w:val="24"/>
        </w:rPr>
      </w:pPr>
      <w:r>
        <w:rPr>
          <w:rFonts w:hint="eastAsia" w:ascii="宋体" w:hAnsi="宋体" w:cs="宋体"/>
          <w:bCs/>
          <w:kern w:val="0"/>
          <w:sz w:val="24"/>
          <w:szCs w:val="24"/>
        </w:rPr>
        <w:t>2、资金来源：非财政性资金。</w:t>
      </w:r>
    </w:p>
    <w:p>
      <w:pPr>
        <w:pStyle w:val="7"/>
        <w:widowControl/>
        <w:spacing w:line="360" w:lineRule="auto"/>
        <w:ind w:firstLine="480" w:firstLineChars="200"/>
        <w:jc w:val="both"/>
        <w:rPr>
          <w:rFonts w:hint="eastAsia" w:ascii="宋体" w:hAnsi="宋体" w:cs="宋体"/>
          <w:bCs/>
          <w:kern w:val="0"/>
          <w:sz w:val="24"/>
          <w:szCs w:val="24"/>
        </w:rPr>
      </w:pPr>
      <w:r>
        <w:rPr>
          <w:rFonts w:hint="eastAsia" w:ascii="宋体" w:hAnsi="宋体" w:cs="宋体"/>
          <w:bCs/>
          <w:kern w:val="0"/>
          <w:sz w:val="24"/>
          <w:szCs w:val="24"/>
        </w:rPr>
        <w:t>3、最高限价：本项目为单价采购项目，投标单价不得超过标的单价最高限价。</w:t>
      </w:r>
      <w:bookmarkStart w:id="0" w:name="_GoBack"/>
      <w:bookmarkEnd w:id="0"/>
    </w:p>
    <w:p>
      <w:pPr>
        <w:pStyle w:val="7"/>
        <w:widowControl/>
        <w:ind w:firstLine="480" w:firstLineChars="200"/>
        <w:jc w:val="both"/>
        <w:rPr>
          <w:rFonts w:hint="eastAsia" w:ascii="宋体" w:hAnsi="宋体" w:cs="宋体"/>
          <w:bCs/>
          <w:kern w:val="0"/>
          <w:sz w:val="24"/>
          <w:szCs w:val="24"/>
        </w:rPr>
      </w:pPr>
      <w:r>
        <w:rPr>
          <w:rFonts w:hint="eastAsia" w:ascii="宋体" w:hAnsi="宋体" w:cs="宋体"/>
          <w:bCs/>
          <w:kern w:val="0"/>
          <w:sz w:val="24"/>
          <w:szCs w:val="24"/>
        </w:rPr>
        <w:t>4、采购方式：公开招标</w:t>
      </w:r>
    </w:p>
    <w:p>
      <w:pPr>
        <w:pStyle w:val="7"/>
        <w:widowControl/>
        <w:ind w:firstLine="480" w:firstLineChars="200"/>
        <w:jc w:val="both"/>
        <w:rPr>
          <w:rFonts w:hint="eastAsia" w:ascii="宋体" w:hAnsi="宋体" w:cs="宋体"/>
          <w:bCs/>
          <w:kern w:val="0"/>
          <w:sz w:val="24"/>
          <w:szCs w:val="24"/>
        </w:rPr>
      </w:pPr>
      <w:r>
        <w:rPr>
          <w:rFonts w:hint="eastAsia" w:ascii="宋体" w:hAnsi="宋体" w:cs="宋体"/>
          <w:bCs/>
          <w:kern w:val="0"/>
          <w:sz w:val="24"/>
          <w:szCs w:val="24"/>
        </w:rPr>
        <w:t>5、本次采购项目标的对应的中小企业划分所属行业：</w:t>
      </w:r>
      <w:r>
        <w:rPr>
          <w:rFonts w:hint="eastAsia" w:ascii="宋体" w:hAnsi="宋体" w:cs="宋体"/>
          <w:bCs/>
          <w:kern w:val="0"/>
          <w:sz w:val="24"/>
          <w:szCs w:val="24"/>
          <w:lang w:val="en-US" w:eastAsia="zh-CN"/>
        </w:rPr>
        <w:t>其他未列明行业</w:t>
      </w:r>
      <w:r>
        <w:rPr>
          <w:rFonts w:hint="eastAsia" w:ascii="宋体" w:hAnsi="宋体" w:cs="宋体"/>
          <w:bCs/>
          <w:kern w:val="0"/>
          <w:sz w:val="24"/>
          <w:szCs w:val="24"/>
        </w:rPr>
        <w:t>。</w:t>
      </w:r>
    </w:p>
    <w:p>
      <w:pPr>
        <w:pStyle w:val="7"/>
        <w:widowControl/>
        <w:jc w:val="both"/>
        <w:rPr>
          <w:rFonts w:hint="eastAsia" w:ascii="宋体" w:hAnsi="宋体" w:cs="宋体"/>
          <w:b/>
          <w:kern w:val="0"/>
          <w:sz w:val="24"/>
          <w:szCs w:val="24"/>
        </w:rPr>
      </w:pPr>
      <w:r>
        <w:rPr>
          <w:rFonts w:hint="eastAsia" w:ascii="宋体" w:hAnsi="宋体" w:cs="宋体"/>
          <w:b/>
          <w:kern w:val="0"/>
          <w:sz w:val="24"/>
          <w:szCs w:val="24"/>
        </w:rPr>
        <w:t>二、采购清单</w:t>
      </w:r>
    </w:p>
    <w:tbl>
      <w:tblPr>
        <w:tblStyle w:val="5"/>
        <w:tblW w:w="87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2"/>
        <w:gridCol w:w="851"/>
        <w:gridCol w:w="1442"/>
        <w:gridCol w:w="1843"/>
        <w:gridCol w:w="1418"/>
        <w:gridCol w:w="16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atLeast"/>
          <w:jc w:val="center"/>
        </w:trPr>
        <w:tc>
          <w:tcPr>
            <w:tcW w:w="1512" w:type="dxa"/>
            <w:noWrap w:val="0"/>
            <w:vAlign w:val="center"/>
          </w:tcPr>
          <w:p>
            <w:pPr>
              <w:jc w:val="center"/>
              <w:rPr>
                <w:rFonts w:hint="eastAsia"/>
                <w:b/>
                <w:bCs/>
              </w:rPr>
            </w:pPr>
            <w:r>
              <w:rPr>
                <w:rFonts w:hint="eastAsia"/>
                <w:b/>
                <w:bCs/>
              </w:rPr>
              <w:t>标的名称</w:t>
            </w:r>
          </w:p>
        </w:tc>
        <w:tc>
          <w:tcPr>
            <w:tcW w:w="851" w:type="dxa"/>
            <w:noWrap w:val="0"/>
            <w:vAlign w:val="center"/>
          </w:tcPr>
          <w:p>
            <w:pPr>
              <w:jc w:val="center"/>
              <w:rPr>
                <w:b/>
                <w:bCs/>
              </w:rPr>
            </w:pPr>
            <w:r>
              <w:rPr>
                <w:b/>
                <w:bCs/>
              </w:rPr>
              <w:t>单位</w:t>
            </w:r>
          </w:p>
        </w:tc>
        <w:tc>
          <w:tcPr>
            <w:tcW w:w="1442" w:type="dxa"/>
            <w:noWrap w:val="0"/>
            <w:vAlign w:val="center"/>
          </w:tcPr>
          <w:p>
            <w:pPr>
              <w:jc w:val="center"/>
              <w:rPr>
                <w:b/>
                <w:bCs/>
              </w:rPr>
            </w:pPr>
            <w:r>
              <w:rPr>
                <w:b/>
                <w:bCs/>
              </w:rPr>
              <w:t>主要</w:t>
            </w:r>
            <w:r>
              <w:rPr>
                <w:rFonts w:hint="eastAsia"/>
                <w:b/>
                <w:bCs/>
              </w:rPr>
              <w:t>原料</w:t>
            </w:r>
          </w:p>
        </w:tc>
        <w:tc>
          <w:tcPr>
            <w:tcW w:w="1843" w:type="dxa"/>
            <w:noWrap w:val="0"/>
            <w:vAlign w:val="center"/>
          </w:tcPr>
          <w:p>
            <w:pPr>
              <w:jc w:val="center"/>
              <w:rPr>
                <w:b/>
                <w:bCs/>
              </w:rPr>
            </w:pPr>
            <w:r>
              <w:rPr>
                <w:b/>
                <w:bCs/>
              </w:rPr>
              <w:t>规格</w:t>
            </w:r>
          </w:p>
        </w:tc>
        <w:tc>
          <w:tcPr>
            <w:tcW w:w="1418" w:type="dxa"/>
            <w:noWrap w:val="0"/>
            <w:vAlign w:val="center"/>
          </w:tcPr>
          <w:p>
            <w:pPr>
              <w:jc w:val="center"/>
              <w:rPr>
                <w:b/>
                <w:bCs/>
              </w:rPr>
            </w:pPr>
            <w:r>
              <w:rPr>
                <w:b/>
                <w:bCs/>
              </w:rPr>
              <w:t>参考数量</w:t>
            </w:r>
          </w:p>
        </w:tc>
        <w:tc>
          <w:tcPr>
            <w:tcW w:w="1675" w:type="dxa"/>
            <w:noWrap w:val="0"/>
            <w:vAlign w:val="center"/>
          </w:tcPr>
          <w:p>
            <w:pPr>
              <w:jc w:val="center"/>
              <w:rPr>
                <w:b/>
                <w:bCs/>
              </w:rPr>
            </w:pPr>
            <w:r>
              <w:rPr>
                <w:rFonts w:hint="eastAsia"/>
                <w:b/>
                <w:bCs/>
                <w:lang w:eastAsia="zh-CN"/>
              </w:rPr>
              <w:t>单价最高</w:t>
            </w:r>
            <w:r>
              <w:rPr>
                <w:rFonts w:hint="eastAsia"/>
                <w:b/>
                <w:bCs/>
              </w:rPr>
              <w:t>限价（元）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1512" w:type="dxa"/>
            <w:noWrap w:val="0"/>
            <w:vAlign w:val="center"/>
          </w:tcPr>
          <w:p>
            <w:pPr>
              <w:spacing w:line="240" w:lineRule="auto"/>
              <w:jc w:val="center"/>
            </w:pPr>
            <w:r>
              <w:rPr>
                <w:rFonts w:hint="eastAsia" w:ascii="宋体" w:hAnsi="宋体" w:eastAsia="宋体" w:cs="宋体"/>
                <w:sz w:val="21"/>
                <w:szCs w:val="21"/>
              </w:rPr>
              <w:t>糍粑</w:t>
            </w:r>
          </w:p>
        </w:tc>
        <w:tc>
          <w:tcPr>
            <w:tcW w:w="851" w:type="dxa"/>
            <w:noWrap w:val="0"/>
            <w:vAlign w:val="center"/>
          </w:tcPr>
          <w:p>
            <w:pPr>
              <w:spacing w:line="240" w:lineRule="auto"/>
              <w:jc w:val="center"/>
            </w:pPr>
            <w:r>
              <w:rPr>
                <w:rFonts w:hint="eastAsia" w:ascii="宋体" w:hAnsi="宋体" w:eastAsia="宋体" w:cs="宋体"/>
                <w:sz w:val="21"/>
                <w:szCs w:val="21"/>
              </w:rPr>
              <w:t>kg</w:t>
            </w:r>
          </w:p>
        </w:tc>
        <w:tc>
          <w:tcPr>
            <w:tcW w:w="1442" w:type="dxa"/>
            <w:noWrap w:val="0"/>
            <w:vAlign w:val="center"/>
          </w:tcPr>
          <w:p>
            <w:pPr>
              <w:spacing w:line="240" w:lineRule="auto"/>
              <w:jc w:val="center"/>
              <w:rPr>
                <w:rFonts w:hint="eastAsia"/>
              </w:rPr>
            </w:pPr>
            <w:r>
              <w:rPr>
                <w:rFonts w:hint="eastAsia" w:ascii="宋体" w:hAnsi="宋体" w:eastAsia="宋体" w:cs="宋体"/>
                <w:sz w:val="21"/>
                <w:szCs w:val="21"/>
              </w:rPr>
              <w:t>糯米</w:t>
            </w:r>
          </w:p>
        </w:tc>
        <w:tc>
          <w:tcPr>
            <w:tcW w:w="1843" w:type="dxa"/>
            <w:noWrap w:val="0"/>
            <w:vAlign w:val="center"/>
          </w:tcPr>
          <w:p>
            <w:pPr>
              <w:spacing w:line="240" w:lineRule="auto"/>
              <w:jc w:val="center"/>
              <w:rPr>
                <w:rFonts w:hint="eastAsia"/>
              </w:rPr>
            </w:pPr>
          </w:p>
        </w:tc>
        <w:tc>
          <w:tcPr>
            <w:tcW w:w="1418" w:type="dxa"/>
            <w:noWrap w:val="0"/>
            <w:vAlign w:val="center"/>
          </w:tcPr>
          <w:p>
            <w:pPr>
              <w:spacing w:line="240" w:lineRule="auto"/>
              <w:jc w:val="center"/>
            </w:pPr>
            <w:r>
              <w:rPr>
                <w:rFonts w:hint="eastAsia" w:ascii="宋体" w:hAnsi="宋体" w:eastAsia="宋体" w:cs="宋体"/>
                <w:color w:val="000000"/>
                <w:sz w:val="21"/>
                <w:szCs w:val="21"/>
              </w:rPr>
              <w:t>1400</w:t>
            </w:r>
          </w:p>
        </w:tc>
        <w:tc>
          <w:tcPr>
            <w:tcW w:w="1675" w:type="dxa"/>
            <w:noWrap w:val="0"/>
            <w:vAlign w:val="center"/>
          </w:tcPr>
          <w:p>
            <w:pPr>
              <w:spacing w:line="240" w:lineRule="auto"/>
              <w:jc w:val="center"/>
            </w:pPr>
            <w:r>
              <w:rPr>
                <w:rFonts w:hint="eastAsia" w:ascii="宋体" w:hAnsi="宋体" w:eastAsia="宋体" w:cs="宋体"/>
                <w:sz w:val="21"/>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1512" w:type="dxa"/>
            <w:noWrap w:val="0"/>
            <w:vAlign w:val="center"/>
          </w:tcPr>
          <w:p>
            <w:pPr>
              <w:spacing w:line="240" w:lineRule="auto"/>
              <w:jc w:val="center"/>
            </w:pPr>
            <w:r>
              <w:rPr>
                <w:rFonts w:hint="eastAsia" w:ascii="宋体" w:hAnsi="宋体" w:eastAsia="宋体" w:cs="宋体"/>
                <w:sz w:val="21"/>
                <w:szCs w:val="21"/>
              </w:rPr>
              <w:t>叶儿粑</w:t>
            </w:r>
          </w:p>
        </w:tc>
        <w:tc>
          <w:tcPr>
            <w:tcW w:w="851" w:type="dxa"/>
            <w:noWrap w:val="0"/>
            <w:vAlign w:val="center"/>
          </w:tcPr>
          <w:p>
            <w:pPr>
              <w:spacing w:line="240" w:lineRule="auto"/>
              <w:jc w:val="center"/>
            </w:pPr>
            <w:r>
              <w:rPr>
                <w:rFonts w:hint="eastAsia" w:ascii="宋体" w:hAnsi="宋体" w:eastAsia="宋体" w:cs="宋体"/>
                <w:sz w:val="21"/>
                <w:szCs w:val="21"/>
              </w:rPr>
              <w:t>个</w:t>
            </w:r>
          </w:p>
        </w:tc>
        <w:tc>
          <w:tcPr>
            <w:tcW w:w="1442" w:type="dxa"/>
            <w:noWrap w:val="0"/>
            <w:vAlign w:val="center"/>
          </w:tcPr>
          <w:p>
            <w:pPr>
              <w:spacing w:line="240" w:lineRule="auto"/>
              <w:jc w:val="center"/>
            </w:pPr>
            <w:r>
              <w:rPr>
                <w:rFonts w:hint="eastAsia" w:ascii="宋体" w:hAnsi="宋体" w:eastAsia="宋体" w:cs="宋体"/>
                <w:sz w:val="21"/>
                <w:szCs w:val="21"/>
              </w:rPr>
              <w:t>糯米、大米</w:t>
            </w:r>
          </w:p>
        </w:tc>
        <w:tc>
          <w:tcPr>
            <w:tcW w:w="1843" w:type="dxa"/>
            <w:noWrap w:val="0"/>
            <w:vAlign w:val="center"/>
          </w:tcPr>
          <w:p>
            <w:pPr>
              <w:spacing w:line="240" w:lineRule="auto"/>
              <w:jc w:val="center"/>
            </w:pPr>
            <w:r>
              <w:rPr>
                <w:rFonts w:hint="eastAsia" w:ascii="宋体" w:hAnsi="宋体" w:eastAsia="宋体" w:cs="宋体"/>
                <w:sz w:val="21"/>
                <w:szCs w:val="21"/>
              </w:rPr>
              <w:t>≥100 g /个</w:t>
            </w:r>
          </w:p>
        </w:tc>
        <w:tc>
          <w:tcPr>
            <w:tcW w:w="1418" w:type="dxa"/>
            <w:noWrap w:val="0"/>
            <w:vAlign w:val="center"/>
          </w:tcPr>
          <w:p>
            <w:pPr>
              <w:spacing w:line="240" w:lineRule="auto"/>
              <w:jc w:val="center"/>
            </w:pPr>
            <w:r>
              <w:rPr>
                <w:rFonts w:hint="eastAsia" w:ascii="宋体" w:hAnsi="宋体" w:eastAsia="宋体" w:cs="宋体"/>
                <w:color w:val="000000"/>
                <w:sz w:val="21"/>
                <w:szCs w:val="21"/>
              </w:rPr>
              <w:t>9960</w:t>
            </w:r>
          </w:p>
        </w:tc>
        <w:tc>
          <w:tcPr>
            <w:tcW w:w="1675" w:type="dxa"/>
            <w:noWrap w:val="0"/>
            <w:vAlign w:val="center"/>
          </w:tcPr>
          <w:p>
            <w:pPr>
              <w:spacing w:line="240" w:lineRule="auto"/>
              <w:jc w:val="center"/>
            </w:pPr>
            <w:r>
              <w:rPr>
                <w:rFonts w:hint="eastAsia" w:ascii="宋体" w:hAnsi="宋体" w:eastAsia="宋体" w:cs="宋体"/>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1512" w:type="dxa"/>
            <w:noWrap w:val="0"/>
            <w:vAlign w:val="center"/>
          </w:tcPr>
          <w:p>
            <w:pPr>
              <w:spacing w:line="240" w:lineRule="auto"/>
              <w:jc w:val="center"/>
            </w:pPr>
            <w:r>
              <w:rPr>
                <w:rFonts w:hint="eastAsia" w:ascii="宋体" w:hAnsi="宋体" w:eastAsia="宋体" w:cs="宋体"/>
                <w:sz w:val="21"/>
                <w:szCs w:val="21"/>
              </w:rPr>
              <w:t>泡粑</w:t>
            </w:r>
          </w:p>
        </w:tc>
        <w:tc>
          <w:tcPr>
            <w:tcW w:w="851" w:type="dxa"/>
            <w:noWrap w:val="0"/>
            <w:vAlign w:val="center"/>
          </w:tcPr>
          <w:p>
            <w:pPr>
              <w:spacing w:line="240" w:lineRule="auto"/>
              <w:jc w:val="center"/>
            </w:pPr>
            <w:r>
              <w:rPr>
                <w:rFonts w:hint="eastAsia" w:ascii="宋体" w:hAnsi="宋体" w:eastAsia="宋体" w:cs="宋体"/>
                <w:sz w:val="21"/>
                <w:szCs w:val="21"/>
              </w:rPr>
              <w:t>kg</w:t>
            </w:r>
          </w:p>
        </w:tc>
        <w:tc>
          <w:tcPr>
            <w:tcW w:w="1442" w:type="dxa"/>
            <w:noWrap w:val="0"/>
            <w:vAlign w:val="center"/>
          </w:tcPr>
          <w:p>
            <w:pPr>
              <w:spacing w:line="240" w:lineRule="auto"/>
              <w:jc w:val="center"/>
            </w:pPr>
            <w:r>
              <w:rPr>
                <w:rFonts w:hint="eastAsia" w:ascii="宋体" w:hAnsi="宋体" w:eastAsia="宋体" w:cs="宋体"/>
                <w:sz w:val="21"/>
                <w:szCs w:val="21"/>
              </w:rPr>
              <w:t>大米、糯米</w:t>
            </w:r>
          </w:p>
        </w:tc>
        <w:tc>
          <w:tcPr>
            <w:tcW w:w="1843" w:type="dxa"/>
            <w:noWrap w:val="0"/>
            <w:vAlign w:val="center"/>
          </w:tcPr>
          <w:p>
            <w:pPr>
              <w:spacing w:line="240" w:lineRule="auto"/>
              <w:jc w:val="center"/>
            </w:pPr>
            <w:r>
              <w:rPr>
                <w:rFonts w:hint="eastAsia" w:ascii="宋体" w:hAnsi="宋体" w:eastAsia="宋体" w:cs="宋体"/>
                <w:sz w:val="21"/>
                <w:szCs w:val="21"/>
              </w:rPr>
              <w:t>≥80 g /个</w:t>
            </w:r>
          </w:p>
        </w:tc>
        <w:tc>
          <w:tcPr>
            <w:tcW w:w="1418" w:type="dxa"/>
            <w:noWrap w:val="0"/>
            <w:vAlign w:val="center"/>
          </w:tcPr>
          <w:p>
            <w:pPr>
              <w:spacing w:line="240" w:lineRule="auto"/>
              <w:jc w:val="center"/>
            </w:pPr>
            <w:r>
              <w:rPr>
                <w:rFonts w:hint="eastAsia" w:ascii="宋体" w:hAnsi="宋体" w:eastAsia="宋体" w:cs="宋体"/>
                <w:color w:val="000000"/>
                <w:sz w:val="21"/>
                <w:szCs w:val="21"/>
              </w:rPr>
              <w:t>2000</w:t>
            </w:r>
          </w:p>
        </w:tc>
        <w:tc>
          <w:tcPr>
            <w:tcW w:w="1675" w:type="dxa"/>
            <w:noWrap w:val="0"/>
            <w:vAlign w:val="center"/>
          </w:tcPr>
          <w:p>
            <w:pPr>
              <w:spacing w:line="240" w:lineRule="auto"/>
              <w:jc w:val="center"/>
            </w:pPr>
            <w:r>
              <w:rPr>
                <w:rFonts w:hint="eastAsia" w:ascii="宋体" w:hAnsi="宋体" w:eastAsia="宋体" w:cs="宋体"/>
                <w:sz w:val="21"/>
                <w:szCs w:val="21"/>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1512" w:type="dxa"/>
            <w:noWrap w:val="0"/>
            <w:vAlign w:val="center"/>
          </w:tcPr>
          <w:p>
            <w:pPr>
              <w:spacing w:line="240" w:lineRule="auto"/>
              <w:jc w:val="center"/>
            </w:pPr>
            <w:r>
              <w:rPr>
                <w:rFonts w:hint="eastAsia" w:ascii="宋体" w:hAnsi="宋体" w:eastAsia="宋体" w:cs="宋体"/>
                <w:sz w:val="21"/>
                <w:szCs w:val="21"/>
              </w:rPr>
              <w:t>肉粽子</w:t>
            </w:r>
          </w:p>
        </w:tc>
        <w:tc>
          <w:tcPr>
            <w:tcW w:w="851" w:type="dxa"/>
            <w:noWrap w:val="0"/>
            <w:vAlign w:val="center"/>
          </w:tcPr>
          <w:p>
            <w:pPr>
              <w:spacing w:line="240" w:lineRule="auto"/>
              <w:jc w:val="center"/>
            </w:pPr>
            <w:r>
              <w:rPr>
                <w:rFonts w:hint="eastAsia" w:ascii="宋体" w:hAnsi="宋体" w:eastAsia="宋体" w:cs="宋体"/>
                <w:sz w:val="21"/>
                <w:szCs w:val="21"/>
              </w:rPr>
              <w:t>个</w:t>
            </w:r>
          </w:p>
        </w:tc>
        <w:tc>
          <w:tcPr>
            <w:tcW w:w="1442" w:type="dxa"/>
            <w:noWrap w:val="0"/>
            <w:vAlign w:val="center"/>
          </w:tcPr>
          <w:p>
            <w:pPr>
              <w:spacing w:line="240" w:lineRule="auto"/>
              <w:jc w:val="center"/>
            </w:pPr>
            <w:r>
              <w:rPr>
                <w:rFonts w:hint="eastAsia" w:ascii="宋体" w:hAnsi="宋体" w:eastAsia="宋体" w:cs="宋体"/>
                <w:sz w:val="21"/>
                <w:szCs w:val="21"/>
              </w:rPr>
              <w:t>糯米、肉类、豆类</w:t>
            </w:r>
          </w:p>
        </w:tc>
        <w:tc>
          <w:tcPr>
            <w:tcW w:w="1843" w:type="dxa"/>
            <w:noWrap w:val="0"/>
            <w:vAlign w:val="center"/>
          </w:tcPr>
          <w:p>
            <w:pPr>
              <w:spacing w:line="240" w:lineRule="auto"/>
              <w:jc w:val="center"/>
            </w:pPr>
            <w:r>
              <w:rPr>
                <w:rFonts w:hint="eastAsia" w:ascii="宋体" w:hAnsi="宋体" w:eastAsia="宋体" w:cs="宋体"/>
                <w:sz w:val="21"/>
                <w:szCs w:val="21"/>
              </w:rPr>
              <w:t>≥150 g /个</w:t>
            </w:r>
          </w:p>
        </w:tc>
        <w:tc>
          <w:tcPr>
            <w:tcW w:w="1418" w:type="dxa"/>
            <w:noWrap w:val="0"/>
            <w:vAlign w:val="center"/>
          </w:tcPr>
          <w:p>
            <w:pPr>
              <w:spacing w:line="240" w:lineRule="auto"/>
              <w:jc w:val="center"/>
            </w:pPr>
            <w:r>
              <w:rPr>
                <w:rFonts w:hint="eastAsia" w:ascii="宋体" w:hAnsi="宋体" w:eastAsia="宋体" w:cs="宋体"/>
                <w:color w:val="000000"/>
                <w:sz w:val="21"/>
                <w:szCs w:val="21"/>
              </w:rPr>
              <w:t>12000</w:t>
            </w:r>
          </w:p>
        </w:tc>
        <w:tc>
          <w:tcPr>
            <w:tcW w:w="1675" w:type="dxa"/>
            <w:noWrap w:val="0"/>
            <w:vAlign w:val="center"/>
          </w:tcPr>
          <w:p>
            <w:pPr>
              <w:spacing w:line="240" w:lineRule="auto"/>
              <w:jc w:val="center"/>
            </w:pPr>
            <w:r>
              <w:rPr>
                <w:rFonts w:hint="eastAsia" w:ascii="宋体" w:hAnsi="宋体" w:eastAsia="宋体" w:cs="宋体"/>
                <w:sz w:val="21"/>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1512" w:type="dxa"/>
            <w:noWrap w:val="0"/>
            <w:vAlign w:val="center"/>
          </w:tcPr>
          <w:p>
            <w:pPr>
              <w:spacing w:line="240" w:lineRule="auto"/>
              <w:jc w:val="center"/>
            </w:pPr>
            <w:r>
              <w:rPr>
                <w:rFonts w:hint="eastAsia" w:ascii="宋体" w:hAnsi="宋体" w:eastAsia="宋体" w:cs="宋体"/>
                <w:sz w:val="21"/>
                <w:szCs w:val="21"/>
              </w:rPr>
              <w:t>白粽子</w:t>
            </w:r>
          </w:p>
        </w:tc>
        <w:tc>
          <w:tcPr>
            <w:tcW w:w="851" w:type="dxa"/>
            <w:noWrap w:val="0"/>
            <w:vAlign w:val="center"/>
          </w:tcPr>
          <w:p>
            <w:pPr>
              <w:spacing w:line="240" w:lineRule="auto"/>
              <w:jc w:val="center"/>
            </w:pPr>
            <w:r>
              <w:rPr>
                <w:rFonts w:hint="eastAsia" w:ascii="宋体" w:hAnsi="宋体" w:eastAsia="宋体" w:cs="宋体"/>
                <w:sz w:val="21"/>
                <w:szCs w:val="21"/>
              </w:rPr>
              <w:t>个</w:t>
            </w:r>
          </w:p>
        </w:tc>
        <w:tc>
          <w:tcPr>
            <w:tcW w:w="1442" w:type="dxa"/>
            <w:noWrap w:val="0"/>
            <w:vAlign w:val="center"/>
          </w:tcPr>
          <w:p>
            <w:pPr>
              <w:spacing w:line="240" w:lineRule="auto"/>
              <w:jc w:val="center"/>
            </w:pPr>
            <w:r>
              <w:rPr>
                <w:rFonts w:hint="eastAsia" w:ascii="宋体" w:hAnsi="宋体" w:eastAsia="宋体" w:cs="宋体"/>
                <w:sz w:val="21"/>
                <w:szCs w:val="21"/>
              </w:rPr>
              <w:t>糯米</w:t>
            </w:r>
          </w:p>
        </w:tc>
        <w:tc>
          <w:tcPr>
            <w:tcW w:w="1843" w:type="dxa"/>
            <w:noWrap w:val="0"/>
            <w:vAlign w:val="center"/>
          </w:tcPr>
          <w:p>
            <w:pPr>
              <w:spacing w:line="240" w:lineRule="auto"/>
              <w:jc w:val="center"/>
            </w:pPr>
            <w:r>
              <w:rPr>
                <w:rFonts w:hint="eastAsia" w:ascii="宋体" w:hAnsi="宋体" w:eastAsia="宋体" w:cs="宋体"/>
                <w:sz w:val="21"/>
                <w:szCs w:val="21"/>
              </w:rPr>
              <w:t>≥150 g /个</w:t>
            </w:r>
          </w:p>
        </w:tc>
        <w:tc>
          <w:tcPr>
            <w:tcW w:w="1418" w:type="dxa"/>
            <w:noWrap w:val="0"/>
            <w:vAlign w:val="center"/>
          </w:tcPr>
          <w:p>
            <w:pPr>
              <w:spacing w:line="240" w:lineRule="auto"/>
              <w:jc w:val="center"/>
            </w:pPr>
            <w:r>
              <w:rPr>
                <w:rFonts w:hint="eastAsia" w:ascii="宋体" w:hAnsi="宋体" w:eastAsia="宋体" w:cs="宋体"/>
                <w:color w:val="000000"/>
                <w:sz w:val="21"/>
                <w:szCs w:val="21"/>
              </w:rPr>
              <w:t>5000</w:t>
            </w:r>
          </w:p>
        </w:tc>
        <w:tc>
          <w:tcPr>
            <w:tcW w:w="1675" w:type="dxa"/>
            <w:noWrap w:val="0"/>
            <w:vAlign w:val="center"/>
          </w:tcPr>
          <w:p>
            <w:pPr>
              <w:spacing w:line="240" w:lineRule="auto"/>
              <w:jc w:val="center"/>
              <w:rPr>
                <w:highlight w:val="yellow"/>
              </w:rPr>
            </w:pPr>
            <w:r>
              <w:rPr>
                <w:rFonts w:hint="eastAsia" w:ascii="宋体" w:hAnsi="宋体" w:eastAsia="宋体" w:cs="宋体"/>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1512" w:type="dxa"/>
            <w:noWrap w:val="0"/>
            <w:vAlign w:val="center"/>
          </w:tcPr>
          <w:p>
            <w:pPr>
              <w:spacing w:line="240" w:lineRule="auto"/>
              <w:jc w:val="center"/>
            </w:pPr>
            <w:r>
              <w:rPr>
                <w:rFonts w:hint="eastAsia" w:ascii="宋体" w:hAnsi="宋体" w:eastAsia="宋体" w:cs="宋体"/>
                <w:sz w:val="21"/>
                <w:szCs w:val="21"/>
              </w:rPr>
              <w:t>咸鸭蛋</w:t>
            </w:r>
          </w:p>
        </w:tc>
        <w:tc>
          <w:tcPr>
            <w:tcW w:w="851" w:type="dxa"/>
            <w:noWrap w:val="0"/>
            <w:vAlign w:val="center"/>
          </w:tcPr>
          <w:p>
            <w:pPr>
              <w:spacing w:line="240" w:lineRule="auto"/>
              <w:jc w:val="center"/>
            </w:pPr>
            <w:r>
              <w:rPr>
                <w:rFonts w:hint="eastAsia" w:ascii="宋体" w:hAnsi="宋体" w:eastAsia="宋体" w:cs="宋体"/>
                <w:sz w:val="21"/>
                <w:szCs w:val="21"/>
              </w:rPr>
              <w:t>个</w:t>
            </w:r>
          </w:p>
        </w:tc>
        <w:tc>
          <w:tcPr>
            <w:tcW w:w="1442" w:type="dxa"/>
            <w:noWrap w:val="0"/>
            <w:vAlign w:val="center"/>
          </w:tcPr>
          <w:p>
            <w:pPr>
              <w:spacing w:line="240" w:lineRule="auto"/>
              <w:jc w:val="center"/>
            </w:pPr>
            <w:r>
              <w:rPr>
                <w:rFonts w:hint="eastAsia" w:ascii="宋体" w:hAnsi="宋体" w:eastAsia="宋体" w:cs="宋体"/>
                <w:sz w:val="21"/>
                <w:szCs w:val="21"/>
              </w:rPr>
              <w:t>鸭蛋</w:t>
            </w:r>
          </w:p>
        </w:tc>
        <w:tc>
          <w:tcPr>
            <w:tcW w:w="1843" w:type="dxa"/>
            <w:noWrap w:val="0"/>
            <w:vAlign w:val="center"/>
          </w:tcPr>
          <w:p>
            <w:pPr>
              <w:spacing w:line="240" w:lineRule="auto"/>
              <w:jc w:val="center"/>
            </w:pPr>
            <w:r>
              <w:rPr>
                <w:rFonts w:hint="eastAsia" w:ascii="宋体" w:hAnsi="宋体" w:eastAsia="宋体" w:cs="宋体"/>
                <w:sz w:val="21"/>
                <w:szCs w:val="21"/>
              </w:rPr>
              <w:t>≥75g/个</w:t>
            </w:r>
          </w:p>
        </w:tc>
        <w:tc>
          <w:tcPr>
            <w:tcW w:w="1418" w:type="dxa"/>
            <w:noWrap w:val="0"/>
            <w:vAlign w:val="center"/>
          </w:tcPr>
          <w:p>
            <w:pPr>
              <w:spacing w:line="240" w:lineRule="auto"/>
              <w:jc w:val="center"/>
            </w:pPr>
            <w:r>
              <w:rPr>
                <w:rFonts w:hint="eastAsia" w:ascii="宋体" w:hAnsi="宋体" w:eastAsia="宋体" w:cs="宋体"/>
                <w:color w:val="000000"/>
                <w:sz w:val="21"/>
                <w:szCs w:val="21"/>
              </w:rPr>
              <w:t>8000</w:t>
            </w:r>
          </w:p>
        </w:tc>
        <w:tc>
          <w:tcPr>
            <w:tcW w:w="1675" w:type="dxa"/>
            <w:noWrap w:val="0"/>
            <w:vAlign w:val="center"/>
          </w:tcPr>
          <w:p>
            <w:pPr>
              <w:spacing w:line="240" w:lineRule="auto"/>
              <w:jc w:val="center"/>
              <w:rPr>
                <w:highlight w:val="yellow"/>
              </w:rPr>
            </w:pPr>
            <w:r>
              <w:rPr>
                <w:rFonts w:hint="eastAsia" w:ascii="宋体" w:hAnsi="宋体" w:eastAsia="宋体" w:cs="宋体"/>
                <w:sz w:val="21"/>
                <w:szCs w:val="21"/>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1512" w:type="dxa"/>
            <w:noWrap w:val="0"/>
            <w:vAlign w:val="center"/>
          </w:tcPr>
          <w:p>
            <w:pPr>
              <w:spacing w:line="240" w:lineRule="auto"/>
              <w:jc w:val="center"/>
            </w:pPr>
            <w:r>
              <w:rPr>
                <w:rFonts w:hint="eastAsia" w:ascii="宋体" w:hAnsi="宋体" w:eastAsia="宋体" w:cs="宋体"/>
                <w:sz w:val="21"/>
                <w:szCs w:val="21"/>
              </w:rPr>
              <w:t>小蛋糕</w:t>
            </w:r>
          </w:p>
        </w:tc>
        <w:tc>
          <w:tcPr>
            <w:tcW w:w="851" w:type="dxa"/>
            <w:noWrap w:val="0"/>
            <w:vAlign w:val="center"/>
          </w:tcPr>
          <w:p>
            <w:pPr>
              <w:spacing w:line="240" w:lineRule="auto"/>
              <w:jc w:val="center"/>
            </w:pPr>
            <w:r>
              <w:rPr>
                <w:rFonts w:hint="eastAsia" w:ascii="宋体" w:hAnsi="宋体" w:eastAsia="宋体" w:cs="宋体"/>
                <w:sz w:val="21"/>
                <w:szCs w:val="21"/>
              </w:rPr>
              <w:t>个</w:t>
            </w:r>
          </w:p>
        </w:tc>
        <w:tc>
          <w:tcPr>
            <w:tcW w:w="1442" w:type="dxa"/>
            <w:vMerge w:val="restart"/>
            <w:noWrap w:val="0"/>
            <w:vAlign w:val="center"/>
          </w:tcPr>
          <w:p>
            <w:pPr>
              <w:spacing w:after="120" w:line="240" w:lineRule="auto"/>
              <w:jc w:val="center"/>
            </w:pPr>
            <w:r>
              <w:rPr>
                <w:rFonts w:hint="eastAsia" w:ascii="宋体" w:hAnsi="宋体" w:eastAsia="宋体" w:cs="宋体"/>
                <w:sz w:val="21"/>
                <w:szCs w:val="21"/>
              </w:rPr>
              <w:t>面粉、白糖</w:t>
            </w:r>
          </w:p>
        </w:tc>
        <w:tc>
          <w:tcPr>
            <w:tcW w:w="1843" w:type="dxa"/>
            <w:vMerge w:val="restart"/>
            <w:noWrap w:val="0"/>
            <w:vAlign w:val="center"/>
          </w:tcPr>
          <w:p>
            <w:pPr>
              <w:spacing w:after="120" w:line="240" w:lineRule="auto"/>
              <w:jc w:val="center"/>
            </w:pPr>
            <w:r>
              <w:rPr>
                <w:rFonts w:hint="eastAsia" w:ascii="宋体" w:hAnsi="宋体" w:eastAsia="宋体" w:cs="宋体"/>
                <w:bCs/>
                <w:sz w:val="21"/>
                <w:szCs w:val="21"/>
              </w:rPr>
              <w:t>≥30g</w:t>
            </w:r>
            <w:r>
              <w:rPr>
                <w:rFonts w:hint="eastAsia" w:ascii="宋体" w:hAnsi="宋体" w:eastAsia="宋体" w:cs="宋体"/>
                <w:sz w:val="21"/>
                <w:szCs w:val="21"/>
              </w:rPr>
              <w:t>/个</w:t>
            </w:r>
          </w:p>
        </w:tc>
        <w:tc>
          <w:tcPr>
            <w:tcW w:w="1418" w:type="dxa"/>
            <w:noWrap w:val="0"/>
            <w:vAlign w:val="center"/>
          </w:tcPr>
          <w:p>
            <w:pPr>
              <w:spacing w:line="240" w:lineRule="auto"/>
              <w:jc w:val="center"/>
            </w:pPr>
            <w:r>
              <w:rPr>
                <w:rFonts w:hint="eastAsia" w:ascii="宋体" w:hAnsi="宋体" w:eastAsia="宋体" w:cs="宋体"/>
                <w:color w:val="000000"/>
                <w:sz w:val="21"/>
                <w:szCs w:val="21"/>
              </w:rPr>
              <w:t>12000</w:t>
            </w:r>
          </w:p>
        </w:tc>
        <w:tc>
          <w:tcPr>
            <w:tcW w:w="1675" w:type="dxa"/>
            <w:noWrap w:val="0"/>
            <w:vAlign w:val="center"/>
          </w:tcPr>
          <w:p>
            <w:pPr>
              <w:spacing w:line="240" w:lineRule="auto"/>
              <w:jc w:val="center"/>
            </w:pPr>
            <w:r>
              <w:rPr>
                <w:rFonts w:hint="eastAsia" w:ascii="宋体" w:hAnsi="宋体" w:eastAsia="宋体" w:cs="宋体"/>
                <w:sz w:val="21"/>
                <w:szCs w:val="21"/>
              </w:rPr>
              <w:t>0.88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1512" w:type="dxa"/>
            <w:noWrap w:val="0"/>
            <w:vAlign w:val="center"/>
          </w:tcPr>
          <w:p>
            <w:pPr>
              <w:spacing w:line="240" w:lineRule="auto"/>
              <w:jc w:val="center"/>
            </w:pPr>
            <w:r>
              <w:rPr>
                <w:rFonts w:hint="eastAsia" w:ascii="宋体" w:hAnsi="宋体" w:eastAsia="宋体" w:cs="宋体"/>
                <w:sz w:val="21"/>
                <w:szCs w:val="21"/>
              </w:rPr>
              <w:t>小面包</w:t>
            </w:r>
          </w:p>
        </w:tc>
        <w:tc>
          <w:tcPr>
            <w:tcW w:w="851" w:type="dxa"/>
            <w:noWrap w:val="0"/>
            <w:vAlign w:val="center"/>
          </w:tcPr>
          <w:p>
            <w:pPr>
              <w:spacing w:line="240" w:lineRule="auto"/>
              <w:jc w:val="center"/>
            </w:pPr>
            <w:r>
              <w:rPr>
                <w:rFonts w:hint="eastAsia" w:ascii="宋体" w:hAnsi="宋体" w:eastAsia="宋体" w:cs="宋体"/>
                <w:sz w:val="21"/>
                <w:szCs w:val="21"/>
              </w:rPr>
              <w:t>个</w:t>
            </w:r>
          </w:p>
        </w:tc>
        <w:tc>
          <w:tcPr>
            <w:tcW w:w="1442" w:type="dxa"/>
            <w:vMerge w:val="continue"/>
            <w:noWrap w:val="0"/>
            <w:vAlign w:val="center"/>
          </w:tcPr>
          <w:p>
            <w:pPr>
              <w:spacing w:line="240" w:lineRule="auto"/>
              <w:jc w:val="center"/>
            </w:pPr>
          </w:p>
        </w:tc>
        <w:tc>
          <w:tcPr>
            <w:tcW w:w="1843" w:type="dxa"/>
            <w:vMerge w:val="continue"/>
            <w:noWrap w:val="0"/>
            <w:vAlign w:val="center"/>
          </w:tcPr>
          <w:p>
            <w:pPr>
              <w:spacing w:line="240" w:lineRule="auto"/>
              <w:jc w:val="center"/>
            </w:pPr>
          </w:p>
        </w:tc>
        <w:tc>
          <w:tcPr>
            <w:tcW w:w="1418" w:type="dxa"/>
            <w:noWrap w:val="0"/>
            <w:vAlign w:val="center"/>
          </w:tcPr>
          <w:p>
            <w:pPr>
              <w:spacing w:line="240" w:lineRule="auto"/>
              <w:jc w:val="center"/>
            </w:pPr>
            <w:r>
              <w:rPr>
                <w:rFonts w:hint="eastAsia" w:ascii="宋体" w:hAnsi="宋体" w:eastAsia="宋体" w:cs="宋体"/>
                <w:color w:val="000000"/>
                <w:sz w:val="21"/>
                <w:szCs w:val="21"/>
              </w:rPr>
              <w:t>12000</w:t>
            </w:r>
          </w:p>
        </w:tc>
        <w:tc>
          <w:tcPr>
            <w:tcW w:w="1675" w:type="dxa"/>
            <w:noWrap w:val="0"/>
            <w:vAlign w:val="center"/>
          </w:tcPr>
          <w:p>
            <w:pPr>
              <w:spacing w:line="240" w:lineRule="auto"/>
              <w:jc w:val="center"/>
            </w:pPr>
            <w:r>
              <w:rPr>
                <w:rFonts w:hint="eastAsia" w:ascii="宋体" w:hAnsi="宋体" w:eastAsia="宋体" w:cs="宋体"/>
                <w:sz w:val="21"/>
                <w:szCs w:val="21"/>
              </w:rPr>
              <w:t>0.88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1512" w:type="dxa"/>
            <w:noWrap w:val="0"/>
            <w:vAlign w:val="center"/>
          </w:tcPr>
          <w:p>
            <w:pPr>
              <w:spacing w:line="240" w:lineRule="auto"/>
              <w:jc w:val="center"/>
            </w:pPr>
            <w:r>
              <w:rPr>
                <w:rFonts w:hint="eastAsia" w:ascii="宋体" w:hAnsi="宋体" w:eastAsia="宋体" w:cs="宋体"/>
                <w:sz w:val="21"/>
                <w:szCs w:val="21"/>
              </w:rPr>
              <w:t>沙琪玛</w:t>
            </w:r>
          </w:p>
        </w:tc>
        <w:tc>
          <w:tcPr>
            <w:tcW w:w="851" w:type="dxa"/>
            <w:noWrap w:val="0"/>
            <w:vAlign w:val="center"/>
          </w:tcPr>
          <w:p>
            <w:pPr>
              <w:spacing w:line="240" w:lineRule="auto"/>
              <w:jc w:val="center"/>
            </w:pPr>
            <w:r>
              <w:rPr>
                <w:rFonts w:hint="eastAsia" w:ascii="宋体" w:hAnsi="宋体" w:eastAsia="宋体" w:cs="宋体"/>
                <w:sz w:val="21"/>
                <w:szCs w:val="21"/>
              </w:rPr>
              <w:t>个</w:t>
            </w:r>
          </w:p>
        </w:tc>
        <w:tc>
          <w:tcPr>
            <w:tcW w:w="1442" w:type="dxa"/>
            <w:noWrap w:val="0"/>
            <w:vAlign w:val="center"/>
          </w:tcPr>
          <w:p>
            <w:pPr>
              <w:spacing w:line="240" w:lineRule="auto"/>
              <w:jc w:val="center"/>
            </w:pPr>
            <w:r>
              <w:rPr>
                <w:rFonts w:hint="eastAsia" w:ascii="宋体" w:hAnsi="宋体" w:eastAsia="宋体" w:cs="宋体"/>
                <w:sz w:val="21"/>
                <w:szCs w:val="21"/>
              </w:rPr>
              <w:t>面粉、麦芽糖、鸡蛋</w:t>
            </w:r>
          </w:p>
        </w:tc>
        <w:tc>
          <w:tcPr>
            <w:tcW w:w="1843" w:type="dxa"/>
            <w:noWrap w:val="0"/>
            <w:vAlign w:val="center"/>
          </w:tcPr>
          <w:p>
            <w:pPr>
              <w:spacing w:line="240" w:lineRule="auto"/>
              <w:jc w:val="center"/>
            </w:pPr>
            <w:r>
              <w:rPr>
                <w:rFonts w:hint="eastAsia" w:ascii="宋体" w:hAnsi="宋体" w:eastAsia="宋体" w:cs="宋体"/>
                <w:bCs/>
                <w:sz w:val="21"/>
                <w:szCs w:val="21"/>
              </w:rPr>
              <w:t>≥30g</w:t>
            </w:r>
            <w:r>
              <w:rPr>
                <w:rFonts w:hint="eastAsia" w:ascii="宋体" w:hAnsi="宋体" w:eastAsia="宋体" w:cs="宋体"/>
                <w:sz w:val="21"/>
                <w:szCs w:val="21"/>
              </w:rPr>
              <w:t>/个</w:t>
            </w:r>
          </w:p>
        </w:tc>
        <w:tc>
          <w:tcPr>
            <w:tcW w:w="1418" w:type="dxa"/>
            <w:noWrap w:val="0"/>
            <w:vAlign w:val="center"/>
          </w:tcPr>
          <w:p>
            <w:pPr>
              <w:spacing w:line="240" w:lineRule="auto"/>
              <w:jc w:val="center"/>
            </w:pPr>
            <w:r>
              <w:rPr>
                <w:rFonts w:hint="eastAsia" w:ascii="宋体" w:hAnsi="宋体" w:eastAsia="宋体" w:cs="宋体"/>
                <w:color w:val="000000"/>
                <w:sz w:val="21"/>
                <w:szCs w:val="21"/>
              </w:rPr>
              <w:t>12000</w:t>
            </w:r>
          </w:p>
        </w:tc>
        <w:tc>
          <w:tcPr>
            <w:tcW w:w="1675" w:type="dxa"/>
            <w:noWrap w:val="0"/>
            <w:vAlign w:val="center"/>
          </w:tcPr>
          <w:p>
            <w:pPr>
              <w:spacing w:line="240" w:lineRule="auto"/>
              <w:jc w:val="center"/>
            </w:pPr>
            <w:r>
              <w:rPr>
                <w:rFonts w:hint="eastAsia" w:ascii="宋体" w:hAnsi="宋体" w:eastAsia="宋体" w:cs="宋体"/>
                <w:sz w:val="21"/>
                <w:szCs w:val="21"/>
              </w:rPr>
              <w:t>0.88</w:t>
            </w:r>
          </w:p>
        </w:tc>
      </w:tr>
    </w:tbl>
    <w:p>
      <w:pPr>
        <w:widowControl/>
        <w:tabs>
          <w:tab w:val="left" w:pos="1080"/>
        </w:tabs>
        <w:spacing w:line="500" w:lineRule="exact"/>
        <w:rPr>
          <w:rStyle w:val="8"/>
          <w:rFonts w:hint="eastAsia" w:ascii="宋体" w:hAnsi="宋体" w:cs="宋体"/>
          <w:b/>
          <w:bCs/>
          <w:sz w:val="24"/>
        </w:rPr>
      </w:pPr>
      <w:r>
        <w:rPr>
          <w:rStyle w:val="8"/>
          <w:rFonts w:hint="eastAsia" w:ascii="宋体" w:hAnsi="宋体" w:cs="宋体"/>
          <w:b/>
          <w:bCs/>
          <w:sz w:val="24"/>
        </w:rPr>
        <w:t>三、技术服务要求（实质性要求）</w:t>
      </w:r>
    </w:p>
    <w:p>
      <w:pPr>
        <w:pStyle w:val="2"/>
        <w:spacing w:line="360" w:lineRule="auto"/>
        <w:ind w:firstLine="480"/>
        <w:rPr>
          <w:rFonts w:hint="eastAsia"/>
          <w:sz w:val="24"/>
        </w:rPr>
      </w:pPr>
      <w:r>
        <w:rPr>
          <w:rFonts w:hint="eastAsia"/>
          <w:sz w:val="24"/>
        </w:rPr>
        <w:t>1、面包、蛋糕为现做，保质期≤5天，送货当天有效保质期≥2天；</w:t>
      </w:r>
    </w:p>
    <w:p>
      <w:pPr>
        <w:pStyle w:val="2"/>
        <w:spacing w:line="360" w:lineRule="auto"/>
        <w:ind w:firstLine="480"/>
        <w:rPr>
          <w:rFonts w:hint="eastAsia"/>
          <w:sz w:val="24"/>
        </w:rPr>
      </w:pPr>
      <w:r>
        <w:rPr>
          <w:rFonts w:hint="eastAsia"/>
          <w:sz w:val="24"/>
        </w:rPr>
        <w:t>2、沙琪玛有包装、有生产厂家，保质期≥90天，送货当天有效保质期≥50天；</w:t>
      </w:r>
    </w:p>
    <w:p>
      <w:pPr>
        <w:pStyle w:val="2"/>
        <w:spacing w:line="360" w:lineRule="auto"/>
        <w:ind w:firstLine="480"/>
        <w:rPr>
          <w:rFonts w:hint="eastAsia"/>
        </w:rPr>
      </w:pPr>
      <w:r>
        <w:rPr>
          <w:rFonts w:hint="eastAsia"/>
          <w:sz w:val="24"/>
        </w:rPr>
        <w:t>3、若投标人为流通类企业，还需提供货物来源说明。</w:t>
      </w:r>
    </w:p>
    <w:p>
      <w:pPr>
        <w:widowControl/>
        <w:tabs>
          <w:tab w:val="left" w:pos="1080"/>
        </w:tabs>
        <w:spacing w:line="360" w:lineRule="auto"/>
        <w:rPr>
          <w:rStyle w:val="8"/>
          <w:rFonts w:hint="eastAsia" w:ascii="宋体" w:hAnsi="宋体" w:cs="宋体"/>
          <w:b/>
          <w:bCs/>
          <w:sz w:val="24"/>
        </w:rPr>
      </w:pPr>
      <w:r>
        <w:rPr>
          <w:rStyle w:val="8"/>
          <w:rFonts w:hint="eastAsia" w:ascii="宋体" w:hAnsi="宋体" w:cs="宋体"/>
          <w:b/>
          <w:bCs/>
          <w:sz w:val="24"/>
        </w:rPr>
        <w:t>四、商务要求（实质性要求）</w:t>
      </w:r>
    </w:p>
    <w:p>
      <w:pPr>
        <w:widowControl/>
        <w:adjustRightInd w:val="0"/>
        <w:spacing w:after="0" w:line="360" w:lineRule="auto"/>
        <w:ind w:firstLine="482" w:firstLineChars="200"/>
        <w:jc w:val="left"/>
        <w:textAlignment w:val="baseline"/>
        <w:rPr>
          <w:rFonts w:hint="eastAsia" w:ascii="宋体" w:hAnsi="宋体" w:cs="宋体"/>
          <w:b/>
          <w:bCs/>
          <w:color w:val="000000"/>
          <w:kern w:val="0"/>
          <w:sz w:val="24"/>
        </w:rPr>
      </w:pPr>
      <w:r>
        <w:rPr>
          <w:rFonts w:hint="eastAsia" w:ascii="宋体" w:hAnsi="宋体" w:cs="宋体"/>
          <w:b/>
          <w:bCs/>
          <w:color w:val="000000"/>
          <w:kern w:val="0"/>
          <w:sz w:val="24"/>
        </w:rPr>
        <w:t>（一）报价要求</w:t>
      </w:r>
    </w:p>
    <w:p>
      <w:pPr>
        <w:pStyle w:val="2"/>
        <w:spacing w:line="360" w:lineRule="auto"/>
        <w:ind w:firstLine="480"/>
        <w:rPr>
          <w:rFonts w:hint="eastAsia" w:ascii="宋体" w:hAnsi="宋体" w:cs="宋体"/>
          <w:sz w:val="24"/>
        </w:rPr>
      </w:pPr>
      <w:r>
        <w:rPr>
          <w:rFonts w:hint="eastAsia" w:ascii="宋体" w:hAnsi="宋体" w:cs="宋体"/>
          <w:sz w:val="24"/>
        </w:rPr>
        <w:t xml:space="preserve"> 1、本项目为单价采购项目，定价不定量，该价格在供货期内恒定不变，不受市场供需变化的影响，遇涨不涨，遇降不降，成交后该价格不做调整，按实际送货数量结算。</w:t>
      </w:r>
    </w:p>
    <w:p>
      <w:pPr>
        <w:pStyle w:val="2"/>
        <w:spacing w:line="360" w:lineRule="auto"/>
        <w:ind w:firstLine="480"/>
        <w:rPr>
          <w:rFonts w:hint="eastAsia" w:ascii="宋体" w:hAnsi="宋体" w:cs="宋体"/>
          <w:sz w:val="24"/>
        </w:rPr>
      </w:pPr>
      <w:r>
        <w:rPr>
          <w:rFonts w:hint="eastAsia" w:ascii="宋体" w:hAnsi="宋体" w:cs="宋体"/>
          <w:sz w:val="24"/>
        </w:rPr>
        <w:t xml:space="preserve"> 2、报价表中规定的应提交和交付的货物报价是最终用户验收合格后的综合价格（包括货物运输、保险、代理、税费、本标货物分装、送检、送货等全部费用）。</w:t>
      </w:r>
    </w:p>
    <w:p>
      <w:pPr>
        <w:pStyle w:val="2"/>
        <w:spacing w:line="360" w:lineRule="auto"/>
        <w:ind w:firstLine="480"/>
        <w:rPr>
          <w:rFonts w:hint="eastAsia" w:ascii="宋体" w:hAnsi="宋体" w:cs="宋体"/>
          <w:sz w:val="24"/>
        </w:rPr>
      </w:pPr>
      <w:r>
        <w:rPr>
          <w:rFonts w:hint="eastAsia" w:ascii="宋体" w:hAnsi="宋体" w:cs="宋体"/>
          <w:sz w:val="24"/>
        </w:rPr>
        <w:t xml:space="preserve"> 3、采购人不接受有选择的报价；供应商的每一项报价均不得超过最高限价，否则按无效投标处理。</w:t>
      </w:r>
    </w:p>
    <w:p>
      <w:pPr>
        <w:pStyle w:val="3"/>
        <w:ind w:firstLine="482" w:firstLineChars="200"/>
        <w:jc w:val="both"/>
        <w:rPr>
          <w:rFonts w:hint="eastAsia" w:ascii="宋体" w:hAnsi="宋体" w:cs="宋体"/>
          <w:b w:val="0"/>
          <w:bCs/>
          <w:sz w:val="24"/>
        </w:rPr>
      </w:pPr>
      <w:r>
        <w:rPr>
          <w:rFonts w:hint="eastAsia"/>
          <w:sz w:val="24"/>
        </w:rPr>
        <w:t>（二）供货期限：</w:t>
      </w:r>
      <w:r>
        <w:rPr>
          <w:rFonts w:hint="eastAsia" w:ascii="宋体" w:hAnsi="宋体" w:cs="宋体"/>
          <w:b w:val="0"/>
          <w:bCs/>
          <w:sz w:val="24"/>
        </w:rPr>
        <w:t>2022年9月1日至2023年8月31日。</w:t>
      </w:r>
    </w:p>
    <w:p>
      <w:pPr>
        <w:spacing w:line="360" w:lineRule="auto"/>
        <w:ind w:firstLine="482" w:firstLineChars="200"/>
        <w:rPr>
          <w:rFonts w:hint="eastAsia" w:ascii="宋体" w:hAnsi="宋体" w:cs="宋体"/>
          <w:bCs/>
          <w:sz w:val="24"/>
        </w:rPr>
      </w:pPr>
      <w:r>
        <w:rPr>
          <w:rFonts w:hint="eastAsia" w:ascii="宋体" w:hAnsi="宋体" w:cs="宋体"/>
          <w:b/>
          <w:sz w:val="24"/>
        </w:rPr>
        <w:t>（三）付款方式：</w:t>
      </w:r>
      <w:r>
        <w:rPr>
          <w:rFonts w:hint="eastAsia" w:ascii="宋体" w:hAnsi="宋体" w:cs="宋体"/>
          <w:bCs/>
          <w:sz w:val="24"/>
        </w:rPr>
        <w:t>采购人与中标人双方一个月结算一次货款，月初中标人与采购人核对上月供货数量无误后开具正规发票，采购人收到发票后在20个工作日内（遇学校寒、暑假和特殊情况除外），通过银行转账方式支付给中标人，且转账账户的开户名称和提供发票的印章名称必须与签订合同的单位名称三者相吻合，否则不予转账。</w:t>
      </w:r>
    </w:p>
    <w:p>
      <w:pPr>
        <w:pStyle w:val="2"/>
        <w:ind w:firstLine="482"/>
        <w:rPr>
          <w:rFonts w:hint="eastAsia" w:ascii="宋体" w:hAnsi="宋体" w:cs="宋体"/>
          <w:b/>
          <w:sz w:val="24"/>
        </w:rPr>
      </w:pPr>
      <w:r>
        <w:rPr>
          <w:rFonts w:hint="eastAsia" w:ascii="宋体" w:hAnsi="宋体" w:cs="宋体"/>
          <w:b/>
          <w:sz w:val="24"/>
        </w:rPr>
        <w:t>（四）其他要求</w:t>
      </w:r>
    </w:p>
    <w:p>
      <w:pPr>
        <w:widowControl/>
        <w:adjustRightInd w:val="0"/>
        <w:spacing w:after="0" w:line="360" w:lineRule="auto"/>
        <w:ind w:firstLine="723" w:firstLineChars="300"/>
        <w:jc w:val="left"/>
        <w:textAlignment w:val="baseline"/>
        <w:rPr>
          <w:rFonts w:hint="eastAsia" w:ascii="宋体" w:hAnsi="宋体" w:cs="宋体"/>
          <w:b/>
          <w:color w:val="000000"/>
          <w:kern w:val="0"/>
          <w:sz w:val="24"/>
        </w:rPr>
      </w:pPr>
      <w:r>
        <w:rPr>
          <w:rFonts w:hint="eastAsia" w:ascii="宋体" w:hAnsi="宋体" w:cs="宋体"/>
          <w:b/>
          <w:color w:val="000000"/>
          <w:kern w:val="0"/>
          <w:sz w:val="24"/>
        </w:rPr>
        <w:t>1、履约保证金</w:t>
      </w:r>
    </w:p>
    <w:p>
      <w:pPr>
        <w:spacing w:line="360" w:lineRule="auto"/>
        <w:ind w:firstLine="480" w:firstLineChars="200"/>
        <w:jc w:val="left"/>
        <w:rPr>
          <w:rFonts w:ascii="宋体" w:hAnsi="宋体" w:cs="仿宋"/>
          <w:bCs/>
          <w:sz w:val="24"/>
        </w:rPr>
      </w:pPr>
      <w:r>
        <w:rPr>
          <w:rFonts w:hint="eastAsia" w:ascii="宋体" w:hAnsi="宋体" w:cs="仿宋"/>
          <w:bCs/>
          <w:sz w:val="24"/>
        </w:rPr>
        <w:t>（1）金额：7500.00元（大写：柒仟伍佰元整）</w:t>
      </w:r>
    </w:p>
    <w:p>
      <w:pPr>
        <w:spacing w:line="360" w:lineRule="auto"/>
        <w:ind w:firstLine="480" w:firstLineChars="200"/>
        <w:jc w:val="left"/>
        <w:rPr>
          <w:rFonts w:hint="eastAsia" w:ascii="宋体" w:hAnsi="宋体" w:cs="仿宋"/>
          <w:bCs/>
          <w:sz w:val="24"/>
        </w:rPr>
      </w:pPr>
      <w:r>
        <w:rPr>
          <w:rFonts w:hint="eastAsia" w:ascii="宋体" w:hAnsi="宋体" w:cs="仿宋"/>
          <w:bCs/>
          <w:sz w:val="24"/>
        </w:rPr>
        <w:t>（2）履约保证金的缴纳：成交人在本项目成交通知书发出后,采购合同签订前一次性向采购人转账支付，收款账户信息如下：</w:t>
      </w:r>
    </w:p>
    <w:p>
      <w:pPr>
        <w:spacing w:line="360" w:lineRule="auto"/>
        <w:ind w:firstLine="480" w:firstLineChars="200"/>
        <w:jc w:val="left"/>
        <w:rPr>
          <w:rFonts w:hint="eastAsia" w:ascii="宋体" w:hAnsi="宋体" w:cs="仿宋"/>
          <w:bCs/>
          <w:sz w:val="24"/>
        </w:rPr>
      </w:pPr>
      <w:r>
        <w:rPr>
          <w:rFonts w:hint="eastAsia" w:ascii="宋体" w:hAnsi="宋体" w:cs="仿宋"/>
          <w:bCs/>
          <w:sz w:val="24"/>
        </w:rPr>
        <w:t>户    名：乐山师范学院</w:t>
      </w:r>
    </w:p>
    <w:p>
      <w:pPr>
        <w:spacing w:line="360" w:lineRule="auto"/>
        <w:ind w:firstLine="480" w:firstLineChars="200"/>
        <w:jc w:val="left"/>
        <w:rPr>
          <w:rFonts w:hint="eastAsia" w:ascii="宋体" w:hAnsi="宋体" w:cs="仿宋"/>
          <w:bCs/>
          <w:sz w:val="24"/>
        </w:rPr>
      </w:pPr>
      <w:r>
        <w:rPr>
          <w:rFonts w:hint="eastAsia" w:ascii="宋体" w:hAnsi="宋体" w:cs="仿宋"/>
          <w:bCs/>
          <w:sz w:val="24"/>
        </w:rPr>
        <w:t>开户银行：中国建设银行四川省乐山分行营业部</w:t>
      </w:r>
    </w:p>
    <w:p>
      <w:pPr>
        <w:spacing w:line="360" w:lineRule="auto"/>
        <w:ind w:firstLine="480" w:firstLineChars="200"/>
        <w:jc w:val="left"/>
        <w:rPr>
          <w:rFonts w:hint="eastAsia" w:ascii="宋体" w:hAnsi="宋体" w:cs="仿宋"/>
          <w:bCs/>
          <w:sz w:val="24"/>
        </w:rPr>
      </w:pPr>
      <w:r>
        <w:rPr>
          <w:rFonts w:hint="eastAsia" w:ascii="宋体" w:hAnsi="宋体" w:cs="仿宋"/>
          <w:bCs/>
          <w:sz w:val="24"/>
        </w:rPr>
        <w:t>账    号：5100 1698 6080 5150 2679</w:t>
      </w:r>
    </w:p>
    <w:p>
      <w:pPr>
        <w:spacing w:line="360" w:lineRule="auto"/>
        <w:ind w:firstLine="480" w:firstLineChars="200"/>
        <w:rPr>
          <w:rFonts w:hint="eastAsia" w:eastAsia="宋体"/>
          <w:lang w:eastAsia="zh-CN"/>
        </w:rPr>
      </w:pPr>
      <w:r>
        <w:rPr>
          <w:rFonts w:hint="eastAsia" w:ascii="宋体" w:hAnsi="宋体" w:cs="仿宋"/>
          <w:bCs/>
          <w:sz w:val="24"/>
        </w:rPr>
        <w:t>（3）履约保证金的退还：在合同执行完毕后，未发生卫生、质量等问题，中标人凭财务部开具的收款凭据退还（不计息）</w:t>
      </w:r>
      <w:r>
        <w:rPr>
          <w:rFonts w:hint="eastAsia" w:ascii="宋体" w:hAnsi="宋体" w:cs="仿宋"/>
          <w:bCs/>
          <w:sz w:val="24"/>
          <w:lang w:eastAsia="zh-CN"/>
        </w:rPr>
        <w:t>。</w:t>
      </w:r>
    </w:p>
    <w:sectPr>
      <w:pgSz w:w="11906" w:h="16838"/>
      <w:pgMar w:top="1327" w:right="1800" w:bottom="127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1"/>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7BA7727"/>
    <w:rsid w:val="37BA77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jc w:val="center"/>
      <w:outlineLvl w:val="0"/>
    </w:pPr>
    <w:rPr>
      <w:b/>
      <w:bCs/>
      <w:kern w:val="44"/>
      <w:sz w:val="32"/>
      <w:szCs w:val="44"/>
    </w:rPr>
  </w:style>
  <w:style w:type="paragraph" w:styleId="3">
    <w:name w:val="heading 4"/>
    <w:basedOn w:val="1"/>
    <w:next w:val="1"/>
    <w:qFormat/>
    <w:uiPriority w:val="0"/>
    <w:pPr>
      <w:keepNext/>
      <w:keepLines/>
      <w:jc w:val="center"/>
      <w:outlineLvl w:val="3"/>
    </w:pPr>
    <w:rPr>
      <w:rFonts w:ascii="Arial" w:hAnsi="Arial"/>
      <w:b/>
      <w:sz w:val="28"/>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Normal Indent"/>
    <w:basedOn w:val="1"/>
    <w:next w:val="3"/>
    <w:qFormat/>
    <w:uiPriority w:val="0"/>
    <w:pPr>
      <w:ind w:firstLine="200" w:firstLineChars="200"/>
    </w:pPr>
  </w:style>
  <w:style w:type="paragraph" w:customStyle="1" w:styleId="7">
    <w:name w:val="BodyText3"/>
    <w:basedOn w:val="1"/>
    <w:qFormat/>
    <w:uiPriority w:val="0"/>
    <w:pPr>
      <w:spacing w:line="240" w:lineRule="auto"/>
      <w:jc w:val="center"/>
    </w:pPr>
    <w:rPr>
      <w:rFonts w:hAnsi="Symbol"/>
      <w:sz w:val="10"/>
      <w:szCs w:val="10"/>
    </w:rPr>
  </w:style>
  <w:style w:type="character" w:customStyle="1" w:styleId="8">
    <w:name w:val="NormalCharacter"/>
    <w:qFormat/>
    <w:uiPriority w:val="0"/>
    <w:rPr>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2022-07-11T01:54:00Z</dcterms:created>
  <dc:creator></dc:creator>
  <cp:lastModifiedBy></cp:lastModifiedBy>
  <dcterms:modified xsi:type="dcterms:W3CDTF">2022-07-11T01:56:06Z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