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adjustRightInd w:val="0"/>
        <w:snapToGrid w:val="0"/>
        <w:spacing w:line="440" w:lineRule="exact"/>
        <w:jc w:val="right"/>
        <w:rPr>
          <w:rFonts w:ascii="宋体" w:hAnsi="宋体" w:cs="宋体"/>
          <w:highlight w:val="none"/>
        </w:rPr>
      </w:pPr>
      <w:r>
        <w:rPr>
          <w:rFonts w:hint="eastAsia" w:ascii="宋体" w:hAnsi="宋体" w:cs="宋体"/>
          <w:b w:val="0"/>
          <w:bCs w:val="0"/>
          <w:sz w:val="21"/>
          <w:szCs w:val="21"/>
          <w:highlight w:val="none"/>
        </w:rPr>
        <w:t xml:space="preserve">本招标文件经采购人及监督部门审核确认，同意发布！ </w:t>
      </w:r>
    </w:p>
    <w:p>
      <w:pPr>
        <w:adjustRightInd w:val="0"/>
        <w:snapToGrid w:val="0"/>
        <w:spacing w:line="440" w:lineRule="exact"/>
        <w:ind w:firstLine="4200" w:firstLineChars="2000"/>
        <w:rPr>
          <w:rFonts w:ascii="宋体" w:hAnsi="宋体" w:cs="宋体"/>
          <w:highlight w:val="none"/>
        </w:rPr>
      </w:pPr>
      <w:r>
        <w:rPr>
          <w:rFonts w:hint="eastAsia" w:ascii="宋体" w:hAnsi="宋体" w:cs="宋体"/>
          <w:highlight w:val="none"/>
        </w:rPr>
        <w:t>采购人盖章（封面章、骑缝章）：</w:t>
      </w:r>
      <w:r>
        <w:rPr>
          <w:rFonts w:ascii="宋体" w:hAnsi="宋体" w:cs="宋体"/>
          <w:highlight w:val="none"/>
        </w:rPr>
        <w:t xml:space="preserve"> </w:t>
      </w:r>
      <w:r>
        <w:rPr>
          <w:rFonts w:hint="eastAsia" w:ascii="宋体" w:hAnsi="宋体" w:cs="宋体"/>
          <w:highlight w:val="none"/>
        </w:rPr>
        <w:t xml:space="preserve">                           </w:t>
      </w:r>
      <w:r>
        <w:rPr>
          <w:rFonts w:ascii="宋体" w:hAnsi="宋体" w:cs="宋体"/>
          <w:highlight w:val="none"/>
        </w:rPr>
        <w:t xml:space="preserve">     </w:t>
      </w:r>
      <w:r>
        <w:rPr>
          <w:rFonts w:hint="eastAsia" w:ascii="宋体" w:hAnsi="宋体" w:cs="宋体"/>
          <w:highlight w:val="none"/>
        </w:rPr>
        <w:t xml:space="preserve">    </w:t>
      </w:r>
    </w:p>
    <w:p>
      <w:pPr>
        <w:adjustRightInd w:val="0"/>
        <w:snapToGrid w:val="0"/>
        <w:spacing w:line="440" w:lineRule="exact"/>
        <w:jc w:val="center"/>
        <w:rPr>
          <w:rFonts w:ascii="宋体" w:hAnsi="宋体" w:cs="宋体"/>
          <w:highlight w:val="none"/>
        </w:rPr>
      </w:pP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 xml:space="preserve">日                                   </w:t>
      </w:r>
    </w:p>
    <w:p>
      <w:pPr>
        <w:adjustRightInd w:val="0"/>
        <w:spacing w:line="360" w:lineRule="exact"/>
        <w:jc w:val="right"/>
        <w:rPr>
          <w:rFonts w:ascii="宋体" w:hAnsi="宋体" w:cs="宋体"/>
          <w:highlight w:val="none"/>
        </w:rPr>
      </w:pPr>
    </w:p>
    <w:p>
      <w:pPr>
        <w:adjustRightInd w:val="0"/>
        <w:snapToGrid w:val="0"/>
        <w:spacing w:line="400" w:lineRule="exact"/>
        <w:jc w:val="center"/>
        <w:rPr>
          <w:rFonts w:ascii="宋体" w:hAnsi="宋体" w:cs="宋体"/>
          <w:highlight w:val="none"/>
        </w:rPr>
      </w:pPr>
      <w:r>
        <w:rPr>
          <w:rFonts w:hint="eastAsia" w:ascii="宋体" w:hAnsi="宋体" w:cs="宋体"/>
          <w:highlight w:val="none"/>
        </w:rPr>
        <w:t xml:space="preserve">    </w:t>
      </w:r>
    </w:p>
    <w:p>
      <w:pPr>
        <w:pStyle w:val="28"/>
        <w:rPr>
          <w:rFonts w:ascii="宋体" w:hAnsi="宋体" w:cs="宋体"/>
          <w:spacing w:val="120"/>
          <w:sz w:val="72"/>
          <w:szCs w:val="72"/>
          <w:highlight w:val="none"/>
        </w:rPr>
      </w:pPr>
      <w:r>
        <w:rPr>
          <w:rFonts w:hint="eastAsia" w:ascii="宋体" w:hAnsi="宋体" w:cs="宋体"/>
          <w:b w:val="0"/>
          <w:bCs w:val="0"/>
          <w:sz w:val="21"/>
          <w:szCs w:val="21"/>
          <w:highlight w:val="none"/>
        </w:rPr>
        <w:t xml:space="preserve">      </w:t>
      </w:r>
    </w:p>
    <w:p>
      <w:pPr>
        <w:pStyle w:val="28"/>
        <w:rPr>
          <w:rFonts w:ascii="宋体"/>
          <w:sz w:val="96"/>
          <w:szCs w:val="96"/>
          <w:highlight w:val="none"/>
        </w:rPr>
      </w:pPr>
      <w:r>
        <w:rPr>
          <w:rFonts w:hint="eastAsia" w:ascii="宋体" w:hAnsi="宋体" w:cs="宋体"/>
          <w:sz w:val="96"/>
          <w:szCs w:val="96"/>
          <w:highlight w:val="none"/>
        </w:rPr>
        <w:t>公开招标文件</w:t>
      </w:r>
    </w:p>
    <w:p>
      <w:pPr>
        <w:pStyle w:val="9"/>
        <w:jc w:val="center"/>
        <w:rPr>
          <w:rFonts w:hint="eastAsia" w:eastAsia="黑体"/>
          <w:highlight w:val="none"/>
          <w:lang w:eastAsia="zh-CN"/>
        </w:rPr>
      </w:pPr>
      <w:r>
        <w:rPr>
          <w:rFonts w:hint="eastAsia"/>
          <w:highlight w:val="none"/>
          <w:lang w:eastAsia="zh-CN"/>
        </w:rPr>
        <w:t>（</w:t>
      </w:r>
      <w:r>
        <w:rPr>
          <w:rFonts w:hint="eastAsia"/>
          <w:highlight w:val="none"/>
          <w:lang w:val="en-US" w:eastAsia="zh-CN"/>
        </w:rPr>
        <w:t>预公告稿</w:t>
      </w:r>
      <w:r>
        <w:rPr>
          <w:rFonts w:hint="eastAsia"/>
          <w:highlight w:val="none"/>
          <w:lang w:eastAsia="zh-CN"/>
        </w:rPr>
        <w:t>）</w:t>
      </w:r>
    </w:p>
    <w:tbl>
      <w:tblPr>
        <w:tblStyle w:val="32"/>
        <w:tblW w:w="8681" w:type="dxa"/>
        <w:tblInd w:w="3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81" w:type="dxa"/>
            <w:vAlign w:val="center"/>
          </w:tcPr>
          <w:p>
            <w:pPr>
              <w:adjustRightInd w:val="0"/>
              <w:spacing w:line="360" w:lineRule="auto"/>
              <w:rPr>
                <w:rFonts w:hint="eastAsia" w:ascii="宋体" w:hAnsi="宋体" w:eastAsia="宋体" w:cs="宋体"/>
                <w:b/>
                <w:sz w:val="36"/>
                <w:szCs w:val="36"/>
                <w:highlight w:val="none"/>
                <w:lang w:eastAsia="zh-CN"/>
              </w:rPr>
            </w:pPr>
            <w:r>
              <w:rPr>
                <w:rFonts w:hint="eastAsia" w:ascii="宋体" w:hAnsi="宋体" w:cs="宋体"/>
                <w:b/>
                <w:sz w:val="32"/>
                <w:szCs w:val="32"/>
                <w:highlight w:val="none"/>
              </w:rPr>
              <w:t>项目编号：</w:t>
            </w:r>
            <w:r>
              <w:rPr>
                <w:rFonts w:hint="eastAsia" w:ascii="宋体" w:hAnsi="宋体" w:cs="宋体"/>
                <w:b/>
                <w:sz w:val="32"/>
                <w:szCs w:val="32"/>
                <w:highlight w:val="none"/>
                <w:lang w:eastAsia="zh-CN"/>
              </w:rPr>
              <w:t>ZDZB(PT)-2022005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81" w:type="dxa"/>
            <w:vAlign w:val="center"/>
          </w:tcPr>
          <w:p>
            <w:pPr>
              <w:keepNext/>
              <w:widowControl/>
              <w:wordWrap w:val="0"/>
              <w:topLinePunct/>
              <w:adjustRightInd w:val="0"/>
              <w:spacing w:line="360" w:lineRule="auto"/>
              <w:rPr>
                <w:rFonts w:hint="eastAsia" w:ascii="宋体" w:hAnsi="宋体" w:eastAsia="宋体" w:cs="宋体"/>
                <w:b/>
                <w:sz w:val="36"/>
                <w:szCs w:val="36"/>
                <w:highlight w:val="none"/>
                <w:lang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充电桩配套设施技术改造项目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81" w:type="dxa"/>
            <w:vAlign w:val="center"/>
          </w:tcPr>
          <w:p>
            <w:pPr>
              <w:adjustRightInd w:val="0"/>
              <w:spacing w:line="360" w:lineRule="auto"/>
              <w:rPr>
                <w:rFonts w:hint="eastAsia" w:ascii="宋体" w:hAnsi="宋体" w:eastAsia="宋体" w:cs="宋体"/>
                <w:b/>
                <w:sz w:val="36"/>
                <w:szCs w:val="36"/>
                <w:highlight w:val="none"/>
                <w:lang w:eastAsia="zh-CN"/>
              </w:rPr>
            </w:pPr>
            <w:r>
              <w:rPr>
                <w:rFonts w:hint="eastAsia" w:ascii="宋体" w:hAnsi="宋体" w:cs="宋体"/>
                <w:b/>
                <w:sz w:val="32"/>
                <w:highlight w:val="none"/>
              </w:rPr>
              <w:t>采购人：</w:t>
            </w:r>
            <w:r>
              <w:rPr>
                <w:rFonts w:hint="eastAsia" w:ascii="宋体" w:hAnsi="宋体" w:cs="宋体"/>
                <w:b/>
                <w:sz w:val="32"/>
                <w:highlight w:val="none"/>
                <w:u w:val="single"/>
                <w:lang w:eastAsia="zh-CN"/>
              </w:rPr>
              <w:t>莆田市兴运汽车维修有限公司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81" w:type="dxa"/>
            <w:vAlign w:val="center"/>
          </w:tcPr>
          <w:p>
            <w:pPr>
              <w:adjustRightInd w:val="0"/>
              <w:spacing w:line="600" w:lineRule="exact"/>
              <w:ind w:right="-506" w:rightChars="-241"/>
              <w:rPr>
                <w:rFonts w:ascii="宋体" w:hAnsi="宋体" w:cs="宋体"/>
                <w:b/>
                <w:sz w:val="36"/>
                <w:szCs w:val="36"/>
                <w:highlight w:val="none"/>
              </w:rPr>
            </w:pPr>
            <w:r>
              <w:rPr>
                <w:rFonts w:hint="eastAsia" w:ascii="宋体" w:hAnsi="宋体" w:cs="宋体"/>
                <w:b/>
                <w:sz w:val="32"/>
                <w:highlight w:val="none"/>
              </w:rPr>
              <w:t>招标代理机构：</w:t>
            </w:r>
            <w:r>
              <w:rPr>
                <w:rFonts w:hint="eastAsia" w:ascii="宋体" w:hAnsi="宋体" w:cs="宋体"/>
                <w:b/>
                <w:spacing w:val="20"/>
                <w:sz w:val="32"/>
                <w:highlight w:val="none"/>
                <w:u w:val="single"/>
              </w:rPr>
              <w:t>福建省中达招标代理有限公司</w:t>
            </w:r>
          </w:p>
        </w:tc>
      </w:tr>
    </w:tbl>
    <w:p>
      <w:pPr>
        <w:adjustRightInd w:val="0"/>
        <w:spacing w:line="600" w:lineRule="exact"/>
        <w:rPr>
          <w:rFonts w:ascii="宋体" w:hAnsi="宋体" w:cs="宋体"/>
          <w:b/>
          <w:color w:val="000000"/>
          <w:sz w:val="32"/>
          <w:highlight w:val="none"/>
        </w:rPr>
      </w:pPr>
    </w:p>
    <w:p>
      <w:pPr>
        <w:adjustRightInd w:val="0"/>
        <w:spacing w:line="600" w:lineRule="exact"/>
        <w:ind w:firstLine="2891" w:firstLineChars="900"/>
        <w:rPr>
          <w:rFonts w:ascii="宋体" w:hAnsi="宋体" w:cs="宋体"/>
          <w:b/>
          <w:color w:val="000000"/>
          <w:sz w:val="32"/>
          <w:highlight w:val="none"/>
        </w:rPr>
      </w:pPr>
      <w:r>
        <w:rPr>
          <w:rFonts w:hint="eastAsia" w:ascii="宋体" w:hAnsi="宋体" w:cs="宋体"/>
          <w:b/>
          <w:color w:val="000000"/>
          <w:sz w:val="32"/>
          <w:highlight w:val="none"/>
        </w:rPr>
        <w:t>二0二</w:t>
      </w:r>
      <w:r>
        <w:rPr>
          <w:rFonts w:hint="eastAsia" w:ascii="宋体" w:hAnsi="宋体" w:cs="宋体"/>
          <w:b/>
          <w:color w:val="000000"/>
          <w:sz w:val="32"/>
          <w:highlight w:val="none"/>
          <w:lang w:val="en-US" w:eastAsia="zh-CN"/>
        </w:rPr>
        <w:t>二</w:t>
      </w:r>
      <w:r>
        <w:rPr>
          <w:rFonts w:hint="eastAsia" w:ascii="宋体" w:hAnsi="宋体" w:cs="宋体"/>
          <w:b/>
          <w:color w:val="000000"/>
          <w:sz w:val="32"/>
          <w:highlight w:val="none"/>
        </w:rPr>
        <w:t xml:space="preserve"> 年</w:t>
      </w:r>
      <w:r>
        <w:rPr>
          <w:rFonts w:hint="eastAsia" w:ascii="宋体" w:hAnsi="宋体" w:cs="宋体"/>
          <w:b/>
          <w:color w:val="000000"/>
          <w:sz w:val="32"/>
          <w:highlight w:val="none"/>
          <w:u w:val="single"/>
        </w:rPr>
        <w:t xml:space="preserve">    </w:t>
      </w:r>
      <w:r>
        <w:rPr>
          <w:rFonts w:hint="eastAsia" w:ascii="宋体" w:hAnsi="宋体" w:cs="宋体"/>
          <w:b/>
          <w:color w:val="000000"/>
          <w:sz w:val="32"/>
          <w:highlight w:val="none"/>
        </w:rPr>
        <w:t>月</w:t>
      </w:r>
    </w:p>
    <w:p>
      <w:pPr>
        <w:spacing w:line="360" w:lineRule="exact"/>
        <w:rPr>
          <w:rFonts w:ascii="宋体" w:hAnsi="宋体" w:cs="宋体"/>
          <w:b/>
          <w:color w:val="000000"/>
          <w:sz w:val="32"/>
          <w:szCs w:val="32"/>
          <w:highlight w:val="none"/>
        </w:rPr>
      </w:pPr>
    </w:p>
    <w:p>
      <w:pPr>
        <w:spacing w:line="360" w:lineRule="exact"/>
        <w:ind w:firstLine="1606" w:firstLineChars="500"/>
        <w:rPr>
          <w:rFonts w:ascii="宋体" w:hAnsi="宋体" w:cs="宋体"/>
          <w:b/>
          <w:color w:val="000000"/>
          <w:sz w:val="32"/>
          <w:szCs w:val="32"/>
          <w:highlight w:val="none"/>
          <w:u w:val="single"/>
        </w:rPr>
      </w:pPr>
    </w:p>
    <w:p>
      <w:pPr>
        <w:spacing w:line="360" w:lineRule="exact"/>
        <w:ind w:firstLine="1606" w:firstLineChars="500"/>
        <w:rPr>
          <w:rFonts w:ascii="宋体" w:hAnsi="宋体" w:cs="宋体"/>
          <w:b/>
          <w:bCs/>
          <w:sz w:val="32"/>
          <w:szCs w:val="32"/>
          <w:highlight w:val="none"/>
        </w:rPr>
      </w:pPr>
      <w:r>
        <w:rPr>
          <w:rFonts w:hint="eastAsia" w:ascii="宋体" w:hAnsi="宋体" w:cs="宋体"/>
          <w:b/>
          <w:color w:val="000000"/>
          <w:sz w:val="32"/>
          <w:szCs w:val="32"/>
          <w:highlight w:val="none"/>
          <w:u w:val="single"/>
        </w:rPr>
        <w:t>此招标文件纸质版内容与电子版内容一致</w:t>
      </w:r>
      <w:r>
        <w:rPr>
          <w:rFonts w:hint="eastAsia" w:hAnsi="宋体"/>
          <w:b/>
          <w:bCs/>
          <w:sz w:val="32"/>
          <w:szCs w:val="32"/>
          <w:highlight w:val="none"/>
        </w:rPr>
        <w:t xml:space="preserve"> </w:t>
      </w:r>
    </w:p>
    <w:p>
      <w:pPr>
        <w:pStyle w:val="28"/>
        <w:rPr>
          <w:rFonts w:ascii="宋体" w:hAnsi="宋体" w:cs="宋体"/>
          <w:highlight w:val="none"/>
        </w:rPr>
      </w:pPr>
    </w:p>
    <w:p>
      <w:pPr>
        <w:pStyle w:val="28"/>
        <w:jc w:val="both"/>
        <w:rPr>
          <w:rFonts w:ascii="宋体" w:hAnsi="宋体" w:cs="宋体"/>
          <w:highlight w:val="none"/>
        </w:rPr>
      </w:pPr>
    </w:p>
    <w:p>
      <w:pPr>
        <w:pStyle w:val="28"/>
        <w:rPr>
          <w:rFonts w:ascii="宋体" w:hAnsi="宋体" w:cs="宋体"/>
          <w:highlight w:val="none"/>
        </w:rPr>
      </w:pPr>
    </w:p>
    <w:p>
      <w:pPr>
        <w:pStyle w:val="28"/>
        <w:rPr>
          <w:rFonts w:ascii="宋体" w:hAnsi="宋体" w:cs="宋体"/>
          <w:highlight w:val="none"/>
        </w:rPr>
      </w:pPr>
    </w:p>
    <w:p>
      <w:pPr>
        <w:pStyle w:val="28"/>
        <w:rPr>
          <w:rFonts w:ascii="宋体" w:hAnsi="宋体" w:cs="宋体"/>
          <w:highlight w:val="none"/>
        </w:rPr>
      </w:pPr>
      <w:r>
        <w:rPr>
          <w:rFonts w:hint="eastAsia" w:ascii="宋体" w:hAnsi="宋体" w:cs="宋体"/>
          <w:highlight w:val="none"/>
        </w:rPr>
        <w:t>目   录</w:t>
      </w:r>
    </w:p>
    <w:p>
      <w:pPr>
        <w:rPr>
          <w:highlight w:val="none"/>
        </w:rPr>
      </w:pPr>
    </w:p>
    <w:tbl>
      <w:tblPr>
        <w:tblStyle w:val="32"/>
        <w:tblpPr w:leftFromText="180" w:rightFromText="180" w:vertAnchor="text" w:horzAnchor="page" w:tblpX="1610" w:tblpY="242"/>
        <w:tblOverlap w:val="never"/>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8" w:hRule="atLeast"/>
        </w:trPr>
        <w:tc>
          <w:tcPr>
            <w:tcW w:w="9079" w:type="dxa"/>
            <w:tcBorders>
              <w:top w:val="nil"/>
              <w:left w:val="nil"/>
              <w:bottom w:val="nil"/>
              <w:right w:val="nil"/>
            </w:tcBorders>
          </w:tcPr>
          <w:p>
            <w:pPr>
              <w:pStyle w:val="12"/>
              <w:snapToGrid w:val="0"/>
              <w:spacing w:line="600" w:lineRule="exact"/>
              <w:ind w:firstLine="0"/>
              <w:rPr>
                <w:rFonts w:ascii="宋体" w:hAnsi="宋体" w:cs="宋体"/>
                <w:highlight w:val="none"/>
              </w:rPr>
            </w:pPr>
          </w:p>
          <w:p>
            <w:pPr>
              <w:pStyle w:val="12"/>
              <w:snapToGrid w:val="0"/>
              <w:spacing w:line="600" w:lineRule="exact"/>
              <w:ind w:firstLine="0"/>
              <w:rPr>
                <w:rFonts w:ascii="宋体" w:hAnsi="宋体" w:cs="宋体"/>
                <w:b/>
                <w:bCs/>
                <w:highlight w:val="none"/>
              </w:rPr>
            </w:pPr>
            <w:r>
              <w:rPr>
                <w:rFonts w:hint="eastAsia" w:ascii="宋体" w:hAnsi="宋体" w:cs="宋体"/>
                <w:b/>
                <w:bCs/>
                <w:highlight w:val="none"/>
              </w:rPr>
              <w:t>第一章    投标邀请 …………………………………………………………………………………3</w:t>
            </w:r>
          </w:p>
          <w:p>
            <w:pPr>
              <w:pStyle w:val="12"/>
              <w:snapToGrid w:val="0"/>
              <w:spacing w:line="600" w:lineRule="exact"/>
              <w:ind w:firstLine="0"/>
              <w:rPr>
                <w:rFonts w:ascii="宋体" w:hAnsi="宋体" w:cs="宋体"/>
                <w:b/>
                <w:bCs/>
                <w:highlight w:val="none"/>
              </w:rPr>
            </w:pPr>
            <w:r>
              <w:rPr>
                <w:rFonts w:hint="eastAsia" w:ascii="宋体" w:hAnsi="宋体" w:cs="宋体"/>
                <w:b/>
                <w:bCs/>
                <w:highlight w:val="none"/>
              </w:rPr>
              <w:t>第二章    投标人须知 ………………………………………………………………………………8</w:t>
            </w:r>
          </w:p>
          <w:p>
            <w:pPr>
              <w:spacing w:line="600" w:lineRule="exact"/>
              <w:ind w:firstLine="632" w:firstLineChars="300"/>
              <w:rPr>
                <w:rFonts w:ascii="宋体" w:hAnsi="宋体" w:cs="宋体"/>
                <w:b/>
                <w:bCs/>
                <w:highlight w:val="none"/>
              </w:rPr>
            </w:pPr>
            <w:r>
              <w:rPr>
                <w:rFonts w:hint="eastAsia" w:ascii="宋体" w:hAnsi="宋体" w:cs="宋体"/>
                <w:b/>
                <w:bCs/>
                <w:highlight w:val="none"/>
              </w:rPr>
              <w:t>投标人须知前附表 ……………………………………………………………………………8</w:t>
            </w:r>
          </w:p>
          <w:p>
            <w:pPr>
              <w:spacing w:line="600" w:lineRule="exact"/>
              <w:ind w:firstLine="632" w:firstLineChars="300"/>
              <w:rPr>
                <w:rFonts w:ascii="宋体" w:hAnsi="宋体" w:cs="宋体"/>
                <w:b/>
                <w:bCs/>
                <w:highlight w:val="none"/>
              </w:rPr>
            </w:pPr>
            <w:r>
              <w:rPr>
                <w:rFonts w:hint="eastAsia" w:ascii="宋体" w:hAnsi="宋体" w:cs="宋体"/>
                <w:b/>
                <w:bCs/>
                <w:highlight w:val="none"/>
              </w:rPr>
              <w:t>无效投标条款…………………………………………………………………………………12</w:t>
            </w:r>
          </w:p>
          <w:p>
            <w:pPr>
              <w:spacing w:line="600" w:lineRule="exact"/>
              <w:ind w:firstLine="632" w:firstLineChars="300"/>
              <w:rPr>
                <w:rFonts w:ascii="宋体" w:hAnsi="宋体" w:cs="宋体"/>
                <w:b/>
                <w:bCs/>
                <w:highlight w:val="none"/>
              </w:rPr>
            </w:pPr>
            <w:r>
              <w:rPr>
                <w:rFonts w:hint="eastAsia" w:ascii="宋体" w:hAnsi="宋体" w:cs="宋体"/>
                <w:b/>
                <w:bCs/>
                <w:highlight w:val="none"/>
              </w:rPr>
              <w:t>评标方法与标准附表…………………………………………………………………………13</w:t>
            </w:r>
          </w:p>
          <w:p>
            <w:pPr>
              <w:spacing w:line="600" w:lineRule="exact"/>
              <w:ind w:firstLine="211" w:firstLineChars="100"/>
              <w:rPr>
                <w:rFonts w:ascii="宋体" w:hAnsi="宋体" w:cs="宋体"/>
                <w:b/>
                <w:bCs/>
                <w:highlight w:val="none"/>
              </w:rPr>
            </w:pPr>
            <w:r>
              <w:rPr>
                <w:rFonts w:hint="eastAsia" w:ascii="宋体" w:hAnsi="宋体" w:cs="宋体"/>
                <w:b/>
                <w:bCs/>
                <w:highlight w:val="none"/>
              </w:rPr>
              <w:t>一、 说明 …………………………………………………………………………………………18</w:t>
            </w:r>
          </w:p>
          <w:p>
            <w:pPr>
              <w:spacing w:line="600" w:lineRule="exact"/>
              <w:ind w:firstLine="211" w:firstLineChars="100"/>
              <w:rPr>
                <w:rFonts w:ascii="宋体" w:hAnsi="宋体" w:cs="宋体"/>
                <w:b/>
                <w:bCs/>
                <w:highlight w:val="none"/>
              </w:rPr>
            </w:pPr>
            <w:r>
              <w:rPr>
                <w:rFonts w:hint="eastAsia" w:ascii="宋体" w:hAnsi="宋体" w:cs="宋体"/>
                <w:b/>
                <w:bCs/>
                <w:highlight w:val="none"/>
              </w:rPr>
              <w:t>二、招标文件 …………………………………………………………………………………… 19</w:t>
            </w:r>
          </w:p>
          <w:p>
            <w:pPr>
              <w:spacing w:line="600" w:lineRule="exact"/>
              <w:ind w:firstLine="211" w:firstLineChars="100"/>
              <w:rPr>
                <w:rFonts w:ascii="宋体" w:hAnsi="宋体" w:cs="宋体"/>
                <w:b/>
                <w:bCs/>
                <w:highlight w:val="none"/>
              </w:rPr>
            </w:pPr>
            <w:r>
              <w:rPr>
                <w:rFonts w:hint="eastAsia" w:ascii="宋体" w:hAnsi="宋体" w:cs="宋体"/>
                <w:b/>
                <w:bCs/>
                <w:highlight w:val="none"/>
              </w:rPr>
              <w:t>三、 投标文件的编写 ……………………………………………………………………………20</w:t>
            </w:r>
          </w:p>
          <w:p>
            <w:pPr>
              <w:spacing w:line="600" w:lineRule="exact"/>
              <w:ind w:firstLine="211" w:firstLineChars="100"/>
              <w:rPr>
                <w:rFonts w:ascii="宋体" w:hAnsi="宋体" w:cs="宋体"/>
                <w:b/>
                <w:bCs/>
                <w:highlight w:val="none"/>
              </w:rPr>
            </w:pPr>
            <w:r>
              <w:rPr>
                <w:rFonts w:hint="eastAsia" w:ascii="宋体" w:hAnsi="宋体" w:cs="宋体"/>
                <w:b/>
                <w:bCs/>
                <w:highlight w:val="none"/>
              </w:rPr>
              <w:t>四、投标文件的提交  ……………………………………………………………………………24</w:t>
            </w:r>
          </w:p>
          <w:p>
            <w:pPr>
              <w:spacing w:line="600" w:lineRule="exact"/>
              <w:ind w:firstLine="211" w:firstLineChars="100"/>
              <w:rPr>
                <w:rFonts w:ascii="宋体" w:hAnsi="宋体" w:cs="宋体"/>
                <w:b/>
                <w:bCs/>
                <w:highlight w:val="none"/>
              </w:rPr>
            </w:pPr>
            <w:r>
              <w:rPr>
                <w:rFonts w:hint="eastAsia" w:ascii="宋体" w:hAnsi="宋体" w:cs="宋体"/>
                <w:b/>
                <w:bCs/>
                <w:highlight w:val="none"/>
              </w:rPr>
              <w:t>五、投标文件的评估和比较 …………………………………………………………………… 25</w:t>
            </w:r>
          </w:p>
          <w:p>
            <w:pPr>
              <w:spacing w:line="600" w:lineRule="exact"/>
              <w:ind w:firstLine="211" w:firstLineChars="100"/>
              <w:rPr>
                <w:rFonts w:ascii="宋体" w:hAnsi="宋体" w:cs="宋体"/>
                <w:b/>
                <w:bCs/>
                <w:highlight w:val="none"/>
              </w:rPr>
            </w:pPr>
            <w:r>
              <w:rPr>
                <w:rFonts w:hint="eastAsia" w:ascii="宋体" w:hAnsi="宋体" w:cs="宋体"/>
                <w:b/>
                <w:bCs/>
                <w:highlight w:val="none"/>
              </w:rPr>
              <w:t>六、定标与签订合同  ……………………………………………………………………………29</w:t>
            </w:r>
          </w:p>
          <w:p>
            <w:pPr>
              <w:spacing w:line="600" w:lineRule="exact"/>
              <w:ind w:firstLine="211" w:firstLineChars="100"/>
              <w:rPr>
                <w:rFonts w:ascii="宋体" w:hAnsi="宋体" w:cs="宋体"/>
                <w:b/>
                <w:bCs/>
                <w:highlight w:val="none"/>
              </w:rPr>
            </w:pPr>
            <w:r>
              <w:rPr>
                <w:rFonts w:hint="eastAsia" w:ascii="宋体" w:hAnsi="宋体" w:cs="宋体"/>
                <w:b/>
                <w:bCs/>
                <w:highlight w:val="none"/>
              </w:rPr>
              <w:t>七、询问、质疑与投诉  …………………………………………………………………………30</w:t>
            </w:r>
          </w:p>
          <w:p>
            <w:pPr>
              <w:pStyle w:val="12"/>
              <w:snapToGrid w:val="0"/>
              <w:spacing w:line="600" w:lineRule="exact"/>
              <w:ind w:firstLine="0"/>
              <w:rPr>
                <w:rFonts w:ascii="宋体" w:hAnsi="宋体" w:cs="宋体"/>
                <w:b/>
                <w:bCs/>
                <w:highlight w:val="none"/>
              </w:rPr>
            </w:pPr>
            <w:r>
              <w:rPr>
                <w:rFonts w:hint="eastAsia" w:ascii="宋体" w:hAnsi="宋体" w:cs="宋体"/>
                <w:b/>
                <w:bCs/>
                <w:highlight w:val="none"/>
              </w:rPr>
              <w:t>第三章    招标内容及要求  ………………………………………………………………………33</w:t>
            </w:r>
          </w:p>
          <w:p>
            <w:pPr>
              <w:pStyle w:val="12"/>
              <w:snapToGrid w:val="0"/>
              <w:spacing w:line="600" w:lineRule="exact"/>
              <w:ind w:firstLine="0"/>
              <w:rPr>
                <w:rFonts w:ascii="宋体" w:hAnsi="宋体" w:cs="宋体"/>
                <w:b/>
                <w:bCs/>
                <w:highlight w:val="none"/>
              </w:rPr>
            </w:pPr>
            <w:r>
              <w:rPr>
                <w:rFonts w:hint="eastAsia" w:ascii="宋体" w:hAnsi="宋体" w:cs="宋体"/>
                <w:b/>
                <w:bCs/>
                <w:highlight w:val="none"/>
              </w:rPr>
              <w:t>第四章    合同（参考文本）………………………………………………………………………46</w:t>
            </w:r>
          </w:p>
          <w:p>
            <w:pPr>
              <w:pStyle w:val="12"/>
              <w:snapToGrid w:val="0"/>
              <w:spacing w:line="600" w:lineRule="exact"/>
              <w:ind w:firstLine="0"/>
              <w:rPr>
                <w:rFonts w:ascii="宋体" w:hAnsi="宋体" w:cs="宋体"/>
                <w:b/>
                <w:bCs/>
                <w:highlight w:val="none"/>
              </w:rPr>
            </w:pPr>
            <w:r>
              <w:rPr>
                <w:rFonts w:hint="eastAsia" w:ascii="宋体" w:hAnsi="宋体" w:cs="宋体"/>
                <w:b/>
                <w:bCs/>
                <w:highlight w:val="none"/>
              </w:rPr>
              <w:t>第五章    投标文件相关格式  ……………………………………………………………………49</w:t>
            </w:r>
          </w:p>
          <w:p>
            <w:pPr>
              <w:pStyle w:val="12"/>
              <w:snapToGrid w:val="0"/>
              <w:spacing w:line="600" w:lineRule="exact"/>
              <w:ind w:firstLine="0"/>
              <w:rPr>
                <w:rFonts w:ascii="宋体" w:hAnsi="宋体" w:cs="宋体"/>
                <w:highlight w:val="none"/>
              </w:rPr>
            </w:pPr>
          </w:p>
        </w:tc>
      </w:tr>
    </w:tbl>
    <w:tbl>
      <w:tblPr>
        <w:tblStyle w:val="32"/>
        <w:tblpPr w:leftFromText="180" w:rightFromText="180" w:vertAnchor="text" w:horzAnchor="page" w:tblpX="1616" w:tblpY="11085"/>
        <w:tblOverlap w:val="never"/>
        <w:tblW w:w="90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9091" w:type="dxa"/>
            <w:vAlign w:val="center"/>
          </w:tcPr>
          <w:p>
            <w:pPr>
              <w:spacing w:line="360" w:lineRule="auto"/>
              <w:ind w:firstLine="632" w:firstLineChars="300"/>
              <w:rPr>
                <w:rFonts w:ascii="宋体" w:hAnsi="宋体" w:cs="宋体"/>
                <w:highlight w:val="none"/>
              </w:rPr>
            </w:pPr>
            <w:r>
              <w:rPr>
                <w:rFonts w:hint="eastAsia" w:ascii="宋体" w:hAnsi="宋体" w:cs="宋体"/>
                <w:b/>
                <w:bCs/>
                <w:highlight w:val="none"/>
              </w:rPr>
              <w:t>注：本招标文件共</w:t>
            </w:r>
            <w:r>
              <w:rPr>
                <w:rFonts w:hint="eastAsia" w:ascii="宋体" w:hAnsi="宋体" w:cs="宋体"/>
                <w:b/>
                <w:bCs/>
                <w:highlight w:val="none"/>
                <w:lang w:val="en-US" w:eastAsia="zh-CN"/>
              </w:rPr>
              <w:t>86</w:t>
            </w:r>
            <w:r>
              <w:rPr>
                <w:rFonts w:hint="eastAsia" w:ascii="宋体" w:hAnsi="宋体" w:cs="宋体"/>
                <w:b/>
                <w:bCs/>
                <w:highlight w:val="none"/>
              </w:rPr>
              <w:t>页（含封面），请投标人领取招标文件时自行核对，如发现缺损、字迹不清等情况，自领取招标文件之日起二日内向福建省中达招标代理有限公司提出，否则，由此造成的一切后果由投标人自负。</w:t>
            </w:r>
          </w:p>
        </w:tc>
      </w:tr>
    </w:tbl>
    <w:p>
      <w:pPr>
        <w:pStyle w:val="12"/>
        <w:snapToGrid w:val="0"/>
        <w:spacing w:line="600" w:lineRule="exact"/>
        <w:ind w:firstLine="0"/>
        <w:rPr>
          <w:rFonts w:ascii="宋体" w:hAnsi="宋体" w:cs="宋体"/>
          <w:highlight w:val="none"/>
        </w:rPr>
      </w:pPr>
    </w:p>
    <w:p>
      <w:pPr>
        <w:rPr>
          <w:rFonts w:ascii="宋体" w:hAnsi="宋体" w:cs="宋体"/>
          <w:highlight w:val="none"/>
        </w:rPr>
      </w:pPr>
    </w:p>
    <w:p>
      <w:pPr>
        <w:pStyle w:val="73"/>
        <w:numPr>
          <w:ilvl w:val="0"/>
          <w:numId w:val="2"/>
        </w:numPr>
        <w:jc w:val="center"/>
        <w:rPr>
          <w:rFonts w:hAnsi="宋体"/>
          <w:b/>
          <w:bCs/>
          <w:color w:val="auto"/>
          <w:sz w:val="32"/>
          <w:szCs w:val="32"/>
          <w:highlight w:val="none"/>
        </w:rPr>
      </w:pPr>
      <w:r>
        <w:rPr>
          <w:rFonts w:hint="eastAsia" w:hAnsi="宋体"/>
          <w:b/>
          <w:bCs/>
          <w:color w:val="auto"/>
          <w:sz w:val="32"/>
          <w:szCs w:val="32"/>
          <w:highlight w:val="none"/>
        </w:rPr>
        <w:t>投标邀请</w:t>
      </w:r>
    </w:p>
    <w:p>
      <w:pPr>
        <w:adjustRightInd w:val="0"/>
        <w:snapToGrid w:val="0"/>
        <w:spacing w:line="440" w:lineRule="exact"/>
        <w:rPr>
          <w:rFonts w:ascii="宋体" w:hAnsi="宋体" w:cs="宋体"/>
          <w:kern w:val="0"/>
          <w:sz w:val="24"/>
          <w:szCs w:val="24"/>
          <w:highlight w:val="none"/>
        </w:rPr>
      </w:pPr>
      <w:r>
        <w:rPr>
          <w:rFonts w:hint="eastAsia" w:ascii="宋体" w:hAnsi="宋体" w:cs="宋体"/>
          <w:kern w:val="0"/>
          <w:sz w:val="24"/>
          <w:szCs w:val="24"/>
          <w:highlight w:val="none"/>
        </w:rPr>
        <w:t xml:space="preserve">    </w:t>
      </w:r>
    </w:p>
    <w:p>
      <w:pPr>
        <w:adjustRightInd w:val="0"/>
        <w:snapToGrid w:val="0"/>
        <w:spacing w:line="500" w:lineRule="exact"/>
        <w:ind w:firstLine="482" w:firstLineChars="200"/>
        <w:rPr>
          <w:rFonts w:ascii="宋体" w:hAnsi="宋体" w:cs="宋体"/>
          <w:kern w:val="0"/>
          <w:sz w:val="24"/>
          <w:szCs w:val="24"/>
          <w:highlight w:val="none"/>
        </w:rPr>
      </w:pPr>
      <w:r>
        <w:rPr>
          <w:rFonts w:hint="eastAsia" w:ascii="宋体" w:hAnsi="宋体" w:cs="宋体"/>
          <w:b/>
          <w:bCs/>
          <w:kern w:val="0"/>
          <w:sz w:val="24"/>
          <w:szCs w:val="24"/>
          <w:highlight w:val="none"/>
        </w:rPr>
        <w:t>福建省中达招标代理有限公司</w:t>
      </w:r>
      <w:r>
        <w:rPr>
          <w:rFonts w:hint="eastAsia" w:ascii="宋体" w:hAnsi="宋体" w:cs="宋体"/>
          <w:kern w:val="0"/>
          <w:sz w:val="24"/>
          <w:szCs w:val="24"/>
          <w:highlight w:val="none"/>
        </w:rPr>
        <w:t xml:space="preserve"> 受 </w:t>
      </w:r>
      <w:r>
        <w:rPr>
          <w:rFonts w:hint="eastAsia" w:ascii="宋体" w:hAnsi="宋体" w:cs="宋体"/>
          <w:b/>
          <w:bCs/>
          <w:kern w:val="0"/>
          <w:sz w:val="24"/>
          <w:szCs w:val="24"/>
          <w:highlight w:val="none"/>
          <w:lang w:eastAsia="zh-CN"/>
        </w:rPr>
        <w:t>莆田市兴运汽车维修有限公司</w:t>
      </w:r>
      <w:r>
        <w:rPr>
          <w:rFonts w:hint="eastAsia" w:ascii="宋体" w:hAnsi="宋体" w:cs="宋体"/>
          <w:b/>
          <w:bCs/>
          <w:kern w:val="0"/>
          <w:sz w:val="24"/>
          <w:szCs w:val="24"/>
          <w:highlight w:val="none"/>
        </w:rPr>
        <w:t xml:space="preserve"> </w:t>
      </w:r>
      <w:r>
        <w:rPr>
          <w:rFonts w:hint="eastAsia" w:ascii="宋体" w:hAnsi="宋体" w:cs="宋体"/>
          <w:kern w:val="0"/>
          <w:sz w:val="24"/>
          <w:szCs w:val="24"/>
          <w:highlight w:val="none"/>
        </w:rPr>
        <w:t xml:space="preserve">委托，对 </w:t>
      </w:r>
      <w:r>
        <w:rPr>
          <w:rFonts w:hint="eastAsia" w:ascii="宋体" w:hAnsi="宋体" w:cs="宋体"/>
          <w:b/>
          <w:bCs/>
          <w:kern w:val="0"/>
          <w:sz w:val="24"/>
          <w:szCs w:val="24"/>
          <w:highlight w:val="none"/>
          <w:lang w:eastAsia="zh-CN"/>
        </w:rPr>
        <w:t>充电桩配套设施技术改造项目</w:t>
      </w:r>
      <w:r>
        <w:rPr>
          <w:rFonts w:hint="eastAsia" w:ascii="宋体" w:hAnsi="宋体" w:cs="宋体"/>
          <w:b/>
          <w:bCs/>
          <w:kern w:val="0"/>
          <w:sz w:val="24"/>
          <w:szCs w:val="24"/>
          <w:highlight w:val="none"/>
        </w:rPr>
        <w:t xml:space="preserve"> </w:t>
      </w:r>
      <w:r>
        <w:rPr>
          <w:rFonts w:hint="eastAsia" w:ascii="宋体" w:hAnsi="宋体" w:cs="宋体"/>
          <w:kern w:val="0"/>
          <w:sz w:val="24"/>
          <w:szCs w:val="24"/>
          <w:highlight w:val="none"/>
        </w:rPr>
        <w:t>进行国内公开招标，现欢迎国内合格的投标人前来提交密封的投标文件。</w:t>
      </w:r>
    </w:p>
    <w:p>
      <w:pPr>
        <w:pStyle w:val="28"/>
        <w:adjustRightInd w:val="0"/>
        <w:snapToGrid w:val="0"/>
        <w:spacing w:line="500" w:lineRule="exact"/>
        <w:jc w:val="left"/>
        <w:rPr>
          <w:rFonts w:ascii="宋体" w:hAnsi="宋体" w:cs="宋体"/>
          <w:kern w:val="0"/>
          <w:sz w:val="24"/>
          <w:szCs w:val="24"/>
          <w:highlight w:val="none"/>
        </w:rPr>
      </w:pPr>
    </w:p>
    <w:p>
      <w:pPr>
        <w:pStyle w:val="28"/>
        <w:adjustRightInd w:val="0"/>
        <w:snapToGrid w:val="0"/>
        <w:spacing w:line="500" w:lineRule="exact"/>
        <w:jc w:val="left"/>
        <w:rPr>
          <w:rFonts w:ascii="宋体" w:hAnsi="宋体" w:cs="宋体"/>
          <w:kern w:val="0"/>
          <w:sz w:val="24"/>
          <w:szCs w:val="24"/>
          <w:highlight w:val="none"/>
        </w:rPr>
      </w:pPr>
      <w:r>
        <w:rPr>
          <w:rFonts w:hint="eastAsia" w:ascii="宋体" w:hAnsi="宋体" w:cs="宋体"/>
          <w:kern w:val="0"/>
          <w:sz w:val="24"/>
          <w:szCs w:val="24"/>
          <w:highlight w:val="none"/>
        </w:rPr>
        <w:t>一、项目基本情况：</w:t>
      </w:r>
    </w:p>
    <w:p>
      <w:pPr>
        <w:pStyle w:val="17"/>
        <w:spacing w:line="500" w:lineRule="exact"/>
        <w:ind w:firstLine="480" w:firstLineChars="200"/>
        <w:rPr>
          <w:rFonts w:hint="eastAsia" w:ascii="宋体" w:eastAsia="宋体" w:cs="宋体"/>
          <w:spacing w:val="0"/>
          <w:kern w:val="0"/>
          <w:highlight w:val="none"/>
          <w:lang w:eastAsia="zh-CN"/>
        </w:rPr>
      </w:pPr>
      <w:r>
        <w:rPr>
          <w:rFonts w:hint="eastAsia" w:ascii="宋体" w:eastAsia="宋体" w:cs="宋体"/>
          <w:spacing w:val="0"/>
          <w:kern w:val="0"/>
          <w:highlight w:val="none"/>
        </w:rPr>
        <w:t>1、项目编号：</w:t>
      </w:r>
      <w:r>
        <w:rPr>
          <w:rFonts w:hint="eastAsia" w:ascii="宋体" w:eastAsia="宋体" w:cs="宋体"/>
          <w:spacing w:val="0"/>
          <w:kern w:val="0"/>
          <w:highlight w:val="none"/>
          <w:lang w:eastAsia="zh-CN"/>
        </w:rPr>
        <w:t>ZDZB(PT)-2022005</w:t>
      </w:r>
    </w:p>
    <w:p>
      <w:pPr>
        <w:adjustRightInd w:val="0"/>
        <w:snapToGrid w:val="0"/>
        <w:spacing w:line="500" w:lineRule="exact"/>
        <w:ind w:firstLine="480" w:firstLineChars="200"/>
        <w:rPr>
          <w:rFonts w:hint="eastAsia" w:ascii="宋体" w:hAnsi="宋体" w:eastAsia="宋体" w:cs="宋体"/>
          <w:kern w:val="0"/>
          <w:highlight w:val="none"/>
          <w:lang w:eastAsia="zh-CN"/>
        </w:rPr>
      </w:pPr>
      <w:r>
        <w:rPr>
          <w:rFonts w:hint="eastAsia" w:ascii="宋体" w:hAnsi="宋体" w:cs="宋体"/>
          <w:kern w:val="0"/>
          <w:sz w:val="24"/>
          <w:szCs w:val="24"/>
          <w:highlight w:val="none"/>
        </w:rPr>
        <w:t>2、项目名称：</w:t>
      </w:r>
      <w:r>
        <w:rPr>
          <w:rFonts w:hint="eastAsia" w:ascii="宋体" w:hAnsi="宋体" w:cs="宋体"/>
          <w:sz w:val="24"/>
          <w:szCs w:val="24"/>
          <w:highlight w:val="none"/>
          <w:lang w:eastAsia="zh-CN"/>
        </w:rPr>
        <w:t>充电桩配套设施技术改造项目</w:t>
      </w:r>
    </w:p>
    <w:p>
      <w:pPr>
        <w:adjustRightInd w:val="0"/>
        <w:snapToGrid w:val="0"/>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3、采购标的一览表：</w:t>
      </w:r>
    </w:p>
    <w:p>
      <w:pPr>
        <w:pStyle w:val="28"/>
        <w:adjustRightInd w:val="0"/>
        <w:snapToGrid w:val="0"/>
        <w:spacing w:line="500" w:lineRule="exact"/>
        <w:jc w:val="both"/>
        <w:rPr>
          <w:highlight w:val="none"/>
        </w:rPr>
      </w:pPr>
      <w:r>
        <w:rPr>
          <w:rFonts w:hint="eastAsia" w:ascii="宋体" w:hAnsi="宋体" w:cs="宋体"/>
          <w:kern w:val="0"/>
          <w:sz w:val="24"/>
          <w:szCs w:val="24"/>
          <w:highlight w:val="none"/>
        </w:rPr>
        <w:t xml:space="preserve">    </w:t>
      </w:r>
    </w:p>
    <w:tbl>
      <w:tblPr>
        <w:tblStyle w:val="31"/>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200"/>
        <w:gridCol w:w="1590"/>
        <w:gridCol w:w="1815"/>
        <w:gridCol w:w="2599"/>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372" w:type="dxa"/>
            <w:gridSpan w:val="6"/>
            <w:tcBorders>
              <w:top w:val="nil"/>
              <w:left w:val="nil"/>
              <w:bottom w:val="single" w:color="auto" w:sz="4" w:space="0"/>
              <w:right w:val="nil"/>
            </w:tcBorders>
            <w:vAlign w:val="center"/>
          </w:tcPr>
          <w:p>
            <w:pPr>
              <w:pStyle w:val="68"/>
              <w:adjustRightInd w:val="0"/>
              <w:snapToGrid w:val="0"/>
              <w:spacing w:after="0" w:line="500" w:lineRule="exact"/>
              <w:jc w:val="right"/>
              <w:rPr>
                <w:rFonts w:ascii="宋体" w:hAnsi="宋体" w:cs="宋体"/>
                <w:b/>
                <w:bCs/>
                <w:sz w:val="24"/>
                <w:szCs w:val="24"/>
                <w:highlight w:val="none"/>
              </w:rPr>
            </w:pPr>
            <w:r>
              <w:rPr>
                <w:rFonts w:hint="eastAsia" w:ascii="宋体" w:hAnsi="宋体" w:cs="宋体"/>
                <w:b/>
                <w:bCs/>
                <w:sz w:val="24"/>
                <w:szCs w:val="24"/>
                <w:highlight w:val="none"/>
              </w:rPr>
              <w:t>金额单位：人民币元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124" w:type="dxa"/>
            <w:tcBorders>
              <w:top w:val="single" w:color="auto" w:sz="4" w:space="0"/>
            </w:tcBorders>
            <w:vAlign w:val="center"/>
          </w:tcPr>
          <w:p>
            <w:pPr>
              <w:adjustRightInd w:val="0"/>
              <w:snapToGrid w:val="0"/>
              <w:spacing w:line="500" w:lineRule="exact"/>
              <w:jc w:val="center"/>
              <w:rPr>
                <w:rFonts w:ascii="宋体" w:hAnsi="宋体" w:cs="宋体"/>
                <w:b/>
                <w:bCs/>
                <w:sz w:val="24"/>
                <w:szCs w:val="24"/>
                <w:highlight w:val="none"/>
              </w:rPr>
            </w:pPr>
            <w:r>
              <w:rPr>
                <w:rFonts w:hint="eastAsia" w:ascii="宋体" w:hAnsi="宋体" w:cs="宋体"/>
                <w:b/>
                <w:bCs/>
                <w:sz w:val="24"/>
                <w:szCs w:val="24"/>
                <w:highlight w:val="none"/>
              </w:rPr>
              <w:t>合同包</w:t>
            </w:r>
          </w:p>
        </w:tc>
        <w:tc>
          <w:tcPr>
            <w:tcW w:w="1200" w:type="dxa"/>
            <w:tcBorders>
              <w:top w:val="single" w:color="auto" w:sz="4" w:space="0"/>
            </w:tcBorders>
            <w:vAlign w:val="center"/>
          </w:tcPr>
          <w:p>
            <w:pPr>
              <w:adjustRightInd w:val="0"/>
              <w:snapToGrid w:val="0"/>
              <w:spacing w:line="500" w:lineRule="exact"/>
              <w:jc w:val="center"/>
              <w:rPr>
                <w:rFonts w:ascii="宋体" w:hAnsi="宋体" w:cs="宋体"/>
                <w:b/>
                <w:bCs/>
                <w:sz w:val="24"/>
                <w:szCs w:val="24"/>
                <w:highlight w:val="none"/>
              </w:rPr>
            </w:pPr>
            <w:r>
              <w:rPr>
                <w:rFonts w:hint="eastAsia" w:ascii="宋体" w:hAnsi="宋体" w:cs="宋体"/>
                <w:b/>
                <w:bCs/>
                <w:sz w:val="24"/>
                <w:szCs w:val="24"/>
                <w:highlight w:val="none"/>
              </w:rPr>
              <w:t>品目号</w:t>
            </w:r>
          </w:p>
        </w:tc>
        <w:tc>
          <w:tcPr>
            <w:tcW w:w="1590" w:type="dxa"/>
            <w:tcBorders>
              <w:top w:val="single" w:color="auto" w:sz="4" w:space="0"/>
            </w:tcBorders>
            <w:vAlign w:val="center"/>
          </w:tcPr>
          <w:p>
            <w:pPr>
              <w:adjustRightInd w:val="0"/>
              <w:snapToGrid w:val="0"/>
              <w:spacing w:line="500" w:lineRule="exact"/>
              <w:jc w:val="center"/>
              <w:rPr>
                <w:rFonts w:ascii="宋体" w:hAnsi="宋体" w:cs="宋体"/>
                <w:b/>
                <w:bCs/>
                <w:sz w:val="24"/>
                <w:szCs w:val="24"/>
                <w:highlight w:val="none"/>
              </w:rPr>
            </w:pPr>
            <w:r>
              <w:rPr>
                <w:rFonts w:hint="eastAsia" w:ascii="宋体" w:hAnsi="宋体" w:cs="宋体"/>
                <w:b/>
                <w:bCs/>
                <w:sz w:val="24"/>
                <w:szCs w:val="24"/>
                <w:highlight w:val="none"/>
              </w:rPr>
              <w:t>采购标的</w:t>
            </w:r>
          </w:p>
        </w:tc>
        <w:tc>
          <w:tcPr>
            <w:tcW w:w="1815" w:type="dxa"/>
            <w:tcBorders>
              <w:top w:val="single" w:color="auto" w:sz="4" w:space="0"/>
            </w:tcBorders>
            <w:vAlign w:val="center"/>
          </w:tcPr>
          <w:p>
            <w:pPr>
              <w:pStyle w:val="68"/>
              <w:adjustRightInd w:val="0"/>
              <w:snapToGrid w:val="0"/>
              <w:spacing w:after="0" w:line="500" w:lineRule="exact"/>
              <w:jc w:val="center"/>
              <w:rPr>
                <w:rFonts w:ascii="宋体" w:hAnsi="宋体" w:cs="宋体"/>
                <w:b/>
                <w:bCs/>
                <w:sz w:val="24"/>
                <w:szCs w:val="24"/>
                <w:highlight w:val="none"/>
              </w:rPr>
            </w:pPr>
            <w:r>
              <w:rPr>
                <w:rFonts w:hint="eastAsia" w:hAnsi="宋体"/>
                <w:b/>
                <w:bCs/>
                <w:sz w:val="24"/>
                <w:szCs w:val="24"/>
                <w:highlight w:val="none"/>
              </w:rPr>
              <w:t>招标内容及要求</w:t>
            </w:r>
          </w:p>
        </w:tc>
        <w:tc>
          <w:tcPr>
            <w:tcW w:w="2599" w:type="dxa"/>
            <w:tcBorders>
              <w:top w:val="single" w:color="auto" w:sz="4" w:space="0"/>
            </w:tcBorders>
            <w:vAlign w:val="center"/>
          </w:tcPr>
          <w:p>
            <w:pPr>
              <w:pStyle w:val="68"/>
              <w:adjustRightInd w:val="0"/>
              <w:snapToGrid w:val="0"/>
              <w:spacing w:after="0" w:line="500" w:lineRule="exact"/>
              <w:jc w:val="center"/>
              <w:rPr>
                <w:rFonts w:ascii="宋体" w:hAnsi="宋体" w:cs="宋体"/>
                <w:b/>
                <w:bCs/>
                <w:sz w:val="24"/>
                <w:szCs w:val="24"/>
                <w:highlight w:val="none"/>
              </w:rPr>
            </w:pPr>
            <w:r>
              <w:rPr>
                <w:rFonts w:hint="eastAsia" w:ascii="宋体" w:hAnsi="宋体" w:cs="宋体"/>
                <w:b/>
                <w:bCs/>
                <w:sz w:val="24"/>
                <w:szCs w:val="24"/>
                <w:highlight w:val="none"/>
              </w:rPr>
              <w:t>最高限价</w:t>
            </w:r>
          </w:p>
        </w:tc>
        <w:tc>
          <w:tcPr>
            <w:tcW w:w="1044" w:type="dxa"/>
            <w:tcBorders>
              <w:top w:val="single" w:color="auto" w:sz="4" w:space="0"/>
            </w:tcBorders>
            <w:vAlign w:val="center"/>
          </w:tcPr>
          <w:p>
            <w:pPr>
              <w:pStyle w:val="68"/>
              <w:adjustRightInd w:val="0"/>
              <w:snapToGrid w:val="0"/>
              <w:spacing w:after="0" w:line="500" w:lineRule="exact"/>
              <w:jc w:val="center"/>
              <w:rPr>
                <w:rFonts w:ascii="宋体" w:hAnsi="宋体" w:cs="宋体"/>
                <w:b/>
                <w:bCs/>
                <w:sz w:val="24"/>
                <w:szCs w:val="24"/>
                <w:highlight w:val="none"/>
              </w:rPr>
            </w:pPr>
            <w:r>
              <w:rPr>
                <w:rFonts w:hint="eastAsia" w:ascii="宋体" w:hAnsi="宋体" w:cs="宋体"/>
                <w:b/>
                <w:bCs/>
                <w:sz w:val="24"/>
                <w:szCs w:val="24"/>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124" w:type="dxa"/>
            <w:vAlign w:val="center"/>
          </w:tcPr>
          <w:p>
            <w:pPr>
              <w:adjustRightInd w:val="0"/>
              <w:snapToGrid w:val="0"/>
              <w:spacing w:line="500" w:lineRule="exact"/>
              <w:jc w:val="center"/>
              <w:rPr>
                <w:rFonts w:ascii="宋体" w:hAnsi="宋体" w:cs="宋体"/>
                <w:sz w:val="24"/>
                <w:szCs w:val="24"/>
                <w:highlight w:val="none"/>
              </w:rPr>
            </w:pPr>
            <w:r>
              <w:rPr>
                <w:rFonts w:hint="eastAsia" w:ascii="宋体" w:hAnsi="宋体" w:cs="宋体"/>
                <w:sz w:val="24"/>
                <w:szCs w:val="24"/>
                <w:highlight w:val="none"/>
              </w:rPr>
              <w:t>1</w:t>
            </w:r>
          </w:p>
        </w:tc>
        <w:tc>
          <w:tcPr>
            <w:tcW w:w="1200" w:type="dxa"/>
            <w:vAlign w:val="center"/>
          </w:tcPr>
          <w:p>
            <w:pPr>
              <w:adjustRightInd w:val="0"/>
              <w:snapToGrid w:val="0"/>
              <w:spacing w:line="500" w:lineRule="exact"/>
              <w:jc w:val="center"/>
              <w:rPr>
                <w:rFonts w:ascii="宋体" w:hAnsi="宋体" w:cs="宋体"/>
                <w:sz w:val="24"/>
                <w:szCs w:val="24"/>
                <w:highlight w:val="none"/>
              </w:rPr>
            </w:pPr>
            <w:r>
              <w:rPr>
                <w:rFonts w:hint="eastAsia" w:ascii="宋体" w:hAnsi="宋体" w:cs="宋体"/>
                <w:sz w:val="24"/>
                <w:szCs w:val="24"/>
                <w:highlight w:val="none"/>
              </w:rPr>
              <w:t>1-1</w:t>
            </w:r>
          </w:p>
        </w:tc>
        <w:tc>
          <w:tcPr>
            <w:tcW w:w="1590" w:type="dxa"/>
            <w:vAlign w:val="center"/>
          </w:tcPr>
          <w:p>
            <w:pPr>
              <w:adjustRightInd w:val="0"/>
              <w:snapToGrid w:val="0"/>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充电桩配套设施技术改造项目</w:t>
            </w:r>
          </w:p>
        </w:tc>
        <w:tc>
          <w:tcPr>
            <w:tcW w:w="1815" w:type="dxa"/>
            <w:vAlign w:val="center"/>
          </w:tcPr>
          <w:p>
            <w:pPr>
              <w:adjustRightInd w:val="0"/>
              <w:snapToGrid w:val="0"/>
              <w:spacing w:line="5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详见招标文件第三章</w:t>
            </w:r>
          </w:p>
        </w:tc>
        <w:tc>
          <w:tcPr>
            <w:tcW w:w="2599" w:type="dxa"/>
            <w:vAlign w:val="center"/>
          </w:tcPr>
          <w:p>
            <w:pPr>
              <w:adjustRightInd w:val="0"/>
              <w:snapToGrid w:val="0"/>
              <w:spacing w:line="500" w:lineRule="exact"/>
              <w:ind w:left="192" w:hanging="193" w:hangingChars="8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3150000</w:t>
            </w:r>
          </w:p>
        </w:tc>
        <w:tc>
          <w:tcPr>
            <w:tcW w:w="1044" w:type="dxa"/>
            <w:vAlign w:val="center"/>
          </w:tcPr>
          <w:p>
            <w:pPr>
              <w:adjustRightInd w:val="0"/>
              <w:snapToGrid w:val="0"/>
              <w:spacing w:line="500" w:lineRule="exact"/>
              <w:ind w:left="192" w:hanging="193" w:hangingChars="80"/>
              <w:jc w:val="center"/>
              <w:rPr>
                <w:rFonts w:ascii="宋体" w:hAnsi="宋体" w:cs="宋体"/>
                <w:b/>
                <w:bCs/>
                <w:sz w:val="24"/>
                <w:szCs w:val="24"/>
                <w:highlight w:val="none"/>
              </w:rPr>
            </w:pPr>
            <w:r>
              <w:rPr>
                <w:rFonts w:hint="eastAsia" w:ascii="宋体" w:hAnsi="宋体" w:cs="宋体"/>
                <w:b/>
                <w:bCs/>
                <w:sz w:val="24"/>
                <w:szCs w:val="24"/>
                <w:highlight w:val="none"/>
                <w:lang w:val="en-US" w:eastAsia="zh-CN"/>
              </w:rPr>
              <w:t>31500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9372" w:type="dxa"/>
            <w:gridSpan w:val="6"/>
            <w:vAlign w:val="center"/>
          </w:tcPr>
          <w:p>
            <w:pPr>
              <w:pStyle w:val="20"/>
              <w:keepNext w:val="0"/>
              <w:keepLines w:val="0"/>
              <w:pageBreakBefore w:val="0"/>
              <w:widowControl w:val="0"/>
              <w:tabs>
                <w:tab w:val="left" w:pos="8360"/>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kern w:val="2"/>
                <w:sz w:val="24"/>
                <w:szCs w:val="24"/>
                <w:highlight w:val="none"/>
                <w:shd w:val="pct10" w:color="auto" w:fill="FFFFFF"/>
                <w:lang w:val="en-US" w:eastAsia="zh-CN" w:bidi="ar-SA"/>
              </w:rPr>
            </w:pPr>
            <w:r>
              <w:rPr>
                <w:rFonts w:hint="eastAsia" w:ascii="宋体" w:hAnsi="宋体" w:eastAsia="宋体" w:cs="宋体"/>
                <w:b/>
                <w:bCs/>
                <w:kern w:val="2"/>
                <w:sz w:val="24"/>
                <w:szCs w:val="24"/>
                <w:highlight w:val="none"/>
                <w:shd w:val="pct10" w:color="auto" w:fill="FFFFFF"/>
                <w:lang w:val="en-US" w:eastAsia="zh-CN" w:bidi="ar-SA"/>
              </w:rPr>
              <w:t>★备注:</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1"/>
              <w:rPr>
                <w:rFonts w:hint="eastAsia" w:ascii="宋体" w:hAnsi="宋体" w:eastAsia="宋体" w:cs="宋体"/>
                <w:b/>
                <w:bCs/>
                <w:sz w:val="24"/>
                <w:highlight w:val="none"/>
                <w:shd w:val="pct10" w:color="auto" w:fill="FFFFFF"/>
              </w:rPr>
            </w:pPr>
            <w:bookmarkStart w:id="66" w:name="_GoBack"/>
            <w:r>
              <w:rPr>
                <w:rFonts w:hint="eastAsia" w:ascii="宋体" w:hAnsi="宋体" w:eastAsia="宋体" w:cs="宋体"/>
                <w:b/>
                <w:bCs/>
                <w:sz w:val="24"/>
                <w:highlight w:val="none"/>
                <w:shd w:val="pct10" w:color="auto" w:fill="FFFFFF"/>
              </w:rPr>
              <w:t>1、本项为交钥匙工程。包含充电桩、充电机、变配电设备</w:t>
            </w:r>
            <w:r>
              <w:rPr>
                <w:rFonts w:hint="eastAsia" w:ascii="宋体" w:hAnsi="宋体" w:cs="宋体"/>
                <w:b/>
                <w:bCs/>
                <w:sz w:val="24"/>
                <w:highlight w:val="none"/>
                <w:shd w:val="pct10" w:color="auto" w:fill="FFFFFF"/>
                <w:lang w:val="en-US" w:eastAsia="zh-CN"/>
              </w:rPr>
              <w:t>改造</w:t>
            </w:r>
            <w:r>
              <w:rPr>
                <w:rFonts w:hint="eastAsia" w:ascii="宋体" w:hAnsi="宋体" w:eastAsia="宋体" w:cs="宋体"/>
                <w:b/>
                <w:bCs/>
                <w:sz w:val="24"/>
                <w:highlight w:val="none"/>
                <w:shd w:val="pct10" w:color="auto" w:fill="FFFFFF"/>
              </w:rPr>
              <w:t>、高低压电缆的采购以及、电缆沟、设备基础施工、安装、场站改造、施工恢复等内容，在建设过程需要协调的所有事项，均由中标人负责。一切费用由中标人承担。</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1"/>
              <w:rPr>
                <w:rFonts w:hint="default" w:ascii="宋体" w:hAnsi="宋体" w:eastAsia="宋体" w:cs="宋体"/>
                <w:b/>
                <w:bCs/>
                <w:sz w:val="24"/>
                <w:highlight w:val="none"/>
                <w:shd w:val="pct10" w:color="auto" w:fill="FFFFFF"/>
                <w:lang w:val="en-US" w:eastAsia="zh-CN"/>
              </w:rPr>
            </w:pPr>
            <w:r>
              <w:rPr>
                <w:rFonts w:hint="eastAsia" w:ascii="宋体" w:hAnsi="宋体" w:cs="宋体"/>
                <w:b/>
                <w:bCs/>
                <w:sz w:val="24"/>
                <w:highlight w:val="none"/>
                <w:shd w:val="pct10" w:color="auto" w:fill="FFFFFF"/>
                <w:lang w:val="en-US" w:eastAsia="zh-CN"/>
              </w:rPr>
              <w:t>2、</w:t>
            </w:r>
            <w:r>
              <w:rPr>
                <w:rFonts w:hint="eastAsia" w:ascii="宋体" w:hAnsi="宋体" w:eastAsia="宋体" w:cs="宋体"/>
                <w:b/>
                <w:bCs/>
                <w:sz w:val="24"/>
                <w:highlight w:val="none"/>
                <w:shd w:val="pct10" w:color="auto" w:fill="FFFFFF"/>
                <w:lang w:val="en-US" w:eastAsia="zh-CN"/>
              </w:rPr>
              <w:t>本项目采购人原有旧设备由中标人按照人民币124801元进行回收，中标人需在合同签订后负责拆除回收，旧设备处理完的十个工作日内支付采购人回收费用人民币124801元。</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1"/>
              <w:rPr>
                <w:rFonts w:hint="eastAsia" w:ascii="宋体" w:hAnsi="宋体" w:eastAsia="宋体" w:cs="宋体"/>
                <w:b/>
                <w:bCs/>
                <w:sz w:val="24"/>
                <w:highlight w:val="none"/>
                <w:shd w:val="pct10" w:color="auto" w:fill="FFFFFF"/>
              </w:rPr>
            </w:pPr>
            <w:r>
              <w:rPr>
                <w:rFonts w:hint="eastAsia" w:ascii="宋体" w:hAnsi="宋体" w:cs="宋体"/>
                <w:b/>
                <w:bCs/>
                <w:sz w:val="24"/>
                <w:highlight w:val="none"/>
                <w:shd w:val="pct10" w:color="auto" w:fill="FFFFFF"/>
                <w:lang w:val="en-US" w:eastAsia="zh-CN"/>
              </w:rPr>
              <w:t>3</w:t>
            </w:r>
            <w:r>
              <w:rPr>
                <w:rFonts w:hint="eastAsia" w:ascii="宋体" w:hAnsi="宋体" w:eastAsia="宋体" w:cs="宋体"/>
                <w:b/>
                <w:bCs/>
                <w:sz w:val="24"/>
                <w:highlight w:val="none"/>
                <w:shd w:val="pct10" w:color="auto" w:fill="FFFFFF"/>
                <w:lang w:val="en-US" w:eastAsia="zh-CN"/>
              </w:rPr>
              <w:t>、</w:t>
            </w:r>
            <w:r>
              <w:rPr>
                <w:rFonts w:hint="eastAsia" w:ascii="宋体" w:hAnsi="宋体" w:eastAsia="宋体" w:cs="宋体"/>
                <w:b/>
                <w:bCs/>
                <w:sz w:val="24"/>
                <w:highlight w:val="none"/>
                <w:shd w:val="pct10" w:color="auto" w:fill="FFFFFF"/>
              </w:rPr>
              <w:t>本项目</w:t>
            </w:r>
            <w:r>
              <w:rPr>
                <w:rFonts w:hint="eastAsia" w:ascii="宋体" w:hAnsi="宋体" w:eastAsia="宋体" w:cs="宋体"/>
                <w:b/>
                <w:bCs/>
                <w:sz w:val="24"/>
                <w:highlight w:val="none"/>
                <w:shd w:val="pct10" w:color="auto" w:fill="FFFFFF"/>
                <w:lang w:eastAsia="zh-CN"/>
              </w:rPr>
              <w:t>投标人</w:t>
            </w:r>
            <w:r>
              <w:rPr>
                <w:rFonts w:hint="eastAsia" w:ascii="宋体" w:hAnsi="宋体" w:eastAsia="宋体" w:cs="宋体"/>
                <w:b/>
                <w:bCs/>
                <w:sz w:val="24"/>
                <w:highlight w:val="none"/>
                <w:shd w:val="pct10" w:color="auto" w:fill="FFFFFF"/>
              </w:rPr>
              <w:t>按合同包报价，对同一合同包内所有品目号内容报价时必须完整。评标与授标以合同包为单位。报价不得超出</w:t>
            </w:r>
            <w:r>
              <w:rPr>
                <w:rFonts w:hint="eastAsia" w:ascii="宋体" w:hAnsi="宋体" w:eastAsia="宋体" w:cs="宋体"/>
                <w:b/>
                <w:bCs/>
                <w:sz w:val="24"/>
                <w:highlight w:val="none"/>
                <w:shd w:val="pct10" w:color="auto" w:fill="FFFFFF"/>
                <w:lang w:eastAsia="zh-CN"/>
              </w:rPr>
              <w:t>招标文件</w:t>
            </w:r>
            <w:r>
              <w:rPr>
                <w:rFonts w:hint="eastAsia" w:ascii="宋体" w:hAnsi="宋体" w:eastAsia="宋体" w:cs="宋体"/>
                <w:b/>
                <w:bCs/>
                <w:sz w:val="24"/>
                <w:highlight w:val="none"/>
                <w:shd w:val="pct10" w:color="auto" w:fill="FFFFFF"/>
              </w:rPr>
              <w:t>规定的各合同包及各品目号最高限价。响应报价应包含本次项目所涉及的所有费用，包括货物制造、包装、运输、装卸、税金、采购代理服务费等一切相关费用。</w:t>
            </w:r>
          </w:p>
          <w:bookmarkEnd w:id="66"/>
          <w:p>
            <w:pPr>
              <w:pStyle w:val="20"/>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sz w:val="24"/>
                <w:szCs w:val="24"/>
                <w:highlight w:val="none"/>
                <w:shd w:val="pct10" w:color="auto" w:fill="FFFFFF"/>
              </w:rPr>
            </w:pPr>
            <w:r>
              <w:rPr>
                <w:rFonts w:hint="eastAsia" w:hAnsi="宋体" w:eastAsia="宋体" w:cs="宋体"/>
                <w:b/>
                <w:bCs/>
                <w:sz w:val="24"/>
                <w:szCs w:val="24"/>
                <w:highlight w:val="none"/>
                <w:shd w:val="pct10" w:color="auto" w:fill="FFFFFF"/>
                <w:lang w:val="en-US" w:eastAsia="zh-CN"/>
              </w:rPr>
              <w:t>4</w:t>
            </w:r>
            <w:r>
              <w:rPr>
                <w:rFonts w:hint="eastAsia" w:ascii="宋体" w:hAnsi="宋体" w:eastAsia="宋体" w:cs="宋体"/>
                <w:b/>
                <w:bCs/>
                <w:sz w:val="24"/>
                <w:szCs w:val="24"/>
                <w:highlight w:val="none"/>
                <w:shd w:val="pct10" w:color="auto" w:fill="FFFFFF"/>
              </w:rPr>
              <w:t>、</w:t>
            </w:r>
            <w:r>
              <w:rPr>
                <w:rFonts w:hint="eastAsia" w:hAnsi="宋体" w:eastAsia="宋体" w:cs="宋体"/>
                <w:b/>
                <w:bCs/>
                <w:sz w:val="24"/>
                <w:szCs w:val="24"/>
                <w:highlight w:val="none"/>
                <w:shd w:val="pct10" w:color="auto" w:fill="FFFFFF"/>
                <w:lang w:eastAsia="zh-CN"/>
              </w:rPr>
              <w:t>中标人</w:t>
            </w:r>
            <w:r>
              <w:rPr>
                <w:rFonts w:hint="eastAsia" w:ascii="宋体" w:hAnsi="宋体" w:eastAsia="宋体" w:cs="宋体"/>
                <w:b/>
                <w:bCs/>
                <w:sz w:val="24"/>
                <w:szCs w:val="24"/>
                <w:highlight w:val="none"/>
                <w:shd w:val="pct10" w:color="auto" w:fill="FFFFFF"/>
              </w:rPr>
              <w:t>应按合同规定履行全部的义务和承担全部的责任。未经采购人的允许，</w:t>
            </w:r>
            <w:r>
              <w:rPr>
                <w:rFonts w:hint="eastAsia" w:hAnsi="宋体" w:eastAsia="宋体" w:cs="宋体"/>
                <w:b/>
                <w:bCs/>
                <w:sz w:val="24"/>
                <w:szCs w:val="24"/>
                <w:highlight w:val="none"/>
                <w:shd w:val="pct10" w:color="auto" w:fill="FFFFFF"/>
                <w:lang w:eastAsia="zh-CN"/>
              </w:rPr>
              <w:t>中标人</w:t>
            </w:r>
            <w:r>
              <w:rPr>
                <w:rFonts w:hint="eastAsia" w:ascii="宋体" w:hAnsi="宋体" w:eastAsia="宋体" w:cs="宋体"/>
                <w:b/>
                <w:bCs/>
                <w:sz w:val="24"/>
                <w:szCs w:val="24"/>
                <w:highlight w:val="none"/>
                <w:shd w:val="pct10" w:color="auto" w:fill="FFFFFF"/>
              </w:rPr>
              <w:t>不得将项目以任何名义和理由全部转包或部分分包，若发现转包或分包，视为</w:t>
            </w:r>
            <w:r>
              <w:rPr>
                <w:rFonts w:hint="eastAsia" w:hAnsi="宋体" w:eastAsia="宋体" w:cs="宋体"/>
                <w:b/>
                <w:bCs/>
                <w:sz w:val="24"/>
                <w:szCs w:val="24"/>
                <w:highlight w:val="none"/>
                <w:shd w:val="pct10" w:color="auto" w:fill="FFFFFF"/>
                <w:lang w:eastAsia="zh-CN"/>
              </w:rPr>
              <w:t>中标人</w:t>
            </w:r>
            <w:r>
              <w:rPr>
                <w:rFonts w:hint="eastAsia" w:ascii="宋体" w:hAnsi="宋体" w:eastAsia="宋体" w:cs="宋体"/>
                <w:b/>
                <w:bCs/>
                <w:sz w:val="24"/>
                <w:szCs w:val="24"/>
                <w:highlight w:val="none"/>
                <w:shd w:val="pct10" w:color="auto" w:fill="FFFFFF"/>
              </w:rPr>
              <w:t>违约，采购人有权单方终止合同，</w:t>
            </w:r>
            <w:r>
              <w:rPr>
                <w:rFonts w:hint="eastAsia" w:hAnsi="宋体" w:eastAsia="宋体" w:cs="宋体"/>
                <w:b/>
                <w:bCs/>
                <w:sz w:val="24"/>
                <w:szCs w:val="24"/>
                <w:highlight w:val="none"/>
                <w:shd w:val="pct10" w:color="auto" w:fill="FFFFFF"/>
                <w:lang w:eastAsia="zh-CN"/>
              </w:rPr>
              <w:t>中标人</w:t>
            </w:r>
            <w:r>
              <w:rPr>
                <w:rFonts w:hint="eastAsia" w:ascii="宋体" w:hAnsi="宋体" w:eastAsia="宋体" w:cs="宋体"/>
                <w:b/>
                <w:bCs/>
                <w:sz w:val="24"/>
                <w:szCs w:val="24"/>
                <w:highlight w:val="none"/>
                <w:shd w:val="pct10" w:color="auto" w:fill="FFFFFF"/>
              </w:rPr>
              <w:t>违约对采购人造成的损失的，需另行支付相应的赔偿。</w:t>
            </w:r>
          </w:p>
          <w:p>
            <w:pPr>
              <w:pStyle w:val="20"/>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sz w:val="24"/>
                <w:szCs w:val="24"/>
                <w:highlight w:val="none"/>
                <w:shd w:val="pct10" w:color="auto" w:fill="FFFFFF"/>
              </w:rPr>
            </w:pPr>
            <w:r>
              <w:rPr>
                <w:rFonts w:hint="eastAsia" w:hAnsi="宋体" w:eastAsia="宋体" w:cs="宋体"/>
                <w:b/>
                <w:bCs/>
                <w:sz w:val="24"/>
                <w:szCs w:val="24"/>
                <w:highlight w:val="none"/>
                <w:shd w:val="pct10" w:color="auto" w:fill="FFFFFF"/>
                <w:lang w:val="en-US" w:eastAsia="zh-CN"/>
              </w:rPr>
              <w:t>5</w:t>
            </w:r>
            <w:r>
              <w:rPr>
                <w:rFonts w:hint="eastAsia" w:ascii="宋体" w:hAnsi="宋体" w:eastAsia="宋体" w:cs="宋体"/>
                <w:b/>
                <w:bCs/>
                <w:sz w:val="24"/>
                <w:szCs w:val="24"/>
                <w:highlight w:val="none"/>
                <w:shd w:val="pct10" w:color="auto" w:fill="FFFFFF"/>
              </w:rPr>
              <w:t>.本</w:t>
            </w:r>
            <w:r>
              <w:rPr>
                <w:rFonts w:hint="eastAsia" w:hAnsi="宋体" w:eastAsia="宋体" w:cs="宋体"/>
                <w:b/>
                <w:bCs/>
                <w:sz w:val="24"/>
                <w:szCs w:val="24"/>
                <w:highlight w:val="none"/>
                <w:shd w:val="pct10" w:color="auto" w:fill="FFFFFF"/>
                <w:lang w:val="en-US" w:eastAsia="zh-CN"/>
              </w:rPr>
              <w:t>招标文件</w:t>
            </w:r>
            <w:r>
              <w:rPr>
                <w:rFonts w:hint="eastAsia" w:ascii="宋体" w:hAnsi="宋体" w:eastAsia="宋体" w:cs="宋体"/>
                <w:b/>
                <w:bCs/>
                <w:sz w:val="24"/>
                <w:szCs w:val="24"/>
                <w:highlight w:val="none"/>
                <w:shd w:val="pct10" w:color="auto" w:fill="FFFFFF"/>
              </w:rPr>
              <w:t>未明确的其它约定事项或条款，待采购人与</w:t>
            </w:r>
            <w:r>
              <w:rPr>
                <w:rFonts w:hint="eastAsia" w:hAnsi="宋体" w:eastAsia="宋体" w:cs="宋体"/>
                <w:b/>
                <w:bCs/>
                <w:sz w:val="24"/>
                <w:szCs w:val="24"/>
                <w:highlight w:val="none"/>
                <w:shd w:val="pct10" w:color="auto" w:fill="FFFFFF"/>
                <w:lang w:eastAsia="zh-CN"/>
              </w:rPr>
              <w:t>中标人</w:t>
            </w:r>
            <w:r>
              <w:rPr>
                <w:rFonts w:hint="eastAsia" w:ascii="宋体" w:hAnsi="宋体" w:eastAsia="宋体" w:cs="宋体"/>
                <w:b/>
                <w:bCs/>
                <w:sz w:val="24"/>
                <w:szCs w:val="24"/>
                <w:highlight w:val="none"/>
                <w:shd w:val="pct10" w:color="auto" w:fill="FFFFFF"/>
              </w:rPr>
              <w:t>签订合同时，由双方协商订立。</w:t>
            </w:r>
          </w:p>
          <w:p>
            <w:pPr>
              <w:adjustRightInd w:val="0"/>
              <w:snapToGrid w:val="0"/>
              <w:spacing w:line="500" w:lineRule="exact"/>
              <w:ind w:firstLine="482" w:firstLineChars="200"/>
              <w:jc w:val="both"/>
              <w:rPr>
                <w:rFonts w:hint="eastAsia" w:ascii="宋体" w:hAnsi="宋体" w:cs="宋体"/>
                <w:b/>
                <w:bCs/>
                <w:sz w:val="24"/>
                <w:szCs w:val="24"/>
                <w:highlight w:val="none"/>
                <w:lang w:val="en-US" w:eastAsia="zh-CN"/>
              </w:rPr>
            </w:pPr>
            <w:r>
              <w:rPr>
                <w:rFonts w:hint="eastAsia" w:ascii="宋体" w:hAnsi="宋体" w:eastAsia="宋体" w:cs="宋体"/>
                <w:b/>
                <w:bCs/>
                <w:sz w:val="24"/>
                <w:szCs w:val="24"/>
                <w:highlight w:val="none"/>
                <w:shd w:val="pct10" w:color="auto" w:fill="FFFFFF"/>
              </w:rPr>
              <w:t>不满足或不接受上述条款的均导致</w:t>
            </w:r>
            <w:r>
              <w:rPr>
                <w:rFonts w:hint="eastAsia" w:hAnsi="宋体" w:eastAsia="宋体" w:cs="宋体"/>
                <w:b/>
                <w:bCs/>
                <w:sz w:val="24"/>
                <w:szCs w:val="24"/>
                <w:highlight w:val="none"/>
                <w:shd w:val="pct10" w:color="auto" w:fill="FFFFFF"/>
                <w:lang w:val="en-US" w:eastAsia="zh-CN"/>
              </w:rPr>
              <w:t>投标</w:t>
            </w:r>
            <w:r>
              <w:rPr>
                <w:rFonts w:hint="eastAsia" w:ascii="宋体" w:hAnsi="宋体" w:eastAsia="宋体" w:cs="宋体"/>
                <w:b/>
                <w:bCs/>
                <w:sz w:val="24"/>
                <w:szCs w:val="24"/>
                <w:highlight w:val="none"/>
                <w:shd w:val="pct10" w:color="auto" w:fill="FFFFFF"/>
              </w:rPr>
              <w:t>无效。</w:t>
            </w:r>
          </w:p>
        </w:tc>
      </w:tr>
    </w:tbl>
    <w:p>
      <w:pPr>
        <w:pStyle w:val="17"/>
        <w:spacing w:line="500" w:lineRule="exact"/>
        <w:rPr>
          <w:rFonts w:ascii="宋体" w:eastAsia="宋体" w:cs="宋体"/>
          <w:b/>
          <w:bCs/>
          <w:spacing w:val="0"/>
          <w:kern w:val="0"/>
          <w:highlight w:val="none"/>
        </w:rPr>
      </w:pPr>
    </w:p>
    <w:p>
      <w:pPr>
        <w:pStyle w:val="17"/>
        <w:spacing w:line="500" w:lineRule="exact"/>
        <w:rPr>
          <w:rFonts w:ascii="宋体" w:eastAsia="宋体" w:cs="宋体"/>
          <w:b/>
          <w:bCs/>
          <w:spacing w:val="0"/>
          <w:kern w:val="0"/>
          <w:highlight w:val="none"/>
        </w:rPr>
      </w:pPr>
      <w:r>
        <w:rPr>
          <w:rFonts w:hint="eastAsia" w:ascii="宋体" w:eastAsia="宋体" w:cs="宋体"/>
          <w:b/>
          <w:bCs/>
          <w:spacing w:val="0"/>
          <w:kern w:val="0"/>
          <w:highlight w:val="none"/>
        </w:rPr>
        <w:t>二、投标人的资格要求</w:t>
      </w:r>
      <w:r>
        <w:rPr>
          <w:rFonts w:hint="eastAsia" w:ascii="宋体" w:eastAsia="宋体" w:cs="宋体"/>
          <w:b/>
          <w:bCs/>
          <w:spacing w:val="0"/>
          <w:highlight w:val="none"/>
        </w:rPr>
        <w:t>：</w:t>
      </w:r>
    </w:p>
    <w:p>
      <w:pPr>
        <w:pStyle w:val="17"/>
        <w:spacing w:line="500" w:lineRule="exact"/>
        <w:ind w:firstLine="480" w:firstLineChars="200"/>
        <w:rPr>
          <w:rFonts w:ascii="宋体" w:eastAsia="宋体" w:cs="宋体"/>
          <w:spacing w:val="0"/>
          <w:highlight w:val="none"/>
        </w:rPr>
      </w:pPr>
      <w:r>
        <w:rPr>
          <w:rFonts w:hint="eastAsia" w:ascii="宋体" w:eastAsia="宋体" w:cs="宋体"/>
          <w:spacing w:val="0"/>
          <w:highlight w:val="none"/>
        </w:rPr>
        <w:t>凡有能力提供本招标文件所述标的，具备独立承担民事责任能力，不存重大违法记录及行贿犯罪记录的中华人民共和国境内的投标人均可能成为合格的投标人：</w:t>
      </w:r>
    </w:p>
    <w:p>
      <w:pPr>
        <w:adjustRightInd w:val="0"/>
        <w:snapToGrid w:val="0"/>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1、投标人应满足《中华人民共和国政府采购法》第二十二条规定的条件，并提供以下材料：</w:t>
      </w:r>
    </w:p>
    <w:p>
      <w:pPr>
        <w:adjustRightInd w:val="0"/>
        <w:snapToGrid w:val="0"/>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1.1投标人具备独立承担民事责任能力：投标人需提供《营业执照》复印件。</w:t>
      </w:r>
    </w:p>
    <w:p>
      <w:pPr>
        <w:adjustRightInd w:val="0"/>
        <w:snapToGrid w:val="0"/>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1.2财务状况报告，依法缴纳税收和社会保障资金的相关材料:</w:t>
      </w:r>
    </w:p>
    <w:p>
      <w:pPr>
        <w:adjustRightInd w:val="0"/>
        <w:snapToGrid w:val="0"/>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1.2.1 成立年限满1年及以上的投标人，投标人提供202</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年度经第三方机构审计的财务状况报告复印件，成立年限满半年但不足1年的投标人，提供该半年度或该半年度中任一季度的财务状况报告复印件；或投标人开户银行出具的资信证明（附开户许可证或基本帐户信息证明文件），或由财政部门认可的政府采购专业担保机构出具的投标担保函原件；</w:t>
      </w:r>
    </w:p>
    <w:p>
      <w:pPr>
        <w:adjustRightInd w:val="0"/>
        <w:snapToGrid w:val="0"/>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1.2.2 依法缴纳税收和社会保障资金：</w:t>
      </w:r>
    </w:p>
    <w:p>
      <w:pPr>
        <w:adjustRightInd w:val="0"/>
        <w:snapToGrid w:val="0"/>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1.2.2.1投标人缴纳近六个月内任一个月【自投标截止之日起前六个月（不含投标截止时间当月）】应纳税款的证明（银行缴税付款凭证复印件或税务部门出具的纳税证明）；</w:t>
      </w:r>
    </w:p>
    <w:p>
      <w:pPr>
        <w:adjustRightInd w:val="0"/>
        <w:snapToGrid w:val="0"/>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 xml:space="preserve">1.2.2.2投标人缴纳近六个月内任一个月【自投标截止之日起前六个月（不含投标截止时间当月）】社会保险费的证明【社保或税务或银行等部门出具（或系统上打印）的缴纳证明】； </w:t>
      </w:r>
    </w:p>
    <w:p>
      <w:pPr>
        <w:adjustRightInd w:val="0"/>
        <w:snapToGrid w:val="0"/>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备注：依法免税或不需要缴纳社会保障资金的供应商，应提供证明其依法免税或不需要缴纳社会保障资金的相应文件。(因疫情影响享受缓缴或免缴社保、税款的企业，无法提供相关社保、税收缴纳证明材料的，提供有关情况说明视同社保、税收缴纳证明材料提交完整。)</w:t>
      </w:r>
    </w:p>
    <w:p>
      <w:pPr>
        <w:adjustRightInd w:val="0"/>
        <w:snapToGrid w:val="0"/>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1.3具备履行合同所必需设备和专业技术能力的声明函；</w:t>
      </w:r>
    </w:p>
    <w:p>
      <w:pPr>
        <w:adjustRightInd w:val="0"/>
        <w:snapToGrid w:val="0"/>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1.4投标人、投标人法定代表人、投标人代表参加采购活动前3年内(以投标截止时间为倒计时间)在经营活动中没有重大违法记录的书面声明原件；</w:t>
      </w:r>
    </w:p>
    <w:p>
      <w:pPr>
        <w:adjustRightInd w:val="0"/>
        <w:snapToGrid w:val="0"/>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2、落实政府采购政策需满足的资格要求：</w:t>
      </w:r>
    </w:p>
    <w:p>
      <w:pPr>
        <w:adjustRightInd w:val="0"/>
        <w:snapToGrid w:val="0"/>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2.1信用记录查询结果：根据《财政部关于在政府采购活动中查询及使用信用记录有关问题的通知》&lt;财库〔2016〕125号&gt;精神，资格审查小组在投标截止时间截止后，评标工作结束前通过“信用中国”网站(www.creditchina.gov.cn)及中国政府采购网(www.ccgp.gov.cn)两个网站查询、打印投标人的相应信用记录，若发现投标人参加本采购活动前三年内(以投标截止时间为倒计时间)存在下列情形之一，其资格审查不合格：(1)被“信用中国”网站列入“失信被执行人名单、重大税收违法案件当事人名单”的；(2)被中国政府采购网列入“政府采购严重违法失信行为记录名单”禁止参加政府采购活动且惩戒期限未满的；(3)存在属于《政府采购法》第二十二条的“重大违法记录”情形的【重大违法记录是指供应商因违法经营受到刑事处罚或者责令停产停业、吊销许可证或者执照、较大数额的罚款（根据财政部关于《中华人民共和国政府采购法实施条例》第十九条第一款“较大数额罚款”具体适用问题的意见（财库〔2022〕3号）规定：“《中华人民共和国政府采购法实施条例》第十九条第一款规定的“较大数额罚款”认定为200万元以上的罚款，法律、行政法规以及国务院有关部门明确规定相关领域‘较大数额罚款’标准高于200万元的，从其规定。”】。</w:t>
      </w:r>
    </w:p>
    <w:p>
      <w:pPr>
        <w:adjustRightInd w:val="0"/>
        <w:snapToGrid w:val="0"/>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2.2投标人、投标人法定代表人、投标代表在参加采购活动前三年内(以投标截止时间为倒计时间)应无行贿犯罪记录，提供书面声明原件。</w:t>
      </w:r>
    </w:p>
    <w:p>
      <w:pPr>
        <w:adjustRightInd w:val="0"/>
        <w:snapToGrid w:val="0"/>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 xml:space="preserve"> </w:t>
      </w:r>
    </w:p>
    <w:p>
      <w:pPr>
        <w:pStyle w:val="17"/>
        <w:spacing w:line="500" w:lineRule="exact"/>
        <w:ind w:firstLine="480" w:firstLineChars="200"/>
        <w:rPr>
          <w:rFonts w:ascii="宋体" w:eastAsia="宋体" w:cs="宋体"/>
          <w:spacing w:val="0"/>
          <w:highlight w:val="none"/>
        </w:rPr>
      </w:pPr>
    </w:p>
    <w:p>
      <w:pPr>
        <w:pStyle w:val="17"/>
        <w:spacing w:line="500" w:lineRule="exact"/>
        <w:rPr>
          <w:rFonts w:ascii="宋体" w:eastAsia="宋体" w:cs="宋体"/>
          <w:b/>
          <w:bCs/>
          <w:spacing w:val="0"/>
          <w:highlight w:val="none"/>
        </w:rPr>
      </w:pPr>
      <w:r>
        <w:rPr>
          <w:rFonts w:hint="eastAsia" w:ascii="宋体" w:eastAsia="宋体" w:cs="宋体"/>
          <w:b/>
          <w:bCs/>
          <w:spacing w:val="0"/>
          <w:highlight w:val="none"/>
        </w:rPr>
        <w:t>三、获取招标文件：</w:t>
      </w:r>
    </w:p>
    <w:p>
      <w:pPr>
        <w:adjustRightInd w:val="0"/>
        <w:snapToGrid w:val="0"/>
        <w:spacing w:line="500" w:lineRule="exact"/>
        <w:ind w:firstLine="480" w:firstLineChars="200"/>
        <w:rPr>
          <w:rFonts w:ascii="宋体" w:hAnsi="宋体" w:cs="宋体"/>
          <w:kern w:val="0"/>
          <w:highlight w:val="none"/>
        </w:rPr>
      </w:pPr>
      <w:r>
        <w:rPr>
          <w:rFonts w:hint="eastAsia" w:ascii="宋体" w:hAnsi="宋体" w:cs="宋体"/>
          <w:kern w:val="0"/>
          <w:sz w:val="24"/>
          <w:szCs w:val="24"/>
          <w:highlight w:val="none"/>
        </w:rPr>
        <w:t>投标人无需向招标代理机构购买招标文件，投标人可直接从莆田市行政服务中心网(http://ggzyjy.xzfwzx.putian.gov.cn/fwzx/)上下载招标文件。</w:t>
      </w:r>
    </w:p>
    <w:p>
      <w:pPr>
        <w:pStyle w:val="28"/>
        <w:adjustRightInd w:val="0"/>
        <w:snapToGrid w:val="0"/>
        <w:spacing w:line="500" w:lineRule="exact"/>
        <w:ind w:firstLine="482" w:firstLineChars="200"/>
        <w:jc w:val="left"/>
        <w:rPr>
          <w:rFonts w:ascii="宋体" w:hAnsi="宋体" w:cs="宋体"/>
          <w:kern w:val="0"/>
          <w:sz w:val="24"/>
          <w:szCs w:val="24"/>
          <w:highlight w:val="none"/>
        </w:rPr>
      </w:pPr>
    </w:p>
    <w:p>
      <w:pPr>
        <w:pStyle w:val="28"/>
        <w:adjustRightInd w:val="0"/>
        <w:snapToGrid w:val="0"/>
        <w:spacing w:line="500" w:lineRule="exact"/>
        <w:jc w:val="left"/>
        <w:rPr>
          <w:rFonts w:ascii="宋体" w:hAnsi="宋体" w:cs="宋体"/>
          <w:kern w:val="0"/>
          <w:sz w:val="24"/>
          <w:szCs w:val="24"/>
          <w:highlight w:val="none"/>
        </w:rPr>
      </w:pPr>
      <w:r>
        <w:rPr>
          <w:rFonts w:hint="eastAsia" w:ascii="宋体" w:hAnsi="宋体" w:cs="宋体"/>
          <w:kern w:val="0"/>
          <w:sz w:val="24"/>
          <w:szCs w:val="24"/>
          <w:highlight w:val="none"/>
        </w:rPr>
        <w:t>四、提交投标文件截止时间、开标时间和地点</w:t>
      </w:r>
    </w:p>
    <w:p>
      <w:pPr>
        <w:adjustRightInd w:val="0"/>
        <w:snapToGrid w:val="0"/>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1、提交投标文件截止时间（投标截止时间）、地点：</w:t>
      </w:r>
    </w:p>
    <w:p>
      <w:pPr>
        <w:adjustRightInd w:val="0"/>
        <w:snapToGrid w:val="0"/>
        <w:spacing w:line="500" w:lineRule="exact"/>
        <w:ind w:firstLine="480" w:firstLineChars="200"/>
        <w:rPr>
          <w:rFonts w:ascii="宋体" w:hAnsi="宋体" w:cs="宋体"/>
          <w:sz w:val="24"/>
          <w:szCs w:val="24"/>
          <w:highlight w:val="none"/>
          <w:shd w:val="pct10" w:color="auto" w:fill="FFFFFF"/>
        </w:rPr>
      </w:pPr>
      <w:r>
        <w:rPr>
          <w:rFonts w:hint="eastAsia" w:ascii="宋体" w:hAnsi="宋体" w:cs="宋体"/>
          <w:sz w:val="24"/>
          <w:szCs w:val="24"/>
          <w:highlight w:val="none"/>
        </w:rPr>
        <w:t>投标人应于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分（北京时间）前将投标文件递交至</w:t>
      </w:r>
      <w:r>
        <w:rPr>
          <w:rFonts w:hint="eastAsia" w:ascii="宋体" w:hAnsi="宋体" w:cs="宋体"/>
          <w:kern w:val="0"/>
          <w:sz w:val="24"/>
          <w:szCs w:val="24"/>
          <w:highlight w:val="none"/>
        </w:rPr>
        <w:t>莆田市行政服务中心(市政广场南片区D座)三层开标室</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。投标文件由招标代理机构的工作人员接收。</w:t>
      </w:r>
      <w:r>
        <w:rPr>
          <w:rFonts w:hint="eastAsia" w:ascii="宋体" w:hAnsi="宋体" w:cs="宋体"/>
          <w:sz w:val="24"/>
          <w:szCs w:val="24"/>
          <w:highlight w:val="none"/>
          <w:shd w:val="pct10" w:color="auto" w:fill="FFFFFF"/>
        </w:rPr>
        <w:t>逾期送达的或未密封的投标文件将被拒绝。</w:t>
      </w:r>
    </w:p>
    <w:p>
      <w:pPr>
        <w:pStyle w:val="73"/>
        <w:snapToGrid w:val="0"/>
        <w:spacing w:line="500" w:lineRule="exact"/>
        <w:ind w:firstLine="480" w:firstLineChars="200"/>
        <w:rPr>
          <w:rFonts w:hAnsi="宋体"/>
          <w:b/>
          <w:bCs/>
          <w:highlight w:val="none"/>
        </w:rPr>
      </w:pPr>
      <w:r>
        <w:rPr>
          <w:rFonts w:hint="eastAsia" w:hAnsi="宋体"/>
          <w:color w:val="auto"/>
          <w:highlight w:val="none"/>
        </w:rPr>
        <w:t>2、开标时间、地点：与提交投标文件截止时间的同一时间、同一地点。</w:t>
      </w:r>
      <w:bookmarkStart w:id="0" w:name="_Toc35393794"/>
      <w:bookmarkStart w:id="1" w:name="_Toc28359084"/>
      <w:bookmarkStart w:id="2" w:name="_Toc28359007"/>
      <w:bookmarkStart w:id="3" w:name="_Toc35393625"/>
    </w:p>
    <w:p>
      <w:pPr>
        <w:pStyle w:val="17"/>
        <w:spacing w:line="500" w:lineRule="exact"/>
        <w:ind w:firstLine="482" w:firstLineChars="200"/>
        <w:rPr>
          <w:rFonts w:ascii="宋体" w:eastAsia="宋体" w:cs="宋体"/>
          <w:b/>
          <w:bCs/>
          <w:spacing w:val="0"/>
          <w:kern w:val="0"/>
          <w:highlight w:val="none"/>
        </w:rPr>
      </w:pPr>
    </w:p>
    <w:p>
      <w:pPr>
        <w:pStyle w:val="17"/>
        <w:spacing w:line="500" w:lineRule="exact"/>
        <w:rPr>
          <w:rFonts w:ascii="宋体" w:eastAsia="宋体" w:cs="宋体"/>
          <w:spacing w:val="0"/>
          <w:kern w:val="0"/>
          <w:highlight w:val="none"/>
        </w:rPr>
      </w:pPr>
      <w:r>
        <w:rPr>
          <w:rFonts w:hint="eastAsia" w:ascii="宋体" w:eastAsia="宋体" w:cs="宋体"/>
          <w:b/>
          <w:bCs/>
          <w:spacing w:val="0"/>
          <w:kern w:val="0"/>
          <w:highlight w:val="none"/>
        </w:rPr>
        <w:t>五、公告期限</w:t>
      </w:r>
      <w:bookmarkEnd w:id="0"/>
      <w:bookmarkEnd w:id="1"/>
      <w:bookmarkEnd w:id="2"/>
      <w:bookmarkEnd w:id="3"/>
      <w:r>
        <w:rPr>
          <w:rFonts w:hint="eastAsia" w:ascii="宋体" w:eastAsia="宋体" w:cs="宋体"/>
          <w:b/>
          <w:bCs/>
          <w:spacing w:val="0"/>
          <w:kern w:val="0"/>
          <w:highlight w:val="none"/>
        </w:rPr>
        <w:t>：</w:t>
      </w:r>
      <w:r>
        <w:rPr>
          <w:rFonts w:hint="eastAsia" w:ascii="宋体" w:eastAsia="宋体" w:cs="宋体"/>
          <w:spacing w:val="0"/>
          <w:kern w:val="0"/>
          <w:highlight w:val="none"/>
        </w:rPr>
        <w:t>自本公告发布之日起5个工作日。</w:t>
      </w:r>
    </w:p>
    <w:p>
      <w:pPr>
        <w:pStyle w:val="17"/>
        <w:spacing w:line="500" w:lineRule="exact"/>
        <w:rPr>
          <w:rFonts w:ascii="宋体" w:eastAsia="宋体" w:cs="宋体"/>
          <w:spacing w:val="0"/>
          <w:kern w:val="0"/>
          <w:highlight w:val="none"/>
        </w:rPr>
      </w:pPr>
    </w:p>
    <w:p>
      <w:pPr>
        <w:pStyle w:val="17"/>
        <w:spacing w:line="500" w:lineRule="exact"/>
        <w:rPr>
          <w:rFonts w:ascii="宋体" w:eastAsia="宋体" w:cs="宋体"/>
          <w:b/>
          <w:bCs/>
          <w:spacing w:val="0"/>
          <w:kern w:val="0"/>
          <w:highlight w:val="none"/>
        </w:rPr>
      </w:pPr>
      <w:r>
        <w:rPr>
          <w:rFonts w:hint="eastAsia" w:ascii="宋体" w:eastAsia="宋体" w:cs="宋体"/>
          <w:b/>
          <w:bCs/>
          <w:spacing w:val="0"/>
          <w:kern w:val="0"/>
          <w:highlight w:val="none"/>
        </w:rPr>
        <w:t>六、其它事宜：</w:t>
      </w:r>
    </w:p>
    <w:p>
      <w:pPr>
        <w:pStyle w:val="73"/>
        <w:snapToGrid w:val="0"/>
        <w:spacing w:line="500" w:lineRule="exact"/>
        <w:ind w:firstLine="480" w:firstLineChars="200"/>
        <w:rPr>
          <w:rFonts w:hAnsi="宋体"/>
          <w:color w:val="auto"/>
          <w:highlight w:val="none"/>
        </w:rPr>
      </w:pPr>
      <w:r>
        <w:rPr>
          <w:rFonts w:hint="eastAsia" w:hAnsi="宋体"/>
          <w:color w:val="auto"/>
          <w:highlight w:val="none"/>
        </w:rPr>
        <w:t>1、投标须知：</w:t>
      </w:r>
    </w:p>
    <w:p>
      <w:pPr>
        <w:pStyle w:val="73"/>
        <w:snapToGrid w:val="0"/>
        <w:spacing w:line="500" w:lineRule="exact"/>
        <w:ind w:firstLine="480" w:firstLineChars="200"/>
        <w:rPr>
          <w:rFonts w:hAnsi="宋体"/>
          <w:color w:val="auto"/>
          <w:highlight w:val="none"/>
        </w:rPr>
      </w:pPr>
      <w:r>
        <w:rPr>
          <w:rFonts w:hint="eastAsia" w:hAnsi="宋体"/>
          <w:color w:val="auto"/>
          <w:highlight w:val="none"/>
        </w:rPr>
        <w:t>1.1.投标人必须提交网上投标文件，未上传网上投标文件或上传的投标文件不全的其投标文件无效，</w:t>
      </w:r>
      <w:r>
        <w:rPr>
          <w:rFonts w:hint="eastAsia" w:hAnsi="宋体"/>
          <w:b/>
          <w:bCs/>
          <w:color w:val="auto"/>
          <w:highlight w:val="none"/>
        </w:rPr>
        <w:t>在开标前提交密封的纸质投标文件：</w:t>
      </w:r>
      <w:r>
        <w:rPr>
          <w:rFonts w:hint="eastAsia" w:hAnsi="宋体"/>
          <w:color w:val="auto"/>
          <w:highlight w:val="none"/>
        </w:rPr>
        <w:t>技术商务部分（正本1份，副本1份），报价部分（正本1份，副本1份），正本与副本如不一致，以正本为准，电子版文件（U盘）2份，纸质投标文件仅供存档使用；评标委员会只对网上投标文件进行评审。如系统原因不能上传投标文件或开标评标时停电，则由</w:t>
      </w:r>
      <w:r>
        <w:rPr>
          <w:rFonts w:hint="eastAsia" w:hAnsi="宋体"/>
          <w:highlight w:val="none"/>
        </w:rPr>
        <w:t>招标代理机构</w:t>
      </w:r>
      <w:r>
        <w:rPr>
          <w:rFonts w:hint="eastAsia" w:hAnsi="宋体"/>
          <w:color w:val="auto"/>
          <w:highlight w:val="none"/>
        </w:rPr>
        <w:t xml:space="preserve">上报相关监管部门决定是否启用提交的纸质投标文件进行评标。 </w:t>
      </w:r>
    </w:p>
    <w:p>
      <w:pPr>
        <w:pStyle w:val="73"/>
        <w:snapToGrid w:val="0"/>
        <w:spacing w:line="500" w:lineRule="exact"/>
        <w:ind w:firstLine="480" w:firstLineChars="200"/>
        <w:rPr>
          <w:rFonts w:hAnsi="宋体"/>
          <w:color w:val="auto"/>
          <w:highlight w:val="none"/>
        </w:rPr>
      </w:pPr>
      <w:r>
        <w:rPr>
          <w:rFonts w:hint="eastAsia" w:hAnsi="宋体"/>
          <w:color w:val="auto"/>
          <w:highlight w:val="none"/>
        </w:rPr>
        <w:t>1.2.投标人上传的网上投标文件由商务部分、技术部分与报价部分组成，在网上投标时必须报价并上传商务部分、技术部分投标文件，商务部分、技术部分投标文件中不得有报价部分，</w:t>
      </w:r>
      <w:r>
        <w:rPr>
          <w:rFonts w:hint="eastAsia" w:hAnsi="宋体"/>
          <w:b/>
          <w:bCs/>
          <w:color w:val="auto"/>
          <w:highlight w:val="none"/>
        </w:rPr>
        <w:t>且投标人CA（投标人有多个CA的，必须用该项目上传投标文件时的同一把CA）要带到现场进行解密，</w:t>
      </w:r>
      <w:r>
        <w:rPr>
          <w:rFonts w:hint="eastAsia" w:hAnsi="宋体"/>
          <w:color w:val="auto"/>
          <w:highlight w:val="none"/>
        </w:rPr>
        <w:t>否则为无效投标。</w:t>
      </w:r>
    </w:p>
    <w:p>
      <w:pPr>
        <w:pStyle w:val="73"/>
        <w:snapToGrid w:val="0"/>
        <w:spacing w:line="500" w:lineRule="exact"/>
        <w:ind w:firstLine="480" w:firstLineChars="200"/>
        <w:rPr>
          <w:rFonts w:hAnsi="宋体"/>
          <w:color w:val="auto"/>
          <w:highlight w:val="none"/>
        </w:rPr>
      </w:pPr>
      <w:r>
        <w:rPr>
          <w:rFonts w:hint="eastAsia" w:hAnsi="宋体"/>
          <w:color w:val="auto"/>
          <w:highlight w:val="none"/>
        </w:rPr>
        <w:t>2、投标人网上身份认证：网上采购系统使用福建省工商管理系统CA卡（带有电子印章），持有该卡用户可以在莆田市行政服务中心系统上入库，并按要求提供纸质材料，审核通过后即可进行网上投标。</w:t>
      </w:r>
    </w:p>
    <w:p>
      <w:pPr>
        <w:pStyle w:val="73"/>
        <w:snapToGrid w:val="0"/>
        <w:spacing w:line="500" w:lineRule="exact"/>
        <w:ind w:firstLine="480" w:firstLineChars="200"/>
        <w:rPr>
          <w:rFonts w:hAnsi="宋体"/>
          <w:b/>
          <w:bCs/>
          <w:highlight w:val="none"/>
        </w:rPr>
      </w:pPr>
      <w:r>
        <w:rPr>
          <w:rFonts w:hint="eastAsia" w:hAnsi="宋体"/>
          <w:color w:val="auto"/>
          <w:highlight w:val="none"/>
        </w:rPr>
        <w:t>3、本项目采用网上电子投标方式进行，只接受莆田市行政服务中心会员库中已审核通过会员的投标，未入库的潜在投标人请及时办理入库手续，具体操作详见“莆田市行政服务中心网-办事指南-服务商操作手册”。网上投标技术问题，若有疑问，可咨询电子招投标平台：江苏国泰新点软件有限公司(咨询电话：0594-2853358)。</w:t>
      </w:r>
    </w:p>
    <w:p>
      <w:pPr>
        <w:pStyle w:val="73"/>
        <w:snapToGrid w:val="0"/>
        <w:spacing w:line="500" w:lineRule="exact"/>
        <w:ind w:firstLine="480" w:firstLineChars="200"/>
        <w:rPr>
          <w:rFonts w:hAnsi="宋体"/>
          <w:color w:val="auto"/>
          <w:highlight w:val="none"/>
        </w:rPr>
      </w:pPr>
      <w:r>
        <w:rPr>
          <w:rFonts w:hint="eastAsia" w:hAnsi="宋体"/>
          <w:color w:val="auto"/>
          <w:highlight w:val="none"/>
        </w:rPr>
        <w:t>4、 本项目信息如有变更，福建省中达招标代理有限公司会通过：</w:t>
      </w:r>
    </w:p>
    <w:p>
      <w:pPr>
        <w:pStyle w:val="73"/>
        <w:snapToGrid w:val="0"/>
        <w:spacing w:line="500" w:lineRule="exact"/>
        <w:ind w:firstLine="480" w:firstLineChars="200"/>
        <w:rPr>
          <w:rFonts w:hAnsi="宋体"/>
          <w:color w:val="auto"/>
          <w:highlight w:val="none"/>
        </w:rPr>
      </w:pPr>
      <w:r>
        <w:rPr>
          <w:rFonts w:hint="eastAsia" w:hAnsi="宋体"/>
          <w:color w:val="auto"/>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olor w:val="auto"/>
          <w:highlight w:val="none"/>
        </w:rPr>
        <w:t>http://www.ccgp.gov.cn</w:t>
      </w:r>
      <w:r>
        <w:rPr>
          <w:rFonts w:hint="eastAsia" w:hAnsi="宋体"/>
          <w:color w:val="auto"/>
          <w:highlight w:val="none"/>
        </w:rPr>
        <w:fldChar w:fldCharType="end"/>
      </w:r>
      <w:r>
        <w:rPr>
          <w:rFonts w:hint="eastAsia" w:hAnsi="宋体"/>
          <w:color w:val="auto"/>
          <w:highlight w:val="none"/>
        </w:rPr>
        <w:t>)</w:t>
      </w:r>
    </w:p>
    <w:p>
      <w:pPr>
        <w:pStyle w:val="73"/>
        <w:snapToGrid w:val="0"/>
        <w:spacing w:line="500" w:lineRule="exact"/>
        <w:ind w:firstLine="480" w:firstLineChars="200"/>
        <w:rPr>
          <w:rFonts w:hAnsi="宋体"/>
          <w:b/>
          <w:bCs/>
          <w:highlight w:val="none"/>
        </w:rPr>
      </w:pPr>
      <w:r>
        <w:rPr>
          <w:rFonts w:hint="eastAsia" w:hAnsi="宋体"/>
          <w:color w:val="auto"/>
          <w:highlight w:val="none"/>
        </w:rPr>
        <w:t>《莆田市公共资源交易中心官网》（http://ggzyjy.xzfwzx.putian.gov.cn/fwzx/）发布更正公告，请投标人关注。</w:t>
      </w:r>
    </w:p>
    <w:p>
      <w:pPr>
        <w:pStyle w:val="17"/>
        <w:spacing w:line="500" w:lineRule="exact"/>
        <w:ind w:firstLine="480" w:firstLineChars="200"/>
        <w:rPr>
          <w:rFonts w:ascii="宋体" w:eastAsia="宋体" w:cs="宋体"/>
          <w:spacing w:val="0"/>
          <w:kern w:val="0"/>
          <w:highlight w:val="none"/>
        </w:rPr>
      </w:pPr>
      <w:r>
        <w:rPr>
          <w:rFonts w:hint="eastAsia" w:ascii="宋体" w:eastAsia="宋体" w:cs="宋体"/>
          <w:spacing w:val="0"/>
          <w:kern w:val="0"/>
          <w:highlight w:val="none"/>
        </w:rPr>
        <w:t>5、福建省中达招标代理有限公司指定账户：</w:t>
      </w:r>
    </w:p>
    <w:tbl>
      <w:tblPr>
        <w:tblStyle w:val="31"/>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4844"/>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58" w:type="dxa"/>
          </w:tcPr>
          <w:p>
            <w:pPr>
              <w:tabs>
                <w:tab w:val="left" w:pos="1134"/>
              </w:tabs>
              <w:adjustRightInd w:val="0"/>
              <w:snapToGrid w:val="0"/>
              <w:spacing w:line="500" w:lineRule="exact"/>
              <w:ind w:firstLine="410" w:firstLineChars="171"/>
              <w:rPr>
                <w:rFonts w:ascii="宋体" w:hAnsi="宋体" w:cs="宋体"/>
                <w:color w:val="000000"/>
                <w:sz w:val="24"/>
                <w:szCs w:val="24"/>
                <w:highlight w:val="none"/>
              </w:rPr>
            </w:pPr>
          </w:p>
        </w:tc>
        <w:tc>
          <w:tcPr>
            <w:tcW w:w="4844" w:type="dxa"/>
            <w:vAlign w:val="center"/>
          </w:tcPr>
          <w:p>
            <w:pPr>
              <w:tabs>
                <w:tab w:val="left" w:pos="1134"/>
              </w:tabs>
              <w:adjustRightInd w:val="0"/>
              <w:snapToGrid w:val="0"/>
              <w:spacing w:line="500" w:lineRule="exact"/>
              <w:rPr>
                <w:rFonts w:ascii="宋体" w:hAnsi="宋体" w:cs="宋体"/>
                <w:color w:val="000000"/>
                <w:sz w:val="24"/>
                <w:szCs w:val="24"/>
                <w:highlight w:val="none"/>
              </w:rPr>
            </w:pPr>
            <w:r>
              <w:rPr>
                <w:rFonts w:hint="eastAsia" w:ascii="宋体" w:hAnsi="宋体" w:cs="宋体"/>
                <w:color w:val="000000"/>
                <w:sz w:val="24"/>
                <w:szCs w:val="24"/>
                <w:highlight w:val="none"/>
              </w:rPr>
              <w:t>投标保证金缴纳账户</w:t>
            </w:r>
          </w:p>
        </w:tc>
        <w:tc>
          <w:tcPr>
            <w:tcW w:w="3741" w:type="dxa"/>
            <w:vAlign w:val="center"/>
          </w:tcPr>
          <w:p>
            <w:pPr>
              <w:tabs>
                <w:tab w:val="left" w:pos="1134"/>
              </w:tabs>
              <w:adjustRightInd w:val="0"/>
              <w:snapToGrid w:val="0"/>
              <w:spacing w:line="500" w:lineRule="exact"/>
              <w:rPr>
                <w:rFonts w:ascii="宋体" w:hAnsi="宋体" w:cs="宋体"/>
                <w:color w:val="000000"/>
                <w:sz w:val="24"/>
                <w:szCs w:val="24"/>
                <w:highlight w:val="none"/>
              </w:rPr>
            </w:pPr>
            <w:r>
              <w:rPr>
                <w:rFonts w:hint="eastAsia" w:ascii="宋体" w:hAnsi="宋体" w:cs="宋体"/>
                <w:color w:val="000000"/>
                <w:sz w:val="24"/>
                <w:szCs w:val="24"/>
                <w:highlight w:val="none"/>
              </w:rPr>
              <w:t>中标服务费缴纳账户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58" w:type="dxa"/>
            <w:vAlign w:val="center"/>
          </w:tcPr>
          <w:p>
            <w:pPr>
              <w:tabs>
                <w:tab w:val="left" w:pos="1134"/>
              </w:tabs>
              <w:adjustRightInd w:val="0"/>
              <w:snapToGrid w:val="0"/>
              <w:spacing w:line="500" w:lineRule="exact"/>
              <w:rPr>
                <w:rFonts w:ascii="宋体" w:hAnsi="宋体" w:cs="宋体"/>
                <w:color w:val="000000"/>
                <w:sz w:val="24"/>
                <w:szCs w:val="24"/>
                <w:highlight w:val="none"/>
              </w:rPr>
            </w:pPr>
            <w:r>
              <w:rPr>
                <w:rFonts w:hint="eastAsia" w:ascii="宋体" w:hAnsi="宋体" w:cs="宋体"/>
                <w:color w:val="000000"/>
                <w:sz w:val="24"/>
                <w:szCs w:val="24"/>
                <w:highlight w:val="none"/>
              </w:rPr>
              <w:t>开户名：</w:t>
            </w:r>
          </w:p>
        </w:tc>
        <w:tc>
          <w:tcPr>
            <w:tcW w:w="4844" w:type="dxa"/>
            <w:vAlign w:val="center"/>
          </w:tcPr>
          <w:p>
            <w:pPr>
              <w:tabs>
                <w:tab w:val="left" w:pos="1134"/>
              </w:tabs>
              <w:adjustRightInd w:val="0"/>
              <w:snapToGrid w:val="0"/>
              <w:spacing w:line="500" w:lineRule="exact"/>
              <w:rPr>
                <w:rFonts w:ascii="宋体" w:hAnsi="宋体" w:cs="宋体"/>
                <w:color w:val="000000"/>
                <w:sz w:val="24"/>
                <w:szCs w:val="24"/>
                <w:highlight w:val="none"/>
              </w:rPr>
            </w:pPr>
            <w:r>
              <w:rPr>
                <w:rFonts w:hint="eastAsia" w:ascii="宋体" w:hAnsi="宋体" w:cs="宋体"/>
                <w:sz w:val="24"/>
                <w:szCs w:val="24"/>
                <w:highlight w:val="none"/>
              </w:rPr>
              <w:t>福建省中达招标代理有限公司莆田分公司</w:t>
            </w:r>
          </w:p>
        </w:tc>
        <w:tc>
          <w:tcPr>
            <w:tcW w:w="3741" w:type="dxa"/>
          </w:tcPr>
          <w:p>
            <w:pPr>
              <w:tabs>
                <w:tab w:val="left" w:pos="1134"/>
              </w:tabs>
              <w:adjustRightInd w:val="0"/>
              <w:snapToGrid w:val="0"/>
              <w:spacing w:line="500" w:lineRule="exact"/>
              <w:rPr>
                <w:rFonts w:ascii="宋体" w:hAnsi="宋体" w:cs="宋体"/>
                <w:bCs/>
                <w:sz w:val="24"/>
                <w:szCs w:val="24"/>
                <w:highlight w:val="none"/>
              </w:rPr>
            </w:pPr>
            <w:r>
              <w:rPr>
                <w:rFonts w:hint="eastAsia" w:ascii="宋体" w:hAnsi="宋体" w:cs="宋体"/>
                <w:bCs/>
                <w:sz w:val="24"/>
                <w:szCs w:val="24"/>
                <w:highlight w:val="none"/>
              </w:rPr>
              <w:t>福建省中达招标代理有限公司</w:t>
            </w:r>
          </w:p>
          <w:p>
            <w:pPr>
              <w:tabs>
                <w:tab w:val="left" w:pos="1134"/>
              </w:tabs>
              <w:adjustRightInd w:val="0"/>
              <w:snapToGrid w:val="0"/>
              <w:spacing w:line="500" w:lineRule="exact"/>
              <w:rPr>
                <w:rFonts w:ascii="宋体" w:hAnsi="宋体" w:cs="宋体"/>
                <w:color w:val="000000"/>
                <w:sz w:val="24"/>
                <w:szCs w:val="24"/>
                <w:highlight w:val="none"/>
              </w:rPr>
            </w:pPr>
            <w:r>
              <w:rPr>
                <w:rFonts w:hint="eastAsia" w:ascii="宋体" w:hAnsi="宋体" w:cs="宋体"/>
                <w:b/>
                <w:sz w:val="24"/>
                <w:szCs w:val="24"/>
                <w:highlight w:val="none"/>
              </w:rPr>
              <w:t>（请勿将投标保证金转入此账户）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8" w:type="dxa"/>
            <w:vAlign w:val="center"/>
          </w:tcPr>
          <w:p>
            <w:pPr>
              <w:tabs>
                <w:tab w:val="left" w:pos="1134"/>
              </w:tabs>
              <w:adjustRightInd w:val="0"/>
              <w:snapToGrid w:val="0"/>
              <w:spacing w:line="500" w:lineRule="exact"/>
              <w:rPr>
                <w:rFonts w:ascii="宋体" w:hAnsi="宋体" w:cs="宋体"/>
                <w:color w:val="000000"/>
                <w:sz w:val="24"/>
                <w:szCs w:val="24"/>
                <w:highlight w:val="none"/>
              </w:rPr>
            </w:pPr>
            <w:r>
              <w:rPr>
                <w:rFonts w:hint="eastAsia" w:ascii="宋体" w:hAnsi="宋体" w:cs="宋体"/>
                <w:color w:val="000000"/>
                <w:sz w:val="24"/>
                <w:szCs w:val="24"/>
                <w:highlight w:val="none"/>
              </w:rPr>
              <w:t>开户行：</w:t>
            </w:r>
          </w:p>
        </w:tc>
        <w:tc>
          <w:tcPr>
            <w:tcW w:w="4844" w:type="dxa"/>
            <w:vAlign w:val="center"/>
          </w:tcPr>
          <w:p>
            <w:pPr>
              <w:tabs>
                <w:tab w:val="left" w:pos="1134"/>
              </w:tabs>
              <w:adjustRightInd w:val="0"/>
              <w:snapToGrid w:val="0"/>
              <w:spacing w:line="500" w:lineRule="exact"/>
              <w:rPr>
                <w:rFonts w:ascii="宋体" w:hAnsi="宋体" w:cs="宋体"/>
                <w:color w:val="000000"/>
                <w:sz w:val="24"/>
                <w:szCs w:val="24"/>
                <w:highlight w:val="none"/>
              </w:rPr>
            </w:pPr>
            <w:r>
              <w:rPr>
                <w:rFonts w:hint="eastAsia" w:ascii="宋体" w:hAnsi="宋体" w:cs="宋体"/>
                <w:sz w:val="24"/>
                <w:szCs w:val="24"/>
                <w:highlight w:val="none"/>
              </w:rPr>
              <w:t>中国农业银行股份有限公司莆田市府分理处</w:t>
            </w:r>
          </w:p>
        </w:tc>
        <w:tc>
          <w:tcPr>
            <w:tcW w:w="3741" w:type="dxa"/>
            <w:vAlign w:val="center"/>
          </w:tcPr>
          <w:p>
            <w:pPr>
              <w:tabs>
                <w:tab w:val="left" w:pos="1134"/>
              </w:tabs>
              <w:adjustRightInd w:val="0"/>
              <w:snapToGrid w:val="0"/>
              <w:spacing w:line="500" w:lineRule="exact"/>
              <w:rPr>
                <w:rFonts w:ascii="宋体" w:hAnsi="宋体" w:cs="宋体"/>
                <w:color w:val="000000"/>
                <w:sz w:val="24"/>
                <w:szCs w:val="24"/>
                <w:highlight w:val="none"/>
              </w:rPr>
            </w:pPr>
            <w:r>
              <w:rPr>
                <w:rFonts w:hint="eastAsia" w:ascii="宋体" w:hAnsi="宋体" w:cs="宋体"/>
                <w:bCs/>
                <w:sz w:val="24"/>
                <w:szCs w:val="24"/>
                <w:highlight w:val="none"/>
              </w:rPr>
              <w:t>中国建设银行福州城北支行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58" w:type="dxa"/>
            <w:vAlign w:val="center"/>
          </w:tcPr>
          <w:p>
            <w:pPr>
              <w:tabs>
                <w:tab w:val="left" w:pos="1134"/>
              </w:tabs>
              <w:adjustRightInd w:val="0"/>
              <w:snapToGrid w:val="0"/>
              <w:spacing w:line="500" w:lineRule="exact"/>
              <w:rPr>
                <w:rFonts w:ascii="宋体" w:hAnsi="宋体" w:cs="宋体"/>
                <w:color w:val="000000"/>
                <w:sz w:val="24"/>
                <w:szCs w:val="24"/>
                <w:highlight w:val="none"/>
              </w:rPr>
            </w:pPr>
            <w:r>
              <w:rPr>
                <w:rFonts w:hint="eastAsia" w:ascii="宋体" w:hAnsi="宋体" w:cs="宋体"/>
                <w:color w:val="000000"/>
                <w:sz w:val="24"/>
                <w:szCs w:val="24"/>
                <w:highlight w:val="none"/>
              </w:rPr>
              <w:t>帐  号：</w:t>
            </w:r>
          </w:p>
        </w:tc>
        <w:tc>
          <w:tcPr>
            <w:tcW w:w="4844" w:type="dxa"/>
            <w:vAlign w:val="center"/>
          </w:tcPr>
          <w:p>
            <w:pPr>
              <w:tabs>
                <w:tab w:val="left" w:pos="1134"/>
              </w:tabs>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1344 1501 0400 02440</w:t>
            </w:r>
          </w:p>
        </w:tc>
        <w:tc>
          <w:tcPr>
            <w:tcW w:w="3741" w:type="dxa"/>
          </w:tcPr>
          <w:p>
            <w:pPr>
              <w:tabs>
                <w:tab w:val="left" w:pos="1134"/>
              </w:tabs>
              <w:adjustRightInd w:val="0"/>
              <w:snapToGrid w:val="0"/>
              <w:spacing w:line="500" w:lineRule="exact"/>
              <w:rPr>
                <w:rFonts w:ascii="宋体" w:hAnsi="宋体" w:cs="宋体"/>
                <w:color w:val="000000"/>
                <w:sz w:val="24"/>
                <w:szCs w:val="24"/>
                <w:highlight w:val="none"/>
              </w:rPr>
            </w:pPr>
            <w:r>
              <w:rPr>
                <w:rFonts w:hint="eastAsia" w:ascii="宋体" w:hAnsi="宋体" w:cs="宋体"/>
                <w:bCs/>
                <w:sz w:val="24"/>
                <w:szCs w:val="24"/>
                <w:highlight w:val="none"/>
              </w:rPr>
              <w:t>3500 1890 0070 5251 5459</w:t>
            </w:r>
          </w:p>
        </w:tc>
      </w:tr>
    </w:tbl>
    <w:p>
      <w:pPr>
        <w:pStyle w:val="17"/>
        <w:spacing w:line="500" w:lineRule="exact"/>
        <w:rPr>
          <w:rFonts w:ascii="宋体" w:eastAsia="宋体" w:cs="宋体"/>
          <w:b/>
          <w:bCs/>
          <w:spacing w:val="0"/>
          <w:kern w:val="0"/>
          <w:highlight w:val="none"/>
        </w:rPr>
      </w:pPr>
    </w:p>
    <w:p>
      <w:pPr>
        <w:pStyle w:val="17"/>
        <w:spacing w:line="500" w:lineRule="exact"/>
        <w:rPr>
          <w:rFonts w:ascii="宋体" w:eastAsia="宋体" w:cs="宋体"/>
          <w:b/>
          <w:bCs/>
          <w:spacing w:val="0"/>
          <w:kern w:val="0"/>
          <w:highlight w:val="none"/>
        </w:rPr>
      </w:pPr>
      <w:r>
        <w:rPr>
          <w:rFonts w:hint="eastAsia" w:ascii="宋体" w:eastAsia="宋体" w:cs="宋体"/>
          <w:b/>
          <w:bCs/>
          <w:spacing w:val="0"/>
          <w:kern w:val="0"/>
          <w:highlight w:val="none"/>
        </w:rPr>
        <w:t>七、对本次招标提出询问，请按以下方式联系：</w:t>
      </w:r>
    </w:p>
    <w:p>
      <w:pPr>
        <w:widowControl/>
        <w:adjustRightInd w:val="0"/>
        <w:snapToGrid w:val="0"/>
        <w:spacing w:line="5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sz w:val="28"/>
          <w:szCs w:val="28"/>
          <w:highlight w:val="none"/>
        </w:rPr>
        <w:t>　</w:t>
      </w:r>
      <w:r>
        <w:rPr>
          <w:rFonts w:hint="eastAsia" w:ascii="宋体" w:hAnsi="宋体" w:cs="宋体"/>
          <w:sz w:val="24"/>
          <w:szCs w:val="24"/>
          <w:highlight w:val="none"/>
        </w:rPr>
        <w:t>　</w:t>
      </w:r>
      <w:r>
        <w:rPr>
          <w:rFonts w:hint="eastAsia" w:ascii="宋体" w:hAnsi="宋体" w:cs="宋体"/>
          <w:color w:val="000000" w:themeColor="text1"/>
          <w:sz w:val="24"/>
          <w:szCs w:val="24"/>
          <w:highlight w:val="none"/>
          <w14:textFill>
            <w14:solidFill>
              <w14:schemeClr w14:val="tx1"/>
            </w14:solidFill>
          </w14:textFill>
        </w:rPr>
        <w:t>1、采购人信息：</w:t>
      </w:r>
    </w:p>
    <w:p>
      <w:pPr>
        <w:adjustRightInd w:val="0"/>
        <w:snapToGrid w:val="0"/>
        <w:spacing w:line="500" w:lineRule="exact"/>
        <w:ind w:left="479" w:leftChars="228" w:firstLine="180" w:firstLineChars="75"/>
        <w:jc w:val="left"/>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 称：</w:t>
      </w:r>
      <w:r>
        <w:rPr>
          <w:rFonts w:hint="eastAsia" w:ascii="宋体" w:hAnsi="宋体" w:cs="宋体"/>
          <w:color w:val="000000" w:themeColor="text1"/>
          <w:sz w:val="24"/>
          <w:szCs w:val="24"/>
          <w:highlight w:val="none"/>
          <w:u w:val="single"/>
          <w:lang w:eastAsia="zh-CN"/>
          <w14:textFill>
            <w14:solidFill>
              <w14:schemeClr w14:val="tx1"/>
            </w14:solidFill>
          </w14:textFill>
        </w:rPr>
        <w:t>莆田市兴运汽车维修有限公司</w:t>
      </w:r>
    </w:p>
    <w:p>
      <w:pPr>
        <w:adjustRightInd w:val="0"/>
        <w:snapToGrid w:val="0"/>
        <w:spacing w:line="500" w:lineRule="exact"/>
        <w:ind w:left="479" w:leftChars="228" w:firstLine="180" w:firstLineChars="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w:t>
      </w:r>
      <w:r>
        <w:rPr>
          <w:rFonts w:hint="eastAsia" w:ascii="宋体" w:hAnsi="宋体" w:cs="宋体"/>
          <w:color w:val="000000" w:themeColor="text1"/>
          <w:sz w:val="24"/>
          <w:szCs w:val="24"/>
          <w:highlight w:val="none"/>
          <w:u w:val="single"/>
          <w14:textFill>
            <w14:solidFill>
              <w14:schemeClr w14:val="tx1"/>
            </w14:solidFill>
          </w14:textFill>
        </w:rPr>
        <w:t>莆田市城厢区荔华东大道与广化路交叉路口往西南约130米市公交南站</w:t>
      </w:r>
    </w:p>
    <w:p>
      <w:pPr>
        <w:adjustRightInd w:val="0"/>
        <w:snapToGrid w:val="0"/>
        <w:spacing w:line="500" w:lineRule="exact"/>
        <w:ind w:left="479" w:leftChars="228" w:firstLine="180" w:firstLineChars="75"/>
        <w:jc w:val="left"/>
        <w:rPr>
          <w:rFonts w:ascii="宋体" w:hAnsi="宋体" w:cs="宋体"/>
          <w:highlight w:val="none"/>
        </w:rPr>
      </w:pPr>
      <w:r>
        <w:rPr>
          <w:rFonts w:hint="eastAsia" w:ascii="宋体" w:hAnsi="宋体" w:cs="宋体"/>
          <w:color w:val="000000" w:themeColor="text1"/>
          <w:sz w:val="24"/>
          <w:szCs w:val="24"/>
          <w:highlight w:val="none"/>
          <w14:textFill>
            <w14:solidFill>
              <w14:schemeClr w14:val="tx1"/>
            </w14:solidFill>
          </w14:textFill>
        </w:rPr>
        <w:t>联系方式：</w:t>
      </w:r>
      <w:r>
        <w:rPr>
          <w:rFonts w:hint="eastAsia" w:ascii="宋体" w:hAnsi="宋体" w:cs="宋体"/>
          <w:color w:val="000000" w:themeColor="text1"/>
          <w:sz w:val="24"/>
          <w:szCs w:val="24"/>
          <w:highlight w:val="none"/>
          <w:u w:val="single"/>
          <w:lang w:val="en-US" w:eastAsia="zh-CN"/>
          <w14:textFill>
            <w14:solidFill>
              <w14:schemeClr w14:val="tx1"/>
            </w14:solidFill>
          </w14:textFill>
        </w:rPr>
        <w:t>许先生  18023348888</w:t>
      </w:r>
      <w:r>
        <w:rPr>
          <w:rFonts w:hint="eastAsia" w:ascii="宋体" w:hAnsi="宋体" w:cs="宋体"/>
          <w:sz w:val="24"/>
          <w:szCs w:val="24"/>
          <w:highlight w:val="none"/>
        </w:rPr>
        <w:t>　</w:t>
      </w:r>
    </w:p>
    <w:p>
      <w:pPr>
        <w:pStyle w:val="73"/>
        <w:snapToGrid w:val="0"/>
        <w:spacing w:line="500" w:lineRule="exact"/>
        <w:ind w:firstLine="480" w:firstLineChars="200"/>
        <w:rPr>
          <w:rFonts w:hAnsi="宋体"/>
          <w:color w:val="auto"/>
          <w:highlight w:val="none"/>
        </w:rPr>
      </w:pPr>
    </w:p>
    <w:p>
      <w:pPr>
        <w:pStyle w:val="73"/>
        <w:snapToGrid w:val="0"/>
        <w:spacing w:line="500" w:lineRule="exact"/>
        <w:ind w:firstLine="480" w:firstLineChars="200"/>
        <w:rPr>
          <w:rFonts w:hAnsi="宋体"/>
          <w:b/>
          <w:bCs/>
          <w:sz w:val="32"/>
          <w:szCs w:val="32"/>
          <w:highlight w:val="none"/>
        </w:rPr>
      </w:pPr>
      <w:r>
        <w:rPr>
          <w:rFonts w:hint="eastAsia" w:hAnsi="宋体"/>
          <w:color w:val="auto"/>
          <w:highlight w:val="none"/>
        </w:rPr>
        <w:t xml:space="preserve">2、招标代理机构信息及联系方式： </w:t>
      </w:r>
    </w:p>
    <w:tbl>
      <w:tblPr>
        <w:tblStyle w:val="31"/>
        <w:tblpPr w:leftFromText="180" w:rightFromText="180" w:vertAnchor="text" w:horzAnchor="page" w:tblpX="1282" w:tblpY="18"/>
        <w:tblOverlap w:val="never"/>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409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616" w:type="dxa"/>
            <w:vAlign w:val="center"/>
          </w:tcPr>
          <w:p>
            <w:pPr>
              <w:adjustRightInd w:val="0"/>
              <w:snapToGrid w:val="0"/>
              <w:spacing w:line="500" w:lineRule="exact"/>
              <w:rPr>
                <w:rFonts w:ascii="宋体" w:hAnsi="宋体" w:cs="宋体"/>
                <w:kern w:val="0"/>
                <w:sz w:val="24"/>
                <w:szCs w:val="24"/>
                <w:highlight w:val="none"/>
              </w:rPr>
            </w:pPr>
            <w:r>
              <w:rPr>
                <w:rFonts w:hint="eastAsia" w:ascii="宋体" w:hAnsi="宋体" w:cs="宋体"/>
                <w:sz w:val="24"/>
                <w:szCs w:val="24"/>
                <w:highlight w:val="none"/>
              </w:rPr>
              <w:t>招标代理机构：</w:t>
            </w:r>
          </w:p>
        </w:tc>
        <w:tc>
          <w:tcPr>
            <w:tcW w:w="4090" w:type="dxa"/>
            <w:vAlign w:val="center"/>
          </w:tcPr>
          <w:p>
            <w:pPr>
              <w:pStyle w:val="73"/>
              <w:snapToGrid w:val="0"/>
              <w:spacing w:line="500" w:lineRule="exact"/>
              <w:jc w:val="both"/>
              <w:rPr>
                <w:rFonts w:hAnsi="宋体"/>
                <w:color w:val="auto"/>
                <w:highlight w:val="none"/>
              </w:rPr>
            </w:pPr>
            <w:r>
              <w:rPr>
                <w:rFonts w:hint="eastAsia" w:hAnsi="宋体"/>
                <w:color w:val="auto"/>
                <w:highlight w:val="none"/>
              </w:rPr>
              <w:t>福建省中达招标代理有限公司</w:t>
            </w:r>
          </w:p>
        </w:tc>
        <w:tc>
          <w:tcPr>
            <w:tcW w:w="2605" w:type="dxa"/>
            <w:vAlign w:val="center"/>
          </w:tcPr>
          <w:p>
            <w:pPr>
              <w:adjustRightInd w:val="0"/>
              <w:snapToGrid w:val="0"/>
              <w:spacing w:line="500" w:lineRule="exact"/>
              <w:rPr>
                <w:rFonts w:ascii="宋体" w:hAnsi="宋体" w:cs="宋体"/>
                <w:kern w:val="0"/>
                <w:sz w:val="24"/>
                <w:szCs w:val="24"/>
                <w:highlight w:val="none"/>
              </w:rPr>
            </w:pPr>
            <w:r>
              <w:rPr>
                <w:rFonts w:hint="eastAsia" w:ascii="宋体" w:hAnsi="宋体" w:cs="宋体"/>
                <w:sz w:val="24"/>
                <w:szCs w:val="24"/>
                <w:highlight w:val="none"/>
              </w:rPr>
              <w:t>邮编：350004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616" w:type="dxa"/>
            <w:vAlign w:val="center"/>
          </w:tcPr>
          <w:p>
            <w:pPr>
              <w:adjustRightInd w:val="0"/>
              <w:snapToGrid w:val="0"/>
              <w:spacing w:line="500" w:lineRule="exact"/>
              <w:rPr>
                <w:rFonts w:ascii="宋体" w:hAnsi="宋体" w:cs="宋体"/>
                <w:kern w:val="0"/>
                <w:sz w:val="24"/>
                <w:szCs w:val="24"/>
                <w:highlight w:val="none"/>
              </w:rPr>
            </w:pPr>
            <w:r>
              <w:rPr>
                <w:rFonts w:hint="eastAsia" w:ascii="宋体" w:hAnsi="宋体" w:cs="宋体"/>
                <w:sz w:val="24"/>
                <w:szCs w:val="24"/>
                <w:highlight w:val="none"/>
              </w:rPr>
              <w:t>地        址：</w:t>
            </w:r>
          </w:p>
        </w:tc>
        <w:tc>
          <w:tcPr>
            <w:tcW w:w="6695" w:type="dxa"/>
            <w:gridSpan w:val="2"/>
            <w:vAlign w:val="center"/>
          </w:tcPr>
          <w:p>
            <w:pPr>
              <w:pStyle w:val="73"/>
              <w:snapToGrid w:val="0"/>
              <w:spacing w:line="500" w:lineRule="exact"/>
              <w:jc w:val="both"/>
              <w:rPr>
                <w:rFonts w:hAnsi="宋体"/>
                <w:color w:val="auto"/>
                <w:highlight w:val="none"/>
              </w:rPr>
            </w:pPr>
            <w:r>
              <w:rPr>
                <w:rFonts w:hint="eastAsia" w:hAnsi="宋体"/>
                <w:color w:val="auto"/>
                <w:highlight w:val="none"/>
              </w:rPr>
              <w:t>福州市台江区宁化街道祥坂街357号阳光城时代广场17层09室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616" w:type="dxa"/>
            <w:vAlign w:val="center"/>
          </w:tcPr>
          <w:p>
            <w:pPr>
              <w:adjustRightInd w:val="0"/>
              <w:snapToGrid w:val="0"/>
              <w:spacing w:line="500" w:lineRule="exact"/>
              <w:rPr>
                <w:rFonts w:ascii="宋体" w:hAnsi="宋体" w:cs="宋体"/>
                <w:kern w:val="0"/>
                <w:sz w:val="24"/>
                <w:szCs w:val="24"/>
                <w:highlight w:val="none"/>
              </w:rPr>
            </w:pPr>
            <w:r>
              <w:rPr>
                <w:rFonts w:hint="eastAsia" w:ascii="宋体" w:hAnsi="宋体" w:cs="宋体"/>
                <w:kern w:val="0"/>
                <w:sz w:val="24"/>
                <w:szCs w:val="24"/>
                <w:highlight w:val="none"/>
              </w:rPr>
              <w:t>联系人、联系电话：</w:t>
            </w:r>
          </w:p>
        </w:tc>
        <w:tc>
          <w:tcPr>
            <w:tcW w:w="6695" w:type="dxa"/>
            <w:gridSpan w:val="2"/>
            <w:vAlign w:val="center"/>
          </w:tcPr>
          <w:p>
            <w:pPr>
              <w:pStyle w:val="73"/>
              <w:snapToGrid w:val="0"/>
              <w:spacing w:line="500" w:lineRule="exact"/>
              <w:jc w:val="both"/>
              <w:rPr>
                <w:rFonts w:hAnsi="宋体"/>
                <w:color w:val="auto"/>
                <w:highlight w:val="none"/>
              </w:rPr>
            </w:pPr>
            <w:r>
              <w:rPr>
                <w:rFonts w:hint="eastAsia" w:hAnsi="宋体"/>
                <w:color w:val="auto"/>
                <w:highlight w:val="none"/>
              </w:rPr>
              <w:t>邱智（项目负责人）、13030832613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616" w:type="dxa"/>
            <w:vAlign w:val="center"/>
          </w:tcPr>
          <w:p>
            <w:pPr>
              <w:adjustRightInd w:val="0"/>
              <w:snapToGrid w:val="0"/>
              <w:spacing w:line="500" w:lineRule="exact"/>
              <w:rPr>
                <w:rFonts w:ascii="宋体" w:hAnsi="宋体" w:cs="宋体"/>
                <w:kern w:val="0"/>
                <w:sz w:val="24"/>
                <w:szCs w:val="24"/>
                <w:highlight w:val="none"/>
              </w:rPr>
            </w:pPr>
            <w:r>
              <w:rPr>
                <w:rFonts w:hint="eastAsia" w:ascii="宋体" w:hAnsi="宋体" w:cs="宋体"/>
                <w:kern w:val="0"/>
                <w:sz w:val="24"/>
                <w:szCs w:val="24"/>
                <w:highlight w:val="none"/>
              </w:rPr>
              <w:t>电子邮箱：</w:t>
            </w:r>
          </w:p>
        </w:tc>
        <w:tc>
          <w:tcPr>
            <w:tcW w:w="6695" w:type="dxa"/>
            <w:gridSpan w:val="2"/>
            <w:vAlign w:val="center"/>
          </w:tcPr>
          <w:p>
            <w:pPr>
              <w:pStyle w:val="73"/>
              <w:snapToGrid w:val="0"/>
              <w:spacing w:line="500" w:lineRule="exact"/>
              <w:jc w:val="both"/>
              <w:rPr>
                <w:rFonts w:hint="eastAsia" w:hAnsi="宋体" w:eastAsia="宋体"/>
                <w:color w:val="auto"/>
                <w:highlight w:val="none"/>
                <w:lang w:eastAsia="zh-CN"/>
              </w:rPr>
            </w:pPr>
            <w:r>
              <w:rPr>
                <w:rFonts w:hint="eastAsia" w:hAnsi="宋体"/>
                <w:color w:val="auto"/>
                <w:highlight w:val="none"/>
                <w:lang w:eastAsia="zh-CN"/>
              </w:rPr>
              <w:t>zhongdazb@163.com</w:t>
            </w:r>
          </w:p>
        </w:tc>
      </w:tr>
    </w:tbl>
    <w:p>
      <w:pPr>
        <w:pStyle w:val="44"/>
        <w:jc w:val="center"/>
        <w:rPr>
          <w:rFonts w:ascii="宋体" w:hAnsi="宋体" w:cs="宋体"/>
          <w:b/>
          <w:bCs/>
          <w:kern w:val="0"/>
          <w:sz w:val="24"/>
          <w:szCs w:val="24"/>
          <w:highlight w:val="none"/>
        </w:rPr>
        <w:sectPr>
          <w:headerReference r:id="rId4" w:type="first"/>
          <w:footerReference r:id="rId6" w:type="first"/>
          <w:headerReference r:id="rId3" w:type="default"/>
          <w:footerReference r:id="rId5" w:type="default"/>
          <w:pgSz w:w="11907" w:h="16840"/>
          <w:pgMar w:top="1440" w:right="1332" w:bottom="1361" w:left="1332" w:header="851" w:footer="992" w:gutter="0"/>
          <w:pgNumType w:start="1"/>
          <w:cols w:space="0" w:num="1"/>
          <w:titlePg/>
          <w:docGrid w:linePitch="323" w:charSpace="0"/>
        </w:sectPr>
      </w:pPr>
    </w:p>
    <w:p>
      <w:pPr>
        <w:adjustRightInd w:val="0"/>
        <w:snapToGrid w:val="0"/>
        <w:spacing w:line="440" w:lineRule="exact"/>
        <w:rPr>
          <w:rFonts w:ascii="宋体" w:hAnsi="宋体" w:cs="宋体"/>
          <w:b/>
          <w:bCs/>
          <w:sz w:val="32"/>
          <w:szCs w:val="32"/>
          <w:highlight w:val="none"/>
        </w:rPr>
      </w:pPr>
    </w:p>
    <w:p>
      <w:pPr>
        <w:adjustRightInd w:val="0"/>
        <w:snapToGrid w:val="0"/>
        <w:spacing w:line="440" w:lineRule="exact"/>
        <w:jc w:val="center"/>
        <w:rPr>
          <w:rFonts w:ascii="宋体" w:hAnsi="宋体" w:cs="宋体"/>
          <w:b/>
          <w:bCs/>
          <w:sz w:val="32"/>
          <w:szCs w:val="32"/>
          <w:highlight w:val="none"/>
        </w:rPr>
      </w:pPr>
      <w:r>
        <w:rPr>
          <w:rFonts w:hint="eastAsia" w:ascii="宋体" w:hAnsi="宋体" w:cs="宋体"/>
          <w:b/>
          <w:bCs/>
          <w:sz w:val="32"/>
          <w:szCs w:val="32"/>
          <w:highlight w:val="none"/>
        </w:rPr>
        <w:t>第二章   投标人须知</w:t>
      </w:r>
    </w:p>
    <w:p>
      <w:pPr>
        <w:adjustRightInd w:val="0"/>
        <w:snapToGrid w:val="0"/>
        <w:spacing w:line="440" w:lineRule="exact"/>
        <w:jc w:val="center"/>
        <w:rPr>
          <w:rFonts w:ascii="宋体" w:hAnsi="宋体" w:cs="宋体"/>
          <w:b/>
          <w:bCs/>
          <w:sz w:val="24"/>
          <w:szCs w:val="24"/>
          <w:highlight w:val="none"/>
        </w:rPr>
      </w:pPr>
    </w:p>
    <w:p>
      <w:pPr>
        <w:adjustRightInd w:val="0"/>
        <w:snapToGrid w:val="0"/>
        <w:spacing w:line="440" w:lineRule="exact"/>
        <w:jc w:val="center"/>
        <w:rPr>
          <w:rFonts w:ascii="宋体" w:hAnsi="宋体" w:cs="宋体"/>
          <w:b/>
          <w:bCs/>
          <w:sz w:val="24"/>
          <w:szCs w:val="24"/>
          <w:highlight w:val="none"/>
        </w:rPr>
      </w:pPr>
      <w:r>
        <w:rPr>
          <w:rFonts w:hint="eastAsia" w:ascii="宋体" w:hAnsi="宋体" w:cs="宋体"/>
          <w:b/>
          <w:bCs/>
          <w:sz w:val="24"/>
          <w:szCs w:val="24"/>
          <w:highlight w:val="none"/>
        </w:rPr>
        <w:t>投标人须知前附表</w:t>
      </w:r>
    </w:p>
    <w:p>
      <w:pPr>
        <w:adjustRightInd w:val="0"/>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本须知前附表的条款号是与《投标人须知》中条款号相对应的。如果有矛盾的话，应以本须知前附表为准。</w:t>
      </w:r>
    </w:p>
    <w:tbl>
      <w:tblPr>
        <w:tblStyle w:val="31"/>
        <w:tblW w:w="966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205"/>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8" w:type="dxa"/>
            <w:vAlign w:val="center"/>
          </w:tcPr>
          <w:p>
            <w:pPr>
              <w:adjustRightInd w:val="0"/>
              <w:snapToGrid w:val="0"/>
              <w:spacing w:line="500" w:lineRule="exact"/>
              <w:jc w:val="center"/>
              <w:rPr>
                <w:rFonts w:ascii="宋体" w:hAnsi="宋体" w:cs="宋体"/>
                <w:b/>
                <w:bCs/>
                <w:highlight w:val="none"/>
              </w:rPr>
            </w:pPr>
            <w:r>
              <w:rPr>
                <w:rFonts w:hint="eastAsia" w:ascii="宋体" w:hAnsi="宋体" w:cs="宋体"/>
                <w:b/>
                <w:bCs/>
                <w:highlight w:val="none"/>
              </w:rPr>
              <w:t>条款号</w:t>
            </w:r>
          </w:p>
        </w:tc>
        <w:tc>
          <w:tcPr>
            <w:tcW w:w="1205" w:type="dxa"/>
            <w:vAlign w:val="center"/>
          </w:tcPr>
          <w:p>
            <w:pPr>
              <w:adjustRightInd w:val="0"/>
              <w:snapToGrid w:val="0"/>
              <w:spacing w:line="500" w:lineRule="exact"/>
              <w:jc w:val="center"/>
              <w:rPr>
                <w:rFonts w:ascii="宋体" w:hAnsi="宋体" w:cs="宋体"/>
                <w:b/>
                <w:bCs/>
                <w:sz w:val="24"/>
                <w:szCs w:val="24"/>
                <w:highlight w:val="none"/>
              </w:rPr>
            </w:pPr>
            <w:r>
              <w:rPr>
                <w:rFonts w:hint="eastAsia" w:ascii="宋体" w:hAnsi="宋体" w:cs="宋体"/>
                <w:b/>
                <w:bCs/>
                <w:sz w:val="24"/>
                <w:szCs w:val="24"/>
                <w:highlight w:val="none"/>
              </w:rPr>
              <w:t>项目</w:t>
            </w:r>
          </w:p>
        </w:tc>
        <w:tc>
          <w:tcPr>
            <w:tcW w:w="7461" w:type="dxa"/>
            <w:vAlign w:val="center"/>
          </w:tcPr>
          <w:p>
            <w:pPr>
              <w:adjustRightInd w:val="0"/>
              <w:snapToGrid w:val="0"/>
              <w:spacing w:line="500" w:lineRule="exact"/>
              <w:jc w:val="center"/>
              <w:rPr>
                <w:rFonts w:ascii="宋体" w:hAnsi="宋体" w:cs="宋体"/>
                <w:b/>
                <w:bCs/>
                <w:sz w:val="24"/>
                <w:szCs w:val="24"/>
                <w:highlight w:val="none"/>
              </w:rPr>
            </w:pPr>
            <w:r>
              <w:rPr>
                <w:rFonts w:hint="eastAsia" w:ascii="宋体" w:hAnsi="宋体" w:cs="宋体"/>
                <w:b/>
                <w:bCs/>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98"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 xml:space="preserve"> 2.1</w:t>
            </w:r>
          </w:p>
        </w:tc>
        <w:tc>
          <w:tcPr>
            <w:tcW w:w="1205"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采购人</w:t>
            </w:r>
          </w:p>
        </w:tc>
        <w:tc>
          <w:tcPr>
            <w:tcW w:w="7461" w:type="dxa"/>
            <w:vAlign w:val="center"/>
          </w:tcPr>
          <w:p>
            <w:pPr>
              <w:adjustRightInd w:val="0"/>
              <w:snapToGrid w:val="0"/>
              <w:spacing w:line="500" w:lineRule="exact"/>
              <w:ind w:firstLine="1680" w:firstLineChars="700"/>
              <w:rPr>
                <w:rFonts w:hint="eastAsia" w:ascii="宋体" w:hAnsi="宋体" w:eastAsia="宋体" w:cs="宋体"/>
                <w:sz w:val="24"/>
                <w:szCs w:val="24"/>
                <w:highlight w:val="none"/>
                <w:u w:val="single"/>
                <w:lang w:eastAsia="zh-CN"/>
              </w:rPr>
            </w:pPr>
            <w:r>
              <w:rPr>
                <w:rFonts w:hint="eastAsia" w:ascii="宋体" w:hAnsi="宋体" w:cs="宋体"/>
                <w:color w:val="000000" w:themeColor="text1"/>
                <w:sz w:val="24"/>
                <w:szCs w:val="24"/>
                <w:highlight w:val="none"/>
                <w:lang w:eastAsia="zh-CN"/>
                <w14:textFill>
                  <w14:solidFill>
                    <w14:schemeClr w14:val="tx1"/>
                  </w14:solidFill>
                </w14:textFill>
              </w:rPr>
              <w:t>莆田市兴运汽车维修有限公司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998"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3</w:t>
            </w:r>
          </w:p>
        </w:tc>
        <w:tc>
          <w:tcPr>
            <w:tcW w:w="1205"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资格标准</w:t>
            </w:r>
          </w:p>
        </w:tc>
        <w:tc>
          <w:tcPr>
            <w:tcW w:w="7461" w:type="dxa"/>
            <w:vAlign w:val="center"/>
          </w:tcPr>
          <w:p>
            <w:pPr>
              <w:adjustRightInd w:val="0"/>
              <w:snapToGrid w:val="0"/>
              <w:spacing w:line="500" w:lineRule="exact"/>
              <w:ind w:firstLine="482" w:firstLineChars="200"/>
              <w:rPr>
                <w:rFonts w:ascii="宋体" w:hAnsi="宋体" w:cs="宋体"/>
                <w:b/>
                <w:color w:val="000000"/>
                <w:sz w:val="24"/>
                <w:szCs w:val="24"/>
                <w:highlight w:val="none"/>
              </w:rPr>
            </w:pPr>
            <w:r>
              <w:rPr>
                <w:rFonts w:hint="eastAsia" w:ascii="宋体" w:hAnsi="宋体" w:cs="宋体"/>
                <w:b/>
                <w:sz w:val="24"/>
                <w:szCs w:val="24"/>
                <w:highlight w:val="none"/>
              </w:rPr>
              <w:t>投标人资格标准：详见《第一章 投标邀请》“二、投标人的资格要求”，投标人提交的</w:t>
            </w:r>
            <w:r>
              <w:rPr>
                <w:rFonts w:hint="eastAsia" w:ascii="宋体" w:hAnsi="宋体" w:cs="宋体"/>
                <w:b/>
                <w:color w:val="000000"/>
                <w:sz w:val="24"/>
                <w:szCs w:val="24"/>
                <w:highlight w:val="none"/>
              </w:rPr>
              <w:t>投标文件中资格证明文件不满足下列要求的将被视为资格审查不合格：</w:t>
            </w:r>
          </w:p>
          <w:p>
            <w:pPr>
              <w:adjustRightInd w:val="0"/>
              <w:snapToGrid w:val="0"/>
              <w:spacing w:line="5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1、投标文件中应提交的“投标人的资格证明文件”格式详见招标文件第五章，投标人未按照招标文件第五章格式制作的资格证明文件将被视为资格审查不合格。</w:t>
            </w:r>
          </w:p>
          <w:p>
            <w:pPr>
              <w:adjustRightInd w:val="0"/>
              <w:snapToGrid w:val="0"/>
              <w:spacing w:line="500" w:lineRule="exact"/>
              <w:ind w:firstLine="482" w:firstLineChars="200"/>
              <w:rPr>
                <w:rFonts w:ascii="宋体" w:hAnsi="宋体" w:cs="宋体"/>
                <w:b/>
                <w:color w:val="000000"/>
                <w:sz w:val="24"/>
                <w:szCs w:val="24"/>
                <w:highlight w:val="none"/>
              </w:rPr>
            </w:pPr>
            <w:r>
              <w:rPr>
                <w:rFonts w:hint="eastAsia" w:ascii="宋体" w:hAnsi="宋体" w:cs="宋体"/>
                <w:b/>
                <w:color w:val="000000"/>
                <w:sz w:val="24"/>
                <w:szCs w:val="24"/>
                <w:highlight w:val="none"/>
              </w:rPr>
              <w:t>2、所有资格证明文件应是最新、有效、清晰的，有年检要求的应符合规定，并加盖投标人公章；有变更事宜的，变更文件应附齐全。</w:t>
            </w:r>
          </w:p>
          <w:p>
            <w:pPr>
              <w:adjustRightInd w:val="0"/>
              <w:snapToGrid w:val="0"/>
              <w:spacing w:line="500" w:lineRule="exact"/>
              <w:ind w:firstLine="482" w:firstLineChars="200"/>
              <w:rPr>
                <w:rFonts w:ascii="宋体" w:hAnsi="宋体" w:cs="宋体"/>
                <w:b/>
                <w:color w:val="000000"/>
                <w:sz w:val="24"/>
                <w:szCs w:val="24"/>
                <w:highlight w:val="none"/>
              </w:rPr>
            </w:pPr>
            <w:r>
              <w:rPr>
                <w:rFonts w:hint="eastAsia" w:ascii="宋体" w:hAnsi="宋体" w:cs="宋体"/>
                <w:b/>
                <w:color w:val="000000"/>
                <w:sz w:val="24"/>
                <w:szCs w:val="24"/>
                <w:highlight w:val="none"/>
              </w:rPr>
              <w:t>3、依法免税或不需要缴纳社会保障资金的供应商，应提供证明其依法免税或不需要缴纳社会保障资金的相应文件。</w:t>
            </w:r>
          </w:p>
          <w:p>
            <w:pPr>
              <w:adjustRightInd w:val="0"/>
              <w:snapToGrid w:val="0"/>
              <w:spacing w:line="500" w:lineRule="exact"/>
              <w:ind w:firstLine="482" w:firstLineChars="200"/>
              <w:rPr>
                <w:rFonts w:ascii="宋体" w:hAnsi="宋体" w:cs="宋体"/>
                <w:b/>
                <w:color w:val="000000"/>
                <w:sz w:val="24"/>
                <w:szCs w:val="24"/>
                <w:highlight w:val="none"/>
              </w:rPr>
            </w:pPr>
            <w:r>
              <w:rPr>
                <w:rFonts w:hint="eastAsia" w:ascii="宋体" w:hAnsi="宋体" w:cs="宋体"/>
                <w:b/>
                <w:color w:val="000000"/>
                <w:sz w:val="24"/>
                <w:szCs w:val="24"/>
                <w:highlight w:val="none"/>
              </w:rPr>
              <w:t>4、因疫情影响享受缓缴或免缴社保、税款的企业，无法提供相关社保、税收缴纳证明材料的，提供有关情况说明视同社保、税收缴纳证明材料提交完整。</w:t>
            </w:r>
          </w:p>
          <w:p>
            <w:pPr>
              <w:adjustRightInd w:val="0"/>
              <w:snapToGrid w:val="0"/>
              <w:spacing w:line="500" w:lineRule="exact"/>
              <w:ind w:firstLine="482" w:firstLineChars="200"/>
              <w:rPr>
                <w:rFonts w:ascii="宋体" w:hAnsi="宋体" w:cs="宋体"/>
                <w:b/>
                <w:color w:val="000000"/>
                <w:sz w:val="24"/>
                <w:szCs w:val="24"/>
                <w:highlight w:val="none"/>
              </w:rPr>
            </w:pPr>
            <w:r>
              <w:rPr>
                <w:rFonts w:hint="eastAsia" w:ascii="宋体" w:hAnsi="宋体" w:cs="宋体"/>
                <w:b/>
                <w:color w:val="000000"/>
                <w:sz w:val="24"/>
                <w:szCs w:val="24"/>
                <w:highlight w:val="none"/>
              </w:rPr>
              <w:t xml:space="preserve">5、招标文件要求原件的，投标人在投标文件正本中应提供原件，否则视为该材料未提供；招标文件要求复印件的，投标人在投标文件中提供原件、复印件（含扫描件）皆可；招标文件对原件、复印件未作要求的，投标人在响应文件中提供原件、复印件（含扫描件）皆可。若投标人提供注明“复印件无效”的证明材料或资料，其投标文件正本中应提供原件，否则视为该材料未提供。 </w:t>
            </w:r>
          </w:p>
          <w:p>
            <w:pPr>
              <w:adjustRightInd w:val="0"/>
              <w:snapToGrid w:val="0"/>
              <w:spacing w:line="500" w:lineRule="exact"/>
              <w:ind w:firstLine="482" w:firstLineChars="200"/>
              <w:rPr>
                <w:rFonts w:ascii="宋体" w:hAnsi="宋体" w:cs="宋体"/>
                <w:b/>
                <w:bCs/>
                <w:sz w:val="24"/>
                <w:szCs w:val="24"/>
                <w:highlight w:val="none"/>
              </w:rPr>
            </w:pPr>
            <w:r>
              <w:rPr>
                <w:rFonts w:hint="eastAsia" w:ascii="宋体" w:hAnsi="宋体" w:cs="宋体"/>
                <w:b/>
                <w:color w:val="000000"/>
                <w:sz w:val="24"/>
                <w:szCs w:val="24"/>
                <w:highlight w:val="none"/>
              </w:rPr>
              <w:t>6、资格审查仅对投标人所提供的资格类文件仅负审核责任。即使投标人所提交的资格类文件通过了审核，在</w:t>
            </w:r>
            <w:r>
              <w:rPr>
                <w:rFonts w:hint="eastAsia" w:ascii="宋体" w:hAnsi="宋体" w:cs="宋体"/>
                <w:b/>
                <w:bCs/>
                <w:sz w:val="24"/>
                <w:szCs w:val="24"/>
                <w:highlight w:val="none"/>
              </w:rPr>
              <w:t>评标</w:t>
            </w:r>
            <w:r>
              <w:rPr>
                <w:rFonts w:hint="eastAsia" w:ascii="宋体" w:hAnsi="宋体" w:cs="宋体"/>
                <w:b/>
                <w:color w:val="000000"/>
                <w:sz w:val="24"/>
                <w:szCs w:val="24"/>
                <w:highlight w:val="none"/>
              </w:rPr>
              <w:t>过程中乃至确定中标人后，如发现投标人所提供的资格类文件不合法或不真实，仍可废除中标人中标资格并追究中标人的法律责任。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998"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5.2</w:t>
            </w:r>
          </w:p>
        </w:tc>
        <w:tc>
          <w:tcPr>
            <w:tcW w:w="1205"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现场勘察</w:t>
            </w:r>
          </w:p>
        </w:tc>
        <w:tc>
          <w:tcPr>
            <w:tcW w:w="7461" w:type="dxa"/>
            <w:vAlign w:val="center"/>
          </w:tcPr>
          <w:p>
            <w:pPr>
              <w:adjustRightInd w:val="0"/>
              <w:snapToGrid w:val="0"/>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998"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8.6</w:t>
            </w:r>
          </w:p>
        </w:tc>
        <w:tc>
          <w:tcPr>
            <w:tcW w:w="1205"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备选</w:t>
            </w:r>
          </w:p>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投标方案</w:t>
            </w:r>
          </w:p>
        </w:tc>
        <w:tc>
          <w:tcPr>
            <w:tcW w:w="7461" w:type="dxa"/>
            <w:vAlign w:val="center"/>
          </w:tcPr>
          <w:p>
            <w:pPr>
              <w:adjustRightInd w:val="0"/>
              <w:snapToGrid w:val="0"/>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8"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 xml:space="preserve">11.1 </w:t>
            </w:r>
          </w:p>
        </w:tc>
        <w:tc>
          <w:tcPr>
            <w:tcW w:w="1205"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投标</w:t>
            </w:r>
          </w:p>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有效期</w:t>
            </w:r>
          </w:p>
        </w:tc>
        <w:tc>
          <w:tcPr>
            <w:tcW w:w="7461" w:type="dxa"/>
            <w:vAlign w:val="center"/>
          </w:tcPr>
          <w:p>
            <w:p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投标截止期结束后</w:t>
            </w:r>
            <w:r>
              <w:rPr>
                <w:rFonts w:hint="eastAsia" w:ascii="宋体" w:hAnsi="宋体" w:cs="宋体"/>
                <w:sz w:val="24"/>
                <w:szCs w:val="24"/>
                <w:highlight w:val="none"/>
                <w:u w:val="single"/>
              </w:rPr>
              <w:t>90</w:t>
            </w:r>
            <w:r>
              <w:rPr>
                <w:rFonts w:hint="eastAsia" w:ascii="宋体" w:hAnsi="宋体" w:cs="宋体"/>
                <w:sz w:val="24"/>
                <w:szCs w:val="24"/>
                <w:highlight w:val="none"/>
              </w:rPr>
              <w:t>日历日。</w:t>
            </w:r>
          </w:p>
          <w:p>
            <w:p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shd w:val="pct10" w:color="auto" w:fill="FFFFFF"/>
              </w:rPr>
              <w:t>投标有效期不足将导致其投标文件被拒绝。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8"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12.2</w:t>
            </w:r>
          </w:p>
        </w:tc>
        <w:tc>
          <w:tcPr>
            <w:tcW w:w="1205"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投标</w:t>
            </w:r>
          </w:p>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保证金</w:t>
            </w:r>
          </w:p>
        </w:tc>
        <w:tc>
          <w:tcPr>
            <w:tcW w:w="7461" w:type="dxa"/>
            <w:vAlign w:val="center"/>
          </w:tcPr>
          <w:p>
            <w:pPr>
              <w:pStyle w:val="73"/>
              <w:autoSpaceDE/>
              <w:autoSpaceDN/>
              <w:snapToGrid w:val="0"/>
              <w:spacing w:line="500" w:lineRule="exact"/>
              <w:ind w:firstLine="482" w:firstLineChars="200"/>
              <w:rPr>
                <w:rFonts w:hAnsi="宋体"/>
                <w:b/>
                <w:bCs/>
                <w:color w:val="auto"/>
                <w:highlight w:val="none"/>
              </w:rPr>
            </w:pPr>
            <w:r>
              <w:rPr>
                <w:rFonts w:hint="eastAsia" w:hAnsi="宋体"/>
                <w:b/>
                <w:bCs/>
                <w:color w:val="auto"/>
                <w:highlight w:val="none"/>
              </w:rPr>
              <w:t>交纳金额：详见 《采购标的一览表》规定。</w:t>
            </w:r>
          </w:p>
          <w:p>
            <w:pPr>
              <w:pStyle w:val="73"/>
              <w:autoSpaceDE/>
              <w:autoSpaceDN/>
              <w:snapToGrid w:val="0"/>
              <w:spacing w:line="500" w:lineRule="exact"/>
              <w:ind w:firstLine="482" w:firstLineChars="200"/>
              <w:rPr>
                <w:rFonts w:hAnsi="宋体"/>
                <w:b/>
                <w:bCs/>
                <w:color w:val="auto"/>
                <w:highlight w:val="none"/>
              </w:rPr>
            </w:pPr>
            <w:r>
              <w:rPr>
                <w:rFonts w:hint="eastAsia" w:hAnsi="宋体"/>
                <w:b/>
                <w:bCs/>
                <w:color w:val="auto"/>
                <w:highlight w:val="none"/>
              </w:rPr>
              <w:t>交纳到帐时间：</w:t>
            </w:r>
            <w:r>
              <w:rPr>
                <w:rFonts w:hint="eastAsia" w:hAnsi="宋体"/>
                <w:b/>
                <w:color w:val="auto"/>
                <w:highlight w:val="none"/>
              </w:rPr>
              <w:t>投标截止时间之前(招标代理机构不承担投标保证金未能及时到帐的风险)。</w:t>
            </w:r>
          </w:p>
          <w:p>
            <w:pPr>
              <w:pStyle w:val="73"/>
              <w:autoSpaceDE/>
              <w:autoSpaceDN/>
              <w:snapToGrid w:val="0"/>
              <w:spacing w:line="500" w:lineRule="exact"/>
              <w:ind w:firstLine="480" w:firstLineChars="200"/>
              <w:rPr>
                <w:rFonts w:hAnsi="宋体"/>
                <w:color w:val="auto"/>
                <w:highlight w:val="none"/>
              </w:rPr>
            </w:pPr>
            <w:r>
              <w:rPr>
                <w:rFonts w:hint="eastAsia" w:hAnsi="宋体"/>
                <w:color w:val="auto"/>
                <w:highlight w:val="none"/>
              </w:rPr>
              <w:t>注：</w:t>
            </w:r>
            <w:r>
              <w:rPr>
                <w:rFonts w:hint="eastAsia" w:hAnsi="宋体"/>
                <w:color w:val="auto"/>
                <w:spacing w:val="-12"/>
                <w:highlight w:val="none"/>
              </w:rPr>
              <w:t>①、</w:t>
            </w:r>
            <w:r>
              <w:rPr>
                <w:rFonts w:hint="eastAsia" w:hAnsi="宋体"/>
                <w:color w:val="auto"/>
                <w:highlight w:val="none"/>
              </w:rPr>
              <w:t>投标人必须从自身对公帐户以转账或电汇形式（不接受现金、现金存款）按合同包分别提交投标保证金，不得以分公司、办事处或其他机构的名义交纳。</w:t>
            </w:r>
            <w:r>
              <w:rPr>
                <w:rFonts w:hint="eastAsia" w:hAnsi="宋体"/>
                <w:color w:val="auto"/>
                <w:spacing w:val="-12"/>
                <w:highlight w:val="none"/>
              </w:rPr>
              <w:t>②、</w:t>
            </w:r>
            <w:r>
              <w:rPr>
                <w:rFonts w:hint="eastAsia" w:hAnsi="宋体"/>
                <w:color w:val="auto"/>
                <w:highlight w:val="none"/>
              </w:rPr>
              <w:t>在交纳保证金时须在汇款用途或摘要栏上注明所投项目的招标编号、合同包号及用途。</w:t>
            </w:r>
          </w:p>
          <w:p>
            <w:p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shd w:val="pct10" w:color="auto" w:fill="FFFFFF"/>
              </w:rPr>
              <w:t>未按规定缴交投标保证金的投标，将被视为无效投标。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98"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13</w:t>
            </w:r>
          </w:p>
        </w:tc>
        <w:tc>
          <w:tcPr>
            <w:tcW w:w="1205"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投标文件的格式</w:t>
            </w:r>
          </w:p>
        </w:tc>
        <w:tc>
          <w:tcPr>
            <w:tcW w:w="7461" w:type="dxa"/>
            <w:vAlign w:val="center"/>
          </w:tcPr>
          <w:p>
            <w:pPr>
              <w:adjustRightInd w:val="0"/>
              <w:snapToGrid w:val="0"/>
              <w:spacing w:line="500" w:lineRule="exact"/>
              <w:ind w:firstLine="482" w:firstLineChars="200"/>
              <w:rPr>
                <w:rFonts w:ascii="宋体" w:hAnsi="宋体" w:cs="宋体"/>
                <w:sz w:val="24"/>
                <w:szCs w:val="24"/>
                <w:highlight w:val="none"/>
              </w:rPr>
            </w:pPr>
            <w:r>
              <w:rPr>
                <w:rFonts w:hint="eastAsia" w:ascii="宋体" w:hAnsi="宋体" w:cs="宋体"/>
                <w:b/>
                <w:sz w:val="24"/>
                <w:szCs w:val="24"/>
                <w:highlight w:val="none"/>
              </w:rPr>
              <w:t>详见《第一章 投标邀请》“</w:t>
            </w:r>
            <w:r>
              <w:rPr>
                <w:rFonts w:hint="eastAsia" w:ascii="宋体" w:hAnsi="宋体" w:cs="宋体"/>
                <w:b/>
                <w:bCs/>
                <w:kern w:val="0"/>
                <w:highlight w:val="none"/>
              </w:rPr>
              <w:t>六、其它事宜</w:t>
            </w:r>
            <w:r>
              <w:rPr>
                <w:rFonts w:hint="eastAsia" w:ascii="宋体" w:hAnsi="宋体" w:cs="宋体"/>
                <w:b/>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998"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14</w:t>
            </w:r>
          </w:p>
        </w:tc>
        <w:tc>
          <w:tcPr>
            <w:tcW w:w="1205"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投标文件的密封、标记和递交</w:t>
            </w:r>
          </w:p>
        </w:tc>
        <w:tc>
          <w:tcPr>
            <w:tcW w:w="7461" w:type="dxa"/>
            <w:vAlign w:val="center"/>
          </w:tcPr>
          <w:p>
            <w:p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①、详见《第一章 投标邀请》“六、其它事宜”。</w:t>
            </w:r>
          </w:p>
          <w:p>
            <w:p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②、投标人法定代表人参加投标时需随身携带本人身份证原件备查；授权代表参加投标时需随身携带本人身份证原件及法人的授权委托书备查。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98"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15</w:t>
            </w:r>
          </w:p>
        </w:tc>
        <w:tc>
          <w:tcPr>
            <w:tcW w:w="1205"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开标</w:t>
            </w:r>
          </w:p>
        </w:tc>
        <w:tc>
          <w:tcPr>
            <w:tcW w:w="7461" w:type="dxa"/>
            <w:vAlign w:val="center"/>
          </w:tcPr>
          <w:p>
            <w:p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开标时间：同投标截止时间。</w:t>
            </w:r>
          </w:p>
          <w:p>
            <w:p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开标地点：同投标文件递交地址。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8"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16</w:t>
            </w:r>
          </w:p>
        </w:tc>
        <w:tc>
          <w:tcPr>
            <w:tcW w:w="1205"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资格审查</w:t>
            </w:r>
          </w:p>
        </w:tc>
        <w:tc>
          <w:tcPr>
            <w:tcW w:w="7461" w:type="dxa"/>
            <w:vAlign w:val="center"/>
          </w:tcPr>
          <w:p>
            <w:p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资格审查由评标委员会进行。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8"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17.1</w:t>
            </w:r>
          </w:p>
        </w:tc>
        <w:tc>
          <w:tcPr>
            <w:tcW w:w="1205"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评标委员会</w:t>
            </w:r>
          </w:p>
        </w:tc>
        <w:tc>
          <w:tcPr>
            <w:tcW w:w="7461" w:type="dxa"/>
            <w:vAlign w:val="center"/>
          </w:tcPr>
          <w:p>
            <w:p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成员组成：</w:t>
            </w:r>
            <w:r>
              <w:rPr>
                <w:rFonts w:hint="eastAsia" w:ascii="宋体" w:hAnsi="宋体" w:cs="宋体"/>
                <w:sz w:val="24"/>
                <w:szCs w:val="24"/>
                <w:highlight w:val="none"/>
                <w:u w:val="single"/>
              </w:rPr>
              <w:t xml:space="preserve"> 5 </w:t>
            </w:r>
            <w:r>
              <w:rPr>
                <w:rFonts w:hint="eastAsia" w:ascii="宋体" w:hAnsi="宋体" w:cs="宋体"/>
                <w:sz w:val="24"/>
                <w:szCs w:val="24"/>
                <w:highlight w:val="none"/>
              </w:rPr>
              <w:t>人或以上单数。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998"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20.1</w:t>
            </w:r>
          </w:p>
        </w:tc>
        <w:tc>
          <w:tcPr>
            <w:tcW w:w="1205"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评标方法</w:t>
            </w:r>
          </w:p>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与标准</w:t>
            </w:r>
          </w:p>
        </w:tc>
        <w:tc>
          <w:tcPr>
            <w:tcW w:w="7461" w:type="dxa"/>
            <w:vAlign w:val="center"/>
          </w:tcPr>
          <w:p>
            <w:pPr>
              <w:adjustRightInd w:val="0"/>
              <w:snapToGrid w:val="0"/>
              <w:spacing w:line="500" w:lineRule="exact"/>
              <w:ind w:firstLine="480" w:firstLineChars="200"/>
              <w:rPr>
                <w:rFonts w:ascii="宋体" w:hAnsi="宋体" w:cs="宋体"/>
                <w:highlight w:val="none"/>
                <w:shd w:val="pct10" w:color="auto" w:fill="FFFFFF"/>
              </w:rPr>
            </w:pPr>
            <w:r>
              <w:rPr>
                <w:rFonts w:hint="eastAsia" w:ascii="宋体" w:hAnsi="宋体" w:cs="宋体"/>
                <w:sz w:val="24"/>
                <w:szCs w:val="24"/>
                <w:highlight w:val="none"/>
              </w:rPr>
              <w:t>本项目合同包一采用综合评</w:t>
            </w:r>
            <w:r>
              <w:rPr>
                <w:rFonts w:hint="eastAsia" w:ascii="宋体" w:hAnsi="宋体" w:cs="宋体"/>
                <w:sz w:val="24"/>
                <w:szCs w:val="24"/>
                <w:highlight w:val="none"/>
                <w:lang w:val="en-US" w:eastAsia="zh-CN"/>
              </w:rPr>
              <w:t>分</w:t>
            </w:r>
            <w:r>
              <w:rPr>
                <w:rFonts w:hint="eastAsia" w:ascii="宋体" w:hAnsi="宋体" w:cs="宋体"/>
                <w:sz w:val="24"/>
                <w:szCs w:val="24"/>
                <w:highlight w:val="none"/>
              </w:rPr>
              <w:t>法，详见评标方法与标准附表。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98"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 xml:space="preserve">20.5 </w:t>
            </w:r>
          </w:p>
        </w:tc>
        <w:tc>
          <w:tcPr>
            <w:tcW w:w="1205"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中标侯</w:t>
            </w:r>
          </w:p>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选人家数</w:t>
            </w:r>
          </w:p>
        </w:tc>
        <w:tc>
          <w:tcPr>
            <w:tcW w:w="7461" w:type="dxa"/>
            <w:vAlign w:val="center"/>
          </w:tcPr>
          <w:p>
            <w:p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本项目合同包一推荐</w:t>
            </w:r>
            <w:r>
              <w:rPr>
                <w:rFonts w:hint="eastAsia" w:ascii="宋体" w:hAnsi="宋体" w:cs="宋体"/>
                <w:sz w:val="24"/>
                <w:szCs w:val="24"/>
                <w:highlight w:val="none"/>
                <w:u w:val="single"/>
              </w:rPr>
              <w:t>1</w:t>
            </w:r>
            <w:r>
              <w:rPr>
                <w:rFonts w:hint="eastAsia" w:ascii="宋体" w:hAnsi="宋体" w:cs="宋体"/>
                <w:b/>
                <w:bCs/>
                <w:sz w:val="24"/>
                <w:szCs w:val="24"/>
                <w:highlight w:val="none"/>
                <w:u w:val="single"/>
              </w:rPr>
              <w:t>名</w:t>
            </w:r>
            <w:r>
              <w:rPr>
                <w:rFonts w:hint="eastAsia" w:ascii="宋体" w:hAnsi="宋体" w:cs="宋体"/>
                <w:sz w:val="24"/>
                <w:szCs w:val="24"/>
                <w:highlight w:val="none"/>
              </w:rPr>
              <w:t>中标侯选人。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trPr>
        <w:tc>
          <w:tcPr>
            <w:tcW w:w="998"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 xml:space="preserve"> 23.1</w:t>
            </w:r>
          </w:p>
        </w:tc>
        <w:tc>
          <w:tcPr>
            <w:tcW w:w="1205"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招标代理服务费</w:t>
            </w:r>
          </w:p>
        </w:tc>
        <w:tc>
          <w:tcPr>
            <w:tcW w:w="7461" w:type="dxa"/>
            <w:vAlign w:val="center"/>
          </w:tcPr>
          <w:p>
            <w:pPr>
              <w:adjustRightInd w:val="0"/>
              <w:snapToGrid w:val="0"/>
              <w:spacing w:line="500" w:lineRule="exact"/>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①本项目招标代理服务费向中标人收取，中标人在领取中标通知书前，以转账或汇款方式提交，请各位投标人报价时予以充分考虑。</w:t>
            </w:r>
          </w:p>
          <w:p>
            <w:pPr>
              <w:adjustRightInd w:val="0"/>
              <w:snapToGrid w:val="0"/>
              <w:spacing w:line="500" w:lineRule="exact"/>
              <w:ind w:firstLine="480" w:firstLineChars="200"/>
              <w:rPr>
                <w:rFonts w:hint="default"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rPr>
              <w:t>②、招标代理服务收取标准：</w:t>
            </w:r>
            <w:r>
              <w:rPr>
                <w:rFonts w:hint="eastAsia" w:asciiTheme="minorEastAsia" w:hAnsiTheme="minorEastAsia" w:eastAsiaTheme="minorEastAsia" w:cstheme="minorEastAsia"/>
                <w:bCs/>
                <w:sz w:val="24"/>
                <w:szCs w:val="24"/>
                <w:highlight w:val="none"/>
                <w:lang w:val="en-US" w:eastAsia="zh-CN"/>
              </w:rPr>
              <w:t>包干价人民币7600元整。</w:t>
            </w:r>
          </w:p>
          <w:p>
            <w:pPr>
              <w:adjustRightInd w:val="0"/>
              <w:snapToGrid w:val="0"/>
              <w:spacing w:line="500" w:lineRule="exact"/>
              <w:ind w:firstLine="480" w:firstLineChars="200"/>
              <w:rPr>
                <w:rFonts w:ascii="宋体" w:hAnsi="宋体" w:cs="宋体"/>
                <w:sz w:val="24"/>
                <w:szCs w:val="24"/>
                <w:highlight w:val="none"/>
              </w:rPr>
            </w:pPr>
            <w:r>
              <w:rPr>
                <w:rFonts w:hint="eastAsia" w:asciiTheme="minorEastAsia" w:hAnsiTheme="minorEastAsia" w:eastAsiaTheme="minorEastAsia" w:cstheme="minorEastAsia"/>
                <w:bCs/>
                <w:sz w:val="24"/>
                <w:szCs w:val="24"/>
                <w:highlight w:val="none"/>
              </w:rPr>
              <w:t>③、招标代理服务费缴交帐户信息：账户名：福建省中达招标代理有限公司（请勿将保证金转入此账户）；账号：中国建设银行福州城北支行；开户行：3500 1890 0070 5251 5459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98"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23.4</w:t>
            </w:r>
          </w:p>
        </w:tc>
        <w:tc>
          <w:tcPr>
            <w:tcW w:w="1205"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履约保证金</w:t>
            </w:r>
          </w:p>
        </w:tc>
        <w:tc>
          <w:tcPr>
            <w:tcW w:w="7461" w:type="dxa"/>
            <w:vAlign w:val="center"/>
          </w:tcPr>
          <w:p>
            <w:pPr>
              <w:pStyle w:val="73"/>
              <w:autoSpaceDE/>
              <w:autoSpaceDN/>
              <w:snapToGrid w:val="0"/>
              <w:spacing w:line="500" w:lineRule="exact"/>
              <w:ind w:firstLine="480" w:firstLineChars="200"/>
              <w:jc w:val="both"/>
              <w:rPr>
                <w:rFonts w:hAnsi="宋体"/>
                <w:b/>
                <w:bCs/>
                <w:color w:val="000000" w:themeColor="text1"/>
                <w:highlight w:val="none"/>
                <w14:textFill>
                  <w14:solidFill>
                    <w14:schemeClr w14:val="tx1"/>
                  </w14:solidFill>
                </w14:textFill>
              </w:rPr>
            </w:pPr>
            <w:r>
              <w:rPr>
                <w:rFonts w:hint="eastAsia" w:hAnsi="宋体"/>
                <w:color w:val="auto"/>
                <w:highlight w:val="none"/>
              </w:rPr>
              <w:t>本项目无需收取履约保证金。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98"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25.3</w:t>
            </w:r>
          </w:p>
        </w:tc>
        <w:tc>
          <w:tcPr>
            <w:tcW w:w="1205"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招标项目行政监督部门</w:t>
            </w:r>
          </w:p>
        </w:tc>
        <w:tc>
          <w:tcPr>
            <w:tcW w:w="7461" w:type="dxa"/>
            <w:vAlign w:val="center"/>
          </w:tcPr>
          <w:p>
            <w:pPr>
              <w:adjustRightInd w:val="0"/>
              <w:snapToGrid w:val="0"/>
              <w:spacing w:line="500" w:lineRule="exact"/>
              <w:ind w:firstLine="480" w:firstLineChars="200"/>
              <w:rPr>
                <w:rFonts w:ascii="宋体" w:hAnsi="宋体" w:cs="宋体"/>
                <w:highlight w:val="none"/>
              </w:rPr>
            </w:pPr>
            <w:r>
              <w:rPr>
                <w:rFonts w:hint="eastAsia" w:ascii="宋体" w:hAnsi="宋体" w:cs="宋体"/>
                <w:sz w:val="24"/>
                <w:szCs w:val="24"/>
                <w:highlight w:val="none"/>
                <w:lang w:eastAsia="zh-CN"/>
              </w:rPr>
              <w:t>莆田市兴运汽车维修有限公司</w:t>
            </w:r>
            <w:r>
              <w:rPr>
                <w:rFonts w:hint="eastAsia" w:ascii="宋体" w:hAnsi="宋体" w:cs="宋体"/>
                <w:sz w:val="24"/>
                <w:szCs w:val="24"/>
                <w:highlight w:val="none"/>
              </w:rPr>
              <w:t>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98" w:type="dxa"/>
            <w:vAlign w:val="center"/>
          </w:tcPr>
          <w:p>
            <w:pPr>
              <w:adjustRightInd w:val="0"/>
              <w:snapToGrid w:val="0"/>
              <w:spacing w:line="500" w:lineRule="exact"/>
              <w:jc w:val="center"/>
              <w:rPr>
                <w:rFonts w:ascii="宋体" w:hAnsi="宋体" w:cs="宋体"/>
                <w:w w:val="80"/>
                <w:sz w:val="24"/>
                <w:szCs w:val="24"/>
                <w:highlight w:val="none"/>
              </w:rPr>
            </w:pPr>
          </w:p>
        </w:tc>
        <w:tc>
          <w:tcPr>
            <w:tcW w:w="1205" w:type="dxa"/>
            <w:vAlign w:val="center"/>
          </w:tcPr>
          <w:p>
            <w:pPr>
              <w:adjustRightInd w:val="0"/>
              <w:snapToGrid w:val="0"/>
              <w:spacing w:line="500" w:lineRule="exact"/>
              <w:jc w:val="center"/>
              <w:rPr>
                <w:rFonts w:ascii="宋体" w:hAnsi="宋体" w:cs="宋体"/>
                <w:w w:val="80"/>
                <w:sz w:val="24"/>
                <w:szCs w:val="24"/>
                <w:highlight w:val="none"/>
              </w:rPr>
            </w:pPr>
            <w:r>
              <w:rPr>
                <w:rFonts w:hint="eastAsia" w:ascii="宋体" w:hAnsi="宋体" w:cs="宋体"/>
                <w:w w:val="80"/>
                <w:sz w:val="24"/>
                <w:szCs w:val="24"/>
                <w:highlight w:val="none"/>
              </w:rPr>
              <w:t>废标条款</w:t>
            </w:r>
          </w:p>
        </w:tc>
        <w:tc>
          <w:tcPr>
            <w:tcW w:w="7461" w:type="dxa"/>
            <w:vAlign w:val="center"/>
          </w:tcPr>
          <w:p>
            <w:pPr>
              <w:adjustRightInd w:val="0"/>
              <w:snapToGrid w:val="0"/>
              <w:spacing w:line="500" w:lineRule="exact"/>
              <w:ind w:firstLine="360" w:firstLineChars="150"/>
              <w:rPr>
                <w:rFonts w:ascii="宋体" w:hAnsi="宋体" w:cs="宋体"/>
                <w:sz w:val="24"/>
                <w:szCs w:val="24"/>
                <w:highlight w:val="none"/>
              </w:rPr>
            </w:pPr>
            <w:r>
              <w:rPr>
                <w:rFonts w:hint="eastAsia" w:ascii="宋体" w:hAnsi="宋体" w:cs="宋体"/>
                <w:sz w:val="24"/>
                <w:szCs w:val="24"/>
                <w:highlight w:val="none"/>
              </w:rPr>
              <w:t>（一）符合专业条件的投标人或者对招标文件作实质响应的投标人不足三家的；（二）出现影响采购公正的违法、违规行为的；（三）投标人的报价均超过了采购预算，采购人不能支付的；（四）因重大变故，采购任务取消的。</w:t>
            </w:r>
          </w:p>
        </w:tc>
      </w:tr>
    </w:tbl>
    <w:p>
      <w:pPr>
        <w:adjustRightInd w:val="0"/>
        <w:spacing w:line="400" w:lineRule="exact"/>
        <w:rPr>
          <w:rFonts w:ascii="宋体" w:hAnsi="宋体" w:cs="宋体"/>
          <w:b/>
          <w:bCs/>
          <w:sz w:val="32"/>
          <w:szCs w:val="32"/>
          <w:highlight w:val="none"/>
        </w:rPr>
      </w:pPr>
    </w:p>
    <w:p>
      <w:pPr>
        <w:adjustRightInd w:val="0"/>
        <w:spacing w:line="400" w:lineRule="exact"/>
        <w:jc w:val="center"/>
        <w:rPr>
          <w:rFonts w:ascii="宋体" w:hAnsi="宋体" w:cs="宋体"/>
          <w:b/>
          <w:bCs/>
          <w:sz w:val="32"/>
          <w:szCs w:val="32"/>
          <w:highlight w:val="none"/>
        </w:rPr>
      </w:pPr>
    </w:p>
    <w:p>
      <w:pPr>
        <w:adjustRightInd w:val="0"/>
        <w:spacing w:line="400" w:lineRule="exact"/>
        <w:jc w:val="center"/>
        <w:rPr>
          <w:rFonts w:ascii="宋体" w:hAnsi="宋体" w:cs="宋体"/>
          <w:b/>
          <w:bCs/>
          <w:sz w:val="32"/>
          <w:szCs w:val="32"/>
          <w:highlight w:val="none"/>
        </w:rPr>
      </w:pPr>
    </w:p>
    <w:p>
      <w:pPr>
        <w:adjustRightInd w:val="0"/>
        <w:spacing w:line="400" w:lineRule="exact"/>
        <w:jc w:val="center"/>
        <w:rPr>
          <w:rFonts w:ascii="宋体" w:hAnsi="宋体" w:cs="宋体"/>
          <w:b/>
          <w:bCs/>
          <w:sz w:val="32"/>
          <w:szCs w:val="32"/>
          <w:highlight w:val="none"/>
        </w:rPr>
      </w:pPr>
    </w:p>
    <w:p>
      <w:pPr>
        <w:adjustRightInd w:val="0"/>
        <w:spacing w:line="400" w:lineRule="exact"/>
        <w:jc w:val="center"/>
        <w:rPr>
          <w:rFonts w:ascii="宋体" w:hAnsi="宋体" w:cs="宋体"/>
          <w:b/>
          <w:bCs/>
          <w:sz w:val="32"/>
          <w:szCs w:val="32"/>
          <w:highlight w:val="none"/>
        </w:rPr>
      </w:pPr>
    </w:p>
    <w:p>
      <w:pPr>
        <w:adjustRightInd w:val="0"/>
        <w:spacing w:line="400" w:lineRule="exact"/>
        <w:jc w:val="center"/>
        <w:rPr>
          <w:rFonts w:ascii="宋体" w:hAnsi="宋体" w:cs="宋体"/>
          <w:b/>
          <w:bCs/>
          <w:sz w:val="32"/>
          <w:szCs w:val="32"/>
          <w:highlight w:val="none"/>
        </w:rPr>
      </w:pPr>
    </w:p>
    <w:p>
      <w:pPr>
        <w:adjustRightInd w:val="0"/>
        <w:spacing w:line="400" w:lineRule="exact"/>
        <w:jc w:val="center"/>
        <w:rPr>
          <w:rFonts w:ascii="宋体" w:hAnsi="宋体" w:cs="宋体"/>
          <w:b/>
          <w:bCs/>
          <w:sz w:val="32"/>
          <w:szCs w:val="32"/>
          <w:highlight w:val="none"/>
        </w:rPr>
      </w:pPr>
    </w:p>
    <w:p>
      <w:pPr>
        <w:adjustRightInd w:val="0"/>
        <w:spacing w:line="400" w:lineRule="exact"/>
        <w:jc w:val="center"/>
        <w:rPr>
          <w:rFonts w:ascii="宋体" w:hAnsi="宋体" w:cs="宋体"/>
          <w:b/>
          <w:bCs/>
          <w:sz w:val="32"/>
          <w:szCs w:val="32"/>
          <w:highlight w:val="none"/>
        </w:rPr>
      </w:pPr>
    </w:p>
    <w:p>
      <w:pPr>
        <w:adjustRightInd w:val="0"/>
        <w:spacing w:line="400" w:lineRule="exact"/>
        <w:jc w:val="center"/>
        <w:rPr>
          <w:rFonts w:ascii="宋体" w:hAnsi="宋体" w:cs="宋体"/>
          <w:b/>
          <w:bCs/>
          <w:sz w:val="32"/>
          <w:szCs w:val="32"/>
          <w:highlight w:val="none"/>
        </w:rPr>
      </w:pPr>
    </w:p>
    <w:p>
      <w:pPr>
        <w:pStyle w:val="28"/>
        <w:rPr>
          <w:rFonts w:ascii="宋体" w:hAnsi="宋体" w:cs="宋体"/>
          <w:b/>
          <w:bCs/>
          <w:sz w:val="32"/>
          <w:szCs w:val="32"/>
          <w:highlight w:val="none"/>
        </w:rPr>
      </w:pPr>
    </w:p>
    <w:p>
      <w:pPr>
        <w:rPr>
          <w:highlight w:val="none"/>
        </w:rPr>
      </w:pPr>
    </w:p>
    <w:p>
      <w:pPr>
        <w:adjustRightInd w:val="0"/>
        <w:spacing w:line="400" w:lineRule="exact"/>
        <w:rPr>
          <w:rFonts w:ascii="宋体" w:hAnsi="宋体" w:cs="宋体"/>
          <w:b/>
          <w:bCs/>
          <w:sz w:val="32"/>
          <w:szCs w:val="32"/>
          <w:highlight w:val="none"/>
        </w:rPr>
      </w:pPr>
    </w:p>
    <w:p>
      <w:pPr>
        <w:adjustRightInd w:val="0"/>
        <w:spacing w:line="400" w:lineRule="exact"/>
        <w:jc w:val="center"/>
        <w:rPr>
          <w:rFonts w:ascii="宋体" w:hAnsi="宋体" w:cs="宋体"/>
          <w:b/>
          <w:bCs/>
          <w:sz w:val="32"/>
          <w:szCs w:val="32"/>
          <w:highlight w:val="none"/>
        </w:rPr>
      </w:pPr>
      <w:r>
        <w:rPr>
          <w:rFonts w:hint="eastAsia" w:ascii="宋体" w:hAnsi="宋体" w:cs="宋体"/>
          <w:b/>
          <w:bCs/>
          <w:sz w:val="32"/>
          <w:szCs w:val="32"/>
          <w:highlight w:val="none"/>
        </w:rPr>
        <w:t>无效投标条款汇总表</w:t>
      </w:r>
    </w:p>
    <w:tbl>
      <w:tblPr>
        <w:tblStyle w:val="31"/>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096"/>
        <w:gridCol w:w="876"/>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9" w:type="dxa"/>
            <w:gridSpan w:val="4"/>
            <w:vAlign w:val="center"/>
          </w:tcPr>
          <w:p>
            <w:pPr>
              <w:adjustRightInd w:val="0"/>
              <w:snapToGrid w:val="0"/>
              <w:spacing w:line="260" w:lineRule="exact"/>
              <w:ind w:firstLine="420"/>
              <w:jc w:val="left"/>
              <w:textAlignment w:val="baseline"/>
              <w:rPr>
                <w:rFonts w:ascii="宋体"/>
                <w:sz w:val="18"/>
                <w:szCs w:val="20"/>
                <w:highlight w:val="none"/>
                <w:shd w:val="pct10" w:color="auto" w:fill="FFFFFF"/>
              </w:rPr>
            </w:pPr>
            <w:r>
              <w:rPr>
                <w:rFonts w:hint="eastAsia" w:ascii="宋体" w:hAnsi="宋体" w:cs="宋体"/>
                <w:sz w:val="20"/>
                <w:szCs w:val="20"/>
                <w:highlight w:val="none"/>
                <w:shd w:val="pct10" w:color="auto" w:fill="FFFFFF"/>
              </w:rPr>
              <w:t>以下集中列示本招标文件中规定的无效投标因素，具体内容详见招标文件各章节。</w:t>
            </w:r>
          </w:p>
          <w:p>
            <w:pPr>
              <w:adjustRightInd w:val="0"/>
              <w:snapToGrid w:val="0"/>
              <w:spacing w:line="260" w:lineRule="exact"/>
              <w:ind w:firstLine="420"/>
              <w:jc w:val="left"/>
              <w:textAlignment w:val="baseline"/>
              <w:rPr>
                <w:rFonts w:ascii="宋体"/>
                <w:sz w:val="18"/>
                <w:szCs w:val="20"/>
                <w:highlight w:val="none"/>
                <w:shd w:val="pct10" w:color="auto" w:fill="FFFFFF"/>
              </w:rPr>
            </w:pPr>
            <w:r>
              <w:rPr>
                <w:rFonts w:hint="eastAsia" w:ascii="宋体" w:hAnsi="宋体" w:cs="宋体"/>
                <w:sz w:val="20"/>
                <w:szCs w:val="20"/>
                <w:highlight w:val="none"/>
                <w:shd w:val="pct10" w:color="auto" w:fill="FFFFFF"/>
              </w:rPr>
              <w:t>一、资格性审查：如果投标人不具备投标资格，不满足招标文件所规定的资格标准的</w:t>
            </w:r>
            <w:r>
              <w:rPr>
                <w:rFonts w:ascii="宋体" w:hAnsi="宋体" w:cs="宋体"/>
                <w:sz w:val="20"/>
                <w:szCs w:val="20"/>
                <w:highlight w:val="none"/>
                <w:shd w:val="pct10" w:color="auto" w:fill="FFFFFF"/>
              </w:rPr>
              <w:t xml:space="preserve">, </w:t>
            </w:r>
            <w:r>
              <w:rPr>
                <w:rFonts w:hint="eastAsia" w:ascii="宋体" w:hAnsi="宋体" w:cs="宋体"/>
                <w:sz w:val="20"/>
                <w:szCs w:val="20"/>
                <w:highlight w:val="none"/>
                <w:shd w:val="pct10" w:color="auto" w:fill="FFFFFF"/>
              </w:rPr>
              <w:t>其投标将被拒绝，不进入评标。具体要求见投标人须知第</w:t>
            </w:r>
            <w:r>
              <w:rPr>
                <w:rFonts w:ascii="宋体" w:hAnsi="宋体" w:cs="宋体"/>
                <w:sz w:val="20"/>
                <w:szCs w:val="20"/>
                <w:highlight w:val="none"/>
                <w:shd w:val="pct10" w:color="auto" w:fill="FFFFFF"/>
              </w:rPr>
              <w:t>3</w:t>
            </w:r>
            <w:r>
              <w:rPr>
                <w:rFonts w:hint="eastAsia" w:ascii="宋体" w:hAnsi="宋体" w:cs="宋体"/>
                <w:sz w:val="20"/>
                <w:szCs w:val="20"/>
                <w:highlight w:val="none"/>
                <w:shd w:val="pct10" w:color="auto" w:fill="FFFFFF"/>
              </w:rPr>
              <w:t>点合格的投标人之规定。</w:t>
            </w:r>
          </w:p>
          <w:p>
            <w:pPr>
              <w:adjustRightInd w:val="0"/>
              <w:snapToGrid w:val="0"/>
              <w:spacing w:line="260" w:lineRule="exact"/>
              <w:ind w:firstLine="420"/>
              <w:jc w:val="left"/>
              <w:textAlignment w:val="baseline"/>
              <w:rPr>
                <w:rFonts w:ascii="宋体"/>
                <w:b/>
                <w:bCs/>
                <w:sz w:val="22"/>
                <w:szCs w:val="22"/>
                <w:highlight w:val="none"/>
              </w:rPr>
            </w:pPr>
            <w:r>
              <w:rPr>
                <w:rFonts w:hint="eastAsia" w:ascii="宋体" w:hAnsi="宋体" w:cs="宋体"/>
                <w:sz w:val="20"/>
                <w:szCs w:val="20"/>
                <w:highlight w:val="none"/>
                <w:shd w:val="pct10" w:color="auto" w:fill="FFFFFF"/>
              </w:rPr>
              <w:t>二、符合性审查：投标文件有下述情形之一的，应认定为未对招标文件作出实质性响应，作无效投标处理。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33" w:type="dxa"/>
            <w:vAlign w:val="center"/>
          </w:tcPr>
          <w:p>
            <w:pPr>
              <w:adjustRightInd w:val="0"/>
              <w:snapToGrid w:val="0"/>
              <w:spacing w:line="260" w:lineRule="exact"/>
              <w:jc w:val="center"/>
              <w:textAlignment w:val="baseline"/>
              <w:rPr>
                <w:rFonts w:ascii="宋体"/>
                <w:b/>
                <w:bCs/>
                <w:w w:val="80"/>
                <w:sz w:val="18"/>
                <w:szCs w:val="20"/>
                <w:highlight w:val="none"/>
              </w:rPr>
            </w:pPr>
            <w:r>
              <w:rPr>
                <w:rFonts w:hint="eastAsia" w:ascii="宋体" w:hAnsi="宋体" w:cs="宋体"/>
                <w:b/>
                <w:bCs/>
                <w:w w:val="80"/>
                <w:sz w:val="20"/>
                <w:szCs w:val="20"/>
                <w:highlight w:val="none"/>
              </w:rPr>
              <w:t>序号</w:t>
            </w:r>
          </w:p>
        </w:tc>
        <w:tc>
          <w:tcPr>
            <w:tcW w:w="1096" w:type="dxa"/>
            <w:vAlign w:val="center"/>
          </w:tcPr>
          <w:p>
            <w:pPr>
              <w:adjustRightInd w:val="0"/>
              <w:snapToGrid w:val="0"/>
              <w:spacing w:line="260" w:lineRule="exact"/>
              <w:jc w:val="center"/>
              <w:textAlignment w:val="baseline"/>
              <w:rPr>
                <w:rFonts w:ascii="宋体"/>
                <w:b/>
                <w:bCs/>
                <w:sz w:val="18"/>
                <w:szCs w:val="20"/>
                <w:highlight w:val="none"/>
              </w:rPr>
            </w:pPr>
            <w:r>
              <w:rPr>
                <w:rFonts w:hint="eastAsia" w:ascii="宋体" w:hAnsi="宋体" w:cs="宋体"/>
                <w:b/>
                <w:bCs/>
                <w:sz w:val="20"/>
                <w:szCs w:val="20"/>
                <w:highlight w:val="none"/>
              </w:rPr>
              <w:t>所在章节</w:t>
            </w:r>
          </w:p>
        </w:tc>
        <w:tc>
          <w:tcPr>
            <w:tcW w:w="8220" w:type="dxa"/>
            <w:gridSpan w:val="2"/>
            <w:vAlign w:val="center"/>
          </w:tcPr>
          <w:p>
            <w:pPr>
              <w:adjustRightInd w:val="0"/>
              <w:snapToGrid w:val="0"/>
              <w:spacing w:line="260" w:lineRule="exact"/>
              <w:jc w:val="center"/>
              <w:textAlignment w:val="baseline"/>
              <w:rPr>
                <w:rFonts w:ascii="宋体"/>
                <w:b/>
                <w:bCs/>
                <w:sz w:val="22"/>
                <w:szCs w:val="22"/>
                <w:highlight w:val="none"/>
              </w:rPr>
            </w:pPr>
            <w:r>
              <w:rPr>
                <w:rFonts w:hint="eastAsia" w:ascii="宋体" w:hAnsi="宋体" w:cs="宋体"/>
                <w:b/>
                <w:bCs/>
                <w:sz w:val="22"/>
                <w:szCs w:val="22"/>
                <w:highlight w:val="none"/>
              </w:rPr>
              <w:t>条款号、无效投标因素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33" w:type="dxa"/>
            <w:vAlign w:val="center"/>
          </w:tcPr>
          <w:p>
            <w:pPr>
              <w:adjustRightInd w:val="0"/>
              <w:snapToGrid w:val="0"/>
              <w:spacing w:line="260" w:lineRule="exact"/>
              <w:jc w:val="center"/>
              <w:textAlignment w:val="baseline"/>
              <w:rPr>
                <w:rFonts w:ascii="宋体"/>
                <w:w w:val="80"/>
                <w:sz w:val="18"/>
                <w:szCs w:val="20"/>
                <w:highlight w:val="none"/>
              </w:rPr>
            </w:pPr>
            <w:r>
              <w:rPr>
                <w:rFonts w:hint="eastAsia" w:ascii="宋体"/>
                <w:w w:val="80"/>
                <w:sz w:val="20"/>
                <w:szCs w:val="20"/>
                <w:highlight w:val="none"/>
              </w:rPr>
              <w:t>1</w:t>
            </w:r>
          </w:p>
        </w:tc>
        <w:tc>
          <w:tcPr>
            <w:tcW w:w="1096" w:type="dxa"/>
            <w:vMerge w:val="restart"/>
            <w:vAlign w:val="center"/>
          </w:tcPr>
          <w:p>
            <w:pPr>
              <w:adjustRightInd w:val="0"/>
              <w:snapToGrid w:val="0"/>
              <w:spacing w:line="260" w:lineRule="exact"/>
              <w:textAlignment w:val="baseline"/>
              <w:rPr>
                <w:rFonts w:ascii="宋体"/>
                <w:sz w:val="18"/>
                <w:szCs w:val="20"/>
                <w:highlight w:val="none"/>
              </w:rPr>
            </w:pPr>
            <w:r>
              <w:rPr>
                <w:rFonts w:hint="eastAsia" w:ascii="宋体" w:hAnsi="宋体" w:cs="宋体"/>
                <w:w w:val="66"/>
                <w:sz w:val="22"/>
                <w:szCs w:val="22"/>
                <w:highlight w:val="none"/>
              </w:rPr>
              <w:t>第二章“投标人须知”中</w:t>
            </w:r>
          </w:p>
        </w:tc>
        <w:tc>
          <w:tcPr>
            <w:tcW w:w="876" w:type="dxa"/>
            <w:vAlign w:val="center"/>
          </w:tcPr>
          <w:p>
            <w:pPr>
              <w:tabs>
                <w:tab w:val="center" w:pos="4500"/>
                <w:tab w:val="left" w:pos="7050"/>
              </w:tabs>
              <w:adjustRightInd w:val="0"/>
              <w:snapToGrid w:val="0"/>
              <w:spacing w:line="260" w:lineRule="exact"/>
              <w:textAlignment w:val="baseline"/>
              <w:rPr>
                <w:rFonts w:ascii="宋体"/>
                <w:w w:val="90"/>
                <w:sz w:val="22"/>
                <w:szCs w:val="22"/>
                <w:highlight w:val="none"/>
              </w:rPr>
            </w:pPr>
            <w:r>
              <w:rPr>
                <w:rFonts w:hint="eastAsia" w:ascii="宋体" w:hAnsi="宋体" w:cs="宋体"/>
                <w:sz w:val="22"/>
                <w:szCs w:val="22"/>
                <w:highlight w:val="none"/>
              </w:rPr>
              <w:t>评分附表中</w:t>
            </w:r>
          </w:p>
        </w:tc>
        <w:tc>
          <w:tcPr>
            <w:tcW w:w="7344" w:type="dxa"/>
            <w:vAlign w:val="center"/>
          </w:tcPr>
          <w:p>
            <w:pPr>
              <w:tabs>
                <w:tab w:val="center" w:pos="4500"/>
                <w:tab w:val="left" w:pos="7050"/>
              </w:tabs>
              <w:adjustRightInd w:val="0"/>
              <w:snapToGrid w:val="0"/>
              <w:spacing w:line="260" w:lineRule="exact"/>
              <w:textAlignment w:val="baseline"/>
              <w:rPr>
                <w:rFonts w:ascii="宋体"/>
                <w:sz w:val="22"/>
                <w:szCs w:val="22"/>
                <w:highlight w:val="none"/>
              </w:rPr>
            </w:pPr>
            <w:r>
              <w:rPr>
                <w:rFonts w:hint="eastAsia" w:ascii="宋体" w:hAnsi="宋体" w:cs="宋体"/>
                <w:sz w:val="22"/>
                <w:szCs w:val="22"/>
                <w:highlight w:val="none"/>
              </w:rPr>
              <w:t>备注：①、投标人技术部分的实际得分少于招标文件设定的技术部分总分</w:t>
            </w:r>
            <w:r>
              <w:rPr>
                <w:rFonts w:ascii="宋体" w:hAnsi="宋体" w:cs="宋体"/>
                <w:sz w:val="22"/>
                <w:szCs w:val="22"/>
                <w:highlight w:val="none"/>
              </w:rPr>
              <w:t>50%</w:t>
            </w:r>
            <w:r>
              <w:rPr>
                <w:rFonts w:hint="eastAsia" w:ascii="宋体" w:hAnsi="宋体" w:cs="宋体"/>
                <w:sz w:val="22"/>
                <w:szCs w:val="22"/>
                <w:highlight w:val="none"/>
              </w:rPr>
              <w:t>的作为无效标处理。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vAlign w:val="center"/>
          </w:tcPr>
          <w:p>
            <w:pPr>
              <w:adjustRightInd w:val="0"/>
              <w:snapToGrid w:val="0"/>
              <w:spacing w:line="260" w:lineRule="exact"/>
              <w:jc w:val="center"/>
              <w:textAlignment w:val="baseline"/>
              <w:rPr>
                <w:rFonts w:ascii="宋体"/>
                <w:w w:val="80"/>
                <w:sz w:val="18"/>
                <w:szCs w:val="20"/>
                <w:highlight w:val="none"/>
              </w:rPr>
            </w:pPr>
            <w:r>
              <w:rPr>
                <w:rFonts w:hint="eastAsia" w:ascii="宋体" w:hAnsi="宋体" w:cs="宋体"/>
                <w:w w:val="80"/>
                <w:sz w:val="20"/>
                <w:szCs w:val="20"/>
                <w:highlight w:val="none"/>
              </w:rPr>
              <w:t>2</w:t>
            </w:r>
          </w:p>
        </w:tc>
        <w:tc>
          <w:tcPr>
            <w:tcW w:w="1096" w:type="dxa"/>
            <w:vMerge w:val="continue"/>
            <w:vAlign w:val="center"/>
          </w:tcPr>
          <w:p>
            <w:pPr>
              <w:adjustRightInd w:val="0"/>
              <w:snapToGrid w:val="0"/>
              <w:spacing w:line="260" w:lineRule="exact"/>
              <w:textAlignment w:val="baseline"/>
              <w:rPr>
                <w:rFonts w:ascii="宋体"/>
                <w:sz w:val="18"/>
                <w:szCs w:val="20"/>
                <w:highlight w:val="none"/>
              </w:rPr>
            </w:pPr>
          </w:p>
        </w:tc>
        <w:tc>
          <w:tcPr>
            <w:tcW w:w="8220" w:type="dxa"/>
            <w:gridSpan w:val="2"/>
            <w:vAlign w:val="center"/>
          </w:tcPr>
          <w:p>
            <w:pPr>
              <w:adjustRightInd w:val="0"/>
              <w:snapToGrid w:val="0"/>
              <w:spacing w:line="260" w:lineRule="exact"/>
              <w:ind w:firstLine="440" w:firstLineChars="200"/>
              <w:textAlignment w:val="baseline"/>
              <w:rPr>
                <w:rFonts w:ascii="宋体"/>
                <w:sz w:val="22"/>
                <w:szCs w:val="22"/>
                <w:highlight w:val="none"/>
              </w:rPr>
            </w:pPr>
            <w:r>
              <w:rPr>
                <w:rFonts w:ascii="宋体" w:hAnsi="宋体" w:cs="宋体"/>
                <w:sz w:val="22"/>
                <w:szCs w:val="22"/>
                <w:highlight w:val="none"/>
              </w:rPr>
              <w:t>8.1</w:t>
            </w:r>
            <w:r>
              <w:rPr>
                <w:rFonts w:hint="eastAsia" w:ascii="宋体" w:hAnsi="宋体" w:cs="宋体"/>
                <w:sz w:val="22"/>
                <w:szCs w:val="22"/>
                <w:highlight w:val="none"/>
              </w:rPr>
              <w:t>投标人应仔细阅读招标文件的所有内容，按照招标文件的要求提交投标文件。投标文件应对招标文件的要求作出实质性响应，并保证其投标文件中所提供的全部资料的真实性</w:t>
            </w:r>
            <w:r>
              <w:rPr>
                <w:rFonts w:ascii="宋体" w:cs="宋体"/>
                <w:sz w:val="22"/>
                <w:szCs w:val="22"/>
                <w:highlight w:val="none"/>
              </w:rPr>
              <w:t>,</w:t>
            </w:r>
            <w:r>
              <w:rPr>
                <w:rFonts w:hint="eastAsia" w:ascii="宋体" w:hAnsi="宋体" w:cs="宋体"/>
                <w:sz w:val="22"/>
                <w:szCs w:val="22"/>
                <w:highlight w:val="none"/>
              </w:rPr>
              <w:t>不得有弄虚作假行为，否则其投标将被拒绝。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33" w:type="dxa"/>
            <w:vAlign w:val="center"/>
          </w:tcPr>
          <w:p>
            <w:pPr>
              <w:adjustRightInd w:val="0"/>
              <w:snapToGrid w:val="0"/>
              <w:spacing w:line="260" w:lineRule="exact"/>
              <w:jc w:val="center"/>
              <w:textAlignment w:val="baseline"/>
              <w:rPr>
                <w:rFonts w:ascii="宋体"/>
                <w:w w:val="80"/>
                <w:sz w:val="18"/>
                <w:szCs w:val="20"/>
                <w:highlight w:val="none"/>
              </w:rPr>
            </w:pPr>
            <w:r>
              <w:rPr>
                <w:rFonts w:hint="eastAsia" w:ascii="宋体" w:hAnsi="宋体" w:cs="宋体"/>
                <w:w w:val="80"/>
                <w:sz w:val="20"/>
                <w:szCs w:val="20"/>
                <w:highlight w:val="none"/>
              </w:rPr>
              <w:t>3</w:t>
            </w:r>
          </w:p>
        </w:tc>
        <w:tc>
          <w:tcPr>
            <w:tcW w:w="1096" w:type="dxa"/>
            <w:vMerge w:val="continue"/>
            <w:vAlign w:val="center"/>
          </w:tcPr>
          <w:p>
            <w:pPr>
              <w:adjustRightInd w:val="0"/>
              <w:snapToGrid w:val="0"/>
              <w:spacing w:line="260" w:lineRule="exact"/>
              <w:textAlignment w:val="baseline"/>
              <w:rPr>
                <w:rFonts w:ascii="宋体"/>
                <w:sz w:val="18"/>
                <w:szCs w:val="20"/>
                <w:highlight w:val="none"/>
              </w:rPr>
            </w:pPr>
          </w:p>
        </w:tc>
        <w:tc>
          <w:tcPr>
            <w:tcW w:w="8220" w:type="dxa"/>
            <w:gridSpan w:val="2"/>
            <w:vAlign w:val="center"/>
          </w:tcPr>
          <w:p>
            <w:pPr>
              <w:adjustRightInd w:val="0"/>
              <w:snapToGrid w:val="0"/>
              <w:spacing w:line="260" w:lineRule="exact"/>
              <w:ind w:firstLine="440" w:firstLineChars="200"/>
              <w:textAlignment w:val="baseline"/>
              <w:rPr>
                <w:rFonts w:ascii="宋体"/>
                <w:sz w:val="22"/>
                <w:szCs w:val="22"/>
                <w:highlight w:val="none"/>
              </w:rPr>
            </w:pPr>
            <w:r>
              <w:rPr>
                <w:rFonts w:ascii="宋体" w:hAnsi="宋体" w:cs="宋体"/>
                <w:sz w:val="22"/>
                <w:szCs w:val="22"/>
                <w:highlight w:val="none"/>
              </w:rPr>
              <w:t>8.2</w:t>
            </w:r>
            <w:r>
              <w:rPr>
                <w:rFonts w:hint="eastAsia" w:ascii="宋体" w:hAnsi="宋体" w:cs="宋体"/>
                <w:sz w:val="22"/>
                <w:szCs w:val="22"/>
                <w:highlight w:val="none"/>
              </w:rPr>
              <w:t>除非有另外的规定，投标人可对《采购标的一览表》所列的全部合同包或部分合同包进行投标。招标代理机构不接受有任何可选择性的报价，每一种货物、服务只能有一个报价，否则将导致投标被拒绝。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adjustRightInd w:val="0"/>
              <w:snapToGrid w:val="0"/>
              <w:spacing w:line="260" w:lineRule="exact"/>
              <w:jc w:val="center"/>
              <w:textAlignment w:val="baseline"/>
              <w:rPr>
                <w:rFonts w:ascii="宋体"/>
                <w:w w:val="80"/>
                <w:sz w:val="18"/>
                <w:szCs w:val="20"/>
                <w:highlight w:val="none"/>
              </w:rPr>
            </w:pPr>
            <w:r>
              <w:rPr>
                <w:rFonts w:hint="eastAsia" w:ascii="宋体" w:hAnsi="宋体" w:cs="宋体"/>
                <w:w w:val="80"/>
                <w:sz w:val="20"/>
                <w:szCs w:val="20"/>
                <w:highlight w:val="none"/>
              </w:rPr>
              <w:t>4</w:t>
            </w:r>
          </w:p>
        </w:tc>
        <w:tc>
          <w:tcPr>
            <w:tcW w:w="1096" w:type="dxa"/>
            <w:vMerge w:val="continue"/>
            <w:vAlign w:val="center"/>
          </w:tcPr>
          <w:p>
            <w:pPr>
              <w:adjustRightInd w:val="0"/>
              <w:snapToGrid w:val="0"/>
              <w:spacing w:line="260" w:lineRule="exact"/>
              <w:textAlignment w:val="baseline"/>
              <w:rPr>
                <w:rFonts w:ascii="宋体"/>
                <w:sz w:val="18"/>
                <w:szCs w:val="20"/>
                <w:highlight w:val="none"/>
              </w:rPr>
            </w:pPr>
          </w:p>
        </w:tc>
        <w:tc>
          <w:tcPr>
            <w:tcW w:w="8220" w:type="dxa"/>
            <w:gridSpan w:val="2"/>
            <w:vAlign w:val="center"/>
          </w:tcPr>
          <w:p>
            <w:pPr>
              <w:tabs>
                <w:tab w:val="left" w:pos="900"/>
              </w:tabs>
              <w:adjustRightInd w:val="0"/>
              <w:snapToGrid w:val="0"/>
              <w:spacing w:line="260" w:lineRule="exact"/>
              <w:ind w:firstLine="480"/>
              <w:textAlignment w:val="baseline"/>
              <w:rPr>
                <w:rFonts w:ascii="宋体"/>
                <w:sz w:val="22"/>
                <w:szCs w:val="22"/>
                <w:highlight w:val="none"/>
              </w:rPr>
            </w:pPr>
            <w:r>
              <w:rPr>
                <w:rFonts w:ascii="宋体" w:hAnsi="宋体" w:cs="宋体"/>
                <w:sz w:val="22"/>
                <w:szCs w:val="22"/>
                <w:highlight w:val="none"/>
              </w:rPr>
              <w:t>8.4</w:t>
            </w:r>
            <w:r>
              <w:rPr>
                <w:rFonts w:hint="eastAsia" w:ascii="宋体" w:hAnsi="宋体" w:cs="宋体"/>
                <w:sz w:val="22"/>
                <w:szCs w:val="22"/>
                <w:highlight w:val="none"/>
              </w:rPr>
              <w:t>如果评标委员会发现投标人为谋取中标恶意篡改《技术规格和商务偏离表》中招标文件要求的或投标产品响应栏中应答的技术指标与其提供的佐证材料明显不符的【特别是招标技术要求中涉及具体数值要求的指标，投标人应答的具体数值与投标人提供的佐证材料不一致的（非因简单粘贴复制形成），可视为投标人为谋取中标而恶意篡改所投产品技术指标】，评标委员会可视为虚假应标而拒绝其投标，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adjustRightInd w:val="0"/>
              <w:snapToGrid w:val="0"/>
              <w:spacing w:line="260" w:lineRule="exact"/>
              <w:jc w:val="center"/>
              <w:textAlignment w:val="baseline"/>
              <w:rPr>
                <w:rFonts w:ascii="宋体"/>
                <w:w w:val="80"/>
                <w:sz w:val="18"/>
                <w:szCs w:val="20"/>
                <w:highlight w:val="none"/>
              </w:rPr>
            </w:pPr>
            <w:r>
              <w:rPr>
                <w:rFonts w:hint="eastAsia" w:ascii="宋体" w:hAnsi="宋体" w:cs="宋体"/>
                <w:w w:val="80"/>
                <w:sz w:val="20"/>
                <w:szCs w:val="20"/>
                <w:highlight w:val="none"/>
              </w:rPr>
              <w:t>5</w:t>
            </w:r>
          </w:p>
        </w:tc>
        <w:tc>
          <w:tcPr>
            <w:tcW w:w="1096" w:type="dxa"/>
            <w:vMerge w:val="continue"/>
            <w:vAlign w:val="center"/>
          </w:tcPr>
          <w:p>
            <w:pPr>
              <w:adjustRightInd w:val="0"/>
              <w:snapToGrid w:val="0"/>
              <w:spacing w:line="260" w:lineRule="exact"/>
              <w:textAlignment w:val="baseline"/>
              <w:rPr>
                <w:rFonts w:ascii="宋体"/>
                <w:sz w:val="18"/>
                <w:szCs w:val="20"/>
                <w:highlight w:val="none"/>
              </w:rPr>
            </w:pPr>
          </w:p>
        </w:tc>
        <w:tc>
          <w:tcPr>
            <w:tcW w:w="8220" w:type="dxa"/>
            <w:gridSpan w:val="2"/>
            <w:vAlign w:val="center"/>
          </w:tcPr>
          <w:p>
            <w:pPr>
              <w:adjustRightInd w:val="0"/>
              <w:snapToGrid w:val="0"/>
              <w:spacing w:line="260" w:lineRule="exact"/>
              <w:ind w:firstLine="480"/>
              <w:textAlignment w:val="baseline"/>
              <w:rPr>
                <w:rFonts w:ascii="宋体"/>
                <w:sz w:val="22"/>
                <w:szCs w:val="22"/>
                <w:highlight w:val="none"/>
              </w:rPr>
            </w:pPr>
            <w:r>
              <w:rPr>
                <w:rFonts w:ascii="宋体" w:hAnsi="宋体" w:cs="宋体"/>
                <w:sz w:val="22"/>
                <w:szCs w:val="22"/>
                <w:highlight w:val="none"/>
              </w:rPr>
              <w:t>10</w:t>
            </w:r>
            <w:r>
              <w:rPr>
                <w:rFonts w:ascii="宋体" w:cs="宋体"/>
                <w:sz w:val="22"/>
                <w:szCs w:val="22"/>
                <w:highlight w:val="none"/>
              </w:rPr>
              <w:t>.</w:t>
            </w:r>
            <w:r>
              <w:rPr>
                <w:rFonts w:hint="eastAsia" w:ascii="宋体" w:hAnsi="宋体" w:cs="宋体"/>
                <w:sz w:val="22"/>
                <w:szCs w:val="22"/>
                <w:highlight w:val="none"/>
              </w:rPr>
              <w:t>投标文件组成不符合招标文件要求的将导致投标无效。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adjustRightInd w:val="0"/>
              <w:snapToGrid w:val="0"/>
              <w:spacing w:line="260" w:lineRule="exact"/>
              <w:jc w:val="center"/>
              <w:textAlignment w:val="baseline"/>
              <w:rPr>
                <w:rFonts w:ascii="宋体"/>
                <w:w w:val="80"/>
                <w:sz w:val="18"/>
                <w:szCs w:val="20"/>
                <w:highlight w:val="none"/>
              </w:rPr>
            </w:pPr>
            <w:r>
              <w:rPr>
                <w:rFonts w:hint="eastAsia" w:ascii="宋体" w:hAnsi="宋体" w:cs="宋体"/>
                <w:w w:val="80"/>
                <w:sz w:val="20"/>
                <w:szCs w:val="20"/>
                <w:highlight w:val="none"/>
              </w:rPr>
              <w:t>6</w:t>
            </w:r>
          </w:p>
        </w:tc>
        <w:tc>
          <w:tcPr>
            <w:tcW w:w="1096" w:type="dxa"/>
            <w:vMerge w:val="continue"/>
            <w:vAlign w:val="center"/>
          </w:tcPr>
          <w:p>
            <w:pPr>
              <w:adjustRightInd w:val="0"/>
              <w:snapToGrid w:val="0"/>
              <w:spacing w:line="260" w:lineRule="exact"/>
              <w:textAlignment w:val="baseline"/>
              <w:rPr>
                <w:rFonts w:ascii="宋体"/>
                <w:sz w:val="18"/>
                <w:szCs w:val="20"/>
                <w:highlight w:val="none"/>
              </w:rPr>
            </w:pPr>
          </w:p>
        </w:tc>
        <w:tc>
          <w:tcPr>
            <w:tcW w:w="8220" w:type="dxa"/>
            <w:gridSpan w:val="2"/>
            <w:vAlign w:val="center"/>
          </w:tcPr>
          <w:p>
            <w:pPr>
              <w:adjustRightInd w:val="0"/>
              <w:snapToGrid w:val="0"/>
              <w:spacing w:line="260" w:lineRule="exact"/>
              <w:ind w:firstLine="480"/>
              <w:textAlignment w:val="baseline"/>
              <w:rPr>
                <w:rFonts w:ascii="宋体"/>
                <w:sz w:val="22"/>
                <w:szCs w:val="22"/>
                <w:highlight w:val="none"/>
              </w:rPr>
            </w:pPr>
            <w:r>
              <w:rPr>
                <w:rFonts w:ascii="宋体" w:hAnsi="宋体" w:cs="宋体"/>
                <w:sz w:val="22"/>
                <w:szCs w:val="22"/>
                <w:highlight w:val="none"/>
              </w:rPr>
              <w:t>11.1</w:t>
            </w:r>
            <w:r>
              <w:rPr>
                <w:rFonts w:hint="eastAsia" w:ascii="宋体" w:hAnsi="宋体" w:cs="宋体"/>
                <w:sz w:val="22"/>
                <w:szCs w:val="22"/>
                <w:highlight w:val="none"/>
              </w:rPr>
              <w:t>投标有效期不足将导致其投标文件被拒绝。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adjustRightInd w:val="0"/>
              <w:snapToGrid w:val="0"/>
              <w:spacing w:line="260" w:lineRule="exact"/>
              <w:jc w:val="center"/>
              <w:textAlignment w:val="baseline"/>
              <w:rPr>
                <w:rFonts w:ascii="宋体"/>
                <w:w w:val="80"/>
                <w:sz w:val="18"/>
                <w:szCs w:val="20"/>
                <w:highlight w:val="none"/>
              </w:rPr>
            </w:pPr>
            <w:r>
              <w:rPr>
                <w:rFonts w:hint="eastAsia" w:ascii="宋体" w:hAnsi="宋体" w:cs="宋体"/>
                <w:w w:val="80"/>
                <w:sz w:val="20"/>
                <w:szCs w:val="20"/>
                <w:highlight w:val="none"/>
              </w:rPr>
              <w:t>7</w:t>
            </w:r>
          </w:p>
        </w:tc>
        <w:tc>
          <w:tcPr>
            <w:tcW w:w="1096" w:type="dxa"/>
            <w:vMerge w:val="continue"/>
            <w:vAlign w:val="center"/>
          </w:tcPr>
          <w:p>
            <w:pPr>
              <w:adjustRightInd w:val="0"/>
              <w:snapToGrid w:val="0"/>
              <w:spacing w:line="260" w:lineRule="exact"/>
              <w:textAlignment w:val="baseline"/>
              <w:rPr>
                <w:rFonts w:ascii="宋体"/>
                <w:sz w:val="18"/>
                <w:szCs w:val="20"/>
                <w:highlight w:val="none"/>
              </w:rPr>
            </w:pPr>
          </w:p>
        </w:tc>
        <w:tc>
          <w:tcPr>
            <w:tcW w:w="8220" w:type="dxa"/>
            <w:gridSpan w:val="2"/>
            <w:vAlign w:val="center"/>
          </w:tcPr>
          <w:p>
            <w:pPr>
              <w:adjustRightInd w:val="0"/>
              <w:snapToGrid w:val="0"/>
              <w:spacing w:line="260" w:lineRule="exact"/>
              <w:ind w:firstLine="480"/>
              <w:textAlignment w:val="baseline"/>
              <w:rPr>
                <w:rFonts w:ascii="宋体"/>
                <w:sz w:val="22"/>
                <w:szCs w:val="22"/>
                <w:highlight w:val="none"/>
              </w:rPr>
            </w:pPr>
            <w:r>
              <w:rPr>
                <w:rFonts w:ascii="宋体" w:hAnsi="宋体" w:cs="宋体"/>
                <w:sz w:val="22"/>
                <w:szCs w:val="22"/>
                <w:highlight w:val="none"/>
              </w:rPr>
              <w:t>12.2</w:t>
            </w:r>
            <w:r>
              <w:rPr>
                <w:rFonts w:hint="eastAsia" w:ascii="宋体" w:hAnsi="宋体" w:cs="宋体"/>
                <w:sz w:val="22"/>
                <w:szCs w:val="22"/>
                <w:highlight w:val="none"/>
              </w:rPr>
              <w:t>未按规定缴交投标保证金的投标，将被视为无效投标。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adjustRightInd w:val="0"/>
              <w:snapToGrid w:val="0"/>
              <w:spacing w:line="260" w:lineRule="exact"/>
              <w:jc w:val="center"/>
              <w:textAlignment w:val="baseline"/>
              <w:rPr>
                <w:rFonts w:ascii="宋体"/>
                <w:w w:val="80"/>
                <w:sz w:val="18"/>
                <w:szCs w:val="20"/>
                <w:highlight w:val="none"/>
              </w:rPr>
            </w:pPr>
            <w:r>
              <w:rPr>
                <w:rFonts w:hint="eastAsia" w:ascii="宋体" w:hAnsi="宋体" w:cs="宋体"/>
                <w:w w:val="80"/>
                <w:sz w:val="20"/>
                <w:szCs w:val="20"/>
                <w:highlight w:val="none"/>
              </w:rPr>
              <w:t>8</w:t>
            </w:r>
          </w:p>
        </w:tc>
        <w:tc>
          <w:tcPr>
            <w:tcW w:w="1096" w:type="dxa"/>
            <w:vMerge w:val="continue"/>
            <w:vAlign w:val="center"/>
          </w:tcPr>
          <w:p>
            <w:pPr>
              <w:adjustRightInd w:val="0"/>
              <w:snapToGrid w:val="0"/>
              <w:spacing w:line="260" w:lineRule="exact"/>
              <w:textAlignment w:val="baseline"/>
              <w:rPr>
                <w:rFonts w:ascii="宋体"/>
                <w:sz w:val="18"/>
                <w:szCs w:val="20"/>
                <w:highlight w:val="none"/>
              </w:rPr>
            </w:pPr>
          </w:p>
        </w:tc>
        <w:tc>
          <w:tcPr>
            <w:tcW w:w="8220" w:type="dxa"/>
            <w:gridSpan w:val="2"/>
            <w:vAlign w:val="center"/>
          </w:tcPr>
          <w:p>
            <w:pPr>
              <w:pStyle w:val="26"/>
              <w:ind w:firstLine="440" w:firstLineChars="200"/>
              <w:rPr>
                <w:sz w:val="22"/>
                <w:szCs w:val="22"/>
                <w:highlight w:val="none"/>
                <w:shd w:val="pct10" w:color="auto" w:fill="FFFFFF"/>
              </w:rPr>
            </w:pPr>
            <w:r>
              <w:rPr>
                <w:rFonts w:hint="eastAsia"/>
                <w:kern w:val="2"/>
                <w:sz w:val="22"/>
                <w:szCs w:val="22"/>
                <w:highlight w:val="none"/>
              </w:rPr>
              <w:t>13.1投标文件的格式：投标文件未按招标文件要求签署、盖章的，</w:t>
            </w:r>
            <w:r>
              <w:rPr>
                <w:rFonts w:hint="eastAsia"/>
                <w:sz w:val="22"/>
                <w:szCs w:val="22"/>
                <w:highlight w:val="none"/>
              </w:rPr>
              <w:t>未按招标文件规定的格式填写、编制、制作、装订投标文件的、投标文件字迹模糊不清的，其投标将被拒绝。具体规定详见本章本条款号内容。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adjustRightInd w:val="0"/>
              <w:snapToGrid w:val="0"/>
              <w:spacing w:line="260" w:lineRule="exact"/>
              <w:jc w:val="center"/>
              <w:textAlignment w:val="baseline"/>
              <w:rPr>
                <w:rFonts w:ascii="宋体"/>
                <w:w w:val="80"/>
                <w:sz w:val="18"/>
                <w:szCs w:val="20"/>
                <w:highlight w:val="none"/>
              </w:rPr>
            </w:pPr>
            <w:r>
              <w:rPr>
                <w:rFonts w:hint="eastAsia" w:ascii="宋体" w:hAnsi="宋体" w:cs="宋体"/>
                <w:w w:val="80"/>
                <w:sz w:val="20"/>
                <w:szCs w:val="20"/>
                <w:highlight w:val="none"/>
              </w:rPr>
              <w:t>9</w:t>
            </w:r>
          </w:p>
        </w:tc>
        <w:tc>
          <w:tcPr>
            <w:tcW w:w="1096" w:type="dxa"/>
            <w:vMerge w:val="continue"/>
            <w:vAlign w:val="center"/>
          </w:tcPr>
          <w:p>
            <w:pPr>
              <w:adjustRightInd w:val="0"/>
              <w:snapToGrid w:val="0"/>
              <w:spacing w:line="260" w:lineRule="exact"/>
              <w:textAlignment w:val="baseline"/>
              <w:rPr>
                <w:rFonts w:ascii="宋体"/>
                <w:sz w:val="18"/>
                <w:szCs w:val="20"/>
                <w:highlight w:val="none"/>
              </w:rPr>
            </w:pPr>
          </w:p>
        </w:tc>
        <w:tc>
          <w:tcPr>
            <w:tcW w:w="8220" w:type="dxa"/>
            <w:gridSpan w:val="2"/>
            <w:vAlign w:val="center"/>
          </w:tcPr>
          <w:p>
            <w:pPr>
              <w:adjustRightInd w:val="0"/>
              <w:snapToGrid w:val="0"/>
              <w:spacing w:line="260" w:lineRule="exact"/>
              <w:ind w:firstLine="480"/>
              <w:textAlignment w:val="baseline"/>
              <w:rPr>
                <w:rFonts w:ascii="宋体"/>
                <w:sz w:val="22"/>
                <w:szCs w:val="22"/>
                <w:highlight w:val="none"/>
              </w:rPr>
            </w:pPr>
            <w:r>
              <w:rPr>
                <w:rFonts w:ascii="宋体" w:hAnsi="宋体" w:cs="宋体"/>
                <w:sz w:val="22"/>
                <w:szCs w:val="22"/>
                <w:highlight w:val="none"/>
              </w:rPr>
              <w:t>14.1.1</w:t>
            </w:r>
            <w:r>
              <w:rPr>
                <w:rFonts w:hint="eastAsia" w:ascii="宋体" w:hAnsi="宋体" w:cs="宋体"/>
                <w:sz w:val="22"/>
                <w:szCs w:val="22"/>
                <w:highlight w:val="none"/>
              </w:rPr>
              <w:t>投标文件未密封将导致投标被拒绝。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adjustRightInd w:val="0"/>
              <w:snapToGrid w:val="0"/>
              <w:spacing w:line="260" w:lineRule="exact"/>
              <w:jc w:val="center"/>
              <w:textAlignment w:val="baseline"/>
              <w:rPr>
                <w:rFonts w:ascii="宋体"/>
                <w:w w:val="80"/>
                <w:sz w:val="18"/>
                <w:szCs w:val="20"/>
                <w:highlight w:val="none"/>
              </w:rPr>
            </w:pPr>
            <w:r>
              <w:rPr>
                <w:rFonts w:hint="eastAsia" w:ascii="宋体" w:hAnsi="宋体" w:cs="宋体"/>
                <w:w w:val="80"/>
                <w:sz w:val="20"/>
                <w:szCs w:val="20"/>
                <w:highlight w:val="none"/>
              </w:rPr>
              <w:t>10</w:t>
            </w:r>
          </w:p>
        </w:tc>
        <w:tc>
          <w:tcPr>
            <w:tcW w:w="1096" w:type="dxa"/>
            <w:vMerge w:val="continue"/>
            <w:vAlign w:val="center"/>
          </w:tcPr>
          <w:p>
            <w:pPr>
              <w:adjustRightInd w:val="0"/>
              <w:snapToGrid w:val="0"/>
              <w:spacing w:line="260" w:lineRule="exact"/>
              <w:textAlignment w:val="baseline"/>
              <w:rPr>
                <w:rFonts w:ascii="宋体"/>
                <w:sz w:val="18"/>
                <w:szCs w:val="20"/>
                <w:highlight w:val="none"/>
              </w:rPr>
            </w:pPr>
          </w:p>
        </w:tc>
        <w:tc>
          <w:tcPr>
            <w:tcW w:w="8220" w:type="dxa"/>
            <w:gridSpan w:val="2"/>
            <w:vAlign w:val="center"/>
          </w:tcPr>
          <w:p>
            <w:pPr>
              <w:adjustRightInd w:val="0"/>
              <w:snapToGrid w:val="0"/>
              <w:spacing w:line="260" w:lineRule="exact"/>
              <w:ind w:firstLine="480"/>
              <w:textAlignment w:val="baseline"/>
              <w:rPr>
                <w:rFonts w:ascii="宋体"/>
                <w:sz w:val="22"/>
                <w:szCs w:val="22"/>
                <w:highlight w:val="none"/>
              </w:rPr>
            </w:pPr>
            <w:r>
              <w:rPr>
                <w:rFonts w:ascii="宋体" w:hAnsi="宋体" w:cs="宋体"/>
                <w:sz w:val="22"/>
                <w:szCs w:val="22"/>
                <w:highlight w:val="none"/>
              </w:rPr>
              <w:t>14.1.7</w:t>
            </w:r>
            <w:r>
              <w:rPr>
                <w:rFonts w:hint="eastAsia" w:ascii="宋体" w:hAnsi="宋体" w:cs="宋体"/>
                <w:sz w:val="22"/>
                <w:szCs w:val="22"/>
                <w:highlight w:val="none"/>
              </w:rPr>
              <w:t>投标人在投标截止期后修改投标文件的，其投标被拒绝。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adjustRightInd w:val="0"/>
              <w:snapToGrid w:val="0"/>
              <w:spacing w:line="260" w:lineRule="exact"/>
              <w:jc w:val="center"/>
              <w:textAlignment w:val="baseline"/>
              <w:rPr>
                <w:rFonts w:ascii="宋体"/>
                <w:w w:val="80"/>
                <w:sz w:val="18"/>
                <w:szCs w:val="20"/>
                <w:highlight w:val="none"/>
              </w:rPr>
            </w:pPr>
            <w:r>
              <w:rPr>
                <w:rFonts w:hint="eastAsia" w:ascii="宋体" w:hAnsi="宋体" w:cs="宋体"/>
                <w:w w:val="80"/>
                <w:sz w:val="20"/>
                <w:szCs w:val="20"/>
                <w:highlight w:val="none"/>
              </w:rPr>
              <w:t>11</w:t>
            </w:r>
          </w:p>
        </w:tc>
        <w:tc>
          <w:tcPr>
            <w:tcW w:w="1096" w:type="dxa"/>
            <w:vMerge w:val="continue"/>
            <w:vAlign w:val="center"/>
          </w:tcPr>
          <w:p>
            <w:pPr>
              <w:adjustRightInd w:val="0"/>
              <w:snapToGrid w:val="0"/>
              <w:spacing w:line="260" w:lineRule="exact"/>
              <w:textAlignment w:val="baseline"/>
              <w:rPr>
                <w:rFonts w:ascii="宋体"/>
                <w:sz w:val="18"/>
                <w:szCs w:val="20"/>
                <w:highlight w:val="none"/>
              </w:rPr>
            </w:pPr>
          </w:p>
        </w:tc>
        <w:tc>
          <w:tcPr>
            <w:tcW w:w="8220" w:type="dxa"/>
            <w:gridSpan w:val="2"/>
            <w:vAlign w:val="center"/>
          </w:tcPr>
          <w:p>
            <w:pPr>
              <w:adjustRightInd w:val="0"/>
              <w:snapToGrid w:val="0"/>
              <w:spacing w:line="260" w:lineRule="exact"/>
              <w:ind w:firstLine="480"/>
              <w:textAlignment w:val="baseline"/>
              <w:rPr>
                <w:rFonts w:ascii="宋体"/>
                <w:sz w:val="22"/>
                <w:szCs w:val="22"/>
                <w:highlight w:val="none"/>
              </w:rPr>
            </w:pPr>
            <w:r>
              <w:rPr>
                <w:rFonts w:ascii="宋体" w:hAnsi="宋体" w:cs="宋体"/>
                <w:sz w:val="22"/>
                <w:szCs w:val="22"/>
                <w:highlight w:val="none"/>
              </w:rPr>
              <w:t>17.5</w:t>
            </w:r>
            <w:r>
              <w:rPr>
                <w:rFonts w:hint="eastAsia" w:ascii="宋体" w:hAnsi="宋体" w:cs="宋体"/>
                <w:sz w:val="22"/>
                <w:szCs w:val="22"/>
                <w:highlight w:val="none"/>
              </w:rPr>
              <w:t>投标人任何试图影响评标委员会对投标文件的评估、比较或者推荐候选人的行为，都将导致其投标被拒绝，投标保证金不予退还。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33" w:type="dxa"/>
            <w:vAlign w:val="center"/>
          </w:tcPr>
          <w:p>
            <w:pPr>
              <w:adjustRightInd w:val="0"/>
              <w:snapToGrid w:val="0"/>
              <w:spacing w:line="260" w:lineRule="exact"/>
              <w:jc w:val="center"/>
              <w:textAlignment w:val="baseline"/>
              <w:rPr>
                <w:rFonts w:ascii="宋体"/>
                <w:w w:val="80"/>
                <w:sz w:val="18"/>
                <w:szCs w:val="20"/>
                <w:highlight w:val="none"/>
              </w:rPr>
            </w:pPr>
            <w:r>
              <w:rPr>
                <w:rFonts w:hint="eastAsia" w:ascii="宋体" w:hAnsi="宋体" w:cs="宋体"/>
                <w:w w:val="80"/>
                <w:sz w:val="20"/>
                <w:szCs w:val="20"/>
                <w:highlight w:val="none"/>
              </w:rPr>
              <w:t>12</w:t>
            </w:r>
          </w:p>
        </w:tc>
        <w:tc>
          <w:tcPr>
            <w:tcW w:w="1096" w:type="dxa"/>
            <w:vMerge w:val="continue"/>
            <w:vAlign w:val="center"/>
          </w:tcPr>
          <w:p>
            <w:pPr>
              <w:adjustRightInd w:val="0"/>
              <w:snapToGrid w:val="0"/>
              <w:spacing w:line="260" w:lineRule="exact"/>
              <w:textAlignment w:val="baseline"/>
              <w:rPr>
                <w:rFonts w:ascii="宋体"/>
                <w:sz w:val="18"/>
                <w:szCs w:val="20"/>
                <w:highlight w:val="none"/>
              </w:rPr>
            </w:pPr>
          </w:p>
        </w:tc>
        <w:tc>
          <w:tcPr>
            <w:tcW w:w="8220" w:type="dxa"/>
            <w:gridSpan w:val="2"/>
            <w:vAlign w:val="center"/>
          </w:tcPr>
          <w:p>
            <w:pPr>
              <w:adjustRightInd w:val="0"/>
              <w:snapToGrid w:val="0"/>
              <w:spacing w:line="260" w:lineRule="exact"/>
              <w:ind w:firstLine="480"/>
              <w:textAlignment w:val="baseline"/>
              <w:rPr>
                <w:rFonts w:ascii="宋体"/>
                <w:sz w:val="22"/>
                <w:szCs w:val="22"/>
                <w:highlight w:val="none"/>
              </w:rPr>
            </w:pPr>
            <w:r>
              <w:rPr>
                <w:rFonts w:ascii="宋体" w:hAnsi="宋体" w:cs="宋体"/>
                <w:sz w:val="22"/>
                <w:szCs w:val="22"/>
                <w:highlight w:val="none"/>
              </w:rPr>
              <w:t>18.2</w:t>
            </w:r>
            <w:r>
              <w:rPr>
                <w:rFonts w:hint="eastAsia" w:ascii="宋体" w:hAnsi="宋体" w:cs="宋体"/>
                <w:sz w:val="22"/>
                <w:szCs w:val="22"/>
                <w:highlight w:val="none"/>
              </w:rPr>
              <w:t>对没有实质性响应的投标文件将不进行评估，其投标将被拒绝。具体规定详见本章本条款号内容。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adjustRightInd w:val="0"/>
              <w:snapToGrid w:val="0"/>
              <w:spacing w:line="260" w:lineRule="exact"/>
              <w:jc w:val="center"/>
              <w:textAlignment w:val="baseline"/>
              <w:rPr>
                <w:rFonts w:ascii="宋体"/>
                <w:w w:val="80"/>
                <w:sz w:val="18"/>
                <w:szCs w:val="20"/>
                <w:highlight w:val="none"/>
              </w:rPr>
            </w:pPr>
            <w:r>
              <w:rPr>
                <w:rFonts w:hint="eastAsia" w:ascii="宋体" w:hAnsi="宋体" w:cs="宋体"/>
                <w:w w:val="80"/>
                <w:sz w:val="20"/>
                <w:szCs w:val="20"/>
                <w:highlight w:val="none"/>
              </w:rPr>
              <w:t>13</w:t>
            </w:r>
          </w:p>
        </w:tc>
        <w:tc>
          <w:tcPr>
            <w:tcW w:w="1096" w:type="dxa"/>
            <w:vMerge w:val="continue"/>
            <w:vAlign w:val="center"/>
          </w:tcPr>
          <w:p>
            <w:pPr>
              <w:adjustRightInd w:val="0"/>
              <w:snapToGrid w:val="0"/>
              <w:spacing w:line="260" w:lineRule="exact"/>
              <w:textAlignment w:val="baseline"/>
              <w:rPr>
                <w:rFonts w:ascii="宋体"/>
                <w:sz w:val="18"/>
                <w:szCs w:val="20"/>
                <w:highlight w:val="none"/>
              </w:rPr>
            </w:pPr>
          </w:p>
        </w:tc>
        <w:tc>
          <w:tcPr>
            <w:tcW w:w="8220" w:type="dxa"/>
            <w:gridSpan w:val="2"/>
            <w:vAlign w:val="center"/>
          </w:tcPr>
          <w:p>
            <w:pPr>
              <w:adjustRightInd w:val="0"/>
              <w:snapToGrid w:val="0"/>
              <w:spacing w:line="260" w:lineRule="exact"/>
              <w:ind w:firstLine="482"/>
              <w:textAlignment w:val="baseline"/>
              <w:rPr>
                <w:rFonts w:ascii="宋体"/>
                <w:sz w:val="22"/>
                <w:szCs w:val="22"/>
                <w:highlight w:val="none"/>
              </w:rPr>
            </w:pPr>
            <w:r>
              <w:rPr>
                <w:rFonts w:ascii="宋体" w:hAnsi="宋体" w:cs="宋体"/>
                <w:sz w:val="22"/>
                <w:szCs w:val="22"/>
                <w:highlight w:val="none"/>
              </w:rPr>
              <w:t>18</w:t>
            </w:r>
            <w:r>
              <w:rPr>
                <w:rFonts w:ascii="宋体" w:cs="宋体"/>
                <w:sz w:val="22"/>
                <w:szCs w:val="22"/>
                <w:highlight w:val="none"/>
              </w:rPr>
              <w:t>.</w:t>
            </w:r>
            <w:r>
              <w:rPr>
                <w:rFonts w:ascii="宋体" w:hAnsi="宋体" w:cs="宋体"/>
                <w:sz w:val="22"/>
                <w:szCs w:val="22"/>
                <w:highlight w:val="none"/>
              </w:rPr>
              <w:t>2.1.1</w:t>
            </w:r>
            <w:r>
              <w:rPr>
                <w:rFonts w:hint="eastAsia" w:ascii="宋体" w:hAnsi="宋体" w:cs="宋体"/>
                <w:sz w:val="22"/>
                <w:szCs w:val="22"/>
                <w:highlight w:val="none"/>
              </w:rPr>
              <w:t>重大偏差：存在招标文件规定属于重大偏差情形的，投标文件也将被视为未实质性响应招标文件要求，其投标将被拒绝。具体规定详见本章本条款号内容。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adjustRightInd w:val="0"/>
              <w:snapToGrid w:val="0"/>
              <w:spacing w:line="260" w:lineRule="exact"/>
              <w:jc w:val="center"/>
              <w:textAlignment w:val="baseline"/>
              <w:rPr>
                <w:rFonts w:ascii="宋体" w:hAnsi="宋体" w:cs="宋体"/>
                <w:w w:val="80"/>
                <w:sz w:val="20"/>
                <w:szCs w:val="20"/>
                <w:highlight w:val="none"/>
              </w:rPr>
            </w:pPr>
            <w:r>
              <w:rPr>
                <w:rFonts w:hint="eastAsia" w:ascii="宋体" w:hAnsi="宋体" w:cs="宋体"/>
                <w:w w:val="80"/>
                <w:sz w:val="20"/>
                <w:szCs w:val="20"/>
                <w:highlight w:val="none"/>
              </w:rPr>
              <w:t>14</w:t>
            </w:r>
          </w:p>
        </w:tc>
        <w:tc>
          <w:tcPr>
            <w:tcW w:w="1096" w:type="dxa"/>
            <w:vMerge w:val="continue"/>
            <w:vAlign w:val="center"/>
          </w:tcPr>
          <w:p>
            <w:pPr>
              <w:adjustRightInd w:val="0"/>
              <w:snapToGrid w:val="0"/>
              <w:spacing w:line="260" w:lineRule="exact"/>
              <w:ind w:firstLine="482"/>
              <w:textAlignment w:val="baseline"/>
              <w:rPr>
                <w:rFonts w:ascii="宋体" w:hAnsi="宋体" w:cs="宋体"/>
                <w:sz w:val="22"/>
                <w:szCs w:val="22"/>
                <w:highlight w:val="none"/>
              </w:rPr>
            </w:pPr>
          </w:p>
        </w:tc>
        <w:tc>
          <w:tcPr>
            <w:tcW w:w="8220" w:type="dxa"/>
            <w:gridSpan w:val="2"/>
            <w:vAlign w:val="center"/>
          </w:tcPr>
          <w:p>
            <w:pPr>
              <w:adjustRightInd w:val="0"/>
              <w:snapToGrid w:val="0"/>
              <w:spacing w:line="260" w:lineRule="exact"/>
              <w:ind w:firstLine="482"/>
              <w:textAlignment w:val="baseline"/>
              <w:rPr>
                <w:rFonts w:ascii="宋体" w:hAnsi="宋体" w:cs="宋体"/>
                <w:sz w:val="22"/>
                <w:szCs w:val="22"/>
                <w:highlight w:val="none"/>
              </w:rPr>
            </w:pPr>
            <w:r>
              <w:rPr>
                <w:rFonts w:ascii="宋体" w:hAnsi="宋体" w:cs="宋体"/>
                <w:sz w:val="22"/>
                <w:szCs w:val="22"/>
                <w:highlight w:val="none"/>
              </w:rPr>
              <w:t xml:space="preserve">18.6 </w:t>
            </w:r>
            <w:r>
              <w:rPr>
                <w:rFonts w:hint="eastAsia" w:ascii="宋体" w:hAnsi="宋体" w:cs="宋体"/>
                <w:sz w:val="22"/>
                <w:szCs w:val="22"/>
                <w:highlight w:val="none"/>
              </w:rPr>
              <w:t>评标委员会在评标过程中发现投标人存在招标文件规定情形之一的，可认定其有串通投标行为，并做出其投标无效的决定。具体规定详见本章本条款号内容。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adjustRightInd w:val="0"/>
              <w:snapToGrid w:val="0"/>
              <w:spacing w:line="260" w:lineRule="exact"/>
              <w:jc w:val="center"/>
              <w:textAlignment w:val="baseline"/>
              <w:rPr>
                <w:rFonts w:ascii="宋体" w:hAnsi="宋体" w:cs="宋体"/>
                <w:w w:val="80"/>
                <w:sz w:val="20"/>
                <w:szCs w:val="20"/>
                <w:highlight w:val="none"/>
              </w:rPr>
            </w:pPr>
            <w:r>
              <w:rPr>
                <w:rFonts w:hint="eastAsia" w:ascii="宋体" w:hAnsi="宋体" w:cs="宋体"/>
                <w:w w:val="80"/>
                <w:sz w:val="20"/>
                <w:szCs w:val="20"/>
                <w:highlight w:val="none"/>
              </w:rPr>
              <w:t>15</w:t>
            </w:r>
          </w:p>
        </w:tc>
        <w:tc>
          <w:tcPr>
            <w:tcW w:w="1096" w:type="dxa"/>
            <w:vMerge w:val="continue"/>
            <w:vAlign w:val="center"/>
          </w:tcPr>
          <w:p>
            <w:pPr>
              <w:adjustRightInd w:val="0"/>
              <w:snapToGrid w:val="0"/>
              <w:spacing w:line="260" w:lineRule="exact"/>
              <w:textAlignment w:val="baseline"/>
              <w:rPr>
                <w:rFonts w:ascii="宋体"/>
                <w:sz w:val="18"/>
                <w:szCs w:val="20"/>
                <w:highlight w:val="none"/>
              </w:rPr>
            </w:pPr>
          </w:p>
        </w:tc>
        <w:tc>
          <w:tcPr>
            <w:tcW w:w="8220" w:type="dxa"/>
            <w:gridSpan w:val="2"/>
            <w:vAlign w:val="center"/>
          </w:tcPr>
          <w:p>
            <w:pPr>
              <w:adjustRightInd w:val="0"/>
              <w:snapToGrid w:val="0"/>
              <w:spacing w:line="260" w:lineRule="exact"/>
              <w:ind w:firstLine="482"/>
              <w:textAlignment w:val="baseline"/>
              <w:rPr>
                <w:rFonts w:ascii="宋体"/>
                <w:sz w:val="22"/>
                <w:szCs w:val="22"/>
                <w:highlight w:val="none"/>
              </w:rPr>
            </w:pPr>
            <w:r>
              <w:rPr>
                <w:rFonts w:ascii="宋体" w:hAnsi="宋体" w:cs="宋体"/>
                <w:sz w:val="22"/>
                <w:szCs w:val="22"/>
                <w:highlight w:val="none"/>
              </w:rPr>
              <w:t>20.3</w:t>
            </w:r>
            <w:r>
              <w:rPr>
                <w:rFonts w:hint="eastAsia" w:ascii="宋体" w:hAnsi="宋体" w:cs="宋体"/>
                <w:sz w:val="22"/>
                <w:szCs w:val="22"/>
                <w:highlight w:val="none"/>
              </w:rPr>
              <w:t>评标委员会认为投标人的报价明显低于其他通过实质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adjustRightInd w:val="0"/>
              <w:snapToGrid w:val="0"/>
              <w:spacing w:line="260" w:lineRule="exact"/>
              <w:jc w:val="center"/>
              <w:textAlignment w:val="baseline"/>
              <w:rPr>
                <w:rFonts w:ascii="宋体"/>
                <w:w w:val="80"/>
                <w:sz w:val="18"/>
                <w:szCs w:val="20"/>
                <w:highlight w:val="none"/>
              </w:rPr>
            </w:pPr>
            <w:r>
              <w:rPr>
                <w:rFonts w:hint="eastAsia" w:ascii="宋体" w:hAnsi="宋体" w:cs="宋体"/>
                <w:w w:val="80"/>
                <w:sz w:val="20"/>
                <w:szCs w:val="20"/>
                <w:highlight w:val="none"/>
              </w:rPr>
              <w:t>16</w:t>
            </w:r>
          </w:p>
        </w:tc>
        <w:tc>
          <w:tcPr>
            <w:tcW w:w="1096" w:type="dxa"/>
            <w:vMerge w:val="continue"/>
            <w:vAlign w:val="center"/>
          </w:tcPr>
          <w:p>
            <w:pPr>
              <w:adjustRightInd w:val="0"/>
              <w:snapToGrid w:val="0"/>
              <w:spacing w:line="260" w:lineRule="exact"/>
              <w:textAlignment w:val="baseline"/>
              <w:rPr>
                <w:rFonts w:ascii="宋体"/>
                <w:sz w:val="18"/>
                <w:szCs w:val="20"/>
                <w:highlight w:val="none"/>
              </w:rPr>
            </w:pPr>
          </w:p>
        </w:tc>
        <w:tc>
          <w:tcPr>
            <w:tcW w:w="8220" w:type="dxa"/>
            <w:gridSpan w:val="2"/>
            <w:vAlign w:val="center"/>
          </w:tcPr>
          <w:p>
            <w:pPr>
              <w:adjustRightInd w:val="0"/>
              <w:snapToGrid w:val="0"/>
              <w:spacing w:line="260" w:lineRule="exact"/>
              <w:ind w:firstLine="482"/>
              <w:textAlignment w:val="baseline"/>
              <w:rPr>
                <w:rFonts w:ascii="宋体"/>
                <w:sz w:val="22"/>
                <w:szCs w:val="22"/>
                <w:highlight w:val="none"/>
              </w:rPr>
            </w:pPr>
            <w:r>
              <w:rPr>
                <w:rFonts w:ascii="宋体" w:hAnsi="宋体" w:cs="宋体"/>
                <w:sz w:val="22"/>
                <w:szCs w:val="22"/>
                <w:highlight w:val="none"/>
              </w:rPr>
              <w:t>20.4</w:t>
            </w:r>
            <w:r>
              <w:rPr>
                <w:rFonts w:hint="eastAsia" w:ascii="宋体" w:hAnsi="宋体" w:cs="宋体"/>
                <w:sz w:val="22"/>
                <w:szCs w:val="22"/>
                <w:highlight w:val="none"/>
              </w:rPr>
              <w:t>如果投标人不接受按招标文件规定的方法对投标文件中的算术错误进行更正的，其投标将被拒绝，投标保证金不予退还。具体规定详见本章本条款号内容。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adjustRightInd w:val="0"/>
              <w:snapToGrid w:val="0"/>
              <w:spacing w:line="260" w:lineRule="exact"/>
              <w:jc w:val="center"/>
              <w:textAlignment w:val="baseline"/>
              <w:rPr>
                <w:rFonts w:ascii="宋体"/>
                <w:w w:val="80"/>
                <w:sz w:val="18"/>
                <w:szCs w:val="20"/>
                <w:highlight w:val="none"/>
              </w:rPr>
            </w:pPr>
            <w:r>
              <w:rPr>
                <w:rFonts w:hint="eastAsia" w:ascii="宋体" w:hAnsi="宋体" w:cs="宋体"/>
                <w:w w:val="80"/>
                <w:sz w:val="20"/>
                <w:szCs w:val="20"/>
                <w:highlight w:val="none"/>
              </w:rPr>
              <w:t>17</w:t>
            </w:r>
          </w:p>
        </w:tc>
        <w:tc>
          <w:tcPr>
            <w:tcW w:w="9316" w:type="dxa"/>
            <w:gridSpan w:val="3"/>
            <w:vAlign w:val="center"/>
          </w:tcPr>
          <w:p>
            <w:pPr>
              <w:adjustRightInd w:val="0"/>
              <w:snapToGrid w:val="0"/>
              <w:spacing w:line="260" w:lineRule="exact"/>
              <w:textAlignment w:val="baseline"/>
              <w:rPr>
                <w:rFonts w:ascii="宋体"/>
                <w:sz w:val="22"/>
                <w:szCs w:val="22"/>
                <w:highlight w:val="none"/>
              </w:rPr>
            </w:pPr>
            <w:r>
              <w:rPr>
                <w:rFonts w:hint="eastAsia" w:ascii="宋体" w:hAnsi="宋体" w:cs="宋体"/>
                <w:sz w:val="22"/>
                <w:szCs w:val="22"/>
                <w:highlight w:val="none"/>
              </w:rPr>
              <w:t>不满足招标文件第三章“招标内容及要求”</w:t>
            </w:r>
            <w:r>
              <w:rPr>
                <w:rFonts w:ascii="宋体" w:hAnsi="宋体" w:cs="宋体"/>
                <w:sz w:val="22"/>
                <w:szCs w:val="22"/>
                <w:highlight w:val="none"/>
              </w:rPr>
              <w:t xml:space="preserve"> </w:t>
            </w:r>
            <w:r>
              <w:rPr>
                <w:rFonts w:hint="eastAsia" w:ascii="宋体" w:hAnsi="宋体" w:cs="宋体"/>
                <w:sz w:val="22"/>
                <w:szCs w:val="22"/>
                <w:highlight w:val="none"/>
              </w:rPr>
              <w:t>中带</w:t>
            </w:r>
            <w:r>
              <w:rPr>
                <w:rFonts w:hint="eastAsia" w:ascii="宋体" w:hAnsi="宋体" w:cs="宋体"/>
                <w:b/>
                <w:bCs/>
                <w:spacing w:val="-12"/>
                <w:sz w:val="22"/>
                <w:szCs w:val="22"/>
                <w:highlight w:val="none"/>
              </w:rPr>
              <w:t>★号条款之</w:t>
            </w:r>
            <w:r>
              <w:rPr>
                <w:rFonts w:hint="eastAsia" w:ascii="宋体" w:hAnsi="宋体" w:cs="宋体"/>
                <w:sz w:val="22"/>
                <w:szCs w:val="22"/>
                <w:highlight w:val="none"/>
              </w:rPr>
              <w:t>规定的将导致投标无效。具体详见第三章本条款号内容。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adjustRightInd w:val="0"/>
              <w:snapToGrid w:val="0"/>
              <w:spacing w:line="260" w:lineRule="exact"/>
              <w:jc w:val="center"/>
              <w:textAlignment w:val="baseline"/>
              <w:rPr>
                <w:rFonts w:ascii="宋体" w:hAnsi="宋体" w:cs="宋体"/>
                <w:w w:val="80"/>
                <w:sz w:val="20"/>
                <w:szCs w:val="20"/>
                <w:highlight w:val="none"/>
              </w:rPr>
            </w:pPr>
            <w:r>
              <w:rPr>
                <w:rFonts w:hint="eastAsia" w:ascii="宋体" w:hAnsi="宋体" w:cs="宋体"/>
                <w:w w:val="80"/>
                <w:sz w:val="20"/>
                <w:szCs w:val="20"/>
                <w:highlight w:val="none"/>
              </w:rPr>
              <w:t>18</w:t>
            </w:r>
          </w:p>
        </w:tc>
        <w:tc>
          <w:tcPr>
            <w:tcW w:w="9316" w:type="dxa"/>
            <w:gridSpan w:val="3"/>
            <w:vAlign w:val="center"/>
          </w:tcPr>
          <w:p>
            <w:pPr>
              <w:adjustRightInd w:val="0"/>
              <w:snapToGrid w:val="0"/>
              <w:spacing w:line="260" w:lineRule="exact"/>
              <w:textAlignment w:val="baseline"/>
              <w:rPr>
                <w:rFonts w:ascii="宋体" w:hAnsi="宋体" w:cs="宋体"/>
                <w:sz w:val="22"/>
                <w:szCs w:val="22"/>
                <w:highlight w:val="none"/>
              </w:rPr>
            </w:pPr>
            <w:r>
              <w:rPr>
                <w:rFonts w:hint="eastAsia" w:ascii="宋体" w:hAnsi="宋体" w:cs="宋体"/>
                <w:sz w:val="22"/>
                <w:szCs w:val="22"/>
                <w:highlight w:val="none"/>
              </w:rPr>
              <w:t>投标人上传的网上投标文件由商务部分、技术部分与报价部分组成，在网上投标时必须报价并上传商务部分、技术部分投标文件，商务部分、技术部分投标文件中不得有报价部分，且投标人CA要带现场解密，否则为无效投标。</w:t>
            </w:r>
          </w:p>
        </w:tc>
      </w:tr>
    </w:tbl>
    <w:p>
      <w:pPr>
        <w:spacing w:line="400" w:lineRule="exact"/>
        <w:jc w:val="center"/>
        <w:rPr>
          <w:rFonts w:ascii="宋体" w:hAnsi="宋体" w:cs="宋体"/>
          <w:b/>
          <w:bCs/>
          <w:sz w:val="30"/>
          <w:szCs w:val="30"/>
          <w:highlight w:val="none"/>
        </w:rPr>
      </w:pPr>
    </w:p>
    <w:p>
      <w:pPr>
        <w:spacing w:line="400" w:lineRule="exact"/>
        <w:jc w:val="center"/>
        <w:rPr>
          <w:rFonts w:ascii="宋体" w:hAnsi="宋体" w:cs="宋体"/>
          <w:b/>
          <w:bCs/>
          <w:sz w:val="30"/>
          <w:szCs w:val="30"/>
          <w:highlight w:val="none"/>
        </w:rPr>
      </w:pPr>
      <w:r>
        <w:rPr>
          <w:rFonts w:hint="eastAsia" w:ascii="宋体" w:hAnsi="宋体" w:cs="宋体"/>
          <w:b/>
          <w:bCs/>
          <w:sz w:val="30"/>
          <w:szCs w:val="30"/>
          <w:highlight w:val="none"/>
        </w:rPr>
        <w:t>评标方法与标准附表</w:t>
      </w:r>
    </w:p>
    <w:tbl>
      <w:tblPr>
        <w:tblStyle w:val="31"/>
        <w:tblW w:w="9984"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984" w:type="dxa"/>
          </w:tcPr>
          <w:p>
            <w:pPr>
              <w:adjustRightInd w:val="0"/>
              <w:snapToGrid w:val="0"/>
              <w:spacing w:line="400" w:lineRule="exact"/>
              <w:ind w:firstLine="482" w:firstLineChars="200"/>
              <w:rPr>
                <w:rFonts w:ascii="宋体"/>
                <w:b/>
                <w:bCs/>
                <w:sz w:val="24"/>
                <w:szCs w:val="24"/>
                <w:highlight w:val="none"/>
              </w:rPr>
            </w:pPr>
            <w:r>
              <w:rPr>
                <w:rFonts w:hint="eastAsia" w:ascii="宋体" w:hAnsi="宋体" w:cs="宋体"/>
                <w:b/>
                <w:bCs/>
                <w:sz w:val="24"/>
                <w:szCs w:val="24"/>
                <w:highlight w:val="none"/>
              </w:rPr>
              <w:t>一、评标方法：</w:t>
            </w:r>
          </w:p>
          <w:p>
            <w:pPr>
              <w:adjustRightInd w:val="0"/>
              <w:snapToGrid w:val="0"/>
              <w:spacing w:line="400" w:lineRule="exact"/>
              <w:ind w:firstLine="482" w:firstLineChars="200"/>
              <w:rPr>
                <w:rFonts w:ascii="仿宋" w:hAnsi="仿宋" w:eastAsia="仿宋"/>
                <w:kern w:val="0"/>
                <w:sz w:val="29"/>
                <w:szCs w:val="29"/>
                <w:highlight w:val="none"/>
              </w:rPr>
            </w:pPr>
            <w:r>
              <w:rPr>
                <w:rFonts w:hint="eastAsia" w:ascii="宋体" w:hAnsi="宋体" w:cs="宋体"/>
                <w:b/>
                <w:bCs/>
                <w:sz w:val="24"/>
                <w:szCs w:val="24"/>
                <w:highlight w:val="none"/>
              </w:rPr>
              <w:t>（一）、本项目采用综合评分法</w:t>
            </w:r>
            <w:r>
              <w:rPr>
                <w:rFonts w:hint="eastAsia" w:ascii="宋体" w:hAnsi="宋体" w:cs="宋体"/>
                <w:sz w:val="24"/>
                <w:szCs w:val="24"/>
                <w:highlight w:val="none"/>
              </w:rPr>
              <w:t>，是指投标文件满足招标文件全部实质性要求且按照评审因素的量化指标评审得分最高的供应商为中标候选人的评标方法。</w:t>
            </w:r>
          </w:p>
          <w:p>
            <w:pPr>
              <w:adjustRightInd w:val="0"/>
              <w:snapToGrid w:val="0"/>
              <w:spacing w:line="400" w:lineRule="exact"/>
              <w:ind w:firstLine="482" w:firstLineChars="200"/>
              <w:rPr>
                <w:rFonts w:ascii="宋体"/>
                <w:b/>
                <w:bCs/>
                <w:sz w:val="24"/>
                <w:szCs w:val="24"/>
                <w:highlight w:val="none"/>
              </w:rPr>
            </w:pPr>
            <w:r>
              <w:rPr>
                <w:rFonts w:hint="eastAsia" w:ascii="宋体" w:hAnsi="宋体" w:cs="宋体"/>
                <w:b/>
                <w:bCs/>
                <w:sz w:val="24"/>
                <w:szCs w:val="24"/>
                <w:highlight w:val="none"/>
              </w:rPr>
              <w:t>（二）、实行两阶段评标：</w:t>
            </w:r>
          </w:p>
          <w:p>
            <w:pPr>
              <w:adjustRightInd w:val="0"/>
              <w:snapToGrid w:val="0"/>
              <w:spacing w:line="400" w:lineRule="exact"/>
              <w:ind w:firstLine="481"/>
              <w:rPr>
                <w:rFonts w:ascii="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、第一阶段：对各投标人的投标文件进行资格性、符合性检查后再对技术、商务部分进行评审。</w:t>
            </w:r>
          </w:p>
          <w:p>
            <w:pPr>
              <w:adjustRightInd w:val="0"/>
              <w:snapToGrid w:val="0"/>
              <w:spacing w:line="400" w:lineRule="exact"/>
              <w:ind w:firstLine="723" w:firstLineChars="300"/>
              <w:rPr>
                <w:rFonts w:ascii="宋体"/>
                <w:b/>
                <w:bCs/>
                <w:sz w:val="24"/>
                <w:szCs w:val="24"/>
                <w:highlight w:val="none"/>
              </w:rPr>
            </w:pPr>
            <w:r>
              <w:rPr>
                <w:rFonts w:hint="eastAsia" w:ascii="宋体" w:hAnsi="宋体" w:cs="宋体"/>
                <w:b/>
                <w:bCs/>
                <w:sz w:val="24"/>
                <w:szCs w:val="24"/>
                <w:highlight w:val="none"/>
              </w:rPr>
              <w:t xml:space="preserve">评标委员会根据招标文件要求对投标文件进行资格性检查，不满足招标文件规定资格标准的投标无效。 </w:t>
            </w:r>
          </w:p>
          <w:p>
            <w:pPr>
              <w:adjustRightInd w:val="0"/>
              <w:snapToGrid w:val="0"/>
              <w:spacing w:line="400" w:lineRule="exact"/>
              <w:ind w:firstLine="710" w:firstLineChars="296"/>
              <w:rPr>
                <w:rFonts w:ascii="宋体"/>
                <w:sz w:val="24"/>
                <w:szCs w:val="24"/>
                <w:highlight w:val="none"/>
              </w:rPr>
            </w:pPr>
            <w:r>
              <w:rPr>
                <w:rFonts w:hint="eastAsia" w:ascii="宋体" w:hAnsi="宋体" w:cs="宋体"/>
                <w:sz w:val="24"/>
                <w:szCs w:val="24"/>
                <w:highlight w:val="none"/>
              </w:rPr>
              <w:t>评标委员会还将从投标文件的有效性、完整性和对招标文件的响应程度进行审查，以确定是否符合对招标文件的实质性要求作出响应，未满足招标文件实质性要求的投标无效。具体条款见本章第</w:t>
            </w:r>
            <w:r>
              <w:rPr>
                <w:rFonts w:ascii="宋体" w:hAnsi="宋体" w:cs="宋体"/>
                <w:sz w:val="24"/>
                <w:szCs w:val="24"/>
                <w:highlight w:val="none"/>
              </w:rPr>
              <w:t>18</w:t>
            </w:r>
            <w:r>
              <w:rPr>
                <w:rFonts w:hint="eastAsia" w:ascii="宋体" w:hAnsi="宋体" w:cs="宋体"/>
                <w:sz w:val="24"/>
                <w:szCs w:val="24"/>
                <w:highlight w:val="none"/>
              </w:rPr>
              <w:t>项。</w:t>
            </w:r>
          </w:p>
          <w:p>
            <w:pPr>
              <w:adjustRightInd w:val="0"/>
              <w:snapToGrid w:val="0"/>
              <w:spacing w:line="400" w:lineRule="exact"/>
              <w:ind w:firstLine="600" w:firstLineChars="250"/>
              <w:rPr>
                <w:rFonts w:ascii="宋体"/>
                <w:sz w:val="24"/>
                <w:szCs w:val="24"/>
                <w:highlight w:val="none"/>
              </w:rPr>
            </w:pPr>
            <w:r>
              <w:rPr>
                <w:rFonts w:hint="eastAsia" w:ascii="宋体" w:hAnsi="宋体" w:cs="宋体"/>
                <w:sz w:val="24"/>
                <w:szCs w:val="24"/>
                <w:highlight w:val="none"/>
              </w:rPr>
              <w:t>评标委员会对资格检查、符合性检查合格的投标文件进行商务和技术评估，综合比较与评价并根据招标文件规定的评标标准进行评分，评标委员会各成员的评分计算出的平均分为各投标人技术、商务部分得分。</w:t>
            </w:r>
          </w:p>
          <w:p>
            <w:pPr>
              <w:adjustRightInd w:val="0"/>
              <w:snapToGrid w:val="0"/>
              <w:spacing w:line="400" w:lineRule="exact"/>
              <w:ind w:firstLine="481"/>
              <w:rPr>
                <w:rFonts w:ascii="宋体"/>
                <w:b/>
                <w:bCs/>
                <w:sz w:val="24"/>
                <w:szCs w:val="24"/>
                <w:highlight w:val="none"/>
              </w:rPr>
            </w:pPr>
            <w:r>
              <w:rPr>
                <w:rFonts w:hint="eastAsia" w:ascii="宋体" w:hAnsi="宋体" w:cs="宋体"/>
                <w:b/>
                <w:bCs/>
                <w:sz w:val="24"/>
                <w:szCs w:val="24"/>
                <w:highlight w:val="none"/>
              </w:rPr>
              <w:t>资格性或符合性检查不合格的投标人其投标无效，不再进入第二阶段评审（报价卷符合性检查不合格情形除外）。</w:t>
            </w:r>
          </w:p>
          <w:p>
            <w:pPr>
              <w:adjustRightInd w:val="0"/>
              <w:snapToGrid w:val="0"/>
              <w:spacing w:line="400" w:lineRule="exact"/>
              <w:ind w:firstLine="481"/>
              <w:rPr>
                <w:rFonts w:ascii="宋体"/>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、第二阶段：进行报价部分评审。</w:t>
            </w:r>
          </w:p>
          <w:p>
            <w:pPr>
              <w:adjustRightInd w:val="0"/>
              <w:snapToGrid w:val="0"/>
              <w:spacing w:line="400" w:lineRule="exact"/>
              <w:ind w:firstLine="481"/>
              <w:rPr>
                <w:rFonts w:ascii="宋体"/>
                <w:sz w:val="24"/>
                <w:szCs w:val="24"/>
                <w:highlight w:val="none"/>
              </w:rPr>
            </w:pPr>
            <w:r>
              <w:rPr>
                <w:rFonts w:hint="eastAsia" w:ascii="宋体" w:hAnsi="宋体" w:cs="宋体"/>
                <w:sz w:val="24"/>
                <w:szCs w:val="24"/>
                <w:highlight w:val="none"/>
              </w:rPr>
              <w:t>评标委员会按招标文件规定的评标方法和标准，评出实质性响应招标文件报价要求的投标人，按招标文件规定的价格公式计算各投标人报价部分得分（备注：如有算术错误的修正，合格投标人其投标报价按投标人须知第20.4项进行算术性修正）</w:t>
            </w:r>
            <w:r>
              <w:rPr>
                <w:rFonts w:hint="eastAsia" w:ascii="宋体" w:hAnsi="宋体" w:cs="宋体"/>
                <w:kern w:val="0"/>
                <w:sz w:val="24"/>
                <w:szCs w:val="24"/>
                <w:highlight w:val="none"/>
              </w:rPr>
              <w:t>。</w:t>
            </w:r>
          </w:p>
          <w:p>
            <w:pPr>
              <w:adjustRightInd w:val="0"/>
              <w:snapToGrid w:val="0"/>
              <w:spacing w:line="400" w:lineRule="exact"/>
              <w:ind w:firstLine="435"/>
              <w:rPr>
                <w:rFonts w:ascii="宋体"/>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、推荐中标侯选人：</w:t>
            </w:r>
            <w:r>
              <w:rPr>
                <w:rFonts w:hint="eastAsia" w:ascii="宋体" w:hAnsi="宋体" w:cs="宋体"/>
                <w:sz w:val="24"/>
                <w:szCs w:val="24"/>
                <w:highlight w:val="none"/>
              </w:rPr>
              <w:t>将各投标人技术部分得分、商务部分得分及价格部分得分相加计算出各合格投标人的总分值并从高到低排序，得分最高的投标人将被排序在前。</w:t>
            </w:r>
          </w:p>
          <w:p>
            <w:pPr>
              <w:adjustRightInd w:val="0"/>
              <w:snapToGrid w:val="0"/>
              <w:spacing w:line="400" w:lineRule="exact"/>
              <w:ind w:firstLine="435"/>
              <w:rPr>
                <w:rFonts w:ascii="宋体" w:hAnsi="宋体" w:cs="宋体"/>
                <w:b/>
                <w:bCs/>
                <w:sz w:val="24"/>
                <w:szCs w:val="24"/>
                <w:highlight w:val="none"/>
              </w:rPr>
            </w:pPr>
            <w:r>
              <w:rPr>
                <w:rFonts w:hint="eastAsia" w:ascii="宋体" w:hAnsi="宋体" w:cs="宋体"/>
                <w:sz w:val="24"/>
                <w:szCs w:val="24"/>
                <w:highlight w:val="none"/>
              </w:rPr>
              <w:t>若总分值相同的，则投标报价低的投标人被排序在前；若总分值相同且投标报价相同的，则按技术部分得分、商务部分得分的高低依次排序，若技术部分、商务部分得分均相同的，则以随机抽取方式排序。</w:t>
            </w:r>
          </w:p>
          <w:p>
            <w:pPr>
              <w:adjustRightInd w:val="0"/>
              <w:snapToGrid w:val="0"/>
              <w:spacing w:line="360" w:lineRule="exact"/>
              <w:ind w:firstLine="435"/>
              <w:rPr>
                <w:rFonts w:ascii="宋体"/>
                <w:b/>
                <w:bCs/>
                <w:sz w:val="24"/>
                <w:szCs w:val="24"/>
                <w:highlight w:val="none"/>
              </w:rPr>
            </w:pPr>
            <w:r>
              <w:rPr>
                <w:rFonts w:hint="eastAsia" w:ascii="宋体" w:hAnsi="宋体" w:cs="宋体"/>
                <w:b/>
                <w:bCs/>
                <w:sz w:val="24"/>
                <w:szCs w:val="24"/>
                <w:highlight w:val="none"/>
              </w:rPr>
              <w:t>二、评分标准：</w:t>
            </w:r>
          </w:p>
          <w:tbl>
            <w:tblPr>
              <w:tblStyle w:val="31"/>
              <w:tblpPr w:leftFromText="180" w:rightFromText="180" w:vertAnchor="text" w:horzAnchor="page" w:tblpX="270" w:tblpY="31"/>
              <w:tblOverlap w:val="never"/>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8"/>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2" w:type="dxa"/>
                  <w:gridSpan w:val="2"/>
                  <w:tcBorders>
                    <w:top w:val="single" w:color="auto" w:sz="4" w:space="0"/>
                    <w:left w:val="single" w:color="auto" w:sz="4" w:space="0"/>
                    <w:bottom w:val="single" w:color="auto" w:sz="4" w:space="0"/>
                    <w:right w:val="single" w:color="auto" w:sz="4" w:space="0"/>
                  </w:tcBorders>
                  <w:shd w:val="clear" w:color="auto" w:fill="CCCCCC"/>
                  <w:vAlign w:val="center"/>
                </w:tcPr>
                <w:p>
                  <w:pPr>
                    <w:adjustRightInd w:val="0"/>
                    <w:snapToGrid w:val="0"/>
                    <w:spacing w:line="360" w:lineRule="exact"/>
                    <w:ind w:right="-947" w:rightChars="-451"/>
                    <w:rPr>
                      <w:rFonts w:ascii="宋体"/>
                      <w:b/>
                      <w:bCs/>
                      <w:sz w:val="24"/>
                      <w:szCs w:val="24"/>
                      <w:highlight w:val="none"/>
                    </w:rPr>
                  </w:pPr>
                  <w:r>
                    <w:rPr>
                      <w:rFonts w:hint="eastAsia" w:ascii="宋体" w:hAnsi="宋体" w:cs="宋体"/>
                      <w:b/>
                      <w:bCs/>
                      <w:sz w:val="24"/>
                      <w:szCs w:val="24"/>
                      <w:highlight w:val="none"/>
                    </w:rPr>
                    <w:t>各部分评标项分值如下：各投标人的最终得分为</w:t>
                  </w:r>
                  <w:r>
                    <w:rPr>
                      <w:rFonts w:ascii="宋体" w:hAnsi="宋体" w:cs="宋体"/>
                      <w:b/>
                      <w:bCs/>
                      <w:sz w:val="24"/>
                      <w:szCs w:val="24"/>
                      <w:highlight w:val="none"/>
                    </w:rPr>
                    <w:t>PT</w:t>
                  </w:r>
                  <w:r>
                    <w:rPr>
                      <w:rFonts w:hint="eastAsia" w:ascii="宋体" w:hAnsi="宋体" w:cs="宋体"/>
                      <w:b/>
                      <w:bCs/>
                      <w:sz w:val="24"/>
                      <w:szCs w:val="24"/>
                      <w:highlight w:val="none"/>
                    </w:rPr>
                    <w:t>＋</w:t>
                  </w:r>
                  <w:r>
                    <w:rPr>
                      <w:rFonts w:ascii="宋体" w:hAnsi="宋体" w:cs="宋体"/>
                      <w:b/>
                      <w:bCs/>
                      <w:sz w:val="24"/>
                      <w:szCs w:val="24"/>
                      <w:highlight w:val="none"/>
                    </w:rPr>
                    <w:t>PB</w:t>
                  </w:r>
                  <w:r>
                    <w:rPr>
                      <w:rFonts w:hint="eastAsia" w:ascii="宋体" w:hAnsi="宋体" w:cs="宋体"/>
                      <w:b/>
                      <w:bCs/>
                      <w:sz w:val="24"/>
                      <w:szCs w:val="24"/>
                      <w:highlight w:val="none"/>
                    </w:rPr>
                    <w:t>＋</w:t>
                  </w:r>
                  <w:r>
                    <w:rPr>
                      <w:rFonts w:ascii="宋体" w:hAnsi="宋体" w:cs="宋体"/>
                      <w:b/>
                      <w:bCs/>
                      <w:sz w:val="24"/>
                      <w:szCs w:val="24"/>
                      <w:highlight w:val="none"/>
                    </w:rPr>
                    <w:t>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658" w:type="dxa"/>
                  <w:tcBorders>
                    <w:top w:val="single" w:color="auto" w:sz="4" w:space="0"/>
                    <w:left w:val="single" w:color="auto" w:sz="4" w:space="0"/>
                    <w:bottom w:val="single" w:color="auto" w:sz="4" w:space="0"/>
                    <w:right w:val="single" w:color="auto" w:sz="4" w:space="0"/>
                  </w:tcBorders>
                  <w:shd w:val="clear" w:color="auto" w:fill="CCCCCC"/>
                  <w:vAlign w:val="center"/>
                </w:tcPr>
                <w:p>
                  <w:pPr>
                    <w:adjustRightInd w:val="0"/>
                    <w:snapToGrid w:val="0"/>
                    <w:spacing w:line="360" w:lineRule="exact"/>
                    <w:jc w:val="center"/>
                    <w:rPr>
                      <w:rFonts w:ascii="宋体"/>
                      <w:b/>
                      <w:bCs/>
                      <w:sz w:val="24"/>
                      <w:szCs w:val="24"/>
                      <w:highlight w:val="none"/>
                    </w:rPr>
                  </w:pPr>
                  <w:r>
                    <w:rPr>
                      <w:rFonts w:hint="eastAsia" w:ascii="宋体" w:hAnsi="宋体" w:cs="宋体"/>
                      <w:b/>
                      <w:bCs/>
                      <w:sz w:val="24"/>
                      <w:szCs w:val="24"/>
                      <w:highlight w:val="none"/>
                    </w:rPr>
                    <w:t>合同包</w:t>
                  </w:r>
                </w:p>
              </w:tc>
              <w:tc>
                <w:tcPr>
                  <w:tcW w:w="2704" w:type="dxa"/>
                  <w:tcBorders>
                    <w:top w:val="single" w:color="auto" w:sz="4" w:space="0"/>
                    <w:left w:val="single" w:color="auto" w:sz="4" w:space="0"/>
                    <w:bottom w:val="single" w:color="auto" w:sz="4" w:space="0"/>
                    <w:right w:val="single" w:color="auto" w:sz="4" w:space="0"/>
                  </w:tcBorders>
                  <w:shd w:val="clear" w:color="auto" w:fill="CCCCCC"/>
                  <w:vAlign w:val="center"/>
                </w:tcPr>
                <w:p>
                  <w:pPr>
                    <w:adjustRightInd w:val="0"/>
                    <w:snapToGrid w:val="0"/>
                    <w:spacing w:line="360" w:lineRule="exact"/>
                    <w:jc w:val="center"/>
                    <w:rPr>
                      <w:rFonts w:ascii="宋体"/>
                      <w:b/>
                      <w:bCs/>
                      <w:sz w:val="24"/>
                      <w:szCs w:val="24"/>
                      <w:highlight w:val="none"/>
                    </w:rPr>
                  </w:pPr>
                  <w:r>
                    <w:rPr>
                      <w:rFonts w:ascii="宋体" w:hAnsi="宋体" w:cs="宋体"/>
                      <w:b/>
                      <w:bCs/>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6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sz w:val="24"/>
                      <w:szCs w:val="24"/>
                      <w:highlight w:val="none"/>
                    </w:rPr>
                  </w:pPr>
                  <w:r>
                    <w:rPr>
                      <w:rFonts w:ascii="宋体" w:hAnsi="宋体" w:cs="宋体"/>
                      <w:b/>
                      <w:bCs/>
                      <w:sz w:val="24"/>
                      <w:szCs w:val="24"/>
                      <w:highlight w:val="none"/>
                    </w:rPr>
                    <w:t>PT</w:t>
                  </w:r>
                  <w:r>
                    <w:rPr>
                      <w:rFonts w:hint="eastAsia" w:ascii="宋体" w:hAnsi="宋体" w:cs="宋体"/>
                      <w:b/>
                      <w:bCs/>
                      <w:sz w:val="24"/>
                      <w:szCs w:val="24"/>
                      <w:highlight w:val="none"/>
                    </w:rPr>
                    <w:t>：技术评标项标准总分值</w:t>
                  </w:r>
                  <w:r>
                    <w:rPr>
                      <w:rFonts w:ascii="宋体" w:hAnsi="宋体" w:cs="宋体"/>
                      <w:b/>
                      <w:bCs/>
                      <w:sz w:val="24"/>
                      <w:szCs w:val="24"/>
                      <w:highlight w:val="none"/>
                    </w:rPr>
                    <w:t xml:space="preserve"> </w:t>
                  </w:r>
                </w:p>
              </w:tc>
              <w:tc>
                <w:tcPr>
                  <w:tcW w:w="2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宋体" w:eastAsia="宋体"/>
                      <w:b/>
                      <w:bCs/>
                      <w:sz w:val="24"/>
                      <w:szCs w:val="24"/>
                      <w:highlight w:val="none"/>
                      <w:lang w:val="en-US" w:eastAsia="zh-CN"/>
                    </w:rPr>
                  </w:pPr>
                  <w:r>
                    <w:rPr>
                      <w:rFonts w:hint="eastAsia" w:ascii="宋体" w:hAnsi="宋体"/>
                      <w:b/>
                      <w:sz w:val="24"/>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6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sz w:val="24"/>
                      <w:szCs w:val="24"/>
                      <w:highlight w:val="none"/>
                    </w:rPr>
                  </w:pPr>
                  <w:r>
                    <w:rPr>
                      <w:rFonts w:ascii="宋体" w:hAnsi="宋体" w:cs="宋体"/>
                      <w:b/>
                      <w:bCs/>
                      <w:sz w:val="24"/>
                      <w:szCs w:val="24"/>
                      <w:highlight w:val="none"/>
                    </w:rPr>
                    <w:t>PB</w:t>
                  </w:r>
                  <w:r>
                    <w:rPr>
                      <w:rFonts w:hint="eastAsia" w:ascii="宋体" w:hAnsi="宋体" w:cs="宋体"/>
                      <w:b/>
                      <w:bCs/>
                      <w:sz w:val="24"/>
                      <w:szCs w:val="24"/>
                      <w:highlight w:val="none"/>
                    </w:rPr>
                    <w:t>：商务评标项标准总分值</w:t>
                  </w:r>
                </w:p>
              </w:tc>
              <w:tc>
                <w:tcPr>
                  <w:tcW w:w="2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宋体" w:eastAsia="宋体"/>
                      <w:sz w:val="24"/>
                      <w:szCs w:val="24"/>
                      <w:highlight w:val="none"/>
                      <w:lang w:val="en-US" w:eastAsia="zh-CN"/>
                    </w:rPr>
                  </w:pPr>
                  <w:r>
                    <w:rPr>
                      <w:rFonts w:hint="eastAsia" w:ascii="宋体" w:hAnsi="宋体"/>
                      <w:b/>
                      <w:sz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6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sz w:val="24"/>
                      <w:szCs w:val="24"/>
                      <w:highlight w:val="none"/>
                    </w:rPr>
                  </w:pPr>
                  <w:r>
                    <w:rPr>
                      <w:rFonts w:ascii="宋体" w:hAnsi="宋体" w:cs="宋体"/>
                      <w:b/>
                      <w:bCs/>
                      <w:sz w:val="24"/>
                      <w:szCs w:val="24"/>
                      <w:highlight w:val="none"/>
                    </w:rPr>
                    <w:t>PF</w:t>
                  </w:r>
                  <w:r>
                    <w:rPr>
                      <w:rFonts w:hint="eastAsia" w:ascii="宋体" w:hAnsi="宋体" w:cs="宋体"/>
                      <w:b/>
                      <w:bCs/>
                      <w:sz w:val="24"/>
                      <w:szCs w:val="24"/>
                      <w:highlight w:val="none"/>
                    </w:rPr>
                    <w:t>：报价评标项标准总分值</w:t>
                  </w:r>
                </w:p>
              </w:tc>
              <w:tc>
                <w:tcPr>
                  <w:tcW w:w="2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宋体" w:eastAsia="宋体"/>
                      <w:sz w:val="24"/>
                      <w:szCs w:val="24"/>
                      <w:highlight w:val="none"/>
                      <w:lang w:val="en-US" w:eastAsia="zh-CN"/>
                    </w:rPr>
                  </w:pPr>
                  <w:r>
                    <w:rPr>
                      <w:rFonts w:hint="eastAsia" w:ascii="宋体" w:hAnsi="宋体"/>
                      <w:b/>
                      <w:sz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right="342" w:rightChars="163"/>
                    <w:rPr>
                      <w:rFonts w:ascii="宋体"/>
                      <w:b/>
                      <w:bCs/>
                      <w:sz w:val="24"/>
                      <w:szCs w:val="24"/>
                      <w:highlight w:val="none"/>
                    </w:rPr>
                  </w:pPr>
                  <w:r>
                    <w:rPr>
                      <w:rFonts w:hint="eastAsia" w:ascii="宋体" w:hAnsi="宋体" w:cs="宋体"/>
                      <w:b/>
                      <w:bCs/>
                      <w:sz w:val="24"/>
                      <w:szCs w:val="24"/>
                      <w:highlight w:val="none"/>
                    </w:rPr>
                    <w:t>注：评标总得分保留小数点后</w:t>
                  </w:r>
                  <w:r>
                    <w:rPr>
                      <w:rFonts w:ascii="宋体" w:hAnsi="宋体" w:cs="宋体"/>
                      <w:b/>
                      <w:bCs/>
                      <w:sz w:val="24"/>
                      <w:szCs w:val="24"/>
                      <w:highlight w:val="none"/>
                    </w:rPr>
                    <w:t>2</w:t>
                  </w:r>
                  <w:r>
                    <w:rPr>
                      <w:rFonts w:hint="eastAsia" w:ascii="宋体" w:hAnsi="宋体" w:cs="宋体"/>
                      <w:b/>
                      <w:bCs/>
                      <w:sz w:val="24"/>
                      <w:szCs w:val="24"/>
                      <w:highlight w:val="none"/>
                    </w:rPr>
                    <w:t>位。</w:t>
                  </w:r>
                </w:p>
              </w:tc>
            </w:tr>
          </w:tbl>
          <w:p>
            <w:pPr>
              <w:spacing w:line="400" w:lineRule="exact"/>
              <w:rPr>
                <w:rFonts w:ascii="宋体"/>
                <w:b/>
                <w:bCs/>
                <w:sz w:val="30"/>
                <w:szCs w:val="30"/>
                <w:highlight w:val="none"/>
              </w:rPr>
            </w:pPr>
          </w:p>
        </w:tc>
      </w:tr>
    </w:tbl>
    <w:p>
      <w:pPr>
        <w:pStyle w:val="17"/>
        <w:spacing w:line="540" w:lineRule="exact"/>
        <w:rPr>
          <w:rFonts w:ascii="宋体" w:eastAsia="宋体" w:cs="宋体"/>
          <w:b/>
          <w:bCs/>
          <w:highlight w:val="none"/>
        </w:rPr>
      </w:pPr>
    </w:p>
    <w:p>
      <w:pPr>
        <w:pStyle w:val="17"/>
        <w:spacing w:line="540" w:lineRule="exact"/>
        <w:rPr>
          <w:highlight w:val="none"/>
        </w:rPr>
      </w:pPr>
      <w:r>
        <w:rPr>
          <w:rFonts w:hint="eastAsia" w:ascii="宋体" w:eastAsia="宋体" w:cs="宋体"/>
          <w:b/>
          <w:bCs/>
          <w:highlight w:val="none"/>
        </w:rPr>
        <w:t>PT项：技术部分评分（满分5</w:t>
      </w:r>
      <w:r>
        <w:rPr>
          <w:rFonts w:hint="eastAsia" w:ascii="宋体" w:eastAsia="宋体" w:cs="宋体"/>
          <w:b/>
          <w:bCs/>
          <w:highlight w:val="none"/>
          <w:lang w:val="en-US" w:eastAsia="zh-CN"/>
        </w:rPr>
        <w:t>5</w:t>
      </w:r>
      <w:r>
        <w:rPr>
          <w:rFonts w:hint="eastAsia" w:ascii="宋体" w:eastAsia="宋体" w:cs="宋体"/>
          <w:b/>
          <w:bCs/>
          <w:highlight w:val="none"/>
        </w:rPr>
        <w:t>分）</w:t>
      </w:r>
    </w:p>
    <w:tbl>
      <w:tblPr>
        <w:tblStyle w:val="31"/>
        <w:tblpPr w:leftFromText="180" w:rightFromText="180" w:vertAnchor="text" w:horzAnchor="page" w:tblpX="1067" w:tblpY="383"/>
        <w:tblOverlap w:val="never"/>
        <w:tblW w:w="973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23"/>
        <w:gridCol w:w="7355"/>
        <w:gridCol w:w="8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Header/>
        </w:trPr>
        <w:tc>
          <w:tcPr>
            <w:tcW w:w="1523" w:type="dxa"/>
            <w:vAlign w:val="center"/>
          </w:tcPr>
          <w:p>
            <w:pPr>
              <w:adjustRightInd w:val="0"/>
              <w:snapToGrid w:val="0"/>
              <w:spacing w:line="540" w:lineRule="exact"/>
              <w:jc w:val="center"/>
              <w:rPr>
                <w:rFonts w:ascii="宋体" w:hAnsi="宋体" w:cs="宋体"/>
                <w:b/>
                <w:bCs/>
                <w:kern w:val="0"/>
                <w:sz w:val="24"/>
                <w:highlight w:val="none"/>
                <w:shd w:val="clear" w:color="auto" w:fill="auto"/>
              </w:rPr>
            </w:pPr>
            <w:r>
              <w:rPr>
                <w:rFonts w:hint="eastAsia" w:ascii="宋体" w:hAnsi="宋体" w:cs="宋体"/>
                <w:b/>
                <w:bCs/>
                <w:kern w:val="0"/>
                <w:sz w:val="24"/>
                <w:highlight w:val="none"/>
                <w:shd w:val="clear" w:color="auto" w:fill="auto"/>
              </w:rPr>
              <w:t>技术评分项</w:t>
            </w:r>
          </w:p>
        </w:tc>
        <w:tc>
          <w:tcPr>
            <w:tcW w:w="7355" w:type="dxa"/>
            <w:vAlign w:val="center"/>
          </w:tcPr>
          <w:p>
            <w:pPr>
              <w:adjustRightInd w:val="0"/>
              <w:snapToGrid w:val="0"/>
              <w:spacing w:line="540" w:lineRule="exact"/>
              <w:jc w:val="center"/>
              <w:rPr>
                <w:rFonts w:ascii="宋体" w:hAnsi="宋体" w:cs="宋体"/>
                <w:b/>
                <w:bCs/>
                <w:kern w:val="0"/>
                <w:sz w:val="24"/>
                <w:highlight w:val="none"/>
                <w:shd w:val="clear" w:color="auto" w:fill="auto"/>
              </w:rPr>
            </w:pPr>
            <w:r>
              <w:rPr>
                <w:rFonts w:ascii="宋体" w:hAnsi="宋体" w:cs="宋体"/>
                <w:b/>
                <w:bCs/>
                <w:kern w:val="0"/>
                <w:sz w:val="24"/>
                <w:highlight w:val="none"/>
                <w:shd w:val="clear" w:color="auto" w:fill="auto"/>
              </w:rPr>
              <w:t>评</w:t>
            </w:r>
            <w:r>
              <w:rPr>
                <w:rFonts w:hint="eastAsia" w:ascii="宋体" w:hAnsi="宋体" w:cs="宋体"/>
                <w:b/>
                <w:bCs/>
                <w:kern w:val="0"/>
                <w:sz w:val="24"/>
                <w:highlight w:val="none"/>
                <w:shd w:val="clear" w:color="auto" w:fill="auto"/>
              </w:rPr>
              <w:t>分</w:t>
            </w:r>
            <w:r>
              <w:rPr>
                <w:rFonts w:ascii="宋体" w:hAnsi="宋体" w:cs="宋体"/>
                <w:b/>
                <w:bCs/>
                <w:kern w:val="0"/>
                <w:sz w:val="24"/>
                <w:highlight w:val="none"/>
                <w:shd w:val="clear" w:color="auto" w:fill="auto"/>
              </w:rPr>
              <w:t>方法描述</w:t>
            </w:r>
          </w:p>
        </w:tc>
        <w:tc>
          <w:tcPr>
            <w:tcW w:w="852" w:type="dxa"/>
            <w:vAlign w:val="center"/>
          </w:tcPr>
          <w:p>
            <w:pPr>
              <w:adjustRightInd w:val="0"/>
              <w:snapToGrid w:val="0"/>
              <w:spacing w:line="540" w:lineRule="exact"/>
              <w:jc w:val="center"/>
              <w:rPr>
                <w:rFonts w:ascii="宋体" w:hAnsi="宋体" w:cs="宋体"/>
                <w:b/>
                <w:bCs/>
                <w:kern w:val="0"/>
                <w:sz w:val="24"/>
                <w:highlight w:val="none"/>
                <w:shd w:val="clear" w:color="auto" w:fill="auto"/>
              </w:rPr>
            </w:pPr>
            <w:r>
              <w:rPr>
                <w:rFonts w:ascii="宋体" w:hAnsi="宋体" w:cs="宋体"/>
                <w:b/>
                <w:bCs/>
                <w:kern w:val="0"/>
                <w:sz w:val="24"/>
                <w:highlight w:val="none"/>
                <w:shd w:val="clear" w:color="auto" w:fill="auto"/>
              </w:rPr>
              <w:t>分值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465" w:hRule="atLeast"/>
        </w:trPr>
        <w:tc>
          <w:tcPr>
            <w:tcW w:w="152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cs="宋体"/>
                <w:b/>
                <w:bCs/>
                <w:kern w:val="0"/>
                <w:sz w:val="24"/>
                <w:szCs w:val="24"/>
                <w:highlight w:val="none"/>
                <w:shd w:val="clear" w:color="auto" w:fill="auto"/>
              </w:rPr>
            </w:pPr>
            <w:r>
              <w:rPr>
                <w:rFonts w:hint="eastAsia" w:ascii="宋体" w:hAnsi="宋体" w:cs="宋体"/>
                <w:b/>
                <w:bCs/>
                <w:kern w:val="0"/>
                <w:sz w:val="24"/>
                <w:highlight w:val="none"/>
                <w:shd w:val="clear" w:color="auto" w:fill="auto"/>
              </w:rPr>
              <w:t>T1评分项</w:t>
            </w:r>
          </w:p>
        </w:tc>
        <w:tc>
          <w:tcPr>
            <w:tcW w:w="735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根据各投标人对招标文件第三章招标内容及要求中“第</w:t>
            </w:r>
            <w:r>
              <w:rPr>
                <w:rFonts w:hint="eastAsia" w:ascii="宋体" w:hAnsi="宋体" w:eastAsia="宋体" w:cs="宋体"/>
                <w:kern w:val="0"/>
                <w:sz w:val="24"/>
                <w:szCs w:val="24"/>
                <w:highlight w:val="none"/>
                <w:shd w:val="clear" w:color="auto" w:fill="auto"/>
                <w:lang w:val="en-US" w:eastAsia="zh-CN"/>
              </w:rPr>
              <w:t>三</w:t>
            </w:r>
            <w:r>
              <w:rPr>
                <w:rFonts w:hint="eastAsia" w:ascii="宋体" w:hAnsi="宋体" w:eastAsia="宋体" w:cs="宋体"/>
                <w:kern w:val="0"/>
                <w:sz w:val="24"/>
                <w:szCs w:val="24"/>
                <w:highlight w:val="none"/>
                <w:shd w:val="clear" w:color="auto" w:fill="auto"/>
              </w:rPr>
              <w:t xml:space="preserve">大点 </w:t>
            </w:r>
            <w:r>
              <w:rPr>
                <w:rFonts w:hint="eastAsia" w:ascii="宋体" w:hAnsi="宋体" w:eastAsia="宋体" w:cs="宋体"/>
                <w:kern w:val="0"/>
                <w:sz w:val="24"/>
                <w:szCs w:val="24"/>
                <w:highlight w:val="none"/>
                <w:shd w:val="clear" w:color="auto" w:fill="auto"/>
                <w:lang w:val="en-US" w:eastAsia="zh-CN"/>
              </w:rPr>
              <w:t>三</w:t>
            </w:r>
            <w:r>
              <w:rPr>
                <w:rFonts w:hint="eastAsia" w:ascii="宋体" w:hAnsi="宋体" w:eastAsia="宋体" w:cs="宋体"/>
                <w:kern w:val="0"/>
                <w:sz w:val="24"/>
                <w:szCs w:val="24"/>
                <w:highlight w:val="none"/>
                <w:shd w:val="clear" w:color="auto" w:fill="auto"/>
              </w:rPr>
              <w:t>、技术和服务要求”的逐项应答情况并结合相关佐证材料（若有）由评委进行评分：完全满足招标文件要求的得</w:t>
            </w:r>
            <w:r>
              <w:rPr>
                <w:rFonts w:hint="eastAsia" w:ascii="宋体" w:hAnsi="宋体" w:eastAsia="宋体" w:cs="宋体"/>
                <w:kern w:val="0"/>
                <w:sz w:val="24"/>
                <w:szCs w:val="24"/>
                <w:highlight w:val="none"/>
                <w:shd w:val="clear" w:color="auto" w:fill="auto"/>
                <w:lang w:val="en-US" w:eastAsia="zh-CN"/>
              </w:rPr>
              <w:t>24</w:t>
            </w:r>
            <w:r>
              <w:rPr>
                <w:rFonts w:hint="eastAsia" w:ascii="宋体" w:hAnsi="宋体" w:eastAsia="宋体" w:cs="宋体"/>
                <w:kern w:val="0"/>
                <w:sz w:val="24"/>
                <w:szCs w:val="24"/>
                <w:highlight w:val="none"/>
                <w:shd w:val="clear" w:color="auto" w:fill="auto"/>
              </w:rPr>
              <w:t>分，正偏离不加分；其中标注“★”号技术条款一项不满足投标无效；标注“▲”的条款一项负偏离扣3分，其他条款每负偏离一项扣</w:t>
            </w:r>
            <w:r>
              <w:rPr>
                <w:rFonts w:hint="eastAsia" w:ascii="宋体" w:hAnsi="宋体" w:eastAsia="宋体" w:cs="宋体"/>
                <w:kern w:val="0"/>
                <w:sz w:val="24"/>
                <w:szCs w:val="24"/>
                <w:highlight w:val="none"/>
                <w:shd w:val="clear" w:color="auto" w:fill="auto"/>
                <w:lang w:val="en-US" w:eastAsia="zh-CN"/>
              </w:rPr>
              <w:t>2</w:t>
            </w:r>
            <w:r>
              <w:rPr>
                <w:rFonts w:hint="eastAsia" w:ascii="宋体" w:hAnsi="宋体" w:eastAsia="宋体" w:cs="宋体"/>
                <w:kern w:val="0"/>
                <w:sz w:val="24"/>
                <w:szCs w:val="24"/>
                <w:highlight w:val="none"/>
                <w:shd w:val="clear" w:color="auto" w:fill="auto"/>
              </w:rPr>
              <w:t>分，扣完为止。</w:t>
            </w:r>
            <w:r>
              <w:rPr>
                <w:rFonts w:hint="eastAsia" w:ascii="宋体" w:hAnsi="宋体" w:eastAsia="宋体" w:cs="宋体"/>
                <w:b/>
                <w:bCs/>
                <w:kern w:val="0"/>
                <w:sz w:val="24"/>
                <w:szCs w:val="24"/>
                <w:highlight w:val="none"/>
                <w:shd w:val="clear" w:color="auto" w:fill="auto"/>
              </w:rPr>
              <w:t>（本项满分</w:t>
            </w:r>
            <w:r>
              <w:rPr>
                <w:rFonts w:hint="eastAsia" w:ascii="宋体" w:hAnsi="宋体" w:eastAsia="宋体" w:cs="宋体"/>
                <w:b/>
                <w:bCs/>
                <w:kern w:val="0"/>
                <w:sz w:val="24"/>
                <w:szCs w:val="24"/>
                <w:highlight w:val="none"/>
                <w:shd w:val="clear" w:color="auto" w:fill="auto"/>
                <w:lang w:val="en-US" w:eastAsia="zh-CN"/>
              </w:rPr>
              <w:t>24</w:t>
            </w:r>
            <w:r>
              <w:rPr>
                <w:rFonts w:hint="eastAsia" w:ascii="宋体" w:hAnsi="宋体" w:eastAsia="宋体" w:cs="宋体"/>
                <w:b/>
                <w:bCs/>
                <w:kern w:val="0"/>
                <w:sz w:val="24"/>
                <w:szCs w:val="24"/>
                <w:highlight w:val="none"/>
                <w:shd w:val="clear" w:color="auto" w:fill="auto"/>
              </w:rPr>
              <w:t>分）</w:t>
            </w: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kern w:val="0"/>
                <w:sz w:val="24"/>
                <w:szCs w:val="24"/>
                <w:highlight w:val="none"/>
                <w:shd w:val="clear" w:color="auto" w:fill="auto"/>
                <w:lang w:val="en-US" w:eastAsia="zh-CN"/>
              </w:rPr>
            </w:pPr>
            <w:r>
              <w:rPr>
                <w:rFonts w:hint="eastAsia" w:ascii="宋体" w:hAnsi="宋体" w:eastAsia="宋体" w:cs="宋体"/>
                <w:kern w:val="0"/>
                <w:sz w:val="24"/>
                <w:szCs w:val="24"/>
                <w:highlight w:val="none"/>
                <w:shd w:val="clear" w:color="auto" w:fill="auto"/>
                <w:lang w:val="en-US" w:eastAsia="zh-CN"/>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97" w:hRule="atLeast"/>
        </w:trPr>
        <w:tc>
          <w:tcPr>
            <w:tcW w:w="152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cs="宋体"/>
                <w:b/>
                <w:bCs/>
                <w:kern w:val="0"/>
                <w:sz w:val="24"/>
                <w:szCs w:val="24"/>
                <w:highlight w:val="none"/>
                <w:shd w:val="clear" w:color="auto" w:fill="auto"/>
              </w:rPr>
            </w:pPr>
            <w:r>
              <w:rPr>
                <w:rFonts w:hint="eastAsia" w:ascii="宋体" w:hAnsi="宋体" w:cs="宋体"/>
                <w:b/>
                <w:bCs/>
                <w:kern w:val="0"/>
                <w:sz w:val="24"/>
                <w:szCs w:val="24"/>
                <w:highlight w:val="none"/>
                <w:shd w:val="clear" w:color="auto" w:fill="auto"/>
              </w:rPr>
              <w:t>T</w:t>
            </w:r>
            <w:r>
              <w:rPr>
                <w:rFonts w:hint="eastAsia" w:ascii="宋体" w:hAnsi="宋体" w:cs="宋体"/>
                <w:b/>
                <w:bCs/>
                <w:kern w:val="0"/>
                <w:sz w:val="24"/>
                <w:szCs w:val="24"/>
                <w:highlight w:val="none"/>
                <w:shd w:val="clear" w:color="auto" w:fill="auto"/>
                <w:lang w:val="en-US" w:eastAsia="zh-CN"/>
              </w:rPr>
              <w:t>2</w:t>
            </w:r>
            <w:r>
              <w:rPr>
                <w:rFonts w:hint="eastAsia" w:ascii="宋体" w:hAnsi="宋体" w:cs="宋体"/>
                <w:b/>
                <w:bCs/>
                <w:kern w:val="0"/>
                <w:sz w:val="24"/>
                <w:highlight w:val="none"/>
                <w:shd w:val="clear" w:color="auto" w:fill="auto"/>
              </w:rPr>
              <w:t>评分项</w:t>
            </w:r>
          </w:p>
        </w:tc>
        <w:tc>
          <w:tcPr>
            <w:tcW w:w="735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投标人拟为本服务项目所投入的管理及充电智能监控平台，安全保护等级为第三级或更优级的得</w:t>
            </w:r>
            <w:r>
              <w:rPr>
                <w:rFonts w:hint="eastAsia" w:ascii="宋体" w:hAnsi="宋体" w:eastAsia="宋体" w:cs="宋体"/>
                <w:sz w:val="24"/>
                <w:szCs w:val="24"/>
                <w:highlight w:val="none"/>
                <w:shd w:val="clear" w:color="auto" w:fill="auto"/>
                <w:lang w:val="en-US" w:eastAsia="zh-CN"/>
              </w:rPr>
              <w:t>1.5</w:t>
            </w:r>
            <w:r>
              <w:rPr>
                <w:rFonts w:hint="eastAsia" w:ascii="宋体" w:hAnsi="宋体" w:eastAsia="宋体" w:cs="宋体"/>
                <w:sz w:val="24"/>
                <w:szCs w:val="24"/>
                <w:highlight w:val="none"/>
                <w:shd w:val="clear" w:color="auto" w:fill="auto"/>
              </w:rPr>
              <w:t>分。</w:t>
            </w:r>
            <w:r>
              <w:rPr>
                <w:rFonts w:hint="eastAsia" w:ascii="宋体" w:hAnsi="宋体" w:eastAsia="宋体" w:cs="宋体"/>
                <w:b/>
                <w:bCs w:val="0"/>
                <w:sz w:val="24"/>
                <w:szCs w:val="24"/>
                <w:highlight w:val="none"/>
                <w:shd w:val="clear" w:color="auto" w:fill="auto"/>
              </w:rPr>
              <w:t>（本项满分</w:t>
            </w:r>
            <w:r>
              <w:rPr>
                <w:rFonts w:hint="eastAsia" w:ascii="宋体" w:hAnsi="宋体" w:eastAsia="宋体" w:cs="宋体"/>
                <w:b/>
                <w:bCs w:val="0"/>
                <w:sz w:val="24"/>
                <w:szCs w:val="24"/>
                <w:highlight w:val="none"/>
                <w:shd w:val="clear" w:color="auto" w:fill="auto"/>
                <w:lang w:val="en-US" w:eastAsia="zh-CN"/>
              </w:rPr>
              <w:t>1.5</w:t>
            </w:r>
            <w:r>
              <w:rPr>
                <w:rFonts w:hint="eastAsia" w:ascii="宋体" w:hAnsi="宋体" w:eastAsia="宋体" w:cs="宋体"/>
                <w:b/>
                <w:bCs w:val="0"/>
                <w:sz w:val="24"/>
                <w:szCs w:val="24"/>
                <w:highlight w:val="none"/>
                <w:shd w:val="clear" w:color="auto" w:fill="auto"/>
              </w:rPr>
              <w:t>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lang w:val="en-US" w:eastAsia="zh-CN"/>
              </w:rPr>
              <w:t>备注：投标人需</w:t>
            </w:r>
            <w:r>
              <w:rPr>
                <w:rFonts w:hint="eastAsia" w:ascii="宋体" w:hAnsi="宋体" w:eastAsia="宋体" w:cs="宋体"/>
                <w:bCs/>
                <w:sz w:val="24"/>
                <w:szCs w:val="24"/>
                <w:highlight w:val="none"/>
                <w:shd w:val="clear" w:color="auto" w:fill="auto"/>
              </w:rPr>
              <w:t>提供国家认可的具备</w:t>
            </w:r>
            <w:r>
              <w:rPr>
                <w:rFonts w:hint="eastAsia" w:ascii="宋体" w:hAnsi="宋体" w:eastAsia="宋体" w:cs="宋体"/>
                <w:sz w:val="24"/>
                <w:szCs w:val="24"/>
                <w:highlight w:val="none"/>
                <w:shd w:val="clear" w:color="auto" w:fill="auto"/>
              </w:rPr>
              <w:t>DJCP资质</w:t>
            </w:r>
            <w:r>
              <w:rPr>
                <w:rFonts w:hint="eastAsia" w:ascii="宋体" w:hAnsi="宋体" w:eastAsia="宋体" w:cs="宋体"/>
                <w:bCs/>
                <w:sz w:val="24"/>
                <w:szCs w:val="24"/>
                <w:highlight w:val="none"/>
                <w:shd w:val="clear" w:color="auto" w:fill="auto"/>
              </w:rPr>
              <w:t>的第三方软件测评机构出具的的</w:t>
            </w:r>
            <w:r>
              <w:rPr>
                <w:rFonts w:hint="eastAsia" w:ascii="宋体" w:hAnsi="宋体" w:eastAsia="宋体" w:cs="宋体"/>
                <w:sz w:val="24"/>
                <w:szCs w:val="24"/>
                <w:highlight w:val="none"/>
                <w:shd w:val="clear" w:color="auto" w:fill="auto"/>
              </w:rPr>
              <w:t>信息系统安全等级测评报告</w:t>
            </w:r>
            <w:r>
              <w:rPr>
                <w:rFonts w:hint="eastAsia" w:ascii="宋体" w:hAnsi="宋体" w:eastAsia="宋体" w:cs="宋体"/>
                <w:bCs/>
                <w:sz w:val="24"/>
                <w:szCs w:val="24"/>
                <w:highlight w:val="none"/>
                <w:shd w:val="clear" w:color="auto" w:fill="auto"/>
              </w:rPr>
              <w:t>，</w:t>
            </w:r>
            <w:r>
              <w:rPr>
                <w:rFonts w:hint="eastAsia" w:ascii="宋体" w:hAnsi="宋体" w:eastAsia="宋体" w:cs="宋体"/>
                <w:sz w:val="24"/>
                <w:szCs w:val="24"/>
                <w:highlight w:val="none"/>
                <w:shd w:val="clear" w:color="auto" w:fill="auto"/>
              </w:rPr>
              <w:t>否则不得分。</w:t>
            </w: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kern w:val="0"/>
                <w:sz w:val="24"/>
                <w:szCs w:val="24"/>
                <w:highlight w:val="none"/>
                <w:shd w:val="clear" w:color="auto" w:fill="auto"/>
                <w:lang w:val="en-US" w:eastAsia="zh-CN"/>
              </w:rPr>
            </w:pPr>
            <w:r>
              <w:rPr>
                <w:rFonts w:hint="eastAsia" w:ascii="宋体" w:hAnsi="宋体" w:eastAsia="宋体" w:cs="宋体"/>
                <w:kern w:val="0"/>
                <w:sz w:val="24"/>
                <w:szCs w:val="24"/>
                <w:highlight w:val="none"/>
                <w:shd w:val="clear" w:color="auto" w:fill="auto"/>
                <w:lang w:val="en-US" w:eastAsia="zh-CN"/>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97" w:hRule="atLeast"/>
        </w:trPr>
        <w:tc>
          <w:tcPr>
            <w:tcW w:w="152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cs="宋体"/>
                <w:b/>
                <w:bCs/>
                <w:kern w:val="0"/>
                <w:sz w:val="24"/>
                <w:szCs w:val="24"/>
                <w:highlight w:val="none"/>
                <w:shd w:val="clear" w:color="auto" w:fill="auto"/>
              </w:rPr>
            </w:pPr>
            <w:r>
              <w:rPr>
                <w:rFonts w:hint="eastAsia" w:ascii="宋体" w:hAnsi="宋体" w:cs="宋体"/>
                <w:b/>
                <w:bCs/>
                <w:kern w:val="0"/>
                <w:sz w:val="24"/>
                <w:szCs w:val="24"/>
                <w:highlight w:val="none"/>
                <w:shd w:val="clear" w:color="auto" w:fill="auto"/>
              </w:rPr>
              <w:t>T</w:t>
            </w:r>
            <w:r>
              <w:rPr>
                <w:rFonts w:hint="eastAsia" w:ascii="宋体" w:hAnsi="宋体" w:cs="宋体"/>
                <w:b/>
                <w:bCs/>
                <w:kern w:val="0"/>
                <w:sz w:val="24"/>
                <w:szCs w:val="24"/>
                <w:highlight w:val="none"/>
                <w:shd w:val="clear" w:color="auto" w:fill="auto"/>
                <w:lang w:val="en-US" w:eastAsia="zh-CN"/>
              </w:rPr>
              <w:t>3</w:t>
            </w:r>
            <w:r>
              <w:rPr>
                <w:rFonts w:hint="eastAsia" w:ascii="宋体" w:hAnsi="宋体" w:cs="宋体"/>
                <w:b/>
                <w:bCs/>
                <w:kern w:val="0"/>
                <w:sz w:val="24"/>
                <w:highlight w:val="none"/>
                <w:shd w:val="clear" w:color="auto" w:fill="auto"/>
              </w:rPr>
              <w:t>评分项</w:t>
            </w:r>
          </w:p>
        </w:tc>
        <w:tc>
          <w:tcPr>
            <w:tcW w:w="735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Cs/>
                <w:sz w:val="24"/>
                <w:szCs w:val="24"/>
                <w:highlight w:val="none"/>
                <w:shd w:val="clear" w:color="auto" w:fill="auto"/>
              </w:rPr>
            </w:pPr>
            <w:r>
              <w:rPr>
                <w:rFonts w:hint="eastAsia" w:ascii="宋体" w:hAnsi="宋体" w:eastAsia="宋体" w:cs="宋体"/>
                <w:sz w:val="24"/>
                <w:szCs w:val="24"/>
                <w:highlight w:val="none"/>
                <w:shd w:val="clear" w:color="auto" w:fill="auto"/>
              </w:rPr>
              <w:t>投标人拟为本服务项目所投入的</w:t>
            </w:r>
            <w:r>
              <w:rPr>
                <w:rFonts w:hint="eastAsia" w:ascii="宋体" w:hAnsi="宋体" w:eastAsia="宋体" w:cs="宋体"/>
                <w:bCs/>
                <w:sz w:val="24"/>
                <w:szCs w:val="24"/>
                <w:highlight w:val="none"/>
                <w:shd w:val="clear" w:color="auto" w:fill="auto"/>
              </w:rPr>
              <w:t>充电产品使用平台具备</w:t>
            </w:r>
            <w:r>
              <w:rPr>
                <w:rFonts w:hint="eastAsia" w:ascii="宋体" w:hAnsi="宋体" w:eastAsia="宋体" w:cs="宋体"/>
                <w:bCs/>
                <w:sz w:val="24"/>
                <w:szCs w:val="24"/>
                <w:highlight w:val="none"/>
                <w:shd w:val="clear" w:color="auto" w:fill="auto"/>
                <w:lang w:val="en-US" w:eastAsia="zh-CN"/>
              </w:rPr>
              <w:t>大于</w:t>
            </w:r>
            <w:r>
              <w:rPr>
                <w:rFonts w:hint="eastAsia" w:ascii="宋体" w:hAnsi="宋体" w:eastAsia="宋体" w:cs="宋体"/>
                <w:bCs/>
                <w:sz w:val="24"/>
                <w:szCs w:val="24"/>
                <w:highlight w:val="none"/>
                <w:shd w:val="clear" w:color="auto" w:fill="auto"/>
              </w:rPr>
              <w:t>5000个充电桩的接入能力，并支持大于500充电终端同时充电的得</w:t>
            </w:r>
            <w:r>
              <w:rPr>
                <w:rFonts w:hint="eastAsia" w:ascii="宋体" w:hAnsi="宋体" w:cs="宋体"/>
                <w:bCs/>
                <w:sz w:val="24"/>
                <w:szCs w:val="24"/>
                <w:highlight w:val="none"/>
                <w:shd w:val="clear" w:color="auto" w:fill="auto"/>
                <w:lang w:val="en-US" w:eastAsia="zh-CN"/>
              </w:rPr>
              <w:t>1.5</w:t>
            </w:r>
            <w:r>
              <w:rPr>
                <w:rFonts w:hint="eastAsia" w:ascii="宋体" w:hAnsi="宋体" w:eastAsia="宋体" w:cs="宋体"/>
                <w:bCs/>
                <w:sz w:val="24"/>
                <w:szCs w:val="24"/>
                <w:highlight w:val="none"/>
                <w:shd w:val="clear" w:color="auto" w:fill="auto"/>
              </w:rPr>
              <w:t>分。</w:t>
            </w:r>
            <w:r>
              <w:rPr>
                <w:rFonts w:hint="eastAsia" w:ascii="宋体" w:hAnsi="宋体" w:eastAsia="宋体" w:cs="宋体"/>
                <w:b/>
                <w:bCs w:val="0"/>
                <w:sz w:val="24"/>
                <w:szCs w:val="24"/>
                <w:highlight w:val="none"/>
                <w:shd w:val="clear" w:color="auto" w:fill="auto"/>
              </w:rPr>
              <w:t>（本项满分</w:t>
            </w:r>
            <w:r>
              <w:rPr>
                <w:rFonts w:hint="eastAsia" w:ascii="宋体" w:hAnsi="宋体" w:eastAsia="宋体" w:cs="宋体"/>
                <w:b/>
                <w:bCs w:val="0"/>
                <w:sz w:val="24"/>
                <w:szCs w:val="24"/>
                <w:highlight w:val="none"/>
                <w:shd w:val="clear" w:color="auto" w:fill="auto"/>
                <w:lang w:val="en-US" w:eastAsia="zh-CN"/>
              </w:rPr>
              <w:t>1.5</w:t>
            </w:r>
            <w:r>
              <w:rPr>
                <w:rFonts w:hint="eastAsia" w:ascii="宋体" w:hAnsi="宋体" w:eastAsia="宋体" w:cs="宋体"/>
                <w:b/>
                <w:bCs w:val="0"/>
                <w:sz w:val="24"/>
                <w:szCs w:val="24"/>
                <w:highlight w:val="none"/>
                <w:shd w:val="clear" w:color="auto" w:fill="auto"/>
              </w:rPr>
              <w:t>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bCs/>
                <w:sz w:val="24"/>
                <w:szCs w:val="24"/>
                <w:highlight w:val="none"/>
                <w:shd w:val="clear" w:color="auto" w:fill="auto"/>
                <w:lang w:val="en-US" w:eastAsia="zh-CN"/>
              </w:rPr>
              <w:t>备注：投标人需</w:t>
            </w:r>
            <w:r>
              <w:rPr>
                <w:rFonts w:hint="eastAsia" w:ascii="宋体" w:hAnsi="宋体" w:eastAsia="宋体" w:cs="宋体"/>
                <w:bCs/>
                <w:sz w:val="24"/>
                <w:szCs w:val="24"/>
                <w:highlight w:val="none"/>
                <w:shd w:val="clear" w:color="auto" w:fill="auto"/>
              </w:rPr>
              <w:t>提供国家认可的具备检测资质的第三方检测机构出具的具有CMA、CNAS标识的有效检测报告，</w:t>
            </w:r>
            <w:r>
              <w:rPr>
                <w:rFonts w:hint="eastAsia" w:ascii="宋体" w:hAnsi="宋体" w:eastAsia="宋体" w:cs="宋体"/>
                <w:sz w:val="24"/>
                <w:szCs w:val="24"/>
                <w:highlight w:val="none"/>
                <w:shd w:val="clear" w:color="auto" w:fill="auto"/>
              </w:rPr>
              <w:t>否则不得分。</w:t>
            </w: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kern w:val="0"/>
                <w:sz w:val="24"/>
                <w:szCs w:val="24"/>
                <w:highlight w:val="none"/>
                <w:shd w:val="clear" w:color="auto" w:fill="auto"/>
                <w:lang w:val="en-US" w:eastAsia="zh-CN"/>
              </w:rPr>
            </w:pPr>
            <w:r>
              <w:rPr>
                <w:rFonts w:hint="eastAsia" w:ascii="宋体" w:hAnsi="宋体" w:eastAsia="宋体" w:cs="宋体"/>
                <w:kern w:val="0"/>
                <w:sz w:val="24"/>
                <w:szCs w:val="24"/>
                <w:highlight w:val="none"/>
                <w:shd w:val="clear" w:color="auto" w:fill="auto"/>
                <w:lang w:val="en-US" w:eastAsia="zh-CN"/>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97" w:hRule="atLeast"/>
        </w:trPr>
        <w:tc>
          <w:tcPr>
            <w:tcW w:w="152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cs="宋体"/>
                <w:b/>
                <w:bCs/>
                <w:kern w:val="0"/>
                <w:sz w:val="24"/>
                <w:szCs w:val="24"/>
                <w:highlight w:val="none"/>
                <w:shd w:val="clear" w:color="auto" w:fill="auto"/>
              </w:rPr>
            </w:pPr>
            <w:r>
              <w:rPr>
                <w:rFonts w:hint="eastAsia" w:ascii="宋体" w:hAnsi="宋体" w:cs="宋体"/>
                <w:b/>
                <w:bCs/>
                <w:kern w:val="0"/>
                <w:sz w:val="24"/>
                <w:szCs w:val="24"/>
                <w:highlight w:val="none"/>
                <w:shd w:val="clear" w:color="auto" w:fill="auto"/>
              </w:rPr>
              <w:t>T</w:t>
            </w:r>
            <w:r>
              <w:rPr>
                <w:rFonts w:hint="eastAsia" w:ascii="宋体" w:hAnsi="宋体" w:cs="宋体"/>
                <w:b/>
                <w:bCs/>
                <w:kern w:val="0"/>
                <w:sz w:val="24"/>
                <w:szCs w:val="24"/>
                <w:highlight w:val="none"/>
                <w:shd w:val="clear" w:color="auto" w:fill="auto"/>
                <w:lang w:val="en-US" w:eastAsia="zh-CN"/>
              </w:rPr>
              <w:t>4</w:t>
            </w:r>
            <w:r>
              <w:rPr>
                <w:rFonts w:hint="eastAsia" w:ascii="宋体" w:hAnsi="宋体" w:cs="宋体"/>
                <w:b/>
                <w:bCs/>
                <w:kern w:val="0"/>
                <w:sz w:val="24"/>
                <w:highlight w:val="none"/>
                <w:shd w:val="clear" w:color="auto" w:fill="auto"/>
              </w:rPr>
              <w:t>评分项</w:t>
            </w:r>
          </w:p>
        </w:tc>
        <w:tc>
          <w:tcPr>
            <w:tcW w:w="735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val="0"/>
                <w:bCs w:val="0"/>
                <w:color w:val="auto"/>
                <w:kern w:val="2"/>
                <w:sz w:val="24"/>
                <w:szCs w:val="24"/>
                <w:highlight w:val="none"/>
                <w:shd w:val="clear" w:color="auto" w:fill="auto"/>
                <w:lang w:val="en-US" w:eastAsia="zh-CN" w:bidi="ar-SA"/>
              </w:rPr>
              <w:t>投标人提供的充电机具备BMS主动防护功能包括但不限于：充电过温防护、温升异常防护、充电过流防护等的得2分。</w:t>
            </w:r>
            <w:r>
              <w:rPr>
                <w:rFonts w:hint="eastAsia" w:ascii="宋体" w:hAnsi="宋体" w:eastAsia="宋体" w:cs="宋体"/>
                <w:b/>
                <w:bCs w:val="0"/>
                <w:sz w:val="24"/>
                <w:szCs w:val="24"/>
                <w:highlight w:val="none"/>
                <w:shd w:val="clear" w:color="auto" w:fill="auto"/>
              </w:rPr>
              <w:t>（本项满分</w:t>
            </w:r>
            <w:r>
              <w:rPr>
                <w:rFonts w:hint="eastAsia" w:ascii="宋体" w:hAnsi="宋体" w:eastAsia="宋体" w:cs="宋体"/>
                <w:b/>
                <w:bCs w:val="0"/>
                <w:sz w:val="24"/>
                <w:szCs w:val="24"/>
                <w:highlight w:val="none"/>
                <w:shd w:val="clear" w:color="auto" w:fill="auto"/>
                <w:lang w:val="en-US" w:eastAsia="zh-CN"/>
              </w:rPr>
              <w:t>2</w:t>
            </w:r>
            <w:r>
              <w:rPr>
                <w:rFonts w:hint="eastAsia" w:ascii="宋体" w:hAnsi="宋体" w:eastAsia="宋体" w:cs="宋体"/>
                <w:b/>
                <w:bCs w:val="0"/>
                <w:sz w:val="24"/>
                <w:szCs w:val="24"/>
                <w:highlight w:val="none"/>
                <w:shd w:val="clear" w:color="auto" w:fill="auto"/>
              </w:rPr>
              <w:t>分）</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eastAsia="宋体" w:cs="宋体"/>
                <w:kern w:val="0"/>
                <w:sz w:val="24"/>
                <w:szCs w:val="24"/>
                <w:highlight w:val="none"/>
                <w:shd w:val="clear" w:color="auto" w:fill="auto"/>
              </w:rPr>
            </w:pPr>
            <w:r>
              <w:rPr>
                <w:rFonts w:hint="eastAsia" w:ascii="宋体" w:hAnsi="宋体" w:eastAsia="宋体" w:cs="宋体"/>
                <w:b/>
                <w:bCs/>
                <w:color w:val="auto"/>
                <w:kern w:val="2"/>
                <w:sz w:val="24"/>
                <w:szCs w:val="24"/>
                <w:highlight w:val="none"/>
                <w:shd w:val="clear" w:color="auto" w:fill="auto"/>
                <w:lang w:val="en-US" w:eastAsia="zh-CN" w:bidi="ar-SA"/>
              </w:rPr>
              <w:t>备注：</w:t>
            </w:r>
            <w:r>
              <w:rPr>
                <w:rFonts w:hint="eastAsia" w:ascii="宋体" w:hAnsi="宋体" w:eastAsia="宋体" w:cs="宋体"/>
                <w:b/>
                <w:bCs/>
                <w:sz w:val="24"/>
                <w:szCs w:val="24"/>
                <w:highlight w:val="none"/>
                <w:shd w:val="clear" w:color="auto" w:fill="auto"/>
                <w:lang w:val="en-US" w:eastAsia="zh-CN"/>
              </w:rPr>
              <w:t>投标人需提供第三方检验机构</w:t>
            </w:r>
            <w:r>
              <w:rPr>
                <w:rFonts w:hint="eastAsia" w:ascii="宋体" w:hAnsi="宋体" w:eastAsia="宋体" w:cs="宋体"/>
                <w:b/>
                <w:bCs/>
                <w:color w:val="auto"/>
                <w:kern w:val="2"/>
                <w:sz w:val="24"/>
                <w:szCs w:val="24"/>
                <w:highlight w:val="none"/>
                <w:shd w:val="clear" w:color="auto" w:fill="auto"/>
                <w:lang w:val="en-US" w:eastAsia="zh-CN" w:bidi="ar-SA"/>
              </w:rPr>
              <w:t>，且检验报告同时具备CMA、ILAC-MRA、CNAS认证标识并加盖投标人公章，否则不得分。</w:t>
            </w: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kern w:val="0"/>
                <w:sz w:val="24"/>
                <w:szCs w:val="24"/>
                <w:highlight w:val="none"/>
                <w:shd w:val="clear" w:color="auto" w:fill="auto"/>
                <w:lang w:eastAsia="zh-CN"/>
              </w:rPr>
            </w:pPr>
            <w:r>
              <w:rPr>
                <w:rFonts w:hint="eastAsia" w:ascii="宋体" w:hAnsi="宋体" w:eastAsia="宋体" w:cs="宋体"/>
                <w:kern w:val="0"/>
                <w:sz w:val="24"/>
                <w:szCs w:val="24"/>
                <w:highlight w:val="none"/>
                <w:shd w:val="clear" w:color="auto" w:fill="auto"/>
                <w:lang w:val="en-US" w:eastAsia="zh-CN"/>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97" w:hRule="atLeast"/>
        </w:trPr>
        <w:tc>
          <w:tcPr>
            <w:tcW w:w="152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cs="宋体"/>
                <w:b/>
                <w:bCs/>
                <w:kern w:val="0"/>
                <w:sz w:val="24"/>
                <w:szCs w:val="24"/>
                <w:highlight w:val="none"/>
                <w:shd w:val="clear" w:color="auto" w:fill="auto"/>
              </w:rPr>
            </w:pPr>
            <w:r>
              <w:rPr>
                <w:rFonts w:hint="eastAsia" w:ascii="宋体" w:hAnsi="宋体" w:cs="宋体"/>
                <w:b/>
                <w:bCs/>
                <w:kern w:val="0"/>
                <w:sz w:val="24"/>
                <w:szCs w:val="24"/>
                <w:highlight w:val="none"/>
                <w:shd w:val="clear" w:color="auto" w:fill="auto"/>
              </w:rPr>
              <w:t>T</w:t>
            </w:r>
            <w:r>
              <w:rPr>
                <w:rFonts w:hint="eastAsia" w:ascii="宋体" w:hAnsi="宋体" w:cs="宋体"/>
                <w:b/>
                <w:bCs/>
                <w:kern w:val="0"/>
                <w:sz w:val="24"/>
                <w:szCs w:val="24"/>
                <w:highlight w:val="none"/>
                <w:shd w:val="clear" w:color="auto" w:fill="auto"/>
                <w:lang w:val="en-US" w:eastAsia="zh-CN"/>
              </w:rPr>
              <w:t>5</w:t>
            </w:r>
            <w:r>
              <w:rPr>
                <w:rFonts w:hint="eastAsia" w:ascii="宋体" w:hAnsi="宋体" w:cs="宋体"/>
                <w:b/>
                <w:bCs/>
                <w:kern w:val="0"/>
                <w:sz w:val="24"/>
                <w:highlight w:val="none"/>
                <w:shd w:val="clear" w:color="auto" w:fill="auto"/>
              </w:rPr>
              <w:t>评分项</w:t>
            </w:r>
          </w:p>
        </w:tc>
        <w:tc>
          <w:tcPr>
            <w:tcW w:w="735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val="en-US" w:eastAsia="zh-CN"/>
              </w:rPr>
              <w:t>投标人所投直流充电设备恒功率区间300-1000V或恒功率区间优于300-1000V的得2分。</w:t>
            </w:r>
            <w:r>
              <w:rPr>
                <w:rFonts w:hint="eastAsia" w:ascii="宋体" w:hAnsi="宋体" w:eastAsia="宋体" w:cs="宋体"/>
                <w:b/>
                <w:bCs/>
                <w:kern w:val="0"/>
                <w:sz w:val="24"/>
                <w:szCs w:val="24"/>
                <w:highlight w:val="none"/>
                <w:shd w:val="clear" w:color="auto" w:fill="auto"/>
              </w:rPr>
              <w:t>（本项满分</w:t>
            </w:r>
            <w:r>
              <w:rPr>
                <w:rFonts w:hint="eastAsia" w:ascii="宋体" w:hAnsi="宋体" w:eastAsia="宋体" w:cs="宋体"/>
                <w:b/>
                <w:bCs/>
                <w:kern w:val="0"/>
                <w:sz w:val="24"/>
                <w:szCs w:val="24"/>
                <w:highlight w:val="none"/>
                <w:shd w:val="clear" w:color="auto" w:fill="auto"/>
                <w:lang w:val="en-US" w:eastAsia="zh-CN"/>
              </w:rPr>
              <w:t>2</w:t>
            </w:r>
            <w:r>
              <w:rPr>
                <w:rFonts w:hint="eastAsia" w:ascii="宋体" w:hAnsi="宋体" w:eastAsia="宋体" w:cs="宋体"/>
                <w:b/>
                <w:bCs/>
                <w:kern w:val="0"/>
                <w:sz w:val="24"/>
                <w:szCs w:val="24"/>
                <w:highlight w:val="none"/>
                <w:shd w:val="clear" w:color="auto" w:fill="auto"/>
              </w:rPr>
              <w:t>分）</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b/>
                <w:bCs/>
                <w:sz w:val="24"/>
                <w:szCs w:val="24"/>
                <w:highlight w:val="none"/>
                <w:shd w:val="clear" w:color="auto" w:fill="auto"/>
                <w:lang w:val="en-US" w:eastAsia="zh-CN"/>
              </w:rPr>
              <w:t>备注：投标人需提供第三方检验机构（具备CMA及CNAS资质）出具的120KW或以上一体式直流充电机的型式检验报告，否则不得分（原件备查）。</w:t>
            </w: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kern w:val="0"/>
                <w:sz w:val="24"/>
                <w:szCs w:val="24"/>
                <w:highlight w:val="none"/>
                <w:shd w:val="clear" w:color="auto" w:fill="auto"/>
                <w:lang w:val="en-US" w:eastAsia="zh-CN"/>
              </w:rPr>
            </w:pPr>
            <w:r>
              <w:rPr>
                <w:rFonts w:hint="eastAsia" w:ascii="宋体" w:hAnsi="宋体" w:eastAsia="宋体" w:cs="宋体"/>
                <w:kern w:val="0"/>
                <w:sz w:val="24"/>
                <w:szCs w:val="24"/>
                <w:highlight w:val="none"/>
                <w:shd w:val="clear" w:color="auto" w:fill="auto"/>
                <w:lang w:val="en-US" w:eastAsia="zh-CN"/>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97" w:hRule="atLeast"/>
        </w:trPr>
        <w:tc>
          <w:tcPr>
            <w:tcW w:w="152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cs="宋体"/>
                <w:b/>
                <w:bCs/>
                <w:kern w:val="0"/>
                <w:sz w:val="24"/>
                <w:szCs w:val="24"/>
                <w:highlight w:val="none"/>
                <w:shd w:val="clear" w:color="auto" w:fill="auto"/>
              </w:rPr>
            </w:pPr>
            <w:r>
              <w:rPr>
                <w:rFonts w:hint="eastAsia" w:ascii="宋体" w:hAnsi="宋体" w:cs="宋体"/>
                <w:b/>
                <w:bCs/>
                <w:kern w:val="0"/>
                <w:sz w:val="24"/>
                <w:szCs w:val="24"/>
                <w:highlight w:val="none"/>
                <w:shd w:val="clear" w:color="auto" w:fill="auto"/>
              </w:rPr>
              <w:t>T</w:t>
            </w:r>
            <w:r>
              <w:rPr>
                <w:rFonts w:hint="eastAsia" w:ascii="宋体" w:hAnsi="宋体" w:cs="宋体"/>
                <w:b/>
                <w:bCs/>
                <w:kern w:val="0"/>
                <w:sz w:val="24"/>
                <w:szCs w:val="24"/>
                <w:highlight w:val="none"/>
                <w:shd w:val="clear" w:color="auto" w:fill="auto"/>
                <w:lang w:val="en-US" w:eastAsia="zh-CN"/>
              </w:rPr>
              <w:t>6</w:t>
            </w:r>
            <w:r>
              <w:rPr>
                <w:rFonts w:hint="eastAsia" w:ascii="宋体" w:hAnsi="宋体" w:cs="宋体"/>
                <w:b/>
                <w:bCs/>
                <w:kern w:val="0"/>
                <w:sz w:val="24"/>
                <w:highlight w:val="none"/>
                <w:shd w:val="clear" w:color="auto" w:fill="auto"/>
              </w:rPr>
              <w:t>评分项</w:t>
            </w:r>
          </w:p>
        </w:tc>
        <w:tc>
          <w:tcPr>
            <w:tcW w:w="735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投标人所投</w:t>
            </w:r>
            <w:r>
              <w:rPr>
                <w:rFonts w:hint="eastAsia" w:ascii="宋体" w:hAnsi="宋体" w:eastAsia="宋体" w:cs="宋体"/>
                <w:sz w:val="24"/>
                <w:szCs w:val="24"/>
                <w:highlight w:val="none"/>
                <w:shd w:val="clear" w:color="auto" w:fill="auto"/>
              </w:rPr>
              <w:t>充电</w:t>
            </w:r>
            <w:r>
              <w:rPr>
                <w:rFonts w:hint="eastAsia" w:ascii="宋体" w:hAnsi="宋体" w:eastAsia="宋体" w:cs="宋体"/>
                <w:sz w:val="24"/>
                <w:szCs w:val="24"/>
                <w:highlight w:val="none"/>
                <w:shd w:val="clear" w:color="auto" w:fill="auto"/>
                <w:lang w:val="en-US" w:eastAsia="zh-CN"/>
              </w:rPr>
              <w:t>设备</w:t>
            </w:r>
            <w:r>
              <w:rPr>
                <w:rFonts w:hint="eastAsia" w:ascii="宋体" w:hAnsi="宋体" w:eastAsia="宋体" w:cs="宋体"/>
                <w:sz w:val="24"/>
                <w:szCs w:val="24"/>
                <w:highlight w:val="none"/>
                <w:shd w:val="clear" w:color="auto" w:fill="auto"/>
              </w:rPr>
              <w:t>应具有多重防护功能，至少包括以下防护，每满足一项得1分，最高得3分</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b/>
                <w:bCs/>
                <w:kern w:val="0"/>
                <w:sz w:val="24"/>
                <w:szCs w:val="24"/>
                <w:highlight w:val="none"/>
                <w:shd w:val="clear" w:color="auto" w:fill="auto"/>
              </w:rPr>
              <w:t>（本项满分</w:t>
            </w:r>
            <w:r>
              <w:rPr>
                <w:rFonts w:hint="eastAsia" w:ascii="宋体" w:hAnsi="宋体" w:eastAsia="宋体" w:cs="宋体"/>
                <w:b/>
                <w:bCs/>
                <w:kern w:val="0"/>
                <w:sz w:val="24"/>
                <w:szCs w:val="24"/>
                <w:highlight w:val="none"/>
                <w:shd w:val="clear" w:color="auto" w:fill="auto"/>
                <w:lang w:val="en-US" w:eastAsia="zh-CN"/>
              </w:rPr>
              <w:t>3</w:t>
            </w:r>
            <w:r>
              <w:rPr>
                <w:rFonts w:hint="eastAsia" w:ascii="宋体" w:hAnsi="宋体" w:eastAsia="宋体" w:cs="宋体"/>
                <w:b/>
                <w:bCs/>
                <w:kern w:val="0"/>
                <w:sz w:val="24"/>
                <w:szCs w:val="24"/>
                <w:highlight w:val="none"/>
                <w:shd w:val="clear" w:color="auto" w:fill="auto"/>
              </w:rPr>
              <w:t>分）</w:t>
            </w:r>
            <w:r>
              <w:rPr>
                <w:rFonts w:hint="eastAsia" w:ascii="宋体" w:hAnsi="宋体" w:eastAsia="宋体" w:cs="宋体"/>
                <w:sz w:val="24"/>
                <w:szCs w:val="24"/>
                <w:highlight w:val="none"/>
                <w:shd w:val="clear" w:color="auto" w:fill="auto"/>
              </w:rPr>
              <w:br w:type="textWrapping"/>
            </w:r>
            <w:r>
              <w:rPr>
                <w:rFonts w:hint="eastAsia" w:ascii="宋体" w:hAnsi="宋体" w:eastAsia="宋体" w:cs="宋体"/>
                <w:sz w:val="24"/>
                <w:szCs w:val="24"/>
                <w:highlight w:val="none"/>
                <w:shd w:val="clear" w:color="auto" w:fill="auto"/>
                <w:lang w:val="en-US" w:eastAsia="zh-CN"/>
              </w:rPr>
              <w:t xml:space="preserve">    </w:t>
            </w:r>
            <w:r>
              <w:rPr>
                <w:rFonts w:hint="eastAsia" w:ascii="宋体" w:hAnsi="宋体" w:eastAsia="宋体" w:cs="宋体"/>
                <w:sz w:val="24"/>
                <w:szCs w:val="24"/>
                <w:highlight w:val="none"/>
                <w:shd w:val="clear" w:color="auto" w:fill="auto"/>
              </w:rPr>
              <w:t>①</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rPr>
              <w:t>充电桩本身的防护，不限于电池保护功能、动力电源失电充电枪自动解锁、充电插座过温保护等功能；</w:t>
            </w:r>
            <w:r>
              <w:rPr>
                <w:rFonts w:hint="eastAsia" w:ascii="宋体" w:hAnsi="宋体" w:eastAsia="宋体" w:cs="宋体"/>
                <w:sz w:val="24"/>
                <w:szCs w:val="24"/>
                <w:highlight w:val="none"/>
                <w:shd w:val="clear" w:color="auto" w:fill="auto"/>
              </w:rPr>
              <w:br w:type="textWrapping"/>
            </w:r>
            <w:r>
              <w:rPr>
                <w:rFonts w:hint="eastAsia" w:ascii="宋体" w:hAnsi="宋体" w:eastAsia="宋体" w:cs="宋体"/>
                <w:sz w:val="24"/>
                <w:szCs w:val="24"/>
                <w:highlight w:val="none"/>
                <w:shd w:val="clear" w:color="auto" w:fill="auto"/>
                <w:lang w:val="en-US" w:eastAsia="zh-CN"/>
              </w:rPr>
              <w:t xml:space="preserve">    </w:t>
            </w:r>
            <w:r>
              <w:rPr>
                <w:rFonts w:hint="eastAsia" w:ascii="宋体" w:hAnsi="宋体" w:eastAsia="宋体" w:cs="宋体"/>
                <w:sz w:val="24"/>
                <w:szCs w:val="24"/>
                <w:highlight w:val="none"/>
                <w:shd w:val="clear" w:color="auto" w:fill="auto"/>
              </w:rPr>
              <w:t>②</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rPr>
              <w:t>管理平台和算法的保护，不限于电池包过压防护、电池包过温防护、电池一致性分析、电池健康评估等；</w:t>
            </w:r>
            <w:r>
              <w:rPr>
                <w:rFonts w:hint="eastAsia" w:ascii="宋体" w:hAnsi="宋体" w:eastAsia="宋体" w:cs="宋体"/>
                <w:sz w:val="24"/>
                <w:szCs w:val="24"/>
                <w:highlight w:val="none"/>
                <w:shd w:val="clear" w:color="auto" w:fill="auto"/>
              </w:rPr>
              <w:br w:type="textWrapping"/>
            </w:r>
            <w:r>
              <w:rPr>
                <w:rFonts w:hint="eastAsia" w:ascii="宋体" w:hAnsi="宋体" w:eastAsia="宋体" w:cs="宋体"/>
                <w:sz w:val="24"/>
                <w:szCs w:val="24"/>
                <w:highlight w:val="none"/>
                <w:shd w:val="clear" w:color="auto" w:fill="auto"/>
                <w:lang w:val="en-US" w:eastAsia="zh-CN"/>
              </w:rPr>
              <w:t xml:space="preserve">    </w:t>
            </w:r>
            <w:r>
              <w:rPr>
                <w:rFonts w:hint="eastAsia" w:ascii="宋体" w:hAnsi="宋体" w:eastAsia="宋体" w:cs="宋体"/>
                <w:sz w:val="24"/>
                <w:szCs w:val="24"/>
                <w:highlight w:val="none"/>
                <w:shd w:val="clear" w:color="auto" w:fill="auto"/>
              </w:rPr>
              <w:t>③</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rPr>
              <w:t>充电管理平台和第三方平台的联动防护功能。</w:t>
            </w:r>
            <w:r>
              <w:rPr>
                <w:rFonts w:hint="eastAsia" w:ascii="宋体" w:hAnsi="宋体" w:eastAsia="宋体" w:cs="宋体"/>
                <w:sz w:val="24"/>
                <w:szCs w:val="24"/>
                <w:highlight w:val="none"/>
                <w:shd w:val="clear" w:color="auto" w:fill="auto"/>
              </w:rPr>
              <w:br w:type="textWrapping"/>
            </w:r>
            <w:r>
              <w:rPr>
                <w:rFonts w:hint="eastAsia" w:ascii="宋体" w:hAnsi="宋体" w:eastAsia="宋体" w:cs="宋体"/>
                <w:sz w:val="24"/>
                <w:szCs w:val="24"/>
                <w:highlight w:val="none"/>
                <w:shd w:val="clear" w:color="auto" w:fill="auto"/>
                <w:lang w:val="en-US" w:eastAsia="zh-CN"/>
              </w:rPr>
              <w:t xml:space="preserve">   </w:t>
            </w:r>
            <w:r>
              <w:rPr>
                <w:rFonts w:hint="eastAsia" w:ascii="宋体" w:hAnsi="宋体" w:eastAsia="宋体" w:cs="宋体"/>
                <w:b/>
                <w:bCs/>
                <w:sz w:val="24"/>
                <w:szCs w:val="24"/>
                <w:highlight w:val="none"/>
                <w:shd w:val="clear" w:color="auto" w:fill="auto"/>
                <w:lang w:val="en-US" w:eastAsia="zh-CN"/>
              </w:rPr>
              <w:t>备</w:t>
            </w:r>
            <w:r>
              <w:rPr>
                <w:rFonts w:hint="eastAsia" w:ascii="宋体" w:hAnsi="宋体" w:eastAsia="宋体" w:cs="宋体"/>
                <w:b/>
                <w:bCs/>
                <w:color w:val="auto"/>
                <w:kern w:val="2"/>
                <w:sz w:val="24"/>
                <w:szCs w:val="24"/>
                <w:highlight w:val="none"/>
                <w:shd w:val="clear" w:color="auto" w:fill="auto"/>
                <w:lang w:val="en-US" w:eastAsia="zh-CN" w:bidi="ar-SA"/>
              </w:rPr>
              <w:t>注：</w:t>
            </w:r>
            <w:r>
              <w:rPr>
                <w:rFonts w:hint="eastAsia" w:ascii="宋体" w:hAnsi="宋体" w:eastAsia="宋体" w:cs="宋体"/>
                <w:b/>
                <w:bCs/>
                <w:sz w:val="24"/>
                <w:szCs w:val="24"/>
                <w:highlight w:val="none"/>
                <w:shd w:val="clear" w:color="auto" w:fill="auto"/>
                <w:lang w:val="en-US" w:eastAsia="zh-CN"/>
              </w:rPr>
              <w:t>需提供第三方检验机构</w:t>
            </w:r>
            <w:r>
              <w:rPr>
                <w:rFonts w:hint="eastAsia" w:ascii="宋体" w:hAnsi="宋体" w:cs="宋体"/>
                <w:b/>
                <w:bCs/>
                <w:sz w:val="24"/>
                <w:szCs w:val="24"/>
                <w:highlight w:val="none"/>
                <w:shd w:val="clear" w:color="auto" w:fill="auto"/>
                <w:lang w:val="en-US" w:eastAsia="zh-CN"/>
              </w:rPr>
              <w:t>（</w:t>
            </w:r>
            <w:r>
              <w:rPr>
                <w:rFonts w:hint="eastAsia" w:ascii="宋体" w:hAnsi="宋体" w:eastAsia="宋体" w:cs="宋体"/>
                <w:b/>
                <w:bCs/>
                <w:color w:val="auto"/>
                <w:kern w:val="2"/>
                <w:sz w:val="24"/>
                <w:szCs w:val="24"/>
                <w:highlight w:val="none"/>
                <w:shd w:val="clear" w:color="auto" w:fill="auto"/>
                <w:lang w:val="en-US" w:eastAsia="zh-CN" w:bidi="ar-SA"/>
              </w:rPr>
              <w:t>国家认监委统一查询系统http://cx.cnca.cn/可查询到的检验检测机构</w:t>
            </w:r>
            <w:r>
              <w:rPr>
                <w:rFonts w:hint="eastAsia" w:ascii="宋体" w:hAnsi="宋体" w:cs="宋体"/>
                <w:b/>
                <w:bCs/>
                <w:sz w:val="24"/>
                <w:szCs w:val="24"/>
                <w:highlight w:val="none"/>
                <w:shd w:val="clear" w:color="auto" w:fill="auto"/>
                <w:lang w:val="en-US" w:eastAsia="zh-CN"/>
              </w:rPr>
              <w:t>）</w:t>
            </w:r>
            <w:r>
              <w:rPr>
                <w:rFonts w:hint="eastAsia" w:ascii="宋体" w:hAnsi="宋体" w:eastAsia="宋体" w:cs="宋体"/>
                <w:b/>
                <w:bCs/>
                <w:color w:val="auto"/>
                <w:kern w:val="2"/>
                <w:sz w:val="24"/>
                <w:szCs w:val="24"/>
                <w:highlight w:val="none"/>
                <w:shd w:val="clear" w:color="auto" w:fill="auto"/>
                <w:lang w:val="en-US" w:eastAsia="zh-CN" w:bidi="ar-SA"/>
              </w:rPr>
              <w:t>出具的检测报告并加盖投标人公章，否则不得分。</w:t>
            </w: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kern w:val="0"/>
                <w:sz w:val="24"/>
                <w:szCs w:val="24"/>
                <w:highlight w:val="none"/>
                <w:shd w:val="clear" w:color="auto" w:fill="auto"/>
                <w:lang w:eastAsia="zh-CN"/>
              </w:rPr>
            </w:pPr>
            <w:r>
              <w:rPr>
                <w:rFonts w:hint="eastAsia" w:ascii="宋体" w:hAnsi="宋体" w:eastAsia="宋体" w:cs="宋体"/>
                <w:kern w:val="0"/>
                <w:sz w:val="24"/>
                <w:szCs w:val="24"/>
                <w:highlight w:val="none"/>
                <w:shd w:val="clear" w:color="auto" w:fill="auto"/>
                <w:lang w:val="en-US" w:eastAsia="zh-CN"/>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52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cs="宋体"/>
                <w:b/>
                <w:bCs/>
                <w:kern w:val="0"/>
                <w:sz w:val="24"/>
                <w:szCs w:val="24"/>
                <w:highlight w:val="none"/>
                <w:shd w:val="clear" w:color="auto" w:fill="auto"/>
              </w:rPr>
            </w:pPr>
            <w:r>
              <w:rPr>
                <w:rFonts w:hint="eastAsia" w:ascii="宋体" w:hAnsi="宋体" w:cs="宋体"/>
                <w:b/>
                <w:bCs/>
                <w:kern w:val="0"/>
                <w:sz w:val="24"/>
                <w:szCs w:val="24"/>
                <w:highlight w:val="none"/>
                <w:shd w:val="clear" w:color="auto" w:fill="auto"/>
              </w:rPr>
              <w:t>T</w:t>
            </w:r>
            <w:r>
              <w:rPr>
                <w:rFonts w:hint="eastAsia" w:ascii="宋体" w:hAnsi="宋体" w:cs="宋体"/>
                <w:b/>
                <w:bCs/>
                <w:kern w:val="0"/>
                <w:sz w:val="24"/>
                <w:szCs w:val="24"/>
                <w:highlight w:val="none"/>
                <w:shd w:val="clear" w:color="auto" w:fill="auto"/>
                <w:lang w:val="en-US" w:eastAsia="zh-CN"/>
              </w:rPr>
              <w:t>7</w:t>
            </w:r>
            <w:r>
              <w:rPr>
                <w:rFonts w:hint="eastAsia" w:ascii="宋体" w:hAnsi="宋体" w:cs="宋体"/>
                <w:b/>
                <w:bCs/>
                <w:kern w:val="0"/>
                <w:sz w:val="24"/>
                <w:highlight w:val="none"/>
                <w:shd w:val="clear" w:color="auto" w:fill="auto"/>
              </w:rPr>
              <w:t>评分项</w:t>
            </w:r>
          </w:p>
        </w:tc>
        <w:tc>
          <w:tcPr>
            <w:tcW w:w="7355" w:type="dxa"/>
            <w:vAlign w:val="center"/>
          </w:tcPr>
          <w:p>
            <w:pPr>
              <w:pStyle w:val="30"/>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投标人拟为本项目配套运营管理平台全部满足以下远程功能的得3分。</w:t>
            </w:r>
            <w:r>
              <w:rPr>
                <w:rFonts w:hint="eastAsia" w:ascii="宋体" w:hAnsi="宋体" w:eastAsia="宋体" w:cs="宋体"/>
                <w:b/>
                <w:bCs/>
                <w:kern w:val="0"/>
                <w:sz w:val="24"/>
                <w:szCs w:val="24"/>
                <w:highlight w:val="none"/>
                <w:shd w:val="clear" w:color="auto" w:fill="auto"/>
              </w:rPr>
              <w:t>（本项满分</w:t>
            </w:r>
            <w:r>
              <w:rPr>
                <w:rFonts w:hint="eastAsia" w:ascii="宋体" w:hAnsi="宋体" w:eastAsia="宋体" w:cs="宋体"/>
                <w:b/>
                <w:bCs/>
                <w:kern w:val="0"/>
                <w:sz w:val="24"/>
                <w:szCs w:val="24"/>
                <w:highlight w:val="none"/>
                <w:shd w:val="clear" w:color="auto" w:fill="auto"/>
                <w:lang w:val="en-US" w:eastAsia="zh-CN"/>
              </w:rPr>
              <w:t>3</w:t>
            </w:r>
            <w:r>
              <w:rPr>
                <w:rFonts w:hint="eastAsia" w:ascii="宋体" w:hAnsi="宋体" w:eastAsia="宋体" w:cs="宋体"/>
                <w:b/>
                <w:bCs/>
                <w:kern w:val="0"/>
                <w:sz w:val="24"/>
                <w:szCs w:val="24"/>
                <w:highlight w:val="none"/>
                <w:shd w:val="clear" w:color="auto" w:fill="auto"/>
              </w:rPr>
              <w:t>分）</w:t>
            </w:r>
            <w:r>
              <w:rPr>
                <w:rFonts w:hint="eastAsia" w:ascii="宋体" w:hAnsi="宋体" w:eastAsia="宋体" w:cs="宋体"/>
                <w:sz w:val="24"/>
                <w:szCs w:val="24"/>
                <w:highlight w:val="none"/>
                <w:shd w:val="clear" w:color="auto" w:fill="auto"/>
                <w:lang w:val="en-US" w:eastAsia="zh-CN"/>
              </w:rPr>
              <w:br w:type="textWrapping"/>
            </w:r>
            <w:r>
              <w:rPr>
                <w:rFonts w:hint="eastAsia" w:ascii="宋体" w:hAnsi="宋体" w:eastAsia="宋体" w:cs="宋体"/>
                <w:sz w:val="24"/>
                <w:szCs w:val="24"/>
                <w:highlight w:val="none"/>
                <w:shd w:val="clear" w:color="auto" w:fill="auto"/>
                <w:lang w:val="en-US" w:eastAsia="zh-CN"/>
              </w:rPr>
              <w:t xml:space="preserve">    ①、平台可以远程采集并传送运行各种电气量和负荷潮流；</w:t>
            </w:r>
            <w:r>
              <w:rPr>
                <w:rFonts w:hint="eastAsia" w:ascii="宋体" w:hAnsi="宋体" w:eastAsia="宋体" w:cs="宋体"/>
                <w:sz w:val="24"/>
                <w:szCs w:val="24"/>
                <w:highlight w:val="none"/>
                <w:shd w:val="clear" w:color="auto" w:fill="auto"/>
                <w:lang w:val="en-US" w:eastAsia="zh-CN"/>
              </w:rPr>
              <w:br w:type="textWrapping"/>
            </w:r>
            <w:r>
              <w:rPr>
                <w:rFonts w:hint="eastAsia" w:ascii="宋体" w:hAnsi="宋体" w:eastAsia="宋体" w:cs="宋体"/>
                <w:sz w:val="24"/>
                <w:szCs w:val="24"/>
                <w:highlight w:val="none"/>
                <w:shd w:val="clear" w:color="auto" w:fill="auto"/>
                <w:lang w:val="en-US" w:eastAsia="zh-CN"/>
              </w:rPr>
              <w:t xml:space="preserve">    ②、远程采集并传送各种保护和开关量信息；</w:t>
            </w:r>
            <w:r>
              <w:rPr>
                <w:rFonts w:hint="eastAsia" w:ascii="宋体" w:hAnsi="宋体" w:eastAsia="宋体" w:cs="宋体"/>
                <w:sz w:val="24"/>
                <w:szCs w:val="24"/>
                <w:highlight w:val="none"/>
                <w:shd w:val="clear" w:color="auto" w:fill="auto"/>
                <w:lang w:val="en-US" w:eastAsia="zh-CN"/>
              </w:rPr>
              <w:br w:type="textWrapping"/>
            </w:r>
            <w:r>
              <w:rPr>
                <w:rFonts w:hint="eastAsia" w:ascii="宋体" w:hAnsi="宋体" w:eastAsia="宋体" w:cs="宋体"/>
                <w:sz w:val="24"/>
                <w:szCs w:val="24"/>
                <w:highlight w:val="none"/>
                <w:shd w:val="clear" w:color="auto" w:fill="auto"/>
                <w:lang w:val="en-US" w:eastAsia="zh-CN"/>
              </w:rPr>
              <w:t xml:space="preserve">    ③、远程控制开关控制设备；</w:t>
            </w:r>
            <w:r>
              <w:rPr>
                <w:rFonts w:hint="eastAsia" w:ascii="宋体" w:hAnsi="宋体" w:eastAsia="宋体" w:cs="宋体"/>
                <w:sz w:val="24"/>
                <w:szCs w:val="24"/>
                <w:highlight w:val="none"/>
                <w:shd w:val="clear" w:color="auto" w:fill="auto"/>
                <w:lang w:val="en-US" w:eastAsia="zh-CN"/>
              </w:rPr>
              <w:br w:type="textWrapping"/>
            </w:r>
            <w:r>
              <w:rPr>
                <w:rFonts w:hint="eastAsia" w:ascii="宋体" w:hAnsi="宋体" w:eastAsia="宋体" w:cs="宋体"/>
                <w:sz w:val="24"/>
                <w:szCs w:val="24"/>
                <w:highlight w:val="none"/>
                <w:shd w:val="clear" w:color="auto" w:fill="auto"/>
                <w:lang w:val="en-US" w:eastAsia="zh-CN"/>
              </w:rPr>
              <w:t xml:space="preserve">    ④、远程调节充电机输出功率</w:t>
            </w:r>
            <w:r>
              <w:rPr>
                <w:rFonts w:hint="eastAsia" w:ascii="宋体" w:hAnsi="宋体" w:eastAsia="宋体" w:cs="宋体"/>
                <w:sz w:val="24"/>
                <w:szCs w:val="24"/>
                <w:highlight w:val="none"/>
                <w:shd w:val="clear" w:color="auto" w:fill="auto"/>
                <w:lang w:val="en-US" w:eastAsia="zh-CN"/>
              </w:rPr>
              <w:br w:type="textWrapping"/>
            </w:r>
            <w:r>
              <w:rPr>
                <w:rFonts w:hint="eastAsia" w:ascii="宋体" w:hAnsi="宋体" w:eastAsia="宋体" w:cs="宋体"/>
                <w:sz w:val="24"/>
                <w:szCs w:val="24"/>
                <w:highlight w:val="none"/>
                <w:shd w:val="clear" w:color="auto" w:fill="auto"/>
                <w:lang w:val="en-US" w:eastAsia="zh-CN"/>
              </w:rPr>
              <w:t xml:space="preserve">    ⑤、远程动态实时监控信息。</w:t>
            </w:r>
            <w:r>
              <w:rPr>
                <w:rFonts w:hint="eastAsia" w:ascii="宋体" w:hAnsi="宋体" w:eastAsia="宋体" w:cs="宋体"/>
                <w:sz w:val="24"/>
                <w:szCs w:val="24"/>
                <w:highlight w:val="none"/>
                <w:shd w:val="clear" w:color="auto" w:fill="auto"/>
                <w:lang w:val="en-US" w:eastAsia="zh-CN"/>
              </w:rPr>
              <w:br w:type="textWrapping"/>
            </w:r>
            <w:r>
              <w:rPr>
                <w:rFonts w:hint="eastAsia" w:ascii="宋体" w:hAnsi="宋体" w:eastAsia="宋体" w:cs="宋体"/>
                <w:sz w:val="24"/>
                <w:szCs w:val="24"/>
                <w:highlight w:val="none"/>
                <w:shd w:val="clear" w:color="auto" w:fill="auto"/>
                <w:lang w:val="en-US" w:eastAsia="zh-CN"/>
              </w:rPr>
              <w:t xml:space="preserve">    </w:t>
            </w:r>
            <w:r>
              <w:rPr>
                <w:rFonts w:hint="eastAsia" w:ascii="宋体" w:hAnsi="宋体" w:eastAsia="宋体" w:cs="宋体"/>
                <w:b/>
                <w:bCs/>
                <w:sz w:val="24"/>
                <w:szCs w:val="24"/>
                <w:highlight w:val="none"/>
                <w:shd w:val="clear" w:color="auto" w:fill="auto"/>
                <w:lang w:val="en-US" w:eastAsia="zh-CN"/>
              </w:rPr>
              <w:t>备注：全部满足的得3分，缺项漏项不得分，投标人需提供所投产品的检测报告扫描件，检测报告需具备CMA、ILAC-MRA、CNAS认证标识，否则不得分。</w:t>
            </w: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kern w:val="0"/>
                <w:sz w:val="24"/>
                <w:szCs w:val="24"/>
                <w:highlight w:val="none"/>
                <w:shd w:val="clear" w:color="auto" w:fill="auto"/>
                <w:lang w:eastAsia="zh-CN"/>
              </w:rPr>
            </w:pPr>
            <w:r>
              <w:rPr>
                <w:rFonts w:hint="eastAsia" w:ascii="宋体" w:hAnsi="宋体" w:eastAsia="宋体" w:cs="宋体"/>
                <w:kern w:val="0"/>
                <w:sz w:val="24"/>
                <w:szCs w:val="24"/>
                <w:highlight w:val="none"/>
                <w:shd w:val="clear" w:color="auto" w:fill="auto"/>
                <w:lang w:val="en-US" w:eastAsia="zh-CN"/>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97" w:hRule="atLeast"/>
        </w:trPr>
        <w:tc>
          <w:tcPr>
            <w:tcW w:w="152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cs="宋体"/>
                <w:b/>
                <w:bCs/>
                <w:kern w:val="0"/>
                <w:sz w:val="24"/>
                <w:szCs w:val="24"/>
                <w:highlight w:val="none"/>
                <w:shd w:val="clear" w:color="auto" w:fill="auto"/>
              </w:rPr>
            </w:pPr>
            <w:r>
              <w:rPr>
                <w:rFonts w:hint="eastAsia" w:ascii="宋体" w:hAnsi="宋体" w:cs="宋体"/>
                <w:b/>
                <w:bCs/>
                <w:kern w:val="0"/>
                <w:sz w:val="24"/>
                <w:szCs w:val="24"/>
                <w:highlight w:val="none"/>
                <w:shd w:val="clear" w:color="auto" w:fill="auto"/>
              </w:rPr>
              <w:t>T</w:t>
            </w:r>
            <w:r>
              <w:rPr>
                <w:rFonts w:hint="eastAsia" w:ascii="宋体" w:hAnsi="宋体" w:cs="宋体"/>
                <w:b/>
                <w:bCs/>
                <w:kern w:val="0"/>
                <w:sz w:val="24"/>
                <w:szCs w:val="24"/>
                <w:highlight w:val="none"/>
                <w:shd w:val="clear" w:color="auto" w:fill="auto"/>
                <w:lang w:val="en-US" w:eastAsia="zh-CN"/>
              </w:rPr>
              <w:t>8</w:t>
            </w:r>
            <w:r>
              <w:rPr>
                <w:rFonts w:hint="eastAsia" w:ascii="宋体" w:hAnsi="宋体" w:cs="宋体"/>
                <w:b/>
                <w:bCs/>
                <w:kern w:val="0"/>
                <w:sz w:val="24"/>
                <w:highlight w:val="none"/>
                <w:shd w:val="clear" w:color="auto" w:fill="auto"/>
              </w:rPr>
              <w:t>评分项</w:t>
            </w:r>
          </w:p>
        </w:tc>
        <w:tc>
          <w:tcPr>
            <w:tcW w:w="735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rPr>
              <w:t>投标人拥有自主的智能运维平台，运维平台功能包括</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rPr>
              <w:t>设备状态监测、电力损耗监测、故障告警监控、运行电损、设备运行健康度评估、电源模块运行状态监控</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的得3分，缺任何一项不得</w:t>
            </w:r>
            <w:r>
              <w:rPr>
                <w:rFonts w:hint="eastAsia" w:ascii="宋体" w:hAnsi="宋体" w:eastAsia="宋体" w:cs="宋体"/>
                <w:sz w:val="24"/>
                <w:szCs w:val="24"/>
                <w:highlight w:val="none"/>
                <w:shd w:val="clear" w:color="auto" w:fill="auto"/>
              </w:rPr>
              <w:t>分</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b/>
                <w:bCs/>
                <w:kern w:val="0"/>
                <w:sz w:val="24"/>
                <w:szCs w:val="24"/>
                <w:highlight w:val="none"/>
                <w:shd w:val="clear" w:color="auto" w:fill="auto"/>
              </w:rPr>
              <w:t>（本项满分</w:t>
            </w:r>
            <w:r>
              <w:rPr>
                <w:rFonts w:hint="eastAsia" w:ascii="宋体" w:hAnsi="宋体" w:eastAsia="宋体" w:cs="宋体"/>
                <w:b/>
                <w:bCs/>
                <w:kern w:val="0"/>
                <w:sz w:val="24"/>
                <w:szCs w:val="24"/>
                <w:highlight w:val="none"/>
                <w:shd w:val="clear" w:color="auto" w:fill="auto"/>
                <w:lang w:val="en-US" w:eastAsia="zh-CN"/>
              </w:rPr>
              <w:t>3</w:t>
            </w:r>
            <w:r>
              <w:rPr>
                <w:rFonts w:hint="eastAsia" w:ascii="宋体" w:hAnsi="宋体" w:eastAsia="宋体" w:cs="宋体"/>
                <w:b/>
                <w:bCs/>
                <w:kern w:val="0"/>
                <w:sz w:val="24"/>
                <w:szCs w:val="24"/>
                <w:highlight w:val="none"/>
                <w:shd w:val="clear" w:color="auto" w:fill="auto"/>
              </w:rPr>
              <w:t>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备</w:t>
            </w:r>
            <w:r>
              <w:rPr>
                <w:rFonts w:hint="eastAsia" w:ascii="宋体" w:hAnsi="宋体" w:eastAsia="宋体" w:cs="宋体"/>
                <w:sz w:val="24"/>
                <w:szCs w:val="24"/>
                <w:highlight w:val="none"/>
                <w:shd w:val="clear" w:color="auto" w:fill="auto"/>
              </w:rPr>
              <w:t>注：</w:t>
            </w:r>
            <w:r>
              <w:rPr>
                <w:rFonts w:hint="eastAsia" w:ascii="宋体" w:hAnsi="宋体" w:eastAsia="宋体" w:cs="宋体"/>
                <w:sz w:val="24"/>
                <w:szCs w:val="24"/>
                <w:highlight w:val="none"/>
                <w:shd w:val="clear" w:color="auto" w:fill="auto"/>
                <w:lang w:val="en-US" w:eastAsia="zh-CN"/>
              </w:rPr>
              <w:t>投标人</w:t>
            </w:r>
            <w:r>
              <w:rPr>
                <w:rFonts w:hint="eastAsia" w:ascii="宋体" w:hAnsi="宋体" w:eastAsia="宋体" w:cs="宋体"/>
                <w:sz w:val="24"/>
                <w:szCs w:val="24"/>
                <w:highlight w:val="none"/>
                <w:shd w:val="clear" w:color="auto" w:fill="auto"/>
              </w:rPr>
              <w:t>需提供第三方检验机构（具备CMA及CNAS资质）出具的检测报告，否则不得分。</w:t>
            </w: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kern w:val="0"/>
                <w:sz w:val="24"/>
                <w:szCs w:val="24"/>
                <w:highlight w:val="none"/>
                <w:shd w:val="clear" w:color="auto" w:fill="auto"/>
                <w:lang w:val="en-US" w:eastAsia="zh-CN"/>
              </w:rPr>
            </w:pPr>
            <w:r>
              <w:rPr>
                <w:rFonts w:hint="eastAsia" w:ascii="宋体" w:hAnsi="宋体" w:eastAsia="宋体" w:cs="宋体"/>
                <w:kern w:val="0"/>
                <w:sz w:val="24"/>
                <w:szCs w:val="24"/>
                <w:highlight w:val="none"/>
                <w:shd w:val="clear" w:color="auto" w:fill="auto"/>
                <w:lang w:val="en-US" w:eastAsia="zh-CN"/>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97" w:hRule="atLeast"/>
        </w:trPr>
        <w:tc>
          <w:tcPr>
            <w:tcW w:w="152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cs="宋体"/>
                <w:b/>
                <w:bCs/>
                <w:kern w:val="0"/>
                <w:sz w:val="24"/>
                <w:szCs w:val="24"/>
                <w:highlight w:val="none"/>
                <w:shd w:val="clear" w:color="auto" w:fill="auto"/>
              </w:rPr>
            </w:pPr>
            <w:r>
              <w:rPr>
                <w:rFonts w:hint="eastAsia" w:ascii="宋体" w:hAnsi="宋体" w:cs="宋体"/>
                <w:b/>
                <w:bCs/>
                <w:kern w:val="0"/>
                <w:sz w:val="24"/>
                <w:szCs w:val="24"/>
                <w:highlight w:val="none"/>
                <w:shd w:val="clear" w:color="auto" w:fill="auto"/>
              </w:rPr>
              <w:t>T</w:t>
            </w:r>
            <w:r>
              <w:rPr>
                <w:rFonts w:hint="eastAsia" w:ascii="宋体" w:hAnsi="宋体" w:cs="宋体"/>
                <w:b/>
                <w:bCs/>
                <w:kern w:val="0"/>
                <w:sz w:val="24"/>
                <w:szCs w:val="24"/>
                <w:highlight w:val="none"/>
                <w:shd w:val="clear" w:color="auto" w:fill="auto"/>
                <w:lang w:val="en-US" w:eastAsia="zh-CN"/>
              </w:rPr>
              <w:t>9</w:t>
            </w:r>
            <w:r>
              <w:rPr>
                <w:rFonts w:hint="eastAsia" w:ascii="宋体" w:hAnsi="宋体" w:cs="宋体"/>
                <w:b/>
                <w:bCs/>
                <w:kern w:val="0"/>
                <w:sz w:val="24"/>
                <w:highlight w:val="none"/>
                <w:shd w:val="clear" w:color="auto" w:fill="auto"/>
              </w:rPr>
              <w:t>评分项</w:t>
            </w:r>
          </w:p>
        </w:tc>
        <w:tc>
          <w:tcPr>
            <w:tcW w:w="73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shd w:val="clear" w:color="auto" w:fill="auto"/>
              </w:rPr>
            </w:pPr>
            <w:r>
              <w:rPr>
                <w:rFonts w:hint="eastAsia" w:ascii="宋体" w:hAnsi="宋体" w:cs="宋体"/>
                <w:color w:val="auto"/>
                <w:sz w:val="24"/>
                <w:highlight w:val="none"/>
                <w:shd w:val="clear" w:color="auto" w:fill="auto"/>
              </w:rPr>
              <w:t>根据各</w:t>
            </w:r>
            <w:r>
              <w:rPr>
                <w:rFonts w:hint="eastAsia" w:ascii="宋体" w:hAnsi="宋体" w:cs="宋体"/>
                <w:color w:val="auto"/>
                <w:sz w:val="24"/>
                <w:highlight w:val="none"/>
                <w:shd w:val="clear" w:color="auto" w:fill="auto"/>
                <w:lang w:eastAsia="zh-CN"/>
              </w:rPr>
              <w:t>投标人</w:t>
            </w:r>
            <w:r>
              <w:rPr>
                <w:rFonts w:hint="eastAsia" w:ascii="宋体" w:hAnsi="宋体" w:cs="宋体"/>
                <w:color w:val="auto"/>
                <w:sz w:val="24"/>
                <w:highlight w:val="none"/>
                <w:shd w:val="clear" w:color="auto" w:fill="auto"/>
              </w:rPr>
              <w:t>针对本项目所制定的</w:t>
            </w:r>
            <w:r>
              <w:rPr>
                <w:rFonts w:hint="eastAsia" w:ascii="宋体" w:hAnsi="宋体" w:cs="宋体"/>
                <w:b/>
                <w:bCs/>
                <w:color w:val="auto"/>
                <w:sz w:val="24"/>
                <w:highlight w:val="none"/>
                <w:shd w:val="clear" w:color="auto" w:fill="auto"/>
                <w:lang w:eastAsia="zh-CN"/>
              </w:rPr>
              <w:t>“</w:t>
            </w:r>
            <w:r>
              <w:rPr>
                <w:rFonts w:hint="eastAsia" w:ascii="宋体" w:hAnsi="宋体" w:cs="宋体"/>
                <w:b/>
                <w:bCs/>
                <w:color w:val="auto"/>
                <w:sz w:val="24"/>
                <w:highlight w:val="none"/>
                <w:shd w:val="clear" w:color="auto" w:fill="auto"/>
                <w:lang w:val="en-US" w:eastAsia="zh-CN"/>
              </w:rPr>
              <w:t>产品制造及质量控制方案</w:t>
            </w:r>
            <w:r>
              <w:rPr>
                <w:rFonts w:hint="eastAsia" w:ascii="宋体" w:hAnsi="宋体" w:cs="宋体"/>
                <w:b/>
                <w:bCs/>
                <w:color w:val="auto"/>
                <w:sz w:val="24"/>
                <w:highlight w:val="none"/>
                <w:shd w:val="clear" w:color="auto" w:fill="auto"/>
                <w:lang w:eastAsia="zh-CN"/>
              </w:rPr>
              <w:t>”</w:t>
            </w:r>
            <w:r>
              <w:rPr>
                <w:rFonts w:hint="eastAsia" w:ascii="宋体" w:hAnsi="宋体" w:cs="宋体"/>
                <w:color w:val="auto"/>
                <w:sz w:val="24"/>
                <w:highlight w:val="none"/>
                <w:shd w:val="clear" w:color="auto" w:fill="auto"/>
              </w:rPr>
              <w:t>由</w:t>
            </w:r>
            <w:r>
              <w:rPr>
                <w:rFonts w:hint="eastAsia" w:ascii="宋体" w:hAnsi="宋体" w:cs="宋体"/>
                <w:color w:val="auto"/>
                <w:sz w:val="24"/>
                <w:highlight w:val="none"/>
                <w:shd w:val="clear" w:color="auto" w:fill="auto"/>
                <w:lang w:eastAsia="zh-CN"/>
              </w:rPr>
              <w:t>评标委员会</w:t>
            </w:r>
            <w:r>
              <w:rPr>
                <w:rFonts w:hint="eastAsia" w:ascii="宋体" w:hAnsi="宋体" w:cs="宋体"/>
                <w:color w:val="auto"/>
                <w:sz w:val="24"/>
                <w:highlight w:val="none"/>
                <w:shd w:val="clear" w:color="auto" w:fill="auto"/>
              </w:rPr>
              <w:t>进行评分：①方案完整、详实、阐述清晰、重点突出、科学合理、可操作性强，满足项目需求的得3分；②方案完整，总体科学合理、具有可操作性，虽存在部分内容表述不清但无实质性影响的得2分；③方案虽有少量缺漏，但总体内容合理、具有可操性的得1分；④方案缺漏较多，但提供的方案内容总体合理的得0.5分；⑤未提供方案或方案不合理的本项不得分。</w:t>
            </w:r>
            <w:r>
              <w:rPr>
                <w:rFonts w:hint="eastAsia" w:ascii="宋体" w:hAnsi="宋体" w:eastAsia="宋体" w:cs="宋体"/>
                <w:b/>
                <w:bCs/>
                <w:kern w:val="0"/>
                <w:sz w:val="24"/>
                <w:szCs w:val="24"/>
                <w:highlight w:val="none"/>
                <w:shd w:val="clear" w:color="auto" w:fill="auto"/>
              </w:rPr>
              <w:t>（本项满分</w:t>
            </w:r>
            <w:r>
              <w:rPr>
                <w:rFonts w:hint="eastAsia" w:ascii="宋体" w:hAnsi="宋体" w:eastAsia="宋体" w:cs="宋体"/>
                <w:b/>
                <w:bCs/>
                <w:kern w:val="0"/>
                <w:sz w:val="24"/>
                <w:szCs w:val="24"/>
                <w:highlight w:val="none"/>
                <w:shd w:val="clear" w:color="auto" w:fill="auto"/>
                <w:lang w:val="en-US" w:eastAsia="zh-CN"/>
              </w:rPr>
              <w:t>3</w:t>
            </w:r>
            <w:r>
              <w:rPr>
                <w:rFonts w:hint="eastAsia" w:ascii="宋体" w:hAnsi="宋体" w:eastAsia="宋体" w:cs="宋体"/>
                <w:b/>
                <w:bCs/>
                <w:kern w:val="0"/>
                <w:sz w:val="24"/>
                <w:szCs w:val="24"/>
                <w:highlight w:val="none"/>
                <w:shd w:val="clear" w:color="auto" w:fill="auto"/>
              </w:rPr>
              <w:t>分）</w:t>
            </w: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cs="宋体"/>
                <w:kern w:val="0"/>
                <w:sz w:val="24"/>
                <w:szCs w:val="24"/>
                <w:highlight w:val="none"/>
                <w:shd w:val="clear" w:color="auto" w:fill="auto"/>
                <w:lang w:val="en-US" w:eastAsia="zh-CN"/>
              </w:rPr>
            </w:pPr>
            <w:r>
              <w:rPr>
                <w:rFonts w:hint="eastAsia" w:ascii="宋体" w:hAnsi="宋体" w:cs="宋体"/>
                <w:kern w:val="0"/>
                <w:sz w:val="24"/>
                <w:szCs w:val="24"/>
                <w:highlight w:val="none"/>
                <w:shd w:val="clear" w:color="auto" w:fill="auto"/>
                <w:lang w:val="en-US" w:eastAsia="zh-CN"/>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7" w:hRule="atLeast"/>
        </w:trPr>
        <w:tc>
          <w:tcPr>
            <w:tcW w:w="152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cs="宋体"/>
                <w:b/>
                <w:bCs/>
                <w:kern w:val="0"/>
                <w:sz w:val="24"/>
                <w:szCs w:val="24"/>
                <w:highlight w:val="none"/>
                <w:shd w:val="clear" w:color="auto" w:fill="auto"/>
              </w:rPr>
            </w:pPr>
            <w:r>
              <w:rPr>
                <w:rFonts w:hint="eastAsia" w:ascii="宋体" w:hAnsi="宋体" w:cs="宋体"/>
                <w:b/>
                <w:bCs/>
                <w:kern w:val="0"/>
                <w:sz w:val="24"/>
                <w:szCs w:val="24"/>
                <w:highlight w:val="none"/>
                <w:shd w:val="clear" w:color="auto" w:fill="auto"/>
              </w:rPr>
              <w:t>T</w:t>
            </w:r>
            <w:r>
              <w:rPr>
                <w:rFonts w:hint="eastAsia" w:ascii="宋体" w:hAnsi="宋体" w:cs="宋体"/>
                <w:b/>
                <w:bCs/>
                <w:kern w:val="0"/>
                <w:sz w:val="24"/>
                <w:szCs w:val="24"/>
                <w:highlight w:val="none"/>
                <w:shd w:val="clear" w:color="auto" w:fill="auto"/>
                <w:lang w:val="en-US" w:eastAsia="zh-CN"/>
              </w:rPr>
              <w:t>10</w:t>
            </w:r>
            <w:r>
              <w:rPr>
                <w:rFonts w:hint="eastAsia" w:ascii="宋体" w:hAnsi="宋体" w:cs="宋体"/>
                <w:b/>
                <w:bCs/>
                <w:kern w:val="0"/>
                <w:sz w:val="24"/>
                <w:highlight w:val="none"/>
                <w:shd w:val="clear" w:color="auto" w:fill="auto"/>
              </w:rPr>
              <w:t>评分项</w:t>
            </w:r>
          </w:p>
        </w:tc>
        <w:tc>
          <w:tcPr>
            <w:tcW w:w="73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shd w:val="clear" w:color="auto" w:fill="auto"/>
              </w:rPr>
            </w:pPr>
            <w:r>
              <w:rPr>
                <w:rFonts w:hint="eastAsia" w:ascii="宋体" w:hAnsi="宋体" w:cs="宋体"/>
                <w:color w:val="auto"/>
                <w:sz w:val="24"/>
                <w:highlight w:val="none"/>
                <w:shd w:val="clear" w:color="auto" w:fill="auto"/>
              </w:rPr>
              <w:t>根据各</w:t>
            </w:r>
            <w:r>
              <w:rPr>
                <w:rFonts w:hint="eastAsia" w:ascii="宋体" w:hAnsi="宋体" w:cs="宋体"/>
                <w:color w:val="auto"/>
                <w:sz w:val="24"/>
                <w:highlight w:val="none"/>
                <w:shd w:val="clear" w:color="auto" w:fill="auto"/>
                <w:lang w:eastAsia="zh-CN"/>
              </w:rPr>
              <w:t>投标人</w:t>
            </w:r>
            <w:r>
              <w:rPr>
                <w:rFonts w:hint="eastAsia" w:ascii="宋体" w:hAnsi="宋体" w:cs="宋体"/>
                <w:color w:val="auto"/>
                <w:sz w:val="24"/>
                <w:highlight w:val="none"/>
                <w:shd w:val="clear" w:color="auto" w:fill="auto"/>
              </w:rPr>
              <w:t>针对本项目所制定的</w:t>
            </w:r>
            <w:r>
              <w:rPr>
                <w:rFonts w:hint="eastAsia" w:ascii="宋体" w:hAnsi="宋体" w:cs="宋体"/>
                <w:b/>
                <w:bCs/>
                <w:color w:val="auto"/>
                <w:sz w:val="24"/>
                <w:highlight w:val="none"/>
                <w:shd w:val="clear" w:color="auto" w:fill="auto"/>
                <w:lang w:eastAsia="zh-CN"/>
              </w:rPr>
              <w:t>“</w:t>
            </w:r>
            <w:r>
              <w:rPr>
                <w:rFonts w:hint="eastAsia" w:ascii="宋体" w:hAnsi="宋体" w:cs="宋体"/>
                <w:b/>
                <w:bCs/>
                <w:color w:val="auto"/>
                <w:sz w:val="24"/>
                <w:highlight w:val="none"/>
                <w:shd w:val="clear" w:color="auto" w:fill="auto"/>
                <w:lang w:val="en-US" w:eastAsia="zh-CN"/>
              </w:rPr>
              <w:t>产品试验水平控制方案</w:t>
            </w:r>
            <w:r>
              <w:rPr>
                <w:rFonts w:hint="eastAsia" w:ascii="宋体" w:hAnsi="宋体" w:cs="宋体"/>
                <w:b/>
                <w:bCs/>
                <w:color w:val="auto"/>
                <w:sz w:val="24"/>
                <w:highlight w:val="none"/>
                <w:shd w:val="clear" w:color="auto" w:fill="auto"/>
                <w:lang w:eastAsia="zh-CN"/>
              </w:rPr>
              <w:t>”</w:t>
            </w:r>
            <w:r>
              <w:rPr>
                <w:rFonts w:hint="eastAsia" w:ascii="宋体" w:hAnsi="宋体" w:cs="宋体"/>
                <w:color w:val="auto"/>
                <w:sz w:val="24"/>
                <w:highlight w:val="none"/>
                <w:shd w:val="clear" w:color="auto" w:fill="auto"/>
              </w:rPr>
              <w:t>由</w:t>
            </w:r>
            <w:r>
              <w:rPr>
                <w:rFonts w:hint="eastAsia" w:ascii="宋体" w:hAnsi="宋体" w:cs="宋体"/>
                <w:color w:val="auto"/>
                <w:sz w:val="24"/>
                <w:highlight w:val="none"/>
                <w:shd w:val="clear" w:color="auto" w:fill="auto"/>
                <w:lang w:eastAsia="zh-CN"/>
              </w:rPr>
              <w:t>评标委员会</w:t>
            </w:r>
            <w:r>
              <w:rPr>
                <w:rFonts w:hint="eastAsia" w:ascii="宋体" w:hAnsi="宋体" w:cs="宋体"/>
                <w:color w:val="auto"/>
                <w:sz w:val="24"/>
                <w:highlight w:val="none"/>
                <w:shd w:val="clear" w:color="auto" w:fill="auto"/>
              </w:rPr>
              <w:t>进行评分：①方案完整、详实、阐述清晰、重点突出、科学合理、可操作性强，满足项目需求的得3分；②方案完整，总体科学合理、具有可操作性，虽存在部分内容表述不清但无实质性影响的得2分；③方案虽有少量缺漏，但总体内容合理、具有可操性的得1分；④方案缺漏较多，但提供的方案内容总体合理的得0.5分；⑤未提供方案或方案不合理的本项不得分。</w:t>
            </w:r>
            <w:r>
              <w:rPr>
                <w:rFonts w:hint="eastAsia" w:ascii="宋体" w:hAnsi="宋体" w:eastAsia="宋体" w:cs="宋体"/>
                <w:b/>
                <w:bCs/>
                <w:kern w:val="0"/>
                <w:sz w:val="24"/>
                <w:szCs w:val="24"/>
                <w:highlight w:val="none"/>
                <w:shd w:val="clear" w:color="auto" w:fill="auto"/>
              </w:rPr>
              <w:t>（本项满分</w:t>
            </w:r>
            <w:r>
              <w:rPr>
                <w:rFonts w:hint="eastAsia" w:ascii="宋体" w:hAnsi="宋体" w:eastAsia="宋体" w:cs="宋体"/>
                <w:b/>
                <w:bCs/>
                <w:kern w:val="0"/>
                <w:sz w:val="24"/>
                <w:szCs w:val="24"/>
                <w:highlight w:val="none"/>
                <w:shd w:val="clear" w:color="auto" w:fill="auto"/>
                <w:lang w:val="en-US" w:eastAsia="zh-CN"/>
              </w:rPr>
              <w:t>3</w:t>
            </w:r>
            <w:r>
              <w:rPr>
                <w:rFonts w:hint="eastAsia" w:ascii="宋体" w:hAnsi="宋体" w:eastAsia="宋体" w:cs="宋体"/>
                <w:b/>
                <w:bCs/>
                <w:kern w:val="0"/>
                <w:sz w:val="24"/>
                <w:szCs w:val="24"/>
                <w:highlight w:val="none"/>
                <w:shd w:val="clear" w:color="auto" w:fill="auto"/>
              </w:rPr>
              <w:t>分）</w:t>
            </w: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kern w:val="0"/>
                <w:sz w:val="24"/>
                <w:szCs w:val="24"/>
                <w:highlight w:val="none"/>
                <w:shd w:val="clear" w:color="auto" w:fill="auto"/>
                <w:lang w:eastAsia="zh-CN"/>
              </w:rPr>
            </w:pPr>
            <w:r>
              <w:rPr>
                <w:rFonts w:hint="eastAsia" w:ascii="宋体" w:hAnsi="宋体" w:cs="宋体"/>
                <w:kern w:val="0"/>
                <w:sz w:val="24"/>
                <w:szCs w:val="24"/>
                <w:highlight w:val="none"/>
                <w:shd w:val="clear" w:color="auto" w:fill="auto"/>
                <w:lang w:val="en-US" w:eastAsia="zh-CN"/>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4" w:hRule="atLeast"/>
        </w:trPr>
        <w:tc>
          <w:tcPr>
            <w:tcW w:w="152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cs="宋体"/>
                <w:b/>
                <w:bCs/>
                <w:kern w:val="0"/>
                <w:sz w:val="24"/>
                <w:szCs w:val="24"/>
                <w:highlight w:val="none"/>
                <w:shd w:val="clear" w:color="auto" w:fill="auto"/>
              </w:rPr>
            </w:pPr>
            <w:r>
              <w:rPr>
                <w:rFonts w:hint="eastAsia" w:ascii="宋体" w:hAnsi="宋体" w:cs="宋体"/>
                <w:b/>
                <w:bCs/>
                <w:kern w:val="0"/>
                <w:sz w:val="24"/>
                <w:szCs w:val="24"/>
                <w:highlight w:val="none"/>
                <w:shd w:val="clear" w:color="auto" w:fill="auto"/>
              </w:rPr>
              <w:t>T</w:t>
            </w:r>
            <w:r>
              <w:rPr>
                <w:rFonts w:hint="eastAsia" w:ascii="宋体" w:hAnsi="宋体" w:cs="宋体"/>
                <w:b/>
                <w:bCs/>
                <w:kern w:val="0"/>
                <w:sz w:val="24"/>
                <w:szCs w:val="24"/>
                <w:highlight w:val="none"/>
                <w:shd w:val="clear" w:color="auto" w:fill="auto"/>
                <w:lang w:val="en-US" w:eastAsia="zh-CN"/>
              </w:rPr>
              <w:t>11</w:t>
            </w:r>
            <w:r>
              <w:rPr>
                <w:rFonts w:hint="eastAsia" w:ascii="宋体" w:hAnsi="宋体" w:cs="宋体"/>
                <w:b/>
                <w:bCs/>
                <w:kern w:val="0"/>
                <w:sz w:val="24"/>
                <w:highlight w:val="none"/>
                <w:shd w:val="clear" w:color="auto" w:fill="auto"/>
              </w:rPr>
              <w:t>评分项</w:t>
            </w:r>
          </w:p>
        </w:tc>
        <w:tc>
          <w:tcPr>
            <w:tcW w:w="73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shd w:val="clear" w:color="auto" w:fill="auto"/>
              </w:rPr>
            </w:pPr>
            <w:r>
              <w:rPr>
                <w:rFonts w:hint="eastAsia" w:ascii="宋体" w:hAnsi="宋体" w:cs="宋体"/>
                <w:color w:val="auto"/>
                <w:sz w:val="24"/>
                <w:highlight w:val="none"/>
                <w:shd w:val="clear" w:color="auto" w:fill="auto"/>
              </w:rPr>
              <w:t>根据各</w:t>
            </w:r>
            <w:r>
              <w:rPr>
                <w:rFonts w:hint="eastAsia" w:ascii="宋体" w:hAnsi="宋体" w:cs="宋体"/>
                <w:color w:val="auto"/>
                <w:sz w:val="24"/>
                <w:highlight w:val="none"/>
                <w:shd w:val="clear" w:color="auto" w:fill="auto"/>
                <w:lang w:eastAsia="zh-CN"/>
              </w:rPr>
              <w:t>投标人</w:t>
            </w:r>
            <w:r>
              <w:rPr>
                <w:rFonts w:hint="eastAsia" w:ascii="宋体" w:hAnsi="宋体" w:cs="宋体"/>
                <w:color w:val="auto"/>
                <w:sz w:val="24"/>
                <w:highlight w:val="none"/>
                <w:shd w:val="clear" w:color="auto" w:fill="auto"/>
              </w:rPr>
              <w:t>针对本项目所制定的</w:t>
            </w:r>
            <w:r>
              <w:rPr>
                <w:rFonts w:hint="eastAsia" w:ascii="宋体" w:hAnsi="宋体" w:cs="宋体"/>
                <w:b/>
                <w:bCs/>
                <w:color w:val="auto"/>
                <w:sz w:val="24"/>
                <w:highlight w:val="none"/>
                <w:shd w:val="clear" w:color="auto" w:fill="auto"/>
                <w:lang w:eastAsia="zh-CN"/>
              </w:rPr>
              <w:t>“</w:t>
            </w:r>
            <w:r>
              <w:rPr>
                <w:rFonts w:hint="eastAsia" w:ascii="宋体" w:hAnsi="宋体" w:cs="宋体"/>
                <w:b/>
                <w:bCs/>
                <w:color w:val="auto"/>
                <w:sz w:val="24"/>
                <w:highlight w:val="none"/>
                <w:shd w:val="clear" w:color="auto" w:fill="auto"/>
                <w:lang w:val="en-US" w:eastAsia="zh-CN"/>
              </w:rPr>
              <w:t>产品供货方案</w:t>
            </w:r>
            <w:r>
              <w:rPr>
                <w:rFonts w:hint="eastAsia" w:ascii="宋体" w:hAnsi="宋体" w:cs="宋体"/>
                <w:b/>
                <w:bCs/>
                <w:color w:val="auto"/>
                <w:sz w:val="24"/>
                <w:highlight w:val="none"/>
                <w:shd w:val="clear" w:color="auto" w:fill="auto"/>
                <w:lang w:eastAsia="zh-CN"/>
              </w:rPr>
              <w:t>”</w:t>
            </w:r>
            <w:r>
              <w:rPr>
                <w:rFonts w:hint="eastAsia" w:ascii="宋体" w:hAnsi="宋体" w:cs="宋体"/>
                <w:color w:val="auto"/>
                <w:sz w:val="24"/>
                <w:highlight w:val="none"/>
                <w:shd w:val="clear" w:color="auto" w:fill="auto"/>
              </w:rPr>
              <w:t>由</w:t>
            </w:r>
            <w:r>
              <w:rPr>
                <w:rFonts w:hint="eastAsia" w:ascii="宋体" w:hAnsi="宋体" w:cs="宋体"/>
                <w:color w:val="auto"/>
                <w:sz w:val="24"/>
                <w:highlight w:val="none"/>
                <w:shd w:val="clear" w:color="auto" w:fill="auto"/>
                <w:lang w:eastAsia="zh-CN"/>
              </w:rPr>
              <w:t>评标委员会</w:t>
            </w:r>
            <w:r>
              <w:rPr>
                <w:rFonts w:hint="eastAsia" w:ascii="宋体" w:hAnsi="宋体" w:cs="宋体"/>
                <w:color w:val="auto"/>
                <w:sz w:val="24"/>
                <w:highlight w:val="none"/>
                <w:shd w:val="clear" w:color="auto" w:fill="auto"/>
              </w:rPr>
              <w:t>进行评分：①方案完整、详实、阐述清晰、重点突出、科学合理、可操作性强，满足项目需求的得3分；②方案完整，总体科学合理、具有可操作性，虽存在部分内容表述不清但无实质性影响的得2分；③方案虽有少量缺漏，但总体内容合理、具有可操性的得1分；④方案缺漏较多，但提供的方案内容总体合理的得0.5分；⑤未提供方案或方案不合理的本项不得分。</w:t>
            </w:r>
            <w:r>
              <w:rPr>
                <w:rFonts w:hint="eastAsia" w:ascii="宋体" w:hAnsi="宋体" w:eastAsia="宋体" w:cs="宋体"/>
                <w:b/>
                <w:bCs/>
                <w:kern w:val="0"/>
                <w:sz w:val="24"/>
                <w:szCs w:val="24"/>
                <w:highlight w:val="none"/>
                <w:shd w:val="clear" w:color="auto" w:fill="auto"/>
              </w:rPr>
              <w:t>（本项满分</w:t>
            </w:r>
            <w:r>
              <w:rPr>
                <w:rFonts w:hint="eastAsia" w:ascii="宋体" w:hAnsi="宋体" w:eastAsia="宋体" w:cs="宋体"/>
                <w:b/>
                <w:bCs/>
                <w:kern w:val="0"/>
                <w:sz w:val="24"/>
                <w:szCs w:val="24"/>
                <w:highlight w:val="none"/>
                <w:shd w:val="clear" w:color="auto" w:fill="auto"/>
                <w:lang w:val="en-US" w:eastAsia="zh-CN"/>
              </w:rPr>
              <w:t>3</w:t>
            </w:r>
            <w:r>
              <w:rPr>
                <w:rFonts w:hint="eastAsia" w:ascii="宋体" w:hAnsi="宋体" w:eastAsia="宋体" w:cs="宋体"/>
                <w:b/>
                <w:bCs/>
                <w:kern w:val="0"/>
                <w:sz w:val="24"/>
                <w:szCs w:val="24"/>
                <w:highlight w:val="none"/>
                <w:shd w:val="clear" w:color="auto" w:fill="auto"/>
              </w:rPr>
              <w:t>分）</w:t>
            </w: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kern w:val="0"/>
                <w:sz w:val="24"/>
                <w:szCs w:val="24"/>
                <w:highlight w:val="none"/>
                <w:shd w:val="clear" w:color="auto" w:fill="auto"/>
                <w:lang w:eastAsia="zh-CN"/>
              </w:rPr>
            </w:pPr>
            <w:r>
              <w:rPr>
                <w:rFonts w:hint="eastAsia" w:ascii="宋体" w:hAnsi="宋体" w:cs="宋体"/>
                <w:kern w:val="0"/>
                <w:sz w:val="24"/>
                <w:szCs w:val="24"/>
                <w:highlight w:val="none"/>
                <w:shd w:val="clear" w:color="auto" w:fill="auto"/>
                <w:lang w:val="en-US" w:eastAsia="zh-CN"/>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4" w:hRule="atLeast"/>
        </w:trPr>
        <w:tc>
          <w:tcPr>
            <w:tcW w:w="152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cs="宋体"/>
                <w:b/>
                <w:bCs/>
                <w:kern w:val="0"/>
                <w:sz w:val="24"/>
                <w:szCs w:val="24"/>
                <w:highlight w:val="none"/>
                <w:shd w:val="clear" w:color="auto" w:fill="auto"/>
              </w:rPr>
            </w:pPr>
            <w:r>
              <w:rPr>
                <w:rFonts w:hint="eastAsia" w:ascii="宋体" w:hAnsi="宋体" w:cs="宋体"/>
                <w:b/>
                <w:bCs/>
                <w:kern w:val="0"/>
                <w:sz w:val="24"/>
                <w:szCs w:val="24"/>
                <w:highlight w:val="none"/>
                <w:shd w:val="clear" w:color="auto" w:fill="auto"/>
              </w:rPr>
              <w:t>T</w:t>
            </w:r>
            <w:r>
              <w:rPr>
                <w:rFonts w:hint="eastAsia" w:ascii="宋体" w:hAnsi="宋体" w:cs="宋体"/>
                <w:b/>
                <w:bCs/>
                <w:kern w:val="0"/>
                <w:sz w:val="24"/>
                <w:szCs w:val="24"/>
                <w:highlight w:val="none"/>
                <w:shd w:val="clear" w:color="auto" w:fill="auto"/>
                <w:lang w:val="en-US" w:eastAsia="zh-CN"/>
              </w:rPr>
              <w:t>12</w:t>
            </w:r>
            <w:r>
              <w:rPr>
                <w:rFonts w:hint="eastAsia" w:ascii="宋体" w:hAnsi="宋体" w:cs="宋体"/>
                <w:b/>
                <w:bCs/>
                <w:kern w:val="0"/>
                <w:sz w:val="24"/>
                <w:highlight w:val="none"/>
                <w:shd w:val="clear" w:color="auto" w:fill="auto"/>
              </w:rPr>
              <w:t>评分项</w:t>
            </w:r>
          </w:p>
        </w:tc>
        <w:tc>
          <w:tcPr>
            <w:tcW w:w="7355"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shd w:val="clear" w:color="auto" w:fill="auto"/>
                <w:lang w:val="en-US" w:eastAsia="zh-CN"/>
              </w:rPr>
            </w:pPr>
            <w:r>
              <w:rPr>
                <w:rFonts w:hint="eastAsia" w:ascii="宋体" w:hAnsi="宋体" w:cs="宋体"/>
                <w:color w:val="auto"/>
                <w:sz w:val="24"/>
                <w:highlight w:val="none"/>
                <w:shd w:val="clear" w:color="auto" w:fill="auto"/>
              </w:rPr>
              <w:t>根据各</w:t>
            </w:r>
            <w:r>
              <w:rPr>
                <w:rFonts w:hint="eastAsia" w:ascii="宋体" w:hAnsi="宋体" w:cs="宋体"/>
                <w:color w:val="auto"/>
                <w:sz w:val="24"/>
                <w:highlight w:val="none"/>
                <w:shd w:val="clear" w:color="auto" w:fill="auto"/>
                <w:lang w:eastAsia="zh-CN"/>
              </w:rPr>
              <w:t>投标人</w:t>
            </w:r>
            <w:r>
              <w:rPr>
                <w:rFonts w:hint="eastAsia" w:ascii="宋体" w:hAnsi="宋体" w:cs="宋体"/>
                <w:color w:val="auto"/>
                <w:sz w:val="24"/>
                <w:highlight w:val="none"/>
                <w:shd w:val="clear" w:color="auto" w:fill="auto"/>
              </w:rPr>
              <w:t>针对本项目所制定的</w:t>
            </w:r>
            <w:r>
              <w:rPr>
                <w:rFonts w:hint="eastAsia" w:ascii="宋体" w:hAnsi="宋体" w:cs="宋体"/>
                <w:b/>
                <w:bCs/>
                <w:color w:val="auto"/>
                <w:sz w:val="24"/>
                <w:highlight w:val="none"/>
                <w:shd w:val="clear" w:color="auto" w:fill="auto"/>
                <w:lang w:eastAsia="zh-CN"/>
              </w:rPr>
              <w:t>“</w:t>
            </w:r>
            <w:r>
              <w:rPr>
                <w:rFonts w:hint="eastAsia" w:ascii="宋体" w:hAnsi="宋体" w:cs="宋体"/>
                <w:b/>
                <w:bCs/>
                <w:color w:val="auto"/>
                <w:sz w:val="24"/>
                <w:highlight w:val="none"/>
                <w:shd w:val="clear" w:color="auto" w:fill="auto"/>
                <w:lang w:val="en-US" w:eastAsia="zh-CN"/>
              </w:rPr>
              <w:t>施工准备方案</w:t>
            </w:r>
            <w:r>
              <w:rPr>
                <w:rFonts w:hint="eastAsia" w:ascii="宋体" w:hAnsi="宋体" w:cs="宋体"/>
                <w:b/>
                <w:bCs/>
                <w:color w:val="auto"/>
                <w:sz w:val="24"/>
                <w:highlight w:val="none"/>
                <w:shd w:val="clear" w:color="auto" w:fill="auto"/>
                <w:lang w:eastAsia="zh-CN"/>
              </w:rPr>
              <w:t>”（包括施工组织结构安排、施工技术准备、施工进度安排等）</w:t>
            </w:r>
            <w:r>
              <w:rPr>
                <w:rFonts w:hint="eastAsia" w:ascii="宋体" w:hAnsi="宋体" w:cs="宋体"/>
                <w:color w:val="auto"/>
                <w:sz w:val="24"/>
                <w:highlight w:val="none"/>
                <w:shd w:val="clear" w:color="auto" w:fill="auto"/>
              </w:rPr>
              <w:t>由</w:t>
            </w:r>
            <w:r>
              <w:rPr>
                <w:rFonts w:hint="eastAsia" w:ascii="宋体" w:hAnsi="宋体" w:cs="宋体"/>
                <w:color w:val="auto"/>
                <w:sz w:val="24"/>
                <w:highlight w:val="none"/>
                <w:shd w:val="clear" w:color="auto" w:fill="auto"/>
                <w:lang w:eastAsia="zh-CN"/>
              </w:rPr>
              <w:t>评标委员会</w:t>
            </w:r>
            <w:r>
              <w:rPr>
                <w:rFonts w:hint="eastAsia" w:ascii="宋体" w:hAnsi="宋体" w:cs="宋体"/>
                <w:color w:val="auto"/>
                <w:sz w:val="24"/>
                <w:highlight w:val="none"/>
                <w:shd w:val="clear" w:color="auto" w:fill="auto"/>
              </w:rPr>
              <w:t>进行评分：①方案完整、详实、阐述清晰、重点突出、科学合理、可操作性强，满足项目需求的得3分；②方案完整，总体科学合理、具有可操作性，虽存在部分内容表述不清但无实质性影响的得2分；③方案虽有少量缺漏，但总体内容合理、具有可操性的得1分；④方案缺漏较多，但提供的方案内容总体合理的得0.5分；⑤未提供方案或方案不合理的本项不得分。</w:t>
            </w:r>
            <w:r>
              <w:rPr>
                <w:rFonts w:hint="eastAsia" w:ascii="宋体" w:hAnsi="宋体" w:eastAsia="宋体" w:cs="宋体"/>
                <w:b/>
                <w:bCs/>
                <w:kern w:val="0"/>
                <w:sz w:val="24"/>
                <w:szCs w:val="24"/>
                <w:highlight w:val="none"/>
                <w:shd w:val="clear" w:color="auto" w:fill="auto"/>
              </w:rPr>
              <w:t>（本项满分</w:t>
            </w:r>
            <w:r>
              <w:rPr>
                <w:rFonts w:hint="eastAsia" w:ascii="宋体" w:hAnsi="宋体" w:eastAsia="宋体" w:cs="宋体"/>
                <w:b/>
                <w:bCs/>
                <w:kern w:val="0"/>
                <w:sz w:val="24"/>
                <w:szCs w:val="24"/>
                <w:highlight w:val="none"/>
                <w:shd w:val="clear" w:color="auto" w:fill="auto"/>
                <w:lang w:val="en-US" w:eastAsia="zh-CN"/>
              </w:rPr>
              <w:t>3</w:t>
            </w:r>
            <w:r>
              <w:rPr>
                <w:rFonts w:hint="eastAsia" w:ascii="宋体" w:hAnsi="宋体" w:eastAsia="宋体" w:cs="宋体"/>
                <w:b/>
                <w:bCs/>
                <w:kern w:val="0"/>
                <w:sz w:val="24"/>
                <w:szCs w:val="24"/>
                <w:highlight w:val="none"/>
                <w:shd w:val="clear" w:color="auto" w:fill="auto"/>
              </w:rPr>
              <w:t>分）</w:t>
            </w: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cs="宋体"/>
                <w:kern w:val="0"/>
                <w:sz w:val="24"/>
                <w:szCs w:val="24"/>
                <w:highlight w:val="none"/>
                <w:shd w:val="clear" w:color="auto" w:fill="auto"/>
                <w:lang w:val="en-US" w:eastAsia="zh-CN"/>
              </w:rPr>
            </w:pPr>
            <w:r>
              <w:rPr>
                <w:rFonts w:hint="eastAsia" w:ascii="宋体" w:hAnsi="宋体" w:cs="宋体"/>
                <w:kern w:val="0"/>
                <w:sz w:val="24"/>
                <w:szCs w:val="24"/>
                <w:highlight w:val="none"/>
                <w:shd w:val="clear" w:color="auto" w:fill="auto"/>
                <w:lang w:val="en-US" w:eastAsia="zh-CN"/>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4" w:hRule="atLeast"/>
        </w:trPr>
        <w:tc>
          <w:tcPr>
            <w:tcW w:w="152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cs="宋体"/>
                <w:b/>
                <w:bCs/>
                <w:kern w:val="0"/>
                <w:sz w:val="24"/>
                <w:szCs w:val="24"/>
                <w:highlight w:val="none"/>
                <w:shd w:val="clear" w:color="auto" w:fill="auto"/>
              </w:rPr>
            </w:pPr>
            <w:r>
              <w:rPr>
                <w:rFonts w:hint="eastAsia" w:ascii="宋体" w:hAnsi="宋体" w:cs="宋体"/>
                <w:b/>
                <w:bCs/>
                <w:kern w:val="0"/>
                <w:sz w:val="24"/>
                <w:szCs w:val="24"/>
                <w:highlight w:val="none"/>
                <w:shd w:val="clear" w:color="auto" w:fill="auto"/>
              </w:rPr>
              <w:t>T</w:t>
            </w:r>
            <w:r>
              <w:rPr>
                <w:rFonts w:hint="eastAsia" w:ascii="宋体" w:hAnsi="宋体" w:cs="宋体"/>
                <w:b/>
                <w:bCs/>
                <w:kern w:val="0"/>
                <w:sz w:val="24"/>
                <w:szCs w:val="24"/>
                <w:highlight w:val="none"/>
                <w:shd w:val="clear" w:color="auto" w:fill="auto"/>
                <w:lang w:val="en-US" w:eastAsia="zh-CN"/>
              </w:rPr>
              <w:t>13</w:t>
            </w:r>
            <w:r>
              <w:rPr>
                <w:rFonts w:hint="eastAsia" w:ascii="宋体" w:hAnsi="宋体" w:cs="宋体"/>
                <w:b/>
                <w:bCs/>
                <w:kern w:val="0"/>
                <w:sz w:val="24"/>
                <w:highlight w:val="none"/>
                <w:shd w:val="clear" w:color="auto" w:fill="auto"/>
              </w:rPr>
              <w:t>评分项</w:t>
            </w:r>
          </w:p>
        </w:tc>
        <w:tc>
          <w:tcPr>
            <w:tcW w:w="735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cs="宋体"/>
                <w:b/>
                <w:bCs/>
                <w:kern w:val="0"/>
                <w:sz w:val="24"/>
                <w:highlight w:val="none"/>
                <w:shd w:val="clear" w:color="auto" w:fill="auto"/>
                <w:lang w:val="en-US" w:eastAsia="zh-CN"/>
              </w:rPr>
            </w:pPr>
            <w:r>
              <w:rPr>
                <w:rFonts w:hint="eastAsia" w:ascii="宋体" w:hAnsi="宋体" w:cs="宋体"/>
                <w:color w:val="auto"/>
                <w:sz w:val="24"/>
                <w:highlight w:val="none"/>
                <w:shd w:val="clear" w:color="auto" w:fill="auto"/>
              </w:rPr>
              <w:t>根据各</w:t>
            </w:r>
            <w:r>
              <w:rPr>
                <w:rFonts w:hint="eastAsia" w:ascii="宋体" w:hAnsi="宋体" w:cs="宋体"/>
                <w:color w:val="auto"/>
                <w:sz w:val="24"/>
                <w:highlight w:val="none"/>
                <w:shd w:val="clear" w:color="auto" w:fill="auto"/>
                <w:lang w:eastAsia="zh-CN"/>
              </w:rPr>
              <w:t>投标人</w:t>
            </w:r>
            <w:r>
              <w:rPr>
                <w:rFonts w:hint="eastAsia" w:ascii="宋体" w:hAnsi="宋体" w:cs="宋体"/>
                <w:color w:val="auto"/>
                <w:sz w:val="24"/>
                <w:highlight w:val="none"/>
                <w:shd w:val="clear" w:color="auto" w:fill="auto"/>
              </w:rPr>
              <w:t>针对本项目所制定的</w:t>
            </w:r>
            <w:r>
              <w:rPr>
                <w:rFonts w:hint="eastAsia" w:ascii="宋体" w:hAnsi="宋体" w:cs="宋体"/>
                <w:b/>
                <w:bCs/>
                <w:color w:val="auto"/>
                <w:sz w:val="24"/>
                <w:highlight w:val="none"/>
                <w:shd w:val="clear" w:color="auto" w:fill="auto"/>
                <w:lang w:eastAsia="zh-CN"/>
              </w:rPr>
              <w:t>“</w:t>
            </w:r>
            <w:r>
              <w:rPr>
                <w:rFonts w:hint="eastAsia" w:ascii="宋体" w:hAnsi="宋体" w:cs="宋体"/>
                <w:b/>
                <w:bCs/>
                <w:color w:val="auto"/>
                <w:sz w:val="24"/>
                <w:highlight w:val="none"/>
                <w:shd w:val="clear" w:color="auto" w:fill="auto"/>
                <w:lang w:val="en-US" w:eastAsia="zh-CN"/>
              </w:rPr>
              <w:t>工程施工方案</w:t>
            </w:r>
            <w:r>
              <w:rPr>
                <w:rFonts w:hint="eastAsia" w:ascii="宋体" w:hAnsi="宋体" w:cs="宋体"/>
                <w:b/>
                <w:bCs/>
                <w:color w:val="auto"/>
                <w:sz w:val="24"/>
                <w:highlight w:val="none"/>
                <w:shd w:val="clear" w:color="auto" w:fill="auto"/>
                <w:lang w:eastAsia="zh-CN"/>
              </w:rPr>
              <w:t>”（包括工程施工项目安排、安全管理保证措施、项目质量管理措施等）</w:t>
            </w:r>
            <w:r>
              <w:rPr>
                <w:rFonts w:hint="eastAsia" w:ascii="宋体" w:hAnsi="宋体" w:cs="宋体"/>
                <w:color w:val="auto"/>
                <w:sz w:val="24"/>
                <w:highlight w:val="none"/>
                <w:shd w:val="clear" w:color="auto" w:fill="auto"/>
              </w:rPr>
              <w:t>由</w:t>
            </w:r>
            <w:r>
              <w:rPr>
                <w:rFonts w:hint="eastAsia" w:ascii="宋体" w:hAnsi="宋体" w:cs="宋体"/>
                <w:color w:val="auto"/>
                <w:sz w:val="24"/>
                <w:highlight w:val="none"/>
                <w:shd w:val="clear" w:color="auto" w:fill="auto"/>
                <w:lang w:eastAsia="zh-CN"/>
              </w:rPr>
              <w:t>评标委员会</w:t>
            </w:r>
            <w:r>
              <w:rPr>
                <w:rFonts w:hint="eastAsia" w:ascii="宋体" w:hAnsi="宋体" w:cs="宋体"/>
                <w:color w:val="auto"/>
                <w:sz w:val="24"/>
                <w:highlight w:val="none"/>
                <w:shd w:val="clear" w:color="auto" w:fill="auto"/>
              </w:rPr>
              <w:t>进行评分：①方案完整、详实、阐述清晰、重点突出、科学合理、可操作性强，满足项目需求的得3分；②方案完整，总体科学合理、具有可操作性，虽存在部分内容表述不清但无实质性影响的得2分；③方案虽有少量缺漏，但总体内容合理、具有可操性的得1分；④方案缺漏较多，但提供的方案内容总体合理的得0.5分；⑤未提供方案或方案不合理的本项不得分。</w:t>
            </w:r>
            <w:r>
              <w:rPr>
                <w:rFonts w:hint="eastAsia" w:ascii="宋体" w:hAnsi="宋体" w:eastAsia="宋体" w:cs="宋体"/>
                <w:b/>
                <w:bCs/>
                <w:kern w:val="0"/>
                <w:sz w:val="24"/>
                <w:szCs w:val="24"/>
                <w:highlight w:val="none"/>
                <w:shd w:val="clear" w:color="auto" w:fill="auto"/>
              </w:rPr>
              <w:t>（本项满分</w:t>
            </w:r>
            <w:r>
              <w:rPr>
                <w:rFonts w:hint="eastAsia" w:ascii="宋体" w:hAnsi="宋体" w:eastAsia="宋体" w:cs="宋体"/>
                <w:b/>
                <w:bCs/>
                <w:kern w:val="0"/>
                <w:sz w:val="24"/>
                <w:szCs w:val="24"/>
                <w:highlight w:val="none"/>
                <w:shd w:val="clear" w:color="auto" w:fill="auto"/>
                <w:lang w:val="en-US" w:eastAsia="zh-CN"/>
              </w:rPr>
              <w:t>3</w:t>
            </w:r>
            <w:r>
              <w:rPr>
                <w:rFonts w:hint="eastAsia" w:ascii="宋体" w:hAnsi="宋体" w:eastAsia="宋体" w:cs="宋体"/>
                <w:b/>
                <w:bCs/>
                <w:kern w:val="0"/>
                <w:sz w:val="24"/>
                <w:szCs w:val="24"/>
                <w:highlight w:val="none"/>
                <w:shd w:val="clear" w:color="auto" w:fill="auto"/>
              </w:rPr>
              <w:t>分）</w:t>
            </w:r>
          </w:p>
        </w:tc>
        <w:tc>
          <w:tcPr>
            <w:tcW w:w="85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cs="宋体"/>
                <w:kern w:val="0"/>
                <w:sz w:val="24"/>
                <w:szCs w:val="24"/>
                <w:highlight w:val="none"/>
                <w:shd w:val="clear" w:color="auto" w:fill="auto"/>
                <w:lang w:val="en-US" w:eastAsia="zh-CN"/>
              </w:rPr>
            </w:pPr>
            <w:r>
              <w:rPr>
                <w:rFonts w:hint="eastAsia" w:ascii="宋体" w:hAnsi="宋体" w:cs="宋体"/>
                <w:kern w:val="0"/>
                <w:sz w:val="24"/>
                <w:szCs w:val="24"/>
                <w:highlight w:val="none"/>
                <w:shd w:val="clear" w:color="auto" w:fill="auto"/>
                <w:lang w:val="en-US" w:eastAsia="zh-CN"/>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7" w:hRule="atLeast"/>
        </w:trPr>
        <w:tc>
          <w:tcPr>
            <w:tcW w:w="9730" w:type="dxa"/>
            <w:gridSpan w:val="3"/>
            <w:vAlign w:val="center"/>
          </w:tcPr>
          <w:p>
            <w:pPr>
              <w:adjustRightInd w:val="0"/>
              <w:snapToGrid w:val="0"/>
              <w:spacing w:line="540" w:lineRule="exact"/>
              <w:ind w:firstLine="482" w:firstLineChars="200"/>
              <w:jc w:val="left"/>
              <w:rPr>
                <w:rFonts w:ascii="宋体" w:hAnsi="宋体" w:cs="宋体"/>
                <w:b/>
                <w:sz w:val="24"/>
                <w:szCs w:val="24"/>
                <w:highlight w:val="none"/>
                <w:shd w:val="clear" w:color="auto" w:fill="auto"/>
              </w:rPr>
            </w:pPr>
            <w:r>
              <w:rPr>
                <w:rFonts w:hint="eastAsia" w:ascii="宋体" w:hAnsi="宋体" w:cs="宋体"/>
                <w:b/>
                <w:sz w:val="24"/>
                <w:szCs w:val="24"/>
                <w:highlight w:val="none"/>
                <w:shd w:val="clear" w:color="auto" w:fill="auto"/>
              </w:rPr>
              <w:t>技术评分备注说明：</w:t>
            </w:r>
          </w:p>
          <w:p>
            <w:pPr>
              <w:adjustRightInd w:val="0"/>
              <w:snapToGrid w:val="0"/>
              <w:spacing w:line="540" w:lineRule="exact"/>
              <w:ind w:firstLine="482" w:firstLineChars="200"/>
              <w:jc w:val="left"/>
              <w:rPr>
                <w:rFonts w:ascii="宋体" w:hAnsi="宋体" w:cs="宋体"/>
                <w:b/>
                <w:sz w:val="24"/>
                <w:szCs w:val="24"/>
                <w:highlight w:val="none"/>
                <w:shd w:val="clear" w:color="auto" w:fill="auto"/>
              </w:rPr>
            </w:pPr>
            <w:r>
              <w:rPr>
                <w:rFonts w:hint="eastAsia" w:cs="宋体"/>
                <w:b/>
                <w:sz w:val="24"/>
                <w:szCs w:val="24"/>
                <w:highlight w:val="none"/>
                <w:shd w:val="clear" w:color="auto" w:fill="auto"/>
              </w:rPr>
              <w:t>①、评标委员会对投标人所提供的技术评分文件负审核责任。在评标过程中乃至确定中标人后，如发现投标人所提供的文件不合法或不真实，仍可废除中标人中标资格并追究中标人的法律责任。</w:t>
            </w:r>
          </w:p>
          <w:p>
            <w:pPr>
              <w:adjustRightInd w:val="0"/>
              <w:snapToGrid w:val="0"/>
              <w:spacing w:line="540" w:lineRule="exact"/>
              <w:jc w:val="center"/>
              <w:rPr>
                <w:rFonts w:ascii="宋体" w:hAnsi="宋体" w:cs="宋体"/>
                <w:b/>
                <w:kern w:val="0"/>
                <w:sz w:val="24"/>
                <w:szCs w:val="24"/>
                <w:highlight w:val="none"/>
                <w:shd w:val="clear" w:color="auto" w:fill="auto"/>
              </w:rPr>
            </w:pPr>
            <w:r>
              <w:rPr>
                <w:rFonts w:hint="eastAsia" w:ascii="宋体" w:hAnsi="宋体" w:cs="宋体"/>
                <w:b/>
                <w:sz w:val="24"/>
                <w:szCs w:val="24"/>
                <w:highlight w:val="none"/>
                <w:shd w:val="clear" w:color="auto" w:fill="auto"/>
              </w:rPr>
              <w:t xml:space="preserve">   </w:t>
            </w:r>
            <w:r>
              <w:rPr>
                <w:rFonts w:ascii="宋体" w:hAnsi="宋体" w:cs="宋体"/>
                <w:b/>
                <w:sz w:val="24"/>
                <w:szCs w:val="24"/>
                <w:highlight w:val="none"/>
                <w:shd w:val="clear" w:color="auto" w:fill="auto"/>
              </w:rPr>
              <w:t>②</w:t>
            </w:r>
            <w:r>
              <w:rPr>
                <w:rFonts w:hint="eastAsia" w:ascii="宋体" w:hAnsi="宋体" w:cs="宋体"/>
                <w:b/>
                <w:sz w:val="24"/>
                <w:szCs w:val="24"/>
                <w:highlight w:val="none"/>
                <w:shd w:val="clear" w:color="auto" w:fill="auto"/>
              </w:rPr>
              <w:t>、投标人技术部分的实际得分少于招标文件设定的技术部分总分50%的作为无效标处理。</w:t>
            </w:r>
          </w:p>
        </w:tc>
      </w:tr>
    </w:tbl>
    <w:p>
      <w:pPr>
        <w:pStyle w:val="17"/>
        <w:spacing w:line="540" w:lineRule="exact"/>
        <w:rPr>
          <w:rFonts w:hint="eastAsia" w:ascii="宋体" w:eastAsia="宋体" w:cs="宋体"/>
          <w:b/>
          <w:bCs/>
          <w:highlight w:val="none"/>
        </w:rPr>
      </w:pPr>
    </w:p>
    <w:p>
      <w:pPr>
        <w:pStyle w:val="17"/>
        <w:spacing w:line="540" w:lineRule="exact"/>
        <w:rPr>
          <w:rFonts w:ascii="宋体" w:eastAsia="宋体" w:cs="宋体"/>
          <w:b/>
          <w:bCs/>
          <w:highlight w:val="none"/>
        </w:rPr>
      </w:pPr>
      <w:r>
        <w:rPr>
          <w:rFonts w:hint="eastAsia" w:ascii="宋体" w:eastAsia="宋体" w:cs="宋体"/>
          <w:b/>
          <w:bCs/>
          <w:highlight w:val="none"/>
        </w:rPr>
        <w:t xml:space="preserve">PB项：商务部分评分（满分 </w:t>
      </w:r>
      <w:r>
        <w:rPr>
          <w:rFonts w:hint="eastAsia" w:ascii="宋体" w:eastAsia="宋体" w:cs="宋体"/>
          <w:b/>
          <w:bCs/>
          <w:highlight w:val="none"/>
          <w:lang w:val="en-US" w:eastAsia="zh-CN"/>
        </w:rPr>
        <w:t>15</w:t>
      </w:r>
      <w:r>
        <w:rPr>
          <w:rFonts w:hint="eastAsia" w:ascii="宋体" w:eastAsia="宋体" w:cs="宋体"/>
          <w:b/>
          <w:bCs/>
          <w:highlight w:val="none"/>
        </w:rPr>
        <w:t>分）</w:t>
      </w:r>
    </w:p>
    <w:tbl>
      <w:tblPr>
        <w:tblStyle w:val="31"/>
        <w:tblpPr w:leftFromText="180" w:rightFromText="180" w:vertAnchor="text" w:horzAnchor="page" w:tblpX="1067" w:tblpY="383"/>
        <w:tblOverlap w:val="never"/>
        <w:tblW w:w="973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23"/>
        <w:gridCol w:w="7355"/>
        <w:gridCol w:w="8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Header/>
        </w:trPr>
        <w:tc>
          <w:tcPr>
            <w:tcW w:w="1523" w:type="dxa"/>
            <w:vAlign w:val="center"/>
          </w:tcPr>
          <w:p>
            <w:pPr>
              <w:adjustRightInd w:val="0"/>
              <w:snapToGrid w:val="0"/>
              <w:spacing w:line="540" w:lineRule="exact"/>
              <w:jc w:val="center"/>
              <w:rPr>
                <w:rFonts w:ascii="宋体" w:hAnsi="宋体" w:cs="宋体"/>
                <w:b/>
                <w:bCs/>
                <w:kern w:val="0"/>
                <w:sz w:val="24"/>
                <w:highlight w:val="none"/>
                <w:shd w:val="clear" w:color="auto" w:fill="auto"/>
              </w:rPr>
            </w:pPr>
            <w:r>
              <w:rPr>
                <w:rFonts w:hint="eastAsia" w:ascii="宋体" w:hAnsi="宋体" w:cs="宋体"/>
                <w:b/>
                <w:bCs/>
                <w:kern w:val="0"/>
                <w:sz w:val="24"/>
                <w:highlight w:val="none"/>
                <w:shd w:val="clear" w:color="auto" w:fill="auto"/>
              </w:rPr>
              <w:t>商务评分项</w:t>
            </w:r>
          </w:p>
        </w:tc>
        <w:tc>
          <w:tcPr>
            <w:tcW w:w="7355" w:type="dxa"/>
            <w:vAlign w:val="center"/>
          </w:tcPr>
          <w:p>
            <w:pPr>
              <w:adjustRightInd w:val="0"/>
              <w:snapToGrid w:val="0"/>
              <w:spacing w:line="540" w:lineRule="exact"/>
              <w:jc w:val="center"/>
              <w:rPr>
                <w:rFonts w:ascii="宋体" w:hAnsi="宋体" w:cs="宋体"/>
                <w:b/>
                <w:bCs/>
                <w:kern w:val="0"/>
                <w:sz w:val="24"/>
                <w:highlight w:val="none"/>
                <w:shd w:val="clear" w:color="auto" w:fill="auto"/>
              </w:rPr>
            </w:pPr>
            <w:r>
              <w:rPr>
                <w:rFonts w:ascii="宋体" w:hAnsi="宋体" w:cs="宋体"/>
                <w:b/>
                <w:bCs/>
                <w:kern w:val="0"/>
                <w:sz w:val="24"/>
                <w:highlight w:val="none"/>
                <w:shd w:val="clear" w:color="auto" w:fill="auto"/>
              </w:rPr>
              <w:t>评</w:t>
            </w:r>
            <w:r>
              <w:rPr>
                <w:rFonts w:hint="eastAsia" w:ascii="宋体" w:hAnsi="宋体" w:cs="宋体"/>
                <w:b/>
                <w:bCs/>
                <w:kern w:val="0"/>
                <w:sz w:val="24"/>
                <w:highlight w:val="none"/>
                <w:shd w:val="clear" w:color="auto" w:fill="auto"/>
              </w:rPr>
              <w:t>分</w:t>
            </w:r>
            <w:r>
              <w:rPr>
                <w:rFonts w:ascii="宋体" w:hAnsi="宋体" w:cs="宋体"/>
                <w:b/>
                <w:bCs/>
                <w:kern w:val="0"/>
                <w:sz w:val="24"/>
                <w:highlight w:val="none"/>
                <w:shd w:val="clear" w:color="auto" w:fill="auto"/>
              </w:rPr>
              <w:t>方法描述</w:t>
            </w:r>
          </w:p>
        </w:tc>
        <w:tc>
          <w:tcPr>
            <w:tcW w:w="852" w:type="dxa"/>
            <w:vAlign w:val="center"/>
          </w:tcPr>
          <w:p>
            <w:pPr>
              <w:adjustRightInd w:val="0"/>
              <w:snapToGrid w:val="0"/>
              <w:spacing w:line="540" w:lineRule="exact"/>
              <w:jc w:val="center"/>
              <w:rPr>
                <w:rFonts w:ascii="宋体" w:hAnsi="宋体" w:cs="宋体"/>
                <w:b/>
                <w:bCs/>
                <w:kern w:val="0"/>
                <w:sz w:val="24"/>
                <w:highlight w:val="none"/>
                <w:shd w:val="clear" w:color="auto" w:fill="auto"/>
              </w:rPr>
            </w:pPr>
            <w:r>
              <w:rPr>
                <w:rFonts w:ascii="宋体" w:hAnsi="宋体" w:cs="宋体"/>
                <w:b/>
                <w:bCs/>
                <w:kern w:val="0"/>
                <w:sz w:val="24"/>
                <w:highlight w:val="none"/>
                <w:shd w:val="clear" w:color="auto" w:fill="auto"/>
              </w:rPr>
              <w:t>分值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7" w:hRule="atLeast"/>
        </w:trPr>
        <w:tc>
          <w:tcPr>
            <w:tcW w:w="1523" w:type="dxa"/>
            <w:vAlign w:val="center"/>
          </w:tcPr>
          <w:p>
            <w:pPr>
              <w:adjustRightInd w:val="0"/>
              <w:snapToGrid w:val="0"/>
              <w:spacing w:line="540" w:lineRule="exact"/>
              <w:jc w:val="center"/>
              <w:rPr>
                <w:rFonts w:ascii="宋体" w:hAnsi="宋体" w:cs="宋体"/>
                <w:b/>
                <w:bCs/>
                <w:kern w:val="0"/>
                <w:sz w:val="24"/>
                <w:szCs w:val="24"/>
                <w:highlight w:val="none"/>
                <w:shd w:val="clear" w:color="auto" w:fill="auto"/>
              </w:rPr>
            </w:pPr>
            <w:r>
              <w:rPr>
                <w:rFonts w:hint="eastAsia" w:ascii="宋体" w:hAnsi="宋体" w:cs="宋体"/>
                <w:b/>
                <w:bCs/>
                <w:kern w:val="0"/>
                <w:sz w:val="24"/>
                <w:highlight w:val="none"/>
                <w:shd w:val="clear" w:color="auto" w:fill="auto"/>
              </w:rPr>
              <w:t>B1评分项</w:t>
            </w:r>
          </w:p>
        </w:tc>
        <w:tc>
          <w:tcPr>
            <w:tcW w:w="7355" w:type="dxa"/>
            <w:vAlign w:val="center"/>
          </w:tcPr>
          <w:p>
            <w:pPr>
              <w:adjustRightInd w:val="0"/>
              <w:snapToGrid w:val="0"/>
              <w:spacing w:line="540" w:lineRule="exact"/>
              <w:ind w:firstLine="480" w:firstLineChars="200"/>
              <w:jc w:val="left"/>
              <w:rPr>
                <w:rFonts w:ascii="宋体" w:hAnsi="宋体" w:cs="宋体"/>
                <w:kern w:val="0"/>
                <w:sz w:val="24"/>
                <w:szCs w:val="24"/>
                <w:highlight w:val="none"/>
                <w:shd w:val="clear" w:color="auto" w:fill="auto"/>
              </w:rPr>
            </w:pPr>
            <w:r>
              <w:rPr>
                <w:rFonts w:hint="eastAsia" w:ascii="宋体" w:hAnsi="宋体" w:cs="宋体"/>
                <w:kern w:val="0"/>
                <w:sz w:val="24"/>
                <w:highlight w:val="none"/>
                <w:shd w:val="clear" w:color="auto" w:fill="auto"/>
              </w:rPr>
              <w:t>投标人具有GB/T19022测量管理体系认证的得1分；需提供有效的证书复印件并加盖投标人公章，否则不得分。</w:t>
            </w:r>
            <w:r>
              <w:rPr>
                <w:rFonts w:hint="eastAsia" w:ascii="宋体" w:hAnsi="宋体" w:cs="宋体"/>
                <w:b/>
                <w:bCs/>
                <w:kern w:val="0"/>
                <w:sz w:val="24"/>
                <w:highlight w:val="none"/>
                <w:shd w:val="clear" w:color="auto" w:fill="auto"/>
              </w:rPr>
              <w:t>（本项满分</w:t>
            </w:r>
            <w:r>
              <w:rPr>
                <w:rFonts w:hint="eastAsia" w:ascii="宋体" w:hAnsi="宋体" w:cs="宋体"/>
                <w:b/>
                <w:bCs/>
                <w:kern w:val="0"/>
                <w:sz w:val="24"/>
                <w:highlight w:val="none"/>
                <w:shd w:val="clear" w:color="auto" w:fill="auto"/>
                <w:lang w:val="en-US" w:eastAsia="zh-CN"/>
              </w:rPr>
              <w:t>1</w:t>
            </w:r>
            <w:r>
              <w:rPr>
                <w:rFonts w:hint="eastAsia" w:ascii="宋体" w:hAnsi="宋体" w:cs="宋体"/>
                <w:b/>
                <w:bCs/>
                <w:kern w:val="0"/>
                <w:sz w:val="24"/>
                <w:highlight w:val="none"/>
                <w:shd w:val="clear" w:color="auto" w:fill="auto"/>
              </w:rPr>
              <w:t>分）</w:t>
            </w:r>
          </w:p>
        </w:tc>
        <w:tc>
          <w:tcPr>
            <w:tcW w:w="852" w:type="dxa"/>
            <w:vAlign w:val="center"/>
          </w:tcPr>
          <w:p>
            <w:pPr>
              <w:adjustRightInd w:val="0"/>
              <w:snapToGrid w:val="0"/>
              <w:spacing w:line="540" w:lineRule="exact"/>
              <w:jc w:val="center"/>
              <w:rPr>
                <w:rFonts w:hint="default" w:ascii="宋体" w:hAnsi="宋体" w:eastAsia="宋体" w:cs="宋体"/>
                <w:kern w:val="0"/>
                <w:sz w:val="24"/>
                <w:szCs w:val="24"/>
                <w:highlight w:val="none"/>
                <w:shd w:val="clear" w:color="auto" w:fill="auto"/>
                <w:lang w:val="en-US" w:eastAsia="zh-CN"/>
              </w:rPr>
            </w:pPr>
            <w:r>
              <w:rPr>
                <w:rFonts w:hint="eastAsia" w:ascii="宋体" w:hAnsi="宋体" w:cs="宋体"/>
                <w:kern w:val="0"/>
                <w:sz w:val="24"/>
                <w:szCs w:val="24"/>
                <w:highlight w:val="none"/>
                <w:shd w:val="clear" w:color="auto" w:fill="auto"/>
                <w:lang w:val="en-US" w:eastAsia="zh-CN"/>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4" w:hRule="atLeast"/>
        </w:trPr>
        <w:tc>
          <w:tcPr>
            <w:tcW w:w="1523" w:type="dxa"/>
            <w:vAlign w:val="center"/>
          </w:tcPr>
          <w:p>
            <w:pPr>
              <w:adjustRightInd w:val="0"/>
              <w:snapToGrid w:val="0"/>
              <w:spacing w:line="540" w:lineRule="exact"/>
              <w:jc w:val="center"/>
              <w:rPr>
                <w:rFonts w:ascii="宋体" w:hAnsi="宋体" w:cs="宋体"/>
                <w:b/>
                <w:bCs/>
                <w:kern w:val="0"/>
                <w:sz w:val="24"/>
                <w:highlight w:val="none"/>
                <w:shd w:val="clear" w:color="auto" w:fill="auto"/>
              </w:rPr>
            </w:pPr>
            <w:r>
              <w:rPr>
                <w:rFonts w:hint="eastAsia" w:ascii="宋体" w:hAnsi="宋体" w:cs="宋体"/>
                <w:b/>
                <w:bCs/>
                <w:kern w:val="0"/>
                <w:sz w:val="24"/>
                <w:highlight w:val="none"/>
                <w:shd w:val="clear" w:color="auto" w:fill="auto"/>
              </w:rPr>
              <w:t>B2评分项</w:t>
            </w:r>
          </w:p>
        </w:tc>
        <w:tc>
          <w:tcPr>
            <w:tcW w:w="7355" w:type="dxa"/>
            <w:vAlign w:val="center"/>
          </w:tcPr>
          <w:p>
            <w:pPr>
              <w:adjustRightInd w:val="0"/>
              <w:snapToGrid w:val="0"/>
              <w:spacing w:line="540" w:lineRule="exact"/>
              <w:ind w:firstLine="480" w:firstLineChars="200"/>
              <w:jc w:val="left"/>
              <w:rPr>
                <w:rFonts w:ascii="宋体" w:hAnsi="宋体" w:cs="宋体"/>
                <w:kern w:val="0"/>
                <w:sz w:val="24"/>
                <w:highlight w:val="none"/>
                <w:shd w:val="clear" w:color="auto" w:fill="auto"/>
              </w:rPr>
            </w:pPr>
            <w:r>
              <w:rPr>
                <w:rFonts w:hint="eastAsia" w:ascii="宋体" w:hAnsi="宋体" w:cs="宋体"/>
                <w:kern w:val="0"/>
                <w:sz w:val="24"/>
                <w:highlight w:val="none"/>
                <w:shd w:val="clear" w:color="auto" w:fill="auto"/>
              </w:rPr>
              <w:t>投标人具有GB/T29490知识产权管理体系认证的得</w:t>
            </w:r>
            <w:r>
              <w:rPr>
                <w:rFonts w:hint="eastAsia" w:ascii="宋体" w:hAnsi="宋体" w:cs="宋体"/>
                <w:kern w:val="0"/>
                <w:sz w:val="24"/>
                <w:highlight w:val="none"/>
                <w:shd w:val="clear" w:color="auto" w:fill="auto"/>
                <w:lang w:val="en-US" w:eastAsia="zh-CN"/>
              </w:rPr>
              <w:t>1</w:t>
            </w:r>
            <w:r>
              <w:rPr>
                <w:rFonts w:hint="eastAsia" w:ascii="宋体" w:hAnsi="宋体" w:cs="宋体"/>
                <w:kern w:val="0"/>
                <w:sz w:val="24"/>
                <w:highlight w:val="none"/>
                <w:shd w:val="clear" w:color="auto" w:fill="auto"/>
              </w:rPr>
              <w:t>分；需提供有效的证书复印件并加盖投标人公章，否则不得分。</w:t>
            </w:r>
            <w:r>
              <w:rPr>
                <w:rFonts w:hint="eastAsia" w:ascii="宋体" w:hAnsi="宋体" w:cs="宋体"/>
                <w:b/>
                <w:bCs/>
                <w:kern w:val="0"/>
                <w:sz w:val="24"/>
                <w:highlight w:val="none"/>
                <w:shd w:val="clear" w:color="auto" w:fill="auto"/>
              </w:rPr>
              <w:t>（本项满分</w:t>
            </w:r>
            <w:r>
              <w:rPr>
                <w:rFonts w:hint="eastAsia" w:ascii="宋体" w:hAnsi="宋体" w:cs="宋体"/>
                <w:b/>
                <w:bCs/>
                <w:kern w:val="0"/>
                <w:sz w:val="24"/>
                <w:highlight w:val="none"/>
                <w:shd w:val="clear" w:color="auto" w:fill="auto"/>
                <w:lang w:val="en-US" w:eastAsia="zh-CN"/>
              </w:rPr>
              <w:t>1</w:t>
            </w:r>
            <w:r>
              <w:rPr>
                <w:rFonts w:hint="eastAsia" w:ascii="宋体" w:hAnsi="宋体" w:cs="宋体"/>
                <w:b/>
                <w:bCs/>
                <w:kern w:val="0"/>
                <w:sz w:val="24"/>
                <w:highlight w:val="none"/>
                <w:shd w:val="clear" w:color="auto" w:fill="auto"/>
              </w:rPr>
              <w:t>分）</w:t>
            </w:r>
          </w:p>
        </w:tc>
        <w:tc>
          <w:tcPr>
            <w:tcW w:w="852" w:type="dxa"/>
            <w:vAlign w:val="center"/>
          </w:tcPr>
          <w:p>
            <w:pPr>
              <w:adjustRightInd w:val="0"/>
              <w:snapToGrid w:val="0"/>
              <w:spacing w:line="540" w:lineRule="exact"/>
              <w:jc w:val="center"/>
              <w:rPr>
                <w:rFonts w:hint="default" w:ascii="宋体" w:hAnsi="宋体" w:eastAsia="宋体" w:cs="宋体"/>
                <w:kern w:val="0"/>
                <w:sz w:val="24"/>
                <w:szCs w:val="24"/>
                <w:highlight w:val="none"/>
                <w:shd w:val="clear" w:color="auto" w:fill="auto"/>
                <w:lang w:val="en-US" w:eastAsia="zh-CN"/>
              </w:rPr>
            </w:pPr>
            <w:r>
              <w:rPr>
                <w:rFonts w:hint="eastAsia" w:ascii="宋体" w:hAnsi="宋体" w:cs="宋体"/>
                <w:kern w:val="0"/>
                <w:sz w:val="24"/>
                <w:szCs w:val="24"/>
                <w:highlight w:val="none"/>
                <w:shd w:val="clear" w:color="auto" w:fill="auto"/>
                <w:lang w:val="en-US" w:eastAsia="zh-CN"/>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78" w:hRule="atLeast"/>
        </w:trPr>
        <w:tc>
          <w:tcPr>
            <w:tcW w:w="1523" w:type="dxa"/>
            <w:vAlign w:val="center"/>
          </w:tcPr>
          <w:p>
            <w:pPr>
              <w:adjustRightInd w:val="0"/>
              <w:snapToGrid w:val="0"/>
              <w:spacing w:line="540" w:lineRule="exact"/>
              <w:jc w:val="center"/>
              <w:rPr>
                <w:rFonts w:ascii="宋体" w:hAnsi="宋体" w:cs="宋体"/>
                <w:b/>
                <w:bCs/>
                <w:kern w:val="0"/>
                <w:sz w:val="24"/>
                <w:highlight w:val="none"/>
                <w:shd w:val="clear" w:color="auto" w:fill="auto"/>
              </w:rPr>
            </w:pPr>
            <w:r>
              <w:rPr>
                <w:rFonts w:hint="eastAsia" w:ascii="宋体" w:hAnsi="宋体" w:cs="宋体"/>
                <w:b/>
                <w:bCs/>
                <w:kern w:val="0"/>
                <w:sz w:val="24"/>
                <w:highlight w:val="none"/>
                <w:shd w:val="clear" w:color="auto" w:fill="auto"/>
              </w:rPr>
              <w:t>B3评分项</w:t>
            </w:r>
          </w:p>
        </w:tc>
        <w:tc>
          <w:tcPr>
            <w:tcW w:w="7355" w:type="dxa"/>
            <w:vAlign w:val="center"/>
          </w:tcPr>
          <w:p>
            <w:pPr>
              <w:adjustRightInd w:val="0"/>
              <w:snapToGrid w:val="0"/>
              <w:spacing w:line="540" w:lineRule="exact"/>
              <w:ind w:firstLine="480" w:firstLineChars="200"/>
              <w:jc w:val="left"/>
              <w:rPr>
                <w:rFonts w:ascii="宋体" w:hAnsi="宋体" w:cs="宋体"/>
                <w:kern w:val="0"/>
                <w:sz w:val="24"/>
                <w:highlight w:val="none"/>
                <w:shd w:val="clear" w:color="auto" w:fill="auto"/>
              </w:rPr>
            </w:pPr>
            <w:r>
              <w:rPr>
                <w:rFonts w:hint="eastAsia" w:ascii="宋体" w:hAnsi="宋体" w:cs="宋体"/>
                <w:kern w:val="0"/>
                <w:sz w:val="24"/>
                <w:highlight w:val="none"/>
                <w:shd w:val="clear" w:color="auto" w:fill="auto"/>
              </w:rPr>
              <w:t>投标人具有GB/T23331能源管理体系认证的得</w:t>
            </w:r>
            <w:r>
              <w:rPr>
                <w:rFonts w:hint="eastAsia" w:ascii="宋体" w:hAnsi="宋体" w:cs="宋体"/>
                <w:kern w:val="0"/>
                <w:sz w:val="24"/>
                <w:highlight w:val="none"/>
                <w:shd w:val="clear" w:color="auto" w:fill="auto"/>
                <w:lang w:val="en-US" w:eastAsia="zh-CN"/>
              </w:rPr>
              <w:t>1</w:t>
            </w:r>
            <w:r>
              <w:rPr>
                <w:rFonts w:hint="eastAsia" w:ascii="宋体" w:hAnsi="宋体" w:cs="宋体"/>
                <w:kern w:val="0"/>
                <w:sz w:val="24"/>
                <w:highlight w:val="none"/>
                <w:shd w:val="clear" w:color="auto" w:fill="auto"/>
              </w:rPr>
              <w:t>分；需提供有效的证书复印件并加盖投标人公章，否则不得分。</w:t>
            </w:r>
            <w:r>
              <w:rPr>
                <w:rFonts w:hint="eastAsia" w:ascii="宋体" w:hAnsi="宋体" w:cs="宋体"/>
                <w:b/>
                <w:bCs/>
                <w:kern w:val="0"/>
                <w:sz w:val="24"/>
                <w:highlight w:val="none"/>
                <w:shd w:val="clear" w:color="auto" w:fill="auto"/>
              </w:rPr>
              <w:t>（本项满分</w:t>
            </w:r>
            <w:r>
              <w:rPr>
                <w:rFonts w:hint="eastAsia" w:ascii="宋体" w:hAnsi="宋体" w:cs="宋体"/>
                <w:b/>
                <w:bCs/>
                <w:kern w:val="0"/>
                <w:sz w:val="24"/>
                <w:highlight w:val="none"/>
                <w:shd w:val="clear" w:color="auto" w:fill="auto"/>
                <w:lang w:val="en-US" w:eastAsia="zh-CN"/>
              </w:rPr>
              <w:t>1</w:t>
            </w:r>
            <w:r>
              <w:rPr>
                <w:rFonts w:hint="eastAsia" w:ascii="宋体" w:hAnsi="宋体" w:cs="宋体"/>
                <w:b/>
                <w:bCs/>
                <w:kern w:val="0"/>
                <w:sz w:val="24"/>
                <w:highlight w:val="none"/>
                <w:shd w:val="clear" w:color="auto" w:fill="auto"/>
              </w:rPr>
              <w:t>分）</w:t>
            </w:r>
          </w:p>
        </w:tc>
        <w:tc>
          <w:tcPr>
            <w:tcW w:w="852" w:type="dxa"/>
            <w:vAlign w:val="center"/>
          </w:tcPr>
          <w:p>
            <w:pPr>
              <w:adjustRightInd w:val="0"/>
              <w:snapToGrid w:val="0"/>
              <w:spacing w:line="540" w:lineRule="exact"/>
              <w:jc w:val="center"/>
              <w:rPr>
                <w:rFonts w:hint="default" w:ascii="宋体" w:hAnsi="宋体" w:eastAsia="宋体" w:cs="宋体"/>
                <w:kern w:val="0"/>
                <w:sz w:val="24"/>
                <w:szCs w:val="24"/>
                <w:highlight w:val="none"/>
                <w:shd w:val="clear" w:color="auto" w:fill="auto"/>
                <w:lang w:val="en-US" w:eastAsia="zh-CN"/>
              </w:rPr>
            </w:pPr>
            <w:r>
              <w:rPr>
                <w:rFonts w:hint="eastAsia" w:ascii="宋体" w:hAnsi="宋体" w:cs="宋体"/>
                <w:kern w:val="0"/>
                <w:sz w:val="24"/>
                <w:szCs w:val="24"/>
                <w:highlight w:val="none"/>
                <w:shd w:val="clear" w:color="auto" w:fill="auto"/>
                <w:lang w:val="en-US" w:eastAsia="zh-CN"/>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78" w:hRule="atLeast"/>
        </w:trPr>
        <w:tc>
          <w:tcPr>
            <w:tcW w:w="1523" w:type="dxa"/>
            <w:vAlign w:val="center"/>
          </w:tcPr>
          <w:p>
            <w:pPr>
              <w:adjustRightInd w:val="0"/>
              <w:snapToGrid w:val="0"/>
              <w:spacing w:line="540" w:lineRule="exact"/>
              <w:jc w:val="center"/>
              <w:rPr>
                <w:rFonts w:hint="eastAsia" w:ascii="宋体" w:hAnsi="宋体" w:cs="宋体"/>
                <w:b/>
                <w:bCs/>
                <w:kern w:val="0"/>
                <w:sz w:val="24"/>
                <w:highlight w:val="none"/>
                <w:shd w:val="clear" w:color="auto" w:fill="auto"/>
              </w:rPr>
            </w:pPr>
            <w:r>
              <w:rPr>
                <w:rFonts w:hint="eastAsia" w:ascii="宋体" w:hAnsi="宋体" w:cs="宋体"/>
                <w:b/>
                <w:bCs/>
                <w:kern w:val="0"/>
                <w:sz w:val="24"/>
                <w:highlight w:val="none"/>
                <w:shd w:val="clear" w:color="auto" w:fill="auto"/>
              </w:rPr>
              <w:t>B</w:t>
            </w:r>
            <w:r>
              <w:rPr>
                <w:rFonts w:hint="eastAsia" w:ascii="宋体" w:hAnsi="宋体" w:cs="宋体"/>
                <w:b/>
                <w:bCs/>
                <w:kern w:val="0"/>
                <w:sz w:val="24"/>
                <w:highlight w:val="none"/>
                <w:shd w:val="clear" w:color="auto" w:fill="auto"/>
                <w:lang w:val="en-US" w:eastAsia="zh-CN"/>
              </w:rPr>
              <w:t>4</w:t>
            </w:r>
            <w:r>
              <w:rPr>
                <w:rFonts w:hint="eastAsia" w:ascii="宋体" w:hAnsi="宋体" w:cs="宋体"/>
                <w:b/>
                <w:bCs/>
                <w:kern w:val="0"/>
                <w:sz w:val="24"/>
                <w:highlight w:val="none"/>
                <w:shd w:val="clear" w:color="auto" w:fill="auto"/>
              </w:rPr>
              <w:t>评分项</w:t>
            </w:r>
          </w:p>
        </w:tc>
        <w:tc>
          <w:tcPr>
            <w:tcW w:w="7355" w:type="dxa"/>
            <w:vAlign w:val="center"/>
          </w:tcPr>
          <w:p>
            <w:pPr>
              <w:tabs>
                <w:tab w:val="left" w:pos="1080"/>
              </w:tabs>
              <w:spacing w:line="360" w:lineRule="auto"/>
              <w:ind w:firstLine="480" w:firstLineChars="200"/>
              <w:rPr>
                <w:rFonts w:hint="eastAsia" w:ascii="宋体" w:hAnsi="宋体" w:cs="宋体"/>
                <w:kern w:val="0"/>
                <w:sz w:val="24"/>
                <w:highlight w:val="none"/>
                <w:shd w:val="clear" w:color="auto" w:fill="auto"/>
              </w:rPr>
            </w:pPr>
            <w:r>
              <w:rPr>
                <w:rFonts w:hint="eastAsia" w:ascii="宋体" w:hAnsi="宋体" w:cs="宋体"/>
                <w:color w:val="000000"/>
                <w:sz w:val="24"/>
                <w:highlight w:val="none"/>
                <w:shd w:val="clear" w:color="auto" w:fill="auto"/>
              </w:rPr>
              <w:t>投标人具有由市住房和城乡建设局颁发的建筑机电安装工程专业承包三级及以上资质</w:t>
            </w:r>
            <w:r>
              <w:rPr>
                <w:rFonts w:hint="eastAsia" w:ascii="宋体" w:hAnsi="宋体" w:cs="宋体"/>
                <w:color w:val="000000"/>
                <w:sz w:val="24"/>
                <w:highlight w:val="none"/>
                <w:shd w:val="clear" w:color="auto" w:fill="auto"/>
                <w:lang w:val="en-US" w:eastAsia="zh-CN"/>
              </w:rPr>
              <w:t>的得1分</w:t>
            </w:r>
            <w:r>
              <w:rPr>
                <w:rFonts w:hint="eastAsia" w:ascii="宋体" w:hAnsi="宋体" w:cs="宋体"/>
                <w:kern w:val="0"/>
                <w:sz w:val="24"/>
                <w:highlight w:val="none"/>
                <w:shd w:val="clear" w:color="auto" w:fill="auto"/>
              </w:rPr>
              <w:t>；需提供有效的证书复印件并加盖投标人公章，否则不得分。</w:t>
            </w:r>
            <w:r>
              <w:rPr>
                <w:rFonts w:hint="eastAsia" w:ascii="宋体" w:hAnsi="宋体" w:cs="宋体"/>
                <w:b/>
                <w:bCs/>
                <w:kern w:val="0"/>
                <w:sz w:val="24"/>
                <w:highlight w:val="none"/>
                <w:shd w:val="clear" w:color="auto" w:fill="auto"/>
              </w:rPr>
              <w:t>（本项满分</w:t>
            </w:r>
            <w:r>
              <w:rPr>
                <w:rFonts w:hint="eastAsia" w:ascii="宋体" w:hAnsi="宋体" w:cs="宋体"/>
                <w:b/>
                <w:bCs/>
                <w:kern w:val="0"/>
                <w:sz w:val="24"/>
                <w:highlight w:val="none"/>
                <w:shd w:val="clear" w:color="auto" w:fill="auto"/>
                <w:lang w:val="en-US" w:eastAsia="zh-CN"/>
              </w:rPr>
              <w:t>1</w:t>
            </w:r>
            <w:r>
              <w:rPr>
                <w:rFonts w:hint="eastAsia" w:ascii="宋体" w:hAnsi="宋体" w:cs="宋体"/>
                <w:b/>
                <w:bCs/>
                <w:kern w:val="0"/>
                <w:sz w:val="24"/>
                <w:highlight w:val="none"/>
                <w:shd w:val="clear" w:color="auto" w:fill="auto"/>
              </w:rPr>
              <w:t>分）</w:t>
            </w:r>
          </w:p>
        </w:tc>
        <w:tc>
          <w:tcPr>
            <w:tcW w:w="852" w:type="dxa"/>
            <w:vAlign w:val="center"/>
          </w:tcPr>
          <w:p>
            <w:pPr>
              <w:adjustRightInd w:val="0"/>
              <w:snapToGrid w:val="0"/>
              <w:spacing w:line="540" w:lineRule="exact"/>
              <w:jc w:val="center"/>
              <w:rPr>
                <w:rFonts w:hint="eastAsia" w:ascii="宋体" w:hAnsi="宋体" w:cs="宋体"/>
                <w:kern w:val="0"/>
                <w:sz w:val="24"/>
                <w:szCs w:val="24"/>
                <w:highlight w:val="none"/>
                <w:shd w:val="clear" w:color="auto" w:fill="auto"/>
                <w:lang w:val="en-US" w:eastAsia="zh-CN"/>
              </w:rPr>
            </w:pPr>
            <w:r>
              <w:rPr>
                <w:rFonts w:hint="eastAsia" w:ascii="宋体" w:hAnsi="宋体" w:cs="宋体"/>
                <w:kern w:val="0"/>
                <w:sz w:val="24"/>
                <w:szCs w:val="24"/>
                <w:highlight w:val="none"/>
                <w:shd w:val="clear" w:color="auto" w:fill="auto"/>
                <w:lang w:val="en-US" w:eastAsia="zh-CN"/>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78" w:hRule="atLeast"/>
        </w:trPr>
        <w:tc>
          <w:tcPr>
            <w:tcW w:w="1523" w:type="dxa"/>
            <w:vAlign w:val="center"/>
          </w:tcPr>
          <w:p>
            <w:pPr>
              <w:adjustRightInd w:val="0"/>
              <w:snapToGrid w:val="0"/>
              <w:spacing w:line="540" w:lineRule="exact"/>
              <w:jc w:val="center"/>
              <w:rPr>
                <w:rFonts w:hint="eastAsia" w:ascii="宋体" w:hAnsi="宋体" w:cs="宋体"/>
                <w:b/>
                <w:bCs/>
                <w:kern w:val="0"/>
                <w:sz w:val="24"/>
                <w:highlight w:val="none"/>
                <w:shd w:val="clear" w:color="auto" w:fill="auto"/>
              </w:rPr>
            </w:pPr>
            <w:r>
              <w:rPr>
                <w:rFonts w:hint="eastAsia" w:ascii="宋体" w:hAnsi="宋体" w:cs="宋体"/>
                <w:b/>
                <w:bCs/>
                <w:kern w:val="0"/>
                <w:sz w:val="24"/>
                <w:highlight w:val="none"/>
                <w:shd w:val="clear" w:color="auto" w:fill="auto"/>
              </w:rPr>
              <w:t>B</w:t>
            </w:r>
            <w:r>
              <w:rPr>
                <w:rFonts w:hint="eastAsia" w:ascii="宋体" w:hAnsi="宋体" w:cs="宋体"/>
                <w:b/>
                <w:bCs/>
                <w:kern w:val="0"/>
                <w:sz w:val="24"/>
                <w:highlight w:val="none"/>
                <w:shd w:val="clear" w:color="auto" w:fill="auto"/>
                <w:lang w:val="en-US" w:eastAsia="zh-CN"/>
              </w:rPr>
              <w:t>5</w:t>
            </w:r>
            <w:r>
              <w:rPr>
                <w:rFonts w:hint="eastAsia" w:ascii="宋体" w:hAnsi="宋体" w:cs="宋体"/>
                <w:b/>
                <w:bCs/>
                <w:kern w:val="0"/>
                <w:sz w:val="24"/>
                <w:highlight w:val="none"/>
                <w:shd w:val="clear" w:color="auto" w:fill="auto"/>
              </w:rPr>
              <w:t>评分项</w:t>
            </w:r>
          </w:p>
        </w:tc>
        <w:tc>
          <w:tcPr>
            <w:tcW w:w="7355" w:type="dxa"/>
            <w:vAlign w:val="center"/>
          </w:tcPr>
          <w:p>
            <w:pPr>
              <w:tabs>
                <w:tab w:val="left" w:pos="1080"/>
              </w:tabs>
              <w:spacing w:line="360" w:lineRule="auto"/>
              <w:ind w:firstLine="480" w:firstLineChars="200"/>
              <w:rPr>
                <w:rFonts w:hint="eastAsia" w:ascii="宋体" w:hAnsi="宋体" w:cs="宋体"/>
                <w:kern w:val="0"/>
                <w:sz w:val="24"/>
                <w:highlight w:val="none"/>
                <w:shd w:val="clear" w:color="auto" w:fill="auto"/>
              </w:rPr>
            </w:pPr>
            <w:r>
              <w:rPr>
                <w:rFonts w:hint="eastAsia" w:ascii="宋体" w:hAnsi="宋体" w:cs="宋体"/>
                <w:color w:val="000000"/>
                <w:sz w:val="24"/>
                <w:highlight w:val="none"/>
                <w:shd w:val="clear" w:color="auto" w:fill="auto"/>
              </w:rPr>
              <w:t>投标人具有由国家能源局省监管办公室颁发的装（修、试）电力设施许可证五级及以上资质</w:t>
            </w:r>
            <w:r>
              <w:rPr>
                <w:rFonts w:hint="eastAsia" w:ascii="宋体" w:hAnsi="宋体" w:cs="宋体"/>
                <w:color w:val="000000"/>
                <w:sz w:val="24"/>
                <w:highlight w:val="none"/>
                <w:shd w:val="clear" w:color="auto" w:fill="auto"/>
                <w:lang w:val="en-US" w:eastAsia="zh-CN"/>
              </w:rPr>
              <w:t>的得1分</w:t>
            </w:r>
            <w:r>
              <w:rPr>
                <w:rFonts w:hint="eastAsia" w:ascii="宋体" w:hAnsi="宋体" w:cs="宋体"/>
                <w:kern w:val="0"/>
                <w:sz w:val="24"/>
                <w:highlight w:val="none"/>
                <w:shd w:val="clear" w:color="auto" w:fill="auto"/>
              </w:rPr>
              <w:t>；需提供有效的证书复印件并加盖投标人公章，否则不得分。</w:t>
            </w:r>
            <w:r>
              <w:rPr>
                <w:rFonts w:hint="eastAsia" w:ascii="宋体" w:hAnsi="宋体" w:cs="宋体"/>
                <w:b/>
                <w:bCs/>
                <w:kern w:val="0"/>
                <w:sz w:val="24"/>
                <w:highlight w:val="none"/>
                <w:shd w:val="clear" w:color="auto" w:fill="auto"/>
              </w:rPr>
              <w:t>（本项满分</w:t>
            </w:r>
            <w:r>
              <w:rPr>
                <w:rFonts w:hint="eastAsia" w:ascii="宋体" w:hAnsi="宋体" w:cs="宋体"/>
                <w:b/>
                <w:bCs/>
                <w:kern w:val="0"/>
                <w:sz w:val="24"/>
                <w:highlight w:val="none"/>
                <w:shd w:val="clear" w:color="auto" w:fill="auto"/>
                <w:lang w:val="en-US" w:eastAsia="zh-CN"/>
              </w:rPr>
              <w:t>1</w:t>
            </w:r>
            <w:r>
              <w:rPr>
                <w:rFonts w:hint="eastAsia" w:ascii="宋体" w:hAnsi="宋体" w:cs="宋体"/>
                <w:b/>
                <w:bCs/>
                <w:kern w:val="0"/>
                <w:sz w:val="24"/>
                <w:highlight w:val="none"/>
                <w:shd w:val="clear" w:color="auto" w:fill="auto"/>
              </w:rPr>
              <w:t>分）</w:t>
            </w:r>
          </w:p>
        </w:tc>
        <w:tc>
          <w:tcPr>
            <w:tcW w:w="852" w:type="dxa"/>
            <w:vAlign w:val="center"/>
          </w:tcPr>
          <w:p>
            <w:pPr>
              <w:adjustRightInd w:val="0"/>
              <w:snapToGrid w:val="0"/>
              <w:spacing w:line="540" w:lineRule="exact"/>
              <w:jc w:val="center"/>
              <w:rPr>
                <w:rFonts w:hint="eastAsia" w:ascii="宋体" w:hAnsi="宋体" w:cs="宋体"/>
                <w:kern w:val="0"/>
                <w:sz w:val="24"/>
                <w:szCs w:val="24"/>
                <w:highlight w:val="none"/>
                <w:shd w:val="clear" w:color="auto" w:fill="auto"/>
                <w:lang w:val="en-US" w:eastAsia="zh-CN"/>
              </w:rPr>
            </w:pPr>
            <w:r>
              <w:rPr>
                <w:rFonts w:hint="eastAsia" w:ascii="宋体" w:hAnsi="宋体" w:cs="宋体"/>
                <w:kern w:val="0"/>
                <w:sz w:val="24"/>
                <w:szCs w:val="24"/>
                <w:highlight w:val="none"/>
                <w:shd w:val="clear" w:color="auto" w:fill="auto"/>
                <w:lang w:val="en-US" w:eastAsia="zh-CN"/>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78" w:hRule="atLeast"/>
        </w:trPr>
        <w:tc>
          <w:tcPr>
            <w:tcW w:w="1523" w:type="dxa"/>
            <w:vAlign w:val="center"/>
          </w:tcPr>
          <w:p>
            <w:pPr>
              <w:adjustRightInd w:val="0"/>
              <w:snapToGrid w:val="0"/>
              <w:spacing w:line="540" w:lineRule="exact"/>
              <w:jc w:val="center"/>
              <w:rPr>
                <w:rFonts w:hint="eastAsia" w:ascii="宋体" w:hAnsi="宋体" w:cs="宋体"/>
                <w:b/>
                <w:bCs/>
                <w:kern w:val="0"/>
                <w:sz w:val="24"/>
                <w:highlight w:val="none"/>
                <w:shd w:val="clear" w:color="auto" w:fill="auto"/>
              </w:rPr>
            </w:pPr>
            <w:r>
              <w:rPr>
                <w:rFonts w:hint="eastAsia" w:ascii="宋体" w:hAnsi="宋体" w:cs="宋体"/>
                <w:b/>
                <w:bCs/>
                <w:kern w:val="0"/>
                <w:sz w:val="24"/>
                <w:highlight w:val="none"/>
                <w:shd w:val="clear" w:color="auto" w:fill="auto"/>
              </w:rPr>
              <w:t>B</w:t>
            </w:r>
            <w:r>
              <w:rPr>
                <w:rFonts w:hint="eastAsia" w:ascii="宋体" w:hAnsi="宋体" w:cs="宋体"/>
                <w:b/>
                <w:bCs/>
                <w:kern w:val="0"/>
                <w:sz w:val="24"/>
                <w:highlight w:val="none"/>
                <w:shd w:val="clear" w:color="auto" w:fill="auto"/>
                <w:lang w:val="en-US" w:eastAsia="zh-CN"/>
              </w:rPr>
              <w:t>6</w:t>
            </w:r>
            <w:r>
              <w:rPr>
                <w:rFonts w:hint="eastAsia" w:ascii="宋体" w:hAnsi="宋体" w:cs="宋体"/>
                <w:b/>
                <w:bCs/>
                <w:kern w:val="0"/>
                <w:sz w:val="24"/>
                <w:highlight w:val="none"/>
                <w:shd w:val="clear" w:color="auto" w:fill="auto"/>
              </w:rPr>
              <w:t>评分项</w:t>
            </w:r>
          </w:p>
        </w:tc>
        <w:tc>
          <w:tcPr>
            <w:tcW w:w="7355" w:type="dxa"/>
            <w:vAlign w:val="center"/>
          </w:tcPr>
          <w:p>
            <w:pPr>
              <w:tabs>
                <w:tab w:val="left" w:pos="1080"/>
              </w:tabs>
              <w:spacing w:line="360" w:lineRule="auto"/>
              <w:ind w:firstLine="480" w:firstLineChars="200"/>
              <w:rPr>
                <w:rFonts w:hint="eastAsia" w:ascii="宋体" w:hAnsi="宋体" w:cs="宋体"/>
                <w:kern w:val="0"/>
                <w:sz w:val="24"/>
                <w:highlight w:val="none"/>
                <w:shd w:val="clear" w:color="auto" w:fill="auto"/>
              </w:rPr>
            </w:pPr>
            <w:r>
              <w:rPr>
                <w:rFonts w:hint="eastAsia" w:ascii="宋体" w:hAnsi="宋体" w:cs="宋体"/>
                <w:color w:val="000000"/>
                <w:sz w:val="24"/>
                <w:highlight w:val="none"/>
                <w:shd w:val="clear" w:color="auto" w:fill="auto"/>
              </w:rPr>
              <w:t>投标人或充电设备制作商具有有效期内的SA8000企业社会责任管理体系认证证书的得</w:t>
            </w:r>
            <w:r>
              <w:rPr>
                <w:rFonts w:hint="eastAsia" w:ascii="宋体" w:hAnsi="宋体" w:cs="宋体"/>
                <w:color w:val="000000"/>
                <w:sz w:val="24"/>
                <w:highlight w:val="none"/>
                <w:shd w:val="clear" w:color="auto" w:fill="auto"/>
                <w:lang w:val="en-US" w:eastAsia="zh-CN"/>
              </w:rPr>
              <w:t>1</w:t>
            </w:r>
            <w:r>
              <w:rPr>
                <w:rFonts w:hint="eastAsia" w:ascii="宋体" w:hAnsi="宋体" w:cs="宋体"/>
                <w:color w:val="000000"/>
                <w:sz w:val="24"/>
                <w:highlight w:val="none"/>
                <w:shd w:val="clear" w:color="auto" w:fill="auto"/>
              </w:rPr>
              <w:t>分</w:t>
            </w:r>
            <w:r>
              <w:rPr>
                <w:rFonts w:hint="eastAsia" w:ascii="宋体" w:hAnsi="宋体" w:cs="宋体"/>
                <w:kern w:val="0"/>
                <w:sz w:val="24"/>
                <w:highlight w:val="none"/>
                <w:shd w:val="clear" w:color="auto" w:fill="auto"/>
              </w:rPr>
              <w:t>；需提供有效的证书复印件并加盖投标人公章，否则不得分。</w:t>
            </w:r>
            <w:r>
              <w:rPr>
                <w:rFonts w:hint="eastAsia" w:ascii="宋体" w:hAnsi="宋体" w:cs="宋体"/>
                <w:b/>
                <w:bCs/>
                <w:kern w:val="0"/>
                <w:sz w:val="24"/>
                <w:highlight w:val="none"/>
                <w:shd w:val="clear" w:color="auto" w:fill="auto"/>
              </w:rPr>
              <w:t>（本项满分</w:t>
            </w:r>
            <w:r>
              <w:rPr>
                <w:rFonts w:hint="eastAsia" w:ascii="宋体" w:hAnsi="宋体" w:cs="宋体"/>
                <w:b/>
                <w:bCs/>
                <w:kern w:val="0"/>
                <w:sz w:val="24"/>
                <w:highlight w:val="none"/>
                <w:shd w:val="clear" w:color="auto" w:fill="auto"/>
                <w:lang w:val="en-US" w:eastAsia="zh-CN"/>
              </w:rPr>
              <w:t>1</w:t>
            </w:r>
            <w:r>
              <w:rPr>
                <w:rFonts w:hint="eastAsia" w:ascii="宋体" w:hAnsi="宋体" w:cs="宋体"/>
                <w:b/>
                <w:bCs/>
                <w:kern w:val="0"/>
                <w:sz w:val="24"/>
                <w:highlight w:val="none"/>
                <w:shd w:val="clear" w:color="auto" w:fill="auto"/>
              </w:rPr>
              <w:t>分）</w:t>
            </w:r>
          </w:p>
        </w:tc>
        <w:tc>
          <w:tcPr>
            <w:tcW w:w="852" w:type="dxa"/>
            <w:vAlign w:val="center"/>
          </w:tcPr>
          <w:p>
            <w:pPr>
              <w:adjustRightInd w:val="0"/>
              <w:snapToGrid w:val="0"/>
              <w:spacing w:line="540" w:lineRule="exact"/>
              <w:jc w:val="center"/>
              <w:rPr>
                <w:rFonts w:hint="eastAsia" w:ascii="宋体" w:hAnsi="宋体" w:cs="宋体"/>
                <w:kern w:val="0"/>
                <w:sz w:val="24"/>
                <w:szCs w:val="24"/>
                <w:highlight w:val="none"/>
                <w:shd w:val="clear" w:color="auto" w:fill="auto"/>
                <w:lang w:val="en-US" w:eastAsia="zh-CN"/>
              </w:rPr>
            </w:pPr>
            <w:r>
              <w:rPr>
                <w:rFonts w:hint="eastAsia" w:ascii="宋体" w:hAnsi="宋体" w:cs="宋体"/>
                <w:kern w:val="0"/>
                <w:sz w:val="24"/>
                <w:szCs w:val="24"/>
                <w:highlight w:val="none"/>
                <w:shd w:val="clear" w:color="auto" w:fill="auto"/>
                <w:lang w:val="en-US" w:eastAsia="zh-CN"/>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19" w:hRule="atLeast"/>
        </w:trPr>
        <w:tc>
          <w:tcPr>
            <w:tcW w:w="1523" w:type="dxa"/>
            <w:vAlign w:val="center"/>
          </w:tcPr>
          <w:p>
            <w:pPr>
              <w:adjustRightInd w:val="0"/>
              <w:snapToGrid w:val="0"/>
              <w:spacing w:line="540" w:lineRule="exact"/>
              <w:jc w:val="center"/>
              <w:rPr>
                <w:rFonts w:ascii="宋体" w:hAnsi="宋体" w:cs="宋体"/>
                <w:b/>
                <w:bCs/>
                <w:kern w:val="0"/>
                <w:sz w:val="24"/>
                <w:highlight w:val="none"/>
                <w:shd w:val="clear" w:color="auto" w:fill="auto"/>
              </w:rPr>
            </w:pPr>
            <w:r>
              <w:rPr>
                <w:rFonts w:hint="eastAsia" w:ascii="宋体" w:hAnsi="宋体" w:cs="宋体"/>
                <w:b/>
                <w:bCs/>
                <w:kern w:val="0"/>
                <w:sz w:val="24"/>
                <w:highlight w:val="none"/>
                <w:shd w:val="clear" w:color="auto" w:fill="auto"/>
              </w:rPr>
              <w:t>B</w:t>
            </w:r>
            <w:r>
              <w:rPr>
                <w:rFonts w:hint="eastAsia" w:ascii="宋体" w:hAnsi="宋体" w:cs="宋体"/>
                <w:b/>
                <w:bCs/>
                <w:kern w:val="0"/>
                <w:sz w:val="24"/>
                <w:highlight w:val="none"/>
                <w:shd w:val="clear" w:color="auto" w:fill="auto"/>
                <w:lang w:val="en-US" w:eastAsia="zh-CN"/>
              </w:rPr>
              <w:t>7</w:t>
            </w:r>
            <w:r>
              <w:rPr>
                <w:rFonts w:hint="eastAsia" w:ascii="宋体" w:hAnsi="宋体" w:cs="宋体"/>
                <w:b/>
                <w:bCs/>
                <w:kern w:val="0"/>
                <w:sz w:val="24"/>
                <w:highlight w:val="none"/>
                <w:shd w:val="clear" w:color="auto" w:fill="auto"/>
              </w:rPr>
              <w:t>评分项</w:t>
            </w:r>
          </w:p>
        </w:tc>
        <w:tc>
          <w:tcPr>
            <w:tcW w:w="7355" w:type="dxa"/>
            <w:vAlign w:val="center"/>
          </w:tcPr>
          <w:p>
            <w:pPr>
              <w:adjustRightInd w:val="0"/>
              <w:snapToGrid w:val="0"/>
              <w:spacing w:line="540" w:lineRule="exact"/>
              <w:ind w:firstLine="480" w:firstLineChars="200"/>
              <w:jc w:val="left"/>
              <w:rPr>
                <w:rFonts w:ascii="宋体" w:hAnsi="宋体" w:cs="宋体"/>
                <w:kern w:val="0"/>
                <w:sz w:val="24"/>
                <w:highlight w:val="none"/>
                <w:shd w:val="clear" w:color="auto" w:fill="auto"/>
              </w:rPr>
            </w:pPr>
            <w:r>
              <w:rPr>
                <w:rFonts w:hint="eastAsia" w:ascii="宋体" w:hAnsi="宋体" w:cs="宋体"/>
                <w:kern w:val="0"/>
                <w:sz w:val="24"/>
                <w:highlight w:val="none"/>
                <w:shd w:val="clear" w:color="auto" w:fill="auto"/>
              </w:rPr>
              <w:t>投标人具有有效期内的（GB/T 23001-2017）两化融合管理体系认证，等级被评为AAA级的得</w:t>
            </w:r>
            <w:r>
              <w:rPr>
                <w:rFonts w:hint="eastAsia" w:ascii="宋体" w:hAnsi="宋体" w:cs="宋体"/>
                <w:kern w:val="0"/>
                <w:sz w:val="24"/>
                <w:highlight w:val="none"/>
                <w:shd w:val="clear" w:color="auto" w:fill="auto"/>
                <w:lang w:val="en-US" w:eastAsia="zh-CN"/>
              </w:rPr>
              <w:t>1</w:t>
            </w:r>
            <w:r>
              <w:rPr>
                <w:rFonts w:hint="eastAsia" w:ascii="宋体" w:hAnsi="宋体" w:cs="宋体"/>
                <w:kern w:val="0"/>
                <w:sz w:val="24"/>
                <w:highlight w:val="none"/>
                <w:shd w:val="clear" w:color="auto" w:fill="auto"/>
              </w:rPr>
              <w:t>分，AA级的得</w:t>
            </w:r>
            <w:r>
              <w:rPr>
                <w:rFonts w:hint="eastAsia" w:ascii="宋体" w:hAnsi="宋体" w:cs="宋体"/>
                <w:kern w:val="0"/>
                <w:sz w:val="24"/>
                <w:highlight w:val="none"/>
                <w:shd w:val="clear" w:color="auto" w:fill="auto"/>
                <w:lang w:val="en-US" w:eastAsia="zh-CN"/>
              </w:rPr>
              <w:t>0.5</w:t>
            </w:r>
            <w:r>
              <w:rPr>
                <w:rFonts w:hint="eastAsia" w:ascii="宋体" w:hAnsi="宋体" w:cs="宋体"/>
                <w:kern w:val="0"/>
                <w:sz w:val="24"/>
                <w:highlight w:val="none"/>
                <w:shd w:val="clear" w:color="auto" w:fill="auto"/>
              </w:rPr>
              <w:t>分，没有评级不得分；需提供有效的证书复印件并加盖投标人公章，否则不得分。</w:t>
            </w:r>
            <w:r>
              <w:rPr>
                <w:rFonts w:hint="eastAsia" w:ascii="宋体" w:hAnsi="宋体" w:cs="宋体"/>
                <w:b/>
                <w:bCs/>
                <w:kern w:val="0"/>
                <w:sz w:val="24"/>
                <w:highlight w:val="none"/>
                <w:shd w:val="clear" w:color="auto" w:fill="auto"/>
              </w:rPr>
              <w:t>（本项满分</w:t>
            </w:r>
            <w:r>
              <w:rPr>
                <w:rFonts w:hint="eastAsia" w:ascii="宋体" w:hAnsi="宋体" w:cs="宋体"/>
                <w:b/>
                <w:bCs/>
                <w:kern w:val="0"/>
                <w:sz w:val="24"/>
                <w:highlight w:val="none"/>
                <w:shd w:val="clear" w:color="auto" w:fill="auto"/>
                <w:lang w:val="en-US" w:eastAsia="zh-CN"/>
              </w:rPr>
              <w:t>1</w:t>
            </w:r>
            <w:r>
              <w:rPr>
                <w:rFonts w:hint="eastAsia" w:ascii="宋体" w:hAnsi="宋体" w:cs="宋体"/>
                <w:b/>
                <w:bCs/>
                <w:kern w:val="0"/>
                <w:sz w:val="24"/>
                <w:highlight w:val="none"/>
                <w:shd w:val="clear" w:color="auto" w:fill="auto"/>
              </w:rPr>
              <w:t>分）</w:t>
            </w:r>
          </w:p>
        </w:tc>
        <w:tc>
          <w:tcPr>
            <w:tcW w:w="852" w:type="dxa"/>
            <w:vAlign w:val="center"/>
          </w:tcPr>
          <w:p>
            <w:pPr>
              <w:adjustRightInd w:val="0"/>
              <w:snapToGrid w:val="0"/>
              <w:spacing w:line="540" w:lineRule="exact"/>
              <w:jc w:val="center"/>
              <w:rPr>
                <w:rFonts w:hint="default" w:ascii="宋体" w:hAnsi="宋体" w:eastAsia="宋体" w:cs="宋体"/>
                <w:kern w:val="0"/>
                <w:sz w:val="24"/>
                <w:szCs w:val="24"/>
                <w:highlight w:val="none"/>
                <w:shd w:val="clear" w:color="auto" w:fill="auto"/>
                <w:lang w:val="en-US" w:eastAsia="zh-CN"/>
              </w:rPr>
            </w:pPr>
            <w:r>
              <w:rPr>
                <w:rFonts w:hint="eastAsia" w:ascii="宋体" w:hAnsi="宋体" w:cs="宋体"/>
                <w:kern w:val="0"/>
                <w:sz w:val="24"/>
                <w:szCs w:val="24"/>
                <w:highlight w:val="none"/>
                <w:shd w:val="clear" w:color="auto" w:fill="auto"/>
                <w:lang w:val="en-US" w:eastAsia="zh-CN"/>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34" w:hRule="atLeast"/>
        </w:trPr>
        <w:tc>
          <w:tcPr>
            <w:tcW w:w="1523" w:type="dxa"/>
            <w:vAlign w:val="center"/>
          </w:tcPr>
          <w:p>
            <w:pPr>
              <w:adjustRightInd w:val="0"/>
              <w:snapToGrid w:val="0"/>
              <w:spacing w:line="540" w:lineRule="exact"/>
              <w:jc w:val="center"/>
              <w:rPr>
                <w:rFonts w:ascii="宋体" w:hAnsi="宋体" w:cs="宋体"/>
                <w:b/>
                <w:bCs/>
                <w:kern w:val="0"/>
                <w:sz w:val="24"/>
                <w:highlight w:val="none"/>
                <w:shd w:val="clear" w:color="auto" w:fill="auto"/>
              </w:rPr>
            </w:pPr>
            <w:r>
              <w:rPr>
                <w:rFonts w:hint="eastAsia" w:ascii="宋体" w:hAnsi="宋体" w:cs="宋体"/>
                <w:b/>
                <w:bCs/>
                <w:kern w:val="0"/>
                <w:sz w:val="24"/>
                <w:highlight w:val="none"/>
                <w:shd w:val="clear" w:color="auto" w:fill="auto"/>
              </w:rPr>
              <w:t>B</w:t>
            </w:r>
            <w:r>
              <w:rPr>
                <w:rFonts w:hint="eastAsia" w:ascii="宋体" w:hAnsi="宋体" w:cs="宋体"/>
                <w:b/>
                <w:bCs/>
                <w:kern w:val="0"/>
                <w:sz w:val="24"/>
                <w:highlight w:val="none"/>
                <w:shd w:val="clear" w:color="auto" w:fill="auto"/>
                <w:lang w:val="en-US" w:eastAsia="zh-CN"/>
              </w:rPr>
              <w:t>8</w:t>
            </w:r>
            <w:r>
              <w:rPr>
                <w:rFonts w:hint="eastAsia" w:ascii="宋体" w:hAnsi="宋体" w:cs="宋体"/>
                <w:b/>
                <w:bCs/>
                <w:kern w:val="0"/>
                <w:sz w:val="24"/>
                <w:highlight w:val="none"/>
                <w:shd w:val="clear" w:color="auto" w:fill="auto"/>
              </w:rPr>
              <w:t>评分项</w:t>
            </w:r>
          </w:p>
        </w:tc>
        <w:tc>
          <w:tcPr>
            <w:tcW w:w="7355" w:type="dxa"/>
            <w:vAlign w:val="center"/>
          </w:tcPr>
          <w:p>
            <w:pPr>
              <w:adjustRightInd w:val="0"/>
              <w:snapToGrid w:val="0"/>
              <w:spacing w:line="540" w:lineRule="exact"/>
              <w:ind w:firstLine="480" w:firstLineChars="200"/>
              <w:jc w:val="left"/>
              <w:rPr>
                <w:rFonts w:hint="eastAsia" w:ascii="宋体" w:hAnsi="宋体" w:cs="宋体"/>
                <w:color w:val="000000"/>
                <w:sz w:val="24"/>
                <w:szCs w:val="24"/>
                <w:highlight w:val="none"/>
                <w:shd w:val="clear" w:color="auto" w:fill="auto"/>
                <w:lang w:val="en-US" w:eastAsia="zh-CN"/>
              </w:rPr>
            </w:pPr>
            <w:r>
              <w:rPr>
                <w:rFonts w:hint="eastAsia" w:ascii="宋体" w:hAnsi="宋体" w:cs="宋体"/>
                <w:color w:val="000000"/>
                <w:sz w:val="24"/>
                <w:szCs w:val="24"/>
                <w:highlight w:val="none"/>
                <w:shd w:val="clear" w:color="auto" w:fill="auto"/>
              </w:rPr>
              <w:t>投标人或充电设备制造商取得中国合格评定国家认可委员会颁发的关于电动汽车充换电系统实验室的得</w:t>
            </w:r>
            <w:r>
              <w:rPr>
                <w:rFonts w:hint="eastAsia" w:ascii="宋体" w:hAnsi="宋体" w:cs="宋体"/>
                <w:color w:val="000000"/>
                <w:sz w:val="24"/>
                <w:szCs w:val="24"/>
                <w:highlight w:val="none"/>
                <w:shd w:val="clear" w:color="auto" w:fill="auto"/>
                <w:lang w:val="en-US" w:eastAsia="zh-CN"/>
              </w:rPr>
              <w:t>3</w:t>
            </w:r>
            <w:r>
              <w:rPr>
                <w:rFonts w:hint="eastAsia" w:ascii="宋体" w:hAnsi="宋体" w:cs="宋体"/>
                <w:color w:val="000000"/>
                <w:sz w:val="24"/>
                <w:szCs w:val="24"/>
                <w:highlight w:val="none"/>
                <w:shd w:val="clear" w:color="auto" w:fill="auto"/>
              </w:rPr>
              <w:t>分</w:t>
            </w:r>
            <w:r>
              <w:rPr>
                <w:rFonts w:hint="eastAsia" w:ascii="宋体" w:hAnsi="宋体" w:cs="宋体"/>
                <w:color w:val="000000"/>
                <w:sz w:val="24"/>
                <w:szCs w:val="24"/>
                <w:highlight w:val="none"/>
                <w:shd w:val="clear" w:color="auto" w:fill="auto"/>
                <w:lang w:val="en-US" w:eastAsia="zh-CN"/>
              </w:rPr>
              <w:t>.</w:t>
            </w:r>
          </w:p>
          <w:p>
            <w:pPr>
              <w:adjustRightInd w:val="0"/>
              <w:snapToGrid w:val="0"/>
              <w:spacing w:line="540" w:lineRule="exact"/>
              <w:ind w:firstLine="480" w:firstLineChars="200"/>
              <w:jc w:val="left"/>
              <w:rPr>
                <w:rFonts w:ascii="宋体" w:hAnsi="宋体" w:cs="宋体"/>
                <w:kern w:val="0"/>
                <w:sz w:val="24"/>
                <w:highlight w:val="none"/>
                <w:shd w:val="clear" w:color="auto" w:fill="auto"/>
              </w:rPr>
            </w:pPr>
            <w:r>
              <w:rPr>
                <w:rFonts w:hint="eastAsia" w:ascii="宋体" w:hAnsi="宋体" w:cs="宋体"/>
                <w:color w:val="000000"/>
                <w:sz w:val="24"/>
                <w:szCs w:val="24"/>
                <w:highlight w:val="none"/>
                <w:shd w:val="clear" w:color="auto" w:fill="auto"/>
                <w:lang w:val="en-US" w:eastAsia="zh-CN"/>
              </w:rPr>
              <w:t>备</w:t>
            </w:r>
            <w:r>
              <w:rPr>
                <w:rFonts w:hint="eastAsia" w:ascii="宋体" w:hAnsi="宋体" w:cs="宋体"/>
                <w:kern w:val="0"/>
                <w:sz w:val="24"/>
                <w:highlight w:val="none"/>
                <w:shd w:val="clear" w:color="auto" w:fill="auto"/>
              </w:rPr>
              <w:t>注：需提供由中国合格评定国家认可委员会授权的实验室认可证书和CNAS官网查询截图作为证明材料，否则不得</w:t>
            </w:r>
            <w:r>
              <w:rPr>
                <w:rFonts w:hint="eastAsia" w:ascii="宋体" w:hAnsi="宋体" w:cs="宋体"/>
                <w:color w:val="000000"/>
                <w:sz w:val="24"/>
                <w:szCs w:val="24"/>
                <w:highlight w:val="none"/>
                <w:shd w:val="clear" w:color="auto" w:fill="auto"/>
              </w:rPr>
              <w:t>；提供与电动汽车充换电系统无关的实验室及证明材料不得分。</w:t>
            </w:r>
            <w:r>
              <w:rPr>
                <w:rFonts w:hint="eastAsia" w:ascii="宋体" w:hAnsi="宋体" w:cs="宋体"/>
                <w:b/>
                <w:bCs/>
                <w:kern w:val="0"/>
                <w:sz w:val="24"/>
                <w:highlight w:val="none"/>
                <w:shd w:val="clear" w:color="auto" w:fill="auto"/>
              </w:rPr>
              <w:t>（本项满分</w:t>
            </w:r>
            <w:r>
              <w:rPr>
                <w:rFonts w:hint="eastAsia" w:ascii="宋体" w:hAnsi="宋体" w:cs="宋体"/>
                <w:b/>
                <w:bCs/>
                <w:kern w:val="0"/>
                <w:sz w:val="24"/>
                <w:highlight w:val="none"/>
                <w:shd w:val="clear" w:color="auto" w:fill="auto"/>
                <w:lang w:val="en-US" w:eastAsia="zh-CN"/>
              </w:rPr>
              <w:t>3</w:t>
            </w:r>
            <w:r>
              <w:rPr>
                <w:rFonts w:hint="eastAsia" w:ascii="宋体" w:hAnsi="宋体" w:cs="宋体"/>
                <w:b/>
                <w:bCs/>
                <w:kern w:val="0"/>
                <w:sz w:val="24"/>
                <w:highlight w:val="none"/>
                <w:shd w:val="clear" w:color="auto" w:fill="auto"/>
              </w:rPr>
              <w:t>分）</w:t>
            </w:r>
          </w:p>
        </w:tc>
        <w:tc>
          <w:tcPr>
            <w:tcW w:w="852" w:type="dxa"/>
            <w:vAlign w:val="center"/>
          </w:tcPr>
          <w:p>
            <w:pPr>
              <w:adjustRightInd w:val="0"/>
              <w:snapToGrid w:val="0"/>
              <w:spacing w:line="540" w:lineRule="exact"/>
              <w:jc w:val="center"/>
              <w:rPr>
                <w:rFonts w:hint="eastAsia" w:ascii="宋体" w:hAnsi="宋体" w:eastAsia="宋体" w:cs="宋体"/>
                <w:kern w:val="0"/>
                <w:sz w:val="24"/>
                <w:szCs w:val="24"/>
                <w:highlight w:val="none"/>
                <w:shd w:val="clear" w:color="auto" w:fill="auto"/>
                <w:lang w:eastAsia="zh-CN"/>
              </w:rPr>
            </w:pPr>
            <w:r>
              <w:rPr>
                <w:rFonts w:hint="eastAsia" w:ascii="宋体" w:hAnsi="宋体" w:cs="宋体"/>
                <w:kern w:val="0"/>
                <w:sz w:val="24"/>
                <w:szCs w:val="24"/>
                <w:highlight w:val="none"/>
                <w:shd w:val="clear" w:color="auto" w:fill="auto"/>
                <w:lang w:val="en-US" w:eastAsia="zh-CN"/>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523" w:type="dxa"/>
            <w:vAlign w:val="center"/>
          </w:tcPr>
          <w:p>
            <w:pPr>
              <w:adjustRightInd w:val="0"/>
              <w:snapToGrid w:val="0"/>
              <w:spacing w:line="540" w:lineRule="exact"/>
              <w:jc w:val="center"/>
              <w:rPr>
                <w:rFonts w:ascii="宋体" w:hAnsi="宋体" w:cs="宋体"/>
                <w:b/>
                <w:bCs/>
                <w:kern w:val="0"/>
                <w:sz w:val="24"/>
                <w:highlight w:val="none"/>
                <w:shd w:val="clear" w:color="auto" w:fill="auto"/>
              </w:rPr>
            </w:pPr>
            <w:r>
              <w:rPr>
                <w:rFonts w:hint="eastAsia" w:ascii="宋体" w:hAnsi="宋体" w:cs="宋体"/>
                <w:b/>
                <w:bCs/>
                <w:kern w:val="0"/>
                <w:sz w:val="24"/>
                <w:highlight w:val="none"/>
                <w:shd w:val="clear" w:color="auto" w:fill="auto"/>
              </w:rPr>
              <w:t>B</w:t>
            </w:r>
            <w:r>
              <w:rPr>
                <w:rFonts w:hint="eastAsia" w:ascii="宋体" w:hAnsi="宋体" w:cs="宋体"/>
                <w:b/>
                <w:bCs/>
                <w:kern w:val="0"/>
                <w:sz w:val="24"/>
                <w:highlight w:val="none"/>
                <w:shd w:val="clear" w:color="auto" w:fill="auto"/>
                <w:lang w:val="en-US" w:eastAsia="zh-CN"/>
              </w:rPr>
              <w:t>9</w:t>
            </w:r>
            <w:r>
              <w:rPr>
                <w:rFonts w:hint="eastAsia" w:ascii="宋体" w:hAnsi="宋体" w:cs="宋体"/>
                <w:b/>
                <w:bCs/>
                <w:kern w:val="0"/>
                <w:sz w:val="24"/>
                <w:highlight w:val="none"/>
                <w:shd w:val="clear" w:color="auto" w:fill="auto"/>
              </w:rPr>
              <w:t>评分项</w:t>
            </w:r>
          </w:p>
        </w:tc>
        <w:tc>
          <w:tcPr>
            <w:tcW w:w="7355" w:type="dxa"/>
            <w:vAlign w:val="center"/>
          </w:tcPr>
          <w:p>
            <w:pPr>
              <w:tabs>
                <w:tab w:val="left" w:pos="1080"/>
              </w:tabs>
              <w:spacing w:line="360" w:lineRule="auto"/>
              <w:ind w:firstLine="480" w:firstLineChars="200"/>
              <w:rPr>
                <w:rFonts w:hint="eastAsia" w:ascii="宋体" w:hAnsi="宋体" w:eastAsia="宋体" w:cs="宋体"/>
                <w:color w:val="000000"/>
                <w:sz w:val="24"/>
                <w:highlight w:val="none"/>
                <w:shd w:val="clear" w:color="auto" w:fill="auto"/>
                <w:lang w:eastAsia="zh-CN"/>
              </w:rPr>
            </w:pPr>
            <w:r>
              <w:rPr>
                <w:rFonts w:hint="eastAsia" w:ascii="宋体" w:hAnsi="宋体" w:cs="宋体"/>
                <w:color w:val="000000"/>
                <w:sz w:val="24"/>
                <w:highlight w:val="none"/>
                <w:shd w:val="clear" w:color="auto" w:fill="auto"/>
                <w:lang w:val="en-US" w:eastAsia="zh-CN"/>
              </w:rPr>
              <w:t>投标人或</w:t>
            </w:r>
            <w:r>
              <w:rPr>
                <w:rFonts w:hint="eastAsia" w:ascii="宋体" w:hAnsi="宋体" w:cs="宋体"/>
                <w:color w:val="000000"/>
                <w:sz w:val="24"/>
                <w:highlight w:val="none"/>
                <w:shd w:val="clear" w:color="auto" w:fill="auto"/>
              </w:rPr>
              <w:t>充电桩制造商自20</w:t>
            </w:r>
            <w:r>
              <w:rPr>
                <w:rFonts w:ascii="宋体" w:hAnsi="宋体" w:cs="宋体"/>
                <w:color w:val="000000"/>
                <w:sz w:val="24"/>
                <w:highlight w:val="none"/>
                <w:shd w:val="clear" w:color="auto" w:fill="auto"/>
              </w:rPr>
              <w:t>19</w:t>
            </w:r>
            <w:r>
              <w:rPr>
                <w:rFonts w:hint="eastAsia" w:ascii="宋体" w:hAnsi="宋体" w:cs="宋体"/>
                <w:color w:val="000000"/>
                <w:sz w:val="24"/>
                <w:highlight w:val="none"/>
                <w:shd w:val="clear" w:color="auto" w:fill="auto"/>
              </w:rPr>
              <w:t>年至今，具有</w:t>
            </w:r>
            <w:r>
              <w:rPr>
                <w:rFonts w:ascii="宋体" w:hAnsi="宋体" w:cs="宋体"/>
                <w:color w:val="000000"/>
                <w:sz w:val="24"/>
                <w:highlight w:val="none"/>
                <w:shd w:val="clear" w:color="auto" w:fill="auto"/>
              </w:rPr>
              <w:t>300</w:t>
            </w:r>
            <w:r>
              <w:rPr>
                <w:rFonts w:hint="eastAsia" w:ascii="宋体" w:hAnsi="宋体" w:cs="宋体"/>
                <w:color w:val="000000"/>
                <w:sz w:val="24"/>
                <w:highlight w:val="none"/>
                <w:shd w:val="clear" w:color="auto" w:fill="auto"/>
              </w:rPr>
              <w:t>万以上公交领域的充电桩业绩，有一个得</w:t>
            </w:r>
            <w:r>
              <w:rPr>
                <w:rFonts w:hint="eastAsia" w:ascii="宋体" w:hAnsi="宋体" w:cs="宋体"/>
                <w:color w:val="000000"/>
                <w:sz w:val="24"/>
                <w:highlight w:val="none"/>
                <w:shd w:val="clear" w:color="auto" w:fill="auto"/>
                <w:lang w:val="en-US" w:eastAsia="zh-CN"/>
              </w:rPr>
              <w:t>0.5</w:t>
            </w:r>
            <w:r>
              <w:rPr>
                <w:rFonts w:hint="eastAsia" w:ascii="宋体" w:hAnsi="宋体" w:cs="宋体"/>
                <w:color w:val="000000"/>
                <w:sz w:val="24"/>
                <w:highlight w:val="none"/>
                <w:shd w:val="clear" w:color="auto" w:fill="auto"/>
              </w:rPr>
              <w:t>分，最高得</w:t>
            </w:r>
            <w:r>
              <w:rPr>
                <w:rFonts w:hint="eastAsia" w:ascii="宋体" w:hAnsi="宋体" w:cs="宋体"/>
                <w:color w:val="000000"/>
                <w:sz w:val="24"/>
                <w:highlight w:val="none"/>
                <w:shd w:val="clear" w:color="auto" w:fill="auto"/>
                <w:lang w:val="en-US" w:eastAsia="zh-CN"/>
              </w:rPr>
              <w:t>2</w:t>
            </w:r>
            <w:r>
              <w:rPr>
                <w:rFonts w:hint="eastAsia" w:ascii="宋体" w:hAnsi="宋体" w:cs="宋体"/>
                <w:color w:val="000000"/>
                <w:sz w:val="24"/>
                <w:highlight w:val="none"/>
                <w:shd w:val="clear" w:color="auto" w:fill="auto"/>
              </w:rPr>
              <w:t>分</w:t>
            </w:r>
            <w:r>
              <w:rPr>
                <w:rFonts w:hint="eastAsia" w:ascii="宋体" w:hAnsi="宋体" w:cs="宋体"/>
                <w:color w:val="000000"/>
                <w:sz w:val="24"/>
                <w:highlight w:val="none"/>
                <w:shd w:val="clear" w:color="auto" w:fill="auto"/>
                <w:lang w:eastAsia="zh-CN"/>
              </w:rPr>
              <w:t>。</w:t>
            </w:r>
          </w:p>
          <w:p>
            <w:pPr>
              <w:adjustRightInd w:val="0"/>
              <w:snapToGrid w:val="0"/>
              <w:spacing w:line="540" w:lineRule="exact"/>
              <w:ind w:firstLine="480" w:firstLineChars="200"/>
              <w:jc w:val="left"/>
              <w:rPr>
                <w:rFonts w:ascii="宋体" w:hAnsi="宋体" w:cs="宋体"/>
                <w:kern w:val="0"/>
                <w:sz w:val="24"/>
                <w:highlight w:val="none"/>
                <w:shd w:val="clear" w:color="auto" w:fill="auto"/>
              </w:rPr>
            </w:pPr>
            <w:r>
              <w:rPr>
                <w:rFonts w:hint="eastAsia" w:ascii="宋体" w:hAnsi="宋体" w:cs="宋体"/>
                <w:color w:val="000000"/>
                <w:sz w:val="24"/>
                <w:highlight w:val="none"/>
                <w:shd w:val="clear" w:color="auto" w:fill="auto"/>
                <w:lang w:val="en-US" w:eastAsia="zh-CN"/>
              </w:rPr>
              <w:t>备</w:t>
            </w:r>
            <w:r>
              <w:rPr>
                <w:rFonts w:hint="eastAsia" w:ascii="宋体" w:hAnsi="宋体" w:cs="宋体"/>
                <w:color w:val="000000"/>
                <w:sz w:val="24"/>
                <w:highlight w:val="none"/>
                <w:shd w:val="clear" w:color="auto" w:fill="auto"/>
              </w:rPr>
              <w:t>注：</w:t>
            </w:r>
            <w:r>
              <w:rPr>
                <w:rFonts w:hint="eastAsia" w:ascii="宋体" w:hAnsi="宋体" w:cs="宋体"/>
                <w:color w:val="000000"/>
                <w:sz w:val="24"/>
                <w:highlight w:val="none"/>
                <w:shd w:val="clear" w:color="auto" w:fill="auto"/>
                <w:lang w:val="en-US" w:eastAsia="zh-CN"/>
              </w:rPr>
              <w:t>投标人</w:t>
            </w:r>
            <w:r>
              <w:rPr>
                <w:rFonts w:hint="eastAsia" w:ascii="宋体" w:hAnsi="宋体" w:cs="宋体"/>
                <w:color w:val="000000"/>
                <w:sz w:val="24"/>
                <w:highlight w:val="none"/>
                <w:shd w:val="clear" w:color="auto" w:fill="auto"/>
              </w:rPr>
              <w:t>需提供证明材料，证明材</w:t>
            </w:r>
            <w:r>
              <w:rPr>
                <w:rFonts w:hint="eastAsia" w:ascii="宋体" w:hAnsi="宋体" w:cs="宋体"/>
                <w:color w:val="000000"/>
                <w:sz w:val="24"/>
                <w:highlight w:val="none"/>
                <w:shd w:val="clear" w:color="auto" w:fill="auto"/>
                <w:lang w:val="en-US" w:eastAsia="zh-CN"/>
              </w:rPr>
              <w:t xml:space="preserve"> </w:t>
            </w:r>
            <w:r>
              <w:rPr>
                <w:rFonts w:hint="eastAsia" w:ascii="宋体" w:hAnsi="宋体" w:cs="宋体"/>
                <w:color w:val="000000"/>
                <w:sz w:val="24"/>
                <w:highlight w:val="none"/>
                <w:shd w:val="clear" w:color="auto" w:fill="auto"/>
              </w:rPr>
              <w:t>料需包括业绩合同复印件、中标通知书复印件、中标公示网址、中标公示网站截图，否则不得分。</w:t>
            </w:r>
            <w:r>
              <w:rPr>
                <w:rFonts w:hint="eastAsia" w:ascii="宋体" w:hAnsi="宋体" w:cs="宋体"/>
                <w:b/>
                <w:bCs/>
                <w:kern w:val="0"/>
                <w:sz w:val="24"/>
                <w:highlight w:val="none"/>
                <w:shd w:val="clear" w:color="auto" w:fill="auto"/>
              </w:rPr>
              <w:t>（本项满分</w:t>
            </w:r>
            <w:r>
              <w:rPr>
                <w:rFonts w:hint="eastAsia" w:ascii="宋体" w:hAnsi="宋体" w:cs="宋体"/>
                <w:b/>
                <w:bCs/>
                <w:kern w:val="0"/>
                <w:sz w:val="24"/>
                <w:highlight w:val="none"/>
                <w:shd w:val="clear" w:color="auto" w:fill="auto"/>
                <w:lang w:val="en-US" w:eastAsia="zh-CN"/>
              </w:rPr>
              <w:t>2</w:t>
            </w:r>
            <w:r>
              <w:rPr>
                <w:rFonts w:hint="eastAsia" w:ascii="宋体" w:hAnsi="宋体" w:cs="宋体"/>
                <w:b/>
                <w:bCs/>
                <w:kern w:val="0"/>
                <w:sz w:val="24"/>
                <w:highlight w:val="none"/>
                <w:shd w:val="clear" w:color="auto" w:fill="auto"/>
              </w:rPr>
              <w:t>分）</w:t>
            </w:r>
          </w:p>
        </w:tc>
        <w:tc>
          <w:tcPr>
            <w:tcW w:w="852" w:type="dxa"/>
            <w:vAlign w:val="center"/>
          </w:tcPr>
          <w:p>
            <w:pPr>
              <w:adjustRightInd w:val="0"/>
              <w:snapToGrid w:val="0"/>
              <w:spacing w:line="540" w:lineRule="exact"/>
              <w:jc w:val="center"/>
              <w:rPr>
                <w:rFonts w:hint="eastAsia" w:ascii="宋体" w:hAnsi="宋体" w:eastAsia="宋体" w:cs="宋体"/>
                <w:kern w:val="0"/>
                <w:sz w:val="24"/>
                <w:szCs w:val="24"/>
                <w:highlight w:val="none"/>
                <w:shd w:val="clear" w:color="auto" w:fill="auto"/>
                <w:lang w:eastAsia="zh-CN"/>
              </w:rPr>
            </w:pPr>
            <w:r>
              <w:rPr>
                <w:rFonts w:hint="eastAsia" w:ascii="宋体" w:hAnsi="宋体" w:cs="宋体"/>
                <w:kern w:val="0"/>
                <w:sz w:val="24"/>
                <w:szCs w:val="24"/>
                <w:highlight w:val="none"/>
                <w:shd w:val="clear" w:color="auto" w:fill="auto"/>
                <w:lang w:val="en-US" w:eastAsia="zh-CN"/>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523" w:type="dxa"/>
            <w:vAlign w:val="center"/>
          </w:tcPr>
          <w:p>
            <w:pPr>
              <w:adjustRightInd w:val="0"/>
              <w:snapToGrid w:val="0"/>
              <w:spacing w:line="540" w:lineRule="exact"/>
              <w:jc w:val="center"/>
              <w:rPr>
                <w:rFonts w:hint="eastAsia" w:ascii="宋体" w:hAnsi="宋体" w:cs="宋体"/>
                <w:b/>
                <w:bCs/>
                <w:kern w:val="0"/>
                <w:sz w:val="24"/>
                <w:highlight w:val="none"/>
                <w:shd w:val="clear" w:color="auto" w:fill="auto"/>
              </w:rPr>
            </w:pPr>
            <w:r>
              <w:rPr>
                <w:rFonts w:hint="eastAsia" w:ascii="宋体" w:hAnsi="宋体" w:cs="宋体"/>
                <w:b/>
                <w:bCs/>
                <w:kern w:val="0"/>
                <w:sz w:val="24"/>
                <w:highlight w:val="none"/>
                <w:shd w:val="clear" w:color="auto" w:fill="auto"/>
              </w:rPr>
              <w:t>B</w:t>
            </w:r>
            <w:r>
              <w:rPr>
                <w:rFonts w:hint="eastAsia" w:ascii="宋体" w:hAnsi="宋体" w:cs="宋体"/>
                <w:b/>
                <w:bCs/>
                <w:kern w:val="0"/>
                <w:sz w:val="24"/>
                <w:highlight w:val="none"/>
                <w:shd w:val="clear" w:color="auto" w:fill="auto"/>
                <w:lang w:val="en-US" w:eastAsia="zh-CN"/>
              </w:rPr>
              <w:t>10</w:t>
            </w:r>
            <w:r>
              <w:rPr>
                <w:rFonts w:hint="eastAsia" w:ascii="宋体" w:hAnsi="宋体" w:cs="宋体"/>
                <w:b/>
                <w:bCs/>
                <w:kern w:val="0"/>
                <w:sz w:val="24"/>
                <w:highlight w:val="none"/>
                <w:shd w:val="clear" w:color="auto" w:fill="auto"/>
              </w:rPr>
              <w:t>评分项</w:t>
            </w:r>
          </w:p>
        </w:tc>
        <w:tc>
          <w:tcPr>
            <w:tcW w:w="7355" w:type="dxa"/>
            <w:vAlign w:val="center"/>
          </w:tcPr>
          <w:p>
            <w:pPr>
              <w:adjustRightInd w:val="0"/>
              <w:snapToGrid w:val="0"/>
              <w:spacing w:line="540" w:lineRule="exact"/>
              <w:ind w:firstLine="480" w:firstLineChars="200"/>
              <w:jc w:val="left"/>
              <w:rPr>
                <w:rFonts w:hint="eastAsia" w:ascii="宋体" w:hAnsi="宋体" w:cs="宋体"/>
                <w:kern w:val="0"/>
                <w:sz w:val="24"/>
                <w:highlight w:val="none"/>
                <w:shd w:val="clear" w:color="auto" w:fill="auto"/>
              </w:rPr>
            </w:pPr>
            <w:r>
              <w:rPr>
                <w:rFonts w:hint="eastAsia" w:ascii="宋体" w:hAnsi="宋体" w:cs="宋体"/>
                <w:kern w:val="0"/>
                <w:sz w:val="24"/>
                <w:highlight w:val="none"/>
                <w:shd w:val="clear" w:color="auto" w:fill="auto"/>
              </w:rPr>
              <w:t>根据各投标人提供的售后服务响应方案（重点阐述对招标文件要求的售后服务承诺情况、包括具体的售后服务内容、售后服务机构设置的便捷性、故障响应方式、时间，承诺维修人员到达现场时间等方面）情况，由评委进行评分：售后服务承诺详尽、合理、完善，故障响应时间短，服务承诺优于招标文件要求且最有利于采购人的得</w:t>
            </w:r>
            <w:r>
              <w:rPr>
                <w:rFonts w:hint="eastAsia" w:ascii="宋体" w:hAnsi="宋体" w:cs="宋体"/>
                <w:kern w:val="0"/>
                <w:sz w:val="24"/>
                <w:highlight w:val="none"/>
                <w:shd w:val="clear" w:color="auto" w:fill="auto"/>
                <w:lang w:val="en-US" w:eastAsia="zh-CN"/>
              </w:rPr>
              <w:t>3</w:t>
            </w:r>
            <w:r>
              <w:rPr>
                <w:rFonts w:hint="eastAsia" w:ascii="宋体" w:hAnsi="宋体" w:cs="宋体"/>
                <w:kern w:val="0"/>
                <w:sz w:val="24"/>
                <w:highlight w:val="none"/>
                <w:shd w:val="clear" w:color="auto" w:fill="auto"/>
              </w:rPr>
              <w:t>分，售后服务承诺完整 、总体合理、服务承诺优于招标文件且有价值的得</w:t>
            </w:r>
            <w:r>
              <w:rPr>
                <w:rFonts w:hint="eastAsia" w:ascii="宋体" w:hAnsi="宋体" w:cs="宋体"/>
                <w:kern w:val="0"/>
                <w:sz w:val="24"/>
                <w:highlight w:val="none"/>
                <w:shd w:val="clear" w:color="auto" w:fill="auto"/>
                <w:lang w:val="en-US" w:eastAsia="zh-CN"/>
              </w:rPr>
              <w:t>1</w:t>
            </w:r>
            <w:r>
              <w:rPr>
                <w:rFonts w:hint="eastAsia" w:ascii="宋体" w:hAnsi="宋体" w:cs="宋体"/>
                <w:kern w:val="0"/>
                <w:sz w:val="24"/>
                <w:highlight w:val="none"/>
                <w:shd w:val="clear" w:color="auto" w:fill="auto"/>
              </w:rPr>
              <w:t>分，有提供售后服务承诺，基本满足招标文件要求的得0.5分；方案不合理或未提供方案的不得分。</w:t>
            </w:r>
            <w:r>
              <w:rPr>
                <w:rFonts w:hint="eastAsia" w:ascii="宋体" w:hAnsi="宋体" w:cs="宋体"/>
                <w:b/>
                <w:bCs/>
                <w:kern w:val="0"/>
                <w:sz w:val="24"/>
                <w:highlight w:val="none"/>
                <w:shd w:val="clear" w:color="auto" w:fill="auto"/>
              </w:rPr>
              <w:t>（本项满分</w:t>
            </w:r>
            <w:r>
              <w:rPr>
                <w:rFonts w:hint="eastAsia" w:ascii="宋体" w:hAnsi="宋体" w:cs="宋体"/>
                <w:b/>
                <w:bCs/>
                <w:kern w:val="0"/>
                <w:sz w:val="24"/>
                <w:highlight w:val="none"/>
                <w:shd w:val="clear" w:color="auto" w:fill="auto"/>
                <w:lang w:val="en-US" w:eastAsia="zh-CN"/>
              </w:rPr>
              <w:t>3</w:t>
            </w:r>
            <w:r>
              <w:rPr>
                <w:rFonts w:hint="eastAsia" w:ascii="宋体" w:hAnsi="宋体" w:cs="宋体"/>
                <w:b/>
                <w:bCs/>
                <w:kern w:val="0"/>
                <w:sz w:val="24"/>
                <w:highlight w:val="none"/>
                <w:shd w:val="clear" w:color="auto" w:fill="auto"/>
              </w:rPr>
              <w:t>分）</w:t>
            </w:r>
          </w:p>
        </w:tc>
        <w:tc>
          <w:tcPr>
            <w:tcW w:w="852" w:type="dxa"/>
            <w:vAlign w:val="center"/>
          </w:tcPr>
          <w:p>
            <w:pPr>
              <w:adjustRightInd w:val="0"/>
              <w:snapToGrid w:val="0"/>
              <w:spacing w:line="540" w:lineRule="exact"/>
              <w:jc w:val="center"/>
              <w:rPr>
                <w:rFonts w:hint="default" w:ascii="宋体" w:hAnsi="宋体" w:cs="宋体"/>
                <w:kern w:val="0"/>
                <w:sz w:val="24"/>
                <w:szCs w:val="24"/>
                <w:highlight w:val="none"/>
                <w:shd w:val="clear" w:color="auto" w:fill="auto"/>
                <w:lang w:val="en-US" w:eastAsia="zh-CN"/>
              </w:rPr>
            </w:pPr>
            <w:r>
              <w:rPr>
                <w:rFonts w:hint="eastAsia" w:ascii="宋体" w:hAnsi="宋体" w:cs="宋体"/>
                <w:kern w:val="0"/>
                <w:sz w:val="24"/>
                <w:szCs w:val="24"/>
                <w:highlight w:val="none"/>
                <w:shd w:val="clear" w:color="auto" w:fill="auto"/>
                <w:lang w:val="en-US" w:eastAsia="zh-CN"/>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60" w:hRule="atLeast"/>
        </w:trPr>
        <w:tc>
          <w:tcPr>
            <w:tcW w:w="9730" w:type="dxa"/>
            <w:gridSpan w:val="3"/>
            <w:vAlign w:val="center"/>
          </w:tcPr>
          <w:p>
            <w:pPr>
              <w:adjustRightInd w:val="0"/>
              <w:snapToGrid w:val="0"/>
              <w:spacing w:line="540" w:lineRule="exact"/>
              <w:ind w:firstLine="482" w:firstLineChars="200"/>
              <w:jc w:val="left"/>
              <w:rPr>
                <w:rFonts w:ascii="宋体" w:hAnsi="宋体" w:cs="宋体"/>
                <w:b/>
                <w:sz w:val="24"/>
                <w:szCs w:val="24"/>
                <w:highlight w:val="none"/>
                <w:shd w:val="clear" w:color="auto" w:fill="auto"/>
              </w:rPr>
            </w:pPr>
            <w:r>
              <w:rPr>
                <w:rFonts w:hint="eastAsia" w:ascii="宋体" w:hAnsi="宋体" w:cs="宋体"/>
                <w:b/>
                <w:sz w:val="24"/>
                <w:szCs w:val="24"/>
                <w:highlight w:val="none"/>
                <w:shd w:val="clear" w:color="auto" w:fill="auto"/>
              </w:rPr>
              <w:t>商务评分备注说明：</w:t>
            </w:r>
          </w:p>
          <w:p>
            <w:pPr>
              <w:adjustRightInd w:val="0"/>
              <w:snapToGrid w:val="0"/>
              <w:spacing w:line="540" w:lineRule="exact"/>
              <w:ind w:firstLine="482" w:firstLineChars="200"/>
              <w:rPr>
                <w:rFonts w:ascii="宋体" w:hAnsi="宋体" w:cs="宋体"/>
                <w:b/>
                <w:kern w:val="0"/>
                <w:sz w:val="24"/>
                <w:szCs w:val="24"/>
                <w:highlight w:val="none"/>
                <w:shd w:val="clear" w:color="auto" w:fill="auto"/>
              </w:rPr>
            </w:pPr>
            <w:r>
              <w:rPr>
                <w:rFonts w:hint="eastAsia" w:cs="宋体"/>
                <w:b/>
                <w:sz w:val="24"/>
                <w:szCs w:val="24"/>
                <w:highlight w:val="none"/>
                <w:shd w:val="clear" w:color="auto" w:fill="auto"/>
              </w:rPr>
              <w:t>①、评标委员会对投标人所提供的商务评分文件负审核责任。在评标过程中乃至确定中标人后，如发现投标人所提供的文件不合法或不真实，仍可废除中标人中标资格并追究中标人的法律责任。</w:t>
            </w:r>
            <w:r>
              <w:rPr>
                <w:rFonts w:hint="eastAsia" w:ascii="宋体" w:hAnsi="宋体" w:cs="宋体"/>
                <w:b/>
                <w:sz w:val="24"/>
                <w:szCs w:val="24"/>
                <w:highlight w:val="none"/>
                <w:shd w:val="clear" w:color="auto" w:fill="auto"/>
              </w:rPr>
              <w:t xml:space="preserve">   </w:t>
            </w:r>
          </w:p>
        </w:tc>
      </w:tr>
    </w:tbl>
    <w:p>
      <w:pPr>
        <w:pStyle w:val="17"/>
        <w:spacing w:line="540" w:lineRule="exact"/>
        <w:rPr>
          <w:rFonts w:ascii="宋体" w:eastAsia="宋体" w:cs="宋体"/>
          <w:b/>
          <w:bCs/>
          <w:highlight w:val="none"/>
        </w:rPr>
      </w:pPr>
    </w:p>
    <w:p>
      <w:pPr>
        <w:pStyle w:val="17"/>
        <w:spacing w:line="540" w:lineRule="exact"/>
        <w:rPr>
          <w:rFonts w:ascii="宋体"/>
          <w:b/>
          <w:highlight w:val="none"/>
        </w:rPr>
      </w:pPr>
      <w:r>
        <w:rPr>
          <w:rFonts w:hint="eastAsia" w:ascii="宋体" w:eastAsia="宋体" w:cs="宋体"/>
          <w:b/>
          <w:bCs/>
          <w:highlight w:val="none"/>
        </w:rPr>
        <w:t>PF项：报价部分评分（满分</w:t>
      </w:r>
      <w:r>
        <w:rPr>
          <w:rFonts w:hint="eastAsia" w:ascii="宋体" w:eastAsia="宋体" w:cs="宋体"/>
          <w:b/>
          <w:bCs/>
          <w:highlight w:val="none"/>
          <w:lang w:val="en-US" w:eastAsia="zh-CN"/>
        </w:rPr>
        <w:t>30</w:t>
      </w:r>
      <w:r>
        <w:rPr>
          <w:rFonts w:hint="eastAsia" w:ascii="宋体" w:eastAsia="宋体" w:cs="宋体"/>
          <w:b/>
          <w:bCs/>
          <w:highlight w:val="none"/>
        </w:rPr>
        <w:t>分）</w:t>
      </w:r>
    </w:p>
    <w:p>
      <w:pPr>
        <w:spacing w:line="400" w:lineRule="exact"/>
        <w:jc w:val="center"/>
        <w:rPr>
          <w:rFonts w:hint="eastAsia" w:ascii="宋体" w:hAnsi="宋体" w:cs="宋体"/>
          <w:b/>
          <w:bCs/>
          <w:sz w:val="24"/>
          <w:szCs w:val="24"/>
          <w:highlight w:val="none"/>
        </w:rPr>
      </w:pPr>
    </w:p>
    <w:tbl>
      <w:tblPr>
        <w:tblStyle w:val="31"/>
        <w:tblW w:w="9735" w:type="dxa"/>
        <w:tblInd w:w="-36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785"/>
        <w:gridCol w:w="6720"/>
        <w:gridCol w:w="12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tblHeader/>
        </w:trPr>
        <w:tc>
          <w:tcPr>
            <w:tcW w:w="1785" w:type="dxa"/>
            <w:vAlign w:val="center"/>
          </w:tcPr>
          <w:p>
            <w:pPr>
              <w:widowControl/>
              <w:spacing w:line="540" w:lineRule="exact"/>
              <w:jc w:val="center"/>
              <w:rPr>
                <w:rFonts w:ascii="宋体" w:hAnsi="宋体" w:cs="宋体"/>
                <w:b/>
                <w:bCs/>
                <w:kern w:val="0"/>
                <w:sz w:val="24"/>
                <w:highlight w:val="none"/>
                <w:shd w:val="clear" w:color="auto" w:fill="auto"/>
              </w:rPr>
            </w:pPr>
            <w:r>
              <w:rPr>
                <w:rFonts w:hint="eastAsia" w:ascii="宋体" w:hAnsi="宋体" w:cs="宋体"/>
                <w:b/>
                <w:bCs/>
                <w:kern w:val="0"/>
                <w:sz w:val="24"/>
                <w:highlight w:val="none"/>
                <w:shd w:val="clear" w:color="auto" w:fill="auto"/>
              </w:rPr>
              <w:t>报价评分项</w:t>
            </w:r>
          </w:p>
        </w:tc>
        <w:tc>
          <w:tcPr>
            <w:tcW w:w="6720" w:type="dxa"/>
            <w:vAlign w:val="center"/>
          </w:tcPr>
          <w:p>
            <w:pPr>
              <w:widowControl/>
              <w:spacing w:line="540" w:lineRule="exact"/>
              <w:jc w:val="center"/>
              <w:rPr>
                <w:rFonts w:ascii="宋体" w:hAnsi="宋体" w:cs="宋体"/>
                <w:b/>
                <w:bCs/>
                <w:kern w:val="0"/>
                <w:sz w:val="24"/>
                <w:highlight w:val="none"/>
                <w:shd w:val="clear" w:color="auto" w:fill="auto"/>
              </w:rPr>
            </w:pPr>
            <w:r>
              <w:rPr>
                <w:rFonts w:ascii="宋体" w:hAnsi="宋体" w:cs="宋体"/>
                <w:b/>
                <w:bCs/>
                <w:kern w:val="0"/>
                <w:sz w:val="24"/>
                <w:highlight w:val="none"/>
                <w:shd w:val="clear" w:color="auto" w:fill="auto"/>
              </w:rPr>
              <w:t>评</w:t>
            </w:r>
            <w:r>
              <w:rPr>
                <w:rFonts w:hint="eastAsia" w:ascii="宋体" w:hAnsi="宋体" w:cs="宋体"/>
                <w:b/>
                <w:bCs/>
                <w:kern w:val="0"/>
                <w:sz w:val="24"/>
                <w:highlight w:val="none"/>
                <w:shd w:val="clear" w:color="auto" w:fill="auto"/>
              </w:rPr>
              <w:t>分</w:t>
            </w:r>
            <w:r>
              <w:rPr>
                <w:rFonts w:ascii="宋体" w:hAnsi="宋体" w:cs="宋体"/>
                <w:b/>
                <w:bCs/>
                <w:kern w:val="0"/>
                <w:sz w:val="24"/>
                <w:highlight w:val="none"/>
                <w:shd w:val="clear" w:color="auto" w:fill="auto"/>
              </w:rPr>
              <w:t>方法描述</w:t>
            </w:r>
          </w:p>
        </w:tc>
        <w:tc>
          <w:tcPr>
            <w:tcW w:w="1230" w:type="dxa"/>
            <w:vAlign w:val="center"/>
          </w:tcPr>
          <w:p>
            <w:pPr>
              <w:widowControl/>
              <w:spacing w:line="540" w:lineRule="exact"/>
              <w:jc w:val="center"/>
              <w:rPr>
                <w:rFonts w:ascii="宋体" w:hAnsi="宋体" w:cs="宋体"/>
                <w:b/>
                <w:bCs/>
                <w:kern w:val="0"/>
                <w:sz w:val="24"/>
                <w:highlight w:val="none"/>
                <w:shd w:val="clear" w:color="auto" w:fill="auto"/>
              </w:rPr>
            </w:pPr>
            <w:r>
              <w:rPr>
                <w:rFonts w:hint="eastAsia" w:ascii="宋体" w:hAnsi="宋体" w:cs="宋体"/>
                <w:b/>
                <w:bCs/>
                <w:kern w:val="0"/>
                <w:sz w:val="24"/>
                <w:szCs w:val="24"/>
                <w:highlight w:val="none"/>
                <w:shd w:val="clear" w:color="auto" w:fill="auto"/>
              </w:rPr>
              <w:t>最高得分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tblHeader/>
        </w:trPr>
        <w:tc>
          <w:tcPr>
            <w:tcW w:w="1785" w:type="dxa"/>
            <w:vAlign w:val="center"/>
          </w:tcPr>
          <w:p>
            <w:pPr>
              <w:widowControl/>
              <w:spacing w:line="540" w:lineRule="exact"/>
              <w:jc w:val="center"/>
              <w:rPr>
                <w:rFonts w:ascii="宋体" w:hAnsi="宋体" w:cs="宋体"/>
                <w:kern w:val="0"/>
                <w:sz w:val="24"/>
                <w:highlight w:val="none"/>
                <w:shd w:val="clear" w:color="auto" w:fill="auto"/>
              </w:rPr>
            </w:pPr>
            <w:r>
              <w:rPr>
                <w:rFonts w:hint="eastAsia" w:ascii="宋体" w:hAnsi="宋体" w:cs="宋体"/>
                <w:b/>
                <w:bCs/>
                <w:kern w:val="0"/>
                <w:sz w:val="24"/>
                <w:highlight w:val="none"/>
                <w:shd w:val="clear" w:color="auto" w:fill="auto"/>
              </w:rPr>
              <w:t>F1</w:t>
            </w:r>
          </w:p>
        </w:tc>
        <w:tc>
          <w:tcPr>
            <w:tcW w:w="6720" w:type="dxa"/>
            <w:vAlign w:val="center"/>
          </w:tcPr>
          <w:p>
            <w:pPr>
              <w:widowControl/>
              <w:spacing w:line="540" w:lineRule="exact"/>
              <w:jc w:val="left"/>
              <w:rPr>
                <w:rFonts w:ascii="宋体" w:hAnsi="宋体" w:cs="宋体"/>
                <w:kern w:val="0"/>
                <w:sz w:val="24"/>
                <w:highlight w:val="none"/>
                <w:shd w:val="clear" w:color="auto" w:fill="auto"/>
              </w:rPr>
            </w:pPr>
            <w:r>
              <w:rPr>
                <w:rFonts w:hint="eastAsia" w:ascii="宋体" w:hAnsi="宋体" w:cs="宋体"/>
                <w:kern w:val="0"/>
                <w:sz w:val="24"/>
                <w:highlight w:val="none"/>
                <w:shd w:val="clear" w:color="auto" w:fill="auto"/>
              </w:rPr>
              <w:t>根据投标人的投标报价，评标委员会将按下列公式计算各合格投标人的报价部分得分。</w:t>
            </w:r>
          </w:p>
          <w:p>
            <w:pPr>
              <w:widowControl/>
              <w:spacing w:line="540" w:lineRule="exact"/>
              <w:jc w:val="left"/>
              <w:rPr>
                <w:rFonts w:ascii="宋体" w:hAnsi="宋体" w:cs="宋体"/>
                <w:kern w:val="0"/>
                <w:sz w:val="24"/>
                <w:highlight w:val="none"/>
                <w:shd w:val="clear" w:color="auto" w:fill="auto"/>
              </w:rPr>
            </w:pPr>
            <w:r>
              <w:rPr>
                <w:rFonts w:hint="eastAsia" w:ascii="宋体" w:hAnsi="宋体" w:cs="宋体"/>
                <w:kern w:val="0"/>
                <w:sz w:val="24"/>
                <w:highlight w:val="none"/>
                <w:shd w:val="clear" w:color="auto" w:fill="auto"/>
              </w:rPr>
              <w:t>价格公式：PF=F低/F×</w:t>
            </w:r>
            <w:r>
              <w:rPr>
                <w:rFonts w:hint="eastAsia" w:ascii="宋体" w:hAnsi="宋体" w:cs="宋体"/>
                <w:kern w:val="0"/>
                <w:sz w:val="24"/>
                <w:highlight w:val="none"/>
                <w:shd w:val="clear" w:color="auto" w:fill="auto"/>
                <w:lang w:val="en-US" w:eastAsia="zh-CN"/>
              </w:rPr>
              <w:t>30</w:t>
            </w:r>
            <w:r>
              <w:rPr>
                <w:rFonts w:hint="eastAsia" w:ascii="宋体" w:hAnsi="宋体" w:cs="宋体"/>
                <w:kern w:val="0"/>
                <w:sz w:val="24"/>
                <w:highlight w:val="none"/>
                <w:shd w:val="clear" w:color="auto" w:fill="auto"/>
              </w:rPr>
              <w:t>%×100</w:t>
            </w:r>
          </w:p>
          <w:p>
            <w:pPr>
              <w:widowControl/>
              <w:spacing w:line="540" w:lineRule="exact"/>
              <w:jc w:val="left"/>
              <w:rPr>
                <w:rFonts w:ascii="宋体" w:hAnsi="宋体" w:cs="宋体"/>
                <w:kern w:val="0"/>
                <w:sz w:val="24"/>
                <w:highlight w:val="none"/>
                <w:shd w:val="clear" w:color="auto" w:fill="auto"/>
              </w:rPr>
            </w:pPr>
            <w:r>
              <w:rPr>
                <w:rFonts w:hint="eastAsia" w:ascii="宋体" w:hAnsi="宋体" w:cs="宋体"/>
                <w:kern w:val="0"/>
                <w:sz w:val="24"/>
                <w:highlight w:val="none"/>
                <w:shd w:val="clear" w:color="auto" w:fill="auto"/>
              </w:rPr>
              <w:t>注：①、PF为报价部分得分。②、F低为评标基准价=进入评分的各合格投标人中评审价的最低值。③、F为各合格投标人的评审价。④、计算分数时四舍五入取小数点后两位。</w:t>
            </w:r>
          </w:p>
        </w:tc>
        <w:tc>
          <w:tcPr>
            <w:tcW w:w="1230" w:type="dxa"/>
            <w:vAlign w:val="center"/>
          </w:tcPr>
          <w:p>
            <w:pPr>
              <w:widowControl/>
              <w:spacing w:line="540" w:lineRule="exact"/>
              <w:jc w:val="center"/>
              <w:rPr>
                <w:rFonts w:ascii="宋体" w:hAnsi="宋体" w:cs="宋体"/>
                <w:kern w:val="0"/>
                <w:sz w:val="24"/>
                <w:highlight w:val="none"/>
                <w:shd w:val="clear" w:color="auto" w:fill="auto"/>
              </w:rPr>
            </w:pPr>
            <w:r>
              <w:rPr>
                <w:rFonts w:hint="eastAsia" w:ascii="宋体" w:hAnsi="宋体" w:cs="宋体"/>
                <w:kern w:val="0"/>
                <w:sz w:val="24"/>
                <w:highlight w:val="none"/>
                <w:shd w:val="clear" w:color="auto" w:fill="auto"/>
                <w:lang w:val="en-US" w:eastAsia="zh-CN"/>
              </w:rPr>
              <w:t>3</w:t>
            </w:r>
            <w:r>
              <w:rPr>
                <w:rFonts w:hint="eastAsia" w:ascii="宋体" w:hAnsi="宋体" w:cs="宋体"/>
                <w:kern w:val="0"/>
                <w:sz w:val="24"/>
                <w:highlight w:val="none"/>
                <w:shd w:val="clear" w:color="auto" w:fill="auto"/>
              </w:rPr>
              <w:t>0分</w:t>
            </w:r>
          </w:p>
        </w:tc>
      </w:tr>
    </w:tbl>
    <w:p>
      <w:pPr>
        <w:spacing w:line="400" w:lineRule="exact"/>
        <w:jc w:val="center"/>
        <w:rPr>
          <w:rFonts w:hint="eastAsia" w:ascii="宋体" w:hAnsi="宋体" w:cs="宋体"/>
          <w:b/>
          <w:bCs/>
          <w:sz w:val="24"/>
          <w:szCs w:val="24"/>
          <w:highlight w:val="none"/>
        </w:rPr>
      </w:pPr>
    </w:p>
    <w:p>
      <w:pPr>
        <w:spacing w:line="400" w:lineRule="exact"/>
        <w:jc w:val="center"/>
        <w:rPr>
          <w:rFonts w:hint="eastAsia" w:ascii="宋体" w:hAnsi="宋体" w:cs="宋体"/>
          <w:b/>
          <w:bCs/>
          <w:sz w:val="24"/>
          <w:szCs w:val="24"/>
          <w:highlight w:val="none"/>
        </w:rPr>
      </w:pPr>
    </w:p>
    <w:p>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一、说明</w:t>
      </w:r>
    </w:p>
    <w:p>
      <w:pPr>
        <w:spacing w:line="384" w:lineRule="exact"/>
        <w:rPr>
          <w:rFonts w:ascii="宋体" w:hAnsi="宋体" w:cs="宋体"/>
          <w:sz w:val="24"/>
          <w:szCs w:val="24"/>
          <w:highlight w:val="none"/>
        </w:rPr>
      </w:pPr>
    </w:p>
    <w:p>
      <w:pPr>
        <w:spacing w:line="384" w:lineRule="exact"/>
        <w:rPr>
          <w:rFonts w:ascii="宋体" w:hAnsi="宋体" w:cs="宋体"/>
          <w:sz w:val="24"/>
          <w:szCs w:val="24"/>
          <w:highlight w:val="none"/>
        </w:rPr>
      </w:pPr>
      <w:r>
        <w:rPr>
          <w:rFonts w:hint="eastAsia" w:ascii="宋体" w:hAnsi="宋体" w:cs="宋体"/>
          <w:sz w:val="24"/>
          <w:szCs w:val="24"/>
          <w:highlight w:val="none"/>
        </w:rPr>
        <w:t>1.适用范围</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1.1本招标文件仅适用于投标邀请中所叙述项目的货物、服务采购。</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1.2本项目</w:t>
      </w:r>
      <w:r>
        <w:rPr>
          <w:rFonts w:hint="eastAsia" w:ascii="宋体" w:hAnsi="宋体" w:cs="宋体"/>
          <w:color w:val="000000" w:themeColor="text1"/>
          <w:sz w:val="24"/>
          <w:szCs w:val="24"/>
          <w:highlight w:val="none"/>
          <w14:textFill>
            <w14:solidFill>
              <w14:schemeClr w14:val="tx1"/>
            </w14:solidFill>
          </w14:textFill>
        </w:rPr>
        <w:t>参照《中华人民共和国政府采购法》及相</w:t>
      </w:r>
      <w:r>
        <w:rPr>
          <w:rFonts w:hint="eastAsia" w:ascii="宋体" w:hAnsi="宋体" w:cs="宋体"/>
          <w:sz w:val="24"/>
          <w:szCs w:val="24"/>
          <w:highlight w:val="none"/>
        </w:rPr>
        <w:t>关法规、规章执行。</w:t>
      </w:r>
    </w:p>
    <w:p>
      <w:pPr>
        <w:spacing w:line="384" w:lineRule="exact"/>
        <w:rPr>
          <w:rFonts w:ascii="宋体" w:hAnsi="宋体" w:cs="宋体"/>
          <w:sz w:val="24"/>
          <w:szCs w:val="24"/>
          <w:highlight w:val="none"/>
        </w:rPr>
      </w:pPr>
      <w:r>
        <w:rPr>
          <w:rFonts w:hint="eastAsia" w:ascii="宋体" w:hAnsi="宋体" w:cs="宋体"/>
          <w:sz w:val="24"/>
          <w:szCs w:val="24"/>
          <w:highlight w:val="none"/>
        </w:rPr>
        <w:t>2. 定义</w:t>
      </w:r>
    </w:p>
    <w:p>
      <w:pPr>
        <w:spacing w:line="384" w:lineRule="exact"/>
        <w:ind w:firstLine="480"/>
        <w:rPr>
          <w:rFonts w:ascii="宋体" w:hAnsi="宋体" w:cs="宋体"/>
          <w:sz w:val="24"/>
          <w:szCs w:val="24"/>
          <w:highlight w:val="none"/>
        </w:rPr>
      </w:pPr>
      <w:r>
        <w:rPr>
          <w:rFonts w:hint="eastAsia" w:ascii="宋体" w:hAnsi="宋体" w:cs="宋体"/>
          <w:sz w:val="24"/>
          <w:szCs w:val="24"/>
          <w:highlight w:val="none"/>
        </w:rPr>
        <w:t>2.1“采购人”系指本次采购项目的业主方，见投标人须知前附表。</w:t>
      </w:r>
    </w:p>
    <w:p>
      <w:pPr>
        <w:spacing w:line="384" w:lineRule="exact"/>
        <w:ind w:firstLine="480"/>
        <w:rPr>
          <w:rFonts w:ascii="宋体" w:hAnsi="宋体" w:cs="宋体"/>
          <w:sz w:val="24"/>
          <w:szCs w:val="24"/>
          <w:highlight w:val="none"/>
        </w:rPr>
      </w:pPr>
      <w:r>
        <w:rPr>
          <w:rFonts w:hint="eastAsia" w:ascii="宋体" w:hAnsi="宋体" w:cs="宋体"/>
          <w:sz w:val="24"/>
          <w:szCs w:val="24"/>
          <w:highlight w:val="none"/>
        </w:rPr>
        <w:t>2.2“招标采购单位”系指组织本次招标活动的采购人或招标代理机构。</w:t>
      </w:r>
    </w:p>
    <w:p>
      <w:pPr>
        <w:spacing w:line="384" w:lineRule="exact"/>
        <w:ind w:firstLine="480"/>
        <w:rPr>
          <w:rFonts w:ascii="宋体" w:hAnsi="宋体" w:cs="宋体"/>
          <w:sz w:val="24"/>
          <w:szCs w:val="24"/>
          <w:highlight w:val="none"/>
        </w:rPr>
      </w:pPr>
      <w:r>
        <w:rPr>
          <w:rFonts w:hint="eastAsia" w:ascii="宋体" w:hAnsi="宋体" w:cs="宋体"/>
          <w:sz w:val="24"/>
          <w:szCs w:val="24"/>
          <w:highlight w:val="none"/>
        </w:rPr>
        <w:t>2.3“招标代理机构”系指本次招标采购项目活动组织方，即福建省中达招标代理有限公司。</w:t>
      </w:r>
    </w:p>
    <w:p>
      <w:pPr>
        <w:spacing w:line="384" w:lineRule="exact"/>
        <w:ind w:firstLine="482"/>
        <w:rPr>
          <w:rFonts w:ascii="宋体" w:hAnsi="宋体" w:cs="宋体"/>
          <w:sz w:val="24"/>
          <w:szCs w:val="24"/>
          <w:highlight w:val="none"/>
        </w:rPr>
      </w:pPr>
      <w:r>
        <w:rPr>
          <w:rFonts w:hint="eastAsia" w:ascii="宋体" w:hAnsi="宋体" w:cs="宋体"/>
          <w:sz w:val="24"/>
          <w:szCs w:val="24"/>
          <w:highlight w:val="none"/>
        </w:rPr>
        <w:t>2.4“潜在投标人”指按照招标文件第一章规定进行报名且有意向参加本项目投标的投标人。</w:t>
      </w:r>
    </w:p>
    <w:p>
      <w:pPr>
        <w:spacing w:line="384" w:lineRule="exact"/>
        <w:ind w:firstLine="482"/>
        <w:rPr>
          <w:rFonts w:ascii="宋体" w:hAnsi="宋体" w:cs="宋体"/>
          <w:sz w:val="24"/>
          <w:szCs w:val="24"/>
          <w:highlight w:val="none"/>
        </w:rPr>
      </w:pPr>
      <w:r>
        <w:rPr>
          <w:rFonts w:hint="eastAsia" w:ascii="宋体" w:hAnsi="宋体" w:cs="宋体"/>
          <w:sz w:val="24"/>
          <w:szCs w:val="24"/>
          <w:highlight w:val="none"/>
        </w:rPr>
        <w:t>2.5“投标人”系指按照招标文件第一章规定进行报名并参加本项目投标的投标人。</w:t>
      </w:r>
    </w:p>
    <w:p>
      <w:pPr>
        <w:wordWrap w:val="0"/>
        <w:spacing w:line="384" w:lineRule="exact"/>
        <w:ind w:firstLine="482"/>
        <w:rPr>
          <w:rFonts w:ascii="宋体" w:hAnsi="宋体" w:cs="宋体"/>
          <w:sz w:val="24"/>
          <w:szCs w:val="24"/>
          <w:highlight w:val="none"/>
        </w:rPr>
      </w:pPr>
      <w:r>
        <w:rPr>
          <w:rFonts w:hint="eastAsia" w:ascii="宋体" w:hAnsi="宋体" w:cs="宋体"/>
          <w:sz w:val="24"/>
          <w:szCs w:val="24"/>
          <w:highlight w:val="none"/>
        </w:rPr>
        <w:t>2.6投标人必须从从莆田市行政服务中心网(http://ggzyjy.xzfwzx.putian.gov.cn/fwzx/)上下载招标文件并提交网上投标文件，否则不能参加本次招标投标活动。</w:t>
      </w:r>
    </w:p>
    <w:p>
      <w:pPr>
        <w:spacing w:line="384" w:lineRule="exact"/>
        <w:ind w:firstLine="482"/>
        <w:rPr>
          <w:rFonts w:ascii="宋体" w:hAnsi="宋体" w:cs="宋体"/>
          <w:sz w:val="24"/>
          <w:szCs w:val="24"/>
          <w:highlight w:val="none"/>
        </w:rPr>
      </w:pPr>
      <w:r>
        <w:rPr>
          <w:rFonts w:hint="eastAsia" w:ascii="宋体" w:hAnsi="宋体" w:cs="宋体"/>
          <w:sz w:val="24"/>
          <w:szCs w:val="24"/>
          <w:highlight w:val="none"/>
        </w:rPr>
        <w:t>2.7“单位负责人”指单位法定代表人或法律、法规规定代表单位行使职权的主要负责人。</w:t>
      </w:r>
    </w:p>
    <w:p>
      <w:pPr>
        <w:spacing w:line="384" w:lineRule="exact"/>
        <w:ind w:firstLine="482"/>
        <w:rPr>
          <w:rFonts w:ascii="宋体" w:hAnsi="宋体" w:cs="宋体"/>
          <w:sz w:val="24"/>
          <w:szCs w:val="24"/>
          <w:highlight w:val="none"/>
        </w:rPr>
      </w:pPr>
      <w:r>
        <w:rPr>
          <w:rFonts w:hint="eastAsia" w:ascii="宋体" w:hAnsi="宋体" w:cs="宋体"/>
          <w:sz w:val="24"/>
          <w:szCs w:val="24"/>
          <w:highlight w:val="none"/>
        </w:rPr>
        <w:t>2.8“投标人代表”指投标人的单位负责人或“单位负责人授权书”中载明的接受授权方。</w:t>
      </w:r>
    </w:p>
    <w:p>
      <w:pPr>
        <w:spacing w:line="384" w:lineRule="exact"/>
        <w:ind w:firstLine="480"/>
        <w:rPr>
          <w:rFonts w:ascii="宋体" w:hAnsi="宋体" w:cs="宋体"/>
          <w:sz w:val="24"/>
          <w:szCs w:val="24"/>
          <w:highlight w:val="none"/>
        </w:rPr>
      </w:pPr>
      <w:r>
        <w:rPr>
          <w:rFonts w:hint="eastAsia" w:ascii="宋体" w:hAnsi="宋体" w:cs="宋体"/>
          <w:sz w:val="24"/>
          <w:szCs w:val="24"/>
          <w:highlight w:val="none"/>
        </w:rPr>
        <w:t>2.9解释权：招标采购单位拥有本次招标文件的最终解释权。</w:t>
      </w:r>
    </w:p>
    <w:p>
      <w:pPr>
        <w:spacing w:line="384" w:lineRule="exact"/>
        <w:rPr>
          <w:rFonts w:ascii="宋体" w:hAnsi="宋体" w:cs="宋体"/>
          <w:sz w:val="24"/>
          <w:szCs w:val="24"/>
          <w:highlight w:val="none"/>
        </w:rPr>
      </w:pPr>
      <w:r>
        <w:rPr>
          <w:rFonts w:hint="eastAsia" w:ascii="宋体" w:hAnsi="宋体" w:cs="宋体"/>
          <w:sz w:val="24"/>
          <w:szCs w:val="24"/>
          <w:highlight w:val="none"/>
        </w:rPr>
        <w:t xml:space="preserve">★3.合格的投标人 </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投标人须按投标人须知前附表要求提供资格证明文件。</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3.1凡有能力提供本招标文件所述货物、服务，具有法人资格且不存在行贿犯罪记录的投标人均可能成为合格的投标人：</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3.1.1投标人应具备《中华人民共和国政府采购法》第二十二条规定的条件。</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3.1.2投标人经营活动（包含：生产、销售、运输、安装及维修等）涉及到须经国家行政许可的，应获得许可；投标人应在投标文件中提供通过许可的相关证明文件或证件。</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3.1.3投标人应遵守中国的有关法律、法规和规章的规定。</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3.1.4依法免税或不需要缴纳社会保障资金的投标人，应提供证明其依法免税或不需要缴纳社会保障资金的相应文件。</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3.1.5如资格证明文件经行政部门要求取消或发生变动的，投标人应提供相关说明。</w:t>
      </w:r>
    </w:p>
    <w:p>
      <w:pPr>
        <w:widowControl/>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3.1.6根据《财政部关于在政府采购活动中查询及使用信用记录有关问题的通知》｛财库【2016】125号｝规定，在“中国政府采购网”网站（www.ccgp.gov.cn）-“政府采购严重违法失信行为记录名单”中查询有失信信息记录且在禁止参加政府采购活动处罚期内的投标人以及在“信用中国”网站（www.creditchina.gov.cn）查询到已被列入失信被执行人、重大税收违法案件当事人名单的投标人均不能成为合格的投标人，其投标作无效处理。联合体成员存在不良信用记录的，视同联合体存在不良信用记录。</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3.2如果投标人之间存在下列互为关联关系情形之一的，也不得参加同一合同项下的政府采购活动：</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①法定代表人或单位负责人为同一人；</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②存在直接控股、管理关系的不同投标人；</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③母公司、间接持股50％及以上的被投资公司或均为同一家母公司间接持股50％及以上的被投资公司。</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3.3两个投标人可以组成一个投标联合体，以一个投标人的身份投标。（投标人须知前附表中规定的拒绝联合体投标的项目除外）</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以联合体形式参加投标的，联合体各方均应当符合政府采购法第二十二条第一款规定的条件。联合体各方中至少应当有一方符合采购人根据采购项目的要求规定的特定条件。联合体中有同类资质的投标人按照联合体分工承担相同工作的，按照联合体中资质等级较低的一方确定资质等级。</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联合体各方之间应当签订针对本项目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投标联合体未提交联合体协议的将导致投标被拒绝。</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联合体只能以其中一方具备的条件作为评标依据，投标投标人在投标文件中必须明确以联合体的确定一方的条件参与商务部分评分。</w:t>
      </w:r>
    </w:p>
    <w:p>
      <w:pPr>
        <w:spacing w:line="384" w:lineRule="exact"/>
        <w:rPr>
          <w:rFonts w:ascii="宋体" w:hAnsi="宋体" w:cs="宋体"/>
          <w:sz w:val="24"/>
          <w:szCs w:val="24"/>
          <w:highlight w:val="none"/>
        </w:rPr>
      </w:pPr>
      <w:r>
        <w:rPr>
          <w:rFonts w:hint="eastAsia" w:ascii="宋体" w:hAnsi="宋体" w:cs="宋体"/>
          <w:sz w:val="24"/>
          <w:szCs w:val="24"/>
          <w:highlight w:val="none"/>
        </w:rPr>
        <w:t>4.投标费用</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4.1 投标人自行承担其参加投标所涉及的一切费用。</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4.2在任何情况下，招标代理机构和采购人对投标人发生的一切费用不承担义务和责任。</w:t>
      </w:r>
    </w:p>
    <w:p>
      <w:pPr>
        <w:spacing w:line="384" w:lineRule="exact"/>
        <w:jc w:val="center"/>
        <w:rPr>
          <w:rFonts w:ascii="宋体" w:hAnsi="宋体" w:cs="宋体"/>
          <w:b/>
          <w:bCs/>
          <w:sz w:val="24"/>
          <w:szCs w:val="24"/>
          <w:highlight w:val="none"/>
        </w:rPr>
      </w:pPr>
    </w:p>
    <w:p>
      <w:pPr>
        <w:spacing w:line="384" w:lineRule="exact"/>
        <w:jc w:val="center"/>
        <w:rPr>
          <w:rFonts w:ascii="宋体" w:hAnsi="宋体" w:cs="宋体"/>
          <w:b/>
          <w:bCs/>
          <w:sz w:val="24"/>
          <w:szCs w:val="24"/>
          <w:highlight w:val="none"/>
        </w:rPr>
      </w:pPr>
      <w:r>
        <w:rPr>
          <w:rFonts w:hint="eastAsia" w:ascii="宋体" w:hAnsi="宋体" w:cs="宋体"/>
          <w:b/>
          <w:bCs/>
          <w:sz w:val="24"/>
          <w:szCs w:val="24"/>
          <w:highlight w:val="none"/>
        </w:rPr>
        <w:t>二、招标文件</w:t>
      </w:r>
    </w:p>
    <w:p>
      <w:pPr>
        <w:spacing w:line="384" w:lineRule="exact"/>
        <w:rPr>
          <w:rFonts w:ascii="宋体" w:hAnsi="宋体" w:cs="宋体"/>
          <w:sz w:val="24"/>
          <w:szCs w:val="24"/>
          <w:highlight w:val="none"/>
        </w:rPr>
      </w:pPr>
      <w:r>
        <w:rPr>
          <w:rFonts w:hint="eastAsia" w:ascii="宋体" w:hAnsi="宋体" w:cs="宋体"/>
          <w:sz w:val="24"/>
          <w:szCs w:val="24"/>
          <w:highlight w:val="none"/>
        </w:rPr>
        <w:t>5. 招标文件的组成</w:t>
      </w:r>
    </w:p>
    <w:p>
      <w:pPr>
        <w:pStyle w:val="12"/>
        <w:snapToGrid w:val="0"/>
        <w:spacing w:line="384" w:lineRule="exact"/>
        <w:ind w:left="480" w:hanging="480" w:hangingChars="200"/>
        <w:rPr>
          <w:rFonts w:ascii="宋体" w:hAnsi="宋体" w:cs="宋体"/>
          <w:sz w:val="24"/>
          <w:szCs w:val="24"/>
          <w:highlight w:val="none"/>
        </w:rPr>
      </w:pPr>
      <w:r>
        <w:rPr>
          <w:rFonts w:hint="eastAsia" w:ascii="宋体" w:hAnsi="宋体" w:cs="宋体"/>
          <w:sz w:val="24"/>
          <w:szCs w:val="24"/>
          <w:highlight w:val="none"/>
        </w:rPr>
        <w:t xml:space="preserve">    5.1招标文件用以阐明所需货物及服务招标程序和合同主要条款。招标文件由下述</w:t>
      </w:r>
    </w:p>
    <w:p>
      <w:pPr>
        <w:pStyle w:val="12"/>
        <w:snapToGrid w:val="0"/>
        <w:spacing w:line="384" w:lineRule="exact"/>
        <w:ind w:left="480" w:hanging="480" w:hangingChars="200"/>
        <w:rPr>
          <w:rFonts w:ascii="宋体" w:hAnsi="宋体" w:cs="宋体"/>
          <w:sz w:val="24"/>
          <w:szCs w:val="24"/>
          <w:highlight w:val="none"/>
        </w:rPr>
      </w:pPr>
      <w:r>
        <w:rPr>
          <w:rFonts w:hint="eastAsia" w:ascii="宋体" w:hAnsi="宋体" w:cs="宋体"/>
          <w:sz w:val="24"/>
          <w:szCs w:val="24"/>
          <w:highlight w:val="none"/>
        </w:rPr>
        <w:t>部分组成：</w:t>
      </w:r>
    </w:p>
    <w:p>
      <w:pPr>
        <w:pStyle w:val="12"/>
        <w:snapToGrid w:val="0"/>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⑴ 投标邀请</w:t>
      </w:r>
    </w:p>
    <w:p>
      <w:pPr>
        <w:pStyle w:val="12"/>
        <w:snapToGrid w:val="0"/>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⑵ 投标人须知 </w:t>
      </w:r>
    </w:p>
    <w:p>
      <w:pPr>
        <w:pStyle w:val="12"/>
        <w:snapToGrid w:val="0"/>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⑶ 招标内容及要求</w:t>
      </w:r>
    </w:p>
    <w:p>
      <w:pPr>
        <w:pStyle w:val="12"/>
        <w:snapToGrid w:val="0"/>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⑷ 合同主要条款</w:t>
      </w:r>
    </w:p>
    <w:p>
      <w:pPr>
        <w:pStyle w:val="12"/>
        <w:snapToGrid w:val="0"/>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⑸ 投标文件格式</w:t>
      </w:r>
    </w:p>
    <w:p>
      <w:pPr>
        <w:pStyle w:val="12"/>
        <w:snapToGrid w:val="0"/>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5.2除非有特殊需要，招标文件不单独提供本项目使用地的自然环境、气候条件、公有设施、配套设施等情况，投标人若对以上情况要求了解，经采购人同意后，可以到使用地勘查，费用自理，否则将被视为熟悉上述与履行合同有关的一切情况。</w:t>
      </w:r>
      <w:r>
        <w:rPr>
          <w:rFonts w:hint="eastAsia" w:ascii="宋体" w:hAnsi="宋体" w:cs="宋体"/>
          <w:b/>
          <w:bCs/>
          <w:sz w:val="24"/>
          <w:szCs w:val="24"/>
          <w:highlight w:val="none"/>
        </w:rPr>
        <w:t>是否集中组织现场勘察详见投标人须知前附表。</w:t>
      </w:r>
    </w:p>
    <w:p>
      <w:pPr>
        <w:spacing w:line="384" w:lineRule="exact"/>
        <w:rPr>
          <w:rFonts w:ascii="宋体" w:hAnsi="宋体" w:cs="宋体"/>
          <w:sz w:val="24"/>
          <w:szCs w:val="24"/>
          <w:highlight w:val="none"/>
        </w:rPr>
      </w:pPr>
      <w:bookmarkStart w:id="4" w:name="_Toc430490612"/>
      <w:bookmarkStart w:id="5" w:name="_Toc430492126"/>
      <w:bookmarkStart w:id="6" w:name="_Toc415567497"/>
      <w:bookmarkStart w:id="7" w:name="_Toc430488851"/>
      <w:bookmarkStart w:id="8" w:name="_Toc430422413"/>
      <w:bookmarkStart w:id="9" w:name="_Toc430488644"/>
      <w:bookmarkStart w:id="10" w:name="_Toc430489119"/>
      <w:r>
        <w:rPr>
          <w:rFonts w:hint="eastAsia" w:ascii="宋体" w:hAnsi="宋体" w:cs="宋体"/>
          <w:sz w:val="24"/>
          <w:szCs w:val="24"/>
          <w:highlight w:val="none"/>
        </w:rPr>
        <w:t>6.</w:t>
      </w:r>
      <w:bookmarkEnd w:id="4"/>
      <w:bookmarkEnd w:id="5"/>
      <w:bookmarkEnd w:id="6"/>
      <w:bookmarkEnd w:id="7"/>
      <w:bookmarkEnd w:id="8"/>
      <w:bookmarkEnd w:id="9"/>
      <w:bookmarkEnd w:id="10"/>
      <w:r>
        <w:rPr>
          <w:rFonts w:hint="eastAsia" w:ascii="宋体" w:hAnsi="宋体" w:cs="宋体"/>
          <w:sz w:val="24"/>
          <w:szCs w:val="24"/>
          <w:highlight w:val="none"/>
        </w:rPr>
        <w:t xml:space="preserve"> 招标文件的澄清</w:t>
      </w:r>
    </w:p>
    <w:p>
      <w:pPr>
        <w:pStyle w:val="12"/>
        <w:snapToGrid w:val="0"/>
        <w:spacing w:line="384" w:lineRule="exact"/>
        <w:outlineLvl w:val="0"/>
        <w:rPr>
          <w:rFonts w:ascii="宋体" w:hAnsi="宋体" w:cs="宋体"/>
          <w:sz w:val="24"/>
          <w:szCs w:val="24"/>
          <w:highlight w:val="none"/>
        </w:rPr>
      </w:pPr>
      <w:r>
        <w:rPr>
          <w:rFonts w:hint="eastAsia" w:ascii="宋体" w:hAnsi="宋体" w:cs="宋体"/>
          <w:sz w:val="24"/>
          <w:szCs w:val="24"/>
          <w:highlight w:val="none"/>
        </w:rPr>
        <w:t>6.1投标人对招标文件如有疑点，可要求澄清。要求澄清应按投标邀请中载明的地址以书面原件形式通知招标代理机构。招标代理机构将视情况在投标截止时间15个日历日（如至原定截止时间不足15个日历日，则需延长开标时间）前将不标明查询来源的书面答复发给所有投标人，并在采购信息发布的媒体上发布更正公告。该澄清内容为招标文件的组成部分。</w:t>
      </w:r>
    </w:p>
    <w:p>
      <w:pPr>
        <w:spacing w:line="384" w:lineRule="exact"/>
        <w:rPr>
          <w:rFonts w:ascii="宋体" w:hAnsi="宋体" w:cs="宋体"/>
          <w:sz w:val="24"/>
          <w:szCs w:val="24"/>
          <w:highlight w:val="none"/>
        </w:rPr>
      </w:pPr>
      <w:bookmarkStart w:id="11" w:name="_Toc430492127"/>
      <w:bookmarkStart w:id="12" w:name="_Toc430422414"/>
      <w:bookmarkStart w:id="13" w:name="_Toc430488645"/>
      <w:bookmarkStart w:id="14" w:name="_Toc415567498"/>
      <w:bookmarkStart w:id="15" w:name="_Toc430488852"/>
      <w:bookmarkStart w:id="16" w:name="_Toc430489120"/>
      <w:bookmarkStart w:id="17" w:name="_Toc430490613"/>
      <w:r>
        <w:rPr>
          <w:rFonts w:hint="eastAsia" w:ascii="宋体" w:hAnsi="宋体" w:cs="宋体"/>
          <w:sz w:val="24"/>
          <w:szCs w:val="24"/>
          <w:highlight w:val="none"/>
        </w:rPr>
        <w:t>7.招标文件的修改</w:t>
      </w:r>
      <w:bookmarkEnd w:id="11"/>
      <w:bookmarkEnd w:id="12"/>
      <w:bookmarkEnd w:id="13"/>
      <w:bookmarkEnd w:id="14"/>
      <w:bookmarkEnd w:id="15"/>
      <w:bookmarkEnd w:id="16"/>
      <w:bookmarkEnd w:id="17"/>
    </w:p>
    <w:p>
      <w:pPr>
        <w:pStyle w:val="12"/>
        <w:snapToGrid w:val="0"/>
        <w:spacing w:line="384" w:lineRule="exact"/>
        <w:ind w:firstLineChars="175"/>
        <w:outlineLvl w:val="0"/>
        <w:rPr>
          <w:rFonts w:ascii="宋体" w:hAnsi="宋体" w:cs="宋体"/>
          <w:sz w:val="24"/>
          <w:szCs w:val="24"/>
          <w:highlight w:val="none"/>
        </w:rPr>
      </w:pPr>
      <w:r>
        <w:rPr>
          <w:rFonts w:hint="eastAsia" w:ascii="宋体" w:hAnsi="宋体" w:cs="宋体"/>
          <w:sz w:val="24"/>
          <w:szCs w:val="24"/>
          <w:highlight w:val="none"/>
        </w:rPr>
        <w:t xml:space="preserve">7.1至投标截止日期前15日（如至原定截止时间不足15个日历日，则需延长开标时间），招标代理机构可主动或依投标人要求澄清的问题而修改招标文件，应在原信息发布的媒体上发布更正公告，并以书面形式通知所有投标人，投标人在收到该通知后应立即以电报或传真的形式予以确认，若在规定时限内未确认的均视为已收悉。该修改内容为招标文件的组成部分，对投标人具有约束力。 </w:t>
      </w:r>
    </w:p>
    <w:p>
      <w:pPr>
        <w:spacing w:line="384" w:lineRule="exact"/>
        <w:ind w:firstLine="480" w:firstLineChars="200"/>
        <w:rPr>
          <w:rFonts w:ascii="宋体" w:hAnsi="宋体" w:cs="宋体"/>
          <w:sz w:val="24"/>
          <w:szCs w:val="24"/>
          <w:highlight w:val="none"/>
        </w:rPr>
      </w:pPr>
    </w:p>
    <w:p>
      <w:pPr>
        <w:spacing w:line="384" w:lineRule="exact"/>
        <w:jc w:val="center"/>
        <w:rPr>
          <w:rFonts w:ascii="宋体" w:hAnsi="宋体" w:cs="宋体"/>
          <w:b/>
          <w:bCs/>
          <w:sz w:val="24"/>
          <w:szCs w:val="24"/>
          <w:highlight w:val="none"/>
        </w:rPr>
      </w:pPr>
      <w:r>
        <w:rPr>
          <w:rFonts w:hint="eastAsia" w:ascii="宋体" w:hAnsi="宋体" w:cs="宋体"/>
          <w:b/>
          <w:bCs/>
          <w:sz w:val="24"/>
          <w:szCs w:val="24"/>
          <w:highlight w:val="none"/>
        </w:rPr>
        <w:t>三、  投标文件的编写</w:t>
      </w:r>
    </w:p>
    <w:p>
      <w:pPr>
        <w:spacing w:line="384" w:lineRule="exact"/>
        <w:rPr>
          <w:rFonts w:ascii="宋体" w:hAnsi="宋体" w:cs="宋体"/>
          <w:sz w:val="24"/>
          <w:szCs w:val="24"/>
          <w:highlight w:val="none"/>
        </w:rPr>
      </w:pPr>
      <w:r>
        <w:rPr>
          <w:rFonts w:hint="eastAsia" w:ascii="宋体" w:hAnsi="宋体" w:cs="宋体"/>
          <w:highlight w:val="none"/>
        </w:rPr>
        <w:t>★</w:t>
      </w:r>
      <w:r>
        <w:rPr>
          <w:rFonts w:hint="eastAsia" w:ascii="宋体" w:hAnsi="宋体" w:cs="宋体"/>
          <w:sz w:val="24"/>
          <w:szCs w:val="24"/>
          <w:highlight w:val="none"/>
        </w:rPr>
        <w:t>8. 要求</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8.1投标人应仔细阅读招标文件的所有内容，按照招标文件的要求提交投标文件。投标文件应对招标文件的要求作出实质性响应，并保证其投标文件中所提供的全部资料的真实性,不得有弄虚作假行为，否则其投标将被拒绝。</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8.2除非有另外的规定，投标人可对《采购标的一览表》所列的全部合同包或部分合同包进行投标。招标代理机构不接受有任何可选择性的报价，每一种货物、服务只能有一个报价，否则将导致投标被拒绝。</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8.3招标文件规定的相关要求，如果投标人在投标文件中没有以书面方式提出不符合的说明，则视为投标人能够完全理解并满足招标文件要求。对有不符合招标文件技术、商务要求的，不管是多么微小，投标人都应在《技术规格和商务偏离表》中如实详细说明，投标人在中标后才提出或被采购人发现投标人有不符合招标文件要求的均按弄虚作假处理。</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8.4如果评标委员会发现投标人为谋取中标恶意篡改《技术规格和商务偏离表》中招标文件要求的或投标产品响应栏中应答的技术指标与其提供的佐证材料明显不符的【特别是招标技术要求中涉及具体数值要求的指标，投标人应答的具体数值与投标人提供的佐证材料不一致的（非因简单粘贴复制形成），可视为投标人为谋取中标而恶意篡改所投产品技术指标】，评标委员会可视为弄虚作假而拒绝其投标，其投标保证金不予退还。</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8.5评标委员会有权在评标过程中或采购人有权在采购活动过程中对投标文件中的各种资料、说明、承诺的真实性进行核查，投标人应无条件配合采购人的核查工作，不得托词拒绝核查或隐瞒真实情况，如发现投标人存在弄虚作假行为的，其投标将被拒绝，投标保证金不予退还，其弄虚作假行为上报监督管理部门并在相关网站上予以公示；已中标的取消其中标资格，投标保证金不予退还；已签订合同的，则视为中标人违约，采购人有权单方面中止合同；给采购人和招标代理机构造成损失的，还必须进行赔偿并负相关责任。</w:t>
      </w:r>
    </w:p>
    <w:p>
      <w:pPr>
        <w:adjustRightInd w:val="0"/>
        <w:snapToGrid w:val="0"/>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8.6备选投标方案：投标人提交的备选投标方案应符合招标文件规定，相应的评审标准和处理办法另行规定。是否允许投标人提交备选方案见投标人须知前附表。</w:t>
      </w:r>
    </w:p>
    <w:p>
      <w:pPr>
        <w:spacing w:line="384" w:lineRule="exact"/>
        <w:rPr>
          <w:rFonts w:ascii="宋体" w:hAnsi="宋体" w:cs="宋体"/>
          <w:sz w:val="24"/>
          <w:szCs w:val="24"/>
          <w:highlight w:val="none"/>
        </w:rPr>
      </w:pPr>
      <w:r>
        <w:rPr>
          <w:rFonts w:hint="eastAsia" w:ascii="宋体" w:hAnsi="宋体" w:cs="宋体"/>
          <w:sz w:val="24"/>
          <w:szCs w:val="24"/>
          <w:highlight w:val="none"/>
        </w:rPr>
        <w:t>9. 投标文件语言</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9.1投标文件应用中文书写。 招标文件中载明的资格或技术商务要求中涉及的投标人提供的证明文件原件属于非中文描述的，必须要求提供具有翻译资质的机构翻译的中文译本。未按招标文件要求提供中文译本的，认定为该项资格或技术商务要求不符合。翻译机构应为中国翻译协会成员单位，翻译的中文译本应由翻译人员签名并加盖翻译机构公章，同时提供翻译人员翻译资格证书。投标人投标时提供的中文译本、翻译机构及翻译人员资格证书可为复印件，并加盖投标人公章。如原件与译文不一致的，以中文翻译件为准。  </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9.2各种计量单位及符号应采用国际上统一使用的公制计量单位和符号。</w:t>
      </w:r>
    </w:p>
    <w:p>
      <w:pPr>
        <w:spacing w:line="384" w:lineRule="exact"/>
        <w:rPr>
          <w:rFonts w:ascii="宋体" w:hAnsi="宋体" w:cs="宋体"/>
          <w:sz w:val="24"/>
          <w:szCs w:val="24"/>
          <w:highlight w:val="none"/>
        </w:rPr>
      </w:pPr>
      <w:r>
        <w:rPr>
          <w:rFonts w:hint="eastAsia" w:ascii="宋体" w:hAnsi="宋体" w:cs="宋体"/>
          <w:highlight w:val="none"/>
        </w:rPr>
        <w:t>★</w:t>
      </w:r>
      <w:r>
        <w:rPr>
          <w:rFonts w:hint="eastAsia" w:ascii="宋体" w:hAnsi="宋体" w:cs="宋体"/>
          <w:sz w:val="24"/>
          <w:szCs w:val="24"/>
          <w:highlight w:val="none"/>
        </w:rPr>
        <w:t>10.投标文件的组成：投标文件组成不符合招标文件要求的将导致投标无效。投标文件分为技术商务部分和报价部分二册。</w:t>
      </w:r>
    </w:p>
    <w:p>
      <w:pPr>
        <w:spacing w:line="384"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10.1技术商务部分应包括下列部分：</w:t>
      </w:r>
    </w:p>
    <w:p>
      <w:pPr>
        <w:spacing w:line="384"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(1)  投标书(附件1)</w:t>
      </w:r>
    </w:p>
    <w:p>
      <w:pPr>
        <w:spacing w:line="384"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(2)  标的说明一览表(附件2)</w:t>
      </w:r>
    </w:p>
    <w:p>
      <w:pPr>
        <w:spacing w:line="384"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(3)  技术与商务评分项点对点应答表(附件3)</w:t>
      </w:r>
    </w:p>
    <w:p>
      <w:pPr>
        <w:spacing w:line="384"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(4)  技术规格和商务偏离表(附件4)</w:t>
      </w:r>
    </w:p>
    <w:p>
      <w:pPr>
        <w:spacing w:line="384"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(5)  技术服务体系与维保方案(附件5)</w:t>
      </w:r>
    </w:p>
    <w:p>
      <w:pPr>
        <w:spacing w:line="384"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(6)  投标人的资格证明文件(附件6)</w:t>
      </w:r>
    </w:p>
    <w:p>
      <w:pPr>
        <w:spacing w:line="384"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(7)  投标人代表合法性证明(附件7)</w:t>
      </w:r>
    </w:p>
    <w:p>
      <w:pPr>
        <w:spacing w:line="384"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(8)  投标人提交的其他资料(附件8)</w:t>
      </w:r>
    </w:p>
    <w:p>
      <w:pPr>
        <w:spacing w:line="384"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(9)  退回投标保证金说明函（含保证金交纳单据）(附件9)</w:t>
      </w:r>
    </w:p>
    <w:p>
      <w:pPr>
        <w:spacing w:line="384"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 xml:space="preserve">(10) 招标代理服务费承诺书(附件10) </w:t>
      </w:r>
    </w:p>
    <w:p>
      <w:pPr>
        <w:pStyle w:val="28"/>
        <w:spacing w:line="384" w:lineRule="exact"/>
        <w:ind w:firstLine="630" w:firstLineChars="196"/>
        <w:jc w:val="left"/>
        <w:rPr>
          <w:rFonts w:ascii="宋体" w:hAnsi="宋体" w:cs="宋体"/>
          <w:highlight w:val="none"/>
        </w:rPr>
      </w:pPr>
    </w:p>
    <w:p>
      <w:pPr>
        <w:spacing w:line="384"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10.2报价部分应包括下列部分：</w:t>
      </w:r>
    </w:p>
    <w:p>
      <w:pPr>
        <w:spacing w:line="384"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(1)  开标一览表(附件11)</w:t>
      </w:r>
    </w:p>
    <w:p>
      <w:pPr>
        <w:spacing w:line="384"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(2)  分项报价表(附件12)</w:t>
      </w:r>
    </w:p>
    <w:p>
      <w:pPr>
        <w:spacing w:line="384" w:lineRule="exact"/>
        <w:rPr>
          <w:rFonts w:ascii="宋体" w:hAnsi="宋体" w:cs="宋体"/>
          <w:sz w:val="24"/>
          <w:szCs w:val="24"/>
          <w:highlight w:val="none"/>
        </w:rPr>
      </w:pPr>
      <w:r>
        <w:rPr>
          <w:rFonts w:hint="eastAsia" w:ascii="宋体" w:hAnsi="宋体" w:cs="宋体"/>
          <w:sz w:val="24"/>
          <w:szCs w:val="24"/>
          <w:highlight w:val="none"/>
        </w:rPr>
        <w:t>11.投标有效期</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11.1投标文件从招标文件规定的投标截止时间之后开始生效，在投标人须知前附表中所规定的期限内保持有效。投标有效期不足将导致其投标文件被拒绝。</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384" w:lineRule="exact"/>
        <w:rPr>
          <w:rFonts w:ascii="宋体" w:hAnsi="宋体" w:cs="宋体"/>
          <w:sz w:val="24"/>
          <w:szCs w:val="24"/>
          <w:highlight w:val="none"/>
        </w:rPr>
      </w:pPr>
      <w:r>
        <w:rPr>
          <w:rFonts w:hint="eastAsia" w:ascii="宋体" w:hAnsi="宋体" w:cs="宋体"/>
          <w:sz w:val="24"/>
          <w:szCs w:val="24"/>
          <w:highlight w:val="none"/>
        </w:rPr>
        <w:t>12.投标保证金</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12.1投标保证金为投标文件的组成部分之一。招标代理机构将以银行提供的投标保证金到帐时间为依据。</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12.2投标人应在提交投标文件之前按投标人须知前附表的要求向招标代理机构缴交投标保证金。未按规定缴交投标保证金的投标，将被视为无效投标。</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12.3投标保证金用于保护本次招标活动免受投标人的行为而引起的风险。</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12.4联合体投标的，可以由联合体中的一方或者共同提交投标保证金，以一方名义提交投标保证金的，对联合体各方均具有约束力。</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12.5投标人办理投标保证金缴纳手续时，应严格按照招标文件规定的金额、方式缴纳，不得多交或少交。因金额不对、或未注明招标编号、合同包、用途或未以自身名义缴交而查询不到的，其后果由投标人自行承担。</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12.6投标保证金的退还：</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招标代理机构将于中标通知书发出之日起五个工作日内，按照投标人在投标文件中所载明的开户行、开户名称、帐号等信息，原额无息退还未中标人的投标保证金。</w:t>
      </w:r>
    </w:p>
    <w:p>
      <w:pPr>
        <w:spacing w:line="360" w:lineRule="exact"/>
        <w:ind w:firstLine="480" w:firstLineChars="200"/>
        <w:rPr>
          <w:rFonts w:ascii="宋体" w:hAnsi="宋体"/>
          <w:sz w:val="24"/>
          <w:highlight w:val="none"/>
        </w:rPr>
      </w:pPr>
      <w:r>
        <w:rPr>
          <w:rFonts w:hint="eastAsia" w:ascii="宋体" w:hAnsi="宋体"/>
          <w:sz w:val="24"/>
          <w:highlight w:val="none"/>
        </w:rPr>
        <w:t>在中标人签订合同并送达招标代理机构（招标方如有要中标人支付履约保证金的，则增加：支付履约保证金）后，招标代理机构在收到合同后5个工作日内，原额无息退还中标人的</w:t>
      </w:r>
      <w:r>
        <w:rPr>
          <w:rFonts w:ascii="宋体" w:hAnsi="宋体"/>
          <w:sz w:val="24"/>
          <w:highlight w:val="none"/>
        </w:rPr>
        <w:t>保证金</w:t>
      </w:r>
      <w:r>
        <w:rPr>
          <w:rFonts w:hint="eastAsia" w:ascii="宋体" w:hAnsi="宋体"/>
          <w:sz w:val="24"/>
          <w:highlight w:val="none"/>
        </w:rPr>
        <w:t>。</w:t>
      </w:r>
    </w:p>
    <w:p>
      <w:pPr>
        <w:spacing w:line="360" w:lineRule="exact"/>
        <w:ind w:firstLine="480" w:firstLineChars="200"/>
        <w:rPr>
          <w:rFonts w:ascii="宋体" w:hAnsi="宋体"/>
          <w:sz w:val="24"/>
          <w:highlight w:val="none"/>
        </w:rPr>
      </w:pPr>
      <w:r>
        <w:rPr>
          <w:rFonts w:hint="eastAsia" w:ascii="宋体" w:hAnsi="宋体"/>
          <w:sz w:val="24"/>
          <w:highlight w:val="none"/>
        </w:rPr>
        <w:t>送达方式：邮件送达。</w:t>
      </w:r>
    </w:p>
    <w:p>
      <w:pPr>
        <w:spacing w:line="360" w:lineRule="exact"/>
        <w:ind w:firstLine="480" w:firstLineChars="200"/>
        <w:rPr>
          <w:highlight w:val="none"/>
        </w:rPr>
      </w:pPr>
      <w:r>
        <w:rPr>
          <w:rFonts w:hint="eastAsia" w:ascii="宋体" w:hAnsi="宋体"/>
          <w:sz w:val="24"/>
          <w:highlight w:val="none"/>
        </w:rPr>
        <w:t>邮箱：</w:t>
      </w:r>
      <w:r>
        <w:rPr>
          <w:rFonts w:hint="eastAsia" w:ascii="宋体" w:hAnsi="宋体" w:cs="宋体"/>
          <w:color w:val="000000"/>
          <w:kern w:val="0"/>
          <w:sz w:val="24"/>
          <w:highlight w:val="none"/>
        </w:rPr>
        <w:t>zhongdazb@163.com</w:t>
      </w:r>
      <w:r>
        <w:rPr>
          <w:rFonts w:hint="eastAsia" w:ascii="宋体" w:hAnsi="宋体" w:cs="宋体"/>
          <w:kern w:val="0"/>
          <w:sz w:val="24"/>
          <w:highlight w:val="none"/>
        </w:rPr>
        <w:t>（送达时间以指定邮箱收到邮件时间为准）。</w:t>
      </w:r>
    </w:p>
    <w:p>
      <w:pPr>
        <w:pStyle w:val="12"/>
        <w:snapToGrid w:val="0"/>
        <w:spacing w:line="384" w:lineRule="exact"/>
        <w:ind w:firstLine="480" w:firstLineChars="200"/>
        <w:outlineLvl w:val="0"/>
        <w:rPr>
          <w:rFonts w:ascii="宋体" w:hAnsi="宋体" w:cs="宋体"/>
          <w:sz w:val="24"/>
          <w:szCs w:val="24"/>
          <w:highlight w:val="none"/>
        </w:rPr>
      </w:pPr>
      <w:r>
        <w:rPr>
          <w:rFonts w:hint="eastAsia" w:ascii="宋体" w:hAnsi="宋体" w:cs="宋体"/>
          <w:sz w:val="24"/>
          <w:szCs w:val="24"/>
          <w:highlight w:val="none"/>
        </w:rPr>
        <w:t>12.7因招标代理机构原因造成逾期退还投标保证金的，招标代理机构应当按商业银行同期一年期贷款基准利率上浮20%后的利率向投标人支付资金占用费。</w:t>
      </w:r>
    </w:p>
    <w:p>
      <w:pPr>
        <w:spacing w:line="384" w:lineRule="exact"/>
        <w:rPr>
          <w:rFonts w:ascii="宋体" w:hAnsi="宋体" w:cs="宋体"/>
          <w:sz w:val="24"/>
          <w:szCs w:val="24"/>
          <w:highlight w:val="none"/>
        </w:rPr>
      </w:pPr>
      <w:r>
        <w:rPr>
          <w:rFonts w:hint="eastAsia" w:ascii="宋体" w:hAnsi="宋体" w:cs="宋体"/>
          <w:sz w:val="24"/>
          <w:szCs w:val="24"/>
          <w:highlight w:val="none"/>
        </w:rPr>
        <w:t xml:space="preserve">    12.8投标保证金的有效期为投标有效期满后的30个日历日。</w:t>
      </w:r>
    </w:p>
    <w:p>
      <w:pPr>
        <w:spacing w:line="384" w:lineRule="exact"/>
        <w:rPr>
          <w:rFonts w:ascii="宋体" w:hAnsi="宋体" w:cs="宋体"/>
          <w:sz w:val="24"/>
          <w:szCs w:val="24"/>
          <w:highlight w:val="none"/>
        </w:rPr>
      </w:pPr>
      <w:r>
        <w:rPr>
          <w:rFonts w:hint="eastAsia" w:ascii="宋体" w:hAnsi="宋体" w:cs="宋体"/>
          <w:sz w:val="24"/>
          <w:szCs w:val="24"/>
          <w:highlight w:val="none"/>
        </w:rPr>
        <w:t xml:space="preserve">    12.9发生以下情况之一的，投标保证金将不予退还：</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（1）投标人开标后且在投标有效期内修改、撤回投标文件的；</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（2）提供虚假、失实证明(说明)或伪造相关证明(说明)等投标响应材料的；</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（3）不接受招标文件中有关规定，对其投标价格有误之处修正的；</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（4）恶意干扰招投标活动，不听劝阻的；</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（5）若投标人被评标委员会认定为串通投标的；</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（6）投标人存在招标文件第二章第3.2条所列情形或投标人之间存在招标文件第二章第3.3条所列情形之一，且同时参加本项目投标的；</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（7）若中标人未能做到：</w:t>
      </w:r>
    </w:p>
    <w:p>
      <w:pPr>
        <w:spacing w:line="384" w:lineRule="exact"/>
        <w:ind w:firstLine="1080" w:firstLineChars="450"/>
        <w:rPr>
          <w:rFonts w:ascii="宋体" w:hAnsi="宋体" w:cs="宋体"/>
          <w:sz w:val="24"/>
          <w:szCs w:val="24"/>
          <w:highlight w:val="none"/>
        </w:rPr>
      </w:pPr>
      <w:r>
        <w:rPr>
          <w:rFonts w:hint="eastAsia" w:ascii="宋体" w:hAnsi="宋体" w:cs="宋体"/>
          <w:sz w:val="24"/>
          <w:szCs w:val="24"/>
          <w:highlight w:val="none"/>
        </w:rPr>
        <w:t>a、在中标通知书要求的期限内签订合同；</w:t>
      </w:r>
    </w:p>
    <w:p>
      <w:pPr>
        <w:spacing w:line="384" w:lineRule="exact"/>
        <w:ind w:firstLine="1080" w:firstLineChars="450"/>
        <w:rPr>
          <w:rFonts w:ascii="宋体" w:hAnsi="宋体" w:cs="宋体"/>
          <w:sz w:val="24"/>
          <w:szCs w:val="24"/>
          <w:highlight w:val="none"/>
        </w:rPr>
      </w:pPr>
      <w:r>
        <w:rPr>
          <w:rFonts w:hint="eastAsia" w:ascii="宋体" w:hAnsi="宋体" w:cs="宋体"/>
          <w:sz w:val="24"/>
          <w:szCs w:val="24"/>
          <w:highlight w:val="none"/>
        </w:rPr>
        <w:t>b、按招标文件规定和投标文件承诺履行其义务。</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（8）符合本招标文件中规定的其他投标保证金不予退还情形的。</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上述不予退还投标保证金的情况给招标采购单位造成损失的，还要承担赔偿责任。</w:t>
      </w:r>
    </w:p>
    <w:p>
      <w:pPr>
        <w:spacing w:line="384" w:lineRule="exact"/>
        <w:rPr>
          <w:rFonts w:ascii="宋体" w:hAnsi="宋体" w:cs="宋体"/>
          <w:sz w:val="24"/>
          <w:szCs w:val="24"/>
          <w:highlight w:val="none"/>
        </w:rPr>
      </w:pPr>
      <w:r>
        <w:rPr>
          <w:rFonts w:hint="eastAsia" w:ascii="宋体" w:hAnsi="宋体" w:cs="宋体"/>
          <w:sz w:val="24"/>
          <w:szCs w:val="24"/>
          <w:highlight w:val="none"/>
        </w:rPr>
        <w:t>13.投标文件的格式</w:t>
      </w:r>
    </w:p>
    <w:p>
      <w:pPr>
        <w:pStyle w:val="26"/>
        <w:ind w:firstLine="480" w:firstLineChars="200"/>
        <w:rPr>
          <w:highlight w:val="none"/>
        </w:rPr>
      </w:pPr>
      <w:r>
        <w:rPr>
          <w:rFonts w:hint="eastAsia"/>
          <w:highlight w:val="none"/>
        </w:rPr>
        <w:t>★</w:t>
      </w:r>
      <w:r>
        <w:rPr>
          <w:highlight w:val="none"/>
        </w:rPr>
        <w:t>投标文件未按招标文件要求签署、盖章的</w:t>
      </w:r>
      <w:r>
        <w:rPr>
          <w:rFonts w:hint="eastAsia"/>
          <w:highlight w:val="none"/>
        </w:rPr>
        <w:t>，未按招标文件规定的格式填写、编制、制作、装订、签署投标文件的、投标文件关键字迹模糊不清的，其投标将被拒绝。</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13.1投标文件须提供由本章第10条“投标文件的组成”的内容组成的投标文件，投标文件分为技术商务部分和报价部分，份数要求详见投标人须知前附表；</w:t>
      </w:r>
    </w:p>
    <w:p>
      <w:pPr>
        <w:tabs>
          <w:tab w:val="left" w:pos="0"/>
        </w:tabs>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13.2投标人必须将技术商务部分和报价部分分开装订并密封。技术商务部分中不得出现投标报价信息，否则该投标人的投标文件将被视为无效投标。投标文件中如开标一览表、投标分项报价表、节能（非强制类）、环境标志产品优惠明细表、小、微企业产品明细表等凡是体现投标报价的文件资料均属于报价部分，其余资料则为技术商务部分。投标人在制作和分册装订、密封投标文件的过程中务必留意。</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13.3投标人按本招标文件中第五章 “技术商务部分格式”和“报价部分格式”规定的内容和顺序编制投标文件：</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13.3.1技术商务部分正本用A4幅面纸张打印（图纸、彩页等非A4幅面的材料在每页加盖公章后可另册装订），编制封面、目录、页码。副本可以用正本的完整复印件。正、副本均须装订成册并胶装（永久性、无破坏不可拆分）并加盖投标人骑缝章及每页盖章。封面须标明“正本”、“副本”字样。 </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13.3.2报价部分按每个合同包单独装订，分册密封。正本用A4幅面纸张打印，编制封面、目录、页码。副本可以用正本的完整复印件。正、副本均须装订成册并每页盖章。封面标明“正本”、“副本”字样。</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13.4投标文件应由法定代表人或者其授权代表签字并加盖投标人公章（鲜章，合同章，投标专用章等其它类型章无效），如由后者签字，应提供“法定代表人授权书”，并附法定代表人及其授权代表完整、有效的身份证复印件。投标人代表在同一个项目中只能接受一个投标人的委托参加投标，否则将导致投标无效。</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13.5除非有另外的规定或许可，投标使用货币为人民币。</w:t>
      </w:r>
    </w:p>
    <w:p>
      <w:pPr>
        <w:tabs>
          <w:tab w:val="left" w:pos="900"/>
        </w:tabs>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13.6投标文件的正本和全部副本均应使用不能擦去的墨料或墨水打印、书写或复印（副本可由正本完整复印），并由法定代表人或其授权代表签署，个人签字应真实、有效。</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13.7全套投标文件应无涂改和行间插字，除非这些改动是根据招标代理机构的指示进行的，或者是为改正投标人造成的必须修改的错误而进行的。有改动时，修改处应由授权代表签署证明或加盖校正章或公章。 </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13.8所有资格证明文件应是最新、有效、清晰的，并加盖投标人公章。有年检要求的应符合规定，有变更事宜的，变更文件应附齐全。</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13.9投标人应提交证明其拟供货物或服务符合招标文件要求的技术投标文件，该文件可以是文字资料、图纸和数据，并提供货物或服务主要技术性能的详细描述。投标人随同投标文件提供的技术资料（含法定检测机构的测试报告、鉴定文件等）必须规范、完整，否则将导致评委会做出不利于投标人的判定。         </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13.10投标人对招标要求应该响应的内容采取回避，或对本应提供的技术数据采取文字叙述答非所问、含糊不清、模凌两可的，将导致评委会做出不利于投标人的判定。     </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13.11招标文件有要求投标人对技术、商务内容逐条应答的，投标人应对照第三章招标内容及要求条款在《技术规格和商务偏离表》中逐条填写，如实应答，不可简单复制粘贴或缺漏项应答（特别是招标技术要求中涉及具体数值要求的，投标人应如实填写所投产品的具体参数数值）。招标文件中载明的技术和商务要求，属于实质性要求，不满足即为无效投标的条款或招标文件有要求提供证明材料的技术指标或商务条件，投标人应在投标文件中提供证明材料（在对应处标注对应关系）予以佐证，并在《技术规格和商务偏离表》中备注佐证材料所在页码。如果投标描述与其提供的证明材料不一致且证明材料描述内容不满足招标要求的，评委会可依据证明材料直接判定该项指标为负偏离，如果评委会认定投标人有为谋取中标而恶意篡改投标文件情形的按本须知第8.4条处理。</w:t>
      </w:r>
    </w:p>
    <w:p>
      <w:pPr>
        <w:spacing w:line="384" w:lineRule="exact"/>
        <w:ind w:firstLine="588" w:firstLineChars="245"/>
        <w:rPr>
          <w:rFonts w:ascii="宋体" w:hAnsi="宋体" w:cs="宋体"/>
          <w:sz w:val="24"/>
          <w:szCs w:val="24"/>
          <w:highlight w:val="none"/>
        </w:rPr>
      </w:pPr>
      <w:r>
        <w:rPr>
          <w:rFonts w:hint="eastAsia" w:ascii="宋体" w:hAnsi="宋体" w:cs="宋体"/>
          <w:sz w:val="24"/>
          <w:szCs w:val="24"/>
          <w:highlight w:val="none"/>
        </w:rPr>
        <w:t>13.12电子投标文件：投标人应采用PDF格式将投标文件正本制作成电子文本，其中所有文件不做压缩处理、不留密码。电子投标文件与纸质投标文件内容应一致。若电子投标文件与纸质投标文件发生不一致的，以纸质投标文件为准。</w:t>
      </w:r>
    </w:p>
    <w:p>
      <w:pPr>
        <w:spacing w:line="384" w:lineRule="exact"/>
        <w:jc w:val="center"/>
        <w:rPr>
          <w:rFonts w:ascii="宋体" w:hAnsi="宋体" w:cs="宋体"/>
          <w:b/>
          <w:bCs/>
          <w:sz w:val="24"/>
          <w:szCs w:val="24"/>
          <w:highlight w:val="none"/>
        </w:rPr>
      </w:pPr>
    </w:p>
    <w:p>
      <w:pPr>
        <w:spacing w:line="384" w:lineRule="exact"/>
        <w:jc w:val="center"/>
        <w:rPr>
          <w:rFonts w:ascii="宋体" w:hAnsi="宋体" w:cs="宋体"/>
          <w:b/>
          <w:bCs/>
          <w:sz w:val="24"/>
          <w:szCs w:val="24"/>
          <w:highlight w:val="none"/>
        </w:rPr>
      </w:pPr>
      <w:r>
        <w:rPr>
          <w:rFonts w:hint="eastAsia" w:ascii="宋体" w:hAnsi="宋体" w:cs="宋体"/>
          <w:b/>
          <w:bCs/>
          <w:sz w:val="24"/>
          <w:szCs w:val="24"/>
          <w:highlight w:val="none"/>
        </w:rPr>
        <w:t>四、 投标文件的提交</w:t>
      </w:r>
    </w:p>
    <w:p>
      <w:pPr>
        <w:spacing w:line="384" w:lineRule="exact"/>
        <w:rPr>
          <w:rFonts w:ascii="宋体" w:hAnsi="宋体" w:cs="宋体"/>
          <w:sz w:val="24"/>
          <w:szCs w:val="24"/>
          <w:highlight w:val="none"/>
        </w:rPr>
      </w:pPr>
      <w:r>
        <w:rPr>
          <w:rFonts w:hint="eastAsia" w:ascii="宋体" w:hAnsi="宋体" w:cs="宋体"/>
          <w:sz w:val="24"/>
          <w:szCs w:val="24"/>
          <w:highlight w:val="none"/>
        </w:rPr>
        <w:t xml:space="preserve">14.投标文件的密封、标记和递交 </w:t>
      </w:r>
    </w:p>
    <w:p>
      <w:pPr>
        <w:spacing w:line="384" w:lineRule="exact"/>
        <w:ind w:firstLine="472" w:firstLineChars="196"/>
        <w:rPr>
          <w:rFonts w:ascii="宋体" w:hAnsi="宋体" w:cs="宋体"/>
          <w:b/>
          <w:bCs/>
          <w:sz w:val="24"/>
          <w:szCs w:val="24"/>
          <w:highlight w:val="none"/>
        </w:rPr>
      </w:pPr>
      <w:r>
        <w:rPr>
          <w:rFonts w:hint="eastAsia" w:ascii="宋体" w:hAnsi="宋体" w:cs="宋体"/>
          <w:b/>
          <w:bCs/>
          <w:sz w:val="24"/>
          <w:szCs w:val="24"/>
          <w:highlight w:val="none"/>
        </w:rPr>
        <w:t>14.1投标文件密封、标记和递交</w:t>
      </w:r>
    </w:p>
    <w:p>
      <w:pPr>
        <w:spacing w:line="384" w:lineRule="exact"/>
        <w:ind w:firstLine="420"/>
        <w:rPr>
          <w:rFonts w:ascii="宋体" w:hAnsi="宋体" w:cs="宋体"/>
          <w:sz w:val="24"/>
          <w:szCs w:val="24"/>
          <w:highlight w:val="none"/>
        </w:rPr>
      </w:pPr>
      <w:r>
        <w:rPr>
          <w:rFonts w:hint="eastAsia" w:ascii="宋体" w:hAnsi="宋体" w:cs="宋体"/>
          <w:sz w:val="24"/>
          <w:szCs w:val="24"/>
          <w:highlight w:val="none"/>
        </w:rPr>
        <w:t>14.1.1投标人应将技术商务部分、报价部分正、副本分别密封（正本、副本分开，同类副本可封装在一个密封袋中)，电子文本（应在介质上张贴投标人及项目名称的标签）装在报价部分正本中。</w:t>
      </w:r>
      <w:r>
        <w:rPr>
          <w:rFonts w:hint="eastAsia" w:ascii="宋体" w:hAnsi="宋体" w:cs="宋体"/>
          <w:highlight w:val="none"/>
        </w:rPr>
        <w:t>★</w:t>
      </w:r>
      <w:r>
        <w:rPr>
          <w:rFonts w:hint="eastAsia" w:ascii="宋体" w:hAnsi="宋体" w:cs="宋体"/>
          <w:sz w:val="24"/>
          <w:szCs w:val="24"/>
          <w:highlight w:val="none"/>
          <w:shd w:val="pct10" w:color="auto" w:fill="FFFFFF"/>
        </w:rPr>
        <w:t>投标文件未密封将导致投标被拒绝。</w:t>
      </w:r>
    </w:p>
    <w:p>
      <w:pPr>
        <w:spacing w:line="384" w:lineRule="exact"/>
        <w:ind w:firstLine="420"/>
        <w:rPr>
          <w:rFonts w:ascii="宋体" w:hAnsi="宋体" w:cs="宋体"/>
          <w:sz w:val="24"/>
          <w:szCs w:val="24"/>
          <w:highlight w:val="none"/>
        </w:rPr>
      </w:pPr>
      <w:r>
        <w:rPr>
          <w:rFonts w:hint="eastAsia" w:ascii="宋体" w:hAnsi="宋体" w:cs="宋体"/>
          <w:sz w:val="24"/>
          <w:szCs w:val="24"/>
          <w:highlight w:val="none"/>
        </w:rPr>
        <w:t>14.1.2在内层和外层投标文件密封袋上均应标注以下内容：</w:t>
      </w:r>
    </w:p>
    <w:tbl>
      <w:tblPr>
        <w:tblStyle w:val="31"/>
        <w:tblW w:w="921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tcPr>
          <w:p>
            <w:pPr>
              <w:spacing w:line="384" w:lineRule="exact"/>
              <w:ind w:firstLine="411" w:firstLineChars="196"/>
              <w:rPr>
                <w:rFonts w:ascii="宋体" w:hAnsi="宋体" w:cs="宋体"/>
                <w:highlight w:val="none"/>
                <w:u w:val="single"/>
              </w:rPr>
            </w:pPr>
            <w:r>
              <w:rPr>
                <w:rFonts w:hint="eastAsia" w:ascii="宋体" w:hAnsi="宋体" w:cs="宋体"/>
                <w:highlight w:val="none"/>
              </w:rPr>
              <w:t>项目名称：</w:t>
            </w:r>
          </w:p>
          <w:p>
            <w:pPr>
              <w:spacing w:line="384" w:lineRule="exact"/>
              <w:ind w:firstLine="411" w:firstLineChars="196"/>
              <w:rPr>
                <w:rFonts w:ascii="宋体" w:hAnsi="宋体" w:cs="宋体"/>
                <w:highlight w:val="none"/>
                <w:u w:val="single"/>
              </w:rPr>
            </w:pPr>
            <w:r>
              <w:rPr>
                <w:rFonts w:hint="eastAsia" w:ascii="宋体" w:hAnsi="宋体" w:cs="宋体"/>
                <w:highlight w:val="none"/>
              </w:rPr>
              <w:t>投标人：</w:t>
            </w:r>
            <w:r>
              <w:rPr>
                <w:rFonts w:hint="eastAsia" w:ascii="宋体" w:hAnsi="宋体" w:cs="宋体"/>
                <w:highlight w:val="none"/>
                <w:u w:val="single"/>
              </w:rPr>
              <w:t xml:space="preserve">                      单位全称(盖单位章)                 </w:t>
            </w:r>
          </w:p>
          <w:p>
            <w:pPr>
              <w:spacing w:line="384" w:lineRule="exact"/>
              <w:ind w:firstLine="411" w:firstLineChars="196"/>
              <w:rPr>
                <w:rFonts w:ascii="宋体" w:hAnsi="宋体" w:cs="宋体"/>
                <w:highlight w:val="none"/>
                <w:u w:val="single"/>
              </w:rPr>
            </w:pPr>
            <w:r>
              <w:rPr>
                <w:rFonts w:hint="eastAsia" w:ascii="宋体" w:hAnsi="宋体" w:cs="宋体"/>
                <w:highlight w:val="none"/>
              </w:rPr>
              <w:t>法定代表人或委托代理人签字：</w:t>
            </w:r>
          </w:p>
          <w:p>
            <w:pPr>
              <w:spacing w:line="384" w:lineRule="exact"/>
              <w:ind w:firstLine="411" w:firstLineChars="196"/>
              <w:rPr>
                <w:rFonts w:ascii="宋体" w:hAnsi="宋体" w:cs="宋体"/>
                <w:highlight w:val="none"/>
                <w:u w:val="single"/>
              </w:rPr>
            </w:pPr>
            <w:r>
              <w:rPr>
                <w:rFonts w:hint="eastAsia" w:ascii="宋体" w:hAnsi="宋体" w:cs="宋体"/>
                <w:highlight w:val="none"/>
              </w:rPr>
              <w:t>投标人地址：</w:t>
            </w:r>
          </w:p>
          <w:p>
            <w:pPr>
              <w:spacing w:line="384" w:lineRule="exact"/>
              <w:ind w:firstLine="411" w:firstLineChars="196"/>
              <w:rPr>
                <w:rFonts w:ascii="宋体" w:hAnsi="宋体" w:cs="宋体"/>
                <w:sz w:val="24"/>
                <w:szCs w:val="24"/>
                <w:highlight w:val="none"/>
                <w:u w:val="single"/>
              </w:rPr>
            </w:pPr>
            <w:r>
              <w:rPr>
                <w:rFonts w:hint="eastAsia" w:ascii="宋体" w:hAnsi="宋体" w:cs="宋体"/>
                <w:highlight w:val="none"/>
              </w:rPr>
              <w:t xml:space="preserve">联系人及联系电话：  </w:t>
            </w:r>
          </w:p>
        </w:tc>
      </w:tr>
    </w:tbl>
    <w:p>
      <w:pPr>
        <w:spacing w:line="384" w:lineRule="exact"/>
        <w:ind w:firstLine="420"/>
        <w:rPr>
          <w:rFonts w:ascii="宋体" w:hAnsi="宋体" w:cs="宋体"/>
          <w:sz w:val="24"/>
          <w:szCs w:val="24"/>
          <w:highlight w:val="none"/>
        </w:rPr>
      </w:pPr>
      <w:r>
        <w:rPr>
          <w:rFonts w:hint="eastAsia" w:ascii="宋体" w:hAnsi="宋体" w:cs="宋体"/>
          <w:sz w:val="24"/>
          <w:szCs w:val="24"/>
          <w:highlight w:val="none"/>
        </w:rPr>
        <w:t>有分包号的还应注明所投合同包号并注明卷册名称及“正本”或“副本”字样。</w:t>
      </w:r>
    </w:p>
    <w:p>
      <w:pPr>
        <w:spacing w:line="384" w:lineRule="exact"/>
        <w:ind w:firstLine="480"/>
        <w:rPr>
          <w:rFonts w:ascii="宋体" w:hAnsi="宋体" w:cs="宋体"/>
          <w:sz w:val="24"/>
          <w:szCs w:val="24"/>
          <w:highlight w:val="none"/>
        </w:rPr>
      </w:pPr>
      <w:r>
        <w:rPr>
          <w:rFonts w:hint="eastAsia" w:ascii="宋体" w:hAnsi="宋体" w:cs="宋体"/>
          <w:sz w:val="24"/>
          <w:szCs w:val="24"/>
          <w:highlight w:val="none"/>
        </w:rPr>
        <w:t xml:space="preserve">投标文件外包装需注明“于 </w:t>
      </w:r>
      <w:r>
        <w:rPr>
          <w:rFonts w:hint="eastAsia" w:ascii="宋体" w:hAnsi="宋体" w:cs="宋体"/>
          <w:sz w:val="24"/>
          <w:szCs w:val="24"/>
          <w:highlight w:val="none"/>
          <w:u w:val="single"/>
        </w:rPr>
        <w:t xml:space="preserve">   年  月  日   时 </w:t>
      </w:r>
      <w:r>
        <w:rPr>
          <w:rFonts w:hint="eastAsia" w:ascii="宋体" w:hAnsi="宋体" w:cs="宋体"/>
          <w:sz w:val="24"/>
          <w:szCs w:val="24"/>
          <w:highlight w:val="none"/>
        </w:rPr>
        <w:t>之前（指投标邀请中规定的开标日期及时间）不准启封”的字样，并签字或盖章。</w:t>
      </w:r>
    </w:p>
    <w:p>
      <w:pPr>
        <w:spacing w:line="384" w:lineRule="exact"/>
        <w:ind w:firstLine="480"/>
        <w:rPr>
          <w:rFonts w:ascii="宋体" w:hAnsi="宋体" w:cs="宋体"/>
          <w:sz w:val="24"/>
          <w:szCs w:val="24"/>
          <w:highlight w:val="none"/>
        </w:rPr>
      </w:pPr>
      <w:r>
        <w:rPr>
          <w:rFonts w:hint="eastAsia" w:ascii="宋体" w:hAnsi="宋体" w:cs="宋体"/>
          <w:sz w:val="24"/>
          <w:szCs w:val="24"/>
          <w:highlight w:val="none"/>
        </w:rPr>
        <w:t>14.1.3如果未按上述规定进行密封和标记的，招标代理机构有权不予接收，或即使已接收但其投标仍可被拒绝，且招标代理机构将不承担由此造成的对投标文件的误投或提前拆封的责任。</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14.1.4投标人应将投标文件按照本须知第14.1.1条至第14.1.2条的规定进行密封和标记后，按投标人须知前附表注明的地址送至接收人。</w:t>
      </w:r>
      <w:r>
        <w:rPr>
          <w:rFonts w:hint="eastAsia" w:ascii="宋体" w:hAnsi="宋体" w:cs="宋体"/>
          <w:b/>
          <w:bCs/>
          <w:sz w:val="24"/>
          <w:szCs w:val="24"/>
          <w:highlight w:val="none"/>
          <w:u w:val="single"/>
        </w:rPr>
        <w:t>不接收邮寄或快递的投标。</w:t>
      </w:r>
    </w:p>
    <w:p>
      <w:pPr>
        <w:spacing w:line="384" w:lineRule="exact"/>
        <w:rPr>
          <w:rFonts w:ascii="宋体" w:hAnsi="宋体" w:cs="宋体"/>
          <w:b/>
          <w:bCs/>
          <w:sz w:val="24"/>
          <w:szCs w:val="24"/>
          <w:highlight w:val="none"/>
        </w:rPr>
      </w:pPr>
      <w:r>
        <w:rPr>
          <w:rFonts w:hint="eastAsia" w:ascii="宋体" w:hAnsi="宋体" w:cs="宋体"/>
          <w:b/>
          <w:bCs/>
          <w:sz w:val="24"/>
          <w:szCs w:val="24"/>
          <w:highlight w:val="none"/>
        </w:rPr>
        <w:t xml:space="preserve">    </w:t>
      </w:r>
      <w:r>
        <w:rPr>
          <w:rFonts w:hint="eastAsia" w:ascii="宋体" w:hAnsi="宋体" w:cs="宋体"/>
          <w:highlight w:val="none"/>
        </w:rPr>
        <w:t>★</w:t>
      </w:r>
      <w:r>
        <w:rPr>
          <w:rFonts w:hint="eastAsia" w:ascii="宋体" w:hAnsi="宋体" w:cs="宋体"/>
          <w:b/>
          <w:bCs/>
          <w:sz w:val="24"/>
          <w:szCs w:val="24"/>
          <w:highlight w:val="none"/>
        </w:rPr>
        <w:t>14.1.5投标文件应在投标邀请中规定的截止时间前送达，迟到的投标文件将被拒收。</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14.1.6投标人在投标截止时间前，可以对所提交的投标文件进行修改或者撤回，并书面通知招标代理机构。修改的内容和撤回通知应当按本须知要求签署、盖章、密封，并作为投标文件的组成部分。</w:t>
      </w:r>
    </w:p>
    <w:p>
      <w:pPr>
        <w:spacing w:line="384" w:lineRule="exact"/>
        <w:ind w:firstLine="480"/>
        <w:rPr>
          <w:rFonts w:ascii="宋体" w:hAnsi="宋体" w:cs="宋体"/>
          <w:sz w:val="24"/>
          <w:szCs w:val="24"/>
          <w:highlight w:val="none"/>
        </w:rPr>
      </w:pPr>
      <w:r>
        <w:rPr>
          <w:rFonts w:hint="eastAsia" w:ascii="宋体" w:hAnsi="宋体" w:cs="宋体"/>
          <w:highlight w:val="none"/>
        </w:rPr>
        <w:t>★</w:t>
      </w:r>
      <w:r>
        <w:rPr>
          <w:rFonts w:hint="eastAsia" w:ascii="宋体" w:hAnsi="宋体" w:cs="宋体"/>
          <w:sz w:val="24"/>
          <w:szCs w:val="24"/>
          <w:highlight w:val="none"/>
        </w:rPr>
        <w:t>14.1.7投标人在投标截止期后不得修改、撤回投标文件。投标人在投标截止期后修改投标文件的，其投标被拒绝。</w:t>
      </w:r>
    </w:p>
    <w:p>
      <w:pPr>
        <w:spacing w:line="384"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14.1.8递交投标文件时投标人的名称要与购买招标文件时登记备案的名称相一致，不一致的应提供工商管理部门出具的单位名称变更证明，否则招标代理机构将拒绝接收投标文件。</w:t>
      </w:r>
    </w:p>
    <w:p>
      <w:pPr>
        <w:spacing w:line="384" w:lineRule="exact"/>
        <w:ind w:firstLine="420"/>
        <w:rPr>
          <w:rFonts w:ascii="宋体" w:hAnsi="宋体" w:cs="宋体"/>
          <w:sz w:val="24"/>
          <w:szCs w:val="24"/>
          <w:highlight w:val="none"/>
        </w:rPr>
      </w:pPr>
      <w:r>
        <w:rPr>
          <w:rFonts w:hint="eastAsia" w:ascii="宋体" w:hAnsi="宋体" w:cs="宋体"/>
          <w:sz w:val="24"/>
          <w:szCs w:val="24"/>
          <w:highlight w:val="none"/>
        </w:rPr>
        <w:t>14.2投标截止时间结束后参加投标的投标人不足三家的，本次招标程序终止，除采购任务取消情形外，招标采购单位将依法重新组织招标或者采取其他方式采购。</w:t>
      </w:r>
    </w:p>
    <w:p>
      <w:pPr>
        <w:spacing w:line="384" w:lineRule="exact"/>
        <w:jc w:val="center"/>
        <w:rPr>
          <w:rFonts w:ascii="宋体" w:hAnsi="宋体" w:cs="宋体"/>
          <w:b/>
          <w:bCs/>
          <w:sz w:val="24"/>
          <w:szCs w:val="24"/>
          <w:highlight w:val="none"/>
        </w:rPr>
      </w:pPr>
    </w:p>
    <w:p>
      <w:pPr>
        <w:spacing w:line="384" w:lineRule="exact"/>
        <w:jc w:val="center"/>
        <w:rPr>
          <w:rFonts w:ascii="宋体" w:hAnsi="宋体" w:cs="宋体"/>
          <w:b/>
          <w:bCs/>
          <w:sz w:val="24"/>
          <w:szCs w:val="24"/>
          <w:highlight w:val="none"/>
        </w:rPr>
      </w:pPr>
      <w:r>
        <w:rPr>
          <w:rFonts w:hint="eastAsia" w:ascii="宋体" w:hAnsi="宋体" w:cs="宋体"/>
          <w:b/>
          <w:bCs/>
          <w:sz w:val="24"/>
          <w:szCs w:val="24"/>
          <w:highlight w:val="none"/>
        </w:rPr>
        <w:t>五、投标文件的评估和比较</w:t>
      </w:r>
    </w:p>
    <w:p>
      <w:pPr>
        <w:spacing w:line="384" w:lineRule="exact"/>
        <w:rPr>
          <w:rFonts w:ascii="宋体" w:hAnsi="宋体" w:cs="宋体"/>
          <w:sz w:val="24"/>
          <w:szCs w:val="24"/>
          <w:highlight w:val="none"/>
        </w:rPr>
      </w:pPr>
      <w:r>
        <w:rPr>
          <w:rFonts w:hint="eastAsia" w:ascii="宋体" w:hAnsi="宋体" w:cs="宋体"/>
          <w:sz w:val="24"/>
          <w:szCs w:val="24"/>
          <w:highlight w:val="none"/>
        </w:rPr>
        <w:t xml:space="preserve">15．开标 </w:t>
      </w:r>
    </w:p>
    <w:p>
      <w:pPr>
        <w:spacing w:line="384" w:lineRule="exact"/>
        <w:rPr>
          <w:rFonts w:ascii="宋体" w:hAnsi="宋体" w:cs="宋体"/>
          <w:sz w:val="24"/>
          <w:szCs w:val="24"/>
          <w:highlight w:val="none"/>
        </w:rPr>
      </w:pPr>
      <w:r>
        <w:rPr>
          <w:rFonts w:hint="eastAsia" w:ascii="宋体" w:hAnsi="宋体" w:cs="宋体"/>
          <w:sz w:val="24"/>
          <w:szCs w:val="24"/>
          <w:highlight w:val="none"/>
        </w:rPr>
        <w:t xml:space="preserve">    15.1在投标人须知前附表中所规定的时间、地点开标。</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15.2开标由招标代理机构主持，采购人、投标人和有关方面代表参加。所有投标人应派授权代表参加开标会，并签到。投标人代表在开标时应持身份证原件和法定代表人授权书原件（投标人代表为法定代表人的无需）出席开标会（备查），出席开标会的投标人代表与投标文件中确定的投标人代表应一致。</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15.3开标时，由投标人或者其推选的代表检查投标文件的密封情况，经确认无误后，由工作人员当众拆封，宣读投标人名称、投标价格和投标文件的其他主要内容。 招标代理机构对唱标内容作开标记录，由投标人代表签字确认。投标人对开标有异议的，应当在开标现场提出，未当场提出异议的均视同认可开标记录和开标活动的其它安排。</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15.4投标人派出人员为非投标人代表的，招标代理机构有权拒绝其进入开标会现场并且不允许其对开标记录进行签字确认，并按“投标人无确认”(即：投标人不得在开标会后以“文件密封、标记和递交，投标报价、开标记录”等方面的事由提出任何异议或要求)处理。</w:t>
      </w:r>
    </w:p>
    <w:p>
      <w:pPr>
        <w:spacing w:line="384" w:lineRule="exact"/>
        <w:rPr>
          <w:rFonts w:ascii="宋体" w:hAnsi="宋体" w:cs="宋体"/>
          <w:sz w:val="24"/>
          <w:szCs w:val="24"/>
          <w:highlight w:val="none"/>
        </w:rPr>
      </w:pPr>
      <w:r>
        <w:rPr>
          <w:rFonts w:hint="eastAsia" w:ascii="宋体" w:hAnsi="宋体" w:cs="宋体"/>
          <w:sz w:val="24"/>
          <w:szCs w:val="24"/>
          <w:highlight w:val="none"/>
        </w:rPr>
        <w:t>16.资格审查</w:t>
      </w:r>
    </w:p>
    <w:p>
      <w:pPr>
        <w:spacing w:line="384" w:lineRule="exact"/>
        <w:ind w:firstLine="480" w:firstLineChars="200"/>
        <w:rPr>
          <w:rFonts w:ascii="宋体" w:hAnsi="宋体" w:cs="宋体"/>
          <w:highlight w:val="none"/>
        </w:rPr>
      </w:pPr>
      <w:r>
        <w:rPr>
          <w:rFonts w:hint="eastAsia" w:ascii="宋体" w:hAnsi="宋体" w:cs="宋体"/>
          <w:sz w:val="24"/>
          <w:szCs w:val="24"/>
          <w:highlight w:val="none"/>
        </w:rPr>
        <w:t>评标委员将依据投标人提交的投标文件按本须知第3条所述资格标准对投标人进行资格审查, 以确定其是否具备投标资格。如果投标人不具备投标资格，不满足招标文件所规定的资格标准或提供资格证明文件不全的, 其投标将被拒绝，不进入评标。</w:t>
      </w:r>
    </w:p>
    <w:p>
      <w:pPr>
        <w:spacing w:line="384" w:lineRule="exact"/>
        <w:rPr>
          <w:rFonts w:ascii="宋体" w:hAnsi="宋体" w:cs="宋体"/>
          <w:sz w:val="24"/>
          <w:szCs w:val="24"/>
          <w:highlight w:val="none"/>
        </w:rPr>
      </w:pPr>
      <w:r>
        <w:rPr>
          <w:rFonts w:hint="eastAsia" w:ascii="宋体" w:hAnsi="宋体" w:cs="宋体"/>
          <w:sz w:val="24"/>
          <w:szCs w:val="24"/>
          <w:highlight w:val="none"/>
        </w:rPr>
        <w:t>17.评标</w:t>
      </w:r>
    </w:p>
    <w:p>
      <w:pPr>
        <w:tabs>
          <w:tab w:val="left" w:pos="3330"/>
        </w:tabs>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17.1评标委员会：招标采购单位将根据招标项目的特点依法组建评标委员会。评标委员会由专家和采购人代表（如有）组成。成员人数见投标人须知前附表，专家不能少于三分之二。在开标后的适当时间里由评标委员会对投标文件进行审查、质疑、评估和比较，并做出授予合同的建议。评标委员会成员与投标人有利害关系必须回避的，应当主动提出回避申请。【利害关系是指：⑴参加采购活动前3年内与投标人存在劳动关系；⑵参加采购活动前3年内担任投标人的董事、监事；⑶参加采购活动前3年内是投标人的控股股东或者实际控制人；⑷与投标人的法定代表人或者负责人有夫妻、直系血亲、三代以内旁系血亲或者近姻亲关系；⑸与投标人有其他可能影响政府采购活动公平、公正进行的关系。】</w:t>
      </w:r>
    </w:p>
    <w:p>
      <w:pPr>
        <w:tabs>
          <w:tab w:val="left" w:pos="3330"/>
        </w:tabs>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17.2评标方法: 开标程序结束后，评标委员会按招标文件规定的评标方法进行评标。</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17.3对所有投标人的评估，都采用相同的程序和标准。评议过程将严格按照招标文件的要求和条件进行。</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17.4有关投标文件的审查、澄清、评估和比较以及推荐中标候选人的一切情况都不得透露给任一投标人或与上述评标工作无关的人员。</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17.5投标人任何试图影响评标委员会对投标文件的评估、比较或者推荐候选人的行为，都将导致其投标被拒绝，投标保证金不予退还。</w:t>
      </w:r>
    </w:p>
    <w:p>
      <w:pPr>
        <w:spacing w:line="384" w:lineRule="exact"/>
        <w:rPr>
          <w:rFonts w:ascii="宋体" w:hAnsi="宋体" w:cs="宋体"/>
          <w:sz w:val="24"/>
          <w:szCs w:val="24"/>
          <w:highlight w:val="none"/>
        </w:rPr>
      </w:pPr>
      <w:r>
        <w:rPr>
          <w:rFonts w:hint="eastAsia" w:ascii="宋体" w:hAnsi="宋体" w:cs="宋体"/>
          <w:highlight w:val="none"/>
        </w:rPr>
        <w:t>★</w:t>
      </w:r>
      <w:r>
        <w:rPr>
          <w:rFonts w:hint="eastAsia" w:ascii="宋体" w:hAnsi="宋体" w:cs="宋体"/>
          <w:sz w:val="24"/>
          <w:szCs w:val="24"/>
          <w:highlight w:val="none"/>
        </w:rPr>
        <w:t xml:space="preserve">18.符合性检查 </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18.1评标委员会从投标文件的有效性、完整性和对招标文件的响应程度进行审查，并逐项界定投标文件的全部投标偏差，以确定其是否对招标文件的实质性要求作出响应。</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18.2实质性偏离是指：（1）实质性影响合同的范围、质量和履行；（2）实质性违背招标文件，限制了采购人的权利和中标人合同项下的义务；（3）不公正地影响了其它作出实质性响应的投标人的竞争地位。（4）投标文件存在招标文件规定的重大偏差。对没有实质性响应的投标文件将不进行评估，其投标将被拒绝。</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18.2.1投标偏差分为重大偏差和细微偏差：</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18.2.1.1重大偏差：下述情况属于重大偏差，投标文件也将被视为未实质性响应招标文件要求，其投标将被拒绝。</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⑴、明显不符合技术规格、技术标准的要求；</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⑵、投标文件附有采购人不能接受的条件；</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⑶、投标文件载明的货物包装方式、检验标准和方法等不符合招标文件的要求；</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⑷、投标文件载明的招标项目完成期限超过招标文件规定的；</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⑸、投标文件载明的付款方式不满足招标文件规定的；</w:t>
      </w:r>
    </w:p>
    <w:p>
      <w:pPr>
        <w:spacing w:line="384" w:lineRule="exact"/>
        <w:ind w:firstLine="480" w:firstLineChars="200"/>
        <w:rPr>
          <w:rFonts w:ascii="宋体" w:hAnsi="宋体" w:cs="宋体"/>
          <w:color w:val="FF0000"/>
          <w:sz w:val="24"/>
          <w:szCs w:val="24"/>
          <w:highlight w:val="none"/>
        </w:rPr>
      </w:pPr>
      <w:r>
        <w:rPr>
          <w:rFonts w:hint="eastAsia" w:ascii="宋体" w:hAnsi="宋体" w:cs="宋体"/>
          <w:sz w:val="24"/>
          <w:szCs w:val="24"/>
          <w:highlight w:val="none"/>
        </w:rPr>
        <w:t>⑹、投标产品不符合国家强制性要求的。</w:t>
      </w:r>
      <w:r>
        <w:rPr>
          <w:rFonts w:hint="eastAsia" w:ascii="宋体" w:hAnsi="宋体" w:cs="宋体"/>
          <w:color w:val="FF0000"/>
          <w:sz w:val="24"/>
          <w:szCs w:val="24"/>
          <w:highlight w:val="none"/>
        </w:rPr>
        <w:t xml:space="preserve"> </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⑺、投标文件存在</w:t>
      </w:r>
      <w:r>
        <w:rPr>
          <w:rFonts w:hint="eastAsia" w:ascii="宋体" w:hAnsi="宋体" w:cs="宋体"/>
          <w:sz w:val="24"/>
          <w:szCs w:val="24"/>
          <w:highlight w:val="none"/>
          <w:u w:val="single"/>
        </w:rPr>
        <w:t xml:space="preserve"> / </w:t>
      </w:r>
      <w:r>
        <w:rPr>
          <w:rFonts w:hint="eastAsia" w:ascii="宋体" w:hAnsi="宋体" w:cs="宋体"/>
          <w:sz w:val="24"/>
          <w:szCs w:val="24"/>
          <w:highlight w:val="none"/>
        </w:rPr>
        <w:t>项（类）细微偏差的。</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⑻、不符合招标文件中规定的其他实质性要求。</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18.3.2细微偏差：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下述情况属于细微偏差：</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⑴、有明显文字和算术计算错误的内容，能接受评委会提出修正意见的；</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⑵、同类问题出现前后文字表述不一致；</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⑶、含义不明确的表述。</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评标委员会应当书面要求存在细微偏差的投标人在评标结束前予以补正。补正的程序和方法按照法律法规对澄清的规定执行。无法补正的，可在评审时对细微偏差作不利于该投标人的认定。</w:t>
      </w:r>
    </w:p>
    <w:p>
      <w:pPr>
        <w:adjustRightInd w:val="0"/>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18.3关于相同品牌产品</w:t>
      </w:r>
      <w:r>
        <w:rPr>
          <w:rFonts w:hint="eastAsia" w:ascii="宋体" w:hAnsi="宋体" w:cs="宋体"/>
          <w:b/>
          <w:bCs/>
          <w:sz w:val="24"/>
          <w:szCs w:val="24"/>
          <w:highlight w:val="none"/>
        </w:rPr>
        <w:t>（本条规定不适用于服务类项目）</w:t>
      </w:r>
    </w:p>
    <w:p>
      <w:pPr>
        <w:pStyle w:val="26"/>
        <w:spacing w:before="0" w:beforeAutospacing="0" w:after="0" w:afterAutospacing="0" w:line="384" w:lineRule="exact"/>
        <w:ind w:firstLine="480" w:firstLineChars="200"/>
        <w:rPr>
          <w:kern w:val="2"/>
          <w:highlight w:val="none"/>
        </w:rPr>
      </w:pPr>
      <w:r>
        <w:rPr>
          <w:rFonts w:hint="eastAsia"/>
          <w:highlight w:val="none"/>
        </w:rPr>
        <w:t>18.3.1</w:t>
      </w:r>
      <w:r>
        <w:rPr>
          <w:rFonts w:hint="eastAsia"/>
          <w:kern w:val="2"/>
          <w:highlight w:val="none"/>
        </w:rPr>
        <w:t>提供相同品牌产品的不同投标人参加同一合同项下投标的，按照下列规定处理：</w:t>
      </w:r>
    </w:p>
    <w:p>
      <w:pPr>
        <w:pStyle w:val="26"/>
        <w:spacing w:before="0" w:beforeAutospacing="0" w:after="0" w:afterAutospacing="0" w:line="384" w:lineRule="exact"/>
        <w:ind w:firstLine="360" w:firstLineChars="150"/>
        <w:rPr>
          <w:kern w:val="2"/>
          <w:highlight w:val="none"/>
        </w:rPr>
      </w:pPr>
      <w:r>
        <w:rPr>
          <w:rFonts w:hint="eastAsia"/>
          <w:kern w:val="2"/>
          <w:highlight w:val="none"/>
        </w:rPr>
        <w:t>（1）</w:t>
      </w:r>
      <w:r>
        <w:rPr>
          <w:rFonts w:hint="eastAsia"/>
          <w:highlight w:val="none"/>
        </w:rPr>
        <w:t>采用综合评标价法的，提供相同品牌产品的不同投标人参加同一合同项下投标的，以其中通过资格审查、符合性审查且报价最低的参加评标；报价相同的，</w:t>
      </w:r>
      <w:r>
        <w:rPr>
          <w:rFonts w:hint="eastAsia"/>
          <w:kern w:val="2"/>
          <w:highlight w:val="none"/>
        </w:rPr>
        <w:t>由评标委员会按照技术指标优劣、服务要求响应优劣、资格条件高低、商务条件高低情况依序择优确定。其余</w:t>
      </w:r>
      <w:r>
        <w:rPr>
          <w:rFonts w:hint="eastAsia"/>
          <w:b/>
          <w:bCs/>
          <w:kern w:val="2"/>
          <w:highlight w:val="none"/>
        </w:rPr>
        <w:t>投标无效</w:t>
      </w:r>
      <w:r>
        <w:rPr>
          <w:rFonts w:hint="eastAsia"/>
          <w:kern w:val="2"/>
          <w:highlight w:val="none"/>
        </w:rPr>
        <w:t>。</w:t>
      </w:r>
    </w:p>
    <w:p>
      <w:pPr>
        <w:pStyle w:val="26"/>
        <w:spacing w:before="0" w:beforeAutospacing="0" w:after="0" w:afterAutospacing="0" w:line="384" w:lineRule="exact"/>
        <w:ind w:firstLine="480" w:firstLineChars="200"/>
        <w:rPr>
          <w:kern w:val="2"/>
          <w:highlight w:val="none"/>
        </w:rPr>
      </w:pPr>
      <w:r>
        <w:rPr>
          <w:rFonts w:hint="eastAsia"/>
          <w:kern w:val="2"/>
          <w:highlight w:val="none"/>
        </w:rPr>
        <w:t>评标委员会按照上述规定确定有效投标人后，若投标人家数不足3家，按照本章第20.6条规定处理。家数达到3家或以上的，评标继续。</w:t>
      </w:r>
    </w:p>
    <w:p>
      <w:pPr>
        <w:pStyle w:val="26"/>
        <w:spacing w:before="0" w:beforeAutospacing="0" w:after="0" w:afterAutospacing="0" w:line="384" w:lineRule="exact"/>
        <w:ind w:firstLine="240" w:firstLineChars="100"/>
        <w:rPr>
          <w:highlight w:val="none"/>
        </w:rPr>
      </w:pPr>
      <w:r>
        <w:rPr>
          <w:rFonts w:hint="eastAsia"/>
          <w:kern w:val="2"/>
          <w:highlight w:val="none"/>
        </w:rPr>
        <w:t>（2）</w:t>
      </w:r>
      <w:r>
        <w:rPr>
          <w:rFonts w:hint="eastAsia"/>
          <w:highlight w:val="none"/>
        </w:rPr>
        <w:t>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w:t>
      </w:r>
      <w:r>
        <w:rPr>
          <w:rFonts w:hint="eastAsia"/>
          <w:kern w:val="2"/>
          <w:highlight w:val="none"/>
        </w:rPr>
        <w:t>按照技术指标优劣、服务要求响应优劣、资格条件高低、商务条件高低情况依序择优确定</w:t>
      </w:r>
      <w:r>
        <w:rPr>
          <w:rFonts w:hint="eastAsia"/>
          <w:highlight w:val="none"/>
        </w:rPr>
        <w:t>一个投标人获得中标人推荐资格，其他同品牌投标人不作为中标候选人。</w:t>
      </w:r>
    </w:p>
    <w:p>
      <w:pPr>
        <w:pStyle w:val="26"/>
        <w:spacing w:before="0" w:beforeAutospacing="0" w:after="0" w:afterAutospacing="0" w:line="384" w:lineRule="exact"/>
        <w:ind w:firstLine="480" w:firstLineChars="200"/>
        <w:rPr>
          <w:highlight w:val="none"/>
        </w:rPr>
      </w:pPr>
      <w:r>
        <w:rPr>
          <w:rFonts w:hint="eastAsia"/>
          <w:highlight w:val="none"/>
        </w:rPr>
        <w:t>（3）非单一产品采购项目中，所有核心产品多家投标人均用同一品牌产品参加同一个合同包投标的，视为提供相同品牌产品。</w:t>
      </w:r>
    </w:p>
    <w:p>
      <w:pPr>
        <w:pStyle w:val="26"/>
        <w:spacing w:before="0" w:beforeAutospacing="0" w:after="0" w:afterAutospacing="0" w:line="384" w:lineRule="exact"/>
        <w:ind w:firstLine="480" w:firstLineChars="200"/>
        <w:rPr>
          <w:highlight w:val="none"/>
        </w:rPr>
      </w:pPr>
      <w:r>
        <w:rPr>
          <w:rFonts w:hint="eastAsia"/>
          <w:kern w:val="2"/>
          <w:highlight w:val="none"/>
        </w:rPr>
        <w:t xml:space="preserve"> </w:t>
      </w:r>
      <w:r>
        <w:rPr>
          <w:rFonts w:hint="eastAsia"/>
          <w:highlight w:val="none"/>
        </w:rPr>
        <w:t>18.4评标委员会决定投标的响应性只根据投标文件本身的内容，而不寻求其他的外部证据。</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18.5评标委员会应依据投标人的全部投标材料，对照招标文件要求进行评审，逐一核对投标人提交的证明材料，不得仅依据“标的说明一览表”、“技术规格和商务偏离表”做出评价。资格条款和不响应即为无效投标的实质性条款按照福建省财政厅关于《福建省省级政府采购货物和服务项目招标文件编制指引和实施指引》的补充通知（四）第一点第三款的要求，对投标描述和证明材料不一致的，评标委员会应认定为该项资格条件或该项实质性要求不响应；得（扣）分条款及其他条款，对投标描述和证明材料不一致的，评标委员会应当要求投标人进行书面澄清，并以不利于投标人的内容为准进行评审。投标人的澄清、说明应当采用书面形式，并不得超出投标文件的范围或者改变投标文件的实质性内容。投标人按要求进行澄清的，采购人以澄清内容为准进行验收；投标人未按要求进行澄清的，采购人以投标描述、证明材料中有利于采购人的内容进行验收。</w:t>
      </w:r>
    </w:p>
    <w:p>
      <w:pPr>
        <w:spacing w:line="384" w:lineRule="exact"/>
        <w:ind w:firstLine="420" w:firstLineChars="200"/>
        <w:rPr>
          <w:rFonts w:ascii="宋体" w:hAnsi="宋体" w:cs="宋体"/>
          <w:sz w:val="24"/>
          <w:szCs w:val="24"/>
          <w:highlight w:val="none"/>
        </w:rPr>
      </w:pPr>
      <w:r>
        <w:rPr>
          <w:rFonts w:hint="eastAsia" w:ascii="宋体" w:hAnsi="宋体" w:cs="宋体"/>
          <w:highlight w:val="none"/>
        </w:rPr>
        <w:t>★</w:t>
      </w:r>
      <w:r>
        <w:rPr>
          <w:rFonts w:hint="eastAsia" w:ascii="宋体" w:hAnsi="宋体" w:cs="宋体"/>
          <w:sz w:val="24"/>
          <w:szCs w:val="24"/>
          <w:highlight w:val="none"/>
        </w:rPr>
        <w:t>18.6评标委员会在评标过程中发现投标人存在下列情形之一的，可认定其有串通投标行为，并做出其投标无效的决定：</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18.6.1不同投标人的投标文件错、漏之处一致或雷同，且不能合理解释的；</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18.6.2不同的投标人的法定代表人、委托代理人等由同一个单位缴纳社会保险的；</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18.6.3由同一人或分别由几个有利害关系人携带两个以上（含两个）投标人的企业资料参与资格审查、领取采购项目资料，或代表两个以上（含两个）投标人参加答疑会、交纳或退还投标保证金、参加投标的；</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18.6.4不同投标人的投标文件由同一单位或个人编制的；</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18.6.5不同投标人委托同一单位或者个人办理响应事宜的；</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18.6.6不同投标人的投标文件载明的项目管理成员为同一人的；</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18.6.7不同投标人的投标文件异常一致或者响应报价呈规律性差异的；</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18.6.8不同投标人的投标文件相互混装的；</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18.6.9不同投标人的投标保证金从同一单位或者个人的帐户转出的；</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18.6.10有关法律、法规或规章规定的其他串通投标行为。</w:t>
      </w:r>
    </w:p>
    <w:p>
      <w:pPr>
        <w:spacing w:line="384" w:lineRule="exact"/>
        <w:rPr>
          <w:rFonts w:ascii="宋体" w:hAnsi="宋体" w:cs="宋体"/>
          <w:sz w:val="24"/>
          <w:szCs w:val="24"/>
          <w:highlight w:val="none"/>
        </w:rPr>
      </w:pPr>
      <w:r>
        <w:rPr>
          <w:rFonts w:hint="eastAsia" w:ascii="宋体" w:hAnsi="宋体" w:cs="宋体"/>
          <w:sz w:val="24"/>
          <w:szCs w:val="24"/>
          <w:highlight w:val="none"/>
        </w:rPr>
        <w:t>19.投标文件的澄清</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19.1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 </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19.2评标委员会不接受投标人主动提出的澄清、说明。</w:t>
      </w:r>
    </w:p>
    <w:p>
      <w:pPr>
        <w:spacing w:line="384" w:lineRule="exact"/>
        <w:rPr>
          <w:rFonts w:ascii="宋体" w:hAnsi="宋体" w:cs="宋体"/>
          <w:sz w:val="24"/>
          <w:szCs w:val="24"/>
          <w:highlight w:val="none"/>
        </w:rPr>
      </w:pPr>
      <w:r>
        <w:rPr>
          <w:rFonts w:hint="eastAsia" w:ascii="宋体" w:hAnsi="宋体" w:cs="宋体"/>
          <w:sz w:val="24"/>
          <w:szCs w:val="24"/>
          <w:highlight w:val="none"/>
        </w:rPr>
        <w:t>20.比较与评价</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20.1  评标委员会将按投标人须知前附表所述的评标方法与标准，对资格性检查和符合性检查合格的投标文件进行商务和技术评估，综合比较与评价。</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20.2  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20.3评标委员会认为投标人的报价明显低于其他通过实质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20.4 对投标文件算术错误将按以下方法更正：如果投标人不接受下述方法对投标文件中的算术错误进行更正的，其投标将被拒绝，投标保证金不予退还。</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（1）投标文件中开标一览表（报价表）内容与投标文件中相应内容不一致的，以开标一览表（报价表）为准；存在多份开标一览表的，以公开宣唱的为准。</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（2）大写金额和小写金额不一致的，以大写金额为准；</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（3）单价金额小数点或者百分比有明显错位的，以开标一览表的总价为准，并修改单价；</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（4）总价金额与按单价汇总金额不一致的，以单价金额计算结果为准。</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同时出现两种以上不一致的，按照前款规定的顺序修正。当同时出现上述错误，更正方法相冲突时，可采取对“有错”投标人不利的原则进行修正。</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20.5评标委员会将按比较与评价最优在先原则, 排列评价顺序, 根据在投标人须知前附表中确定的中标候选人数量推荐出中标候选人。</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20.6 在评标期间，若出现符合本须知规定的所有投标条件的投标人不足三家情形的，本次招标程序终止，除采购任务取消情形外，招标采购单位将依法重新组织招标或者采取其他方式采购，招标采购单位不承担由此导致项目流标所带来的任何后果及风险。</w:t>
      </w:r>
    </w:p>
    <w:p>
      <w:pPr>
        <w:spacing w:line="384" w:lineRule="exact"/>
        <w:ind w:firstLine="480" w:firstLineChars="200"/>
        <w:rPr>
          <w:rFonts w:ascii="宋体" w:hAnsi="宋体" w:cs="宋体"/>
          <w:sz w:val="24"/>
          <w:szCs w:val="24"/>
          <w:highlight w:val="none"/>
        </w:rPr>
      </w:pPr>
    </w:p>
    <w:p>
      <w:pPr>
        <w:spacing w:line="384" w:lineRule="exact"/>
        <w:jc w:val="center"/>
        <w:rPr>
          <w:rFonts w:ascii="宋体" w:hAnsi="宋体" w:cs="宋体"/>
          <w:b/>
          <w:bCs/>
          <w:sz w:val="24"/>
          <w:szCs w:val="24"/>
          <w:highlight w:val="none"/>
        </w:rPr>
      </w:pPr>
      <w:r>
        <w:rPr>
          <w:rFonts w:hint="eastAsia" w:ascii="宋体" w:hAnsi="宋体" w:cs="宋体"/>
          <w:b/>
          <w:bCs/>
          <w:sz w:val="24"/>
          <w:szCs w:val="24"/>
          <w:highlight w:val="none"/>
        </w:rPr>
        <w:t>六、定标与签订合同</w:t>
      </w:r>
    </w:p>
    <w:p>
      <w:pPr>
        <w:spacing w:line="384" w:lineRule="exact"/>
        <w:rPr>
          <w:rFonts w:ascii="宋体" w:hAnsi="宋体" w:cs="宋体"/>
          <w:b/>
          <w:bCs/>
          <w:sz w:val="24"/>
          <w:szCs w:val="24"/>
          <w:highlight w:val="none"/>
        </w:rPr>
      </w:pPr>
      <w:r>
        <w:rPr>
          <w:rFonts w:hint="eastAsia" w:ascii="宋体" w:hAnsi="宋体" w:cs="宋体"/>
          <w:b/>
          <w:bCs/>
          <w:sz w:val="24"/>
          <w:szCs w:val="24"/>
          <w:highlight w:val="none"/>
        </w:rPr>
        <w:t>21.定标准则</w:t>
      </w:r>
    </w:p>
    <w:p>
      <w:pPr>
        <w:spacing w:line="384" w:lineRule="exact"/>
        <w:ind w:firstLine="480"/>
        <w:rPr>
          <w:rFonts w:ascii="宋体" w:hAnsi="宋体" w:cs="宋体"/>
          <w:sz w:val="24"/>
          <w:szCs w:val="24"/>
          <w:highlight w:val="none"/>
        </w:rPr>
      </w:pPr>
      <w:r>
        <w:rPr>
          <w:rFonts w:hint="eastAsia" w:ascii="宋体" w:hAnsi="宋体" w:cs="宋体"/>
          <w:sz w:val="24"/>
          <w:szCs w:val="24"/>
          <w:highlight w:val="none"/>
        </w:rPr>
        <w:t>21.1投标人的投标文件符合招标文件要求，按招标文件确定的评标方法及标准，经评委评审并推荐中标候选人。</w:t>
      </w:r>
    </w:p>
    <w:p>
      <w:pPr>
        <w:spacing w:line="384" w:lineRule="exact"/>
        <w:ind w:firstLine="480"/>
        <w:rPr>
          <w:rFonts w:ascii="宋体" w:hAnsi="宋体" w:cs="宋体"/>
          <w:sz w:val="24"/>
          <w:szCs w:val="24"/>
          <w:highlight w:val="none"/>
        </w:rPr>
      </w:pPr>
      <w:r>
        <w:rPr>
          <w:rFonts w:hint="eastAsia" w:ascii="宋体" w:hAnsi="宋体" w:cs="宋体"/>
          <w:sz w:val="24"/>
          <w:szCs w:val="24"/>
          <w:highlight w:val="none"/>
        </w:rPr>
        <w:t>21.2采购人根据评标委员会推荐的中标候选人中依法确定中标人。采购人应当依法确定排名第一的中标候选人为中标人。当排名第一的中标候选人放弃中标、因不可抗力不能履行合同、不按照招标文件要求提交履约保证金，或者被查实存在影响中标结果的违法行为等情形，不符合中标条件的，则将按招标失败处理，重新启动招标程序。</w:t>
      </w:r>
    </w:p>
    <w:p>
      <w:pPr>
        <w:spacing w:line="384" w:lineRule="exact"/>
        <w:rPr>
          <w:rFonts w:ascii="宋体" w:hAnsi="宋体" w:cs="宋体"/>
          <w:sz w:val="24"/>
          <w:szCs w:val="24"/>
          <w:highlight w:val="none"/>
        </w:rPr>
      </w:pPr>
      <w:r>
        <w:rPr>
          <w:rFonts w:hint="eastAsia" w:ascii="宋体" w:hAnsi="宋体" w:cs="宋体"/>
          <w:sz w:val="24"/>
          <w:szCs w:val="24"/>
          <w:highlight w:val="none"/>
        </w:rPr>
        <w:t>22.中标通知</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22.1评标结束后，评标结果经采购人确认后，招标代理机构将在刊登本采购项目招标公告的媒介上对中标结果进行公示，并向中标人发出中标通知书。中标通知书对采购人和中标人具有同等法律效力。中标通知书发出后，采购人改变中标结果，或者中标人放弃中标，应按相关法律、规章、规范性文件的要求承担相应的法律责任。</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22.2在中标合同签字生效后，招标代理机构将向未中标人发出落标结果通知书。未中标的投标人在发出落标结果通知书的二周内到招标代理机构领取，逾期未领取者，视为放弃领取。</w:t>
      </w:r>
    </w:p>
    <w:p>
      <w:pPr>
        <w:spacing w:line="384" w:lineRule="exact"/>
        <w:ind w:firstLine="420"/>
        <w:rPr>
          <w:rFonts w:ascii="宋体" w:hAnsi="宋体" w:cs="宋体"/>
          <w:sz w:val="24"/>
          <w:szCs w:val="24"/>
          <w:highlight w:val="none"/>
        </w:rPr>
      </w:pPr>
      <w:r>
        <w:rPr>
          <w:rFonts w:hint="eastAsia" w:ascii="宋体" w:hAnsi="宋体" w:cs="宋体"/>
          <w:sz w:val="24"/>
          <w:szCs w:val="24"/>
          <w:highlight w:val="none"/>
        </w:rPr>
        <w:t>22.3《中标通知书》将作为签订合同的依据。《合同》签订后，《中标通知书》成为《合同》的一部分。</w:t>
      </w:r>
    </w:p>
    <w:p>
      <w:pPr>
        <w:spacing w:line="384" w:lineRule="exact"/>
        <w:rPr>
          <w:rFonts w:ascii="宋体" w:hAnsi="宋体" w:cs="宋体"/>
          <w:sz w:val="24"/>
          <w:szCs w:val="24"/>
          <w:highlight w:val="none"/>
        </w:rPr>
      </w:pPr>
      <w:r>
        <w:rPr>
          <w:rFonts w:hint="eastAsia" w:ascii="宋体" w:hAnsi="宋体" w:cs="宋体"/>
          <w:sz w:val="24"/>
          <w:szCs w:val="24"/>
          <w:highlight w:val="none"/>
        </w:rPr>
        <w:t>23.招标代理服务费</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23.1本项目采购代理服务费向中标人收取。 </w:t>
      </w:r>
    </w:p>
    <w:p>
      <w:pPr>
        <w:pStyle w:val="73"/>
        <w:spacing w:line="384" w:lineRule="exact"/>
        <w:ind w:firstLine="480" w:firstLineChars="200"/>
        <w:rPr>
          <w:rFonts w:hAnsi="宋体"/>
          <w:color w:val="auto"/>
          <w:highlight w:val="none"/>
        </w:rPr>
      </w:pPr>
      <w:r>
        <w:rPr>
          <w:rFonts w:hint="eastAsia" w:hAnsi="宋体"/>
          <w:color w:val="auto"/>
          <w:highlight w:val="none"/>
        </w:rPr>
        <w:t>23.2招标代理服务费交纳方式：在领取中标通知书前以转帐或电汇方式汇入本公司帐户。</w:t>
      </w:r>
    </w:p>
    <w:p>
      <w:pPr>
        <w:pStyle w:val="73"/>
        <w:spacing w:line="384" w:lineRule="exact"/>
        <w:rPr>
          <w:rFonts w:hAnsi="宋体"/>
          <w:color w:val="auto"/>
          <w:highlight w:val="none"/>
        </w:rPr>
      </w:pPr>
      <w:r>
        <w:rPr>
          <w:rFonts w:hint="eastAsia" w:hAnsi="宋体"/>
          <w:color w:val="auto"/>
          <w:highlight w:val="none"/>
        </w:rPr>
        <w:t>24.签订合同</w:t>
      </w:r>
    </w:p>
    <w:p>
      <w:pPr>
        <w:spacing w:line="384" w:lineRule="exact"/>
        <w:ind w:firstLine="420"/>
        <w:rPr>
          <w:rFonts w:ascii="宋体" w:hAnsi="宋体" w:cs="宋体"/>
          <w:sz w:val="24"/>
          <w:szCs w:val="24"/>
          <w:highlight w:val="none"/>
        </w:rPr>
      </w:pPr>
      <w:r>
        <w:rPr>
          <w:rFonts w:hint="eastAsia" w:ascii="宋体" w:hAnsi="宋体" w:cs="宋体"/>
          <w:sz w:val="24"/>
          <w:szCs w:val="24"/>
          <w:highlight w:val="none"/>
        </w:rPr>
        <w:t>24.1采购人、中标人在《中标通知书》发出之日起</w:t>
      </w:r>
      <w:r>
        <w:rPr>
          <w:rFonts w:hint="eastAsia" w:ascii="宋体" w:hAnsi="宋体" w:cs="宋体"/>
          <w:sz w:val="24"/>
          <w:szCs w:val="24"/>
          <w:highlight w:val="none"/>
          <w:shd w:val="clear" w:color="FFFFFF" w:fill="D9D9D9"/>
          <w:lang w:val="en-US" w:eastAsia="zh-CN"/>
        </w:rPr>
        <w:t>7个工作日</w:t>
      </w:r>
      <w:r>
        <w:rPr>
          <w:rFonts w:hint="eastAsia" w:ascii="宋体" w:hAnsi="宋体" w:cs="宋体"/>
          <w:sz w:val="24"/>
          <w:szCs w:val="24"/>
          <w:highlight w:val="none"/>
          <w:lang w:val="en-US" w:eastAsia="zh-CN"/>
        </w:rPr>
        <w:t>内</w:t>
      </w:r>
      <w:r>
        <w:rPr>
          <w:rFonts w:hint="eastAsia" w:ascii="宋体" w:hAnsi="宋体" w:cs="宋体"/>
          <w:sz w:val="24"/>
          <w:szCs w:val="24"/>
          <w:highlight w:val="none"/>
        </w:rPr>
        <w:t>根据相关法律及法规规定、招标文件确定的事项和中标人投标文件，参照本招标文件第四章的《合同格式》文本签订合同。双方所签订的合同不得对招标文件和中标人投标文件作实质性修改。逾期未签订合同，按照有关法律规定承担相应的法律责任；招标代理机构将不予退还投标保证金，以抵偿对采购人造成的损失。采购方逾期不与中标人签订合同的，按政府采购的有关规定处理。</w:t>
      </w:r>
    </w:p>
    <w:p>
      <w:pPr>
        <w:spacing w:line="384" w:lineRule="exact"/>
        <w:ind w:firstLine="420"/>
        <w:rPr>
          <w:rFonts w:ascii="宋体" w:hAnsi="宋体" w:cs="宋体"/>
          <w:sz w:val="24"/>
          <w:szCs w:val="24"/>
          <w:highlight w:val="none"/>
        </w:rPr>
      </w:pPr>
      <w:r>
        <w:rPr>
          <w:rFonts w:hint="eastAsia" w:ascii="宋体" w:hAnsi="宋体" w:cs="宋体"/>
          <w:sz w:val="24"/>
          <w:szCs w:val="24"/>
          <w:highlight w:val="none"/>
        </w:rPr>
        <w:t>24.2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pPr>
        <w:spacing w:line="384" w:lineRule="exact"/>
        <w:ind w:firstLine="420"/>
        <w:rPr>
          <w:rFonts w:ascii="宋体" w:hAnsi="宋体" w:cs="宋体"/>
          <w:sz w:val="24"/>
          <w:szCs w:val="24"/>
          <w:highlight w:val="none"/>
        </w:rPr>
      </w:pPr>
      <w:r>
        <w:rPr>
          <w:rFonts w:hint="eastAsia" w:ascii="宋体" w:hAnsi="宋体" w:cs="宋体"/>
          <w:sz w:val="24"/>
          <w:szCs w:val="24"/>
          <w:highlight w:val="none"/>
        </w:rPr>
        <w:t xml:space="preserve">24.3采购人在合同履行中，需追加与合同标的相同的货物或者服务的，在不改变合同其他条款的前提下，可与投标人协商签订补充合同，但所有补充合同的采购金额不得超过原合同采购金额的百分之十。 </w:t>
      </w:r>
    </w:p>
    <w:p>
      <w:pPr>
        <w:spacing w:line="384" w:lineRule="exact"/>
        <w:ind w:firstLine="480" w:firstLineChars="200"/>
        <w:rPr>
          <w:rFonts w:ascii="宋体" w:hAnsi="宋体" w:cs="宋体"/>
          <w:sz w:val="24"/>
          <w:szCs w:val="24"/>
          <w:highlight w:val="none"/>
        </w:rPr>
      </w:pPr>
      <w:r>
        <w:rPr>
          <w:rFonts w:hint="eastAsia" w:ascii="宋体" w:hAnsi="宋体" w:cs="宋体"/>
          <w:sz w:val="24"/>
          <w:szCs w:val="24"/>
          <w:highlight w:val="none"/>
        </w:rPr>
        <w:t>24.4履约保证金：本项目是否需缴纳履约保证金详见投标人须知前附表。</w:t>
      </w:r>
    </w:p>
    <w:p>
      <w:pPr>
        <w:spacing w:line="384" w:lineRule="exact"/>
        <w:ind w:firstLine="420"/>
        <w:rPr>
          <w:rFonts w:ascii="宋体" w:hAnsi="宋体" w:cs="宋体"/>
          <w:sz w:val="24"/>
          <w:szCs w:val="24"/>
          <w:highlight w:val="none"/>
        </w:rPr>
      </w:pPr>
    </w:p>
    <w:p>
      <w:pPr>
        <w:spacing w:line="384" w:lineRule="exact"/>
        <w:ind w:firstLine="420"/>
        <w:jc w:val="center"/>
        <w:rPr>
          <w:rFonts w:ascii="宋体" w:hAnsi="宋体" w:cs="宋体"/>
          <w:b/>
          <w:bCs/>
          <w:sz w:val="24"/>
          <w:szCs w:val="24"/>
          <w:highlight w:val="none"/>
        </w:rPr>
      </w:pPr>
      <w:r>
        <w:rPr>
          <w:rFonts w:hint="eastAsia" w:ascii="宋体" w:hAnsi="宋体" w:cs="宋体"/>
          <w:b/>
          <w:bCs/>
          <w:sz w:val="24"/>
          <w:szCs w:val="24"/>
          <w:highlight w:val="none"/>
        </w:rPr>
        <w:t>七、询问、质疑与投诉</w:t>
      </w:r>
    </w:p>
    <w:p>
      <w:pPr>
        <w:spacing w:line="384" w:lineRule="exact"/>
        <w:rPr>
          <w:rFonts w:ascii="宋体" w:hAnsi="宋体" w:cs="宋体"/>
          <w:color w:val="000000"/>
          <w:sz w:val="24"/>
          <w:highlight w:val="none"/>
        </w:rPr>
      </w:pPr>
      <w:r>
        <w:rPr>
          <w:rFonts w:hint="eastAsia" w:ascii="宋体" w:hAnsi="宋体" w:cs="宋体"/>
          <w:color w:val="000000"/>
          <w:sz w:val="24"/>
          <w:highlight w:val="none"/>
        </w:rPr>
        <w:t>25.询问</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25.1潜在投标人或投标人对本次采购活动的有关事项若有疑问，可向福建省中达招标代理有限公司提出询问，福建省中达招标代理有限公司将按照政府采购法及实施条例的有关规定进行答复。</w:t>
      </w:r>
    </w:p>
    <w:p>
      <w:pPr>
        <w:spacing w:line="384" w:lineRule="exact"/>
        <w:rPr>
          <w:rFonts w:ascii="宋体" w:hAnsi="宋体" w:cs="宋体"/>
          <w:color w:val="000000"/>
          <w:sz w:val="24"/>
          <w:highlight w:val="none"/>
        </w:rPr>
      </w:pPr>
      <w:r>
        <w:rPr>
          <w:rFonts w:hint="eastAsia" w:ascii="宋体" w:hAnsi="宋体" w:cs="宋体"/>
          <w:color w:val="000000"/>
          <w:sz w:val="24"/>
          <w:highlight w:val="none"/>
        </w:rPr>
        <w:t>26.质疑</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26.1针对同一采购程序环节的质疑应在政府采购法及实施条例规定的时限内一次性提出，并同时符合下列条件：</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1）对招标文件提出质疑的，质疑人应为潜在投标人（指已按规定程序通过招标代理机构合法获取招标文件且有意向参加本项目投标的投标人），且两者的身份、名称等均应保持一致。对采购过程、结果提出质疑的，质疑人应为投标人（指已按规定程序通过招标代理机构合法获取招标文件并已参加本项目投标的投标人），且两者的身份、名称等均应保持一致。</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（2）质疑人可在质疑时效期间内以书面形式提出质疑。</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（3）质疑函应包括下列主要内容：</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①质疑人的基本信息，至少包括：全称、地址、邮政编码等；</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②所质疑项目的基本信息，至少包括：项目编号、项目名称等；</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③所质疑的具体事项（以下简称：“质疑事项”）；</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④针对质疑事项提出的明确请求，前述明确请求指质疑人提出质疑的目的以及希望福建省中达招标代理有限公司对其质疑作出的处理结果，如：暂停采购活动、修改招标文件、停止或纠正违法违规行为、中标（成交）结果无效、废标、重新招标（采购）等；</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⑤针对质疑事项导致质疑人自身权益受到损害的必要证明材料，至少包括：</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a.质疑人代表的身份证明材料：</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a2若本项目接受自然人投标且质疑人为自然人的，提供本人的身份证复印件。</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b.其他证明材料（即事实依据和必要的法律依据）包括但不限于下列材料：</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b1所质疑的具体事项是与自已有利害关系的证明材料；</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b2质疑函所述事实存在的证明材料，如：招标文件、采购过程或中标、成交结果违法违规或不符合招标文件要求等证明材料；</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b3依法应终止采购程序的证明材料；</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b4应重新采购的证明材料；</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b5招标文件、采购过程或中标、成交结果损害自已合法权益的证明材料等；</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r>
        <w:rPr>
          <w:rFonts w:hint="eastAsia" w:ascii="宋体" w:hAnsi="宋体" w:cs="宋体"/>
          <w:color w:val="000000"/>
          <w:sz w:val="24"/>
          <w:highlight w:val="none"/>
        </w:rPr>
        <w:br w:type="textWrapping"/>
      </w:r>
      <w:r>
        <w:rPr>
          <w:rFonts w:hint="eastAsia" w:ascii="宋体" w:hAnsi="宋体" w:cs="宋体"/>
          <w:color w:val="000000"/>
          <w:sz w:val="24"/>
          <w:highlight w:val="none"/>
        </w:rPr>
        <w:t>   ⑥质疑人代表及其联系方法的信息，至少包括：姓名、手机、电子信箱、邮寄地址等。</w:t>
      </w:r>
      <w:r>
        <w:rPr>
          <w:rFonts w:hint="eastAsia" w:ascii="宋体" w:hAnsi="宋体" w:cs="宋体"/>
          <w:color w:val="000000"/>
          <w:sz w:val="24"/>
          <w:highlight w:val="none"/>
        </w:rPr>
        <w:br w:type="textWrapping"/>
      </w:r>
      <w:r>
        <w:rPr>
          <w:rFonts w:hint="eastAsia" w:ascii="宋体" w:hAnsi="宋体" w:cs="宋体"/>
          <w:color w:val="000000"/>
          <w:sz w:val="24"/>
          <w:highlight w:val="none"/>
        </w:rPr>
        <w:t>   ⑦提出质疑的日期。</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※质疑人为法人或其他组织的，质疑函应由单位负责人或委托代理人签字或盖章，并逐页加盖投标人的单位公章。质疑人为自然人的，质疑函应由本人逐页签字。</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 xml:space="preserve"> 26.2对不符合本章第26.1条规定的质疑，将按照下列规定进行处理：</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（1）不符合其中第（1）、（2）条规定的，书面告知质疑人不予受理及其理由。</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（2）不符合其中第（3）条规定的，书面告知质疑人修改、补充后在规定时限内重新提交质疑函。</w:t>
      </w:r>
    </w:p>
    <w:p>
      <w:pPr>
        <w:spacing w:line="384" w:lineRule="exact"/>
        <w:ind w:firstLine="420"/>
        <w:rPr>
          <w:rFonts w:ascii="宋体" w:hAnsi="宋体" w:cs="宋体"/>
          <w:color w:val="000000"/>
          <w:sz w:val="24"/>
          <w:highlight w:val="none"/>
        </w:rPr>
      </w:pPr>
      <w:r>
        <w:rPr>
          <w:rFonts w:hint="eastAsia" w:ascii="宋体" w:hAnsi="宋体" w:cs="宋体"/>
          <w:color w:val="000000"/>
          <w:sz w:val="24"/>
          <w:highlight w:val="none"/>
        </w:rPr>
        <w:t>26.3对符合本章第26.1条规定的质疑，将按照政府采购法及实施条例、政府采购质疑和投诉办法的有关规定进行答复。</w:t>
      </w:r>
    </w:p>
    <w:p>
      <w:pPr>
        <w:wordWrap w:val="0"/>
        <w:spacing w:line="384" w:lineRule="exact"/>
        <w:ind w:firstLine="420"/>
        <w:rPr>
          <w:rFonts w:ascii="宋体" w:hAnsi="宋体" w:cs="宋体"/>
          <w:sz w:val="24"/>
          <w:highlight w:val="none"/>
        </w:rPr>
      </w:pPr>
      <w:r>
        <w:rPr>
          <w:rFonts w:hint="eastAsia" w:ascii="宋体" w:hAnsi="宋体" w:cs="宋体"/>
          <w:sz w:val="24"/>
          <w:highlight w:val="none"/>
        </w:rPr>
        <w:t xml:space="preserve">26.4其它说明： </w:t>
      </w:r>
    </w:p>
    <w:p>
      <w:pPr>
        <w:wordWrap w:val="0"/>
        <w:spacing w:line="384" w:lineRule="exact"/>
        <w:ind w:firstLine="420"/>
        <w:rPr>
          <w:rFonts w:ascii="宋体" w:hAnsi="宋体" w:cs="宋体"/>
          <w:sz w:val="24"/>
          <w:highlight w:val="none"/>
        </w:rPr>
      </w:pPr>
      <w:r>
        <w:rPr>
          <w:rFonts w:hint="eastAsia" w:ascii="宋体" w:hAnsi="宋体" w:cs="宋体"/>
          <w:sz w:val="24"/>
          <w:highlight w:val="none"/>
        </w:rPr>
        <w:t>在法定质疑期内投标人须一次性提出针对同一采购程序环节的质疑，二（多）次质疑不予受理，招标代理机构或采购人只针对第一次有效质疑进行答复。</w:t>
      </w:r>
    </w:p>
    <w:p>
      <w:pPr>
        <w:wordWrap w:val="0"/>
        <w:spacing w:line="384" w:lineRule="exact"/>
        <w:ind w:firstLine="420"/>
        <w:rPr>
          <w:rFonts w:ascii="宋体" w:hAnsi="宋体" w:cs="宋体"/>
          <w:sz w:val="24"/>
          <w:highlight w:val="none"/>
        </w:rPr>
      </w:pPr>
      <w:r>
        <w:rPr>
          <w:rFonts w:hint="eastAsia" w:ascii="宋体" w:hAnsi="宋体" w:cs="宋体"/>
          <w:sz w:val="24"/>
          <w:highlight w:val="none"/>
        </w:rPr>
        <w:t>投标人依法提出质疑的，需在法定时间内按规定以书面方式【接收地点为：福州市台江区宁化街道祥坂街357号阳光城时代广场17层09室】提出质疑。</w:t>
      </w:r>
    </w:p>
    <w:p>
      <w:pPr>
        <w:wordWrap w:val="0"/>
        <w:spacing w:line="384"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27.投标人对采购单位的答复不满意或者采购单位未在规定的时间内作出答复的，可以在答复期满后十五个工作日内向投标人须知前附表所述采购项目行政监督管理部门投诉。</w:t>
      </w:r>
    </w:p>
    <w:p>
      <w:pPr>
        <w:spacing w:line="384" w:lineRule="exact"/>
        <w:rPr>
          <w:rFonts w:ascii="宋体" w:hAnsi="宋体" w:cs="宋体"/>
          <w:color w:val="000000"/>
          <w:sz w:val="24"/>
          <w:highlight w:val="none"/>
        </w:rPr>
      </w:pPr>
      <w:r>
        <w:rPr>
          <w:rFonts w:hint="eastAsia" w:ascii="宋体" w:hAnsi="宋体" w:cs="宋体"/>
          <w:color w:val="000000"/>
          <w:sz w:val="24"/>
          <w:highlight w:val="none"/>
        </w:rPr>
        <w:t>28.采购项目行政监督部门</w:t>
      </w:r>
    </w:p>
    <w:p>
      <w:pPr>
        <w:adjustRightInd w:val="0"/>
        <w:spacing w:line="384" w:lineRule="exact"/>
        <w:ind w:firstLine="480" w:firstLineChars="200"/>
        <w:rPr>
          <w:rFonts w:ascii="宋体" w:hAnsi="宋体" w:cs="宋体"/>
          <w:b/>
          <w:bCs/>
          <w:sz w:val="32"/>
          <w:szCs w:val="32"/>
          <w:highlight w:val="none"/>
        </w:rPr>
      </w:pPr>
      <w:r>
        <w:rPr>
          <w:rFonts w:hint="eastAsia" w:ascii="宋体" w:hAnsi="宋体" w:cs="宋体"/>
          <w:color w:val="000000"/>
          <w:sz w:val="24"/>
          <w:highlight w:val="none"/>
        </w:rPr>
        <w:t>28.1采购项目行政监督部门可视情依法派员对本采购活动的全程进行监督。</w:t>
      </w:r>
    </w:p>
    <w:p>
      <w:pPr>
        <w:adjustRightInd w:val="0"/>
        <w:spacing w:line="400" w:lineRule="exact"/>
        <w:jc w:val="both"/>
        <w:rPr>
          <w:rFonts w:ascii="宋体" w:hAnsi="宋体" w:cs="宋体"/>
          <w:b/>
          <w:bCs/>
          <w:sz w:val="32"/>
          <w:szCs w:val="32"/>
          <w:highlight w:val="none"/>
        </w:rPr>
      </w:pPr>
    </w:p>
    <w:p>
      <w:pPr>
        <w:adjustRightInd w:val="0"/>
        <w:spacing w:line="400" w:lineRule="exact"/>
        <w:jc w:val="center"/>
        <w:rPr>
          <w:rFonts w:hint="eastAsia" w:ascii="宋体" w:hAnsi="宋体" w:cs="宋体"/>
          <w:b/>
          <w:bCs/>
          <w:sz w:val="32"/>
          <w:szCs w:val="32"/>
          <w:highlight w:val="none"/>
        </w:rPr>
      </w:pPr>
      <w:r>
        <w:rPr>
          <w:rFonts w:hint="eastAsia" w:ascii="宋体" w:hAnsi="宋体" w:cs="宋体"/>
          <w:b/>
          <w:bCs/>
          <w:sz w:val="32"/>
          <w:szCs w:val="32"/>
          <w:highlight w:val="none"/>
        </w:rPr>
        <w:t>第三章   招标内容及要求</w:t>
      </w:r>
    </w:p>
    <w:p>
      <w:pPr>
        <w:pStyle w:val="28"/>
        <w:rPr>
          <w:highlight w:val="none"/>
        </w:rPr>
      </w:pPr>
    </w:p>
    <w:tbl>
      <w:tblPr>
        <w:tblStyle w:val="32"/>
        <w:tblW w:w="8944"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944" w:type="dxa"/>
          </w:tcPr>
          <w:p>
            <w:pPr>
              <w:pStyle w:val="28"/>
              <w:spacing w:line="460" w:lineRule="exact"/>
              <w:ind w:firstLine="482" w:firstLineChars="200"/>
              <w:jc w:val="left"/>
              <w:rPr>
                <w:color w:val="auto"/>
                <w:highlight w:val="none"/>
              </w:rPr>
            </w:pPr>
            <w:r>
              <w:rPr>
                <w:rFonts w:hint="eastAsia" w:ascii="宋体" w:hAnsi="宋体" w:cs="宋体"/>
                <w:color w:val="auto"/>
                <w:sz w:val="24"/>
                <w:szCs w:val="24"/>
                <w:highlight w:val="none"/>
                <w:lang w:val="en-US" w:eastAsia="zh-CN"/>
              </w:rPr>
              <w:t>备注：不满足招标文件第三章“招标内容及要求” 中带★号条款之规定的将导致投标无效；</w:t>
            </w:r>
            <w:r>
              <w:rPr>
                <w:rFonts w:hint="eastAsia" w:ascii="宋体" w:hAnsi="宋体" w:cs="宋体"/>
                <w:color w:val="auto"/>
                <w:sz w:val="24"/>
                <w:szCs w:val="24"/>
                <w:highlight w:val="none"/>
              </w:rPr>
              <w:t>招标文件有不同描述的，以本条款为准。</w:t>
            </w:r>
          </w:p>
        </w:tc>
      </w:tr>
    </w:tbl>
    <w:p>
      <w:pPr>
        <w:pStyle w:val="17"/>
        <w:rPr>
          <w:highlight w:val="none"/>
        </w:rPr>
      </w:pPr>
    </w:p>
    <w:p>
      <w:pPr>
        <w:shd w:val="solid" w:color="FFFFFF" w:fill="auto"/>
        <w:autoSpaceDN w:val="0"/>
        <w:spacing w:line="360" w:lineRule="auto"/>
        <w:rPr>
          <w:rFonts w:ascii="宋体" w:hAnsi="宋体" w:cs="宋体"/>
          <w:b/>
          <w:bCs/>
          <w:sz w:val="24"/>
          <w:szCs w:val="24"/>
          <w:highlight w:val="none"/>
        </w:rPr>
      </w:pPr>
      <w:r>
        <w:rPr>
          <w:rFonts w:hint="eastAsia" w:ascii="宋体" w:hAnsi="宋体" w:cs="宋体"/>
          <w:b/>
          <w:sz w:val="24"/>
          <w:szCs w:val="24"/>
          <w:highlight w:val="none"/>
        </w:rPr>
        <w:t>★一、</w:t>
      </w:r>
      <w:r>
        <w:rPr>
          <w:rFonts w:hint="eastAsia" w:ascii="宋体" w:hAnsi="宋体" w:cs="宋体"/>
          <w:b/>
          <w:bCs/>
          <w:sz w:val="24"/>
          <w:szCs w:val="24"/>
          <w:highlight w:val="none"/>
        </w:rPr>
        <w:t>采购标的要求及项目概况：</w:t>
      </w:r>
    </w:p>
    <w:p>
      <w:pPr>
        <w:pStyle w:val="26"/>
        <w:shd w:val="clear" w:color="auto" w:fill="FFFFFF"/>
        <w:adjustRightInd w:val="0"/>
        <w:snapToGrid w:val="0"/>
        <w:spacing w:before="48" w:beforeAutospacing="0" w:after="48" w:afterAutospacing="0" w:line="440" w:lineRule="exact"/>
        <w:ind w:firstLine="480" w:firstLineChars="200"/>
        <w:rPr>
          <w:rFonts w:hint="eastAsia"/>
          <w:highlight w:val="none"/>
          <w:shd w:val="clear" w:color="auto" w:fill="FFFFFF"/>
        </w:rPr>
      </w:pPr>
      <w:r>
        <w:rPr>
          <w:rFonts w:hint="eastAsia"/>
          <w:highlight w:val="none"/>
          <w:shd w:val="clear" w:color="auto" w:fill="FFFFFF"/>
        </w:rPr>
        <w:t>1、投标人及所投产品应满足下述要求：</w:t>
      </w:r>
    </w:p>
    <w:p>
      <w:pPr>
        <w:pStyle w:val="26"/>
        <w:shd w:val="clear" w:color="auto" w:fill="FFFFFF"/>
        <w:adjustRightInd w:val="0"/>
        <w:snapToGrid w:val="0"/>
        <w:spacing w:before="48" w:beforeAutospacing="0" w:after="48" w:afterAutospacing="0" w:line="440" w:lineRule="exact"/>
        <w:ind w:firstLine="480" w:firstLineChars="200"/>
        <w:rPr>
          <w:rFonts w:hint="eastAsia"/>
          <w:highlight w:val="none"/>
          <w:shd w:val="clear" w:color="auto" w:fill="FFFFFF"/>
        </w:rPr>
      </w:pPr>
      <w:r>
        <w:rPr>
          <w:rFonts w:hint="eastAsia"/>
          <w:highlight w:val="none"/>
          <w:shd w:val="clear" w:color="auto" w:fill="FFFFFF"/>
        </w:rPr>
        <w:t>1.</w:t>
      </w:r>
      <w:bookmarkStart w:id="18" w:name="_Toc471998479"/>
      <w:r>
        <w:rPr>
          <w:rFonts w:hint="eastAsia"/>
          <w:highlight w:val="none"/>
          <w:shd w:val="clear" w:color="auto" w:fill="FFFFFF"/>
        </w:rPr>
        <w:t>1.本次招标采购的货物主要用于</w:t>
      </w:r>
      <w:r>
        <w:rPr>
          <w:rFonts w:hint="eastAsia"/>
          <w:highlight w:val="none"/>
          <w:shd w:val="clear" w:color="auto" w:fill="FFFFFF"/>
          <w:lang w:val="en-US" w:eastAsia="zh-CN"/>
        </w:rPr>
        <w:t>莆田市兴运汽车维修有限公司</w:t>
      </w:r>
      <w:r>
        <w:rPr>
          <w:rFonts w:hint="eastAsia"/>
          <w:highlight w:val="none"/>
          <w:shd w:val="clear" w:color="auto" w:fill="FFFFFF"/>
        </w:rPr>
        <w:t>使用。</w:t>
      </w:r>
      <w:bookmarkEnd w:id="18"/>
      <w:r>
        <w:rPr>
          <w:rFonts w:hint="eastAsia"/>
          <w:highlight w:val="none"/>
          <w:shd w:val="clear" w:color="auto" w:fill="FFFFFF"/>
        </w:rPr>
        <w:t>投标人所投货物为生产厂家的正规合格产品，所有货物均为全新原厂原包装（未经使用和非展览会展示样品设备，外观无刮、碰痕迹，并有下列明显标记：名称、品牌型号、制造商 标识、产地、出厂日期、出产序列号等），不接受改装改配产品。货物的制造标准及技术规范等有关资料必须符合国家相关标准、规范要求。货物的电气、设备仪表应符合国家相关规定，噪音方面符合国家相关标准，货物质量达到设 计要求，安装调试各项指标符合技术参数要求且须通过质检计量部门的检验。</w:t>
      </w:r>
    </w:p>
    <w:p>
      <w:pPr>
        <w:pStyle w:val="26"/>
        <w:shd w:val="clear" w:color="auto" w:fill="FFFFFF"/>
        <w:adjustRightInd w:val="0"/>
        <w:snapToGrid w:val="0"/>
        <w:spacing w:before="48" w:beforeAutospacing="0" w:after="48" w:afterAutospacing="0" w:line="440" w:lineRule="exact"/>
        <w:ind w:firstLine="480" w:firstLineChars="200"/>
        <w:rPr>
          <w:rFonts w:hint="eastAsia"/>
          <w:highlight w:val="none"/>
          <w:shd w:val="clear" w:color="auto" w:fill="FFFFFF"/>
        </w:rPr>
      </w:pPr>
      <w:r>
        <w:rPr>
          <w:rFonts w:hint="eastAsia"/>
          <w:highlight w:val="none"/>
          <w:shd w:val="clear" w:color="auto" w:fill="FFFFFF"/>
        </w:rPr>
        <w:t>1.2.投标人应按正规销售渠道供货，保证采购人能享受原厂或原厂认可的售后维修机构的售后服务。投标人所提供的服务应符合国家相关法律法规。投标人提供的产品中如有配套使用的相关软件，必须是正版的、合法的。</w:t>
      </w:r>
    </w:p>
    <w:p>
      <w:pPr>
        <w:pStyle w:val="26"/>
        <w:shd w:val="clear" w:color="auto" w:fill="FFFFFF"/>
        <w:adjustRightInd w:val="0"/>
        <w:snapToGrid w:val="0"/>
        <w:spacing w:before="48" w:beforeAutospacing="0" w:after="48" w:afterAutospacing="0" w:line="440" w:lineRule="exact"/>
        <w:ind w:firstLine="480" w:firstLineChars="200"/>
        <w:rPr>
          <w:rFonts w:hint="eastAsia"/>
          <w:highlight w:val="none"/>
          <w:shd w:val="clear" w:color="auto" w:fill="FFFFFF"/>
        </w:rPr>
      </w:pPr>
      <w:r>
        <w:rPr>
          <w:rFonts w:hint="eastAsia"/>
          <w:highlight w:val="none"/>
          <w:shd w:val="clear" w:color="auto" w:fill="FFFFFF"/>
        </w:rPr>
        <w:t>1.3.投标人须保障采购人在使用该货物或其任何一部分时不受到第三方关于侵犯专 利权、商 标权或工业设 计权等知识产权的指控，任何第三方如果提出此方面指控均与招标采购单位无关，投标人应与第三方交涉，并承担可能发生的一切法律责任、费用和后果；若招标采购单位因此而遭致损失的，投标人应赔偿该损失。</w:t>
      </w:r>
    </w:p>
    <w:p>
      <w:pPr>
        <w:pStyle w:val="26"/>
        <w:shd w:val="clear" w:color="auto" w:fill="FFFFFF"/>
        <w:adjustRightInd w:val="0"/>
        <w:snapToGrid w:val="0"/>
        <w:spacing w:before="48" w:beforeAutospacing="0" w:after="48" w:afterAutospacing="0" w:line="440" w:lineRule="exact"/>
        <w:ind w:firstLine="480" w:firstLineChars="200"/>
        <w:rPr>
          <w:rFonts w:hint="eastAsia"/>
          <w:highlight w:val="none"/>
          <w:shd w:val="clear" w:color="auto" w:fill="FFFFFF"/>
        </w:rPr>
      </w:pPr>
      <w:r>
        <w:rPr>
          <w:rFonts w:hint="eastAsia"/>
          <w:highlight w:val="none"/>
          <w:shd w:val="clear" w:color="auto" w:fill="FFFFFF"/>
        </w:rPr>
        <w:t>投标人中标后提供的产品不满足本条款要求的，采购人将拒绝验收，由此带来的一切损失将由中标人负责。</w:t>
      </w:r>
    </w:p>
    <w:p>
      <w:pPr>
        <w:pStyle w:val="26"/>
        <w:shd w:val="clear" w:color="auto" w:fill="FFFFFF"/>
        <w:adjustRightInd w:val="0"/>
        <w:snapToGrid w:val="0"/>
        <w:spacing w:before="48" w:beforeAutospacing="0" w:after="48" w:afterAutospacing="0" w:line="440" w:lineRule="exact"/>
        <w:ind w:firstLine="480" w:firstLineChars="200"/>
        <w:rPr>
          <w:rFonts w:hint="eastAsia"/>
          <w:highlight w:val="none"/>
          <w:shd w:val="clear" w:color="auto" w:fill="FFFFFF"/>
        </w:rPr>
      </w:pPr>
      <w:r>
        <w:rPr>
          <w:rFonts w:hint="eastAsia"/>
          <w:highlight w:val="none"/>
          <w:shd w:val="clear" w:color="auto" w:fill="FFFFFF"/>
          <w:lang w:val="en-US" w:eastAsia="zh-CN"/>
        </w:rPr>
        <w:t>2、项目概况：</w:t>
      </w:r>
      <w:r>
        <w:rPr>
          <w:rFonts w:hint="eastAsia"/>
          <w:highlight w:val="none"/>
          <w:shd w:val="clear" w:color="auto" w:fill="FFFFFF"/>
        </w:rPr>
        <w:t>为满足莆田市区纯电动公交车充电需求，</w:t>
      </w:r>
      <w:r>
        <w:rPr>
          <w:rFonts w:hint="eastAsia"/>
          <w:highlight w:val="none"/>
          <w:shd w:val="clear" w:color="auto" w:fill="FFFFFF"/>
          <w:lang w:eastAsia="zh-CN"/>
        </w:rPr>
        <w:t>采购人</w:t>
      </w:r>
      <w:r>
        <w:rPr>
          <w:rFonts w:hint="eastAsia"/>
          <w:highlight w:val="none"/>
          <w:shd w:val="clear" w:color="auto" w:fill="FFFFFF"/>
        </w:rPr>
        <w:t>拟在全市范围内的公交场站内</w:t>
      </w:r>
      <w:r>
        <w:rPr>
          <w:rFonts w:hint="eastAsia"/>
          <w:highlight w:val="none"/>
          <w:shd w:val="clear" w:color="auto" w:fill="FFFFFF"/>
          <w:lang w:val="en-US" w:eastAsia="zh-CN"/>
        </w:rPr>
        <w:t>更新</w:t>
      </w:r>
      <w:r>
        <w:rPr>
          <w:rFonts w:hint="eastAsia"/>
          <w:highlight w:val="none"/>
          <w:shd w:val="clear" w:color="auto" w:fill="FFFFFF"/>
        </w:rPr>
        <w:t>建设</w:t>
      </w:r>
      <w:r>
        <w:rPr>
          <w:rFonts w:hint="eastAsia"/>
          <w:highlight w:val="none"/>
          <w:shd w:val="clear" w:color="auto" w:fill="FFFFFF"/>
          <w:lang w:val="en-US" w:eastAsia="zh-CN"/>
        </w:rPr>
        <w:t>3</w:t>
      </w:r>
      <w:r>
        <w:rPr>
          <w:rFonts w:hint="eastAsia"/>
          <w:highlight w:val="none"/>
          <w:shd w:val="clear" w:color="auto" w:fill="FFFFFF"/>
        </w:rPr>
        <w:t>个充电站。中标人按照采购人设计图纸要求完成以下场站充电设施建设，充电桩数量及总功率不得小于下表建设要求,具体充电桩建设计划及建设场站如下：</w:t>
      </w:r>
    </w:p>
    <w:p>
      <w:pPr>
        <w:pStyle w:val="26"/>
        <w:shd w:val="clear" w:color="auto" w:fill="FFFFFF"/>
        <w:adjustRightInd w:val="0"/>
        <w:snapToGrid w:val="0"/>
        <w:spacing w:before="48" w:beforeAutospacing="0" w:after="48" w:afterAutospacing="0" w:line="440" w:lineRule="exact"/>
        <w:ind w:firstLine="480" w:firstLineChars="200"/>
        <w:rPr>
          <w:rFonts w:hint="eastAsia"/>
          <w:highlight w:val="none"/>
          <w:shd w:val="clear" w:color="auto" w:fill="FFFFFF"/>
        </w:rPr>
      </w:pPr>
    </w:p>
    <w:tbl>
      <w:tblPr>
        <w:tblStyle w:val="3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15"/>
        <w:gridCol w:w="1110"/>
        <w:gridCol w:w="1185"/>
        <w:gridCol w:w="1350"/>
        <w:gridCol w:w="1447"/>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6" w:type="pct"/>
            <w:vMerge w:val="restar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b/>
                <w:bCs/>
                <w:highlight w:val="none"/>
                <w:shd w:val="clear" w:color="auto" w:fill="FFFFFF"/>
              </w:rPr>
            </w:pPr>
            <w:r>
              <w:rPr>
                <w:rFonts w:hint="eastAsia"/>
                <w:b/>
                <w:bCs/>
                <w:highlight w:val="none"/>
                <w:shd w:val="clear" w:color="auto" w:fill="FFFFFF"/>
              </w:rPr>
              <w:t>序号</w:t>
            </w:r>
          </w:p>
        </w:tc>
        <w:tc>
          <w:tcPr>
            <w:tcW w:w="1148"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b/>
                <w:bCs/>
                <w:highlight w:val="none"/>
                <w:shd w:val="clear" w:color="auto" w:fill="FFFFFF"/>
              </w:rPr>
            </w:pPr>
            <w:r>
              <w:rPr>
                <w:rFonts w:hint="eastAsia"/>
                <w:b/>
                <w:bCs/>
                <w:highlight w:val="none"/>
                <w:shd w:val="clear" w:color="auto" w:fill="FFFFFF"/>
              </w:rPr>
              <w:t>充电桩设置场站</w:t>
            </w:r>
          </w:p>
        </w:tc>
        <w:tc>
          <w:tcPr>
            <w:tcW w:w="2764" w:type="pct"/>
            <w:gridSpan w:val="4"/>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b/>
                <w:bCs/>
                <w:highlight w:val="none"/>
                <w:shd w:val="clear" w:color="auto" w:fill="FFFFFF"/>
              </w:rPr>
            </w:pPr>
            <w:r>
              <w:rPr>
                <w:rFonts w:hint="eastAsia"/>
                <w:b/>
                <w:bCs/>
                <w:highlight w:val="none"/>
                <w:shd w:val="clear" w:color="auto" w:fill="FFFFFF"/>
              </w:rPr>
              <w:t>建设要求</w:t>
            </w:r>
          </w:p>
        </w:tc>
        <w:tc>
          <w:tcPr>
            <w:tcW w:w="660" w:type="pct"/>
            <w:vMerge w:val="restart"/>
            <w:noWrap w:val="0"/>
            <w:vAlign w:val="top"/>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b/>
                <w:bCs/>
                <w:highlight w:val="none"/>
                <w:shd w:val="clear" w:color="auto" w:fill="FFFFFF"/>
              </w:rPr>
            </w:pPr>
            <w:r>
              <w:rPr>
                <w:rFonts w:hint="eastAsia"/>
                <w:b/>
                <w:bCs/>
                <w:highlight w:val="none"/>
                <w:shd w:val="clear" w:color="auto" w:fill="FFFFFF"/>
              </w:rPr>
              <w:t>该场站建设费用在整个项目中所占的权重比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noWrap w:val="0"/>
            <w:vAlign w:val="top"/>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b/>
                <w:bCs/>
                <w:highlight w:val="none"/>
                <w:shd w:val="clear" w:color="auto" w:fill="FFFFFF"/>
              </w:rPr>
            </w:pPr>
          </w:p>
        </w:tc>
        <w:tc>
          <w:tcPr>
            <w:tcW w:w="1148"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b/>
                <w:bCs/>
                <w:highlight w:val="none"/>
                <w:shd w:val="clear" w:color="auto" w:fill="FFFFFF"/>
              </w:rPr>
            </w:pPr>
            <w:r>
              <w:rPr>
                <w:rFonts w:hint="eastAsia"/>
                <w:b/>
                <w:bCs/>
                <w:highlight w:val="none"/>
                <w:shd w:val="clear" w:color="auto" w:fill="FFFFFF"/>
              </w:rPr>
              <w:t>暂定地点</w:t>
            </w:r>
          </w:p>
        </w:tc>
        <w:tc>
          <w:tcPr>
            <w:tcW w:w="602"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b/>
                <w:bCs/>
                <w:highlight w:val="none"/>
                <w:shd w:val="clear" w:color="auto" w:fill="FFFFFF"/>
              </w:rPr>
            </w:pPr>
            <w:r>
              <w:rPr>
                <w:rFonts w:hint="eastAsia"/>
                <w:b/>
                <w:bCs/>
                <w:highlight w:val="none"/>
                <w:shd w:val="clear" w:color="auto" w:fill="FFFFFF"/>
              </w:rPr>
              <w:t>充电桩数量</w:t>
            </w:r>
          </w:p>
        </w:tc>
        <w:tc>
          <w:tcPr>
            <w:tcW w:w="643"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b/>
                <w:bCs/>
                <w:highlight w:val="none"/>
                <w:shd w:val="clear" w:color="auto" w:fill="FFFFFF"/>
              </w:rPr>
            </w:pPr>
            <w:r>
              <w:rPr>
                <w:rFonts w:hint="eastAsia"/>
                <w:b/>
                <w:bCs/>
                <w:highlight w:val="none"/>
                <w:shd w:val="clear" w:color="auto" w:fill="FFFFFF"/>
              </w:rPr>
              <w:t>充电桩总</w:t>
            </w:r>
          </w:p>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b/>
                <w:bCs/>
                <w:highlight w:val="none"/>
                <w:shd w:val="clear" w:color="auto" w:fill="FFFFFF"/>
              </w:rPr>
            </w:pPr>
            <w:r>
              <w:rPr>
                <w:rFonts w:hint="eastAsia"/>
                <w:b/>
                <w:bCs/>
                <w:highlight w:val="none"/>
                <w:shd w:val="clear" w:color="auto" w:fill="FFFFFF"/>
              </w:rPr>
              <w:t>功率要求</w:t>
            </w:r>
          </w:p>
        </w:tc>
        <w:tc>
          <w:tcPr>
            <w:tcW w:w="732"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b/>
                <w:bCs/>
                <w:highlight w:val="none"/>
                <w:shd w:val="clear" w:color="auto" w:fill="FFFFFF"/>
              </w:rPr>
            </w:pPr>
            <w:r>
              <w:rPr>
                <w:rFonts w:hint="eastAsia"/>
                <w:b/>
                <w:bCs/>
                <w:highlight w:val="none"/>
                <w:shd w:val="clear" w:color="auto" w:fill="FFFFFF"/>
              </w:rPr>
              <w:t>变压器要求</w:t>
            </w:r>
          </w:p>
        </w:tc>
        <w:tc>
          <w:tcPr>
            <w:tcW w:w="785"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b/>
                <w:bCs/>
                <w:highlight w:val="none"/>
                <w:shd w:val="clear" w:color="auto" w:fill="FFFFFF"/>
              </w:rPr>
            </w:pPr>
            <w:r>
              <w:rPr>
                <w:rFonts w:hint="eastAsia"/>
                <w:b/>
                <w:bCs/>
                <w:highlight w:val="none"/>
                <w:shd w:val="clear" w:color="auto" w:fill="FFFFFF"/>
              </w:rPr>
              <w:t>备注</w:t>
            </w:r>
          </w:p>
        </w:tc>
        <w:tc>
          <w:tcPr>
            <w:tcW w:w="660" w:type="pct"/>
            <w:vMerge w:val="continue"/>
            <w:noWrap w:val="0"/>
            <w:vAlign w:val="top"/>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426"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lang w:eastAsia="zh-CN"/>
              </w:rPr>
            </w:pPr>
            <w:r>
              <w:rPr>
                <w:rFonts w:hint="eastAsia"/>
                <w:highlight w:val="none"/>
                <w:shd w:val="clear" w:color="auto" w:fill="FFFFFF"/>
                <w:lang w:val="en-US" w:eastAsia="zh-CN"/>
              </w:rPr>
              <w:t>1</w:t>
            </w:r>
          </w:p>
        </w:tc>
        <w:tc>
          <w:tcPr>
            <w:tcW w:w="1148"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default"/>
                <w:highlight w:val="none"/>
                <w:shd w:val="clear" w:color="auto" w:fill="FFFFFF"/>
                <w:lang w:val="en-US" w:eastAsia="zh-CN"/>
              </w:rPr>
            </w:pPr>
            <w:r>
              <w:rPr>
                <w:rFonts w:hint="eastAsia"/>
                <w:highlight w:val="none"/>
                <w:shd w:val="clear" w:color="auto" w:fill="FFFFFF"/>
                <w:lang w:val="en-US" w:eastAsia="zh-CN"/>
              </w:rPr>
              <w:t>市公交南站</w:t>
            </w:r>
          </w:p>
        </w:tc>
        <w:tc>
          <w:tcPr>
            <w:tcW w:w="602"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240" w:firstLineChars="100"/>
              <w:textAlignment w:val="auto"/>
              <w:rPr>
                <w:rFonts w:hint="default"/>
                <w:highlight w:val="none"/>
                <w:shd w:val="clear" w:color="auto" w:fill="FFFFFF"/>
                <w:lang w:val="en-US" w:eastAsia="zh-CN"/>
              </w:rPr>
            </w:pPr>
            <w:r>
              <w:rPr>
                <w:rFonts w:hint="eastAsia"/>
                <w:highlight w:val="none"/>
                <w:shd w:val="clear" w:color="auto" w:fill="FFFFFF"/>
                <w:lang w:val="en-US" w:eastAsia="zh-CN"/>
              </w:rPr>
              <w:t>10</w:t>
            </w:r>
          </w:p>
        </w:tc>
        <w:tc>
          <w:tcPr>
            <w:tcW w:w="643"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rPr>
            </w:pPr>
            <w:r>
              <w:rPr>
                <w:rFonts w:hint="eastAsia"/>
                <w:highlight w:val="none"/>
                <w:shd w:val="clear" w:color="auto" w:fill="FFFFFF"/>
              </w:rPr>
              <w:t>≥</w:t>
            </w:r>
            <w:r>
              <w:rPr>
                <w:rFonts w:hint="eastAsia"/>
                <w:highlight w:val="none"/>
                <w:shd w:val="clear" w:color="auto" w:fill="FFFFFF"/>
                <w:lang w:val="en-US" w:eastAsia="zh-CN"/>
              </w:rPr>
              <w:t>1600</w:t>
            </w:r>
            <w:r>
              <w:rPr>
                <w:rFonts w:hint="eastAsia"/>
                <w:highlight w:val="none"/>
                <w:shd w:val="clear" w:color="auto" w:fill="FFFFFF"/>
              </w:rPr>
              <w:t>KW</w:t>
            </w:r>
          </w:p>
        </w:tc>
        <w:tc>
          <w:tcPr>
            <w:tcW w:w="732"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lang w:eastAsia="zh-CN"/>
              </w:rPr>
            </w:pPr>
            <w:r>
              <w:rPr>
                <w:rFonts w:hint="eastAsia"/>
                <w:highlight w:val="none"/>
                <w:shd w:val="clear" w:color="auto" w:fill="FFFFFF"/>
              </w:rPr>
              <w:t>利旧</w:t>
            </w:r>
          </w:p>
        </w:tc>
        <w:tc>
          <w:tcPr>
            <w:tcW w:w="785"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rPr>
            </w:pPr>
            <w:r>
              <w:rPr>
                <w:rFonts w:hint="eastAsia"/>
                <w:highlight w:val="none"/>
                <w:shd w:val="clear" w:color="auto" w:fill="FFFFFF"/>
              </w:rPr>
              <w:t>建设内容：</w:t>
            </w:r>
            <w:r>
              <w:rPr>
                <w:rFonts w:hint="eastAsia"/>
                <w:highlight w:val="none"/>
                <w:shd w:val="clear" w:color="auto" w:fill="FFFFFF"/>
                <w:lang w:val="en-US" w:eastAsia="zh-CN"/>
              </w:rPr>
              <w:t>更新充电机、电缆等</w:t>
            </w:r>
            <w:r>
              <w:rPr>
                <w:rFonts w:hint="eastAsia"/>
                <w:highlight w:val="none"/>
                <w:shd w:val="clear" w:color="auto" w:fill="FFFFFF"/>
                <w:lang w:eastAsia="zh-CN"/>
              </w:rPr>
              <w:t>，</w:t>
            </w:r>
            <w:r>
              <w:rPr>
                <w:rFonts w:hint="eastAsia"/>
                <w:highlight w:val="none"/>
                <w:shd w:val="clear" w:color="auto" w:fill="FFFFFF"/>
              </w:rPr>
              <w:t>详见图纸</w:t>
            </w:r>
          </w:p>
        </w:tc>
        <w:tc>
          <w:tcPr>
            <w:tcW w:w="660"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rPr>
            </w:pPr>
            <w:r>
              <w:rPr>
                <w:rFonts w:hint="eastAsia"/>
                <w:highlight w:val="none"/>
                <w:shd w:val="clear" w:color="auto" w:fill="FFFFFF"/>
              </w:rPr>
              <w:t>45.85%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426"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lang w:eastAsia="zh-CN"/>
              </w:rPr>
            </w:pPr>
            <w:r>
              <w:rPr>
                <w:rFonts w:hint="eastAsia"/>
                <w:highlight w:val="none"/>
                <w:shd w:val="clear" w:color="auto" w:fill="FFFFFF"/>
                <w:lang w:val="en-US" w:eastAsia="zh-CN"/>
              </w:rPr>
              <w:t>2</w:t>
            </w:r>
          </w:p>
        </w:tc>
        <w:tc>
          <w:tcPr>
            <w:tcW w:w="1148"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default"/>
                <w:highlight w:val="none"/>
                <w:shd w:val="clear" w:color="auto" w:fill="FFFFFF"/>
                <w:lang w:val="en-US" w:eastAsia="zh-CN"/>
              </w:rPr>
            </w:pPr>
            <w:r>
              <w:rPr>
                <w:rFonts w:hint="eastAsia"/>
                <w:highlight w:val="none"/>
                <w:shd w:val="clear" w:color="auto" w:fill="FFFFFF"/>
                <w:lang w:val="en-US" w:eastAsia="zh-CN"/>
              </w:rPr>
              <w:t>濠浦公交站</w:t>
            </w:r>
          </w:p>
        </w:tc>
        <w:tc>
          <w:tcPr>
            <w:tcW w:w="602"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240" w:firstLineChars="100"/>
              <w:textAlignment w:val="auto"/>
              <w:rPr>
                <w:rFonts w:hint="default"/>
                <w:highlight w:val="none"/>
                <w:shd w:val="clear" w:color="auto" w:fill="FFFFFF"/>
                <w:lang w:val="en-US" w:eastAsia="zh-CN"/>
              </w:rPr>
            </w:pPr>
            <w:r>
              <w:rPr>
                <w:rFonts w:hint="eastAsia"/>
                <w:highlight w:val="none"/>
                <w:shd w:val="clear" w:color="auto" w:fill="FFFFFF"/>
                <w:lang w:val="en-US" w:eastAsia="zh-CN"/>
              </w:rPr>
              <w:t>10</w:t>
            </w:r>
          </w:p>
        </w:tc>
        <w:tc>
          <w:tcPr>
            <w:tcW w:w="643"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rPr>
            </w:pPr>
            <w:r>
              <w:rPr>
                <w:rFonts w:hint="eastAsia"/>
                <w:highlight w:val="none"/>
                <w:shd w:val="clear" w:color="auto" w:fill="FFFFFF"/>
              </w:rPr>
              <w:t>≥</w:t>
            </w:r>
            <w:r>
              <w:rPr>
                <w:rFonts w:hint="eastAsia"/>
                <w:highlight w:val="none"/>
                <w:shd w:val="clear" w:color="auto" w:fill="FFFFFF"/>
                <w:lang w:val="en-US" w:eastAsia="zh-CN"/>
              </w:rPr>
              <w:t>1600</w:t>
            </w:r>
            <w:r>
              <w:rPr>
                <w:rFonts w:hint="eastAsia"/>
                <w:highlight w:val="none"/>
                <w:shd w:val="clear" w:color="auto" w:fill="FFFFFF"/>
              </w:rPr>
              <w:t>KW</w:t>
            </w:r>
          </w:p>
        </w:tc>
        <w:tc>
          <w:tcPr>
            <w:tcW w:w="732"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rPr>
            </w:pPr>
            <w:r>
              <w:rPr>
                <w:rFonts w:hint="eastAsia"/>
                <w:highlight w:val="none"/>
                <w:shd w:val="clear" w:color="auto" w:fill="FFFFFF"/>
              </w:rPr>
              <w:t>利旧</w:t>
            </w:r>
          </w:p>
        </w:tc>
        <w:tc>
          <w:tcPr>
            <w:tcW w:w="785"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rPr>
            </w:pPr>
            <w:r>
              <w:rPr>
                <w:rFonts w:hint="eastAsia"/>
                <w:highlight w:val="none"/>
                <w:shd w:val="clear" w:color="auto" w:fill="FFFFFF"/>
              </w:rPr>
              <w:t>建设内容：</w:t>
            </w:r>
            <w:r>
              <w:rPr>
                <w:rFonts w:hint="eastAsia"/>
                <w:highlight w:val="none"/>
                <w:shd w:val="clear" w:color="auto" w:fill="FFFFFF"/>
                <w:lang w:val="en-US" w:eastAsia="zh-CN"/>
              </w:rPr>
              <w:t>更新充电机、电缆等</w:t>
            </w:r>
            <w:r>
              <w:rPr>
                <w:rFonts w:hint="eastAsia"/>
                <w:highlight w:val="none"/>
                <w:shd w:val="clear" w:color="auto" w:fill="FFFFFF"/>
                <w:lang w:eastAsia="zh-CN"/>
              </w:rPr>
              <w:t>，</w:t>
            </w:r>
            <w:r>
              <w:rPr>
                <w:rFonts w:hint="eastAsia"/>
                <w:highlight w:val="none"/>
                <w:shd w:val="clear" w:color="auto" w:fill="FFFFFF"/>
              </w:rPr>
              <w:t>详见图纸</w:t>
            </w:r>
          </w:p>
        </w:tc>
        <w:tc>
          <w:tcPr>
            <w:tcW w:w="660"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rPr>
            </w:pPr>
            <w:r>
              <w:rPr>
                <w:rFonts w:hint="eastAsia"/>
                <w:highlight w:val="none"/>
                <w:shd w:val="clear" w:color="auto" w:fill="FFFFFF"/>
              </w:rPr>
              <w:t>45.81%</w:t>
            </w:r>
          </w:p>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26"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lang w:val="en-US" w:eastAsia="zh-CN"/>
              </w:rPr>
            </w:pPr>
            <w:r>
              <w:rPr>
                <w:rFonts w:hint="eastAsia"/>
                <w:highlight w:val="none"/>
                <w:shd w:val="clear" w:color="auto" w:fill="FFFFFF"/>
                <w:lang w:val="en-US" w:eastAsia="zh-CN"/>
              </w:rPr>
              <w:t>3</w:t>
            </w:r>
          </w:p>
        </w:tc>
        <w:tc>
          <w:tcPr>
            <w:tcW w:w="1148"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default"/>
                <w:highlight w:val="none"/>
                <w:shd w:val="clear" w:color="auto" w:fill="FFFFFF"/>
                <w:lang w:val="en-US" w:eastAsia="zh-CN"/>
              </w:rPr>
            </w:pPr>
            <w:r>
              <w:rPr>
                <w:rFonts w:hint="eastAsia"/>
                <w:highlight w:val="none"/>
                <w:shd w:val="clear" w:color="auto" w:fill="FFFFFF"/>
                <w:lang w:val="en-US" w:eastAsia="zh-CN"/>
              </w:rPr>
              <w:t>火车站公交站</w:t>
            </w:r>
          </w:p>
        </w:tc>
        <w:tc>
          <w:tcPr>
            <w:tcW w:w="602"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240" w:firstLineChars="100"/>
              <w:textAlignment w:val="auto"/>
              <w:rPr>
                <w:rFonts w:hint="eastAsia"/>
                <w:highlight w:val="none"/>
                <w:shd w:val="clear" w:color="auto" w:fill="FFFFFF"/>
                <w:lang w:val="en-US" w:eastAsia="zh-CN"/>
              </w:rPr>
            </w:pPr>
            <w:r>
              <w:rPr>
                <w:rFonts w:hint="eastAsia"/>
                <w:highlight w:val="none"/>
                <w:shd w:val="clear" w:color="auto" w:fill="FFFFFF"/>
                <w:lang w:val="en-US" w:eastAsia="zh-CN"/>
              </w:rPr>
              <w:t>2</w:t>
            </w:r>
          </w:p>
        </w:tc>
        <w:tc>
          <w:tcPr>
            <w:tcW w:w="643"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lang w:val="en-US" w:eastAsia="zh-CN"/>
              </w:rPr>
            </w:pPr>
            <w:r>
              <w:rPr>
                <w:rFonts w:hint="eastAsia"/>
                <w:highlight w:val="none"/>
                <w:shd w:val="clear" w:color="auto" w:fill="FFFFFF"/>
              </w:rPr>
              <w:t>≥</w:t>
            </w:r>
            <w:r>
              <w:rPr>
                <w:rFonts w:hint="eastAsia"/>
                <w:highlight w:val="none"/>
                <w:shd w:val="clear" w:color="auto" w:fill="FFFFFF"/>
                <w:lang w:val="en-US" w:eastAsia="zh-CN"/>
              </w:rPr>
              <w:t>400</w:t>
            </w:r>
            <w:r>
              <w:rPr>
                <w:rFonts w:hint="eastAsia"/>
                <w:highlight w:val="none"/>
                <w:shd w:val="clear" w:color="auto" w:fill="FFFFFF"/>
              </w:rPr>
              <w:t>KW</w:t>
            </w:r>
          </w:p>
        </w:tc>
        <w:tc>
          <w:tcPr>
            <w:tcW w:w="732"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lang w:val="en-US" w:eastAsia="zh-CN"/>
              </w:rPr>
            </w:pPr>
            <w:r>
              <w:rPr>
                <w:rFonts w:hint="eastAsia"/>
                <w:highlight w:val="none"/>
                <w:shd w:val="clear" w:color="auto" w:fill="FFFFFF"/>
              </w:rPr>
              <w:t>利旧</w:t>
            </w:r>
          </w:p>
        </w:tc>
        <w:tc>
          <w:tcPr>
            <w:tcW w:w="785"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rPr>
            </w:pPr>
          </w:p>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rPr>
            </w:pPr>
            <w:r>
              <w:rPr>
                <w:rFonts w:hint="eastAsia"/>
                <w:highlight w:val="none"/>
                <w:shd w:val="clear" w:color="auto" w:fill="FFFFFF"/>
              </w:rPr>
              <w:t>建设内容：</w:t>
            </w:r>
            <w:r>
              <w:rPr>
                <w:rFonts w:hint="eastAsia"/>
                <w:highlight w:val="none"/>
                <w:shd w:val="clear" w:color="auto" w:fill="FFFFFF"/>
                <w:lang w:val="en-US" w:eastAsia="zh-CN"/>
              </w:rPr>
              <w:t>更新充电机、电缆等</w:t>
            </w:r>
            <w:r>
              <w:rPr>
                <w:rFonts w:hint="eastAsia"/>
                <w:highlight w:val="none"/>
                <w:shd w:val="clear" w:color="auto" w:fill="FFFFFF"/>
                <w:lang w:eastAsia="zh-CN"/>
              </w:rPr>
              <w:t>，</w:t>
            </w:r>
            <w:r>
              <w:rPr>
                <w:rFonts w:hint="eastAsia"/>
                <w:highlight w:val="none"/>
                <w:shd w:val="clear" w:color="auto" w:fill="FFFFFF"/>
              </w:rPr>
              <w:t>详见图纸</w:t>
            </w:r>
          </w:p>
        </w:tc>
        <w:tc>
          <w:tcPr>
            <w:tcW w:w="660"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lang w:val="en-US" w:eastAsia="zh-CN"/>
              </w:rPr>
            </w:pPr>
            <w:r>
              <w:rPr>
                <w:rFonts w:hint="eastAsia"/>
                <w:highlight w:val="none"/>
                <w:shd w:val="clear" w:color="auto" w:fill="FFFFFF"/>
              </w:rPr>
              <w:t>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575" w:type="pct"/>
            <w:gridSpan w:val="2"/>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rPr>
            </w:pPr>
            <w:r>
              <w:rPr>
                <w:rFonts w:hint="eastAsia"/>
                <w:highlight w:val="none"/>
                <w:shd w:val="clear" w:color="auto" w:fill="FFFFFF"/>
              </w:rPr>
              <w:t>合计</w:t>
            </w:r>
          </w:p>
        </w:tc>
        <w:tc>
          <w:tcPr>
            <w:tcW w:w="602"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240" w:firstLineChars="100"/>
              <w:textAlignment w:val="auto"/>
              <w:rPr>
                <w:rFonts w:hint="default"/>
                <w:highlight w:val="none"/>
                <w:shd w:val="clear" w:color="auto" w:fill="FFFFFF"/>
                <w:lang w:val="en-US" w:eastAsia="zh-CN"/>
              </w:rPr>
            </w:pPr>
            <w:r>
              <w:rPr>
                <w:rFonts w:hint="eastAsia"/>
                <w:highlight w:val="none"/>
                <w:shd w:val="clear" w:color="auto" w:fill="FFFFFF"/>
                <w:lang w:val="en-US" w:eastAsia="zh-CN"/>
              </w:rPr>
              <w:t>22</w:t>
            </w:r>
          </w:p>
        </w:tc>
        <w:tc>
          <w:tcPr>
            <w:tcW w:w="643"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rPr>
            </w:pPr>
            <w:r>
              <w:rPr>
                <w:rFonts w:hint="eastAsia"/>
                <w:highlight w:val="none"/>
                <w:shd w:val="clear" w:color="auto" w:fill="FFFFFF"/>
              </w:rPr>
              <w:t>≥</w:t>
            </w:r>
            <w:r>
              <w:rPr>
                <w:rFonts w:hint="eastAsia"/>
                <w:highlight w:val="none"/>
                <w:shd w:val="clear" w:color="auto" w:fill="FFFFFF"/>
                <w:lang w:val="en-US" w:eastAsia="zh-CN"/>
              </w:rPr>
              <w:t>3600</w:t>
            </w:r>
            <w:r>
              <w:rPr>
                <w:rFonts w:hint="eastAsia"/>
                <w:highlight w:val="none"/>
                <w:shd w:val="clear" w:color="auto" w:fill="FFFFFF"/>
              </w:rPr>
              <w:t>KW</w:t>
            </w:r>
          </w:p>
        </w:tc>
        <w:tc>
          <w:tcPr>
            <w:tcW w:w="732"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rPr>
            </w:pPr>
          </w:p>
        </w:tc>
        <w:tc>
          <w:tcPr>
            <w:tcW w:w="785"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rPr>
            </w:pPr>
          </w:p>
        </w:tc>
        <w:tc>
          <w:tcPr>
            <w:tcW w:w="660" w:type="pct"/>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rPr>
            </w:pPr>
            <w:r>
              <w:rPr>
                <w:rFonts w:hint="eastAsia"/>
                <w:highlight w:val="none"/>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noWrap w:val="0"/>
            <w:vAlign w:val="top"/>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lang w:val="en-US" w:eastAsia="zh-CN"/>
              </w:rPr>
            </w:pPr>
            <w:r>
              <w:rPr>
                <w:rFonts w:hint="eastAsia"/>
                <w:highlight w:val="none"/>
                <w:shd w:val="clear" w:color="auto" w:fill="FFFFFF"/>
                <w:lang w:val="en-US" w:eastAsia="zh-CN"/>
              </w:rPr>
              <w:t>备注：</w:t>
            </w:r>
          </w:p>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rPr>
            </w:pPr>
            <w:r>
              <w:rPr>
                <w:rFonts w:hint="eastAsia"/>
                <w:highlight w:val="none"/>
                <w:shd w:val="clear" w:color="auto" w:fill="FFFFFF"/>
              </w:rPr>
              <w:t xml:space="preserve">    1、</w:t>
            </w:r>
            <w:r>
              <w:rPr>
                <w:rFonts w:hint="eastAsia"/>
                <w:highlight w:val="none"/>
                <w:shd w:val="clear" w:color="auto" w:fill="FFFFFF"/>
                <w:lang w:eastAsia="zh-CN"/>
              </w:rPr>
              <w:t>拟</w:t>
            </w:r>
            <w:r>
              <w:rPr>
                <w:rFonts w:hint="eastAsia"/>
                <w:highlight w:val="none"/>
                <w:shd w:val="clear" w:color="auto" w:fill="FFFFFF"/>
                <w:lang w:val="en-US" w:eastAsia="zh-CN"/>
              </w:rPr>
              <w:t>更新建设</w:t>
            </w:r>
            <w:r>
              <w:rPr>
                <w:rFonts w:hint="eastAsia"/>
                <w:highlight w:val="none"/>
                <w:shd w:val="clear" w:color="auto" w:fill="FFFFFF"/>
                <w:lang w:eastAsia="zh-CN"/>
              </w:rPr>
              <w:t>的充电站暂定为</w:t>
            </w:r>
            <w:r>
              <w:rPr>
                <w:rFonts w:hint="eastAsia"/>
                <w:highlight w:val="none"/>
                <w:shd w:val="clear" w:color="auto" w:fill="FFFFFF"/>
                <w:lang w:val="en-US" w:eastAsia="zh-CN"/>
              </w:rPr>
              <w:t>市公交南站、濠浦公交站、火车站公交站</w:t>
            </w:r>
            <w:r>
              <w:rPr>
                <w:rFonts w:hint="eastAsia"/>
                <w:highlight w:val="none"/>
                <w:shd w:val="clear" w:color="auto" w:fill="FFFFFF"/>
                <w:lang w:eastAsia="zh-CN"/>
              </w:rPr>
              <w:t>，</w:t>
            </w:r>
            <w:r>
              <w:rPr>
                <w:rFonts w:hint="eastAsia"/>
                <w:highlight w:val="none"/>
                <w:shd w:val="clear" w:color="auto" w:fill="FFFFFF"/>
              </w:rPr>
              <w:t>此表的各项内容所填写的信息可能在后期建设及运营过程中有调整，投标人必须接受调整带来的设计和建设方案变更（</w:t>
            </w:r>
            <w:r>
              <w:rPr>
                <w:rFonts w:hint="eastAsia"/>
                <w:highlight w:val="none"/>
                <w:shd w:val="clear" w:color="auto" w:fill="FFFFFF"/>
                <w:lang w:val="en-US" w:eastAsia="zh-CN"/>
              </w:rPr>
              <w:t>三个场站充电总功率</w:t>
            </w:r>
            <w:r>
              <w:rPr>
                <w:rFonts w:hint="eastAsia"/>
                <w:highlight w:val="none"/>
                <w:shd w:val="clear" w:color="auto" w:fill="FFFFFF"/>
              </w:rPr>
              <w:t>≥</w:t>
            </w:r>
            <w:r>
              <w:rPr>
                <w:rFonts w:hint="eastAsia"/>
                <w:highlight w:val="none"/>
                <w:shd w:val="clear" w:color="auto" w:fill="FFFFFF"/>
                <w:lang w:val="en-US" w:eastAsia="zh-CN"/>
              </w:rPr>
              <w:t>3600</w:t>
            </w:r>
            <w:r>
              <w:rPr>
                <w:rFonts w:hint="eastAsia"/>
                <w:highlight w:val="none"/>
                <w:shd w:val="clear" w:color="auto" w:fill="FFFFFF"/>
              </w:rPr>
              <w:t>KW</w:t>
            </w:r>
            <w:r>
              <w:rPr>
                <w:rFonts w:hint="eastAsia"/>
                <w:highlight w:val="none"/>
                <w:shd w:val="clear" w:color="auto" w:fill="FFFFFF"/>
                <w:lang w:val="en-US" w:eastAsia="zh-CN"/>
              </w:rPr>
              <w:t>时</w:t>
            </w:r>
            <w:r>
              <w:rPr>
                <w:rFonts w:hint="eastAsia"/>
                <w:highlight w:val="none"/>
                <w:shd w:val="clear" w:color="auto" w:fill="FFFFFF"/>
                <w:lang w:eastAsia="zh-CN"/>
              </w:rPr>
              <w:t>，</w:t>
            </w:r>
            <w:r>
              <w:rPr>
                <w:rFonts w:hint="eastAsia"/>
                <w:highlight w:val="none"/>
                <w:shd w:val="clear" w:color="auto" w:fill="FFFFFF"/>
                <w:lang w:val="en-US" w:eastAsia="zh-CN"/>
              </w:rPr>
              <w:t>根据需求相互调配</w:t>
            </w:r>
            <w:r>
              <w:rPr>
                <w:rFonts w:hint="eastAsia"/>
                <w:highlight w:val="none"/>
                <w:shd w:val="clear" w:color="auto" w:fill="FFFFFF"/>
              </w:rPr>
              <w:t>）。同时，也需要投标人在方案设计时考虑如何适应需求变更，使方案具备一定适应需求变更的能力。</w:t>
            </w:r>
          </w:p>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rPr>
            </w:pPr>
            <w:r>
              <w:rPr>
                <w:rFonts w:hint="eastAsia"/>
                <w:highlight w:val="none"/>
                <w:shd w:val="clear" w:color="auto" w:fill="FFFFFF"/>
              </w:rPr>
              <w:t xml:space="preserve">    </w:t>
            </w:r>
            <w:r>
              <w:rPr>
                <w:rFonts w:hint="eastAsia"/>
                <w:highlight w:val="none"/>
                <w:shd w:val="clear" w:color="auto" w:fill="FFFFFF"/>
                <w:lang w:val="en-US" w:eastAsia="zh-CN"/>
              </w:rPr>
              <w:t>3</w:t>
            </w:r>
            <w:r>
              <w:rPr>
                <w:rFonts w:hint="eastAsia"/>
                <w:highlight w:val="none"/>
                <w:shd w:val="clear" w:color="auto" w:fill="FFFFFF"/>
              </w:rPr>
              <w:t>、权重比根据项目各场站预算价估算，若因政策性调整或</w:t>
            </w:r>
            <w:r>
              <w:rPr>
                <w:rFonts w:hint="eastAsia"/>
                <w:highlight w:val="none"/>
                <w:shd w:val="clear" w:color="auto" w:fill="FFFFFF"/>
                <w:lang w:eastAsia="zh-CN"/>
              </w:rPr>
              <w:t>采购人</w:t>
            </w:r>
            <w:r>
              <w:rPr>
                <w:rFonts w:hint="eastAsia"/>
                <w:highlight w:val="none"/>
                <w:shd w:val="clear" w:color="auto" w:fill="FFFFFF"/>
              </w:rPr>
              <w:t>自身原因造成上述个别场站无法施工，且采购人无法提供新场地供中标人建设，则项目中标价根据该场站权重比予以扣除。甩项价格的具体计算方式为：甩项价格=实际中标价×权重比</w:t>
            </w:r>
          </w:p>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0" w:firstLineChars="0"/>
              <w:textAlignment w:val="auto"/>
              <w:rPr>
                <w:rFonts w:hint="eastAsia"/>
                <w:highlight w:val="none"/>
                <w:shd w:val="clear" w:color="auto" w:fill="FFFFFF"/>
              </w:rPr>
            </w:pPr>
            <w:r>
              <w:rPr>
                <w:rFonts w:hint="eastAsia"/>
                <w:highlight w:val="none"/>
                <w:shd w:val="clear" w:color="auto" w:fill="FFFFFF"/>
              </w:rPr>
              <w:t xml:space="preserve">   </w:t>
            </w:r>
            <w:r>
              <w:rPr>
                <w:rFonts w:hint="eastAsia"/>
                <w:highlight w:val="none"/>
                <w:shd w:val="clear" w:color="auto" w:fill="FFFFFF"/>
                <w:lang w:val="en-US" w:eastAsia="zh-CN"/>
              </w:rPr>
              <w:t>4</w:t>
            </w:r>
            <w:r>
              <w:rPr>
                <w:rFonts w:hint="eastAsia"/>
                <w:highlight w:val="none"/>
                <w:shd w:val="clear" w:color="auto" w:fill="FFFFFF"/>
              </w:rPr>
              <w:t>、中标人负责对</w:t>
            </w:r>
            <w:r>
              <w:rPr>
                <w:rFonts w:hint="eastAsia"/>
                <w:highlight w:val="none"/>
                <w:shd w:val="clear" w:color="auto" w:fill="FFFFFF"/>
                <w:lang w:val="en-US" w:eastAsia="zh-CN"/>
              </w:rPr>
              <w:t>22台</w:t>
            </w:r>
            <w:r>
              <w:rPr>
                <w:rFonts w:hint="eastAsia"/>
                <w:highlight w:val="none"/>
                <w:shd w:val="clear" w:color="auto" w:fill="FFFFFF"/>
              </w:rPr>
              <w:t>老旧设备进行评估、更换桩体、更换低压电缆</w:t>
            </w:r>
            <w:r>
              <w:rPr>
                <w:rFonts w:hint="eastAsia"/>
                <w:highlight w:val="none"/>
                <w:shd w:val="clear" w:color="auto" w:fill="FFFFFF"/>
                <w:lang w:eastAsia="zh-CN"/>
              </w:rPr>
              <w:t>（由中标人回收旧</w:t>
            </w:r>
            <w:r>
              <w:rPr>
                <w:rFonts w:hint="eastAsia"/>
                <w:highlight w:val="none"/>
                <w:shd w:val="clear" w:color="auto" w:fill="FFFFFF"/>
                <w:lang w:val="en-US" w:eastAsia="zh-CN"/>
              </w:rPr>
              <w:t>设备、旧</w:t>
            </w:r>
            <w:r>
              <w:rPr>
                <w:rFonts w:hint="eastAsia"/>
                <w:highlight w:val="none"/>
                <w:shd w:val="clear" w:color="auto" w:fill="FFFFFF"/>
                <w:lang w:eastAsia="zh-CN"/>
              </w:rPr>
              <w:t>电缆）</w:t>
            </w:r>
            <w:r>
              <w:rPr>
                <w:rFonts w:hint="eastAsia"/>
                <w:highlight w:val="none"/>
                <w:shd w:val="clear" w:color="auto" w:fill="FFFFFF"/>
              </w:rPr>
              <w:t xml:space="preserve">、更换变压器开关柜（低压柜）并负责在本招标项目质保期内免费售后维保等。 </w:t>
            </w:r>
          </w:p>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480" w:firstLineChars="200"/>
              <w:textAlignment w:val="auto"/>
              <w:rPr>
                <w:rFonts w:hint="eastAsia"/>
                <w:highlight w:val="none"/>
                <w:shd w:val="clear" w:color="auto" w:fill="FFFFFF"/>
              </w:rPr>
            </w:pPr>
            <w:r>
              <w:rPr>
                <w:rFonts w:hint="eastAsia"/>
                <w:highlight w:val="none"/>
                <w:shd w:val="clear" w:color="auto" w:fill="FFFFFF"/>
                <w:lang w:val="en-US" w:eastAsia="zh-CN"/>
              </w:rPr>
              <w:t>5</w:t>
            </w:r>
            <w:r>
              <w:rPr>
                <w:rFonts w:hint="eastAsia"/>
                <w:highlight w:val="none"/>
                <w:shd w:val="clear" w:color="auto" w:fill="FFFFFF"/>
              </w:rPr>
              <w:t>、中标人需负责连通配电部分及场地原有站务房等用电。</w:t>
            </w:r>
          </w:p>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480" w:firstLineChars="200"/>
              <w:textAlignment w:val="auto"/>
              <w:rPr>
                <w:rFonts w:hint="eastAsia"/>
                <w:highlight w:val="none"/>
                <w:shd w:val="clear" w:color="auto" w:fill="FFFFFF"/>
              </w:rPr>
            </w:pPr>
            <w:r>
              <w:rPr>
                <w:rFonts w:hint="eastAsia"/>
                <w:highlight w:val="none"/>
                <w:shd w:val="clear" w:color="auto" w:fill="FFFFFF"/>
                <w:lang w:val="en-US" w:eastAsia="zh-CN"/>
              </w:rPr>
              <w:t>6</w:t>
            </w:r>
            <w:r>
              <w:rPr>
                <w:rFonts w:hint="eastAsia"/>
                <w:highlight w:val="none"/>
                <w:shd w:val="clear" w:color="auto" w:fill="FFFFFF"/>
              </w:rPr>
              <w:t>、上述场站建设内容包含充电桩、箱式变压器</w:t>
            </w:r>
            <w:r>
              <w:rPr>
                <w:rFonts w:hint="eastAsia"/>
                <w:highlight w:val="none"/>
                <w:shd w:val="clear" w:color="auto" w:fill="FFFFFF"/>
                <w:lang w:val="en-US" w:eastAsia="zh-CN"/>
              </w:rPr>
              <w:t>改造</w:t>
            </w:r>
            <w:r>
              <w:rPr>
                <w:rFonts w:hint="eastAsia"/>
                <w:highlight w:val="none"/>
                <w:shd w:val="clear" w:color="auto" w:fill="FFFFFF"/>
              </w:rPr>
              <w:t>、电缆、电缆沟</w:t>
            </w:r>
            <w:r>
              <w:rPr>
                <w:rFonts w:hint="eastAsia"/>
                <w:highlight w:val="none"/>
                <w:shd w:val="clear" w:color="auto" w:fill="FFFFFF"/>
                <w:lang w:val="en-US" w:eastAsia="zh-CN"/>
              </w:rPr>
              <w:t>修复</w:t>
            </w:r>
            <w:r>
              <w:rPr>
                <w:rFonts w:hint="eastAsia"/>
                <w:highlight w:val="none"/>
                <w:shd w:val="clear" w:color="auto" w:fill="FFFFFF"/>
              </w:rPr>
              <w:t>等，本次招标属于交钥匙工程，包含一切设备</w:t>
            </w:r>
            <w:r>
              <w:rPr>
                <w:rFonts w:hint="eastAsia"/>
                <w:highlight w:val="none"/>
                <w:shd w:val="clear" w:color="auto" w:fill="FFFFFF"/>
                <w:lang w:val="en-US" w:eastAsia="zh-CN"/>
              </w:rPr>
              <w:t>及</w:t>
            </w:r>
            <w:r>
              <w:rPr>
                <w:rFonts w:hint="eastAsia"/>
                <w:highlight w:val="none"/>
                <w:shd w:val="clear" w:color="auto" w:fill="FFFFFF"/>
              </w:rPr>
              <w:t>施工、安装、项目设计费以及该项目相关未标注的其它内容（含未标注的高低压元器件、场站施工恢复等）等项目全部由中标人承担,具体要按照</w:t>
            </w:r>
            <w:r>
              <w:rPr>
                <w:rFonts w:hint="eastAsia"/>
                <w:highlight w:val="none"/>
                <w:shd w:val="clear" w:color="auto" w:fill="FFFFFF"/>
                <w:lang w:eastAsia="zh-CN"/>
              </w:rPr>
              <w:t>采购人</w:t>
            </w:r>
            <w:r>
              <w:rPr>
                <w:rFonts w:hint="eastAsia"/>
                <w:highlight w:val="none"/>
                <w:shd w:val="clear" w:color="auto" w:fill="FFFFFF"/>
              </w:rPr>
              <w:t>设计图纸布设要求采购、安装、建设。</w:t>
            </w:r>
          </w:p>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480" w:firstLineChars="200"/>
              <w:textAlignment w:val="auto"/>
              <w:rPr>
                <w:rFonts w:hint="eastAsia"/>
                <w:highlight w:val="none"/>
                <w:shd w:val="clear" w:color="auto" w:fill="FFFFFF"/>
              </w:rPr>
            </w:pPr>
            <w:r>
              <w:rPr>
                <w:rFonts w:hint="eastAsia"/>
                <w:highlight w:val="none"/>
                <w:shd w:val="clear" w:color="auto" w:fill="FFFFFF"/>
                <w:lang w:val="en-US" w:eastAsia="zh-CN"/>
              </w:rPr>
              <w:t>7</w:t>
            </w:r>
            <w:r>
              <w:rPr>
                <w:rFonts w:hint="eastAsia"/>
                <w:highlight w:val="none"/>
                <w:shd w:val="clear" w:color="auto" w:fill="FFFFFF"/>
              </w:rPr>
              <w:t>、投标人需针对本期项目作出承诺函并加盖公章，承诺函内容包括但不仅限于：投标人承诺对招标书中的技术功能要求的应答负责。</w:t>
            </w:r>
            <w:r>
              <w:rPr>
                <w:rFonts w:hint="eastAsia"/>
                <w:highlight w:val="none"/>
                <w:shd w:val="clear" w:color="auto" w:fill="FFFFFF"/>
                <w:lang w:eastAsia="zh-CN"/>
              </w:rPr>
              <w:t>采购人</w:t>
            </w:r>
            <w:r>
              <w:rPr>
                <w:rFonts w:hint="eastAsia"/>
                <w:highlight w:val="none"/>
                <w:shd w:val="clear" w:color="auto" w:fill="FFFFFF"/>
              </w:rPr>
              <w:t>有权在合同期内针对中标人的充电设备、配电设备等指定第三方专业检测机构对合同设备进行抽检验证，抽检的承诺项及技术功能要求由</w:t>
            </w:r>
            <w:r>
              <w:rPr>
                <w:rFonts w:hint="eastAsia"/>
                <w:highlight w:val="none"/>
                <w:shd w:val="clear" w:color="auto" w:fill="FFFFFF"/>
                <w:lang w:eastAsia="zh-CN"/>
              </w:rPr>
              <w:t>采购人</w:t>
            </w:r>
            <w:r>
              <w:rPr>
                <w:rFonts w:hint="eastAsia"/>
                <w:highlight w:val="none"/>
                <w:shd w:val="clear" w:color="auto" w:fill="FFFFFF"/>
              </w:rPr>
              <w:t>确定，相关检测费用由中标人支付。如经检验和试验不符合投标的应答，</w:t>
            </w:r>
            <w:r>
              <w:rPr>
                <w:rFonts w:hint="eastAsia"/>
                <w:highlight w:val="none"/>
                <w:shd w:val="clear" w:color="auto" w:fill="FFFFFF"/>
                <w:lang w:eastAsia="zh-CN"/>
              </w:rPr>
              <w:t>采购人</w:t>
            </w:r>
            <w:r>
              <w:rPr>
                <w:rFonts w:hint="eastAsia"/>
                <w:highlight w:val="none"/>
                <w:shd w:val="clear" w:color="auto" w:fill="FFFFFF"/>
              </w:rPr>
              <w:t>可以拒收、取消合同并追究经济、法律赔偿、解除合同、扣押质量保证金。虚假应标的按相关法律、法规及规定处理并进行公告。</w:t>
            </w:r>
          </w:p>
        </w:tc>
      </w:tr>
    </w:tbl>
    <w:p>
      <w:pPr>
        <w:spacing w:line="360" w:lineRule="auto"/>
        <w:rPr>
          <w:rFonts w:hint="eastAsia" w:ascii="宋体" w:hAnsi="宋体" w:cs="宋体"/>
          <w:b/>
          <w:bCs/>
          <w:sz w:val="24"/>
          <w:szCs w:val="24"/>
          <w:highlight w:val="none"/>
          <w:shd w:val="clear" w:color="auto" w:fill="FFFFFF"/>
        </w:rPr>
      </w:pPr>
    </w:p>
    <w:p>
      <w:pPr>
        <w:spacing w:line="360" w:lineRule="auto"/>
        <w:rPr>
          <w:rFonts w:ascii="宋体" w:hAnsi="宋体" w:cs="宋体"/>
          <w:b/>
          <w:bCs/>
          <w:sz w:val="24"/>
          <w:szCs w:val="24"/>
          <w:highlight w:val="none"/>
        </w:rPr>
      </w:pPr>
      <w:r>
        <w:rPr>
          <w:rFonts w:hint="eastAsia" w:ascii="宋体" w:hAnsi="宋体" w:cs="宋体"/>
          <w:b/>
          <w:sz w:val="24"/>
          <w:szCs w:val="24"/>
          <w:highlight w:val="none"/>
        </w:rPr>
        <w:t>★</w:t>
      </w:r>
      <w:r>
        <w:rPr>
          <w:rFonts w:hint="eastAsia" w:ascii="宋体" w:hAnsi="宋体" w:cs="宋体"/>
          <w:b/>
          <w:bCs/>
          <w:sz w:val="24"/>
          <w:szCs w:val="24"/>
          <w:highlight w:val="none"/>
          <w:shd w:val="clear" w:color="auto" w:fill="FFFFFF"/>
        </w:rPr>
        <w:t>二、购置项目清单：</w:t>
      </w:r>
    </w:p>
    <w:tbl>
      <w:tblPr>
        <w:tblStyle w:val="31"/>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582"/>
        <w:gridCol w:w="3199"/>
        <w:gridCol w:w="834"/>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color w:val="auto"/>
                <w:sz w:val="24"/>
                <w:highlight w:val="none"/>
              </w:rPr>
            </w:pPr>
            <w:r>
              <w:rPr>
                <w:rFonts w:hint="eastAsia" w:ascii="宋体" w:hAnsi="宋体"/>
                <w:b/>
                <w:color w:val="auto"/>
                <w:sz w:val="24"/>
                <w:highlight w:val="none"/>
              </w:rPr>
              <w:t>名  称</w:t>
            </w:r>
          </w:p>
        </w:tc>
        <w:tc>
          <w:tcPr>
            <w:tcW w:w="319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color w:val="auto"/>
                <w:sz w:val="24"/>
                <w:highlight w:val="none"/>
              </w:rPr>
            </w:pPr>
            <w:r>
              <w:rPr>
                <w:rFonts w:hint="eastAsia" w:ascii="宋体" w:hAnsi="宋体"/>
                <w:b/>
                <w:color w:val="auto"/>
                <w:sz w:val="24"/>
                <w:highlight w:val="none"/>
              </w:rPr>
              <w:t>型号与规格</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color w:val="auto"/>
                <w:sz w:val="24"/>
                <w:highlight w:val="none"/>
              </w:rPr>
            </w:pPr>
            <w:r>
              <w:rPr>
                <w:rFonts w:hint="eastAsia" w:ascii="宋体" w:hAnsi="宋体"/>
                <w:b/>
                <w:color w:val="auto"/>
                <w:sz w:val="24"/>
                <w:highlight w:val="none"/>
              </w:rPr>
              <w:t>数量</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color w:val="auto"/>
                <w:sz w:val="24"/>
                <w:highlight w:val="none"/>
              </w:rPr>
            </w:pPr>
            <w:r>
              <w:rPr>
                <w:rFonts w:hint="eastAsia" w:ascii="宋体" w:hAnsi="宋体"/>
                <w:b/>
                <w:color w:val="auto"/>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41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auto"/>
                <w:sz w:val="24"/>
                <w:highlight w:val="none"/>
              </w:rPr>
            </w:pPr>
            <w:r>
              <w:rPr>
                <w:rFonts w:hint="eastAsia" w:ascii="宋体" w:hAnsi="宋体"/>
                <w:b/>
                <w:bCs/>
                <w:color w:val="auto"/>
                <w:sz w:val="24"/>
                <w:highlight w:val="none"/>
              </w:rPr>
              <w:t>充电系统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38" w:type="dxa"/>
            <w:tcBorders>
              <w:top w:val="single" w:color="auto" w:sz="4" w:space="0"/>
              <w:left w:val="single" w:color="auto" w:sz="4" w:space="0"/>
              <w:right w:val="single" w:color="auto" w:sz="4" w:space="0"/>
            </w:tcBorders>
            <w:noWrap w:val="0"/>
            <w:vAlign w:val="center"/>
          </w:tcPr>
          <w:p>
            <w:pPr>
              <w:spacing w:line="360" w:lineRule="exact"/>
              <w:jc w:val="center"/>
              <w:rPr>
                <w:rFonts w:ascii="宋体" w:hAnsi="宋体"/>
                <w:color w:val="auto"/>
                <w:sz w:val="24"/>
                <w:highlight w:val="none"/>
              </w:rPr>
            </w:pPr>
            <w:r>
              <w:rPr>
                <w:rFonts w:ascii="宋体" w:hAnsi="宋体"/>
                <w:color w:val="auto"/>
                <w:sz w:val="24"/>
                <w:highlight w:val="none"/>
              </w:rPr>
              <w:t>1</w:t>
            </w:r>
          </w:p>
        </w:tc>
        <w:tc>
          <w:tcPr>
            <w:tcW w:w="2582" w:type="dxa"/>
            <w:tcBorders>
              <w:top w:val="single" w:color="auto" w:sz="4" w:space="0"/>
              <w:left w:val="single" w:color="auto" w:sz="4" w:space="0"/>
              <w:right w:val="single" w:color="auto" w:sz="4" w:space="0"/>
            </w:tcBorders>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直流充电机</w:t>
            </w:r>
          </w:p>
        </w:tc>
        <w:tc>
          <w:tcPr>
            <w:tcW w:w="3199" w:type="dxa"/>
            <w:tcBorders>
              <w:top w:val="single" w:color="auto" w:sz="4" w:space="0"/>
              <w:left w:val="single" w:color="auto" w:sz="4" w:space="0"/>
              <w:right w:val="single" w:color="auto" w:sz="4" w:space="0"/>
            </w:tcBorders>
            <w:noWrap w:val="0"/>
            <w:vAlign w:val="center"/>
          </w:tcPr>
          <w:p>
            <w:pPr>
              <w:spacing w:line="360" w:lineRule="exact"/>
              <w:jc w:val="left"/>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0-300</w:t>
            </w:r>
            <w:r>
              <w:rPr>
                <w:rFonts w:ascii="宋体" w:hAnsi="宋体"/>
                <w:color w:val="auto"/>
                <w:sz w:val="24"/>
                <w:highlight w:val="none"/>
              </w:rPr>
              <w:t>kW</w:t>
            </w:r>
            <w:r>
              <w:rPr>
                <w:rFonts w:hint="eastAsia" w:ascii="宋体" w:hAnsi="宋体"/>
                <w:color w:val="auto"/>
                <w:sz w:val="24"/>
                <w:highlight w:val="none"/>
              </w:rPr>
              <w:t>，输出电压范围：</w:t>
            </w:r>
            <w:r>
              <w:rPr>
                <w:rFonts w:ascii="宋体" w:hAnsi="宋体"/>
                <w:color w:val="auto"/>
                <w:sz w:val="24"/>
                <w:highlight w:val="none"/>
              </w:rPr>
              <w:t>DC</w:t>
            </w:r>
            <w:r>
              <w:rPr>
                <w:rFonts w:hint="eastAsia" w:ascii="宋体" w:hAnsi="宋体"/>
                <w:color w:val="auto"/>
                <w:sz w:val="24"/>
                <w:highlight w:val="none"/>
              </w:rPr>
              <w:t>200</w:t>
            </w:r>
            <w:r>
              <w:rPr>
                <w:rFonts w:ascii="宋体" w:hAnsi="宋体"/>
                <w:color w:val="auto"/>
                <w:sz w:val="24"/>
                <w:highlight w:val="none"/>
              </w:rPr>
              <w:t>-</w:t>
            </w:r>
            <w:r>
              <w:rPr>
                <w:rFonts w:hint="eastAsia" w:ascii="宋体" w:hAnsi="宋体"/>
                <w:color w:val="auto"/>
                <w:sz w:val="24"/>
                <w:highlight w:val="none"/>
              </w:rPr>
              <w:t>750</w:t>
            </w:r>
            <w:r>
              <w:rPr>
                <w:rFonts w:ascii="宋体" w:hAnsi="宋体"/>
                <w:color w:val="auto"/>
                <w:sz w:val="24"/>
                <w:highlight w:val="none"/>
              </w:rPr>
              <w:t>V</w:t>
            </w:r>
            <w:r>
              <w:rPr>
                <w:rFonts w:hint="eastAsia" w:ascii="宋体" w:hAnsi="宋体"/>
                <w:color w:val="auto"/>
                <w:sz w:val="24"/>
                <w:highlight w:val="none"/>
              </w:rPr>
              <w:t>；</w:t>
            </w:r>
            <w:r>
              <w:rPr>
                <w:rFonts w:hint="eastAsia" w:ascii="宋体" w:hAnsi="宋体" w:cs="宋体"/>
                <w:color w:val="auto"/>
                <w:sz w:val="24"/>
                <w:highlight w:val="none"/>
              </w:rPr>
              <w:t>GB/T20234.2-2015</w:t>
            </w:r>
          </w:p>
          <w:p>
            <w:pPr>
              <w:spacing w:line="360" w:lineRule="exact"/>
              <w:jc w:val="left"/>
              <w:rPr>
                <w:rFonts w:ascii="宋体" w:hAnsi="宋体"/>
                <w:color w:val="auto"/>
                <w:sz w:val="24"/>
                <w:highlight w:val="none"/>
              </w:rPr>
            </w:pPr>
            <w:r>
              <w:rPr>
                <w:rFonts w:hint="eastAsia" w:ascii="宋体" w:hAnsi="宋体"/>
                <w:color w:val="auto"/>
                <w:sz w:val="24"/>
                <w:highlight w:val="none"/>
              </w:rPr>
              <w:t>单体模块≥</w:t>
            </w:r>
            <w:r>
              <w:rPr>
                <w:rFonts w:hint="eastAsia" w:ascii="宋体" w:hAnsi="宋体"/>
                <w:color w:val="auto"/>
                <w:sz w:val="24"/>
                <w:highlight w:val="none"/>
                <w:lang w:val="en-US" w:eastAsia="zh-CN"/>
              </w:rPr>
              <w:t>20</w:t>
            </w:r>
            <w:r>
              <w:rPr>
                <w:rFonts w:hint="eastAsia" w:ascii="宋体" w:hAnsi="宋体"/>
                <w:color w:val="auto"/>
                <w:sz w:val="24"/>
                <w:highlight w:val="none"/>
              </w:rPr>
              <w:t>KW</w:t>
            </w:r>
          </w:p>
          <w:p>
            <w:pPr>
              <w:spacing w:line="360" w:lineRule="exact"/>
              <w:jc w:val="left"/>
              <w:rPr>
                <w:rFonts w:hint="eastAsia" w:ascii="宋体" w:hAnsi="宋体"/>
                <w:color w:val="auto"/>
                <w:sz w:val="24"/>
                <w:highlight w:val="none"/>
              </w:rPr>
            </w:pPr>
            <w:r>
              <w:rPr>
                <w:rFonts w:hint="eastAsia" w:ascii="宋体" w:hAnsi="宋体"/>
                <w:color w:val="auto"/>
                <w:sz w:val="24"/>
                <w:highlight w:val="none"/>
              </w:rPr>
              <w:t>单体模块电流每</w:t>
            </w:r>
            <w:r>
              <w:rPr>
                <w:rFonts w:hint="eastAsia" w:ascii="宋体" w:hAnsi="宋体"/>
                <w:color w:val="auto"/>
                <w:sz w:val="24"/>
                <w:highlight w:val="none"/>
                <w:lang w:val="en-US" w:eastAsia="zh-CN"/>
              </w:rPr>
              <w:t>20</w:t>
            </w:r>
            <w:r>
              <w:rPr>
                <w:rFonts w:hint="eastAsia" w:ascii="宋体" w:hAnsi="宋体"/>
                <w:color w:val="auto"/>
                <w:sz w:val="24"/>
                <w:highlight w:val="none"/>
              </w:rPr>
              <w:t>KW≥25A</w:t>
            </w:r>
          </w:p>
          <w:p>
            <w:pPr>
              <w:spacing w:line="360" w:lineRule="exact"/>
              <w:jc w:val="left"/>
              <w:rPr>
                <w:rFonts w:ascii="宋体" w:hAnsi="宋体"/>
                <w:color w:val="auto"/>
                <w:sz w:val="24"/>
                <w:highlight w:val="none"/>
              </w:rPr>
            </w:pPr>
            <w:r>
              <w:rPr>
                <w:rFonts w:hint="eastAsia" w:ascii="宋体" w:hAnsi="宋体"/>
                <w:color w:val="auto"/>
                <w:sz w:val="24"/>
                <w:highlight w:val="none"/>
              </w:rPr>
              <w:t>一机双枪或一机双枪充电终端</w:t>
            </w:r>
          </w:p>
          <w:p>
            <w:pPr>
              <w:spacing w:line="360" w:lineRule="exact"/>
              <w:jc w:val="left"/>
              <w:rPr>
                <w:rFonts w:ascii="宋体" w:hAnsi="宋体"/>
                <w:color w:val="auto"/>
                <w:sz w:val="24"/>
                <w:highlight w:val="none"/>
              </w:rPr>
            </w:pPr>
            <w:r>
              <w:rPr>
                <w:rFonts w:hint="eastAsia" w:ascii="宋体" w:hAnsi="宋体"/>
                <w:color w:val="auto"/>
                <w:sz w:val="24"/>
                <w:highlight w:val="none"/>
              </w:rPr>
              <w:t>一体式充电机，部分场站根据</w:t>
            </w:r>
            <w:r>
              <w:rPr>
                <w:rFonts w:hint="eastAsia" w:ascii="宋体" w:hAnsi="宋体"/>
                <w:color w:val="auto"/>
                <w:sz w:val="24"/>
                <w:highlight w:val="none"/>
                <w:lang w:eastAsia="zh-CN"/>
              </w:rPr>
              <w:t>采购人</w:t>
            </w:r>
            <w:r>
              <w:rPr>
                <w:rFonts w:hint="eastAsia" w:ascii="宋体" w:hAnsi="宋体"/>
                <w:color w:val="auto"/>
                <w:sz w:val="24"/>
                <w:highlight w:val="none"/>
              </w:rPr>
              <w:t>实际需求，可调整为</w:t>
            </w:r>
            <w:r>
              <w:rPr>
                <w:rFonts w:hint="eastAsia" w:ascii="宋体" w:hAnsi="宋体"/>
                <w:color w:val="auto"/>
                <w:sz w:val="24"/>
                <w:highlight w:val="none"/>
                <w:lang w:val="en-US" w:eastAsia="zh-CN"/>
              </w:rPr>
              <w:t>分体式充电机</w:t>
            </w:r>
            <w:r>
              <w:rPr>
                <w:rFonts w:hint="eastAsia" w:ascii="宋体" w:hAnsi="宋体"/>
                <w:color w:val="auto"/>
                <w:sz w:val="24"/>
                <w:highlight w:val="none"/>
              </w:rPr>
              <w:t>。</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lang w:val="en-US" w:eastAsia="zh-CN"/>
              </w:rPr>
              <w:t>22</w:t>
            </w:r>
            <w:r>
              <w:rPr>
                <w:rFonts w:hint="eastAsia" w:ascii="宋体" w:hAnsi="宋体"/>
                <w:color w:val="auto"/>
                <w:sz w:val="24"/>
                <w:highlight w:val="none"/>
              </w:rPr>
              <w:t>套</w:t>
            </w:r>
          </w:p>
        </w:tc>
        <w:tc>
          <w:tcPr>
            <w:tcW w:w="2059" w:type="dxa"/>
            <w:tcBorders>
              <w:top w:val="single" w:color="auto" w:sz="4" w:space="0"/>
              <w:left w:val="single" w:color="auto" w:sz="4" w:space="0"/>
              <w:right w:val="single" w:color="auto" w:sz="4" w:space="0"/>
            </w:tcBorders>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含低压电缆、充电桩基座等</w:t>
            </w:r>
          </w:p>
          <w:p>
            <w:pPr>
              <w:spacing w:line="360" w:lineRule="exact"/>
              <w:jc w:val="center"/>
              <w:rPr>
                <w:rFonts w:ascii="宋体" w:hAnsi="宋体"/>
                <w:color w:val="auto"/>
                <w:sz w:val="24"/>
                <w:highlight w:val="none"/>
              </w:rPr>
            </w:pPr>
            <w:r>
              <w:rPr>
                <w:rFonts w:hint="eastAsia" w:ascii="宋体" w:hAnsi="宋体"/>
                <w:color w:val="auto"/>
                <w:sz w:val="24"/>
                <w:highlight w:val="none"/>
              </w:rPr>
              <w:t>（具体见附件及设计图纸）</w:t>
            </w:r>
          </w:p>
        </w:tc>
      </w:tr>
    </w:tbl>
    <w:p>
      <w:pPr>
        <w:rPr>
          <w:rFonts w:ascii="宋体" w:hAnsi="宋体" w:cs="宋体"/>
          <w:kern w:val="0"/>
          <w:sz w:val="24"/>
          <w:szCs w:val="24"/>
          <w:highlight w:val="none"/>
          <w:shd w:val="clear" w:color="auto" w:fill="FFFFFF"/>
        </w:rPr>
      </w:pPr>
    </w:p>
    <w:p>
      <w:pPr>
        <w:pStyle w:val="43"/>
        <w:rPr>
          <w:highlight w:val="none"/>
        </w:rPr>
      </w:pPr>
    </w:p>
    <w:p>
      <w:pPr>
        <w:spacing w:line="360" w:lineRule="auto"/>
        <w:rPr>
          <w:rFonts w:hint="eastAsia" w:ascii="宋体" w:hAnsi="宋体" w:eastAsia="宋体" w:cs="宋体"/>
          <w:highlight w:val="none"/>
          <w:shd w:val="clear" w:color="auto" w:fill="FFFFFF"/>
        </w:rPr>
      </w:pPr>
      <w:r>
        <w:rPr>
          <w:rFonts w:hint="eastAsia" w:ascii="宋体" w:hAnsi="宋体" w:cs="宋体"/>
          <w:b/>
          <w:bCs/>
          <w:sz w:val="24"/>
          <w:szCs w:val="24"/>
          <w:highlight w:val="none"/>
          <w:shd w:val="clear" w:color="auto" w:fill="FFFFFF"/>
          <w:lang w:val="en-US" w:eastAsia="zh-CN"/>
        </w:rPr>
        <w:t>三</w:t>
      </w:r>
      <w:r>
        <w:rPr>
          <w:rFonts w:hint="eastAsia" w:ascii="宋体" w:hAnsi="宋体" w:cs="宋体"/>
          <w:b/>
          <w:bCs/>
          <w:sz w:val="24"/>
          <w:szCs w:val="24"/>
          <w:highlight w:val="none"/>
          <w:shd w:val="clear" w:color="auto" w:fill="FFFFFF"/>
        </w:rPr>
        <w:t>、</w:t>
      </w:r>
      <w:r>
        <w:rPr>
          <w:rFonts w:hint="eastAsia" w:ascii="宋体" w:hAnsi="宋体" w:cs="宋体"/>
          <w:b/>
          <w:bCs/>
          <w:sz w:val="24"/>
          <w:szCs w:val="24"/>
          <w:highlight w:val="none"/>
          <w:shd w:val="clear" w:color="auto" w:fill="FFFFFF"/>
          <w:lang w:val="en-US" w:eastAsia="zh-CN"/>
        </w:rPr>
        <w:t>技术参数及要求</w:t>
      </w:r>
      <w:r>
        <w:rPr>
          <w:rFonts w:hint="eastAsia" w:ascii="宋体" w:hAnsi="宋体" w:cs="宋体"/>
          <w:b/>
          <w:bCs/>
          <w:sz w:val="24"/>
          <w:szCs w:val="24"/>
          <w:highlight w:val="none"/>
          <w:shd w:val="clear" w:color="auto" w:fill="FFFFFF"/>
        </w:rPr>
        <w:t>：</w:t>
      </w:r>
    </w:p>
    <w:p>
      <w:pPr>
        <w:pStyle w:val="26"/>
        <w:shd w:val="clear" w:color="auto" w:fill="FFFFFF"/>
        <w:adjustRightInd w:val="0"/>
        <w:snapToGrid w:val="0"/>
        <w:spacing w:before="48" w:beforeAutospacing="0" w:after="48" w:afterAutospacing="0" w:line="440" w:lineRule="exact"/>
        <w:ind w:firstLine="482" w:firstLineChars="200"/>
        <w:rPr>
          <w:rFonts w:hint="eastAsia" w:ascii="宋体" w:hAnsi="宋体" w:eastAsia="宋体" w:cs="宋体"/>
          <w:b/>
          <w:bCs/>
          <w:highlight w:val="none"/>
          <w:shd w:val="clear" w:color="auto" w:fill="FFFFFF"/>
          <w:lang w:val="en-US" w:eastAsia="zh-CN"/>
        </w:rPr>
      </w:pPr>
      <w:r>
        <w:rPr>
          <w:rFonts w:hint="eastAsia" w:ascii="宋体" w:hAnsi="宋体" w:eastAsia="宋体" w:cs="宋体"/>
          <w:b/>
          <w:bCs/>
          <w:highlight w:val="none"/>
          <w:shd w:val="clear" w:color="auto" w:fill="FFFFFF"/>
          <w:lang w:eastAsia="zh-CN"/>
        </w:rPr>
        <w:t>（</w:t>
      </w:r>
      <w:r>
        <w:rPr>
          <w:rFonts w:hint="eastAsia" w:ascii="宋体" w:hAnsi="宋体" w:eastAsia="宋体" w:cs="宋体"/>
          <w:b/>
          <w:bCs/>
          <w:highlight w:val="none"/>
          <w:shd w:val="clear" w:color="auto" w:fill="FFFFFF"/>
          <w:lang w:val="en-US" w:eastAsia="zh-CN"/>
        </w:rPr>
        <w:t>一</w:t>
      </w:r>
      <w:r>
        <w:rPr>
          <w:rFonts w:hint="eastAsia" w:ascii="宋体" w:hAnsi="宋体" w:eastAsia="宋体" w:cs="宋体"/>
          <w:b/>
          <w:bCs/>
          <w:highlight w:val="none"/>
          <w:shd w:val="clear" w:color="auto" w:fill="FFFFFF"/>
          <w:lang w:eastAsia="zh-CN"/>
        </w:rPr>
        <w:t>）、</w:t>
      </w:r>
      <w:r>
        <w:rPr>
          <w:rFonts w:hint="eastAsia" w:ascii="宋体" w:hAnsi="宋体" w:eastAsia="宋体" w:cs="宋体"/>
          <w:b/>
          <w:bCs/>
          <w:highlight w:val="none"/>
          <w:shd w:val="clear" w:color="auto" w:fill="FFFFFF"/>
        </w:rPr>
        <w:t>充电系统</w:t>
      </w:r>
      <w:r>
        <w:rPr>
          <w:rFonts w:hint="eastAsia" w:ascii="宋体" w:hAnsi="宋体" w:eastAsia="宋体" w:cs="宋体"/>
          <w:b/>
          <w:bCs/>
          <w:highlight w:val="none"/>
          <w:shd w:val="clear" w:color="auto" w:fill="FFFFFF"/>
          <w:lang w:val="en-US" w:eastAsia="zh-CN"/>
        </w:rPr>
        <w:t>[</w:t>
      </w:r>
      <w:r>
        <w:rPr>
          <w:rFonts w:hint="eastAsia" w:ascii="宋体" w:hAnsi="宋体" w:eastAsia="宋体" w:cs="宋体"/>
          <w:b/>
          <w:bCs/>
          <w:highlight w:val="none"/>
          <w:shd w:val="clear" w:color="auto" w:fill="FFFFFF"/>
        </w:rPr>
        <w:t>一体式充电机直流充电机部分（部分场站结合</w:t>
      </w:r>
      <w:r>
        <w:rPr>
          <w:rFonts w:hint="eastAsia" w:cs="宋体"/>
          <w:b/>
          <w:bCs/>
          <w:highlight w:val="none"/>
          <w:shd w:val="clear" w:color="auto" w:fill="FFFFFF"/>
          <w:lang w:eastAsia="zh-CN"/>
        </w:rPr>
        <w:t>采购人</w:t>
      </w:r>
      <w:r>
        <w:rPr>
          <w:rFonts w:hint="eastAsia" w:ascii="宋体" w:hAnsi="宋体" w:eastAsia="宋体" w:cs="宋体"/>
          <w:b/>
          <w:bCs/>
          <w:highlight w:val="none"/>
          <w:shd w:val="clear" w:color="auto" w:fill="FFFFFF"/>
        </w:rPr>
        <w:t>需求可调整为</w:t>
      </w:r>
      <w:r>
        <w:rPr>
          <w:rFonts w:hint="eastAsia" w:ascii="宋体" w:hAnsi="宋体" w:eastAsia="宋体" w:cs="宋体"/>
          <w:b/>
          <w:bCs/>
          <w:highlight w:val="none"/>
          <w:shd w:val="clear" w:color="auto" w:fill="FFFFFF"/>
          <w:lang w:val="en-US" w:eastAsia="zh-CN"/>
        </w:rPr>
        <w:t>分体机</w:t>
      </w:r>
      <w:r>
        <w:rPr>
          <w:rFonts w:hint="eastAsia" w:ascii="宋体" w:hAnsi="宋体" w:eastAsia="宋体" w:cs="宋体"/>
          <w:b/>
          <w:bCs/>
          <w:highlight w:val="none"/>
          <w:shd w:val="clear" w:color="auto" w:fill="FFFFFF"/>
        </w:rPr>
        <w:t>）</w:t>
      </w:r>
      <w:r>
        <w:rPr>
          <w:rFonts w:hint="eastAsia" w:ascii="宋体" w:hAnsi="宋体" w:eastAsia="宋体" w:cs="宋体"/>
          <w:b/>
          <w:bCs/>
          <w:highlight w:val="none"/>
          <w:shd w:val="clear" w:color="auto" w:fill="FFFFFF"/>
          <w:lang w:val="en-US" w:eastAsia="zh-CN"/>
        </w:rPr>
        <w:t>]：</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1、本项目所采购的直流快速充电机，是用于支持莆田市</w:t>
      </w:r>
      <w:r>
        <w:rPr>
          <w:rFonts w:hint="eastAsia" w:cs="宋体"/>
          <w:highlight w:val="none"/>
          <w:shd w:val="clear" w:color="auto" w:fill="FFFFFF"/>
          <w:lang w:val="en-US" w:eastAsia="zh-CN"/>
        </w:rPr>
        <w:t>公交</w:t>
      </w:r>
      <w:r>
        <w:rPr>
          <w:rFonts w:hint="eastAsia" w:ascii="宋体" w:hAnsi="宋体" w:eastAsia="宋体" w:cs="宋体"/>
          <w:highlight w:val="none"/>
          <w:shd w:val="clear" w:color="auto" w:fill="FFFFFF"/>
        </w:rPr>
        <w:t>纯电动客车运行充电需要,所投设备需要能够与之相匹配。为配合纯电动公交车投放运营，所采用的充电机需具备升级和扩展功能，通过升级满足国家正式出台的最新相关标准，能够与日后运营车型相匹配。</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eastAsia="zh-CN"/>
        </w:rPr>
      </w:pPr>
      <w:r>
        <w:rPr>
          <w:rFonts w:hint="eastAsia" w:ascii="宋体" w:hAnsi="宋体" w:eastAsia="宋体" w:cs="宋体"/>
          <w:highlight w:val="none"/>
          <w:shd w:val="clear" w:color="auto" w:fill="FFFFFF"/>
        </w:rPr>
        <w:t>2、基本要求</w:t>
      </w:r>
      <w:r>
        <w:rPr>
          <w:rFonts w:hint="eastAsia" w:ascii="宋体" w:hAnsi="宋体" w:eastAsia="宋体" w:cs="宋体"/>
          <w:highlight w:val="none"/>
          <w:shd w:val="clear" w:color="auto" w:fill="FFFFFF"/>
          <w:lang w:eastAsia="zh-CN"/>
        </w:rPr>
        <w:t>：</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2.1</w:t>
      </w:r>
      <w:r>
        <w:rPr>
          <w:rFonts w:hint="eastAsia" w:ascii="宋体" w:hAnsi="宋体" w:eastAsia="宋体" w:cs="宋体"/>
          <w:highlight w:val="none"/>
          <w:shd w:val="clear" w:color="auto" w:fill="FFFFFF"/>
          <w:lang w:val="en-US" w:eastAsia="zh-CN"/>
        </w:rPr>
        <w:t>.</w:t>
      </w:r>
      <w:r>
        <w:rPr>
          <w:rFonts w:hint="eastAsia" w:ascii="宋体" w:hAnsi="宋体" w:eastAsia="宋体" w:cs="宋体"/>
          <w:highlight w:val="none"/>
          <w:shd w:val="clear" w:color="auto" w:fill="FFFFFF"/>
        </w:rPr>
        <w:t>为保证车辆的顺利运行,同时探索充电基础设施的运营管理方案，所采用的设备方案必须具备先进的安全性、成熟的网络管理能力、灵活的升级能力以及与车辆的良好匹配等条件。</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3、充电模式可以选择单枪和双枪同时充两种模式。</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3.1</w:t>
      </w:r>
      <w:r>
        <w:rPr>
          <w:rFonts w:hint="eastAsia" w:ascii="宋体" w:hAnsi="宋体" w:eastAsia="宋体" w:cs="宋体"/>
          <w:highlight w:val="none"/>
          <w:shd w:val="clear" w:color="auto" w:fill="FFFFFF"/>
          <w:lang w:val="en-US" w:eastAsia="zh-CN"/>
        </w:rPr>
        <w:t>.</w:t>
      </w:r>
      <w:r>
        <w:rPr>
          <w:rFonts w:hint="eastAsia" w:ascii="宋体" w:hAnsi="宋体" w:eastAsia="宋体" w:cs="宋体"/>
          <w:highlight w:val="none"/>
          <w:shd w:val="clear" w:color="auto" w:fill="FFFFFF"/>
        </w:rPr>
        <w:t>当选择单枪快充模式时，其输出的最大充电功率不低于1</w:t>
      </w:r>
      <w:r>
        <w:rPr>
          <w:rFonts w:hint="eastAsia" w:cs="宋体"/>
          <w:highlight w:val="none"/>
          <w:shd w:val="clear" w:color="auto" w:fill="FFFFFF"/>
          <w:lang w:val="en-US" w:eastAsia="zh-CN"/>
        </w:rPr>
        <w:t>2</w:t>
      </w:r>
      <w:r>
        <w:rPr>
          <w:rFonts w:hint="eastAsia" w:ascii="宋体" w:hAnsi="宋体" w:eastAsia="宋体" w:cs="宋体"/>
          <w:highlight w:val="none"/>
          <w:shd w:val="clear" w:color="auto" w:fill="FFFFFF"/>
        </w:rPr>
        <w:t>0KW。双枪同充时，充电功率</w:t>
      </w:r>
      <w:r>
        <w:rPr>
          <w:rFonts w:hint="eastAsia" w:cs="宋体"/>
          <w:highlight w:val="none"/>
          <w:shd w:val="clear" w:color="auto" w:fill="FFFFFF"/>
          <w:lang w:val="en-US" w:eastAsia="zh-CN"/>
        </w:rPr>
        <w:t>不低于24</w:t>
      </w:r>
      <w:r>
        <w:rPr>
          <w:rFonts w:hint="eastAsia" w:ascii="宋体" w:hAnsi="宋体" w:eastAsia="宋体" w:cs="宋体"/>
          <w:highlight w:val="none"/>
          <w:shd w:val="clear" w:color="auto" w:fill="FFFFFF"/>
        </w:rPr>
        <w:t>0KW</w:t>
      </w:r>
      <w:r>
        <w:rPr>
          <w:rFonts w:hint="eastAsia" w:cs="宋体"/>
          <w:highlight w:val="none"/>
          <w:shd w:val="clear" w:color="auto" w:fill="FFFFFF"/>
          <w:lang w:val="en-US" w:eastAsia="zh-CN"/>
        </w:rPr>
        <w:t>或不低于单桩桩机总功率</w:t>
      </w:r>
      <w:r>
        <w:rPr>
          <w:rFonts w:hint="eastAsia" w:ascii="宋体" w:hAnsi="宋体" w:eastAsia="宋体" w:cs="宋体"/>
          <w:highlight w:val="none"/>
          <w:shd w:val="clear" w:color="auto" w:fill="FFFFFF"/>
        </w:rPr>
        <w:t>。</w:t>
      </w:r>
    </w:p>
    <w:p>
      <w:pPr>
        <w:pStyle w:val="26"/>
        <w:shd w:val="clear" w:color="auto" w:fill="FFFFFF"/>
        <w:adjustRightInd w:val="0"/>
        <w:snapToGrid w:val="0"/>
        <w:spacing w:before="48" w:beforeAutospacing="0" w:after="48" w:afterAutospacing="0" w:line="440" w:lineRule="exact"/>
        <w:ind w:firstLine="240" w:firstLineChars="100"/>
        <w:rPr>
          <w:rFonts w:hint="eastAsia" w:ascii="宋体" w:hAnsi="宋体" w:eastAsia="宋体" w:cs="宋体"/>
          <w:highlight w:val="none"/>
          <w:shd w:val="clear" w:color="auto" w:fill="FFFFFF"/>
        </w:rPr>
      </w:pPr>
      <w:r>
        <w:rPr>
          <w:rFonts w:ascii="宋体" w:hAnsi="宋体" w:cs="宋体"/>
          <w:kern w:val="0"/>
          <w:sz w:val="24"/>
          <w:highlight w:val="none"/>
        </w:rPr>
        <w:t>▲</w:t>
      </w:r>
      <w:r>
        <w:rPr>
          <w:rFonts w:hint="eastAsia" w:ascii="宋体" w:hAnsi="宋体" w:eastAsia="宋体" w:cs="宋体"/>
          <w:highlight w:val="none"/>
          <w:shd w:val="clear" w:color="auto" w:fill="FFFFFF"/>
        </w:rPr>
        <w:t>3.2</w:t>
      </w:r>
      <w:r>
        <w:rPr>
          <w:rFonts w:hint="eastAsia" w:ascii="宋体" w:hAnsi="宋体" w:eastAsia="宋体" w:cs="宋体"/>
          <w:highlight w:val="none"/>
          <w:shd w:val="clear" w:color="auto" w:fill="FFFFFF"/>
          <w:lang w:val="en-US" w:eastAsia="zh-CN"/>
        </w:rPr>
        <w:t>.</w:t>
      </w:r>
      <w:r>
        <w:rPr>
          <w:rFonts w:hint="eastAsia" w:ascii="宋体" w:hAnsi="宋体" w:eastAsia="宋体" w:cs="宋体"/>
          <w:highlight w:val="none"/>
          <w:shd w:val="clear" w:color="auto" w:fill="FFFFFF"/>
        </w:rPr>
        <w:t>功率模块可以自动分配，当选择双枪充电模式时，两只充电枪功率相互独立且可互补。充电机每只充电枪输出的最大充电功率可根据车辆BMS需求电流在0～250A之间调配，两只充电枪能够同时工作，可以独立给两台车充电，也可以同时给一台车充电。</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eastAsia="zh-CN"/>
        </w:rPr>
      </w:pPr>
      <w:bookmarkStart w:id="19" w:name="_Toc394515017"/>
      <w:bookmarkStart w:id="20" w:name="_Toc394514929"/>
      <w:r>
        <w:rPr>
          <w:rFonts w:hint="eastAsia" w:cs="宋体"/>
          <w:highlight w:val="none"/>
          <w:shd w:val="clear" w:color="auto" w:fill="FFFFFF"/>
          <w:lang w:val="en-US" w:eastAsia="zh-CN"/>
        </w:rPr>
        <w:t>4</w:t>
      </w:r>
      <w:r>
        <w:rPr>
          <w:rFonts w:hint="eastAsia" w:ascii="宋体" w:hAnsi="宋体" w:eastAsia="宋体" w:cs="宋体"/>
          <w:highlight w:val="none"/>
          <w:shd w:val="clear" w:color="auto" w:fill="FFFFFF"/>
        </w:rPr>
        <w:t>、参照标准</w:t>
      </w:r>
      <w:bookmarkEnd w:id="19"/>
      <w:bookmarkEnd w:id="20"/>
      <w:r>
        <w:rPr>
          <w:rFonts w:hint="eastAsia" w:ascii="宋体" w:hAnsi="宋体" w:eastAsia="宋体" w:cs="宋体"/>
          <w:highlight w:val="none"/>
          <w:shd w:val="clear" w:color="auto" w:fill="FFFFFF"/>
          <w:lang w:eastAsia="zh-CN"/>
        </w:rPr>
        <w:t>：</w:t>
      </w:r>
    </w:p>
    <w:tbl>
      <w:tblPr>
        <w:tblStyle w:val="31"/>
        <w:tblW w:w="512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blHeader/>
        </w:trPr>
        <w:tc>
          <w:tcPr>
            <w:tcW w:w="1331" w:type="pct"/>
            <w:noWrap w:val="0"/>
            <w:tcMar>
              <w:left w:w="0" w:type="dxa"/>
              <w:right w:w="0" w:type="dxa"/>
            </w:tcMar>
            <w:vAlign w:val="center"/>
          </w:tcPr>
          <w:p>
            <w:pPr>
              <w:pStyle w:val="127"/>
              <w:overflowPunct w:val="0"/>
              <w:spacing w:before="72" w:beforeLines="30" w:after="72" w:afterLines="30" w:line="240" w:lineRule="auto"/>
              <w:ind w:left="63" w:right="63"/>
              <w:rPr>
                <w:b/>
                <w:sz w:val="24"/>
                <w:szCs w:val="24"/>
                <w:highlight w:val="none"/>
              </w:rPr>
            </w:pPr>
            <w:bookmarkStart w:id="21" w:name="_Toc394514930"/>
            <w:bookmarkStart w:id="22" w:name="_Toc394515018"/>
            <w:r>
              <w:rPr>
                <w:b/>
                <w:sz w:val="24"/>
                <w:szCs w:val="24"/>
                <w:highlight w:val="none"/>
              </w:rPr>
              <w:t>标</w:t>
            </w:r>
            <w:r>
              <w:rPr>
                <w:rFonts w:hint="eastAsia"/>
                <w:b/>
                <w:sz w:val="24"/>
                <w:szCs w:val="24"/>
                <w:highlight w:val="none"/>
              </w:rPr>
              <w:t xml:space="preserve">   </w:t>
            </w:r>
            <w:r>
              <w:rPr>
                <w:b/>
                <w:sz w:val="24"/>
                <w:szCs w:val="24"/>
                <w:highlight w:val="none"/>
              </w:rPr>
              <w:t>准</w:t>
            </w:r>
            <w:r>
              <w:rPr>
                <w:rFonts w:hint="eastAsia"/>
                <w:b/>
                <w:sz w:val="24"/>
                <w:szCs w:val="24"/>
                <w:highlight w:val="none"/>
              </w:rPr>
              <w:t xml:space="preserve">   </w:t>
            </w:r>
            <w:r>
              <w:rPr>
                <w:b/>
                <w:sz w:val="24"/>
                <w:szCs w:val="24"/>
                <w:highlight w:val="none"/>
              </w:rPr>
              <w:t>号</w:t>
            </w:r>
          </w:p>
        </w:tc>
        <w:tc>
          <w:tcPr>
            <w:tcW w:w="3669" w:type="pct"/>
            <w:noWrap w:val="0"/>
            <w:tcMar>
              <w:left w:w="0" w:type="dxa"/>
              <w:right w:w="0" w:type="dxa"/>
            </w:tcMar>
            <w:vAlign w:val="center"/>
          </w:tcPr>
          <w:p>
            <w:pPr>
              <w:pStyle w:val="127"/>
              <w:overflowPunct w:val="0"/>
              <w:spacing w:before="72" w:beforeLines="30" w:after="72" w:afterLines="30" w:line="240" w:lineRule="auto"/>
              <w:ind w:left="63" w:right="63"/>
              <w:rPr>
                <w:b/>
                <w:sz w:val="24"/>
                <w:szCs w:val="24"/>
                <w:highlight w:val="none"/>
              </w:rPr>
            </w:pPr>
            <w:r>
              <w:rPr>
                <w:b/>
                <w:sz w:val="24"/>
                <w:szCs w:val="24"/>
                <w:highlight w:val="none"/>
              </w:rPr>
              <w:t>标</w:t>
            </w:r>
            <w:r>
              <w:rPr>
                <w:rFonts w:hint="eastAsia"/>
                <w:b/>
                <w:sz w:val="24"/>
                <w:szCs w:val="24"/>
                <w:highlight w:val="none"/>
              </w:rPr>
              <w:t xml:space="preserve">  </w:t>
            </w:r>
            <w:r>
              <w:rPr>
                <w:b/>
                <w:sz w:val="24"/>
                <w:szCs w:val="24"/>
                <w:highlight w:val="none"/>
              </w:rPr>
              <w:t>准</w:t>
            </w:r>
            <w:r>
              <w:rPr>
                <w:rFonts w:hint="eastAsia"/>
                <w:b/>
                <w:sz w:val="24"/>
                <w:szCs w:val="24"/>
                <w:highlight w:val="none"/>
              </w:rPr>
              <w:t xml:space="preserve">  </w:t>
            </w:r>
            <w:r>
              <w:rPr>
                <w:b/>
                <w:sz w:val="24"/>
                <w:szCs w:val="24"/>
                <w:highlight w:val="none"/>
              </w:rPr>
              <w:t>名</w:t>
            </w:r>
            <w:r>
              <w:rPr>
                <w:rFonts w:hint="eastAsia"/>
                <w:b/>
                <w:sz w:val="24"/>
                <w:szCs w:val="24"/>
                <w:highlight w:val="none"/>
              </w:rPr>
              <w:t xml:space="preserve">  </w:t>
            </w:r>
            <w:r>
              <w:rPr>
                <w:b/>
                <w:sz w:val="24"/>
                <w:szCs w:val="24"/>
                <w:highlight w:val="none"/>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GB/T 2421.1-2008</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电工电子产品环境试验 概述和指南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GB/T 2423.1-2008</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电工电子产品环境试验　第2部分：试验方法　试验A：低温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GB/T 2423.2-2008</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电工电子产品环境试验　第2部分：试验方法　试验B：高温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GB/T 2423.4-2008</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电工电子产品环境试验　第2部分：试验方法　试验Db：交变湿热（12h+12h循环）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GB/T 2423.17-2008</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电工电子产品环境试验 第2部分：试验方法 试验Ka：盐雾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GB/T 2423.55-2006</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电工电子产品环境试验　第2部分：环境测试实验Eh：锤击试验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 4208-20</w:t>
            </w:r>
            <w:r>
              <w:rPr>
                <w:rFonts w:ascii="宋体" w:hAnsi="宋体"/>
                <w:sz w:val="24"/>
                <w:highlight w:val="none"/>
              </w:rPr>
              <w:t>17</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外壳防护等级（IP代码）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w:t>
            </w:r>
            <w:r>
              <w:rPr>
                <w:rFonts w:ascii="宋体" w:hAnsi="宋体"/>
                <w:sz w:val="24"/>
                <w:highlight w:val="none"/>
              </w:rPr>
              <w:t xml:space="preserve"> 4824-2013</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工业、科学和医疗（ISM）射频设备 骚扰特性 限值和测量方法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w:t>
            </w:r>
            <w:r>
              <w:rPr>
                <w:rFonts w:ascii="宋体" w:hAnsi="宋体"/>
                <w:sz w:val="24"/>
                <w:highlight w:val="none"/>
              </w:rPr>
              <w:t>/</w:t>
            </w:r>
            <w:r>
              <w:rPr>
                <w:rFonts w:hint="eastAsia" w:ascii="宋体" w:hAnsi="宋体"/>
                <w:sz w:val="24"/>
                <w:highlight w:val="none"/>
              </w:rPr>
              <w:t>T</w:t>
            </w:r>
            <w:r>
              <w:rPr>
                <w:rFonts w:ascii="宋体" w:hAnsi="宋体"/>
                <w:sz w:val="24"/>
                <w:highlight w:val="none"/>
              </w:rPr>
              <w:t xml:space="preserve"> 7251.1-2013</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低压成套开关设备和控制设备 第1部分：总则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 17625.1-2012</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电磁兼容　限值　谐波电流发射限值(设备每相输入电流≤16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ascii="宋体" w:hAnsi="宋体"/>
                <w:sz w:val="24"/>
                <w:highlight w:val="none"/>
              </w:rPr>
              <w:t>GB/T 17625.2-2007</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电磁兼容 限值 对每相额定电流≤16A且无条件接入的设备在公用低压供电系统中产生的电压变化、电压波动和闪烁的限制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ascii="宋体" w:hAnsi="宋体"/>
                <w:sz w:val="24"/>
                <w:highlight w:val="none"/>
              </w:rPr>
              <w:t>GB/T 17625.7-2013</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电磁兼容 限值 对额定电流≤75A且有条件接入的设备在公用低压供电系统中产生的电压变化、电压波动和闪烁的限制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ascii="宋体" w:hAnsi="宋体"/>
                <w:sz w:val="24"/>
                <w:highlight w:val="none"/>
              </w:rPr>
              <w:t>GB/T 17625.8-2013</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电磁兼容 限值 每相输入电流大于16A小于等于75A连接到公用低压系统的设备产生的谐波电流限值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GB/Z 17625.6-2003</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电磁兼容　限值　对额定电流大于16 A的设备在低压供电系统中产生的谐波电流的限制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GB/T 17626.2-20</w:t>
            </w:r>
            <w:r>
              <w:rPr>
                <w:rFonts w:ascii="宋体" w:hAnsi="宋体"/>
                <w:sz w:val="24"/>
                <w:highlight w:val="none"/>
              </w:rPr>
              <w:t>18</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电磁兼容 试验和测量技术 静电放电抗扰度试验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GB/T 17626.3-20</w:t>
            </w:r>
            <w:r>
              <w:rPr>
                <w:rFonts w:ascii="宋体" w:hAnsi="宋体"/>
                <w:sz w:val="24"/>
                <w:highlight w:val="none"/>
              </w:rPr>
              <w:t>1</w:t>
            </w:r>
            <w:r>
              <w:rPr>
                <w:rFonts w:hint="eastAsia" w:ascii="宋体" w:hAnsi="宋体"/>
                <w:sz w:val="24"/>
                <w:highlight w:val="none"/>
              </w:rPr>
              <w:t>6</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电磁兼容 试验和测量技术 射频电磁场辐射抗扰度试验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GB/T 17626.4-20</w:t>
            </w:r>
            <w:r>
              <w:rPr>
                <w:rFonts w:ascii="宋体" w:hAnsi="宋体"/>
                <w:sz w:val="24"/>
                <w:highlight w:val="none"/>
              </w:rPr>
              <w:t>1</w:t>
            </w:r>
            <w:r>
              <w:rPr>
                <w:rFonts w:hint="eastAsia" w:ascii="宋体" w:hAnsi="宋体"/>
                <w:sz w:val="24"/>
                <w:highlight w:val="none"/>
              </w:rPr>
              <w:t>8</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电磁兼容 试验和测量技术 电快速瞬变脉冲群抗扰度试验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GB/T 17626.5-20</w:t>
            </w:r>
            <w:r>
              <w:rPr>
                <w:rFonts w:ascii="宋体" w:hAnsi="宋体"/>
                <w:sz w:val="24"/>
                <w:highlight w:val="none"/>
              </w:rPr>
              <w:t>19</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电磁兼容 试验和测量技术 浪涌（冲击）抗扰度试验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ascii="宋体" w:hAnsi="宋体"/>
                <w:sz w:val="24"/>
                <w:highlight w:val="none"/>
              </w:rPr>
              <w:t>GB/T 17626.6-2017</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电磁兼容 试验和测量技术 射频场感应的传导骚扰抗扰度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ascii="宋体" w:hAnsi="宋体"/>
                <w:sz w:val="24"/>
                <w:highlight w:val="none"/>
              </w:rPr>
              <w:t>GB/T 17626.8-2006</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电磁兼容 试验和测量技术 工频磁场抗扰度试验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ascii="宋体" w:hAnsi="宋体"/>
                <w:sz w:val="24"/>
                <w:highlight w:val="none"/>
              </w:rPr>
              <w:t>GB/T 17626.11-2008</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电磁兼容 试验和测量技术 电压暂降、短时中断和电压变化的抗扰度试验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ascii="宋体" w:hAnsi="宋体"/>
                <w:sz w:val="24"/>
                <w:highlight w:val="none"/>
              </w:rPr>
              <w:t>GB/T 17626.34-2012</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电磁兼容 试验和测量技术 主电源每相电流大于16A的设备的电压暂降、短时中断和电压变化抗扰度试验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GB/T 18487.1-2015</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电动汽车传导充电系统 第1部分：通用要求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GB/T 18487.2-2017</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电动汽车传导充电系统 第2部分：非车载传导供电设备电磁兼容要求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GB/T 20234.1-2015</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电动汽车传导充电用连接装置 第1部分：通用要求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GB/T 20234.3-2015</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电动汽车传导充电用连接装置 第3部分：直流充电接口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GB/T 27930-2015</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电动汽车非车载传导式充电机与电池管理系统之间的通信协议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ascii="宋体" w:hAnsi="宋体"/>
                <w:sz w:val="24"/>
                <w:highlight w:val="none"/>
              </w:rPr>
              <w:t>GB/T 29317-2021</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电动汽车充换电设施术语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GB/T 29318-2012</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电动汽车非车载充电机电能计量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GB/T 34657.1-2017</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电动汽车传导充电互操作性测试规范 第1部分:供电设备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ascii="宋体" w:hAnsi="宋体"/>
                <w:sz w:val="24"/>
                <w:highlight w:val="none"/>
              </w:rPr>
              <w:t>GB/T 34658-2017</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电动汽车非车载传导式充电机与电池管理系统之间的通信协议一致性测试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GB/T 13384-2008</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机电产品包装通用技术条件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GB/T 29316-2012</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电动汽车充换电设施电能质量技术要求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NB/T 33001-2018</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电动汽车非车载传导式充电机技术条件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NB/T 33008.1-2018</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电动汽车充电设备检验试验规范 第1部分：非车载充电机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IEC</w:t>
            </w:r>
            <w:r>
              <w:rPr>
                <w:rFonts w:ascii="宋体" w:hAnsi="宋体"/>
                <w:sz w:val="24"/>
                <w:highlight w:val="none"/>
              </w:rPr>
              <w:t xml:space="preserve"> 61851-23</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sz w:val="24"/>
                <w:highlight w:val="none"/>
              </w:rPr>
              <w:t>电动汽车传导充电系统 第2</w:t>
            </w:r>
            <w:r>
              <w:rPr>
                <w:rFonts w:ascii="宋体" w:hAnsi="宋体"/>
                <w:sz w:val="24"/>
                <w:highlight w:val="none"/>
              </w:rPr>
              <w:t>3</w:t>
            </w:r>
            <w:r>
              <w:rPr>
                <w:rFonts w:hint="eastAsia" w:ascii="宋体" w:hAnsi="宋体"/>
                <w:sz w:val="24"/>
                <w:highlight w:val="none"/>
              </w:rPr>
              <w:t>部分：直流电动汽车充电站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cs="宋体"/>
                <w:color w:val="000000"/>
                <w:sz w:val="24"/>
                <w:highlight w:val="none"/>
              </w:rPr>
              <w:t>DL/T645-2007</w:t>
            </w:r>
          </w:p>
        </w:tc>
        <w:tc>
          <w:tcPr>
            <w:tcW w:w="3669" w:type="pct"/>
            <w:noWrap w:val="0"/>
            <w:tcMar>
              <w:left w:w="0" w:type="dxa"/>
              <w:right w:w="0" w:type="dxa"/>
            </w:tcMar>
            <w:vAlign w:val="center"/>
          </w:tcPr>
          <w:p>
            <w:pPr>
              <w:topLinePunct/>
              <w:snapToGrid w:val="0"/>
              <w:spacing w:before="60" w:after="60"/>
              <w:ind w:left="124" w:leftChars="59"/>
              <w:jc w:val="left"/>
              <w:rPr>
                <w:rFonts w:ascii="宋体" w:hAnsi="宋体"/>
                <w:sz w:val="24"/>
                <w:highlight w:val="none"/>
              </w:rPr>
            </w:pPr>
            <w:r>
              <w:rPr>
                <w:rFonts w:hint="eastAsia" w:ascii="宋体" w:hAnsi="宋体" w:cs="宋体"/>
                <w:color w:val="000000"/>
                <w:sz w:val="24"/>
                <w:highlight w:val="none"/>
              </w:rPr>
              <w:t>多功能电能表通信协议</w:t>
            </w:r>
          </w:p>
        </w:tc>
      </w:tr>
    </w:tbl>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以上标准若出现更新或替换，以新标准为准。未明确的标准要求，也以国家及行业最新标准为准。</w:t>
      </w:r>
    </w:p>
    <w:bookmarkEnd w:id="21"/>
    <w:bookmarkEnd w:id="22"/>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bookmarkStart w:id="23" w:name="_Toc394514932"/>
      <w:bookmarkStart w:id="24" w:name="_Toc394515020"/>
      <w:r>
        <w:rPr>
          <w:rFonts w:hint="eastAsia" w:cs="宋体"/>
          <w:highlight w:val="none"/>
          <w:shd w:val="clear" w:color="auto" w:fill="FFFFFF"/>
          <w:lang w:val="en-US" w:eastAsia="zh-CN"/>
        </w:rPr>
        <w:t>6</w:t>
      </w:r>
      <w:r>
        <w:rPr>
          <w:rFonts w:hint="eastAsia" w:ascii="宋体" w:hAnsi="宋体" w:eastAsia="宋体" w:cs="宋体"/>
          <w:highlight w:val="none"/>
          <w:shd w:val="clear" w:color="auto" w:fill="FFFFFF"/>
        </w:rPr>
        <w:t>、技术参数</w:t>
      </w:r>
      <w:r>
        <w:rPr>
          <w:rFonts w:hint="eastAsia" w:ascii="宋体" w:hAnsi="宋体" w:eastAsia="宋体" w:cs="宋体"/>
          <w:highlight w:val="none"/>
          <w:shd w:val="clear" w:color="auto" w:fill="FFFFFF"/>
          <w:lang w:val="en-US" w:eastAsia="zh-CN"/>
        </w:rPr>
        <w:t>:</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cs="宋体"/>
          <w:highlight w:val="none"/>
          <w:shd w:val="clear" w:color="auto" w:fill="FFFFFF"/>
          <w:lang w:val="en-US" w:eastAsia="zh-CN"/>
        </w:rPr>
        <w:t>6</w:t>
      </w:r>
      <w:r>
        <w:rPr>
          <w:rFonts w:hint="eastAsia" w:ascii="宋体" w:hAnsi="宋体" w:eastAsia="宋体" w:cs="宋体"/>
          <w:highlight w:val="none"/>
          <w:shd w:val="clear" w:color="auto" w:fill="FFFFFF"/>
        </w:rPr>
        <w:t>.1</w:t>
      </w:r>
      <w:r>
        <w:rPr>
          <w:rFonts w:hint="eastAsia" w:ascii="宋体" w:hAnsi="宋体" w:eastAsia="宋体" w:cs="宋体"/>
          <w:highlight w:val="none"/>
          <w:shd w:val="clear" w:color="auto" w:fill="FFFFFF"/>
          <w:lang w:val="en-US" w:eastAsia="zh-CN"/>
        </w:rPr>
        <w:t>一体式</w:t>
      </w:r>
      <w:r>
        <w:rPr>
          <w:rFonts w:hint="eastAsia" w:ascii="宋体" w:hAnsi="宋体" w:eastAsia="宋体" w:cs="宋体"/>
          <w:highlight w:val="none"/>
          <w:shd w:val="clear" w:color="auto" w:fill="FFFFFF"/>
        </w:rPr>
        <w:t>双枪直流充电机电气参数：</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p>
    <w:tbl>
      <w:tblPr>
        <w:tblStyle w:val="31"/>
        <w:tblW w:w="5123" w:type="pct"/>
        <w:tblInd w:w="-64" w:type="dxa"/>
        <w:tblLayout w:type="autofit"/>
        <w:tblCellMar>
          <w:top w:w="0" w:type="dxa"/>
          <w:left w:w="108" w:type="dxa"/>
          <w:bottom w:w="0" w:type="dxa"/>
          <w:right w:w="108" w:type="dxa"/>
        </w:tblCellMar>
      </w:tblPr>
      <w:tblGrid>
        <w:gridCol w:w="846"/>
        <w:gridCol w:w="2289"/>
        <w:gridCol w:w="6308"/>
      </w:tblGrid>
      <w:tr>
        <w:tblPrEx>
          <w:tblCellMar>
            <w:top w:w="0" w:type="dxa"/>
            <w:left w:w="108" w:type="dxa"/>
            <w:bottom w:w="0" w:type="dxa"/>
            <w:right w:w="108" w:type="dxa"/>
          </w:tblCellMar>
        </w:tblPrEx>
        <w:trPr>
          <w:trHeight w:val="20" w:hRule="atLeast"/>
          <w:tblHeader/>
        </w:trPr>
        <w:tc>
          <w:tcPr>
            <w:tcW w:w="44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1212" w:type="pct"/>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项目</w:t>
            </w:r>
          </w:p>
        </w:tc>
        <w:tc>
          <w:tcPr>
            <w:tcW w:w="3338" w:type="pct"/>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技术参数</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交流输入电压</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三相380V（±15%）AC</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rPr>
                <w:rFonts w:ascii="宋体" w:hAnsi="宋体" w:cs="宋体"/>
                <w:kern w:val="0"/>
                <w:sz w:val="24"/>
                <w:szCs w:val="24"/>
                <w:highlight w:val="none"/>
              </w:rPr>
            </w:pPr>
            <w:r>
              <w:rPr>
                <w:rFonts w:hint="eastAsia" w:ascii="宋体" w:hAnsi="宋体" w:cs="宋体"/>
                <w:kern w:val="0"/>
                <w:sz w:val="24"/>
                <w:szCs w:val="24"/>
                <w:highlight w:val="none"/>
              </w:rPr>
              <w:t>交流输入频率</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50Hz±2%</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输出功率</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kern w:val="0"/>
                <w:sz w:val="24"/>
                <w:szCs w:val="24"/>
                <w:highlight w:val="none"/>
              </w:rPr>
            </w:pPr>
            <w:r>
              <w:rPr>
                <w:rFonts w:hint="eastAsia" w:ascii="宋体" w:hAnsi="宋体"/>
                <w:sz w:val="24"/>
                <w:szCs w:val="24"/>
                <w:highlight w:val="none"/>
                <w:lang w:val="en-US" w:eastAsia="zh-CN"/>
              </w:rPr>
              <w:t>120KW/</w:t>
            </w:r>
            <w:r>
              <w:rPr>
                <w:rFonts w:ascii="宋体" w:hAnsi="宋体"/>
                <w:sz w:val="24"/>
                <w:szCs w:val="24"/>
                <w:highlight w:val="none"/>
              </w:rPr>
              <w:t>180</w:t>
            </w:r>
            <w:r>
              <w:rPr>
                <w:rFonts w:hint="eastAsia" w:ascii="宋体" w:hAnsi="宋体"/>
                <w:sz w:val="24"/>
                <w:szCs w:val="24"/>
                <w:highlight w:val="none"/>
              </w:rPr>
              <w:t>kW</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4</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结构形式</w:t>
            </w:r>
          </w:p>
        </w:tc>
        <w:tc>
          <w:tcPr>
            <w:tcW w:w="3338" w:type="pct"/>
            <w:tcBorders>
              <w:top w:val="nil"/>
              <w:left w:val="nil"/>
              <w:bottom w:val="single" w:color="auto" w:sz="8" w:space="0"/>
              <w:right w:val="single" w:color="auto" w:sz="8" w:space="0"/>
            </w:tcBorders>
            <w:shd w:val="clear" w:color="auto" w:fill="auto"/>
            <w:vAlign w:val="center"/>
          </w:tcPr>
          <w:p>
            <w:pPr>
              <w:spacing w:line="360" w:lineRule="auto"/>
              <w:rPr>
                <w:rFonts w:ascii="宋体" w:hAnsi="宋体"/>
                <w:sz w:val="24"/>
                <w:szCs w:val="24"/>
                <w:highlight w:val="none"/>
              </w:rPr>
            </w:pPr>
            <w:r>
              <w:rPr>
                <w:rFonts w:hint="eastAsia" w:ascii="宋体" w:hAnsi="宋体"/>
                <w:sz w:val="24"/>
                <w:szCs w:val="24"/>
                <w:highlight w:val="none"/>
              </w:rPr>
              <w:t>一体式双枪</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5</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最大输出电流</w:t>
            </w:r>
          </w:p>
        </w:tc>
        <w:tc>
          <w:tcPr>
            <w:tcW w:w="3338" w:type="pct"/>
            <w:tcBorders>
              <w:top w:val="nil"/>
              <w:left w:val="nil"/>
              <w:bottom w:val="single" w:color="auto" w:sz="8" w:space="0"/>
              <w:right w:val="single" w:color="auto" w:sz="8" w:space="0"/>
            </w:tcBorders>
            <w:shd w:val="clear" w:color="auto" w:fill="auto"/>
            <w:vAlign w:val="center"/>
          </w:tcPr>
          <w:p>
            <w:pPr>
              <w:spacing w:line="360" w:lineRule="auto"/>
              <w:rPr>
                <w:rFonts w:ascii="宋体" w:hAnsi="宋体"/>
                <w:sz w:val="24"/>
                <w:szCs w:val="24"/>
                <w:highlight w:val="none"/>
              </w:rPr>
            </w:pPr>
            <w:r>
              <w:rPr>
                <w:rFonts w:hint="eastAsia" w:ascii="宋体" w:hAnsi="宋体"/>
                <w:sz w:val="24"/>
                <w:szCs w:val="24"/>
                <w:highlight w:val="none"/>
              </w:rPr>
              <w:t>单枪最大</w:t>
            </w:r>
            <w:r>
              <w:rPr>
                <w:rFonts w:ascii="宋体" w:hAnsi="宋体"/>
                <w:sz w:val="24"/>
                <w:szCs w:val="24"/>
                <w:highlight w:val="none"/>
              </w:rPr>
              <w:t>250</w:t>
            </w:r>
            <w:r>
              <w:rPr>
                <w:rFonts w:hint="eastAsia" w:ascii="宋体" w:hAnsi="宋体"/>
                <w:sz w:val="24"/>
                <w:szCs w:val="24"/>
                <w:highlight w:val="none"/>
              </w:rPr>
              <w:t>A</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6</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充电模块</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20</w:t>
            </w:r>
            <w:r>
              <w:rPr>
                <w:rFonts w:hint="eastAsia" w:ascii="宋体" w:hAnsi="宋体" w:cs="宋体"/>
                <w:kern w:val="0"/>
                <w:sz w:val="24"/>
                <w:szCs w:val="24"/>
                <w:highlight w:val="none"/>
              </w:rPr>
              <w:t>KW</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7</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额定频率</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50Hz±2%</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8</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标称输出电压</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200V-</w:t>
            </w:r>
            <w:r>
              <w:rPr>
                <w:rFonts w:ascii="宋体" w:hAnsi="宋体" w:cs="宋体"/>
                <w:kern w:val="0"/>
                <w:sz w:val="24"/>
                <w:szCs w:val="24"/>
                <w:highlight w:val="none"/>
              </w:rPr>
              <w:t>750</w:t>
            </w:r>
            <w:r>
              <w:rPr>
                <w:rFonts w:hint="eastAsia" w:ascii="宋体" w:hAnsi="宋体" w:cs="宋体"/>
                <w:kern w:val="0"/>
                <w:sz w:val="24"/>
                <w:szCs w:val="24"/>
                <w:highlight w:val="none"/>
              </w:rPr>
              <w:t>V</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9</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恒功率输出范围</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outlineLvl w:val="0"/>
              <w:rPr>
                <w:rFonts w:ascii="宋体" w:hAnsi="宋体" w:cs="宋体"/>
                <w:kern w:val="0"/>
                <w:sz w:val="24"/>
                <w:szCs w:val="24"/>
                <w:highlight w:val="none"/>
              </w:rPr>
            </w:pPr>
            <w:r>
              <w:rPr>
                <w:rFonts w:ascii="宋体" w:hAnsi="宋体" w:cs="宋体"/>
                <w:kern w:val="0"/>
                <w:sz w:val="24"/>
                <w:szCs w:val="24"/>
                <w:highlight w:val="none"/>
              </w:rPr>
              <w:t>300</w:t>
            </w:r>
            <w:r>
              <w:rPr>
                <w:rFonts w:hint="eastAsia" w:ascii="宋体" w:hAnsi="宋体" w:cs="宋体"/>
                <w:kern w:val="0"/>
                <w:sz w:val="24"/>
                <w:szCs w:val="24"/>
                <w:highlight w:val="none"/>
              </w:rPr>
              <w:t>V-</w:t>
            </w:r>
            <w:r>
              <w:rPr>
                <w:rFonts w:ascii="宋体" w:hAnsi="宋体" w:cs="宋体"/>
                <w:kern w:val="0"/>
                <w:sz w:val="24"/>
                <w:szCs w:val="24"/>
                <w:highlight w:val="none"/>
              </w:rPr>
              <w:t>750</w:t>
            </w:r>
            <w:r>
              <w:rPr>
                <w:rFonts w:hint="eastAsia" w:ascii="宋体" w:hAnsi="宋体" w:cs="宋体"/>
                <w:kern w:val="0"/>
                <w:sz w:val="24"/>
                <w:szCs w:val="24"/>
                <w:highlight w:val="none"/>
              </w:rPr>
              <w:t>V</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10</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恒功率输出误差</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≤±2%</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11</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低压辅助电源纹波峰值系数</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≤1%</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12</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稳流精度</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≤±1%</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13</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稳压精度</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≤±0.5%</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14</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电压纹波因数检验纹波峰系数</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≤1%</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15</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输出电流设定误差</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电流＜30A时，≤±0.3A；电流≥30A时，≤±1%；</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16</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输出电压设定误差</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≤±0.5%</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17</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综合效率</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半载以下≥</w:t>
            </w:r>
            <w:r>
              <w:rPr>
                <w:rFonts w:hint="eastAsia" w:ascii="宋体" w:hAnsi="宋体" w:cs="宋体"/>
                <w:kern w:val="0"/>
                <w:sz w:val="24"/>
                <w:szCs w:val="24"/>
                <w:highlight w:val="none"/>
                <w:lang w:val="en-US" w:eastAsia="zh-CN"/>
              </w:rPr>
              <w:t>90</w:t>
            </w:r>
            <w:r>
              <w:rPr>
                <w:rFonts w:hint="eastAsia" w:ascii="宋体" w:hAnsi="宋体" w:cs="宋体"/>
                <w:kern w:val="0"/>
                <w:sz w:val="24"/>
                <w:szCs w:val="24"/>
                <w:highlight w:val="none"/>
              </w:rPr>
              <w:t>%；半载及以上≥93%</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18</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功率因数</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半载以下≥0.95；半载及以上≥0.98</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19</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待机功耗</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≤N*50W（N表示车辆接口数量）</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20</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噪声</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＜80dB</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21</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环境温度40℃时各部分温度</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手握可触及部分的金属材料温度≤50℃、非金属材料温度≤60℃；可触及但非手握部分的金属材料温度≤60℃、非金属材料温度≤85℃；</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22</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IP防护等级</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 xml:space="preserve">IP54 </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23</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绝缘电阻</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≥10MΩ</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24</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正常工作温度</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-20℃至50℃</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25</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高低温稳流</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-20℃时≤±1%；50℃时≤±1%</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26</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安全保护</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输入过压保护、输入欠压保护、输出过压保护、输出短路保护、过温保护、开门保护、启动急停装置、输入电流过冲、蓄电池反接、防逆流功能、接触器粘连</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27</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启动方式</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刷卡启动、APP扫码启动、微信扫码启动</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VIN识别启动</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28</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通信协议</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符合中华人民共和国工业和信息化部发布的新国标即《电动汽车非车载传导式充电机与电池管理系统之间的通信协议（GB/T 27930-2015）》</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29</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安装方式</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落地式安装且提供安装技术支持及调试</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30</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通讯传输</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4G、3G或2G无线网络传输</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31</w:t>
            </w:r>
          </w:p>
        </w:tc>
        <w:tc>
          <w:tcPr>
            <w:tcW w:w="1212"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充电电缆</w:t>
            </w:r>
          </w:p>
        </w:tc>
        <w:tc>
          <w:tcPr>
            <w:tcW w:w="3338" w:type="pct"/>
            <w:tcBorders>
              <w:top w:val="nil"/>
              <w:left w:val="nil"/>
              <w:bottom w:val="single" w:color="auto" w:sz="8" w:space="0"/>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m</w:t>
            </w:r>
          </w:p>
        </w:tc>
      </w:tr>
      <w:tr>
        <w:tblPrEx>
          <w:tblCellMar>
            <w:top w:w="0" w:type="dxa"/>
            <w:left w:w="108" w:type="dxa"/>
            <w:bottom w:w="0" w:type="dxa"/>
            <w:right w:w="108" w:type="dxa"/>
          </w:tblCellMar>
        </w:tblPrEx>
        <w:trPr>
          <w:trHeight w:val="20" w:hRule="atLeast"/>
        </w:trPr>
        <w:tc>
          <w:tcPr>
            <w:tcW w:w="448" w:type="pct"/>
            <w:tcBorders>
              <w:top w:val="nil"/>
              <w:left w:val="single" w:color="auto" w:sz="8" w:space="0"/>
              <w:bottom w:val="nil"/>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32</w:t>
            </w:r>
          </w:p>
        </w:tc>
        <w:tc>
          <w:tcPr>
            <w:tcW w:w="1212" w:type="pct"/>
            <w:tcBorders>
              <w:top w:val="nil"/>
              <w:left w:val="nil"/>
              <w:bottom w:val="nil"/>
              <w:right w:val="single" w:color="auto" w:sz="8" w:space="0"/>
            </w:tcBorders>
            <w:shd w:val="clear" w:color="auto" w:fill="auto"/>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外形尺寸</w:t>
            </w:r>
          </w:p>
        </w:tc>
        <w:tc>
          <w:tcPr>
            <w:tcW w:w="3338" w:type="pct"/>
            <w:tcBorders>
              <w:top w:val="nil"/>
              <w:left w:val="nil"/>
              <w:bottom w:val="nil"/>
              <w:right w:val="single" w:color="auto" w:sz="8" w:space="0"/>
            </w:tcBorders>
            <w:shd w:val="clear" w:color="auto" w:fill="auto"/>
            <w:vAlign w:val="cente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不限（以不影响现场操作、设备维修、其他设备设施安装等为原则和前提，尽可能缩小占地面积）</w:t>
            </w:r>
          </w:p>
        </w:tc>
      </w:tr>
      <w:tr>
        <w:tblPrEx>
          <w:tblCellMar>
            <w:top w:w="0" w:type="dxa"/>
            <w:left w:w="108" w:type="dxa"/>
            <w:bottom w:w="0" w:type="dxa"/>
            <w:right w:w="108" w:type="dxa"/>
          </w:tblCellMar>
        </w:tblPrEx>
        <w:trPr>
          <w:trHeight w:val="20" w:hRule="atLeast"/>
        </w:trPr>
        <w:tc>
          <w:tcPr>
            <w:tcW w:w="5000" w:type="pct"/>
            <w:gridSpan w:val="3"/>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left"/>
              <w:rPr>
                <w:rFonts w:hint="eastAsia" w:ascii="宋体" w:hAnsi="宋体" w:cs="宋体"/>
                <w:kern w:val="0"/>
                <w:sz w:val="24"/>
                <w:szCs w:val="24"/>
                <w:highlight w:val="none"/>
              </w:rPr>
            </w:pPr>
            <w:r>
              <w:rPr>
                <w:rFonts w:hint="eastAsia" w:ascii="宋体" w:hAnsi="宋体" w:cs="宋体"/>
                <w:kern w:val="0"/>
                <w:sz w:val="24"/>
                <w:szCs w:val="24"/>
                <w:highlight w:val="none"/>
              </w:rPr>
              <w:t>备注：</w:t>
            </w:r>
          </w:p>
          <w:p>
            <w:pPr>
              <w:widowControl/>
              <w:spacing w:line="360" w:lineRule="auto"/>
              <w:jc w:val="left"/>
              <w:rPr>
                <w:rFonts w:hint="eastAsia" w:ascii="宋体" w:hAnsi="宋体" w:cs="宋体"/>
                <w:kern w:val="0"/>
                <w:sz w:val="24"/>
                <w:szCs w:val="24"/>
                <w:highlight w:val="none"/>
              </w:rPr>
            </w:pPr>
            <w:r>
              <w:rPr>
                <w:rFonts w:hint="eastAsia" w:ascii="宋体" w:hAnsi="宋体" w:cs="宋体"/>
                <w:kern w:val="0"/>
                <w:sz w:val="24"/>
                <w:szCs w:val="24"/>
                <w:highlight w:val="none"/>
              </w:rPr>
              <w:t>▲ 1、需提供充电机由第三方专业检验检测机构出具的≥120KW型式试验报告（中国电科院、国网电科院、开普实验室至少一家）（通过 2015 年 1 2 月3 1 日后最新国标的型式试验报告）</w:t>
            </w:r>
          </w:p>
          <w:p>
            <w:pPr>
              <w:widowControl/>
              <w:spacing w:line="360" w:lineRule="auto"/>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本要求与上述所列标准有冲突以所列标准依据为准，投标人投标时应单独说明。</w:t>
            </w:r>
          </w:p>
        </w:tc>
      </w:tr>
    </w:tbl>
    <w:p>
      <w:pPr>
        <w:widowControl/>
        <w:spacing w:line="360" w:lineRule="auto"/>
        <w:jc w:val="left"/>
        <w:rPr>
          <w:rFonts w:ascii="宋体" w:hAnsi="宋体"/>
          <w:b/>
          <w:sz w:val="24"/>
          <w:szCs w:val="24"/>
          <w:highlight w:val="none"/>
        </w:rPr>
      </w:pPr>
    </w:p>
    <w:p>
      <w:pPr>
        <w:spacing w:line="360" w:lineRule="auto"/>
        <w:rPr>
          <w:rFonts w:ascii="宋体" w:hAnsi="宋体"/>
          <w:b/>
          <w:sz w:val="24"/>
          <w:szCs w:val="24"/>
          <w:highlight w:val="none"/>
        </w:rPr>
      </w:pPr>
      <w:r>
        <w:rPr>
          <w:rFonts w:hint="eastAsia" w:ascii="宋体" w:hAnsi="宋体"/>
          <w:b/>
          <w:sz w:val="24"/>
          <w:szCs w:val="24"/>
          <w:highlight w:val="none"/>
          <w:lang w:val="en-US" w:eastAsia="zh-CN"/>
        </w:rPr>
        <w:t>6</w:t>
      </w:r>
      <w:r>
        <w:rPr>
          <w:rFonts w:hint="eastAsia" w:ascii="宋体" w:hAnsi="宋体"/>
          <w:b/>
          <w:sz w:val="24"/>
          <w:szCs w:val="24"/>
          <w:highlight w:val="none"/>
        </w:rPr>
        <w:t>.</w:t>
      </w:r>
      <w:r>
        <w:rPr>
          <w:rFonts w:hint="eastAsia" w:ascii="宋体" w:hAnsi="宋体"/>
          <w:b/>
          <w:sz w:val="24"/>
          <w:szCs w:val="24"/>
          <w:highlight w:val="none"/>
          <w:lang w:val="en-US" w:eastAsia="zh-CN"/>
        </w:rPr>
        <w:t>2</w:t>
      </w:r>
      <w:r>
        <w:rPr>
          <w:rFonts w:hint="eastAsia" w:ascii="宋体" w:hAnsi="宋体"/>
          <w:b/>
          <w:sz w:val="24"/>
          <w:szCs w:val="24"/>
          <w:highlight w:val="none"/>
        </w:rPr>
        <w:t>结构要求</w:t>
      </w:r>
    </w:p>
    <w:p>
      <w:pPr>
        <w:pStyle w:val="12"/>
        <w:tabs>
          <w:tab w:val="left" w:pos="1134"/>
        </w:tabs>
        <w:spacing w:before="0" w:after="0"/>
        <w:ind w:firstLine="480"/>
        <w:rPr>
          <w:rFonts w:ascii="宋体" w:hAnsi="宋体"/>
          <w:sz w:val="24"/>
          <w:szCs w:val="24"/>
          <w:highlight w:val="none"/>
        </w:rPr>
      </w:pPr>
      <w:r>
        <w:rPr>
          <w:rFonts w:hint="eastAsia" w:ascii="宋体" w:hAnsi="宋体"/>
          <w:sz w:val="24"/>
          <w:szCs w:val="24"/>
          <w:highlight w:val="none"/>
        </w:rPr>
        <w:t>基本构成包括：功率单元</w:t>
      </w:r>
      <w:r>
        <w:rPr>
          <w:rFonts w:ascii="宋体" w:hAnsi="宋体"/>
          <w:sz w:val="24"/>
          <w:szCs w:val="24"/>
          <w:highlight w:val="none"/>
        </w:rPr>
        <w:t>、</w:t>
      </w:r>
      <w:r>
        <w:rPr>
          <w:rFonts w:hint="eastAsia" w:ascii="宋体" w:hAnsi="宋体"/>
          <w:sz w:val="24"/>
          <w:szCs w:val="24"/>
          <w:highlight w:val="none"/>
        </w:rPr>
        <w:t>充电控制器、计量表计、充电接口、人机交互界面等。</w:t>
      </w:r>
    </w:p>
    <w:p>
      <w:pPr>
        <w:pStyle w:val="12"/>
        <w:widowControl w:val="0"/>
        <w:numPr>
          <w:ilvl w:val="0"/>
          <w:numId w:val="3"/>
        </w:numPr>
        <w:tabs>
          <w:tab w:val="left" w:pos="1134"/>
        </w:tabs>
        <w:spacing w:before="0" w:after="0"/>
        <w:ind w:left="0" w:firstLineChars="0"/>
        <w:jc w:val="both"/>
        <w:rPr>
          <w:rFonts w:ascii="宋体" w:hAnsi="宋体"/>
          <w:sz w:val="24"/>
          <w:szCs w:val="24"/>
          <w:highlight w:val="none"/>
        </w:rPr>
      </w:pPr>
      <w:r>
        <w:rPr>
          <w:rFonts w:hint="eastAsia" w:ascii="宋体" w:hAnsi="宋体"/>
          <w:sz w:val="24"/>
          <w:szCs w:val="24"/>
          <w:highlight w:val="none"/>
        </w:rPr>
        <w:t>充电机采用金属框架。</w:t>
      </w:r>
    </w:p>
    <w:p>
      <w:pPr>
        <w:pStyle w:val="12"/>
        <w:widowControl w:val="0"/>
        <w:numPr>
          <w:ilvl w:val="0"/>
          <w:numId w:val="3"/>
        </w:numPr>
        <w:tabs>
          <w:tab w:val="left" w:pos="1134"/>
        </w:tabs>
        <w:spacing w:before="0" w:after="0"/>
        <w:ind w:left="0" w:firstLineChars="0"/>
        <w:jc w:val="both"/>
        <w:rPr>
          <w:rFonts w:ascii="宋体" w:hAnsi="宋体"/>
          <w:sz w:val="24"/>
          <w:szCs w:val="24"/>
          <w:highlight w:val="none"/>
        </w:rPr>
      </w:pPr>
      <w:r>
        <w:rPr>
          <w:rFonts w:hint="eastAsia" w:ascii="宋体" w:hAnsi="宋体"/>
          <w:sz w:val="24"/>
          <w:szCs w:val="24"/>
          <w:highlight w:val="none"/>
        </w:rPr>
        <w:t>外观需符合时尚大气风格要求。</w:t>
      </w:r>
    </w:p>
    <w:p>
      <w:pPr>
        <w:pStyle w:val="12"/>
        <w:widowControl w:val="0"/>
        <w:numPr>
          <w:ilvl w:val="0"/>
          <w:numId w:val="3"/>
        </w:numPr>
        <w:tabs>
          <w:tab w:val="left" w:pos="1134"/>
        </w:tabs>
        <w:spacing w:before="0" w:after="0"/>
        <w:ind w:left="0" w:firstLineChars="0"/>
        <w:jc w:val="both"/>
        <w:rPr>
          <w:rFonts w:ascii="宋体" w:hAnsi="宋体"/>
          <w:sz w:val="24"/>
          <w:szCs w:val="24"/>
          <w:highlight w:val="none"/>
        </w:rPr>
      </w:pPr>
      <w:r>
        <w:rPr>
          <w:rFonts w:hint="eastAsia" w:ascii="宋体" w:hAnsi="宋体"/>
          <w:sz w:val="24"/>
          <w:szCs w:val="24"/>
          <w:highlight w:val="none"/>
        </w:rPr>
        <w:t>结构上须防止手轻易触及正常工作时带电部分。</w:t>
      </w:r>
    </w:p>
    <w:p>
      <w:pPr>
        <w:pStyle w:val="12"/>
        <w:widowControl w:val="0"/>
        <w:numPr>
          <w:ilvl w:val="0"/>
          <w:numId w:val="3"/>
        </w:numPr>
        <w:tabs>
          <w:tab w:val="left" w:pos="1134"/>
        </w:tabs>
        <w:spacing w:before="0" w:after="0"/>
        <w:ind w:left="0" w:firstLineChars="0"/>
        <w:jc w:val="both"/>
        <w:rPr>
          <w:rFonts w:ascii="宋体" w:hAnsi="宋体"/>
          <w:sz w:val="24"/>
          <w:szCs w:val="24"/>
          <w:highlight w:val="none"/>
        </w:rPr>
      </w:pPr>
      <w:r>
        <w:rPr>
          <w:rFonts w:hint="eastAsia" w:ascii="宋体" w:hAnsi="宋体"/>
          <w:sz w:val="24"/>
          <w:szCs w:val="24"/>
          <w:highlight w:val="none"/>
        </w:rPr>
        <w:t>充电机应有足够的支撑强度，应提供必要设施，以保证能够正确起吊、运输、存放和安装设备，且应提供地脚螺栓孔。</w:t>
      </w:r>
    </w:p>
    <w:p>
      <w:pPr>
        <w:pStyle w:val="12"/>
        <w:widowControl w:val="0"/>
        <w:numPr>
          <w:ilvl w:val="0"/>
          <w:numId w:val="3"/>
        </w:numPr>
        <w:tabs>
          <w:tab w:val="left" w:pos="1134"/>
        </w:tabs>
        <w:spacing w:before="0" w:after="0"/>
        <w:ind w:left="0" w:firstLineChars="0"/>
        <w:jc w:val="both"/>
        <w:rPr>
          <w:rFonts w:ascii="宋体" w:hAnsi="宋体"/>
          <w:sz w:val="24"/>
          <w:szCs w:val="24"/>
          <w:highlight w:val="none"/>
        </w:rPr>
      </w:pPr>
      <w:r>
        <w:rPr>
          <w:rFonts w:hint="eastAsia" w:ascii="宋体" w:hAnsi="宋体"/>
          <w:sz w:val="24"/>
          <w:szCs w:val="24"/>
          <w:highlight w:val="none"/>
        </w:rPr>
        <w:t>充电机外壳应采用抗冲击力强、防盗性能好、抗老化的材质；非绝缘材料外壳应可靠接地。</w:t>
      </w:r>
    </w:p>
    <w:p>
      <w:pPr>
        <w:pStyle w:val="12"/>
        <w:widowControl w:val="0"/>
        <w:numPr>
          <w:ilvl w:val="0"/>
          <w:numId w:val="3"/>
        </w:numPr>
        <w:tabs>
          <w:tab w:val="left" w:pos="1134"/>
        </w:tabs>
        <w:spacing w:before="0" w:after="0"/>
        <w:ind w:left="0" w:firstLineChars="0"/>
        <w:jc w:val="both"/>
        <w:rPr>
          <w:rFonts w:ascii="宋体" w:hAnsi="宋体"/>
          <w:sz w:val="24"/>
          <w:szCs w:val="24"/>
          <w:highlight w:val="none"/>
        </w:rPr>
      </w:pPr>
      <w:r>
        <w:rPr>
          <w:rFonts w:hint="eastAsia" w:ascii="宋体" w:hAnsi="宋体"/>
          <w:sz w:val="24"/>
          <w:szCs w:val="24"/>
          <w:highlight w:val="none"/>
        </w:rPr>
        <w:t>充电接口应安装电子锁止装置，防止充电过程中的意外断开。</w:t>
      </w:r>
    </w:p>
    <w:p>
      <w:pPr>
        <w:pStyle w:val="12"/>
        <w:widowControl w:val="0"/>
        <w:numPr>
          <w:ilvl w:val="0"/>
          <w:numId w:val="3"/>
        </w:numPr>
        <w:tabs>
          <w:tab w:val="left" w:pos="1134"/>
        </w:tabs>
        <w:spacing w:before="0" w:after="0"/>
        <w:ind w:left="0" w:firstLineChars="0"/>
        <w:jc w:val="both"/>
        <w:rPr>
          <w:rFonts w:ascii="宋体" w:hAnsi="宋体"/>
          <w:sz w:val="24"/>
          <w:szCs w:val="24"/>
          <w:highlight w:val="none"/>
        </w:rPr>
      </w:pPr>
      <w:r>
        <w:rPr>
          <w:rFonts w:hint="eastAsia" w:ascii="宋体" w:hAnsi="宋体"/>
          <w:sz w:val="24"/>
          <w:szCs w:val="24"/>
          <w:highlight w:val="none"/>
        </w:rPr>
        <w:t>设备底座的开孔尺寸、位置应根据进线电缆的型号、数量和桥架的规格确定，供应商应在生产制造前与招标单位充分沟通。</w:t>
      </w:r>
    </w:p>
    <w:p>
      <w:pPr>
        <w:spacing w:line="360" w:lineRule="auto"/>
        <w:rPr>
          <w:rFonts w:ascii="宋体" w:hAnsi="宋体"/>
          <w:b/>
          <w:sz w:val="24"/>
          <w:szCs w:val="24"/>
          <w:highlight w:val="none"/>
        </w:rPr>
      </w:pPr>
      <w:r>
        <w:rPr>
          <w:rFonts w:hint="eastAsia" w:ascii="宋体" w:hAnsi="宋体"/>
          <w:b/>
          <w:sz w:val="24"/>
          <w:szCs w:val="24"/>
          <w:highlight w:val="none"/>
          <w:lang w:val="en-US" w:eastAsia="zh-CN"/>
        </w:rPr>
        <w:t>6</w:t>
      </w:r>
      <w:r>
        <w:rPr>
          <w:rFonts w:hint="eastAsia" w:ascii="宋体" w:hAnsi="宋体"/>
          <w:b/>
          <w:sz w:val="24"/>
          <w:szCs w:val="24"/>
          <w:highlight w:val="none"/>
        </w:rPr>
        <w:t>.</w:t>
      </w:r>
      <w:r>
        <w:rPr>
          <w:rFonts w:hint="eastAsia" w:ascii="宋体" w:hAnsi="宋体"/>
          <w:b/>
          <w:sz w:val="24"/>
          <w:szCs w:val="24"/>
          <w:highlight w:val="none"/>
          <w:lang w:val="en-US" w:eastAsia="zh-CN"/>
        </w:rPr>
        <w:t>3</w:t>
      </w:r>
      <w:r>
        <w:rPr>
          <w:rFonts w:hint="eastAsia" w:ascii="宋体" w:hAnsi="宋体"/>
          <w:b/>
          <w:sz w:val="24"/>
          <w:szCs w:val="24"/>
          <w:highlight w:val="none"/>
        </w:rPr>
        <w:t>功能要求</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.1充电设定方式</w:t>
      </w:r>
    </w:p>
    <w:p>
      <w:pPr>
        <w:pStyle w:val="12"/>
        <w:tabs>
          <w:tab w:val="left" w:pos="1134"/>
        </w:tabs>
        <w:spacing w:before="0" w:after="0"/>
        <w:ind w:firstLine="480"/>
        <w:rPr>
          <w:rFonts w:ascii="宋体" w:hAnsi="宋体"/>
          <w:sz w:val="24"/>
          <w:szCs w:val="24"/>
          <w:highlight w:val="none"/>
        </w:rPr>
      </w:pPr>
      <w:r>
        <w:rPr>
          <w:rFonts w:hint="eastAsia" w:ascii="宋体" w:hAnsi="宋体"/>
          <w:sz w:val="24"/>
          <w:szCs w:val="24"/>
          <w:highlight w:val="none"/>
        </w:rPr>
        <w:t>充电设定方式分为自动设定方式和手动设定方式两种。</w:t>
      </w:r>
    </w:p>
    <w:p>
      <w:pPr>
        <w:pStyle w:val="12"/>
        <w:widowControl w:val="0"/>
        <w:numPr>
          <w:ilvl w:val="0"/>
          <w:numId w:val="4"/>
        </w:numPr>
        <w:tabs>
          <w:tab w:val="left" w:pos="1134"/>
        </w:tabs>
        <w:spacing w:before="0" w:after="0"/>
        <w:ind w:left="0" w:hanging="399" w:firstLineChars="0"/>
        <w:jc w:val="both"/>
        <w:rPr>
          <w:rFonts w:ascii="宋体" w:hAnsi="宋体"/>
          <w:sz w:val="24"/>
          <w:szCs w:val="24"/>
          <w:highlight w:val="none"/>
        </w:rPr>
      </w:pPr>
      <w:r>
        <w:rPr>
          <w:rFonts w:hint="eastAsia" w:ascii="宋体" w:hAnsi="宋体"/>
          <w:sz w:val="24"/>
          <w:szCs w:val="24"/>
          <w:highlight w:val="none"/>
          <w:lang w:val="zh-CN"/>
        </w:rPr>
        <w:t>自动设定方式：在充电过程中，充电桩依据电动汽车电池管理系统提供的数据动态调整充电参数，执行相应动作，完成充电过程</w:t>
      </w:r>
      <w:r>
        <w:rPr>
          <w:rFonts w:hint="eastAsia" w:ascii="宋体" w:hAnsi="宋体"/>
          <w:sz w:val="24"/>
          <w:szCs w:val="24"/>
          <w:highlight w:val="none"/>
        </w:rPr>
        <w:t>。</w:t>
      </w:r>
    </w:p>
    <w:p>
      <w:pPr>
        <w:pStyle w:val="12"/>
        <w:widowControl w:val="0"/>
        <w:numPr>
          <w:ilvl w:val="0"/>
          <w:numId w:val="4"/>
        </w:numPr>
        <w:tabs>
          <w:tab w:val="left" w:pos="1134"/>
        </w:tabs>
        <w:spacing w:before="0" w:after="0"/>
        <w:ind w:left="0" w:hanging="399" w:firstLineChars="0"/>
        <w:jc w:val="both"/>
        <w:rPr>
          <w:rFonts w:ascii="宋体" w:hAnsi="宋体"/>
          <w:sz w:val="24"/>
          <w:szCs w:val="24"/>
          <w:highlight w:val="none"/>
        </w:rPr>
      </w:pPr>
      <w:r>
        <w:rPr>
          <w:rFonts w:hint="eastAsia" w:ascii="宋体" w:hAnsi="宋体"/>
          <w:sz w:val="24"/>
          <w:szCs w:val="24"/>
          <w:highlight w:val="none"/>
        </w:rPr>
        <w:t>手动设定方式：由操作人员通过外部手动控制设备设置充电方式、充电电压、充电电流等参数，充电桩根据设定参数执行相应操作，完成充电过程。充电桩采用手动设定方式时，应具有明确的操作指示信息。</w:t>
      </w:r>
    </w:p>
    <w:p>
      <w:pPr>
        <w:pStyle w:val="12"/>
        <w:widowControl w:val="0"/>
        <w:numPr>
          <w:ilvl w:val="0"/>
          <w:numId w:val="4"/>
        </w:numPr>
        <w:tabs>
          <w:tab w:val="left" w:pos="1134"/>
        </w:tabs>
        <w:spacing w:before="0" w:after="0"/>
        <w:ind w:left="0" w:hanging="399" w:firstLineChars="0"/>
        <w:jc w:val="both"/>
        <w:rPr>
          <w:rFonts w:ascii="宋体" w:hAnsi="宋体"/>
          <w:sz w:val="24"/>
          <w:szCs w:val="24"/>
          <w:highlight w:val="none"/>
        </w:rPr>
      </w:pPr>
      <w:r>
        <w:rPr>
          <w:rFonts w:hint="eastAsia" w:ascii="宋体" w:hAnsi="宋体"/>
          <w:sz w:val="24"/>
          <w:szCs w:val="24"/>
          <w:highlight w:val="none"/>
        </w:rPr>
        <w:t>充电方式：可以设定按充电电量、按充电时间、按充电金额、按自动充满共四种充电方式。</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.2充电模式和连接方式</w:t>
      </w:r>
    </w:p>
    <w:p>
      <w:pPr>
        <w:pStyle w:val="12"/>
        <w:spacing w:before="0" w:after="0"/>
        <w:ind w:firstLine="480"/>
        <w:rPr>
          <w:rFonts w:ascii="宋体" w:hAnsi="宋体"/>
          <w:sz w:val="24"/>
          <w:szCs w:val="24"/>
          <w:highlight w:val="none"/>
        </w:rPr>
      </w:pPr>
      <w:r>
        <w:rPr>
          <w:rFonts w:hint="eastAsia" w:ascii="宋体" w:hAnsi="宋体"/>
          <w:sz w:val="24"/>
          <w:szCs w:val="24"/>
          <w:highlight w:val="none"/>
        </w:rPr>
        <w:t>充电桩采用GB/T 18487.1-2015附录A中规定的充电模式4和连接方式C对电动汽车进行充电。充电接口应满足GB/T 20234.1-2015和GB/T 20234.3-2015的规定。</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.3控制导引和充电控制</w:t>
      </w:r>
    </w:p>
    <w:p>
      <w:pPr>
        <w:pStyle w:val="12"/>
        <w:spacing w:before="0" w:after="0"/>
        <w:ind w:firstLine="480"/>
        <w:rPr>
          <w:rFonts w:ascii="宋体" w:hAnsi="宋体"/>
          <w:sz w:val="24"/>
          <w:szCs w:val="24"/>
          <w:highlight w:val="none"/>
        </w:rPr>
      </w:pPr>
      <w:r>
        <w:rPr>
          <w:rFonts w:hint="eastAsia" w:ascii="宋体" w:hAnsi="宋体"/>
          <w:sz w:val="24"/>
          <w:szCs w:val="24"/>
          <w:highlight w:val="none"/>
        </w:rPr>
        <w:t>充电桩应具备控制导引功能。控制导引电路及控制原理应满足GB/T 18487.1-2015中附录A的规定。</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.4与电池管理系统通信功能</w:t>
      </w:r>
    </w:p>
    <w:p>
      <w:pPr>
        <w:pStyle w:val="12"/>
        <w:spacing w:before="0" w:after="0"/>
        <w:ind w:firstLine="480"/>
        <w:rPr>
          <w:rFonts w:ascii="宋体" w:hAnsi="宋体"/>
          <w:sz w:val="24"/>
          <w:szCs w:val="24"/>
          <w:highlight w:val="none"/>
        </w:rPr>
      </w:pPr>
      <w:r>
        <w:rPr>
          <w:rFonts w:hint="eastAsia" w:ascii="宋体" w:hAnsi="宋体"/>
          <w:sz w:val="24"/>
          <w:szCs w:val="24"/>
          <w:highlight w:val="none"/>
        </w:rPr>
        <w:t>充电桩应具有与电池管理系统通信的CAN接口，获得电池管理系统的充电参数和充电实时数据。通信协议应能满足GB/T 27930-2015的规定。</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.5计量功能</w:t>
      </w:r>
    </w:p>
    <w:p>
      <w:pPr>
        <w:pStyle w:val="12"/>
        <w:tabs>
          <w:tab w:val="left" w:pos="1140"/>
        </w:tabs>
        <w:spacing w:before="0" w:after="0"/>
        <w:ind w:firstLine="480"/>
        <w:rPr>
          <w:rFonts w:ascii="宋体" w:hAnsi="宋体"/>
          <w:sz w:val="24"/>
          <w:szCs w:val="24"/>
          <w:highlight w:val="none"/>
        </w:rPr>
      </w:pPr>
      <w:r>
        <w:rPr>
          <w:rFonts w:ascii="宋体" w:hAnsi="宋体"/>
          <w:sz w:val="24"/>
          <w:szCs w:val="24"/>
          <w:highlight w:val="none"/>
        </w:rPr>
        <w:t>充电桩</w:t>
      </w:r>
      <w:r>
        <w:rPr>
          <w:rFonts w:hint="eastAsia" w:ascii="宋体" w:hAnsi="宋体"/>
          <w:sz w:val="24"/>
          <w:szCs w:val="24"/>
          <w:highlight w:val="none"/>
        </w:rPr>
        <w:t>应具有对每个充电接口输出电能进行计量的功能。电能计量装置应符合国家计量</w:t>
      </w:r>
      <w:r>
        <w:rPr>
          <w:rFonts w:ascii="宋体" w:hAnsi="宋体"/>
          <w:sz w:val="24"/>
          <w:szCs w:val="24"/>
          <w:highlight w:val="none"/>
        </w:rPr>
        <w:t>器具检定</w:t>
      </w:r>
      <w:r>
        <w:rPr>
          <w:rFonts w:hint="eastAsia" w:ascii="宋体" w:hAnsi="宋体"/>
          <w:sz w:val="24"/>
          <w:szCs w:val="24"/>
          <w:highlight w:val="none"/>
        </w:rPr>
        <w:t>相关要求。</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.6读卡功能</w:t>
      </w:r>
    </w:p>
    <w:p>
      <w:pPr>
        <w:pStyle w:val="12"/>
        <w:tabs>
          <w:tab w:val="left" w:pos="1140"/>
        </w:tabs>
        <w:spacing w:before="0" w:after="0"/>
        <w:ind w:firstLine="480"/>
        <w:rPr>
          <w:rFonts w:ascii="宋体" w:hAnsi="宋体"/>
          <w:sz w:val="24"/>
          <w:szCs w:val="24"/>
          <w:highlight w:val="none"/>
        </w:rPr>
      </w:pPr>
      <w:r>
        <w:rPr>
          <w:rFonts w:hint="eastAsia" w:ascii="宋体" w:hAnsi="宋体"/>
          <w:sz w:val="24"/>
          <w:szCs w:val="24"/>
          <w:highlight w:val="none"/>
        </w:rPr>
        <w:t>充电桩应</w:t>
      </w:r>
      <w:r>
        <w:rPr>
          <w:rFonts w:ascii="宋体" w:hAnsi="宋体"/>
          <w:sz w:val="24"/>
          <w:szCs w:val="24"/>
          <w:highlight w:val="none"/>
        </w:rPr>
        <w:t>配置</w:t>
      </w:r>
      <w:r>
        <w:rPr>
          <w:rFonts w:hint="eastAsia" w:ascii="宋体" w:hAnsi="宋体"/>
          <w:sz w:val="24"/>
          <w:szCs w:val="24"/>
          <w:highlight w:val="none"/>
        </w:rPr>
        <w:t>IC卡读卡器，应能读取用户IC卡中相关信息。</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.7显示及</w:t>
      </w:r>
      <w:r>
        <w:rPr>
          <w:rFonts w:ascii="宋体" w:hAnsi="宋体"/>
          <w:sz w:val="24"/>
          <w:szCs w:val="24"/>
          <w:highlight w:val="none"/>
        </w:rPr>
        <w:t>输入</w:t>
      </w:r>
      <w:r>
        <w:rPr>
          <w:rFonts w:hint="eastAsia" w:ascii="宋体" w:hAnsi="宋体"/>
          <w:sz w:val="24"/>
          <w:szCs w:val="24"/>
          <w:highlight w:val="none"/>
        </w:rPr>
        <w:t>功能</w:t>
      </w:r>
    </w:p>
    <w:p>
      <w:pPr>
        <w:pStyle w:val="12"/>
        <w:tabs>
          <w:tab w:val="left" w:pos="1140"/>
        </w:tabs>
        <w:spacing w:before="0" w:after="0"/>
        <w:ind w:firstLine="480"/>
        <w:rPr>
          <w:rFonts w:ascii="宋体" w:hAnsi="宋体"/>
          <w:sz w:val="24"/>
          <w:szCs w:val="24"/>
          <w:highlight w:val="none"/>
        </w:rPr>
      </w:pPr>
      <w:r>
        <w:rPr>
          <w:rFonts w:ascii="宋体" w:hAnsi="宋体"/>
          <w:sz w:val="24"/>
          <w:szCs w:val="24"/>
          <w:highlight w:val="none"/>
        </w:rPr>
        <w:t>充电桩</w:t>
      </w:r>
      <w:r>
        <w:rPr>
          <w:rFonts w:hint="eastAsia" w:ascii="宋体" w:hAnsi="宋体"/>
          <w:sz w:val="24"/>
          <w:szCs w:val="24"/>
          <w:highlight w:val="none"/>
        </w:rPr>
        <w:t>应</w:t>
      </w:r>
      <w:r>
        <w:rPr>
          <w:rFonts w:ascii="宋体" w:hAnsi="宋体"/>
          <w:sz w:val="24"/>
          <w:szCs w:val="24"/>
          <w:highlight w:val="none"/>
        </w:rPr>
        <w:t>配置</w:t>
      </w:r>
      <w:r>
        <w:rPr>
          <w:rFonts w:hint="eastAsia" w:ascii="宋体" w:hAnsi="宋体"/>
          <w:sz w:val="24"/>
          <w:szCs w:val="24"/>
          <w:highlight w:val="none"/>
        </w:rPr>
        <w:t>输入</w:t>
      </w:r>
      <w:r>
        <w:rPr>
          <w:rFonts w:ascii="宋体" w:hAnsi="宋体"/>
          <w:sz w:val="24"/>
          <w:szCs w:val="24"/>
          <w:highlight w:val="none"/>
        </w:rPr>
        <w:t>和显示设备。</w:t>
      </w:r>
      <w:r>
        <w:rPr>
          <w:rFonts w:hint="eastAsia" w:ascii="宋体" w:hAnsi="宋体"/>
          <w:sz w:val="24"/>
          <w:szCs w:val="24"/>
          <w:highlight w:val="none"/>
        </w:rPr>
        <w:t>采用触摸</w:t>
      </w:r>
      <w:r>
        <w:rPr>
          <w:rFonts w:ascii="宋体" w:hAnsi="宋体"/>
          <w:sz w:val="24"/>
          <w:szCs w:val="24"/>
          <w:highlight w:val="none"/>
        </w:rPr>
        <w:t>彩屏</w:t>
      </w:r>
      <w:r>
        <w:rPr>
          <w:rFonts w:hint="eastAsia" w:ascii="宋体" w:hAnsi="宋体"/>
          <w:sz w:val="24"/>
          <w:szCs w:val="24"/>
          <w:highlight w:val="none"/>
        </w:rPr>
        <w:t>显示信息字符清晰、完整，应不依靠环境光源即可辨认。</w:t>
      </w:r>
    </w:p>
    <w:p>
      <w:pPr>
        <w:pStyle w:val="12"/>
        <w:tabs>
          <w:tab w:val="left" w:pos="1140"/>
        </w:tabs>
        <w:spacing w:before="0" w:after="0"/>
        <w:ind w:firstLine="480"/>
        <w:rPr>
          <w:rFonts w:ascii="宋体" w:hAnsi="宋体"/>
          <w:sz w:val="24"/>
          <w:szCs w:val="24"/>
          <w:highlight w:val="none"/>
        </w:rPr>
      </w:pPr>
      <w:r>
        <w:rPr>
          <w:rFonts w:hint="eastAsia" w:ascii="宋体" w:hAnsi="宋体"/>
          <w:sz w:val="24"/>
          <w:szCs w:val="24"/>
          <w:highlight w:val="none"/>
        </w:rPr>
        <w:t>触摸</w:t>
      </w:r>
      <w:r>
        <w:rPr>
          <w:rFonts w:ascii="宋体" w:hAnsi="宋体"/>
          <w:sz w:val="24"/>
          <w:szCs w:val="24"/>
          <w:highlight w:val="none"/>
        </w:rPr>
        <w:t>彩屏：</w:t>
      </w:r>
      <w:r>
        <w:rPr>
          <w:rFonts w:hint="eastAsia" w:ascii="宋体" w:hAnsi="宋体"/>
          <w:sz w:val="24"/>
          <w:szCs w:val="24"/>
          <w:highlight w:val="none"/>
        </w:rPr>
        <w:t>显示屏分辨率800*480，亮度≥</w:t>
      </w:r>
      <w:r>
        <w:rPr>
          <w:rFonts w:ascii="宋体" w:hAnsi="宋体"/>
          <w:sz w:val="24"/>
          <w:szCs w:val="24"/>
          <w:highlight w:val="none"/>
        </w:rPr>
        <w:t>300</w:t>
      </w:r>
      <w:r>
        <w:rPr>
          <w:rFonts w:hint="eastAsia" w:ascii="宋体" w:hAnsi="宋体"/>
          <w:sz w:val="24"/>
          <w:szCs w:val="24"/>
          <w:highlight w:val="none"/>
        </w:rPr>
        <w:t>nit，尺寸7英寸。</w:t>
      </w:r>
    </w:p>
    <w:p>
      <w:pPr>
        <w:spacing w:line="360" w:lineRule="auto"/>
        <w:rPr>
          <w:rFonts w:ascii="宋体" w:hAnsi="宋体"/>
          <w:sz w:val="24"/>
          <w:szCs w:val="24"/>
          <w:highlight w:val="none"/>
        </w:rPr>
      </w:pPr>
      <w:bookmarkStart w:id="25" w:name="_Toc387646176"/>
      <w:bookmarkStart w:id="26" w:name="_Toc411176412"/>
      <w:r>
        <w:rPr>
          <w:rFonts w:hint="eastAsia" w:ascii="宋体" w:hAnsi="宋体"/>
          <w:sz w:val="24"/>
          <w:szCs w:val="24"/>
          <w:highlight w:val="none"/>
          <w:lang w:val="en-US" w:eastAsia="zh-CN"/>
        </w:rPr>
        <w:t>6</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.8与后台监控管理系统</w:t>
      </w:r>
      <w:r>
        <w:rPr>
          <w:rFonts w:ascii="宋体" w:hAnsi="宋体"/>
          <w:sz w:val="24"/>
          <w:szCs w:val="24"/>
          <w:highlight w:val="none"/>
        </w:rPr>
        <w:t>通信</w:t>
      </w:r>
      <w:r>
        <w:rPr>
          <w:rFonts w:hint="eastAsia" w:ascii="宋体" w:hAnsi="宋体"/>
          <w:sz w:val="24"/>
          <w:szCs w:val="24"/>
          <w:highlight w:val="none"/>
        </w:rPr>
        <w:t>功能</w:t>
      </w:r>
    </w:p>
    <w:p>
      <w:pPr>
        <w:pStyle w:val="12"/>
        <w:tabs>
          <w:tab w:val="left" w:pos="1140"/>
        </w:tabs>
        <w:spacing w:before="0" w:after="0"/>
        <w:ind w:firstLine="480"/>
        <w:rPr>
          <w:rFonts w:ascii="宋体" w:hAnsi="宋体"/>
          <w:sz w:val="24"/>
          <w:szCs w:val="24"/>
          <w:highlight w:val="none"/>
        </w:rPr>
      </w:pPr>
      <w:r>
        <w:rPr>
          <w:rFonts w:hint="eastAsia" w:ascii="宋体" w:hAnsi="宋体"/>
          <w:sz w:val="24"/>
          <w:szCs w:val="24"/>
          <w:highlight w:val="none"/>
        </w:rPr>
        <w:t>充电桩与充电平台之间具备RJ45以太网、4G通讯接口实现数据通讯功能。</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.9具备刷卡及手机APP充电控制功能</w:t>
      </w:r>
    </w:p>
    <w:p>
      <w:pPr>
        <w:pStyle w:val="12"/>
        <w:tabs>
          <w:tab w:val="left" w:pos="1140"/>
        </w:tabs>
        <w:spacing w:before="0" w:after="0"/>
        <w:ind w:firstLine="960" w:firstLineChars="400"/>
        <w:rPr>
          <w:rFonts w:ascii="宋体" w:hAnsi="宋体"/>
          <w:sz w:val="24"/>
          <w:szCs w:val="24"/>
          <w:highlight w:val="none"/>
        </w:rPr>
      </w:pPr>
      <w:r>
        <w:rPr>
          <w:rFonts w:hint="eastAsia" w:ascii="宋体" w:hAnsi="宋体"/>
          <w:sz w:val="24"/>
          <w:szCs w:val="24"/>
          <w:highlight w:val="none"/>
        </w:rPr>
        <w:t>a）能够实现刷卡充电功能。</w:t>
      </w:r>
    </w:p>
    <w:p>
      <w:pPr>
        <w:pStyle w:val="12"/>
        <w:tabs>
          <w:tab w:val="left" w:pos="1140"/>
        </w:tabs>
        <w:spacing w:before="0" w:after="0"/>
        <w:ind w:firstLine="960" w:firstLineChars="400"/>
        <w:rPr>
          <w:rFonts w:ascii="宋体" w:hAnsi="宋体"/>
          <w:sz w:val="24"/>
          <w:szCs w:val="24"/>
          <w:highlight w:val="none"/>
        </w:rPr>
      </w:pPr>
      <w:r>
        <w:rPr>
          <w:rFonts w:hint="eastAsia" w:ascii="宋体" w:hAnsi="宋体"/>
          <w:sz w:val="24"/>
          <w:szCs w:val="24"/>
          <w:highlight w:val="none"/>
        </w:rPr>
        <w:t>b) 协助用户完成相关通讯数据的集成与调试，</w:t>
      </w:r>
      <w:r>
        <w:rPr>
          <w:rFonts w:ascii="宋体" w:hAnsi="宋体"/>
          <w:sz w:val="24"/>
          <w:szCs w:val="24"/>
          <w:highlight w:val="none"/>
        </w:rPr>
        <w:t>支持手机</w:t>
      </w:r>
      <w:r>
        <w:rPr>
          <w:rFonts w:hint="eastAsia" w:ascii="宋体" w:hAnsi="宋体"/>
          <w:sz w:val="24"/>
          <w:szCs w:val="24"/>
          <w:highlight w:val="none"/>
        </w:rPr>
        <w:t>支付</w:t>
      </w:r>
      <w:r>
        <w:rPr>
          <w:rFonts w:ascii="宋体" w:hAnsi="宋体"/>
          <w:sz w:val="24"/>
          <w:szCs w:val="24"/>
          <w:highlight w:val="none"/>
        </w:rPr>
        <w:t>。</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.10应具备网络同步时钟对时功能，保证系统时间的一致性。</w:t>
      </w:r>
    </w:p>
    <w:p>
      <w:pPr>
        <w:spacing w:line="360" w:lineRule="auto"/>
        <w:rPr>
          <w:rFonts w:ascii="宋体" w:hAnsi="宋体"/>
          <w:b/>
          <w:sz w:val="24"/>
          <w:szCs w:val="24"/>
          <w:highlight w:val="none"/>
        </w:rPr>
      </w:pPr>
      <w:bookmarkStart w:id="27" w:name="_Toc455497168"/>
      <w:r>
        <w:rPr>
          <w:rFonts w:hint="eastAsia" w:ascii="宋体" w:hAnsi="宋体"/>
          <w:b/>
          <w:sz w:val="24"/>
          <w:szCs w:val="24"/>
          <w:highlight w:val="none"/>
          <w:lang w:val="en-US" w:eastAsia="zh-CN"/>
        </w:rPr>
        <w:t>6</w:t>
      </w:r>
      <w:r>
        <w:rPr>
          <w:rFonts w:hint="eastAsia" w:ascii="宋体" w:hAnsi="宋体"/>
          <w:b/>
          <w:sz w:val="24"/>
          <w:szCs w:val="24"/>
          <w:highlight w:val="none"/>
        </w:rPr>
        <w:t>.5耐气候环境要求</w:t>
      </w:r>
      <w:bookmarkEnd w:id="25"/>
      <w:bookmarkEnd w:id="26"/>
      <w:bookmarkEnd w:id="27"/>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.5.1防护等级</w:t>
      </w:r>
    </w:p>
    <w:p>
      <w:pPr>
        <w:pStyle w:val="12"/>
        <w:tabs>
          <w:tab w:val="left" w:pos="1134"/>
        </w:tabs>
        <w:spacing w:before="0" w:after="0"/>
        <w:ind w:firstLine="480"/>
        <w:rPr>
          <w:rFonts w:ascii="宋体" w:hAnsi="宋体"/>
          <w:sz w:val="24"/>
          <w:szCs w:val="24"/>
          <w:highlight w:val="none"/>
        </w:rPr>
      </w:pPr>
      <w:r>
        <w:rPr>
          <w:rFonts w:hint="eastAsia" w:ascii="宋体" w:hAnsi="宋体"/>
          <w:sz w:val="24"/>
          <w:szCs w:val="24"/>
          <w:highlight w:val="none"/>
        </w:rPr>
        <w:t>充电桩的柜体和桩体防护等级不应低于GB 4208-2008中IP32（室内）或IP5</w:t>
      </w:r>
      <w:r>
        <w:rPr>
          <w:rFonts w:ascii="宋体" w:hAnsi="宋体"/>
          <w:sz w:val="24"/>
          <w:szCs w:val="24"/>
          <w:highlight w:val="none"/>
        </w:rPr>
        <w:t>4</w:t>
      </w:r>
      <w:r>
        <w:rPr>
          <w:rFonts w:hint="eastAsia" w:ascii="宋体" w:hAnsi="宋体"/>
          <w:sz w:val="24"/>
          <w:szCs w:val="24"/>
          <w:highlight w:val="none"/>
        </w:rPr>
        <w:t>（室外）的规定。</w:t>
      </w:r>
    </w:p>
    <w:p>
      <w:pPr>
        <w:spacing w:line="360" w:lineRule="auto"/>
        <w:rPr>
          <w:rFonts w:hint="eastAsia"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.5.2三防（防潮湿，防霉变，防盐雾）保护</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充电桩内印刷线路板、接插件等电路应进行防潮湿、防霉变、防盐雾处理。</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.5.3防锈(防氧化)保护</w:t>
      </w:r>
    </w:p>
    <w:p>
      <w:pPr>
        <w:pStyle w:val="12"/>
        <w:tabs>
          <w:tab w:val="left" w:pos="1134"/>
        </w:tabs>
        <w:spacing w:before="0" w:after="0"/>
        <w:ind w:firstLine="480"/>
        <w:rPr>
          <w:rFonts w:ascii="宋体" w:hAnsi="宋体"/>
          <w:sz w:val="24"/>
          <w:szCs w:val="24"/>
          <w:highlight w:val="none"/>
        </w:rPr>
      </w:pPr>
      <w:r>
        <w:rPr>
          <w:rFonts w:hint="eastAsia" w:ascii="宋体" w:hAnsi="宋体"/>
          <w:sz w:val="24"/>
          <w:szCs w:val="24"/>
          <w:highlight w:val="none"/>
        </w:rPr>
        <w:t>充电桩铁质外壳和暴露在外的铁质支架、零件应采取双层防锈措施，非铁质的金属外壳也应具有防氧化保护膜或进行防氧化处理。</w:t>
      </w:r>
    </w:p>
    <w:p>
      <w:pPr>
        <w:spacing w:line="360" w:lineRule="auto"/>
        <w:rPr>
          <w:rFonts w:ascii="宋体" w:hAnsi="宋体"/>
          <w:b/>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.5.4防风保护</w:t>
      </w:r>
    </w:p>
    <w:p>
      <w:pPr>
        <w:pStyle w:val="12"/>
        <w:tabs>
          <w:tab w:val="left" w:pos="1134"/>
        </w:tabs>
        <w:spacing w:before="0" w:after="0"/>
        <w:ind w:firstLine="480"/>
        <w:rPr>
          <w:rFonts w:ascii="宋体" w:hAnsi="宋体"/>
          <w:sz w:val="24"/>
          <w:szCs w:val="24"/>
          <w:highlight w:val="none"/>
        </w:rPr>
      </w:pPr>
      <w:r>
        <w:rPr>
          <w:rFonts w:hint="eastAsia" w:ascii="宋体" w:hAnsi="宋体"/>
          <w:sz w:val="24"/>
          <w:szCs w:val="24"/>
          <w:highlight w:val="none"/>
        </w:rPr>
        <w:t>充电桩应能承受GB/T 4797.5-2008中规定的不同地区最大风速的侵袭。</w:t>
      </w:r>
    </w:p>
    <w:p>
      <w:pPr>
        <w:spacing w:line="360" w:lineRule="auto"/>
        <w:rPr>
          <w:rFonts w:ascii="宋体" w:hAnsi="宋体"/>
          <w:b/>
          <w:sz w:val="24"/>
          <w:szCs w:val="24"/>
          <w:highlight w:val="none"/>
        </w:rPr>
      </w:pPr>
      <w:bookmarkStart w:id="28" w:name="_Toc411176413"/>
      <w:bookmarkStart w:id="29" w:name="_Toc455497169"/>
      <w:bookmarkStart w:id="30" w:name="_Toc387646177"/>
      <w:r>
        <w:rPr>
          <w:rFonts w:hint="eastAsia" w:ascii="宋体" w:hAnsi="宋体"/>
          <w:b/>
          <w:sz w:val="24"/>
          <w:szCs w:val="24"/>
          <w:highlight w:val="none"/>
          <w:lang w:val="en-US" w:eastAsia="zh-CN"/>
        </w:rPr>
        <w:t>6</w:t>
      </w:r>
      <w:r>
        <w:rPr>
          <w:rFonts w:hint="eastAsia" w:ascii="宋体" w:hAnsi="宋体"/>
          <w:b/>
          <w:sz w:val="24"/>
          <w:szCs w:val="24"/>
          <w:highlight w:val="none"/>
        </w:rPr>
        <w:t>.6防护要求</w:t>
      </w:r>
      <w:bookmarkEnd w:id="28"/>
      <w:bookmarkEnd w:id="29"/>
      <w:bookmarkEnd w:id="30"/>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.6.1允许温度</w:t>
      </w:r>
    </w:p>
    <w:p>
      <w:pPr>
        <w:pStyle w:val="12"/>
        <w:widowControl w:val="0"/>
        <w:numPr>
          <w:ilvl w:val="0"/>
          <w:numId w:val="5"/>
        </w:numPr>
        <w:tabs>
          <w:tab w:val="left" w:pos="1134"/>
        </w:tabs>
        <w:spacing w:before="0" w:after="0"/>
        <w:ind w:left="0" w:firstLineChars="0"/>
        <w:jc w:val="both"/>
        <w:rPr>
          <w:rFonts w:ascii="宋体" w:hAnsi="宋体"/>
          <w:sz w:val="24"/>
          <w:szCs w:val="24"/>
          <w:highlight w:val="none"/>
        </w:rPr>
      </w:pPr>
      <w:r>
        <w:rPr>
          <w:rFonts w:ascii="宋体" w:hAnsi="宋体"/>
          <w:sz w:val="24"/>
          <w:szCs w:val="24"/>
          <w:highlight w:val="none"/>
        </w:rPr>
        <w:t>在40</w:t>
      </w:r>
      <w:r>
        <w:rPr>
          <w:rFonts w:hint="eastAsia" w:ascii="宋体" w:hAnsi="宋体" w:cs="宋体"/>
          <w:sz w:val="24"/>
          <w:szCs w:val="24"/>
          <w:highlight w:val="none"/>
        </w:rPr>
        <w:t>℃</w:t>
      </w:r>
      <w:r>
        <w:rPr>
          <w:rFonts w:ascii="宋体" w:hAnsi="宋体"/>
          <w:sz w:val="24"/>
          <w:szCs w:val="24"/>
          <w:highlight w:val="none"/>
        </w:rPr>
        <w:t>环境温度下，充电桩可用手接触部分允许的最高温度应为：</w:t>
      </w:r>
    </w:p>
    <w:p>
      <w:pPr>
        <w:pStyle w:val="12"/>
        <w:tabs>
          <w:tab w:val="left" w:pos="1134"/>
        </w:tabs>
        <w:spacing w:before="0" w:after="0"/>
        <w:ind w:firstLine="480"/>
        <w:rPr>
          <w:rFonts w:ascii="宋体" w:hAnsi="宋体"/>
          <w:sz w:val="24"/>
          <w:szCs w:val="24"/>
          <w:highlight w:val="none"/>
        </w:rPr>
      </w:pPr>
      <w:r>
        <w:rPr>
          <w:rFonts w:ascii="宋体" w:hAnsi="宋体"/>
          <w:sz w:val="24"/>
          <w:szCs w:val="24"/>
          <w:highlight w:val="none"/>
        </w:rPr>
        <w:t>——金属部分，50</w:t>
      </w:r>
      <w:r>
        <w:rPr>
          <w:rFonts w:hint="eastAsia" w:ascii="宋体" w:hAnsi="宋体" w:cs="宋体"/>
          <w:sz w:val="24"/>
          <w:szCs w:val="24"/>
          <w:highlight w:val="none"/>
        </w:rPr>
        <w:t>℃</w:t>
      </w:r>
      <w:r>
        <w:rPr>
          <w:rFonts w:ascii="宋体" w:hAnsi="宋体"/>
          <w:sz w:val="24"/>
          <w:szCs w:val="24"/>
          <w:highlight w:val="none"/>
        </w:rPr>
        <w:t>；</w:t>
      </w:r>
    </w:p>
    <w:p>
      <w:pPr>
        <w:pStyle w:val="12"/>
        <w:tabs>
          <w:tab w:val="left" w:pos="1134"/>
        </w:tabs>
        <w:spacing w:before="0" w:after="0"/>
        <w:ind w:firstLine="480"/>
        <w:rPr>
          <w:rFonts w:ascii="宋体" w:hAnsi="宋体"/>
          <w:sz w:val="24"/>
          <w:szCs w:val="24"/>
          <w:highlight w:val="none"/>
        </w:rPr>
      </w:pPr>
      <w:r>
        <w:rPr>
          <w:rFonts w:ascii="宋体" w:hAnsi="宋体"/>
          <w:sz w:val="24"/>
          <w:szCs w:val="24"/>
          <w:highlight w:val="none"/>
        </w:rPr>
        <w:t>——非金属部分，60</w:t>
      </w:r>
      <w:r>
        <w:rPr>
          <w:rFonts w:hint="eastAsia" w:ascii="宋体" w:hAnsi="宋体" w:cs="宋体"/>
          <w:sz w:val="24"/>
          <w:szCs w:val="24"/>
          <w:highlight w:val="none"/>
        </w:rPr>
        <w:t>℃。</w:t>
      </w:r>
    </w:p>
    <w:p>
      <w:pPr>
        <w:pStyle w:val="12"/>
        <w:widowControl w:val="0"/>
        <w:numPr>
          <w:ilvl w:val="0"/>
          <w:numId w:val="5"/>
        </w:numPr>
        <w:tabs>
          <w:tab w:val="left" w:pos="1134"/>
        </w:tabs>
        <w:spacing w:before="0" w:after="0"/>
        <w:ind w:left="0" w:firstLineChars="0"/>
        <w:jc w:val="both"/>
        <w:rPr>
          <w:rFonts w:ascii="宋体" w:hAnsi="宋体"/>
          <w:sz w:val="24"/>
          <w:szCs w:val="24"/>
          <w:highlight w:val="none"/>
        </w:rPr>
      </w:pPr>
      <w:r>
        <w:rPr>
          <w:rFonts w:hint="eastAsia" w:ascii="宋体" w:hAnsi="宋体"/>
          <w:sz w:val="24"/>
          <w:szCs w:val="24"/>
          <w:highlight w:val="none"/>
        </w:rPr>
        <w:t>可以用手接触但不必紧握的部分，在同样条件下允许的最高温度应为：</w:t>
      </w:r>
    </w:p>
    <w:p>
      <w:pPr>
        <w:pStyle w:val="12"/>
        <w:tabs>
          <w:tab w:val="left" w:pos="1134"/>
        </w:tabs>
        <w:spacing w:before="0" w:after="0"/>
        <w:ind w:firstLine="480"/>
        <w:rPr>
          <w:rFonts w:ascii="宋体" w:hAnsi="宋体"/>
          <w:sz w:val="24"/>
          <w:szCs w:val="24"/>
          <w:highlight w:val="none"/>
        </w:rPr>
      </w:pPr>
      <w:r>
        <w:rPr>
          <w:rFonts w:ascii="宋体" w:hAnsi="宋体"/>
          <w:sz w:val="24"/>
          <w:szCs w:val="24"/>
          <w:highlight w:val="none"/>
        </w:rPr>
        <w:t>——金属部分，60</w:t>
      </w:r>
      <w:r>
        <w:rPr>
          <w:rFonts w:hint="eastAsia" w:ascii="宋体" w:hAnsi="宋体" w:cs="宋体"/>
          <w:sz w:val="24"/>
          <w:szCs w:val="24"/>
          <w:highlight w:val="none"/>
        </w:rPr>
        <w:t>℃</w:t>
      </w:r>
      <w:r>
        <w:rPr>
          <w:rFonts w:ascii="宋体" w:hAnsi="宋体"/>
          <w:sz w:val="24"/>
          <w:szCs w:val="24"/>
          <w:highlight w:val="none"/>
        </w:rPr>
        <w:t>；</w:t>
      </w:r>
    </w:p>
    <w:p>
      <w:pPr>
        <w:pStyle w:val="12"/>
        <w:tabs>
          <w:tab w:val="left" w:pos="1134"/>
        </w:tabs>
        <w:spacing w:before="0" w:after="0"/>
        <w:ind w:firstLine="480"/>
        <w:rPr>
          <w:rFonts w:ascii="宋体" w:hAnsi="宋体"/>
          <w:sz w:val="24"/>
          <w:szCs w:val="24"/>
          <w:highlight w:val="none"/>
        </w:rPr>
      </w:pPr>
      <w:r>
        <w:rPr>
          <w:rFonts w:ascii="宋体" w:hAnsi="宋体"/>
          <w:sz w:val="24"/>
          <w:szCs w:val="24"/>
          <w:highlight w:val="none"/>
        </w:rPr>
        <w:t>——非金属部分，85</w:t>
      </w:r>
      <w:r>
        <w:rPr>
          <w:rFonts w:hint="eastAsia" w:ascii="宋体" w:hAnsi="宋体" w:cs="宋体"/>
          <w:sz w:val="24"/>
          <w:szCs w:val="24"/>
          <w:highlight w:val="none"/>
        </w:rPr>
        <w:t>℃。</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.6.2电击防护</w:t>
      </w:r>
    </w:p>
    <w:p>
      <w:pPr>
        <w:pStyle w:val="12"/>
        <w:spacing w:before="0" w:after="0"/>
        <w:ind w:firstLine="480"/>
        <w:rPr>
          <w:rFonts w:ascii="宋体" w:hAnsi="宋体"/>
          <w:sz w:val="24"/>
          <w:szCs w:val="24"/>
          <w:highlight w:val="none"/>
        </w:rPr>
      </w:pPr>
      <w:r>
        <w:rPr>
          <w:rFonts w:ascii="宋体" w:hAnsi="宋体"/>
          <w:sz w:val="24"/>
          <w:szCs w:val="24"/>
          <w:highlight w:val="none"/>
        </w:rPr>
        <w:t>充电桩的电击防护应符合GB/T 18487.1-</w:t>
      </w:r>
      <w:r>
        <w:rPr>
          <w:rFonts w:hint="eastAsia" w:ascii="宋体" w:hAnsi="宋体"/>
          <w:sz w:val="24"/>
          <w:szCs w:val="24"/>
          <w:highlight w:val="none"/>
        </w:rPr>
        <w:t>2015</w:t>
      </w:r>
      <w:r>
        <w:rPr>
          <w:rFonts w:ascii="宋体" w:hAnsi="宋体"/>
          <w:sz w:val="24"/>
          <w:szCs w:val="24"/>
          <w:highlight w:val="none"/>
        </w:rPr>
        <w:t>中第9章的要求。</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.6.3电气间隙和爬电距离</w:t>
      </w:r>
    </w:p>
    <w:p>
      <w:pPr>
        <w:pStyle w:val="128"/>
        <w:spacing w:line="360" w:lineRule="auto"/>
        <w:ind w:firstLine="480"/>
        <w:rPr>
          <w:rFonts w:hAnsi="宋体"/>
          <w:sz w:val="24"/>
          <w:szCs w:val="24"/>
          <w:highlight w:val="none"/>
        </w:rPr>
      </w:pPr>
      <w:r>
        <w:rPr>
          <w:rFonts w:hAnsi="宋体"/>
          <w:sz w:val="24"/>
          <w:szCs w:val="24"/>
          <w:highlight w:val="none"/>
        </w:rPr>
        <w:t>充电桩的电气间隙和爬电距离应符合表2的规定。</w:t>
      </w:r>
    </w:p>
    <w:p>
      <w:pPr>
        <w:pStyle w:val="128"/>
        <w:spacing w:line="360" w:lineRule="auto"/>
        <w:ind w:firstLine="480"/>
        <w:jc w:val="center"/>
        <w:rPr>
          <w:rFonts w:hAnsi="宋体"/>
          <w:sz w:val="24"/>
          <w:szCs w:val="24"/>
          <w:highlight w:val="none"/>
        </w:rPr>
      </w:pPr>
      <w:r>
        <w:rPr>
          <w:rFonts w:hAnsi="宋体"/>
          <w:sz w:val="24"/>
          <w:szCs w:val="24"/>
          <w:highlight w:val="none"/>
        </w:rPr>
        <w:t>表2  电气间隙和爬电距离</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85"/>
        <w:gridCol w:w="2893"/>
        <w:gridCol w:w="30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3185" w:type="dxa"/>
            <w:tcBorders>
              <w:top w:val="single" w:color="auto" w:sz="8" w:space="0"/>
              <w:bottom w:val="single" w:color="auto" w:sz="8" w:space="0"/>
            </w:tcBorders>
            <w:vAlign w:val="center"/>
          </w:tcPr>
          <w:p>
            <w:pPr>
              <w:widowControl/>
              <w:spacing w:line="360" w:lineRule="auto"/>
              <w:jc w:val="center"/>
              <w:rPr>
                <w:rFonts w:ascii="宋体" w:hAnsi="宋体"/>
                <w:kern w:val="0"/>
                <w:sz w:val="24"/>
                <w:szCs w:val="24"/>
                <w:highlight w:val="none"/>
              </w:rPr>
            </w:pPr>
            <w:r>
              <w:rPr>
                <w:rFonts w:ascii="宋体" w:hAnsi="宋体"/>
                <w:kern w:val="0"/>
                <w:sz w:val="24"/>
                <w:szCs w:val="24"/>
                <w:highlight w:val="none"/>
              </w:rPr>
              <w:t>额定绝缘电压Ui（V）</w:t>
            </w:r>
          </w:p>
        </w:tc>
        <w:tc>
          <w:tcPr>
            <w:tcW w:w="2893" w:type="dxa"/>
            <w:tcBorders>
              <w:top w:val="single" w:color="auto" w:sz="8" w:space="0"/>
              <w:bottom w:val="single" w:color="auto" w:sz="8" w:space="0"/>
            </w:tcBorders>
            <w:vAlign w:val="center"/>
          </w:tcPr>
          <w:p>
            <w:pPr>
              <w:widowControl/>
              <w:spacing w:line="360" w:lineRule="auto"/>
              <w:jc w:val="center"/>
              <w:rPr>
                <w:rFonts w:ascii="宋体" w:hAnsi="宋体"/>
                <w:kern w:val="0"/>
                <w:sz w:val="24"/>
                <w:szCs w:val="24"/>
                <w:highlight w:val="none"/>
              </w:rPr>
            </w:pPr>
            <w:r>
              <w:rPr>
                <w:rFonts w:ascii="宋体" w:hAnsi="宋体"/>
                <w:kern w:val="0"/>
                <w:sz w:val="24"/>
                <w:szCs w:val="24"/>
                <w:highlight w:val="none"/>
              </w:rPr>
              <w:t>电气间隙（mm）</w:t>
            </w:r>
          </w:p>
        </w:tc>
        <w:tc>
          <w:tcPr>
            <w:tcW w:w="3040" w:type="dxa"/>
            <w:tcBorders>
              <w:top w:val="single" w:color="auto" w:sz="8" w:space="0"/>
              <w:bottom w:val="single" w:color="auto" w:sz="8" w:space="0"/>
            </w:tcBorders>
            <w:vAlign w:val="center"/>
          </w:tcPr>
          <w:p>
            <w:pPr>
              <w:widowControl/>
              <w:spacing w:line="360" w:lineRule="auto"/>
              <w:jc w:val="center"/>
              <w:rPr>
                <w:rFonts w:ascii="宋体" w:hAnsi="宋体"/>
                <w:kern w:val="0"/>
                <w:sz w:val="24"/>
                <w:szCs w:val="24"/>
                <w:highlight w:val="none"/>
              </w:rPr>
            </w:pPr>
            <w:r>
              <w:rPr>
                <w:rFonts w:ascii="宋体" w:hAnsi="宋体"/>
                <w:kern w:val="0"/>
                <w:sz w:val="24"/>
                <w:szCs w:val="24"/>
                <w:highlight w:val="none"/>
              </w:rPr>
              <w:t>爬电距离（mm）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3185" w:type="dxa"/>
            <w:tcBorders>
              <w:top w:val="single" w:color="auto" w:sz="8" w:space="0"/>
              <w:bottom w:val="single" w:color="auto" w:sz="8" w:space="0"/>
            </w:tcBorders>
            <w:vAlign w:val="center"/>
          </w:tcPr>
          <w:p>
            <w:pPr>
              <w:widowControl/>
              <w:spacing w:line="360" w:lineRule="auto"/>
              <w:jc w:val="center"/>
              <w:rPr>
                <w:rFonts w:ascii="宋体" w:hAnsi="宋体"/>
                <w:sz w:val="24"/>
                <w:szCs w:val="24"/>
                <w:highlight w:val="none"/>
              </w:rPr>
            </w:pPr>
            <w:r>
              <w:rPr>
                <w:rFonts w:ascii="宋体" w:hAnsi="宋体"/>
                <w:i/>
                <w:sz w:val="24"/>
                <w:szCs w:val="24"/>
                <w:highlight w:val="none"/>
              </w:rPr>
              <w:t>Ui</w:t>
            </w:r>
            <w:r>
              <w:rPr>
                <w:rFonts w:ascii="宋体" w:hAnsi="宋体"/>
                <w:sz w:val="24"/>
                <w:szCs w:val="24"/>
                <w:highlight w:val="none"/>
              </w:rPr>
              <w:t>≤60</w:t>
            </w:r>
          </w:p>
        </w:tc>
        <w:tc>
          <w:tcPr>
            <w:tcW w:w="2893" w:type="dxa"/>
            <w:tcBorders>
              <w:top w:val="single" w:color="auto" w:sz="8" w:space="0"/>
              <w:bottom w:val="single" w:color="auto" w:sz="8" w:space="0"/>
            </w:tcBorders>
            <w:vAlign w:val="center"/>
          </w:tcPr>
          <w:p>
            <w:pPr>
              <w:widowControl/>
              <w:spacing w:line="360" w:lineRule="auto"/>
              <w:jc w:val="center"/>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.0</w:t>
            </w:r>
          </w:p>
        </w:tc>
        <w:tc>
          <w:tcPr>
            <w:tcW w:w="3040" w:type="dxa"/>
            <w:tcBorders>
              <w:top w:val="single" w:color="auto" w:sz="8" w:space="0"/>
              <w:bottom w:val="single" w:color="auto" w:sz="8" w:space="0"/>
            </w:tcBorders>
            <w:vAlign w:val="center"/>
          </w:tcPr>
          <w:p>
            <w:pPr>
              <w:widowControl/>
              <w:spacing w:line="360" w:lineRule="auto"/>
              <w:jc w:val="center"/>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185" w:type="dxa"/>
            <w:tcBorders>
              <w:top w:val="single" w:color="auto" w:sz="8" w:space="0"/>
              <w:bottom w:val="single" w:color="auto" w:sz="8" w:space="0"/>
            </w:tcBorders>
            <w:vAlign w:val="center"/>
          </w:tcPr>
          <w:p>
            <w:pPr>
              <w:widowControl/>
              <w:spacing w:line="360" w:lineRule="auto"/>
              <w:jc w:val="center"/>
              <w:rPr>
                <w:rFonts w:ascii="宋体" w:hAnsi="宋体"/>
                <w:sz w:val="24"/>
                <w:szCs w:val="24"/>
                <w:highlight w:val="none"/>
              </w:rPr>
            </w:pPr>
            <w:r>
              <w:rPr>
                <w:rFonts w:ascii="宋体" w:hAnsi="宋体"/>
                <w:sz w:val="24"/>
                <w:szCs w:val="24"/>
                <w:highlight w:val="none"/>
              </w:rPr>
              <w:t>60＜</w:t>
            </w:r>
            <w:r>
              <w:rPr>
                <w:rFonts w:ascii="宋体" w:hAnsi="宋体"/>
                <w:i/>
                <w:sz w:val="24"/>
                <w:szCs w:val="24"/>
                <w:highlight w:val="none"/>
              </w:rPr>
              <w:t>Ui</w:t>
            </w:r>
            <w:r>
              <w:rPr>
                <w:rFonts w:ascii="宋体" w:hAnsi="宋体"/>
                <w:sz w:val="24"/>
                <w:szCs w:val="24"/>
                <w:highlight w:val="none"/>
              </w:rPr>
              <w:t>≤300</w:t>
            </w:r>
          </w:p>
        </w:tc>
        <w:tc>
          <w:tcPr>
            <w:tcW w:w="2893" w:type="dxa"/>
            <w:tcBorders>
              <w:top w:val="single" w:color="auto" w:sz="8" w:space="0"/>
              <w:bottom w:val="single" w:color="auto" w:sz="8" w:space="0"/>
            </w:tcBorders>
            <w:vAlign w:val="center"/>
          </w:tcPr>
          <w:p>
            <w:pPr>
              <w:widowControl/>
              <w:spacing w:line="360" w:lineRule="auto"/>
              <w:jc w:val="center"/>
              <w:rPr>
                <w:rFonts w:ascii="宋体" w:hAnsi="宋体"/>
                <w:sz w:val="24"/>
                <w:szCs w:val="24"/>
                <w:highlight w:val="none"/>
              </w:rPr>
            </w:pPr>
            <w:r>
              <w:rPr>
                <w:rFonts w:ascii="宋体" w:hAnsi="宋体"/>
                <w:sz w:val="24"/>
                <w:szCs w:val="24"/>
                <w:highlight w:val="none"/>
              </w:rPr>
              <w:t>5</w:t>
            </w:r>
            <w:r>
              <w:rPr>
                <w:rFonts w:hint="eastAsia" w:ascii="宋体" w:hAnsi="宋体"/>
                <w:sz w:val="24"/>
                <w:szCs w:val="24"/>
                <w:highlight w:val="none"/>
              </w:rPr>
              <w:t>.0</w:t>
            </w:r>
          </w:p>
        </w:tc>
        <w:tc>
          <w:tcPr>
            <w:tcW w:w="3040" w:type="dxa"/>
            <w:tcBorders>
              <w:top w:val="single" w:color="auto" w:sz="8" w:space="0"/>
              <w:bottom w:val="single" w:color="auto" w:sz="8" w:space="0"/>
            </w:tcBorders>
            <w:vAlign w:val="center"/>
          </w:tcPr>
          <w:p>
            <w:pPr>
              <w:widowControl/>
              <w:spacing w:line="360" w:lineRule="auto"/>
              <w:jc w:val="center"/>
              <w:rPr>
                <w:rFonts w:ascii="宋体" w:hAnsi="宋体"/>
                <w:sz w:val="24"/>
                <w:szCs w:val="24"/>
                <w:highlight w:val="none"/>
              </w:rPr>
            </w:pPr>
            <w:r>
              <w:rPr>
                <w:rFonts w:ascii="宋体" w:hAnsi="宋体"/>
                <w:sz w:val="24"/>
                <w:szCs w:val="24"/>
                <w:highlight w:val="none"/>
              </w:rPr>
              <w:t>6</w:t>
            </w:r>
            <w:r>
              <w:rPr>
                <w:rFonts w:hint="eastAsia" w:ascii="宋体" w:hAnsi="宋体"/>
                <w:sz w:val="24"/>
                <w:szCs w:val="24"/>
                <w:highlight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3185" w:type="dxa"/>
            <w:tcBorders>
              <w:top w:val="single" w:color="auto" w:sz="8" w:space="0"/>
              <w:bottom w:val="single" w:color="auto" w:sz="8" w:space="0"/>
            </w:tcBorders>
            <w:vAlign w:val="center"/>
          </w:tcPr>
          <w:p>
            <w:pPr>
              <w:widowControl/>
              <w:spacing w:line="360" w:lineRule="auto"/>
              <w:jc w:val="center"/>
              <w:rPr>
                <w:rFonts w:ascii="宋体" w:hAnsi="宋体"/>
                <w:sz w:val="24"/>
                <w:szCs w:val="24"/>
                <w:highlight w:val="none"/>
              </w:rPr>
            </w:pPr>
            <w:r>
              <w:rPr>
                <w:rFonts w:ascii="宋体" w:hAnsi="宋体"/>
                <w:sz w:val="24"/>
                <w:szCs w:val="24"/>
                <w:highlight w:val="none"/>
              </w:rPr>
              <w:t>300＜</w:t>
            </w:r>
            <w:r>
              <w:rPr>
                <w:rFonts w:ascii="宋体" w:hAnsi="宋体"/>
                <w:i/>
                <w:sz w:val="24"/>
                <w:szCs w:val="24"/>
                <w:highlight w:val="none"/>
              </w:rPr>
              <w:t>Ui</w:t>
            </w:r>
            <w:r>
              <w:rPr>
                <w:rFonts w:ascii="宋体" w:hAnsi="宋体"/>
                <w:sz w:val="24"/>
                <w:szCs w:val="24"/>
                <w:highlight w:val="none"/>
              </w:rPr>
              <w:t>≤700</w:t>
            </w:r>
          </w:p>
        </w:tc>
        <w:tc>
          <w:tcPr>
            <w:tcW w:w="2893" w:type="dxa"/>
            <w:tcBorders>
              <w:top w:val="single" w:color="auto" w:sz="8" w:space="0"/>
              <w:bottom w:val="single" w:color="auto" w:sz="8" w:space="0"/>
            </w:tcBorders>
            <w:vAlign w:val="center"/>
          </w:tcPr>
          <w:p>
            <w:pPr>
              <w:widowControl/>
              <w:spacing w:line="360" w:lineRule="auto"/>
              <w:jc w:val="center"/>
              <w:rPr>
                <w:rFonts w:ascii="宋体" w:hAnsi="宋体"/>
                <w:sz w:val="24"/>
                <w:szCs w:val="24"/>
                <w:highlight w:val="none"/>
              </w:rPr>
            </w:pPr>
            <w:r>
              <w:rPr>
                <w:rFonts w:ascii="宋体" w:hAnsi="宋体"/>
                <w:sz w:val="24"/>
                <w:szCs w:val="24"/>
                <w:highlight w:val="none"/>
              </w:rPr>
              <w:t>8</w:t>
            </w:r>
            <w:r>
              <w:rPr>
                <w:rFonts w:hint="eastAsia" w:ascii="宋体" w:hAnsi="宋体"/>
                <w:sz w:val="24"/>
                <w:szCs w:val="24"/>
                <w:highlight w:val="none"/>
              </w:rPr>
              <w:t>.0</w:t>
            </w:r>
          </w:p>
        </w:tc>
        <w:tc>
          <w:tcPr>
            <w:tcW w:w="3040" w:type="dxa"/>
            <w:tcBorders>
              <w:top w:val="single" w:color="auto" w:sz="8" w:space="0"/>
              <w:bottom w:val="single" w:color="auto" w:sz="8" w:space="0"/>
            </w:tcBorders>
            <w:vAlign w:val="center"/>
          </w:tcPr>
          <w:p>
            <w:pPr>
              <w:widowControl/>
              <w:spacing w:line="360" w:lineRule="auto"/>
              <w:jc w:val="center"/>
              <w:rPr>
                <w:rFonts w:ascii="宋体" w:hAnsi="宋体"/>
                <w:sz w:val="24"/>
                <w:szCs w:val="24"/>
                <w:highlight w:val="none"/>
              </w:rPr>
            </w:pPr>
            <w:r>
              <w:rPr>
                <w:rFonts w:ascii="宋体" w:hAnsi="宋体"/>
                <w:sz w:val="24"/>
                <w:szCs w:val="24"/>
                <w:highlight w:val="none"/>
              </w:rPr>
              <w:t>10</w:t>
            </w:r>
            <w:r>
              <w:rPr>
                <w:rFonts w:hint="eastAsia" w:ascii="宋体" w:hAnsi="宋体"/>
                <w:sz w:val="24"/>
                <w:szCs w:val="24"/>
                <w:highlight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118" w:type="dxa"/>
            <w:gridSpan w:val="3"/>
            <w:tcBorders>
              <w:top w:val="single" w:color="auto" w:sz="8" w:space="0"/>
              <w:bottom w:val="single" w:color="auto" w:sz="8" w:space="0"/>
            </w:tcBorders>
            <w:vAlign w:val="center"/>
          </w:tcPr>
          <w:p>
            <w:pPr>
              <w:widowControl/>
              <w:spacing w:line="360" w:lineRule="auto"/>
              <w:jc w:val="left"/>
              <w:rPr>
                <w:rFonts w:ascii="宋体" w:hAnsi="宋体"/>
                <w:sz w:val="24"/>
                <w:szCs w:val="24"/>
                <w:highlight w:val="none"/>
              </w:rPr>
            </w:pPr>
            <w:r>
              <w:rPr>
                <w:rFonts w:ascii="宋体" w:hAnsi="宋体"/>
                <w:sz w:val="24"/>
                <w:szCs w:val="24"/>
                <w:highlight w:val="none"/>
              </w:rPr>
              <w:t>注1：当主电路与控制电路或辅助电路的额定绝缘电压不一致时，其电气间隙和爬电距离可分别按其额定值选取。</w:t>
            </w:r>
          </w:p>
          <w:p>
            <w:pPr>
              <w:widowControl/>
              <w:spacing w:line="360" w:lineRule="auto"/>
              <w:jc w:val="left"/>
              <w:rPr>
                <w:rFonts w:ascii="宋体" w:hAnsi="宋体"/>
                <w:sz w:val="24"/>
                <w:szCs w:val="24"/>
                <w:highlight w:val="none"/>
              </w:rPr>
            </w:pPr>
            <w:r>
              <w:rPr>
                <w:rFonts w:ascii="宋体" w:hAnsi="宋体"/>
                <w:sz w:val="24"/>
                <w:szCs w:val="24"/>
                <w:highlight w:val="none"/>
              </w:rPr>
              <w:t>注2：具有不同额定值主电路或控制电路导电部分之间的电气间隙与爬电距离，应按最高额定绝缘电压选取。</w:t>
            </w:r>
          </w:p>
          <w:p>
            <w:pPr>
              <w:widowControl/>
              <w:spacing w:line="360" w:lineRule="auto"/>
              <w:jc w:val="left"/>
              <w:rPr>
                <w:rFonts w:ascii="宋体" w:hAnsi="宋体"/>
                <w:sz w:val="24"/>
                <w:szCs w:val="24"/>
                <w:highlight w:val="none"/>
              </w:rPr>
            </w:pPr>
            <w:r>
              <w:rPr>
                <w:rFonts w:hint="eastAsia" w:ascii="宋体" w:hAnsi="宋体"/>
                <w:sz w:val="24"/>
                <w:szCs w:val="24"/>
                <w:highlight w:val="none"/>
              </w:rPr>
              <w:t>注3：小母线、汇流排或不同级的裸露的带电导体之间，以及裸露的带电导体与未经绝缘的不带电导体之间的电气间隙不小于12mm，爬电距离不小于20mm。</w:t>
            </w:r>
          </w:p>
        </w:tc>
      </w:tr>
    </w:tbl>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.6.4接地要求</w:t>
      </w:r>
    </w:p>
    <w:p>
      <w:pPr>
        <w:pStyle w:val="12"/>
        <w:tabs>
          <w:tab w:val="left" w:pos="1140"/>
        </w:tabs>
        <w:spacing w:before="0" w:after="0"/>
        <w:ind w:firstLine="480"/>
        <w:rPr>
          <w:rFonts w:ascii="宋体" w:hAnsi="宋体"/>
          <w:sz w:val="24"/>
          <w:szCs w:val="24"/>
          <w:highlight w:val="none"/>
        </w:rPr>
      </w:pPr>
      <w:r>
        <w:rPr>
          <w:rFonts w:hint="eastAsia" w:ascii="宋体" w:hAnsi="宋体"/>
          <w:sz w:val="24"/>
          <w:szCs w:val="24"/>
          <w:highlight w:val="none"/>
        </w:rPr>
        <w:t>充电桩的接地要求应能满足以下的规定：</w:t>
      </w:r>
    </w:p>
    <w:p>
      <w:pPr>
        <w:pStyle w:val="12"/>
        <w:widowControl w:val="0"/>
        <w:numPr>
          <w:ilvl w:val="0"/>
          <w:numId w:val="6"/>
        </w:numPr>
        <w:tabs>
          <w:tab w:val="left" w:pos="1134"/>
        </w:tabs>
        <w:spacing w:before="0" w:after="0"/>
        <w:ind w:left="0" w:firstLineChars="0"/>
        <w:jc w:val="left"/>
        <w:rPr>
          <w:rFonts w:ascii="宋体" w:hAnsi="宋体"/>
          <w:sz w:val="24"/>
          <w:szCs w:val="24"/>
          <w:highlight w:val="none"/>
        </w:rPr>
      </w:pPr>
      <w:r>
        <w:rPr>
          <w:rFonts w:ascii="宋体" w:hAnsi="宋体"/>
          <w:sz w:val="24"/>
          <w:szCs w:val="24"/>
          <w:highlight w:val="none"/>
        </w:rPr>
        <w:t>充电桩金属壳体应设置接地螺栓，其直径不得小于6mm，并应有接地标志。</w:t>
      </w:r>
    </w:p>
    <w:p>
      <w:pPr>
        <w:pStyle w:val="12"/>
        <w:widowControl w:val="0"/>
        <w:numPr>
          <w:ilvl w:val="0"/>
          <w:numId w:val="6"/>
        </w:numPr>
        <w:tabs>
          <w:tab w:val="left" w:pos="1134"/>
        </w:tabs>
        <w:spacing w:before="0" w:after="0"/>
        <w:ind w:left="0" w:hanging="399" w:firstLineChars="0"/>
        <w:jc w:val="both"/>
        <w:rPr>
          <w:rFonts w:ascii="宋体" w:hAnsi="宋体"/>
          <w:sz w:val="24"/>
          <w:szCs w:val="24"/>
          <w:highlight w:val="none"/>
        </w:rPr>
      </w:pPr>
      <w:r>
        <w:rPr>
          <w:rFonts w:ascii="宋体" w:hAnsi="宋体"/>
          <w:sz w:val="24"/>
          <w:szCs w:val="24"/>
          <w:highlight w:val="none"/>
        </w:rPr>
        <w:t>所有作为隔离带电导体的金属隔板、电气元件的金属外壳以及金属手柄等均应有效接地，连续性电阻不应大于0.1Ω。</w:t>
      </w:r>
    </w:p>
    <w:p>
      <w:pPr>
        <w:pStyle w:val="12"/>
        <w:widowControl w:val="0"/>
        <w:numPr>
          <w:ilvl w:val="0"/>
          <w:numId w:val="6"/>
        </w:numPr>
        <w:tabs>
          <w:tab w:val="left" w:pos="1134"/>
        </w:tabs>
        <w:spacing w:before="0" w:after="0"/>
        <w:ind w:left="0" w:firstLineChars="0"/>
        <w:jc w:val="both"/>
        <w:rPr>
          <w:rFonts w:ascii="宋体" w:hAnsi="宋体"/>
          <w:sz w:val="24"/>
          <w:szCs w:val="24"/>
          <w:highlight w:val="none"/>
        </w:rPr>
      </w:pPr>
      <w:r>
        <w:rPr>
          <w:rFonts w:ascii="宋体" w:hAnsi="宋体"/>
          <w:sz w:val="24"/>
          <w:szCs w:val="24"/>
          <w:highlight w:val="none"/>
        </w:rPr>
        <w:t>充电桩的门、盖板、覆板和类似部件，应采用保护导体将这些部件和充电桩主体框架连接，此保护导体的截面积不得小于2.5mm</w:t>
      </w:r>
      <w:r>
        <w:rPr>
          <w:rFonts w:ascii="宋体" w:hAnsi="宋体"/>
          <w:sz w:val="24"/>
          <w:szCs w:val="24"/>
          <w:highlight w:val="none"/>
          <w:vertAlign w:val="superscript"/>
        </w:rPr>
        <w:t>2</w:t>
      </w:r>
      <w:r>
        <w:rPr>
          <w:rFonts w:ascii="宋体" w:hAnsi="宋体"/>
          <w:sz w:val="24"/>
          <w:szCs w:val="24"/>
          <w:highlight w:val="none"/>
        </w:rPr>
        <w:t>。</w:t>
      </w:r>
    </w:p>
    <w:p>
      <w:pPr>
        <w:pStyle w:val="12"/>
        <w:widowControl w:val="0"/>
        <w:numPr>
          <w:ilvl w:val="0"/>
          <w:numId w:val="6"/>
        </w:numPr>
        <w:tabs>
          <w:tab w:val="left" w:pos="1134"/>
        </w:tabs>
        <w:spacing w:before="0" w:after="0"/>
        <w:ind w:left="0" w:firstLineChars="0"/>
        <w:jc w:val="both"/>
        <w:rPr>
          <w:rFonts w:ascii="宋体" w:hAnsi="宋体"/>
          <w:sz w:val="24"/>
          <w:szCs w:val="24"/>
          <w:highlight w:val="none"/>
        </w:rPr>
      </w:pPr>
      <w:r>
        <w:rPr>
          <w:rFonts w:ascii="宋体" w:hAnsi="宋体"/>
          <w:sz w:val="24"/>
          <w:szCs w:val="24"/>
          <w:highlight w:val="none"/>
        </w:rPr>
        <w:t>接地母线和柜体之间的所有连接应躲开（或穿透绝缘层）喷漆层，以保证有效的电气连接。</w:t>
      </w:r>
    </w:p>
    <w:p>
      <w:pPr>
        <w:spacing w:line="360" w:lineRule="auto"/>
        <w:rPr>
          <w:rFonts w:ascii="宋体" w:hAnsi="宋体"/>
          <w:b/>
          <w:sz w:val="24"/>
          <w:szCs w:val="24"/>
          <w:highlight w:val="none"/>
        </w:rPr>
      </w:pPr>
      <w:bookmarkStart w:id="31" w:name="_Toc387646178"/>
      <w:bookmarkStart w:id="32" w:name="_Toc411176414"/>
      <w:bookmarkStart w:id="33" w:name="_Toc455497170"/>
      <w:r>
        <w:rPr>
          <w:rFonts w:hint="eastAsia" w:ascii="宋体" w:hAnsi="宋体"/>
          <w:b/>
          <w:sz w:val="24"/>
          <w:szCs w:val="24"/>
          <w:highlight w:val="none"/>
          <w:lang w:val="en-US" w:eastAsia="zh-CN"/>
        </w:rPr>
        <w:t>6</w:t>
      </w:r>
      <w:r>
        <w:rPr>
          <w:rFonts w:hint="eastAsia" w:ascii="宋体" w:hAnsi="宋体"/>
          <w:b/>
          <w:sz w:val="24"/>
          <w:szCs w:val="24"/>
          <w:highlight w:val="none"/>
        </w:rPr>
        <w:t>.7绝缘性能</w:t>
      </w:r>
      <w:bookmarkEnd w:id="31"/>
      <w:bookmarkEnd w:id="32"/>
      <w:bookmarkEnd w:id="33"/>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.7.1绝缘电阻</w:t>
      </w:r>
    </w:p>
    <w:p>
      <w:pPr>
        <w:pStyle w:val="12"/>
        <w:tabs>
          <w:tab w:val="left" w:pos="1134"/>
        </w:tabs>
        <w:spacing w:before="0" w:after="0"/>
        <w:ind w:firstLine="480"/>
        <w:rPr>
          <w:rFonts w:ascii="宋体" w:hAnsi="宋体"/>
          <w:sz w:val="24"/>
          <w:szCs w:val="24"/>
          <w:highlight w:val="none"/>
        </w:rPr>
      </w:pPr>
      <w:r>
        <w:rPr>
          <w:rFonts w:ascii="宋体" w:hAnsi="宋体"/>
          <w:sz w:val="24"/>
          <w:szCs w:val="24"/>
          <w:highlight w:val="none"/>
        </w:rPr>
        <w:t>用开路电压为表3规定电压的测试仪器测量，充电桩非电气连接的各带电回路之间、各独立带电回路与地（金属外壳）之间绝缘电阻</w:t>
      </w:r>
      <w:r>
        <w:rPr>
          <w:rFonts w:hint="eastAsia" w:ascii="宋体" w:hAnsi="宋体"/>
          <w:sz w:val="24"/>
          <w:szCs w:val="24"/>
          <w:highlight w:val="none"/>
        </w:rPr>
        <w:t>不应小于</w:t>
      </w:r>
      <w:r>
        <w:rPr>
          <w:rFonts w:ascii="宋体" w:hAnsi="宋体"/>
          <w:sz w:val="24"/>
          <w:szCs w:val="24"/>
          <w:highlight w:val="none"/>
        </w:rPr>
        <w:t>10MΩ。</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.7.2</w:t>
      </w:r>
      <w:r>
        <w:rPr>
          <w:rFonts w:ascii="宋体" w:hAnsi="宋体"/>
          <w:sz w:val="24"/>
          <w:szCs w:val="24"/>
          <w:highlight w:val="none"/>
        </w:rPr>
        <w:t>工频耐压</w:t>
      </w:r>
    </w:p>
    <w:p>
      <w:pPr>
        <w:pStyle w:val="12"/>
        <w:tabs>
          <w:tab w:val="left" w:pos="1134"/>
        </w:tabs>
        <w:spacing w:before="0" w:after="0"/>
        <w:ind w:firstLine="480"/>
        <w:rPr>
          <w:rFonts w:ascii="宋体" w:hAnsi="宋体"/>
          <w:sz w:val="24"/>
          <w:szCs w:val="24"/>
          <w:highlight w:val="none"/>
        </w:rPr>
      </w:pPr>
      <w:r>
        <w:rPr>
          <w:rFonts w:ascii="宋体" w:hAnsi="宋体"/>
          <w:sz w:val="24"/>
          <w:szCs w:val="24"/>
          <w:highlight w:val="none"/>
        </w:rPr>
        <w:t>充电桩非电气连接的各带电回路之间、各独立带电回路与地（金属外壳）之间，按其工作电压应能承受表3所规定历时1 min的工频耐压试验（也可采用直流电压，试验电压为交流电压有效值的1.4倍）。试验过程中应无绝缘击穿和闪络现象。</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.7.3</w:t>
      </w:r>
      <w:r>
        <w:rPr>
          <w:rFonts w:ascii="宋体" w:hAnsi="宋体"/>
          <w:sz w:val="24"/>
          <w:szCs w:val="24"/>
          <w:highlight w:val="none"/>
        </w:rPr>
        <w:t>冲击电压</w:t>
      </w:r>
    </w:p>
    <w:p>
      <w:pPr>
        <w:pStyle w:val="12"/>
        <w:tabs>
          <w:tab w:val="left" w:pos="1134"/>
        </w:tabs>
        <w:spacing w:before="0" w:after="0"/>
        <w:ind w:firstLine="480"/>
        <w:rPr>
          <w:rFonts w:ascii="宋体" w:hAnsi="宋体"/>
          <w:sz w:val="24"/>
          <w:szCs w:val="24"/>
          <w:highlight w:val="none"/>
        </w:rPr>
      </w:pPr>
      <w:r>
        <w:rPr>
          <w:rFonts w:ascii="宋体" w:hAnsi="宋体"/>
          <w:sz w:val="24"/>
          <w:szCs w:val="24"/>
          <w:highlight w:val="none"/>
        </w:rPr>
        <w:t>充电桩各带电回路、各带电电路对地（金属外壳）之间，按其工作电压应能承受表3所规定标准雷电波的短时冲击电压试验。试验过程中应无击穿放电。</w:t>
      </w:r>
    </w:p>
    <w:p>
      <w:pPr>
        <w:pStyle w:val="12"/>
        <w:tabs>
          <w:tab w:val="left" w:pos="1134"/>
        </w:tabs>
        <w:spacing w:before="0" w:after="0"/>
        <w:ind w:firstLine="480"/>
        <w:jc w:val="center"/>
        <w:rPr>
          <w:rFonts w:ascii="宋体" w:hAnsi="宋体"/>
          <w:sz w:val="24"/>
          <w:szCs w:val="24"/>
          <w:highlight w:val="none"/>
        </w:rPr>
      </w:pPr>
      <w:r>
        <w:rPr>
          <w:rFonts w:hint="eastAsia" w:ascii="宋体" w:hAnsi="宋体"/>
          <w:sz w:val="24"/>
          <w:szCs w:val="24"/>
          <w:highlight w:val="none"/>
        </w:rPr>
        <w:t>表3  绝缘试验的试验等级</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78"/>
        <w:gridCol w:w="3005"/>
        <w:gridCol w:w="2155"/>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1" w:hRule="atLeast"/>
          <w:jc w:val="center"/>
        </w:trPr>
        <w:tc>
          <w:tcPr>
            <w:tcW w:w="1878" w:type="dxa"/>
            <w:vAlign w:val="center"/>
          </w:tcPr>
          <w:p>
            <w:pPr>
              <w:autoSpaceDE w:val="0"/>
              <w:autoSpaceDN w:val="0"/>
              <w:adjustRightInd w:val="0"/>
              <w:spacing w:line="360" w:lineRule="auto"/>
              <w:jc w:val="center"/>
              <w:rPr>
                <w:rFonts w:ascii="宋体" w:hAnsi="宋体"/>
                <w:kern w:val="0"/>
                <w:sz w:val="24"/>
                <w:szCs w:val="24"/>
                <w:highlight w:val="none"/>
              </w:rPr>
            </w:pPr>
            <w:r>
              <w:rPr>
                <w:rFonts w:ascii="宋体" w:hAnsi="宋体"/>
                <w:kern w:val="0"/>
                <w:sz w:val="24"/>
                <w:szCs w:val="24"/>
                <w:highlight w:val="none"/>
              </w:rPr>
              <w:t>额定绝缘电压Ui（V）</w:t>
            </w:r>
          </w:p>
        </w:tc>
        <w:tc>
          <w:tcPr>
            <w:tcW w:w="3005" w:type="dxa"/>
            <w:vAlign w:val="center"/>
          </w:tcPr>
          <w:p>
            <w:pPr>
              <w:autoSpaceDE w:val="0"/>
              <w:autoSpaceDN w:val="0"/>
              <w:adjustRightInd w:val="0"/>
              <w:spacing w:line="360" w:lineRule="auto"/>
              <w:jc w:val="center"/>
              <w:rPr>
                <w:rFonts w:ascii="宋体" w:hAnsi="宋体"/>
                <w:kern w:val="0"/>
                <w:sz w:val="24"/>
                <w:szCs w:val="24"/>
                <w:highlight w:val="none"/>
              </w:rPr>
            </w:pPr>
            <w:r>
              <w:rPr>
                <w:rFonts w:ascii="宋体" w:hAnsi="宋体"/>
                <w:kern w:val="0"/>
                <w:sz w:val="24"/>
                <w:szCs w:val="24"/>
                <w:highlight w:val="none"/>
              </w:rPr>
              <w:t>绝缘电阻测试仪器的电压等级（V）</w:t>
            </w:r>
          </w:p>
        </w:tc>
        <w:tc>
          <w:tcPr>
            <w:tcW w:w="2155" w:type="dxa"/>
            <w:vAlign w:val="center"/>
          </w:tcPr>
          <w:p>
            <w:pPr>
              <w:autoSpaceDE w:val="0"/>
              <w:autoSpaceDN w:val="0"/>
              <w:adjustRightInd w:val="0"/>
              <w:spacing w:line="360" w:lineRule="auto"/>
              <w:jc w:val="center"/>
              <w:rPr>
                <w:rFonts w:ascii="宋体" w:hAnsi="宋体"/>
                <w:kern w:val="0"/>
                <w:sz w:val="24"/>
                <w:szCs w:val="24"/>
                <w:highlight w:val="none"/>
              </w:rPr>
            </w:pPr>
            <w:r>
              <w:rPr>
                <w:rFonts w:ascii="宋体" w:hAnsi="宋体"/>
                <w:kern w:val="0"/>
                <w:sz w:val="24"/>
                <w:szCs w:val="24"/>
                <w:highlight w:val="none"/>
              </w:rPr>
              <w:t>工频耐压试验电压（kV）</w:t>
            </w:r>
          </w:p>
        </w:tc>
        <w:tc>
          <w:tcPr>
            <w:tcW w:w="1978" w:type="dxa"/>
            <w:vAlign w:val="center"/>
          </w:tcPr>
          <w:p>
            <w:pPr>
              <w:autoSpaceDE w:val="0"/>
              <w:autoSpaceDN w:val="0"/>
              <w:adjustRightInd w:val="0"/>
              <w:spacing w:line="360" w:lineRule="auto"/>
              <w:jc w:val="center"/>
              <w:rPr>
                <w:rFonts w:ascii="宋体" w:hAnsi="宋体"/>
                <w:kern w:val="0"/>
                <w:sz w:val="24"/>
                <w:szCs w:val="24"/>
                <w:highlight w:val="none"/>
              </w:rPr>
            </w:pPr>
            <w:r>
              <w:rPr>
                <w:rFonts w:ascii="宋体" w:hAnsi="宋体"/>
                <w:kern w:val="0"/>
                <w:sz w:val="24"/>
                <w:szCs w:val="24"/>
                <w:highlight w:val="none"/>
              </w:rPr>
              <w:t>冲击耐压试验电压（kV）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 w:hRule="atLeast"/>
          <w:jc w:val="center"/>
        </w:trPr>
        <w:tc>
          <w:tcPr>
            <w:tcW w:w="1878" w:type="dxa"/>
            <w:vAlign w:val="center"/>
          </w:tcPr>
          <w:p>
            <w:pPr>
              <w:spacing w:line="360" w:lineRule="auto"/>
              <w:jc w:val="center"/>
              <w:rPr>
                <w:rFonts w:ascii="宋体" w:hAnsi="宋体"/>
                <w:sz w:val="24"/>
                <w:szCs w:val="24"/>
                <w:highlight w:val="none"/>
              </w:rPr>
            </w:pPr>
            <w:r>
              <w:rPr>
                <w:rFonts w:ascii="宋体" w:hAnsi="宋体"/>
                <w:sz w:val="24"/>
                <w:szCs w:val="24"/>
                <w:highlight w:val="none"/>
              </w:rPr>
              <w:t>≤60</w:t>
            </w:r>
          </w:p>
        </w:tc>
        <w:tc>
          <w:tcPr>
            <w:tcW w:w="3005" w:type="dxa"/>
            <w:vAlign w:val="center"/>
          </w:tcPr>
          <w:p>
            <w:pPr>
              <w:spacing w:line="360" w:lineRule="auto"/>
              <w:jc w:val="center"/>
              <w:rPr>
                <w:rFonts w:ascii="宋体" w:hAnsi="宋体"/>
                <w:sz w:val="24"/>
                <w:szCs w:val="24"/>
                <w:highlight w:val="none"/>
              </w:rPr>
            </w:pPr>
            <w:r>
              <w:rPr>
                <w:rFonts w:ascii="宋体" w:hAnsi="宋体"/>
                <w:sz w:val="24"/>
                <w:szCs w:val="24"/>
                <w:highlight w:val="none"/>
              </w:rPr>
              <w:t>250</w:t>
            </w:r>
          </w:p>
        </w:tc>
        <w:tc>
          <w:tcPr>
            <w:tcW w:w="2155" w:type="dxa"/>
            <w:vAlign w:val="center"/>
          </w:tcPr>
          <w:p>
            <w:pPr>
              <w:spacing w:line="360" w:lineRule="auto"/>
              <w:jc w:val="center"/>
              <w:rPr>
                <w:rFonts w:ascii="宋体" w:hAnsi="宋体"/>
                <w:sz w:val="24"/>
                <w:szCs w:val="24"/>
                <w:highlight w:val="none"/>
              </w:rPr>
            </w:pPr>
            <w:r>
              <w:rPr>
                <w:rFonts w:ascii="宋体" w:hAnsi="宋体"/>
                <w:sz w:val="24"/>
                <w:szCs w:val="24"/>
                <w:highlight w:val="none"/>
              </w:rPr>
              <w:t>1.0（1.4）</w:t>
            </w:r>
          </w:p>
        </w:tc>
        <w:tc>
          <w:tcPr>
            <w:tcW w:w="1978" w:type="dxa"/>
            <w:vAlign w:val="center"/>
          </w:tcPr>
          <w:p>
            <w:pPr>
              <w:spacing w:line="360" w:lineRule="auto"/>
              <w:jc w:val="center"/>
              <w:rPr>
                <w:rFonts w:ascii="宋体" w:hAnsi="宋体"/>
                <w:sz w:val="24"/>
                <w:szCs w:val="24"/>
                <w:highlight w:val="none"/>
              </w:rPr>
            </w:pPr>
            <w:r>
              <w:rPr>
                <w:rFonts w:ascii="宋体" w:hAnsi="宋体"/>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 w:hRule="atLeast"/>
          <w:jc w:val="center"/>
        </w:trPr>
        <w:tc>
          <w:tcPr>
            <w:tcW w:w="1878" w:type="dxa"/>
            <w:vAlign w:val="center"/>
          </w:tcPr>
          <w:p>
            <w:pPr>
              <w:spacing w:line="360" w:lineRule="auto"/>
              <w:jc w:val="center"/>
              <w:rPr>
                <w:rFonts w:ascii="宋体" w:hAnsi="宋体"/>
                <w:sz w:val="24"/>
                <w:szCs w:val="24"/>
                <w:highlight w:val="none"/>
              </w:rPr>
            </w:pPr>
            <w:r>
              <w:rPr>
                <w:rFonts w:ascii="宋体" w:hAnsi="宋体"/>
                <w:sz w:val="24"/>
                <w:szCs w:val="24"/>
                <w:highlight w:val="none"/>
              </w:rPr>
              <w:t>60＜Ui≤300</w:t>
            </w:r>
          </w:p>
        </w:tc>
        <w:tc>
          <w:tcPr>
            <w:tcW w:w="3005" w:type="dxa"/>
            <w:vAlign w:val="center"/>
          </w:tcPr>
          <w:p>
            <w:pPr>
              <w:spacing w:line="360" w:lineRule="auto"/>
              <w:jc w:val="center"/>
              <w:rPr>
                <w:rFonts w:ascii="宋体" w:hAnsi="宋体"/>
                <w:sz w:val="24"/>
                <w:szCs w:val="24"/>
                <w:highlight w:val="none"/>
              </w:rPr>
            </w:pPr>
            <w:r>
              <w:rPr>
                <w:rFonts w:ascii="宋体" w:hAnsi="宋体"/>
                <w:sz w:val="24"/>
                <w:szCs w:val="24"/>
                <w:highlight w:val="none"/>
              </w:rPr>
              <w:t>500</w:t>
            </w:r>
          </w:p>
        </w:tc>
        <w:tc>
          <w:tcPr>
            <w:tcW w:w="2155" w:type="dxa"/>
            <w:vAlign w:val="center"/>
          </w:tcPr>
          <w:p>
            <w:pPr>
              <w:spacing w:line="360" w:lineRule="auto"/>
              <w:jc w:val="center"/>
              <w:rPr>
                <w:rFonts w:ascii="宋体" w:hAnsi="宋体"/>
                <w:sz w:val="24"/>
                <w:szCs w:val="24"/>
                <w:highlight w:val="none"/>
              </w:rPr>
            </w:pPr>
            <w:r>
              <w:rPr>
                <w:rFonts w:ascii="宋体" w:hAnsi="宋体"/>
                <w:sz w:val="24"/>
                <w:szCs w:val="24"/>
                <w:highlight w:val="none"/>
              </w:rPr>
              <w:t>2.0（2.8）</w:t>
            </w:r>
          </w:p>
        </w:tc>
        <w:tc>
          <w:tcPr>
            <w:tcW w:w="1978" w:type="dxa"/>
            <w:vAlign w:val="center"/>
          </w:tcPr>
          <w:p>
            <w:pPr>
              <w:spacing w:line="360" w:lineRule="auto"/>
              <w:jc w:val="center"/>
              <w:rPr>
                <w:rFonts w:ascii="宋体" w:hAnsi="宋体"/>
                <w:sz w:val="24"/>
                <w:szCs w:val="24"/>
                <w:highlight w:val="none"/>
              </w:rPr>
            </w:pPr>
            <w:r>
              <w:rPr>
                <w:rFonts w:ascii="宋体" w:hAnsi="宋体"/>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 w:hRule="atLeast"/>
          <w:jc w:val="center"/>
        </w:trPr>
        <w:tc>
          <w:tcPr>
            <w:tcW w:w="1878" w:type="dxa"/>
            <w:vAlign w:val="center"/>
          </w:tcPr>
          <w:p>
            <w:pPr>
              <w:spacing w:line="360" w:lineRule="auto"/>
              <w:jc w:val="center"/>
              <w:rPr>
                <w:rFonts w:ascii="宋体" w:hAnsi="宋体"/>
                <w:sz w:val="24"/>
                <w:szCs w:val="24"/>
                <w:highlight w:val="none"/>
              </w:rPr>
            </w:pPr>
            <w:r>
              <w:rPr>
                <w:rFonts w:ascii="宋体" w:hAnsi="宋体"/>
                <w:sz w:val="24"/>
                <w:szCs w:val="24"/>
                <w:highlight w:val="none"/>
              </w:rPr>
              <w:t>300＜Ui≤700</w:t>
            </w:r>
          </w:p>
        </w:tc>
        <w:tc>
          <w:tcPr>
            <w:tcW w:w="3005" w:type="dxa"/>
            <w:vAlign w:val="center"/>
          </w:tcPr>
          <w:p>
            <w:pPr>
              <w:spacing w:line="360" w:lineRule="auto"/>
              <w:jc w:val="center"/>
              <w:rPr>
                <w:rFonts w:ascii="宋体" w:hAnsi="宋体"/>
                <w:sz w:val="24"/>
                <w:szCs w:val="24"/>
                <w:highlight w:val="none"/>
              </w:rPr>
            </w:pPr>
            <w:r>
              <w:rPr>
                <w:rFonts w:ascii="宋体" w:hAnsi="宋体"/>
                <w:sz w:val="24"/>
                <w:szCs w:val="24"/>
                <w:highlight w:val="none"/>
              </w:rPr>
              <w:t>1000</w:t>
            </w:r>
          </w:p>
        </w:tc>
        <w:tc>
          <w:tcPr>
            <w:tcW w:w="2155" w:type="dxa"/>
            <w:vAlign w:val="center"/>
          </w:tcPr>
          <w:p>
            <w:pPr>
              <w:spacing w:line="360" w:lineRule="auto"/>
              <w:jc w:val="center"/>
              <w:rPr>
                <w:rFonts w:ascii="宋体" w:hAnsi="宋体"/>
                <w:sz w:val="24"/>
                <w:szCs w:val="24"/>
                <w:highlight w:val="none"/>
              </w:rPr>
            </w:pPr>
            <w:r>
              <w:rPr>
                <w:rFonts w:ascii="宋体" w:hAnsi="宋体"/>
                <w:sz w:val="24"/>
                <w:szCs w:val="24"/>
                <w:highlight w:val="none"/>
              </w:rPr>
              <w:t>2.5（3.5）</w:t>
            </w:r>
          </w:p>
        </w:tc>
        <w:tc>
          <w:tcPr>
            <w:tcW w:w="1978" w:type="dxa"/>
            <w:vAlign w:val="center"/>
          </w:tcPr>
          <w:p>
            <w:pPr>
              <w:spacing w:line="360" w:lineRule="auto"/>
              <w:jc w:val="center"/>
              <w:rPr>
                <w:rFonts w:ascii="宋体" w:hAnsi="宋体"/>
                <w:sz w:val="24"/>
                <w:szCs w:val="24"/>
                <w:highlight w:val="none"/>
              </w:rPr>
            </w:pPr>
            <w:r>
              <w:rPr>
                <w:rFonts w:ascii="宋体" w:hAnsi="宋体"/>
                <w:sz w:val="24"/>
                <w:szCs w:val="24"/>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 w:hRule="atLeast"/>
          <w:jc w:val="center"/>
        </w:trPr>
        <w:tc>
          <w:tcPr>
            <w:tcW w:w="9016" w:type="dxa"/>
            <w:gridSpan w:val="4"/>
            <w:vAlign w:val="center"/>
          </w:tcPr>
          <w:p>
            <w:pPr>
              <w:spacing w:line="360" w:lineRule="auto"/>
              <w:rPr>
                <w:rFonts w:ascii="宋体" w:hAnsi="宋体"/>
                <w:sz w:val="24"/>
                <w:szCs w:val="24"/>
                <w:highlight w:val="none"/>
              </w:rPr>
            </w:pPr>
            <w:r>
              <w:rPr>
                <w:rFonts w:ascii="宋体" w:hAnsi="宋体"/>
                <w:sz w:val="24"/>
                <w:szCs w:val="24"/>
                <w:highlight w:val="none"/>
              </w:rPr>
              <w:t>注：括号内数据为直流介质强度试验值。</w:t>
            </w:r>
          </w:p>
        </w:tc>
      </w:tr>
    </w:tbl>
    <w:p>
      <w:pPr>
        <w:spacing w:line="360" w:lineRule="auto"/>
        <w:rPr>
          <w:rFonts w:ascii="宋体" w:hAnsi="宋体"/>
          <w:b/>
          <w:sz w:val="24"/>
          <w:szCs w:val="24"/>
          <w:highlight w:val="none"/>
        </w:rPr>
      </w:pPr>
      <w:bookmarkStart w:id="34" w:name="_Toc387646179"/>
      <w:bookmarkStart w:id="35" w:name="_Toc455497171"/>
      <w:bookmarkStart w:id="36" w:name="_Toc411176415"/>
      <w:r>
        <w:rPr>
          <w:rFonts w:hint="eastAsia" w:ascii="宋体" w:hAnsi="宋体"/>
          <w:b/>
          <w:sz w:val="24"/>
          <w:szCs w:val="24"/>
          <w:highlight w:val="none"/>
          <w:lang w:val="en-US" w:eastAsia="zh-CN"/>
        </w:rPr>
        <w:t>6</w:t>
      </w:r>
      <w:r>
        <w:rPr>
          <w:rFonts w:hint="eastAsia" w:ascii="宋体" w:hAnsi="宋体"/>
          <w:b/>
          <w:sz w:val="24"/>
          <w:szCs w:val="24"/>
          <w:highlight w:val="none"/>
        </w:rPr>
        <w:t>.8安全要求</w:t>
      </w:r>
      <w:bookmarkEnd w:id="34"/>
      <w:bookmarkEnd w:id="35"/>
      <w:bookmarkEnd w:id="36"/>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.8.1充电桩应具备电源输入侧的过压保护和欠压保护。</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.8.2充电桩应具备输出过压保护。</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.8.3充电桩应具备输出过电流和短路保护。</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.8.4充电桩应具备内部过温保护，当内部温度达到保护值时，采取降功率或停止输出。</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.8.5充电桩的绝缘检测功能应与车辆绝缘检测功能相配合。</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.8.6充电过程中当发生下列情况时，充电桩应能在200ms内断开直流输出接触器，且直流输出电压应在1s内下降至60V以下。</w:t>
      </w:r>
    </w:p>
    <w:p>
      <w:pPr>
        <w:pStyle w:val="12"/>
        <w:widowControl w:val="0"/>
        <w:numPr>
          <w:ilvl w:val="0"/>
          <w:numId w:val="7"/>
        </w:numPr>
        <w:tabs>
          <w:tab w:val="left" w:pos="1134"/>
        </w:tabs>
        <w:spacing w:before="0" w:after="0"/>
        <w:ind w:left="0" w:firstLineChars="0"/>
        <w:jc w:val="both"/>
        <w:rPr>
          <w:rFonts w:ascii="宋体" w:hAnsi="宋体"/>
          <w:sz w:val="24"/>
          <w:szCs w:val="24"/>
          <w:highlight w:val="none"/>
        </w:rPr>
      </w:pPr>
      <w:r>
        <w:rPr>
          <w:rFonts w:hint="eastAsia" w:ascii="宋体" w:hAnsi="宋体"/>
          <w:sz w:val="24"/>
          <w:szCs w:val="24"/>
          <w:highlight w:val="none"/>
        </w:rPr>
        <w:t>启动急停开关；</w:t>
      </w:r>
    </w:p>
    <w:p>
      <w:pPr>
        <w:pStyle w:val="12"/>
        <w:widowControl w:val="0"/>
        <w:numPr>
          <w:ilvl w:val="0"/>
          <w:numId w:val="7"/>
        </w:numPr>
        <w:tabs>
          <w:tab w:val="left" w:pos="1134"/>
        </w:tabs>
        <w:spacing w:before="0" w:after="0"/>
        <w:ind w:left="0" w:firstLineChars="0"/>
        <w:jc w:val="both"/>
        <w:rPr>
          <w:rFonts w:ascii="宋体" w:hAnsi="宋体"/>
          <w:sz w:val="24"/>
          <w:szCs w:val="24"/>
          <w:highlight w:val="none"/>
        </w:rPr>
      </w:pPr>
      <w:r>
        <w:rPr>
          <w:rFonts w:hint="eastAsia" w:ascii="宋体" w:hAnsi="宋体"/>
          <w:sz w:val="24"/>
          <w:szCs w:val="24"/>
          <w:highlight w:val="none"/>
        </w:rPr>
        <w:t>与电池管理系统通信故障；</w:t>
      </w:r>
    </w:p>
    <w:p>
      <w:pPr>
        <w:pStyle w:val="12"/>
        <w:widowControl w:val="0"/>
        <w:numPr>
          <w:ilvl w:val="0"/>
          <w:numId w:val="7"/>
        </w:numPr>
        <w:tabs>
          <w:tab w:val="left" w:pos="1134"/>
        </w:tabs>
        <w:spacing w:before="0" w:after="0"/>
        <w:ind w:left="0" w:firstLineChars="0"/>
        <w:jc w:val="both"/>
        <w:rPr>
          <w:rFonts w:ascii="宋体" w:hAnsi="宋体"/>
          <w:sz w:val="24"/>
          <w:szCs w:val="24"/>
          <w:highlight w:val="none"/>
        </w:rPr>
      </w:pPr>
      <w:r>
        <w:rPr>
          <w:rFonts w:hint="eastAsia" w:ascii="宋体" w:hAnsi="宋体"/>
          <w:sz w:val="24"/>
          <w:szCs w:val="24"/>
          <w:highlight w:val="none"/>
        </w:rPr>
        <w:t>控制导引故障。</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.8.7充电桩在启动充电时应人工确认启动。</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.8.8充电桩应具备软启动功能，软启动时间为3s～8s。</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.8.9充电桩应具备限制冲击电流功能，冲击电流不应超过额定输入电流的110%。</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.8.10充电桩应具备电池反接保护功能。</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.8.11充电桩在自动充电前，应具有电池电压检测功能。</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.8.12在充电过程中，充电桩应具有明显的状态指示和文字提示，防止人员误操作。</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.8.13充电桩在充电过程中应具有防止充电连接器意外脱落的锁止装置，锁止装置可通过专用方式（如机械或电子方式）才能打开。</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.8.14充电桩应具备防止电池电流倒灌功能。</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8.15充电桩应具备预充电功能。当充电桩检测到电动汽车直流接触器闭合后，充电桩应检测电池端电压；充电桩检测到电池端电压后需进行预充，将功率模块输出电压升到与电池端电压测量值之差小于10V后，方可闭合充电桩输出接触器。</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.8.16充电桩在每个充电周期内进行接触器触点烧结检测。当检测到接触器触点出现粘连的情况后，充电桩不得继续工作。</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.8.17充电桩必须保证充电桩输出接触器闭合发生在车辆直流充电接触器闭合之后，其时间间隔不得低于500ms。</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.8.18充电桩在充电停止状态下，应保证直流输出回路处于断开状态。</w:t>
      </w:r>
    </w:p>
    <w:p>
      <w:pPr>
        <w:spacing w:line="360" w:lineRule="auto"/>
        <w:rPr>
          <w:rFonts w:ascii="宋体" w:hAnsi="宋体"/>
          <w:b/>
          <w:sz w:val="24"/>
          <w:szCs w:val="24"/>
          <w:highlight w:val="none"/>
        </w:rPr>
      </w:pPr>
      <w:bookmarkStart w:id="37" w:name="_Toc411176416"/>
      <w:bookmarkStart w:id="38" w:name="_Toc387646180"/>
      <w:bookmarkStart w:id="39" w:name="_Toc455497172"/>
      <w:r>
        <w:rPr>
          <w:rFonts w:hint="eastAsia" w:ascii="宋体" w:hAnsi="宋体"/>
          <w:sz w:val="24"/>
          <w:szCs w:val="24"/>
          <w:highlight w:val="none"/>
          <w:lang w:val="en-US" w:eastAsia="zh-CN"/>
        </w:rPr>
        <w:t>6</w:t>
      </w:r>
      <w:r>
        <w:rPr>
          <w:rFonts w:hint="eastAsia" w:ascii="宋体" w:hAnsi="宋体"/>
          <w:b/>
          <w:sz w:val="24"/>
          <w:szCs w:val="24"/>
          <w:highlight w:val="none"/>
        </w:rPr>
        <w:t>.9充电输出要求</w:t>
      </w:r>
      <w:bookmarkEnd w:id="37"/>
      <w:bookmarkEnd w:id="38"/>
      <w:bookmarkEnd w:id="39"/>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.9.1输出电压误差</w:t>
      </w:r>
    </w:p>
    <w:p>
      <w:pPr>
        <w:spacing w:line="360" w:lineRule="auto"/>
        <w:rPr>
          <w:rFonts w:hint="eastAsia" w:ascii="宋体" w:hAnsi="宋体"/>
          <w:sz w:val="24"/>
          <w:szCs w:val="24"/>
          <w:highlight w:val="none"/>
          <w:lang w:val="en-US" w:eastAsia="zh-CN"/>
        </w:rPr>
      </w:pPr>
      <w:r>
        <w:rPr>
          <w:rFonts w:hint="eastAsia" w:ascii="宋体" w:hAnsi="宋体"/>
          <w:sz w:val="24"/>
          <w:szCs w:val="24"/>
          <w:highlight w:val="none"/>
          <w:lang w:val="en-US" w:eastAsia="zh-CN"/>
        </w:rPr>
        <w:t>在恒压状态下，直流输出电压设定在20%～100%的相应调节范围内，充电桩的输出电压误差不应超过±0.5％。</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.9.2输出电流误差</w:t>
      </w:r>
    </w:p>
    <w:p>
      <w:pPr>
        <w:spacing w:line="360" w:lineRule="auto"/>
        <w:rPr>
          <w:rFonts w:ascii="宋体" w:hAnsi="宋体"/>
          <w:sz w:val="24"/>
          <w:szCs w:val="24"/>
          <w:highlight w:val="none"/>
        </w:rPr>
      </w:pPr>
      <w:r>
        <w:rPr>
          <w:rFonts w:hint="eastAsia" w:ascii="宋体" w:hAnsi="宋体"/>
          <w:sz w:val="24"/>
          <w:szCs w:val="24"/>
          <w:highlight w:val="none"/>
        </w:rPr>
        <w:t>在恒流状态下，输出直流电流设定额定值的20%～100%范围内，在设定的直流输出电流≥30A时，充电桩的输出电流误差不应超过±1%；在设定的输出电流&lt;30A时，充电桩的输出电流误差不应超过±0.3A。</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.9.3稳压精度</w:t>
      </w:r>
    </w:p>
    <w:p>
      <w:pPr>
        <w:spacing w:line="360" w:lineRule="auto"/>
        <w:rPr>
          <w:rFonts w:hint="eastAsia" w:ascii="宋体" w:hAnsi="宋体"/>
          <w:sz w:val="24"/>
          <w:szCs w:val="24"/>
          <w:highlight w:val="none"/>
          <w:lang w:val="en-US" w:eastAsia="zh-CN"/>
        </w:rPr>
      </w:pPr>
      <w:r>
        <w:rPr>
          <w:rFonts w:hint="eastAsia" w:ascii="宋体" w:hAnsi="宋体"/>
          <w:sz w:val="24"/>
          <w:szCs w:val="24"/>
          <w:highlight w:val="none"/>
          <w:lang w:val="en-US" w:eastAsia="zh-CN"/>
        </w:rPr>
        <w:t>当交流电源电压在额定值的±15%范围内变化，直流输出电流在20%～100%范围内变化时，输出直流电压在20%～100%的相应调节范围内任一数值上，充电桩的输出电压稳压精度不应超过±0.5%。</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.9.4稳流精度</w:t>
      </w:r>
    </w:p>
    <w:p>
      <w:pPr>
        <w:spacing w:line="380" w:lineRule="exact"/>
        <w:rPr>
          <w:rFonts w:hint="eastAsia" w:ascii="宋体" w:hAnsi="宋体" w:eastAsia="宋体" w:cs="宋体"/>
          <w:sz w:val="24"/>
          <w:highlight w:val="none"/>
        </w:rPr>
      </w:pPr>
      <w:r>
        <w:rPr>
          <w:rFonts w:hint="eastAsia" w:ascii="宋体" w:hAnsi="宋体" w:eastAsia="宋体" w:cs="宋体"/>
          <w:sz w:val="24"/>
          <w:highlight w:val="none"/>
        </w:rPr>
        <w:t>当交流电源电压在额定值的±15%范围内变化，直流输出电压在20%～100%范围内变化时，直流输出电流在20%～100%范围内任一数值上，充电桩的输出电流稳流精度不应超过±1%。</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.9.5纹波系数</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当交流电源电压在额定值的±15%范围内变化，直流输出电流20%～100%范围内变化时，直流输出电压在20%～100%调节范围任一数值上，充电桩的输出纹波有效值系数不应超过±0.5%，纹波峰值系数不应超过±1%。</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.9.6限压、限流特性</w:t>
      </w:r>
    </w:p>
    <w:p>
      <w:pPr>
        <w:pStyle w:val="12"/>
        <w:widowControl w:val="0"/>
        <w:numPr>
          <w:ilvl w:val="0"/>
          <w:numId w:val="8"/>
        </w:numPr>
        <w:tabs>
          <w:tab w:val="left" w:pos="1134"/>
        </w:tabs>
        <w:spacing w:before="0" w:after="0"/>
        <w:ind w:left="0" w:hanging="399" w:firstLineChars="0"/>
        <w:jc w:val="both"/>
        <w:rPr>
          <w:rFonts w:ascii="宋体" w:hAnsi="宋体"/>
          <w:sz w:val="24"/>
          <w:szCs w:val="24"/>
          <w:highlight w:val="none"/>
        </w:rPr>
      </w:pPr>
      <w:r>
        <w:rPr>
          <w:rFonts w:hint="eastAsia" w:ascii="宋体" w:hAnsi="宋体"/>
          <w:sz w:val="24"/>
          <w:szCs w:val="24"/>
          <w:highlight w:val="none"/>
        </w:rPr>
        <w:t>充电桩在恒流状态下运行时，当直流输出电压超过限压整定值时，应能立即进入恒压充电状态，自动限制其输出电压的增加。</w:t>
      </w:r>
    </w:p>
    <w:p>
      <w:pPr>
        <w:pStyle w:val="12"/>
        <w:widowControl w:val="0"/>
        <w:numPr>
          <w:ilvl w:val="0"/>
          <w:numId w:val="8"/>
        </w:numPr>
        <w:tabs>
          <w:tab w:val="left" w:pos="1134"/>
        </w:tabs>
        <w:spacing w:before="0" w:after="0"/>
        <w:ind w:left="0" w:hanging="399" w:firstLineChars="0"/>
        <w:jc w:val="both"/>
        <w:rPr>
          <w:rFonts w:ascii="宋体" w:hAnsi="宋体"/>
          <w:sz w:val="24"/>
          <w:szCs w:val="24"/>
          <w:highlight w:val="none"/>
        </w:rPr>
      </w:pPr>
      <w:r>
        <w:rPr>
          <w:rFonts w:ascii="宋体" w:hAnsi="宋体"/>
          <w:sz w:val="24"/>
          <w:szCs w:val="24"/>
          <w:highlight w:val="none"/>
        </w:rPr>
        <w:t>充电桩在恒压状态下运行时，当直流输出电流超过限流整定值时，应能立即进入限流充电状态，自动限制其输出电流的增加。</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.9.7输出响应要求</w:t>
      </w:r>
    </w:p>
    <w:p>
      <w:pPr>
        <w:pStyle w:val="12"/>
        <w:spacing w:before="0" w:after="0"/>
        <w:ind w:firstLine="480"/>
        <w:rPr>
          <w:rFonts w:ascii="宋体" w:hAnsi="宋体"/>
          <w:sz w:val="24"/>
          <w:szCs w:val="24"/>
          <w:highlight w:val="none"/>
        </w:rPr>
      </w:pPr>
      <w:r>
        <w:rPr>
          <w:rFonts w:hint="eastAsia" w:ascii="宋体" w:hAnsi="宋体"/>
          <w:sz w:val="24"/>
          <w:szCs w:val="24"/>
          <w:highlight w:val="none"/>
        </w:rPr>
        <w:t>在充电阶段，车辆向充电桩实时发送电池充电需求参数，充电桩应最长在1s以内将充电电压和充电电流调整到与车辆</w:t>
      </w:r>
      <w:r>
        <w:rPr>
          <w:rFonts w:ascii="宋体" w:hAnsi="宋体"/>
          <w:sz w:val="24"/>
          <w:szCs w:val="24"/>
          <w:highlight w:val="none"/>
        </w:rPr>
        <w:t>发送</w:t>
      </w:r>
      <w:r>
        <w:rPr>
          <w:rFonts w:hint="eastAsia" w:ascii="宋体" w:hAnsi="宋体"/>
          <w:sz w:val="24"/>
          <w:szCs w:val="24"/>
          <w:highlight w:val="none"/>
        </w:rPr>
        <w:t>的</w:t>
      </w:r>
      <w:r>
        <w:rPr>
          <w:rFonts w:ascii="宋体" w:hAnsi="宋体"/>
          <w:sz w:val="24"/>
          <w:szCs w:val="24"/>
          <w:highlight w:val="none"/>
        </w:rPr>
        <w:t>电池充电需求</w:t>
      </w:r>
      <w:r>
        <w:rPr>
          <w:rFonts w:hint="eastAsia" w:ascii="宋体" w:hAnsi="宋体"/>
          <w:sz w:val="24"/>
          <w:szCs w:val="24"/>
          <w:highlight w:val="none"/>
        </w:rPr>
        <w:t>命令值相一致，充电桩根据电池充电需求参数实时调整充电电压和充电电流。</w:t>
      </w:r>
    </w:p>
    <w:p>
      <w:pPr>
        <w:spacing w:line="360" w:lineRule="auto"/>
        <w:rPr>
          <w:rFonts w:ascii="宋体" w:hAnsi="宋体"/>
          <w:b/>
          <w:sz w:val="24"/>
          <w:szCs w:val="24"/>
          <w:highlight w:val="none"/>
        </w:rPr>
      </w:pPr>
      <w:bookmarkStart w:id="40" w:name="_Toc455497173"/>
      <w:bookmarkStart w:id="41" w:name="_Toc387646181"/>
      <w:bookmarkStart w:id="42" w:name="_Toc411176417"/>
      <w:r>
        <w:rPr>
          <w:rFonts w:hint="eastAsia" w:ascii="宋体" w:hAnsi="宋体"/>
          <w:b/>
          <w:bCs/>
          <w:sz w:val="24"/>
          <w:szCs w:val="24"/>
          <w:highlight w:val="none"/>
          <w:lang w:val="en-US" w:eastAsia="zh-CN"/>
        </w:rPr>
        <w:t>6</w:t>
      </w:r>
      <w:r>
        <w:rPr>
          <w:rFonts w:hint="eastAsia" w:ascii="宋体" w:hAnsi="宋体"/>
          <w:b/>
          <w:sz w:val="24"/>
          <w:szCs w:val="24"/>
          <w:highlight w:val="none"/>
        </w:rPr>
        <w:t>.10均流不平衡度</w:t>
      </w:r>
      <w:bookmarkEnd w:id="40"/>
      <w:bookmarkEnd w:id="41"/>
      <w:bookmarkEnd w:id="42"/>
    </w:p>
    <w:p>
      <w:pPr>
        <w:pStyle w:val="12"/>
        <w:tabs>
          <w:tab w:val="left" w:pos="1134"/>
        </w:tabs>
        <w:spacing w:before="0" w:after="0"/>
        <w:ind w:firstLine="480"/>
        <w:rPr>
          <w:rFonts w:ascii="宋体" w:hAnsi="宋体"/>
          <w:sz w:val="24"/>
          <w:szCs w:val="24"/>
          <w:highlight w:val="none"/>
        </w:rPr>
      </w:pPr>
      <w:r>
        <w:rPr>
          <w:rFonts w:hint="eastAsia" w:ascii="宋体" w:hAnsi="宋体"/>
          <w:sz w:val="24"/>
          <w:szCs w:val="24"/>
          <w:highlight w:val="none"/>
        </w:rPr>
        <w:t>当充电桩采用多个高频开关整流模块并机工作时，各模块应能按比例均分负载，当各模块平均输出电流为50％～100％的额定电流值时，其均流不平衡度不应超过±5％。</w:t>
      </w:r>
    </w:p>
    <w:p>
      <w:pPr>
        <w:spacing w:line="360" w:lineRule="auto"/>
        <w:rPr>
          <w:rFonts w:ascii="宋体" w:hAnsi="宋体"/>
          <w:b/>
          <w:sz w:val="24"/>
          <w:szCs w:val="24"/>
          <w:highlight w:val="none"/>
        </w:rPr>
      </w:pPr>
      <w:bookmarkStart w:id="43" w:name="_Toc455497174"/>
      <w:bookmarkStart w:id="44" w:name="_Toc411176418"/>
      <w:bookmarkStart w:id="45" w:name="_Toc387646182"/>
      <w:r>
        <w:rPr>
          <w:rFonts w:hint="eastAsia" w:ascii="宋体" w:hAnsi="宋体"/>
          <w:b/>
          <w:bCs/>
          <w:sz w:val="24"/>
          <w:szCs w:val="24"/>
          <w:highlight w:val="none"/>
          <w:lang w:val="en-US" w:eastAsia="zh-CN"/>
        </w:rPr>
        <w:t>6</w:t>
      </w:r>
      <w:r>
        <w:rPr>
          <w:rFonts w:hint="eastAsia" w:ascii="宋体" w:hAnsi="宋体"/>
          <w:b/>
          <w:sz w:val="24"/>
          <w:szCs w:val="24"/>
          <w:highlight w:val="none"/>
        </w:rPr>
        <w:t>.11待机功耗</w:t>
      </w:r>
      <w:bookmarkEnd w:id="43"/>
      <w:bookmarkEnd w:id="44"/>
      <w:bookmarkEnd w:id="45"/>
    </w:p>
    <w:p>
      <w:pPr>
        <w:pStyle w:val="12"/>
        <w:spacing w:before="0" w:after="0"/>
        <w:ind w:firstLine="480"/>
        <w:rPr>
          <w:rFonts w:ascii="宋体" w:hAnsi="宋体"/>
          <w:sz w:val="24"/>
          <w:szCs w:val="24"/>
          <w:highlight w:val="none"/>
        </w:rPr>
      </w:pPr>
      <w:r>
        <w:rPr>
          <w:rFonts w:ascii="宋体" w:hAnsi="宋体"/>
          <w:sz w:val="24"/>
          <w:szCs w:val="24"/>
          <w:highlight w:val="none"/>
        </w:rPr>
        <w:t>在额定输入电压下，当充电桩处于待机状态时，其整机功耗不应大于额定输出功率的0.</w:t>
      </w:r>
      <w:r>
        <w:rPr>
          <w:rFonts w:hint="eastAsia" w:ascii="宋体" w:hAnsi="宋体"/>
          <w:sz w:val="24"/>
          <w:szCs w:val="24"/>
          <w:highlight w:val="none"/>
        </w:rPr>
        <w:t>15</w:t>
      </w:r>
      <w:r>
        <w:rPr>
          <w:rFonts w:ascii="宋体" w:hAnsi="宋体"/>
          <w:sz w:val="24"/>
          <w:szCs w:val="24"/>
          <w:highlight w:val="none"/>
        </w:rPr>
        <w:t>％。</w:t>
      </w:r>
    </w:p>
    <w:p>
      <w:pPr>
        <w:spacing w:line="360" w:lineRule="auto"/>
        <w:rPr>
          <w:rFonts w:ascii="宋体" w:hAnsi="宋体"/>
          <w:b/>
          <w:sz w:val="24"/>
          <w:szCs w:val="24"/>
          <w:highlight w:val="none"/>
        </w:rPr>
      </w:pPr>
      <w:bookmarkStart w:id="46" w:name="_Toc387646184"/>
      <w:bookmarkStart w:id="47" w:name="_Toc411176420"/>
      <w:r>
        <w:rPr>
          <w:rFonts w:hint="eastAsia" w:ascii="宋体" w:hAnsi="宋体"/>
          <w:b/>
          <w:sz w:val="24"/>
          <w:szCs w:val="24"/>
          <w:highlight w:val="none"/>
          <w:lang w:val="en-US" w:eastAsia="zh-CN"/>
        </w:rPr>
        <w:t>6</w:t>
      </w:r>
      <w:r>
        <w:rPr>
          <w:rFonts w:hint="eastAsia" w:ascii="宋体" w:hAnsi="宋体"/>
          <w:b/>
          <w:sz w:val="24"/>
          <w:szCs w:val="24"/>
          <w:highlight w:val="none"/>
        </w:rPr>
        <w:t>.13噪声</w:t>
      </w:r>
      <w:bookmarkEnd w:id="46"/>
      <w:bookmarkEnd w:id="47"/>
    </w:p>
    <w:p>
      <w:pPr>
        <w:pStyle w:val="12"/>
        <w:spacing w:before="0" w:after="0"/>
        <w:ind w:firstLine="480"/>
        <w:rPr>
          <w:rFonts w:ascii="宋体" w:hAnsi="宋体"/>
          <w:sz w:val="24"/>
          <w:szCs w:val="24"/>
          <w:highlight w:val="none"/>
        </w:rPr>
      </w:pPr>
      <w:r>
        <w:rPr>
          <w:rFonts w:hint="eastAsia" w:ascii="宋体" w:hAnsi="宋体"/>
          <w:sz w:val="24"/>
          <w:szCs w:val="24"/>
          <w:highlight w:val="none"/>
        </w:rPr>
        <w:t>充电桩的噪声最大值应不大于</w:t>
      </w:r>
      <w:r>
        <w:rPr>
          <w:rFonts w:ascii="宋体" w:hAnsi="宋体"/>
          <w:sz w:val="24"/>
          <w:szCs w:val="24"/>
          <w:highlight w:val="none"/>
        </w:rPr>
        <w:t>80</w:t>
      </w:r>
      <w:r>
        <w:rPr>
          <w:rFonts w:hint="eastAsia" w:ascii="宋体" w:hAnsi="宋体"/>
          <w:sz w:val="24"/>
          <w:szCs w:val="24"/>
          <w:highlight w:val="none"/>
        </w:rPr>
        <w:t>dB（</w:t>
      </w:r>
      <w:r>
        <w:rPr>
          <w:rFonts w:ascii="宋体" w:hAnsi="宋体"/>
          <w:sz w:val="24"/>
          <w:szCs w:val="24"/>
          <w:highlight w:val="none"/>
        </w:rPr>
        <w:t>II</w:t>
      </w:r>
      <w:r>
        <w:rPr>
          <w:rFonts w:hint="eastAsia" w:ascii="宋体" w:hAnsi="宋体"/>
          <w:sz w:val="24"/>
          <w:szCs w:val="24"/>
          <w:highlight w:val="none"/>
        </w:rPr>
        <w:t>级）。</w:t>
      </w:r>
    </w:p>
    <w:p>
      <w:pPr>
        <w:spacing w:line="360" w:lineRule="auto"/>
        <w:rPr>
          <w:rFonts w:ascii="宋体" w:hAnsi="宋体"/>
          <w:b/>
          <w:sz w:val="24"/>
          <w:szCs w:val="24"/>
          <w:highlight w:val="none"/>
        </w:rPr>
      </w:pPr>
      <w:bookmarkStart w:id="48" w:name="_Toc411176421"/>
      <w:bookmarkStart w:id="49" w:name="_Toc387646185"/>
      <w:r>
        <w:rPr>
          <w:rFonts w:hint="eastAsia" w:ascii="宋体" w:hAnsi="宋体"/>
          <w:b/>
          <w:sz w:val="24"/>
          <w:szCs w:val="24"/>
          <w:highlight w:val="none"/>
          <w:lang w:val="en-US" w:eastAsia="zh-CN"/>
        </w:rPr>
        <w:t>6</w:t>
      </w:r>
      <w:r>
        <w:rPr>
          <w:rFonts w:hint="eastAsia" w:ascii="宋体" w:hAnsi="宋体"/>
          <w:b/>
          <w:sz w:val="24"/>
          <w:szCs w:val="24"/>
          <w:highlight w:val="none"/>
        </w:rPr>
        <w:t>.14温升</w:t>
      </w:r>
      <w:bookmarkEnd w:id="48"/>
      <w:bookmarkEnd w:id="49"/>
    </w:p>
    <w:p>
      <w:pPr>
        <w:pStyle w:val="128"/>
        <w:spacing w:line="360" w:lineRule="auto"/>
        <w:ind w:firstLine="480"/>
        <w:rPr>
          <w:rFonts w:hAnsi="宋体"/>
          <w:sz w:val="24"/>
          <w:szCs w:val="24"/>
          <w:highlight w:val="none"/>
        </w:rPr>
      </w:pPr>
      <w:r>
        <w:rPr>
          <w:rFonts w:hAnsi="宋体"/>
          <w:sz w:val="24"/>
          <w:szCs w:val="24"/>
          <w:highlight w:val="none"/>
        </w:rPr>
        <w:t>正常试验条件下，交流输入为额定值，在额定负载下长期连续运行，充电桩内部各发热元器件及各部位的温升不应超过表6中的规定。</w:t>
      </w:r>
    </w:p>
    <w:p>
      <w:pPr>
        <w:pStyle w:val="129"/>
        <w:spacing w:before="0" w:beforeLines="0" w:after="0" w:afterLines="0" w:line="360" w:lineRule="auto"/>
        <w:ind w:left="0" w:firstLine="0"/>
        <w:rPr>
          <w:rFonts w:ascii="宋体" w:hAnsi="宋体" w:eastAsia="宋体"/>
          <w:sz w:val="24"/>
          <w:szCs w:val="24"/>
          <w:highlight w:val="none"/>
        </w:rPr>
      </w:pPr>
      <w:r>
        <w:rPr>
          <w:rFonts w:hint="eastAsia" w:ascii="宋体" w:hAnsi="宋体" w:eastAsia="宋体"/>
          <w:sz w:val="24"/>
          <w:szCs w:val="24"/>
          <w:highlight w:val="none"/>
        </w:rPr>
        <w:t>表6  充电桩各部件极限温升</w:t>
      </w:r>
    </w:p>
    <w:tbl>
      <w:tblPr>
        <w:tblStyle w:val="31"/>
        <w:tblW w:w="0" w:type="auto"/>
        <w:jc w:val="center"/>
        <w:tblLayout w:type="fixed"/>
        <w:tblCellMar>
          <w:top w:w="0" w:type="dxa"/>
          <w:left w:w="108" w:type="dxa"/>
          <w:bottom w:w="0" w:type="dxa"/>
          <w:right w:w="108" w:type="dxa"/>
        </w:tblCellMar>
      </w:tblPr>
      <w:tblGrid>
        <w:gridCol w:w="5303"/>
        <w:gridCol w:w="3815"/>
      </w:tblGrid>
      <w:tr>
        <w:tblPrEx>
          <w:tblCellMar>
            <w:top w:w="0" w:type="dxa"/>
            <w:left w:w="108" w:type="dxa"/>
            <w:bottom w:w="0" w:type="dxa"/>
            <w:right w:w="108" w:type="dxa"/>
          </w:tblCellMar>
        </w:tblPrEx>
        <w:trPr>
          <w:trHeight w:val="124" w:hRule="atLeast"/>
          <w:jc w:val="center"/>
        </w:trPr>
        <w:tc>
          <w:tcPr>
            <w:tcW w:w="53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line="360" w:lineRule="auto"/>
              <w:jc w:val="center"/>
              <w:rPr>
                <w:rFonts w:ascii="宋体" w:hAnsi="宋体"/>
                <w:kern w:val="0"/>
                <w:sz w:val="24"/>
                <w:szCs w:val="24"/>
                <w:highlight w:val="none"/>
              </w:rPr>
            </w:pPr>
            <w:r>
              <w:rPr>
                <w:rFonts w:ascii="宋体" w:hAnsi="宋体"/>
                <w:kern w:val="0"/>
                <w:sz w:val="24"/>
                <w:szCs w:val="24"/>
                <w:highlight w:val="none"/>
              </w:rPr>
              <w:t>部 件 或 器 件</w:t>
            </w:r>
          </w:p>
        </w:tc>
        <w:tc>
          <w:tcPr>
            <w:tcW w:w="381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line="360" w:lineRule="auto"/>
              <w:jc w:val="center"/>
              <w:rPr>
                <w:rFonts w:ascii="宋体" w:hAnsi="宋体"/>
                <w:kern w:val="0"/>
                <w:sz w:val="24"/>
                <w:szCs w:val="24"/>
                <w:highlight w:val="none"/>
              </w:rPr>
            </w:pPr>
            <w:r>
              <w:rPr>
                <w:rFonts w:ascii="宋体" w:hAnsi="宋体"/>
                <w:kern w:val="0"/>
                <w:sz w:val="24"/>
                <w:szCs w:val="24"/>
                <w:highlight w:val="none"/>
              </w:rPr>
              <w:t>极 限 温 升（K）</w:t>
            </w:r>
          </w:p>
        </w:tc>
      </w:tr>
      <w:tr>
        <w:tblPrEx>
          <w:tblCellMar>
            <w:top w:w="0" w:type="dxa"/>
            <w:left w:w="108" w:type="dxa"/>
            <w:bottom w:w="0" w:type="dxa"/>
            <w:right w:w="108" w:type="dxa"/>
          </w:tblCellMar>
        </w:tblPrEx>
        <w:trPr>
          <w:trHeight w:val="186" w:hRule="atLeast"/>
          <w:jc w:val="center"/>
        </w:trPr>
        <w:tc>
          <w:tcPr>
            <w:tcW w:w="53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line="360" w:lineRule="auto"/>
              <w:jc w:val="center"/>
              <w:rPr>
                <w:rFonts w:ascii="宋体" w:hAnsi="宋体"/>
                <w:kern w:val="0"/>
                <w:sz w:val="24"/>
                <w:szCs w:val="24"/>
                <w:highlight w:val="none"/>
              </w:rPr>
            </w:pPr>
            <w:r>
              <w:rPr>
                <w:rFonts w:ascii="宋体" w:hAnsi="宋体"/>
                <w:kern w:val="0"/>
                <w:sz w:val="24"/>
                <w:szCs w:val="24"/>
                <w:highlight w:val="none"/>
              </w:rPr>
              <w:t>功率开关器件</w:t>
            </w:r>
          </w:p>
        </w:tc>
        <w:tc>
          <w:tcPr>
            <w:tcW w:w="381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line="360" w:lineRule="auto"/>
              <w:jc w:val="center"/>
              <w:rPr>
                <w:rFonts w:ascii="宋体" w:hAnsi="宋体"/>
                <w:kern w:val="0"/>
                <w:sz w:val="24"/>
                <w:szCs w:val="24"/>
                <w:highlight w:val="none"/>
              </w:rPr>
            </w:pPr>
            <w:r>
              <w:rPr>
                <w:rFonts w:ascii="宋体" w:hAnsi="宋体"/>
                <w:kern w:val="0"/>
                <w:sz w:val="24"/>
                <w:szCs w:val="24"/>
                <w:highlight w:val="none"/>
              </w:rPr>
              <w:t>70</w:t>
            </w:r>
          </w:p>
        </w:tc>
      </w:tr>
      <w:tr>
        <w:tblPrEx>
          <w:tblCellMar>
            <w:top w:w="0" w:type="dxa"/>
            <w:left w:w="108" w:type="dxa"/>
            <w:bottom w:w="0" w:type="dxa"/>
            <w:right w:w="108" w:type="dxa"/>
          </w:tblCellMar>
        </w:tblPrEx>
        <w:trPr>
          <w:trHeight w:val="211" w:hRule="atLeast"/>
          <w:jc w:val="center"/>
        </w:trPr>
        <w:tc>
          <w:tcPr>
            <w:tcW w:w="53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line="360" w:lineRule="auto"/>
              <w:jc w:val="center"/>
              <w:rPr>
                <w:rFonts w:ascii="宋体" w:hAnsi="宋体"/>
                <w:kern w:val="0"/>
                <w:sz w:val="24"/>
                <w:szCs w:val="24"/>
                <w:highlight w:val="none"/>
              </w:rPr>
            </w:pPr>
            <w:r>
              <w:rPr>
                <w:rFonts w:ascii="宋体" w:hAnsi="宋体"/>
                <w:kern w:val="0"/>
                <w:sz w:val="24"/>
                <w:szCs w:val="24"/>
                <w:highlight w:val="none"/>
              </w:rPr>
              <w:t>整流变压器、电抗器（B级绝缘绕组）</w:t>
            </w:r>
          </w:p>
        </w:tc>
        <w:tc>
          <w:tcPr>
            <w:tcW w:w="381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line="360" w:lineRule="auto"/>
              <w:jc w:val="center"/>
              <w:rPr>
                <w:rFonts w:ascii="宋体" w:hAnsi="宋体"/>
                <w:kern w:val="0"/>
                <w:sz w:val="24"/>
                <w:szCs w:val="24"/>
                <w:highlight w:val="none"/>
              </w:rPr>
            </w:pPr>
            <w:r>
              <w:rPr>
                <w:rFonts w:ascii="宋体" w:hAnsi="宋体"/>
                <w:kern w:val="0"/>
                <w:sz w:val="24"/>
                <w:szCs w:val="24"/>
                <w:highlight w:val="none"/>
              </w:rPr>
              <w:t>80</w:t>
            </w:r>
          </w:p>
        </w:tc>
      </w:tr>
      <w:tr>
        <w:tblPrEx>
          <w:tblCellMar>
            <w:top w:w="0" w:type="dxa"/>
            <w:left w:w="108" w:type="dxa"/>
            <w:bottom w:w="0" w:type="dxa"/>
            <w:right w:w="108" w:type="dxa"/>
          </w:tblCellMar>
        </w:tblPrEx>
        <w:trPr>
          <w:trHeight w:val="161" w:hRule="atLeast"/>
          <w:jc w:val="center"/>
        </w:trPr>
        <w:tc>
          <w:tcPr>
            <w:tcW w:w="53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line="360" w:lineRule="auto"/>
              <w:jc w:val="center"/>
              <w:rPr>
                <w:rFonts w:ascii="宋体" w:hAnsi="宋体"/>
                <w:kern w:val="0"/>
                <w:sz w:val="24"/>
                <w:szCs w:val="24"/>
                <w:highlight w:val="none"/>
              </w:rPr>
            </w:pPr>
            <w:r>
              <w:rPr>
                <w:rFonts w:ascii="宋体" w:hAnsi="宋体"/>
                <w:kern w:val="0"/>
                <w:sz w:val="24"/>
                <w:szCs w:val="24"/>
                <w:highlight w:val="none"/>
              </w:rPr>
              <w:t>与半导体器件的连接处</w:t>
            </w:r>
          </w:p>
        </w:tc>
        <w:tc>
          <w:tcPr>
            <w:tcW w:w="381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line="360" w:lineRule="auto"/>
              <w:jc w:val="center"/>
              <w:rPr>
                <w:rFonts w:ascii="宋体" w:hAnsi="宋体"/>
                <w:kern w:val="0"/>
                <w:sz w:val="24"/>
                <w:szCs w:val="24"/>
                <w:highlight w:val="none"/>
              </w:rPr>
            </w:pPr>
            <w:r>
              <w:rPr>
                <w:rFonts w:ascii="宋体" w:hAnsi="宋体"/>
                <w:kern w:val="0"/>
                <w:sz w:val="24"/>
                <w:szCs w:val="24"/>
                <w:highlight w:val="none"/>
              </w:rPr>
              <w:t>55</w:t>
            </w:r>
          </w:p>
        </w:tc>
      </w:tr>
      <w:tr>
        <w:tblPrEx>
          <w:tblCellMar>
            <w:top w:w="0" w:type="dxa"/>
            <w:left w:w="108" w:type="dxa"/>
            <w:bottom w:w="0" w:type="dxa"/>
            <w:right w:w="108" w:type="dxa"/>
          </w:tblCellMar>
        </w:tblPrEx>
        <w:trPr>
          <w:trHeight w:val="111" w:hRule="atLeast"/>
          <w:jc w:val="center"/>
        </w:trPr>
        <w:tc>
          <w:tcPr>
            <w:tcW w:w="53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line="360" w:lineRule="auto"/>
              <w:jc w:val="center"/>
              <w:rPr>
                <w:rFonts w:ascii="宋体" w:hAnsi="宋体"/>
                <w:kern w:val="0"/>
                <w:sz w:val="24"/>
                <w:szCs w:val="24"/>
                <w:highlight w:val="none"/>
              </w:rPr>
            </w:pPr>
            <w:r>
              <w:rPr>
                <w:rFonts w:ascii="宋体" w:hAnsi="宋体"/>
                <w:kern w:val="0"/>
                <w:sz w:val="24"/>
                <w:szCs w:val="24"/>
                <w:highlight w:val="none"/>
              </w:rPr>
              <w:t>与半导体器件的连接处的塑料绝缘线</w:t>
            </w:r>
          </w:p>
        </w:tc>
        <w:tc>
          <w:tcPr>
            <w:tcW w:w="381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line="360" w:lineRule="auto"/>
              <w:jc w:val="center"/>
              <w:rPr>
                <w:rFonts w:ascii="宋体" w:hAnsi="宋体"/>
                <w:kern w:val="0"/>
                <w:sz w:val="24"/>
                <w:szCs w:val="24"/>
                <w:highlight w:val="none"/>
              </w:rPr>
            </w:pPr>
            <w:r>
              <w:rPr>
                <w:rFonts w:ascii="宋体" w:hAnsi="宋体"/>
                <w:kern w:val="0"/>
                <w:sz w:val="24"/>
                <w:szCs w:val="24"/>
                <w:highlight w:val="none"/>
              </w:rPr>
              <w:t>25</w:t>
            </w:r>
          </w:p>
        </w:tc>
      </w:tr>
      <w:tr>
        <w:tblPrEx>
          <w:tblCellMar>
            <w:top w:w="0" w:type="dxa"/>
            <w:left w:w="108" w:type="dxa"/>
            <w:bottom w:w="0" w:type="dxa"/>
            <w:right w:w="108" w:type="dxa"/>
          </w:tblCellMar>
        </w:tblPrEx>
        <w:trPr>
          <w:trHeight w:val="644" w:hRule="atLeast"/>
          <w:jc w:val="center"/>
        </w:trPr>
        <w:tc>
          <w:tcPr>
            <w:tcW w:w="5303"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line="360" w:lineRule="auto"/>
              <w:jc w:val="center"/>
              <w:rPr>
                <w:rFonts w:ascii="宋体" w:hAnsi="宋体"/>
                <w:kern w:val="0"/>
                <w:sz w:val="24"/>
                <w:szCs w:val="24"/>
                <w:highlight w:val="none"/>
              </w:rPr>
            </w:pPr>
            <w:r>
              <w:rPr>
                <w:rFonts w:ascii="宋体" w:hAnsi="宋体"/>
                <w:kern w:val="0"/>
                <w:sz w:val="24"/>
                <w:szCs w:val="24"/>
                <w:highlight w:val="none"/>
              </w:rPr>
              <w:t>母线连接处</w:t>
            </w:r>
          </w:p>
          <w:p>
            <w:pPr>
              <w:autoSpaceDE w:val="0"/>
              <w:autoSpaceDN w:val="0"/>
              <w:adjustRightInd w:val="0"/>
              <w:spacing w:line="360" w:lineRule="auto"/>
              <w:jc w:val="center"/>
              <w:rPr>
                <w:rFonts w:ascii="宋体" w:hAnsi="宋体"/>
                <w:kern w:val="0"/>
                <w:sz w:val="24"/>
                <w:szCs w:val="24"/>
                <w:highlight w:val="none"/>
              </w:rPr>
            </w:pPr>
            <w:r>
              <w:rPr>
                <w:rFonts w:ascii="宋体" w:hAnsi="宋体"/>
                <w:kern w:val="0"/>
                <w:sz w:val="24"/>
                <w:szCs w:val="24"/>
                <w:highlight w:val="none"/>
              </w:rPr>
              <w:t>铜与铜</w:t>
            </w:r>
          </w:p>
          <w:p>
            <w:pPr>
              <w:autoSpaceDE w:val="0"/>
              <w:autoSpaceDN w:val="0"/>
              <w:adjustRightInd w:val="0"/>
              <w:spacing w:line="360" w:lineRule="auto"/>
              <w:jc w:val="center"/>
              <w:rPr>
                <w:rFonts w:ascii="宋体" w:hAnsi="宋体"/>
                <w:kern w:val="0"/>
                <w:sz w:val="24"/>
                <w:szCs w:val="24"/>
                <w:highlight w:val="none"/>
              </w:rPr>
            </w:pPr>
            <w:r>
              <w:rPr>
                <w:rFonts w:ascii="宋体" w:hAnsi="宋体"/>
                <w:kern w:val="0"/>
                <w:sz w:val="24"/>
                <w:szCs w:val="24"/>
                <w:highlight w:val="none"/>
              </w:rPr>
              <w:t>铜搪锡——铜搪锡</w:t>
            </w:r>
          </w:p>
        </w:tc>
        <w:tc>
          <w:tcPr>
            <w:tcW w:w="381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line="360" w:lineRule="auto"/>
              <w:jc w:val="center"/>
              <w:rPr>
                <w:rFonts w:ascii="宋体" w:hAnsi="宋体"/>
                <w:kern w:val="0"/>
                <w:sz w:val="24"/>
                <w:szCs w:val="24"/>
                <w:highlight w:val="none"/>
              </w:rPr>
            </w:pPr>
          </w:p>
          <w:p>
            <w:pPr>
              <w:autoSpaceDE w:val="0"/>
              <w:autoSpaceDN w:val="0"/>
              <w:adjustRightInd w:val="0"/>
              <w:spacing w:line="360" w:lineRule="auto"/>
              <w:jc w:val="center"/>
              <w:rPr>
                <w:rFonts w:ascii="宋体" w:hAnsi="宋体"/>
                <w:kern w:val="0"/>
                <w:sz w:val="24"/>
                <w:szCs w:val="24"/>
                <w:highlight w:val="none"/>
              </w:rPr>
            </w:pPr>
            <w:r>
              <w:rPr>
                <w:rFonts w:ascii="宋体" w:hAnsi="宋体"/>
                <w:kern w:val="0"/>
                <w:sz w:val="24"/>
                <w:szCs w:val="24"/>
                <w:highlight w:val="none"/>
              </w:rPr>
              <w:t>50</w:t>
            </w:r>
          </w:p>
          <w:p>
            <w:pPr>
              <w:autoSpaceDE w:val="0"/>
              <w:autoSpaceDN w:val="0"/>
              <w:adjustRightInd w:val="0"/>
              <w:spacing w:line="360" w:lineRule="auto"/>
              <w:jc w:val="center"/>
              <w:rPr>
                <w:rFonts w:ascii="宋体" w:hAnsi="宋体"/>
                <w:kern w:val="0"/>
                <w:sz w:val="24"/>
                <w:szCs w:val="24"/>
                <w:highlight w:val="none"/>
              </w:rPr>
            </w:pPr>
            <w:r>
              <w:rPr>
                <w:rFonts w:ascii="宋体" w:hAnsi="宋体"/>
                <w:kern w:val="0"/>
                <w:sz w:val="24"/>
                <w:szCs w:val="24"/>
                <w:highlight w:val="none"/>
              </w:rPr>
              <w:t>60</w:t>
            </w:r>
          </w:p>
        </w:tc>
      </w:tr>
    </w:tbl>
    <w:p>
      <w:pPr>
        <w:spacing w:line="360" w:lineRule="auto"/>
        <w:rPr>
          <w:rFonts w:ascii="宋体" w:hAnsi="宋体"/>
          <w:b/>
          <w:sz w:val="24"/>
          <w:szCs w:val="24"/>
          <w:highlight w:val="none"/>
        </w:rPr>
      </w:pPr>
      <w:bookmarkStart w:id="50" w:name="_Toc411176422"/>
      <w:bookmarkStart w:id="51" w:name="_Toc387646186"/>
      <w:r>
        <w:rPr>
          <w:rFonts w:hint="eastAsia" w:ascii="宋体" w:hAnsi="宋体"/>
          <w:b/>
          <w:sz w:val="24"/>
          <w:szCs w:val="24"/>
          <w:highlight w:val="none"/>
          <w:lang w:val="en-US" w:eastAsia="zh-CN"/>
        </w:rPr>
        <w:t>6</w:t>
      </w:r>
      <w:r>
        <w:rPr>
          <w:rFonts w:hint="eastAsia" w:ascii="宋体" w:hAnsi="宋体"/>
          <w:b/>
          <w:sz w:val="24"/>
          <w:szCs w:val="24"/>
          <w:highlight w:val="none"/>
        </w:rPr>
        <w:t>.15高低温和湿热性能</w:t>
      </w:r>
      <w:bookmarkEnd w:id="50"/>
      <w:bookmarkEnd w:id="51"/>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.15.1低温性能</w:t>
      </w:r>
    </w:p>
    <w:p>
      <w:pPr>
        <w:pStyle w:val="12"/>
        <w:tabs>
          <w:tab w:val="left" w:pos="1140"/>
        </w:tabs>
        <w:spacing w:before="0" w:after="0"/>
        <w:ind w:firstLine="480"/>
        <w:rPr>
          <w:rFonts w:ascii="宋体" w:hAnsi="宋体"/>
          <w:sz w:val="24"/>
          <w:szCs w:val="24"/>
          <w:highlight w:val="none"/>
        </w:rPr>
      </w:pPr>
      <w:r>
        <w:rPr>
          <w:rFonts w:ascii="宋体" w:hAnsi="宋体"/>
          <w:sz w:val="24"/>
          <w:szCs w:val="24"/>
          <w:highlight w:val="none"/>
        </w:rPr>
        <w:t>按GB/T 2423.1-2008中试验Ad规定的方法进行试验，试验温度为2.2.1规定的下限值，待达到试验温度后启动充电桩，充电桩应能正常工作。试验温度持续2小时后，测试充电桩的稳</w:t>
      </w:r>
      <w:r>
        <w:rPr>
          <w:rFonts w:hint="eastAsia" w:ascii="宋体" w:hAnsi="宋体"/>
          <w:sz w:val="24"/>
          <w:szCs w:val="24"/>
          <w:highlight w:val="none"/>
        </w:rPr>
        <w:t>流</w:t>
      </w:r>
      <w:r>
        <w:rPr>
          <w:rFonts w:ascii="宋体" w:hAnsi="宋体"/>
          <w:sz w:val="24"/>
          <w:szCs w:val="24"/>
          <w:highlight w:val="none"/>
        </w:rPr>
        <w:t>精度应符合</w:t>
      </w:r>
      <w:r>
        <w:rPr>
          <w:rFonts w:hint="eastAsia" w:ascii="宋体" w:hAnsi="宋体"/>
          <w:sz w:val="24"/>
          <w:szCs w:val="24"/>
          <w:highlight w:val="none"/>
          <w:lang w:val="en-US" w:eastAsia="zh-CN"/>
        </w:rPr>
        <w:t>6</w:t>
      </w:r>
      <w:r>
        <w:rPr>
          <w:rFonts w:ascii="宋体" w:hAnsi="宋体"/>
          <w:sz w:val="24"/>
          <w:szCs w:val="24"/>
          <w:highlight w:val="none"/>
        </w:rPr>
        <w:t>.</w:t>
      </w:r>
      <w:r>
        <w:rPr>
          <w:rFonts w:hint="eastAsia" w:ascii="宋体" w:hAnsi="宋体"/>
          <w:sz w:val="24"/>
          <w:szCs w:val="24"/>
          <w:highlight w:val="none"/>
        </w:rPr>
        <w:t>9</w:t>
      </w:r>
      <w:r>
        <w:rPr>
          <w:rFonts w:ascii="宋体" w:hAnsi="宋体"/>
          <w:sz w:val="24"/>
          <w:szCs w:val="24"/>
          <w:highlight w:val="none"/>
        </w:rPr>
        <w:t>.</w:t>
      </w:r>
      <w:r>
        <w:rPr>
          <w:rFonts w:hint="eastAsia" w:ascii="宋体" w:hAnsi="宋体"/>
          <w:sz w:val="24"/>
          <w:szCs w:val="24"/>
          <w:highlight w:val="none"/>
        </w:rPr>
        <w:t>4</w:t>
      </w:r>
      <w:r>
        <w:rPr>
          <w:rFonts w:ascii="宋体" w:hAnsi="宋体"/>
          <w:sz w:val="24"/>
          <w:szCs w:val="24"/>
          <w:highlight w:val="none"/>
        </w:rPr>
        <w:t>的规定。</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.15.2高温性能</w:t>
      </w:r>
    </w:p>
    <w:p>
      <w:pPr>
        <w:pStyle w:val="12"/>
        <w:tabs>
          <w:tab w:val="left" w:pos="1140"/>
        </w:tabs>
        <w:spacing w:before="0" w:after="0"/>
        <w:ind w:firstLine="480"/>
        <w:rPr>
          <w:rFonts w:ascii="宋体" w:hAnsi="宋体"/>
          <w:sz w:val="24"/>
          <w:szCs w:val="24"/>
          <w:highlight w:val="none"/>
        </w:rPr>
      </w:pPr>
      <w:r>
        <w:rPr>
          <w:rFonts w:hint="eastAsia" w:ascii="宋体" w:hAnsi="宋体"/>
          <w:sz w:val="24"/>
          <w:szCs w:val="24"/>
          <w:highlight w:val="none"/>
        </w:rPr>
        <w:t>按</w:t>
      </w:r>
      <w:r>
        <w:rPr>
          <w:rFonts w:ascii="宋体" w:hAnsi="宋体"/>
          <w:sz w:val="24"/>
          <w:szCs w:val="24"/>
          <w:highlight w:val="none"/>
        </w:rPr>
        <w:t>GB/T 2423.2-2008</w:t>
      </w:r>
      <w:r>
        <w:rPr>
          <w:rFonts w:hint="eastAsia" w:ascii="宋体" w:hAnsi="宋体"/>
          <w:sz w:val="24"/>
          <w:szCs w:val="24"/>
          <w:highlight w:val="none"/>
        </w:rPr>
        <w:t>中试验</w:t>
      </w:r>
      <w:r>
        <w:rPr>
          <w:rFonts w:ascii="宋体" w:hAnsi="宋体"/>
          <w:sz w:val="24"/>
          <w:szCs w:val="24"/>
          <w:highlight w:val="none"/>
        </w:rPr>
        <w:t>Bd</w:t>
      </w:r>
      <w:r>
        <w:rPr>
          <w:rFonts w:hint="eastAsia" w:ascii="宋体" w:hAnsi="宋体"/>
          <w:sz w:val="24"/>
          <w:szCs w:val="24"/>
          <w:highlight w:val="none"/>
        </w:rPr>
        <w:t>规定的方法进行试验，试验温度为2.2.1规定的上限值，待达到试验温度后启动充电桩，充电桩应能正常工作。试验温度持续</w:t>
      </w:r>
      <w:r>
        <w:rPr>
          <w:rFonts w:ascii="宋体" w:hAnsi="宋体"/>
          <w:sz w:val="24"/>
          <w:szCs w:val="24"/>
          <w:highlight w:val="none"/>
        </w:rPr>
        <w:t>2</w:t>
      </w:r>
      <w:r>
        <w:rPr>
          <w:rFonts w:hint="eastAsia" w:ascii="宋体" w:hAnsi="宋体"/>
          <w:sz w:val="24"/>
          <w:szCs w:val="24"/>
          <w:highlight w:val="none"/>
        </w:rPr>
        <w:t>小时后，测试充电桩的稳流精度应符合</w:t>
      </w:r>
      <w:r>
        <w:rPr>
          <w:rFonts w:hint="eastAsia" w:ascii="宋体" w:hAnsi="宋体"/>
          <w:sz w:val="24"/>
          <w:szCs w:val="24"/>
          <w:highlight w:val="none"/>
          <w:lang w:val="en-US" w:eastAsia="zh-CN"/>
        </w:rPr>
        <w:t>6</w:t>
      </w:r>
      <w:r>
        <w:rPr>
          <w:rFonts w:hint="eastAsia" w:ascii="宋体" w:hAnsi="宋体"/>
          <w:sz w:val="24"/>
          <w:szCs w:val="24"/>
          <w:highlight w:val="none"/>
        </w:rPr>
        <w:t>.9.4的规定。</w:t>
      </w:r>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.15.3湿热性能</w:t>
      </w:r>
    </w:p>
    <w:p>
      <w:pPr>
        <w:pStyle w:val="12"/>
        <w:tabs>
          <w:tab w:val="left" w:pos="1140"/>
        </w:tabs>
        <w:spacing w:before="0" w:after="0"/>
        <w:ind w:firstLine="480"/>
        <w:rPr>
          <w:rFonts w:ascii="宋体" w:hAnsi="宋体"/>
          <w:sz w:val="24"/>
          <w:szCs w:val="24"/>
          <w:highlight w:val="none"/>
        </w:rPr>
      </w:pPr>
      <w:r>
        <w:rPr>
          <w:rFonts w:ascii="宋体" w:hAnsi="宋体"/>
          <w:sz w:val="24"/>
          <w:szCs w:val="24"/>
          <w:highlight w:val="none"/>
        </w:rPr>
        <w:t>按GB/T 2423.4-2008中试验Db规定的方法进行试验，试验温度为（40±2）</w:t>
      </w:r>
      <w:r>
        <w:rPr>
          <w:rFonts w:hint="eastAsia" w:ascii="宋体" w:hAnsi="宋体" w:cs="宋体"/>
          <w:sz w:val="24"/>
          <w:szCs w:val="24"/>
          <w:highlight w:val="none"/>
        </w:rPr>
        <w:t>℃</w:t>
      </w:r>
      <w:r>
        <w:rPr>
          <w:rFonts w:ascii="宋体" w:hAnsi="宋体"/>
          <w:sz w:val="24"/>
          <w:szCs w:val="24"/>
          <w:highlight w:val="none"/>
        </w:rPr>
        <w:t>，循环次数为2次，在试验结束前2h进行绝缘电阻和介电强度检测，其中绝缘电阻不应小于1MΩ，介电强度按表3规定值的75％施加测量电压。试验结束后，恢复至正常大气条件，通电后检查充电桩各项功能应正常。</w:t>
      </w:r>
    </w:p>
    <w:p>
      <w:pPr>
        <w:spacing w:line="360" w:lineRule="auto"/>
        <w:rPr>
          <w:rFonts w:ascii="宋体" w:hAnsi="宋体"/>
          <w:b/>
          <w:sz w:val="24"/>
          <w:szCs w:val="24"/>
          <w:highlight w:val="none"/>
        </w:rPr>
      </w:pPr>
      <w:bookmarkStart w:id="52" w:name="_Toc387646187"/>
      <w:bookmarkStart w:id="53" w:name="_Toc411176423"/>
      <w:r>
        <w:rPr>
          <w:rFonts w:hint="eastAsia" w:ascii="宋体" w:hAnsi="宋体"/>
          <w:b/>
          <w:sz w:val="24"/>
          <w:szCs w:val="24"/>
          <w:highlight w:val="none"/>
        </w:rPr>
        <w:t>6.16机械强度</w:t>
      </w:r>
      <w:bookmarkEnd w:id="52"/>
      <w:bookmarkEnd w:id="53"/>
    </w:p>
    <w:p>
      <w:pPr>
        <w:pStyle w:val="12"/>
        <w:tabs>
          <w:tab w:val="left" w:pos="1140"/>
        </w:tabs>
        <w:spacing w:before="0" w:after="0"/>
        <w:ind w:firstLine="480"/>
        <w:rPr>
          <w:rFonts w:ascii="宋体" w:hAnsi="宋体"/>
          <w:sz w:val="24"/>
          <w:szCs w:val="24"/>
          <w:highlight w:val="none"/>
        </w:rPr>
      </w:pPr>
      <w:r>
        <w:rPr>
          <w:rFonts w:ascii="宋体" w:hAnsi="宋体"/>
          <w:sz w:val="24"/>
          <w:szCs w:val="24"/>
          <w:highlight w:val="none"/>
        </w:rPr>
        <w:t>按GB/T 2423.55-2006规定的方法进行试验，剧烈冲击能量为20J（5kg，在0.4m）。试验结束后，充电桩的IP等级不受影响，绝缘性能不应降低，门的操作和锁止点不应损坏。</w:t>
      </w:r>
    </w:p>
    <w:p>
      <w:pPr>
        <w:spacing w:line="360" w:lineRule="auto"/>
        <w:rPr>
          <w:rFonts w:ascii="宋体" w:hAnsi="宋体"/>
          <w:b/>
          <w:sz w:val="24"/>
          <w:szCs w:val="24"/>
          <w:highlight w:val="none"/>
        </w:rPr>
      </w:pPr>
      <w:bookmarkStart w:id="54" w:name="_Toc411176424"/>
      <w:bookmarkStart w:id="55" w:name="_Toc387646188"/>
      <w:r>
        <w:rPr>
          <w:rFonts w:hint="eastAsia" w:ascii="宋体" w:hAnsi="宋体"/>
          <w:b/>
          <w:sz w:val="24"/>
          <w:szCs w:val="24"/>
          <w:highlight w:val="none"/>
        </w:rPr>
        <w:t>6.17电磁兼容</w:t>
      </w:r>
      <w:bookmarkEnd w:id="54"/>
      <w:bookmarkEnd w:id="55"/>
    </w:p>
    <w:p>
      <w:pPr>
        <w:spacing w:line="36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.17.1抗扰度要求</w:t>
      </w:r>
    </w:p>
    <w:p>
      <w:pPr>
        <w:pStyle w:val="12"/>
        <w:widowControl w:val="0"/>
        <w:numPr>
          <w:ilvl w:val="0"/>
          <w:numId w:val="9"/>
        </w:numPr>
        <w:tabs>
          <w:tab w:val="left" w:pos="1134"/>
        </w:tabs>
        <w:spacing w:before="0" w:after="0"/>
        <w:ind w:left="0" w:hanging="399" w:firstLineChars="0"/>
        <w:jc w:val="both"/>
        <w:rPr>
          <w:rFonts w:ascii="宋体" w:hAnsi="宋体"/>
          <w:sz w:val="24"/>
          <w:szCs w:val="24"/>
          <w:highlight w:val="none"/>
        </w:rPr>
      </w:pPr>
      <w:r>
        <w:rPr>
          <w:rFonts w:ascii="宋体" w:hAnsi="宋体"/>
          <w:sz w:val="24"/>
          <w:szCs w:val="24"/>
          <w:highlight w:val="none"/>
        </w:rPr>
        <w:t>静电放电抗扰度：充电桩应能承受GB/T 17626.2-2006中第5章规定的试验等级为3级的静电放电抗扰度试验。</w:t>
      </w:r>
    </w:p>
    <w:p>
      <w:pPr>
        <w:pStyle w:val="12"/>
        <w:widowControl w:val="0"/>
        <w:numPr>
          <w:ilvl w:val="0"/>
          <w:numId w:val="9"/>
        </w:numPr>
        <w:tabs>
          <w:tab w:val="left" w:pos="1134"/>
        </w:tabs>
        <w:spacing w:before="0" w:after="0"/>
        <w:ind w:left="0" w:hanging="399" w:firstLineChars="0"/>
        <w:jc w:val="both"/>
        <w:rPr>
          <w:rFonts w:ascii="宋体" w:hAnsi="宋体"/>
          <w:sz w:val="24"/>
          <w:szCs w:val="24"/>
          <w:highlight w:val="none"/>
        </w:rPr>
      </w:pPr>
      <w:r>
        <w:rPr>
          <w:rFonts w:ascii="宋体" w:hAnsi="宋体"/>
          <w:sz w:val="24"/>
          <w:szCs w:val="24"/>
          <w:highlight w:val="none"/>
        </w:rPr>
        <w:t>射频电磁场辐射抗扰度：充电桩应能承受GB/T 17626.3-2006中第5章规定的试验等级为3级的射频电磁场辐射抗扰度试验。</w:t>
      </w:r>
    </w:p>
    <w:p>
      <w:pPr>
        <w:pStyle w:val="12"/>
        <w:widowControl w:val="0"/>
        <w:numPr>
          <w:ilvl w:val="0"/>
          <w:numId w:val="9"/>
        </w:numPr>
        <w:tabs>
          <w:tab w:val="left" w:pos="1134"/>
        </w:tabs>
        <w:spacing w:before="0" w:after="0"/>
        <w:ind w:left="0" w:hanging="399" w:firstLineChars="0"/>
        <w:jc w:val="both"/>
        <w:rPr>
          <w:rFonts w:ascii="宋体" w:hAnsi="宋体"/>
          <w:sz w:val="24"/>
          <w:szCs w:val="24"/>
          <w:highlight w:val="none"/>
        </w:rPr>
      </w:pPr>
      <w:r>
        <w:rPr>
          <w:rFonts w:ascii="宋体" w:hAnsi="宋体"/>
          <w:sz w:val="24"/>
          <w:szCs w:val="24"/>
          <w:highlight w:val="none"/>
        </w:rPr>
        <w:t>电快速瞬变脉冲群抗扰度 ：充电桩应能承受GB/T 17626.4-2008中第5章规定的试验等级为3级的电快速瞬变脉冲群抗扰度试验。</w:t>
      </w:r>
    </w:p>
    <w:p>
      <w:pPr>
        <w:pStyle w:val="12"/>
        <w:widowControl w:val="0"/>
        <w:numPr>
          <w:ilvl w:val="0"/>
          <w:numId w:val="9"/>
        </w:numPr>
        <w:tabs>
          <w:tab w:val="left" w:pos="1134"/>
        </w:tabs>
        <w:spacing w:before="0" w:after="0"/>
        <w:ind w:left="0" w:hanging="399" w:firstLineChars="0"/>
        <w:jc w:val="both"/>
        <w:rPr>
          <w:rFonts w:ascii="宋体" w:hAnsi="宋体"/>
          <w:sz w:val="24"/>
          <w:szCs w:val="24"/>
          <w:highlight w:val="none"/>
        </w:rPr>
      </w:pPr>
      <w:r>
        <w:rPr>
          <w:rFonts w:ascii="宋体" w:hAnsi="宋体"/>
          <w:sz w:val="24"/>
          <w:szCs w:val="24"/>
          <w:highlight w:val="none"/>
        </w:rPr>
        <w:t>浪涌（冲击）抗扰度：充电桩应能承受GB/T 17626.5-2008中第5章规定的试验等级为3级的浪涌（冲击）抗扰度试验。</w:t>
      </w:r>
    </w:p>
    <w:p>
      <w:pPr>
        <w:pStyle w:val="12"/>
        <w:widowControl w:val="0"/>
        <w:numPr>
          <w:ilvl w:val="0"/>
          <w:numId w:val="9"/>
        </w:numPr>
        <w:tabs>
          <w:tab w:val="left" w:pos="1134"/>
        </w:tabs>
        <w:spacing w:before="0" w:after="0"/>
        <w:ind w:left="0" w:firstLineChars="0"/>
        <w:jc w:val="both"/>
        <w:rPr>
          <w:rFonts w:ascii="宋体" w:hAnsi="宋体"/>
          <w:sz w:val="24"/>
          <w:szCs w:val="24"/>
          <w:highlight w:val="none"/>
        </w:rPr>
      </w:pPr>
      <w:r>
        <w:rPr>
          <w:rFonts w:hint="eastAsia" w:ascii="宋体" w:hAnsi="宋体"/>
          <w:sz w:val="24"/>
          <w:szCs w:val="24"/>
          <w:highlight w:val="none"/>
        </w:rPr>
        <w:t>电压</w:t>
      </w:r>
      <w:r>
        <w:rPr>
          <w:rFonts w:ascii="宋体" w:hAnsi="宋体"/>
          <w:sz w:val="24"/>
          <w:szCs w:val="24"/>
          <w:highlight w:val="none"/>
        </w:rPr>
        <w:t>暂降、短时中断</w:t>
      </w:r>
      <w:r>
        <w:rPr>
          <w:rFonts w:hint="eastAsia" w:ascii="宋体" w:hAnsi="宋体"/>
          <w:sz w:val="24"/>
          <w:szCs w:val="24"/>
          <w:highlight w:val="none"/>
        </w:rPr>
        <w:t>抗扰度</w:t>
      </w:r>
      <w:r>
        <w:rPr>
          <w:rFonts w:ascii="宋体" w:hAnsi="宋体"/>
          <w:sz w:val="24"/>
          <w:szCs w:val="24"/>
          <w:highlight w:val="none"/>
        </w:rPr>
        <w:t>：充电桩应能承受GB/T 17626.11-2008中第5章规定的</w:t>
      </w:r>
      <w:r>
        <w:rPr>
          <w:rFonts w:hint="eastAsia" w:ascii="宋体" w:hAnsi="宋体"/>
          <w:sz w:val="24"/>
          <w:szCs w:val="24"/>
          <w:highlight w:val="none"/>
        </w:rPr>
        <w:t>电压</w:t>
      </w:r>
      <w:r>
        <w:rPr>
          <w:rFonts w:ascii="宋体" w:hAnsi="宋体"/>
          <w:sz w:val="24"/>
          <w:szCs w:val="24"/>
          <w:highlight w:val="none"/>
        </w:rPr>
        <w:t>试验等级在</w:t>
      </w:r>
      <w:r>
        <w:rPr>
          <w:rFonts w:hint="eastAsia" w:ascii="宋体" w:hAnsi="宋体"/>
          <w:sz w:val="24"/>
          <w:szCs w:val="24"/>
          <w:highlight w:val="none"/>
        </w:rPr>
        <w:t>0</w:t>
      </w:r>
      <w:r>
        <w:rPr>
          <w:rFonts w:ascii="宋体" w:hAnsi="宋体"/>
          <w:sz w:val="24"/>
          <w:szCs w:val="24"/>
          <w:highlight w:val="none"/>
        </w:rPr>
        <w:t>%、40%、70%的额定工作电压的</w:t>
      </w:r>
      <w:r>
        <w:rPr>
          <w:rFonts w:hint="eastAsia" w:ascii="宋体" w:hAnsi="宋体"/>
          <w:sz w:val="24"/>
          <w:szCs w:val="24"/>
          <w:highlight w:val="none"/>
        </w:rPr>
        <w:t>电压暂降、短时中断抗扰度试验</w:t>
      </w:r>
      <w:r>
        <w:rPr>
          <w:rFonts w:ascii="宋体" w:hAnsi="宋体"/>
          <w:sz w:val="24"/>
          <w:szCs w:val="24"/>
          <w:highlight w:val="none"/>
        </w:rPr>
        <w:t>。</w:t>
      </w:r>
    </w:p>
    <w:p>
      <w:pPr>
        <w:spacing w:line="360" w:lineRule="auto"/>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.17.2电磁发射限制要求</w:t>
      </w:r>
    </w:p>
    <w:p>
      <w:pPr>
        <w:pStyle w:val="12"/>
        <w:widowControl w:val="0"/>
        <w:numPr>
          <w:ilvl w:val="0"/>
          <w:numId w:val="10"/>
        </w:numPr>
        <w:tabs>
          <w:tab w:val="left" w:pos="1134"/>
        </w:tabs>
        <w:spacing w:before="0" w:after="0"/>
        <w:ind w:left="0" w:hanging="399" w:firstLineChars="0"/>
        <w:jc w:val="both"/>
        <w:rPr>
          <w:rFonts w:ascii="宋体" w:hAnsi="宋体"/>
          <w:sz w:val="24"/>
          <w:szCs w:val="24"/>
          <w:highlight w:val="none"/>
        </w:rPr>
      </w:pPr>
      <w:r>
        <w:rPr>
          <w:rFonts w:ascii="宋体" w:hAnsi="宋体"/>
          <w:sz w:val="24"/>
          <w:szCs w:val="24"/>
          <w:highlight w:val="none"/>
        </w:rPr>
        <w:t>传导和辐射发射限值要求：充电桩的电源端口应符合表7规定的传导发射限值，外壳端口应符合表8规定的辐射发射限值。</w:t>
      </w:r>
    </w:p>
    <w:p>
      <w:pPr>
        <w:pStyle w:val="129"/>
        <w:spacing w:before="0" w:beforeLines="0" w:after="0" w:afterLines="0" w:line="360" w:lineRule="auto"/>
        <w:ind w:left="0" w:firstLine="0"/>
        <w:rPr>
          <w:rFonts w:ascii="宋体" w:hAnsi="宋体" w:eastAsia="宋体"/>
          <w:sz w:val="24"/>
          <w:szCs w:val="24"/>
          <w:highlight w:val="none"/>
        </w:rPr>
      </w:pPr>
      <w:r>
        <w:rPr>
          <w:rFonts w:hint="eastAsia" w:ascii="宋体" w:hAnsi="宋体" w:eastAsia="宋体"/>
          <w:sz w:val="24"/>
          <w:szCs w:val="24"/>
          <w:highlight w:val="none"/>
        </w:rPr>
        <w:t>表7  传导发射限值</w:t>
      </w:r>
    </w:p>
    <w:tbl>
      <w:tblPr>
        <w:tblStyle w:val="31"/>
        <w:tblW w:w="883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8"/>
        <w:gridCol w:w="2934"/>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8" w:type="dxa"/>
            <w:vMerge w:val="restart"/>
            <w:vAlign w:val="center"/>
          </w:tcPr>
          <w:p>
            <w:pPr>
              <w:spacing w:line="360" w:lineRule="auto"/>
              <w:jc w:val="center"/>
              <w:rPr>
                <w:rFonts w:ascii="宋体" w:hAnsi="宋体"/>
                <w:w w:val="80"/>
                <w:sz w:val="24"/>
                <w:szCs w:val="24"/>
                <w:highlight w:val="none"/>
              </w:rPr>
            </w:pPr>
            <w:r>
              <w:rPr>
                <w:rFonts w:ascii="宋体" w:hAnsi="宋体"/>
                <w:sz w:val="24"/>
                <w:szCs w:val="24"/>
                <w:highlight w:val="none"/>
              </w:rPr>
              <w:t>频率范围</w:t>
            </w:r>
            <w:r>
              <w:rPr>
                <w:rFonts w:hint="eastAsia" w:ascii="宋体" w:hAnsi="宋体"/>
                <w:sz w:val="24"/>
                <w:szCs w:val="24"/>
                <w:highlight w:val="none"/>
              </w:rPr>
              <w:t>（</w:t>
            </w:r>
            <w:r>
              <w:rPr>
                <w:rFonts w:ascii="宋体" w:hAnsi="宋体"/>
                <w:sz w:val="24"/>
                <w:szCs w:val="24"/>
                <w:highlight w:val="none"/>
              </w:rPr>
              <w:t>MHz</w:t>
            </w:r>
            <w:r>
              <w:rPr>
                <w:rFonts w:hint="eastAsia" w:ascii="宋体" w:hAnsi="宋体"/>
                <w:sz w:val="24"/>
                <w:szCs w:val="24"/>
                <w:highlight w:val="none"/>
              </w:rPr>
              <w:t>）</w:t>
            </w:r>
          </w:p>
        </w:tc>
        <w:tc>
          <w:tcPr>
            <w:tcW w:w="5891" w:type="dxa"/>
            <w:gridSpan w:val="2"/>
            <w:vAlign w:val="center"/>
          </w:tcPr>
          <w:p>
            <w:pPr>
              <w:spacing w:line="360" w:lineRule="auto"/>
              <w:jc w:val="center"/>
              <w:rPr>
                <w:rFonts w:ascii="宋体" w:hAnsi="宋体"/>
                <w:sz w:val="24"/>
                <w:szCs w:val="24"/>
                <w:highlight w:val="none"/>
              </w:rPr>
            </w:pPr>
            <w:r>
              <w:rPr>
                <w:rFonts w:ascii="宋体" w:hAnsi="宋体"/>
                <w:sz w:val="24"/>
                <w:szCs w:val="24"/>
                <w:highlight w:val="none"/>
              </w:rPr>
              <w:t>发射限值dB(μV)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948" w:type="dxa"/>
            <w:vMerge w:val="continue"/>
            <w:vAlign w:val="center"/>
          </w:tcPr>
          <w:p>
            <w:pPr>
              <w:spacing w:line="360" w:lineRule="auto"/>
              <w:jc w:val="center"/>
              <w:rPr>
                <w:rFonts w:ascii="宋体" w:hAnsi="宋体"/>
                <w:w w:val="80"/>
                <w:sz w:val="24"/>
                <w:szCs w:val="24"/>
                <w:highlight w:val="none"/>
              </w:rPr>
            </w:pPr>
          </w:p>
        </w:tc>
        <w:tc>
          <w:tcPr>
            <w:tcW w:w="2934" w:type="dxa"/>
            <w:vAlign w:val="center"/>
          </w:tcPr>
          <w:p>
            <w:pPr>
              <w:spacing w:line="360" w:lineRule="auto"/>
              <w:jc w:val="center"/>
              <w:rPr>
                <w:rFonts w:ascii="宋体" w:hAnsi="宋体"/>
                <w:sz w:val="24"/>
                <w:szCs w:val="24"/>
                <w:highlight w:val="none"/>
              </w:rPr>
            </w:pPr>
            <w:r>
              <w:rPr>
                <w:rFonts w:ascii="宋体" w:hAnsi="宋体"/>
                <w:sz w:val="24"/>
                <w:szCs w:val="24"/>
                <w:highlight w:val="none"/>
              </w:rPr>
              <w:t>准峰值</w:t>
            </w:r>
          </w:p>
        </w:tc>
        <w:tc>
          <w:tcPr>
            <w:tcW w:w="2957" w:type="dxa"/>
            <w:vAlign w:val="center"/>
          </w:tcPr>
          <w:p>
            <w:pPr>
              <w:spacing w:line="360" w:lineRule="auto"/>
              <w:jc w:val="center"/>
              <w:rPr>
                <w:rFonts w:ascii="宋体" w:hAnsi="宋体"/>
                <w:sz w:val="24"/>
                <w:szCs w:val="24"/>
                <w:highlight w:val="none"/>
              </w:rPr>
            </w:pPr>
            <w:r>
              <w:rPr>
                <w:rFonts w:ascii="宋体" w:hAnsi="宋体"/>
                <w:sz w:val="24"/>
                <w:szCs w:val="24"/>
                <w:highlight w:val="none"/>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948" w:type="dxa"/>
            <w:vAlign w:val="center"/>
          </w:tcPr>
          <w:p>
            <w:pPr>
              <w:spacing w:line="360" w:lineRule="auto"/>
              <w:jc w:val="center"/>
              <w:rPr>
                <w:rFonts w:ascii="宋体" w:hAnsi="宋体"/>
                <w:sz w:val="24"/>
                <w:szCs w:val="24"/>
                <w:highlight w:val="none"/>
              </w:rPr>
            </w:pPr>
            <w:r>
              <w:rPr>
                <w:rFonts w:ascii="宋体" w:hAnsi="宋体"/>
                <w:sz w:val="24"/>
                <w:szCs w:val="24"/>
                <w:highlight w:val="none"/>
              </w:rPr>
              <w:t>0.15～0.5（不含0.5）</w:t>
            </w:r>
          </w:p>
        </w:tc>
        <w:tc>
          <w:tcPr>
            <w:tcW w:w="2934" w:type="dxa"/>
            <w:vAlign w:val="center"/>
          </w:tcPr>
          <w:p>
            <w:pPr>
              <w:spacing w:line="360" w:lineRule="auto"/>
              <w:jc w:val="center"/>
              <w:rPr>
                <w:rFonts w:ascii="宋体" w:hAnsi="宋体"/>
                <w:sz w:val="24"/>
                <w:szCs w:val="24"/>
                <w:highlight w:val="none"/>
              </w:rPr>
            </w:pPr>
            <w:r>
              <w:rPr>
                <w:rFonts w:ascii="宋体" w:hAnsi="宋体"/>
                <w:sz w:val="24"/>
                <w:szCs w:val="24"/>
                <w:highlight w:val="none"/>
              </w:rPr>
              <w:t>79</w:t>
            </w:r>
          </w:p>
        </w:tc>
        <w:tc>
          <w:tcPr>
            <w:tcW w:w="2957" w:type="dxa"/>
            <w:vAlign w:val="center"/>
          </w:tcPr>
          <w:p>
            <w:pPr>
              <w:spacing w:line="360" w:lineRule="auto"/>
              <w:jc w:val="center"/>
              <w:rPr>
                <w:rFonts w:ascii="宋体" w:hAnsi="宋体"/>
                <w:sz w:val="24"/>
                <w:szCs w:val="24"/>
                <w:highlight w:val="none"/>
              </w:rPr>
            </w:pPr>
            <w:r>
              <w:rPr>
                <w:rFonts w:ascii="宋体" w:hAnsi="宋体"/>
                <w:sz w:val="24"/>
                <w:szCs w:val="24"/>
                <w:highlight w:val="none"/>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948" w:type="dxa"/>
            <w:vAlign w:val="center"/>
          </w:tcPr>
          <w:p>
            <w:pPr>
              <w:spacing w:line="360" w:lineRule="auto"/>
              <w:jc w:val="center"/>
              <w:rPr>
                <w:rFonts w:ascii="宋体" w:hAnsi="宋体"/>
                <w:sz w:val="24"/>
                <w:szCs w:val="24"/>
                <w:highlight w:val="none"/>
              </w:rPr>
            </w:pPr>
            <w:r>
              <w:rPr>
                <w:rFonts w:ascii="宋体" w:hAnsi="宋体"/>
                <w:sz w:val="24"/>
                <w:szCs w:val="24"/>
                <w:highlight w:val="none"/>
              </w:rPr>
              <w:t>0.5～30</w:t>
            </w:r>
          </w:p>
        </w:tc>
        <w:tc>
          <w:tcPr>
            <w:tcW w:w="2934" w:type="dxa"/>
            <w:vAlign w:val="center"/>
          </w:tcPr>
          <w:p>
            <w:pPr>
              <w:spacing w:line="360" w:lineRule="auto"/>
              <w:jc w:val="center"/>
              <w:rPr>
                <w:rFonts w:ascii="宋体" w:hAnsi="宋体"/>
                <w:sz w:val="24"/>
                <w:szCs w:val="24"/>
                <w:highlight w:val="none"/>
              </w:rPr>
            </w:pPr>
            <w:r>
              <w:rPr>
                <w:rFonts w:ascii="宋体" w:hAnsi="宋体"/>
                <w:sz w:val="24"/>
                <w:szCs w:val="24"/>
                <w:highlight w:val="none"/>
              </w:rPr>
              <w:t>73</w:t>
            </w:r>
          </w:p>
        </w:tc>
        <w:tc>
          <w:tcPr>
            <w:tcW w:w="2957" w:type="dxa"/>
            <w:vAlign w:val="center"/>
          </w:tcPr>
          <w:p>
            <w:pPr>
              <w:spacing w:line="360" w:lineRule="auto"/>
              <w:jc w:val="center"/>
              <w:rPr>
                <w:rFonts w:ascii="宋体" w:hAnsi="宋体"/>
                <w:sz w:val="24"/>
                <w:szCs w:val="24"/>
                <w:highlight w:val="none"/>
              </w:rPr>
            </w:pPr>
            <w:r>
              <w:rPr>
                <w:rFonts w:ascii="宋体" w:hAnsi="宋体"/>
                <w:sz w:val="24"/>
                <w:szCs w:val="24"/>
                <w:highlight w:val="none"/>
              </w:rPr>
              <w:t>60</w:t>
            </w:r>
          </w:p>
        </w:tc>
      </w:tr>
    </w:tbl>
    <w:p>
      <w:pPr>
        <w:pStyle w:val="129"/>
        <w:spacing w:before="0" w:beforeLines="0" w:after="0" w:afterLines="0" w:line="360" w:lineRule="auto"/>
        <w:ind w:left="0" w:firstLine="0"/>
        <w:rPr>
          <w:rFonts w:ascii="宋体" w:hAnsi="宋体" w:eastAsia="宋体"/>
          <w:sz w:val="24"/>
          <w:szCs w:val="24"/>
          <w:highlight w:val="none"/>
        </w:rPr>
      </w:pPr>
      <w:r>
        <w:rPr>
          <w:rFonts w:hint="eastAsia" w:ascii="宋体" w:hAnsi="宋体" w:eastAsia="宋体"/>
          <w:sz w:val="24"/>
          <w:szCs w:val="24"/>
          <w:highlight w:val="none"/>
        </w:rPr>
        <w:t>表8  辐射发射限值</w:t>
      </w:r>
    </w:p>
    <w:tbl>
      <w:tblPr>
        <w:tblStyle w:val="31"/>
        <w:tblW w:w="883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8"/>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948" w:type="dxa"/>
            <w:vMerge w:val="restart"/>
            <w:vAlign w:val="center"/>
          </w:tcPr>
          <w:p>
            <w:pPr>
              <w:spacing w:line="360" w:lineRule="auto"/>
              <w:jc w:val="center"/>
              <w:rPr>
                <w:rFonts w:ascii="宋体" w:hAnsi="宋体"/>
                <w:sz w:val="24"/>
                <w:szCs w:val="24"/>
                <w:highlight w:val="none"/>
              </w:rPr>
            </w:pPr>
            <w:r>
              <w:rPr>
                <w:rFonts w:ascii="宋体" w:hAnsi="宋体"/>
                <w:sz w:val="24"/>
                <w:szCs w:val="24"/>
                <w:highlight w:val="none"/>
              </w:rPr>
              <w:t>频率范围</w:t>
            </w:r>
            <w:r>
              <w:rPr>
                <w:rFonts w:hint="eastAsia" w:ascii="宋体" w:hAnsi="宋体"/>
                <w:sz w:val="24"/>
                <w:szCs w:val="24"/>
                <w:highlight w:val="none"/>
              </w:rPr>
              <w:t>（</w:t>
            </w:r>
            <w:r>
              <w:rPr>
                <w:rFonts w:ascii="宋体" w:hAnsi="宋体"/>
                <w:sz w:val="24"/>
                <w:szCs w:val="24"/>
                <w:highlight w:val="none"/>
              </w:rPr>
              <w:t>MHz</w:t>
            </w:r>
            <w:r>
              <w:rPr>
                <w:rFonts w:hint="eastAsia" w:ascii="宋体" w:hAnsi="宋体"/>
                <w:sz w:val="24"/>
                <w:szCs w:val="24"/>
                <w:highlight w:val="none"/>
              </w:rPr>
              <w:t>）</w:t>
            </w:r>
          </w:p>
        </w:tc>
        <w:tc>
          <w:tcPr>
            <w:tcW w:w="5891" w:type="dxa"/>
            <w:vAlign w:val="center"/>
          </w:tcPr>
          <w:p>
            <w:pPr>
              <w:spacing w:line="360" w:lineRule="auto"/>
              <w:jc w:val="center"/>
              <w:rPr>
                <w:rFonts w:ascii="宋体" w:hAnsi="宋体"/>
                <w:sz w:val="24"/>
                <w:szCs w:val="24"/>
                <w:highlight w:val="none"/>
              </w:rPr>
            </w:pPr>
            <w:r>
              <w:rPr>
                <w:rFonts w:ascii="宋体" w:hAnsi="宋体"/>
                <w:sz w:val="24"/>
                <w:szCs w:val="24"/>
                <w:highlight w:val="none"/>
              </w:rPr>
              <w:t>在10 m测量距离处辐射发射限值dB(μV/m)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2948" w:type="dxa"/>
            <w:vMerge w:val="continue"/>
            <w:vAlign w:val="center"/>
          </w:tcPr>
          <w:p>
            <w:pPr>
              <w:spacing w:line="360" w:lineRule="auto"/>
              <w:jc w:val="center"/>
              <w:rPr>
                <w:rFonts w:ascii="宋体" w:hAnsi="宋体"/>
                <w:sz w:val="24"/>
                <w:szCs w:val="24"/>
                <w:highlight w:val="none"/>
              </w:rPr>
            </w:pPr>
          </w:p>
        </w:tc>
        <w:tc>
          <w:tcPr>
            <w:tcW w:w="5891" w:type="dxa"/>
            <w:vAlign w:val="center"/>
          </w:tcPr>
          <w:p>
            <w:pPr>
              <w:spacing w:line="360" w:lineRule="auto"/>
              <w:jc w:val="center"/>
              <w:rPr>
                <w:rFonts w:ascii="宋体" w:hAnsi="宋体"/>
                <w:sz w:val="24"/>
                <w:szCs w:val="24"/>
                <w:highlight w:val="none"/>
              </w:rPr>
            </w:pPr>
            <w:r>
              <w:rPr>
                <w:rFonts w:ascii="宋体" w:hAnsi="宋体"/>
                <w:sz w:val="24"/>
                <w:szCs w:val="24"/>
                <w:highlight w:val="none"/>
              </w:rPr>
              <w:t>准峰值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948" w:type="dxa"/>
            <w:vAlign w:val="center"/>
          </w:tcPr>
          <w:p>
            <w:pPr>
              <w:spacing w:line="360" w:lineRule="auto"/>
              <w:jc w:val="center"/>
              <w:rPr>
                <w:rFonts w:ascii="宋体" w:hAnsi="宋体"/>
                <w:sz w:val="24"/>
                <w:szCs w:val="24"/>
                <w:highlight w:val="none"/>
              </w:rPr>
            </w:pPr>
            <w:r>
              <w:rPr>
                <w:rFonts w:ascii="宋体" w:hAnsi="宋体"/>
                <w:sz w:val="24"/>
                <w:szCs w:val="24"/>
                <w:highlight w:val="none"/>
              </w:rPr>
              <w:t>30～230</w:t>
            </w:r>
          </w:p>
        </w:tc>
        <w:tc>
          <w:tcPr>
            <w:tcW w:w="5891" w:type="dxa"/>
            <w:vAlign w:val="center"/>
          </w:tcPr>
          <w:p>
            <w:pPr>
              <w:autoSpaceDE w:val="0"/>
              <w:autoSpaceDN w:val="0"/>
              <w:adjustRightInd w:val="0"/>
              <w:spacing w:line="360" w:lineRule="auto"/>
              <w:jc w:val="center"/>
              <w:rPr>
                <w:rFonts w:ascii="宋体" w:hAnsi="宋体"/>
                <w:kern w:val="0"/>
                <w:sz w:val="24"/>
                <w:szCs w:val="24"/>
                <w:highlight w:val="none"/>
              </w:rPr>
            </w:pPr>
            <w:r>
              <w:rPr>
                <w:rFonts w:ascii="宋体" w:hAnsi="宋体"/>
                <w:kern w:val="0"/>
                <w:sz w:val="24"/>
                <w:szCs w:val="24"/>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948" w:type="dxa"/>
            <w:vAlign w:val="center"/>
          </w:tcPr>
          <w:p>
            <w:pPr>
              <w:spacing w:line="360" w:lineRule="auto"/>
              <w:jc w:val="center"/>
              <w:rPr>
                <w:rFonts w:ascii="宋体" w:hAnsi="宋体"/>
                <w:sz w:val="24"/>
                <w:szCs w:val="24"/>
                <w:highlight w:val="none"/>
              </w:rPr>
            </w:pPr>
            <w:r>
              <w:rPr>
                <w:rFonts w:ascii="宋体" w:hAnsi="宋体"/>
                <w:sz w:val="24"/>
                <w:szCs w:val="24"/>
                <w:highlight w:val="none"/>
              </w:rPr>
              <w:t>230～1000（不含230）</w:t>
            </w:r>
          </w:p>
        </w:tc>
        <w:tc>
          <w:tcPr>
            <w:tcW w:w="5891" w:type="dxa"/>
            <w:vAlign w:val="center"/>
          </w:tcPr>
          <w:p>
            <w:pPr>
              <w:autoSpaceDE w:val="0"/>
              <w:autoSpaceDN w:val="0"/>
              <w:adjustRightInd w:val="0"/>
              <w:spacing w:line="360" w:lineRule="auto"/>
              <w:jc w:val="center"/>
              <w:rPr>
                <w:rFonts w:ascii="宋体" w:hAnsi="宋体"/>
                <w:kern w:val="0"/>
                <w:sz w:val="24"/>
                <w:szCs w:val="24"/>
                <w:highlight w:val="none"/>
              </w:rPr>
            </w:pPr>
            <w:r>
              <w:rPr>
                <w:rFonts w:ascii="宋体" w:hAnsi="宋体"/>
                <w:kern w:val="0"/>
                <w:sz w:val="24"/>
                <w:szCs w:val="24"/>
                <w:highlight w:val="none"/>
              </w:rPr>
              <w:t>47</w:t>
            </w:r>
          </w:p>
        </w:tc>
      </w:tr>
    </w:tbl>
    <w:p>
      <w:pPr>
        <w:pStyle w:val="12"/>
        <w:widowControl w:val="0"/>
        <w:numPr>
          <w:ilvl w:val="0"/>
          <w:numId w:val="10"/>
        </w:numPr>
        <w:tabs>
          <w:tab w:val="left" w:pos="1134"/>
        </w:tabs>
        <w:spacing w:before="0" w:after="0"/>
        <w:ind w:left="0" w:firstLineChars="0"/>
        <w:jc w:val="both"/>
        <w:rPr>
          <w:rFonts w:ascii="宋体" w:hAnsi="宋体"/>
          <w:sz w:val="24"/>
          <w:szCs w:val="24"/>
          <w:highlight w:val="none"/>
        </w:rPr>
      </w:pPr>
      <w:r>
        <w:rPr>
          <w:rFonts w:ascii="宋体" w:hAnsi="宋体"/>
          <w:sz w:val="24"/>
          <w:szCs w:val="24"/>
          <w:highlight w:val="none"/>
        </w:rPr>
        <w:t>谐波电流限值要求：当输出功率为额定功率的50%～100%时，充电桩总谐波电流含有率不应大于</w:t>
      </w:r>
      <w:r>
        <w:rPr>
          <w:rFonts w:hint="eastAsia" w:ascii="宋体" w:hAnsi="宋体"/>
          <w:sz w:val="24"/>
          <w:szCs w:val="24"/>
          <w:highlight w:val="none"/>
        </w:rPr>
        <w:t>8</w:t>
      </w:r>
      <w:r>
        <w:rPr>
          <w:rFonts w:ascii="宋体" w:hAnsi="宋体"/>
          <w:sz w:val="24"/>
          <w:szCs w:val="24"/>
          <w:highlight w:val="none"/>
        </w:rPr>
        <w:t>%</w:t>
      </w:r>
      <w:r>
        <w:rPr>
          <w:rFonts w:hint="eastAsia" w:ascii="宋体" w:hAnsi="宋体"/>
          <w:sz w:val="24"/>
          <w:szCs w:val="24"/>
          <w:highlight w:val="none"/>
        </w:rPr>
        <w:t>。</w:t>
      </w:r>
    </w:p>
    <w:p>
      <w:pPr>
        <w:spacing w:line="360" w:lineRule="auto"/>
        <w:rPr>
          <w:rFonts w:ascii="宋体" w:hAnsi="宋体"/>
          <w:b/>
          <w:sz w:val="24"/>
          <w:szCs w:val="24"/>
          <w:highlight w:val="none"/>
        </w:rPr>
      </w:pPr>
      <w:bookmarkStart w:id="56" w:name="_Toc411176425"/>
      <w:bookmarkStart w:id="57" w:name="_Toc387646189"/>
      <w:r>
        <w:rPr>
          <w:rFonts w:hint="eastAsia" w:ascii="宋体" w:hAnsi="宋体"/>
          <w:b/>
          <w:sz w:val="24"/>
          <w:szCs w:val="24"/>
          <w:highlight w:val="none"/>
          <w:lang w:val="en-US" w:eastAsia="zh-CN"/>
        </w:rPr>
        <w:t>6</w:t>
      </w:r>
      <w:r>
        <w:rPr>
          <w:rFonts w:hint="eastAsia" w:ascii="宋体" w:hAnsi="宋体"/>
          <w:b/>
          <w:sz w:val="24"/>
          <w:szCs w:val="24"/>
          <w:highlight w:val="none"/>
        </w:rPr>
        <w:t>.18可靠性指标</w:t>
      </w:r>
      <w:bookmarkEnd w:id="56"/>
      <w:bookmarkEnd w:id="57"/>
    </w:p>
    <w:p>
      <w:pPr>
        <w:pStyle w:val="12"/>
        <w:spacing w:before="0" w:after="0"/>
        <w:ind w:firstLine="480"/>
        <w:rPr>
          <w:rFonts w:ascii="宋体" w:hAnsi="宋体"/>
          <w:sz w:val="24"/>
          <w:szCs w:val="24"/>
          <w:highlight w:val="none"/>
        </w:rPr>
      </w:pPr>
      <w:r>
        <w:rPr>
          <w:rFonts w:hint="eastAsia" w:ascii="宋体" w:hAnsi="宋体"/>
          <w:sz w:val="24"/>
          <w:szCs w:val="24"/>
          <w:highlight w:val="none"/>
        </w:rPr>
        <w:t>充电桩平均故障间隔时间（MTBF）应大于等于17520h。</w:t>
      </w:r>
    </w:p>
    <w:p>
      <w:pPr>
        <w:spacing w:line="360" w:lineRule="auto"/>
        <w:rPr>
          <w:rFonts w:ascii="宋体" w:hAnsi="宋体"/>
          <w:b/>
          <w:sz w:val="24"/>
          <w:szCs w:val="24"/>
          <w:highlight w:val="none"/>
        </w:rPr>
      </w:pPr>
      <w:bookmarkStart w:id="58" w:name="_Toc411176426"/>
      <w:bookmarkStart w:id="59" w:name="_Toc387646190"/>
      <w:r>
        <w:rPr>
          <w:rFonts w:hint="eastAsia" w:ascii="宋体" w:hAnsi="宋体"/>
          <w:b/>
          <w:sz w:val="24"/>
          <w:szCs w:val="24"/>
          <w:highlight w:val="none"/>
          <w:lang w:val="en-US" w:eastAsia="zh-CN"/>
        </w:rPr>
        <w:t>6</w:t>
      </w:r>
      <w:r>
        <w:rPr>
          <w:rFonts w:hint="eastAsia" w:ascii="宋体" w:hAnsi="宋体"/>
          <w:b/>
          <w:sz w:val="24"/>
          <w:szCs w:val="24"/>
          <w:highlight w:val="none"/>
        </w:rPr>
        <w:t>.19充电桩柜体（桩体）要求</w:t>
      </w:r>
      <w:bookmarkEnd w:id="58"/>
      <w:bookmarkEnd w:id="59"/>
    </w:p>
    <w:p>
      <w:pPr>
        <w:pStyle w:val="12"/>
        <w:widowControl w:val="0"/>
        <w:numPr>
          <w:ilvl w:val="0"/>
          <w:numId w:val="11"/>
        </w:numPr>
        <w:tabs>
          <w:tab w:val="left" w:pos="1140"/>
        </w:tabs>
        <w:spacing w:before="0" w:after="0"/>
        <w:ind w:left="0" w:hanging="399" w:firstLineChars="0"/>
        <w:jc w:val="both"/>
        <w:rPr>
          <w:rFonts w:ascii="宋体" w:hAnsi="宋体"/>
          <w:sz w:val="24"/>
          <w:szCs w:val="24"/>
          <w:highlight w:val="none"/>
        </w:rPr>
      </w:pPr>
      <w:r>
        <w:rPr>
          <w:rFonts w:hint="eastAsia" w:ascii="宋体" w:hAnsi="宋体"/>
          <w:sz w:val="24"/>
          <w:szCs w:val="24"/>
          <w:highlight w:val="none"/>
        </w:rPr>
        <w:t>充电桩柜体（桩体）应外观线条流畅、整体紧凑、简洁时尚，与安装地点</w:t>
      </w:r>
      <w:r>
        <w:rPr>
          <w:rFonts w:ascii="宋体" w:hAnsi="宋体"/>
          <w:sz w:val="24"/>
          <w:szCs w:val="24"/>
          <w:highlight w:val="none"/>
        </w:rPr>
        <w:t>周边</w:t>
      </w:r>
      <w:r>
        <w:rPr>
          <w:rFonts w:hint="eastAsia" w:ascii="宋体" w:hAnsi="宋体"/>
          <w:sz w:val="24"/>
          <w:szCs w:val="24"/>
          <w:highlight w:val="none"/>
        </w:rPr>
        <w:t>环境相协调。</w:t>
      </w:r>
    </w:p>
    <w:p>
      <w:pPr>
        <w:pStyle w:val="12"/>
        <w:widowControl w:val="0"/>
        <w:numPr>
          <w:ilvl w:val="0"/>
          <w:numId w:val="11"/>
        </w:numPr>
        <w:tabs>
          <w:tab w:val="left" w:pos="1140"/>
        </w:tabs>
        <w:spacing w:before="0" w:after="0"/>
        <w:ind w:left="0" w:hanging="399" w:firstLineChars="0"/>
        <w:jc w:val="both"/>
        <w:rPr>
          <w:rFonts w:ascii="宋体" w:hAnsi="宋体"/>
          <w:sz w:val="24"/>
          <w:szCs w:val="24"/>
          <w:highlight w:val="none"/>
        </w:rPr>
      </w:pPr>
      <w:r>
        <w:rPr>
          <w:rFonts w:hint="eastAsia" w:ascii="宋体" w:hAnsi="宋体"/>
          <w:sz w:val="24"/>
          <w:szCs w:val="24"/>
          <w:highlight w:val="none"/>
        </w:rPr>
        <w:t>充电桩柜体（桩体）</w:t>
      </w:r>
      <w:r>
        <w:rPr>
          <w:rFonts w:ascii="宋体" w:hAnsi="宋体"/>
          <w:sz w:val="24"/>
          <w:szCs w:val="24"/>
          <w:highlight w:val="none"/>
        </w:rPr>
        <w:t>应具备安装</w:t>
      </w:r>
      <w:r>
        <w:rPr>
          <w:rFonts w:hint="eastAsia" w:ascii="宋体" w:hAnsi="宋体"/>
          <w:sz w:val="24"/>
          <w:szCs w:val="24"/>
          <w:highlight w:val="none"/>
        </w:rPr>
        <w:t>4</w:t>
      </w:r>
      <w:r>
        <w:rPr>
          <w:rFonts w:ascii="宋体" w:hAnsi="宋体"/>
          <w:sz w:val="24"/>
          <w:szCs w:val="24"/>
          <w:highlight w:val="none"/>
        </w:rPr>
        <w:t>G/</w:t>
      </w:r>
      <w:r>
        <w:rPr>
          <w:rFonts w:hint="eastAsia" w:ascii="宋体" w:hAnsi="宋体"/>
          <w:sz w:val="24"/>
          <w:szCs w:val="24"/>
          <w:highlight w:val="none"/>
          <w:lang w:val="en-US" w:eastAsia="zh-CN"/>
        </w:rPr>
        <w:t>5</w:t>
      </w:r>
      <w:r>
        <w:rPr>
          <w:rFonts w:ascii="宋体" w:hAnsi="宋体"/>
          <w:sz w:val="24"/>
          <w:szCs w:val="24"/>
          <w:highlight w:val="none"/>
        </w:rPr>
        <w:t>G</w:t>
      </w:r>
      <w:r>
        <w:rPr>
          <w:rFonts w:hint="eastAsia" w:ascii="宋体" w:hAnsi="宋体"/>
          <w:sz w:val="24"/>
          <w:szCs w:val="24"/>
          <w:highlight w:val="none"/>
        </w:rPr>
        <w:t>通信模块</w:t>
      </w:r>
      <w:r>
        <w:rPr>
          <w:rFonts w:ascii="宋体" w:hAnsi="宋体"/>
          <w:sz w:val="24"/>
          <w:szCs w:val="24"/>
          <w:highlight w:val="none"/>
        </w:rPr>
        <w:t>天线的位置，并</w:t>
      </w:r>
      <w:r>
        <w:rPr>
          <w:rFonts w:hint="eastAsia" w:ascii="宋体" w:hAnsi="宋体"/>
          <w:sz w:val="24"/>
          <w:szCs w:val="24"/>
          <w:highlight w:val="none"/>
        </w:rPr>
        <w:t>确保壳体不</w:t>
      </w:r>
      <w:r>
        <w:rPr>
          <w:rFonts w:ascii="宋体" w:hAnsi="宋体"/>
          <w:sz w:val="24"/>
          <w:szCs w:val="24"/>
          <w:highlight w:val="none"/>
        </w:rPr>
        <w:t>对</w:t>
      </w:r>
      <w:r>
        <w:rPr>
          <w:rFonts w:hint="eastAsia" w:ascii="宋体" w:hAnsi="宋体"/>
          <w:sz w:val="24"/>
          <w:szCs w:val="24"/>
          <w:highlight w:val="none"/>
        </w:rPr>
        <w:t>通信模块接收</w:t>
      </w:r>
      <w:r>
        <w:rPr>
          <w:rFonts w:ascii="宋体" w:hAnsi="宋体"/>
          <w:sz w:val="24"/>
          <w:szCs w:val="24"/>
          <w:highlight w:val="none"/>
        </w:rPr>
        <w:t>信号</w:t>
      </w:r>
      <w:r>
        <w:rPr>
          <w:rFonts w:hint="eastAsia" w:ascii="宋体" w:hAnsi="宋体"/>
          <w:sz w:val="24"/>
          <w:szCs w:val="24"/>
          <w:highlight w:val="none"/>
        </w:rPr>
        <w:t>产生</w:t>
      </w:r>
      <w:r>
        <w:rPr>
          <w:rFonts w:ascii="宋体" w:hAnsi="宋体"/>
          <w:sz w:val="24"/>
          <w:szCs w:val="24"/>
          <w:highlight w:val="none"/>
        </w:rPr>
        <w:t>负面影响。</w:t>
      </w:r>
    </w:p>
    <w:p>
      <w:pPr>
        <w:pStyle w:val="12"/>
        <w:widowControl w:val="0"/>
        <w:numPr>
          <w:ilvl w:val="0"/>
          <w:numId w:val="11"/>
        </w:numPr>
        <w:tabs>
          <w:tab w:val="left" w:pos="1140"/>
        </w:tabs>
        <w:spacing w:before="0" w:after="0"/>
        <w:ind w:left="0" w:hanging="399" w:firstLineChars="0"/>
        <w:jc w:val="both"/>
        <w:rPr>
          <w:rFonts w:ascii="宋体" w:hAnsi="宋体"/>
          <w:sz w:val="24"/>
          <w:szCs w:val="24"/>
          <w:highlight w:val="none"/>
        </w:rPr>
      </w:pPr>
      <w:r>
        <w:rPr>
          <w:rFonts w:hint="eastAsia" w:ascii="宋体" w:hAnsi="宋体"/>
          <w:sz w:val="24"/>
          <w:szCs w:val="24"/>
          <w:highlight w:val="none"/>
        </w:rPr>
        <w:t>充电桩柜体（桩体）的</w:t>
      </w:r>
      <w:r>
        <w:rPr>
          <w:rFonts w:ascii="宋体" w:hAnsi="宋体"/>
          <w:sz w:val="24"/>
          <w:szCs w:val="24"/>
          <w:highlight w:val="none"/>
        </w:rPr>
        <w:t>非接触</w:t>
      </w:r>
      <w:r>
        <w:rPr>
          <w:rFonts w:hint="eastAsia" w:ascii="宋体" w:hAnsi="宋体"/>
          <w:sz w:val="24"/>
          <w:szCs w:val="24"/>
          <w:highlight w:val="none"/>
        </w:rPr>
        <w:t>IC卡片</w:t>
      </w:r>
      <w:r>
        <w:rPr>
          <w:rFonts w:ascii="宋体" w:hAnsi="宋体"/>
          <w:sz w:val="24"/>
          <w:szCs w:val="24"/>
          <w:highlight w:val="none"/>
        </w:rPr>
        <w:t>刷卡区域，应具</w:t>
      </w:r>
      <w:r>
        <w:rPr>
          <w:rFonts w:hint="eastAsia" w:ascii="宋体" w:hAnsi="宋体"/>
          <w:sz w:val="24"/>
          <w:szCs w:val="24"/>
          <w:highlight w:val="none"/>
        </w:rPr>
        <w:t>有</w:t>
      </w:r>
      <w:r>
        <w:rPr>
          <w:rFonts w:ascii="宋体" w:hAnsi="宋体"/>
          <w:sz w:val="24"/>
          <w:szCs w:val="24"/>
          <w:highlight w:val="none"/>
        </w:rPr>
        <w:t>承载设计</w:t>
      </w:r>
      <w:r>
        <w:rPr>
          <w:rFonts w:hint="eastAsia" w:ascii="宋体" w:hAnsi="宋体"/>
          <w:sz w:val="24"/>
          <w:szCs w:val="24"/>
          <w:highlight w:val="none"/>
        </w:rPr>
        <w:t>，</w:t>
      </w:r>
      <w:r>
        <w:rPr>
          <w:rFonts w:ascii="宋体" w:hAnsi="宋体"/>
          <w:sz w:val="24"/>
          <w:szCs w:val="24"/>
          <w:highlight w:val="none"/>
        </w:rPr>
        <w:t>以便于</w:t>
      </w:r>
      <w:r>
        <w:rPr>
          <w:rFonts w:hint="eastAsia" w:ascii="宋体" w:hAnsi="宋体"/>
          <w:sz w:val="24"/>
          <w:szCs w:val="24"/>
          <w:highlight w:val="none"/>
        </w:rPr>
        <w:t>放置</w:t>
      </w:r>
      <w:r>
        <w:rPr>
          <w:rFonts w:ascii="宋体" w:hAnsi="宋体"/>
          <w:sz w:val="24"/>
          <w:szCs w:val="24"/>
          <w:highlight w:val="none"/>
        </w:rPr>
        <w:t>非接触</w:t>
      </w:r>
      <w:r>
        <w:rPr>
          <w:rFonts w:hint="eastAsia" w:ascii="宋体" w:hAnsi="宋体"/>
          <w:sz w:val="24"/>
          <w:szCs w:val="24"/>
          <w:highlight w:val="none"/>
        </w:rPr>
        <w:t>IC卡片。</w:t>
      </w:r>
    </w:p>
    <w:p>
      <w:pPr>
        <w:pStyle w:val="12"/>
        <w:widowControl w:val="0"/>
        <w:numPr>
          <w:ilvl w:val="0"/>
          <w:numId w:val="11"/>
        </w:numPr>
        <w:tabs>
          <w:tab w:val="left" w:pos="1140"/>
        </w:tabs>
        <w:spacing w:before="0" w:after="0"/>
        <w:ind w:left="0" w:hanging="399" w:firstLineChars="0"/>
        <w:jc w:val="both"/>
        <w:rPr>
          <w:rFonts w:ascii="宋体" w:hAnsi="宋体"/>
          <w:sz w:val="24"/>
          <w:szCs w:val="24"/>
          <w:highlight w:val="none"/>
        </w:rPr>
      </w:pPr>
      <w:r>
        <w:rPr>
          <w:rFonts w:hint="eastAsia" w:ascii="宋体" w:hAnsi="宋体"/>
          <w:sz w:val="24"/>
          <w:szCs w:val="24"/>
          <w:highlight w:val="none"/>
        </w:rPr>
        <w:t>充电桩柜体（桩体）</w:t>
      </w:r>
      <w:r>
        <w:rPr>
          <w:rFonts w:ascii="宋体" w:hAnsi="宋体"/>
          <w:sz w:val="24"/>
          <w:szCs w:val="24"/>
          <w:highlight w:val="none"/>
        </w:rPr>
        <w:t>应</w:t>
      </w:r>
      <w:r>
        <w:rPr>
          <w:rFonts w:hint="eastAsia" w:ascii="宋体" w:hAnsi="宋体"/>
          <w:sz w:val="24"/>
          <w:szCs w:val="24"/>
          <w:highlight w:val="none"/>
        </w:rPr>
        <w:t>便于</w:t>
      </w:r>
      <w:r>
        <w:rPr>
          <w:rFonts w:ascii="宋体" w:hAnsi="宋体"/>
          <w:sz w:val="24"/>
          <w:szCs w:val="24"/>
          <w:highlight w:val="none"/>
        </w:rPr>
        <w:t>内置</w:t>
      </w:r>
      <w:r>
        <w:rPr>
          <w:rFonts w:hint="eastAsia" w:ascii="宋体" w:hAnsi="宋体"/>
          <w:sz w:val="24"/>
          <w:szCs w:val="24"/>
          <w:highlight w:val="none"/>
        </w:rPr>
        <w:t>语音提示</w:t>
      </w:r>
      <w:r>
        <w:rPr>
          <w:rFonts w:ascii="宋体" w:hAnsi="宋体"/>
          <w:sz w:val="24"/>
          <w:szCs w:val="24"/>
          <w:highlight w:val="none"/>
        </w:rPr>
        <w:t>装置的声音外放。</w:t>
      </w:r>
    </w:p>
    <w:p>
      <w:pPr>
        <w:pStyle w:val="12"/>
        <w:widowControl w:val="0"/>
        <w:numPr>
          <w:ilvl w:val="0"/>
          <w:numId w:val="11"/>
        </w:numPr>
        <w:tabs>
          <w:tab w:val="left" w:pos="1140"/>
        </w:tabs>
        <w:spacing w:before="0" w:after="0"/>
        <w:ind w:left="0" w:hanging="399" w:firstLineChars="0"/>
        <w:jc w:val="both"/>
        <w:rPr>
          <w:rFonts w:ascii="宋体" w:hAnsi="宋体"/>
          <w:sz w:val="24"/>
          <w:szCs w:val="24"/>
          <w:highlight w:val="none"/>
        </w:rPr>
      </w:pPr>
      <w:r>
        <w:rPr>
          <w:rFonts w:hint="eastAsia" w:ascii="宋体" w:hAnsi="宋体"/>
          <w:sz w:val="24"/>
          <w:szCs w:val="24"/>
          <w:highlight w:val="none"/>
        </w:rPr>
        <w:t>充电桩柜体（桩体）内部线束，应</w:t>
      </w:r>
      <w:r>
        <w:rPr>
          <w:rFonts w:ascii="宋体" w:hAnsi="宋体"/>
          <w:sz w:val="24"/>
          <w:szCs w:val="24"/>
          <w:highlight w:val="none"/>
        </w:rPr>
        <w:t>排布整齐、</w:t>
      </w:r>
      <w:r>
        <w:rPr>
          <w:rFonts w:hint="eastAsia" w:ascii="宋体" w:hAnsi="宋体"/>
          <w:sz w:val="24"/>
          <w:szCs w:val="24"/>
          <w:highlight w:val="none"/>
        </w:rPr>
        <w:t>规整</w:t>
      </w:r>
      <w:r>
        <w:rPr>
          <w:rFonts w:ascii="宋体" w:hAnsi="宋体"/>
          <w:sz w:val="24"/>
          <w:szCs w:val="24"/>
          <w:highlight w:val="none"/>
        </w:rPr>
        <w:t>，</w:t>
      </w:r>
      <w:r>
        <w:rPr>
          <w:rFonts w:hint="eastAsia" w:ascii="宋体" w:hAnsi="宋体"/>
          <w:sz w:val="24"/>
          <w:szCs w:val="24"/>
          <w:highlight w:val="none"/>
        </w:rPr>
        <w:t>标识</w:t>
      </w:r>
      <w:r>
        <w:rPr>
          <w:rFonts w:ascii="宋体" w:hAnsi="宋体"/>
          <w:sz w:val="24"/>
          <w:szCs w:val="24"/>
          <w:highlight w:val="none"/>
        </w:rPr>
        <w:t>清楚</w:t>
      </w:r>
      <w:r>
        <w:rPr>
          <w:rFonts w:hint="eastAsia" w:ascii="宋体" w:hAnsi="宋体"/>
          <w:sz w:val="24"/>
          <w:szCs w:val="24"/>
          <w:highlight w:val="none"/>
        </w:rPr>
        <w:t>，</w:t>
      </w:r>
      <w:r>
        <w:rPr>
          <w:rFonts w:ascii="宋体" w:hAnsi="宋体"/>
          <w:sz w:val="24"/>
          <w:szCs w:val="24"/>
          <w:highlight w:val="none"/>
        </w:rPr>
        <w:t>捆扎牢固。</w:t>
      </w:r>
    </w:p>
    <w:p>
      <w:pPr>
        <w:pStyle w:val="12"/>
        <w:widowControl w:val="0"/>
        <w:numPr>
          <w:ilvl w:val="0"/>
          <w:numId w:val="11"/>
        </w:numPr>
        <w:tabs>
          <w:tab w:val="left" w:pos="1140"/>
        </w:tabs>
        <w:spacing w:before="0" w:after="0"/>
        <w:ind w:left="0" w:hanging="399" w:firstLineChars="0"/>
        <w:jc w:val="both"/>
        <w:rPr>
          <w:rFonts w:ascii="宋体" w:hAnsi="宋体"/>
          <w:sz w:val="24"/>
          <w:szCs w:val="24"/>
          <w:highlight w:val="none"/>
        </w:rPr>
      </w:pPr>
      <w:r>
        <w:rPr>
          <w:rFonts w:hint="eastAsia" w:ascii="宋体" w:hAnsi="宋体"/>
          <w:sz w:val="24"/>
          <w:szCs w:val="24"/>
          <w:highlight w:val="none"/>
        </w:rPr>
        <w:t>充电桩柜体（桩体）内元器件应</w:t>
      </w:r>
      <w:r>
        <w:rPr>
          <w:rFonts w:ascii="宋体" w:hAnsi="宋体"/>
          <w:sz w:val="24"/>
          <w:szCs w:val="24"/>
          <w:highlight w:val="none"/>
        </w:rPr>
        <w:t>布局</w:t>
      </w:r>
      <w:r>
        <w:rPr>
          <w:rFonts w:hint="eastAsia" w:ascii="宋体" w:hAnsi="宋体"/>
          <w:sz w:val="24"/>
          <w:szCs w:val="24"/>
          <w:highlight w:val="none"/>
        </w:rPr>
        <w:t>合理，易耗</w:t>
      </w:r>
      <w:r>
        <w:rPr>
          <w:rFonts w:ascii="宋体" w:hAnsi="宋体"/>
          <w:sz w:val="24"/>
          <w:szCs w:val="24"/>
          <w:highlight w:val="none"/>
        </w:rPr>
        <w:t>易损元件</w:t>
      </w:r>
      <w:r>
        <w:rPr>
          <w:rFonts w:hint="eastAsia" w:ascii="宋体" w:hAnsi="宋体"/>
          <w:sz w:val="24"/>
          <w:szCs w:val="24"/>
          <w:highlight w:val="none"/>
        </w:rPr>
        <w:t>方便</w:t>
      </w:r>
      <w:r>
        <w:rPr>
          <w:rFonts w:ascii="宋体" w:hAnsi="宋体"/>
          <w:sz w:val="24"/>
          <w:szCs w:val="24"/>
          <w:highlight w:val="none"/>
        </w:rPr>
        <w:t>更换。</w:t>
      </w:r>
    </w:p>
    <w:p>
      <w:pPr>
        <w:pStyle w:val="12"/>
        <w:widowControl w:val="0"/>
        <w:numPr>
          <w:ilvl w:val="0"/>
          <w:numId w:val="11"/>
        </w:numPr>
        <w:tabs>
          <w:tab w:val="left" w:pos="1140"/>
        </w:tabs>
        <w:spacing w:before="0" w:after="0"/>
        <w:ind w:left="0" w:hanging="399" w:firstLineChars="0"/>
        <w:jc w:val="both"/>
        <w:rPr>
          <w:rFonts w:ascii="宋体" w:hAnsi="宋体"/>
          <w:sz w:val="24"/>
          <w:szCs w:val="24"/>
          <w:highlight w:val="none"/>
        </w:rPr>
      </w:pPr>
      <w:r>
        <w:rPr>
          <w:rFonts w:hint="eastAsia" w:ascii="宋体" w:hAnsi="宋体"/>
          <w:sz w:val="24"/>
          <w:szCs w:val="24"/>
          <w:highlight w:val="none"/>
        </w:rPr>
        <w:t>充电桩柜体（桩体）安装</w:t>
      </w:r>
      <w:r>
        <w:rPr>
          <w:rFonts w:ascii="宋体" w:hAnsi="宋体"/>
          <w:sz w:val="24"/>
          <w:szCs w:val="24"/>
          <w:highlight w:val="none"/>
        </w:rPr>
        <w:t>于户外时，应</w:t>
      </w:r>
      <w:r>
        <w:rPr>
          <w:rFonts w:hint="eastAsia" w:ascii="宋体" w:hAnsi="宋体"/>
          <w:sz w:val="24"/>
          <w:szCs w:val="24"/>
          <w:highlight w:val="none"/>
        </w:rPr>
        <w:t>便于特殊</w:t>
      </w:r>
      <w:r>
        <w:rPr>
          <w:rFonts w:ascii="宋体" w:hAnsi="宋体"/>
          <w:sz w:val="24"/>
          <w:szCs w:val="24"/>
          <w:highlight w:val="none"/>
        </w:rPr>
        <w:t>天气条件下的</w:t>
      </w:r>
      <w:r>
        <w:rPr>
          <w:rFonts w:hint="eastAsia" w:ascii="宋体" w:hAnsi="宋体"/>
          <w:sz w:val="24"/>
          <w:szCs w:val="24"/>
          <w:highlight w:val="none"/>
        </w:rPr>
        <w:t>日常</w:t>
      </w:r>
      <w:r>
        <w:rPr>
          <w:rFonts w:ascii="宋体" w:hAnsi="宋体"/>
          <w:sz w:val="24"/>
          <w:szCs w:val="24"/>
          <w:highlight w:val="none"/>
        </w:rPr>
        <w:t>维护。</w:t>
      </w:r>
    </w:p>
    <w:p>
      <w:pPr>
        <w:pStyle w:val="12"/>
        <w:widowControl w:val="0"/>
        <w:numPr>
          <w:ilvl w:val="0"/>
          <w:numId w:val="11"/>
        </w:numPr>
        <w:tabs>
          <w:tab w:val="left" w:pos="1140"/>
        </w:tabs>
        <w:spacing w:before="0" w:after="0"/>
        <w:ind w:left="0" w:hanging="399" w:firstLineChars="0"/>
        <w:jc w:val="both"/>
        <w:rPr>
          <w:rFonts w:ascii="宋体" w:hAnsi="宋体"/>
          <w:sz w:val="24"/>
          <w:szCs w:val="24"/>
          <w:highlight w:val="none"/>
        </w:rPr>
      </w:pPr>
      <w:r>
        <w:rPr>
          <w:rFonts w:hint="eastAsia" w:ascii="宋体" w:hAnsi="宋体"/>
          <w:sz w:val="24"/>
          <w:szCs w:val="24"/>
          <w:highlight w:val="none"/>
        </w:rPr>
        <w:t>充电桩柜体（桩体）应采用抗冲击力强、抗老化的材质。</w:t>
      </w:r>
    </w:p>
    <w:p>
      <w:pPr>
        <w:pStyle w:val="12"/>
        <w:widowControl w:val="0"/>
        <w:numPr>
          <w:ilvl w:val="0"/>
          <w:numId w:val="11"/>
        </w:numPr>
        <w:tabs>
          <w:tab w:val="left" w:pos="1140"/>
        </w:tabs>
        <w:spacing w:before="0" w:after="0"/>
        <w:ind w:left="0" w:hanging="399" w:firstLineChars="0"/>
        <w:jc w:val="both"/>
        <w:rPr>
          <w:rFonts w:ascii="宋体" w:hAnsi="宋体"/>
          <w:sz w:val="24"/>
          <w:szCs w:val="24"/>
          <w:highlight w:val="none"/>
        </w:rPr>
      </w:pPr>
      <w:r>
        <w:rPr>
          <w:rFonts w:hint="eastAsia" w:ascii="宋体" w:hAnsi="宋体"/>
          <w:sz w:val="24"/>
          <w:szCs w:val="24"/>
          <w:highlight w:val="none"/>
        </w:rPr>
        <w:t>充电桩柜体（桩体）表面涂覆色泽层应均匀光洁，不起泡、不龟裂、不脱落。</w:t>
      </w:r>
    </w:p>
    <w:p>
      <w:pPr>
        <w:pStyle w:val="12"/>
        <w:widowControl w:val="0"/>
        <w:numPr>
          <w:ilvl w:val="0"/>
          <w:numId w:val="11"/>
        </w:numPr>
        <w:tabs>
          <w:tab w:val="left" w:pos="1140"/>
        </w:tabs>
        <w:spacing w:before="0" w:after="0"/>
        <w:ind w:left="0" w:hanging="399" w:firstLineChars="0"/>
        <w:jc w:val="both"/>
        <w:rPr>
          <w:rFonts w:ascii="宋体" w:hAnsi="宋体"/>
          <w:sz w:val="24"/>
          <w:szCs w:val="24"/>
          <w:highlight w:val="none"/>
        </w:rPr>
      </w:pPr>
      <w:r>
        <w:rPr>
          <w:rFonts w:hint="eastAsia" w:ascii="宋体" w:hAnsi="宋体"/>
          <w:sz w:val="24"/>
          <w:szCs w:val="24"/>
          <w:highlight w:val="none"/>
        </w:rPr>
        <w:t>非绝缘材料外壳应可靠接地，结构上应防止操作人员触及带电部件。</w:t>
      </w:r>
    </w:p>
    <w:p>
      <w:pPr>
        <w:pStyle w:val="12"/>
        <w:widowControl w:val="0"/>
        <w:numPr>
          <w:ilvl w:val="0"/>
          <w:numId w:val="11"/>
        </w:numPr>
        <w:tabs>
          <w:tab w:val="left" w:pos="1140"/>
        </w:tabs>
        <w:spacing w:before="0" w:after="0"/>
        <w:ind w:left="0" w:hanging="399" w:firstLineChars="0"/>
        <w:jc w:val="both"/>
        <w:rPr>
          <w:rFonts w:ascii="宋体" w:hAnsi="宋体"/>
          <w:sz w:val="24"/>
          <w:szCs w:val="24"/>
          <w:highlight w:val="none"/>
        </w:rPr>
      </w:pPr>
      <w:r>
        <w:rPr>
          <w:rFonts w:hint="eastAsia" w:ascii="宋体" w:hAnsi="宋体"/>
          <w:sz w:val="24"/>
          <w:szCs w:val="24"/>
          <w:highlight w:val="none"/>
        </w:rPr>
        <w:t>人机交互的操作按键和显示界面应设置在便于人操作和查看的位置。</w:t>
      </w:r>
    </w:p>
    <w:p>
      <w:pPr>
        <w:pStyle w:val="26"/>
        <w:shd w:val="clear" w:color="auto" w:fill="FFFFFF"/>
        <w:adjustRightInd w:val="0"/>
        <w:snapToGrid w:val="0"/>
        <w:spacing w:before="48" w:beforeAutospacing="0" w:after="48" w:afterAutospacing="0" w:line="440" w:lineRule="exact"/>
        <w:rPr>
          <w:rFonts w:hint="eastAsia" w:ascii="宋体" w:hAnsi="宋体" w:eastAsia="宋体" w:cs="宋体"/>
          <w:highlight w:val="none"/>
          <w:shd w:val="clear" w:color="auto" w:fill="FFFFFF"/>
          <w:lang w:eastAsia="zh-CN"/>
        </w:rPr>
      </w:pPr>
    </w:p>
    <w:p>
      <w:pPr>
        <w:pStyle w:val="26"/>
        <w:shd w:val="clear" w:color="auto" w:fill="FFFFFF"/>
        <w:adjustRightInd w:val="0"/>
        <w:snapToGrid w:val="0"/>
        <w:spacing w:before="48" w:beforeAutospacing="0" w:after="48" w:afterAutospacing="0" w:line="440" w:lineRule="exact"/>
        <w:rPr>
          <w:rFonts w:hint="eastAsia" w:ascii="宋体" w:hAnsi="宋体" w:eastAsia="宋体" w:cs="宋体"/>
          <w:b/>
          <w:bCs/>
          <w:highlight w:val="none"/>
          <w:shd w:val="clear" w:color="auto" w:fill="FFFFFF"/>
          <w:lang w:eastAsia="zh-CN"/>
        </w:rPr>
      </w:pPr>
      <w:r>
        <w:rPr>
          <w:rFonts w:hint="eastAsia" w:ascii="宋体" w:hAnsi="宋体" w:eastAsia="宋体" w:cs="宋体"/>
          <w:b/>
          <w:bCs/>
          <w:highlight w:val="none"/>
          <w:shd w:val="clear" w:color="auto" w:fill="FFFFFF"/>
          <w:lang w:eastAsia="zh-CN"/>
        </w:rPr>
        <w:t>（</w:t>
      </w:r>
      <w:r>
        <w:rPr>
          <w:rFonts w:hint="eastAsia" w:ascii="宋体" w:hAnsi="宋体" w:eastAsia="宋体" w:cs="宋体"/>
          <w:b/>
          <w:bCs/>
          <w:highlight w:val="none"/>
          <w:shd w:val="clear" w:color="auto" w:fill="FFFFFF"/>
          <w:lang w:val="en-US" w:eastAsia="zh-CN"/>
        </w:rPr>
        <w:t>二</w:t>
      </w:r>
      <w:r>
        <w:rPr>
          <w:rFonts w:hint="eastAsia" w:ascii="宋体" w:hAnsi="宋体" w:eastAsia="宋体" w:cs="宋体"/>
          <w:b/>
          <w:bCs/>
          <w:highlight w:val="none"/>
          <w:shd w:val="clear" w:color="auto" w:fill="FFFFFF"/>
          <w:lang w:eastAsia="zh-CN"/>
        </w:rPr>
        <w:t>）、充电站智能监控运营系统：</w:t>
      </w:r>
    </w:p>
    <w:p>
      <w:pPr>
        <w:pStyle w:val="26"/>
        <w:shd w:val="clear" w:color="auto" w:fill="FFFFFF"/>
        <w:adjustRightInd w:val="0"/>
        <w:snapToGrid w:val="0"/>
        <w:spacing w:before="48" w:beforeAutospacing="0" w:after="48" w:afterAutospacing="0" w:line="440" w:lineRule="exact"/>
        <w:ind w:firstLine="240" w:firstLineChars="1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w:t>
      </w:r>
      <w:r>
        <w:rPr>
          <w:rFonts w:hint="eastAsia" w:ascii="宋体" w:hAnsi="宋体" w:eastAsia="宋体" w:cs="宋体"/>
          <w:highlight w:val="none"/>
          <w:shd w:val="clear" w:color="auto" w:fill="FFFFFF"/>
          <w:lang w:val="en-US" w:eastAsia="zh-CN"/>
        </w:rPr>
        <w:t>1、</w:t>
      </w:r>
      <w:r>
        <w:rPr>
          <w:rFonts w:hint="eastAsia" w:ascii="宋体" w:hAnsi="宋体" w:eastAsia="宋体" w:cs="宋体"/>
          <w:highlight w:val="none"/>
          <w:shd w:val="clear" w:color="auto" w:fill="FFFFFF"/>
        </w:rPr>
        <w:t>中标人应无条件配合用户免费按要求对接国家或地方政府管理平台及投标人指定的管理平台, 由此产生的费用均由中标人承担。中标人必须同意，该平台所有与</w:t>
      </w:r>
      <w:r>
        <w:rPr>
          <w:rFonts w:hint="eastAsia" w:cs="宋体"/>
          <w:highlight w:val="none"/>
          <w:shd w:val="clear" w:color="auto" w:fill="FFFFFF"/>
          <w:lang w:eastAsia="zh-CN"/>
        </w:rPr>
        <w:t>采购人</w:t>
      </w:r>
      <w:r>
        <w:rPr>
          <w:rFonts w:hint="eastAsia" w:ascii="宋体" w:hAnsi="宋体" w:eastAsia="宋体" w:cs="宋体"/>
          <w:highlight w:val="none"/>
          <w:shd w:val="clear" w:color="auto" w:fill="FFFFFF"/>
        </w:rPr>
        <w:t>相关的数据库完全免费开放，提供系统平台的数据字典的电子及文本文档。同时免费提供软件升级服务。</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eastAsia="zh-CN"/>
        </w:rPr>
      </w:pPr>
      <w:r>
        <w:rPr>
          <w:rFonts w:hint="eastAsia" w:ascii="宋体" w:hAnsi="宋体" w:eastAsia="宋体" w:cs="宋体"/>
          <w:highlight w:val="none"/>
          <w:shd w:val="clear" w:color="auto" w:fill="FFFFFF"/>
          <w:lang w:val="en-US" w:eastAsia="zh-CN"/>
        </w:rPr>
        <w:t>2、</w:t>
      </w:r>
      <w:r>
        <w:rPr>
          <w:rFonts w:hint="eastAsia" w:ascii="宋体" w:hAnsi="宋体" w:eastAsia="宋体" w:cs="宋体"/>
          <w:highlight w:val="none"/>
          <w:shd w:val="clear" w:color="auto" w:fill="FFFFFF"/>
        </w:rPr>
        <w:t>充电桩运营监控平台功能要求</w:t>
      </w:r>
      <w:r>
        <w:rPr>
          <w:rFonts w:hint="eastAsia" w:ascii="宋体" w:hAnsi="宋体" w:eastAsia="宋体" w:cs="宋体"/>
          <w:highlight w:val="none"/>
          <w:shd w:val="clear" w:color="auto" w:fill="FFFFFF"/>
          <w:lang w:eastAsia="zh-CN"/>
        </w:rPr>
        <w:t>：</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监控系统安装于莆田公交监控室内，充电桩通过以太网或4G</w:t>
      </w:r>
      <w:r>
        <w:rPr>
          <w:rFonts w:hint="eastAsia" w:cs="宋体"/>
          <w:highlight w:val="none"/>
          <w:shd w:val="clear" w:color="auto" w:fill="FFFFFF"/>
          <w:lang w:val="en-US" w:eastAsia="zh-CN"/>
        </w:rPr>
        <w:t>/5G</w:t>
      </w:r>
      <w:r>
        <w:rPr>
          <w:rFonts w:hint="eastAsia" w:ascii="宋体" w:hAnsi="宋体" w:eastAsia="宋体" w:cs="宋体"/>
          <w:highlight w:val="none"/>
          <w:shd w:val="clear" w:color="auto" w:fill="FFFFFF"/>
        </w:rPr>
        <w:t>无线通讯接入监控系统。充电桩运营监控平台需满足如下功能：</w:t>
      </w:r>
    </w:p>
    <w:tbl>
      <w:tblPr>
        <w:tblStyle w:val="31"/>
        <w:tblW w:w="9314" w:type="dxa"/>
        <w:tblInd w:w="0" w:type="dxa"/>
        <w:tblLayout w:type="fixed"/>
        <w:tblCellMar>
          <w:top w:w="15" w:type="dxa"/>
          <w:left w:w="15" w:type="dxa"/>
          <w:bottom w:w="15" w:type="dxa"/>
          <w:right w:w="15" w:type="dxa"/>
        </w:tblCellMar>
      </w:tblPr>
      <w:tblGrid>
        <w:gridCol w:w="1071"/>
        <w:gridCol w:w="1864"/>
        <w:gridCol w:w="6379"/>
      </w:tblGrid>
      <w:tr>
        <w:tblPrEx>
          <w:tblCellMar>
            <w:top w:w="15" w:type="dxa"/>
            <w:left w:w="15" w:type="dxa"/>
            <w:bottom w:w="15" w:type="dxa"/>
            <w:right w:w="15" w:type="dxa"/>
          </w:tblCellMar>
        </w:tblPrEx>
        <w:trPr>
          <w:trHeight w:val="320"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jc w:val="center"/>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720" w:firstLineChars="3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功能</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2640" w:firstLineChars="11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说明</w:t>
            </w:r>
          </w:p>
        </w:tc>
      </w:tr>
      <w:tr>
        <w:tblPrEx>
          <w:tblCellMar>
            <w:top w:w="15" w:type="dxa"/>
            <w:left w:w="15" w:type="dxa"/>
            <w:bottom w:w="15" w:type="dxa"/>
            <w:right w:w="15" w:type="dxa"/>
          </w:tblCellMar>
        </w:tblPrEx>
        <w:trPr>
          <w:trHeight w:val="1034"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480" w:firstLineChars="2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1</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充电设施互动服务平台</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480" w:firstLineChars="2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投标人必须承诺，该平台所有与采购单位相关的数据库完全免费开放</w:t>
            </w:r>
            <w:r>
              <w:rPr>
                <w:rFonts w:hint="eastAsia" w:ascii="宋体" w:hAnsi="宋体" w:eastAsia="宋体" w:cs="宋体"/>
                <w:highlight w:val="none"/>
                <w:shd w:val="clear" w:color="auto" w:fill="FFFFFF"/>
                <w:lang w:eastAsia="zh-CN"/>
              </w:rPr>
              <w:t>，</w:t>
            </w:r>
            <w:r>
              <w:rPr>
                <w:rFonts w:hint="eastAsia" w:ascii="宋体" w:hAnsi="宋体" w:eastAsia="宋体" w:cs="宋体"/>
                <w:highlight w:val="none"/>
                <w:shd w:val="clear" w:color="auto" w:fill="FFFFFF"/>
              </w:rPr>
              <w:t>同时免费提供软件升级服务；</w:t>
            </w:r>
          </w:p>
        </w:tc>
      </w:tr>
      <w:tr>
        <w:tblPrEx>
          <w:tblCellMar>
            <w:top w:w="15" w:type="dxa"/>
            <w:left w:w="15" w:type="dxa"/>
            <w:bottom w:w="15" w:type="dxa"/>
            <w:right w:w="15" w:type="dxa"/>
          </w:tblCellMar>
        </w:tblPrEx>
        <w:trPr>
          <w:trHeight w:val="1393"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480" w:firstLineChars="2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2</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240" w:firstLineChars="1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监控管理</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240" w:firstLineChars="1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1、显示对应</w:t>
            </w:r>
            <w:r>
              <w:rPr>
                <w:rFonts w:hint="eastAsia" w:cs="宋体"/>
                <w:highlight w:val="none"/>
                <w:shd w:val="clear" w:color="auto" w:fill="FFFFFF"/>
                <w:lang w:eastAsia="zh-CN"/>
              </w:rPr>
              <w:t>采购人</w:t>
            </w:r>
            <w:r>
              <w:rPr>
                <w:rFonts w:hint="eastAsia" w:ascii="宋体" w:hAnsi="宋体" w:eastAsia="宋体" w:cs="宋体"/>
                <w:highlight w:val="none"/>
                <w:shd w:val="clear" w:color="auto" w:fill="FFFFFF"/>
              </w:rPr>
              <w:t>电桩总类型及数量、分布及运行状态、累积充电度数、累积卡信息统计、当天/当月总充电数据、营收数据；</w:t>
            </w:r>
          </w:p>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240" w:firstLineChars="1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2、实时监控：监测各个充电站内充电桩数据、状态、以及充电桩实时状态监控信息；</w:t>
            </w:r>
          </w:p>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240" w:firstLineChars="1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3、资金监控：对商户资金池的流动进行监控；</w:t>
            </w:r>
          </w:p>
        </w:tc>
      </w:tr>
      <w:tr>
        <w:tblPrEx>
          <w:tblCellMar>
            <w:top w:w="15" w:type="dxa"/>
            <w:left w:w="15" w:type="dxa"/>
            <w:bottom w:w="15" w:type="dxa"/>
            <w:right w:w="15" w:type="dxa"/>
          </w:tblCellMar>
        </w:tblPrEx>
        <w:trPr>
          <w:trHeight w:val="418"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480" w:firstLineChars="2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3</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240" w:firstLineChars="1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系统设置</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240" w:firstLineChars="1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统一定义系统遥信术语、强大完善的用户权限管理</w:t>
            </w:r>
          </w:p>
        </w:tc>
      </w:tr>
      <w:tr>
        <w:tblPrEx>
          <w:tblCellMar>
            <w:top w:w="15" w:type="dxa"/>
            <w:left w:w="15" w:type="dxa"/>
            <w:bottom w:w="15" w:type="dxa"/>
            <w:right w:w="15" w:type="dxa"/>
          </w:tblCellMar>
        </w:tblPrEx>
        <w:trPr>
          <w:trHeight w:val="2089"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480" w:firstLineChars="2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4</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240" w:firstLineChars="1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经营管理</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240" w:firstLineChars="1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1、具有消费记录统计模块、异常记录、处理记录等；</w:t>
            </w:r>
          </w:p>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240" w:firstLineChars="1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2、具有计费设置功能，可批量设置充电机不同时段的充电费与服务费；</w:t>
            </w:r>
            <w:r>
              <w:rPr>
                <w:rFonts w:hint="eastAsia" w:ascii="宋体" w:hAnsi="宋体" w:eastAsia="宋体" w:cs="宋体"/>
                <w:highlight w:val="none"/>
                <w:shd w:val="clear" w:color="auto" w:fill="FFFFFF"/>
              </w:rPr>
              <w:br w:type="textWrapping"/>
            </w:r>
            <w:r>
              <w:rPr>
                <w:rFonts w:hint="eastAsia" w:ascii="宋体" w:hAnsi="宋体" w:eastAsia="宋体" w:cs="宋体"/>
                <w:highlight w:val="none"/>
                <w:shd w:val="clear" w:color="auto" w:fill="FFFFFF"/>
                <w:lang w:val="en-US" w:eastAsia="zh-CN"/>
              </w:rPr>
              <w:t xml:space="preserve">  </w:t>
            </w:r>
            <w:r>
              <w:rPr>
                <w:rFonts w:hint="eastAsia" w:ascii="宋体" w:hAnsi="宋体" w:eastAsia="宋体" w:cs="宋体"/>
                <w:highlight w:val="none"/>
                <w:shd w:val="clear" w:color="auto" w:fill="FFFFFF"/>
              </w:rPr>
              <w:t>3、具有销售统计分析模块、计费规则显示等；</w:t>
            </w:r>
            <w:r>
              <w:rPr>
                <w:rFonts w:hint="eastAsia" w:ascii="宋体" w:hAnsi="宋体" w:eastAsia="宋体" w:cs="宋体"/>
                <w:highlight w:val="none"/>
                <w:shd w:val="clear" w:color="auto" w:fill="FFFFFF"/>
              </w:rPr>
              <w:br w:type="textWrapping"/>
            </w:r>
            <w:r>
              <w:rPr>
                <w:rFonts w:hint="eastAsia" w:ascii="宋体" w:hAnsi="宋体" w:eastAsia="宋体" w:cs="宋体"/>
                <w:highlight w:val="none"/>
                <w:shd w:val="clear" w:color="auto" w:fill="FFFFFF"/>
                <w:lang w:val="en-US" w:eastAsia="zh-CN"/>
              </w:rPr>
              <w:t xml:space="preserve">  </w:t>
            </w:r>
            <w:r>
              <w:rPr>
                <w:rFonts w:hint="eastAsia" w:ascii="宋体" w:hAnsi="宋体" w:eastAsia="宋体" w:cs="宋体"/>
                <w:highlight w:val="none"/>
                <w:shd w:val="clear" w:color="auto" w:fill="FFFFFF"/>
              </w:rPr>
              <w:t>4、具有发卡系统，具有发卡、充值、挂失、解锁、换卡、消费记录等功能；</w:t>
            </w:r>
          </w:p>
        </w:tc>
      </w:tr>
      <w:tr>
        <w:tblPrEx>
          <w:tblCellMar>
            <w:top w:w="15" w:type="dxa"/>
            <w:left w:w="15" w:type="dxa"/>
            <w:bottom w:w="15" w:type="dxa"/>
            <w:right w:w="15" w:type="dxa"/>
          </w:tblCellMar>
        </w:tblPrEx>
        <w:trPr>
          <w:trHeight w:val="2592"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480" w:firstLineChars="2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5</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240" w:firstLineChars="1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报表管理</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240" w:firstLineChars="1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1、对平台运作中产生的数据进行完全深入统计分析，形式统计报表，支持导出成Excel文件；</w:t>
            </w:r>
          </w:p>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240" w:firstLineChars="1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2、具有丰富统计报表功能，以图表方式对所有站充电机的数据进行统计分析，用户可通过统计图表掌握设备状况，如总收入统计、故障设备统计、充电历史统计、充电汇总统计等；</w:t>
            </w:r>
          </w:p>
        </w:tc>
      </w:tr>
      <w:tr>
        <w:tblPrEx>
          <w:tblCellMar>
            <w:top w:w="15" w:type="dxa"/>
            <w:left w:w="15" w:type="dxa"/>
            <w:bottom w:w="15" w:type="dxa"/>
            <w:right w:w="15" w:type="dxa"/>
          </w:tblCellMar>
        </w:tblPrEx>
        <w:trPr>
          <w:trHeight w:val="889"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480" w:firstLineChars="2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6</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240" w:firstLineChars="1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平台开放</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240" w:firstLineChars="1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平台提供开放接口，符合互联互通的接口标准，支持接入第三方应用系统，提高平台的可用性及扩展性；</w:t>
            </w:r>
          </w:p>
        </w:tc>
      </w:tr>
      <w:tr>
        <w:tblPrEx>
          <w:tblCellMar>
            <w:top w:w="15" w:type="dxa"/>
            <w:left w:w="15" w:type="dxa"/>
            <w:bottom w:w="15" w:type="dxa"/>
            <w:right w:w="15" w:type="dxa"/>
          </w:tblCellMar>
        </w:tblPrEx>
        <w:trPr>
          <w:trHeight w:val="1109"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480" w:firstLineChars="2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7</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240" w:firstLineChars="1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手机APP、移动支付说明</w:t>
            </w:r>
          </w:p>
        </w:tc>
        <w:tc>
          <w:tcPr>
            <w:tcW w:w="6379" w:type="dxa"/>
            <w:tcBorders>
              <w:top w:val="single" w:color="000000" w:sz="4" w:space="0"/>
              <w:left w:val="single" w:color="000000" w:sz="4" w:space="0"/>
              <w:bottom w:val="single" w:color="000000" w:sz="4" w:space="0"/>
              <w:right w:val="single" w:color="000000" w:sz="4" w:space="0"/>
            </w:tcBorders>
            <w:noWrap w:val="0"/>
            <w:vAlign w:val="center"/>
          </w:tcPr>
          <w:p>
            <w:pPr>
              <w:pStyle w:val="26"/>
              <w:keepNext w:val="0"/>
              <w:keepLines w:val="0"/>
              <w:pageBreakBefore w:val="0"/>
              <w:widowControl/>
              <w:shd w:val="clear" w:color="auto" w:fill="FFFFFF"/>
              <w:kinsoku/>
              <w:wordWrap/>
              <w:overflowPunct/>
              <w:topLinePunct w:val="0"/>
              <w:autoSpaceDE/>
              <w:autoSpaceDN/>
              <w:bidi w:val="0"/>
              <w:adjustRightInd w:val="0"/>
              <w:snapToGrid w:val="0"/>
              <w:spacing w:before="48" w:beforeAutospacing="0" w:after="48" w:afterAutospacing="0" w:line="440" w:lineRule="exact"/>
              <w:ind w:firstLine="240" w:firstLineChars="100"/>
              <w:jc w:val="both"/>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充电桩应支持APP充电（支持安卓、IOS等相关平台下载）、微信扫码充电，并支持微信、支付宝支付，终身免费开放该平台供</w:t>
            </w:r>
            <w:r>
              <w:rPr>
                <w:rFonts w:hint="eastAsia" w:cs="宋体"/>
                <w:highlight w:val="none"/>
                <w:shd w:val="clear" w:color="auto" w:fill="FFFFFF"/>
                <w:lang w:eastAsia="zh-CN"/>
              </w:rPr>
              <w:t>采购人</w:t>
            </w:r>
            <w:r>
              <w:rPr>
                <w:rFonts w:hint="eastAsia" w:ascii="宋体" w:hAnsi="宋体" w:eastAsia="宋体" w:cs="宋体"/>
                <w:highlight w:val="none"/>
                <w:shd w:val="clear" w:color="auto" w:fill="FFFFFF"/>
              </w:rPr>
              <w:t>使用，场站有对外运营需求时，中标人与</w:t>
            </w:r>
            <w:r>
              <w:rPr>
                <w:rFonts w:hint="eastAsia" w:cs="宋体"/>
                <w:highlight w:val="none"/>
                <w:shd w:val="clear" w:color="auto" w:fill="FFFFFF"/>
                <w:lang w:eastAsia="zh-CN"/>
              </w:rPr>
              <w:t>采购人</w:t>
            </w:r>
            <w:r>
              <w:rPr>
                <w:rFonts w:hint="eastAsia" w:ascii="宋体" w:hAnsi="宋体" w:eastAsia="宋体" w:cs="宋体"/>
                <w:highlight w:val="none"/>
                <w:shd w:val="clear" w:color="auto" w:fill="FFFFFF"/>
              </w:rPr>
              <w:t>收款结算采用T+0方式，资金实时到</w:t>
            </w:r>
            <w:r>
              <w:rPr>
                <w:rFonts w:hint="eastAsia" w:cs="宋体"/>
                <w:highlight w:val="none"/>
                <w:shd w:val="clear" w:color="auto" w:fill="FFFFFF"/>
                <w:lang w:eastAsia="zh-CN"/>
              </w:rPr>
              <w:t>采购人</w:t>
            </w:r>
            <w:r>
              <w:rPr>
                <w:rFonts w:hint="eastAsia" w:ascii="宋体" w:hAnsi="宋体" w:eastAsia="宋体" w:cs="宋体"/>
                <w:highlight w:val="none"/>
                <w:shd w:val="clear" w:color="auto" w:fill="FFFFFF"/>
              </w:rPr>
              <w:t>账户，中标人不加收任何费用（支付宝、微信加收费用除外）。投标人负责免费提供软件升级服务。投标人需提供相关证明及专项承诺；</w:t>
            </w:r>
          </w:p>
        </w:tc>
      </w:tr>
    </w:tbl>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p>
    <w:p>
      <w:pPr>
        <w:pStyle w:val="26"/>
        <w:shd w:val="clear" w:color="auto" w:fill="FFFFFF"/>
        <w:adjustRightInd w:val="0"/>
        <w:snapToGrid w:val="0"/>
        <w:spacing w:before="48" w:beforeAutospacing="0" w:after="48" w:afterAutospacing="0" w:line="440" w:lineRule="exact"/>
        <w:rPr>
          <w:rFonts w:hint="eastAsia" w:ascii="宋体" w:hAnsi="宋体" w:eastAsia="宋体" w:cs="宋体"/>
          <w:b/>
          <w:bCs/>
          <w:highlight w:val="none"/>
          <w:shd w:val="clear" w:color="auto" w:fill="FFFFFF"/>
          <w:lang w:eastAsia="zh-CN"/>
        </w:rPr>
      </w:pPr>
      <w:r>
        <w:rPr>
          <w:rFonts w:hint="eastAsia" w:ascii="宋体" w:hAnsi="宋体" w:eastAsia="宋体" w:cs="宋体"/>
          <w:b/>
          <w:bCs/>
          <w:highlight w:val="none"/>
          <w:shd w:val="clear" w:color="auto" w:fill="FFFFFF"/>
          <w:lang w:eastAsia="zh-CN"/>
        </w:rPr>
        <w:t>（</w:t>
      </w:r>
      <w:r>
        <w:rPr>
          <w:rFonts w:hint="eastAsia" w:ascii="宋体" w:hAnsi="宋体" w:eastAsia="宋体" w:cs="宋体"/>
          <w:b/>
          <w:bCs/>
          <w:highlight w:val="none"/>
          <w:shd w:val="clear" w:color="auto" w:fill="FFFFFF"/>
          <w:lang w:val="en-US" w:eastAsia="zh-CN"/>
        </w:rPr>
        <w:t>三</w:t>
      </w:r>
      <w:r>
        <w:rPr>
          <w:rFonts w:hint="eastAsia" w:ascii="宋体" w:hAnsi="宋体" w:eastAsia="宋体" w:cs="宋体"/>
          <w:b/>
          <w:bCs/>
          <w:highlight w:val="none"/>
          <w:shd w:val="clear" w:color="auto" w:fill="FFFFFF"/>
          <w:lang w:eastAsia="zh-CN"/>
        </w:rPr>
        <w:t>）、低压配套工程部分：</w:t>
      </w:r>
    </w:p>
    <w:p>
      <w:pPr>
        <w:pStyle w:val="26"/>
        <w:shd w:val="clear" w:color="auto" w:fill="FFFFFF"/>
        <w:adjustRightInd w:val="0"/>
        <w:snapToGrid w:val="0"/>
        <w:spacing w:before="48" w:beforeAutospacing="0" w:after="48" w:afterAutospacing="0" w:line="440" w:lineRule="exact"/>
        <w:ind w:firstLine="240" w:firstLineChars="100"/>
        <w:rPr>
          <w:rFonts w:hint="eastAsia" w:ascii="宋体" w:hAnsi="宋体" w:eastAsia="宋体" w:cs="宋体"/>
          <w:highlight w:val="none"/>
          <w:shd w:val="clear" w:color="auto" w:fill="FFFFFF"/>
          <w:lang w:val="zh-CN"/>
        </w:rPr>
      </w:pPr>
      <w:r>
        <w:rPr>
          <w:rFonts w:hint="eastAsia" w:ascii="宋体" w:hAnsi="宋体" w:eastAsia="宋体" w:cs="宋体"/>
          <w:highlight w:val="none"/>
          <w:shd w:val="clear" w:color="auto" w:fill="FFFFFF"/>
        </w:rPr>
        <w:t>★1</w:t>
      </w:r>
      <w:r>
        <w:rPr>
          <w:rFonts w:hint="eastAsia" w:ascii="宋体" w:hAnsi="宋体" w:eastAsia="宋体" w:cs="宋体"/>
          <w:highlight w:val="none"/>
          <w:shd w:val="clear" w:color="auto" w:fill="FFFFFF"/>
          <w:lang w:val="zh-CN"/>
        </w:rPr>
        <w:t>、低压电缆规格及电缆沟相关要求：</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color w:val="auto"/>
          <w:highlight w:val="none"/>
          <w:shd w:val="clear" w:color="auto" w:fill="FFFFFF"/>
          <w:lang w:val="zh-CN"/>
        </w:rPr>
      </w:pPr>
      <w:r>
        <w:rPr>
          <w:rFonts w:hint="eastAsia" w:ascii="宋体" w:hAnsi="宋体" w:eastAsia="宋体" w:cs="宋体"/>
          <w:highlight w:val="none"/>
          <w:shd w:val="clear" w:color="auto" w:fill="FFFFFF"/>
        </w:rPr>
        <w:t>低压电缆可参考采用</w:t>
      </w:r>
      <w:r>
        <w:rPr>
          <w:rFonts w:hint="eastAsia" w:ascii="宋体" w:hAnsi="宋体" w:eastAsia="宋体" w:cs="宋体"/>
          <w:color w:val="auto"/>
          <w:highlight w:val="none"/>
          <w:shd w:val="clear" w:color="auto" w:fill="FFFFFF"/>
        </w:rPr>
        <w:t xml:space="preserve"> 南平太阳、江苏上上、远东电缆等知名品牌生产的合格产品。低压电缆选用的型号根据清单规定。</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5331"/>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4" w:type="pct"/>
            <w:vMerge w:val="restart"/>
            <w:tcBorders>
              <w:top w:val="single" w:color="auto" w:sz="4" w:space="0"/>
              <w:left w:val="single" w:color="auto" w:sz="4" w:space="0"/>
              <w:right w:val="single" w:color="auto" w:sz="4" w:space="0"/>
            </w:tcBorders>
            <w:noWrap w:val="0"/>
            <w:vAlign w:val="center"/>
          </w:tcPr>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电缆</w:t>
            </w:r>
          </w:p>
        </w:tc>
        <w:tc>
          <w:tcPr>
            <w:tcW w:w="2892" w:type="pct"/>
            <w:tcBorders>
              <w:top w:val="single" w:color="auto" w:sz="4" w:space="0"/>
              <w:left w:val="single" w:color="auto" w:sz="4" w:space="0"/>
              <w:bottom w:val="single" w:color="auto" w:sz="4" w:space="0"/>
              <w:right w:val="single" w:color="auto" w:sz="4" w:space="0"/>
            </w:tcBorders>
            <w:noWrap w:val="0"/>
            <w:vAlign w:val="center"/>
          </w:tcPr>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YJV</w:t>
            </w:r>
            <w:r>
              <w:rPr>
                <w:rFonts w:hint="eastAsia" w:cs="宋体"/>
                <w:color w:val="auto"/>
                <w:highlight w:val="none"/>
                <w:shd w:val="clear" w:color="auto" w:fill="FFFFFF"/>
                <w:lang w:val="en-US" w:eastAsia="zh-CN"/>
              </w:rPr>
              <w:t>-</w:t>
            </w:r>
            <w:r>
              <w:rPr>
                <w:rFonts w:hint="eastAsia" w:ascii="宋体" w:hAnsi="宋体" w:eastAsia="宋体" w:cs="宋体"/>
                <w:color w:val="auto"/>
                <w:highlight w:val="none"/>
                <w:shd w:val="clear" w:color="auto" w:fill="FFFFFF"/>
              </w:rPr>
              <w:t>1kV-</w:t>
            </w:r>
            <w:r>
              <w:rPr>
                <w:rFonts w:hint="eastAsia"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rPr>
              <w:t>*1</w:t>
            </w:r>
            <w:r>
              <w:rPr>
                <w:rFonts w:hint="eastAsia"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rPr>
              <w:t>0+</w:t>
            </w:r>
            <w:r>
              <w:rPr>
                <w:rFonts w:hint="eastAsia"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rPr>
              <w:t>*70；</w:t>
            </w:r>
          </w:p>
        </w:tc>
        <w:tc>
          <w:tcPr>
            <w:tcW w:w="1342" w:type="pct"/>
            <w:vMerge w:val="restart"/>
            <w:tcBorders>
              <w:top w:val="single" w:color="auto" w:sz="4" w:space="0"/>
              <w:left w:val="single" w:color="auto" w:sz="4" w:space="0"/>
              <w:right w:val="single" w:color="auto" w:sz="4" w:space="0"/>
            </w:tcBorders>
            <w:noWrap w:val="0"/>
            <w:vAlign w:val="center"/>
          </w:tcPr>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rPr>
              <w:t>满足上述充电机使用</w:t>
            </w:r>
            <w:r>
              <w:rPr>
                <w:rFonts w:hint="eastAsia" w:ascii="宋体" w:hAnsi="宋体" w:eastAsia="宋体" w:cs="宋体"/>
                <w:color w:val="auto"/>
                <w:highlight w:val="none"/>
                <w:shd w:val="clear" w:color="auto" w:fill="FFFFFF"/>
                <w:lang w:eastAsia="zh-CN"/>
              </w:rPr>
              <w:t>并且不能低于上述要求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64" w:type="pct"/>
            <w:vMerge w:val="continue"/>
            <w:tcBorders>
              <w:left w:val="single" w:color="auto" w:sz="4" w:space="0"/>
              <w:right w:val="single" w:color="auto" w:sz="4" w:space="0"/>
            </w:tcBorders>
            <w:noWrap w:val="0"/>
            <w:vAlign w:val="center"/>
          </w:tcPr>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color w:val="auto"/>
                <w:highlight w:val="none"/>
                <w:shd w:val="clear" w:color="auto" w:fill="FFFFFF"/>
              </w:rPr>
            </w:pPr>
          </w:p>
        </w:tc>
        <w:tc>
          <w:tcPr>
            <w:tcW w:w="2892" w:type="pct"/>
            <w:tcBorders>
              <w:top w:val="single" w:color="auto" w:sz="4" w:space="0"/>
              <w:left w:val="single" w:color="auto" w:sz="4" w:space="0"/>
              <w:bottom w:val="single" w:color="auto" w:sz="4" w:space="0"/>
              <w:right w:val="single" w:color="auto" w:sz="4" w:space="0"/>
            </w:tcBorders>
            <w:noWrap w:val="0"/>
            <w:vAlign w:val="center"/>
          </w:tcPr>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YJV</w:t>
            </w:r>
            <w:r>
              <w:rPr>
                <w:rFonts w:hint="eastAsia" w:cs="宋体"/>
                <w:color w:val="auto"/>
                <w:highlight w:val="none"/>
                <w:shd w:val="clear" w:color="auto" w:fill="FFFFFF"/>
                <w:lang w:val="en-US" w:eastAsia="zh-CN"/>
              </w:rPr>
              <w:t>-</w:t>
            </w:r>
            <w:r>
              <w:rPr>
                <w:rFonts w:hint="eastAsia" w:ascii="宋体" w:hAnsi="宋体" w:eastAsia="宋体" w:cs="宋体"/>
                <w:color w:val="auto"/>
                <w:highlight w:val="none"/>
                <w:shd w:val="clear" w:color="auto" w:fill="FFFFFF"/>
              </w:rPr>
              <w:t>1kV-</w:t>
            </w:r>
            <w:r>
              <w:rPr>
                <w:rFonts w:hint="eastAsia"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rPr>
              <w:t>*</w:t>
            </w:r>
            <w:r>
              <w:rPr>
                <w:rFonts w:hint="eastAsia" w:cs="宋体"/>
                <w:color w:val="auto"/>
                <w:highlight w:val="none"/>
                <w:shd w:val="clear" w:color="auto" w:fill="FFFFFF"/>
                <w:lang w:val="en-US" w:eastAsia="zh-CN"/>
              </w:rPr>
              <w:t>95</w:t>
            </w:r>
            <w:r>
              <w:rPr>
                <w:rFonts w:hint="eastAsia" w:ascii="宋体" w:hAnsi="宋体" w:eastAsia="宋体" w:cs="宋体"/>
                <w:color w:val="auto"/>
                <w:highlight w:val="none"/>
                <w:shd w:val="clear" w:color="auto" w:fill="FFFFFF"/>
              </w:rPr>
              <w:t>+</w:t>
            </w:r>
            <w:r>
              <w:rPr>
                <w:rFonts w:hint="eastAsia"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rPr>
              <w:t>*70。</w:t>
            </w:r>
          </w:p>
        </w:tc>
        <w:tc>
          <w:tcPr>
            <w:tcW w:w="1342" w:type="pct"/>
            <w:vMerge w:val="continue"/>
            <w:tcBorders>
              <w:left w:val="single" w:color="auto" w:sz="4" w:space="0"/>
              <w:right w:val="single" w:color="auto" w:sz="4" w:space="0"/>
            </w:tcBorders>
            <w:noWrap w:val="0"/>
            <w:vAlign w:val="center"/>
          </w:tcPr>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color w:val="auto"/>
                <w:highlight w:val="none"/>
                <w:shd w:val="clear" w:color="auto" w:fill="FFFFFF"/>
              </w:rPr>
            </w:pPr>
          </w:p>
        </w:tc>
      </w:tr>
    </w:tbl>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zh-CN"/>
        </w:rPr>
      </w:pPr>
      <w:r>
        <w:rPr>
          <w:rFonts w:hint="eastAsia" w:ascii="宋体" w:hAnsi="宋体" w:eastAsia="宋体" w:cs="宋体"/>
          <w:highlight w:val="none"/>
          <w:shd w:val="clear" w:color="auto" w:fill="FFFFFF"/>
          <w:lang w:val="en-US" w:eastAsia="zh-CN"/>
        </w:rPr>
        <w:t>2、</w:t>
      </w:r>
      <w:r>
        <w:rPr>
          <w:rFonts w:hint="eastAsia" w:ascii="宋体" w:hAnsi="宋体" w:eastAsia="宋体" w:cs="宋体"/>
          <w:highlight w:val="none"/>
          <w:shd w:val="clear" w:color="auto" w:fill="FFFFFF"/>
          <w:lang w:val="zh-CN"/>
        </w:rPr>
        <w:t>本项电缆费用由中标方承担。投标人可提前向</w:t>
      </w:r>
      <w:r>
        <w:rPr>
          <w:rFonts w:hint="eastAsia" w:cs="宋体"/>
          <w:highlight w:val="none"/>
          <w:shd w:val="clear" w:color="auto" w:fill="FFFFFF"/>
          <w:lang w:val="zh-CN"/>
        </w:rPr>
        <w:t>采购人</w:t>
      </w:r>
      <w:r>
        <w:rPr>
          <w:rFonts w:hint="eastAsia" w:ascii="宋体" w:hAnsi="宋体" w:eastAsia="宋体" w:cs="宋体"/>
          <w:highlight w:val="none"/>
          <w:shd w:val="clear" w:color="auto" w:fill="FFFFFF"/>
          <w:lang w:val="zh-CN"/>
        </w:rPr>
        <w:t>咨询具体位置及充电桩、充电机布设设计图；</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CN"/>
        </w:rPr>
        <w:t>本项电缆是用于充电机与变压器、充电桩与充电机之间的连接，成交方所采购的电缆必须符合国家标准，并通过相关部门质量验证，确保使用阻燃材料。能够满足充电机使用条件。</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zh-CN"/>
        </w:rPr>
      </w:pPr>
      <w:r>
        <w:rPr>
          <w:rFonts w:hint="eastAsia" w:ascii="宋体" w:hAnsi="宋体" w:eastAsia="宋体" w:cs="宋体"/>
          <w:highlight w:val="none"/>
          <w:shd w:val="clear" w:color="auto" w:fill="FFFFFF"/>
          <w:lang w:val="en-US" w:eastAsia="zh-CN"/>
        </w:rPr>
        <w:t>4、</w:t>
      </w:r>
      <w:r>
        <w:rPr>
          <w:rFonts w:hint="eastAsia" w:ascii="宋体" w:hAnsi="宋体" w:eastAsia="宋体" w:cs="宋体"/>
          <w:highlight w:val="none"/>
          <w:shd w:val="clear" w:color="auto" w:fill="FFFFFF"/>
          <w:lang w:val="zh-CN"/>
        </w:rPr>
        <w:t>充电桩基座及水泥平台要求：</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zh-CN"/>
        </w:rPr>
      </w:pPr>
      <w:r>
        <w:rPr>
          <w:rFonts w:hint="eastAsia" w:ascii="宋体" w:hAnsi="宋体" w:eastAsia="宋体" w:cs="宋体"/>
          <w:highlight w:val="none"/>
          <w:shd w:val="clear" w:color="auto" w:fill="FFFFFF"/>
          <w:lang w:val="en-US" w:eastAsia="zh-CN"/>
        </w:rPr>
        <w:t>4.1.</w:t>
      </w:r>
      <w:r>
        <w:rPr>
          <w:rFonts w:hint="eastAsia" w:ascii="宋体" w:hAnsi="宋体" w:eastAsia="宋体" w:cs="宋体"/>
          <w:highlight w:val="none"/>
          <w:shd w:val="clear" w:color="auto" w:fill="FFFFFF"/>
          <w:lang w:val="zh-CN"/>
        </w:rPr>
        <w:t>基础开挖：地下开挖深度不小于300mm，地坪以上不小于1</w:t>
      </w:r>
      <w:r>
        <w:rPr>
          <w:rFonts w:hint="eastAsia" w:ascii="宋体" w:hAnsi="宋体" w:eastAsia="宋体" w:cs="宋体"/>
          <w:highlight w:val="none"/>
          <w:shd w:val="clear" w:color="auto" w:fill="FFFFFF"/>
        </w:rPr>
        <w:t>5</w:t>
      </w:r>
      <w:r>
        <w:rPr>
          <w:rFonts w:hint="eastAsia" w:ascii="宋体" w:hAnsi="宋体" w:eastAsia="宋体" w:cs="宋体"/>
          <w:highlight w:val="none"/>
          <w:shd w:val="clear" w:color="auto" w:fill="FFFFFF"/>
          <w:lang w:val="zh-CN"/>
        </w:rPr>
        <w:t>0mm，开挖尺寸根据产品尺寸，同时注意预留足够的电缆进线套管，对基础底层进行夯实加固。</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zh-CN"/>
        </w:rPr>
      </w:pPr>
      <w:r>
        <w:rPr>
          <w:rFonts w:hint="eastAsia" w:ascii="宋体" w:hAnsi="宋体" w:eastAsia="宋体" w:cs="宋体"/>
          <w:highlight w:val="none"/>
          <w:shd w:val="clear" w:color="auto" w:fill="FFFFFF"/>
          <w:lang w:val="en-US" w:eastAsia="zh-CN"/>
        </w:rPr>
        <w:t>4.2.</w:t>
      </w:r>
      <w:r>
        <w:rPr>
          <w:rFonts w:hint="eastAsia" w:ascii="宋体" w:hAnsi="宋体" w:eastAsia="宋体" w:cs="宋体"/>
          <w:highlight w:val="none"/>
          <w:shd w:val="clear" w:color="auto" w:fill="FFFFFF"/>
          <w:lang w:val="zh-CN"/>
        </w:rPr>
        <w:t>垫层：基础垫层为C15混凝土，垫层厚度≥100mm。基础主体采用砖砌体结构。</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zh-CN"/>
        </w:rPr>
      </w:pPr>
      <w:r>
        <w:rPr>
          <w:rFonts w:hint="eastAsia" w:ascii="宋体" w:hAnsi="宋体" w:eastAsia="宋体" w:cs="宋体"/>
          <w:highlight w:val="none"/>
          <w:shd w:val="clear" w:color="auto" w:fill="FFFFFF"/>
          <w:lang w:val="en-US" w:eastAsia="zh-CN"/>
        </w:rPr>
        <w:t>4</w:t>
      </w:r>
      <w:r>
        <w:rPr>
          <w:rFonts w:hint="eastAsia" w:ascii="宋体" w:hAnsi="宋体" w:eastAsia="宋体" w:cs="宋体"/>
          <w:highlight w:val="none"/>
          <w:shd w:val="clear" w:color="auto" w:fill="FFFFFF"/>
          <w:lang w:val="zh-CN"/>
        </w:rPr>
        <w:t>.</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CN"/>
        </w:rPr>
        <w:t>外壳重复接地：设置至少1个接地极，接地扁铁沿电缆沟敷设，确保阻值≤10Ω。</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zh-CN"/>
        </w:rPr>
      </w:pPr>
      <w:r>
        <w:rPr>
          <w:rFonts w:hint="eastAsia" w:ascii="宋体" w:hAnsi="宋体" w:eastAsia="宋体" w:cs="宋体"/>
          <w:highlight w:val="none"/>
          <w:shd w:val="clear" w:color="auto" w:fill="FFFFFF"/>
          <w:lang w:val="en-US" w:eastAsia="zh-CN"/>
        </w:rPr>
        <w:t>4.4.</w:t>
      </w:r>
      <w:r>
        <w:rPr>
          <w:rFonts w:hint="eastAsia" w:ascii="宋体" w:hAnsi="宋体" w:eastAsia="宋体" w:cs="宋体"/>
          <w:highlight w:val="none"/>
          <w:shd w:val="clear" w:color="auto" w:fill="FFFFFF"/>
          <w:lang w:val="zh-CN"/>
        </w:rPr>
        <w:t>充电桩及停车位在现有的基础上深挖200mm或以上，清理余泥并压实，场地排水要通畅，不能出现积水。</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rPr>
        <w:t>电缆通道施工标准</w:t>
      </w:r>
      <w:r>
        <w:rPr>
          <w:rFonts w:hint="eastAsia" w:ascii="宋体" w:hAnsi="宋体" w:eastAsia="宋体" w:cs="宋体"/>
          <w:highlight w:val="none"/>
          <w:shd w:val="clear" w:color="auto" w:fill="FFFFFF"/>
          <w:lang w:val="en-US" w:eastAsia="zh-CN"/>
        </w:rPr>
        <w:t>:</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zh-CN"/>
        </w:rPr>
      </w:pP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CN"/>
        </w:rPr>
        <w:t>.1</w:t>
      </w:r>
      <w:r>
        <w:rPr>
          <w:rFonts w:hint="eastAsia" w:ascii="宋体" w:hAnsi="宋体" w:eastAsia="宋体" w:cs="宋体"/>
          <w:highlight w:val="none"/>
          <w:shd w:val="clear" w:color="auto" w:fill="FFFFFF"/>
          <w:lang w:val="en-US" w:eastAsia="zh-CN"/>
        </w:rPr>
        <w:t>.</w:t>
      </w:r>
      <w:r>
        <w:rPr>
          <w:rFonts w:hint="eastAsia" w:ascii="宋体" w:hAnsi="宋体" w:eastAsia="宋体" w:cs="宋体"/>
          <w:highlight w:val="none"/>
          <w:shd w:val="clear" w:color="auto" w:fill="FFFFFF"/>
          <w:lang w:val="zh-CN"/>
        </w:rPr>
        <w:t>预埋电缆套管材质及电缆桥架标准</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zh-CN"/>
        </w:rPr>
      </w:pPr>
      <w:r>
        <w:rPr>
          <w:rFonts w:hint="eastAsia" w:ascii="宋体" w:hAnsi="宋体" w:eastAsia="宋体" w:cs="宋体"/>
          <w:highlight w:val="none"/>
          <w:shd w:val="clear" w:color="auto" w:fill="FFFFFF"/>
          <w:lang w:val="zh-CN"/>
        </w:rPr>
        <w:t>遇横穿道路，高度低于2米、防火或机械性要求高的场所，需埋镀锌钢管，1.0mm厚。</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zh-CN"/>
        </w:rPr>
      </w:pPr>
      <w:r>
        <w:rPr>
          <w:rFonts w:hint="eastAsia" w:ascii="宋体" w:hAnsi="宋体" w:eastAsia="宋体" w:cs="宋体"/>
          <w:highlight w:val="none"/>
          <w:shd w:val="clear" w:color="auto" w:fill="FFFFFF"/>
          <w:lang w:val="zh-CN"/>
        </w:rPr>
        <w:t>其余部分，根据施工现场环境，选用硬质PVC管，1.0mm厚。</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zh-CN"/>
        </w:rPr>
      </w:pPr>
      <w:r>
        <w:rPr>
          <w:rFonts w:hint="eastAsia" w:ascii="宋体" w:hAnsi="宋体" w:eastAsia="宋体" w:cs="宋体"/>
          <w:highlight w:val="none"/>
          <w:shd w:val="clear" w:color="auto" w:fill="FFFFFF"/>
          <w:lang w:val="zh-CN"/>
        </w:rPr>
        <w:t>电缆桥架要求选用镀锌、涂塑或不锈钢钢材质。</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zh-CN"/>
        </w:rPr>
      </w:pP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CN"/>
        </w:rPr>
        <w:t>.2</w:t>
      </w:r>
      <w:r>
        <w:rPr>
          <w:rFonts w:hint="eastAsia" w:ascii="宋体" w:hAnsi="宋体" w:eastAsia="宋体" w:cs="宋体"/>
          <w:highlight w:val="none"/>
          <w:shd w:val="clear" w:color="auto" w:fill="FFFFFF"/>
          <w:lang w:val="en-US" w:eastAsia="zh-CN"/>
        </w:rPr>
        <w:t>.</w:t>
      </w:r>
      <w:r>
        <w:rPr>
          <w:rFonts w:hint="eastAsia" w:ascii="宋体" w:hAnsi="宋体" w:eastAsia="宋体" w:cs="宋体"/>
          <w:highlight w:val="none"/>
          <w:shd w:val="clear" w:color="auto" w:fill="FFFFFF"/>
          <w:lang w:val="zh-CN"/>
        </w:rPr>
        <w:t>电缆管及桥架规格尺寸标准</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zh-CN"/>
        </w:rPr>
      </w:pPr>
      <w:r>
        <w:rPr>
          <w:rFonts w:hint="eastAsia" w:ascii="宋体" w:hAnsi="宋体" w:eastAsia="宋体" w:cs="宋体"/>
          <w:highlight w:val="none"/>
          <w:shd w:val="clear" w:color="auto" w:fill="FFFFFF"/>
          <w:lang w:val="zh-CN"/>
        </w:rPr>
        <w:t>单根电缆选管标准为，管子内径为电缆外径的1.5倍。</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zh-CN"/>
        </w:rPr>
      </w:pPr>
      <w:r>
        <w:rPr>
          <w:rFonts w:hint="eastAsia" w:ascii="宋体" w:hAnsi="宋体" w:eastAsia="宋体" w:cs="宋体"/>
          <w:highlight w:val="none"/>
          <w:shd w:val="clear" w:color="auto" w:fill="FFFFFF"/>
          <w:lang w:val="zh-CN"/>
        </w:rPr>
        <w:t>多根电缆选管标准为，管子内径为多根电缆包络外径的1.5倍。</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zh-CN"/>
        </w:rPr>
      </w:pPr>
      <w:r>
        <w:rPr>
          <w:rFonts w:hint="eastAsia" w:ascii="宋体" w:hAnsi="宋体" w:eastAsia="宋体" w:cs="宋体"/>
          <w:highlight w:val="none"/>
          <w:shd w:val="clear" w:color="auto" w:fill="FFFFFF"/>
          <w:lang w:val="zh-CN"/>
        </w:rPr>
        <w:t>电缆桥架托盘、梯架板材厚度标准应满足下表的规定：</w:t>
      </w:r>
    </w:p>
    <w:tbl>
      <w:tblPr>
        <w:tblStyle w:val="3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1"/>
        <w:gridCol w:w="4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pct"/>
            <w:noWrap w:val="0"/>
            <w:vAlign w:val="top"/>
          </w:tcPr>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托盘、梯架宽度（㎜）</w:t>
            </w:r>
          </w:p>
        </w:tc>
        <w:tc>
          <w:tcPr>
            <w:tcW w:w="2454" w:type="pct"/>
            <w:noWrap w:val="0"/>
            <w:vAlign w:val="top"/>
          </w:tcPr>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允许最小板厚度（㎜）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pct"/>
            <w:noWrap w:val="0"/>
            <w:vAlign w:val="top"/>
          </w:tcPr>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B&lt;100</w:t>
            </w:r>
          </w:p>
        </w:tc>
        <w:tc>
          <w:tcPr>
            <w:tcW w:w="2454" w:type="pct"/>
            <w:noWrap w:val="0"/>
            <w:vAlign w:val="top"/>
          </w:tcPr>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pct"/>
            <w:noWrap w:val="0"/>
            <w:vAlign w:val="top"/>
          </w:tcPr>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100≤B＜150</w:t>
            </w:r>
          </w:p>
        </w:tc>
        <w:tc>
          <w:tcPr>
            <w:tcW w:w="2454" w:type="pct"/>
            <w:noWrap w:val="0"/>
            <w:vAlign w:val="top"/>
          </w:tcPr>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pct"/>
            <w:noWrap w:val="0"/>
            <w:vAlign w:val="top"/>
          </w:tcPr>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150≤B＜400</w:t>
            </w:r>
          </w:p>
        </w:tc>
        <w:tc>
          <w:tcPr>
            <w:tcW w:w="2454" w:type="pct"/>
            <w:noWrap w:val="0"/>
            <w:vAlign w:val="top"/>
          </w:tcPr>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pct"/>
            <w:noWrap w:val="0"/>
            <w:vAlign w:val="top"/>
          </w:tcPr>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400≤B＜800</w:t>
            </w:r>
          </w:p>
        </w:tc>
        <w:tc>
          <w:tcPr>
            <w:tcW w:w="2454" w:type="pct"/>
            <w:noWrap w:val="0"/>
            <w:vAlign w:val="top"/>
          </w:tcPr>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pct"/>
            <w:noWrap w:val="0"/>
            <w:vAlign w:val="top"/>
          </w:tcPr>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&gt;800</w:t>
            </w:r>
          </w:p>
        </w:tc>
        <w:tc>
          <w:tcPr>
            <w:tcW w:w="2454" w:type="pct"/>
            <w:noWrap w:val="0"/>
            <w:vAlign w:val="top"/>
          </w:tcPr>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2.5</w:t>
            </w:r>
          </w:p>
        </w:tc>
      </w:tr>
    </w:tbl>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zh-CN"/>
        </w:rPr>
      </w:pP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CN"/>
        </w:rPr>
        <w:t>.3</w:t>
      </w:r>
      <w:r>
        <w:rPr>
          <w:rFonts w:hint="eastAsia" w:ascii="宋体" w:hAnsi="宋体" w:eastAsia="宋体" w:cs="宋体"/>
          <w:highlight w:val="none"/>
          <w:shd w:val="clear" w:color="auto" w:fill="FFFFFF"/>
          <w:lang w:val="en-US" w:eastAsia="zh-CN"/>
        </w:rPr>
        <w:t>.</w:t>
      </w:r>
      <w:r>
        <w:rPr>
          <w:rFonts w:hint="eastAsia" w:ascii="宋体" w:hAnsi="宋体" w:eastAsia="宋体" w:cs="宋体"/>
          <w:highlight w:val="none"/>
          <w:shd w:val="clear" w:color="auto" w:fill="FFFFFF"/>
          <w:lang w:val="zh-CN"/>
        </w:rPr>
        <w:t>预埋电缆套管敷设施工标准</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zh-CN"/>
        </w:rPr>
      </w:pPr>
      <w:r>
        <w:rPr>
          <w:rFonts w:hint="eastAsia" w:ascii="宋体" w:hAnsi="宋体" w:eastAsia="宋体" w:cs="宋体"/>
          <w:highlight w:val="none"/>
          <w:shd w:val="clear" w:color="auto" w:fill="FFFFFF"/>
          <w:lang w:val="zh-CN"/>
        </w:rPr>
        <w:t>路径：避开含有酸、碱强腐蚀或杂散电流电化学腐蚀严重影响的地段；避开白蚁危害地带、热源影响和易遭受外力损伤的区段。</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CN"/>
        </w:rPr>
        <w:t>.</w:t>
      </w:r>
      <w:r>
        <w:rPr>
          <w:rFonts w:hint="eastAsia" w:ascii="宋体" w:hAnsi="宋体" w:eastAsia="宋体" w:cs="宋体"/>
          <w:highlight w:val="none"/>
          <w:shd w:val="clear" w:color="auto" w:fill="FFFFFF"/>
        </w:rPr>
        <w:t>4</w:t>
      </w:r>
      <w:r>
        <w:rPr>
          <w:rFonts w:hint="eastAsia" w:ascii="宋体" w:hAnsi="宋体" w:eastAsia="宋体" w:cs="宋体"/>
          <w:highlight w:val="none"/>
          <w:shd w:val="clear" w:color="auto" w:fill="FFFFFF"/>
          <w:lang w:val="en-US" w:eastAsia="zh-CN"/>
        </w:rPr>
        <w:t>.</w:t>
      </w:r>
      <w:r>
        <w:rPr>
          <w:rFonts w:hint="eastAsia" w:ascii="宋体" w:hAnsi="宋体" w:eastAsia="宋体" w:cs="宋体"/>
          <w:highlight w:val="none"/>
          <w:shd w:val="clear" w:color="auto" w:fill="FFFFFF"/>
        </w:rPr>
        <w:t>电缆桥架施工标准</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如果后期充电桩建设有涉及使用电缆桥架，则要求按照以下标准执行：</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电缆桥架施工主要适应于地下车库等室内充电项目，充电项目工程所用的电缆桥架规格及路径，其施工工序：定位放线；预埋铁件或安装膨胀螺栓；支架、吊架、托架安装；桥架安装；保护接地安装。</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电缆桥架的直线段、弯通、桥架附件及支、吊架等应光滑平整，无棱刺，不应有扭曲翘边等变形现象。</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电缆桥架水平敷设时，支撑跨距一般为1.5～3m，电缆桥架垂直敷设时固定点间距不宜大于2m。桥架弯通弯曲半径不大于300mm时，应在距弯曲段与直线段结合处300～600mm的直线段侧设置一个支、吊架。当弯曲半径大于300mm时，还应在弯通中部增设一个支、吊架。</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支、吊架和桥架安装必须考虑电缆敷设弯曲半径，满足规范最小弯曲半径≥20D（D为最大截面积电缆外径）。</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电缆桥架与用电设备交越时,其间的净距不小于0.5m，两组电缆桥架在同一高度平行敷设时,其间净距不小于0.6m。</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桥架安装高度宜≥2.2m，桥架与易燃易爆、热力管道交叉时安全距离应≥1m。</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桥架连接处应连接板、垫圈、弹垫、螺母齐全（位于桥架外侧），同时连接处应跨接截面积不低于4mm²的铜编线（镀锌桥架可不跨接铜编线）。</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zh-CN"/>
        </w:rPr>
      </w:pPr>
      <w:r>
        <w:rPr>
          <w:rFonts w:hint="eastAsia" w:ascii="宋体" w:hAnsi="宋体" w:eastAsia="宋体" w:cs="宋体"/>
          <w:highlight w:val="none"/>
          <w:shd w:val="clear" w:color="auto" w:fill="FFFFFF"/>
        </w:rPr>
        <w:t>桥架转弯处应使用合适的专用弯通，直线段钢制电缆桥架长度超过30m应设有伸缩节。</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lang w:val="en-US" w:eastAsia="zh-CN"/>
        </w:rPr>
        <w:t>6</w:t>
      </w:r>
      <w:r>
        <w:rPr>
          <w:rFonts w:hint="eastAsia" w:ascii="宋体" w:hAnsi="宋体" w:eastAsia="宋体" w:cs="宋体"/>
          <w:highlight w:val="none"/>
          <w:shd w:val="clear" w:color="auto" w:fill="FFFFFF"/>
        </w:rPr>
        <w:t>、场站照明系统</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为保证夜间车辆充电安全，要求在每座雨棚顶部、场站关键位置设置，并安装时控开关；</w:t>
      </w:r>
    </w:p>
    <w:p>
      <w:pPr>
        <w:pStyle w:val="26"/>
        <w:shd w:val="clear" w:color="auto" w:fill="FFFFFF"/>
        <w:adjustRightInd w:val="0"/>
        <w:snapToGrid w:val="0"/>
        <w:spacing w:before="48" w:beforeAutospacing="0" w:after="48" w:afterAutospacing="0" w:line="440" w:lineRule="exact"/>
        <w:ind w:firstLine="240" w:firstLineChars="1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（1）产品均符合国家、各行业环保要求，在事故情况或极端环境条件下，产品不发生燃烧、爆炸或产生有害影响。</w:t>
      </w:r>
    </w:p>
    <w:p>
      <w:pPr>
        <w:pStyle w:val="26"/>
        <w:shd w:val="clear" w:color="auto" w:fill="FFFFFF"/>
        <w:adjustRightInd w:val="0"/>
        <w:snapToGrid w:val="0"/>
        <w:spacing w:before="48" w:beforeAutospacing="0" w:after="48" w:afterAutospacing="0" w:line="440" w:lineRule="exact"/>
        <w:ind w:firstLine="240" w:firstLineChars="1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（2）灯具LED节能灯，结构轻巧，形简洁、美观大方。</w:t>
      </w:r>
    </w:p>
    <w:p>
      <w:pPr>
        <w:pStyle w:val="26"/>
        <w:shd w:val="clear" w:color="auto" w:fill="FFFFFF"/>
        <w:adjustRightInd w:val="0"/>
        <w:snapToGrid w:val="0"/>
        <w:spacing w:before="48" w:beforeAutospacing="0" w:after="48" w:afterAutospacing="0" w:line="440" w:lineRule="exact"/>
        <w:ind w:firstLine="240" w:firstLineChars="1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（3）显色性Ra≥70自然色光。</w:t>
      </w:r>
    </w:p>
    <w:p>
      <w:pPr>
        <w:pStyle w:val="26"/>
        <w:shd w:val="clear" w:color="auto" w:fill="FFFFFF"/>
        <w:adjustRightInd w:val="0"/>
        <w:snapToGrid w:val="0"/>
        <w:spacing w:before="48" w:beforeAutospacing="0" w:after="48" w:afterAutospacing="0" w:line="440" w:lineRule="exact"/>
        <w:ind w:firstLine="240" w:firstLineChars="1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（4）防护等级IP65。</w:t>
      </w:r>
    </w:p>
    <w:p>
      <w:pPr>
        <w:pStyle w:val="26"/>
        <w:shd w:val="clear" w:color="auto" w:fill="FFFFFF"/>
        <w:adjustRightInd w:val="0"/>
        <w:snapToGrid w:val="0"/>
        <w:spacing w:before="48" w:beforeAutospacing="0" w:after="48" w:afterAutospacing="0" w:line="440" w:lineRule="exact"/>
        <w:ind w:firstLine="240" w:firstLineChars="1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（5）防水防尘防腐灯具应能适用于多尘埃、多水蒸汽，室外具有1级腐蚀性场所。防腐等级WF2。</w:t>
      </w:r>
    </w:p>
    <w:p>
      <w:pPr>
        <w:pStyle w:val="26"/>
        <w:shd w:val="clear" w:color="auto" w:fill="FFFFFF"/>
        <w:adjustRightInd w:val="0"/>
        <w:snapToGrid w:val="0"/>
        <w:spacing w:before="48" w:beforeAutospacing="0" w:after="48" w:afterAutospacing="0" w:line="440" w:lineRule="exact"/>
        <w:ind w:firstLine="240" w:firstLineChars="1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（6）制造厂应该成套提供各型安装支架(如支架、各种安装附件)，安装支架及附件均为热浸镀锌。灯具非带电金属部分通过外壳上的接地螺栓接地。裸露部分采用金属材质。</w:t>
      </w:r>
      <w:bookmarkEnd w:id="23"/>
      <w:bookmarkEnd w:id="24"/>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lang w:val="en-US" w:eastAsia="zh-CN"/>
        </w:rPr>
        <w:t>7</w:t>
      </w:r>
      <w:r>
        <w:rPr>
          <w:rFonts w:hint="eastAsia" w:ascii="宋体" w:hAnsi="宋体" w:eastAsia="宋体" w:cs="宋体"/>
          <w:highlight w:val="none"/>
          <w:shd w:val="clear" w:color="auto" w:fill="FFFFFF"/>
        </w:rPr>
        <w:t>、场站设置隔离网、变压器防撞栏:</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结合各场站实际情况，部分场站需在充电桩、变压器后方设置简易隔离网，在箱变处设置</w:t>
      </w:r>
      <w:r>
        <w:rPr>
          <w:rFonts w:hint="eastAsia" w:ascii="宋体" w:hAnsi="宋体" w:eastAsia="宋体" w:cs="宋体"/>
          <w:highlight w:val="none"/>
          <w:shd w:val="clear" w:color="auto" w:fill="FFFFFF"/>
          <w:lang w:eastAsia="zh-CN"/>
        </w:rPr>
        <w:t>不锈钢</w:t>
      </w:r>
      <w:r>
        <w:rPr>
          <w:rFonts w:hint="eastAsia" w:ascii="宋体" w:hAnsi="宋体" w:eastAsia="宋体" w:cs="宋体"/>
          <w:highlight w:val="none"/>
          <w:shd w:val="clear" w:color="auto" w:fill="FFFFFF"/>
        </w:rPr>
        <w:t>防撞围栏，要求整体牢固、美观，具体按</w:t>
      </w:r>
      <w:r>
        <w:rPr>
          <w:rFonts w:hint="eastAsia" w:cs="宋体"/>
          <w:highlight w:val="none"/>
          <w:shd w:val="clear" w:color="auto" w:fill="FFFFFF"/>
          <w:lang w:eastAsia="zh-CN"/>
        </w:rPr>
        <w:t>采购人</w:t>
      </w:r>
      <w:r>
        <w:rPr>
          <w:rFonts w:hint="eastAsia" w:ascii="宋体" w:hAnsi="宋体" w:eastAsia="宋体" w:cs="宋体"/>
          <w:highlight w:val="none"/>
          <w:shd w:val="clear" w:color="auto" w:fill="FFFFFF"/>
        </w:rPr>
        <w:t>要求设置。</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lang w:val="en-US" w:eastAsia="zh-CN"/>
        </w:rPr>
        <w:t>8</w:t>
      </w:r>
      <w:r>
        <w:rPr>
          <w:rFonts w:hint="eastAsia" w:ascii="宋体" w:hAnsi="宋体" w:eastAsia="宋体" w:cs="宋体"/>
          <w:highlight w:val="none"/>
          <w:shd w:val="clear" w:color="auto" w:fill="FFFFFF"/>
        </w:rPr>
        <w:t>、充电站排水：整个充电站在建设时要统筹考虑排水功能，提前接入下水道，建设排水沟，场地排水要通畅，确保不积水。</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lang w:val="en-US" w:eastAsia="zh-CN"/>
        </w:rPr>
        <w:t>9</w:t>
      </w:r>
      <w:r>
        <w:rPr>
          <w:rFonts w:hint="eastAsia" w:ascii="宋体" w:hAnsi="宋体" w:eastAsia="宋体" w:cs="宋体"/>
          <w:highlight w:val="none"/>
          <w:shd w:val="clear" w:color="auto" w:fill="FFFFFF"/>
        </w:rPr>
        <w:t>、场地恢复：现场施工完毕，地面须按照施工前原貌恢复，包括路面恢复、垃圾清理等。</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lang w:val="en-US" w:eastAsia="zh-CN"/>
        </w:rPr>
        <w:t>10</w:t>
      </w:r>
      <w:r>
        <w:rPr>
          <w:rFonts w:hint="eastAsia" w:ascii="宋体" w:hAnsi="宋体" w:eastAsia="宋体" w:cs="宋体"/>
          <w:highlight w:val="none"/>
          <w:shd w:val="clear" w:color="auto" w:fill="FFFFFF"/>
        </w:rPr>
        <w:t>、</w:t>
      </w:r>
      <w:r>
        <w:rPr>
          <w:rFonts w:hint="eastAsia" w:ascii="宋体" w:hAnsi="宋体" w:eastAsia="宋体" w:cs="宋体"/>
          <w:highlight w:val="none"/>
          <w:shd w:val="clear" w:color="auto" w:fill="FFFFFF"/>
          <w:lang w:eastAsia="zh-CN"/>
        </w:rPr>
        <w:t>充电站标识制作：</w:t>
      </w:r>
      <w:r>
        <w:rPr>
          <w:rFonts w:hint="eastAsia" w:ascii="宋体" w:hAnsi="宋体" w:eastAsia="宋体" w:cs="宋体"/>
          <w:highlight w:val="none"/>
          <w:shd w:val="clear" w:color="auto" w:fill="FFFFFF"/>
        </w:rPr>
        <w:t>场站充电桩指示牌、反光贴、引导牌、操作规程等标识标语参照我司现有场站制作方式，由中标人负责制作。</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lang w:val="en-US" w:eastAsia="zh-CN"/>
        </w:rPr>
        <w:t>11、建成的场站按照</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要求画好充电车位。</w:t>
      </w:r>
    </w:p>
    <w:p>
      <w:pPr>
        <w:spacing w:line="360" w:lineRule="auto"/>
        <w:rPr>
          <w:rFonts w:hint="eastAsia" w:ascii="宋体" w:hAnsi="宋体" w:cs="宋体"/>
          <w:b/>
          <w:sz w:val="24"/>
          <w:szCs w:val="24"/>
          <w:highlight w:val="none"/>
        </w:rPr>
      </w:pPr>
    </w:p>
    <w:p>
      <w:pPr>
        <w:spacing w:line="360" w:lineRule="auto"/>
        <w:rPr>
          <w:rFonts w:hint="eastAsia" w:ascii="宋体" w:hAnsi="宋体" w:eastAsia="宋体" w:cs="宋体"/>
          <w:b/>
          <w:bCs/>
          <w:sz w:val="24"/>
          <w:szCs w:val="24"/>
          <w:highlight w:val="none"/>
          <w:shd w:val="clear" w:color="auto" w:fill="FFFFFF"/>
          <w:lang w:val="en-US" w:eastAsia="zh-CN"/>
        </w:rPr>
      </w:pPr>
      <w:r>
        <w:rPr>
          <w:rFonts w:hint="eastAsia" w:ascii="宋体" w:hAnsi="宋体" w:eastAsia="宋体" w:cs="宋体"/>
          <w:b/>
          <w:bCs/>
          <w:sz w:val="24"/>
          <w:szCs w:val="24"/>
          <w:highlight w:val="none"/>
          <w:shd w:val="clear" w:color="auto" w:fill="FFFFFF"/>
          <w:lang w:val="en-US" w:eastAsia="zh-CN"/>
        </w:rPr>
        <w:t>★四、商务条件及其他要求：</w:t>
      </w:r>
    </w:p>
    <w:p>
      <w:pPr>
        <w:pStyle w:val="26"/>
        <w:shd w:val="clear" w:color="auto" w:fill="FFFFFF"/>
        <w:adjustRightInd w:val="0"/>
        <w:snapToGrid w:val="0"/>
        <w:spacing w:before="48" w:beforeAutospacing="0" w:after="48" w:afterAutospacing="0" w:line="440" w:lineRule="exact"/>
        <w:rPr>
          <w:rFonts w:hint="eastAsia" w:ascii="宋体" w:hAnsi="宋体" w:eastAsia="宋体" w:cs="宋体"/>
          <w:b/>
          <w:bCs/>
          <w:highlight w:val="none"/>
          <w:shd w:val="clear" w:color="auto" w:fill="FFFFFF"/>
          <w:lang w:val="en-US" w:eastAsia="zh-CN"/>
        </w:rPr>
      </w:pPr>
      <w:r>
        <w:rPr>
          <w:rFonts w:hint="eastAsia" w:ascii="宋体" w:hAnsi="宋体" w:eastAsia="宋体" w:cs="宋体"/>
          <w:b/>
          <w:bCs/>
          <w:highlight w:val="none"/>
          <w:shd w:val="clear" w:color="auto" w:fill="FFFFFF"/>
          <w:lang w:val="en-US" w:eastAsia="zh-CN"/>
        </w:rPr>
        <w:t>（一）、验收要求：</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1、验收工作由</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自行组织，若货物技术性能或专业程度较高，可委托相关部门或抽选专家验收，验收费用由中标人承担，验收时中标人必须派代表到场。</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2、原厂服务证明或其他同类要求：招标文件第三章“招标内容及要求”若有要求提供原厂服务的，</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需要且依法、合理要求的，中标人在供货时或验收前，须提供相关证明如（原厂证明、随机保修证明、采购合同、协助</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到相关厂家网站验证或提供相关的验证方法等）证实报价的服务是符合招标要求。</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3、配套充电设施安装调试结束，顺利通过莆田市供电公司验收并通电后，由中标人书面通知</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（验收申请函），</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在7个工作日内组织验收。验收时</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会同中标人按货物品牌、技术配置、使用功能、数量等方面要求进行验收，验收过程中如发现不符合招标文件要求的，</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有权要求中标人进行更换，中标人负责包修，包退，包换，所产生的费用由中标人承担。</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4、中标人要确保采购的配套充电设施能够按时、顺利通过供电公司验收，并能够投放使用，若因延期或设备不合格给</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造成损失的，中标人须赔偿</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相应的损失。</w:t>
      </w:r>
    </w:p>
    <w:p>
      <w:pPr>
        <w:pStyle w:val="26"/>
        <w:shd w:val="clear" w:color="auto" w:fill="FFFFFF"/>
        <w:adjustRightInd w:val="0"/>
        <w:snapToGrid w:val="0"/>
        <w:spacing w:before="48" w:beforeAutospacing="0" w:after="48" w:afterAutospacing="0" w:line="440" w:lineRule="exact"/>
        <w:rPr>
          <w:rFonts w:hint="eastAsia" w:ascii="宋体" w:hAnsi="宋体" w:eastAsia="宋体" w:cs="宋体"/>
          <w:b/>
          <w:bCs/>
          <w:highlight w:val="none"/>
          <w:shd w:val="clear" w:color="auto" w:fill="FFFFFF"/>
          <w:lang w:val="en-US" w:eastAsia="zh-CN"/>
        </w:rPr>
      </w:pPr>
      <w:r>
        <w:rPr>
          <w:rFonts w:hint="eastAsia" w:ascii="宋体" w:hAnsi="宋体" w:eastAsia="宋体" w:cs="宋体"/>
          <w:b/>
          <w:bCs/>
          <w:highlight w:val="none"/>
          <w:shd w:val="clear" w:color="auto" w:fill="FFFFFF"/>
          <w:lang w:val="en-US" w:eastAsia="zh-CN"/>
        </w:rPr>
        <w:t>（二）、售后服务要求：</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1、质保期和售后服务要求：具体详见参数部分。</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2、验收不合格的货物，</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可以要求中标人无条件免费更换或退货，并赔偿由此造成</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的损失。</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4、售后维修：</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4.1.自验收合格之日起质保期内免费更换或维修充电</w:t>
      </w:r>
      <w:r>
        <w:rPr>
          <w:rFonts w:hint="eastAsia" w:cs="宋体"/>
          <w:highlight w:val="none"/>
          <w:shd w:val="clear" w:color="auto" w:fill="FFFFFF"/>
          <w:lang w:val="en-US" w:eastAsia="zh-CN"/>
        </w:rPr>
        <w:t>桩设备</w:t>
      </w:r>
      <w:r>
        <w:rPr>
          <w:rFonts w:hint="eastAsia" w:ascii="宋体" w:hAnsi="宋体" w:eastAsia="宋体" w:cs="宋体"/>
          <w:highlight w:val="none"/>
          <w:shd w:val="clear" w:color="auto" w:fill="FFFFFF"/>
          <w:lang w:val="en-US" w:eastAsia="zh-CN"/>
        </w:rPr>
        <w:t>；终身提供技术服务和维修维护，质保期之后的维护仅收取器件成本。免费做软件升级和维护。</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4.2.保证能够一天24小时，一周7天的全工作日的紧急帮助、紧急服务。如需要中标人到达现场进行维修或服务，中标人应能够在24小时内解决故障，否则，中标人应更换与该货物同一型号的备用货物。</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4.3.维修服务的响应时间：设备出现故障时必须在2小时内对</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所提出的维修要求做出响应，24小时内解决故障，如不能及时解决应提供备用设备。配套软件必须提供基础升级服务。</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有特殊要求的，遵照</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要求执行。所有设备自验收合格之日起质保期内凡出现故障，包换不低于同品牌同配置的新设备。</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4.4.在产品质保期满后，中标人保证继续为</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提供维修服务，并按提供的优惠价格向</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收取相关费用。在货物质量保证期满后，如果因产品的固有缺陷出现紧急故障和事故，中标人应在接到</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通知后立即提供支持、并在24小时内到达现场，迅速排除货物故障。</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cs="宋体"/>
          <w:color w:val="auto"/>
          <w:sz w:val="24"/>
          <w:szCs w:val="24"/>
          <w:highlight w:val="none"/>
        </w:rPr>
      </w:pPr>
      <w:r>
        <w:rPr>
          <w:rFonts w:hint="eastAsia" w:ascii="宋体" w:hAnsi="宋体" w:eastAsia="宋体" w:cs="宋体"/>
          <w:highlight w:val="none"/>
          <w:shd w:val="clear" w:color="auto" w:fill="FFFFFF"/>
          <w:lang w:val="en-US" w:eastAsia="zh-CN"/>
        </w:rPr>
        <w:t>4.5.中标人负责指派技术人员定期对所有充电设施进行故障排查（每月1次以上），</w:t>
      </w:r>
      <w:r>
        <w:rPr>
          <w:rFonts w:hint="eastAsia" w:ascii="宋体" w:hAnsi="宋体" w:cs="宋体"/>
          <w:color w:val="auto"/>
          <w:sz w:val="24"/>
          <w:szCs w:val="24"/>
          <w:highlight w:val="none"/>
          <w:lang w:val="en-US" w:eastAsia="zh-CN"/>
        </w:rPr>
        <w:t>每季度除尘1次并</w:t>
      </w:r>
      <w:r>
        <w:rPr>
          <w:rFonts w:hint="eastAsia" w:ascii="宋体" w:hAnsi="宋体" w:cs="宋体"/>
          <w:color w:val="auto"/>
          <w:sz w:val="24"/>
          <w:szCs w:val="24"/>
          <w:highlight w:val="none"/>
        </w:rPr>
        <w:t>提供</w:t>
      </w:r>
      <w:r>
        <w:rPr>
          <w:rFonts w:hint="eastAsia" w:ascii="宋体" w:hAnsi="宋体" w:cs="宋体"/>
          <w:color w:val="auto"/>
          <w:sz w:val="24"/>
          <w:szCs w:val="24"/>
          <w:highlight w:val="none"/>
          <w:lang w:val="en-US" w:eastAsia="zh-CN"/>
        </w:rPr>
        <w:t>相关</w:t>
      </w:r>
      <w:r>
        <w:rPr>
          <w:rFonts w:hint="eastAsia" w:ascii="宋体" w:hAnsi="宋体" w:cs="宋体"/>
          <w:color w:val="auto"/>
          <w:sz w:val="24"/>
          <w:szCs w:val="24"/>
          <w:highlight w:val="none"/>
        </w:rPr>
        <w:t>记录。</w:t>
      </w:r>
    </w:p>
    <w:p>
      <w:pPr>
        <w:pStyle w:val="26"/>
        <w:shd w:val="clear" w:color="auto" w:fill="FFFFFF"/>
        <w:adjustRightInd w:val="0"/>
        <w:snapToGrid w:val="0"/>
        <w:spacing w:before="48" w:beforeAutospacing="0" w:after="48" w:afterAutospacing="0" w:line="440" w:lineRule="exact"/>
        <w:ind w:firstLine="480" w:firstLineChars="200"/>
        <w:rPr>
          <w:rFonts w:hint="default"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5、培训:</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在设备安装调试完成后将</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管理人员进行全面的培训，使他们熟悉设备运行、例行检查、修理和维护,以及设备功能的准备和集成等技能。</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中标人向</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提供培训人员的技术文件、图纸、参考数据等，为了使培训者学到更多的内容，中标人提供培训计划(包括培训地点、培训内容、课程时间、培训人数等)。</w:t>
      </w:r>
    </w:p>
    <w:p>
      <w:pPr>
        <w:pStyle w:val="26"/>
        <w:shd w:val="clear" w:color="auto" w:fill="FFFFFF"/>
        <w:adjustRightInd w:val="0"/>
        <w:snapToGrid w:val="0"/>
        <w:spacing w:before="48" w:beforeAutospacing="0" w:after="48" w:afterAutospacing="0" w:line="440" w:lineRule="exact"/>
        <w:ind w:firstLine="482" w:firstLineChars="200"/>
        <w:rPr>
          <w:rFonts w:hint="eastAsia" w:ascii="宋体" w:hAnsi="宋体" w:eastAsia="宋体" w:cs="宋体"/>
          <w:b/>
          <w:bCs/>
          <w:highlight w:val="none"/>
          <w:shd w:val="clear" w:color="auto" w:fill="FFFFFF"/>
          <w:lang w:val="en-US" w:eastAsia="zh-CN"/>
        </w:rPr>
      </w:pPr>
      <w:r>
        <w:rPr>
          <w:rFonts w:hint="eastAsia" w:ascii="宋体" w:hAnsi="宋体" w:eastAsia="宋体" w:cs="宋体"/>
          <w:b/>
          <w:bCs/>
          <w:highlight w:val="none"/>
          <w:shd w:val="clear" w:color="auto" w:fill="FFFFFF"/>
          <w:lang w:val="en-US" w:eastAsia="zh-CN"/>
        </w:rPr>
        <w:t xml:space="preserve">6、质保期： </w:t>
      </w:r>
    </w:p>
    <w:p>
      <w:pPr>
        <w:pStyle w:val="26"/>
        <w:shd w:val="clear" w:color="auto" w:fill="FFFFFF"/>
        <w:adjustRightInd w:val="0"/>
        <w:snapToGrid w:val="0"/>
        <w:spacing w:before="48" w:beforeAutospacing="0" w:after="48" w:afterAutospacing="0" w:line="440" w:lineRule="exact"/>
        <w:ind w:firstLine="482" w:firstLineChars="200"/>
        <w:rPr>
          <w:rFonts w:hint="eastAsia" w:ascii="宋体" w:hAnsi="宋体" w:eastAsia="宋体" w:cs="宋体"/>
          <w:b/>
          <w:bCs/>
          <w:highlight w:val="none"/>
          <w:shd w:val="clear" w:color="auto" w:fill="FFFFFF"/>
          <w:lang w:val="en-US" w:eastAsia="zh-CN"/>
        </w:rPr>
      </w:pPr>
      <w:r>
        <w:rPr>
          <w:rFonts w:hint="eastAsia" w:ascii="宋体" w:hAnsi="宋体" w:eastAsia="宋体" w:cs="宋体"/>
          <w:b/>
          <w:bCs/>
          <w:highlight w:val="none"/>
          <w:shd w:val="clear" w:color="auto" w:fill="FFFFFF"/>
          <w:lang w:val="en-US" w:eastAsia="zh-CN"/>
        </w:rPr>
        <w:t>6.1整个项目质保五年（以各场站最终验收合格时间开始计算），五年之内除人为损坏之外不收费。投标人有承诺更长质保的，以实际承诺期限为准。</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6.2八年内免费升级监控软件。</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6.3在质量保证期结束前，由中标人和</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进行一次全面的项目检查，任何缺陷必须由中标人负责处理，在处理完成之后，中标人应将缺陷原因、处理内容、完成处理及恢复正常的时间和日期等报告给</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7、其它售后服务要求：</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投标人应针对本次报价提供详细的售后服务方案及承诺，内容应涉及：维护机构、人员、地址、电话、维修方式、保修方式、保修期满后的维修保养费用、时间保证、零配件及易损件费用及优惠措施等。</w:t>
      </w:r>
    </w:p>
    <w:p>
      <w:pPr>
        <w:pStyle w:val="26"/>
        <w:shd w:val="clear" w:color="auto" w:fill="FFFFFF"/>
        <w:adjustRightInd w:val="0"/>
        <w:snapToGrid w:val="0"/>
        <w:spacing w:before="48" w:beforeAutospacing="0" w:after="48" w:afterAutospacing="0" w:line="440" w:lineRule="exact"/>
        <w:rPr>
          <w:rFonts w:hint="eastAsia" w:ascii="宋体" w:hAnsi="宋体" w:eastAsia="宋体" w:cs="宋体"/>
          <w:b/>
          <w:bCs/>
          <w:highlight w:val="none"/>
          <w:shd w:val="clear" w:color="auto" w:fill="FFFFFF"/>
          <w:lang w:val="en-US" w:eastAsia="zh-CN"/>
        </w:rPr>
      </w:pPr>
      <w:r>
        <w:rPr>
          <w:rFonts w:hint="eastAsia" w:ascii="宋体" w:hAnsi="宋体" w:eastAsia="宋体" w:cs="宋体"/>
          <w:b/>
          <w:bCs/>
          <w:highlight w:val="none"/>
          <w:shd w:val="clear" w:color="auto" w:fill="FFFFFF"/>
          <w:lang w:val="en-US" w:eastAsia="zh-CN"/>
        </w:rPr>
        <w:t>（三）、付款条件：</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cs="宋体"/>
          <w:highlight w:val="none"/>
          <w:shd w:val="clear" w:color="auto" w:fill="FFFFFF"/>
          <w:lang w:val="en-US" w:eastAsia="zh-CN"/>
        </w:rPr>
        <w:t>本项目采购人原有旧设备由中标人按照人民币124801元进行回收，中标人需在合同签订后负责拆除回收，各站旧设备处理完的十个工作日内支付采购人回收费用人民币124801元</w:t>
      </w:r>
      <w:r>
        <w:rPr>
          <w:rFonts w:hint="eastAsia" w:ascii="宋体" w:hAnsi="宋体" w:eastAsia="宋体" w:cs="宋体"/>
          <w:highlight w:val="none"/>
          <w:shd w:val="clear" w:color="auto" w:fill="FFFFFF"/>
          <w:lang w:val="en-US" w:eastAsia="zh-CN"/>
        </w:rPr>
        <w:t>。</w:t>
      </w:r>
      <w:r>
        <w:rPr>
          <w:rFonts w:hint="eastAsia" w:cs="宋体"/>
          <w:highlight w:val="none"/>
          <w:shd w:val="clear" w:color="auto" w:fill="FFFFFF"/>
          <w:lang w:val="en-US" w:eastAsia="zh-CN"/>
        </w:rPr>
        <w:t>采购人付款方式</w:t>
      </w:r>
      <w:r>
        <w:rPr>
          <w:rFonts w:hint="eastAsia" w:ascii="宋体" w:hAnsi="宋体" w:eastAsia="宋体" w:cs="宋体"/>
          <w:highlight w:val="none"/>
          <w:shd w:val="clear" w:color="auto" w:fill="FFFFFF"/>
          <w:lang w:val="en-US" w:eastAsia="zh-CN"/>
        </w:rPr>
        <w:t>根据</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实际具备施工条件的场站情况分批付款</w:t>
      </w:r>
      <w:r>
        <w:rPr>
          <w:rFonts w:hint="eastAsia" w:cs="宋体"/>
          <w:highlight w:val="none"/>
          <w:shd w:val="clear" w:color="auto" w:fill="FFFFFF"/>
          <w:lang w:val="en-US" w:eastAsia="zh-CN"/>
        </w:rPr>
        <w:t>[</w:t>
      </w:r>
      <w:r>
        <w:rPr>
          <w:rFonts w:hint="eastAsia" w:ascii="宋体" w:hAnsi="宋体" w:eastAsia="宋体" w:cs="宋体"/>
          <w:highlight w:val="none"/>
          <w:shd w:val="clear" w:color="auto" w:fill="FFFFFF"/>
          <w:lang w:val="en-US" w:eastAsia="zh-CN"/>
        </w:rPr>
        <w:t>结合场站权重比，在合同或补充协议中具体体现</w:t>
      </w:r>
      <w:r>
        <w:rPr>
          <w:rFonts w:hint="eastAsia" w:cs="宋体"/>
          <w:highlight w:val="none"/>
          <w:shd w:val="clear" w:color="auto" w:fill="FFFFFF"/>
          <w:lang w:val="en-US" w:eastAsia="zh-CN"/>
        </w:rPr>
        <w:t>。</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付款方式如下：</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1、签订合同后，</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在十五个工作日内向中标人支付充电桩及配套设施款项的</w:t>
      </w:r>
      <w:r>
        <w:rPr>
          <w:rFonts w:hint="eastAsia" w:cs="宋体"/>
          <w:highlight w:val="none"/>
          <w:shd w:val="clear" w:color="auto" w:fill="FFFFFF"/>
          <w:lang w:val="en-US" w:eastAsia="zh-CN"/>
        </w:rPr>
        <w:t>10</w:t>
      </w:r>
      <w:r>
        <w:rPr>
          <w:rFonts w:hint="eastAsia" w:ascii="宋体" w:hAnsi="宋体" w:eastAsia="宋体" w:cs="宋体"/>
          <w:highlight w:val="none"/>
          <w:shd w:val="clear" w:color="auto" w:fill="FFFFFF"/>
          <w:lang w:val="en-US" w:eastAsia="zh-CN"/>
        </w:rPr>
        <w:t>%；</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2、验收合格后，中标人向</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提供与中标金额相符的全额、合法有效的采购增值税专用发票（数量、单价按项目开具），</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在1个月内支付充电桩及配套设施款项的</w:t>
      </w:r>
      <w:r>
        <w:rPr>
          <w:rFonts w:hint="eastAsia" w:cs="宋体"/>
          <w:highlight w:val="none"/>
          <w:shd w:val="clear" w:color="auto" w:fill="FFFFFF"/>
          <w:lang w:val="en-US" w:eastAsia="zh-CN"/>
        </w:rPr>
        <w:t>50</w:t>
      </w:r>
      <w:r>
        <w:rPr>
          <w:rFonts w:hint="eastAsia" w:ascii="宋体" w:hAnsi="宋体" w:eastAsia="宋体" w:cs="宋体"/>
          <w:highlight w:val="none"/>
          <w:shd w:val="clear" w:color="auto" w:fill="FFFFFF"/>
          <w:lang w:val="en-US" w:eastAsia="zh-CN"/>
        </w:rPr>
        <w:t>%；</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3、验收合格后第12个月至第14个月内，</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向中标人支付充电桩及配套设施款项的</w:t>
      </w:r>
      <w:r>
        <w:rPr>
          <w:rFonts w:hint="eastAsia" w:cs="宋体"/>
          <w:highlight w:val="none"/>
          <w:shd w:val="clear" w:color="auto" w:fill="FFFFFF"/>
          <w:lang w:val="en-US" w:eastAsia="zh-CN"/>
        </w:rPr>
        <w:t>25</w:t>
      </w:r>
      <w:r>
        <w:rPr>
          <w:rFonts w:hint="eastAsia" w:ascii="宋体" w:hAnsi="宋体" w:eastAsia="宋体" w:cs="宋体"/>
          <w:highlight w:val="none"/>
          <w:shd w:val="clear" w:color="auto" w:fill="FFFFFF"/>
          <w:lang w:val="en-US" w:eastAsia="zh-CN"/>
        </w:rPr>
        <w:t>%；</w:t>
      </w:r>
    </w:p>
    <w:p>
      <w:pPr>
        <w:pStyle w:val="26"/>
        <w:shd w:val="clear" w:color="auto" w:fill="FFFFFF"/>
        <w:adjustRightInd w:val="0"/>
        <w:snapToGrid w:val="0"/>
        <w:spacing w:before="48" w:beforeAutospacing="0" w:after="48" w:afterAutospacing="0" w:line="440" w:lineRule="exact"/>
        <w:ind w:firstLine="480" w:firstLineChars="200"/>
        <w:rPr>
          <w:rFonts w:hint="default" w:cs="宋体"/>
          <w:highlight w:val="none"/>
          <w:shd w:val="clear" w:color="auto" w:fill="FFFFFF"/>
          <w:lang w:val="en-US" w:eastAsia="zh-CN"/>
        </w:rPr>
      </w:pPr>
      <w:r>
        <w:rPr>
          <w:rFonts w:hint="eastAsia" w:cs="宋体"/>
          <w:highlight w:val="none"/>
          <w:shd w:val="clear" w:color="auto" w:fill="FFFFFF"/>
          <w:lang w:val="en-US" w:eastAsia="zh-CN"/>
        </w:rPr>
        <w:t>4、</w:t>
      </w:r>
      <w:r>
        <w:rPr>
          <w:rFonts w:hint="eastAsia" w:ascii="宋体" w:hAnsi="宋体" w:eastAsia="宋体" w:cs="宋体"/>
          <w:highlight w:val="none"/>
          <w:shd w:val="clear" w:color="auto" w:fill="FFFFFF"/>
          <w:lang w:val="en-US" w:eastAsia="zh-CN"/>
        </w:rPr>
        <w:t>验收合格后第</w:t>
      </w:r>
      <w:r>
        <w:rPr>
          <w:rFonts w:hint="eastAsia" w:cs="宋体"/>
          <w:highlight w:val="none"/>
          <w:shd w:val="clear" w:color="auto" w:fill="FFFFFF"/>
          <w:lang w:val="en-US" w:eastAsia="zh-CN"/>
        </w:rPr>
        <w:t>24</w:t>
      </w:r>
      <w:r>
        <w:rPr>
          <w:rFonts w:hint="eastAsia" w:ascii="宋体" w:hAnsi="宋体" w:eastAsia="宋体" w:cs="宋体"/>
          <w:highlight w:val="none"/>
          <w:shd w:val="clear" w:color="auto" w:fill="FFFFFF"/>
          <w:lang w:val="en-US" w:eastAsia="zh-CN"/>
        </w:rPr>
        <w:t>个月至第</w:t>
      </w:r>
      <w:r>
        <w:rPr>
          <w:rFonts w:hint="eastAsia" w:cs="宋体"/>
          <w:highlight w:val="none"/>
          <w:shd w:val="clear" w:color="auto" w:fill="FFFFFF"/>
          <w:lang w:val="en-US" w:eastAsia="zh-CN"/>
        </w:rPr>
        <w:t>26</w:t>
      </w:r>
      <w:r>
        <w:rPr>
          <w:rFonts w:hint="eastAsia" w:ascii="宋体" w:hAnsi="宋体" w:eastAsia="宋体" w:cs="宋体"/>
          <w:highlight w:val="none"/>
          <w:shd w:val="clear" w:color="auto" w:fill="FFFFFF"/>
          <w:lang w:val="en-US" w:eastAsia="zh-CN"/>
        </w:rPr>
        <w:t>个月内，</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向中标人支付充电桩及配套设施款项的</w:t>
      </w:r>
      <w:r>
        <w:rPr>
          <w:rFonts w:hint="eastAsia" w:cs="宋体"/>
          <w:highlight w:val="none"/>
          <w:shd w:val="clear" w:color="auto" w:fill="FFFFFF"/>
          <w:lang w:val="en-US" w:eastAsia="zh-CN"/>
        </w:rPr>
        <w:t>10</w:t>
      </w:r>
      <w:r>
        <w:rPr>
          <w:rFonts w:hint="eastAsia" w:ascii="宋体" w:hAnsi="宋体" w:eastAsia="宋体" w:cs="宋体"/>
          <w:highlight w:val="none"/>
          <w:shd w:val="clear" w:color="auto" w:fill="FFFFFF"/>
          <w:lang w:val="en-US" w:eastAsia="zh-CN"/>
        </w:rPr>
        <w:t>%；</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cs="宋体"/>
          <w:highlight w:val="none"/>
          <w:shd w:val="clear" w:color="auto" w:fill="FFFFFF"/>
          <w:lang w:val="en-US" w:eastAsia="zh-CN"/>
        </w:rPr>
        <w:t>5</w:t>
      </w:r>
      <w:r>
        <w:rPr>
          <w:rFonts w:hint="eastAsia" w:ascii="宋体" w:hAnsi="宋体" w:eastAsia="宋体" w:cs="宋体"/>
          <w:highlight w:val="none"/>
          <w:shd w:val="clear" w:color="auto" w:fill="FFFFFF"/>
          <w:lang w:val="en-US" w:eastAsia="zh-CN"/>
        </w:rPr>
        <w:t>、剩下</w:t>
      </w:r>
      <w:r>
        <w:rPr>
          <w:rFonts w:hint="eastAsia" w:cs="宋体"/>
          <w:highlight w:val="none"/>
          <w:shd w:val="clear" w:color="auto" w:fill="FFFFFF"/>
          <w:lang w:val="en-US" w:eastAsia="zh-CN"/>
        </w:rPr>
        <w:t>5</w:t>
      </w:r>
      <w:r>
        <w:rPr>
          <w:rFonts w:hint="eastAsia" w:ascii="宋体" w:hAnsi="宋体" w:eastAsia="宋体" w:cs="宋体"/>
          <w:highlight w:val="none"/>
          <w:shd w:val="clear" w:color="auto" w:fill="FFFFFF"/>
          <w:lang w:val="en-US" w:eastAsia="zh-CN"/>
        </w:rPr>
        <w:t>%作为质量保证金，如有质量问题从质保金中交付维修费用，质保金不足抵偿维修费用的，由中标人补足</w:t>
      </w:r>
      <w:r>
        <w:rPr>
          <w:rFonts w:hint="eastAsia" w:cs="宋体"/>
          <w:highlight w:val="none"/>
          <w:shd w:val="clear" w:color="auto" w:fill="FFFFFF"/>
          <w:lang w:val="en-US" w:eastAsia="zh-CN"/>
        </w:rPr>
        <w:t>，</w:t>
      </w:r>
      <w:r>
        <w:rPr>
          <w:rFonts w:hint="eastAsia" w:ascii="宋体" w:hAnsi="宋体" w:eastAsia="宋体" w:cs="宋体"/>
          <w:highlight w:val="none"/>
          <w:shd w:val="clear" w:color="auto" w:fill="FFFFFF"/>
          <w:lang w:val="en-US" w:eastAsia="zh-CN"/>
        </w:rPr>
        <w:t>整个项目质保期满后若无发现重大质量问题无息退还</w:t>
      </w:r>
      <w:r>
        <w:rPr>
          <w:rFonts w:hint="eastAsia" w:cs="宋体"/>
          <w:highlight w:val="none"/>
          <w:shd w:val="clear" w:color="auto" w:fill="FFFFFF"/>
          <w:lang w:val="en-US" w:eastAsia="zh-CN"/>
        </w:rPr>
        <w:t>5</w:t>
      </w:r>
      <w:r>
        <w:rPr>
          <w:rFonts w:hint="eastAsia" w:ascii="宋体" w:hAnsi="宋体" w:eastAsia="宋体" w:cs="宋体"/>
          <w:highlight w:val="none"/>
          <w:shd w:val="clear" w:color="auto" w:fill="FFFFFF"/>
          <w:lang w:val="en-US" w:eastAsia="zh-CN"/>
        </w:rPr>
        <w:t>%质保金。</w:t>
      </w:r>
    </w:p>
    <w:p>
      <w:pPr>
        <w:pStyle w:val="26"/>
        <w:shd w:val="clear" w:color="auto" w:fill="FFFFFF"/>
        <w:adjustRightInd w:val="0"/>
        <w:snapToGrid w:val="0"/>
        <w:spacing w:before="48" w:beforeAutospacing="0" w:after="48" w:afterAutospacing="0" w:line="440" w:lineRule="exact"/>
        <w:rPr>
          <w:rFonts w:hint="eastAsia" w:ascii="宋体" w:hAnsi="宋体" w:eastAsia="宋体" w:cs="宋体"/>
          <w:b/>
          <w:bCs/>
          <w:highlight w:val="none"/>
          <w:shd w:val="clear" w:color="auto" w:fill="FFFFFF"/>
          <w:lang w:val="en-US" w:eastAsia="zh-CN"/>
        </w:rPr>
      </w:pPr>
      <w:r>
        <w:rPr>
          <w:rFonts w:hint="eastAsia" w:ascii="宋体" w:hAnsi="宋体" w:eastAsia="宋体" w:cs="宋体"/>
          <w:b/>
          <w:bCs/>
          <w:highlight w:val="none"/>
          <w:shd w:val="clear" w:color="auto" w:fill="FFFFFF"/>
          <w:lang w:val="en-US" w:eastAsia="zh-CN"/>
        </w:rPr>
        <w:t>（四）、交货期限：</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在合同签订后，由采购人确认开工日期并发函，中标人接到函件需在的</w:t>
      </w:r>
      <w:r>
        <w:rPr>
          <w:rFonts w:hint="eastAsia" w:cs="宋体"/>
          <w:color w:val="000000" w:themeColor="text1"/>
          <w:highlight w:val="none"/>
          <w:shd w:val="clear" w:color="auto" w:fill="FFFFFF"/>
          <w:lang w:val="en-US" w:eastAsia="zh-CN"/>
          <w14:textFill>
            <w14:solidFill>
              <w14:schemeClr w14:val="tx1"/>
            </w14:solidFill>
          </w14:textFill>
        </w:rPr>
        <w:t>60</w:t>
      </w:r>
      <w:r>
        <w:rPr>
          <w:rFonts w:hint="eastAsia" w:ascii="宋体" w:hAnsi="宋体" w:eastAsia="宋体" w:cs="宋体"/>
          <w:color w:val="auto"/>
          <w:highlight w:val="none"/>
          <w:shd w:val="clear" w:color="auto" w:fill="FFFFFF"/>
          <w:lang w:val="en-US" w:eastAsia="zh-CN"/>
        </w:rPr>
        <w:t>个日历日内完成安装、调试</w:t>
      </w:r>
      <w:r>
        <w:rPr>
          <w:rFonts w:hint="eastAsia" w:ascii="宋体" w:hAnsi="宋体" w:eastAsia="宋体" w:cs="宋体"/>
          <w:highlight w:val="none"/>
          <w:shd w:val="clear" w:color="auto" w:fill="FFFFFF"/>
          <w:lang w:val="en-US" w:eastAsia="zh-CN"/>
        </w:rPr>
        <w:t>并通过当地电力部门验收，能够顺利满足纯电动公交车的充电需求。若因</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场站原因（不具备施工条件），则以该场站可进场施工时间开始计算（</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正式发函给投标人确认进场时间）。</w:t>
      </w:r>
    </w:p>
    <w:p>
      <w:pPr>
        <w:pStyle w:val="26"/>
        <w:shd w:val="clear" w:color="auto" w:fill="FFFFFF"/>
        <w:adjustRightInd w:val="0"/>
        <w:snapToGrid w:val="0"/>
        <w:spacing w:before="48" w:beforeAutospacing="0" w:after="48" w:afterAutospacing="0" w:line="440" w:lineRule="exact"/>
        <w:rPr>
          <w:rFonts w:hint="eastAsia" w:ascii="宋体" w:hAnsi="宋体" w:eastAsia="宋体" w:cs="宋体"/>
          <w:highlight w:val="none"/>
          <w:shd w:val="clear" w:color="auto" w:fill="FFFFFF"/>
          <w:lang w:val="en-US" w:eastAsia="zh-CN"/>
        </w:rPr>
      </w:pPr>
      <w:r>
        <w:rPr>
          <w:rFonts w:hint="eastAsia" w:ascii="宋体" w:hAnsi="宋体" w:eastAsia="宋体" w:cs="宋体"/>
          <w:b/>
          <w:bCs/>
          <w:highlight w:val="none"/>
          <w:shd w:val="clear" w:color="auto" w:fill="FFFFFF"/>
          <w:lang w:val="en-US" w:eastAsia="zh-CN"/>
        </w:rPr>
        <w:t>（五）、安装地点：</w:t>
      </w:r>
      <w:r>
        <w:rPr>
          <w:rFonts w:hint="eastAsia" w:ascii="宋体" w:hAnsi="宋体" w:eastAsia="宋体" w:cs="宋体"/>
          <w:highlight w:val="none"/>
          <w:shd w:val="clear" w:color="auto" w:fill="FFFFFF"/>
          <w:lang w:val="en-US" w:eastAsia="zh-CN"/>
        </w:rPr>
        <w:t>设计图纸标注地点或</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指定地点。</w:t>
      </w:r>
    </w:p>
    <w:p>
      <w:pPr>
        <w:pStyle w:val="26"/>
        <w:shd w:val="clear" w:color="auto" w:fill="FFFFFF"/>
        <w:adjustRightInd w:val="0"/>
        <w:snapToGrid w:val="0"/>
        <w:spacing w:before="48" w:beforeAutospacing="0" w:after="48" w:afterAutospacing="0" w:line="440" w:lineRule="exact"/>
        <w:rPr>
          <w:rFonts w:hint="eastAsia" w:ascii="宋体" w:hAnsi="宋体" w:eastAsia="宋体" w:cs="宋体"/>
          <w:b/>
          <w:bCs/>
          <w:highlight w:val="none"/>
          <w:shd w:val="clear" w:color="auto" w:fill="FFFFFF"/>
          <w:lang w:val="en-US" w:eastAsia="zh-CN"/>
        </w:rPr>
      </w:pPr>
      <w:r>
        <w:rPr>
          <w:rFonts w:hint="eastAsia" w:ascii="宋体" w:hAnsi="宋体" w:eastAsia="宋体" w:cs="宋体"/>
          <w:b/>
          <w:bCs/>
          <w:highlight w:val="none"/>
          <w:shd w:val="clear" w:color="auto" w:fill="FFFFFF"/>
          <w:lang w:val="en-US" w:eastAsia="zh-CN"/>
        </w:rPr>
        <w:t>（六）、违约责任：</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1、中标人未按</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规定时间内建设充电桩（或未能通过</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验收），影响到</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车辆正常投放的，需赔偿1000元/天/桩。</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2、因充电站故障等原因而造成</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车辆误班的，需赔偿500元/天/车。</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3、因充电站建设不规范并存在安全隐患，而被相关部门勒令整改的，中标人须对此承担相应责任，并赔偿由此造成的损失，赔偿款按2000元/天/桩计算。</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b/>
          <w:bCs/>
          <w:highlight w:val="none"/>
          <w:shd w:val="clear" w:color="auto" w:fill="FFFFFF"/>
          <w:lang w:val="en-US" w:eastAsia="zh-CN"/>
        </w:rPr>
      </w:pPr>
      <w:r>
        <w:rPr>
          <w:rFonts w:hint="eastAsia" w:ascii="宋体" w:hAnsi="宋体" w:eastAsia="宋体" w:cs="宋体"/>
          <w:highlight w:val="none"/>
          <w:shd w:val="clear" w:color="auto" w:fill="FFFFFF"/>
          <w:lang w:val="en-US" w:eastAsia="zh-CN"/>
        </w:rPr>
        <w:t>4、</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使用车辆在中标人充电站充电时发生安全事故造成</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或第三人损害损失的，经查明原因是由中标人充电设备造成的，中标人应承担所有赔偿责任（含误班费）</w:t>
      </w:r>
    </w:p>
    <w:p>
      <w:pPr>
        <w:pStyle w:val="26"/>
        <w:shd w:val="clear" w:color="auto" w:fill="FFFFFF"/>
        <w:adjustRightInd w:val="0"/>
        <w:snapToGrid w:val="0"/>
        <w:spacing w:before="48" w:beforeAutospacing="0" w:after="48" w:afterAutospacing="0" w:line="440" w:lineRule="exact"/>
        <w:rPr>
          <w:rFonts w:hint="eastAsia" w:ascii="宋体" w:hAnsi="宋体" w:eastAsia="宋体" w:cs="宋体"/>
          <w:b/>
          <w:bCs/>
          <w:highlight w:val="none"/>
          <w:shd w:val="clear" w:color="auto" w:fill="FFFFFF"/>
          <w:lang w:val="en-US" w:eastAsia="zh-CN"/>
        </w:rPr>
      </w:pPr>
      <w:r>
        <w:rPr>
          <w:rFonts w:hint="eastAsia" w:ascii="宋体" w:hAnsi="宋体" w:eastAsia="宋体" w:cs="宋体"/>
          <w:b/>
          <w:bCs/>
          <w:highlight w:val="none"/>
          <w:shd w:val="clear" w:color="auto" w:fill="FFFFFF"/>
          <w:lang w:val="en-US" w:eastAsia="zh-CN"/>
        </w:rPr>
        <w:t>（七）、特殊情况说明：</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1、本项目属于交钥匙工程，投标人须以人民币报价，投标总价包含</w:t>
      </w:r>
      <w:r>
        <w:rPr>
          <w:rFonts w:hint="eastAsia" w:cs="宋体"/>
          <w:highlight w:val="none"/>
          <w:shd w:val="clear" w:color="auto" w:fill="FFFFFF"/>
          <w:lang w:val="en-US" w:eastAsia="zh-CN"/>
        </w:rPr>
        <w:t>箱变改造</w:t>
      </w:r>
      <w:r>
        <w:rPr>
          <w:rFonts w:hint="eastAsia" w:ascii="宋体" w:hAnsi="宋体" w:eastAsia="宋体" w:cs="宋体"/>
          <w:highlight w:val="none"/>
          <w:shd w:val="clear" w:color="auto" w:fill="FFFFFF"/>
          <w:lang w:val="en-US" w:eastAsia="zh-CN"/>
        </w:rPr>
        <w:t>及其他一切设备、施工、耗材、运输等全部费用（投标人可在投标分项报价表中详细列出报价，如果所列分项报价不含以上内容，则视为已含在投标总价中。招标文件未提及但实际需要发生的其它一切费用需由投标人自行考虑并含在最终总报价中），报价方式为总包价。投标人必须列出招标货物一览表中各品目号设备的单价及总价。</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2、</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在</w:t>
      </w:r>
      <w:r>
        <w:rPr>
          <w:rFonts w:hint="eastAsia" w:ascii="宋体" w:hAnsi="宋体" w:eastAsia="宋体" w:cs="宋体"/>
          <w:highlight w:val="none"/>
          <w:u w:val="single"/>
          <w:shd w:val="clear" w:color="auto" w:fill="FFFFFF"/>
          <w:lang w:val="en-US" w:eastAsia="zh-CN"/>
        </w:rPr>
        <w:t xml:space="preserve">     </w:t>
      </w:r>
      <w:r>
        <w:rPr>
          <w:rFonts w:hint="eastAsia" w:ascii="宋体" w:hAnsi="宋体" w:eastAsia="宋体" w:cs="宋体"/>
          <w:highlight w:val="none"/>
          <w:shd w:val="clear" w:color="auto" w:fill="FFFFFF"/>
          <w:lang w:val="en-US" w:eastAsia="zh-CN"/>
        </w:rPr>
        <w:t>年</w:t>
      </w:r>
      <w:r>
        <w:rPr>
          <w:rFonts w:hint="eastAsia" w:ascii="宋体" w:hAnsi="宋体" w:eastAsia="宋体" w:cs="宋体"/>
          <w:highlight w:val="none"/>
          <w:u w:val="single"/>
          <w:shd w:val="clear" w:color="auto" w:fill="FFFFFF"/>
          <w:lang w:val="en-US" w:eastAsia="zh-CN"/>
        </w:rPr>
        <w:t xml:space="preserve">     </w:t>
      </w:r>
      <w:r>
        <w:rPr>
          <w:rFonts w:hint="eastAsia" w:ascii="宋体" w:hAnsi="宋体" w:eastAsia="宋体" w:cs="宋体"/>
          <w:highlight w:val="none"/>
          <w:shd w:val="clear" w:color="auto" w:fill="FFFFFF"/>
          <w:lang w:val="en-US" w:eastAsia="zh-CN"/>
        </w:rPr>
        <w:t>月</w:t>
      </w:r>
      <w:r>
        <w:rPr>
          <w:rFonts w:hint="eastAsia" w:ascii="宋体" w:hAnsi="宋体" w:eastAsia="宋体" w:cs="宋体"/>
          <w:highlight w:val="none"/>
          <w:u w:val="single"/>
          <w:shd w:val="clear" w:color="auto" w:fill="FFFFFF"/>
          <w:lang w:val="en-US" w:eastAsia="zh-CN"/>
        </w:rPr>
        <w:t xml:space="preserve">     </w:t>
      </w:r>
      <w:r>
        <w:rPr>
          <w:rFonts w:hint="eastAsia" w:ascii="宋体" w:hAnsi="宋体" w:eastAsia="宋体" w:cs="宋体"/>
          <w:highlight w:val="none"/>
          <w:shd w:val="clear" w:color="auto" w:fill="FFFFFF"/>
          <w:lang w:val="en-US" w:eastAsia="zh-CN"/>
        </w:rPr>
        <w:t>日</w:t>
      </w:r>
      <w:r>
        <w:rPr>
          <w:rFonts w:hint="eastAsia" w:ascii="宋体" w:hAnsi="宋体" w:eastAsia="宋体" w:cs="宋体"/>
          <w:highlight w:val="none"/>
          <w:u w:val="single"/>
          <w:shd w:val="clear" w:color="auto" w:fill="FFFFFF"/>
          <w:lang w:val="en-US" w:eastAsia="zh-CN"/>
        </w:rPr>
        <w:t xml:space="preserve">     </w:t>
      </w:r>
      <w:r>
        <w:rPr>
          <w:rFonts w:hint="eastAsia" w:ascii="宋体" w:hAnsi="宋体" w:eastAsia="宋体" w:cs="宋体"/>
          <w:highlight w:val="none"/>
          <w:shd w:val="clear" w:color="auto" w:fill="FFFFFF"/>
          <w:lang w:val="en-US" w:eastAsia="zh-CN"/>
        </w:rPr>
        <w:t>午</w:t>
      </w:r>
      <w:r>
        <w:rPr>
          <w:rFonts w:hint="eastAsia" w:ascii="宋体" w:hAnsi="宋体" w:eastAsia="宋体" w:cs="宋体"/>
          <w:highlight w:val="none"/>
          <w:u w:val="single"/>
          <w:shd w:val="clear" w:color="auto" w:fill="FFFFFF"/>
          <w:lang w:val="en-US" w:eastAsia="zh-CN"/>
        </w:rPr>
        <w:t xml:space="preserve">     </w:t>
      </w:r>
      <w:r>
        <w:rPr>
          <w:rFonts w:hint="eastAsia" w:ascii="宋体" w:hAnsi="宋体" w:eastAsia="宋体" w:cs="宋体"/>
          <w:highlight w:val="none"/>
          <w:shd w:val="clear" w:color="auto" w:fill="FFFFFF"/>
          <w:lang w:val="en-US" w:eastAsia="zh-CN"/>
        </w:rPr>
        <w:t>时</w:t>
      </w:r>
      <w:r>
        <w:rPr>
          <w:rFonts w:hint="eastAsia" w:ascii="宋体" w:hAnsi="宋体" w:eastAsia="宋体" w:cs="宋体"/>
          <w:highlight w:val="none"/>
          <w:u w:val="single"/>
          <w:shd w:val="clear" w:color="auto" w:fill="FFFFFF"/>
          <w:lang w:val="en-US" w:eastAsia="zh-CN"/>
        </w:rPr>
        <w:t xml:space="preserve">     </w:t>
      </w:r>
      <w:r>
        <w:rPr>
          <w:rFonts w:hint="eastAsia" w:ascii="宋体" w:hAnsi="宋体" w:eastAsia="宋体" w:cs="宋体"/>
          <w:highlight w:val="none"/>
          <w:shd w:val="clear" w:color="auto" w:fill="FFFFFF"/>
          <w:lang w:val="en-US" w:eastAsia="zh-CN"/>
        </w:rPr>
        <w:t>分整统一安排现场勘察（投标人如需参与现场勘察 ①、须携带营业执照复印件及法人委托函并加盖公章 ②、并于</w:t>
      </w:r>
      <w:r>
        <w:rPr>
          <w:rFonts w:hint="eastAsia" w:ascii="宋体" w:hAnsi="宋体" w:eastAsia="宋体" w:cs="宋体"/>
          <w:highlight w:val="none"/>
          <w:u w:val="single"/>
          <w:shd w:val="clear" w:color="auto" w:fill="FFFFFF"/>
          <w:lang w:val="en-US" w:eastAsia="zh-CN"/>
        </w:rPr>
        <w:t xml:space="preserve">     </w:t>
      </w:r>
      <w:r>
        <w:rPr>
          <w:rFonts w:hint="eastAsia" w:ascii="宋体" w:hAnsi="宋体" w:eastAsia="宋体" w:cs="宋体"/>
          <w:highlight w:val="none"/>
          <w:shd w:val="clear" w:color="auto" w:fill="FFFFFF"/>
          <w:lang w:val="en-US" w:eastAsia="zh-CN"/>
        </w:rPr>
        <w:t>年</w:t>
      </w:r>
      <w:r>
        <w:rPr>
          <w:rFonts w:hint="eastAsia" w:ascii="宋体" w:hAnsi="宋体" w:eastAsia="宋体" w:cs="宋体"/>
          <w:highlight w:val="none"/>
          <w:u w:val="single"/>
          <w:shd w:val="clear" w:color="auto" w:fill="FFFFFF"/>
          <w:lang w:val="en-US" w:eastAsia="zh-CN"/>
        </w:rPr>
        <w:t xml:space="preserve">     </w:t>
      </w:r>
      <w:r>
        <w:rPr>
          <w:rFonts w:hint="eastAsia" w:ascii="宋体" w:hAnsi="宋体" w:eastAsia="宋体" w:cs="宋体"/>
          <w:highlight w:val="none"/>
          <w:shd w:val="clear" w:color="auto" w:fill="FFFFFF"/>
          <w:lang w:val="en-US" w:eastAsia="zh-CN"/>
        </w:rPr>
        <w:t>月</w:t>
      </w:r>
      <w:r>
        <w:rPr>
          <w:rFonts w:hint="eastAsia" w:ascii="宋体" w:hAnsi="宋体" w:eastAsia="宋体" w:cs="宋体"/>
          <w:highlight w:val="none"/>
          <w:u w:val="single"/>
          <w:shd w:val="clear" w:color="auto" w:fill="FFFFFF"/>
          <w:lang w:val="en-US" w:eastAsia="zh-CN"/>
        </w:rPr>
        <w:t xml:space="preserve">     </w:t>
      </w:r>
      <w:r>
        <w:rPr>
          <w:rFonts w:hint="eastAsia" w:ascii="宋体" w:hAnsi="宋体" w:eastAsia="宋体" w:cs="宋体"/>
          <w:highlight w:val="none"/>
          <w:shd w:val="clear" w:color="auto" w:fill="FFFFFF"/>
          <w:lang w:val="en-US" w:eastAsia="zh-CN"/>
        </w:rPr>
        <w:t>日</w:t>
      </w:r>
      <w:r>
        <w:rPr>
          <w:rFonts w:hint="eastAsia" w:ascii="宋体" w:hAnsi="宋体" w:eastAsia="宋体" w:cs="宋体"/>
          <w:highlight w:val="none"/>
          <w:u w:val="single"/>
          <w:shd w:val="clear" w:color="auto" w:fill="FFFFFF"/>
          <w:lang w:val="en-US" w:eastAsia="zh-CN"/>
        </w:rPr>
        <w:t xml:space="preserve">     </w:t>
      </w:r>
      <w:r>
        <w:rPr>
          <w:rFonts w:hint="eastAsia" w:ascii="宋体" w:hAnsi="宋体" w:eastAsia="宋体" w:cs="宋体"/>
          <w:highlight w:val="none"/>
          <w:shd w:val="clear" w:color="auto" w:fill="FFFFFF"/>
          <w:lang w:val="en-US" w:eastAsia="zh-CN"/>
        </w:rPr>
        <w:t>午</w:t>
      </w:r>
      <w:r>
        <w:rPr>
          <w:rFonts w:hint="eastAsia" w:ascii="宋体" w:hAnsi="宋体" w:eastAsia="宋体" w:cs="宋体"/>
          <w:highlight w:val="none"/>
          <w:u w:val="single"/>
          <w:shd w:val="clear" w:color="auto" w:fill="FFFFFF"/>
          <w:lang w:val="en-US" w:eastAsia="zh-CN"/>
        </w:rPr>
        <w:t xml:space="preserve">     </w:t>
      </w:r>
      <w:r>
        <w:rPr>
          <w:rFonts w:hint="eastAsia" w:ascii="宋体" w:hAnsi="宋体" w:eastAsia="宋体" w:cs="宋体"/>
          <w:highlight w:val="none"/>
          <w:shd w:val="clear" w:color="auto" w:fill="FFFFFF"/>
          <w:lang w:val="en-US" w:eastAsia="zh-CN"/>
        </w:rPr>
        <w:t>时</w:t>
      </w:r>
      <w:r>
        <w:rPr>
          <w:rFonts w:hint="eastAsia" w:ascii="宋体" w:hAnsi="宋体" w:eastAsia="宋体" w:cs="宋体"/>
          <w:highlight w:val="none"/>
          <w:u w:val="single"/>
          <w:shd w:val="clear" w:color="auto" w:fill="FFFFFF"/>
          <w:lang w:val="en-US" w:eastAsia="zh-CN"/>
        </w:rPr>
        <w:t xml:space="preserve">     </w:t>
      </w:r>
      <w:r>
        <w:rPr>
          <w:rFonts w:hint="eastAsia" w:ascii="宋体" w:hAnsi="宋体" w:eastAsia="宋体" w:cs="宋体"/>
          <w:highlight w:val="none"/>
          <w:shd w:val="clear" w:color="auto" w:fill="FFFFFF"/>
          <w:lang w:val="en-US" w:eastAsia="zh-CN"/>
        </w:rPr>
        <w:t>分之前在莆田市</w:t>
      </w:r>
      <w:r>
        <w:rPr>
          <w:rFonts w:hint="eastAsia" w:cs="宋体"/>
          <w:highlight w:val="none"/>
          <w:shd w:val="clear" w:color="auto" w:fill="FFFFFF"/>
          <w:lang w:val="en-US" w:eastAsia="zh-CN"/>
        </w:rPr>
        <w:t>公交南站</w:t>
      </w:r>
      <w:r>
        <w:rPr>
          <w:rFonts w:hint="eastAsia" w:ascii="宋体" w:hAnsi="宋体" w:eastAsia="宋体" w:cs="宋体"/>
          <w:highlight w:val="none"/>
          <w:shd w:val="clear" w:color="auto" w:fill="FFFFFF"/>
          <w:lang w:val="en-US" w:eastAsia="zh-CN"/>
        </w:rPr>
        <w:t>自备车辆集合并递交上述材料，过时不候  ③、联系电话：</w:t>
      </w:r>
      <w:r>
        <w:rPr>
          <w:rFonts w:hint="eastAsia" w:ascii="宋体" w:hAnsi="宋体" w:eastAsia="宋体" w:cs="宋体"/>
          <w:highlight w:val="none"/>
          <w:u w:val="single"/>
          <w:shd w:val="clear" w:color="auto" w:fill="FFFFFF"/>
          <w:lang w:val="en-US" w:eastAsia="zh-CN"/>
        </w:rPr>
        <w:t xml:space="preserve">     </w:t>
      </w:r>
      <w:r>
        <w:rPr>
          <w:rFonts w:hint="eastAsia" w:ascii="宋体" w:hAnsi="宋体" w:eastAsia="宋体" w:cs="宋体"/>
          <w:highlight w:val="none"/>
          <w:shd w:val="clear" w:color="auto" w:fill="FFFFFF"/>
          <w:lang w:val="en-US" w:eastAsia="zh-CN"/>
        </w:rPr>
        <w:t>），投标人可以此确定具体工程量。如超出上述统一勘察时间，投标人须自行至现场勘察。在附件设计图纸中未标明或预估数量不足的项目，投标方应一并考虑作出报价，最终以达到投标人提供的图纸要求及通过供电公司、</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验收为准。</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3、投标人可向招标代理人领取设计图纸等相关材料。</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4、投标人须按附件要求布设充电桩。但电气设计、预算作为投标人报价参考，高压电气部分最终以通过当地供电部门及</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验收为准。如整个项目无法按时通过当地供电部门验收或充配电设备存在故障无法给予纯电动公交车充电（即交钥匙时间超出中标人响应的时间），中标人须承担相应赔偿。</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5、旧设备、旧电缆由中标人回收并更改符合标准的新电缆，变压器利旧、改造，并由中标人承担后续5年期的免费售后维保服务，并由该场站验收合格后开始计算。利旧变压器不按评分承诺进行售后延期。</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6、中标人应按中标价格及</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要求开具合法、有效的采购专用发票。</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7、本项目电力设计费为41107.5元，由中标方直接支付给此项目电力设计单位（已包含在此次采购总价款中）。</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8、充电站建设方案改变说明：</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8.1：充电站重新选址：若</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因场站重新规划或其它原因，造成原计划场站无法建设，</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结合实际情况重新选址建设相同数量、功率的充电桩。</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8.2：场站充电桩数量变更及甩项：若</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场站实际需求发生变化，造成场站内充电桩数量减少，</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 xml:space="preserve">可结合实际情况要求中标人将减少的充电桩移至其它场站建设。  </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8.3：若因政策性调整或</w:t>
      </w:r>
      <w:r>
        <w:rPr>
          <w:rFonts w:hint="eastAsia" w:cs="宋体"/>
          <w:highlight w:val="none"/>
          <w:shd w:val="clear" w:color="auto" w:fill="FFFFFF"/>
          <w:lang w:val="en-US" w:eastAsia="zh-CN"/>
        </w:rPr>
        <w:t>采购人</w:t>
      </w:r>
      <w:r>
        <w:rPr>
          <w:rFonts w:hint="eastAsia" w:ascii="宋体" w:hAnsi="宋体" w:eastAsia="宋体" w:cs="宋体"/>
          <w:highlight w:val="none"/>
          <w:shd w:val="clear" w:color="auto" w:fill="FFFFFF"/>
          <w:lang w:val="en-US" w:eastAsia="zh-CN"/>
        </w:rPr>
        <w:t>自身原因造成上述个别场站无法施工，且采购人在主合同签订后两年内无法提供新场地供中标人建设，则项目中标价根据该场站权重比予以扣除。甩项价格的具体计算方式为：甩项价格=实际中标价×权重</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eastAsia="宋体" w:cs="宋体"/>
          <w:b/>
          <w:bCs/>
          <w:highlight w:val="none"/>
          <w:shd w:val="clear" w:color="auto" w:fill="FFFFFF"/>
          <w:lang w:val="en-US" w:eastAsia="zh-CN"/>
        </w:rPr>
      </w:pPr>
      <w:r>
        <w:rPr>
          <w:rFonts w:hint="eastAsia" w:cs="宋体"/>
          <w:highlight w:val="none"/>
          <w:shd w:val="clear" w:color="auto" w:fill="FFFFFF"/>
          <w:lang w:val="en-US" w:eastAsia="zh-CN"/>
        </w:rPr>
        <w:t>9</w:t>
      </w:r>
      <w:r>
        <w:rPr>
          <w:rFonts w:hint="eastAsia" w:ascii="宋体" w:hAnsi="宋体" w:eastAsia="宋体" w:cs="宋体"/>
          <w:highlight w:val="none"/>
          <w:shd w:val="clear" w:color="auto" w:fill="FFFFFF"/>
          <w:lang w:val="en-US" w:eastAsia="zh-CN"/>
        </w:rPr>
        <w:t>、除招标文件另有规定外，若出现有关法律、法规和规章有强制性规定但招标文件未列明的情形，则投标人应按照有关法律、法规和规章强制性规定执行。</w:t>
      </w:r>
    </w:p>
    <w:p>
      <w:pPr>
        <w:jc w:val="both"/>
        <w:rPr>
          <w:rFonts w:ascii="宋体" w:hAnsi="宋体" w:cs="宋体"/>
          <w:b/>
          <w:bCs/>
          <w:sz w:val="32"/>
          <w:szCs w:val="32"/>
          <w:highlight w:val="none"/>
        </w:rPr>
      </w:pPr>
    </w:p>
    <w:p>
      <w:pPr>
        <w:jc w:val="center"/>
        <w:rPr>
          <w:rFonts w:ascii="宋体" w:hAnsi="宋体" w:cs="宋体"/>
          <w:b/>
          <w:bCs/>
          <w:sz w:val="32"/>
          <w:szCs w:val="32"/>
          <w:highlight w:val="none"/>
        </w:rPr>
      </w:pPr>
    </w:p>
    <w:p>
      <w:pPr>
        <w:jc w:val="center"/>
        <w:rPr>
          <w:rFonts w:ascii="宋体" w:hAnsi="宋体" w:cs="宋体"/>
          <w:b/>
          <w:sz w:val="32"/>
          <w:szCs w:val="22"/>
          <w:highlight w:val="none"/>
        </w:rPr>
      </w:pPr>
      <w:r>
        <w:rPr>
          <w:rFonts w:hint="eastAsia" w:ascii="宋体" w:hAnsi="宋体" w:cs="宋体"/>
          <w:b/>
          <w:bCs/>
          <w:sz w:val="32"/>
          <w:szCs w:val="32"/>
          <w:highlight w:val="none"/>
        </w:rPr>
        <w:t>第四章    采购合同（参考文本）</w:t>
      </w:r>
    </w:p>
    <w:p>
      <w:pPr>
        <w:autoSpaceDN w:val="0"/>
        <w:spacing w:before="75" w:after="75" w:line="360" w:lineRule="auto"/>
        <w:jc w:val="center"/>
        <w:rPr>
          <w:rFonts w:ascii="宋体" w:hAnsi="宋体" w:cs="宋体"/>
          <w:b/>
          <w:sz w:val="24"/>
          <w:highlight w:val="none"/>
        </w:rPr>
      </w:pPr>
    </w:p>
    <w:p>
      <w:pPr>
        <w:autoSpaceDN w:val="0"/>
        <w:spacing w:before="75" w:after="75" w:line="360" w:lineRule="auto"/>
        <w:jc w:val="center"/>
        <w:rPr>
          <w:rFonts w:ascii="宋体" w:hAnsi="宋体" w:cs="宋体"/>
          <w:sz w:val="24"/>
          <w:highlight w:val="none"/>
        </w:rPr>
      </w:pPr>
      <w:r>
        <w:rPr>
          <w:rFonts w:hint="eastAsia" w:ascii="宋体" w:hAnsi="宋体" w:cs="宋体"/>
          <w:b/>
          <w:sz w:val="24"/>
          <w:highlight w:val="none"/>
        </w:rPr>
        <w:t>编制说明</w:t>
      </w:r>
    </w:p>
    <w:p>
      <w:pPr>
        <w:autoSpaceDN w:val="0"/>
        <w:spacing w:before="75" w:after="75" w:line="420" w:lineRule="exact"/>
        <w:rPr>
          <w:rFonts w:ascii="宋体" w:hAnsi="宋体" w:cs="宋体"/>
          <w:sz w:val="24"/>
          <w:highlight w:val="none"/>
        </w:rPr>
      </w:pPr>
      <w:r>
        <w:rPr>
          <w:rFonts w:hint="eastAsia" w:ascii="宋体" w:hAnsi="宋体" w:cs="宋体"/>
          <w:b/>
          <w:sz w:val="24"/>
          <w:highlight w:val="none"/>
        </w:rPr>
        <w:t>1、签订合同应遵守中华人民共和国民法典。</w:t>
      </w:r>
    </w:p>
    <w:p>
      <w:pPr>
        <w:autoSpaceDN w:val="0"/>
        <w:spacing w:before="75" w:after="75" w:line="420" w:lineRule="exact"/>
        <w:rPr>
          <w:rFonts w:ascii="宋体" w:hAnsi="宋体" w:cs="宋体"/>
          <w:sz w:val="24"/>
          <w:highlight w:val="none"/>
        </w:rPr>
      </w:pPr>
      <w:r>
        <w:rPr>
          <w:rFonts w:hint="eastAsia" w:ascii="宋体" w:hAnsi="宋体" w:cs="宋体"/>
          <w:b/>
          <w:sz w:val="24"/>
          <w:highlight w:val="none"/>
        </w:rPr>
        <w:t>2、签订合同时，采购人与中标人应结合招标文件第五章规定填列相应内容。招标文件第五章已有规定的，双方均不得变更或调整；招标文件第五章未作规定的，双方可通过友好协商进行约定。</w:t>
      </w:r>
    </w:p>
    <w:p>
      <w:pPr>
        <w:autoSpaceDN w:val="0"/>
        <w:spacing w:before="75" w:after="75" w:line="420" w:lineRule="exact"/>
        <w:rPr>
          <w:rFonts w:ascii="宋体" w:hAnsi="宋体" w:cs="宋体"/>
          <w:sz w:val="24"/>
          <w:highlight w:val="none"/>
        </w:rPr>
      </w:pPr>
      <w:r>
        <w:rPr>
          <w:rFonts w:hint="eastAsia" w:ascii="宋体" w:hAnsi="宋体" w:cs="宋体"/>
          <w:b/>
          <w:sz w:val="24"/>
          <w:highlight w:val="none"/>
        </w:rPr>
        <w:t>3、国家有关部门对若干合同有规范文本的，可使用相应合同文本。</w:t>
      </w:r>
    </w:p>
    <w:p>
      <w:pPr>
        <w:widowControl/>
        <w:shd w:val="clear" w:color="auto" w:fill="FFFFFF"/>
        <w:spacing w:before="75" w:after="75"/>
        <w:jc w:val="center"/>
        <w:rPr>
          <w:rFonts w:hint="eastAsia" w:ascii="宋体" w:hAnsi="宋体" w:cs="宋体"/>
          <w:b/>
          <w:bCs/>
          <w:color w:val="auto"/>
          <w:kern w:val="0"/>
          <w:sz w:val="32"/>
          <w:highlight w:val="none"/>
          <w:lang w:eastAsia="zh-CN"/>
        </w:rPr>
      </w:pPr>
    </w:p>
    <w:p>
      <w:pPr>
        <w:widowControl/>
        <w:shd w:val="clear" w:color="auto" w:fill="FFFFFF"/>
        <w:spacing w:before="75" w:after="75"/>
        <w:jc w:val="center"/>
        <w:rPr>
          <w:rFonts w:hint="eastAsia" w:ascii="宋体" w:hAnsi="宋体" w:cs="宋体"/>
          <w:b/>
          <w:bCs/>
          <w:color w:val="auto"/>
          <w:kern w:val="0"/>
          <w:sz w:val="32"/>
          <w:highlight w:val="none"/>
          <w:lang w:eastAsia="zh-CN"/>
        </w:rPr>
      </w:pPr>
    </w:p>
    <w:p>
      <w:pPr>
        <w:widowControl/>
        <w:shd w:val="clear" w:color="auto" w:fill="FFFFFF"/>
        <w:spacing w:before="75" w:after="75"/>
        <w:jc w:val="center"/>
        <w:rPr>
          <w:rFonts w:hint="eastAsia" w:ascii="宋体" w:hAnsi="宋体" w:cs="宋体"/>
          <w:b/>
          <w:bCs/>
          <w:color w:val="auto"/>
          <w:kern w:val="0"/>
          <w:sz w:val="32"/>
          <w:highlight w:val="none"/>
          <w:lang w:eastAsia="zh-CN"/>
        </w:rPr>
      </w:pPr>
    </w:p>
    <w:p>
      <w:pPr>
        <w:widowControl/>
        <w:shd w:val="clear" w:color="auto" w:fill="FFFFFF"/>
        <w:spacing w:before="75" w:after="75"/>
        <w:jc w:val="center"/>
        <w:rPr>
          <w:rFonts w:hint="eastAsia" w:ascii="宋体" w:hAnsi="宋体" w:cs="宋体"/>
          <w:b/>
          <w:bCs/>
          <w:color w:val="auto"/>
          <w:kern w:val="0"/>
          <w:sz w:val="32"/>
          <w:highlight w:val="none"/>
          <w:lang w:eastAsia="zh-CN"/>
        </w:rPr>
      </w:pPr>
    </w:p>
    <w:p>
      <w:pPr>
        <w:widowControl/>
        <w:shd w:val="clear" w:color="auto" w:fill="FFFFFF"/>
        <w:spacing w:before="75" w:after="75"/>
        <w:jc w:val="center"/>
        <w:rPr>
          <w:rFonts w:hint="eastAsia"/>
          <w:color w:val="auto"/>
          <w:highlight w:val="none"/>
        </w:rPr>
      </w:pPr>
      <w:r>
        <w:rPr>
          <w:rFonts w:hint="eastAsia" w:ascii="宋体" w:hAnsi="宋体" w:cs="宋体"/>
          <w:b/>
          <w:bCs/>
          <w:color w:val="auto"/>
          <w:kern w:val="0"/>
          <w:sz w:val="32"/>
          <w:highlight w:val="none"/>
          <w:lang w:eastAsia="zh-CN"/>
        </w:rPr>
        <w:t>充电桩采购</w:t>
      </w:r>
      <w:r>
        <w:rPr>
          <w:rFonts w:ascii="宋体" w:hAnsi="宋体" w:cs="宋体"/>
          <w:b/>
          <w:bCs/>
          <w:color w:val="auto"/>
          <w:kern w:val="0"/>
          <w:sz w:val="32"/>
          <w:highlight w:val="none"/>
        </w:rPr>
        <w:t>合同</w:t>
      </w:r>
    </w:p>
    <w:p>
      <w:pPr>
        <w:spacing w:line="360" w:lineRule="exact"/>
        <w:rPr>
          <w:rFonts w:hint="eastAsia" w:ascii="宋体" w:hAnsi="宋体"/>
          <w:color w:val="auto"/>
          <w:sz w:val="24"/>
          <w:szCs w:val="22"/>
          <w:highlight w:val="none"/>
        </w:rPr>
      </w:pPr>
    </w:p>
    <w:p>
      <w:pPr>
        <w:spacing w:line="360" w:lineRule="exact"/>
        <w:rPr>
          <w:rFonts w:hint="eastAsia" w:ascii="宋体" w:hAnsi="宋体" w:eastAsia="宋体"/>
          <w:color w:val="auto"/>
          <w:sz w:val="24"/>
          <w:szCs w:val="22"/>
          <w:highlight w:val="none"/>
          <w:lang w:val="en-US" w:eastAsia="zh-CN"/>
        </w:rPr>
      </w:pPr>
      <w:r>
        <w:rPr>
          <w:rFonts w:hint="eastAsia" w:ascii="宋体" w:hAnsi="宋体"/>
          <w:color w:val="auto"/>
          <w:sz w:val="24"/>
          <w:szCs w:val="22"/>
          <w:highlight w:val="none"/>
        </w:rPr>
        <w:t>甲方：</w:t>
      </w:r>
      <w:r>
        <w:rPr>
          <w:rFonts w:hint="eastAsia" w:ascii="宋体" w:hAnsi="宋体"/>
          <w:color w:val="auto"/>
          <w:sz w:val="24"/>
          <w:szCs w:val="22"/>
          <w:highlight w:val="none"/>
          <w:lang w:val="en-US" w:eastAsia="zh-CN"/>
        </w:rPr>
        <w:t xml:space="preserve"> </w:t>
      </w:r>
    </w:p>
    <w:p>
      <w:pPr>
        <w:spacing w:line="360" w:lineRule="exact"/>
        <w:ind w:firstLine="480"/>
        <w:rPr>
          <w:rFonts w:hint="eastAsia" w:ascii="宋体" w:hAnsi="宋体"/>
          <w:color w:val="auto"/>
          <w:sz w:val="24"/>
          <w:szCs w:val="22"/>
          <w:highlight w:val="none"/>
        </w:rPr>
      </w:pPr>
    </w:p>
    <w:p>
      <w:pPr>
        <w:spacing w:line="360" w:lineRule="exact"/>
        <w:rPr>
          <w:rFonts w:hint="eastAsia" w:ascii="宋体" w:hAnsi="宋体"/>
          <w:color w:val="auto"/>
          <w:sz w:val="24"/>
          <w:szCs w:val="22"/>
          <w:highlight w:val="none"/>
        </w:rPr>
      </w:pPr>
      <w:r>
        <w:rPr>
          <w:rFonts w:hint="eastAsia" w:ascii="宋体" w:hAnsi="宋体"/>
          <w:color w:val="auto"/>
          <w:sz w:val="24"/>
          <w:szCs w:val="22"/>
          <w:highlight w:val="none"/>
        </w:rPr>
        <w:t>乙方：</w:t>
      </w:r>
      <w:r>
        <w:rPr>
          <w:rFonts w:hint="eastAsia" w:ascii="宋体" w:hAnsi="宋体"/>
          <w:color w:val="auto"/>
          <w:sz w:val="24"/>
          <w:szCs w:val="22"/>
          <w:highlight w:val="none"/>
          <w:lang w:val="en-US" w:eastAsia="zh-CN"/>
        </w:rPr>
        <w:t xml:space="preserve"> </w:t>
      </w:r>
      <w:r>
        <w:rPr>
          <w:rFonts w:hint="eastAsia" w:ascii="宋体" w:hAnsi="宋体"/>
          <w:color w:val="auto"/>
          <w:sz w:val="24"/>
          <w:szCs w:val="22"/>
          <w:highlight w:val="none"/>
        </w:rPr>
        <w:t xml:space="preserve">        </w:t>
      </w:r>
      <w:r>
        <w:rPr>
          <w:rFonts w:hint="eastAsia" w:ascii="宋体" w:hAnsi="宋体"/>
          <w:color w:val="auto"/>
          <w:sz w:val="24"/>
          <w:szCs w:val="22"/>
          <w:highlight w:val="none"/>
          <w:lang w:val="en-US" w:eastAsia="zh-CN"/>
        </w:rPr>
        <w:t xml:space="preserve">  </w:t>
      </w:r>
      <w:r>
        <w:rPr>
          <w:rFonts w:hint="eastAsia" w:ascii="宋体" w:hAnsi="宋体"/>
          <w:color w:val="auto"/>
          <w:sz w:val="24"/>
          <w:szCs w:val="22"/>
          <w:highlight w:val="none"/>
        </w:rPr>
        <w:t xml:space="preserve"> </w:t>
      </w:r>
      <w:r>
        <w:rPr>
          <w:rFonts w:hint="eastAsia" w:ascii="宋体" w:hAnsi="宋体"/>
          <w:color w:val="auto"/>
          <w:sz w:val="24"/>
          <w:szCs w:val="22"/>
          <w:highlight w:val="none"/>
          <w:lang w:val="en-US" w:eastAsia="zh-CN"/>
        </w:rPr>
        <w:t xml:space="preserve">                            </w:t>
      </w:r>
      <w:r>
        <w:rPr>
          <w:rFonts w:hint="eastAsia" w:ascii="宋体" w:hAnsi="宋体"/>
          <w:color w:val="auto"/>
          <w:sz w:val="24"/>
          <w:szCs w:val="22"/>
          <w:highlight w:val="none"/>
        </w:rPr>
        <w:t>签订日期：     年   月   日</w:t>
      </w:r>
    </w:p>
    <w:p>
      <w:pPr>
        <w:spacing w:line="360" w:lineRule="exact"/>
        <w:ind w:firstLine="480"/>
        <w:rPr>
          <w:rFonts w:hint="eastAsia" w:ascii="宋体" w:hAnsi="宋体"/>
          <w:color w:val="auto"/>
          <w:sz w:val="24"/>
          <w:szCs w:val="22"/>
          <w:highlight w:val="none"/>
        </w:rPr>
      </w:pPr>
    </w:p>
    <w:p>
      <w:pPr>
        <w:spacing w:line="360" w:lineRule="exact"/>
        <w:ind w:firstLine="480"/>
        <w:rPr>
          <w:rFonts w:hint="eastAsia" w:ascii="宋体" w:hAnsi="宋体"/>
          <w:color w:val="auto"/>
          <w:sz w:val="24"/>
          <w:szCs w:val="22"/>
          <w:highlight w:val="none"/>
        </w:rPr>
      </w:pPr>
      <w:r>
        <w:rPr>
          <w:rFonts w:hint="eastAsia" w:ascii="宋体" w:hAnsi="宋体"/>
          <w:color w:val="auto"/>
          <w:sz w:val="24"/>
          <w:szCs w:val="22"/>
          <w:highlight w:val="none"/>
        </w:rPr>
        <w:t>甲方委托</w:t>
      </w:r>
      <w:r>
        <w:rPr>
          <w:rFonts w:hint="eastAsia" w:ascii="宋体" w:hAnsi="宋体"/>
          <w:color w:val="auto"/>
          <w:sz w:val="24"/>
          <w:szCs w:val="22"/>
          <w:highlight w:val="none"/>
          <w:u w:val="single"/>
          <w:lang w:val="en-US" w:eastAsia="zh-CN"/>
        </w:rPr>
        <w:t xml:space="preserve">                </w:t>
      </w:r>
      <w:r>
        <w:rPr>
          <w:rFonts w:hint="eastAsia" w:ascii="宋体" w:hAnsi="宋体"/>
          <w:color w:val="auto"/>
          <w:sz w:val="24"/>
          <w:szCs w:val="22"/>
          <w:highlight w:val="none"/>
        </w:rPr>
        <w:t>对纯电动公交车配套充电设备进行招标采购（招标编号：</w:t>
      </w:r>
      <w:r>
        <w:rPr>
          <w:rFonts w:hint="eastAsia" w:ascii="宋体" w:hAnsi="宋体" w:cs="Times New Roman"/>
          <w:color w:val="auto"/>
          <w:sz w:val="24"/>
          <w:szCs w:val="22"/>
          <w:highlight w:val="none"/>
          <w:lang w:eastAsia="zh-CN"/>
        </w:rPr>
        <w:t>ZDZB(PT)-2022005</w:t>
      </w:r>
      <w:r>
        <w:rPr>
          <w:rFonts w:hint="eastAsia" w:ascii="宋体" w:hAnsi="宋体"/>
          <w:color w:val="auto"/>
          <w:sz w:val="24"/>
          <w:szCs w:val="22"/>
          <w:highlight w:val="none"/>
        </w:rPr>
        <w:t>），根据招标结果，乙方为中标人，现依照招标文件、响应文件及相关文件的内容，甲、乙双方达成如下协议：</w:t>
      </w:r>
    </w:p>
    <w:tbl>
      <w:tblPr>
        <w:tblStyle w:val="31"/>
        <w:tblpPr w:leftFromText="180" w:rightFromText="180" w:vertAnchor="text" w:horzAnchor="page" w:tblpXSpec="center" w:tblpY="472"/>
        <w:tblOverlap w:val="never"/>
        <w:tblW w:w="8335" w:type="dxa"/>
        <w:jc w:val="center"/>
        <w:tblLayout w:type="fixed"/>
        <w:tblCellMar>
          <w:top w:w="17" w:type="dxa"/>
          <w:left w:w="17" w:type="dxa"/>
          <w:bottom w:w="17" w:type="dxa"/>
          <w:right w:w="17" w:type="dxa"/>
        </w:tblCellMar>
      </w:tblPr>
      <w:tblGrid>
        <w:gridCol w:w="428"/>
        <w:gridCol w:w="1038"/>
        <w:gridCol w:w="1413"/>
        <w:gridCol w:w="754"/>
        <w:gridCol w:w="1190"/>
        <w:gridCol w:w="1350"/>
        <w:gridCol w:w="2162"/>
      </w:tblGrid>
      <w:tr>
        <w:tblPrEx>
          <w:tblCellMar>
            <w:top w:w="17" w:type="dxa"/>
            <w:left w:w="17" w:type="dxa"/>
            <w:bottom w:w="17" w:type="dxa"/>
            <w:right w:w="17" w:type="dxa"/>
          </w:tblCellMar>
        </w:tblPrEx>
        <w:trPr>
          <w:trHeight w:val="1079"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货物名称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规格、型号、要求</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数量（个）</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单价</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（元）</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总价</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（元）</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拟</w:t>
            </w:r>
            <w:r>
              <w:rPr>
                <w:rFonts w:hint="eastAsia" w:ascii="宋体" w:hAnsi="宋体" w:cs="宋体"/>
                <w:color w:val="auto"/>
                <w:sz w:val="24"/>
                <w:szCs w:val="24"/>
                <w:highlight w:val="none"/>
              </w:rPr>
              <w:t>安装地点</w:t>
            </w:r>
          </w:p>
        </w:tc>
      </w:tr>
      <w:tr>
        <w:tblPrEx>
          <w:tblCellMar>
            <w:top w:w="17" w:type="dxa"/>
            <w:left w:w="17" w:type="dxa"/>
            <w:bottom w:w="17" w:type="dxa"/>
            <w:right w:w="17" w:type="dxa"/>
          </w:tblCellMar>
        </w:tblPrEx>
        <w:trPr>
          <w:trHeight w:val="673" w:hRule="atLeast"/>
          <w:jc w:val="center"/>
        </w:trPr>
        <w:tc>
          <w:tcPr>
            <w:tcW w:w="4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03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充电桩</w:t>
            </w:r>
          </w:p>
        </w:tc>
        <w:tc>
          <w:tcPr>
            <w:tcW w:w="1413"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具体技术要求及软硬件内容见招标文件</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190"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480" w:lineRule="auto"/>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r>
              <w:rPr>
                <w:rFonts w:hint="default" w:ascii="宋体" w:hAnsi="宋体" w:cs="宋体"/>
                <w:color w:val="auto"/>
                <w:sz w:val="24"/>
                <w:szCs w:val="24"/>
                <w:highlight w:val="none"/>
                <w:lang w:val="en-US" w:eastAsia="zh-CN"/>
              </w:rPr>
              <w:t xml:space="preserve"> </w:t>
            </w: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480" w:lineRule="auto"/>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市公交南站</w:t>
            </w:r>
          </w:p>
        </w:tc>
      </w:tr>
      <w:tr>
        <w:tblPrEx>
          <w:tblCellMar>
            <w:top w:w="17" w:type="dxa"/>
            <w:left w:w="17" w:type="dxa"/>
            <w:bottom w:w="17" w:type="dxa"/>
            <w:right w:w="17" w:type="dxa"/>
          </w:tblCellMar>
        </w:tblPrEx>
        <w:trPr>
          <w:trHeight w:val="555" w:hRule="atLeast"/>
          <w:jc w:val="center"/>
        </w:trPr>
        <w:tc>
          <w:tcPr>
            <w:tcW w:w="428"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充电桩</w:t>
            </w:r>
          </w:p>
        </w:tc>
        <w:tc>
          <w:tcPr>
            <w:tcW w:w="1413" w:type="dxa"/>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4"/>
                <w:szCs w:val="24"/>
                <w:highlight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190"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480" w:lineRule="auto"/>
              <w:jc w:val="center"/>
              <w:textAlignment w:val="center"/>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 </w:t>
            </w: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480" w:lineRule="auto"/>
              <w:jc w:val="center"/>
              <w:textAlignment w:val="center"/>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 xml:space="preserve"> </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濠浦公交站</w:t>
            </w:r>
          </w:p>
        </w:tc>
      </w:tr>
      <w:tr>
        <w:tblPrEx>
          <w:tblCellMar>
            <w:top w:w="17" w:type="dxa"/>
            <w:left w:w="17" w:type="dxa"/>
            <w:bottom w:w="17" w:type="dxa"/>
            <w:right w:w="17" w:type="dxa"/>
          </w:tblCellMar>
        </w:tblPrEx>
        <w:trPr>
          <w:trHeight w:val="555" w:hRule="atLeast"/>
          <w:jc w:val="center"/>
        </w:trPr>
        <w:tc>
          <w:tcPr>
            <w:tcW w:w="428"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充电桩</w:t>
            </w:r>
          </w:p>
        </w:tc>
        <w:tc>
          <w:tcPr>
            <w:tcW w:w="1413" w:type="dxa"/>
            <w:vMerge w:val="continue"/>
            <w:tcBorders>
              <w:left w:val="single" w:color="000000" w:sz="4" w:space="0"/>
              <w:right w:val="single" w:color="000000" w:sz="4" w:space="0"/>
            </w:tcBorders>
            <w:noWrap w:val="0"/>
            <w:vAlign w:val="center"/>
          </w:tcPr>
          <w:p>
            <w:pPr>
              <w:jc w:val="center"/>
              <w:rPr>
                <w:rFonts w:hint="eastAsia" w:ascii="宋体" w:hAnsi="宋体" w:cs="宋体"/>
                <w:color w:val="auto"/>
                <w:sz w:val="24"/>
                <w:szCs w:val="24"/>
                <w:highlight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190"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480" w:lineRule="auto"/>
              <w:jc w:val="center"/>
              <w:textAlignment w:val="center"/>
              <w:rPr>
                <w:rFonts w:hint="default" w:ascii="宋体" w:hAnsi="宋体" w:cs="宋体"/>
                <w:color w:val="auto"/>
                <w:sz w:val="24"/>
                <w:szCs w:val="24"/>
                <w:highlight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480" w:lineRule="auto"/>
              <w:jc w:val="center"/>
              <w:textAlignment w:val="center"/>
              <w:rPr>
                <w:rFonts w:hint="default" w:ascii="宋体" w:hAnsi="宋体" w:cs="宋体"/>
                <w:color w:val="auto"/>
                <w:sz w:val="24"/>
                <w:szCs w:val="24"/>
                <w:highlight w:val="none"/>
                <w:lang w:val="en-US" w:eastAsia="zh-CN"/>
              </w:rPr>
            </w:pP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火车站公交站</w:t>
            </w:r>
          </w:p>
        </w:tc>
      </w:tr>
      <w:tr>
        <w:trPr>
          <w:trHeight w:val="568" w:hRule="atLeast"/>
          <w:jc w:val="center"/>
        </w:trPr>
        <w:tc>
          <w:tcPr>
            <w:tcW w:w="4823"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总价</w:t>
            </w:r>
          </w:p>
        </w:tc>
        <w:tc>
          <w:tcPr>
            <w:tcW w:w="351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元</w:t>
            </w:r>
          </w:p>
        </w:tc>
      </w:tr>
      <w:tr>
        <w:tblPrEx>
          <w:tblCellMar>
            <w:top w:w="17" w:type="dxa"/>
            <w:left w:w="17" w:type="dxa"/>
            <w:bottom w:w="17" w:type="dxa"/>
            <w:right w:w="17" w:type="dxa"/>
          </w:tblCellMar>
        </w:tblPrEx>
        <w:trPr>
          <w:trHeight w:val="568" w:hRule="atLeast"/>
          <w:jc w:val="center"/>
        </w:trPr>
        <w:tc>
          <w:tcPr>
            <w:tcW w:w="833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注：</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1、上述场站充电桩均按标书要求配套监控系统、低压电缆、充电桩基座等项目的安装及场站恢复等；</w:t>
            </w:r>
          </w:p>
          <w:p>
            <w:pPr>
              <w:keepNext w:val="0"/>
              <w:keepLines w:val="0"/>
              <w:pageBreakBefore w:val="0"/>
              <w:widowControl/>
              <w:numPr>
                <w:ilvl w:val="0"/>
                <w:numId w:val="12"/>
              </w:numPr>
              <w:kinsoku/>
              <w:wordWrap/>
              <w:overflowPunct/>
              <w:topLinePunct w:val="0"/>
              <w:autoSpaceDE/>
              <w:autoSpaceDN/>
              <w:bidi w:val="0"/>
              <w:adjustRightInd/>
              <w:snapToGrid/>
              <w:spacing w:line="360" w:lineRule="auto"/>
              <w:jc w:val="left"/>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此表的各项内容所填写的信息可能在后期建设及运营过程中有调整（数量增减），乙方必须接受调整带来的设计和建设方案变更；</w:t>
            </w:r>
          </w:p>
          <w:p>
            <w:pPr>
              <w:pStyle w:val="2"/>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本项目</w:t>
            </w:r>
            <w:r>
              <w:rPr>
                <w:rFonts w:hint="eastAsia" w:ascii="宋体" w:hAnsi="宋体" w:cs="宋体"/>
                <w:color w:val="auto"/>
                <w:kern w:val="2"/>
                <w:sz w:val="24"/>
                <w:szCs w:val="24"/>
                <w:highlight w:val="none"/>
                <w:lang w:val="en-US" w:eastAsia="zh-CN" w:bidi="ar-SA"/>
              </w:rPr>
              <w:t>甲方</w:t>
            </w:r>
            <w:r>
              <w:rPr>
                <w:rFonts w:hint="eastAsia" w:ascii="宋体" w:hAnsi="宋体" w:eastAsia="宋体" w:cs="宋体"/>
                <w:color w:val="auto"/>
                <w:kern w:val="2"/>
                <w:sz w:val="24"/>
                <w:szCs w:val="24"/>
                <w:highlight w:val="none"/>
                <w:lang w:val="en-US" w:eastAsia="zh-CN" w:bidi="ar-SA"/>
              </w:rPr>
              <w:t>原有</w:t>
            </w:r>
            <w:r>
              <w:rPr>
                <w:rFonts w:hint="eastAsia" w:ascii="宋体" w:hAnsi="宋体" w:cs="宋体"/>
                <w:color w:val="auto"/>
                <w:kern w:val="2"/>
                <w:sz w:val="24"/>
                <w:szCs w:val="24"/>
                <w:highlight w:val="none"/>
                <w:lang w:val="en-US" w:eastAsia="zh-CN" w:bidi="ar-SA"/>
              </w:rPr>
              <w:t>22个</w:t>
            </w:r>
            <w:r>
              <w:rPr>
                <w:rFonts w:hint="eastAsia" w:ascii="宋体" w:hAnsi="宋体" w:eastAsia="宋体" w:cs="宋体"/>
                <w:color w:val="auto"/>
                <w:kern w:val="2"/>
                <w:sz w:val="24"/>
                <w:szCs w:val="24"/>
                <w:highlight w:val="none"/>
                <w:lang w:val="en-US" w:eastAsia="zh-CN" w:bidi="ar-SA"/>
              </w:rPr>
              <w:t>旧设备由</w:t>
            </w:r>
            <w:r>
              <w:rPr>
                <w:rFonts w:hint="eastAsia" w:ascii="宋体" w:hAnsi="宋体" w:cs="宋体"/>
                <w:color w:val="auto"/>
                <w:kern w:val="2"/>
                <w:sz w:val="24"/>
                <w:szCs w:val="24"/>
                <w:highlight w:val="none"/>
                <w:lang w:val="en-US" w:eastAsia="zh-CN" w:bidi="ar-SA"/>
              </w:rPr>
              <w:t>乙方</w:t>
            </w:r>
            <w:r>
              <w:rPr>
                <w:rFonts w:hint="eastAsia" w:ascii="宋体" w:hAnsi="宋体" w:eastAsia="宋体" w:cs="宋体"/>
                <w:color w:val="auto"/>
                <w:kern w:val="2"/>
                <w:sz w:val="24"/>
                <w:szCs w:val="24"/>
                <w:highlight w:val="none"/>
                <w:lang w:val="en-US" w:eastAsia="zh-CN" w:bidi="ar-SA"/>
              </w:rPr>
              <w:t>按照人民币124801元进行回收，</w:t>
            </w:r>
            <w:r>
              <w:rPr>
                <w:rFonts w:hint="eastAsia" w:ascii="宋体" w:hAnsi="宋体" w:cs="宋体"/>
                <w:color w:val="auto"/>
                <w:kern w:val="2"/>
                <w:sz w:val="24"/>
                <w:szCs w:val="24"/>
                <w:highlight w:val="none"/>
                <w:lang w:val="en-US" w:eastAsia="zh-CN" w:bidi="ar-SA"/>
              </w:rPr>
              <w:t>乙方</w:t>
            </w:r>
            <w:r>
              <w:rPr>
                <w:rFonts w:hint="eastAsia" w:ascii="宋体" w:hAnsi="宋体" w:eastAsia="宋体" w:cs="宋体"/>
                <w:color w:val="auto"/>
                <w:kern w:val="2"/>
                <w:sz w:val="24"/>
                <w:szCs w:val="24"/>
                <w:highlight w:val="none"/>
                <w:lang w:val="en-US" w:eastAsia="zh-CN" w:bidi="ar-SA"/>
              </w:rPr>
              <w:t>需在合同签订后负责拆除回收，各站旧设备处理完的十个工作日内支付采购人回收费用人民币124801元。</w:t>
            </w:r>
            <w:r>
              <w:rPr>
                <w:rFonts w:hint="eastAsia" w:ascii="宋体" w:hAnsi="宋体" w:cs="宋体"/>
                <w:color w:val="auto"/>
                <w:kern w:val="2"/>
                <w:sz w:val="24"/>
                <w:szCs w:val="24"/>
                <w:highlight w:val="none"/>
                <w:lang w:val="en-US" w:eastAsia="zh-CN" w:bidi="ar-SA"/>
              </w:rPr>
              <w:t>乙方</w:t>
            </w:r>
            <w:r>
              <w:rPr>
                <w:rFonts w:hint="eastAsia" w:ascii="宋体" w:hAnsi="宋体" w:eastAsia="宋体" w:cs="宋体"/>
                <w:color w:val="auto"/>
                <w:kern w:val="2"/>
                <w:sz w:val="24"/>
                <w:szCs w:val="24"/>
                <w:highlight w:val="none"/>
                <w:lang w:val="en-US" w:eastAsia="zh-CN" w:bidi="ar-SA"/>
              </w:rPr>
              <w:t>付款方式根据</w:t>
            </w:r>
            <w:r>
              <w:rPr>
                <w:rFonts w:hint="eastAsia" w:ascii="宋体" w:hAnsi="宋体" w:cs="宋体"/>
                <w:color w:val="auto"/>
                <w:kern w:val="2"/>
                <w:sz w:val="24"/>
                <w:szCs w:val="24"/>
                <w:highlight w:val="none"/>
                <w:lang w:val="en-US" w:eastAsia="zh-CN" w:bidi="ar-SA"/>
              </w:rPr>
              <w:t>甲方</w:t>
            </w:r>
            <w:r>
              <w:rPr>
                <w:rFonts w:hint="eastAsia" w:ascii="宋体" w:hAnsi="宋体" w:eastAsia="宋体" w:cs="宋体"/>
                <w:color w:val="auto"/>
                <w:kern w:val="2"/>
                <w:sz w:val="24"/>
                <w:szCs w:val="24"/>
                <w:highlight w:val="none"/>
                <w:lang w:val="en-US" w:eastAsia="zh-CN" w:bidi="ar-SA"/>
              </w:rPr>
              <w:t>实际具备施工条件的场站情况分批付款</w:t>
            </w:r>
            <w:r>
              <w:rPr>
                <w:rFonts w:hint="eastAsia" w:ascii="宋体" w:hAnsi="宋体" w:cs="宋体"/>
                <w:color w:val="auto"/>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4、以上内容及技术参数严格参照标书执行；</w:t>
            </w:r>
          </w:p>
        </w:tc>
      </w:tr>
    </w:tbl>
    <w:p>
      <w:pPr>
        <w:pStyle w:val="2"/>
        <w:tabs>
          <w:tab w:val="left" w:pos="0"/>
          <w:tab w:val="left" w:pos="993"/>
          <w:tab w:val="left" w:pos="1134"/>
        </w:tabs>
        <w:ind w:left="0" w:leftChars="0" w:firstLine="0" w:firstLineChars="0"/>
        <w:rPr>
          <w:rFonts w:hint="eastAsia" w:ascii="宋体" w:hAnsi="宋体"/>
          <w:color w:val="auto"/>
          <w:sz w:val="28"/>
          <w:szCs w:val="28"/>
          <w:highlight w:val="none"/>
        </w:rPr>
      </w:pP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460" w:lineRule="exact"/>
              <w:ind w:left="120" w:hanging="120" w:hangingChars="50"/>
              <w:rPr>
                <w:rFonts w:hint="eastAsia" w:ascii="宋体" w:hAnsi="宋体" w:cs="宋体"/>
                <w:color w:val="auto"/>
                <w:sz w:val="24"/>
                <w:szCs w:val="24"/>
                <w:highlight w:val="none"/>
              </w:rPr>
            </w:pPr>
            <w:r>
              <w:rPr>
                <w:rFonts w:hint="eastAsia" w:ascii="宋体" w:hAnsi="宋体" w:cs="宋体"/>
                <w:color w:val="auto"/>
                <w:sz w:val="24"/>
                <w:szCs w:val="24"/>
                <w:highlight w:val="none"/>
              </w:rPr>
              <w:t>交货时间：每个场站在开工确认函发出后</w:t>
            </w:r>
            <w:r>
              <w:rPr>
                <w:rFonts w:hint="eastAsia" w:ascii="宋体" w:hAnsi="宋体" w:cs="宋体"/>
                <w:color w:val="auto"/>
                <w:sz w:val="24"/>
                <w:szCs w:val="24"/>
                <w:highlight w:val="none"/>
                <w:lang w:val="en-US" w:eastAsia="zh-CN"/>
              </w:rPr>
              <w:t>60</w:t>
            </w:r>
            <w:r>
              <w:rPr>
                <w:rFonts w:hint="eastAsia" w:ascii="宋体" w:hAnsi="宋体" w:cs="宋体"/>
                <w:color w:val="auto"/>
                <w:sz w:val="24"/>
                <w:szCs w:val="24"/>
                <w:highlight w:val="none"/>
              </w:rPr>
              <w:t>个日历天内完成安装、调试并通过当地电力部门验收；因甲方场地原因致使乙方无法正常施工，验收及交付时间由双方另行协商确定。</w:t>
            </w:r>
          </w:p>
          <w:p>
            <w:pPr>
              <w:spacing w:line="460" w:lineRule="exact"/>
              <w:ind w:left="120" w:hanging="120" w:hangingChars="50"/>
              <w:rPr>
                <w:rFonts w:hint="eastAsia" w:ascii="宋体" w:hAnsi="宋体" w:cs="宋体"/>
                <w:color w:val="auto"/>
                <w:sz w:val="24"/>
                <w:szCs w:val="24"/>
                <w:highlight w:val="none"/>
              </w:rPr>
            </w:pPr>
            <w:r>
              <w:rPr>
                <w:rFonts w:hint="eastAsia" w:ascii="宋体" w:hAnsi="宋体" w:cs="宋体"/>
                <w:color w:val="auto"/>
                <w:sz w:val="24"/>
                <w:szCs w:val="24"/>
                <w:highlight w:val="none"/>
              </w:rPr>
              <w:t>交货方式：本项目为交钥匙工程。乙方须按照标书响应内容及甲方设计图纸按时完成设备采购、安装、调试（包含 10kV电力报装费用及其他一切设备、施工、安装、项目设计费以及该项目相关未标注的其它内容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含未标注的高低压元器件等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，最终以通过当地电力部门及甲方验收为准。</w:t>
            </w:r>
          </w:p>
          <w:p>
            <w:pPr>
              <w:spacing w:line="460" w:lineRule="exact"/>
              <w:ind w:left="120" w:hanging="120" w:hangingChars="50"/>
              <w:rPr>
                <w:rFonts w:hint="eastAsia" w:ascii="宋体" w:hAnsi="宋体" w:cs="宋体"/>
                <w:color w:val="auto"/>
                <w:sz w:val="24"/>
                <w:szCs w:val="24"/>
                <w:highlight w:val="none"/>
              </w:rPr>
            </w:pPr>
            <w:r>
              <w:rPr>
                <w:rFonts w:hint="eastAsia" w:ascii="宋体" w:hAnsi="宋体" w:cs="宋体"/>
                <w:color w:val="auto"/>
                <w:sz w:val="24"/>
                <w:szCs w:val="24"/>
                <w:highlight w:val="none"/>
              </w:rPr>
              <w:t>总价：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（大写）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元（小写）</w:t>
            </w:r>
          </w:p>
          <w:p>
            <w:pPr>
              <w:spacing w:line="460" w:lineRule="exact"/>
              <w:ind w:left="120" w:hanging="120" w:hangingChars="50"/>
              <w:rPr>
                <w:rFonts w:hint="eastAsia" w:ascii="宋体" w:hAnsi="宋体" w:cs="宋体"/>
                <w:color w:val="auto"/>
                <w:sz w:val="24"/>
                <w:szCs w:val="24"/>
                <w:highlight w:val="none"/>
              </w:rPr>
            </w:pPr>
            <w:r>
              <w:rPr>
                <w:rFonts w:hint="eastAsia" w:ascii="宋体" w:hAnsi="宋体" w:cs="宋体"/>
                <w:color w:val="auto"/>
                <w:sz w:val="24"/>
                <w:szCs w:val="24"/>
                <w:highlight w:val="none"/>
              </w:rPr>
              <w:t>（充电桩及配套设施总金额包含备件、专用工具、安装、调试、检验、技术培训及技术资料和运输保险等费用）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一、合同款，开票：</w:t>
            </w:r>
          </w:p>
          <w:p>
            <w:pPr>
              <w:tabs>
                <w:tab w:val="left" w:pos="1582"/>
              </w:tabs>
              <w:spacing w:line="460" w:lineRule="exact"/>
              <w:ind w:left="1199" w:leftChars="228" w:hanging="720" w:hangingChars="300"/>
              <w:rPr>
                <w:rFonts w:hint="eastAsia" w:ascii="宋体" w:hAnsi="宋体" w:cs="宋体"/>
                <w:color w:val="auto"/>
                <w:sz w:val="24"/>
                <w:szCs w:val="24"/>
                <w:highlight w:val="none"/>
              </w:rPr>
            </w:pPr>
            <w:r>
              <w:rPr>
                <w:rFonts w:hint="eastAsia" w:ascii="宋体" w:hAnsi="宋体" w:cs="宋体"/>
                <w:color w:val="auto"/>
                <w:sz w:val="24"/>
                <w:szCs w:val="24"/>
                <w:highlight w:val="none"/>
              </w:rPr>
              <w:t>1，合同总价（含税）：合计总价人民币</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元（小写）；</w:t>
            </w:r>
          </w:p>
          <w:p>
            <w:pPr>
              <w:spacing w:line="46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2、开票：按照本合同项目、数量、金额开具合法有效的</w:t>
            </w:r>
            <w:r>
              <w:rPr>
                <w:rFonts w:hint="eastAsia" w:ascii="宋体" w:hAnsi="宋体" w:cs="宋体"/>
                <w:color w:val="auto"/>
                <w:sz w:val="24"/>
                <w:szCs w:val="24"/>
                <w:highlight w:val="none"/>
                <w:lang w:eastAsia="zh-CN"/>
              </w:rPr>
              <w:t>增值税</w:t>
            </w:r>
            <w:r>
              <w:rPr>
                <w:rFonts w:hint="eastAsia" w:ascii="宋体" w:hAnsi="宋体" w:cs="宋体"/>
                <w:color w:val="auto"/>
                <w:sz w:val="24"/>
                <w:szCs w:val="24"/>
                <w:highlight w:val="none"/>
              </w:rPr>
              <w:t>发票。</w:t>
            </w:r>
          </w:p>
          <w:p>
            <w:pPr>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二、付款方式（以转账方式支付）：</w:t>
            </w:r>
          </w:p>
          <w:p>
            <w:pPr>
              <w:spacing w:line="46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【定金】1、签订合同后，甲方在十五个工作日内向乙方支付充电桩及配套设施款项的</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p>
          <w:p>
            <w:pPr>
              <w:spacing w:line="46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2、验收合格后，乙方向甲方提供已验收场站金额相符的全额、合法有效的采购增值税专用发票（数量、单价按项目开具），甲方在1个月内支付充电桩及配套设施款项的50%；</w:t>
            </w:r>
          </w:p>
          <w:p>
            <w:pPr>
              <w:spacing w:line="46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3、验收合格后第12个月至第14个月内，甲方向乙方支付充电桩及配套设施款项的25%；</w:t>
            </w:r>
          </w:p>
          <w:p>
            <w:pPr>
              <w:spacing w:line="46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4、验收合格后第24个月至第26个月内，甲方向乙方支付充电桩及配套设施部分剩余数额10%；</w:t>
            </w:r>
          </w:p>
          <w:p>
            <w:pPr>
              <w:pStyle w:val="26"/>
              <w:shd w:val="clear" w:color="auto" w:fill="FFFFFF"/>
              <w:adjustRightInd w:val="0"/>
              <w:snapToGrid w:val="0"/>
              <w:spacing w:before="48" w:beforeAutospacing="0" w:after="48" w:afterAutospacing="0" w:line="44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5、</w:t>
            </w:r>
            <w:r>
              <w:rPr>
                <w:rFonts w:hint="eastAsia" w:ascii="宋体" w:hAnsi="宋体" w:eastAsia="宋体" w:cs="宋体"/>
                <w:highlight w:val="none"/>
                <w:shd w:val="clear" w:color="auto" w:fill="FFFFFF"/>
                <w:lang w:val="en-US" w:eastAsia="zh-CN"/>
              </w:rPr>
              <w:t>剩下</w:t>
            </w:r>
            <w:r>
              <w:rPr>
                <w:rFonts w:hint="eastAsia" w:cs="宋体"/>
                <w:highlight w:val="none"/>
                <w:shd w:val="clear" w:color="auto" w:fill="FFFFFF"/>
                <w:lang w:val="en-US" w:eastAsia="zh-CN"/>
              </w:rPr>
              <w:t>5</w:t>
            </w:r>
            <w:r>
              <w:rPr>
                <w:rFonts w:hint="eastAsia" w:ascii="宋体" w:hAnsi="宋体" w:eastAsia="宋体" w:cs="宋体"/>
                <w:highlight w:val="none"/>
                <w:shd w:val="clear" w:color="auto" w:fill="FFFFFF"/>
                <w:lang w:val="en-US" w:eastAsia="zh-CN"/>
              </w:rPr>
              <w:t>%作为质量保证金，如有质量问题从质保金中交付维修费用，质保金不足抵偿维修费用的，由中标人补足</w:t>
            </w:r>
            <w:r>
              <w:rPr>
                <w:rFonts w:hint="eastAsia" w:cs="宋体"/>
                <w:highlight w:val="none"/>
                <w:shd w:val="clear" w:color="auto" w:fill="FFFFFF"/>
                <w:lang w:val="en-US" w:eastAsia="zh-CN"/>
              </w:rPr>
              <w:t>，</w:t>
            </w:r>
            <w:r>
              <w:rPr>
                <w:rFonts w:hint="eastAsia" w:ascii="宋体" w:hAnsi="宋体" w:eastAsia="宋体" w:cs="宋体"/>
                <w:highlight w:val="none"/>
                <w:shd w:val="clear" w:color="auto" w:fill="FFFFFF"/>
                <w:lang w:val="en-US" w:eastAsia="zh-CN"/>
              </w:rPr>
              <w:t>整个项目质保期满后若无发现重大质量问题无息退还</w:t>
            </w:r>
            <w:r>
              <w:rPr>
                <w:rFonts w:hint="eastAsia" w:cs="宋体"/>
                <w:highlight w:val="none"/>
                <w:shd w:val="clear" w:color="auto" w:fill="FFFFFF"/>
                <w:lang w:val="en-US" w:eastAsia="zh-CN"/>
              </w:rPr>
              <w:t>5</w:t>
            </w:r>
            <w:r>
              <w:rPr>
                <w:rFonts w:hint="eastAsia" w:ascii="宋体" w:hAnsi="宋体" w:eastAsia="宋体" w:cs="宋体"/>
                <w:highlight w:val="none"/>
                <w:shd w:val="clear" w:color="auto" w:fill="FFFFFF"/>
                <w:lang w:val="en-US" w:eastAsia="zh-CN"/>
              </w:rPr>
              <w:t>%质保金。</w:t>
            </w:r>
          </w:p>
          <w:p>
            <w:pPr>
              <w:spacing w:line="46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三、充电桩及配套设施：</w:t>
            </w:r>
          </w:p>
          <w:p>
            <w:pPr>
              <w:spacing w:line="460" w:lineRule="exact"/>
              <w:ind w:left="141" w:leftChars="67"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包含充电机、监控系统、</w:t>
            </w:r>
            <w:r>
              <w:rPr>
                <w:rFonts w:hint="eastAsia" w:ascii="宋体" w:hAnsi="宋体" w:cs="宋体"/>
                <w:color w:val="auto"/>
                <w:sz w:val="24"/>
                <w:szCs w:val="24"/>
                <w:highlight w:val="none"/>
                <w:lang w:val="en-US" w:eastAsia="zh-CN"/>
              </w:rPr>
              <w:t>利旧</w:t>
            </w:r>
            <w:r>
              <w:rPr>
                <w:rFonts w:hint="eastAsia" w:ascii="宋体" w:hAnsi="宋体" w:cs="宋体"/>
                <w:color w:val="auto"/>
                <w:sz w:val="24"/>
                <w:szCs w:val="24"/>
                <w:highlight w:val="none"/>
              </w:rPr>
              <w:t>变压器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部分开关改造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、电缆等项目的基础安装调试及场站恢复等，具体技术参数按照标书执行。</w:t>
            </w:r>
          </w:p>
          <w:p>
            <w:pPr>
              <w:spacing w:line="460" w:lineRule="exact"/>
              <w:rPr>
                <w:rFonts w:hint="eastAsia" w:ascii="宋体" w:hAnsi="宋体" w:cs="宋体"/>
                <w:color w:val="auto"/>
                <w:sz w:val="24"/>
                <w:szCs w:val="24"/>
                <w:highlight w:val="none"/>
              </w:rPr>
            </w:pPr>
            <w:r>
              <w:rPr>
                <w:rFonts w:hint="eastAsia" w:ascii="宋体" w:hAnsi="宋体" w:cs="宋体"/>
                <w:b/>
                <w:color w:val="auto"/>
                <w:sz w:val="24"/>
                <w:szCs w:val="24"/>
                <w:highlight w:val="none"/>
              </w:rPr>
              <w:t>四、安全责任：</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1、采购、运输、安装、基础施工以及调试过程中的安全责任由乙方承担。</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2、交付使用后，如因乙方产品质量问题及可归责于乙方的事宜所引起的安全事故全部由乙方承担。</w:t>
            </w:r>
          </w:p>
          <w:p>
            <w:pPr>
              <w:spacing w:line="46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五、其他条款：</w:t>
            </w:r>
          </w:p>
          <w:p>
            <w:pPr>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1、本合同系双方依据《中华人民共和国民法典》、《中华人民共和国</w:t>
            </w:r>
            <w:r>
              <w:rPr>
                <w:rFonts w:hint="eastAsia" w:ascii="宋体" w:hAnsi="宋体" w:cs="宋体"/>
                <w:b/>
                <w:color w:val="auto"/>
                <w:sz w:val="24"/>
                <w:szCs w:val="24"/>
                <w:highlight w:val="none"/>
                <w:lang w:val="en-US" w:eastAsia="zh-CN"/>
              </w:rPr>
              <w:t>政府采购</w:t>
            </w:r>
            <w:r>
              <w:rPr>
                <w:rFonts w:hint="eastAsia" w:ascii="宋体" w:hAnsi="宋体" w:cs="宋体"/>
                <w:b/>
                <w:color w:val="auto"/>
                <w:sz w:val="24"/>
                <w:szCs w:val="24"/>
                <w:highlight w:val="none"/>
              </w:rPr>
              <w:t>法》，在平等互利的基础上，经充分协商，特定本合同，双方对合同规定的权利和义务均清楚明确。</w:t>
            </w:r>
          </w:p>
          <w:p>
            <w:pPr>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2、乙方要求付款时应提交下列单证和文件。</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（1）金额为有关合同产品价格100%的正式发票；</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（2）生产厂家出具的产品质量合格证、产品说明书、产品保修卡；</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（3）甲方已收讫产品的验收凭证；</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（4）甲方签发的验收合格文件。</w:t>
            </w:r>
          </w:p>
          <w:p>
            <w:pPr>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3、质量要求和技术标准</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质量条款可细分为产品质量、技术资料质量等内容。（质量要求和技术标准应按公开招标文件要求）</w:t>
            </w:r>
          </w:p>
          <w:p>
            <w:pPr>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4、安装调试、技术服务、人员培训及技术资料</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安装调试、技术服务、人员培训及技术资料应按招标文件要求。</w:t>
            </w:r>
          </w:p>
          <w:p>
            <w:pPr>
              <w:spacing w:line="460" w:lineRule="exact"/>
              <w:ind w:firstLine="482" w:firstLineChars="200"/>
              <w:rPr>
                <w:rFonts w:hint="eastAsia" w:ascii="宋体" w:hAnsi="宋体" w:cs="宋体"/>
                <w:bCs/>
                <w:color w:val="auto"/>
                <w:sz w:val="24"/>
                <w:szCs w:val="24"/>
                <w:highlight w:val="none"/>
              </w:rPr>
            </w:pPr>
            <w:r>
              <w:rPr>
                <w:rFonts w:hint="eastAsia" w:ascii="宋体" w:hAnsi="宋体" w:cs="宋体"/>
                <w:b/>
                <w:color w:val="auto"/>
                <w:sz w:val="24"/>
                <w:szCs w:val="24"/>
                <w:highlight w:val="none"/>
              </w:rPr>
              <w:t>5、</w:t>
            </w:r>
            <w:r>
              <w:rPr>
                <w:rFonts w:hint="eastAsia" w:ascii="宋体" w:hAnsi="宋体" w:cs="宋体"/>
                <w:bCs/>
                <w:color w:val="auto"/>
                <w:sz w:val="24"/>
                <w:szCs w:val="24"/>
                <w:highlight w:val="none"/>
              </w:rPr>
              <w:t>电力项目设计费为合同总价的</w:t>
            </w:r>
            <w:r>
              <w:rPr>
                <w:rFonts w:hint="eastAsia" w:ascii="宋体" w:hAnsi="宋体" w:cs="宋体"/>
                <w:bCs/>
                <w:color w:val="auto"/>
                <w:sz w:val="24"/>
                <w:szCs w:val="24"/>
                <w:highlight w:val="none"/>
                <w:lang w:val="en-US" w:eastAsia="zh-CN"/>
              </w:rPr>
              <w:t>41107.5元</w:t>
            </w:r>
            <w:r>
              <w:rPr>
                <w:rFonts w:hint="eastAsia" w:ascii="宋体" w:hAnsi="宋体" w:cs="宋体"/>
                <w:bCs/>
                <w:color w:val="auto"/>
                <w:sz w:val="24"/>
                <w:szCs w:val="24"/>
                <w:highlight w:val="none"/>
              </w:rPr>
              <w:t>（已包含在此次采购总价款中），由乙方直接支付给此项目电力设计单位。</w:t>
            </w:r>
          </w:p>
          <w:p>
            <w:pPr>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6、验收</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在已建成的场站安装调试完毕并提出书面申请后，甲方需在7个工作日内组织验收（产品验收标准和方法应按招标文件要求）。其中需电力专业部门验收的，以电力相关部门验收为准。验收结果经双方确认后，双方代表必须按规定的验收交接单上的项目对照本合同填好验收结果并签名盖章。</w:t>
            </w:r>
          </w:p>
          <w:p>
            <w:pPr>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7、质量保证和售后服务</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（1）质量保证和售后服务</w:t>
            </w:r>
            <w:r>
              <w:rPr>
                <w:rFonts w:hint="eastAsia" w:ascii="宋体" w:hAnsi="宋体" w:cs="宋体"/>
                <w:color w:val="auto"/>
                <w:sz w:val="24"/>
                <w:szCs w:val="24"/>
                <w:highlight w:val="none"/>
              </w:rPr>
              <w:t>按照标书执行。</w:t>
            </w:r>
          </w:p>
          <w:p>
            <w:pPr>
              <w:spacing w:line="4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（2）质保期</w:t>
            </w:r>
            <w:r>
              <w:rPr>
                <w:rFonts w:hint="eastAsia" w:ascii="宋体" w:hAnsi="宋体" w:cs="宋体"/>
                <w:color w:val="auto"/>
                <w:sz w:val="24"/>
                <w:szCs w:val="24"/>
                <w:highlight w:val="none"/>
                <w:lang w:eastAsia="zh-CN"/>
              </w:rPr>
              <w:t>内售后要求</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w:t>
            </w:r>
            <w:r>
              <w:rPr>
                <w:rFonts w:hint="eastAsia" w:ascii="宋体" w:hAnsi="宋体" w:cs="宋体"/>
                <w:color w:val="auto"/>
                <w:sz w:val="24"/>
                <w:szCs w:val="24"/>
                <w:highlight w:val="none"/>
                <w:lang w:eastAsia="zh-CN"/>
              </w:rPr>
              <w:t>整个</w:t>
            </w:r>
            <w:r>
              <w:rPr>
                <w:rFonts w:hint="eastAsia" w:ascii="宋体" w:hAnsi="宋体" w:cs="宋体"/>
                <w:color w:val="auto"/>
                <w:sz w:val="24"/>
                <w:szCs w:val="24"/>
                <w:highlight w:val="none"/>
              </w:rPr>
              <w:t>项目质保期为</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年，时间从产品经最终验收合格后开始计算。（不可抗力除外）；自验收合格之日起</w:t>
            </w:r>
            <w:r>
              <w:rPr>
                <w:rFonts w:hint="eastAsia" w:ascii="宋体" w:hAnsi="宋体" w:cs="宋体"/>
                <w:color w:val="auto"/>
                <w:sz w:val="24"/>
                <w:szCs w:val="24"/>
                <w:highlight w:val="none"/>
                <w:lang w:val="en-US" w:eastAsia="zh-CN"/>
              </w:rPr>
              <w:t>质保期</w:t>
            </w:r>
            <w:r>
              <w:rPr>
                <w:rFonts w:hint="eastAsia" w:ascii="宋体" w:hAnsi="宋体" w:cs="宋体"/>
                <w:color w:val="auto"/>
                <w:sz w:val="24"/>
                <w:szCs w:val="24"/>
                <w:highlight w:val="none"/>
              </w:rPr>
              <w:t>内免费更换或维修故障</w:t>
            </w:r>
            <w:r>
              <w:rPr>
                <w:rFonts w:hint="eastAsia" w:ascii="宋体" w:hAnsi="宋体" w:cs="宋体"/>
                <w:color w:val="auto"/>
                <w:sz w:val="24"/>
                <w:szCs w:val="24"/>
                <w:highlight w:val="none"/>
                <w:lang w:eastAsia="zh-CN"/>
              </w:rPr>
              <w:t>设备</w:t>
            </w:r>
            <w:r>
              <w:rPr>
                <w:rFonts w:hint="eastAsia" w:ascii="宋体" w:hAnsi="宋体" w:cs="宋体"/>
                <w:color w:val="auto"/>
                <w:sz w:val="24"/>
                <w:szCs w:val="24"/>
                <w:highlight w:val="none"/>
              </w:rPr>
              <w:t>；终身提供技术服务和维修维护，质保期之后的维护仅收取元器件成本。免费做软件升级和维护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八年内免费升级监控软件。</w:t>
            </w:r>
          </w:p>
          <w:p>
            <w:pPr>
              <w:adjustRightInd w:val="0"/>
              <w:spacing w:line="460" w:lineRule="exact"/>
              <w:ind w:firstLine="424" w:firstLineChars="177"/>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②在质量保证期内运行发生故障时，乙方在接到甲方故障通知后2小时内维修响应，24小时内解决问题，如不能及时解决应提供备用设备，并及时填写维修报告（包括故障原因、处理情况及甲方意见等）报甲方备案。</w:t>
            </w:r>
            <w:r>
              <w:rPr>
                <w:rFonts w:hint="eastAsia" w:ascii="宋体" w:hAnsi="宋体" w:cs="宋体"/>
                <w:color w:val="auto"/>
                <w:sz w:val="24"/>
                <w:szCs w:val="24"/>
                <w:highlight w:val="none"/>
                <w:lang w:eastAsia="zh-CN"/>
              </w:rPr>
              <w:t>质保</w:t>
            </w:r>
            <w:r>
              <w:rPr>
                <w:rFonts w:hint="eastAsia" w:ascii="宋体" w:hAnsi="宋体" w:cs="宋体"/>
                <w:color w:val="auto"/>
                <w:sz w:val="24"/>
                <w:szCs w:val="24"/>
                <w:highlight w:val="none"/>
              </w:rPr>
              <w:t>期内充电桩出现重大技术问题时，乙方应在72个小时内解决，并在7天内提交故障分析报告。所有设备自验收合格之日起质保期内凡出现故障，包换不低于同品牌同配置的新设备。</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③配件中心库设于莆田市内，零配件及易损件按厂方成本价优惠供应，同时备足易损配件，其余的配件在申报后24小时到位。</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④充电桩交付后1个月内，需派专业技术人员到交货现场进行指导和服务，确保充电桩运营顺利。</w:t>
            </w:r>
          </w:p>
          <w:p>
            <w:pPr>
              <w:spacing w:line="4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（3）质量保证期后乙方应承担以下售后服务：</w:t>
            </w:r>
          </w:p>
          <w:p>
            <w:pPr>
              <w:spacing w:line="4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①</w:t>
            </w:r>
            <w:r>
              <w:rPr>
                <w:rFonts w:hint="eastAsia" w:ascii="宋体" w:hAnsi="宋体" w:cs="宋体"/>
                <w:color w:val="auto"/>
                <w:sz w:val="24"/>
                <w:szCs w:val="24"/>
                <w:highlight w:val="none"/>
              </w:rPr>
              <w:t>在产品质保期满后，乙方保证继续为贵方提供维修服务，并按提供的优惠价格向甲方收取相关费用。在货物质量保证期满后，如果因产品的固有缺陷出现紧急故障和事故，乙方在接到贵方通知后立即提供支持、并在24小时内到达现场，迅速排除货物故障。</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②</w:t>
            </w:r>
            <w:r>
              <w:rPr>
                <w:rFonts w:hint="eastAsia" w:ascii="宋体" w:hAnsi="宋体" w:cs="宋体"/>
                <w:color w:val="auto"/>
                <w:sz w:val="24"/>
                <w:szCs w:val="24"/>
                <w:highlight w:val="none"/>
              </w:rPr>
              <w:t>所有配件供应价格不高于标书响应价格，标书未标注的配件全部按9折优惠供应，所有配件均为原厂产品。</w:t>
            </w:r>
          </w:p>
          <w:p>
            <w:pPr>
              <w:spacing w:line="4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（4）乙方负责指派技术人员定期对所有充电设施进行故障排查（每月1次以上），</w:t>
            </w:r>
            <w:r>
              <w:rPr>
                <w:rFonts w:hint="eastAsia" w:ascii="宋体" w:hAnsi="宋体" w:cs="宋体"/>
                <w:color w:val="auto"/>
                <w:sz w:val="24"/>
                <w:szCs w:val="24"/>
                <w:highlight w:val="none"/>
                <w:lang w:val="en-US" w:eastAsia="zh-CN"/>
              </w:rPr>
              <w:t>每季度除尘1次并</w:t>
            </w:r>
            <w:r>
              <w:rPr>
                <w:rFonts w:hint="eastAsia" w:ascii="宋体" w:hAnsi="宋体" w:cs="宋体"/>
                <w:color w:val="auto"/>
                <w:sz w:val="24"/>
                <w:szCs w:val="24"/>
                <w:highlight w:val="none"/>
              </w:rPr>
              <w:t>提供</w:t>
            </w:r>
            <w:r>
              <w:rPr>
                <w:rFonts w:hint="eastAsia" w:ascii="宋体" w:hAnsi="宋体" w:cs="宋体"/>
                <w:color w:val="auto"/>
                <w:sz w:val="24"/>
                <w:szCs w:val="24"/>
                <w:highlight w:val="none"/>
                <w:lang w:val="en-US" w:eastAsia="zh-CN"/>
              </w:rPr>
              <w:t>相关</w:t>
            </w:r>
            <w:r>
              <w:rPr>
                <w:rFonts w:hint="eastAsia" w:ascii="宋体" w:hAnsi="宋体" w:cs="宋体"/>
                <w:color w:val="auto"/>
                <w:sz w:val="24"/>
                <w:szCs w:val="24"/>
                <w:highlight w:val="none"/>
              </w:rPr>
              <w:t>记录。</w:t>
            </w:r>
          </w:p>
          <w:p>
            <w:pPr>
              <w:spacing w:line="46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8、充电站建设方案改变说明：</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（1）充电站重新选址：若甲方因场站重新规划或其它原因，造成原计划场站无法建设，甲方结合实际情况重新选址建设相同数量、功率的充电桩。</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（2）场站充电桩数量变更及甩项：</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①</w:t>
            </w:r>
            <w:r>
              <w:rPr>
                <w:rFonts w:hint="eastAsia" w:ascii="宋体" w:hAnsi="宋体" w:cs="宋体"/>
                <w:color w:val="auto"/>
                <w:sz w:val="24"/>
                <w:szCs w:val="24"/>
                <w:highlight w:val="none"/>
              </w:rPr>
              <w:t xml:space="preserve">若甲方场站实际需求发生变化，造成场站内充电桩数量减少，甲方可结合实际情况要求乙方将减少的充电桩移至其它场站建设。  </w:t>
            </w:r>
          </w:p>
          <w:p>
            <w:pPr>
              <w:spacing w:line="460" w:lineRule="exact"/>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lang w:eastAsia="zh-CN"/>
              </w:rPr>
              <w:t>②</w:t>
            </w:r>
            <w:r>
              <w:rPr>
                <w:rFonts w:hint="eastAsia" w:ascii="宋体" w:hAnsi="宋体" w:cs="宋体"/>
                <w:color w:val="auto"/>
                <w:sz w:val="24"/>
                <w:szCs w:val="24"/>
                <w:highlight w:val="none"/>
              </w:rPr>
              <w:t>若因政策性调整或甲方自身原因造成上述个别场站无法施工，且采购人在主合同签订后两年内无法提供新场地供乙方建设，则项目中标价根据该场站权重比予以扣除。甲方不应对该甩项事宜承担法律责任。</w:t>
            </w:r>
          </w:p>
          <w:p>
            <w:pPr>
              <w:spacing w:line="46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9、违约责任</w:t>
            </w:r>
          </w:p>
          <w:p>
            <w:pPr>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（1）未按期交货的违约责任</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乙方所交的货物品牌、型号、质量不符合招标文件和合同规定标准的，或者因充电机原因造成与车辆不能很好地匹配，无法正常使用的，甲方有权要求退货，乙方负责按甲方的要求及时更换符合招标文件和合同规定标准的货物，否则，按无能力交货进行处理。</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乙方无能力交付货物的，乙方双倍退还签订合同时交付的定金，并支付合同总值20%的赔偿金，如果乙方未能按合同规定的时间按时足额交货的（不可抗力除外），甲方有权选择同意延长交货期还是不予延长交货期，甲方同意延长交货期的，延期交货的时间由双方另行确定。逾期交付货物的，乙方向甲方缴纳1000元/天/桩的违约金（逾期的期限为一个月，超过一个月的，按无能力交货处理）。延期交货违约金的支付甲方有权从应付未付的合同货款中扣除。</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（2）因充电站故障而造成甲方车辆误班的，</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需赔偿500元/天/车。</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（3）因充电站建设不规范并存在安全隐患，而被相关部门勒令整改的，乙方须对此承担相应责任，并赔偿由此造成的损失，赔偿款按2000元/天/桩计算。</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（4）甲方使用车辆在乙方充电站充电时发生安全事故造成甲方或第三人损害损失的，经查明原因是由乙方充电设备造成的，乙方应承担所有赔偿责任（</w:t>
            </w:r>
            <w:r>
              <w:rPr>
                <w:rFonts w:hint="eastAsia" w:ascii="宋体" w:hAnsi="宋体" w:cs="宋体"/>
                <w:color w:val="auto"/>
                <w:sz w:val="24"/>
                <w:szCs w:val="24"/>
                <w:highlight w:val="none"/>
                <w:lang w:eastAsia="zh-CN"/>
              </w:rPr>
              <w:t>包括但不限于</w:t>
            </w:r>
            <w:r>
              <w:rPr>
                <w:rFonts w:hint="eastAsia" w:ascii="宋体" w:hAnsi="宋体" w:cs="宋体"/>
                <w:color w:val="auto"/>
                <w:sz w:val="24"/>
                <w:szCs w:val="24"/>
                <w:highlight w:val="none"/>
              </w:rPr>
              <w:t>误班费</w:t>
            </w:r>
            <w:r>
              <w:rPr>
                <w:rFonts w:hint="eastAsia" w:ascii="宋体" w:hAnsi="宋体" w:cs="宋体"/>
                <w:color w:val="auto"/>
                <w:sz w:val="24"/>
                <w:szCs w:val="24"/>
                <w:highlight w:val="none"/>
                <w:lang w:eastAsia="zh-CN"/>
              </w:rPr>
              <w:t>及甲方因此支付的律师费、诉讼费、鉴定费等</w:t>
            </w:r>
            <w:r>
              <w:rPr>
                <w:rFonts w:hint="eastAsia" w:ascii="宋体" w:hAnsi="宋体" w:cs="宋体"/>
                <w:color w:val="auto"/>
                <w:sz w:val="24"/>
                <w:szCs w:val="24"/>
                <w:highlight w:val="none"/>
              </w:rPr>
              <w:t>）</w:t>
            </w:r>
          </w:p>
          <w:p>
            <w:pPr>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（5）如果乙方未能按照合同、标书约定的响应时间提供售后服务的，每逾期 1 天的，乙方应向甲方支付 500 元/台的违约金。</w:t>
            </w:r>
          </w:p>
          <w:p>
            <w:pPr>
              <w:spacing w:line="46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color w:val="auto"/>
                <w:sz w:val="24"/>
                <w:szCs w:val="24"/>
                <w:highlight w:val="none"/>
              </w:rPr>
              <w:t>6）甲方无正当理由拒收货物，甲方向乙方偿付货款总值</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%的违约金。</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（7）乙方</w:t>
            </w:r>
            <w:r>
              <w:rPr>
                <w:rFonts w:hint="eastAsia" w:ascii="宋体" w:hAnsi="宋体" w:eastAsia="宋体" w:cs="宋体"/>
                <w:color w:val="auto"/>
                <w:kern w:val="2"/>
                <w:sz w:val="24"/>
                <w:szCs w:val="24"/>
                <w:highlight w:val="none"/>
                <w:lang w:val="en-US" w:eastAsia="zh-CN" w:bidi="ar-SA"/>
              </w:rPr>
              <w:t>交付的货物在使用中无质量问题，甲方在办理付款手续时违约的按银行同期贷款利率</w:t>
            </w:r>
            <w:r>
              <w:rPr>
                <w:rFonts w:hint="eastAsia" w:ascii="宋体" w:hAnsi="宋体" w:cs="宋体"/>
                <w:color w:val="auto"/>
                <w:sz w:val="24"/>
                <w:szCs w:val="24"/>
                <w:highlight w:val="none"/>
              </w:rPr>
              <w:t>向乙方支付违约金。</w:t>
            </w:r>
          </w:p>
          <w:p>
            <w:pPr>
              <w:pStyle w:val="2"/>
              <w:tabs>
                <w:tab w:val="left" w:pos="0"/>
                <w:tab w:val="left" w:pos="993"/>
                <w:tab w:val="left" w:pos="1134"/>
              </w:tabs>
              <w:spacing w:line="360" w:lineRule="auto"/>
              <w:ind w:left="0" w:leftChars="0" w:firstLine="0" w:firstLineChars="0"/>
              <w:rPr>
                <w:rFonts w:hint="default" w:ascii="宋体" w:hAnsi="宋体" w:eastAsia="宋体" w:cs="宋体"/>
                <w:color w:val="auto"/>
                <w:kern w:val="2"/>
                <w:sz w:val="24"/>
                <w:szCs w:val="24"/>
                <w:highlight w:val="none"/>
                <w:lang w:val="en-US" w:eastAsia="zh-CN" w:bidi="ar-SA"/>
              </w:rPr>
            </w:pPr>
            <w:r>
              <w:rPr>
                <w:rFonts w:hint="default"/>
                <w:highlight w:val="none"/>
              </w:rPr>
              <w:t xml:space="preserve"> </w:t>
            </w:r>
            <w:r>
              <w:rPr>
                <w:rFonts w:hint="default" w:ascii="宋体" w:hAnsi="宋体" w:eastAsia="宋体" w:cs="宋体"/>
                <w:color w:val="auto"/>
                <w:kern w:val="2"/>
                <w:sz w:val="24"/>
                <w:szCs w:val="24"/>
                <w:highlight w:val="none"/>
                <w:lang w:val="en-US" w:eastAsia="zh-CN" w:bidi="ar-SA"/>
              </w:rPr>
              <w:t xml:space="preserve">   （8）</w:t>
            </w:r>
            <w:r>
              <w:rPr>
                <w:rFonts w:hint="eastAsia" w:ascii="宋体" w:hAnsi="宋体" w:eastAsia="宋体" w:cs="宋体"/>
                <w:color w:val="auto"/>
                <w:kern w:val="2"/>
                <w:sz w:val="24"/>
                <w:szCs w:val="24"/>
                <w:highlight w:val="none"/>
                <w:lang w:val="en-US" w:eastAsia="zh-CN" w:bidi="ar-SA"/>
              </w:rPr>
              <w:t>甲乙双方应按照本协议约定各自履行相应的义务，一方如发现对方有违约行为的，应及时书面通知；如对方限期内仍不纠正的，一方可立即终止协议并要求对方赔偿相应损失。</w:t>
            </w:r>
          </w:p>
          <w:p>
            <w:pPr>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10、合同纠纷处理方式：</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因本合同或与本合同有关的一切事项发生争议，由双方友好协商解决。协商不能解决的，任何一方均可向甲方所在地的人民法院提起诉讼。</w:t>
            </w:r>
          </w:p>
          <w:p>
            <w:pPr>
              <w:spacing w:line="4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11、其他约定</w:t>
            </w:r>
          </w:p>
          <w:p>
            <w:pPr>
              <w:spacing w:line="46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本采购项目的招标文件、乙方的响应文件以及相关的澄清确认函或技术对接函（若有的情况下）均为本合同不可分割的一部分，与本合同具有同等法律效力。</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（1）本合同未尽事宜，双方另行补充。</w:t>
            </w:r>
          </w:p>
          <w:p>
            <w:pPr>
              <w:pStyle w:val="2"/>
              <w:tabs>
                <w:tab w:val="left" w:pos="0"/>
                <w:tab w:val="left" w:pos="993"/>
                <w:tab w:val="left" w:pos="1134"/>
              </w:tabs>
              <w:ind w:left="0" w:firstLine="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（2）本合同一式 </w:t>
            </w:r>
            <w:r>
              <w:rPr>
                <w:rFonts w:hint="eastAsia" w:ascii="宋体" w:hAnsi="宋体" w:cs="宋体"/>
                <w:color w:val="auto"/>
                <w:sz w:val="24"/>
                <w:szCs w:val="24"/>
                <w:highlight w:val="none"/>
                <w:u w:val="single"/>
              </w:rPr>
              <w:t>陆</w:t>
            </w:r>
            <w:r>
              <w:rPr>
                <w:rFonts w:hint="eastAsia" w:ascii="宋体" w:hAnsi="宋体" w:cs="宋体"/>
                <w:color w:val="auto"/>
                <w:sz w:val="24"/>
                <w:szCs w:val="24"/>
                <w:highlight w:val="none"/>
              </w:rPr>
              <w:t xml:space="preserve"> 份，经双方授权代表签字并盖章后生效。甲方</w:t>
            </w:r>
            <w:r>
              <w:rPr>
                <w:rFonts w:hint="eastAsia" w:ascii="宋体" w:hAnsi="宋体" w:cs="宋体"/>
                <w:color w:val="auto"/>
                <w:sz w:val="24"/>
                <w:szCs w:val="24"/>
                <w:highlight w:val="none"/>
                <w:u w:val="single"/>
              </w:rPr>
              <w:t>叁</w:t>
            </w:r>
            <w:r>
              <w:rPr>
                <w:rFonts w:hint="eastAsia" w:ascii="宋体" w:hAnsi="宋体" w:cs="宋体"/>
                <w:color w:val="auto"/>
                <w:sz w:val="24"/>
                <w:szCs w:val="24"/>
                <w:highlight w:val="none"/>
              </w:rPr>
              <w:t>份、乙方</w:t>
            </w:r>
            <w:r>
              <w:rPr>
                <w:rFonts w:hint="eastAsia" w:ascii="宋体" w:hAnsi="宋体" w:cs="宋体"/>
                <w:color w:val="auto"/>
                <w:sz w:val="24"/>
                <w:szCs w:val="24"/>
                <w:highlight w:val="none"/>
                <w:u w:val="single"/>
              </w:rPr>
              <w:t>叁</w:t>
            </w:r>
            <w:r>
              <w:rPr>
                <w:rFonts w:hint="eastAsia" w:ascii="宋体" w:hAnsi="宋体" w:cs="宋体"/>
                <w:color w:val="auto"/>
                <w:sz w:val="24"/>
                <w:szCs w:val="24"/>
                <w:highlight w:val="none"/>
              </w:rPr>
              <w:t>份，具有同等效力。</w:t>
            </w:r>
          </w:p>
        </w:tc>
      </w:tr>
    </w:tbl>
    <w:p>
      <w:pPr>
        <w:autoSpaceDN w:val="0"/>
        <w:spacing w:before="75" w:after="75" w:line="420" w:lineRule="exact"/>
        <w:rPr>
          <w:rFonts w:ascii="宋体" w:hAnsi="宋体" w:cs="宋体"/>
          <w:sz w:val="24"/>
          <w:highlight w:val="none"/>
        </w:rPr>
      </w:pPr>
      <w:r>
        <w:rPr>
          <w:rFonts w:hint="eastAsia" w:ascii="宋体" w:hAnsi="宋体" w:cs="宋体"/>
          <w:sz w:val="24"/>
          <w:highlight w:val="none"/>
        </w:rPr>
        <w:t xml:space="preserve">  </w:t>
      </w:r>
    </w:p>
    <w:p>
      <w:pPr>
        <w:autoSpaceDN w:val="0"/>
        <w:spacing w:before="75" w:after="75" w:line="420" w:lineRule="exact"/>
        <w:rPr>
          <w:rFonts w:ascii="宋体" w:hAnsi="宋体" w:cs="宋体"/>
          <w:sz w:val="24"/>
          <w:highlight w:val="none"/>
        </w:rPr>
      </w:pPr>
      <w:r>
        <w:rPr>
          <w:rFonts w:hint="eastAsia" w:ascii="宋体" w:hAnsi="宋体" w:cs="宋体"/>
          <w:sz w:val="24"/>
          <w:highlight w:val="none"/>
        </w:rPr>
        <w:t>甲方：                                  乙方：</w:t>
      </w:r>
    </w:p>
    <w:p>
      <w:pPr>
        <w:autoSpaceDN w:val="0"/>
        <w:spacing w:before="75" w:after="75" w:line="420" w:lineRule="exact"/>
        <w:rPr>
          <w:rFonts w:ascii="宋体" w:hAnsi="宋体" w:cs="宋体"/>
          <w:sz w:val="24"/>
          <w:highlight w:val="none"/>
        </w:rPr>
      </w:pPr>
      <w:r>
        <w:rPr>
          <w:rFonts w:hint="eastAsia" w:ascii="宋体" w:hAnsi="宋体" w:cs="宋体"/>
          <w:sz w:val="24"/>
          <w:highlight w:val="none"/>
        </w:rPr>
        <w:t>住所：                                  住所：</w:t>
      </w:r>
    </w:p>
    <w:p>
      <w:pPr>
        <w:autoSpaceDN w:val="0"/>
        <w:spacing w:before="75" w:after="75" w:line="420" w:lineRule="exact"/>
        <w:rPr>
          <w:rFonts w:ascii="宋体" w:hAnsi="宋体" w:cs="宋体"/>
          <w:sz w:val="24"/>
          <w:highlight w:val="none"/>
        </w:rPr>
      </w:pPr>
      <w:r>
        <w:rPr>
          <w:rFonts w:hint="eastAsia" w:ascii="宋体" w:hAnsi="宋体" w:cs="宋体"/>
          <w:sz w:val="24"/>
          <w:highlight w:val="none"/>
        </w:rPr>
        <w:t>单位负责人：                            单位负责人：</w:t>
      </w:r>
    </w:p>
    <w:p>
      <w:pPr>
        <w:autoSpaceDN w:val="0"/>
        <w:spacing w:before="75" w:after="75" w:line="420" w:lineRule="exact"/>
        <w:rPr>
          <w:rFonts w:ascii="宋体" w:hAnsi="宋体" w:cs="宋体"/>
          <w:sz w:val="24"/>
          <w:highlight w:val="none"/>
        </w:rPr>
      </w:pPr>
      <w:r>
        <w:rPr>
          <w:rFonts w:hint="eastAsia" w:ascii="宋体" w:hAnsi="宋体" w:cs="宋体"/>
          <w:sz w:val="24"/>
          <w:highlight w:val="none"/>
        </w:rPr>
        <w:t>委托代理人：                            委托代理人：</w:t>
      </w:r>
    </w:p>
    <w:p>
      <w:pPr>
        <w:autoSpaceDN w:val="0"/>
        <w:spacing w:before="75" w:after="75" w:line="420" w:lineRule="exact"/>
        <w:rPr>
          <w:rFonts w:ascii="宋体" w:hAnsi="宋体" w:cs="宋体"/>
          <w:sz w:val="24"/>
          <w:highlight w:val="none"/>
        </w:rPr>
      </w:pPr>
      <w:r>
        <w:rPr>
          <w:rFonts w:hint="eastAsia" w:ascii="宋体" w:hAnsi="宋体" w:cs="宋体"/>
          <w:sz w:val="24"/>
          <w:highlight w:val="none"/>
        </w:rPr>
        <w:t>联系方法：                              联系方法：</w:t>
      </w:r>
    </w:p>
    <w:p>
      <w:pPr>
        <w:autoSpaceDN w:val="0"/>
        <w:spacing w:before="75" w:after="75" w:line="420" w:lineRule="exact"/>
        <w:rPr>
          <w:rFonts w:ascii="宋体" w:hAnsi="宋体" w:cs="宋体"/>
          <w:sz w:val="24"/>
          <w:highlight w:val="none"/>
        </w:rPr>
      </w:pPr>
      <w:r>
        <w:rPr>
          <w:rFonts w:hint="eastAsia" w:ascii="宋体" w:hAnsi="宋体" w:cs="宋体"/>
          <w:sz w:val="24"/>
          <w:highlight w:val="none"/>
        </w:rPr>
        <w:t>开户银行：                              开户银行：</w:t>
      </w:r>
    </w:p>
    <w:p>
      <w:pPr>
        <w:autoSpaceDN w:val="0"/>
        <w:spacing w:before="75" w:after="75" w:line="420" w:lineRule="exact"/>
        <w:rPr>
          <w:rFonts w:ascii="宋体" w:hAnsi="宋体" w:cs="宋体"/>
          <w:sz w:val="24"/>
          <w:highlight w:val="none"/>
        </w:rPr>
      </w:pPr>
      <w:r>
        <w:rPr>
          <w:rFonts w:hint="eastAsia" w:ascii="宋体" w:hAnsi="宋体" w:cs="宋体"/>
          <w:sz w:val="24"/>
          <w:highlight w:val="none"/>
        </w:rPr>
        <w:t>账号：                                  账号：</w:t>
      </w:r>
    </w:p>
    <w:p>
      <w:pPr>
        <w:autoSpaceDN w:val="0"/>
        <w:spacing w:before="75" w:after="75" w:line="420" w:lineRule="exact"/>
        <w:rPr>
          <w:rFonts w:ascii="宋体" w:hAnsi="宋体" w:cs="宋体"/>
          <w:sz w:val="24"/>
          <w:highlight w:val="none"/>
        </w:rPr>
      </w:pPr>
      <w:r>
        <w:rPr>
          <w:rFonts w:hint="eastAsia" w:ascii="宋体" w:hAnsi="宋体" w:cs="宋体"/>
          <w:sz w:val="24"/>
          <w:highlight w:val="none"/>
        </w:rPr>
        <w:t xml:space="preserve">  </w:t>
      </w:r>
    </w:p>
    <w:p>
      <w:pPr>
        <w:autoSpaceDN w:val="0"/>
        <w:spacing w:before="75" w:after="75" w:line="420" w:lineRule="exact"/>
        <w:rPr>
          <w:rFonts w:ascii="宋体" w:hAnsi="宋体" w:cs="宋体"/>
          <w:sz w:val="24"/>
          <w:highlight w:val="none"/>
        </w:rPr>
      </w:pPr>
      <w:r>
        <w:rPr>
          <w:rFonts w:hint="eastAsia" w:ascii="宋体" w:hAnsi="宋体" w:cs="宋体"/>
          <w:sz w:val="24"/>
          <w:highlight w:val="none"/>
        </w:rPr>
        <w:t>签订地点：</w:t>
      </w:r>
      <w:r>
        <w:rPr>
          <w:rFonts w:hint="eastAsia" w:ascii="宋体" w:hAnsi="宋体" w:cs="宋体"/>
          <w:sz w:val="24"/>
          <w:highlight w:val="none"/>
          <w:u w:val="single"/>
        </w:rPr>
        <w:t xml:space="preserve">                </w:t>
      </w:r>
    </w:p>
    <w:p>
      <w:pPr>
        <w:autoSpaceDN w:val="0"/>
        <w:spacing w:before="75" w:after="75" w:line="420" w:lineRule="exact"/>
        <w:rPr>
          <w:rFonts w:ascii="宋体" w:hAnsi="宋体" w:cs="宋体"/>
          <w:sz w:val="24"/>
          <w:highlight w:val="non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12"/>
        <w:snapToGrid w:val="0"/>
        <w:spacing w:line="420" w:lineRule="atLeast"/>
        <w:ind w:firstLine="0"/>
        <w:jc w:val="center"/>
        <w:rPr>
          <w:rFonts w:ascii="宋体" w:hAnsi="宋体" w:cs="宋体"/>
          <w:b/>
          <w:bCs/>
          <w:sz w:val="32"/>
          <w:szCs w:val="32"/>
          <w:highlight w:val="none"/>
        </w:rPr>
      </w:pPr>
    </w:p>
    <w:p>
      <w:pPr>
        <w:pStyle w:val="12"/>
        <w:snapToGrid w:val="0"/>
        <w:spacing w:line="420" w:lineRule="atLeast"/>
        <w:ind w:firstLine="0"/>
        <w:jc w:val="center"/>
        <w:rPr>
          <w:rFonts w:ascii="宋体" w:hAnsi="宋体" w:cs="宋体"/>
          <w:b/>
          <w:bCs/>
          <w:sz w:val="32"/>
          <w:szCs w:val="32"/>
          <w:highlight w:val="none"/>
        </w:rPr>
      </w:pPr>
    </w:p>
    <w:p>
      <w:pPr>
        <w:pStyle w:val="12"/>
        <w:snapToGrid w:val="0"/>
        <w:spacing w:line="420" w:lineRule="atLeast"/>
        <w:ind w:firstLine="0"/>
        <w:jc w:val="center"/>
        <w:rPr>
          <w:rFonts w:ascii="宋体" w:hAnsi="宋体" w:cs="宋体"/>
          <w:b/>
          <w:bCs/>
          <w:sz w:val="32"/>
          <w:szCs w:val="32"/>
          <w:highlight w:val="none"/>
        </w:rPr>
      </w:pPr>
    </w:p>
    <w:p>
      <w:pPr>
        <w:pStyle w:val="12"/>
        <w:snapToGrid w:val="0"/>
        <w:spacing w:line="420" w:lineRule="atLeast"/>
        <w:ind w:firstLine="0"/>
        <w:jc w:val="center"/>
        <w:rPr>
          <w:rFonts w:ascii="宋体" w:hAnsi="宋体" w:cs="宋体"/>
          <w:b/>
          <w:bCs/>
          <w:sz w:val="32"/>
          <w:szCs w:val="32"/>
          <w:highlight w:val="none"/>
        </w:rPr>
      </w:pPr>
    </w:p>
    <w:p>
      <w:pPr>
        <w:pStyle w:val="12"/>
        <w:snapToGrid w:val="0"/>
        <w:spacing w:line="420" w:lineRule="atLeast"/>
        <w:ind w:firstLine="0"/>
        <w:jc w:val="center"/>
        <w:rPr>
          <w:rFonts w:ascii="宋体" w:hAnsi="宋体" w:cs="宋体"/>
          <w:b/>
          <w:bCs/>
          <w:sz w:val="32"/>
          <w:szCs w:val="32"/>
          <w:highlight w:val="none"/>
        </w:rPr>
      </w:pPr>
    </w:p>
    <w:p>
      <w:pPr>
        <w:pStyle w:val="12"/>
        <w:snapToGrid w:val="0"/>
        <w:spacing w:line="420" w:lineRule="atLeast"/>
        <w:ind w:firstLine="0"/>
        <w:jc w:val="center"/>
        <w:rPr>
          <w:rFonts w:ascii="宋体" w:hAnsi="宋体" w:cs="宋体"/>
          <w:b/>
          <w:bCs/>
          <w:sz w:val="32"/>
          <w:szCs w:val="32"/>
          <w:highlight w:val="none"/>
        </w:rPr>
      </w:pPr>
    </w:p>
    <w:p>
      <w:pPr>
        <w:pStyle w:val="12"/>
        <w:snapToGrid w:val="0"/>
        <w:spacing w:line="420" w:lineRule="atLeast"/>
        <w:ind w:firstLine="0"/>
        <w:jc w:val="center"/>
        <w:rPr>
          <w:rFonts w:ascii="宋体" w:hAnsi="宋体" w:cs="宋体"/>
          <w:b/>
          <w:bCs/>
          <w:sz w:val="32"/>
          <w:szCs w:val="32"/>
          <w:highlight w:val="none"/>
        </w:rPr>
      </w:pPr>
      <w:r>
        <w:rPr>
          <w:rFonts w:hint="eastAsia" w:ascii="宋体" w:hAnsi="宋体" w:cs="宋体"/>
          <w:b/>
          <w:bCs/>
          <w:sz w:val="32"/>
          <w:szCs w:val="32"/>
          <w:highlight w:val="none"/>
        </w:rPr>
        <w:t>第五章    投标文件格式</w:t>
      </w:r>
    </w:p>
    <w:p>
      <w:pPr>
        <w:pStyle w:val="12"/>
        <w:snapToGrid w:val="0"/>
        <w:spacing w:line="420" w:lineRule="atLeast"/>
        <w:jc w:val="center"/>
        <w:rPr>
          <w:rFonts w:ascii="宋体" w:hAnsi="宋体" w:cs="宋体"/>
          <w:b/>
          <w:bCs/>
          <w:sz w:val="36"/>
          <w:szCs w:val="36"/>
          <w:highlight w:val="none"/>
        </w:rPr>
      </w:pPr>
    </w:p>
    <w:p>
      <w:pPr>
        <w:pStyle w:val="12"/>
        <w:snapToGrid w:val="0"/>
        <w:spacing w:line="420" w:lineRule="atLeast"/>
        <w:jc w:val="center"/>
        <w:rPr>
          <w:rFonts w:ascii="宋体" w:hAnsi="宋体" w:cs="宋体"/>
          <w:b/>
          <w:bCs/>
          <w:sz w:val="36"/>
          <w:szCs w:val="36"/>
          <w:highlight w:val="none"/>
        </w:rPr>
      </w:pPr>
    </w:p>
    <w:p>
      <w:pPr>
        <w:pStyle w:val="12"/>
        <w:snapToGrid w:val="0"/>
        <w:spacing w:line="420" w:lineRule="atLeast"/>
        <w:jc w:val="center"/>
        <w:rPr>
          <w:rFonts w:ascii="宋体" w:hAnsi="宋体" w:cs="宋体"/>
          <w:b/>
          <w:bCs/>
          <w:sz w:val="36"/>
          <w:szCs w:val="36"/>
          <w:highlight w:val="none"/>
        </w:rPr>
      </w:pPr>
    </w:p>
    <w:tbl>
      <w:tblPr>
        <w:tblStyle w:val="31"/>
        <w:tblW w:w="921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tcPr>
          <w:p>
            <w:pPr>
              <w:pStyle w:val="17"/>
              <w:spacing w:line="360" w:lineRule="auto"/>
              <w:rPr>
                <w:rFonts w:ascii="宋体" w:eastAsia="宋体" w:cs="宋体"/>
                <w:b/>
                <w:bCs/>
                <w:highlight w:val="none"/>
              </w:rPr>
            </w:pPr>
            <w:r>
              <w:rPr>
                <w:rFonts w:hint="eastAsia" w:ascii="宋体" w:eastAsia="宋体" w:cs="宋体"/>
                <w:b/>
                <w:bCs/>
                <w:highlight w:val="none"/>
              </w:rPr>
              <w:t>注:</w:t>
            </w:r>
          </w:p>
          <w:p>
            <w:pPr>
              <w:pStyle w:val="17"/>
              <w:spacing w:line="360" w:lineRule="auto"/>
              <w:ind w:firstLine="425" w:firstLineChars="196"/>
              <w:rPr>
                <w:rFonts w:ascii="宋体" w:eastAsia="宋体" w:cs="宋体"/>
                <w:b/>
                <w:bCs/>
                <w:highlight w:val="none"/>
              </w:rPr>
            </w:pPr>
            <w:r>
              <w:rPr>
                <w:rFonts w:hint="eastAsia" w:ascii="宋体" w:eastAsia="宋体" w:cs="宋体"/>
                <w:b/>
                <w:bCs/>
                <w:highlight w:val="none"/>
              </w:rPr>
              <w:t>本投标文件格式分 “技术商务部分”和 “报价部分”两册,装订时要求分别单独装订成册。</w:t>
            </w:r>
          </w:p>
          <w:p>
            <w:pPr>
              <w:pStyle w:val="17"/>
              <w:spacing w:line="360" w:lineRule="auto"/>
              <w:ind w:firstLine="425" w:firstLineChars="196"/>
              <w:rPr>
                <w:rFonts w:ascii="宋体" w:eastAsia="宋体" w:cs="宋体"/>
                <w:b/>
                <w:bCs/>
                <w:highlight w:val="none"/>
              </w:rPr>
            </w:pPr>
          </w:p>
        </w:tc>
      </w:tr>
    </w:tbl>
    <w:p>
      <w:pPr>
        <w:spacing w:line="360" w:lineRule="auto"/>
        <w:jc w:val="center"/>
        <w:rPr>
          <w:rFonts w:ascii="宋体" w:hAnsi="宋体" w:cs="宋体"/>
          <w:b/>
          <w:bCs/>
          <w:sz w:val="36"/>
          <w:szCs w:val="36"/>
          <w:highlight w:val="none"/>
        </w:rPr>
      </w:pPr>
    </w:p>
    <w:p>
      <w:pPr>
        <w:rPr>
          <w:rFonts w:ascii="宋体" w:hAnsi="宋体" w:cs="宋体"/>
          <w:sz w:val="24"/>
          <w:szCs w:val="24"/>
          <w:highlight w:val="none"/>
        </w:rPr>
      </w:pPr>
    </w:p>
    <w:p>
      <w:pPr>
        <w:rPr>
          <w:rFonts w:ascii="宋体" w:hAnsi="宋体" w:cs="宋体"/>
          <w:sz w:val="24"/>
          <w:szCs w:val="24"/>
          <w:highlight w:val="none"/>
        </w:rPr>
      </w:pPr>
    </w:p>
    <w:p>
      <w:pPr>
        <w:rPr>
          <w:rFonts w:ascii="宋体" w:hAnsi="宋体" w:cs="宋体"/>
          <w:sz w:val="24"/>
          <w:szCs w:val="24"/>
          <w:highlight w:val="none"/>
        </w:rPr>
      </w:pPr>
    </w:p>
    <w:p>
      <w:pPr>
        <w:rPr>
          <w:rFonts w:ascii="宋体" w:hAnsi="宋体" w:cs="宋体"/>
          <w:sz w:val="24"/>
          <w:szCs w:val="24"/>
          <w:highlight w:val="none"/>
        </w:rPr>
      </w:pPr>
    </w:p>
    <w:p>
      <w:pPr>
        <w:rPr>
          <w:rFonts w:ascii="宋体" w:hAnsi="宋体" w:cs="宋体"/>
          <w:sz w:val="24"/>
          <w:szCs w:val="24"/>
          <w:highlight w:val="none"/>
        </w:rPr>
      </w:pPr>
    </w:p>
    <w:p>
      <w:pPr>
        <w:rPr>
          <w:rFonts w:ascii="宋体" w:hAnsi="宋体" w:cs="宋体"/>
          <w:sz w:val="24"/>
          <w:szCs w:val="24"/>
          <w:highlight w:val="none"/>
        </w:rPr>
      </w:pPr>
    </w:p>
    <w:p>
      <w:pPr>
        <w:rPr>
          <w:rFonts w:ascii="宋体" w:hAnsi="宋体" w:cs="宋体"/>
          <w:sz w:val="24"/>
          <w:szCs w:val="24"/>
          <w:highlight w:val="none"/>
        </w:rPr>
      </w:pPr>
    </w:p>
    <w:p>
      <w:pPr>
        <w:rPr>
          <w:rFonts w:ascii="宋体" w:hAnsi="宋体" w:cs="宋体"/>
          <w:sz w:val="24"/>
          <w:szCs w:val="24"/>
          <w:highlight w:val="none"/>
        </w:rPr>
      </w:pPr>
    </w:p>
    <w:p>
      <w:pPr>
        <w:rPr>
          <w:rFonts w:ascii="宋体" w:hAnsi="宋体" w:cs="宋体"/>
          <w:sz w:val="24"/>
          <w:szCs w:val="24"/>
          <w:highlight w:val="none"/>
        </w:rPr>
      </w:pPr>
    </w:p>
    <w:p>
      <w:pPr>
        <w:rPr>
          <w:rFonts w:ascii="宋体" w:hAnsi="宋体" w:cs="宋体"/>
          <w:sz w:val="24"/>
          <w:szCs w:val="24"/>
          <w:highlight w:val="none"/>
        </w:rPr>
      </w:pPr>
    </w:p>
    <w:p>
      <w:pPr>
        <w:rPr>
          <w:rFonts w:ascii="宋体" w:hAnsi="宋体" w:cs="宋体"/>
          <w:sz w:val="24"/>
          <w:szCs w:val="24"/>
          <w:highlight w:val="none"/>
        </w:rPr>
      </w:pPr>
    </w:p>
    <w:p>
      <w:pPr>
        <w:rPr>
          <w:rFonts w:ascii="宋体" w:hAnsi="宋体" w:cs="宋体"/>
          <w:sz w:val="24"/>
          <w:szCs w:val="24"/>
          <w:highlight w:val="none"/>
        </w:rPr>
      </w:pPr>
    </w:p>
    <w:p>
      <w:pPr>
        <w:pStyle w:val="12"/>
        <w:snapToGrid w:val="0"/>
        <w:spacing w:line="420" w:lineRule="atLeast"/>
        <w:ind w:firstLine="0"/>
        <w:rPr>
          <w:rFonts w:ascii="宋体" w:hAnsi="宋体" w:cs="宋体"/>
          <w:b/>
          <w:bCs/>
          <w:sz w:val="36"/>
          <w:szCs w:val="36"/>
          <w:highlight w:val="none"/>
        </w:rPr>
      </w:pPr>
    </w:p>
    <w:p>
      <w:pPr>
        <w:jc w:val="center"/>
        <w:rPr>
          <w:rFonts w:ascii="宋体" w:hAnsi="宋体" w:cs="宋体"/>
          <w:b/>
          <w:bCs/>
          <w:sz w:val="72"/>
          <w:szCs w:val="72"/>
          <w:highlight w:val="none"/>
        </w:rPr>
      </w:pPr>
      <w:r>
        <w:rPr>
          <w:rFonts w:hint="eastAsia" w:ascii="宋体" w:hAnsi="宋体" w:cs="宋体"/>
          <w:b/>
          <w:bCs/>
          <w:sz w:val="84"/>
          <w:szCs w:val="84"/>
          <w:highlight w:val="none"/>
        </w:rPr>
        <w:br w:type="page"/>
      </w:r>
    </w:p>
    <w:p>
      <w:pPr>
        <w:jc w:val="center"/>
        <w:rPr>
          <w:rFonts w:hint="eastAsia" w:ascii="宋体" w:hAnsi="宋体" w:eastAsia="宋体" w:cs="宋体"/>
          <w:b/>
          <w:bCs/>
          <w:color w:val="FF0000"/>
          <w:sz w:val="72"/>
          <w:szCs w:val="72"/>
          <w:highlight w:val="none"/>
          <w:lang w:eastAsia="zh-CN"/>
        </w:rPr>
      </w:pPr>
      <w:r>
        <w:rPr>
          <w:rFonts w:hint="eastAsia" w:ascii="宋体" w:hAnsi="宋体" w:cs="宋体"/>
          <w:b/>
          <w:bCs/>
          <w:sz w:val="72"/>
          <w:szCs w:val="72"/>
          <w:highlight w:val="none"/>
          <w:lang w:eastAsia="zh-CN"/>
        </w:rPr>
        <w:t>充电桩配套设施技术改造项目</w:t>
      </w:r>
    </w:p>
    <w:p>
      <w:pPr>
        <w:pStyle w:val="3"/>
        <w:spacing w:line="900" w:lineRule="exact"/>
        <w:jc w:val="center"/>
        <w:rPr>
          <w:rFonts w:ascii="宋体" w:hAnsi="宋体" w:cs="宋体"/>
          <w:b/>
          <w:bCs/>
          <w:sz w:val="84"/>
          <w:szCs w:val="84"/>
          <w:highlight w:val="none"/>
        </w:rPr>
      </w:pPr>
    </w:p>
    <w:p>
      <w:pPr>
        <w:pStyle w:val="3"/>
        <w:spacing w:line="900" w:lineRule="exact"/>
        <w:jc w:val="center"/>
        <w:rPr>
          <w:rFonts w:ascii="宋体" w:hAnsi="宋体" w:cs="宋体"/>
          <w:b/>
          <w:bCs/>
          <w:sz w:val="84"/>
          <w:szCs w:val="84"/>
          <w:highlight w:val="none"/>
        </w:rPr>
      </w:pPr>
      <w:r>
        <w:rPr>
          <w:rFonts w:hint="eastAsia" w:ascii="宋体" w:hAnsi="宋体" w:cs="宋体"/>
          <w:b/>
          <w:bCs/>
          <w:sz w:val="84"/>
          <w:szCs w:val="84"/>
          <w:highlight w:val="none"/>
        </w:rPr>
        <w:t>投标文件第一册</w:t>
      </w:r>
    </w:p>
    <w:p>
      <w:pPr>
        <w:pStyle w:val="3"/>
        <w:spacing w:line="900" w:lineRule="exact"/>
        <w:jc w:val="center"/>
        <w:rPr>
          <w:rFonts w:ascii="宋体" w:hAnsi="宋体" w:cs="宋体"/>
          <w:b/>
          <w:bCs/>
          <w:sz w:val="84"/>
          <w:szCs w:val="84"/>
          <w:highlight w:val="none"/>
        </w:rPr>
      </w:pPr>
      <w:r>
        <w:rPr>
          <w:rFonts w:hint="eastAsia" w:ascii="宋体" w:hAnsi="宋体" w:cs="宋体"/>
          <w:b/>
          <w:bCs/>
          <w:sz w:val="84"/>
          <w:szCs w:val="84"/>
          <w:highlight w:val="none"/>
        </w:rPr>
        <w:t>技术商务部分</w:t>
      </w:r>
    </w:p>
    <w:p>
      <w:pPr>
        <w:pStyle w:val="3"/>
        <w:jc w:val="center"/>
        <w:rPr>
          <w:rFonts w:ascii="宋体" w:hAnsi="宋体" w:cs="宋体"/>
          <w:b/>
          <w:bCs/>
          <w:sz w:val="36"/>
          <w:szCs w:val="36"/>
          <w:highlight w:val="none"/>
        </w:rPr>
      </w:pPr>
    </w:p>
    <w:p>
      <w:pPr>
        <w:pStyle w:val="3"/>
        <w:jc w:val="center"/>
        <w:rPr>
          <w:rFonts w:ascii="宋体" w:hAnsi="宋体" w:cs="宋体"/>
          <w:b/>
          <w:bCs/>
          <w:sz w:val="36"/>
          <w:szCs w:val="36"/>
          <w:highlight w:val="none"/>
        </w:rPr>
      </w:pPr>
    </w:p>
    <w:p>
      <w:pPr>
        <w:pStyle w:val="3"/>
        <w:jc w:val="center"/>
        <w:rPr>
          <w:rFonts w:ascii="宋体" w:hAnsi="宋体" w:cs="宋体"/>
          <w:b/>
          <w:bCs/>
          <w:sz w:val="36"/>
          <w:szCs w:val="36"/>
          <w:highlight w:val="none"/>
        </w:rPr>
      </w:pPr>
    </w:p>
    <w:p>
      <w:pPr>
        <w:pStyle w:val="3"/>
        <w:jc w:val="center"/>
        <w:rPr>
          <w:rFonts w:ascii="宋体" w:hAnsi="宋体" w:cs="宋体"/>
          <w:b/>
          <w:bCs/>
          <w:sz w:val="36"/>
          <w:szCs w:val="36"/>
          <w:highlight w:val="none"/>
        </w:rPr>
      </w:pPr>
      <w:r>
        <w:rPr>
          <w:rFonts w:hint="eastAsia" w:ascii="宋体" w:hAnsi="宋体" w:cs="宋体"/>
          <w:b/>
          <w:bCs/>
          <w:sz w:val="36"/>
          <w:szCs w:val="36"/>
          <w:highlight w:val="none"/>
        </w:rPr>
        <w:t>（正本/副本）</w:t>
      </w:r>
    </w:p>
    <w:p>
      <w:pPr>
        <w:pStyle w:val="20"/>
        <w:spacing w:line="700" w:lineRule="exact"/>
        <w:ind w:firstLine="1928" w:firstLineChars="600"/>
        <w:rPr>
          <w:rFonts w:hAnsi="宋体"/>
          <w:b/>
          <w:bCs/>
          <w:sz w:val="32"/>
          <w:szCs w:val="32"/>
          <w:highlight w:val="none"/>
          <w:u w:val="single"/>
        </w:rPr>
      </w:pPr>
      <w:r>
        <w:rPr>
          <w:rFonts w:hint="eastAsia" w:hAnsi="宋体"/>
          <w:b/>
          <w:bCs/>
          <w:sz w:val="32"/>
          <w:szCs w:val="32"/>
          <w:highlight w:val="none"/>
        </w:rPr>
        <w:t>项目编号：</w:t>
      </w:r>
      <w:r>
        <w:rPr>
          <w:rFonts w:hint="eastAsia" w:hAnsi="宋体"/>
          <w:b/>
          <w:bCs/>
          <w:sz w:val="32"/>
          <w:szCs w:val="32"/>
          <w:highlight w:val="none"/>
          <w:u w:val="single"/>
        </w:rPr>
        <w:t xml:space="preserve">                       </w:t>
      </w:r>
    </w:p>
    <w:p>
      <w:pPr>
        <w:pStyle w:val="20"/>
        <w:spacing w:line="700" w:lineRule="exact"/>
        <w:ind w:firstLine="1928" w:firstLineChars="600"/>
        <w:rPr>
          <w:rFonts w:hAnsi="宋体"/>
          <w:b/>
          <w:bCs/>
          <w:sz w:val="32"/>
          <w:szCs w:val="32"/>
          <w:highlight w:val="none"/>
          <w:u w:val="single"/>
        </w:rPr>
      </w:pPr>
      <w:r>
        <w:rPr>
          <w:rFonts w:hint="eastAsia" w:hAnsi="宋体"/>
          <w:b/>
          <w:bCs/>
          <w:sz w:val="32"/>
          <w:szCs w:val="32"/>
          <w:highlight w:val="none"/>
        </w:rPr>
        <w:t>项目名称：</w:t>
      </w:r>
      <w:r>
        <w:rPr>
          <w:rFonts w:hint="eastAsia" w:hAnsi="宋体"/>
          <w:b/>
          <w:bCs/>
          <w:sz w:val="32"/>
          <w:szCs w:val="32"/>
          <w:highlight w:val="none"/>
          <w:u w:val="single"/>
        </w:rPr>
        <w:t xml:space="preserve">                       </w:t>
      </w:r>
    </w:p>
    <w:p>
      <w:pPr>
        <w:pStyle w:val="20"/>
        <w:spacing w:line="700" w:lineRule="exact"/>
        <w:ind w:firstLine="1928" w:firstLineChars="600"/>
        <w:rPr>
          <w:rFonts w:hAnsi="宋体"/>
          <w:b/>
          <w:bCs/>
          <w:sz w:val="32"/>
          <w:szCs w:val="32"/>
          <w:highlight w:val="none"/>
          <w:u w:val="single"/>
        </w:rPr>
      </w:pPr>
      <w:r>
        <w:rPr>
          <w:rFonts w:hint="eastAsia" w:hAnsi="宋体"/>
          <w:b/>
          <w:bCs/>
          <w:sz w:val="32"/>
          <w:szCs w:val="32"/>
          <w:highlight w:val="none"/>
        </w:rPr>
        <w:t>合 同 包：</w:t>
      </w:r>
      <w:r>
        <w:rPr>
          <w:rFonts w:hint="eastAsia" w:hAnsi="宋体"/>
          <w:b/>
          <w:bCs/>
          <w:sz w:val="32"/>
          <w:szCs w:val="32"/>
          <w:highlight w:val="none"/>
          <w:u w:val="single"/>
        </w:rPr>
        <w:t xml:space="preserve">                       </w:t>
      </w:r>
    </w:p>
    <w:p>
      <w:pPr>
        <w:pStyle w:val="20"/>
        <w:spacing w:line="700" w:lineRule="exact"/>
        <w:ind w:firstLine="1928" w:firstLineChars="600"/>
        <w:rPr>
          <w:rFonts w:hAnsi="宋体"/>
          <w:b/>
          <w:bCs/>
          <w:sz w:val="32"/>
          <w:szCs w:val="32"/>
          <w:highlight w:val="none"/>
          <w:u w:val="single"/>
        </w:rPr>
      </w:pPr>
      <w:r>
        <w:rPr>
          <w:rFonts w:hint="eastAsia" w:hAnsi="宋体"/>
          <w:b/>
          <w:bCs/>
          <w:sz w:val="32"/>
          <w:szCs w:val="32"/>
          <w:highlight w:val="none"/>
        </w:rPr>
        <w:t>投标人名称：</w:t>
      </w:r>
      <w:r>
        <w:rPr>
          <w:rFonts w:hint="eastAsia" w:hAnsi="宋体"/>
          <w:b/>
          <w:bCs/>
          <w:sz w:val="32"/>
          <w:szCs w:val="32"/>
          <w:highlight w:val="none"/>
          <w:u w:val="single"/>
        </w:rPr>
        <w:t xml:space="preserve">                     </w:t>
      </w:r>
    </w:p>
    <w:p>
      <w:pPr>
        <w:pStyle w:val="20"/>
        <w:spacing w:line="700" w:lineRule="exact"/>
        <w:ind w:firstLine="1928" w:firstLineChars="600"/>
        <w:rPr>
          <w:rFonts w:hAnsi="宋体"/>
          <w:b/>
          <w:bCs/>
          <w:sz w:val="32"/>
          <w:szCs w:val="32"/>
          <w:highlight w:val="none"/>
          <w:u w:val="single"/>
        </w:rPr>
      </w:pPr>
      <w:r>
        <w:rPr>
          <w:rFonts w:hint="eastAsia" w:hAnsi="宋体"/>
          <w:b/>
          <w:bCs/>
          <w:sz w:val="32"/>
          <w:szCs w:val="32"/>
          <w:highlight w:val="none"/>
        </w:rPr>
        <w:t>地      址：</w:t>
      </w:r>
      <w:r>
        <w:rPr>
          <w:rFonts w:hint="eastAsia" w:hAnsi="宋体"/>
          <w:b/>
          <w:bCs/>
          <w:sz w:val="32"/>
          <w:szCs w:val="32"/>
          <w:highlight w:val="none"/>
          <w:u w:val="single"/>
        </w:rPr>
        <w:t xml:space="preserve">                     </w:t>
      </w:r>
    </w:p>
    <w:p>
      <w:pPr>
        <w:spacing w:line="500" w:lineRule="exact"/>
        <w:ind w:firstLine="1908" w:firstLineChars="594"/>
        <w:rPr>
          <w:rFonts w:ascii="宋体" w:hAnsi="宋体" w:cs="宋体"/>
          <w:b/>
          <w:bCs/>
          <w:sz w:val="32"/>
          <w:szCs w:val="32"/>
          <w:highlight w:val="none"/>
        </w:rPr>
      </w:pPr>
      <w:r>
        <w:rPr>
          <w:rFonts w:hint="eastAsia" w:ascii="宋体" w:hAnsi="宋体" w:cs="宋体"/>
          <w:b/>
          <w:bCs/>
          <w:sz w:val="32"/>
          <w:szCs w:val="32"/>
          <w:highlight w:val="none"/>
        </w:rPr>
        <w:t>邮编：</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电话：</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传真：</w:t>
      </w:r>
      <w:r>
        <w:rPr>
          <w:rFonts w:hint="eastAsia" w:ascii="宋体" w:hAnsi="宋体" w:cs="宋体"/>
          <w:b/>
          <w:bCs/>
          <w:sz w:val="32"/>
          <w:szCs w:val="32"/>
          <w:highlight w:val="none"/>
          <w:u w:val="single"/>
        </w:rPr>
        <w:t xml:space="preserve">     </w:t>
      </w:r>
    </w:p>
    <w:p>
      <w:pPr>
        <w:pStyle w:val="28"/>
        <w:rPr>
          <w:rFonts w:ascii="宋体" w:hAnsi="宋体" w:cs="宋体"/>
          <w:highlight w:val="none"/>
        </w:rPr>
      </w:pPr>
    </w:p>
    <w:p>
      <w:pPr>
        <w:spacing w:line="500" w:lineRule="exact"/>
        <w:ind w:firstLine="1928" w:firstLineChars="600"/>
        <w:rPr>
          <w:rFonts w:ascii="宋体" w:hAnsi="宋体" w:cs="宋体"/>
          <w:b/>
          <w:bCs/>
          <w:sz w:val="32"/>
          <w:szCs w:val="32"/>
          <w:highlight w:val="none"/>
        </w:rPr>
      </w:pPr>
      <w:r>
        <w:rPr>
          <w:rFonts w:hint="eastAsia" w:ascii="宋体" w:hAnsi="宋体" w:cs="宋体"/>
          <w:b/>
          <w:bCs/>
          <w:sz w:val="32"/>
          <w:szCs w:val="32"/>
          <w:highlight w:val="none"/>
        </w:rPr>
        <w:t>日      期：    年    月   日</w:t>
      </w:r>
    </w:p>
    <w:p>
      <w:pPr>
        <w:pStyle w:val="12"/>
        <w:snapToGrid w:val="0"/>
        <w:spacing w:line="420" w:lineRule="atLeast"/>
        <w:ind w:firstLine="0"/>
        <w:rPr>
          <w:rFonts w:ascii="宋体" w:hAnsi="宋体" w:cs="宋体"/>
          <w:b/>
          <w:bCs/>
          <w:sz w:val="32"/>
          <w:szCs w:val="32"/>
          <w:highlight w:val="none"/>
        </w:rPr>
      </w:pPr>
    </w:p>
    <w:p>
      <w:pPr>
        <w:pStyle w:val="12"/>
        <w:snapToGrid w:val="0"/>
        <w:spacing w:line="420" w:lineRule="atLeast"/>
        <w:ind w:left="-2" w:leftChars="-1" w:firstLine="0"/>
        <w:jc w:val="center"/>
        <w:rPr>
          <w:rFonts w:ascii="宋体" w:hAnsi="宋体" w:cs="宋体"/>
          <w:b/>
          <w:bCs/>
          <w:sz w:val="32"/>
          <w:szCs w:val="32"/>
          <w:highlight w:val="none"/>
        </w:rPr>
      </w:pPr>
    </w:p>
    <w:p>
      <w:pPr>
        <w:pStyle w:val="12"/>
        <w:snapToGrid w:val="0"/>
        <w:spacing w:line="420" w:lineRule="atLeast"/>
        <w:ind w:left="-2" w:leftChars="-1" w:firstLine="0"/>
        <w:jc w:val="center"/>
        <w:rPr>
          <w:rFonts w:hint="eastAsia" w:ascii="宋体" w:hAnsi="宋体" w:cs="宋体"/>
          <w:b/>
          <w:bCs/>
          <w:sz w:val="32"/>
          <w:szCs w:val="32"/>
          <w:highlight w:val="none"/>
        </w:rPr>
      </w:pPr>
    </w:p>
    <w:p>
      <w:pPr>
        <w:pStyle w:val="12"/>
        <w:snapToGrid w:val="0"/>
        <w:spacing w:line="420" w:lineRule="atLeast"/>
        <w:ind w:left="-2" w:leftChars="-1" w:firstLine="0"/>
        <w:jc w:val="center"/>
        <w:rPr>
          <w:rFonts w:hint="eastAsia" w:ascii="宋体" w:hAnsi="宋体" w:cs="宋体"/>
          <w:b/>
          <w:bCs/>
          <w:sz w:val="32"/>
          <w:szCs w:val="32"/>
          <w:highlight w:val="none"/>
        </w:rPr>
      </w:pPr>
    </w:p>
    <w:p>
      <w:pPr>
        <w:pStyle w:val="12"/>
        <w:snapToGrid w:val="0"/>
        <w:spacing w:line="420" w:lineRule="atLeast"/>
        <w:ind w:left="-2" w:leftChars="-1" w:firstLine="0"/>
        <w:jc w:val="center"/>
        <w:rPr>
          <w:rFonts w:ascii="宋体" w:hAnsi="宋体" w:cs="宋体"/>
          <w:b/>
          <w:bCs/>
          <w:sz w:val="32"/>
          <w:szCs w:val="32"/>
          <w:highlight w:val="none"/>
        </w:rPr>
      </w:pPr>
      <w:r>
        <w:rPr>
          <w:rFonts w:hint="eastAsia" w:ascii="宋体" w:hAnsi="宋体" w:cs="宋体"/>
          <w:b/>
          <w:bCs/>
          <w:sz w:val="32"/>
          <w:szCs w:val="32"/>
          <w:highlight w:val="none"/>
        </w:rPr>
        <w:t>技术商务部分格式</w:t>
      </w:r>
    </w:p>
    <w:p>
      <w:pPr>
        <w:pStyle w:val="12"/>
        <w:snapToGrid w:val="0"/>
        <w:spacing w:line="420" w:lineRule="atLeast"/>
        <w:ind w:left="-2" w:leftChars="-1" w:firstLine="0"/>
        <w:jc w:val="center"/>
        <w:rPr>
          <w:rFonts w:ascii="宋体" w:hAnsi="宋体" w:cs="宋体"/>
          <w:b/>
          <w:bCs/>
          <w:highlight w:val="none"/>
        </w:rPr>
      </w:pPr>
    </w:p>
    <w:p>
      <w:pPr>
        <w:pStyle w:val="12"/>
        <w:snapToGrid w:val="0"/>
        <w:spacing w:line="420" w:lineRule="atLeast"/>
        <w:ind w:left="-2" w:leftChars="-1" w:firstLine="0"/>
        <w:jc w:val="center"/>
        <w:rPr>
          <w:rFonts w:ascii="宋体" w:hAnsi="宋体" w:cs="宋体"/>
          <w:b/>
          <w:bCs/>
          <w:highlight w:val="none"/>
        </w:rPr>
      </w:pPr>
      <w:r>
        <w:rPr>
          <w:rFonts w:hint="eastAsia" w:ascii="宋体" w:hAnsi="宋体" w:cs="宋体"/>
          <w:b/>
          <w:bCs/>
          <w:highlight w:val="none"/>
        </w:rPr>
        <w:t>目    录</w:t>
      </w:r>
    </w:p>
    <w:p>
      <w:pPr>
        <w:pStyle w:val="12"/>
        <w:snapToGrid w:val="0"/>
        <w:spacing w:line="420" w:lineRule="atLeast"/>
        <w:ind w:left="-2" w:leftChars="-1" w:firstLine="0"/>
        <w:jc w:val="center"/>
        <w:rPr>
          <w:rFonts w:ascii="宋体" w:hAnsi="宋体" w:cs="宋体"/>
          <w:b/>
          <w:bCs/>
          <w:highlight w:val="none"/>
        </w:rPr>
      </w:pPr>
    </w:p>
    <w:p>
      <w:pPr>
        <w:tabs>
          <w:tab w:val="left" w:pos="105"/>
        </w:tabs>
        <w:spacing w:line="460" w:lineRule="exact"/>
        <w:rPr>
          <w:rFonts w:ascii="宋体" w:hAnsi="宋体" w:cs="宋体"/>
          <w:highlight w:val="none"/>
        </w:rPr>
      </w:pPr>
      <w:r>
        <w:rPr>
          <w:rFonts w:hint="eastAsia" w:ascii="宋体" w:hAnsi="宋体" w:cs="宋体"/>
          <w:highlight w:val="none"/>
        </w:rPr>
        <w:t>1.  投标书(附件1)  …………………………………………………………………………………页码</w:t>
      </w:r>
    </w:p>
    <w:p>
      <w:pPr>
        <w:spacing w:line="480" w:lineRule="exact"/>
        <w:rPr>
          <w:rFonts w:ascii="宋体" w:hAnsi="宋体"/>
          <w:highlight w:val="none"/>
        </w:rPr>
      </w:pPr>
      <w:r>
        <w:rPr>
          <w:rFonts w:hint="eastAsia" w:ascii="宋体" w:hAnsi="宋体"/>
          <w:highlight w:val="none"/>
        </w:rPr>
        <w:t>2.  标的说明一览表(附件2)…………………………………………………………………………页码</w:t>
      </w:r>
    </w:p>
    <w:p>
      <w:pPr>
        <w:spacing w:line="480" w:lineRule="exact"/>
        <w:rPr>
          <w:rFonts w:ascii="宋体" w:hAnsi="宋体" w:cs="宋体"/>
          <w:highlight w:val="none"/>
        </w:rPr>
      </w:pPr>
      <w:r>
        <w:rPr>
          <w:rFonts w:hint="eastAsia" w:ascii="宋体" w:hAnsi="宋体"/>
          <w:highlight w:val="none"/>
        </w:rPr>
        <w:t>3.  技术与商务评分项点对点应答表(附件3)………………………………………………………页码</w:t>
      </w:r>
    </w:p>
    <w:p>
      <w:pPr>
        <w:spacing w:line="460" w:lineRule="exact"/>
        <w:rPr>
          <w:rFonts w:ascii="宋体" w:hAnsi="宋体" w:cs="宋体"/>
          <w:highlight w:val="none"/>
        </w:rPr>
      </w:pPr>
      <w:r>
        <w:rPr>
          <w:rFonts w:hint="eastAsia" w:ascii="宋体" w:hAnsi="宋体" w:cs="宋体"/>
          <w:highlight w:val="none"/>
        </w:rPr>
        <w:t>4.  技术规格和商务偏离表(附件4)  ………………………………………………………………页码</w:t>
      </w:r>
    </w:p>
    <w:p>
      <w:pPr>
        <w:spacing w:line="480" w:lineRule="exact"/>
        <w:rPr>
          <w:rFonts w:ascii="宋体" w:hAnsi="宋体" w:cs="宋体"/>
          <w:highlight w:val="none"/>
        </w:rPr>
      </w:pPr>
      <w:r>
        <w:rPr>
          <w:rFonts w:hint="eastAsia" w:ascii="宋体" w:hAnsi="宋体"/>
          <w:highlight w:val="none"/>
        </w:rPr>
        <w:t xml:space="preserve">5.  </w:t>
      </w:r>
      <w:r>
        <w:rPr>
          <w:rFonts w:hint="eastAsia" w:ascii="宋体" w:hAnsi="宋体"/>
          <w:bCs/>
          <w:highlight w:val="none"/>
        </w:rPr>
        <w:t>技术服务体系与维保方案</w:t>
      </w:r>
      <w:r>
        <w:rPr>
          <w:rFonts w:hint="eastAsia" w:ascii="宋体" w:hAnsi="宋体"/>
          <w:highlight w:val="none"/>
        </w:rPr>
        <w:t>(附件5)………………………………………………………………页码</w:t>
      </w:r>
    </w:p>
    <w:p>
      <w:pPr>
        <w:spacing w:line="460" w:lineRule="exact"/>
        <w:rPr>
          <w:rFonts w:ascii="宋体" w:hAnsi="宋体" w:cs="宋体"/>
          <w:highlight w:val="none"/>
        </w:rPr>
      </w:pPr>
      <w:r>
        <w:rPr>
          <w:rFonts w:hint="eastAsia" w:ascii="宋体" w:hAnsi="宋体" w:cs="宋体"/>
          <w:highlight w:val="none"/>
        </w:rPr>
        <w:t>6.  投标人的资格证明文件(附件6)  ………………………………………………………………页码</w:t>
      </w:r>
    </w:p>
    <w:p>
      <w:pPr>
        <w:spacing w:line="480" w:lineRule="exact"/>
        <w:ind w:firstLine="420" w:firstLineChars="200"/>
        <w:rPr>
          <w:rFonts w:ascii="宋体" w:hAnsi="宋体" w:cs="宋体"/>
          <w:highlight w:val="none"/>
        </w:rPr>
      </w:pPr>
      <w:r>
        <w:rPr>
          <w:rFonts w:hint="eastAsia" w:ascii="宋体" w:hAnsi="宋体" w:cs="宋体"/>
          <w:highlight w:val="none"/>
        </w:rPr>
        <w:t>关于资格的声明函(附件6-1)  …………………………………………………………………页码</w:t>
      </w:r>
    </w:p>
    <w:p>
      <w:pPr>
        <w:spacing w:line="480" w:lineRule="exact"/>
        <w:ind w:firstLine="420" w:firstLineChars="200"/>
        <w:rPr>
          <w:rFonts w:ascii="宋体" w:hAnsi="宋体" w:cs="宋体"/>
          <w:highlight w:val="none"/>
        </w:rPr>
      </w:pPr>
      <w:r>
        <w:rPr>
          <w:rFonts w:hint="eastAsia" w:ascii="宋体" w:hAnsi="宋体" w:cs="宋体"/>
          <w:highlight w:val="none"/>
        </w:rPr>
        <w:t>营业执照 (附件6-2) ……………………………………………………………………………页码</w:t>
      </w:r>
    </w:p>
    <w:p>
      <w:pPr>
        <w:spacing w:line="480" w:lineRule="exact"/>
        <w:ind w:firstLine="420" w:firstLineChars="200"/>
        <w:rPr>
          <w:rFonts w:ascii="宋体" w:hAnsi="宋体" w:cs="宋体"/>
          <w:highlight w:val="none"/>
        </w:rPr>
      </w:pPr>
      <w:r>
        <w:rPr>
          <w:rFonts w:hint="eastAsia" w:ascii="宋体" w:hAnsi="宋体" w:cs="宋体"/>
          <w:highlight w:val="none"/>
        </w:rPr>
        <w:t>投标人财务状况证明材料 (附件6-3)…………………………………………………………页码</w:t>
      </w:r>
    </w:p>
    <w:p>
      <w:pPr>
        <w:spacing w:line="480" w:lineRule="exact"/>
        <w:ind w:firstLine="420" w:firstLineChars="200"/>
        <w:rPr>
          <w:rFonts w:ascii="宋体" w:hAnsi="宋体" w:cs="宋体"/>
          <w:highlight w:val="none"/>
        </w:rPr>
      </w:pPr>
      <w:r>
        <w:rPr>
          <w:rFonts w:hint="eastAsia" w:ascii="宋体" w:hAnsi="宋体" w:cs="宋体"/>
          <w:highlight w:val="none"/>
        </w:rPr>
        <w:t>投标人依法缴纳税收和社会保障资金的证明材料(附件6-4)    ……………………………页码</w:t>
      </w:r>
    </w:p>
    <w:p>
      <w:pPr>
        <w:spacing w:line="480" w:lineRule="exact"/>
        <w:ind w:firstLine="420" w:firstLineChars="200"/>
        <w:rPr>
          <w:rFonts w:ascii="宋体" w:hAnsi="宋体" w:cs="宋体"/>
          <w:highlight w:val="none"/>
        </w:rPr>
      </w:pPr>
      <w:r>
        <w:rPr>
          <w:rFonts w:hint="eastAsia" w:ascii="宋体" w:hAnsi="宋体" w:cs="宋体"/>
          <w:highlight w:val="none"/>
        </w:rPr>
        <w:t>投标人具备履行合同所必需的设备和专业技术能力的证明材料(附件6-5) ……………… 页码</w:t>
      </w:r>
    </w:p>
    <w:p>
      <w:pPr>
        <w:spacing w:line="480" w:lineRule="exact"/>
        <w:ind w:firstLine="420" w:firstLineChars="200"/>
        <w:rPr>
          <w:rFonts w:ascii="宋体" w:hAnsi="宋体" w:cs="宋体"/>
          <w:highlight w:val="none"/>
        </w:rPr>
      </w:pPr>
      <w:r>
        <w:rPr>
          <w:rFonts w:hint="eastAsia" w:ascii="宋体" w:hAnsi="宋体" w:cs="宋体"/>
          <w:highlight w:val="none"/>
        </w:rPr>
        <w:t>参加采购活动前三年内在经营活动中没有重大违法记录的书面声明(附件6-6)  …………页码</w:t>
      </w:r>
    </w:p>
    <w:p>
      <w:pPr>
        <w:spacing w:line="480" w:lineRule="exact"/>
        <w:ind w:firstLine="420" w:firstLineChars="200"/>
        <w:rPr>
          <w:rFonts w:ascii="宋体" w:hAnsi="宋体" w:cs="宋体"/>
          <w:highlight w:val="none"/>
        </w:rPr>
      </w:pPr>
      <w:r>
        <w:rPr>
          <w:rFonts w:hint="eastAsia" w:ascii="宋体" w:hAnsi="宋体" w:cs="宋体"/>
          <w:highlight w:val="none"/>
        </w:rPr>
        <w:t>信用记录查询结果(附件6-7)  …………………………………………………………………页码</w:t>
      </w:r>
    </w:p>
    <w:p>
      <w:pPr>
        <w:spacing w:line="480" w:lineRule="exact"/>
        <w:ind w:firstLine="420" w:firstLineChars="200"/>
        <w:rPr>
          <w:rFonts w:ascii="宋体" w:hAnsi="宋体" w:cs="宋体"/>
          <w:highlight w:val="none"/>
        </w:rPr>
      </w:pPr>
      <w:r>
        <w:rPr>
          <w:rFonts w:hint="eastAsia" w:ascii="宋体" w:hAnsi="宋体" w:cs="宋体"/>
          <w:highlight w:val="none"/>
        </w:rPr>
        <w:t>参加采购活动前三年内没有行贿犯罪记录的书面声明(附件6-8)  …………………………页码</w:t>
      </w:r>
    </w:p>
    <w:p>
      <w:pPr>
        <w:spacing w:line="480" w:lineRule="exact"/>
        <w:ind w:firstLine="420" w:firstLineChars="200"/>
        <w:rPr>
          <w:rFonts w:ascii="宋体" w:hAnsi="宋体" w:cs="宋体"/>
          <w:highlight w:val="none"/>
        </w:rPr>
      </w:pPr>
      <w:r>
        <w:rPr>
          <w:rFonts w:hint="eastAsia" w:ascii="宋体" w:hAnsi="宋体" w:cs="宋体"/>
          <w:highlight w:val="none"/>
        </w:rPr>
        <w:t>其它资格证明文件(附件6-9)   ……………………………………………………………… 页码</w:t>
      </w:r>
    </w:p>
    <w:p>
      <w:pPr>
        <w:spacing w:line="460" w:lineRule="exact"/>
        <w:rPr>
          <w:rFonts w:ascii="宋体" w:hAnsi="宋体" w:cs="宋体"/>
          <w:highlight w:val="none"/>
        </w:rPr>
      </w:pPr>
      <w:r>
        <w:rPr>
          <w:rFonts w:hint="eastAsia" w:ascii="宋体" w:hAnsi="宋体" w:cs="宋体"/>
          <w:highlight w:val="none"/>
        </w:rPr>
        <w:t>7． 投标人代表合法性证明(附件7)…………………………………………………………………页码</w:t>
      </w:r>
    </w:p>
    <w:p>
      <w:pPr>
        <w:spacing w:line="460" w:lineRule="exact"/>
        <w:rPr>
          <w:rFonts w:ascii="宋体" w:hAnsi="宋体" w:cs="宋体"/>
          <w:highlight w:val="none"/>
        </w:rPr>
      </w:pPr>
      <w:r>
        <w:rPr>
          <w:rFonts w:hint="eastAsia" w:ascii="宋体" w:hAnsi="宋体" w:cs="宋体"/>
          <w:highlight w:val="none"/>
        </w:rPr>
        <w:t>8． 投标人提交的其他资料(附件8) ………………………………………………………………页码</w:t>
      </w:r>
    </w:p>
    <w:p>
      <w:pPr>
        <w:spacing w:line="460" w:lineRule="exact"/>
        <w:rPr>
          <w:rFonts w:ascii="宋体" w:hAnsi="宋体" w:cs="宋体"/>
          <w:highlight w:val="none"/>
        </w:rPr>
      </w:pPr>
      <w:r>
        <w:rPr>
          <w:rFonts w:hint="eastAsia" w:ascii="宋体" w:hAnsi="宋体" w:cs="宋体"/>
          <w:highlight w:val="none"/>
        </w:rPr>
        <w:t xml:space="preserve">9． 退回投标保证金说明函（含保证金交纳单据）(附件9) ……………………………………页码 </w:t>
      </w:r>
    </w:p>
    <w:p>
      <w:pPr>
        <w:spacing w:line="460" w:lineRule="exact"/>
        <w:rPr>
          <w:rFonts w:ascii="宋体" w:hAnsi="宋体" w:cs="宋体"/>
          <w:highlight w:val="none"/>
        </w:rPr>
      </w:pPr>
      <w:r>
        <w:rPr>
          <w:rFonts w:hint="eastAsia" w:ascii="宋体" w:hAnsi="宋体" w:cs="宋体"/>
          <w:highlight w:val="none"/>
        </w:rPr>
        <w:t>10. 招标代理服务费承诺书(附件10) ………………………………………………………………页码</w:t>
      </w:r>
    </w:p>
    <w:p>
      <w:pPr>
        <w:spacing w:line="460" w:lineRule="exact"/>
        <w:rPr>
          <w:rFonts w:ascii="宋体" w:hAnsi="宋体" w:cs="宋体"/>
          <w:b/>
          <w:bCs/>
          <w:highlight w:val="none"/>
        </w:rPr>
      </w:pPr>
      <w:r>
        <w:rPr>
          <w:rFonts w:hint="eastAsia" w:ascii="宋体" w:hAnsi="宋体" w:cs="宋体"/>
          <w:b/>
          <w:bCs/>
          <w:highlight w:val="none"/>
        </w:rPr>
        <w:t>注：目录应标注页码</w:t>
      </w:r>
    </w:p>
    <w:p>
      <w:pPr>
        <w:pStyle w:val="95"/>
        <w:tabs>
          <w:tab w:val="left" w:pos="420"/>
        </w:tabs>
        <w:spacing w:line="460" w:lineRule="exact"/>
        <w:jc w:val="left"/>
        <w:rPr>
          <w:rFonts w:hAnsi="宋体"/>
          <w:sz w:val="21"/>
          <w:szCs w:val="21"/>
          <w:highlight w:val="none"/>
        </w:rPr>
      </w:pPr>
      <w:r>
        <w:rPr>
          <w:rFonts w:hint="eastAsia" w:hAnsi="宋体"/>
          <w:sz w:val="21"/>
          <w:szCs w:val="21"/>
          <w:highlight w:val="none"/>
        </w:rPr>
        <w:br w:type="page"/>
      </w:r>
      <w:r>
        <w:rPr>
          <w:rFonts w:hint="eastAsia" w:hAnsi="宋体"/>
          <w:sz w:val="21"/>
          <w:szCs w:val="21"/>
          <w:highlight w:val="none"/>
        </w:rPr>
        <w:t>附件1、</w:t>
      </w:r>
    </w:p>
    <w:p>
      <w:pPr>
        <w:pStyle w:val="95"/>
        <w:spacing w:line="340" w:lineRule="exact"/>
        <w:ind w:firstLine="643"/>
        <w:jc w:val="center"/>
        <w:rPr>
          <w:rFonts w:hAnsi="宋体"/>
          <w:b/>
          <w:bCs/>
          <w:sz w:val="32"/>
          <w:szCs w:val="32"/>
          <w:highlight w:val="none"/>
        </w:rPr>
      </w:pPr>
      <w:r>
        <w:rPr>
          <w:rFonts w:hint="eastAsia" w:hAnsi="宋体"/>
          <w:b/>
          <w:bCs/>
          <w:sz w:val="32"/>
          <w:szCs w:val="32"/>
          <w:highlight w:val="none"/>
        </w:rPr>
        <w:t>投 标 书</w:t>
      </w:r>
    </w:p>
    <w:p>
      <w:pPr>
        <w:pStyle w:val="95"/>
        <w:spacing w:line="300" w:lineRule="exact"/>
        <w:ind w:firstLine="643"/>
        <w:jc w:val="center"/>
        <w:rPr>
          <w:rFonts w:hAnsi="宋体"/>
          <w:b/>
          <w:bCs/>
          <w:sz w:val="32"/>
          <w:szCs w:val="32"/>
          <w:highlight w:val="none"/>
        </w:rPr>
      </w:pPr>
    </w:p>
    <w:p>
      <w:pPr>
        <w:spacing w:line="400" w:lineRule="exact"/>
        <w:rPr>
          <w:rFonts w:ascii="宋体" w:hAnsi="宋体" w:cs="宋体"/>
          <w:sz w:val="24"/>
          <w:szCs w:val="24"/>
          <w:highlight w:val="none"/>
        </w:rPr>
      </w:pPr>
      <w:r>
        <w:rPr>
          <w:rFonts w:hint="eastAsia" w:ascii="宋体" w:hAnsi="宋体" w:cs="宋体"/>
          <w:sz w:val="24"/>
          <w:szCs w:val="24"/>
          <w:highlight w:val="none"/>
        </w:rPr>
        <w:t>致：福建省中达招标代理有限公司</w:t>
      </w:r>
    </w:p>
    <w:p>
      <w:pPr>
        <w:spacing w:line="400" w:lineRule="exact"/>
        <w:ind w:firstLine="420"/>
        <w:rPr>
          <w:rFonts w:ascii="宋体" w:hAnsi="宋体" w:cs="宋体"/>
          <w:sz w:val="24"/>
          <w:szCs w:val="24"/>
          <w:highlight w:val="none"/>
        </w:rPr>
      </w:pPr>
      <w:r>
        <w:rPr>
          <w:rFonts w:hint="eastAsia" w:ascii="宋体" w:hAnsi="宋体" w:cs="宋体"/>
          <w:sz w:val="24"/>
          <w:szCs w:val="24"/>
          <w:highlight w:val="none"/>
        </w:rPr>
        <w:t>我方认真研究了项目招标文件（含补遗书和答疑书），（招标编号）：。我方愿按招标文件的要求提供相应的货物及服务。</w:t>
      </w:r>
    </w:p>
    <w:p>
      <w:pPr>
        <w:spacing w:line="400" w:lineRule="exact"/>
        <w:ind w:firstLine="420"/>
        <w:rPr>
          <w:rFonts w:ascii="宋体" w:hAnsi="宋体" w:cs="宋体"/>
          <w:sz w:val="24"/>
          <w:szCs w:val="24"/>
          <w:highlight w:val="none"/>
        </w:rPr>
      </w:pPr>
      <w:r>
        <w:rPr>
          <w:rFonts w:hint="eastAsia" w:ascii="宋体" w:hAnsi="宋体" w:cs="宋体"/>
          <w:sz w:val="24"/>
          <w:szCs w:val="24"/>
          <w:highlight w:val="none"/>
        </w:rPr>
        <w:t>我方同意在规定的递交投标文件截止时间算起的90个日历天内，受投标文件的约束。在上述时间内，本投标文件对我方一直有约束力，并可随时被接受中标。</w:t>
      </w:r>
    </w:p>
    <w:p>
      <w:pPr>
        <w:spacing w:line="400" w:lineRule="exact"/>
        <w:ind w:firstLine="420"/>
        <w:rPr>
          <w:rFonts w:ascii="宋体" w:hAnsi="宋体" w:cs="宋体"/>
          <w:sz w:val="24"/>
          <w:szCs w:val="24"/>
          <w:highlight w:val="none"/>
        </w:rPr>
      </w:pPr>
      <w:r>
        <w:rPr>
          <w:rFonts w:hint="eastAsia" w:ascii="宋体" w:hAnsi="宋体" w:cs="宋体"/>
          <w:sz w:val="24"/>
          <w:szCs w:val="24"/>
          <w:highlight w:val="none"/>
        </w:rPr>
        <w:t>在正式合同签署并生效之前，本投标文件连同贵方的中标通知书，将对我方具有约束力。据此函，签字代表宣布同意如下：</w:t>
      </w:r>
    </w:p>
    <w:p>
      <w:pPr>
        <w:spacing w:line="400" w:lineRule="exact"/>
        <w:rPr>
          <w:rFonts w:ascii="宋体" w:hAnsi="宋体" w:cs="宋体"/>
          <w:sz w:val="24"/>
          <w:szCs w:val="24"/>
          <w:highlight w:val="none"/>
        </w:rPr>
      </w:pPr>
      <w:r>
        <w:rPr>
          <w:rFonts w:hint="eastAsia" w:ascii="宋体" w:hAnsi="宋体" w:cs="宋体"/>
          <w:sz w:val="24"/>
          <w:szCs w:val="24"/>
          <w:highlight w:val="none"/>
        </w:rPr>
        <w:t xml:space="preserve">    1.我方已详细审查全部招标文件[包括修改文件（如有的话）和有关附件，下同]，我方将自行承担因对招标文件理解不正确或误解而造成的相应后果。</w:t>
      </w:r>
    </w:p>
    <w:p>
      <w:pPr>
        <w:spacing w:line="400" w:lineRule="exact"/>
        <w:ind w:firstLine="420"/>
        <w:rPr>
          <w:rFonts w:ascii="宋体" w:hAnsi="宋体" w:cs="宋体"/>
          <w:sz w:val="24"/>
          <w:szCs w:val="24"/>
          <w:highlight w:val="none"/>
        </w:rPr>
      </w:pPr>
      <w:r>
        <w:rPr>
          <w:rFonts w:hint="eastAsia" w:ascii="宋体" w:hAnsi="宋体" w:cs="宋体"/>
          <w:sz w:val="24"/>
          <w:szCs w:val="24"/>
          <w:highlight w:val="none"/>
        </w:rPr>
        <w:t>2.我方保证遵守招标文件的全部规定，保证所提交的材料中所含的信息均为真实、准确、完整，不具有任何误导性，也不存在弄虚作假行为。</w:t>
      </w:r>
    </w:p>
    <w:p>
      <w:pPr>
        <w:spacing w:line="400" w:lineRule="exact"/>
        <w:ind w:firstLine="420"/>
        <w:rPr>
          <w:rFonts w:ascii="宋体" w:hAnsi="宋体" w:cs="宋体"/>
          <w:sz w:val="24"/>
          <w:szCs w:val="24"/>
          <w:highlight w:val="none"/>
        </w:rPr>
      </w:pPr>
      <w:r>
        <w:rPr>
          <w:rFonts w:hint="eastAsia" w:ascii="宋体" w:hAnsi="宋体" w:cs="宋体"/>
          <w:sz w:val="24"/>
          <w:szCs w:val="24"/>
          <w:highlight w:val="none"/>
        </w:rPr>
        <w:t>3.我方声明在本次招标投标活动中不存在招标文件第二章“投标人须知”第3.3条规定的情形，与同一合同项下其它投标人之间也不存在招标文件第二章“投标人须知”第3.2条规定的关联关系。</w:t>
      </w:r>
    </w:p>
    <w:p>
      <w:pPr>
        <w:spacing w:line="400" w:lineRule="exact"/>
        <w:ind w:firstLine="420"/>
        <w:rPr>
          <w:rFonts w:ascii="宋体" w:hAnsi="宋体" w:cs="宋体"/>
          <w:sz w:val="24"/>
          <w:szCs w:val="24"/>
          <w:highlight w:val="none"/>
        </w:rPr>
      </w:pPr>
      <w:r>
        <w:rPr>
          <w:rFonts w:hint="eastAsia" w:ascii="宋体" w:hAnsi="宋体" w:cs="宋体"/>
          <w:sz w:val="24"/>
          <w:szCs w:val="24"/>
          <w:highlight w:val="none"/>
        </w:rPr>
        <w:t>4.如果发生招标文件第二章投标人须知第12条所述情况，则同意福建省中达招标代理有限公司不予退还投标保证金。</w:t>
      </w:r>
    </w:p>
    <w:p>
      <w:pPr>
        <w:spacing w:line="400" w:lineRule="exact"/>
        <w:ind w:firstLine="420"/>
        <w:rPr>
          <w:rFonts w:ascii="宋体" w:hAnsi="宋体" w:cs="宋体"/>
          <w:sz w:val="24"/>
          <w:szCs w:val="24"/>
          <w:highlight w:val="none"/>
        </w:rPr>
      </w:pPr>
      <w:r>
        <w:rPr>
          <w:rFonts w:hint="eastAsia" w:ascii="宋体" w:hAnsi="宋体" w:cs="宋体"/>
          <w:sz w:val="24"/>
          <w:szCs w:val="24"/>
          <w:highlight w:val="none"/>
        </w:rPr>
        <w:t xml:space="preserve">5.我方同意提供按照贵方可能要求的与其投标有关的一切数据或资料，完全理解贵方不一定要接受最低的投标或收到的任何投标。 </w:t>
      </w:r>
    </w:p>
    <w:p>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 xml:space="preserve"> 6.若中标，我方将按照招标文件（含补遗书和答疑书）及我方投标文件、投标文件书面澄清（如有）的具体规定，在收到中标通知书后，按照要求，与采购人签订《合同》，并按招标文件的规定履行合同责任和义务。</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7.在整个招、投标过程中及招、投标结束后，未经采购人书面同意，我方保证不向任何第三方泄露本次招、投标的任何信息、资料及内容。</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8. 与本投标有关的一切正式往来通讯请寄：</w:t>
      </w:r>
    </w:p>
    <w:p>
      <w:pPr>
        <w:spacing w:line="360" w:lineRule="exact"/>
        <w:ind w:firstLine="420" w:firstLineChars="200"/>
        <w:rPr>
          <w:rFonts w:ascii="宋体" w:hAnsi="宋体" w:cs="宋体"/>
          <w:highlight w:val="none"/>
        </w:rPr>
      </w:pPr>
    </w:p>
    <w:p>
      <w:pPr>
        <w:pStyle w:val="27"/>
        <w:spacing w:line="400" w:lineRule="exact"/>
        <w:jc w:val="both"/>
        <w:rPr>
          <w:rFonts w:ascii="宋体" w:eastAsia="宋体" w:cs="宋体"/>
          <w:highlight w:val="none"/>
        </w:rPr>
      </w:pPr>
      <w:r>
        <w:rPr>
          <w:rFonts w:hint="eastAsia" w:ascii="宋体" w:eastAsia="宋体" w:cs="宋体"/>
          <w:highlight w:val="none"/>
        </w:rPr>
        <w:t>投标人名称：</w:t>
      </w:r>
      <w:r>
        <w:rPr>
          <w:rFonts w:hint="eastAsia" w:ascii="宋体" w:eastAsia="宋体" w:cs="宋体"/>
          <w:highlight w:val="none"/>
          <w:u w:val="single"/>
        </w:rPr>
        <w:t xml:space="preserve">           （全称并加盖公章）  </w:t>
      </w:r>
    </w:p>
    <w:p>
      <w:pPr>
        <w:spacing w:line="400" w:lineRule="exact"/>
        <w:rPr>
          <w:rFonts w:ascii="宋体" w:hAnsi="宋体" w:cs="宋体"/>
          <w:highlight w:val="none"/>
          <w:u w:val="single"/>
        </w:rPr>
      </w:pPr>
      <w:r>
        <w:rPr>
          <w:rFonts w:hint="eastAsia" w:ascii="宋体" w:hAnsi="宋体" w:cs="宋体"/>
          <w:highlight w:val="none"/>
        </w:rPr>
        <w:t>投标人法定代表人或其授权代表：</w:t>
      </w:r>
      <w:r>
        <w:rPr>
          <w:rFonts w:hint="eastAsia" w:ascii="宋体" w:hAnsi="宋体" w:cs="宋体"/>
          <w:highlight w:val="none"/>
          <w:u w:val="single"/>
        </w:rPr>
        <w:t>（印刷字体）                 （签字或盖章）</w:t>
      </w:r>
    </w:p>
    <w:p>
      <w:pPr>
        <w:spacing w:line="400" w:lineRule="exact"/>
        <w:rPr>
          <w:rFonts w:ascii="宋体" w:hAnsi="宋体" w:cs="宋体"/>
          <w:highlight w:val="none"/>
          <w:u w:val="single"/>
        </w:rPr>
      </w:pPr>
      <w:r>
        <w:rPr>
          <w:rFonts w:hint="eastAsia" w:ascii="宋体" w:hAnsi="宋体" w:cs="宋体"/>
          <w:highlight w:val="none"/>
        </w:rPr>
        <w:t>电    话：               传    真：</w:t>
      </w:r>
    </w:p>
    <w:p>
      <w:pPr>
        <w:spacing w:line="400" w:lineRule="exact"/>
        <w:rPr>
          <w:rFonts w:ascii="宋体" w:hAnsi="宋体" w:cs="宋体"/>
          <w:highlight w:val="none"/>
          <w:u w:val="single"/>
        </w:rPr>
      </w:pPr>
      <w:r>
        <w:rPr>
          <w:rFonts w:hint="eastAsia" w:ascii="宋体" w:hAnsi="宋体" w:cs="宋体"/>
          <w:highlight w:val="none"/>
        </w:rPr>
        <w:t>地址：                   邮政编码：</w:t>
      </w:r>
    </w:p>
    <w:p>
      <w:pPr>
        <w:spacing w:line="400" w:lineRule="exact"/>
        <w:rPr>
          <w:rFonts w:ascii="宋体" w:hAnsi="宋体" w:cs="宋体"/>
          <w:highlight w:val="none"/>
        </w:rPr>
      </w:pPr>
      <w:r>
        <w:rPr>
          <w:rFonts w:hint="eastAsia" w:ascii="宋体" w:hAnsi="宋体" w:cs="宋体"/>
          <w:highlight w:val="none"/>
        </w:rPr>
        <w:t>日    期：     年     月    日</w:t>
      </w:r>
    </w:p>
    <w:p>
      <w:pPr>
        <w:rPr>
          <w:rFonts w:ascii="宋体" w:hAnsi="宋体" w:cs="宋体"/>
          <w:highlight w:val="none"/>
        </w:rPr>
      </w:pPr>
    </w:p>
    <w:p>
      <w:pPr>
        <w:rPr>
          <w:rFonts w:ascii="宋体" w:hAnsi="宋体" w:cs="宋体"/>
          <w:highlight w:val="none"/>
        </w:rPr>
      </w:pPr>
    </w:p>
    <w:p>
      <w:pPr>
        <w:rPr>
          <w:rFonts w:ascii="宋体" w:hAnsi="宋体"/>
          <w:highlight w:val="none"/>
        </w:rPr>
      </w:pPr>
    </w:p>
    <w:p>
      <w:pPr>
        <w:rPr>
          <w:rFonts w:ascii="宋体" w:hAnsi="宋体"/>
          <w:sz w:val="32"/>
          <w:szCs w:val="32"/>
          <w:highlight w:val="none"/>
        </w:rPr>
      </w:pPr>
      <w:r>
        <w:rPr>
          <w:rFonts w:hint="eastAsia" w:ascii="宋体" w:hAnsi="宋体"/>
          <w:highlight w:val="none"/>
        </w:rPr>
        <w:t>附件2、</w:t>
      </w:r>
    </w:p>
    <w:p>
      <w:pPr>
        <w:spacing w:before="240" w:beforeLines="100" w:line="380" w:lineRule="exact"/>
        <w:jc w:val="center"/>
        <w:rPr>
          <w:rFonts w:ascii="宋体" w:hAnsi="宋体"/>
          <w:highlight w:val="none"/>
        </w:rPr>
      </w:pPr>
      <w:r>
        <w:rPr>
          <w:rFonts w:hint="eastAsia" w:ascii="宋体" w:hAnsi="宋体"/>
          <w:b/>
          <w:sz w:val="32"/>
          <w:szCs w:val="32"/>
          <w:highlight w:val="none"/>
        </w:rPr>
        <w:t>标的说明一览表</w:t>
      </w:r>
      <w:r>
        <w:rPr>
          <w:rFonts w:hint="eastAsia" w:ascii="宋体" w:hAnsi="宋体"/>
          <w:highlight w:val="none"/>
        </w:rPr>
        <w:br w:type="textWrapping"/>
      </w:r>
      <w:r>
        <w:rPr>
          <w:rFonts w:hint="eastAsia" w:ascii="宋体" w:hAnsi="宋体"/>
          <w:highlight w:val="none"/>
        </w:rPr>
        <w:t xml:space="preserve"> （按合同包填写）</w:t>
      </w:r>
    </w:p>
    <w:p>
      <w:pPr>
        <w:pStyle w:val="28"/>
        <w:rPr>
          <w:rFonts w:ascii="宋体" w:hAnsi="宋体"/>
          <w:szCs w:val="21"/>
          <w:highlight w:val="none"/>
        </w:rPr>
      </w:pPr>
    </w:p>
    <w:p>
      <w:pPr>
        <w:rPr>
          <w:rFonts w:ascii="宋体" w:hAnsi="宋体"/>
          <w:highlight w:val="none"/>
        </w:rPr>
      </w:pPr>
    </w:p>
    <w:p>
      <w:pPr>
        <w:pStyle w:val="28"/>
        <w:rPr>
          <w:rFonts w:ascii="宋体" w:hAnsi="宋体"/>
          <w:szCs w:val="21"/>
          <w:highlight w:val="none"/>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1316"/>
        <w:gridCol w:w="1316"/>
        <w:gridCol w:w="1317"/>
        <w:gridCol w:w="1317"/>
        <w:gridCol w:w="1317"/>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316" w:type="dxa"/>
          </w:tcPr>
          <w:p>
            <w:pPr>
              <w:rPr>
                <w:sz w:val="24"/>
                <w:szCs w:val="24"/>
                <w:highlight w:val="none"/>
              </w:rPr>
            </w:pPr>
            <w:r>
              <w:rPr>
                <w:rFonts w:ascii="宋体" w:hAnsi="宋体" w:cs="宋体"/>
                <w:color w:val="393939"/>
                <w:sz w:val="24"/>
                <w:szCs w:val="24"/>
                <w:highlight w:val="none"/>
              </w:rPr>
              <w:t>合同包</w:t>
            </w:r>
          </w:p>
        </w:tc>
        <w:tc>
          <w:tcPr>
            <w:tcW w:w="1316" w:type="dxa"/>
          </w:tcPr>
          <w:p>
            <w:pPr>
              <w:rPr>
                <w:sz w:val="24"/>
                <w:szCs w:val="24"/>
                <w:highlight w:val="none"/>
              </w:rPr>
            </w:pPr>
            <w:r>
              <w:rPr>
                <w:rFonts w:hint="eastAsia" w:ascii="宋体" w:hAnsi="宋体" w:cs="宋体"/>
                <w:color w:val="393939"/>
                <w:sz w:val="24"/>
                <w:szCs w:val="24"/>
                <w:highlight w:val="none"/>
              </w:rPr>
              <w:t>品目号</w:t>
            </w:r>
          </w:p>
        </w:tc>
        <w:tc>
          <w:tcPr>
            <w:tcW w:w="1316" w:type="dxa"/>
          </w:tcPr>
          <w:p>
            <w:pPr>
              <w:rPr>
                <w:sz w:val="24"/>
                <w:szCs w:val="24"/>
                <w:highlight w:val="none"/>
              </w:rPr>
            </w:pPr>
            <w:r>
              <w:rPr>
                <w:rFonts w:hint="eastAsia" w:ascii="宋体" w:hAnsi="宋体" w:cs="宋体"/>
                <w:color w:val="393939"/>
                <w:sz w:val="24"/>
                <w:szCs w:val="24"/>
                <w:highlight w:val="none"/>
              </w:rPr>
              <w:t>投标标的</w:t>
            </w:r>
          </w:p>
        </w:tc>
        <w:tc>
          <w:tcPr>
            <w:tcW w:w="1317" w:type="dxa"/>
          </w:tcPr>
          <w:p>
            <w:pPr>
              <w:rPr>
                <w:sz w:val="24"/>
                <w:szCs w:val="24"/>
                <w:highlight w:val="none"/>
              </w:rPr>
            </w:pPr>
            <w:r>
              <w:rPr>
                <w:rFonts w:hint="eastAsia" w:ascii="宋体" w:hAnsi="宋体" w:cs="宋体"/>
                <w:color w:val="393939"/>
                <w:sz w:val="24"/>
                <w:szCs w:val="24"/>
                <w:highlight w:val="none"/>
              </w:rPr>
              <w:t>数量</w:t>
            </w:r>
          </w:p>
        </w:tc>
        <w:tc>
          <w:tcPr>
            <w:tcW w:w="1317" w:type="dxa"/>
          </w:tcPr>
          <w:p>
            <w:pPr>
              <w:rPr>
                <w:sz w:val="24"/>
                <w:szCs w:val="24"/>
                <w:highlight w:val="none"/>
              </w:rPr>
            </w:pPr>
            <w:r>
              <w:rPr>
                <w:rFonts w:hint="eastAsia" w:ascii="宋体" w:hAnsi="宋体" w:cs="宋体"/>
                <w:color w:val="393939"/>
                <w:sz w:val="24"/>
                <w:szCs w:val="24"/>
                <w:highlight w:val="none"/>
              </w:rPr>
              <w:t>规格</w:t>
            </w:r>
          </w:p>
        </w:tc>
        <w:tc>
          <w:tcPr>
            <w:tcW w:w="1317" w:type="dxa"/>
          </w:tcPr>
          <w:p>
            <w:pPr>
              <w:rPr>
                <w:sz w:val="24"/>
                <w:szCs w:val="24"/>
                <w:highlight w:val="none"/>
              </w:rPr>
            </w:pPr>
            <w:r>
              <w:rPr>
                <w:rFonts w:hint="eastAsia" w:ascii="宋体" w:hAnsi="宋体" w:cs="宋体"/>
                <w:color w:val="393939"/>
                <w:sz w:val="24"/>
                <w:szCs w:val="24"/>
                <w:highlight w:val="none"/>
              </w:rPr>
              <w:t>来源地</w:t>
            </w:r>
          </w:p>
        </w:tc>
        <w:tc>
          <w:tcPr>
            <w:tcW w:w="1317" w:type="dxa"/>
          </w:tcPr>
          <w:p>
            <w:pPr>
              <w:rPr>
                <w:sz w:val="24"/>
                <w:szCs w:val="24"/>
                <w:highlight w:val="none"/>
              </w:rPr>
            </w:pPr>
            <w:r>
              <w:rPr>
                <w:rFonts w:hint="eastAsia" w:ascii="宋体" w:hAnsi="宋体" w:cs="宋体"/>
                <w:color w:val="393939"/>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316" w:type="dxa"/>
            <w:vMerge w:val="restart"/>
          </w:tcPr>
          <w:p>
            <w:pPr>
              <w:rPr>
                <w:sz w:val="24"/>
                <w:szCs w:val="24"/>
                <w:highlight w:val="none"/>
              </w:rPr>
            </w:pPr>
            <w:r>
              <w:rPr>
                <w:rFonts w:ascii="宋体" w:hAnsi="宋体" w:cs="宋体"/>
                <w:color w:val="393939"/>
                <w:sz w:val="24"/>
                <w:szCs w:val="24"/>
                <w:highlight w:val="none"/>
                <w:shd w:val="clear" w:color="auto" w:fill="FFFFFF"/>
              </w:rPr>
              <w:t>*</w:t>
            </w:r>
          </w:p>
        </w:tc>
        <w:tc>
          <w:tcPr>
            <w:tcW w:w="1316" w:type="dxa"/>
          </w:tcPr>
          <w:p>
            <w:pPr>
              <w:rPr>
                <w:sz w:val="24"/>
                <w:szCs w:val="24"/>
                <w:highlight w:val="none"/>
              </w:rPr>
            </w:pPr>
            <w:r>
              <w:rPr>
                <w:rFonts w:ascii="宋体" w:hAnsi="宋体" w:cs="宋体"/>
                <w:color w:val="393939"/>
                <w:sz w:val="24"/>
                <w:szCs w:val="24"/>
                <w:highlight w:val="none"/>
                <w:shd w:val="clear" w:color="auto" w:fill="FFFFFF"/>
              </w:rPr>
              <w:t>*-1</w:t>
            </w:r>
          </w:p>
        </w:tc>
        <w:tc>
          <w:tcPr>
            <w:tcW w:w="1316" w:type="dxa"/>
          </w:tcPr>
          <w:p>
            <w:pPr>
              <w:rPr>
                <w:sz w:val="24"/>
                <w:szCs w:val="24"/>
                <w:highlight w:val="none"/>
              </w:rPr>
            </w:pPr>
          </w:p>
        </w:tc>
        <w:tc>
          <w:tcPr>
            <w:tcW w:w="1317" w:type="dxa"/>
          </w:tcPr>
          <w:p>
            <w:pPr>
              <w:rPr>
                <w:sz w:val="24"/>
                <w:szCs w:val="24"/>
                <w:highlight w:val="none"/>
              </w:rPr>
            </w:pPr>
          </w:p>
        </w:tc>
        <w:tc>
          <w:tcPr>
            <w:tcW w:w="1317" w:type="dxa"/>
          </w:tcPr>
          <w:p>
            <w:pPr>
              <w:rPr>
                <w:sz w:val="24"/>
                <w:szCs w:val="24"/>
                <w:highlight w:val="none"/>
              </w:rPr>
            </w:pPr>
          </w:p>
        </w:tc>
        <w:tc>
          <w:tcPr>
            <w:tcW w:w="1317" w:type="dxa"/>
          </w:tcPr>
          <w:p>
            <w:pPr>
              <w:rPr>
                <w:sz w:val="24"/>
                <w:szCs w:val="24"/>
                <w:highlight w:val="none"/>
              </w:rPr>
            </w:pPr>
          </w:p>
        </w:tc>
        <w:tc>
          <w:tcPr>
            <w:tcW w:w="1317" w:type="dxa"/>
          </w:tcPr>
          <w:p>
            <w:pP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16" w:type="dxa"/>
            <w:vMerge w:val="continue"/>
          </w:tcPr>
          <w:p>
            <w:pPr>
              <w:rPr>
                <w:sz w:val="24"/>
                <w:szCs w:val="24"/>
                <w:highlight w:val="none"/>
              </w:rPr>
            </w:pPr>
          </w:p>
        </w:tc>
        <w:tc>
          <w:tcPr>
            <w:tcW w:w="1316" w:type="dxa"/>
          </w:tcPr>
          <w:p>
            <w:pPr>
              <w:rPr>
                <w:sz w:val="24"/>
                <w:szCs w:val="24"/>
                <w:highlight w:val="none"/>
              </w:rPr>
            </w:pPr>
            <w:r>
              <w:rPr>
                <w:rFonts w:ascii="Calibri" w:hAnsi="Calibri" w:cs="Calibri"/>
                <w:color w:val="393939"/>
                <w:sz w:val="24"/>
                <w:szCs w:val="24"/>
                <w:highlight w:val="none"/>
                <w:shd w:val="clear" w:color="auto" w:fill="FFFFFF"/>
              </w:rPr>
              <w:t>…</w:t>
            </w:r>
          </w:p>
        </w:tc>
        <w:tc>
          <w:tcPr>
            <w:tcW w:w="1316" w:type="dxa"/>
          </w:tcPr>
          <w:p>
            <w:pPr>
              <w:rPr>
                <w:sz w:val="24"/>
                <w:szCs w:val="24"/>
                <w:highlight w:val="none"/>
              </w:rPr>
            </w:pPr>
          </w:p>
        </w:tc>
        <w:tc>
          <w:tcPr>
            <w:tcW w:w="1317" w:type="dxa"/>
          </w:tcPr>
          <w:p>
            <w:pPr>
              <w:rPr>
                <w:sz w:val="24"/>
                <w:szCs w:val="24"/>
                <w:highlight w:val="none"/>
              </w:rPr>
            </w:pPr>
          </w:p>
        </w:tc>
        <w:tc>
          <w:tcPr>
            <w:tcW w:w="1317" w:type="dxa"/>
          </w:tcPr>
          <w:p>
            <w:pPr>
              <w:rPr>
                <w:sz w:val="24"/>
                <w:szCs w:val="24"/>
                <w:highlight w:val="none"/>
              </w:rPr>
            </w:pPr>
          </w:p>
        </w:tc>
        <w:tc>
          <w:tcPr>
            <w:tcW w:w="1317" w:type="dxa"/>
          </w:tcPr>
          <w:p>
            <w:pPr>
              <w:rPr>
                <w:sz w:val="24"/>
                <w:szCs w:val="24"/>
                <w:highlight w:val="none"/>
              </w:rPr>
            </w:pPr>
          </w:p>
        </w:tc>
        <w:tc>
          <w:tcPr>
            <w:tcW w:w="1317" w:type="dxa"/>
          </w:tcPr>
          <w:p>
            <w:pPr>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16" w:type="dxa"/>
          </w:tcPr>
          <w:p>
            <w:pPr>
              <w:rPr>
                <w:sz w:val="24"/>
                <w:szCs w:val="24"/>
                <w:highlight w:val="none"/>
              </w:rPr>
            </w:pPr>
            <w:r>
              <w:rPr>
                <w:rFonts w:ascii="Calibri" w:hAnsi="Calibri" w:cs="Calibri"/>
                <w:color w:val="393939"/>
                <w:sz w:val="24"/>
                <w:szCs w:val="24"/>
                <w:highlight w:val="none"/>
                <w:shd w:val="clear" w:color="auto" w:fill="FFFFFF"/>
              </w:rPr>
              <w:t>…</w:t>
            </w:r>
          </w:p>
        </w:tc>
        <w:tc>
          <w:tcPr>
            <w:tcW w:w="1316" w:type="dxa"/>
          </w:tcPr>
          <w:p>
            <w:pPr>
              <w:rPr>
                <w:sz w:val="24"/>
                <w:szCs w:val="24"/>
                <w:highlight w:val="none"/>
              </w:rPr>
            </w:pPr>
          </w:p>
        </w:tc>
        <w:tc>
          <w:tcPr>
            <w:tcW w:w="1316" w:type="dxa"/>
          </w:tcPr>
          <w:p>
            <w:pPr>
              <w:rPr>
                <w:sz w:val="24"/>
                <w:szCs w:val="24"/>
                <w:highlight w:val="none"/>
              </w:rPr>
            </w:pPr>
          </w:p>
        </w:tc>
        <w:tc>
          <w:tcPr>
            <w:tcW w:w="1317" w:type="dxa"/>
          </w:tcPr>
          <w:p>
            <w:pPr>
              <w:rPr>
                <w:sz w:val="24"/>
                <w:szCs w:val="24"/>
                <w:highlight w:val="none"/>
              </w:rPr>
            </w:pPr>
          </w:p>
        </w:tc>
        <w:tc>
          <w:tcPr>
            <w:tcW w:w="1317" w:type="dxa"/>
          </w:tcPr>
          <w:p>
            <w:pPr>
              <w:rPr>
                <w:sz w:val="24"/>
                <w:szCs w:val="24"/>
                <w:highlight w:val="none"/>
              </w:rPr>
            </w:pPr>
          </w:p>
        </w:tc>
        <w:tc>
          <w:tcPr>
            <w:tcW w:w="1317" w:type="dxa"/>
          </w:tcPr>
          <w:p>
            <w:pPr>
              <w:rPr>
                <w:sz w:val="24"/>
                <w:szCs w:val="24"/>
                <w:highlight w:val="none"/>
              </w:rPr>
            </w:pPr>
          </w:p>
        </w:tc>
        <w:tc>
          <w:tcPr>
            <w:tcW w:w="1317" w:type="dxa"/>
          </w:tcPr>
          <w:p>
            <w:pPr>
              <w:rPr>
                <w:sz w:val="24"/>
                <w:szCs w:val="24"/>
                <w:highlight w:val="none"/>
              </w:rPr>
            </w:pPr>
          </w:p>
        </w:tc>
      </w:tr>
    </w:tbl>
    <w:p>
      <w:pPr>
        <w:rPr>
          <w:highlight w:val="none"/>
        </w:rPr>
      </w:pPr>
    </w:p>
    <w:p>
      <w:pPr>
        <w:rPr>
          <w:highlight w:val="none"/>
        </w:rPr>
      </w:pPr>
    </w:p>
    <w:p>
      <w:pPr>
        <w:pStyle w:val="26"/>
        <w:shd w:val="clear" w:color="auto" w:fill="FFFFFF"/>
        <w:spacing w:before="0" w:beforeAutospacing="0" w:afterAutospacing="0"/>
        <w:rPr>
          <w:rFonts w:ascii="微软雅黑" w:hAnsi="微软雅黑" w:eastAsia="微软雅黑" w:cs="微软雅黑"/>
          <w:color w:val="393939"/>
          <w:sz w:val="21"/>
          <w:szCs w:val="21"/>
          <w:highlight w:val="none"/>
        </w:rPr>
      </w:pPr>
      <w:r>
        <w:rPr>
          <w:color w:val="393939"/>
          <w:sz w:val="21"/>
          <w:szCs w:val="21"/>
          <w:highlight w:val="none"/>
          <w:shd w:val="clear" w:color="auto" w:fill="FFFFFF"/>
        </w:rPr>
        <w:t>★注意：</w:t>
      </w:r>
    </w:p>
    <w:p>
      <w:pPr>
        <w:pStyle w:val="26"/>
        <w:shd w:val="clear" w:color="auto" w:fill="FFFFFF"/>
        <w:spacing w:before="0" w:beforeAutospacing="0" w:afterAutospacing="0"/>
        <w:rPr>
          <w:rFonts w:ascii="微软雅黑" w:hAnsi="微软雅黑" w:eastAsia="微软雅黑" w:cs="微软雅黑"/>
          <w:color w:val="393939"/>
          <w:sz w:val="21"/>
          <w:szCs w:val="21"/>
          <w:highlight w:val="none"/>
        </w:rPr>
      </w:pPr>
      <w:r>
        <w:rPr>
          <w:rFonts w:hint="eastAsia"/>
          <w:color w:val="393939"/>
          <w:sz w:val="21"/>
          <w:szCs w:val="21"/>
          <w:highlight w:val="none"/>
          <w:shd w:val="clear" w:color="auto" w:fill="FFFFFF"/>
        </w:rPr>
        <w:t>1、本表应按照下列规定填写：</w:t>
      </w:r>
    </w:p>
    <w:p>
      <w:pPr>
        <w:pStyle w:val="26"/>
        <w:shd w:val="clear" w:color="auto" w:fill="FFFFFF"/>
        <w:spacing w:before="0" w:beforeAutospacing="0" w:afterAutospacing="0"/>
        <w:rPr>
          <w:rFonts w:ascii="微软雅黑" w:hAnsi="微软雅黑" w:eastAsia="微软雅黑" w:cs="微软雅黑"/>
          <w:color w:val="393939"/>
          <w:sz w:val="21"/>
          <w:szCs w:val="21"/>
          <w:highlight w:val="none"/>
        </w:rPr>
      </w:pPr>
      <w:r>
        <w:rPr>
          <w:rFonts w:hint="eastAsia"/>
          <w:color w:val="393939"/>
          <w:sz w:val="21"/>
          <w:szCs w:val="21"/>
          <w:highlight w:val="none"/>
          <w:shd w:val="clear" w:color="auto" w:fill="FFFFFF"/>
        </w:rPr>
        <w:t>1.1“合同包”、“品目号”、“投标标的”及“数量”应与招标文件《标的一览表》中的有关内容（“合同包”、“品目号”、“采购标的”及“数量”）保持一致。</w:t>
      </w:r>
    </w:p>
    <w:p>
      <w:pPr>
        <w:pStyle w:val="26"/>
        <w:shd w:val="clear" w:color="auto" w:fill="FFFFFF"/>
        <w:spacing w:before="0" w:beforeAutospacing="0" w:afterAutospacing="0"/>
        <w:rPr>
          <w:rFonts w:ascii="微软雅黑" w:hAnsi="微软雅黑" w:eastAsia="微软雅黑" w:cs="微软雅黑"/>
          <w:color w:val="393939"/>
          <w:sz w:val="21"/>
          <w:szCs w:val="21"/>
          <w:highlight w:val="none"/>
        </w:rPr>
      </w:pPr>
      <w:r>
        <w:rPr>
          <w:rFonts w:hint="eastAsia"/>
          <w:color w:val="393939"/>
          <w:sz w:val="21"/>
          <w:szCs w:val="21"/>
          <w:highlight w:val="none"/>
          <w:shd w:val="clear" w:color="auto" w:fill="FFFFFF"/>
        </w:rPr>
        <w:t>1.2“投标标的”为货物的：</w:t>
      </w:r>
      <w:r>
        <w:rPr>
          <w:rStyle w:val="34"/>
          <w:rFonts w:hint="eastAsia"/>
          <w:color w:val="393939"/>
          <w:sz w:val="21"/>
          <w:szCs w:val="21"/>
          <w:highlight w:val="none"/>
          <w:shd w:val="clear" w:color="auto" w:fill="FFFFFF"/>
        </w:rPr>
        <w:t>“规格”</w:t>
      </w:r>
      <w:r>
        <w:rPr>
          <w:rFonts w:hint="eastAsia"/>
          <w:color w:val="393939"/>
          <w:sz w:val="21"/>
          <w:szCs w:val="21"/>
          <w:highlight w:val="none"/>
          <w:shd w:val="clear" w:color="auto" w:fill="FFFFFF"/>
        </w:rPr>
        <w:t>项下应填写货物制造厂商赋予的品牌及具体型号（有国家强制认证的，填写规格型号应与证书中表述一致）。</w:t>
      </w:r>
      <w:r>
        <w:rPr>
          <w:rStyle w:val="34"/>
          <w:rFonts w:hint="eastAsia"/>
          <w:color w:val="393939"/>
          <w:sz w:val="21"/>
          <w:szCs w:val="21"/>
          <w:highlight w:val="none"/>
          <w:shd w:val="clear" w:color="auto" w:fill="FFFFFF"/>
        </w:rPr>
        <w:t>“来源地”</w:t>
      </w:r>
      <w:r>
        <w:rPr>
          <w:rFonts w:hint="eastAsia"/>
          <w:color w:val="393939"/>
          <w:sz w:val="21"/>
          <w:szCs w:val="21"/>
          <w:highlight w:val="none"/>
          <w:shd w:val="clear" w:color="auto" w:fill="FFFFFF"/>
        </w:rPr>
        <w:t>应填写货物的原产地。</w:t>
      </w:r>
      <w:r>
        <w:rPr>
          <w:rStyle w:val="34"/>
          <w:rFonts w:hint="eastAsia"/>
          <w:color w:val="393939"/>
          <w:sz w:val="21"/>
          <w:szCs w:val="21"/>
          <w:highlight w:val="none"/>
          <w:shd w:val="clear" w:color="auto" w:fill="FFFFFF"/>
        </w:rPr>
        <w:t>“备注”</w:t>
      </w:r>
      <w:r>
        <w:rPr>
          <w:rFonts w:hint="eastAsia"/>
          <w:color w:val="393939"/>
          <w:sz w:val="21"/>
          <w:szCs w:val="21"/>
          <w:highlight w:val="none"/>
          <w:shd w:val="clear" w:color="auto" w:fill="FFFFFF"/>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26"/>
        <w:shd w:val="clear" w:color="auto" w:fill="FFFFFF"/>
        <w:spacing w:before="0" w:beforeAutospacing="0" w:afterAutospacing="0"/>
        <w:rPr>
          <w:rFonts w:ascii="微软雅黑" w:hAnsi="微软雅黑" w:eastAsia="微软雅黑" w:cs="微软雅黑"/>
          <w:color w:val="393939"/>
          <w:sz w:val="21"/>
          <w:szCs w:val="21"/>
          <w:highlight w:val="none"/>
        </w:rPr>
      </w:pPr>
      <w:r>
        <w:rPr>
          <w:rFonts w:hint="eastAsia"/>
          <w:color w:val="393939"/>
          <w:sz w:val="21"/>
          <w:szCs w:val="21"/>
          <w:highlight w:val="none"/>
          <w:shd w:val="clear" w:color="auto" w:fill="FFFFFF"/>
        </w:rPr>
        <w:t>1.3“投标标的”为服务的：</w:t>
      </w:r>
      <w:r>
        <w:rPr>
          <w:rStyle w:val="34"/>
          <w:rFonts w:hint="eastAsia"/>
          <w:color w:val="393939"/>
          <w:sz w:val="21"/>
          <w:szCs w:val="21"/>
          <w:highlight w:val="none"/>
          <w:shd w:val="clear" w:color="auto" w:fill="FFFFFF"/>
        </w:rPr>
        <w:t>“规格”</w:t>
      </w:r>
      <w:r>
        <w:rPr>
          <w:rFonts w:hint="eastAsia"/>
          <w:color w:val="393939"/>
          <w:sz w:val="21"/>
          <w:szCs w:val="21"/>
          <w:highlight w:val="none"/>
          <w:shd w:val="clear" w:color="auto" w:fill="FFFFFF"/>
        </w:rPr>
        <w:t>项下应填写服务提供者提供的服务标准及品牌（若有）。</w:t>
      </w:r>
      <w:r>
        <w:rPr>
          <w:rStyle w:val="34"/>
          <w:rFonts w:hint="eastAsia"/>
          <w:color w:val="393939"/>
          <w:sz w:val="21"/>
          <w:szCs w:val="21"/>
          <w:highlight w:val="none"/>
          <w:shd w:val="clear" w:color="auto" w:fill="FFFFFF"/>
        </w:rPr>
        <w:t>“来源地”</w:t>
      </w:r>
      <w:r>
        <w:rPr>
          <w:rFonts w:hint="eastAsia"/>
          <w:color w:val="393939"/>
          <w:sz w:val="21"/>
          <w:szCs w:val="21"/>
          <w:highlight w:val="none"/>
          <w:shd w:val="clear" w:color="auto" w:fill="FFFFFF"/>
        </w:rPr>
        <w:t>应填写服务提供者的所在地。</w:t>
      </w:r>
      <w:r>
        <w:rPr>
          <w:rStyle w:val="34"/>
          <w:rFonts w:hint="eastAsia"/>
          <w:color w:val="393939"/>
          <w:sz w:val="21"/>
          <w:szCs w:val="21"/>
          <w:highlight w:val="none"/>
          <w:shd w:val="clear" w:color="auto" w:fill="FFFFFF"/>
        </w:rPr>
        <w:t>“备注”</w:t>
      </w:r>
      <w:r>
        <w:rPr>
          <w:rFonts w:hint="eastAsia"/>
          <w:color w:val="393939"/>
          <w:sz w:val="21"/>
          <w:szCs w:val="21"/>
          <w:highlight w:val="none"/>
          <w:shd w:val="clear" w:color="auto" w:fill="FFFFFF"/>
        </w:rPr>
        <w:t>项下应填写关于服务标准所涵盖的具体项目或内容的说明等。</w:t>
      </w:r>
    </w:p>
    <w:p>
      <w:pPr>
        <w:pStyle w:val="26"/>
        <w:shd w:val="clear" w:color="auto" w:fill="FFFFFF"/>
        <w:spacing w:before="0" w:beforeAutospacing="0" w:afterAutospacing="0"/>
        <w:rPr>
          <w:rFonts w:ascii="微软雅黑" w:hAnsi="微软雅黑" w:eastAsia="微软雅黑" w:cs="微软雅黑"/>
          <w:color w:val="393939"/>
          <w:sz w:val="21"/>
          <w:szCs w:val="21"/>
          <w:highlight w:val="none"/>
        </w:rPr>
      </w:pPr>
      <w:r>
        <w:rPr>
          <w:rFonts w:hint="eastAsia"/>
          <w:color w:val="393939"/>
          <w:sz w:val="21"/>
          <w:szCs w:val="21"/>
          <w:highlight w:val="none"/>
          <w:shd w:val="clear" w:color="auto" w:fill="FFFFFF"/>
        </w:rPr>
        <w:t>2、投标人需要说明的内容若需特殊表达，应先在本表中进行相应说明，再另页应答，否则</w:t>
      </w:r>
      <w:r>
        <w:rPr>
          <w:rStyle w:val="34"/>
          <w:rFonts w:hint="eastAsia"/>
          <w:color w:val="393939"/>
          <w:sz w:val="21"/>
          <w:szCs w:val="21"/>
          <w:highlight w:val="none"/>
          <w:shd w:val="clear" w:color="auto" w:fill="FFFFFF"/>
        </w:rPr>
        <w:t>投标无效</w:t>
      </w:r>
      <w:r>
        <w:rPr>
          <w:rFonts w:hint="eastAsia"/>
          <w:color w:val="393939"/>
          <w:sz w:val="21"/>
          <w:szCs w:val="21"/>
          <w:highlight w:val="none"/>
          <w:shd w:val="clear" w:color="auto" w:fill="FFFFFF"/>
        </w:rPr>
        <w:t>。</w:t>
      </w:r>
    </w:p>
    <w:p>
      <w:pPr>
        <w:pStyle w:val="26"/>
        <w:shd w:val="clear" w:color="auto" w:fill="FFFFFF"/>
        <w:spacing w:before="0" w:beforeAutospacing="0" w:afterAutospacing="0"/>
        <w:rPr>
          <w:rFonts w:ascii="微软雅黑" w:hAnsi="微软雅黑" w:eastAsia="微软雅黑" w:cs="微软雅黑"/>
          <w:color w:val="393939"/>
          <w:sz w:val="21"/>
          <w:szCs w:val="21"/>
          <w:highlight w:val="none"/>
        </w:rPr>
      </w:pPr>
      <w:r>
        <w:rPr>
          <w:rFonts w:hint="eastAsia"/>
          <w:color w:val="393939"/>
          <w:sz w:val="21"/>
          <w:szCs w:val="21"/>
          <w:highlight w:val="none"/>
          <w:shd w:val="clear" w:color="auto" w:fill="FFFFFF"/>
        </w:rPr>
        <w:t>3、投标文件中涉及</w:t>
      </w:r>
      <w:r>
        <w:rPr>
          <w:rStyle w:val="34"/>
          <w:rFonts w:hint="eastAsia"/>
          <w:color w:val="393939"/>
          <w:sz w:val="21"/>
          <w:szCs w:val="21"/>
          <w:highlight w:val="none"/>
          <w:shd w:val="clear" w:color="auto" w:fill="FFFFFF"/>
        </w:rPr>
        <w:t>“投标标的”、“数量”、“规格”、“来源地”</w:t>
      </w:r>
      <w:r>
        <w:rPr>
          <w:rFonts w:hint="eastAsia"/>
          <w:color w:val="393939"/>
          <w:sz w:val="21"/>
          <w:szCs w:val="21"/>
          <w:highlight w:val="none"/>
          <w:shd w:val="clear" w:color="auto" w:fill="FFFFFF"/>
        </w:rPr>
        <w:t>的内容若不一致，</w:t>
      </w:r>
      <w:r>
        <w:rPr>
          <w:rStyle w:val="34"/>
          <w:rFonts w:hint="eastAsia"/>
          <w:color w:val="393939"/>
          <w:sz w:val="21"/>
          <w:szCs w:val="21"/>
          <w:highlight w:val="none"/>
          <w:shd w:val="clear" w:color="auto" w:fill="FFFFFF"/>
        </w:rPr>
        <w:t>应以本表为准</w:t>
      </w:r>
      <w:r>
        <w:rPr>
          <w:rFonts w:hint="eastAsia"/>
          <w:color w:val="393939"/>
          <w:sz w:val="21"/>
          <w:szCs w:val="21"/>
          <w:highlight w:val="none"/>
          <w:shd w:val="clear" w:color="auto" w:fill="FFFFFF"/>
        </w:rPr>
        <w:t>。</w:t>
      </w:r>
    </w:p>
    <w:p>
      <w:pPr>
        <w:spacing w:line="380" w:lineRule="exact"/>
        <w:rPr>
          <w:rFonts w:ascii="宋体" w:hAnsi="宋体"/>
          <w:highlight w:val="none"/>
        </w:rPr>
      </w:pPr>
      <w:r>
        <w:rPr>
          <w:rFonts w:hint="eastAsia" w:ascii="宋体" w:hAnsi="宋体" w:cs="宋体"/>
          <w:color w:val="393939"/>
          <w:highlight w:val="none"/>
          <w:shd w:val="clear" w:color="auto" w:fill="FFFFFF"/>
        </w:rPr>
        <w:t xml:space="preserve"> </w:t>
      </w:r>
    </w:p>
    <w:p>
      <w:pPr>
        <w:rPr>
          <w:rFonts w:ascii="宋体" w:hAnsi="宋体"/>
          <w:highlight w:val="none"/>
          <w:u w:val="single"/>
        </w:rPr>
      </w:pPr>
      <w:r>
        <w:rPr>
          <w:rFonts w:hint="eastAsia" w:ascii="宋体" w:hAnsi="宋体"/>
          <w:highlight w:val="none"/>
        </w:rPr>
        <w:t>投标人（全称并加盖公章）：</w:t>
      </w:r>
      <w:r>
        <w:rPr>
          <w:rFonts w:hint="eastAsia" w:ascii="宋体" w:hAnsi="宋体"/>
          <w:highlight w:val="none"/>
          <w:u w:val="single"/>
        </w:rPr>
        <w:t xml:space="preserve">                     </w:t>
      </w:r>
      <w:r>
        <w:rPr>
          <w:rFonts w:hint="eastAsia" w:ascii="宋体" w:hAnsi="宋体"/>
          <w:highlight w:val="none"/>
        </w:rPr>
        <w:t xml:space="preserve">  </w:t>
      </w:r>
    </w:p>
    <w:p>
      <w:pPr>
        <w:spacing w:line="380" w:lineRule="exact"/>
        <w:rPr>
          <w:rFonts w:ascii="宋体" w:hAnsi="宋体"/>
          <w:b/>
          <w:sz w:val="32"/>
          <w:szCs w:val="32"/>
          <w:highlight w:val="none"/>
        </w:rPr>
      </w:pPr>
      <w:r>
        <w:rPr>
          <w:rFonts w:hint="eastAsia" w:ascii="宋体" w:hAnsi="宋体"/>
          <w:highlight w:val="none"/>
        </w:rPr>
        <w:t xml:space="preserve">投标人代表签字： </w:t>
      </w:r>
      <w:r>
        <w:rPr>
          <w:rFonts w:hint="eastAsia" w:ascii="宋体" w:hAnsi="宋体"/>
          <w:highlight w:val="none"/>
          <w:u w:val="single"/>
        </w:rPr>
        <w:t xml:space="preserve">                            </w:t>
      </w:r>
    </w:p>
    <w:p>
      <w:pPr>
        <w:rPr>
          <w:rFonts w:ascii="宋体" w:hAnsi="宋体"/>
          <w:b/>
          <w:sz w:val="36"/>
          <w:highlight w:val="none"/>
        </w:rPr>
        <w:sectPr>
          <w:pgSz w:w="11907" w:h="16840"/>
          <w:pgMar w:top="1361" w:right="1467" w:bottom="1440" w:left="1440" w:header="851" w:footer="992" w:gutter="0"/>
          <w:cols w:space="720" w:num="1"/>
          <w:docGrid w:linePitch="323" w:charSpace="-2"/>
        </w:sectPr>
      </w:pPr>
    </w:p>
    <w:p>
      <w:pPr>
        <w:rPr>
          <w:rFonts w:ascii="宋体" w:hAnsi="宋体"/>
          <w:highlight w:val="none"/>
        </w:rPr>
      </w:pPr>
      <w:r>
        <w:rPr>
          <w:rFonts w:hint="eastAsia" w:ascii="宋体" w:hAnsi="宋体"/>
          <w:highlight w:val="none"/>
        </w:rPr>
        <w:t>附件3、</w:t>
      </w:r>
    </w:p>
    <w:p>
      <w:pPr>
        <w:spacing w:line="360" w:lineRule="auto"/>
        <w:jc w:val="center"/>
        <w:rPr>
          <w:rFonts w:ascii="宋体"/>
          <w:b/>
          <w:bCs/>
          <w:sz w:val="32"/>
          <w:szCs w:val="32"/>
          <w:highlight w:val="none"/>
        </w:rPr>
      </w:pPr>
      <w:r>
        <w:rPr>
          <w:rFonts w:hint="eastAsia" w:ascii="宋体" w:hAnsi="宋体" w:cs="宋体"/>
          <w:b/>
          <w:bCs/>
          <w:sz w:val="32"/>
          <w:szCs w:val="32"/>
          <w:highlight w:val="none"/>
        </w:rPr>
        <w:t>技术与商务评分项点对点应答表</w:t>
      </w:r>
    </w:p>
    <w:p>
      <w:pPr>
        <w:spacing w:line="360" w:lineRule="auto"/>
        <w:ind w:firstLine="360" w:firstLineChars="150"/>
        <w:rPr>
          <w:rFonts w:ascii="宋体" w:hAnsi="宋体" w:cs="宋体"/>
          <w:sz w:val="24"/>
          <w:szCs w:val="24"/>
          <w:highlight w:val="none"/>
        </w:rPr>
      </w:pPr>
      <w:r>
        <w:rPr>
          <w:rFonts w:hint="eastAsia" w:ascii="宋体" w:hAnsi="宋体" w:cs="宋体"/>
          <w:sz w:val="24"/>
          <w:szCs w:val="24"/>
          <w:highlight w:val="none"/>
        </w:rPr>
        <w:t>项目名称：</w:t>
      </w:r>
      <w:r>
        <w:rPr>
          <w:rFonts w:ascii="宋体" w:hAnsi="宋体" w:cs="宋体"/>
          <w:sz w:val="24"/>
          <w:szCs w:val="24"/>
          <w:highlight w:val="none"/>
        </w:rPr>
        <w:t xml:space="preserve">                      </w:t>
      </w:r>
      <w:r>
        <w:rPr>
          <w:rFonts w:hint="eastAsia" w:ascii="宋体" w:hAnsi="宋体" w:cs="宋体"/>
          <w:sz w:val="24"/>
          <w:szCs w:val="24"/>
          <w:highlight w:val="none"/>
        </w:rPr>
        <w:t>项目编号：</w:t>
      </w:r>
    </w:p>
    <w:p>
      <w:pPr>
        <w:pStyle w:val="28"/>
        <w:rPr>
          <w:highlight w:val="none"/>
        </w:rPr>
      </w:pPr>
    </w:p>
    <w:tbl>
      <w:tblPr>
        <w:tblStyle w:val="31"/>
        <w:tblW w:w="8707"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4"/>
        <w:gridCol w:w="3977"/>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324" w:type="dxa"/>
            <w:vAlign w:val="center"/>
          </w:tcPr>
          <w:p>
            <w:pPr>
              <w:jc w:val="center"/>
              <w:rPr>
                <w:rFonts w:ascii="宋体"/>
                <w:b/>
                <w:bCs/>
                <w:sz w:val="24"/>
                <w:szCs w:val="24"/>
                <w:highlight w:val="none"/>
              </w:rPr>
            </w:pPr>
            <w:r>
              <w:rPr>
                <w:rFonts w:ascii="宋体" w:hAnsi="宋体" w:cs="宋体"/>
                <w:b/>
                <w:bCs/>
                <w:sz w:val="24"/>
                <w:szCs w:val="24"/>
                <w:highlight w:val="none"/>
              </w:rPr>
              <w:t>PT</w:t>
            </w:r>
            <w:r>
              <w:rPr>
                <w:rFonts w:hint="eastAsia" w:ascii="宋体" w:hAnsi="宋体" w:cs="宋体"/>
                <w:b/>
                <w:bCs/>
                <w:sz w:val="24"/>
                <w:szCs w:val="24"/>
                <w:highlight w:val="none"/>
              </w:rPr>
              <w:t>项、技术部分评分内容</w:t>
            </w:r>
          </w:p>
        </w:tc>
        <w:tc>
          <w:tcPr>
            <w:tcW w:w="3977" w:type="dxa"/>
            <w:vAlign w:val="center"/>
          </w:tcPr>
          <w:p>
            <w:pPr>
              <w:jc w:val="center"/>
              <w:rPr>
                <w:rFonts w:ascii="宋体"/>
                <w:b/>
                <w:bCs/>
                <w:sz w:val="24"/>
                <w:szCs w:val="24"/>
                <w:highlight w:val="none"/>
              </w:rPr>
            </w:pPr>
            <w:r>
              <w:rPr>
                <w:rFonts w:hint="eastAsia" w:ascii="宋体" w:hAnsi="宋体" w:cs="宋体"/>
                <w:b/>
                <w:bCs/>
                <w:sz w:val="24"/>
                <w:szCs w:val="24"/>
                <w:highlight w:val="none"/>
              </w:rPr>
              <w:t>投标响应情况</w:t>
            </w:r>
          </w:p>
        </w:tc>
        <w:tc>
          <w:tcPr>
            <w:tcW w:w="1406" w:type="dxa"/>
            <w:vAlign w:val="center"/>
          </w:tcPr>
          <w:p>
            <w:pPr>
              <w:jc w:val="center"/>
              <w:rPr>
                <w:rFonts w:ascii="宋体"/>
                <w:b/>
                <w:bCs/>
                <w:sz w:val="24"/>
                <w:szCs w:val="24"/>
                <w:highlight w:val="none"/>
              </w:rPr>
            </w:pPr>
            <w:r>
              <w:rPr>
                <w:rFonts w:hint="eastAsia" w:ascii="宋体" w:hAnsi="宋体" w:cs="宋体"/>
                <w:b/>
                <w:bCs/>
                <w:sz w:val="24"/>
                <w:szCs w:val="24"/>
                <w:highlight w:val="none"/>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324" w:type="dxa"/>
            <w:vAlign w:val="center"/>
          </w:tcPr>
          <w:p>
            <w:pPr>
              <w:jc w:val="center"/>
              <w:rPr>
                <w:rFonts w:ascii="宋体"/>
                <w:sz w:val="24"/>
                <w:szCs w:val="24"/>
                <w:highlight w:val="none"/>
              </w:rPr>
            </w:pPr>
          </w:p>
        </w:tc>
        <w:tc>
          <w:tcPr>
            <w:tcW w:w="3977" w:type="dxa"/>
            <w:vAlign w:val="center"/>
          </w:tcPr>
          <w:p>
            <w:pPr>
              <w:jc w:val="center"/>
              <w:rPr>
                <w:rFonts w:ascii="宋体"/>
                <w:sz w:val="24"/>
                <w:szCs w:val="24"/>
                <w:highlight w:val="none"/>
              </w:rPr>
            </w:pPr>
          </w:p>
        </w:tc>
        <w:tc>
          <w:tcPr>
            <w:tcW w:w="1406" w:type="dxa"/>
            <w:vAlign w:val="center"/>
          </w:tcPr>
          <w:p>
            <w:pPr>
              <w:jc w:val="center"/>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324" w:type="dxa"/>
            <w:vAlign w:val="center"/>
          </w:tcPr>
          <w:p>
            <w:pPr>
              <w:jc w:val="center"/>
              <w:rPr>
                <w:rFonts w:ascii="宋体"/>
                <w:sz w:val="24"/>
                <w:szCs w:val="24"/>
                <w:highlight w:val="none"/>
              </w:rPr>
            </w:pPr>
          </w:p>
        </w:tc>
        <w:tc>
          <w:tcPr>
            <w:tcW w:w="3977" w:type="dxa"/>
            <w:vAlign w:val="center"/>
          </w:tcPr>
          <w:p>
            <w:pPr>
              <w:jc w:val="center"/>
              <w:rPr>
                <w:rFonts w:ascii="宋体"/>
                <w:sz w:val="24"/>
                <w:szCs w:val="24"/>
                <w:highlight w:val="none"/>
              </w:rPr>
            </w:pPr>
          </w:p>
        </w:tc>
        <w:tc>
          <w:tcPr>
            <w:tcW w:w="1406" w:type="dxa"/>
            <w:vAlign w:val="center"/>
          </w:tcPr>
          <w:p>
            <w:pPr>
              <w:jc w:val="center"/>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324" w:type="dxa"/>
            <w:vAlign w:val="center"/>
          </w:tcPr>
          <w:p>
            <w:pPr>
              <w:jc w:val="center"/>
              <w:rPr>
                <w:rFonts w:ascii="宋体"/>
                <w:sz w:val="24"/>
                <w:szCs w:val="24"/>
                <w:highlight w:val="none"/>
              </w:rPr>
            </w:pPr>
          </w:p>
        </w:tc>
        <w:tc>
          <w:tcPr>
            <w:tcW w:w="3977" w:type="dxa"/>
            <w:vAlign w:val="center"/>
          </w:tcPr>
          <w:p>
            <w:pPr>
              <w:jc w:val="center"/>
              <w:rPr>
                <w:rFonts w:ascii="宋体"/>
                <w:sz w:val="24"/>
                <w:szCs w:val="24"/>
                <w:highlight w:val="none"/>
              </w:rPr>
            </w:pPr>
          </w:p>
        </w:tc>
        <w:tc>
          <w:tcPr>
            <w:tcW w:w="1406" w:type="dxa"/>
            <w:vAlign w:val="center"/>
          </w:tcPr>
          <w:p>
            <w:pPr>
              <w:jc w:val="center"/>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324" w:type="dxa"/>
            <w:vAlign w:val="center"/>
          </w:tcPr>
          <w:p>
            <w:pPr>
              <w:jc w:val="center"/>
              <w:rPr>
                <w:rFonts w:ascii="宋体"/>
                <w:sz w:val="24"/>
                <w:szCs w:val="24"/>
                <w:highlight w:val="none"/>
              </w:rPr>
            </w:pPr>
          </w:p>
        </w:tc>
        <w:tc>
          <w:tcPr>
            <w:tcW w:w="3977" w:type="dxa"/>
            <w:vAlign w:val="center"/>
          </w:tcPr>
          <w:p>
            <w:pPr>
              <w:jc w:val="center"/>
              <w:rPr>
                <w:rFonts w:ascii="宋体"/>
                <w:sz w:val="24"/>
                <w:szCs w:val="24"/>
                <w:highlight w:val="none"/>
              </w:rPr>
            </w:pPr>
          </w:p>
        </w:tc>
        <w:tc>
          <w:tcPr>
            <w:tcW w:w="1406" w:type="dxa"/>
            <w:vAlign w:val="center"/>
          </w:tcPr>
          <w:p>
            <w:pPr>
              <w:jc w:val="center"/>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324" w:type="dxa"/>
            <w:vAlign w:val="center"/>
          </w:tcPr>
          <w:p>
            <w:pPr>
              <w:jc w:val="center"/>
              <w:rPr>
                <w:rFonts w:ascii="宋体"/>
                <w:sz w:val="24"/>
                <w:szCs w:val="24"/>
                <w:highlight w:val="none"/>
              </w:rPr>
            </w:pPr>
          </w:p>
        </w:tc>
        <w:tc>
          <w:tcPr>
            <w:tcW w:w="3977" w:type="dxa"/>
            <w:vAlign w:val="center"/>
          </w:tcPr>
          <w:p>
            <w:pPr>
              <w:jc w:val="center"/>
              <w:rPr>
                <w:rFonts w:ascii="宋体"/>
                <w:sz w:val="24"/>
                <w:szCs w:val="24"/>
                <w:highlight w:val="none"/>
              </w:rPr>
            </w:pPr>
          </w:p>
        </w:tc>
        <w:tc>
          <w:tcPr>
            <w:tcW w:w="1406" w:type="dxa"/>
            <w:vAlign w:val="center"/>
          </w:tcPr>
          <w:p>
            <w:pPr>
              <w:jc w:val="center"/>
              <w:rPr>
                <w:rFonts w:ascii="宋体"/>
                <w:sz w:val="24"/>
                <w:szCs w:val="24"/>
                <w:highlight w:val="none"/>
              </w:rPr>
            </w:pPr>
          </w:p>
        </w:tc>
      </w:tr>
    </w:tbl>
    <w:tbl>
      <w:tblPr>
        <w:tblStyle w:val="31"/>
        <w:tblpPr w:leftFromText="180" w:rightFromText="180" w:vertAnchor="text" w:horzAnchor="page" w:tblpX="1633" w:tblpY="451"/>
        <w:tblOverlap w:val="never"/>
        <w:tblW w:w="8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3984"/>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262" w:type="dxa"/>
            <w:vAlign w:val="center"/>
          </w:tcPr>
          <w:p>
            <w:pPr>
              <w:jc w:val="center"/>
              <w:rPr>
                <w:rFonts w:ascii="宋体"/>
                <w:b/>
                <w:bCs/>
                <w:sz w:val="24"/>
                <w:szCs w:val="24"/>
                <w:highlight w:val="none"/>
              </w:rPr>
            </w:pPr>
            <w:r>
              <w:rPr>
                <w:rFonts w:ascii="方正姚体" w:hAnsi="宋体" w:eastAsia="方正姚体" w:cs="方正姚体"/>
                <w:b/>
                <w:bCs/>
                <w:spacing w:val="-12"/>
                <w:sz w:val="24"/>
                <w:szCs w:val="24"/>
                <w:highlight w:val="none"/>
              </w:rPr>
              <w:t>PB</w:t>
            </w:r>
            <w:r>
              <w:rPr>
                <w:rFonts w:hint="eastAsia" w:ascii="方正姚体" w:hAnsi="宋体" w:eastAsia="方正姚体" w:cs="方正姚体"/>
                <w:b/>
                <w:bCs/>
                <w:spacing w:val="-12"/>
                <w:sz w:val="24"/>
                <w:szCs w:val="24"/>
                <w:highlight w:val="none"/>
              </w:rPr>
              <w:t>项、商务部分评分</w:t>
            </w:r>
            <w:r>
              <w:rPr>
                <w:rFonts w:hint="eastAsia" w:ascii="宋体" w:hAnsi="宋体" w:cs="宋体"/>
                <w:b/>
                <w:bCs/>
                <w:sz w:val="24"/>
                <w:szCs w:val="24"/>
                <w:highlight w:val="none"/>
              </w:rPr>
              <w:t>内容</w:t>
            </w:r>
          </w:p>
        </w:tc>
        <w:tc>
          <w:tcPr>
            <w:tcW w:w="3984" w:type="dxa"/>
            <w:vAlign w:val="center"/>
          </w:tcPr>
          <w:p>
            <w:pPr>
              <w:jc w:val="center"/>
              <w:rPr>
                <w:rFonts w:ascii="宋体"/>
                <w:b/>
                <w:bCs/>
                <w:sz w:val="24"/>
                <w:szCs w:val="24"/>
                <w:highlight w:val="none"/>
              </w:rPr>
            </w:pPr>
            <w:r>
              <w:rPr>
                <w:rFonts w:hint="eastAsia" w:ascii="宋体" w:hAnsi="宋体" w:cs="宋体"/>
                <w:b/>
                <w:bCs/>
                <w:sz w:val="24"/>
                <w:szCs w:val="24"/>
                <w:highlight w:val="none"/>
              </w:rPr>
              <w:t>投标响应情况</w:t>
            </w:r>
          </w:p>
        </w:tc>
        <w:tc>
          <w:tcPr>
            <w:tcW w:w="1416" w:type="dxa"/>
            <w:vAlign w:val="center"/>
          </w:tcPr>
          <w:p>
            <w:pPr>
              <w:jc w:val="center"/>
              <w:rPr>
                <w:rFonts w:ascii="宋体"/>
                <w:b/>
                <w:bCs/>
                <w:sz w:val="24"/>
                <w:szCs w:val="24"/>
                <w:highlight w:val="none"/>
              </w:rPr>
            </w:pPr>
            <w:r>
              <w:rPr>
                <w:rFonts w:hint="eastAsia" w:ascii="宋体" w:hAnsi="宋体" w:cs="宋体"/>
                <w:b/>
                <w:bCs/>
                <w:sz w:val="24"/>
                <w:szCs w:val="24"/>
                <w:highlight w:val="none"/>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2" w:type="dxa"/>
            <w:vAlign w:val="center"/>
          </w:tcPr>
          <w:p>
            <w:pPr>
              <w:jc w:val="center"/>
              <w:rPr>
                <w:rFonts w:ascii="宋体"/>
                <w:sz w:val="24"/>
                <w:szCs w:val="24"/>
                <w:highlight w:val="none"/>
              </w:rPr>
            </w:pPr>
          </w:p>
        </w:tc>
        <w:tc>
          <w:tcPr>
            <w:tcW w:w="3984" w:type="dxa"/>
            <w:vAlign w:val="center"/>
          </w:tcPr>
          <w:p>
            <w:pPr>
              <w:jc w:val="center"/>
              <w:rPr>
                <w:rFonts w:ascii="宋体"/>
                <w:sz w:val="24"/>
                <w:szCs w:val="24"/>
                <w:highlight w:val="none"/>
              </w:rPr>
            </w:pPr>
          </w:p>
        </w:tc>
        <w:tc>
          <w:tcPr>
            <w:tcW w:w="1416" w:type="dxa"/>
            <w:vAlign w:val="center"/>
          </w:tcPr>
          <w:p>
            <w:pPr>
              <w:jc w:val="center"/>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2" w:type="dxa"/>
            <w:vAlign w:val="center"/>
          </w:tcPr>
          <w:p>
            <w:pPr>
              <w:jc w:val="center"/>
              <w:rPr>
                <w:rFonts w:ascii="宋体"/>
                <w:sz w:val="24"/>
                <w:szCs w:val="24"/>
                <w:highlight w:val="none"/>
              </w:rPr>
            </w:pPr>
          </w:p>
        </w:tc>
        <w:tc>
          <w:tcPr>
            <w:tcW w:w="3984" w:type="dxa"/>
            <w:vAlign w:val="center"/>
          </w:tcPr>
          <w:p>
            <w:pPr>
              <w:jc w:val="center"/>
              <w:rPr>
                <w:rFonts w:ascii="宋体"/>
                <w:sz w:val="24"/>
                <w:szCs w:val="24"/>
                <w:highlight w:val="none"/>
              </w:rPr>
            </w:pPr>
          </w:p>
        </w:tc>
        <w:tc>
          <w:tcPr>
            <w:tcW w:w="1416" w:type="dxa"/>
            <w:vAlign w:val="center"/>
          </w:tcPr>
          <w:p>
            <w:pPr>
              <w:jc w:val="center"/>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2" w:type="dxa"/>
            <w:vAlign w:val="center"/>
          </w:tcPr>
          <w:p>
            <w:pPr>
              <w:jc w:val="center"/>
              <w:rPr>
                <w:rFonts w:ascii="宋体"/>
                <w:sz w:val="24"/>
                <w:szCs w:val="24"/>
                <w:highlight w:val="none"/>
              </w:rPr>
            </w:pPr>
          </w:p>
        </w:tc>
        <w:tc>
          <w:tcPr>
            <w:tcW w:w="3984" w:type="dxa"/>
            <w:vAlign w:val="center"/>
          </w:tcPr>
          <w:p>
            <w:pPr>
              <w:jc w:val="center"/>
              <w:rPr>
                <w:rFonts w:ascii="宋体"/>
                <w:sz w:val="24"/>
                <w:szCs w:val="24"/>
                <w:highlight w:val="none"/>
              </w:rPr>
            </w:pPr>
          </w:p>
        </w:tc>
        <w:tc>
          <w:tcPr>
            <w:tcW w:w="1416" w:type="dxa"/>
            <w:vAlign w:val="center"/>
          </w:tcPr>
          <w:p>
            <w:pPr>
              <w:jc w:val="center"/>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2" w:type="dxa"/>
            <w:vAlign w:val="center"/>
          </w:tcPr>
          <w:p>
            <w:pPr>
              <w:jc w:val="center"/>
              <w:rPr>
                <w:rFonts w:ascii="宋体"/>
                <w:sz w:val="24"/>
                <w:szCs w:val="24"/>
                <w:highlight w:val="none"/>
              </w:rPr>
            </w:pPr>
          </w:p>
        </w:tc>
        <w:tc>
          <w:tcPr>
            <w:tcW w:w="3984" w:type="dxa"/>
            <w:vAlign w:val="center"/>
          </w:tcPr>
          <w:p>
            <w:pPr>
              <w:jc w:val="center"/>
              <w:rPr>
                <w:rFonts w:ascii="宋体"/>
                <w:sz w:val="24"/>
                <w:szCs w:val="24"/>
                <w:highlight w:val="none"/>
              </w:rPr>
            </w:pPr>
          </w:p>
        </w:tc>
        <w:tc>
          <w:tcPr>
            <w:tcW w:w="1416" w:type="dxa"/>
            <w:vAlign w:val="center"/>
          </w:tcPr>
          <w:p>
            <w:pPr>
              <w:jc w:val="center"/>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2" w:type="dxa"/>
            <w:vAlign w:val="center"/>
          </w:tcPr>
          <w:p>
            <w:pPr>
              <w:jc w:val="center"/>
              <w:rPr>
                <w:rFonts w:ascii="宋体"/>
                <w:sz w:val="24"/>
                <w:szCs w:val="24"/>
                <w:highlight w:val="none"/>
              </w:rPr>
            </w:pPr>
          </w:p>
        </w:tc>
        <w:tc>
          <w:tcPr>
            <w:tcW w:w="3984" w:type="dxa"/>
            <w:vAlign w:val="center"/>
          </w:tcPr>
          <w:p>
            <w:pPr>
              <w:jc w:val="center"/>
              <w:rPr>
                <w:rFonts w:ascii="宋体"/>
                <w:sz w:val="24"/>
                <w:szCs w:val="24"/>
                <w:highlight w:val="none"/>
              </w:rPr>
            </w:pPr>
          </w:p>
        </w:tc>
        <w:tc>
          <w:tcPr>
            <w:tcW w:w="1416" w:type="dxa"/>
            <w:vAlign w:val="center"/>
          </w:tcPr>
          <w:p>
            <w:pPr>
              <w:jc w:val="center"/>
              <w:rPr>
                <w:rFonts w:ascii="宋体"/>
                <w:sz w:val="24"/>
                <w:szCs w:val="24"/>
                <w:highlight w:val="none"/>
              </w:rPr>
            </w:pPr>
          </w:p>
        </w:tc>
      </w:tr>
    </w:tbl>
    <w:p>
      <w:pPr>
        <w:spacing w:line="360" w:lineRule="auto"/>
        <w:rPr>
          <w:rFonts w:ascii="宋体"/>
          <w:sz w:val="24"/>
          <w:szCs w:val="24"/>
          <w:highlight w:val="none"/>
        </w:rPr>
      </w:pPr>
    </w:p>
    <w:p>
      <w:pPr>
        <w:spacing w:line="380" w:lineRule="exact"/>
        <w:rPr>
          <w:rFonts w:ascii="宋体"/>
          <w:sz w:val="24"/>
          <w:szCs w:val="24"/>
          <w:highlight w:val="none"/>
        </w:rPr>
      </w:pPr>
    </w:p>
    <w:p>
      <w:pPr>
        <w:spacing w:line="380" w:lineRule="exact"/>
        <w:rPr>
          <w:rFonts w:ascii="宋体"/>
          <w:highlight w:val="none"/>
        </w:rPr>
      </w:pPr>
      <w:r>
        <w:rPr>
          <w:rFonts w:hint="eastAsia" w:ascii="宋体" w:hAnsi="宋体" w:cs="宋体"/>
          <w:highlight w:val="none"/>
        </w:rPr>
        <w:t>注：</w:t>
      </w:r>
    </w:p>
    <w:p>
      <w:pPr>
        <w:spacing w:line="380" w:lineRule="exact"/>
        <w:ind w:firstLine="420" w:firstLineChars="200"/>
        <w:rPr>
          <w:rFonts w:ascii="宋体"/>
          <w:highlight w:val="none"/>
        </w:rPr>
      </w:pPr>
      <w:r>
        <w:rPr>
          <w:rFonts w:ascii="宋体" w:hAnsi="宋体" w:cs="宋体"/>
          <w:highlight w:val="none"/>
        </w:rPr>
        <w:t>1</w:t>
      </w:r>
      <w:r>
        <w:rPr>
          <w:rFonts w:hint="eastAsia" w:ascii="宋体" w:hAnsi="宋体" w:cs="宋体"/>
          <w:highlight w:val="none"/>
        </w:rPr>
        <w:t>、</w:t>
      </w:r>
      <w:r>
        <w:rPr>
          <w:rFonts w:ascii="宋体" w:hAnsi="宋体" w:cs="宋体"/>
          <w:highlight w:val="none"/>
        </w:rPr>
        <w:t xml:space="preserve"> </w:t>
      </w:r>
      <w:r>
        <w:rPr>
          <w:rFonts w:hint="eastAsia" w:ascii="宋体" w:hAnsi="宋体" w:cs="宋体"/>
          <w:highlight w:val="none"/>
        </w:rPr>
        <w:t>本表仅为投标人对招标文件评分标准应答提供目录、索引，其偏离情况仅做为评委评分时的参考，评委在充分比对招标文件、投标文件之后自行判定并打分。</w:t>
      </w:r>
    </w:p>
    <w:p>
      <w:pPr>
        <w:spacing w:line="380" w:lineRule="exact"/>
        <w:ind w:firstLine="420" w:firstLineChars="200"/>
        <w:rPr>
          <w:rFonts w:ascii="宋体"/>
          <w:highlight w:val="none"/>
        </w:rPr>
      </w:pPr>
      <w:r>
        <w:rPr>
          <w:rFonts w:ascii="宋体" w:hAnsi="宋体" w:cs="宋体"/>
          <w:highlight w:val="none"/>
        </w:rPr>
        <w:t>2</w:t>
      </w:r>
      <w:r>
        <w:rPr>
          <w:rFonts w:hint="eastAsia" w:ascii="宋体" w:hAnsi="宋体" w:cs="宋体"/>
          <w:highlight w:val="none"/>
        </w:rPr>
        <w:t>、本表如有多页，应逐页加盖公章。</w:t>
      </w:r>
    </w:p>
    <w:p>
      <w:pPr>
        <w:spacing w:line="380" w:lineRule="exact"/>
        <w:ind w:firstLine="5460" w:firstLineChars="2600"/>
        <w:rPr>
          <w:rFonts w:ascii="宋体"/>
          <w:highlight w:val="none"/>
        </w:rPr>
      </w:pPr>
    </w:p>
    <w:p>
      <w:pPr>
        <w:spacing w:line="380" w:lineRule="exact"/>
        <w:ind w:firstLine="3045" w:firstLineChars="1450"/>
        <w:rPr>
          <w:rFonts w:ascii="宋体"/>
          <w:highlight w:val="none"/>
        </w:rPr>
      </w:pPr>
      <w:r>
        <w:rPr>
          <w:rFonts w:hint="eastAsia" w:ascii="宋体" w:hAnsi="宋体" w:cs="宋体"/>
          <w:highlight w:val="none"/>
        </w:rPr>
        <w:t>投</w:t>
      </w:r>
      <w:r>
        <w:rPr>
          <w:rFonts w:ascii="宋体" w:hAnsi="宋体" w:cs="宋体"/>
          <w:highlight w:val="none"/>
        </w:rPr>
        <w:t xml:space="preserve"> </w:t>
      </w:r>
      <w:r>
        <w:rPr>
          <w:rFonts w:hint="eastAsia" w:ascii="宋体" w:hAnsi="宋体" w:cs="宋体"/>
          <w:highlight w:val="none"/>
        </w:rPr>
        <w:t>标</w:t>
      </w:r>
      <w:r>
        <w:rPr>
          <w:rFonts w:ascii="宋体" w:hAnsi="宋体" w:cs="宋体"/>
          <w:highlight w:val="none"/>
        </w:rPr>
        <w:t xml:space="preserve"> </w:t>
      </w:r>
      <w:r>
        <w:rPr>
          <w:rFonts w:hint="eastAsia" w:ascii="宋体" w:hAnsi="宋体" w:cs="宋体"/>
          <w:highlight w:val="none"/>
        </w:rPr>
        <w:t>人（全称并加盖公章）：</w:t>
      </w:r>
    </w:p>
    <w:p>
      <w:pPr>
        <w:spacing w:line="380" w:lineRule="exact"/>
        <w:ind w:firstLine="3045" w:firstLineChars="1450"/>
        <w:rPr>
          <w:rFonts w:ascii="宋体"/>
          <w:highlight w:val="none"/>
          <w:u w:val="single"/>
        </w:rPr>
      </w:pPr>
      <w:r>
        <w:rPr>
          <w:rFonts w:hint="eastAsia" w:ascii="宋体" w:hAnsi="宋体" w:cs="宋体"/>
          <w:highlight w:val="none"/>
        </w:rPr>
        <w:t>投标人代表签字：</w:t>
      </w:r>
    </w:p>
    <w:p>
      <w:pPr>
        <w:spacing w:line="380" w:lineRule="exact"/>
        <w:ind w:firstLine="3045" w:firstLineChars="1450"/>
        <w:rPr>
          <w:rFonts w:ascii="宋体"/>
          <w:color w:val="000000"/>
          <w:highlight w:val="none"/>
        </w:rPr>
        <w:sectPr>
          <w:pgSz w:w="11907" w:h="16840"/>
          <w:pgMar w:top="1361" w:right="1469" w:bottom="1440" w:left="1440" w:header="851" w:footer="992" w:gutter="0"/>
          <w:cols w:space="720" w:num="1"/>
          <w:docGrid w:linePitch="323" w:charSpace="-2"/>
        </w:sectPr>
      </w:pPr>
      <w:r>
        <w:rPr>
          <w:rFonts w:hint="eastAsia" w:ascii="宋体" w:hAnsi="宋体" w:cs="宋体"/>
          <w:highlight w:val="none"/>
        </w:rPr>
        <w:t>日</w:t>
      </w:r>
      <w:r>
        <w:rPr>
          <w:rFonts w:ascii="宋体" w:hAnsi="宋体" w:cs="宋体"/>
          <w:highlight w:val="none"/>
        </w:rPr>
        <w:t xml:space="preserve">      </w:t>
      </w:r>
      <w:r>
        <w:rPr>
          <w:rFonts w:hint="eastAsia" w:ascii="宋体" w:hAnsi="宋体" w:cs="宋体"/>
          <w:highlight w:val="none"/>
        </w:rPr>
        <w:t>期</w:t>
      </w:r>
      <w:r>
        <w:rPr>
          <w:rFonts w:ascii="宋体" w:hAnsi="宋体" w:cs="宋体"/>
          <w:highlight w:val="none"/>
        </w:rPr>
        <w:t>:</w:t>
      </w:r>
    </w:p>
    <w:p>
      <w:pPr>
        <w:pStyle w:val="95"/>
        <w:rPr>
          <w:rFonts w:hAnsi="宋体"/>
          <w:b/>
          <w:bCs/>
          <w:sz w:val="21"/>
          <w:szCs w:val="21"/>
          <w:highlight w:val="none"/>
        </w:rPr>
      </w:pPr>
      <w:r>
        <w:rPr>
          <w:rFonts w:hint="eastAsia" w:hAnsi="宋体"/>
          <w:sz w:val="21"/>
          <w:szCs w:val="21"/>
          <w:highlight w:val="none"/>
        </w:rPr>
        <w:t>附件4、</w:t>
      </w:r>
    </w:p>
    <w:p>
      <w:pPr>
        <w:pStyle w:val="95"/>
        <w:ind w:firstLine="643"/>
        <w:jc w:val="center"/>
        <w:rPr>
          <w:rFonts w:hAnsi="宋体"/>
          <w:sz w:val="32"/>
          <w:szCs w:val="32"/>
          <w:highlight w:val="none"/>
        </w:rPr>
      </w:pPr>
      <w:r>
        <w:rPr>
          <w:rFonts w:hint="eastAsia" w:hAnsi="宋体"/>
          <w:b/>
          <w:bCs/>
          <w:sz w:val="32"/>
          <w:szCs w:val="32"/>
          <w:highlight w:val="none"/>
        </w:rPr>
        <w:t>技术规格和商务偏离表</w:t>
      </w:r>
      <w:r>
        <w:rPr>
          <w:rFonts w:hint="eastAsia" w:hAnsi="宋体"/>
          <w:sz w:val="32"/>
          <w:szCs w:val="32"/>
          <w:highlight w:val="none"/>
        </w:rPr>
        <w:br w:type="textWrapping"/>
      </w:r>
    </w:p>
    <w:p>
      <w:pPr>
        <w:rPr>
          <w:rFonts w:ascii="宋体" w:hAnsi="宋体" w:cs="宋体"/>
          <w:highlight w:val="none"/>
        </w:rPr>
      </w:pPr>
      <w:r>
        <w:rPr>
          <w:rFonts w:hint="eastAsia" w:ascii="宋体" w:hAnsi="宋体" w:cs="宋体"/>
          <w:highlight w:val="none"/>
        </w:rPr>
        <w:t>投标人（全称并加盖公章）：                                                  项目编号：</w:t>
      </w:r>
      <w:r>
        <w:rPr>
          <w:rFonts w:hint="eastAsia" w:ascii="宋体" w:hAnsi="宋体" w:cs="宋体"/>
          <w:highlight w:val="none"/>
        </w:rPr>
        <w:tab/>
      </w:r>
    </w:p>
    <w:p>
      <w:pPr>
        <w:rPr>
          <w:rFonts w:ascii="宋体" w:hAnsi="宋体" w:cs="宋体"/>
          <w:highlight w:val="none"/>
          <w:u w:val="single"/>
        </w:rPr>
      </w:pPr>
    </w:p>
    <w:tbl>
      <w:tblPr>
        <w:tblStyle w:val="31"/>
        <w:tblW w:w="1375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995"/>
        <w:gridCol w:w="3885"/>
        <w:gridCol w:w="3780"/>
        <w:gridCol w:w="178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7035" w:type="dxa"/>
            <w:gridSpan w:val="3"/>
            <w:vAlign w:val="center"/>
          </w:tcPr>
          <w:p>
            <w:pPr>
              <w:spacing w:line="260" w:lineRule="exact"/>
              <w:jc w:val="center"/>
              <w:rPr>
                <w:rFonts w:ascii="宋体" w:hAnsi="宋体" w:cs="宋体"/>
                <w:b/>
                <w:bCs/>
                <w:highlight w:val="none"/>
              </w:rPr>
            </w:pPr>
            <w:r>
              <w:rPr>
                <w:rFonts w:hint="eastAsia" w:ascii="宋体" w:hAnsi="宋体" w:cs="宋体"/>
                <w:b/>
                <w:bCs/>
                <w:highlight w:val="none"/>
              </w:rPr>
              <w:t>按招标文件规定内容填写</w:t>
            </w:r>
          </w:p>
        </w:tc>
        <w:tc>
          <w:tcPr>
            <w:tcW w:w="6720" w:type="dxa"/>
            <w:gridSpan w:val="3"/>
            <w:vAlign w:val="center"/>
          </w:tcPr>
          <w:p>
            <w:pPr>
              <w:spacing w:line="260" w:lineRule="exact"/>
              <w:jc w:val="center"/>
              <w:rPr>
                <w:rFonts w:ascii="宋体" w:hAnsi="宋体" w:cs="宋体"/>
                <w:b/>
                <w:bCs/>
                <w:highlight w:val="none"/>
              </w:rPr>
            </w:pPr>
            <w:r>
              <w:rPr>
                <w:rFonts w:hint="eastAsia" w:ascii="宋体" w:hAnsi="宋体" w:cs="宋体"/>
                <w:b/>
                <w:bCs/>
                <w:highlight w:val="none"/>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1155" w:type="dxa"/>
            <w:vAlign w:val="center"/>
          </w:tcPr>
          <w:p>
            <w:pPr>
              <w:spacing w:line="260" w:lineRule="exact"/>
              <w:jc w:val="center"/>
              <w:rPr>
                <w:rFonts w:ascii="宋体" w:hAnsi="宋体" w:cs="宋体"/>
                <w:b/>
                <w:bCs/>
                <w:highlight w:val="none"/>
              </w:rPr>
            </w:pPr>
            <w:r>
              <w:rPr>
                <w:rFonts w:hint="eastAsia" w:ascii="宋体" w:hAnsi="宋体" w:cs="宋体"/>
                <w:b/>
                <w:bCs/>
                <w:highlight w:val="none"/>
              </w:rPr>
              <w:t>合同包/品目号</w:t>
            </w:r>
          </w:p>
        </w:tc>
        <w:tc>
          <w:tcPr>
            <w:tcW w:w="1995" w:type="dxa"/>
            <w:vAlign w:val="center"/>
          </w:tcPr>
          <w:p>
            <w:pPr>
              <w:spacing w:line="260" w:lineRule="exact"/>
              <w:jc w:val="center"/>
              <w:rPr>
                <w:rFonts w:ascii="宋体" w:hAnsi="宋体" w:cs="宋体"/>
                <w:b/>
                <w:bCs/>
                <w:highlight w:val="none"/>
              </w:rPr>
            </w:pPr>
            <w:r>
              <w:rPr>
                <w:rFonts w:hint="eastAsia" w:ascii="宋体" w:hAnsi="宋体" w:cs="宋体"/>
                <w:b/>
                <w:bCs/>
                <w:highlight w:val="none"/>
              </w:rPr>
              <w:t>采购标的名称</w:t>
            </w:r>
          </w:p>
        </w:tc>
        <w:tc>
          <w:tcPr>
            <w:tcW w:w="3885" w:type="dxa"/>
            <w:vAlign w:val="center"/>
          </w:tcPr>
          <w:p>
            <w:pPr>
              <w:spacing w:line="260" w:lineRule="exact"/>
              <w:jc w:val="center"/>
              <w:rPr>
                <w:rFonts w:ascii="宋体" w:hAnsi="宋体" w:cs="宋体"/>
                <w:b/>
                <w:bCs/>
                <w:highlight w:val="none"/>
              </w:rPr>
            </w:pPr>
            <w:r>
              <w:rPr>
                <w:rFonts w:hint="eastAsia" w:ascii="宋体" w:hAnsi="宋体" w:cs="宋体"/>
                <w:b/>
                <w:bCs/>
                <w:highlight w:val="none"/>
              </w:rPr>
              <w:t>规格条目号/招标文件要求</w:t>
            </w:r>
          </w:p>
        </w:tc>
        <w:tc>
          <w:tcPr>
            <w:tcW w:w="3780" w:type="dxa"/>
            <w:vAlign w:val="center"/>
          </w:tcPr>
          <w:p>
            <w:pPr>
              <w:spacing w:line="260" w:lineRule="exact"/>
              <w:jc w:val="center"/>
              <w:rPr>
                <w:rFonts w:ascii="宋体" w:hAnsi="宋体" w:cs="宋体"/>
                <w:b/>
                <w:bCs/>
                <w:highlight w:val="none"/>
              </w:rPr>
            </w:pPr>
            <w:r>
              <w:rPr>
                <w:rFonts w:hint="eastAsia" w:ascii="宋体" w:hAnsi="宋体" w:cs="宋体"/>
                <w:b/>
                <w:bCs/>
                <w:highlight w:val="none"/>
              </w:rPr>
              <w:t>投标产品响应</w:t>
            </w:r>
          </w:p>
        </w:tc>
        <w:tc>
          <w:tcPr>
            <w:tcW w:w="1785" w:type="dxa"/>
            <w:vAlign w:val="center"/>
          </w:tcPr>
          <w:p>
            <w:pPr>
              <w:spacing w:line="260" w:lineRule="exact"/>
              <w:jc w:val="center"/>
              <w:rPr>
                <w:rFonts w:ascii="宋体" w:hAnsi="宋体" w:cs="宋体"/>
                <w:b/>
                <w:bCs/>
                <w:highlight w:val="none"/>
              </w:rPr>
            </w:pPr>
            <w:r>
              <w:rPr>
                <w:rFonts w:hint="eastAsia" w:ascii="宋体" w:hAnsi="宋体" w:cs="宋体"/>
                <w:b/>
                <w:bCs/>
                <w:highlight w:val="none"/>
              </w:rPr>
              <w:t>偏离情况</w:t>
            </w:r>
          </w:p>
        </w:tc>
        <w:tc>
          <w:tcPr>
            <w:tcW w:w="1155" w:type="dxa"/>
            <w:vAlign w:val="center"/>
          </w:tcPr>
          <w:p>
            <w:pPr>
              <w:spacing w:line="260" w:lineRule="exact"/>
              <w:jc w:val="center"/>
              <w:rPr>
                <w:rFonts w:ascii="宋体" w:hAnsi="宋体" w:cs="宋体"/>
                <w:b/>
                <w:bCs/>
                <w:highlight w:val="none"/>
              </w:rPr>
            </w:pPr>
            <w:r>
              <w:rPr>
                <w:rFonts w:hint="eastAsia" w:ascii="宋体" w:hAnsi="宋体" w:cs="宋体"/>
                <w:b/>
                <w:bCs/>
                <w:highlight w:val="none"/>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155" w:type="dxa"/>
            <w:vAlign w:val="center"/>
          </w:tcPr>
          <w:p>
            <w:pPr>
              <w:spacing w:line="260" w:lineRule="exact"/>
              <w:jc w:val="center"/>
              <w:rPr>
                <w:rFonts w:ascii="宋体" w:hAnsi="宋体" w:cs="宋体"/>
                <w:b/>
                <w:bCs/>
                <w:highlight w:val="none"/>
              </w:rPr>
            </w:pPr>
          </w:p>
        </w:tc>
        <w:tc>
          <w:tcPr>
            <w:tcW w:w="1995" w:type="dxa"/>
            <w:vAlign w:val="center"/>
          </w:tcPr>
          <w:p>
            <w:pPr>
              <w:spacing w:line="260" w:lineRule="exact"/>
              <w:jc w:val="center"/>
              <w:rPr>
                <w:rFonts w:ascii="宋体" w:hAnsi="宋体" w:cs="宋体"/>
                <w:b/>
                <w:bCs/>
                <w:highlight w:val="none"/>
              </w:rPr>
            </w:pPr>
          </w:p>
        </w:tc>
        <w:tc>
          <w:tcPr>
            <w:tcW w:w="3885" w:type="dxa"/>
            <w:vAlign w:val="center"/>
          </w:tcPr>
          <w:p>
            <w:pPr>
              <w:spacing w:line="260" w:lineRule="exact"/>
              <w:jc w:val="center"/>
              <w:rPr>
                <w:rFonts w:ascii="宋体" w:hAnsi="宋体" w:cs="宋体"/>
                <w:b/>
                <w:bCs/>
                <w:highlight w:val="none"/>
              </w:rPr>
            </w:pPr>
          </w:p>
        </w:tc>
        <w:tc>
          <w:tcPr>
            <w:tcW w:w="3780" w:type="dxa"/>
            <w:vAlign w:val="center"/>
          </w:tcPr>
          <w:p>
            <w:pPr>
              <w:spacing w:line="260" w:lineRule="exact"/>
              <w:jc w:val="center"/>
              <w:rPr>
                <w:rFonts w:ascii="宋体" w:hAnsi="宋体" w:cs="宋体"/>
                <w:b/>
                <w:bCs/>
                <w:highlight w:val="none"/>
              </w:rPr>
            </w:pPr>
          </w:p>
        </w:tc>
        <w:tc>
          <w:tcPr>
            <w:tcW w:w="1785" w:type="dxa"/>
            <w:vAlign w:val="center"/>
          </w:tcPr>
          <w:p>
            <w:pPr>
              <w:spacing w:line="260" w:lineRule="exact"/>
              <w:jc w:val="center"/>
              <w:rPr>
                <w:rFonts w:ascii="宋体" w:hAnsi="宋体" w:cs="宋体"/>
                <w:b/>
                <w:bCs/>
                <w:highlight w:val="none"/>
              </w:rPr>
            </w:pPr>
          </w:p>
        </w:tc>
        <w:tc>
          <w:tcPr>
            <w:tcW w:w="1155" w:type="dxa"/>
            <w:vAlign w:val="center"/>
          </w:tcPr>
          <w:p>
            <w:pPr>
              <w:spacing w:line="260" w:lineRule="exact"/>
              <w:jc w:val="center"/>
              <w:rPr>
                <w:rFonts w:ascii="宋体" w:hAnsi="宋体" w:cs="宋体"/>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5" w:type="dxa"/>
          </w:tcPr>
          <w:p>
            <w:pPr>
              <w:spacing w:line="380" w:lineRule="exact"/>
              <w:rPr>
                <w:rFonts w:ascii="宋体" w:hAnsi="宋体" w:cs="宋体"/>
                <w:highlight w:val="none"/>
              </w:rPr>
            </w:pPr>
          </w:p>
        </w:tc>
        <w:tc>
          <w:tcPr>
            <w:tcW w:w="1995" w:type="dxa"/>
          </w:tcPr>
          <w:p>
            <w:pPr>
              <w:spacing w:line="380" w:lineRule="exact"/>
              <w:rPr>
                <w:rFonts w:ascii="宋体" w:hAnsi="宋体" w:cs="宋体"/>
                <w:highlight w:val="none"/>
              </w:rPr>
            </w:pPr>
          </w:p>
        </w:tc>
        <w:tc>
          <w:tcPr>
            <w:tcW w:w="3885" w:type="dxa"/>
          </w:tcPr>
          <w:p>
            <w:pPr>
              <w:spacing w:line="380" w:lineRule="exact"/>
              <w:rPr>
                <w:rFonts w:ascii="宋体" w:hAnsi="宋体" w:cs="宋体"/>
                <w:highlight w:val="none"/>
              </w:rPr>
            </w:pPr>
          </w:p>
        </w:tc>
        <w:tc>
          <w:tcPr>
            <w:tcW w:w="3780" w:type="dxa"/>
          </w:tcPr>
          <w:p>
            <w:pPr>
              <w:spacing w:line="380" w:lineRule="exact"/>
              <w:rPr>
                <w:rFonts w:ascii="宋体" w:hAnsi="宋体" w:cs="宋体"/>
                <w:highlight w:val="none"/>
              </w:rPr>
            </w:pPr>
          </w:p>
        </w:tc>
        <w:tc>
          <w:tcPr>
            <w:tcW w:w="1785" w:type="dxa"/>
          </w:tcPr>
          <w:p>
            <w:pPr>
              <w:spacing w:line="380" w:lineRule="exact"/>
              <w:rPr>
                <w:rFonts w:ascii="宋体" w:hAnsi="宋体" w:cs="宋体"/>
                <w:highlight w:val="none"/>
              </w:rPr>
            </w:pPr>
          </w:p>
        </w:tc>
        <w:tc>
          <w:tcPr>
            <w:tcW w:w="1155" w:type="dxa"/>
          </w:tcPr>
          <w:p>
            <w:pPr>
              <w:spacing w:line="38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155" w:type="dxa"/>
          </w:tcPr>
          <w:p>
            <w:pPr>
              <w:spacing w:line="380" w:lineRule="exact"/>
              <w:rPr>
                <w:rFonts w:ascii="宋体" w:hAnsi="宋体" w:cs="宋体"/>
                <w:highlight w:val="none"/>
              </w:rPr>
            </w:pPr>
          </w:p>
        </w:tc>
        <w:tc>
          <w:tcPr>
            <w:tcW w:w="1995" w:type="dxa"/>
          </w:tcPr>
          <w:p>
            <w:pPr>
              <w:spacing w:line="380" w:lineRule="exact"/>
              <w:rPr>
                <w:rFonts w:ascii="宋体" w:hAnsi="宋体" w:cs="宋体"/>
                <w:highlight w:val="none"/>
              </w:rPr>
            </w:pPr>
          </w:p>
        </w:tc>
        <w:tc>
          <w:tcPr>
            <w:tcW w:w="3885" w:type="dxa"/>
          </w:tcPr>
          <w:p>
            <w:pPr>
              <w:spacing w:line="380" w:lineRule="exact"/>
              <w:rPr>
                <w:rFonts w:ascii="宋体" w:hAnsi="宋体" w:cs="宋体"/>
                <w:highlight w:val="none"/>
              </w:rPr>
            </w:pPr>
          </w:p>
        </w:tc>
        <w:tc>
          <w:tcPr>
            <w:tcW w:w="3780" w:type="dxa"/>
          </w:tcPr>
          <w:p>
            <w:pPr>
              <w:spacing w:line="380" w:lineRule="exact"/>
              <w:rPr>
                <w:rFonts w:ascii="宋体" w:hAnsi="宋体" w:cs="宋体"/>
                <w:highlight w:val="none"/>
              </w:rPr>
            </w:pPr>
          </w:p>
        </w:tc>
        <w:tc>
          <w:tcPr>
            <w:tcW w:w="1785" w:type="dxa"/>
          </w:tcPr>
          <w:p>
            <w:pPr>
              <w:spacing w:line="380" w:lineRule="exact"/>
              <w:rPr>
                <w:rFonts w:ascii="宋体" w:hAnsi="宋体" w:cs="宋体"/>
                <w:highlight w:val="none"/>
              </w:rPr>
            </w:pPr>
          </w:p>
        </w:tc>
        <w:tc>
          <w:tcPr>
            <w:tcW w:w="1155" w:type="dxa"/>
          </w:tcPr>
          <w:p>
            <w:pPr>
              <w:spacing w:line="38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55" w:type="dxa"/>
          </w:tcPr>
          <w:p>
            <w:pPr>
              <w:spacing w:line="380" w:lineRule="exact"/>
              <w:rPr>
                <w:rFonts w:ascii="宋体" w:hAnsi="宋体" w:cs="宋体"/>
                <w:highlight w:val="none"/>
              </w:rPr>
            </w:pPr>
          </w:p>
        </w:tc>
        <w:tc>
          <w:tcPr>
            <w:tcW w:w="1995" w:type="dxa"/>
          </w:tcPr>
          <w:p>
            <w:pPr>
              <w:spacing w:line="380" w:lineRule="exact"/>
              <w:rPr>
                <w:rFonts w:ascii="宋体" w:hAnsi="宋体" w:cs="宋体"/>
                <w:highlight w:val="none"/>
              </w:rPr>
            </w:pPr>
          </w:p>
        </w:tc>
        <w:tc>
          <w:tcPr>
            <w:tcW w:w="3885" w:type="dxa"/>
          </w:tcPr>
          <w:p>
            <w:pPr>
              <w:spacing w:line="380" w:lineRule="exact"/>
              <w:rPr>
                <w:rFonts w:ascii="宋体" w:hAnsi="宋体" w:cs="宋体"/>
                <w:highlight w:val="none"/>
              </w:rPr>
            </w:pPr>
          </w:p>
        </w:tc>
        <w:tc>
          <w:tcPr>
            <w:tcW w:w="3780" w:type="dxa"/>
          </w:tcPr>
          <w:p>
            <w:pPr>
              <w:spacing w:line="380" w:lineRule="exact"/>
              <w:rPr>
                <w:rFonts w:ascii="宋体" w:hAnsi="宋体" w:cs="宋体"/>
                <w:highlight w:val="none"/>
              </w:rPr>
            </w:pPr>
          </w:p>
        </w:tc>
        <w:tc>
          <w:tcPr>
            <w:tcW w:w="1785" w:type="dxa"/>
          </w:tcPr>
          <w:p>
            <w:pPr>
              <w:spacing w:line="380" w:lineRule="exact"/>
              <w:rPr>
                <w:rFonts w:ascii="宋体" w:hAnsi="宋体" w:cs="宋体"/>
                <w:highlight w:val="none"/>
              </w:rPr>
            </w:pPr>
          </w:p>
        </w:tc>
        <w:tc>
          <w:tcPr>
            <w:tcW w:w="1155" w:type="dxa"/>
          </w:tcPr>
          <w:p>
            <w:pPr>
              <w:spacing w:line="38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55" w:type="dxa"/>
          </w:tcPr>
          <w:p>
            <w:pPr>
              <w:spacing w:line="380" w:lineRule="exact"/>
              <w:rPr>
                <w:rFonts w:ascii="宋体" w:hAnsi="宋体" w:cs="宋体"/>
                <w:highlight w:val="none"/>
              </w:rPr>
            </w:pPr>
          </w:p>
        </w:tc>
        <w:tc>
          <w:tcPr>
            <w:tcW w:w="1995" w:type="dxa"/>
          </w:tcPr>
          <w:p>
            <w:pPr>
              <w:spacing w:line="380" w:lineRule="exact"/>
              <w:rPr>
                <w:rFonts w:ascii="宋体" w:hAnsi="宋体" w:cs="宋体"/>
                <w:highlight w:val="none"/>
              </w:rPr>
            </w:pPr>
          </w:p>
        </w:tc>
        <w:tc>
          <w:tcPr>
            <w:tcW w:w="3885" w:type="dxa"/>
          </w:tcPr>
          <w:p>
            <w:pPr>
              <w:spacing w:line="380" w:lineRule="exact"/>
              <w:rPr>
                <w:rFonts w:ascii="宋体" w:hAnsi="宋体" w:cs="宋体"/>
                <w:highlight w:val="none"/>
              </w:rPr>
            </w:pPr>
          </w:p>
        </w:tc>
        <w:tc>
          <w:tcPr>
            <w:tcW w:w="3780" w:type="dxa"/>
          </w:tcPr>
          <w:p>
            <w:pPr>
              <w:spacing w:line="380" w:lineRule="exact"/>
              <w:rPr>
                <w:rFonts w:ascii="宋体" w:hAnsi="宋体" w:cs="宋体"/>
                <w:highlight w:val="none"/>
              </w:rPr>
            </w:pPr>
          </w:p>
        </w:tc>
        <w:tc>
          <w:tcPr>
            <w:tcW w:w="1785" w:type="dxa"/>
          </w:tcPr>
          <w:p>
            <w:pPr>
              <w:spacing w:line="380" w:lineRule="exact"/>
              <w:rPr>
                <w:rFonts w:ascii="宋体" w:hAnsi="宋体" w:cs="宋体"/>
                <w:highlight w:val="none"/>
              </w:rPr>
            </w:pPr>
          </w:p>
        </w:tc>
        <w:tc>
          <w:tcPr>
            <w:tcW w:w="1155" w:type="dxa"/>
          </w:tcPr>
          <w:p>
            <w:pPr>
              <w:spacing w:line="38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55" w:type="dxa"/>
          </w:tcPr>
          <w:p>
            <w:pPr>
              <w:spacing w:line="380" w:lineRule="exact"/>
              <w:rPr>
                <w:rFonts w:ascii="宋体" w:hAnsi="宋体" w:cs="宋体"/>
                <w:highlight w:val="none"/>
              </w:rPr>
            </w:pPr>
          </w:p>
        </w:tc>
        <w:tc>
          <w:tcPr>
            <w:tcW w:w="1995" w:type="dxa"/>
          </w:tcPr>
          <w:p>
            <w:pPr>
              <w:spacing w:line="380" w:lineRule="exact"/>
              <w:rPr>
                <w:rFonts w:ascii="宋体" w:hAnsi="宋体" w:cs="宋体"/>
                <w:highlight w:val="none"/>
              </w:rPr>
            </w:pPr>
          </w:p>
        </w:tc>
        <w:tc>
          <w:tcPr>
            <w:tcW w:w="3885" w:type="dxa"/>
          </w:tcPr>
          <w:p>
            <w:pPr>
              <w:spacing w:line="380" w:lineRule="exact"/>
              <w:rPr>
                <w:rFonts w:ascii="宋体" w:hAnsi="宋体" w:cs="宋体"/>
                <w:highlight w:val="none"/>
              </w:rPr>
            </w:pPr>
          </w:p>
        </w:tc>
        <w:tc>
          <w:tcPr>
            <w:tcW w:w="3780" w:type="dxa"/>
          </w:tcPr>
          <w:p>
            <w:pPr>
              <w:spacing w:line="380" w:lineRule="exact"/>
              <w:rPr>
                <w:rFonts w:ascii="宋体" w:hAnsi="宋体" w:cs="宋体"/>
                <w:highlight w:val="none"/>
              </w:rPr>
            </w:pPr>
          </w:p>
        </w:tc>
        <w:tc>
          <w:tcPr>
            <w:tcW w:w="1785" w:type="dxa"/>
          </w:tcPr>
          <w:p>
            <w:pPr>
              <w:spacing w:line="380" w:lineRule="exact"/>
              <w:rPr>
                <w:rFonts w:ascii="宋体" w:hAnsi="宋体" w:cs="宋体"/>
                <w:highlight w:val="none"/>
              </w:rPr>
            </w:pPr>
          </w:p>
        </w:tc>
        <w:tc>
          <w:tcPr>
            <w:tcW w:w="1155" w:type="dxa"/>
          </w:tcPr>
          <w:p>
            <w:pPr>
              <w:spacing w:line="380" w:lineRule="exact"/>
              <w:rPr>
                <w:rFonts w:ascii="宋体" w:hAnsi="宋体" w:cs="宋体"/>
                <w:highlight w:val="none"/>
              </w:rPr>
            </w:pPr>
          </w:p>
        </w:tc>
      </w:tr>
    </w:tbl>
    <w:p>
      <w:pPr>
        <w:spacing w:line="280" w:lineRule="exact"/>
        <w:ind w:firstLine="420" w:firstLineChars="200"/>
        <w:rPr>
          <w:rFonts w:ascii="宋体" w:hAnsi="宋体" w:cs="宋体"/>
          <w:highlight w:val="none"/>
        </w:rPr>
      </w:pPr>
      <w:r>
        <w:rPr>
          <w:rFonts w:hint="eastAsia" w:ascii="宋体" w:hAnsi="宋体" w:cs="宋体"/>
          <w:highlight w:val="none"/>
        </w:rPr>
        <w:t xml:space="preserve">★注意：1、投标人应根据招标文件“第三章招标内容及要求” 中各条款要求结合投标产品实际逐条进行说明，不可简单粘贴复制。特别对有具体参数要求的指标，投标人必须提供所投产品的具体参数值，否则评委会将作出不利于投标人的判断。 </w:t>
      </w:r>
    </w:p>
    <w:p>
      <w:pPr>
        <w:spacing w:line="280" w:lineRule="exact"/>
        <w:ind w:firstLine="420" w:firstLineChars="200"/>
        <w:rPr>
          <w:rFonts w:ascii="宋体" w:hAnsi="宋体" w:cs="宋体"/>
          <w:highlight w:val="none"/>
        </w:rPr>
      </w:pPr>
      <w:r>
        <w:rPr>
          <w:rFonts w:hint="eastAsia" w:ascii="宋体" w:hAnsi="宋体" w:cs="宋体"/>
          <w:highlight w:val="none"/>
        </w:rPr>
        <w:t>2、如果所投产品技术条款有不满足或不响应或负偏离，不管是多么微小，投标人都应在本表中加以如实详细说明。</w:t>
      </w:r>
    </w:p>
    <w:p>
      <w:pPr>
        <w:spacing w:line="280" w:lineRule="exact"/>
        <w:ind w:firstLine="420" w:firstLineChars="200"/>
        <w:rPr>
          <w:rFonts w:ascii="宋体" w:hAnsi="宋体" w:cs="宋体"/>
          <w:highlight w:val="none"/>
        </w:rPr>
      </w:pPr>
      <w:r>
        <w:rPr>
          <w:rFonts w:hint="eastAsia" w:ascii="宋体" w:hAnsi="宋体" w:cs="宋体"/>
          <w:highlight w:val="none"/>
        </w:rPr>
        <w:t>3、偏离情况栏中填写：正偏离、负偏离或无偏离。</w:t>
      </w:r>
    </w:p>
    <w:p>
      <w:pPr>
        <w:adjustRightInd w:val="0"/>
        <w:snapToGrid w:val="0"/>
        <w:spacing w:line="280" w:lineRule="exact"/>
        <w:ind w:firstLine="420" w:firstLineChars="200"/>
        <w:rPr>
          <w:rFonts w:ascii="宋体" w:hAnsi="宋体" w:cs="宋体"/>
          <w:highlight w:val="none"/>
        </w:rPr>
      </w:pPr>
      <w:r>
        <w:rPr>
          <w:rFonts w:hint="eastAsia" w:ascii="宋体" w:hAnsi="宋体" w:cs="宋体"/>
          <w:highlight w:val="none"/>
        </w:rPr>
        <w:t>4、响应部分可后附详细说明及</w:t>
      </w:r>
      <w:r>
        <w:rPr>
          <w:rFonts w:hint="eastAsia" w:ascii="宋体" w:hAnsi="宋体" w:cs="宋体"/>
          <w:spacing w:val="-12"/>
          <w:highlight w:val="none"/>
        </w:rPr>
        <w:t>佐证技术材料</w:t>
      </w:r>
      <w:r>
        <w:rPr>
          <w:rFonts w:hint="eastAsia" w:ascii="宋体" w:hAnsi="宋体" w:cs="宋体"/>
          <w:highlight w:val="none"/>
        </w:rPr>
        <w:t>，并应在备注栏中注明投标文件中对应的页码范围。</w:t>
      </w:r>
    </w:p>
    <w:p>
      <w:pPr>
        <w:adjustRightInd w:val="0"/>
        <w:snapToGrid w:val="0"/>
        <w:spacing w:line="280" w:lineRule="exact"/>
        <w:ind w:firstLine="420" w:firstLineChars="200"/>
        <w:rPr>
          <w:rFonts w:ascii="宋体" w:hAnsi="宋体" w:cs="宋体"/>
          <w:highlight w:val="none"/>
        </w:rPr>
      </w:pPr>
      <w:r>
        <w:rPr>
          <w:rFonts w:hint="eastAsia" w:ascii="宋体" w:hAnsi="宋体" w:cs="宋体"/>
          <w:highlight w:val="none"/>
        </w:rPr>
        <w:t>5、投标人需要说明的内容若需特殊表达，应先在本表中进行相应说明，再另页应答，否则</w:t>
      </w:r>
      <w:r>
        <w:rPr>
          <w:rStyle w:val="34"/>
          <w:rFonts w:hint="eastAsia" w:ascii="宋体" w:hAnsi="宋体" w:cs="宋体"/>
          <w:highlight w:val="none"/>
        </w:rPr>
        <w:t>投标无效</w:t>
      </w:r>
      <w:r>
        <w:rPr>
          <w:rFonts w:hint="eastAsia" w:ascii="宋体" w:hAnsi="宋体" w:cs="宋体"/>
          <w:highlight w:val="none"/>
        </w:rPr>
        <w:t>。</w:t>
      </w:r>
    </w:p>
    <w:p>
      <w:pPr>
        <w:spacing w:line="280" w:lineRule="exact"/>
        <w:ind w:firstLine="412" w:firstLineChars="200"/>
        <w:rPr>
          <w:rFonts w:ascii="宋体" w:hAnsi="宋体" w:cs="宋体"/>
          <w:highlight w:val="none"/>
        </w:rPr>
      </w:pPr>
      <w:r>
        <w:rPr>
          <w:rFonts w:hint="eastAsia" w:ascii="宋体" w:hAnsi="宋体" w:cs="宋体"/>
          <w:spacing w:val="-2"/>
          <w:highlight w:val="none"/>
        </w:rPr>
        <w:t>6、</w:t>
      </w:r>
      <w:r>
        <w:rPr>
          <w:rFonts w:hint="eastAsia" w:ascii="宋体" w:hAnsi="宋体" w:cs="宋体"/>
          <w:highlight w:val="none"/>
        </w:rPr>
        <w:t>本表如有多页，应逐页加盖公章。</w:t>
      </w:r>
    </w:p>
    <w:p>
      <w:pPr>
        <w:spacing w:line="380" w:lineRule="exact"/>
        <w:ind w:firstLine="420" w:firstLineChars="200"/>
        <w:rPr>
          <w:rFonts w:ascii="宋体" w:hAnsi="宋体" w:cs="宋体"/>
          <w:highlight w:val="none"/>
          <w:u w:val="single"/>
        </w:rPr>
      </w:pPr>
      <w:r>
        <w:rPr>
          <w:rFonts w:hint="eastAsia" w:ascii="宋体" w:hAnsi="宋体" w:cs="宋体"/>
          <w:highlight w:val="none"/>
        </w:rPr>
        <w:t>投标人代表签字：</w:t>
      </w:r>
      <w:r>
        <w:rPr>
          <w:rFonts w:hint="eastAsia" w:ascii="宋体" w:hAnsi="宋体"/>
          <w:highlight w:val="none"/>
          <w:u w:val="single"/>
        </w:rPr>
        <w:t xml:space="preserve">                            </w:t>
      </w:r>
      <w:r>
        <w:rPr>
          <w:rFonts w:hint="eastAsia" w:ascii="宋体" w:hAnsi="宋体" w:cs="宋体"/>
          <w:highlight w:val="none"/>
        </w:rPr>
        <w:t xml:space="preserve"> </w:t>
      </w:r>
    </w:p>
    <w:p>
      <w:pPr>
        <w:pStyle w:val="10"/>
        <w:spacing w:before="0" w:after="0" w:line="360" w:lineRule="exact"/>
        <w:rPr>
          <w:rFonts w:ascii="宋体" w:hAnsi="宋体" w:cs="宋体"/>
          <w:b w:val="0"/>
          <w:bCs w:val="0"/>
          <w:sz w:val="21"/>
          <w:szCs w:val="21"/>
          <w:highlight w:val="none"/>
        </w:rPr>
        <w:sectPr>
          <w:headerReference r:id="rId7" w:type="default"/>
          <w:footerReference r:id="rId8" w:type="default"/>
          <w:pgSz w:w="16840" w:h="11907" w:orient="landscape"/>
          <w:pgMar w:top="1440" w:right="1361" w:bottom="1469" w:left="1440" w:header="851" w:footer="992" w:gutter="0"/>
          <w:cols w:space="720" w:num="1"/>
          <w:docGrid w:linePitch="323" w:charSpace="-2"/>
        </w:sectPr>
      </w:pPr>
    </w:p>
    <w:p>
      <w:pPr>
        <w:spacing w:line="380" w:lineRule="exact"/>
        <w:rPr>
          <w:rFonts w:ascii="宋体" w:hAnsi="宋体"/>
          <w:bCs/>
          <w:highlight w:val="none"/>
        </w:rPr>
      </w:pPr>
      <w:r>
        <w:rPr>
          <w:rFonts w:hint="eastAsia" w:ascii="宋体" w:hAnsi="宋体"/>
          <w:bCs/>
          <w:highlight w:val="none"/>
        </w:rPr>
        <w:t>附件5、</w:t>
      </w:r>
    </w:p>
    <w:p>
      <w:pPr>
        <w:spacing w:line="360" w:lineRule="exact"/>
        <w:jc w:val="center"/>
        <w:outlineLvl w:val="1"/>
        <w:rPr>
          <w:rFonts w:ascii="宋体" w:hAnsi="宋体"/>
          <w:b/>
          <w:sz w:val="32"/>
          <w:szCs w:val="32"/>
          <w:highlight w:val="none"/>
        </w:rPr>
      </w:pPr>
      <w:bookmarkStart w:id="60" w:name="_Toc3256"/>
      <w:bookmarkStart w:id="61" w:name="_Toc4894"/>
      <w:r>
        <w:rPr>
          <w:rFonts w:hint="eastAsia" w:ascii="宋体" w:hAnsi="宋体"/>
          <w:b/>
          <w:sz w:val="32"/>
          <w:szCs w:val="32"/>
          <w:highlight w:val="none"/>
        </w:rPr>
        <w:t>技术服务体系与维保方案</w:t>
      </w:r>
      <w:bookmarkEnd w:id="60"/>
      <w:bookmarkEnd w:id="61"/>
    </w:p>
    <w:p>
      <w:pPr>
        <w:spacing w:line="360" w:lineRule="exact"/>
        <w:jc w:val="center"/>
        <w:rPr>
          <w:rFonts w:ascii="宋体" w:hAnsi="宋体"/>
          <w:highlight w:val="none"/>
          <w:u w:val="single"/>
        </w:rPr>
      </w:pPr>
    </w:p>
    <w:p>
      <w:pPr>
        <w:pStyle w:val="95"/>
        <w:spacing w:line="320" w:lineRule="exact"/>
        <w:ind w:firstLine="420" w:firstLineChars="200"/>
        <w:rPr>
          <w:rFonts w:hAnsi="宋体"/>
          <w:sz w:val="21"/>
          <w:highlight w:val="none"/>
        </w:rPr>
      </w:pPr>
      <w:bookmarkStart w:id="62" w:name="_Toc28511"/>
      <w:bookmarkStart w:id="63" w:name="_Toc11274"/>
      <w:bookmarkStart w:id="64" w:name="_Toc7518"/>
      <w:r>
        <w:rPr>
          <w:rFonts w:hAnsi="宋体"/>
          <w:sz w:val="21"/>
          <w:highlight w:val="none"/>
        </w:rPr>
        <w:t>投标人应根据招标文件“第</w:t>
      </w:r>
      <w:r>
        <w:rPr>
          <w:rFonts w:hint="eastAsia" w:hAnsi="宋体"/>
          <w:sz w:val="21"/>
          <w:highlight w:val="none"/>
        </w:rPr>
        <w:t>三</w:t>
      </w:r>
      <w:r>
        <w:rPr>
          <w:rFonts w:hAnsi="宋体"/>
          <w:sz w:val="21"/>
          <w:highlight w:val="none"/>
        </w:rPr>
        <w:t>章招标内容及要求” 中的内容，结合自身实际情况，按下列顺序制作技术服务体系与维保方案：</w:t>
      </w:r>
      <w:bookmarkEnd w:id="62"/>
      <w:bookmarkEnd w:id="63"/>
      <w:bookmarkEnd w:id="64"/>
    </w:p>
    <w:p>
      <w:pPr>
        <w:spacing w:line="300" w:lineRule="exact"/>
        <w:rPr>
          <w:rFonts w:ascii="宋体" w:hAnsi="宋体"/>
          <w:highlight w:val="none"/>
        </w:rPr>
      </w:pPr>
    </w:p>
    <w:p>
      <w:pPr>
        <w:numPr>
          <w:ilvl w:val="0"/>
          <w:numId w:val="13"/>
        </w:numPr>
        <w:spacing w:line="300" w:lineRule="exact"/>
        <w:ind w:firstLine="420" w:firstLineChars="200"/>
        <w:rPr>
          <w:rFonts w:ascii="宋体" w:hAnsi="宋体"/>
          <w:highlight w:val="none"/>
        </w:rPr>
      </w:pPr>
      <w:r>
        <w:rPr>
          <w:rFonts w:hint="eastAsia" w:ascii="宋体" w:hAnsi="宋体"/>
          <w:highlight w:val="none"/>
        </w:rPr>
        <w:t>技术培训方案；</w:t>
      </w:r>
    </w:p>
    <w:p>
      <w:pPr>
        <w:numPr>
          <w:ilvl w:val="0"/>
          <w:numId w:val="13"/>
        </w:numPr>
        <w:spacing w:line="300" w:lineRule="exact"/>
        <w:ind w:firstLine="420" w:firstLineChars="200"/>
        <w:rPr>
          <w:rFonts w:ascii="宋体" w:hAnsi="宋体"/>
          <w:highlight w:val="none"/>
        </w:rPr>
      </w:pPr>
      <w:r>
        <w:rPr>
          <w:rFonts w:hint="eastAsia" w:ascii="宋体" w:hAnsi="宋体"/>
          <w:highlight w:val="none"/>
        </w:rPr>
        <w:t>保修期内的维保范围和内容；</w:t>
      </w:r>
    </w:p>
    <w:p>
      <w:pPr>
        <w:numPr>
          <w:ilvl w:val="0"/>
          <w:numId w:val="13"/>
        </w:numPr>
        <w:spacing w:line="300" w:lineRule="exact"/>
        <w:ind w:firstLine="420" w:firstLineChars="200"/>
        <w:rPr>
          <w:rFonts w:ascii="宋体" w:hAnsi="宋体"/>
          <w:highlight w:val="none"/>
        </w:rPr>
      </w:pPr>
      <w:r>
        <w:rPr>
          <w:rFonts w:hint="eastAsia" w:ascii="宋体" w:hAnsi="宋体"/>
          <w:highlight w:val="none"/>
        </w:rPr>
        <w:t>保修期后的维保服务内容及服务费用；</w:t>
      </w:r>
    </w:p>
    <w:p>
      <w:pPr>
        <w:numPr>
          <w:ilvl w:val="0"/>
          <w:numId w:val="13"/>
        </w:numPr>
        <w:spacing w:line="300" w:lineRule="exact"/>
        <w:ind w:firstLine="420" w:firstLineChars="200"/>
        <w:rPr>
          <w:rFonts w:ascii="宋体" w:hAnsi="宋体"/>
          <w:highlight w:val="none"/>
        </w:rPr>
      </w:pPr>
      <w:r>
        <w:rPr>
          <w:rFonts w:hint="eastAsia" w:ascii="宋体" w:hAnsi="宋体"/>
          <w:highlight w:val="none"/>
        </w:rPr>
        <w:t>售后服务承诺、保障措施：应填写本地化服务情况一览表，说明有无本地化服务机构；涉及多个品目号不同产品其维保机构不同的，应按品目号制作。</w:t>
      </w:r>
    </w:p>
    <w:p>
      <w:pPr>
        <w:numPr>
          <w:ilvl w:val="0"/>
          <w:numId w:val="13"/>
        </w:numPr>
        <w:spacing w:line="300" w:lineRule="exact"/>
        <w:ind w:firstLine="420" w:firstLineChars="200"/>
        <w:rPr>
          <w:rFonts w:ascii="宋体" w:hAnsi="宋体"/>
          <w:highlight w:val="none"/>
        </w:rPr>
      </w:pPr>
      <w:r>
        <w:rPr>
          <w:rFonts w:hint="eastAsia" w:ascii="宋体" w:hAnsi="宋体"/>
          <w:highlight w:val="none"/>
        </w:rPr>
        <w:t>投标人视自身情况提供的</w:t>
      </w:r>
      <w:r>
        <w:rPr>
          <w:rFonts w:ascii="宋体" w:hAnsi="宋体"/>
          <w:highlight w:val="none"/>
        </w:rPr>
        <w:t>更优、更合理的</w:t>
      </w:r>
      <w:r>
        <w:rPr>
          <w:rFonts w:hint="eastAsia" w:ascii="宋体" w:hAnsi="宋体"/>
          <w:highlight w:val="none"/>
        </w:rPr>
        <w:t>售后</w:t>
      </w:r>
      <w:r>
        <w:rPr>
          <w:rFonts w:ascii="宋体" w:hAnsi="宋体"/>
          <w:highlight w:val="none"/>
        </w:rPr>
        <w:t>服务承诺</w:t>
      </w:r>
      <w:r>
        <w:rPr>
          <w:rFonts w:hint="eastAsia" w:ascii="宋体" w:hAnsi="宋体"/>
          <w:highlight w:val="none"/>
        </w:rPr>
        <w:t>（如有）；</w:t>
      </w:r>
    </w:p>
    <w:p>
      <w:pPr>
        <w:numPr>
          <w:ilvl w:val="0"/>
          <w:numId w:val="13"/>
        </w:numPr>
        <w:spacing w:line="300" w:lineRule="exact"/>
        <w:ind w:firstLine="420" w:firstLineChars="200"/>
        <w:rPr>
          <w:rFonts w:ascii="宋体" w:hAnsi="宋体"/>
          <w:highlight w:val="none"/>
        </w:rPr>
      </w:pPr>
      <w:r>
        <w:rPr>
          <w:rFonts w:hint="eastAsia" w:ascii="宋体" w:hAnsi="宋体"/>
          <w:highlight w:val="none"/>
        </w:rPr>
        <w:t>投标人认为需填写的其它内容。</w:t>
      </w:r>
    </w:p>
    <w:p>
      <w:pPr>
        <w:rPr>
          <w:rFonts w:ascii="宋体" w:hAnsi="宋体"/>
          <w:highlight w:val="none"/>
        </w:rPr>
      </w:pPr>
    </w:p>
    <w:p>
      <w:pPr>
        <w:rPr>
          <w:rFonts w:ascii="宋体" w:hAnsi="宋体"/>
          <w:highlight w:val="none"/>
        </w:rPr>
      </w:pPr>
    </w:p>
    <w:p>
      <w:pPr>
        <w:pStyle w:val="10"/>
        <w:spacing w:before="0" w:after="0" w:line="360" w:lineRule="exact"/>
        <w:jc w:val="center"/>
        <w:rPr>
          <w:rFonts w:ascii="宋体" w:hAnsi="宋体"/>
          <w:b w:val="0"/>
          <w:sz w:val="24"/>
          <w:szCs w:val="24"/>
          <w:highlight w:val="none"/>
        </w:rPr>
      </w:pPr>
      <w:bookmarkStart w:id="65" w:name="_Toc32379"/>
      <w:r>
        <w:rPr>
          <w:rFonts w:hint="eastAsia" w:ascii="宋体" w:hAnsi="宋体"/>
          <w:b w:val="0"/>
          <w:sz w:val="24"/>
          <w:szCs w:val="24"/>
          <w:highlight w:val="none"/>
        </w:rPr>
        <w:t>本地化服务情况一览表</w:t>
      </w:r>
      <w:bookmarkEnd w:id="65"/>
    </w:p>
    <w:p>
      <w:pPr>
        <w:rPr>
          <w:rFonts w:ascii="宋体" w:hAnsi="宋体"/>
          <w:highlight w:val="none"/>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467"/>
        <w:gridCol w:w="793"/>
        <w:gridCol w:w="1155"/>
        <w:gridCol w:w="1785"/>
        <w:gridCol w:w="1155"/>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7" w:type="dxa"/>
            <w:gridSpan w:val="3"/>
            <w:vAlign w:val="center"/>
          </w:tcPr>
          <w:p>
            <w:pPr>
              <w:jc w:val="center"/>
              <w:rPr>
                <w:rFonts w:ascii="宋体" w:hAnsi="宋体"/>
                <w:highlight w:val="none"/>
              </w:rPr>
            </w:pPr>
            <w:r>
              <w:rPr>
                <w:rFonts w:hint="eastAsia" w:ascii="宋体" w:hAnsi="宋体"/>
                <w:highlight w:val="none"/>
              </w:rPr>
              <w:t>投标人全称</w:t>
            </w:r>
          </w:p>
        </w:tc>
        <w:tc>
          <w:tcPr>
            <w:tcW w:w="6640" w:type="dxa"/>
            <w:gridSpan w:val="4"/>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807" w:type="dxa"/>
            <w:gridSpan w:val="3"/>
            <w:vAlign w:val="center"/>
          </w:tcPr>
          <w:p>
            <w:pPr>
              <w:jc w:val="center"/>
              <w:rPr>
                <w:rFonts w:ascii="宋体" w:hAnsi="宋体"/>
                <w:highlight w:val="none"/>
              </w:rPr>
            </w:pPr>
            <w:r>
              <w:rPr>
                <w:rFonts w:hint="eastAsia" w:ascii="宋体" w:hAnsi="宋体"/>
                <w:highlight w:val="none"/>
              </w:rPr>
              <w:t>服务形式</w:t>
            </w:r>
          </w:p>
        </w:tc>
        <w:tc>
          <w:tcPr>
            <w:tcW w:w="6640" w:type="dxa"/>
            <w:gridSpan w:val="4"/>
            <w:vAlign w:val="center"/>
          </w:tcPr>
          <w:p>
            <w:pPr>
              <w:rPr>
                <w:rFonts w:ascii="宋体" w:hAnsi="宋体"/>
                <w:highlight w:val="none"/>
              </w:rPr>
            </w:pPr>
            <w:r>
              <w:rPr>
                <w:rFonts w:hint="eastAsia" w:ascii="宋体" w:hAnsi="宋体"/>
                <w:highlight w:val="none"/>
              </w:rPr>
              <w:t>□ 在福建省具有固定的办公场所及人员</w:t>
            </w:r>
          </w:p>
          <w:p>
            <w:pPr>
              <w:rPr>
                <w:rFonts w:ascii="宋体" w:hAnsi="宋体"/>
                <w:highlight w:val="none"/>
              </w:rPr>
            </w:pPr>
            <w:r>
              <w:rPr>
                <w:rFonts w:hint="eastAsia" w:ascii="宋体" w:hAnsi="宋体"/>
                <w:highlight w:val="none"/>
              </w:rPr>
              <w:t>□ 在福建省具有固定的合作伙伴</w:t>
            </w:r>
          </w:p>
          <w:p>
            <w:pPr>
              <w:rPr>
                <w:rFonts w:ascii="宋体" w:hAnsi="宋体"/>
                <w:highlight w:val="none"/>
              </w:rPr>
            </w:pPr>
            <w:r>
              <w:rPr>
                <w:rFonts w:hint="eastAsia" w:ascii="宋体" w:hAnsi="宋体"/>
                <w:highlight w:val="none"/>
              </w:rPr>
              <w:t>□ 在福建省注册成立</w:t>
            </w:r>
          </w:p>
          <w:p>
            <w:pPr>
              <w:rPr>
                <w:rFonts w:ascii="宋体" w:hAnsi="宋体"/>
                <w:highlight w:val="none"/>
              </w:rPr>
            </w:pPr>
            <w:r>
              <w:rPr>
                <w:rFonts w:hint="eastAsia" w:ascii="宋体" w:hAnsi="宋体"/>
                <w:highlight w:val="none"/>
              </w:rPr>
              <w:t>□ 无上述情形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7" w:type="dxa"/>
            <w:vMerge w:val="restart"/>
            <w:vAlign w:val="center"/>
          </w:tcPr>
          <w:p>
            <w:pPr>
              <w:jc w:val="center"/>
              <w:rPr>
                <w:rFonts w:ascii="宋体" w:hAnsi="宋体"/>
                <w:highlight w:val="none"/>
              </w:rPr>
            </w:pPr>
            <w:r>
              <w:rPr>
                <w:rFonts w:hint="eastAsia" w:ascii="宋体" w:hAnsi="宋体"/>
                <w:highlight w:val="none"/>
              </w:rPr>
              <w:t>本地化服务机构</w:t>
            </w:r>
          </w:p>
        </w:tc>
        <w:tc>
          <w:tcPr>
            <w:tcW w:w="1260" w:type="dxa"/>
            <w:gridSpan w:val="2"/>
            <w:vAlign w:val="center"/>
          </w:tcPr>
          <w:p>
            <w:pPr>
              <w:jc w:val="center"/>
              <w:rPr>
                <w:rFonts w:ascii="宋体" w:hAnsi="宋体"/>
                <w:highlight w:val="none"/>
              </w:rPr>
            </w:pPr>
            <w:r>
              <w:rPr>
                <w:rFonts w:hint="eastAsia" w:ascii="宋体" w:hAnsi="宋体"/>
                <w:highlight w:val="none"/>
              </w:rPr>
              <w:t>服务机构全称</w:t>
            </w:r>
          </w:p>
        </w:tc>
        <w:tc>
          <w:tcPr>
            <w:tcW w:w="6640" w:type="dxa"/>
            <w:gridSpan w:val="4"/>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7" w:type="dxa"/>
            <w:vMerge w:val="continue"/>
            <w:vAlign w:val="center"/>
          </w:tcPr>
          <w:p>
            <w:pPr>
              <w:jc w:val="center"/>
              <w:rPr>
                <w:rFonts w:ascii="宋体" w:hAnsi="宋体"/>
                <w:highlight w:val="none"/>
              </w:rPr>
            </w:pPr>
          </w:p>
        </w:tc>
        <w:tc>
          <w:tcPr>
            <w:tcW w:w="1260" w:type="dxa"/>
            <w:gridSpan w:val="2"/>
            <w:vAlign w:val="center"/>
          </w:tcPr>
          <w:p>
            <w:pPr>
              <w:jc w:val="center"/>
              <w:rPr>
                <w:rFonts w:ascii="宋体" w:hAnsi="宋体"/>
                <w:highlight w:val="none"/>
              </w:rPr>
            </w:pPr>
            <w:r>
              <w:rPr>
                <w:rFonts w:hint="eastAsia" w:ascii="宋体" w:hAnsi="宋体"/>
                <w:highlight w:val="none"/>
              </w:rPr>
              <w:t>服务机构地址</w:t>
            </w:r>
          </w:p>
        </w:tc>
        <w:tc>
          <w:tcPr>
            <w:tcW w:w="6640" w:type="dxa"/>
            <w:gridSpan w:val="4"/>
            <w:vAlign w:val="center"/>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47" w:type="dxa"/>
            <w:vMerge w:val="continue"/>
            <w:vAlign w:val="center"/>
          </w:tcPr>
          <w:p>
            <w:pPr>
              <w:rPr>
                <w:rFonts w:ascii="宋体" w:hAnsi="宋体"/>
                <w:highlight w:val="none"/>
              </w:rPr>
            </w:pPr>
          </w:p>
        </w:tc>
        <w:tc>
          <w:tcPr>
            <w:tcW w:w="467" w:type="dxa"/>
            <w:vMerge w:val="restart"/>
            <w:vAlign w:val="center"/>
          </w:tcPr>
          <w:p>
            <w:pPr>
              <w:rPr>
                <w:rFonts w:ascii="宋体" w:hAnsi="宋体"/>
                <w:highlight w:val="none"/>
              </w:rPr>
            </w:pPr>
            <w:r>
              <w:rPr>
                <w:rFonts w:hint="eastAsia" w:ascii="宋体" w:hAnsi="宋体"/>
                <w:highlight w:val="none"/>
              </w:rPr>
              <w:t>人员信息</w:t>
            </w:r>
          </w:p>
        </w:tc>
        <w:tc>
          <w:tcPr>
            <w:tcW w:w="793" w:type="dxa"/>
            <w:vAlign w:val="center"/>
          </w:tcPr>
          <w:p>
            <w:pPr>
              <w:rPr>
                <w:rFonts w:ascii="宋体" w:hAnsi="宋体"/>
                <w:highlight w:val="none"/>
              </w:rPr>
            </w:pPr>
          </w:p>
        </w:tc>
        <w:tc>
          <w:tcPr>
            <w:tcW w:w="1155" w:type="dxa"/>
            <w:vAlign w:val="center"/>
          </w:tcPr>
          <w:p>
            <w:pPr>
              <w:jc w:val="center"/>
              <w:rPr>
                <w:rFonts w:ascii="宋体" w:hAnsi="宋体"/>
                <w:highlight w:val="none"/>
              </w:rPr>
            </w:pPr>
            <w:r>
              <w:rPr>
                <w:rFonts w:hint="eastAsia" w:ascii="宋体" w:hAnsi="宋体"/>
                <w:highlight w:val="none"/>
              </w:rPr>
              <w:t>姓名</w:t>
            </w:r>
          </w:p>
        </w:tc>
        <w:tc>
          <w:tcPr>
            <w:tcW w:w="1785" w:type="dxa"/>
            <w:vAlign w:val="center"/>
          </w:tcPr>
          <w:p>
            <w:pPr>
              <w:jc w:val="center"/>
              <w:rPr>
                <w:rFonts w:ascii="宋体" w:hAnsi="宋体"/>
                <w:highlight w:val="none"/>
              </w:rPr>
            </w:pPr>
            <w:r>
              <w:rPr>
                <w:rFonts w:hint="eastAsia" w:ascii="宋体" w:hAnsi="宋体"/>
                <w:highlight w:val="none"/>
              </w:rPr>
              <w:t>学历或职称（本表后附证书）</w:t>
            </w:r>
          </w:p>
        </w:tc>
        <w:tc>
          <w:tcPr>
            <w:tcW w:w="1155" w:type="dxa"/>
            <w:vAlign w:val="center"/>
          </w:tcPr>
          <w:p>
            <w:pPr>
              <w:jc w:val="center"/>
              <w:rPr>
                <w:rFonts w:ascii="宋体" w:hAnsi="宋体"/>
                <w:highlight w:val="none"/>
              </w:rPr>
            </w:pPr>
            <w:r>
              <w:rPr>
                <w:rFonts w:hint="eastAsia" w:ascii="宋体" w:hAnsi="宋体"/>
                <w:highlight w:val="none"/>
              </w:rPr>
              <w:t>联系方式</w:t>
            </w:r>
          </w:p>
        </w:tc>
        <w:tc>
          <w:tcPr>
            <w:tcW w:w="2545" w:type="dxa"/>
            <w:vAlign w:val="center"/>
          </w:tcPr>
          <w:p>
            <w:pPr>
              <w:jc w:val="center"/>
              <w:rPr>
                <w:rFonts w:ascii="宋体" w:hAnsi="宋体"/>
                <w:highlight w:val="none"/>
              </w:rPr>
            </w:pPr>
            <w:r>
              <w:rPr>
                <w:rFonts w:hint="eastAsia" w:ascii="宋体" w:hAnsi="宋体"/>
                <w:highlight w:val="none"/>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47" w:type="dxa"/>
            <w:vMerge w:val="continue"/>
            <w:vAlign w:val="center"/>
          </w:tcPr>
          <w:p>
            <w:pPr>
              <w:jc w:val="center"/>
              <w:rPr>
                <w:rFonts w:ascii="宋体" w:hAnsi="宋体"/>
                <w:highlight w:val="none"/>
              </w:rPr>
            </w:pPr>
          </w:p>
        </w:tc>
        <w:tc>
          <w:tcPr>
            <w:tcW w:w="467" w:type="dxa"/>
            <w:vMerge w:val="continue"/>
            <w:vAlign w:val="center"/>
          </w:tcPr>
          <w:p>
            <w:pPr>
              <w:jc w:val="center"/>
              <w:rPr>
                <w:rFonts w:ascii="宋体" w:hAnsi="宋体"/>
                <w:highlight w:val="none"/>
              </w:rPr>
            </w:pPr>
          </w:p>
        </w:tc>
        <w:tc>
          <w:tcPr>
            <w:tcW w:w="793" w:type="dxa"/>
            <w:vAlign w:val="center"/>
          </w:tcPr>
          <w:p>
            <w:pPr>
              <w:jc w:val="center"/>
              <w:rPr>
                <w:rFonts w:ascii="宋体" w:hAnsi="宋体"/>
                <w:highlight w:val="none"/>
              </w:rPr>
            </w:pPr>
            <w:r>
              <w:rPr>
                <w:rFonts w:hint="eastAsia" w:ascii="宋体" w:hAnsi="宋体"/>
                <w:highlight w:val="none"/>
              </w:rPr>
              <w:t>负责人</w:t>
            </w:r>
          </w:p>
        </w:tc>
        <w:tc>
          <w:tcPr>
            <w:tcW w:w="1155" w:type="dxa"/>
          </w:tcPr>
          <w:p>
            <w:pPr>
              <w:rPr>
                <w:rFonts w:ascii="宋体" w:hAnsi="宋体"/>
                <w:highlight w:val="none"/>
              </w:rPr>
            </w:pPr>
          </w:p>
        </w:tc>
        <w:tc>
          <w:tcPr>
            <w:tcW w:w="1785" w:type="dxa"/>
          </w:tcPr>
          <w:p>
            <w:pPr>
              <w:rPr>
                <w:rFonts w:ascii="宋体" w:hAnsi="宋体"/>
                <w:highlight w:val="none"/>
              </w:rPr>
            </w:pPr>
          </w:p>
        </w:tc>
        <w:tc>
          <w:tcPr>
            <w:tcW w:w="1155" w:type="dxa"/>
          </w:tcPr>
          <w:p>
            <w:pPr>
              <w:rPr>
                <w:rFonts w:ascii="宋体" w:hAnsi="宋体"/>
                <w:highlight w:val="none"/>
              </w:rPr>
            </w:pPr>
          </w:p>
        </w:tc>
        <w:tc>
          <w:tcPr>
            <w:tcW w:w="2545" w:type="dxa"/>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47" w:type="dxa"/>
            <w:vMerge w:val="continue"/>
            <w:vAlign w:val="center"/>
          </w:tcPr>
          <w:p>
            <w:pPr>
              <w:jc w:val="center"/>
              <w:rPr>
                <w:rFonts w:ascii="宋体" w:hAnsi="宋体"/>
                <w:highlight w:val="none"/>
              </w:rPr>
            </w:pPr>
          </w:p>
        </w:tc>
        <w:tc>
          <w:tcPr>
            <w:tcW w:w="467" w:type="dxa"/>
            <w:vMerge w:val="continue"/>
            <w:vAlign w:val="center"/>
          </w:tcPr>
          <w:p>
            <w:pPr>
              <w:jc w:val="center"/>
              <w:rPr>
                <w:rFonts w:ascii="宋体" w:hAnsi="宋体"/>
                <w:highlight w:val="none"/>
              </w:rPr>
            </w:pPr>
          </w:p>
        </w:tc>
        <w:tc>
          <w:tcPr>
            <w:tcW w:w="793" w:type="dxa"/>
            <w:vMerge w:val="restart"/>
            <w:vAlign w:val="center"/>
          </w:tcPr>
          <w:p>
            <w:pPr>
              <w:jc w:val="center"/>
              <w:rPr>
                <w:rFonts w:ascii="宋体" w:hAnsi="宋体"/>
                <w:highlight w:val="none"/>
              </w:rPr>
            </w:pPr>
            <w:r>
              <w:rPr>
                <w:rFonts w:hint="eastAsia" w:ascii="宋体" w:hAnsi="宋体"/>
                <w:highlight w:val="none"/>
              </w:rPr>
              <w:t>服务人员名单</w:t>
            </w:r>
          </w:p>
        </w:tc>
        <w:tc>
          <w:tcPr>
            <w:tcW w:w="1155" w:type="dxa"/>
          </w:tcPr>
          <w:p>
            <w:pPr>
              <w:rPr>
                <w:rFonts w:ascii="宋体" w:hAnsi="宋体"/>
                <w:highlight w:val="none"/>
              </w:rPr>
            </w:pPr>
          </w:p>
        </w:tc>
        <w:tc>
          <w:tcPr>
            <w:tcW w:w="1785" w:type="dxa"/>
          </w:tcPr>
          <w:p>
            <w:pPr>
              <w:rPr>
                <w:rFonts w:ascii="宋体" w:hAnsi="宋体"/>
                <w:highlight w:val="none"/>
              </w:rPr>
            </w:pPr>
          </w:p>
        </w:tc>
        <w:tc>
          <w:tcPr>
            <w:tcW w:w="1155" w:type="dxa"/>
          </w:tcPr>
          <w:p>
            <w:pPr>
              <w:rPr>
                <w:rFonts w:ascii="宋体" w:hAnsi="宋体"/>
                <w:highlight w:val="none"/>
              </w:rPr>
            </w:pPr>
          </w:p>
        </w:tc>
        <w:tc>
          <w:tcPr>
            <w:tcW w:w="2545" w:type="dxa"/>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7" w:type="dxa"/>
            <w:vMerge w:val="continue"/>
          </w:tcPr>
          <w:p>
            <w:pPr>
              <w:rPr>
                <w:rFonts w:ascii="宋体" w:hAnsi="宋体"/>
                <w:highlight w:val="none"/>
              </w:rPr>
            </w:pPr>
          </w:p>
        </w:tc>
        <w:tc>
          <w:tcPr>
            <w:tcW w:w="467" w:type="dxa"/>
            <w:vMerge w:val="continue"/>
          </w:tcPr>
          <w:p>
            <w:pPr>
              <w:rPr>
                <w:rFonts w:ascii="宋体" w:hAnsi="宋体"/>
                <w:highlight w:val="none"/>
              </w:rPr>
            </w:pPr>
          </w:p>
        </w:tc>
        <w:tc>
          <w:tcPr>
            <w:tcW w:w="793" w:type="dxa"/>
            <w:vMerge w:val="continue"/>
          </w:tcPr>
          <w:p>
            <w:pPr>
              <w:rPr>
                <w:rFonts w:ascii="宋体" w:hAnsi="宋体"/>
                <w:highlight w:val="none"/>
              </w:rPr>
            </w:pPr>
          </w:p>
        </w:tc>
        <w:tc>
          <w:tcPr>
            <w:tcW w:w="1155" w:type="dxa"/>
          </w:tcPr>
          <w:p>
            <w:pPr>
              <w:rPr>
                <w:rFonts w:ascii="宋体" w:hAnsi="宋体"/>
                <w:highlight w:val="none"/>
              </w:rPr>
            </w:pPr>
          </w:p>
        </w:tc>
        <w:tc>
          <w:tcPr>
            <w:tcW w:w="1785" w:type="dxa"/>
          </w:tcPr>
          <w:p>
            <w:pPr>
              <w:rPr>
                <w:rFonts w:ascii="宋体" w:hAnsi="宋体"/>
                <w:highlight w:val="none"/>
              </w:rPr>
            </w:pPr>
          </w:p>
        </w:tc>
        <w:tc>
          <w:tcPr>
            <w:tcW w:w="1155" w:type="dxa"/>
          </w:tcPr>
          <w:p>
            <w:pPr>
              <w:rPr>
                <w:rFonts w:ascii="宋体" w:hAnsi="宋体"/>
                <w:highlight w:val="none"/>
              </w:rPr>
            </w:pPr>
          </w:p>
        </w:tc>
        <w:tc>
          <w:tcPr>
            <w:tcW w:w="2545" w:type="dxa"/>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7" w:type="dxa"/>
            <w:vMerge w:val="continue"/>
          </w:tcPr>
          <w:p>
            <w:pPr>
              <w:rPr>
                <w:rFonts w:ascii="宋体" w:hAnsi="宋体"/>
                <w:highlight w:val="none"/>
              </w:rPr>
            </w:pPr>
          </w:p>
        </w:tc>
        <w:tc>
          <w:tcPr>
            <w:tcW w:w="467" w:type="dxa"/>
            <w:vMerge w:val="continue"/>
          </w:tcPr>
          <w:p>
            <w:pPr>
              <w:rPr>
                <w:rFonts w:ascii="宋体" w:hAnsi="宋体"/>
                <w:highlight w:val="none"/>
              </w:rPr>
            </w:pPr>
          </w:p>
        </w:tc>
        <w:tc>
          <w:tcPr>
            <w:tcW w:w="793" w:type="dxa"/>
            <w:vMerge w:val="continue"/>
          </w:tcPr>
          <w:p>
            <w:pPr>
              <w:rPr>
                <w:rFonts w:ascii="宋体" w:hAnsi="宋体"/>
                <w:highlight w:val="none"/>
              </w:rPr>
            </w:pPr>
          </w:p>
        </w:tc>
        <w:tc>
          <w:tcPr>
            <w:tcW w:w="1155" w:type="dxa"/>
          </w:tcPr>
          <w:p>
            <w:pPr>
              <w:rPr>
                <w:rFonts w:ascii="宋体" w:hAnsi="宋体"/>
                <w:highlight w:val="none"/>
              </w:rPr>
            </w:pPr>
          </w:p>
        </w:tc>
        <w:tc>
          <w:tcPr>
            <w:tcW w:w="1785" w:type="dxa"/>
          </w:tcPr>
          <w:p>
            <w:pPr>
              <w:rPr>
                <w:rFonts w:ascii="宋体" w:hAnsi="宋体"/>
                <w:highlight w:val="none"/>
              </w:rPr>
            </w:pPr>
          </w:p>
        </w:tc>
        <w:tc>
          <w:tcPr>
            <w:tcW w:w="3700" w:type="dxa"/>
            <w:gridSpan w:val="2"/>
          </w:tcPr>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447" w:type="dxa"/>
            <w:gridSpan w:val="7"/>
          </w:tcPr>
          <w:p>
            <w:pPr>
              <w:rPr>
                <w:rFonts w:ascii="宋体" w:hAnsi="宋体"/>
                <w:highlight w:val="none"/>
              </w:rPr>
            </w:pPr>
            <w:r>
              <w:rPr>
                <w:rFonts w:hint="eastAsia" w:ascii="宋体" w:hAnsi="宋体"/>
                <w:highlight w:val="none"/>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447" w:type="dxa"/>
            <w:gridSpan w:val="7"/>
            <w:vAlign w:val="center"/>
          </w:tcPr>
          <w:p>
            <w:pPr>
              <w:rPr>
                <w:rFonts w:ascii="宋体" w:hAnsi="宋体"/>
                <w:highlight w:val="none"/>
              </w:rPr>
            </w:pPr>
            <w:r>
              <w:rPr>
                <w:rFonts w:hint="eastAsia" w:ascii="宋体" w:hAnsi="宋体"/>
                <w:highlight w:val="none"/>
              </w:rPr>
              <w:t>备注：具有合作伙伴的应填写合作伙伴的相关资料，并提供双方的合作协议以及合作伙伴的营业执照等证明文件。（如有相关资料请附本表后）</w:t>
            </w:r>
          </w:p>
        </w:tc>
      </w:tr>
    </w:tbl>
    <w:p>
      <w:pPr>
        <w:ind w:firstLine="3780" w:firstLineChars="1800"/>
        <w:rPr>
          <w:rFonts w:ascii="宋体" w:hAnsi="宋体"/>
          <w:highlight w:val="none"/>
        </w:rPr>
      </w:pPr>
    </w:p>
    <w:p>
      <w:pPr>
        <w:ind w:firstLine="3780" w:firstLineChars="1800"/>
        <w:rPr>
          <w:rFonts w:ascii="宋体" w:hAnsi="宋体"/>
          <w:b/>
          <w:sz w:val="36"/>
          <w:highlight w:val="none"/>
        </w:rPr>
      </w:pPr>
      <w:r>
        <w:rPr>
          <w:rFonts w:hint="eastAsia" w:ascii="宋体" w:hAnsi="宋体"/>
          <w:highlight w:val="none"/>
        </w:rPr>
        <w:t xml:space="preserve">投标人（全称并加盖公章）：  </w:t>
      </w:r>
      <w:r>
        <w:rPr>
          <w:rFonts w:hint="eastAsia" w:ascii="宋体" w:hAnsi="宋体"/>
          <w:highlight w:val="none"/>
          <w:u w:val="single"/>
        </w:rPr>
        <w:t xml:space="preserve">                  </w:t>
      </w:r>
    </w:p>
    <w:p>
      <w:pPr>
        <w:spacing w:line="380" w:lineRule="exact"/>
        <w:jc w:val="center"/>
        <w:rPr>
          <w:rFonts w:ascii="宋体" w:hAnsi="宋体"/>
          <w:b/>
          <w:sz w:val="32"/>
          <w:szCs w:val="32"/>
          <w:highlight w:val="none"/>
        </w:rPr>
      </w:pPr>
      <w:r>
        <w:rPr>
          <w:rFonts w:hint="eastAsia" w:ascii="宋体" w:hAnsi="宋体"/>
          <w:highlight w:val="none"/>
        </w:rPr>
        <w:t xml:space="preserve">          投标人代表签字：  </w:t>
      </w:r>
      <w:r>
        <w:rPr>
          <w:rFonts w:hint="eastAsia" w:ascii="宋体" w:hAnsi="宋体"/>
          <w:highlight w:val="none"/>
          <w:u w:val="single"/>
        </w:rPr>
        <w:t xml:space="preserve">                         </w:t>
      </w:r>
    </w:p>
    <w:p>
      <w:pPr>
        <w:spacing w:line="380" w:lineRule="exact"/>
        <w:rPr>
          <w:rFonts w:ascii="宋体" w:hAnsi="宋体" w:cs="宋体"/>
          <w:b/>
          <w:bCs/>
          <w:sz w:val="36"/>
          <w:szCs w:val="36"/>
          <w:highlight w:val="none"/>
        </w:rPr>
      </w:pPr>
      <w:r>
        <w:rPr>
          <w:rFonts w:hint="eastAsia" w:ascii="宋体" w:hAnsi="宋体" w:cs="宋体"/>
          <w:highlight w:val="none"/>
        </w:rPr>
        <w:t>附件6、</w:t>
      </w:r>
    </w:p>
    <w:p>
      <w:pPr>
        <w:spacing w:line="380" w:lineRule="exact"/>
        <w:jc w:val="center"/>
        <w:rPr>
          <w:rFonts w:ascii="宋体" w:hAnsi="宋体" w:cs="宋体"/>
          <w:sz w:val="36"/>
          <w:szCs w:val="36"/>
          <w:highlight w:val="none"/>
        </w:rPr>
      </w:pPr>
    </w:p>
    <w:p>
      <w:pPr>
        <w:spacing w:line="380" w:lineRule="exact"/>
        <w:jc w:val="center"/>
        <w:rPr>
          <w:rFonts w:ascii="宋体" w:hAnsi="宋体" w:cs="宋体"/>
          <w:sz w:val="32"/>
          <w:szCs w:val="32"/>
          <w:highlight w:val="none"/>
        </w:rPr>
      </w:pPr>
      <w:r>
        <w:rPr>
          <w:rFonts w:hint="eastAsia" w:ascii="宋体" w:hAnsi="宋体" w:cs="宋体"/>
          <w:b/>
          <w:bCs/>
          <w:sz w:val="32"/>
          <w:szCs w:val="32"/>
          <w:highlight w:val="none"/>
        </w:rPr>
        <w:t>投标人的资格证明文件</w:t>
      </w:r>
    </w:p>
    <w:p>
      <w:pPr>
        <w:pStyle w:val="95"/>
        <w:ind w:firstLine="640"/>
        <w:rPr>
          <w:rFonts w:hAnsi="宋体"/>
          <w:sz w:val="32"/>
          <w:szCs w:val="32"/>
          <w:highlight w:val="none"/>
        </w:rPr>
      </w:pPr>
    </w:p>
    <w:p>
      <w:pPr>
        <w:spacing w:line="380" w:lineRule="exact"/>
        <w:jc w:val="center"/>
        <w:rPr>
          <w:rFonts w:ascii="宋体" w:hAnsi="宋体" w:cs="宋体"/>
          <w:b/>
          <w:bCs/>
          <w:sz w:val="30"/>
          <w:szCs w:val="30"/>
          <w:highlight w:val="none"/>
        </w:rPr>
      </w:pPr>
      <w:r>
        <w:rPr>
          <w:rFonts w:hint="eastAsia" w:ascii="宋体" w:hAnsi="宋体" w:cs="宋体"/>
          <w:b/>
          <w:bCs/>
          <w:sz w:val="30"/>
          <w:szCs w:val="30"/>
          <w:highlight w:val="none"/>
        </w:rPr>
        <w:t>6-1、关于资格的声明函</w:t>
      </w:r>
    </w:p>
    <w:p>
      <w:pPr>
        <w:spacing w:line="380" w:lineRule="exact"/>
        <w:jc w:val="center"/>
        <w:rPr>
          <w:rFonts w:ascii="宋体" w:hAnsi="宋体" w:cs="宋体"/>
          <w:sz w:val="24"/>
          <w:szCs w:val="24"/>
          <w:highlight w:val="none"/>
        </w:rPr>
      </w:pPr>
      <w:r>
        <w:rPr>
          <w:rFonts w:hint="eastAsia" w:ascii="宋体" w:hAnsi="宋体" w:cs="宋体"/>
          <w:sz w:val="36"/>
          <w:szCs w:val="36"/>
          <w:highlight w:val="none"/>
        </w:rPr>
        <w:br w:type="textWrapping"/>
      </w:r>
    </w:p>
    <w:p>
      <w:pPr>
        <w:spacing w:line="380" w:lineRule="exact"/>
        <w:rPr>
          <w:rFonts w:ascii="宋体" w:hAnsi="宋体" w:cs="宋体"/>
          <w:sz w:val="24"/>
          <w:szCs w:val="24"/>
          <w:highlight w:val="none"/>
        </w:rPr>
      </w:pPr>
      <w:r>
        <w:rPr>
          <w:rFonts w:hint="eastAsia" w:ascii="宋体" w:hAnsi="宋体" w:cs="宋体"/>
          <w:sz w:val="24"/>
          <w:szCs w:val="24"/>
          <w:highlight w:val="none"/>
          <w:u w:val="single"/>
        </w:rPr>
        <w:t>福建省中达招标代理有限公司</w:t>
      </w:r>
      <w:r>
        <w:rPr>
          <w:rFonts w:hint="eastAsia" w:ascii="宋体" w:hAnsi="宋体" w:cs="宋体"/>
          <w:sz w:val="24"/>
          <w:szCs w:val="24"/>
          <w:highlight w:val="none"/>
        </w:rPr>
        <w:t>：</w:t>
      </w:r>
    </w:p>
    <w:p>
      <w:pPr>
        <w:spacing w:line="380" w:lineRule="exact"/>
        <w:rPr>
          <w:rFonts w:ascii="宋体" w:hAnsi="宋体" w:cs="宋体"/>
          <w:sz w:val="24"/>
          <w:szCs w:val="24"/>
          <w:highlight w:val="none"/>
        </w:rPr>
      </w:pPr>
    </w:p>
    <w:p>
      <w:pPr>
        <w:spacing w:line="500" w:lineRule="exact"/>
        <w:ind w:firstLine="600" w:firstLineChars="250"/>
        <w:rPr>
          <w:rFonts w:ascii="宋体" w:hAnsi="宋体" w:cs="宋体"/>
          <w:sz w:val="24"/>
          <w:szCs w:val="24"/>
          <w:highlight w:val="none"/>
        </w:rPr>
      </w:pPr>
      <w:r>
        <w:rPr>
          <w:rFonts w:hint="eastAsia" w:ascii="宋体" w:hAnsi="宋体" w:cs="宋体"/>
          <w:sz w:val="24"/>
          <w:szCs w:val="24"/>
          <w:highlight w:val="none"/>
        </w:rPr>
        <w:t>关于贵方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日第</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（项目编号）投标邀请，本签字人愿意参加投标，提供招标文件“招标内容及要求”中规定的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（合同包）</w:t>
      </w:r>
      <w:r>
        <w:rPr>
          <w:rFonts w:hint="eastAsia" w:ascii="宋体" w:hAnsi="宋体" w:cs="宋体"/>
          <w:sz w:val="24"/>
          <w:szCs w:val="24"/>
          <w:highlight w:val="none"/>
          <w:u w:val="single"/>
        </w:rPr>
        <w:t xml:space="preserve">         </w:t>
      </w:r>
      <w:r>
        <w:rPr>
          <w:rFonts w:hint="eastAsia" w:ascii="宋体" w:hAnsi="宋体" w:cs="宋体"/>
          <w:sz w:val="24"/>
          <w:szCs w:val="24"/>
          <w:highlight w:val="none"/>
        </w:rPr>
        <w:t>（货物或服务名称），本签字人确认资格文件中的说明以及投标文件中所有提交的文件和材料是真实的、准确的。</w:t>
      </w:r>
    </w:p>
    <w:p>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pPr>
        <w:spacing w:line="380" w:lineRule="exact"/>
        <w:ind w:firstLine="420" w:firstLineChars="200"/>
        <w:rPr>
          <w:rFonts w:ascii="宋体" w:hAnsi="宋体" w:cs="宋体"/>
          <w:highlight w:val="none"/>
        </w:rPr>
      </w:pPr>
      <w:r>
        <w:rPr>
          <w:rFonts w:hint="eastAsia" w:ascii="宋体" w:hAnsi="宋体" w:cs="宋体"/>
          <w:highlight w:val="none"/>
        </w:rPr>
        <w:t xml:space="preserve"> </w:t>
      </w:r>
    </w:p>
    <w:p>
      <w:pPr>
        <w:spacing w:line="380" w:lineRule="exact"/>
        <w:rPr>
          <w:rFonts w:ascii="宋体" w:hAnsi="宋体" w:cs="宋体"/>
          <w:highlight w:val="none"/>
        </w:rPr>
      </w:pPr>
      <w:r>
        <w:rPr>
          <w:rFonts w:hint="eastAsia" w:ascii="宋体" w:hAnsi="宋体" w:cs="宋体"/>
          <w:highlight w:val="none"/>
        </w:rPr>
        <w:t xml:space="preserve">    </w:t>
      </w:r>
    </w:p>
    <w:p>
      <w:pPr>
        <w:spacing w:line="380" w:lineRule="exact"/>
        <w:rPr>
          <w:rFonts w:ascii="宋体" w:hAnsi="宋体" w:cs="宋体"/>
          <w:highlight w:val="none"/>
        </w:rPr>
      </w:pPr>
    </w:p>
    <w:p>
      <w:pPr>
        <w:spacing w:line="380" w:lineRule="exact"/>
        <w:rPr>
          <w:rFonts w:ascii="宋体" w:hAnsi="宋体" w:cs="宋体"/>
          <w:highlight w:val="none"/>
        </w:rPr>
      </w:pPr>
    </w:p>
    <w:p>
      <w:pPr>
        <w:spacing w:line="380" w:lineRule="exact"/>
        <w:rPr>
          <w:rFonts w:ascii="宋体" w:hAnsi="宋体" w:cs="宋体"/>
          <w:highlight w:val="none"/>
        </w:rPr>
      </w:pPr>
    </w:p>
    <w:p>
      <w:pPr>
        <w:spacing w:line="380" w:lineRule="exact"/>
        <w:rPr>
          <w:rFonts w:ascii="宋体" w:hAnsi="宋体" w:cs="宋体"/>
          <w:highlight w:val="none"/>
        </w:rPr>
      </w:pPr>
    </w:p>
    <w:p>
      <w:pPr>
        <w:spacing w:line="500" w:lineRule="exact"/>
        <w:rPr>
          <w:rFonts w:ascii="宋体" w:hAnsi="宋体" w:cs="宋体"/>
          <w:highlight w:val="none"/>
        </w:rPr>
      </w:pPr>
      <w:r>
        <w:rPr>
          <w:rFonts w:hint="eastAsia" w:ascii="宋体" w:hAnsi="宋体" w:cs="宋体"/>
          <w:highlight w:val="none"/>
        </w:rPr>
        <w:t>投标人（全称并加盖公章）：</w:t>
      </w:r>
      <w:r>
        <w:rPr>
          <w:rFonts w:hint="eastAsia" w:ascii="宋体" w:hAnsi="宋体" w:cs="宋体"/>
          <w:highlight w:val="none"/>
          <w:u w:val="single"/>
        </w:rPr>
        <w:t xml:space="preserve">                   </w:t>
      </w:r>
      <w:r>
        <w:rPr>
          <w:rFonts w:hint="eastAsia" w:ascii="宋体" w:hAnsi="宋体" w:cs="宋体"/>
          <w:highlight w:val="none"/>
        </w:rPr>
        <w:t xml:space="preserve">                    </w:t>
      </w:r>
    </w:p>
    <w:p>
      <w:pPr>
        <w:spacing w:line="500" w:lineRule="exact"/>
        <w:rPr>
          <w:rFonts w:ascii="宋体" w:hAnsi="宋体" w:cs="宋体"/>
          <w:highlight w:val="none"/>
          <w:u w:val="single"/>
        </w:rPr>
      </w:pPr>
      <w:r>
        <w:rPr>
          <w:rFonts w:hint="eastAsia" w:ascii="宋体" w:hAnsi="宋体" w:cs="宋体"/>
          <w:highlight w:val="none"/>
        </w:rPr>
        <w:t xml:space="preserve">投标人代表签字： </w:t>
      </w:r>
      <w:r>
        <w:rPr>
          <w:rFonts w:hint="eastAsia" w:ascii="宋体" w:hAnsi="宋体" w:cs="宋体"/>
          <w:highlight w:val="none"/>
          <w:u w:val="single"/>
        </w:rPr>
        <w:t xml:space="preserve">                           </w:t>
      </w:r>
    </w:p>
    <w:p>
      <w:pPr>
        <w:spacing w:line="500" w:lineRule="exact"/>
        <w:rPr>
          <w:rFonts w:ascii="宋体" w:hAnsi="宋体" w:cs="宋体"/>
          <w:highlight w:val="none"/>
        </w:rPr>
        <w:sectPr>
          <w:pgSz w:w="11907" w:h="16840"/>
          <w:pgMar w:top="1361" w:right="1469" w:bottom="1440" w:left="1440" w:header="851" w:footer="992" w:gutter="0"/>
          <w:cols w:space="720" w:num="1"/>
          <w:docGrid w:linePitch="323" w:charSpace="-2"/>
        </w:sectPr>
      </w:pPr>
      <w:r>
        <w:rPr>
          <w:rFonts w:hint="eastAsia" w:ascii="宋体" w:hAnsi="宋体" w:cs="宋体"/>
          <w:highlight w:val="none"/>
        </w:rPr>
        <w:t>日          期</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sz w:val="24"/>
          <w:szCs w:val="24"/>
          <w:highlight w:val="none"/>
        </w:rPr>
        <w:t xml:space="preserve">                       </w:t>
      </w:r>
    </w:p>
    <w:p>
      <w:pPr>
        <w:pStyle w:val="95"/>
        <w:ind w:firstLine="602"/>
        <w:jc w:val="center"/>
        <w:rPr>
          <w:rFonts w:hAnsi="宋体"/>
          <w:b/>
          <w:bCs/>
          <w:sz w:val="30"/>
          <w:szCs w:val="30"/>
          <w:highlight w:val="none"/>
        </w:rPr>
      </w:pPr>
    </w:p>
    <w:p>
      <w:pPr>
        <w:pStyle w:val="95"/>
        <w:ind w:firstLine="602"/>
        <w:jc w:val="center"/>
        <w:rPr>
          <w:rFonts w:hAnsi="宋体"/>
          <w:sz w:val="30"/>
          <w:szCs w:val="30"/>
          <w:highlight w:val="none"/>
        </w:rPr>
      </w:pPr>
      <w:r>
        <w:rPr>
          <w:rFonts w:hint="eastAsia" w:hAnsi="宋体"/>
          <w:b/>
          <w:bCs/>
          <w:sz w:val="30"/>
          <w:szCs w:val="30"/>
          <w:highlight w:val="none"/>
        </w:rPr>
        <w:t>6-2、营业执照</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spacing w:line="380" w:lineRule="exact"/>
        <w:rPr>
          <w:rFonts w:ascii="宋体" w:hAnsi="宋体" w:cs="宋体"/>
          <w:sz w:val="24"/>
          <w:szCs w:val="24"/>
          <w:highlight w:val="none"/>
        </w:rPr>
      </w:pPr>
      <w:r>
        <w:rPr>
          <w:rFonts w:hint="eastAsia" w:ascii="宋体" w:hAnsi="宋体" w:cs="宋体"/>
          <w:highlight w:val="none"/>
        </w:rPr>
        <w:t>致：</w:t>
      </w:r>
      <w:r>
        <w:rPr>
          <w:rFonts w:hint="eastAsia" w:ascii="宋体" w:hAnsi="宋体" w:cs="宋体"/>
          <w:sz w:val="24"/>
          <w:szCs w:val="24"/>
          <w:highlight w:val="none"/>
          <w:u w:val="single"/>
        </w:rPr>
        <w:t>福建省中达招标代理有限公司</w:t>
      </w:r>
      <w:r>
        <w:rPr>
          <w:rFonts w:hint="eastAsia" w:ascii="宋体" w:hAnsi="宋体" w:cs="宋体"/>
          <w:sz w:val="24"/>
          <w:szCs w:val="24"/>
          <w:highlight w:val="none"/>
        </w:rPr>
        <w:t>：</w:t>
      </w:r>
    </w:p>
    <w:p>
      <w:pPr>
        <w:pStyle w:val="26"/>
        <w:rPr>
          <w:sz w:val="21"/>
          <w:szCs w:val="21"/>
          <w:highlight w:val="none"/>
        </w:rPr>
      </w:pPr>
      <w:r>
        <w:rPr>
          <w:rFonts w:hint="eastAsia"/>
          <w:sz w:val="21"/>
          <w:szCs w:val="21"/>
          <w:highlight w:val="none"/>
        </w:rPr>
        <w:t xml:space="preserve"> </w:t>
      </w:r>
    </w:p>
    <w:p>
      <w:pPr>
        <w:pStyle w:val="26"/>
        <w:ind w:firstLine="420" w:firstLineChars="200"/>
        <w:rPr>
          <w:highlight w:val="none"/>
        </w:rPr>
      </w:pPr>
      <w:r>
        <w:rPr>
          <w:rFonts w:hint="eastAsia"/>
          <w:sz w:val="21"/>
          <w:szCs w:val="21"/>
          <w:highlight w:val="none"/>
        </w:rPr>
        <w:t>（ ）投标人为法人（包括企业、事业单位和社会团体）的</w:t>
      </w:r>
    </w:p>
    <w:p>
      <w:pPr>
        <w:pStyle w:val="26"/>
        <w:ind w:firstLine="420"/>
        <w:rPr>
          <w:highlight w:val="none"/>
        </w:rPr>
      </w:pPr>
      <w:r>
        <w:rPr>
          <w:rFonts w:hint="eastAsia"/>
          <w:sz w:val="21"/>
          <w:szCs w:val="21"/>
          <w:highlight w:val="none"/>
        </w:rPr>
        <w:t>现附上由</w:t>
      </w:r>
      <w:r>
        <w:rPr>
          <w:rFonts w:hint="eastAsia"/>
          <w:sz w:val="21"/>
          <w:szCs w:val="21"/>
          <w:highlight w:val="none"/>
          <w:u w:val="single"/>
        </w:rPr>
        <w:t>（填写“签发机关全称”）</w:t>
      </w:r>
      <w:r>
        <w:rPr>
          <w:rFonts w:hint="eastAsia"/>
          <w:sz w:val="21"/>
          <w:szCs w:val="21"/>
          <w:highlight w:val="none"/>
        </w:rPr>
        <w:t>签发的我方统一社会信用代码</w:t>
      </w:r>
      <w:r>
        <w:rPr>
          <w:rFonts w:hint="eastAsia"/>
          <w:sz w:val="21"/>
          <w:szCs w:val="21"/>
          <w:highlight w:val="none"/>
          <w:u w:val="single"/>
        </w:rPr>
        <w:t>（请填写法人的具体证照名称）</w:t>
      </w:r>
      <w:r>
        <w:rPr>
          <w:rFonts w:hint="eastAsia"/>
          <w:sz w:val="21"/>
          <w:szCs w:val="21"/>
          <w:highlight w:val="none"/>
        </w:rPr>
        <w:t>复印件，该证明材料真实有效，否则我方负全部责任。</w:t>
      </w:r>
    </w:p>
    <w:p>
      <w:pPr>
        <w:pStyle w:val="26"/>
        <w:ind w:firstLine="420"/>
        <w:rPr>
          <w:highlight w:val="none"/>
        </w:rPr>
      </w:pPr>
      <w:r>
        <w:rPr>
          <w:rFonts w:hint="eastAsia"/>
          <w:sz w:val="21"/>
          <w:szCs w:val="21"/>
          <w:highlight w:val="none"/>
        </w:rPr>
        <w:t>（ ）投标人为非法人（包括其他组织、自然人）的</w:t>
      </w:r>
    </w:p>
    <w:p>
      <w:pPr>
        <w:pStyle w:val="26"/>
        <w:ind w:firstLine="420"/>
        <w:rPr>
          <w:highlight w:val="none"/>
        </w:rPr>
      </w:pPr>
      <w:r>
        <w:rPr>
          <w:rFonts w:hint="eastAsia"/>
          <w:sz w:val="21"/>
          <w:szCs w:val="21"/>
          <w:highlight w:val="none"/>
        </w:rPr>
        <w:t>□现附上由</w:t>
      </w:r>
      <w:r>
        <w:rPr>
          <w:rFonts w:hint="eastAsia"/>
          <w:sz w:val="21"/>
          <w:szCs w:val="21"/>
          <w:highlight w:val="none"/>
          <w:u w:val="single"/>
        </w:rPr>
        <w:t>（填写“签发机关全称”）</w:t>
      </w:r>
      <w:r>
        <w:rPr>
          <w:rFonts w:hint="eastAsia"/>
          <w:sz w:val="21"/>
          <w:szCs w:val="21"/>
          <w:highlight w:val="none"/>
        </w:rPr>
        <w:t>签发的我方</w:t>
      </w:r>
      <w:r>
        <w:rPr>
          <w:rFonts w:hint="eastAsia"/>
          <w:sz w:val="21"/>
          <w:szCs w:val="21"/>
          <w:highlight w:val="none"/>
          <w:u w:val="single"/>
        </w:rPr>
        <w:t>（请填写非自然人的非法人的具体证照名称）</w:t>
      </w:r>
      <w:r>
        <w:rPr>
          <w:rFonts w:hint="eastAsia"/>
          <w:sz w:val="21"/>
          <w:szCs w:val="21"/>
          <w:highlight w:val="none"/>
        </w:rPr>
        <w:t>复印件，该证明材料真实有效，否则我方负全部责任。</w:t>
      </w:r>
    </w:p>
    <w:p>
      <w:pPr>
        <w:pStyle w:val="26"/>
        <w:ind w:firstLine="420"/>
        <w:rPr>
          <w:highlight w:val="none"/>
        </w:rPr>
      </w:pPr>
      <w:r>
        <w:rPr>
          <w:rFonts w:hint="eastAsia"/>
          <w:sz w:val="21"/>
          <w:szCs w:val="21"/>
          <w:highlight w:val="none"/>
        </w:rPr>
        <w:t>□现附上由</w:t>
      </w:r>
      <w:r>
        <w:rPr>
          <w:rFonts w:hint="eastAsia"/>
          <w:sz w:val="21"/>
          <w:szCs w:val="21"/>
          <w:highlight w:val="none"/>
          <w:u w:val="single"/>
        </w:rPr>
        <w:t>（填写“签发机关全称”）</w:t>
      </w:r>
      <w:r>
        <w:rPr>
          <w:rFonts w:hint="eastAsia"/>
          <w:sz w:val="21"/>
          <w:szCs w:val="21"/>
          <w:highlight w:val="none"/>
        </w:rPr>
        <w:t>签发的我方</w:t>
      </w:r>
      <w:r>
        <w:rPr>
          <w:rFonts w:hint="eastAsia"/>
          <w:sz w:val="21"/>
          <w:szCs w:val="21"/>
          <w:highlight w:val="none"/>
          <w:u w:val="single"/>
        </w:rPr>
        <w:t>（请填写自然人的身份证件名称）</w:t>
      </w:r>
      <w:r>
        <w:rPr>
          <w:rFonts w:hint="eastAsia"/>
          <w:sz w:val="21"/>
          <w:szCs w:val="21"/>
          <w:highlight w:val="none"/>
        </w:rPr>
        <w:t>复印件，该证明材料真实有效，否则我方负全部责任。</w:t>
      </w:r>
    </w:p>
    <w:p>
      <w:pPr>
        <w:pStyle w:val="26"/>
        <w:rPr>
          <w:highlight w:val="none"/>
        </w:rPr>
      </w:pPr>
      <w:r>
        <w:rPr>
          <w:rFonts w:hint="eastAsia"/>
          <w:sz w:val="21"/>
          <w:szCs w:val="21"/>
          <w:highlight w:val="none"/>
        </w:rPr>
        <w:t> </w:t>
      </w:r>
    </w:p>
    <w:p>
      <w:pPr>
        <w:pStyle w:val="26"/>
        <w:rPr>
          <w:highlight w:val="none"/>
        </w:rPr>
      </w:pPr>
      <w:r>
        <w:rPr>
          <w:rFonts w:hint="eastAsia"/>
          <w:sz w:val="21"/>
          <w:szCs w:val="21"/>
          <w:highlight w:val="none"/>
        </w:rPr>
        <w:t>★注意：</w:t>
      </w:r>
    </w:p>
    <w:p>
      <w:pPr>
        <w:pStyle w:val="26"/>
        <w:rPr>
          <w:highlight w:val="none"/>
        </w:rPr>
      </w:pPr>
      <w:r>
        <w:rPr>
          <w:rFonts w:hint="eastAsia"/>
          <w:sz w:val="21"/>
          <w:szCs w:val="21"/>
          <w:highlight w:val="none"/>
        </w:rPr>
        <w:t>1、请投标人根据实际情况填写，在相应的（）中打“√”并选择相应的“□”（若有）后，再按照本格式的要求提供相应证明材料的复印件。</w:t>
      </w:r>
    </w:p>
    <w:p>
      <w:pPr>
        <w:pStyle w:val="26"/>
        <w:rPr>
          <w:highlight w:val="none"/>
        </w:rPr>
      </w:pPr>
      <w:r>
        <w:rPr>
          <w:rFonts w:hint="eastAsia"/>
          <w:sz w:val="21"/>
          <w:szCs w:val="21"/>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具体要求以第一章投标人的资格要求为准。</w:t>
      </w:r>
    </w:p>
    <w:p>
      <w:pPr>
        <w:pStyle w:val="26"/>
        <w:rPr>
          <w:highlight w:val="none"/>
        </w:rPr>
      </w:pPr>
      <w:r>
        <w:rPr>
          <w:rFonts w:hint="eastAsia"/>
          <w:sz w:val="21"/>
          <w:szCs w:val="21"/>
          <w:highlight w:val="none"/>
        </w:rPr>
        <w:t>3、投标人提供的相应证明材料复印件均应符合：内容完整、清晰、整洁，并由投标人加盖其单位公章。</w:t>
      </w:r>
    </w:p>
    <w:p>
      <w:pPr>
        <w:rPr>
          <w:rFonts w:ascii="宋体" w:hAnsi="宋体" w:cs="宋体"/>
          <w:kern w:val="0"/>
          <w:highlight w:val="none"/>
        </w:rPr>
      </w:pPr>
      <w:r>
        <w:rPr>
          <w:rFonts w:hint="eastAsia" w:ascii="宋体" w:hAnsi="宋体" w:cs="宋体"/>
          <w:kern w:val="0"/>
          <w:highlight w:val="none"/>
        </w:rPr>
        <w:t>4、制作时删除注意内容。</w:t>
      </w:r>
    </w:p>
    <w:p>
      <w:pPr>
        <w:spacing w:line="380" w:lineRule="exact"/>
        <w:rPr>
          <w:rFonts w:ascii="宋体" w:hAnsi="宋体" w:cs="宋体"/>
          <w:sz w:val="24"/>
          <w:szCs w:val="24"/>
          <w:highlight w:val="none"/>
        </w:rPr>
      </w:pPr>
    </w:p>
    <w:p>
      <w:pPr>
        <w:spacing w:line="380" w:lineRule="exact"/>
        <w:rPr>
          <w:rFonts w:ascii="宋体" w:hAnsi="宋体" w:cs="宋体"/>
          <w:sz w:val="24"/>
          <w:szCs w:val="24"/>
          <w:highlight w:val="none"/>
        </w:rPr>
      </w:pPr>
    </w:p>
    <w:p>
      <w:pPr>
        <w:spacing w:line="380" w:lineRule="exact"/>
        <w:rPr>
          <w:rFonts w:ascii="宋体" w:hAnsi="宋体" w:cs="宋体"/>
          <w:sz w:val="24"/>
          <w:szCs w:val="24"/>
          <w:highlight w:val="none"/>
        </w:rPr>
      </w:pPr>
    </w:p>
    <w:p>
      <w:pPr>
        <w:spacing w:line="380" w:lineRule="exact"/>
        <w:rPr>
          <w:rFonts w:ascii="宋体" w:hAnsi="宋体" w:cs="宋体"/>
          <w:sz w:val="24"/>
          <w:szCs w:val="24"/>
          <w:highlight w:val="none"/>
        </w:rPr>
      </w:pPr>
      <w:r>
        <w:rPr>
          <w:rFonts w:hint="eastAsia" w:ascii="宋体" w:hAnsi="宋体" w:cs="宋体"/>
          <w:sz w:val="24"/>
          <w:szCs w:val="24"/>
          <w:highlight w:val="none"/>
        </w:rPr>
        <w:t xml:space="preserve">                         投 标 人（全称并加盖公章）：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380" w:lineRule="exact"/>
        <w:rPr>
          <w:rFonts w:ascii="宋体" w:hAnsi="宋体" w:cs="宋体"/>
          <w:sz w:val="24"/>
          <w:szCs w:val="24"/>
          <w:highlight w:val="none"/>
        </w:rPr>
      </w:pPr>
      <w:r>
        <w:rPr>
          <w:rFonts w:hint="eastAsia" w:ascii="宋体" w:hAnsi="宋体" w:cs="宋体"/>
          <w:sz w:val="24"/>
          <w:szCs w:val="24"/>
          <w:highlight w:val="none"/>
        </w:rPr>
        <w:t xml:space="preserve">                         投标人代表签字：</w:t>
      </w:r>
      <w:r>
        <w:rPr>
          <w:rFonts w:hint="eastAsia" w:ascii="宋体" w:hAnsi="宋体" w:cs="宋体"/>
          <w:sz w:val="24"/>
          <w:szCs w:val="24"/>
          <w:highlight w:val="none"/>
          <w:u w:val="single"/>
        </w:rPr>
        <w:t xml:space="preserve">                            </w:t>
      </w:r>
    </w:p>
    <w:p>
      <w:pPr>
        <w:spacing w:line="380" w:lineRule="exact"/>
        <w:rPr>
          <w:rFonts w:ascii="宋体" w:hAnsi="宋体" w:cs="宋体"/>
          <w:sz w:val="24"/>
          <w:szCs w:val="24"/>
          <w:highlight w:val="none"/>
        </w:rPr>
      </w:pPr>
      <w:r>
        <w:rPr>
          <w:rFonts w:hint="eastAsia" w:ascii="宋体" w:hAnsi="宋体" w:cs="宋体"/>
          <w:sz w:val="24"/>
          <w:szCs w:val="24"/>
          <w:highlight w:val="none"/>
        </w:rPr>
        <w:t xml:space="preserve">                         日      期：</w:t>
      </w:r>
      <w:r>
        <w:rPr>
          <w:rFonts w:hint="eastAsia" w:ascii="宋体" w:hAnsi="宋体" w:cs="宋体"/>
          <w:sz w:val="24"/>
          <w:szCs w:val="24"/>
          <w:highlight w:val="none"/>
          <w:u w:val="single"/>
        </w:rPr>
        <w:t xml:space="preserve">                                </w:t>
      </w:r>
    </w:p>
    <w:p>
      <w:pPr>
        <w:spacing w:line="380" w:lineRule="exact"/>
        <w:rPr>
          <w:rFonts w:ascii="宋体" w:hAnsi="宋体" w:cs="宋体"/>
          <w:sz w:val="24"/>
          <w:szCs w:val="24"/>
          <w:highlight w:val="none"/>
        </w:rPr>
      </w:pPr>
    </w:p>
    <w:p>
      <w:pPr>
        <w:rPr>
          <w:rFonts w:ascii="宋体" w:hAnsi="宋体" w:cs="宋体"/>
          <w:highlight w:val="none"/>
        </w:rPr>
      </w:pPr>
    </w:p>
    <w:p>
      <w:pPr>
        <w:jc w:val="center"/>
        <w:rPr>
          <w:rFonts w:ascii="宋体" w:hAnsi="宋体" w:cs="宋体"/>
          <w:b/>
          <w:bCs/>
          <w:sz w:val="30"/>
          <w:szCs w:val="30"/>
          <w:highlight w:val="none"/>
        </w:rPr>
      </w:pPr>
      <w:r>
        <w:rPr>
          <w:rFonts w:hint="eastAsia" w:ascii="宋体" w:hAnsi="宋体" w:cs="宋体"/>
          <w:b/>
          <w:bCs/>
          <w:sz w:val="30"/>
          <w:szCs w:val="30"/>
          <w:highlight w:val="none"/>
        </w:rPr>
        <w:t>6-3、投标人财务状况证明材料</w:t>
      </w:r>
    </w:p>
    <w:p>
      <w:pPr>
        <w:jc w:val="center"/>
        <w:rPr>
          <w:rFonts w:ascii="宋体" w:hAnsi="宋体" w:cs="宋体"/>
          <w:b/>
          <w:bCs/>
          <w:sz w:val="36"/>
          <w:szCs w:val="36"/>
          <w:highlight w:val="none"/>
        </w:rPr>
      </w:pP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5000" w:type="pct"/>
            <w:vAlign w:val="center"/>
          </w:tcPr>
          <w:p>
            <w:pPr>
              <w:spacing w:line="700" w:lineRule="exact"/>
              <w:ind w:firstLine="600" w:firstLineChars="250"/>
              <w:jc w:val="left"/>
              <w:rPr>
                <w:rFonts w:ascii="宋体" w:hAnsi="宋体" w:cs="宋体"/>
                <w:sz w:val="24"/>
                <w:szCs w:val="24"/>
                <w:highlight w:val="none"/>
              </w:rPr>
            </w:pPr>
            <w:r>
              <w:rPr>
                <w:rFonts w:hint="eastAsia" w:ascii="宋体" w:hAnsi="宋体" w:cs="宋体"/>
                <w:sz w:val="24"/>
                <w:szCs w:val="24"/>
                <w:highlight w:val="none"/>
              </w:rPr>
              <w:t>成立年限满1年及以上的投标人，投标人提供202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度经第三方机构审计的财务状况报告复印件，成立年限满半年但不足1年的投标人，提供该半年度或该半年度中任一季度的财务状况报告复印件；或投标人开户银行出具的资信证明（附开户许可证或基本帐户信息证明文件），或由财政部门认可的政府采购专业担保机构出具的投标担保函原件；</w:t>
            </w:r>
          </w:p>
          <w:p>
            <w:pPr>
              <w:spacing w:line="700" w:lineRule="exact"/>
              <w:ind w:firstLine="600" w:firstLineChars="250"/>
              <w:jc w:val="left"/>
              <w:rPr>
                <w:rFonts w:ascii="宋体" w:hAnsi="宋体" w:cs="宋体"/>
                <w:sz w:val="24"/>
                <w:szCs w:val="24"/>
                <w:highlight w:val="none"/>
              </w:rPr>
            </w:pPr>
            <w:r>
              <w:rPr>
                <w:rFonts w:hint="eastAsia" w:ascii="宋体" w:hAnsi="宋体" w:cs="宋体"/>
                <w:sz w:val="24"/>
                <w:szCs w:val="24"/>
                <w:highlight w:val="none"/>
              </w:rPr>
              <w:t>上述材料只需提供一项，无需同时提供，</w:t>
            </w:r>
            <w:r>
              <w:rPr>
                <w:rFonts w:hint="eastAsia" w:ascii="宋体" w:hAnsi="宋体" w:cs="宋体"/>
                <w:kern w:val="0"/>
                <w:sz w:val="24"/>
                <w:szCs w:val="24"/>
                <w:highlight w:val="none"/>
              </w:rPr>
              <w:t>制作时删除本栏。</w:t>
            </w:r>
          </w:p>
        </w:tc>
      </w:tr>
    </w:tbl>
    <w:p>
      <w:pPr>
        <w:spacing w:line="700" w:lineRule="exact"/>
        <w:jc w:val="center"/>
        <w:rPr>
          <w:rFonts w:ascii="宋体" w:hAnsi="宋体" w:cs="宋体"/>
          <w:highlight w:val="none"/>
        </w:rPr>
      </w:pPr>
    </w:p>
    <w:p>
      <w:pPr>
        <w:pStyle w:val="26"/>
        <w:rPr>
          <w:highlight w:val="none"/>
        </w:rPr>
      </w:pPr>
      <w:r>
        <w:rPr>
          <w:rFonts w:hint="eastAsia"/>
          <w:sz w:val="21"/>
          <w:szCs w:val="21"/>
          <w:highlight w:val="none"/>
        </w:rPr>
        <w:t>★注意：</w:t>
      </w:r>
    </w:p>
    <w:p>
      <w:pPr>
        <w:pStyle w:val="26"/>
        <w:rPr>
          <w:highlight w:val="none"/>
        </w:rPr>
      </w:pPr>
      <w:r>
        <w:rPr>
          <w:rFonts w:hint="eastAsia"/>
          <w:sz w:val="21"/>
          <w:szCs w:val="21"/>
          <w:highlight w:val="none"/>
        </w:rPr>
        <w:t xml:space="preserve"> </w:t>
      </w:r>
    </w:p>
    <w:p>
      <w:pPr>
        <w:pStyle w:val="26"/>
        <w:ind w:firstLine="420" w:firstLineChars="200"/>
        <w:rPr>
          <w:rFonts w:cs="Times New Roman"/>
          <w:highlight w:val="none"/>
        </w:rPr>
      </w:pPr>
      <w:r>
        <w:rPr>
          <w:rFonts w:hint="eastAsia"/>
          <w:sz w:val="21"/>
          <w:szCs w:val="21"/>
          <w:highlight w:val="none"/>
        </w:rPr>
        <w:t>1、“财政部门认可的政府采购专业担保机构”应符合《财政部关于开展政府采购信用担保试点工作方案》（财库</w:t>
      </w:r>
      <w:r>
        <w:rPr>
          <w:rFonts w:ascii="Times New Roman" w:hAnsi="Times New Roman" w:cs="Times New Roman"/>
          <w:sz w:val="21"/>
          <w:szCs w:val="21"/>
          <w:highlight w:val="none"/>
        </w:rPr>
        <w:t>[2012]124</w:t>
      </w:r>
      <w:r>
        <w:rPr>
          <w:rFonts w:hint="eastAsia"/>
          <w:sz w:val="21"/>
          <w:szCs w:val="21"/>
          <w:highlight w:val="none"/>
        </w:rPr>
        <w:t>号）的规定。</w:t>
      </w:r>
    </w:p>
    <w:p>
      <w:pPr>
        <w:pStyle w:val="26"/>
        <w:ind w:firstLine="420" w:firstLineChars="200"/>
        <w:rPr>
          <w:rFonts w:cs="Times New Roman"/>
          <w:highlight w:val="none"/>
        </w:rPr>
      </w:pPr>
      <w:r>
        <w:rPr>
          <w:rFonts w:hint="eastAsia"/>
          <w:sz w:val="21"/>
          <w:szCs w:val="21"/>
          <w:highlight w:val="none"/>
        </w:rPr>
        <w:t>2、投标人提供的相应证明材料复印件均应符合：内容完整、清晰、整洁，并由投标人加盖其单位公章。</w:t>
      </w:r>
    </w:p>
    <w:p>
      <w:pPr>
        <w:pStyle w:val="26"/>
        <w:ind w:firstLine="480" w:firstLineChars="200"/>
        <w:rPr>
          <w:highlight w:val="none"/>
        </w:rPr>
      </w:pPr>
    </w:p>
    <w:p>
      <w:pPr>
        <w:pStyle w:val="26"/>
        <w:rPr>
          <w:highlight w:val="none"/>
        </w:rPr>
      </w:pPr>
      <w:r>
        <w:rPr>
          <w:rStyle w:val="34"/>
          <w:rFonts w:hint="eastAsia"/>
          <w:highlight w:val="none"/>
        </w:rPr>
        <w:t xml:space="preserve"> </w:t>
      </w:r>
    </w:p>
    <w:p>
      <w:pPr>
        <w:jc w:val="center"/>
        <w:rPr>
          <w:rFonts w:ascii="宋体" w:hAnsi="宋体" w:cs="宋体"/>
          <w:b/>
          <w:bCs/>
          <w:sz w:val="30"/>
          <w:szCs w:val="30"/>
          <w:highlight w:val="none"/>
        </w:rPr>
      </w:pPr>
    </w:p>
    <w:p>
      <w:pPr>
        <w:jc w:val="center"/>
        <w:rPr>
          <w:rFonts w:ascii="宋体" w:hAnsi="宋体" w:cs="宋体"/>
          <w:b/>
          <w:bCs/>
          <w:sz w:val="30"/>
          <w:szCs w:val="30"/>
          <w:highlight w:val="none"/>
        </w:rPr>
      </w:pPr>
    </w:p>
    <w:p>
      <w:pPr>
        <w:jc w:val="center"/>
        <w:rPr>
          <w:rFonts w:ascii="宋体" w:hAnsi="宋体" w:cs="宋体"/>
          <w:b/>
          <w:bCs/>
          <w:sz w:val="30"/>
          <w:szCs w:val="30"/>
          <w:highlight w:val="none"/>
        </w:rPr>
      </w:pPr>
    </w:p>
    <w:p>
      <w:pPr>
        <w:jc w:val="center"/>
        <w:rPr>
          <w:rFonts w:ascii="宋体" w:hAnsi="宋体" w:cs="宋体"/>
          <w:b/>
          <w:bCs/>
          <w:sz w:val="30"/>
          <w:szCs w:val="30"/>
          <w:highlight w:val="none"/>
        </w:rPr>
      </w:pPr>
    </w:p>
    <w:p>
      <w:pPr>
        <w:pStyle w:val="28"/>
        <w:rPr>
          <w:rFonts w:ascii="宋体" w:hAnsi="宋体" w:cs="宋体"/>
          <w:sz w:val="30"/>
          <w:szCs w:val="30"/>
          <w:highlight w:val="none"/>
        </w:rPr>
      </w:pPr>
    </w:p>
    <w:p>
      <w:pPr>
        <w:rPr>
          <w:rFonts w:ascii="宋体" w:hAnsi="宋体" w:cs="宋体"/>
          <w:highlight w:val="none"/>
        </w:rPr>
      </w:pPr>
    </w:p>
    <w:p>
      <w:pPr>
        <w:jc w:val="center"/>
        <w:rPr>
          <w:rFonts w:ascii="宋体" w:hAnsi="宋体" w:cs="宋体"/>
          <w:b/>
          <w:bCs/>
          <w:sz w:val="30"/>
          <w:szCs w:val="30"/>
          <w:highlight w:val="none"/>
        </w:rPr>
      </w:pPr>
    </w:p>
    <w:p>
      <w:pPr>
        <w:jc w:val="center"/>
        <w:rPr>
          <w:rFonts w:ascii="宋体" w:hAnsi="宋体" w:cs="宋体"/>
          <w:b/>
          <w:bCs/>
          <w:sz w:val="30"/>
          <w:szCs w:val="30"/>
          <w:highlight w:val="none"/>
        </w:rPr>
      </w:pPr>
    </w:p>
    <w:p>
      <w:pPr>
        <w:jc w:val="center"/>
        <w:rPr>
          <w:rFonts w:ascii="宋体" w:hAnsi="宋体" w:cs="宋体"/>
          <w:b/>
          <w:bCs/>
          <w:sz w:val="30"/>
          <w:szCs w:val="30"/>
          <w:highlight w:val="none"/>
        </w:rPr>
      </w:pPr>
    </w:p>
    <w:p>
      <w:pPr>
        <w:spacing w:line="380" w:lineRule="exact"/>
        <w:jc w:val="center"/>
        <w:rPr>
          <w:rFonts w:ascii="宋体" w:hAnsi="宋体" w:cs="宋体"/>
          <w:b/>
          <w:bCs/>
          <w:sz w:val="30"/>
          <w:szCs w:val="30"/>
          <w:highlight w:val="none"/>
        </w:rPr>
      </w:pPr>
    </w:p>
    <w:p>
      <w:pPr>
        <w:spacing w:line="380" w:lineRule="exact"/>
        <w:jc w:val="center"/>
        <w:rPr>
          <w:rFonts w:ascii="宋体" w:hAnsi="宋体" w:cs="宋体"/>
          <w:b/>
          <w:bCs/>
          <w:sz w:val="30"/>
          <w:szCs w:val="30"/>
          <w:highlight w:val="none"/>
        </w:rPr>
      </w:pPr>
    </w:p>
    <w:p>
      <w:pPr>
        <w:spacing w:line="380" w:lineRule="exact"/>
        <w:jc w:val="center"/>
        <w:rPr>
          <w:rFonts w:ascii="宋体" w:hAnsi="宋体" w:cs="宋体"/>
          <w:b/>
          <w:bCs/>
          <w:sz w:val="30"/>
          <w:szCs w:val="30"/>
          <w:highlight w:val="none"/>
        </w:rPr>
      </w:pPr>
    </w:p>
    <w:p>
      <w:pPr>
        <w:spacing w:line="380" w:lineRule="exact"/>
        <w:jc w:val="center"/>
        <w:rPr>
          <w:rFonts w:ascii="宋体" w:hAnsi="宋体" w:cs="宋体"/>
          <w:b/>
          <w:bCs/>
          <w:sz w:val="30"/>
          <w:szCs w:val="30"/>
          <w:highlight w:val="none"/>
        </w:rPr>
      </w:pPr>
    </w:p>
    <w:p>
      <w:pPr>
        <w:spacing w:line="380" w:lineRule="exact"/>
        <w:jc w:val="center"/>
        <w:rPr>
          <w:rFonts w:ascii="宋体" w:hAnsi="宋体" w:cs="宋体"/>
          <w:highlight w:val="none"/>
        </w:rPr>
      </w:pPr>
      <w:r>
        <w:rPr>
          <w:rFonts w:hint="eastAsia" w:ascii="宋体" w:hAnsi="宋体" w:cs="宋体"/>
          <w:b/>
          <w:bCs/>
          <w:sz w:val="30"/>
          <w:szCs w:val="30"/>
          <w:highlight w:val="none"/>
        </w:rPr>
        <w:t>6-4、投标人依法缴纳税收和社会保障资金的证明材料</w:t>
      </w:r>
    </w:p>
    <w:p>
      <w:pPr>
        <w:jc w:val="center"/>
        <w:rPr>
          <w:rFonts w:ascii="宋体" w:hAnsi="宋体" w:cs="宋体"/>
          <w:b/>
          <w:bCs/>
          <w:sz w:val="30"/>
          <w:szCs w:val="30"/>
          <w:highlight w:val="none"/>
        </w:rPr>
      </w:pPr>
    </w:p>
    <w:tbl>
      <w:tblPr>
        <w:tblStyle w:val="31"/>
        <w:tblW w:w="861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619" w:type="dxa"/>
            <w:vAlign w:val="center"/>
          </w:tcPr>
          <w:p>
            <w:pPr>
              <w:adjustRightInd w:val="0"/>
              <w:snapToGrid w:val="0"/>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1、投标人缴纳近六个月内任一个月【自投标截止之日起前六个月（不含投标截止时间当月）】应纳税款的证明（银行缴税付款凭证复印件或税务部门出具的纳税证明）；</w:t>
            </w:r>
          </w:p>
          <w:p>
            <w:pPr>
              <w:adjustRightInd w:val="0"/>
              <w:snapToGrid w:val="0"/>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 xml:space="preserve">2、投标人缴纳近六个月内任一个月【自投标截止之日起前六个月（不含投标截止时间当月）】社会保险费的证明【社保或税务或银行等部门出具（或系统上打印）的缴纳证明】； </w:t>
            </w:r>
          </w:p>
          <w:p>
            <w:pPr>
              <w:adjustRightInd w:val="0"/>
              <w:snapToGrid w:val="0"/>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备注：依法免税或不需要缴纳社会保障资金的供应商，应提供证明其依法免税或不需要缴纳社会保障资金的相应文件。(因疫情影响享受缓缴或免缴社保、税款的企业，无法提供相关社保、税收缴纳证明材料的，提供有关情况说明视同社保、税收缴纳证明材料提交完整。)</w:t>
            </w:r>
          </w:p>
          <w:p>
            <w:pPr>
              <w:spacing w:line="700" w:lineRule="exact"/>
              <w:ind w:firstLine="432" w:firstLineChars="200"/>
              <w:jc w:val="left"/>
              <w:rPr>
                <w:rFonts w:ascii="宋体" w:hAnsi="宋体" w:cs="宋体"/>
                <w:b/>
                <w:bCs/>
                <w:sz w:val="24"/>
                <w:szCs w:val="24"/>
                <w:highlight w:val="none"/>
              </w:rPr>
            </w:pPr>
            <w:r>
              <w:rPr>
                <w:rFonts w:hint="eastAsia" w:ascii="宋体" w:hAnsi="宋体" w:cs="宋体"/>
                <w:spacing w:val="-12"/>
                <w:sz w:val="24"/>
                <w:szCs w:val="24"/>
                <w:highlight w:val="none"/>
              </w:rPr>
              <w:t xml:space="preserve"> </w:t>
            </w:r>
            <w:r>
              <w:rPr>
                <w:rFonts w:hint="eastAsia" w:ascii="宋体" w:hAnsi="宋体" w:cs="宋体"/>
                <w:sz w:val="24"/>
                <w:szCs w:val="24"/>
                <w:highlight w:val="none"/>
              </w:rPr>
              <w:t xml:space="preserve">  上述材料必须同时提交，</w:t>
            </w:r>
            <w:r>
              <w:rPr>
                <w:rFonts w:hint="eastAsia" w:ascii="宋体" w:hAnsi="宋体" w:cs="宋体"/>
                <w:kern w:val="0"/>
                <w:sz w:val="24"/>
                <w:szCs w:val="24"/>
                <w:highlight w:val="none"/>
              </w:rPr>
              <w:t>制作时删除本栏。</w:t>
            </w:r>
          </w:p>
        </w:tc>
      </w:tr>
    </w:tbl>
    <w:p>
      <w:pPr>
        <w:pStyle w:val="26"/>
        <w:rPr>
          <w:highlight w:val="none"/>
        </w:rPr>
      </w:pPr>
      <w:r>
        <w:rPr>
          <w:rFonts w:hint="eastAsia"/>
          <w:sz w:val="21"/>
          <w:szCs w:val="21"/>
          <w:highlight w:val="none"/>
        </w:rPr>
        <w:t>★注意：</w:t>
      </w:r>
    </w:p>
    <w:p>
      <w:pPr>
        <w:pStyle w:val="26"/>
        <w:ind w:firstLine="420" w:firstLineChars="200"/>
        <w:rPr>
          <w:highlight w:val="none"/>
        </w:rPr>
      </w:pPr>
      <w:r>
        <w:rPr>
          <w:rFonts w:hint="eastAsia"/>
          <w:sz w:val="21"/>
          <w:szCs w:val="21"/>
          <w:highlight w:val="none"/>
        </w:rPr>
        <w:t>1、投标人提供的税收凭据复印件应符合下列规定：</w:t>
      </w:r>
    </w:p>
    <w:p>
      <w:pPr>
        <w:pStyle w:val="26"/>
        <w:ind w:firstLine="420" w:firstLineChars="200"/>
        <w:rPr>
          <w:highlight w:val="none"/>
        </w:rPr>
      </w:pPr>
      <w:r>
        <w:rPr>
          <w:rFonts w:hint="eastAsia"/>
          <w:sz w:val="21"/>
          <w:szCs w:val="21"/>
          <w:highlight w:val="none"/>
        </w:rPr>
        <w:t>1.1投标截止时间前（不含投标截止时间的当月）已依法缴纳税收的投标人，提供投标截止时间前六个月（不含投标截止时间的当月）中任一月份的税收凭据复印件。</w:t>
      </w:r>
    </w:p>
    <w:p>
      <w:pPr>
        <w:pStyle w:val="26"/>
        <w:ind w:firstLine="420" w:firstLineChars="200"/>
        <w:rPr>
          <w:highlight w:val="none"/>
        </w:rPr>
      </w:pPr>
      <w:r>
        <w:rPr>
          <w:rFonts w:hint="eastAsia"/>
          <w:sz w:val="21"/>
          <w:szCs w:val="21"/>
          <w:highlight w:val="none"/>
        </w:rPr>
        <w:t>1.2投标截止时间的当月成立且已依法缴纳税收的投标人，提供投标截止时间当月的税收凭据复印件。</w:t>
      </w:r>
    </w:p>
    <w:p>
      <w:pPr>
        <w:pStyle w:val="26"/>
        <w:ind w:firstLine="420" w:firstLineChars="200"/>
        <w:rPr>
          <w:highlight w:val="none"/>
        </w:rPr>
      </w:pPr>
      <w:r>
        <w:rPr>
          <w:rFonts w:hint="eastAsia"/>
          <w:sz w:val="21"/>
          <w:szCs w:val="21"/>
          <w:highlight w:val="none"/>
        </w:rPr>
        <w:t>1.3投标截止时间的当月成立但因税务机关原因而尚未依法缴纳税收的投标人，提供依法缴纳税收承诺书原件（格式自拟），该承诺书视同税收凭据。</w:t>
      </w:r>
    </w:p>
    <w:p>
      <w:pPr>
        <w:pStyle w:val="26"/>
        <w:ind w:firstLine="420" w:firstLineChars="200"/>
        <w:rPr>
          <w:highlight w:val="none"/>
        </w:rPr>
      </w:pPr>
      <w:r>
        <w:rPr>
          <w:rFonts w:hint="eastAsia"/>
          <w:sz w:val="21"/>
          <w:szCs w:val="21"/>
          <w:highlight w:val="none"/>
        </w:rPr>
        <w:t>2、投标人提供的相应证明材料复印件均应符合：内容完整、清晰、整洁，并由投标人加盖其单位公章。</w:t>
      </w:r>
    </w:p>
    <w:p>
      <w:pPr>
        <w:pStyle w:val="26"/>
        <w:ind w:firstLine="420" w:firstLineChars="200"/>
        <w:rPr>
          <w:sz w:val="21"/>
          <w:szCs w:val="21"/>
          <w:highlight w:val="none"/>
        </w:rPr>
      </w:pPr>
      <w:r>
        <w:rPr>
          <w:rFonts w:hint="eastAsia"/>
          <w:sz w:val="21"/>
          <w:szCs w:val="21"/>
          <w:highlight w:val="none"/>
        </w:rPr>
        <w:t>3、</w:t>
      </w:r>
      <w:r>
        <w:rPr>
          <w:rStyle w:val="34"/>
          <w:rFonts w:hint="eastAsia"/>
          <w:highlight w:val="none"/>
        </w:rPr>
        <w:t>“依法缴纳税收证明材料”</w:t>
      </w:r>
      <w:r>
        <w:rPr>
          <w:rFonts w:hint="eastAsia"/>
          <w:sz w:val="21"/>
          <w:szCs w:val="21"/>
          <w:highlight w:val="none"/>
        </w:rPr>
        <w:t>有欠缴记录的，视为</w:t>
      </w:r>
      <w:r>
        <w:rPr>
          <w:rStyle w:val="34"/>
          <w:rFonts w:hint="eastAsia"/>
          <w:highlight w:val="none"/>
        </w:rPr>
        <w:t>未依法缴纳税收</w:t>
      </w:r>
      <w:r>
        <w:rPr>
          <w:rFonts w:hint="eastAsia"/>
          <w:sz w:val="21"/>
          <w:szCs w:val="21"/>
          <w:highlight w:val="none"/>
        </w:rPr>
        <w:t>。</w:t>
      </w:r>
    </w:p>
    <w:p>
      <w:pPr>
        <w:pStyle w:val="26"/>
        <w:ind w:firstLine="420" w:firstLineChars="200"/>
        <w:rPr>
          <w:sz w:val="21"/>
          <w:szCs w:val="21"/>
          <w:highlight w:val="none"/>
        </w:rPr>
      </w:pPr>
      <w:r>
        <w:rPr>
          <w:rFonts w:hint="eastAsia"/>
          <w:sz w:val="21"/>
          <w:szCs w:val="21"/>
          <w:highlight w:val="none"/>
        </w:rPr>
        <w:t>4、因疫情影响享受缓缴或免缴社保、税款的企业，无法提供相关社保、税收缴纳证明材料的，提供有关情况说明视同社保、税收缴纳证明材料提交完整。</w:t>
      </w:r>
    </w:p>
    <w:p>
      <w:pPr>
        <w:jc w:val="center"/>
        <w:rPr>
          <w:rFonts w:ascii="宋体" w:hAnsi="宋体" w:cs="宋体"/>
          <w:b/>
          <w:bCs/>
          <w:sz w:val="30"/>
          <w:szCs w:val="30"/>
          <w:highlight w:val="none"/>
        </w:rPr>
      </w:pPr>
    </w:p>
    <w:p>
      <w:pPr>
        <w:rPr>
          <w:rFonts w:ascii="宋体" w:hAnsi="宋体" w:cs="宋体"/>
          <w:b/>
          <w:bCs/>
          <w:sz w:val="30"/>
          <w:szCs w:val="30"/>
          <w:highlight w:val="none"/>
        </w:rPr>
      </w:pPr>
    </w:p>
    <w:p>
      <w:pPr>
        <w:jc w:val="center"/>
        <w:rPr>
          <w:rFonts w:ascii="宋体" w:hAnsi="宋体" w:cs="宋体"/>
          <w:b/>
          <w:bCs/>
          <w:sz w:val="30"/>
          <w:szCs w:val="30"/>
          <w:highlight w:val="none"/>
        </w:rPr>
      </w:pPr>
    </w:p>
    <w:p>
      <w:pPr>
        <w:jc w:val="center"/>
        <w:rPr>
          <w:rFonts w:ascii="宋体" w:hAnsi="宋体" w:cs="宋体"/>
          <w:b/>
          <w:bCs/>
          <w:sz w:val="30"/>
          <w:szCs w:val="30"/>
          <w:highlight w:val="none"/>
        </w:rPr>
      </w:pPr>
    </w:p>
    <w:p>
      <w:pPr>
        <w:ind w:firstLine="301" w:firstLineChars="100"/>
        <w:rPr>
          <w:rFonts w:ascii="宋体" w:hAnsi="宋体" w:cs="宋体"/>
          <w:b/>
          <w:bCs/>
          <w:sz w:val="30"/>
          <w:szCs w:val="30"/>
          <w:highlight w:val="none"/>
        </w:rPr>
      </w:pPr>
      <w:r>
        <w:rPr>
          <w:rFonts w:hint="eastAsia" w:ascii="宋体" w:hAnsi="宋体" w:cs="宋体"/>
          <w:b/>
          <w:bCs/>
          <w:sz w:val="30"/>
          <w:szCs w:val="30"/>
          <w:highlight w:val="none"/>
        </w:rPr>
        <w:t>6-5、具备履行合同所必需的设备和专业技术能力的证明材料</w:t>
      </w:r>
    </w:p>
    <w:p>
      <w:pPr>
        <w:ind w:firstLine="301" w:firstLineChars="100"/>
        <w:rPr>
          <w:rFonts w:ascii="宋体" w:hAnsi="宋体" w:cs="宋体"/>
          <w:b/>
          <w:bCs/>
          <w:sz w:val="30"/>
          <w:szCs w:val="30"/>
          <w:highlight w:val="none"/>
        </w:rPr>
      </w:pPr>
    </w:p>
    <w:p>
      <w:pPr>
        <w:ind w:firstLine="301" w:firstLineChars="100"/>
        <w:rPr>
          <w:rFonts w:ascii="宋体" w:hAnsi="宋体" w:cs="宋体"/>
          <w:b/>
          <w:bCs/>
          <w:sz w:val="30"/>
          <w:szCs w:val="30"/>
          <w:highlight w:val="none"/>
        </w:rPr>
      </w:pPr>
    </w:p>
    <w:p>
      <w:pPr>
        <w:spacing w:line="700" w:lineRule="exact"/>
        <w:ind w:firstLine="432" w:firstLineChars="200"/>
        <w:jc w:val="left"/>
        <w:rPr>
          <w:rFonts w:ascii="宋体" w:hAnsi="宋体" w:cs="宋体"/>
          <w:spacing w:val="-12"/>
          <w:sz w:val="24"/>
          <w:szCs w:val="24"/>
          <w:highlight w:val="none"/>
        </w:rPr>
      </w:pPr>
      <w:r>
        <w:rPr>
          <w:rFonts w:hint="eastAsia" w:ascii="宋体" w:hAnsi="宋体" w:cs="宋体"/>
          <w:spacing w:val="-12"/>
          <w:sz w:val="24"/>
          <w:szCs w:val="24"/>
          <w:highlight w:val="none"/>
        </w:rPr>
        <w:t>致：</w:t>
      </w:r>
      <w:r>
        <w:rPr>
          <w:rFonts w:hint="eastAsia" w:ascii="宋体" w:hAnsi="宋体" w:cs="宋体"/>
          <w:spacing w:val="-12"/>
          <w:sz w:val="24"/>
          <w:szCs w:val="24"/>
          <w:highlight w:val="none"/>
          <w:u w:val="single"/>
        </w:rPr>
        <w:t>                     </w:t>
      </w:r>
    </w:p>
    <w:p>
      <w:pPr>
        <w:spacing w:line="700" w:lineRule="exact"/>
        <w:ind w:firstLine="432" w:firstLineChars="200"/>
        <w:jc w:val="left"/>
        <w:rPr>
          <w:rFonts w:ascii="宋体" w:hAnsi="宋体" w:cs="宋体"/>
          <w:spacing w:val="-12"/>
          <w:sz w:val="24"/>
          <w:szCs w:val="24"/>
          <w:highlight w:val="none"/>
        </w:rPr>
      </w:pPr>
      <w:r>
        <w:rPr>
          <w:rFonts w:hint="eastAsia" w:ascii="宋体" w:hAnsi="宋体" w:cs="宋体"/>
          <w:spacing w:val="-12"/>
          <w:sz w:val="24"/>
          <w:szCs w:val="24"/>
          <w:highlight w:val="none"/>
        </w:rPr>
        <w:t>现附上我方具备履行合同所必需的设备和专业技术能力的专项证明材料复印件（具体附后），上述证明材料真实有效，否则我方负全部责任。</w:t>
      </w:r>
    </w:p>
    <w:p>
      <w:pPr>
        <w:spacing w:line="700" w:lineRule="exact"/>
        <w:ind w:firstLine="432" w:firstLineChars="200"/>
        <w:jc w:val="left"/>
        <w:rPr>
          <w:rFonts w:ascii="宋体" w:hAnsi="宋体" w:cs="宋体"/>
          <w:spacing w:val="-12"/>
          <w:sz w:val="24"/>
          <w:szCs w:val="24"/>
          <w:highlight w:val="none"/>
        </w:rPr>
      </w:pPr>
      <w:r>
        <w:rPr>
          <w:rFonts w:hint="eastAsia" w:ascii="宋体" w:hAnsi="宋体" w:cs="宋体"/>
          <w:spacing w:val="-12"/>
          <w:sz w:val="24"/>
          <w:szCs w:val="24"/>
          <w:highlight w:val="none"/>
        </w:rPr>
        <w:t> </w:t>
      </w:r>
    </w:p>
    <w:p>
      <w:pPr>
        <w:spacing w:line="700" w:lineRule="exact"/>
        <w:ind w:firstLine="432" w:firstLineChars="200"/>
        <w:jc w:val="left"/>
        <w:rPr>
          <w:rFonts w:ascii="宋体" w:hAnsi="宋体" w:cs="宋体"/>
          <w:spacing w:val="-12"/>
          <w:sz w:val="24"/>
          <w:szCs w:val="24"/>
          <w:highlight w:val="none"/>
        </w:rPr>
      </w:pPr>
      <w:r>
        <w:rPr>
          <w:rFonts w:hint="eastAsia" w:ascii="宋体" w:hAnsi="宋体" w:cs="宋体"/>
          <w:spacing w:val="-12"/>
          <w:sz w:val="24"/>
          <w:szCs w:val="24"/>
          <w:highlight w:val="none"/>
        </w:rPr>
        <w:t>★注意：</w:t>
      </w:r>
    </w:p>
    <w:p>
      <w:pPr>
        <w:spacing w:line="700" w:lineRule="exact"/>
        <w:ind w:firstLine="432" w:firstLineChars="200"/>
        <w:jc w:val="left"/>
        <w:rPr>
          <w:rFonts w:ascii="宋体" w:hAnsi="宋体" w:cs="宋体"/>
          <w:spacing w:val="-12"/>
          <w:sz w:val="24"/>
          <w:szCs w:val="24"/>
          <w:highlight w:val="none"/>
        </w:rPr>
      </w:pPr>
      <w:r>
        <w:rPr>
          <w:rFonts w:hint="eastAsia" w:ascii="宋体" w:hAnsi="宋体" w:cs="宋体"/>
          <w:spacing w:val="-12"/>
          <w:sz w:val="24"/>
          <w:szCs w:val="24"/>
          <w:highlight w:val="none"/>
        </w:rPr>
        <w:t>1、招标文件要求投标人提供“具备履行合同所必需的设备和专业技术能力专项证明材料”的，投标人应按照招标文件规定在此项下提供相应证明材料复印件。</w:t>
      </w:r>
    </w:p>
    <w:p>
      <w:pPr>
        <w:spacing w:line="700" w:lineRule="exact"/>
        <w:ind w:firstLine="432" w:firstLineChars="200"/>
        <w:jc w:val="left"/>
        <w:rPr>
          <w:rFonts w:ascii="宋体" w:hAnsi="宋体" w:cs="宋体"/>
          <w:spacing w:val="-12"/>
          <w:sz w:val="24"/>
          <w:szCs w:val="24"/>
          <w:highlight w:val="none"/>
        </w:rPr>
      </w:pPr>
      <w:r>
        <w:rPr>
          <w:rFonts w:hint="eastAsia" w:ascii="宋体" w:hAnsi="宋体" w:cs="宋体"/>
          <w:spacing w:val="-12"/>
          <w:sz w:val="24"/>
          <w:szCs w:val="24"/>
          <w:highlight w:val="none"/>
        </w:rPr>
        <w:t>2、投标人提供的相应证明材料复印件均应符合：内容完整、清晰、整洁，并由投标人加盖其单位公章。</w:t>
      </w:r>
    </w:p>
    <w:p>
      <w:pPr>
        <w:spacing w:line="700" w:lineRule="exact"/>
        <w:ind w:firstLine="432" w:firstLineChars="200"/>
        <w:jc w:val="left"/>
        <w:rPr>
          <w:rFonts w:ascii="宋体" w:hAnsi="宋体" w:cs="宋体"/>
          <w:spacing w:val="-12"/>
          <w:sz w:val="24"/>
          <w:szCs w:val="24"/>
          <w:highlight w:val="none"/>
        </w:rPr>
      </w:pPr>
      <w:r>
        <w:rPr>
          <w:rFonts w:hint="eastAsia" w:ascii="宋体" w:hAnsi="宋体" w:cs="宋体"/>
          <w:spacing w:val="-12"/>
          <w:sz w:val="24"/>
          <w:szCs w:val="24"/>
          <w:highlight w:val="none"/>
        </w:rPr>
        <w:t> </w:t>
      </w:r>
    </w:p>
    <w:p>
      <w:pPr>
        <w:spacing w:line="700" w:lineRule="exact"/>
        <w:ind w:firstLine="432" w:firstLineChars="200"/>
        <w:jc w:val="left"/>
        <w:rPr>
          <w:rFonts w:ascii="宋体" w:hAnsi="宋体" w:cs="宋体"/>
          <w:spacing w:val="-12"/>
          <w:sz w:val="24"/>
          <w:szCs w:val="24"/>
          <w:highlight w:val="none"/>
        </w:rPr>
      </w:pPr>
      <w:r>
        <w:rPr>
          <w:rFonts w:hint="eastAsia" w:ascii="宋体" w:hAnsi="宋体" w:cs="宋体"/>
          <w:spacing w:val="-12"/>
          <w:sz w:val="24"/>
          <w:szCs w:val="24"/>
          <w:highlight w:val="none"/>
        </w:rPr>
        <w:t>投标人：（全称并加盖单位公章）</w:t>
      </w:r>
    </w:p>
    <w:p>
      <w:pPr>
        <w:spacing w:line="700" w:lineRule="exact"/>
        <w:ind w:firstLine="432" w:firstLineChars="200"/>
        <w:jc w:val="left"/>
        <w:rPr>
          <w:rFonts w:ascii="宋体" w:hAnsi="宋体" w:cs="宋体"/>
          <w:spacing w:val="-12"/>
          <w:sz w:val="24"/>
          <w:szCs w:val="24"/>
          <w:highlight w:val="none"/>
        </w:rPr>
      </w:pPr>
      <w:r>
        <w:rPr>
          <w:rFonts w:hint="eastAsia" w:ascii="宋体" w:hAnsi="宋体" w:cs="宋体"/>
          <w:spacing w:val="-12"/>
          <w:sz w:val="24"/>
          <w:szCs w:val="24"/>
          <w:highlight w:val="none"/>
        </w:rPr>
        <w:t>投标人代表签字：                   </w:t>
      </w:r>
    </w:p>
    <w:p>
      <w:pPr>
        <w:spacing w:line="700" w:lineRule="exact"/>
        <w:ind w:firstLine="432" w:firstLineChars="200"/>
        <w:jc w:val="left"/>
        <w:rPr>
          <w:rFonts w:ascii="宋体" w:hAnsi="宋体" w:cs="宋体"/>
          <w:spacing w:val="-12"/>
          <w:sz w:val="24"/>
          <w:szCs w:val="24"/>
          <w:highlight w:val="none"/>
        </w:rPr>
      </w:pPr>
      <w:r>
        <w:rPr>
          <w:rFonts w:hint="eastAsia" w:ascii="宋体" w:hAnsi="宋体" w:cs="宋体"/>
          <w:spacing w:val="-12"/>
          <w:sz w:val="24"/>
          <w:szCs w:val="24"/>
          <w:highlight w:val="none"/>
        </w:rPr>
        <w:t>日期：    年   月   日</w:t>
      </w:r>
    </w:p>
    <w:p>
      <w:pPr>
        <w:jc w:val="center"/>
        <w:rPr>
          <w:rFonts w:ascii="宋体" w:hAnsi="宋体" w:cs="宋体"/>
          <w:b/>
          <w:bCs/>
          <w:sz w:val="30"/>
          <w:szCs w:val="30"/>
          <w:highlight w:val="none"/>
        </w:rPr>
      </w:pPr>
    </w:p>
    <w:p>
      <w:pPr>
        <w:jc w:val="center"/>
        <w:rPr>
          <w:rFonts w:ascii="宋体" w:hAnsi="宋体" w:cs="宋体"/>
          <w:b/>
          <w:bCs/>
          <w:sz w:val="30"/>
          <w:szCs w:val="30"/>
          <w:highlight w:val="none"/>
        </w:rPr>
      </w:pPr>
    </w:p>
    <w:p>
      <w:pPr>
        <w:jc w:val="center"/>
        <w:rPr>
          <w:rFonts w:ascii="宋体" w:hAnsi="宋体" w:cs="宋体"/>
          <w:b/>
          <w:bCs/>
          <w:sz w:val="30"/>
          <w:szCs w:val="30"/>
          <w:highlight w:val="none"/>
        </w:rPr>
      </w:pPr>
    </w:p>
    <w:p>
      <w:pPr>
        <w:jc w:val="center"/>
        <w:rPr>
          <w:rFonts w:ascii="宋体" w:hAnsi="宋体" w:cs="宋体"/>
          <w:b/>
          <w:bCs/>
          <w:sz w:val="30"/>
          <w:szCs w:val="30"/>
          <w:highlight w:val="none"/>
        </w:rPr>
      </w:pPr>
    </w:p>
    <w:p>
      <w:pPr>
        <w:pStyle w:val="28"/>
        <w:rPr>
          <w:rFonts w:ascii="宋体" w:hAnsi="宋体" w:cs="宋体"/>
          <w:sz w:val="30"/>
          <w:szCs w:val="30"/>
          <w:highlight w:val="none"/>
        </w:rPr>
      </w:pPr>
    </w:p>
    <w:p>
      <w:pPr>
        <w:rPr>
          <w:rFonts w:ascii="宋体" w:hAnsi="宋体" w:cs="宋体"/>
          <w:b/>
          <w:bCs/>
          <w:sz w:val="30"/>
          <w:szCs w:val="30"/>
          <w:highlight w:val="none"/>
        </w:rPr>
      </w:pPr>
    </w:p>
    <w:p>
      <w:pPr>
        <w:pStyle w:val="28"/>
        <w:rPr>
          <w:rFonts w:ascii="宋体" w:hAnsi="宋体" w:cs="宋体"/>
          <w:sz w:val="30"/>
          <w:szCs w:val="30"/>
          <w:highlight w:val="none"/>
        </w:rPr>
      </w:pPr>
    </w:p>
    <w:p>
      <w:pPr>
        <w:rPr>
          <w:rFonts w:ascii="宋体" w:hAnsi="宋体" w:cs="宋体"/>
          <w:b/>
          <w:bCs/>
          <w:sz w:val="30"/>
          <w:szCs w:val="30"/>
          <w:highlight w:val="none"/>
        </w:rPr>
      </w:pPr>
    </w:p>
    <w:p>
      <w:pPr>
        <w:jc w:val="center"/>
        <w:rPr>
          <w:rFonts w:ascii="宋体" w:hAnsi="宋体" w:cs="宋体"/>
          <w:b/>
          <w:bCs/>
          <w:sz w:val="30"/>
          <w:szCs w:val="30"/>
          <w:highlight w:val="none"/>
        </w:rPr>
      </w:pPr>
      <w:r>
        <w:rPr>
          <w:rFonts w:hint="eastAsia" w:ascii="宋体" w:hAnsi="宋体" w:cs="宋体"/>
          <w:b/>
          <w:bCs/>
          <w:sz w:val="30"/>
          <w:szCs w:val="30"/>
          <w:highlight w:val="none"/>
        </w:rPr>
        <w:t>6-6、参加采购活动前三年内在经营活动中没有重大违法记录</w:t>
      </w:r>
    </w:p>
    <w:p>
      <w:pPr>
        <w:jc w:val="center"/>
        <w:rPr>
          <w:rFonts w:ascii="宋体" w:hAnsi="宋体" w:cs="宋体"/>
          <w:b/>
          <w:bCs/>
          <w:sz w:val="30"/>
          <w:szCs w:val="30"/>
          <w:highlight w:val="none"/>
        </w:rPr>
      </w:pPr>
      <w:r>
        <w:rPr>
          <w:rFonts w:hint="eastAsia" w:ascii="宋体" w:hAnsi="宋体" w:cs="宋体"/>
          <w:b/>
          <w:bCs/>
          <w:sz w:val="30"/>
          <w:szCs w:val="30"/>
          <w:highlight w:val="none"/>
        </w:rPr>
        <w:t>的书面声明</w:t>
      </w:r>
    </w:p>
    <w:p>
      <w:pPr>
        <w:spacing w:line="380" w:lineRule="exact"/>
        <w:rPr>
          <w:rFonts w:ascii="宋体" w:hAnsi="宋体" w:cs="宋体"/>
          <w:sz w:val="24"/>
          <w:szCs w:val="24"/>
          <w:highlight w:val="none"/>
          <w:u w:val="single"/>
        </w:rPr>
      </w:pPr>
    </w:p>
    <w:p>
      <w:pPr>
        <w:spacing w:line="380" w:lineRule="exact"/>
        <w:rPr>
          <w:rFonts w:ascii="宋体" w:hAnsi="宋体" w:cs="宋体"/>
          <w:sz w:val="24"/>
          <w:szCs w:val="24"/>
          <w:highlight w:val="none"/>
        </w:rPr>
      </w:pPr>
      <w:r>
        <w:rPr>
          <w:rFonts w:hint="eastAsia" w:ascii="宋体" w:hAnsi="宋体" w:cs="宋体"/>
          <w:sz w:val="24"/>
          <w:szCs w:val="24"/>
          <w:highlight w:val="none"/>
          <w:u w:val="single"/>
        </w:rPr>
        <w:t>致：福建省中达招标代理有限公司</w:t>
      </w:r>
      <w:r>
        <w:rPr>
          <w:rFonts w:hint="eastAsia" w:ascii="宋体" w:hAnsi="宋体" w:cs="宋体"/>
          <w:sz w:val="24"/>
          <w:szCs w:val="24"/>
          <w:highlight w:val="none"/>
        </w:rPr>
        <w:t>：</w:t>
      </w:r>
    </w:p>
    <w:p>
      <w:pPr>
        <w:spacing w:line="380" w:lineRule="exact"/>
        <w:rPr>
          <w:rFonts w:ascii="宋体" w:hAnsi="宋体" w:cs="宋体"/>
          <w:sz w:val="24"/>
          <w:szCs w:val="24"/>
          <w:highlight w:val="none"/>
        </w:rPr>
      </w:pPr>
    </w:p>
    <w:p>
      <w:pPr>
        <w:spacing w:line="500" w:lineRule="exact"/>
        <w:rPr>
          <w:rFonts w:ascii="宋体" w:hAnsi="宋体" w:cs="宋体"/>
          <w:sz w:val="24"/>
          <w:szCs w:val="24"/>
          <w:highlight w:val="none"/>
          <w:u w:val="single"/>
        </w:rPr>
      </w:pPr>
      <w:r>
        <w:rPr>
          <w:rFonts w:hint="eastAsia" w:ascii="宋体" w:hAnsi="宋体" w:cs="宋体"/>
          <w:sz w:val="24"/>
          <w:szCs w:val="24"/>
          <w:highlight w:val="none"/>
        </w:rPr>
        <w:t>项目名称：            招标编号：</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根据中华人民共和国国务院第658号文件的规定，特作如下声明：</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一、在参加采购活动前3年内在经营活动中没有重大违法记录。</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二、我方在 “中国政府采购网”网站（www.ccgp.gov.cn）-“政府采购严重违法失信行为记录名单”中没有失信信息记录或不在处罚期内；</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三、我方在“信用中国”网站（www.creditchina.gov.cn）没有被列入失信被执行人、重大税收违法案件当事人名单中；</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四、 我方若被采购人确定为中标人，同意并接受各单位或个人的监督审查。</w:t>
      </w:r>
    </w:p>
    <w:p>
      <w:pPr>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五、经查实我方若有虚假声明，同意招标代理机构不予退还我司的提交的投标保证金；并自觉接受相关监督管理部门的处罚，因在本次采购活动中出现违反本声明行为的给其他当事人造成经济损失的，按规定予以赔偿。如投标保证金不能弥补我方对采购人造成的损失，我方同意另行支付相应的赔偿。</w:t>
      </w:r>
    </w:p>
    <w:p>
      <w:pPr>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六、我方自愿将本声明作为投标文件的组成内容。</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七、本声明自签署之日起生效。</w:t>
      </w:r>
    </w:p>
    <w:p>
      <w:pPr>
        <w:spacing w:line="500" w:lineRule="exact"/>
        <w:ind w:firstLine="482"/>
        <w:rPr>
          <w:rFonts w:ascii="宋体" w:hAnsi="宋体" w:cs="宋体"/>
          <w:sz w:val="24"/>
          <w:szCs w:val="24"/>
          <w:highlight w:val="none"/>
        </w:rPr>
      </w:pPr>
      <w:r>
        <w:rPr>
          <w:rFonts w:hint="eastAsia" w:ascii="宋体" w:hAnsi="宋体" w:cs="宋体"/>
          <w:kern w:val="0"/>
          <w:sz w:val="24"/>
          <w:szCs w:val="24"/>
          <w:highlight w:val="none"/>
        </w:rPr>
        <w:t>此声明是由（投标人全称）以</w:t>
      </w:r>
      <w:r>
        <w:rPr>
          <w:rFonts w:hint="eastAsia" w:ascii="宋体" w:hAnsi="宋体" w:cs="宋体"/>
          <w:kern w:val="0"/>
          <w:sz w:val="24"/>
          <w:szCs w:val="24"/>
          <w:highlight w:val="none"/>
          <w:u w:val="single"/>
        </w:rPr>
        <w:t>（法定代表人或其</w:t>
      </w:r>
      <w:r>
        <w:rPr>
          <w:rFonts w:hint="eastAsia" w:ascii="宋体" w:hAnsi="宋体" w:cs="宋体"/>
          <w:sz w:val="24"/>
          <w:szCs w:val="24"/>
          <w:highlight w:val="none"/>
          <w:u w:val="single"/>
        </w:rPr>
        <w:t>委托代理人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为全权代表的身份提交的。</w:t>
      </w:r>
    </w:p>
    <w:p>
      <w:pPr>
        <w:spacing w:line="500" w:lineRule="exact"/>
        <w:rPr>
          <w:rFonts w:ascii="宋体" w:hAnsi="宋体" w:cs="宋体"/>
          <w:sz w:val="24"/>
          <w:szCs w:val="24"/>
          <w:highlight w:val="none"/>
          <w:u w:val="single"/>
        </w:rPr>
      </w:pPr>
    </w:p>
    <w:p>
      <w:pPr>
        <w:spacing w:line="500" w:lineRule="exact"/>
        <w:rPr>
          <w:rFonts w:ascii="宋体" w:hAnsi="宋体" w:cs="宋体"/>
          <w:sz w:val="24"/>
          <w:szCs w:val="24"/>
          <w:highlight w:val="none"/>
          <w:u w:val="single"/>
        </w:rPr>
      </w:pPr>
    </w:p>
    <w:p>
      <w:pPr>
        <w:spacing w:line="500" w:lineRule="exact"/>
        <w:rPr>
          <w:rFonts w:ascii="宋体" w:hAnsi="宋体" w:cs="宋体"/>
          <w:sz w:val="24"/>
          <w:szCs w:val="24"/>
          <w:highlight w:val="none"/>
          <w:u w:val="single"/>
        </w:rPr>
      </w:pPr>
    </w:p>
    <w:p>
      <w:pPr>
        <w:spacing w:line="380" w:lineRule="exact"/>
        <w:ind w:firstLine="3720" w:firstLineChars="1550"/>
        <w:rPr>
          <w:rFonts w:ascii="宋体" w:hAnsi="宋体" w:cs="宋体"/>
          <w:sz w:val="24"/>
          <w:szCs w:val="24"/>
          <w:highlight w:val="none"/>
        </w:rPr>
      </w:pPr>
      <w:r>
        <w:rPr>
          <w:rFonts w:hint="eastAsia" w:ascii="宋体" w:hAnsi="宋体" w:cs="宋体"/>
          <w:sz w:val="24"/>
          <w:szCs w:val="24"/>
          <w:highlight w:val="none"/>
        </w:rPr>
        <w:t>投 标 人（全称并加盖公章）：</w:t>
      </w:r>
    </w:p>
    <w:p>
      <w:pPr>
        <w:spacing w:line="380" w:lineRule="exact"/>
        <w:rPr>
          <w:rFonts w:ascii="宋体" w:hAnsi="宋体" w:cs="宋体"/>
          <w:sz w:val="24"/>
          <w:szCs w:val="24"/>
          <w:highlight w:val="none"/>
        </w:rPr>
      </w:pPr>
      <w:r>
        <w:rPr>
          <w:rFonts w:hint="eastAsia" w:ascii="宋体" w:hAnsi="宋体" w:cs="宋体"/>
          <w:sz w:val="24"/>
          <w:szCs w:val="24"/>
          <w:highlight w:val="none"/>
        </w:rPr>
        <w:t xml:space="preserve">                               投标人代表签字：</w:t>
      </w:r>
    </w:p>
    <w:p>
      <w:pPr>
        <w:spacing w:line="380" w:lineRule="exact"/>
        <w:rPr>
          <w:rFonts w:ascii="宋体" w:hAnsi="宋体" w:cs="宋体"/>
          <w:b/>
          <w:bCs/>
          <w:sz w:val="24"/>
          <w:szCs w:val="24"/>
          <w:highlight w:val="none"/>
        </w:rPr>
      </w:pPr>
      <w:r>
        <w:rPr>
          <w:rFonts w:hint="eastAsia" w:ascii="宋体" w:hAnsi="宋体" w:cs="宋体"/>
          <w:sz w:val="24"/>
          <w:szCs w:val="24"/>
          <w:highlight w:val="none"/>
        </w:rPr>
        <w:t xml:space="preserve">                               日      期：</w:t>
      </w:r>
    </w:p>
    <w:p>
      <w:pPr>
        <w:jc w:val="center"/>
        <w:rPr>
          <w:rFonts w:ascii="宋体" w:hAnsi="宋体" w:cs="宋体"/>
          <w:b/>
          <w:bCs/>
          <w:sz w:val="36"/>
          <w:szCs w:val="36"/>
          <w:highlight w:val="none"/>
        </w:rPr>
      </w:pPr>
    </w:p>
    <w:p>
      <w:pPr>
        <w:pStyle w:val="28"/>
        <w:rPr>
          <w:rFonts w:ascii="宋体" w:hAnsi="宋体" w:cs="宋体"/>
          <w:highlight w:val="none"/>
        </w:rPr>
      </w:pPr>
    </w:p>
    <w:p>
      <w:pPr>
        <w:jc w:val="center"/>
        <w:rPr>
          <w:rFonts w:ascii="宋体" w:hAnsi="宋体" w:cs="宋体"/>
          <w:b/>
          <w:bCs/>
          <w:sz w:val="30"/>
          <w:szCs w:val="30"/>
          <w:highlight w:val="none"/>
        </w:rPr>
      </w:pPr>
    </w:p>
    <w:p>
      <w:pPr>
        <w:jc w:val="center"/>
        <w:rPr>
          <w:rFonts w:ascii="宋体" w:hAnsi="宋体" w:cs="宋体"/>
          <w:b/>
          <w:bCs/>
          <w:sz w:val="30"/>
          <w:szCs w:val="30"/>
          <w:highlight w:val="none"/>
        </w:rPr>
      </w:pPr>
      <w:r>
        <w:rPr>
          <w:rFonts w:hint="eastAsia" w:ascii="宋体" w:hAnsi="宋体" w:cs="宋体"/>
          <w:b/>
          <w:bCs/>
          <w:sz w:val="30"/>
          <w:szCs w:val="30"/>
          <w:highlight w:val="none"/>
        </w:rPr>
        <w:t>6-7、信用记录查询结果</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 </w:t>
      </w:r>
    </w:p>
    <w:p>
      <w:pPr>
        <w:spacing w:line="380" w:lineRule="exact"/>
        <w:rPr>
          <w:rFonts w:ascii="宋体" w:hAnsi="宋体" w:cs="宋体"/>
          <w:sz w:val="24"/>
          <w:szCs w:val="24"/>
          <w:highlight w:val="none"/>
        </w:rPr>
      </w:pPr>
      <w:r>
        <w:rPr>
          <w:rFonts w:hint="eastAsia" w:ascii="宋体" w:hAnsi="宋体" w:cs="宋体"/>
          <w:sz w:val="24"/>
          <w:szCs w:val="24"/>
          <w:highlight w:val="none"/>
          <w:u w:val="single"/>
        </w:rPr>
        <w:t>致：福建省中达招标代理有限公司</w:t>
      </w:r>
      <w:r>
        <w:rPr>
          <w:rFonts w:hint="eastAsia" w:ascii="宋体" w:hAnsi="宋体" w:cs="宋体"/>
          <w:sz w:val="24"/>
          <w:szCs w:val="24"/>
          <w:highlight w:val="none"/>
        </w:rPr>
        <w:t>：</w:t>
      </w:r>
    </w:p>
    <w:p>
      <w:pPr>
        <w:spacing w:line="380" w:lineRule="exact"/>
        <w:rPr>
          <w:rFonts w:ascii="宋体" w:hAnsi="宋体" w:cs="宋体"/>
          <w:sz w:val="24"/>
          <w:szCs w:val="24"/>
          <w:highlight w:val="none"/>
        </w:rPr>
      </w:pPr>
      <w:r>
        <w:rPr>
          <w:rFonts w:hint="eastAsia" w:ascii="宋体" w:hAnsi="宋体" w:cs="宋体"/>
          <w:sz w:val="24"/>
          <w:szCs w:val="24"/>
          <w:highlight w:val="none"/>
        </w:rPr>
        <w:t>                     </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现附上截至</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 </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★注意：</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pPr>
        <w:pStyle w:val="26"/>
        <w:rPr>
          <w:highlight w:val="none"/>
        </w:rPr>
      </w:pPr>
    </w:p>
    <w:p>
      <w:pPr>
        <w:pStyle w:val="26"/>
        <w:rPr>
          <w:highlight w:val="none"/>
        </w:rPr>
      </w:pPr>
      <w:r>
        <w:rPr>
          <w:rFonts w:hint="eastAsia"/>
          <w:sz w:val="21"/>
          <w:szCs w:val="21"/>
          <w:highlight w:val="none"/>
        </w:rPr>
        <w:t> </w:t>
      </w:r>
    </w:p>
    <w:p>
      <w:pPr>
        <w:pStyle w:val="26"/>
        <w:rPr>
          <w:highlight w:val="none"/>
        </w:rPr>
      </w:pPr>
      <w:r>
        <w:rPr>
          <w:rFonts w:hint="eastAsia"/>
          <w:sz w:val="21"/>
          <w:szCs w:val="21"/>
          <w:highlight w:val="none"/>
        </w:rPr>
        <w:t> </w:t>
      </w:r>
    </w:p>
    <w:p>
      <w:pPr>
        <w:pStyle w:val="26"/>
        <w:rPr>
          <w:highlight w:val="none"/>
        </w:rPr>
      </w:pPr>
      <w:r>
        <w:rPr>
          <w:rFonts w:hint="eastAsia"/>
          <w:sz w:val="21"/>
          <w:szCs w:val="21"/>
          <w:highlight w:val="none"/>
        </w:rPr>
        <w:t>投标人：</w:t>
      </w:r>
      <w:r>
        <w:rPr>
          <w:rFonts w:hint="eastAsia"/>
          <w:sz w:val="21"/>
          <w:szCs w:val="21"/>
          <w:highlight w:val="none"/>
          <w:u w:val="single"/>
        </w:rPr>
        <w:t>（全称并加盖单位公章）</w:t>
      </w:r>
    </w:p>
    <w:p>
      <w:pPr>
        <w:pStyle w:val="26"/>
        <w:rPr>
          <w:highlight w:val="none"/>
        </w:rPr>
      </w:pPr>
      <w:r>
        <w:rPr>
          <w:rFonts w:hint="eastAsia"/>
          <w:sz w:val="21"/>
          <w:szCs w:val="21"/>
          <w:highlight w:val="none"/>
        </w:rPr>
        <w:t>投标人代表签字：</w:t>
      </w:r>
      <w:r>
        <w:rPr>
          <w:rFonts w:hint="eastAsia"/>
          <w:sz w:val="21"/>
          <w:szCs w:val="21"/>
          <w:highlight w:val="none"/>
          <w:u w:val="single"/>
        </w:rPr>
        <w:t>        </w:t>
      </w:r>
    </w:p>
    <w:p>
      <w:pPr>
        <w:pStyle w:val="26"/>
        <w:rPr>
          <w:highlight w:val="none"/>
        </w:rPr>
      </w:pPr>
      <w:r>
        <w:rPr>
          <w:rFonts w:hint="eastAsia"/>
          <w:sz w:val="21"/>
          <w:szCs w:val="21"/>
          <w:highlight w:val="none"/>
        </w:rPr>
        <w:t>日期：</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r>
        <w:rPr>
          <w:rFonts w:hint="eastAsia"/>
          <w:sz w:val="21"/>
          <w:szCs w:val="21"/>
          <w:highlight w:val="none"/>
        </w:rPr>
        <w:t>日</w:t>
      </w:r>
    </w:p>
    <w:p>
      <w:pPr>
        <w:rPr>
          <w:rFonts w:ascii="宋体" w:hAnsi="宋体" w:cs="宋体"/>
          <w:b/>
          <w:bCs/>
          <w:sz w:val="30"/>
          <w:szCs w:val="30"/>
          <w:highlight w:val="none"/>
        </w:rPr>
      </w:pPr>
    </w:p>
    <w:p>
      <w:pPr>
        <w:jc w:val="center"/>
        <w:rPr>
          <w:rFonts w:ascii="宋体" w:hAnsi="宋体" w:cs="宋体"/>
          <w:b/>
          <w:bCs/>
          <w:sz w:val="30"/>
          <w:szCs w:val="30"/>
          <w:highlight w:val="none"/>
        </w:rPr>
      </w:pPr>
    </w:p>
    <w:p>
      <w:pPr>
        <w:jc w:val="center"/>
        <w:rPr>
          <w:rFonts w:ascii="宋体" w:hAnsi="宋体" w:cs="宋体"/>
          <w:b/>
          <w:bCs/>
          <w:sz w:val="30"/>
          <w:szCs w:val="30"/>
          <w:highlight w:val="none"/>
        </w:rPr>
      </w:pPr>
    </w:p>
    <w:p>
      <w:pPr>
        <w:jc w:val="center"/>
        <w:rPr>
          <w:rFonts w:ascii="宋体" w:hAnsi="宋体" w:cs="宋体"/>
          <w:b/>
          <w:bCs/>
          <w:sz w:val="30"/>
          <w:szCs w:val="30"/>
          <w:highlight w:val="none"/>
        </w:rPr>
      </w:pPr>
    </w:p>
    <w:p>
      <w:pPr>
        <w:jc w:val="center"/>
        <w:rPr>
          <w:rFonts w:ascii="宋体" w:hAnsi="宋体" w:cs="宋体"/>
          <w:b/>
          <w:bCs/>
          <w:sz w:val="30"/>
          <w:szCs w:val="30"/>
          <w:highlight w:val="none"/>
        </w:rPr>
      </w:pPr>
    </w:p>
    <w:p>
      <w:pPr>
        <w:jc w:val="center"/>
        <w:rPr>
          <w:rFonts w:ascii="宋体" w:hAnsi="宋体" w:cs="宋体"/>
          <w:b/>
          <w:bCs/>
          <w:sz w:val="30"/>
          <w:szCs w:val="30"/>
          <w:highlight w:val="none"/>
        </w:rPr>
      </w:pPr>
    </w:p>
    <w:p>
      <w:pPr>
        <w:jc w:val="center"/>
        <w:rPr>
          <w:rFonts w:ascii="宋体" w:hAnsi="宋体" w:cs="宋体"/>
          <w:b/>
          <w:bCs/>
          <w:sz w:val="30"/>
          <w:szCs w:val="30"/>
          <w:highlight w:val="none"/>
        </w:rPr>
      </w:pPr>
    </w:p>
    <w:p>
      <w:pPr>
        <w:jc w:val="center"/>
        <w:rPr>
          <w:rFonts w:ascii="宋体" w:hAnsi="宋体" w:cs="宋体"/>
          <w:b/>
          <w:bCs/>
          <w:sz w:val="30"/>
          <w:szCs w:val="30"/>
          <w:highlight w:val="none"/>
        </w:rPr>
      </w:pPr>
    </w:p>
    <w:p>
      <w:pPr>
        <w:jc w:val="center"/>
        <w:rPr>
          <w:rFonts w:ascii="宋体" w:hAnsi="宋体" w:cs="宋体"/>
          <w:b/>
          <w:bCs/>
          <w:sz w:val="30"/>
          <w:szCs w:val="30"/>
          <w:highlight w:val="none"/>
        </w:rPr>
      </w:pPr>
    </w:p>
    <w:p>
      <w:pPr>
        <w:jc w:val="center"/>
        <w:rPr>
          <w:rFonts w:ascii="宋体" w:hAnsi="宋体" w:cs="宋体"/>
          <w:b/>
          <w:bCs/>
          <w:sz w:val="30"/>
          <w:szCs w:val="30"/>
          <w:highlight w:val="none"/>
        </w:rPr>
      </w:pPr>
    </w:p>
    <w:p>
      <w:pPr>
        <w:jc w:val="center"/>
        <w:rPr>
          <w:rFonts w:ascii="宋体" w:hAnsi="宋体" w:cs="宋体"/>
          <w:b/>
          <w:bCs/>
          <w:sz w:val="30"/>
          <w:szCs w:val="30"/>
          <w:highlight w:val="none"/>
        </w:rPr>
      </w:pPr>
      <w:r>
        <w:rPr>
          <w:rFonts w:hint="eastAsia" w:ascii="宋体" w:hAnsi="宋体" w:cs="宋体"/>
          <w:b/>
          <w:bCs/>
          <w:sz w:val="30"/>
          <w:szCs w:val="30"/>
          <w:highlight w:val="none"/>
        </w:rPr>
        <w:t>6-8、参加采购活动前三年内没有行贿犯罪记录的书面声明</w:t>
      </w:r>
    </w:p>
    <w:p>
      <w:pPr>
        <w:spacing w:line="380" w:lineRule="exact"/>
        <w:rPr>
          <w:rFonts w:ascii="宋体" w:hAnsi="宋体" w:cs="宋体"/>
          <w:sz w:val="24"/>
          <w:szCs w:val="24"/>
          <w:highlight w:val="none"/>
          <w:u w:val="single"/>
        </w:rPr>
      </w:pPr>
    </w:p>
    <w:p>
      <w:pPr>
        <w:spacing w:line="380" w:lineRule="exact"/>
        <w:rPr>
          <w:rFonts w:ascii="宋体" w:hAnsi="宋体" w:cs="宋体"/>
          <w:sz w:val="24"/>
          <w:szCs w:val="24"/>
          <w:highlight w:val="none"/>
        </w:rPr>
      </w:pPr>
      <w:r>
        <w:rPr>
          <w:rFonts w:hint="eastAsia" w:ascii="宋体" w:hAnsi="宋体" w:cs="宋体"/>
          <w:sz w:val="24"/>
          <w:szCs w:val="24"/>
          <w:highlight w:val="none"/>
          <w:u w:val="single"/>
        </w:rPr>
        <w:t>致：福建省中达招标代理有限公司</w:t>
      </w:r>
      <w:r>
        <w:rPr>
          <w:rFonts w:hint="eastAsia" w:ascii="宋体" w:hAnsi="宋体" w:cs="宋体"/>
          <w:sz w:val="24"/>
          <w:szCs w:val="24"/>
          <w:highlight w:val="none"/>
        </w:rPr>
        <w:t>：</w:t>
      </w:r>
    </w:p>
    <w:p>
      <w:pPr>
        <w:spacing w:line="380" w:lineRule="exact"/>
        <w:rPr>
          <w:rFonts w:ascii="宋体" w:hAnsi="宋体" w:cs="宋体"/>
          <w:sz w:val="24"/>
          <w:szCs w:val="24"/>
          <w:highlight w:val="none"/>
        </w:rPr>
      </w:pPr>
    </w:p>
    <w:p>
      <w:pPr>
        <w:spacing w:line="500" w:lineRule="exact"/>
        <w:rPr>
          <w:rFonts w:ascii="宋体" w:hAnsi="宋体" w:cs="宋体"/>
          <w:sz w:val="24"/>
          <w:szCs w:val="24"/>
          <w:highlight w:val="none"/>
          <w:u w:val="single"/>
        </w:rPr>
      </w:pPr>
      <w:r>
        <w:rPr>
          <w:rFonts w:hint="eastAsia" w:ascii="宋体" w:hAnsi="宋体" w:cs="宋体"/>
          <w:sz w:val="24"/>
          <w:szCs w:val="24"/>
          <w:highlight w:val="none"/>
        </w:rPr>
        <w:t>项目名称：            招标编号：</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根据招标文件的规定，特作如下声明：</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一、我方公司（公司名称：</w:t>
      </w:r>
      <w:r>
        <w:rPr>
          <w:rFonts w:hint="eastAsia" w:ascii="宋体" w:hAnsi="宋体" w:cs="宋体"/>
          <w:sz w:val="24"/>
          <w:szCs w:val="24"/>
          <w:highlight w:val="none"/>
          <w:u w:val="single"/>
        </w:rPr>
        <w:t xml:space="preserve">                               </w:t>
      </w:r>
      <w:r>
        <w:rPr>
          <w:rFonts w:hint="eastAsia" w:ascii="宋体" w:hAnsi="宋体" w:cs="宋体"/>
          <w:sz w:val="24"/>
          <w:szCs w:val="24"/>
          <w:highlight w:val="none"/>
        </w:rPr>
        <w:t>）、法定代表人（姓名   身份证号、投标代表没有行贿犯罪记录。</w:t>
      </w:r>
    </w:p>
    <w:p>
      <w:pPr>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二、我方若被采购人确定为中标人，同意并接受各单位或个人的监督审查。</w:t>
      </w:r>
    </w:p>
    <w:p>
      <w:pPr>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三、经查实我方若有虚假声明，同意招标代理机构不予退还我司的提交的投标保证金；并自觉接受相关监督管理部门的处罚，因在本次采购活动中出现违反本声明行为的给其他当事人造成经济损失的，按规定予以赔偿。如投标保证金不能弥补我方对采购人造成的损失，我方同意另行支付相应的赔偿。</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四、我方自愿将本声明作为投标文件的组成内容。</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五、本声明自签署之日起生效。</w:t>
      </w:r>
    </w:p>
    <w:p>
      <w:pPr>
        <w:spacing w:line="500" w:lineRule="exact"/>
        <w:ind w:firstLine="482"/>
        <w:rPr>
          <w:rFonts w:ascii="宋体" w:hAnsi="宋体" w:cs="宋体"/>
          <w:sz w:val="24"/>
          <w:szCs w:val="24"/>
          <w:highlight w:val="none"/>
        </w:rPr>
      </w:pPr>
      <w:r>
        <w:rPr>
          <w:rFonts w:hint="eastAsia" w:ascii="宋体" w:hAnsi="宋体" w:cs="宋体"/>
          <w:kern w:val="0"/>
          <w:sz w:val="24"/>
          <w:szCs w:val="24"/>
          <w:highlight w:val="none"/>
        </w:rPr>
        <w:t>此声明是由（投标人全称）以</w:t>
      </w:r>
      <w:r>
        <w:rPr>
          <w:rFonts w:hint="eastAsia" w:ascii="宋体" w:hAnsi="宋体" w:cs="宋体"/>
          <w:kern w:val="0"/>
          <w:sz w:val="24"/>
          <w:szCs w:val="24"/>
          <w:highlight w:val="none"/>
          <w:u w:val="single"/>
        </w:rPr>
        <w:t>（法定代表人或其</w:t>
      </w:r>
      <w:r>
        <w:rPr>
          <w:rFonts w:hint="eastAsia" w:ascii="宋体" w:hAnsi="宋体" w:cs="宋体"/>
          <w:sz w:val="24"/>
          <w:szCs w:val="24"/>
          <w:highlight w:val="none"/>
          <w:u w:val="single"/>
        </w:rPr>
        <w:t>委托代理人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为全权代表的身份提交的。</w:t>
      </w:r>
    </w:p>
    <w:p>
      <w:pPr>
        <w:spacing w:line="500" w:lineRule="exact"/>
        <w:rPr>
          <w:rFonts w:ascii="宋体" w:hAnsi="宋体" w:cs="宋体"/>
          <w:sz w:val="24"/>
          <w:szCs w:val="24"/>
          <w:highlight w:val="none"/>
          <w:u w:val="single"/>
        </w:rPr>
      </w:pPr>
    </w:p>
    <w:p>
      <w:pPr>
        <w:pStyle w:val="28"/>
        <w:jc w:val="both"/>
        <w:rPr>
          <w:rFonts w:ascii="宋体" w:hAnsi="宋体" w:cs="宋体"/>
          <w:highlight w:val="none"/>
        </w:rPr>
      </w:pPr>
    </w:p>
    <w:p>
      <w:pPr>
        <w:pStyle w:val="28"/>
        <w:rPr>
          <w:rFonts w:ascii="宋体" w:hAnsi="宋体" w:cs="宋体"/>
          <w:sz w:val="24"/>
          <w:szCs w:val="24"/>
          <w:highlight w:val="none"/>
          <w:u w:val="single"/>
        </w:rPr>
      </w:pPr>
    </w:p>
    <w:p>
      <w:pPr>
        <w:rPr>
          <w:rFonts w:ascii="宋体" w:hAnsi="宋体" w:cs="宋体"/>
          <w:sz w:val="24"/>
          <w:szCs w:val="24"/>
          <w:highlight w:val="none"/>
          <w:u w:val="single"/>
        </w:rPr>
      </w:pPr>
    </w:p>
    <w:p>
      <w:pPr>
        <w:pStyle w:val="28"/>
        <w:rPr>
          <w:rFonts w:ascii="宋体" w:hAnsi="宋体" w:cs="宋体"/>
          <w:sz w:val="24"/>
          <w:szCs w:val="24"/>
          <w:highlight w:val="none"/>
          <w:u w:val="single"/>
        </w:rPr>
      </w:pPr>
    </w:p>
    <w:p>
      <w:pPr>
        <w:rPr>
          <w:rFonts w:ascii="宋体" w:hAnsi="宋体" w:cs="宋体"/>
          <w:highlight w:val="none"/>
        </w:rPr>
      </w:pPr>
    </w:p>
    <w:p>
      <w:pPr>
        <w:spacing w:line="380" w:lineRule="exact"/>
        <w:ind w:firstLine="3720" w:firstLineChars="1550"/>
        <w:rPr>
          <w:rFonts w:ascii="宋体" w:hAnsi="宋体" w:cs="宋体"/>
          <w:sz w:val="24"/>
          <w:szCs w:val="24"/>
          <w:highlight w:val="none"/>
        </w:rPr>
      </w:pPr>
      <w:r>
        <w:rPr>
          <w:rFonts w:hint="eastAsia" w:ascii="宋体" w:hAnsi="宋体" w:cs="宋体"/>
          <w:sz w:val="24"/>
          <w:szCs w:val="24"/>
          <w:highlight w:val="none"/>
        </w:rPr>
        <w:t>投 标 人（全称并加盖公章）：</w:t>
      </w:r>
    </w:p>
    <w:p>
      <w:pPr>
        <w:spacing w:line="380" w:lineRule="exact"/>
        <w:rPr>
          <w:rFonts w:ascii="宋体" w:hAnsi="宋体" w:cs="宋体"/>
          <w:sz w:val="24"/>
          <w:szCs w:val="24"/>
          <w:highlight w:val="none"/>
        </w:rPr>
      </w:pPr>
      <w:r>
        <w:rPr>
          <w:rFonts w:hint="eastAsia" w:ascii="宋体" w:hAnsi="宋体" w:cs="宋体"/>
          <w:sz w:val="24"/>
          <w:szCs w:val="24"/>
          <w:highlight w:val="none"/>
        </w:rPr>
        <w:t xml:space="preserve">                               投标人代表签字：</w:t>
      </w:r>
    </w:p>
    <w:p>
      <w:pPr>
        <w:spacing w:line="380" w:lineRule="exact"/>
        <w:rPr>
          <w:rFonts w:ascii="宋体" w:hAnsi="宋体" w:cs="宋体"/>
          <w:b/>
          <w:bCs/>
          <w:sz w:val="24"/>
          <w:szCs w:val="24"/>
          <w:highlight w:val="none"/>
        </w:rPr>
      </w:pPr>
      <w:r>
        <w:rPr>
          <w:rFonts w:hint="eastAsia" w:ascii="宋体" w:hAnsi="宋体" w:cs="宋体"/>
          <w:sz w:val="24"/>
          <w:szCs w:val="24"/>
          <w:highlight w:val="none"/>
        </w:rPr>
        <w:t xml:space="preserve">                               日      期：</w:t>
      </w:r>
    </w:p>
    <w:p>
      <w:pPr>
        <w:jc w:val="center"/>
        <w:rPr>
          <w:rFonts w:ascii="宋体" w:hAnsi="宋体" w:cs="宋体"/>
          <w:b/>
          <w:bCs/>
          <w:sz w:val="30"/>
          <w:szCs w:val="30"/>
          <w:highlight w:val="none"/>
        </w:rPr>
      </w:pPr>
    </w:p>
    <w:p>
      <w:pPr>
        <w:jc w:val="center"/>
        <w:rPr>
          <w:rFonts w:ascii="宋体" w:hAnsi="宋体" w:cs="宋体"/>
          <w:b/>
          <w:bCs/>
          <w:sz w:val="30"/>
          <w:szCs w:val="30"/>
          <w:highlight w:val="none"/>
        </w:rPr>
      </w:pPr>
    </w:p>
    <w:p>
      <w:pPr>
        <w:jc w:val="center"/>
        <w:rPr>
          <w:rFonts w:ascii="宋体" w:hAnsi="宋体" w:cs="宋体"/>
          <w:b/>
          <w:bCs/>
          <w:sz w:val="30"/>
          <w:szCs w:val="30"/>
          <w:highlight w:val="none"/>
        </w:rPr>
      </w:pPr>
    </w:p>
    <w:p>
      <w:pPr>
        <w:jc w:val="center"/>
        <w:rPr>
          <w:rFonts w:ascii="宋体" w:hAnsi="宋体" w:cs="宋体"/>
          <w:b/>
          <w:bCs/>
          <w:sz w:val="30"/>
          <w:szCs w:val="30"/>
          <w:highlight w:val="none"/>
        </w:rPr>
      </w:pPr>
    </w:p>
    <w:p>
      <w:pPr>
        <w:jc w:val="center"/>
        <w:rPr>
          <w:rFonts w:ascii="宋体" w:hAnsi="宋体" w:cs="宋体"/>
          <w:b/>
          <w:bCs/>
          <w:sz w:val="30"/>
          <w:szCs w:val="30"/>
          <w:highlight w:val="none"/>
        </w:rPr>
      </w:pPr>
      <w:r>
        <w:rPr>
          <w:rFonts w:hint="eastAsia" w:ascii="宋体" w:hAnsi="宋体" w:cs="宋体"/>
          <w:b/>
          <w:bCs/>
          <w:sz w:val="30"/>
          <w:szCs w:val="30"/>
          <w:highlight w:val="none"/>
        </w:rPr>
        <w:t>6-9、其它资格证明文件</w:t>
      </w:r>
    </w:p>
    <w:p>
      <w:pPr>
        <w:spacing w:line="380" w:lineRule="exact"/>
        <w:rPr>
          <w:rFonts w:ascii="宋体" w:hAnsi="宋体" w:cs="宋体"/>
          <w:sz w:val="24"/>
          <w:szCs w:val="24"/>
          <w:highlight w:val="none"/>
        </w:rPr>
      </w:pPr>
    </w:p>
    <w:p>
      <w:pPr>
        <w:spacing w:line="380" w:lineRule="exact"/>
        <w:rPr>
          <w:rFonts w:ascii="宋体" w:hAnsi="宋体" w:cs="宋体"/>
          <w:sz w:val="24"/>
          <w:szCs w:val="24"/>
          <w:highlight w:val="none"/>
          <w:u w:val="single"/>
        </w:rPr>
      </w:pPr>
    </w:p>
    <w:p>
      <w:pPr>
        <w:spacing w:line="380" w:lineRule="exact"/>
        <w:rPr>
          <w:rFonts w:ascii="宋体" w:hAnsi="宋体" w:cs="宋体"/>
          <w:sz w:val="24"/>
          <w:szCs w:val="24"/>
          <w:highlight w:val="none"/>
        </w:rPr>
      </w:pPr>
      <w:r>
        <w:rPr>
          <w:rFonts w:hint="eastAsia" w:ascii="宋体" w:hAnsi="宋体" w:cs="宋体"/>
          <w:sz w:val="24"/>
          <w:szCs w:val="24"/>
          <w:highlight w:val="none"/>
          <w:u w:val="single"/>
        </w:rPr>
        <w:t>福建省中达招标代理有限公司</w:t>
      </w:r>
      <w:r>
        <w:rPr>
          <w:rFonts w:hint="eastAsia" w:ascii="宋体" w:hAnsi="宋体" w:cs="宋体"/>
          <w:sz w:val="24"/>
          <w:szCs w:val="24"/>
          <w:highlight w:val="none"/>
        </w:rPr>
        <w:t>：</w:t>
      </w:r>
    </w:p>
    <w:p>
      <w:pPr>
        <w:spacing w:line="380" w:lineRule="exact"/>
        <w:rPr>
          <w:rFonts w:ascii="宋体" w:hAnsi="宋体" w:cs="宋体"/>
          <w:sz w:val="24"/>
          <w:szCs w:val="24"/>
          <w:highlight w:val="none"/>
        </w:rPr>
      </w:pPr>
    </w:p>
    <w:p>
      <w:pPr>
        <w:spacing w:line="380" w:lineRule="exact"/>
        <w:rPr>
          <w:rFonts w:ascii="宋体" w:hAnsi="宋体" w:cs="宋体"/>
          <w:sz w:val="24"/>
          <w:szCs w:val="24"/>
          <w:highlight w:val="none"/>
        </w:rPr>
      </w:pPr>
    </w:p>
    <w:p>
      <w:pPr>
        <w:ind w:firstLine="480" w:firstLineChars="200"/>
        <w:rPr>
          <w:rFonts w:ascii="宋体" w:hAnsi="宋体" w:cs="宋体"/>
          <w:sz w:val="24"/>
          <w:szCs w:val="24"/>
          <w:highlight w:val="none"/>
        </w:rPr>
      </w:pPr>
      <w:r>
        <w:rPr>
          <w:rFonts w:hint="eastAsia" w:ascii="宋体" w:hAnsi="宋体" w:cs="宋体"/>
          <w:sz w:val="24"/>
          <w:szCs w:val="24"/>
          <w:highlight w:val="none"/>
        </w:rPr>
        <w:t>我司投标文件中还提供了下述证件：</w:t>
      </w:r>
    </w:p>
    <w:p>
      <w:pPr>
        <w:ind w:firstLine="480" w:firstLineChars="200"/>
        <w:rPr>
          <w:rFonts w:ascii="宋体" w:hAnsi="宋体" w:cs="宋体"/>
          <w:sz w:val="24"/>
          <w:szCs w:val="24"/>
          <w:highlight w:val="none"/>
        </w:rPr>
      </w:pPr>
    </w:p>
    <w:p>
      <w:pPr>
        <w:ind w:firstLine="480" w:firstLineChars="200"/>
        <w:rPr>
          <w:rFonts w:ascii="宋体" w:hAnsi="宋体" w:cs="宋体"/>
          <w:sz w:val="24"/>
          <w:szCs w:val="24"/>
          <w:highlight w:val="none"/>
        </w:rPr>
      </w:pPr>
    </w:p>
    <w:p>
      <w:pPr>
        <w:ind w:firstLine="960" w:firstLineChars="400"/>
        <w:rPr>
          <w:rFonts w:ascii="宋体" w:hAnsi="宋体" w:cs="宋体"/>
          <w:sz w:val="24"/>
          <w:szCs w:val="24"/>
          <w:highlight w:val="none"/>
        </w:rPr>
      </w:pPr>
      <w:r>
        <w:rPr>
          <w:rFonts w:hint="eastAsia" w:ascii="宋体" w:hAnsi="宋体" w:cs="宋体"/>
          <w:sz w:val="24"/>
          <w:szCs w:val="24"/>
          <w:highlight w:val="none"/>
        </w:rPr>
        <w:t>……</w:t>
      </w:r>
    </w:p>
    <w:p>
      <w:pPr>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pPr>
        <w:ind w:firstLine="480" w:firstLineChars="200"/>
        <w:rPr>
          <w:rFonts w:ascii="宋体" w:hAnsi="宋体" w:cs="宋体"/>
          <w:sz w:val="24"/>
          <w:szCs w:val="24"/>
          <w:highlight w:val="none"/>
        </w:rPr>
      </w:pPr>
    </w:p>
    <w:p>
      <w:pPr>
        <w:ind w:firstLine="480" w:firstLineChars="200"/>
        <w:rPr>
          <w:rFonts w:ascii="宋体" w:hAnsi="宋体" w:cs="宋体"/>
          <w:sz w:val="24"/>
          <w:szCs w:val="24"/>
          <w:highlight w:val="none"/>
        </w:rPr>
      </w:pPr>
    </w:p>
    <w:p>
      <w:pPr>
        <w:ind w:firstLine="480" w:firstLineChars="200"/>
        <w:rPr>
          <w:rFonts w:ascii="宋体" w:hAnsi="宋体" w:cs="宋体"/>
          <w:sz w:val="24"/>
          <w:szCs w:val="24"/>
          <w:highlight w:val="none"/>
        </w:rPr>
      </w:pPr>
    </w:p>
    <w:p>
      <w:pPr>
        <w:ind w:firstLine="480" w:firstLineChars="200"/>
        <w:rPr>
          <w:rFonts w:ascii="宋体" w:hAnsi="宋体" w:cs="宋体"/>
          <w:sz w:val="24"/>
          <w:szCs w:val="24"/>
          <w:highlight w:val="none"/>
        </w:rPr>
      </w:pPr>
    </w:p>
    <w:p>
      <w:pPr>
        <w:ind w:firstLine="480" w:firstLineChars="200"/>
        <w:rPr>
          <w:rFonts w:ascii="宋体" w:hAnsi="宋体" w:cs="宋体"/>
          <w:sz w:val="24"/>
          <w:szCs w:val="24"/>
          <w:highlight w:val="none"/>
        </w:rPr>
      </w:pPr>
    </w:p>
    <w:p>
      <w:pPr>
        <w:ind w:firstLine="480" w:firstLineChars="200"/>
        <w:rPr>
          <w:rFonts w:ascii="宋体" w:hAnsi="宋体" w:cs="宋体"/>
          <w:sz w:val="24"/>
          <w:szCs w:val="24"/>
          <w:highlight w:val="none"/>
        </w:rPr>
      </w:pPr>
    </w:p>
    <w:p>
      <w:pPr>
        <w:ind w:firstLine="480" w:firstLineChars="200"/>
        <w:rPr>
          <w:rFonts w:ascii="宋体" w:hAnsi="宋体" w:cs="宋体"/>
          <w:sz w:val="24"/>
          <w:szCs w:val="24"/>
          <w:highlight w:val="none"/>
        </w:rPr>
      </w:pPr>
    </w:p>
    <w:p>
      <w:pPr>
        <w:ind w:firstLine="480" w:firstLineChars="200"/>
        <w:rPr>
          <w:rFonts w:ascii="宋体" w:hAnsi="宋体" w:cs="宋体"/>
          <w:sz w:val="24"/>
          <w:szCs w:val="24"/>
          <w:highlight w:val="none"/>
        </w:rPr>
      </w:pPr>
    </w:p>
    <w:p>
      <w:pPr>
        <w:ind w:firstLine="480" w:firstLineChars="200"/>
        <w:rPr>
          <w:rFonts w:ascii="宋体" w:hAnsi="宋体" w:cs="宋体"/>
          <w:sz w:val="24"/>
          <w:szCs w:val="24"/>
          <w:highlight w:val="none"/>
        </w:rPr>
      </w:pPr>
    </w:p>
    <w:p>
      <w:pPr>
        <w:ind w:firstLine="480" w:firstLineChars="200"/>
        <w:rPr>
          <w:rFonts w:ascii="宋体" w:hAnsi="宋体" w:cs="宋体"/>
          <w:sz w:val="24"/>
          <w:szCs w:val="24"/>
          <w:highlight w:val="none"/>
        </w:rPr>
      </w:pPr>
    </w:p>
    <w:p>
      <w:pPr>
        <w:ind w:firstLine="960" w:firstLineChars="400"/>
        <w:rPr>
          <w:rFonts w:ascii="宋体" w:hAnsi="宋体" w:cs="宋体"/>
          <w:sz w:val="24"/>
          <w:szCs w:val="24"/>
          <w:highlight w:val="none"/>
        </w:rPr>
      </w:pPr>
      <w:r>
        <w:rPr>
          <w:rFonts w:hint="eastAsia" w:ascii="宋体" w:hAnsi="宋体" w:cs="宋体"/>
          <w:sz w:val="24"/>
          <w:szCs w:val="24"/>
          <w:highlight w:val="none"/>
        </w:rPr>
        <w:t>我司保证上述证照真实,有效。若有需要,可通知我司提供原件校验。</w:t>
      </w:r>
    </w:p>
    <w:p>
      <w:pPr>
        <w:ind w:firstLine="480" w:firstLineChars="200"/>
        <w:rPr>
          <w:rFonts w:ascii="宋体" w:hAnsi="宋体" w:cs="宋体"/>
          <w:sz w:val="24"/>
          <w:szCs w:val="24"/>
          <w:highlight w:val="none"/>
        </w:rPr>
      </w:pPr>
    </w:p>
    <w:p>
      <w:pPr>
        <w:ind w:firstLine="420" w:firstLineChars="200"/>
        <w:rPr>
          <w:rFonts w:ascii="宋体" w:hAnsi="宋体" w:cs="宋体"/>
          <w:highlight w:val="none"/>
        </w:rPr>
      </w:pPr>
    </w:p>
    <w:p>
      <w:pPr>
        <w:ind w:firstLine="420" w:firstLineChars="200"/>
        <w:rPr>
          <w:rFonts w:ascii="宋体" w:hAnsi="宋体" w:cs="宋体"/>
          <w:highlight w:val="none"/>
        </w:rPr>
      </w:pPr>
    </w:p>
    <w:p>
      <w:pPr>
        <w:ind w:firstLine="420" w:firstLineChars="200"/>
        <w:rPr>
          <w:rFonts w:ascii="宋体" w:hAnsi="宋体" w:cs="宋体"/>
          <w:highlight w:val="none"/>
        </w:rPr>
      </w:pPr>
    </w:p>
    <w:p>
      <w:pPr>
        <w:ind w:firstLine="420" w:firstLineChars="200"/>
        <w:rPr>
          <w:rFonts w:ascii="宋体" w:hAnsi="宋体" w:cs="宋体"/>
          <w:highlight w:val="none"/>
        </w:rPr>
      </w:pPr>
    </w:p>
    <w:p>
      <w:pPr>
        <w:ind w:firstLine="420" w:firstLineChars="200"/>
        <w:rPr>
          <w:rFonts w:ascii="宋体" w:hAnsi="宋体" w:cs="宋体"/>
          <w:highlight w:val="none"/>
        </w:rPr>
      </w:pPr>
    </w:p>
    <w:p>
      <w:pPr>
        <w:ind w:firstLine="420" w:firstLineChars="200"/>
        <w:rPr>
          <w:rFonts w:ascii="宋体" w:hAnsi="宋体" w:cs="宋体"/>
          <w:highlight w:val="none"/>
        </w:rPr>
      </w:pPr>
    </w:p>
    <w:p>
      <w:pPr>
        <w:spacing w:line="380" w:lineRule="exact"/>
        <w:ind w:firstLine="3255" w:firstLineChars="1550"/>
        <w:rPr>
          <w:rFonts w:ascii="宋体" w:hAnsi="宋体" w:cs="宋体"/>
          <w:highlight w:val="none"/>
        </w:rPr>
      </w:pPr>
      <w:r>
        <w:rPr>
          <w:rFonts w:hint="eastAsia" w:ascii="宋体" w:hAnsi="宋体" w:cs="宋体"/>
          <w:highlight w:val="none"/>
        </w:rPr>
        <w:t>投 标 人（全称并加盖公章）：</w:t>
      </w:r>
    </w:p>
    <w:p>
      <w:pPr>
        <w:spacing w:line="380" w:lineRule="exact"/>
        <w:rPr>
          <w:rFonts w:ascii="宋体" w:hAnsi="宋体" w:cs="宋体"/>
          <w:highlight w:val="none"/>
        </w:rPr>
      </w:pPr>
      <w:r>
        <w:rPr>
          <w:rFonts w:hint="eastAsia" w:ascii="宋体" w:hAnsi="宋体" w:cs="宋体"/>
          <w:highlight w:val="none"/>
        </w:rPr>
        <w:t xml:space="preserve">                               投标人代表签字：</w:t>
      </w:r>
    </w:p>
    <w:p>
      <w:pPr>
        <w:rPr>
          <w:rFonts w:ascii="宋体" w:hAnsi="宋体" w:cs="宋体"/>
          <w:b/>
          <w:bCs/>
          <w:sz w:val="36"/>
          <w:szCs w:val="36"/>
          <w:highlight w:val="none"/>
        </w:rPr>
      </w:pPr>
    </w:p>
    <w:p>
      <w:pPr>
        <w:rPr>
          <w:rFonts w:ascii="宋体" w:hAnsi="宋体" w:cs="宋体"/>
          <w:b/>
          <w:bCs/>
          <w:sz w:val="36"/>
          <w:szCs w:val="36"/>
          <w:highlight w:val="none"/>
        </w:rPr>
      </w:pPr>
    </w:p>
    <w:p>
      <w:pPr>
        <w:rPr>
          <w:rFonts w:ascii="宋体" w:hAnsi="宋体" w:cs="宋体"/>
          <w:b/>
          <w:bCs/>
          <w:sz w:val="36"/>
          <w:szCs w:val="36"/>
          <w:highlight w:val="none"/>
        </w:rPr>
      </w:pPr>
    </w:p>
    <w:p>
      <w:pPr>
        <w:rPr>
          <w:rFonts w:ascii="宋体" w:hAnsi="宋体" w:cs="宋体"/>
          <w:b/>
          <w:bCs/>
          <w:sz w:val="36"/>
          <w:szCs w:val="36"/>
          <w:highlight w:val="none"/>
        </w:rPr>
      </w:pPr>
    </w:p>
    <w:p>
      <w:pPr>
        <w:rPr>
          <w:rFonts w:ascii="宋体" w:hAnsi="宋体" w:cs="宋体"/>
          <w:b/>
          <w:bCs/>
          <w:sz w:val="36"/>
          <w:szCs w:val="36"/>
          <w:highlight w:val="none"/>
        </w:rPr>
      </w:pPr>
    </w:p>
    <w:p>
      <w:pPr>
        <w:ind w:firstLine="310" w:firstLineChars="147"/>
        <w:rPr>
          <w:rFonts w:ascii="宋体" w:hAnsi="宋体" w:cs="宋体"/>
          <w:b/>
          <w:bCs/>
          <w:highlight w:val="none"/>
        </w:rPr>
      </w:pPr>
      <w:r>
        <w:rPr>
          <w:rFonts w:hint="eastAsia" w:ascii="宋体" w:hAnsi="宋体" w:cs="宋体"/>
          <w:b/>
          <w:bCs/>
          <w:highlight w:val="none"/>
        </w:rPr>
        <w:t>注：根据招标文件资格要求提供其它相关证件、材料（如有），制作时删除本栏。</w:t>
      </w:r>
    </w:p>
    <w:p>
      <w:pPr>
        <w:spacing w:line="320" w:lineRule="exact"/>
        <w:rPr>
          <w:rFonts w:ascii="宋体" w:hAnsi="宋体" w:cs="宋体"/>
          <w:highlight w:val="none"/>
        </w:rPr>
      </w:pPr>
    </w:p>
    <w:p>
      <w:pPr>
        <w:spacing w:line="320" w:lineRule="exact"/>
        <w:rPr>
          <w:rFonts w:ascii="宋体" w:hAnsi="宋体" w:cs="宋体"/>
          <w:highlight w:val="none"/>
        </w:rPr>
      </w:pPr>
    </w:p>
    <w:p>
      <w:pPr>
        <w:spacing w:line="320" w:lineRule="exact"/>
        <w:rPr>
          <w:rFonts w:ascii="宋体" w:hAnsi="宋体" w:cs="宋体"/>
          <w:highlight w:val="none"/>
        </w:rPr>
      </w:pPr>
    </w:p>
    <w:p>
      <w:pPr>
        <w:spacing w:line="320" w:lineRule="exact"/>
        <w:rPr>
          <w:rFonts w:ascii="宋体" w:hAnsi="宋体" w:cs="宋体"/>
          <w:highlight w:val="none"/>
        </w:rPr>
      </w:pPr>
    </w:p>
    <w:p>
      <w:pPr>
        <w:spacing w:line="320" w:lineRule="exact"/>
        <w:rPr>
          <w:rFonts w:ascii="宋体" w:hAnsi="宋体" w:cs="宋体"/>
          <w:highlight w:val="none"/>
        </w:rPr>
      </w:pPr>
    </w:p>
    <w:p>
      <w:pPr>
        <w:spacing w:line="320" w:lineRule="exact"/>
        <w:rPr>
          <w:rFonts w:ascii="宋体" w:hAnsi="宋体" w:cs="宋体"/>
          <w:highlight w:val="none"/>
        </w:rPr>
      </w:pPr>
      <w:r>
        <w:rPr>
          <w:rFonts w:hint="eastAsia" w:ascii="宋体" w:hAnsi="宋体" w:cs="宋体"/>
          <w:highlight w:val="none"/>
        </w:rPr>
        <w:t>附件7、</w:t>
      </w:r>
    </w:p>
    <w:p>
      <w:pPr>
        <w:spacing w:line="400" w:lineRule="exact"/>
        <w:jc w:val="center"/>
        <w:rPr>
          <w:rFonts w:ascii="宋体" w:hAnsi="宋体" w:cs="宋体"/>
          <w:b/>
          <w:bCs/>
          <w:sz w:val="30"/>
          <w:szCs w:val="30"/>
          <w:highlight w:val="none"/>
        </w:rPr>
      </w:pPr>
      <w:r>
        <w:rPr>
          <w:rFonts w:hint="eastAsia" w:ascii="宋体" w:hAnsi="宋体" w:cs="宋体"/>
          <w:b/>
          <w:bCs/>
          <w:sz w:val="30"/>
          <w:szCs w:val="30"/>
          <w:highlight w:val="none"/>
        </w:rPr>
        <w:t>投标人代表合法性证明</w:t>
      </w:r>
    </w:p>
    <w:p>
      <w:pPr>
        <w:spacing w:line="400" w:lineRule="exact"/>
        <w:jc w:val="center"/>
        <w:rPr>
          <w:rFonts w:ascii="宋体" w:hAnsi="宋体" w:cs="宋体"/>
          <w:b/>
          <w:bCs/>
          <w:sz w:val="30"/>
          <w:szCs w:val="30"/>
          <w:highlight w:val="none"/>
        </w:rPr>
      </w:pPr>
    </w:p>
    <w:p>
      <w:pPr>
        <w:spacing w:line="320" w:lineRule="exact"/>
        <w:jc w:val="center"/>
        <w:rPr>
          <w:rFonts w:ascii="宋体" w:hAnsi="宋体" w:cs="宋体"/>
          <w:b/>
          <w:bCs/>
          <w:sz w:val="30"/>
          <w:szCs w:val="30"/>
          <w:highlight w:val="none"/>
        </w:rPr>
      </w:pPr>
      <w:r>
        <w:rPr>
          <w:rFonts w:hint="eastAsia" w:ascii="宋体" w:hAnsi="宋体" w:cs="宋体"/>
          <w:b/>
          <w:bCs/>
          <w:sz w:val="30"/>
          <w:szCs w:val="30"/>
          <w:highlight w:val="none"/>
        </w:rPr>
        <w:t>7-1、法定代表人身份证明</w:t>
      </w:r>
    </w:p>
    <w:p>
      <w:pPr>
        <w:spacing w:line="400" w:lineRule="exact"/>
        <w:jc w:val="center"/>
        <w:rPr>
          <w:rFonts w:ascii="宋体" w:hAnsi="宋体" w:cs="宋体"/>
          <w:sz w:val="28"/>
          <w:szCs w:val="28"/>
          <w:highlight w:val="none"/>
        </w:rPr>
      </w:pPr>
    </w:p>
    <w:p>
      <w:pPr>
        <w:spacing w:line="400" w:lineRule="exact"/>
        <w:jc w:val="center"/>
        <w:rPr>
          <w:rFonts w:ascii="宋体" w:hAnsi="宋体" w:cs="宋体"/>
          <w:sz w:val="28"/>
          <w:szCs w:val="28"/>
          <w:highlight w:val="none"/>
        </w:rPr>
      </w:pPr>
    </w:p>
    <w:p>
      <w:pPr>
        <w:spacing w:line="400" w:lineRule="exact"/>
        <w:jc w:val="center"/>
        <w:rPr>
          <w:rFonts w:ascii="宋体" w:hAnsi="宋体" w:cs="宋体"/>
          <w:sz w:val="28"/>
          <w:szCs w:val="28"/>
          <w:highlight w:val="none"/>
        </w:rPr>
      </w:pPr>
    </w:p>
    <w:p>
      <w:pPr>
        <w:topLinePunct/>
        <w:spacing w:line="480" w:lineRule="exact"/>
        <w:rPr>
          <w:rFonts w:ascii="宋体" w:hAnsi="宋体" w:cs="宋体"/>
          <w:sz w:val="24"/>
          <w:szCs w:val="24"/>
          <w:highlight w:val="none"/>
          <w:u w:val="single"/>
        </w:rPr>
      </w:pPr>
      <w:r>
        <w:rPr>
          <w:rFonts w:hint="eastAsia" w:ascii="宋体" w:hAnsi="宋体" w:cs="宋体"/>
          <w:sz w:val="24"/>
          <w:szCs w:val="24"/>
          <w:highlight w:val="none"/>
        </w:rPr>
        <w:t>投标人名称：</w:t>
      </w:r>
      <w:r>
        <w:rPr>
          <w:rFonts w:hint="eastAsia" w:ascii="宋体" w:hAnsi="宋体" w:cs="宋体"/>
          <w:sz w:val="24"/>
          <w:szCs w:val="24"/>
          <w:highlight w:val="none"/>
          <w:u w:val="single"/>
        </w:rPr>
        <w:t xml:space="preserve">                         </w:t>
      </w:r>
    </w:p>
    <w:p>
      <w:pPr>
        <w:topLinePunct/>
        <w:spacing w:line="480" w:lineRule="exact"/>
        <w:rPr>
          <w:rFonts w:ascii="宋体" w:hAnsi="宋体" w:cs="宋体"/>
          <w:sz w:val="24"/>
          <w:szCs w:val="24"/>
          <w:highlight w:val="none"/>
        </w:rPr>
      </w:pPr>
      <w:r>
        <w:rPr>
          <w:rFonts w:hint="eastAsia" w:ascii="宋体" w:hAnsi="宋体" w:cs="宋体"/>
          <w:sz w:val="24"/>
          <w:szCs w:val="24"/>
          <w:highlight w:val="none"/>
        </w:rPr>
        <w:t>单位性质：</w:t>
      </w:r>
      <w:r>
        <w:rPr>
          <w:rFonts w:hint="eastAsia" w:ascii="宋体" w:hAnsi="宋体" w:cs="宋体"/>
          <w:sz w:val="24"/>
          <w:szCs w:val="24"/>
          <w:highlight w:val="none"/>
          <w:u w:val="single"/>
        </w:rPr>
        <w:t xml:space="preserve">                           </w:t>
      </w:r>
    </w:p>
    <w:p>
      <w:pPr>
        <w:topLinePunct/>
        <w:spacing w:line="480" w:lineRule="exact"/>
        <w:rPr>
          <w:rFonts w:ascii="宋体" w:hAnsi="宋体" w:cs="宋体"/>
          <w:sz w:val="24"/>
          <w:szCs w:val="24"/>
          <w:highlight w:val="none"/>
        </w:rPr>
      </w:pPr>
      <w:r>
        <w:rPr>
          <w:rFonts w:hint="eastAsia" w:ascii="宋体" w:hAnsi="宋体" w:cs="宋体"/>
          <w:sz w:val="24"/>
          <w:szCs w:val="24"/>
          <w:highlight w:val="none"/>
        </w:rPr>
        <w:t>成立时间：</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topLinePunct/>
        <w:spacing w:line="480" w:lineRule="exact"/>
        <w:rPr>
          <w:rFonts w:ascii="宋体" w:hAnsi="宋体" w:cs="宋体"/>
          <w:sz w:val="24"/>
          <w:szCs w:val="24"/>
          <w:highlight w:val="none"/>
        </w:rPr>
      </w:pPr>
      <w:r>
        <w:rPr>
          <w:rFonts w:hint="eastAsia" w:ascii="宋体" w:hAnsi="宋体" w:cs="宋体"/>
          <w:sz w:val="24"/>
          <w:szCs w:val="24"/>
          <w:highlight w:val="none"/>
        </w:rPr>
        <w:t>经营期限：</w:t>
      </w:r>
      <w:r>
        <w:rPr>
          <w:rFonts w:hint="eastAsia" w:ascii="宋体" w:hAnsi="宋体" w:cs="宋体"/>
          <w:sz w:val="24"/>
          <w:szCs w:val="24"/>
          <w:highlight w:val="none"/>
          <w:u w:val="single"/>
        </w:rPr>
        <w:t xml:space="preserve">                          </w:t>
      </w:r>
    </w:p>
    <w:p>
      <w:pPr>
        <w:topLinePunct/>
        <w:spacing w:line="480" w:lineRule="exact"/>
        <w:rPr>
          <w:rFonts w:ascii="宋体" w:hAnsi="宋体" w:cs="宋体"/>
          <w:sz w:val="24"/>
          <w:szCs w:val="24"/>
          <w:highlight w:val="none"/>
          <w:u w:val="single"/>
        </w:rPr>
      </w:pPr>
      <w:r>
        <w:rPr>
          <w:rFonts w:hint="eastAsia" w:ascii="宋体" w:hAnsi="宋体" w:cs="宋体"/>
          <w:sz w:val="24"/>
          <w:szCs w:val="24"/>
          <w:highlight w:val="none"/>
        </w:rPr>
        <w:t>姓名：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性别：</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年龄：</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职务：</w:t>
      </w:r>
      <w:r>
        <w:rPr>
          <w:rFonts w:hint="eastAsia" w:ascii="宋体" w:hAnsi="宋体" w:cs="宋体"/>
          <w:sz w:val="24"/>
          <w:szCs w:val="24"/>
          <w:highlight w:val="none"/>
          <w:u w:val="single"/>
        </w:rPr>
        <w:t xml:space="preserve">         </w:t>
      </w:r>
    </w:p>
    <w:p>
      <w:pPr>
        <w:topLinePunct/>
        <w:spacing w:line="480" w:lineRule="exact"/>
        <w:rPr>
          <w:rFonts w:ascii="宋体" w:hAnsi="宋体" w:cs="宋体"/>
          <w:sz w:val="24"/>
          <w:szCs w:val="24"/>
          <w:highlight w:val="none"/>
          <w:u w:val="single"/>
        </w:rPr>
      </w:pPr>
      <w:r>
        <w:rPr>
          <w:rFonts w:hint="eastAsia" w:ascii="宋体" w:hAnsi="宋体" w:cs="宋体"/>
          <w:sz w:val="24"/>
          <w:szCs w:val="24"/>
          <w:highlight w:val="none"/>
        </w:rPr>
        <w:t>身份证号：</w:t>
      </w:r>
      <w:r>
        <w:rPr>
          <w:rFonts w:hint="eastAsia" w:ascii="宋体" w:hAnsi="宋体" w:cs="宋体"/>
          <w:sz w:val="24"/>
          <w:szCs w:val="24"/>
          <w:highlight w:val="none"/>
          <w:u w:val="single"/>
        </w:rPr>
        <w:t xml:space="preserve">                                                   </w:t>
      </w:r>
    </w:p>
    <w:p>
      <w:pPr>
        <w:topLinePunct/>
        <w:spacing w:line="480" w:lineRule="exact"/>
        <w:rPr>
          <w:rFonts w:ascii="宋体" w:hAnsi="宋体" w:cs="宋体"/>
          <w:sz w:val="24"/>
          <w:szCs w:val="24"/>
          <w:highlight w:val="none"/>
        </w:rPr>
      </w:pPr>
      <w:r>
        <w:rPr>
          <w:rFonts w:hint="eastAsia" w:ascii="宋体" w:hAnsi="宋体" w:cs="宋体"/>
          <w:sz w:val="24"/>
          <w:szCs w:val="24"/>
          <w:highlight w:val="none"/>
        </w:rPr>
        <w:t>系</w:t>
      </w:r>
      <w:r>
        <w:rPr>
          <w:rFonts w:hint="eastAsia" w:ascii="宋体" w:hAnsi="宋体" w:cs="宋体"/>
          <w:sz w:val="24"/>
          <w:szCs w:val="24"/>
          <w:highlight w:val="none"/>
          <w:u w:val="single"/>
        </w:rPr>
        <w:t xml:space="preserve">                   </w:t>
      </w:r>
      <w:r>
        <w:rPr>
          <w:rFonts w:hint="eastAsia" w:ascii="宋体" w:hAnsi="宋体" w:cs="宋体"/>
          <w:sz w:val="24"/>
          <w:szCs w:val="24"/>
          <w:highlight w:val="none"/>
        </w:rPr>
        <w:t>（投标人名称）的法定代表人。</w:t>
      </w:r>
    </w:p>
    <w:p>
      <w:pPr>
        <w:topLinePunct/>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特此证明。</w:t>
      </w:r>
    </w:p>
    <w:p>
      <w:pPr>
        <w:topLinePunct/>
        <w:spacing w:line="360" w:lineRule="exact"/>
        <w:rPr>
          <w:rFonts w:ascii="宋体" w:hAnsi="宋体" w:cs="宋体"/>
          <w:highlight w:val="none"/>
        </w:rPr>
      </w:pPr>
    </w:p>
    <w:p>
      <w:pPr>
        <w:topLinePunct/>
        <w:spacing w:line="360" w:lineRule="exact"/>
        <w:ind w:left="2520" w:hanging="2520" w:hangingChars="1200"/>
        <w:rPr>
          <w:rFonts w:ascii="宋体" w:hAnsi="宋体" w:cs="宋体"/>
          <w:highlight w:val="none"/>
        </w:rPr>
      </w:pPr>
      <w:r>
        <w:rPr>
          <w:rFonts w:hint="eastAsia" w:ascii="宋体" w:hAnsi="宋体" w:cs="宋体"/>
          <w:highlight w:val="none"/>
        </w:rPr>
        <w:t xml:space="preserve">                   </w:t>
      </w:r>
    </w:p>
    <w:p>
      <w:pPr>
        <w:topLinePunct/>
        <w:spacing w:line="360" w:lineRule="exact"/>
        <w:ind w:left="2520" w:hanging="2520" w:hangingChars="1200"/>
        <w:rPr>
          <w:rFonts w:ascii="宋体" w:hAnsi="宋体" w:cs="宋体"/>
          <w:highlight w:val="none"/>
        </w:rPr>
      </w:pPr>
      <w:r>
        <w:rPr>
          <w:rFonts w:hint="eastAsia" w:ascii="宋体" w:hAnsi="宋体" w:cs="宋体"/>
          <w:highlight w:val="none"/>
        </w:rPr>
        <w:t xml:space="preserve">     投标人：</w:t>
      </w:r>
      <w:r>
        <w:rPr>
          <w:rFonts w:hint="eastAsia" w:ascii="宋体" w:hAnsi="宋体" w:cs="宋体"/>
          <w:highlight w:val="none"/>
          <w:u w:val="single"/>
        </w:rPr>
        <w:t xml:space="preserve">                    （全称并加盖公章）   </w:t>
      </w:r>
      <w:r>
        <w:rPr>
          <w:rFonts w:hint="eastAsia" w:ascii="宋体" w:hAnsi="宋体" w:cs="宋体"/>
          <w:highlight w:val="none"/>
        </w:rPr>
        <w:t xml:space="preserve"> </w:t>
      </w:r>
    </w:p>
    <w:p>
      <w:pPr>
        <w:topLinePunct/>
        <w:spacing w:line="360" w:lineRule="exact"/>
        <w:ind w:left="2520" w:leftChars="1200"/>
        <w:rPr>
          <w:rFonts w:ascii="宋体" w:hAnsi="宋体" w:cs="宋体"/>
          <w:sz w:val="30"/>
          <w:szCs w:val="30"/>
          <w:highlight w:val="none"/>
        </w:rPr>
      </w:pPr>
      <w:r>
        <w:rPr>
          <w:rFonts w:hint="eastAsia" w:ascii="宋体" w:hAnsi="宋体" w:cs="宋体"/>
          <w:highlight w:val="none"/>
        </w:rPr>
        <w:t xml:space="preserve">日  期： </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r>
        <w:rPr>
          <w:rFonts w:hint="eastAsia" w:ascii="宋体" w:hAnsi="宋体" w:cs="宋体"/>
          <w:sz w:val="30"/>
          <w:szCs w:val="30"/>
          <w:highlight w:val="none"/>
        </w:rPr>
        <w:br w:type="textWrapping"/>
      </w:r>
    </w:p>
    <w:p>
      <w:pPr>
        <w:topLinePunct/>
        <w:spacing w:line="360" w:lineRule="exact"/>
        <w:ind w:left="2520" w:leftChars="1200"/>
        <w:rPr>
          <w:rFonts w:ascii="宋体" w:hAnsi="宋体" w:cs="宋体"/>
          <w:sz w:val="30"/>
          <w:szCs w:val="30"/>
          <w:highlight w:val="none"/>
        </w:rPr>
      </w:pPr>
    </w:p>
    <w:p>
      <w:pPr>
        <w:spacing w:line="380" w:lineRule="exact"/>
        <w:rPr>
          <w:rFonts w:ascii="宋体" w:hAnsi="宋体" w:cs="宋体"/>
          <w:highlight w:val="none"/>
        </w:rPr>
      </w:pPr>
    </w:p>
    <w:tbl>
      <w:tblPr>
        <w:tblStyle w:val="31"/>
        <w:tblW w:w="861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trPr>
        <w:tc>
          <w:tcPr>
            <w:tcW w:w="8619" w:type="dxa"/>
          </w:tcPr>
          <w:p>
            <w:pPr>
              <w:spacing w:line="380" w:lineRule="exact"/>
              <w:rPr>
                <w:rFonts w:ascii="宋体" w:hAnsi="宋体" w:cs="宋体"/>
                <w:highlight w:val="none"/>
              </w:rPr>
            </w:pPr>
            <w:r>
              <w:rPr>
                <w:rFonts w:hint="eastAsia" w:ascii="宋体" w:hAnsi="宋体" w:cs="宋体"/>
                <w:highlight w:val="none"/>
              </w:rPr>
              <w:t>法定代表人身份证件复印件</w:t>
            </w:r>
          </w:p>
          <w:p>
            <w:pPr>
              <w:topLinePunct/>
              <w:spacing w:line="360" w:lineRule="exact"/>
              <w:rPr>
                <w:rFonts w:ascii="宋体" w:hAnsi="宋体" w:cs="宋体"/>
                <w:sz w:val="30"/>
                <w:szCs w:val="30"/>
                <w:highlight w:val="none"/>
              </w:rPr>
            </w:pPr>
          </w:p>
        </w:tc>
      </w:tr>
    </w:tbl>
    <w:p>
      <w:pPr>
        <w:pStyle w:val="95"/>
        <w:rPr>
          <w:rFonts w:hAnsi="宋体"/>
          <w:sz w:val="21"/>
          <w:szCs w:val="21"/>
          <w:highlight w:val="none"/>
        </w:rPr>
      </w:pPr>
      <w:r>
        <w:rPr>
          <w:rFonts w:hint="eastAsia" w:hAnsi="宋体"/>
          <w:sz w:val="21"/>
          <w:szCs w:val="21"/>
          <w:highlight w:val="none"/>
        </w:rPr>
        <w:t>注：投标代表为法人的提供此件，表7-1与表7-2无需同时提供。</w:t>
      </w:r>
    </w:p>
    <w:p>
      <w:pPr>
        <w:pStyle w:val="95"/>
        <w:rPr>
          <w:rFonts w:hAnsi="宋体"/>
          <w:sz w:val="21"/>
          <w:szCs w:val="21"/>
          <w:highlight w:val="none"/>
        </w:rPr>
      </w:pPr>
    </w:p>
    <w:p>
      <w:pPr>
        <w:pStyle w:val="95"/>
        <w:rPr>
          <w:rFonts w:hAnsi="宋体"/>
          <w:sz w:val="21"/>
          <w:szCs w:val="21"/>
          <w:highlight w:val="none"/>
        </w:rPr>
      </w:pPr>
    </w:p>
    <w:p>
      <w:pPr>
        <w:spacing w:line="320" w:lineRule="exact"/>
        <w:jc w:val="center"/>
        <w:rPr>
          <w:rFonts w:ascii="宋体" w:hAnsi="宋体" w:cs="宋体"/>
          <w:b/>
          <w:bCs/>
          <w:sz w:val="30"/>
          <w:szCs w:val="30"/>
          <w:highlight w:val="none"/>
        </w:rPr>
      </w:pPr>
    </w:p>
    <w:p>
      <w:pPr>
        <w:spacing w:line="320" w:lineRule="exact"/>
        <w:jc w:val="center"/>
        <w:rPr>
          <w:rFonts w:ascii="宋体" w:hAnsi="宋体" w:cs="宋体"/>
          <w:b/>
          <w:bCs/>
          <w:sz w:val="30"/>
          <w:szCs w:val="30"/>
          <w:highlight w:val="none"/>
        </w:rPr>
      </w:pPr>
      <w:r>
        <w:rPr>
          <w:rFonts w:hint="eastAsia" w:ascii="宋体" w:hAnsi="宋体" w:cs="宋体"/>
          <w:b/>
          <w:bCs/>
          <w:sz w:val="30"/>
          <w:szCs w:val="30"/>
          <w:highlight w:val="none"/>
        </w:rPr>
        <w:t>7-2、法定代表人授权书</w:t>
      </w:r>
    </w:p>
    <w:p>
      <w:pPr>
        <w:spacing w:line="320" w:lineRule="exact"/>
        <w:jc w:val="center"/>
        <w:rPr>
          <w:rFonts w:ascii="宋体" w:hAnsi="宋体" w:cs="宋体"/>
          <w:b/>
          <w:bCs/>
          <w:sz w:val="30"/>
          <w:szCs w:val="30"/>
          <w:highlight w:val="none"/>
        </w:rPr>
      </w:pPr>
    </w:p>
    <w:p>
      <w:pPr>
        <w:spacing w:line="480" w:lineRule="exact"/>
        <w:rPr>
          <w:rFonts w:ascii="宋体" w:hAnsi="宋体" w:cs="宋体"/>
          <w:sz w:val="24"/>
          <w:szCs w:val="24"/>
          <w:highlight w:val="none"/>
        </w:rPr>
      </w:pPr>
      <w:r>
        <w:rPr>
          <w:rFonts w:hint="eastAsia" w:ascii="宋体" w:hAnsi="宋体" w:cs="宋体"/>
          <w:sz w:val="24"/>
          <w:szCs w:val="24"/>
          <w:highlight w:val="none"/>
          <w:u w:val="single"/>
        </w:rPr>
        <w:t>福建省中达招标代理有限公司</w:t>
      </w:r>
      <w:r>
        <w:rPr>
          <w:rFonts w:hint="eastAsia" w:ascii="宋体" w:hAnsi="宋体" w:cs="宋体"/>
          <w:sz w:val="24"/>
          <w:szCs w:val="24"/>
          <w:highlight w:val="none"/>
        </w:rPr>
        <w:t>：</w:t>
      </w:r>
    </w:p>
    <w:p>
      <w:pPr>
        <w:pStyle w:val="20"/>
        <w:snapToGrid w:val="0"/>
        <w:spacing w:line="480" w:lineRule="exact"/>
        <w:ind w:firstLine="600" w:firstLineChars="250"/>
        <w:jc w:val="left"/>
        <w:rPr>
          <w:rFonts w:hAnsi="宋体"/>
          <w:sz w:val="24"/>
          <w:szCs w:val="24"/>
          <w:highlight w:val="none"/>
        </w:rPr>
      </w:pPr>
      <w:r>
        <w:rPr>
          <w:rFonts w:hint="eastAsia" w:hAnsi="宋体"/>
          <w:sz w:val="24"/>
          <w:szCs w:val="24"/>
          <w:highlight w:val="none"/>
          <w:u w:val="single"/>
        </w:rPr>
        <w:t xml:space="preserve">（投标人全称）      </w:t>
      </w:r>
      <w:r>
        <w:rPr>
          <w:rFonts w:hint="eastAsia" w:hAnsi="宋体"/>
          <w:sz w:val="24"/>
          <w:szCs w:val="24"/>
          <w:highlight w:val="none"/>
        </w:rPr>
        <w:t>法定代表人</w:t>
      </w:r>
      <w:r>
        <w:rPr>
          <w:rFonts w:hint="eastAsia" w:hAnsi="宋体"/>
          <w:sz w:val="24"/>
          <w:szCs w:val="24"/>
          <w:highlight w:val="none"/>
          <w:u w:val="single"/>
        </w:rPr>
        <w:t xml:space="preserve">(姓名、印刷体)      </w:t>
      </w:r>
      <w:r>
        <w:rPr>
          <w:rFonts w:hint="eastAsia" w:hAnsi="宋体"/>
          <w:sz w:val="24"/>
          <w:szCs w:val="24"/>
          <w:highlight w:val="none"/>
        </w:rPr>
        <w:t xml:space="preserve"> 授权</w:t>
      </w:r>
      <w:r>
        <w:rPr>
          <w:rFonts w:hint="eastAsia" w:hAnsi="宋体"/>
          <w:sz w:val="24"/>
          <w:szCs w:val="24"/>
          <w:highlight w:val="none"/>
          <w:u w:val="single"/>
        </w:rPr>
        <w:t xml:space="preserve">  （投标人代表姓名, 印刷体)</w:t>
      </w:r>
      <w:r>
        <w:rPr>
          <w:rFonts w:hint="eastAsia" w:hAnsi="宋体"/>
          <w:sz w:val="24"/>
          <w:szCs w:val="24"/>
          <w:highlight w:val="none"/>
        </w:rPr>
        <w:t>为投标人代表，代表本公司参加贵司组织的</w:t>
      </w:r>
      <w:r>
        <w:rPr>
          <w:rFonts w:hint="eastAsia" w:hAnsi="宋体"/>
          <w:sz w:val="24"/>
          <w:szCs w:val="24"/>
          <w:highlight w:val="none"/>
          <w:u w:val="single"/>
        </w:rPr>
        <w:t xml:space="preserve">            </w:t>
      </w:r>
      <w:r>
        <w:rPr>
          <w:rFonts w:hint="eastAsia" w:hAnsi="宋体"/>
          <w:sz w:val="24"/>
          <w:szCs w:val="24"/>
          <w:highlight w:val="none"/>
        </w:rPr>
        <w:t>项目（项目编号</w:t>
      </w:r>
      <w:r>
        <w:rPr>
          <w:rFonts w:hint="eastAsia" w:hAnsi="宋体"/>
          <w:sz w:val="24"/>
          <w:szCs w:val="24"/>
          <w:highlight w:val="none"/>
          <w:u w:val="single"/>
        </w:rPr>
        <w:t xml:space="preserve">           </w:t>
      </w:r>
      <w:r>
        <w:rPr>
          <w:rFonts w:hint="eastAsia" w:hAnsi="宋体"/>
          <w:sz w:val="24"/>
          <w:szCs w:val="24"/>
          <w:highlight w:val="none"/>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授权。特此授权。</w:t>
      </w:r>
    </w:p>
    <w:p>
      <w:pPr>
        <w:pStyle w:val="20"/>
        <w:snapToGrid w:val="0"/>
        <w:spacing w:line="480" w:lineRule="exact"/>
        <w:ind w:firstLine="480" w:firstLineChars="200"/>
        <w:jc w:val="left"/>
        <w:rPr>
          <w:rFonts w:hAnsi="宋体"/>
          <w:sz w:val="24"/>
          <w:szCs w:val="24"/>
          <w:highlight w:val="none"/>
        </w:rPr>
      </w:pPr>
      <w:r>
        <w:rPr>
          <w:rFonts w:hint="eastAsia" w:hAnsi="宋体"/>
          <w:sz w:val="24"/>
          <w:szCs w:val="24"/>
          <w:highlight w:val="none"/>
        </w:rPr>
        <w:t>本授权书自出具之日起生效。</w:t>
      </w:r>
    </w:p>
    <w:p>
      <w:pPr>
        <w:spacing w:line="400" w:lineRule="exact"/>
        <w:rPr>
          <w:rFonts w:ascii="宋体" w:hAnsi="宋体" w:cs="宋体"/>
          <w:highlight w:val="none"/>
        </w:rPr>
      </w:pPr>
    </w:p>
    <w:p>
      <w:pPr>
        <w:spacing w:line="400" w:lineRule="exact"/>
        <w:rPr>
          <w:rFonts w:ascii="宋体" w:hAnsi="宋体" w:cs="宋体"/>
          <w:highlight w:val="none"/>
        </w:rPr>
      </w:pPr>
      <w:r>
        <w:rPr>
          <w:rFonts w:hint="eastAsia" w:ascii="宋体" w:hAnsi="宋体" w:cs="宋体"/>
          <w:highlight w:val="none"/>
        </w:rPr>
        <w:t>投标人代表：</w:t>
      </w:r>
      <w:r>
        <w:rPr>
          <w:rFonts w:hint="eastAsia" w:ascii="宋体" w:hAnsi="宋体" w:cs="宋体"/>
          <w:highlight w:val="none"/>
          <w:u w:val="single"/>
        </w:rPr>
        <w:t xml:space="preserve">             </w:t>
      </w:r>
      <w:r>
        <w:rPr>
          <w:rFonts w:hint="eastAsia" w:ascii="宋体" w:hAnsi="宋体" w:cs="宋体"/>
          <w:highlight w:val="none"/>
        </w:rPr>
        <w:t xml:space="preserve">  性别：</w:t>
      </w:r>
      <w:r>
        <w:rPr>
          <w:rFonts w:hint="eastAsia" w:ascii="宋体" w:hAnsi="宋体" w:cs="宋体"/>
          <w:highlight w:val="none"/>
          <w:u w:val="single"/>
        </w:rPr>
        <w:t xml:space="preserve">          </w:t>
      </w:r>
      <w:r>
        <w:rPr>
          <w:rFonts w:hint="eastAsia" w:ascii="宋体" w:hAnsi="宋体" w:cs="宋体"/>
          <w:highlight w:val="none"/>
        </w:rPr>
        <w:t>固定电话：</w:t>
      </w:r>
      <w:r>
        <w:rPr>
          <w:rFonts w:hint="eastAsia" w:ascii="宋体" w:hAnsi="宋体" w:cs="宋体"/>
          <w:highlight w:val="none"/>
          <w:u w:val="single"/>
        </w:rPr>
        <w:t xml:space="preserve">              </w:t>
      </w:r>
      <w:r>
        <w:rPr>
          <w:rFonts w:hint="eastAsia" w:ascii="宋体" w:hAnsi="宋体" w:cs="宋体"/>
          <w:highlight w:val="none"/>
        </w:rPr>
        <w:t>移动电话:</w:t>
      </w:r>
      <w:r>
        <w:rPr>
          <w:rFonts w:hint="eastAsia" w:ascii="宋体" w:hAnsi="宋体" w:cs="宋体"/>
          <w:highlight w:val="none"/>
          <w:u w:val="single"/>
        </w:rPr>
        <w:t xml:space="preserve">             </w:t>
      </w:r>
    </w:p>
    <w:p>
      <w:pPr>
        <w:spacing w:line="400" w:lineRule="exact"/>
        <w:rPr>
          <w:rFonts w:ascii="宋体" w:hAnsi="宋体" w:cs="宋体"/>
          <w:highlight w:val="none"/>
        </w:rPr>
      </w:pPr>
      <w:r>
        <w:rPr>
          <w:rFonts w:hint="eastAsia" w:ascii="宋体" w:hAnsi="宋体" w:cs="宋体"/>
          <w:highlight w:val="none"/>
        </w:rPr>
        <w:t>单位：</w:t>
      </w:r>
      <w:r>
        <w:rPr>
          <w:rFonts w:hint="eastAsia" w:ascii="宋体" w:hAnsi="宋体" w:cs="宋体"/>
          <w:highlight w:val="none"/>
          <w:u w:val="single"/>
        </w:rPr>
        <w:t xml:space="preserve">                           </w:t>
      </w:r>
      <w:r>
        <w:rPr>
          <w:rFonts w:hint="eastAsia" w:ascii="宋体" w:hAnsi="宋体" w:cs="宋体"/>
          <w:highlight w:val="none"/>
        </w:rPr>
        <w:t xml:space="preserve">  部门：</w:t>
      </w:r>
      <w:r>
        <w:rPr>
          <w:rFonts w:hint="eastAsia" w:ascii="宋体" w:hAnsi="宋体" w:cs="宋体"/>
          <w:highlight w:val="none"/>
          <w:u w:val="single"/>
        </w:rPr>
        <w:t xml:space="preserve">                  </w:t>
      </w:r>
      <w:r>
        <w:rPr>
          <w:rFonts w:hint="eastAsia" w:ascii="宋体" w:hAnsi="宋体" w:cs="宋体"/>
          <w:highlight w:val="none"/>
        </w:rPr>
        <w:t xml:space="preserve">  职务：</w:t>
      </w:r>
      <w:r>
        <w:rPr>
          <w:rFonts w:hint="eastAsia" w:ascii="宋体" w:hAnsi="宋体" w:cs="宋体"/>
          <w:highlight w:val="none"/>
          <w:u w:val="single"/>
        </w:rPr>
        <w:t xml:space="preserve">                  </w:t>
      </w:r>
    </w:p>
    <w:p>
      <w:pPr>
        <w:spacing w:line="400" w:lineRule="exact"/>
        <w:rPr>
          <w:rFonts w:ascii="宋体" w:hAnsi="宋体" w:cs="宋体"/>
          <w:highlight w:val="none"/>
        </w:rPr>
      </w:pPr>
      <w:r>
        <w:rPr>
          <w:rFonts w:hint="eastAsia" w:ascii="宋体" w:hAnsi="宋体" w:cs="宋体"/>
          <w:highlight w:val="none"/>
        </w:rPr>
        <w:t>详细通讯地址：</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b/>
          <w:bCs/>
          <w:highlight w:val="none"/>
        </w:rPr>
        <w:t xml:space="preserve"> </w:t>
      </w:r>
      <w:r>
        <w:rPr>
          <w:rFonts w:hint="eastAsia" w:ascii="宋体" w:hAnsi="宋体" w:cs="宋体"/>
          <w:highlight w:val="none"/>
        </w:rPr>
        <w:t>邮政编码:</w:t>
      </w:r>
      <w:r>
        <w:rPr>
          <w:rFonts w:hint="eastAsia" w:ascii="宋体" w:hAnsi="宋体" w:cs="宋体"/>
          <w:highlight w:val="none"/>
          <w:u w:val="single"/>
        </w:rPr>
        <w:t xml:space="preserve">                 </w:t>
      </w:r>
      <w:r>
        <w:rPr>
          <w:rFonts w:hint="eastAsia" w:ascii="宋体" w:hAnsi="宋体" w:cs="宋体"/>
          <w:highlight w:val="none"/>
        </w:rPr>
        <w:t xml:space="preserve"> </w:t>
      </w:r>
    </w:p>
    <w:p>
      <w:pPr>
        <w:spacing w:line="360" w:lineRule="exact"/>
        <w:rPr>
          <w:rFonts w:ascii="宋体" w:hAnsi="宋体" w:cs="宋体"/>
          <w:sz w:val="24"/>
          <w:szCs w:val="24"/>
          <w:highlight w:val="none"/>
        </w:rPr>
      </w:pPr>
    </w:p>
    <w:p>
      <w:pPr>
        <w:spacing w:line="360" w:lineRule="exact"/>
        <w:rPr>
          <w:rFonts w:ascii="宋体" w:hAnsi="宋体" w:cs="宋体"/>
          <w:highlight w:val="none"/>
        </w:rPr>
      </w:pPr>
      <w:r>
        <w:rPr>
          <w:rFonts w:hint="eastAsia" w:ascii="宋体" w:hAnsi="宋体" w:cs="宋体"/>
          <w:highlight w:val="none"/>
        </w:rPr>
        <w:t>附：授权人及被授权人身份证件复印件（可另附页）</w:t>
      </w:r>
    </w:p>
    <w:p>
      <w:pPr>
        <w:spacing w:line="380" w:lineRule="exact"/>
        <w:rPr>
          <w:rFonts w:ascii="宋体" w:hAnsi="宋体" w:cs="宋体"/>
          <w:highlight w:val="none"/>
        </w:rPr>
      </w:pPr>
    </w:p>
    <w:tbl>
      <w:tblPr>
        <w:tblStyle w:val="31"/>
        <w:tblW w:w="92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3"/>
        <w:gridCol w:w="1579"/>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3783" w:type="dxa"/>
          </w:tcPr>
          <w:p>
            <w:pPr>
              <w:spacing w:line="380" w:lineRule="exact"/>
              <w:rPr>
                <w:rFonts w:ascii="宋体" w:hAnsi="宋体" w:cs="宋体"/>
                <w:highlight w:val="none"/>
              </w:rPr>
            </w:pPr>
          </w:p>
          <w:p>
            <w:pPr>
              <w:spacing w:line="380" w:lineRule="exact"/>
              <w:rPr>
                <w:rFonts w:ascii="宋体" w:hAnsi="宋体" w:cs="宋体"/>
                <w:highlight w:val="none"/>
              </w:rPr>
            </w:pPr>
          </w:p>
          <w:p>
            <w:pPr>
              <w:spacing w:line="380" w:lineRule="exact"/>
              <w:rPr>
                <w:rFonts w:ascii="宋体" w:hAnsi="宋体" w:cs="宋体"/>
                <w:highlight w:val="none"/>
              </w:rPr>
            </w:pPr>
          </w:p>
          <w:p>
            <w:pPr>
              <w:spacing w:line="380" w:lineRule="exact"/>
              <w:ind w:firstLine="525" w:firstLineChars="250"/>
              <w:rPr>
                <w:rFonts w:ascii="宋体" w:hAnsi="宋体" w:cs="宋体"/>
                <w:highlight w:val="none"/>
              </w:rPr>
            </w:pPr>
            <w:r>
              <w:rPr>
                <w:rFonts w:hint="eastAsia" w:ascii="宋体" w:hAnsi="宋体" w:cs="宋体"/>
                <w:highlight w:val="none"/>
              </w:rPr>
              <w:t>授权人身份证件复印件</w:t>
            </w:r>
          </w:p>
          <w:p>
            <w:pPr>
              <w:spacing w:line="380" w:lineRule="exact"/>
              <w:ind w:firstLine="525" w:firstLineChars="250"/>
              <w:rPr>
                <w:rFonts w:ascii="宋体" w:hAnsi="宋体" w:cs="宋体"/>
                <w:highlight w:val="none"/>
              </w:rPr>
            </w:pPr>
            <w:r>
              <w:rPr>
                <w:rFonts w:hint="eastAsia" w:ascii="宋体" w:hAnsi="宋体" w:cs="宋体"/>
                <w:highlight w:val="none"/>
              </w:rPr>
              <w:t xml:space="preserve"> </w:t>
            </w:r>
          </w:p>
        </w:tc>
        <w:tc>
          <w:tcPr>
            <w:tcW w:w="1579" w:type="dxa"/>
            <w:tcBorders>
              <w:top w:val="nil"/>
              <w:bottom w:val="nil"/>
            </w:tcBorders>
          </w:tcPr>
          <w:p>
            <w:pPr>
              <w:spacing w:line="380" w:lineRule="exact"/>
              <w:rPr>
                <w:rFonts w:ascii="宋体" w:hAnsi="宋体" w:cs="宋体"/>
                <w:highlight w:val="none"/>
              </w:rPr>
            </w:pPr>
          </w:p>
        </w:tc>
        <w:tc>
          <w:tcPr>
            <w:tcW w:w="3902" w:type="dxa"/>
          </w:tcPr>
          <w:p>
            <w:pPr>
              <w:spacing w:line="380" w:lineRule="exact"/>
              <w:rPr>
                <w:rFonts w:ascii="宋体" w:hAnsi="宋体" w:cs="宋体"/>
                <w:highlight w:val="none"/>
              </w:rPr>
            </w:pPr>
          </w:p>
          <w:p>
            <w:pPr>
              <w:spacing w:line="380" w:lineRule="exact"/>
              <w:rPr>
                <w:rFonts w:ascii="宋体" w:hAnsi="宋体" w:cs="宋体"/>
                <w:highlight w:val="none"/>
              </w:rPr>
            </w:pPr>
          </w:p>
          <w:p>
            <w:pPr>
              <w:spacing w:line="380" w:lineRule="exact"/>
              <w:rPr>
                <w:rFonts w:ascii="宋体" w:hAnsi="宋体" w:cs="宋体"/>
                <w:highlight w:val="none"/>
              </w:rPr>
            </w:pPr>
          </w:p>
          <w:p>
            <w:pPr>
              <w:spacing w:line="380" w:lineRule="exact"/>
              <w:ind w:firstLine="315" w:firstLineChars="150"/>
              <w:rPr>
                <w:rFonts w:ascii="宋体" w:hAnsi="宋体" w:cs="宋体"/>
                <w:highlight w:val="none"/>
              </w:rPr>
            </w:pPr>
            <w:r>
              <w:rPr>
                <w:rFonts w:hint="eastAsia" w:ascii="宋体" w:hAnsi="宋体" w:cs="宋体"/>
                <w:highlight w:val="none"/>
              </w:rPr>
              <w:t>被授权人身份证件复印件</w:t>
            </w:r>
          </w:p>
        </w:tc>
      </w:tr>
    </w:tbl>
    <w:p>
      <w:pPr>
        <w:spacing w:line="300" w:lineRule="exact"/>
        <w:rPr>
          <w:rFonts w:ascii="宋体" w:hAnsi="宋体" w:cs="宋体"/>
          <w:highlight w:val="none"/>
        </w:rPr>
      </w:pPr>
      <w:r>
        <w:rPr>
          <w:rFonts w:hint="eastAsia" w:ascii="宋体" w:hAnsi="宋体" w:cs="宋体"/>
          <w:highlight w:val="none"/>
        </w:rPr>
        <w:t>授权方                                      接受授权方</w:t>
      </w:r>
    </w:p>
    <w:p>
      <w:pPr>
        <w:spacing w:line="300" w:lineRule="exact"/>
        <w:rPr>
          <w:rFonts w:ascii="宋体" w:hAnsi="宋体" w:cs="宋体"/>
          <w:highlight w:val="none"/>
        </w:rPr>
      </w:pPr>
    </w:p>
    <w:p>
      <w:pPr>
        <w:spacing w:line="300" w:lineRule="exact"/>
        <w:rPr>
          <w:rFonts w:ascii="宋体" w:hAnsi="宋体" w:cs="宋体"/>
          <w:highlight w:val="none"/>
        </w:rPr>
      </w:pPr>
      <w:r>
        <w:rPr>
          <w:rFonts w:hint="eastAsia" w:ascii="宋体" w:hAnsi="宋体" w:cs="宋体"/>
          <w:highlight w:val="none"/>
        </w:rPr>
        <w:t>投标人（全称并加盖公章）：</w:t>
      </w:r>
      <w:r>
        <w:rPr>
          <w:rFonts w:hint="eastAsia" w:ascii="宋体" w:hAnsi="宋体" w:cs="宋体"/>
          <w:highlight w:val="none"/>
          <w:u w:val="single"/>
        </w:rPr>
        <w:t xml:space="preserve">                                                           </w:t>
      </w:r>
      <w:r>
        <w:rPr>
          <w:rFonts w:hint="eastAsia" w:ascii="宋体" w:hAnsi="宋体" w:cs="宋体"/>
          <w:highlight w:val="none"/>
        </w:rPr>
        <w:t xml:space="preserve">      </w:t>
      </w:r>
    </w:p>
    <w:p>
      <w:pPr>
        <w:spacing w:line="300" w:lineRule="exact"/>
        <w:rPr>
          <w:rFonts w:ascii="宋体" w:hAnsi="宋体" w:cs="宋体"/>
          <w:highlight w:val="none"/>
        </w:rPr>
      </w:pPr>
      <w:r>
        <w:rPr>
          <w:rFonts w:hint="eastAsia" w:ascii="宋体" w:hAnsi="宋体" w:cs="宋体"/>
          <w:highlight w:val="none"/>
        </w:rPr>
        <w:t xml:space="preserve"> </w:t>
      </w:r>
    </w:p>
    <w:p>
      <w:pPr>
        <w:spacing w:line="300" w:lineRule="exact"/>
        <w:rPr>
          <w:rFonts w:ascii="宋体" w:hAnsi="宋体" w:cs="宋体"/>
          <w:highlight w:val="none"/>
          <w:u w:val="single"/>
        </w:rPr>
      </w:pPr>
      <w:r>
        <w:rPr>
          <w:rFonts w:hint="eastAsia" w:ascii="宋体" w:hAnsi="宋体" w:cs="宋体"/>
          <w:highlight w:val="none"/>
        </w:rPr>
        <w:t>法定代表人签字：</w:t>
      </w:r>
      <w:r>
        <w:rPr>
          <w:rFonts w:hint="eastAsia" w:ascii="宋体" w:hAnsi="宋体" w:cs="宋体"/>
          <w:highlight w:val="none"/>
          <w:u w:val="single"/>
        </w:rPr>
        <w:t xml:space="preserve">                           </w:t>
      </w:r>
      <w:r>
        <w:rPr>
          <w:rFonts w:hint="eastAsia" w:ascii="宋体" w:hAnsi="宋体" w:cs="宋体"/>
          <w:highlight w:val="none"/>
        </w:rPr>
        <w:t xml:space="preserve"> 投标人代表签字：</w:t>
      </w:r>
      <w:r>
        <w:rPr>
          <w:rFonts w:hint="eastAsia" w:ascii="宋体" w:hAnsi="宋体" w:cs="宋体"/>
          <w:highlight w:val="none"/>
          <w:u w:val="single"/>
        </w:rPr>
        <w:t xml:space="preserve">                         </w:t>
      </w:r>
    </w:p>
    <w:p>
      <w:pPr>
        <w:spacing w:line="300" w:lineRule="exact"/>
        <w:rPr>
          <w:rFonts w:ascii="宋体" w:hAnsi="宋体" w:cs="宋体"/>
          <w:highlight w:val="none"/>
          <w:u w:val="single"/>
        </w:rPr>
      </w:pPr>
    </w:p>
    <w:p>
      <w:pPr>
        <w:spacing w:line="300" w:lineRule="exact"/>
        <w:rPr>
          <w:rFonts w:ascii="宋体" w:hAnsi="宋体" w:cs="宋体"/>
          <w:highlight w:val="none"/>
        </w:rPr>
      </w:pPr>
      <w:r>
        <w:rPr>
          <w:rFonts w:hint="eastAsia" w:ascii="宋体" w:hAnsi="宋体" w:cs="宋体"/>
          <w:highlight w:val="none"/>
        </w:rPr>
        <w:t>法定代表人身份证号：</w:t>
      </w:r>
      <w:r>
        <w:rPr>
          <w:rFonts w:hint="eastAsia" w:ascii="宋体" w:hAnsi="宋体" w:cs="宋体"/>
          <w:highlight w:val="none"/>
          <w:u w:val="single"/>
        </w:rPr>
        <w:t xml:space="preserve">                        </w:t>
      </w:r>
      <w:r>
        <w:rPr>
          <w:rFonts w:hint="eastAsia" w:ascii="宋体" w:hAnsi="宋体" w:cs="宋体"/>
          <w:highlight w:val="none"/>
        </w:rPr>
        <w:t>投标人代表身份证号：</w:t>
      </w:r>
      <w:r>
        <w:rPr>
          <w:rFonts w:hint="eastAsia" w:ascii="宋体" w:hAnsi="宋体" w:cs="宋体"/>
          <w:highlight w:val="none"/>
          <w:u w:val="single"/>
        </w:rPr>
        <w:t xml:space="preserve">                     </w:t>
      </w:r>
    </w:p>
    <w:p>
      <w:pPr>
        <w:spacing w:line="300" w:lineRule="exact"/>
        <w:rPr>
          <w:rFonts w:ascii="宋体" w:hAnsi="宋体" w:cs="宋体"/>
          <w:highlight w:val="none"/>
        </w:rPr>
      </w:pPr>
    </w:p>
    <w:p>
      <w:pPr>
        <w:spacing w:line="300" w:lineRule="exact"/>
        <w:rPr>
          <w:rFonts w:ascii="宋体" w:hAnsi="宋体" w:cs="宋体"/>
          <w:highlight w:val="none"/>
          <w:u w:val="single"/>
        </w:rPr>
      </w:pPr>
      <w:r>
        <w:rPr>
          <w:rFonts w:hint="eastAsia" w:ascii="宋体" w:hAnsi="宋体" w:cs="宋体"/>
          <w:highlight w:val="none"/>
        </w:rPr>
        <w:t>日     期：</w:t>
      </w:r>
      <w:r>
        <w:rPr>
          <w:rFonts w:hint="eastAsia" w:ascii="宋体" w:hAnsi="宋体" w:cs="宋体"/>
          <w:highlight w:val="none"/>
          <w:u w:val="single"/>
        </w:rPr>
        <w:t xml:space="preserve">                         </w:t>
      </w:r>
      <w:r>
        <w:rPr>
          <w:rFonts w:hint="eastAsia" w:ascii="宋体" w:hAnsi="宋体" w:cs="宋体"/>
          <w:highlight w:val="none"/>
        </w:rPr>
        <w:t xml:space="preserve">         日     期：</w:t>
      </w:r>
      <w:r>
        <w:rPr>
          <w:rFonts w:hint="eastAsia" w:ascii="宋体" w:hAnsi="宋体" w:cs="宋体"/>
          <w:highlight w:val="none"/>
          <w:u w:val="single"/>
        </w:rPr>
        <w:t xml:space="preserve">                            </w:t>
      </w:r>
    </w:p>
    <w:p>
      <w:pPr>
        <w:pStyle w:val="95"/>
        <w:rPr>
          <w:rFonts w:hAnsi="宋体"/>
          <w:sz w:val="21"/>
          <w:szCs w:val="21"/>
          <w:highlight w:val="none"/>
        </w:rPr>
      </w:pPr>
    </w:p>
    <w:p>
      <w:pPr>
        <w:pStyle w:val="95"/>
        <w:rPr>
          <w:rFonts w:hAnsi="宋体"/>
          <w:sz w:val="21"/>
          <w:szCs w:val="21"/>
          <w:highlight w:val="none"/>
        </w:rPr>
      </w:pPr>
      <w:r>
        <w:rPr>
          <w:rFonts w:hint="eastAsia" w:hAnsi="宋体"/>
          <w:sz w:val="21"/>
          <w:szCs w:val="21"/>
          <w:highlight w:val="none"/>
        </w:rPr>
        <w:t>注：投标代表不是法人的提供此件，表7-1与表7-2无需同时提供。</w:t>
      </w:r>
    </w:p>
    <w:p>
      <w:pPr>
        <w:pStyle w:val="95"/>
        <w:rPr>
          <w:rFonts w:hAnsi="宋体"/>
          <w:sz w:val="21"/>
          <w:szCs w:val="21"/>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r>
        <w:rPr>
          <w:rFonts w:hint="eastAsia" w:ascii="宋体" w:hAnsi="宋体" w:cs="宋体"/>
          <w:highlight w:val="none"/>
        </w:rPr>
        <w:t>附件8、</w:t>
      </w:r>
    </w:p>
    <w:p>
      <w:pPr>
        <w:jc w:val="center"/>
        <w:rPr>
          <w:rFonts w:ascii="宋体" w:hAnsi="宋体" w:cs="宋体"/>
          <w:highlight w:val="none"/>
        </w:rPr>
      </w:pPr>
    </w:p>
    <w:p>
      <w:pPr>
        <w:jc w:val="center"/>
        <w:rPr>
          <w:rFonts w:ascii="宋体" w:hAnsi="宋体" w:cs="宋体"/>
          <w:b/>
          <w:bCs/>
          <w:sz w:val="32"/>
          <w:szCs w:val="32"/>
          <w:highlight w:val="none"/>
        </w:rPr>
      </w:pPr>
      <w:r>
        <w:rPr>
          <w:rFonts w:hint="eastAsia" w:ascii="宋体" w:hAnsi="宋体" w:cs="宋体"/>
          <w:b/>
          <w:bCs/>
          <w:sz w:val="32"/>
          <w:szCs w:val="32"/>
          <w:highlight w:val="none"/>
        </w:rPr>
        <w:t>投标人提交的其它资料</w:t>
      </w:r>
    </w:p>
    <w:p>
      <w:pPr>
        <w:rPr>
          <w:rFonts w:ascii="宋体" w:hAnsi="宋体" w:cs="宋体"/>
          <w:b/>
          <w:bCs/>
          <w:sz w:val="36"/>
          <w:szCs w:val="36"/>
          <w:highlight w:val="none"/>
        </w:rPr>
      </w:pPr>
    </w:p>
    <w:p>
      <w:pPr>
        <w:spacing w:line="500" w:lineRule="exact"/>
        <w:rPr>
          <w:rFonts w:ascii="宋体" w:hAnsi="宋体" w:cs="宋体"/>
          <w:spacing w:val="-12"/>
          <w:sz w:val="24"/>
          <w:szCs w:val="24"/>
          <w:highlight w:val="none"/>
        </w:rPr>
      </w:pPr>
    </w:p>
    <w:p>
      <w:pPr>
        <w:spacing w:line="500" w:lineRule="exact"/>
        <w:ind w:firstLine="432" w:firstLineChars="200"/>
        <w:rPr>
          <w:rFonts w:ascii="宋体" w:hAnsi="宋体" w:cs="宋体"/>
          <w:spacing w:val="-12"/>
          <w:sz w:val="24"/>
          <w:szCs w:val="24"/>
          <w:highlight w:val="none"/>
        </w:rPr>
      </w:pPr>
      <w:r>
        <w:rPr>
          <w:rFonts w:hint="eastAsia" w:ascii="宋体" w:hAnsi="宋体" w:cs="宋体"/>
          <w:spacing w:val="-12"/>
          <w:sz w:val="24"/>
          <w:szCs w:val="24"/>
          <w:highlight w:val="none"/>
        </w:rPr>
        <w:t>1、投标人认为应提交的其他材料, 可在此附件中提交。</w:t>
      </w:r>
    </w:p>
    <w:p>
      <w:pPr>
        <w:spacing w:line="380" w:lineRule="exact"/>
        <w:rPr>
          <w:rFonts w:ascii="宋体" w:hAnsi="宋体" w:cs="宋体"/>
          <w:sz w:val="24"/>
          <w:szCs w:val="24"/>
          <w:highlight w:val="none"/>
        </w:rPr>
      </w:pPr>
    </w:p>
    <w:p>
      <w:pPr>
        <w:spacing w:line="380" w:lineRule="exact"/>
        <w:rPr>
          <w:rFonts w:ascii="宋体" w:hAnsi="宋体" w:cs="宋体"/>
          <w:sz w:val="24"/>
          <w:szCs w:val="24"/>
          <w:highlight w:val="none"/>
        </w:rPr>
      </w:pPr>
    </w:p>
    <w:p>
      <w:pPr>
        <w:spacing w:line="380" w:lineRule="exact"/>
        <w:rPr>
          <w:rFonts w:ascii="宋体" w:hAnsi="宋体" w:cs="宋体"/>
          <w:sz w:val="24"/>
          <w:szCs w:val="24"/>
          <w:highlight w:val="none"/>
        </w:rPr>
      </w:pPr>
    </w:p>
    <w:p>
      <w:pPr>
        <w:pStyle w:val="20"/>
        <w:snapToGrid w:val="0"/>
        <w:spacing w:line="440" w:lineRule="exact"/>
        <w:ind w:firstLine="527" w:firstLineChars="250"/>
        <w:jc w:val="left"/>
        <w:rPr>
          <w:rFonts w:hAnsi="宋体"/>
          <w:b/>
          <w:bCs/>
          <w:highlight w:val="none"/>
        </w:rPr>
      </w:pPr>
    </w:p>
    <w:p>
      <w:pPr>
        <w:pStyle w:val="20"/>
        <w:snapToGrid w:val="0"/>
        <w:spacing w:line="440" w:lineRule="exact"/>
        <w:jc w:val="left"/>
        <w:rPr>
          <w:rFonts w:hAnsi="宋体"/>
          <w:highlight w:val="none"/>
        </w:rPr>
      </w:pPr>
    </w:p>
    <w:p>
      <w:pPr>
        <w:pStyle w:val="95"/>
        <w:ind w:firstLine="480"/>
        <w:rPr>
          <w:rFonts w:hAnsi="宋体"/>
          <w:sz w:val="24"/>
          <w:szCs w:val="24"/>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4"/>
          <w:szCs w:val="24"/>
          <w:highlight w:val="none"/>
        </w:rPr>
      </w:pPr>
    </w:p>
    <w:p>
      <w:pPr>
        <w:rPr>
          <w:rFonts w:ascii="宋体" w:hAnsi="宋体" w:cs="宋体"/>
          <w:sz w:val="28"/>
          <w:szCs w:val="28"/>
          <w:highlight w:val="none"/>
        </w:rPr>
      </w:pPr>
    </w:p>
    <w:p>
      <w:pPr>
        <w:jc w:val="center"/>
        <w:rPr>
          <w:rFonts w:ascii="宋体" w:hAnsi="宋体" w:cs="宋体"/>
          <w:b/>
          <w:bCs/>
          <w:sz w:val="36"/>
          <w:szCs w:val="36"/>
          <w:highlight w:val="none"/>
        </w:rPr>
      </w:pPr>
    </w:p>
    <w:p>
      <w:pPr>
        <w:jc w:val="center"/>
        <w:rPr>
          <w:rFonts w:ascii="宋体" w:hAnsi="宋体" w:cs="宋体"/>
          <w:b/>
          <w:bCs/>
          <w:sz w:val="36"/>
          <w:szCs w:val="36"/>
          <w:highlight w:val="none"/>
        </w:rPr>
      </w:pPr>
    </w:p>
    <w:p>
      <w:pPr>
        <w:jc w:val="center"/>
        <w:rPr>
          <w:rFonts w:ascii="宋体" w:hAnsi="宋体" w:cs="宋体"/>
          <w:b/>
          <w:bCs/>
          <w:sz w:val="36"/>
          <w:szCs w:val="36"/>
          <w:highlight w:val="none"/>
        </w:rPr>
      </w:pPr>
    </w:p>
    <w:p>
      <w:pPr>
        <w:jc w:val="center"/>
        <w:rPr>
          <w:rFonts w:ascii="宋体" w:hAnsi="宋体" w:cs="宋体"/>
          <w:b/>
          <w:bCs/>
          <w:sz w:val="36"/>
          <w:szCs w:val="36"/>
          <w:highlight w:val="none"/>
        </w:rPr>
      </w:pPr>
    </w:p>
    <w:p>
      <w:pPr>
        <w:jc w:val="center"/>
        <w:rPr>
          <w:rFonts w:ascii="宋体" w:hAnsi="宋体" w:cs="宋体"/>
          <w:b/>
          <w:bCs/>
          <w:sz w:val="36"/>
          <w:szCs w:val="36"/>
          <w:highlight w:val="none"/>
        </w:rPr>
      </w:pPr>
    </w:p>
    <w:p>
      <w:pPr>
        <w:jc w:val="center"/>
        <w:rPr>
          <w:rFonts w:ascii="宋体" w:hAnsi="宋体" w:cs="宋体"/>
          <w:b/>
          <w:bCs/>
          <w:sz w:val="36"/>
          <w:szCs w:val="36"/>
          <w:highlight w:val="none"/>
        </w:rPr>
      </w:pPr>
    </w:p>
    <w:p>
      <w:pPr>
        <w:jc w:val="center"/>
        <w:rPr>
          <w:rFonts w:ascii="宋体" w:hAnsi="宋体" w:cs="宋体"/>
          <w:b/>
          <w:bCs/>
          <w:sz w:val="36"/>
          <w:szCs w:val="36"/>
          <w:highlight w:val="none"/>
        </w:rPr>
      </w:pPr>
    </w:p>
    <w:p>
      <w:pPr>
        <w:jc w:val="center"/>
        <w:rPr>
          <w:rFonts w:ascii="宋体" w:hAnsi="宋体" w:cs="宋体"/>
          <w:b/>
          <w:bCs/>
          <w:sz w:val="36"/>
          <w:szCs w:val="36"/>
          <w:highlight w:val="none"/>
        </w:rPr>
      </w:pPr>
    </w:p>
    <w:p>
      <w:pPr>
        <w:pStyle w:val="28"/>
        <w:rPr>
          <w:rFonts w:ascii="宋体" w:hAnsi="宋体" w:cs="宋体"/>
          <w:highlight w:val="none"/>
        </w:rPr>
      </w:pPr>
    </w:p>
    <w:p>
      <w:pPr>
        <w:rPr>
          <w:rFonts w:ascii="宋体" w:hAnsi="宋体" w:cs="宋体"/>
          <w:highlight w:val="none"/>
        </w:rPr>
      </w:pPr>
    </w:p>
    <w:p>
      <w:pPr>
        <w:pStyle w:val="28"/>
        <w:rPr>
          <w:rFonts w:ascii="宋体" w:hAnsi="宋体" w:cs="宋体"/>
          <w:highlight w:val="none"/>
        </w:rPr>
      </w:pPr>
    </w:p>
    <w:p>
      <w:pPr>
        <w:rPr>
          <w:rFonts w:ascii="宋体" w:hAnsi="宋体" w:cs="宋体"/>
          <w:highlight w:val="none"/>
        </w:rPr>
      </w:pPr>
    </w:p>
    <w:p>
      <w:pPr>
        <w:jc w:val="center"/>
        <w:rPr>
          <w:rFonts w:ascii="宋体" w:hAnsi="宋体" w:cs="宋体"/>
          <w:b/>
          <w:bCs/>
          <w:sz w:val="36"/>
          <w:szCs w:val="36"/>
          <w:highlight w:val="none"/>
        </w:rPr>
      </w:pPr>
    </w:p>
    <w:p>
      <w:pPr>
        <w:pStyle w:val="95"/>
        <w:jc w:val="left"/>
        <w:rPr>
          <w:rFonts w:hAnsi="宋体"/>
          <w:sz w:val="21"/>
          <w:szCs w:val="21"/>
          <w:highlight w:val="none"/>
        </w:rPr>
      </w:pPr>
    </w:p>
    <w:p>
      <w:pPr>
        <w:pStyle w:val="95"/>
        <w:jc w:val="left"/>
        <w:rPr>
          <w:rFonts w:hAnsi="宋体"/>
          <w:sz w:val="21"/>
          <w:szCs w:val="21"/>
          <w:highlight w:val="none"/>
        </w:rPr>
      </w:pPr>
      <w:r>
        <w:rPr>
          <w:rFonts w:hint="eastAsia" w:hAnsi="宋体"/>
          <w:sz w:val="21"/>
          <w:szCs w:val="21"/>
          <w:highlight w:val="none"/>
        </w:rPr>
        <w:t>附件9、</w:t>
      </w:r>
    </w:p>
    <w:p>
      <w:pPr>
        <w:pStyle w:val="95"/>
        <w:jc w:val="left"/>
        <w:rPr>
          <w:rFonts w:hAnsi="宋体"/>
          <w:sz w:val="21"/>
          <w:szCs w:val="21"/>
          <w:highlight w:val="none"/>
        </w:rPr>
      </w:pPr>
    </w:p>
    <w:p>
      <w:pPr>
        <w:spacing w:line="380" w:lineRule="exact"/>
        <w:jc w:val="center"/>
        <w:rPr>
          <w:rFonts w:ascii="宋体" w:hAnsi="宋体" w:cs="宋体"/>
          <w:b/>
          <w:bCs/>
          <w:sz w:val="32"/>
          <w:szCs w:val="32"/>
          <w:highlight w:val="none"/>
        </w:rPr>
      </w:pPr>
      <w:r>
        <w:rPr>
          <w:rFonts w:hint="eastAsia" w:ascii="宋体" w:hAnsi="宋体" w:cs="宋体"/>
          <w:b/>
          <w:bCs/>
          <w:sz w:val="32"/>
          <w:szCs w:val="32"/>
          <w:highlight w:val="none"/>
        </w:rPr>
        <w:t>退还投标保证金说明函</w:t>
      </w:r>
    </w:p>
    <w:p>
      <w:pPr>
        <w:widowControl/>
        <w:spacing w:line="500" w:lineRule="exact"/>
        <w:jc w:val="left"/>
        <w:rPr>
          <w:rFonts w:ascii="宋体" w:hAnsi="宋体" w:cs="宋体"/>
          <w:sz w:val="24"/>
          <w:szCs w:val="24"/>
          <w:highlight w:val="none"/>
        </w:rPr>
      </w:pPr>
    </w:p>
    <w:p>
      <w:pPr>
        <w:widowControl/>
        <w:spacing w:line="500" w:lineRule="exact"/>
        <w:jc w:val="left"/>
        <w:rPr>
          <w:rFonts w:ascii="宋体" w:hAnsi="宋体" w:cs="宋体"/>
          <w:kern w:val="0"/>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福建省中达招标代理有限公司</w:t>
      </w:r>
      <w:r>
        <w:rPr>
          <w:rFonts w:hint="eastAsia" w:ascii="宋体" w:hAnsi="宋体" w:cs="宋体"/>
          <w:sz w:val="24"/>
          <w:szCs w:val="24"/>
          <w:highlight w:val="none"/>
        </w:rPr>
        <w:t>：</w:t>
      </w:r>
    </w:p>
    <w:p>
      <w:pPr>
        <w:widowControl/>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兹有我公司参加贵公司</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w:t>
      </w:r>
      <w:r>
        <w:rPr>
          <w:rFonts w:hint="eastAsia" w:ascii="宋体" w:hAnsi="宋体" w:cs="宋体"/>
          <w:sz w:val="24"/>
          <w:szCs w:val="24"/>
          <w:highlight w:val="none"/>
        </w:rPr>
        <w:t>月</w:t>
      </w:r>
      <w:r>
        <w:rPr>
          <w:rFonts w:hint="eastAsia" w:ascii="宋体" w:hAnsi="宋体" w:cs="宋体"/>
          <w:sz w:val="24"/>
          <w:szCs w:val="24"/>
          <w:highlight w:val="none"/>
          <w:u w:val="single"/>
        </w:rPr>
        <w:t>    </w:t>
      </w:r>
      <w:r>
        <w:rPr>
          <w:rFonts w:hint="eastAsia" w:ascii="宋体" w:hAnsi="宋体" w:cs="宋体"/>
          <w:sz w:val="24"/>
          <w:szCs w:val="24"/>
          <w:highlight w:val="none"/>
        </w:rPr>
        <w:t>日（开标时间）组织公开招标的（项目编号）,项目(项目名称)的招标活动中，本公司以（同城转帐、异地电汇）形式缴纳投标保证金（¥      ），如中标，请贵公司待我司缴纳招标服务费并签订合同后给予办理退还；如未中标，则请将投标保证金直接退还到我公司帐户中:</w:t>
      </w:r>
    </w:p>
    <w:p>
      <w:pPr>
        <w:widowControl/>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投标人全称：</w:t>
      </w:r>
      <w:r>
        <w:rPr>
          <w:rFonts w:hint="eastAsia" w:ascii="宋体" w:hAnsi="宋体" w:cs="宋体"/>
          <w:sz w:val="24"/>
          <w:szCs w:val="24"/>
          <w:highlight w:val="none"/>
          <w:u w:val="single"/>
        </w:rPr>
        <w:t>                         </w:t>
      </w:r>
      <w:r>
        <w:rPr>
          <w:rFonts w:hint="eastAsia" w:ascii="宋体" w:hAnsi="宋体" w:cs="宋体"/>
          <w:sz w:val="24"/>
          <w:szCs w:val="24"/>
          <w:highlight w:val="none"/>
        </w:rPr>
        <w:t xml:space="preserve">  </w:t>
      </w:r>
    </w:p>
    <w:p>
      <w:pPr>
        <w:widowControl/>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开户银行：</w:t>
      </w:r>
      <w:r>
        <w:rPr>
          <w:rFonts w:hint="eastAsia" w:ascii="宋体" w:hAnsi="宋体" w:cs="宋体"/>
          <w:sz w:val="24"/>
          <w:szCs w:val="24"/>
          <w:highlight w:val="none"/>
          <w:u w:val="single"/>
        </w:rPr>
        <w:t>                          </w:t>
      </w:r>
      <w:r>
        <w:rPr>
          <w:rFonts w:hint="eastAsia" w:ascii="宋体" w:hAnsi="宋体" w:cs="宋体"/>
          <w:sz w:val="24"/>
          <w:szCs w:val="24"/>
          <w:highlight w:val="none"/>
        </w:rPr>
        <w:t> </w:t>
      </w:r>
    </w:p>
    <w:p>
      <w:pPr>
        <w:widowControl/>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账    号：</w:t>
      </w:r>
      <w:r>
        <w:rPr>
          <w:rFonts w:hint="eastAsia" w:ascii="宋体" w:hAnsi="宋体" w:cs="宋体"/>
          <w:sz w:val="24"/>
          <w:szCs w:val="24"/>
          <w:highlight w:val="none"/>
          <w:u w:val="single"/>
        </w:rPr>
        <w:t>                        </w:t>
      </w:r>
      <w:r>
        <w:rPr>
          <w:rFonts w:hint="eastAsia" w:ascii="宋体" w:hAnsi="宋体" w:cs="宋体"/>
          <w:sz w:val="24"/>
          <w:szCs w:val="24"/>
          <w:highlight w:val="none"/>
        </w:rPr>
        <w:t xml:space="preserve">         </w:t>
      </w:r>
    </w:p>
    <w:p>
      <w:pPr>
        <w:widowControl/>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公司所属省份、市、县：</w:t>
      </w:r>
      <w:r>
        <w:rPr>
          <w:rFonts w:hint="eastAsia" w:ascii="宋体" w:hAnsi="宋体" w:cs="宋体"/>
          <w:sz w:val="24"/>
          <w:szCs w:val="24"/>
          <w:highlight w:val="none"/>
          <w:u w:val="single"/>
        </w:rPr>
        <w:t>                     </w:t>
      </w:r>
      <w:r>
        <w:rPr>
          <w:rFonts w:hint="eastAsia" w:ascii="宋体" w:hAnsi="宋体" w:cs="宋体"/>
          <w:sz w:val="24"/>
          <w:szCs w:val="24"/>
          <w:highlight w:val="none"/>
        </w:rPr>
        <w:t xml:space="preserve">  </w:t>
      </w:r>
    </w:p>
    <w:p>
      <w:pPr>
        <w:widowControl/>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（以上内容应详细填写，不可简化）</w:t>
      </w:r>
    </w:p>
    <w:tbl>
      <w:tblPr>
        <w:tblStyle w:val="31"/>
        <w:tblW w:w="901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pacing w:line="500" w:lineRule="exact"/>
              <w:jc w:val="center"/>
              <w:rPr>
                <w:rFonts w:ascii="宋体" w:hAnsi="宋体" w:cs="宋体"/>
                <w:b/>
                <w:bCs/>
                <w:highlight w:val="none"/>
              </w:rPr>
            </w:pPr>
            <w:r>
              <w:rPr>
                <w:rFonts w:hint="eastAsia" w:ascii="宋体" w:hAnsi="宋体" w:cs="宋体"/>
                <w:b/>
                <w:bCs/>
                <w:highlight w:val="none"/>
              </w:rPr>
              <w:t>序号</w:t>
            </w:r>
          </w:p>
        </w:tc>
        <w:tc>
          <w:tcPr>
            <w:tcW w:w="1620" w:type="dxa"/>
          </w:tcPr>
          <w:p>
            <w:pPr>
              <w:widowControl/>
              <w:spacing w:line="500" w:lineRule="exact"/>
              <w:jc w:val="center"/>
              <w:rPr>
                <w:rFonts w:ascii="宋体" w:hAnsi="宋体" w:cs="宋体"/>
                <w:b/>
                <w:bCs/>
                <w:highlight w:val="none"/>
              </w:rPr>
            </w:pPr>
            <w:r>
              <w:rPr>
                <w:rFonts w:hint="eastAsia" w:ascii="宋体" w:hAnsi="宋体" w:cs="宋体"/>
                <w:b/>
                <w:bCs/>
                <w:highlight w:val="none"/>
              </w:rPr>
              <w:t>所投合同包</w:t>
            </w:r>
          </w:p>
        </w:tc>
        <w:tc>
          <w:tcPr>
            <w:tcW w:w="6562" w:type="dxa"/>
          </w:tcPr>
          <w:p>
            <w:pPr>
              <w:widowControl/>
              <w:spacing w:line="500" w:lineRule="exact"/>
              <w:jc w:val="center"/>
              <w:rPr>
                <w:rFonts w:ascii="宋体" w:hAnsi="宋体" w:cs="宋体"/>
                <w:b/>
                <w:bCs/>
                <w:highlight w:val="none"/>
              </w:rPr>
            </w:pPr>
            <w:r>
              <w:rPr>
                <w:rFonts w:hint="eastAsia" w:ascii="宋体" w:hAnsi="宋体" w:cs="宋体"/>
                <w:b/>
                <w:bCs/>
                <w:highlight w:val="none"/>
              </w:rPr>
              <w:t>提交投标保证金金额（元）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pacing w:line="500" w:lineRule="exact"/>
              <w:jc w:val="left"/>
              <w:rPr>
                <w:rFonts w:ascii="宋体" w:hAnsi="宋体" w:cs="宋体"/>
                <w:highlight w:val="none"/>
              </w:rPr>
            </w:pPr>
          </w:p>
        </w:tc>
        <w:tc>
          <w:tcPr>
            <w:tcW w:w="1620" w:type="dxa"/>
          </w:tcPr>
          <w:p>
            <w:pPr>
              <w:widowControl/>
              <w:spacing w:line="500" w:lineRule="exact"/>
              <w:jc w:val="left"/>
              <w:rPr>
                <w:rFonts w:ascii="宋体" w:hAnsi="宋体" w:cs="宋体"/>
                <w:highlight w:val="none"/>
              </w:rPr>
            </w:pPr>
          </w:p>
        </w:tc>
        <w:tc>
          <w:tcPr>
            <w:tcW w:w="6562" w:type="dxa"/>
          </w:tcPr>
          <w:p>
            <w:pPr>
              <w:widowControl/>
              <w:spacing w:line="500" w:lineRule="exact"/>
              <w:jc w:val="lef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tcPr>
          <w:p>
            <w:pPr>
              <w:widowControl/>
              <w:spacing w:line="500" w:lineRule="exact"/>
              <w:jc w:val="left"/>
              <w:rPr>
                <w:rFonts w:ascii="宋体" w:hAnsi="宋体" w:cs="宋体"/>
                <w:highlight w:val="none"/>
              </w:rPr>
            </w:pPr>
            <w:r>
              <w:rPr>
                <w:rFonts w:hint="eastAsia" w:ascii="宋体" w:hAnsi="宋体" w:cs="宋体"/>
                <w:highlight w:val="none"/>
              </w:rPr>
              <w:t>合计</w:t>
            </w:r>
          </w:p>
        </w:tc>
        <w:tc>
          <w:tcPr>
            <w:tcW w:w="6562" w:type="dxa"/>
          </w:tcPr>
          <w:p>
            <w:pPr>
              <w:widowControl/>
              <w:spacing w:line="500" w:lineRule="exact"/>
              <w:jc w:val="lef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9010" w:type="dxa"/>
            <w:gridSpan w:val="3"/>
            <w:vAlign w:val="center"/>
          </w:tcPr>
          <w:p>
            <w:pPr>
              <w:widowControl/>
              <w:spacing w:line="500" w:lineRule="exact"/>
              <w:jc w:val="center"/>
              <w:rPr>
                <w:rFonts w:ascii="宋体" w:hAnsi="宋体" w:cs="宋体"/>
                <w:sz w:val="30"/>
                <w:szCs w:val="30"/>
                <w:highlight w:val="none"/>
              </w:rPr>
            </w:pPr>
            <w:r>
              <w:rPr>
                <w:rFonts w:hint="eastAsia" w:ascii="宋体" w:hAnsi="宋体" w:cs="宋体"/>
                <w:sz w:val="30"/>
                <w:szCs w:val="30"/>
                <w:highlight w:val="none"/>
              </w:rPr>
              <w:t>投标保证金凭证复印件粘贴处</w:t>
            </w:r>
          </w:p>
        </w:tc>
      </w:tr>
    </w:tbl>
    <w:p>
      <w:pPr>
        <w:spacing w:line="380" w:lineRule="exact"/>
        <w:rPr>
          <w:rFonts w:ascii="宋体" w:hAnsi="宋体" w:cs="宋体"/>
          <w:highlight w:val="none"/>
        </w:rPr>
      </w:pPr>
    </w:p>
    <w:p>
      <w:pPr>
        <w:spacing w:line="380" w:lineRule="exact"/>
        <w:rPr>
          <w:rFonts w:ascii="宋体" w:hAnsi="宋体" w:cs="宋体"/>
          <w:highlight w:val="none"/>
          <w:u w:val="single"/>
        </w:rPr>
      </w:pPr>
      <w:r>
        <w:rPr>
          <w:rFonts w:hint="eastAsia" w:ascii="宋体" w:hAnsi="宋体" w:cs="宋体"/>
          <w:highlight w:val="none"/>
        </w:rPr>
        <w:t xml:space="preserve">                            投标人（全称并加盖公章）： </w:t>
      </w:r>
    </w:p>
    <w:p>
      <w:pPr>
        <w:spacing w:line="380" w:lineRule="exact"/>
        <w:rPr>
          <w:rFonts w:ascii="宋体" w:hAnsi="宋体" w:cs="宋体"/>
          <w:highlight w:val="none"/>
        </w:rPr>
      </w:pPr>
      <w:r>
        <w:rPr>
          <w:rFonts w:hint="eastAsia" w:ascii="宋体" w:hAnsi="宋体" w:cs="宋体"/>
          <w:highlight w:val="none"/>
        </w:rPr>
        <w:t xml:space="preserve">                            投标人代表签字：</w:t>
      </w:r>
    </w:p>
    <w:p>
      <w:pPr>
        <w:spacing w:line="340" w:lineRule="atLeast"/>
        <w:rPr>
          <w:rFonts w:ascii="宋体" w:hAnsi="宋体" w:cs="宋体"/>
          <w:highlight w:val="none"/>
          <w:u w:val="single"/>
        </w:rPr>
      </w:pPr>
      <w:r>
        <w:rPr>
          <w:rFonts w:hint="eastAsia" w:ascii="宋体" w:hAnsi="宋体" w:cs="宋体"/>
          <w:highlight w:val="none"/>
        </w:rPr>
        <w:t xml:space="preserve">                            日          期：</w:t>
      </w:r>
    </w:p>
    <w:p>
      <w:pPr>
        <w:spacing w:line="340" w:lineRule="atLeast"/>
        <w:ind w:firstLine="420" w:firstLineChars="200"/>
        <w:rPr>
          <w:rFonts w:ascii="宋体" w:hAnsi="宋体" w:cs="宋体"/>
          <w:highlight w:val="none"/>
        </w:rPr>
      </w:pPr>
    </w:p>
    <w:p>
      <w:pPr>
        <w:spacing w:line="340" w:lineRule="atLeast"/>
        <w:ind w:firstLine="420" w:firstLineChars="200"/>
        <w:rPr>
          <w:rFonts w:ascii="宋体" w:hAnsi="宋体" w:cs="宋体"/>
          <w:highlight w:val="none"/>
        </w:rPr>
      </w:pPr>
      <w:r>
        <w:rPr>
          <w:rFonts w:hint="eastAsia" w:ascii="宋体" w:hAnsi="宋体" w:cs="宋体"/>
          <w:highlight w:val="none"/>
        </w:rPr>
        <w:t>注：《退回投标保证金说明函》（含清晰准确的投标保证金缴款凭证复印件）另做一份装在一单独的信封内密封并放置在投标文件报价部分正本密封袋中。</w:t>
      </w:r>
    </w:p>
    <w:p>
      <w:pPr>
        <w:pStyle w:val="95"/>
        <w:jc w:val="left"/>
        <w:rPr>
          <w:rFonts w:hAnsi="宋体"/>
          <w:sz w:val="21"/>
          <w:szCs w:val="21"/>
          <w:highlight w:val="none"/>
        </w:rPr>
      </w:pPr>
    </w:p>
    <w:p>
      <w:pPr>
        <w:pStyle w:val="95"/>
        <w:jc w:val="left"/>
        <w:rPr>
          <w:rFonts w:hAnsi="宋体"/>
          <w:sz w:val="21"/>
          <w:szCs w:val="21"/>
          <w:highlight w:val="none"/>
        </w:rPr>
      </w:pPr>
    </w:p>
    <w:p>
      <w:pPr>
        <w:pStyle w:val="95"/>
        <w:jc w:val="left"/>
        <w:rPr>
          <w:rFonts w:hAnsi="宋体"/>
          <w:sz w:val="21"/>
          <w:szCs w:val="21"/>
          <w:highlight w:val="none"/>
        </w:rPr>
      </w:pPr>
    </w:p>
    <w:p>
      <w:pPr>
        <w:pStyle w:val="95"/>
        <w:jc w:val="left"/>
        <w:rPr>
          <w:rFonts w:hAnsi="宋体"/>
          <w:sz w:val="21"/>
          <w:szCs w:val="21"/>
          <w:highlight w:val="none"/>
        </w:rPr>
      </w:pPr>
      <w:r>
        <w:rPr>
          <w:rFonts w:hint="eastAsia" w:hAnsi="宋体"/>
          <w:sz w:val="21"/>
          <w:szCs w:val="21"/>
          <w:highlight w:val="none"/>
        </w:rPr>
        <w:t>附件10、</w:t>
      </w:r>
    </w:p>
    <w:p>
      <w:pPr>
        <w:jc w:val="center"/>
        <w:rPr>
          <w:rFonts w:ascii="宋体" w:hAnsi="宋体" w:cs="宋体"/>
          <w:sz w:val="32"/>
          <w:szCs w:val="32"/>
          <w:highlight w:val="none"/>
        </w:rPr>
      </w:pPr>
      <w:r>
        <w:rPr>
          <w:rFonts w:hint="eastAsia" w:ascii="宋体" w:hAnsi="宋体" w:cs="宋体"/>
          <w:b/>
          <w:bCs/>
          <w:sz w:val="32"/>
          <w:szCs w:val="32"/>
          <w:highlight w:val="none"/>
        </w:rPr>
        <w:t>招标代理服务费承诺书</w:t>
      </w:r>
    </w:p>
    <w:p>
      <w:pPr>
        <w:pStyle w:val="95"/>
        <w:jc w:val="center"/>
        <w:rPr>
          <w:rFonts w:hAnsi="宋体"/>
          <w:sz w:val="21"/>
          <w:szCs w:val="21"/>
          <w:highlight w:val="none"/>
        </w:rPr>
      </w:pPr>
      <w:r>
        <w:rPr>
          <w:rFonts w:hint="eastAsia" w:hAnsi="宋体"/>
          <w:sz w:val="36"/>
          <w:szCs w:val="36"/>
          <w:highlight w:val="none"/>
        </w:rPr>
        <w:br w:type="textWrapping"/>
      </w:r>
      <w:r>
        <w:rPr>
          <w:rFonts w:hint="eastAsia" w:hAnsi="宋体"/>
          <w:sz w:val="21"/>
          <w:szCs w:val="21"/>
          <w:highlight w:val="none"/>
        </w:rPr>
        <w:t xml:space="preserve">                                </w:t>
      </w:r>
    </w:p>
    <w:p>
      <w:pPr>
        <w:widowControl/>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福建省中达招标代理有限公司 </w:t>
      </w:r>
    </w:p>
    <w:p>
      <w:pPr>
        <w:widowControl/>
        <w:spacing w:line="500" w:lineRule="exact"/>
        <w:ind w:left="239" w:leftChars="114" w:firstLine="240" w:firstLineChars="100"/>
        <w:jc w:val="left"/>
        <w:rPr>
          <w:rFonts w:ascii="宋体" w:hAnsi="宋体" w:cs="宋体"/>
          <w:sz w:val="24"/>
          <w:szCs w:val="24"/>
          <w:highlight w:val="none"/>
        </w:rPr>
      </w:pPr>
      <w:r>
        <w:rPr>
          <w:rFonts w:hint="eastAsia" w:ascii="宋体" w:hAnsi="宋体" w:cs="宋体"/>
          <w:sz w:val="24"/>
          <w:szCs w:val="24"/>
          <w:highlight w:val="none"/>
        </w:rPr>
        <w:t>我们在贵公司组织的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项目招标中投标（项目编号：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合同包号：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），如获中标，我们保证按招标文件的规定，以支票、电汇、现金或经贵公司认可的其他付款方式，向贵公司按招标文件约定一次性支付招标服务费。</w:t>
      </w:r>
    </w:p>
    <w:p>
      <w:pPr>
        <w:widowControl/>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我方如违反上述承诺，所提交的上述项目的投标保证金将不予退还我方，我方对此无异议。</w:t>
      </w:r>
    </w:p>
    <w:p>
      <w:pPr>
        <w:widowControl/>
        <w:spacing w:line="500" w:lineRule="exact"/>
        <w:ind w:firstLine="480" w:firstLineChars="200"/>
        <w:jc w:val="left"/>
        <w:rPr>
          <w:rFonts w:ascii="宋体" w:hAnsi="宋体" w:cs="宋体"/>
          <w:sz w:val="24"/>
          <w:szCs w:val="24"/>
          <w:highlight w:val="none"/>
        </w:rPr>
      </w:pPr>
    </w:p>
    <w:p>
      <w:pPr>
        <w:widowControl/>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特此承诺！</w:t>
      </w:r>
    </w:p>
    <w:p>
      <w:pPr>
        <w:spacing w:line="380" w:lineRule="exact"/>
        <w:rPr>
          <w:rFonts w:ascii="宋体" w:hAnsi="宋体" w:cs="宋体"/>
          <w:highlight w:val="none"/>
        </w:rPr>
      </w:pPr>
    </w:p>
    <w:p>
      <w:pPr>
        <w:spacing w:line="380" w:lineRule="exact"/>
        <w:rPr>
          <w:rFonts w:ascii="宋体" w:hAnsi="宋体" w:cs="宋体"/>
          <w:sz w:val="24"/>
          <w:szCs w:val="24"/>
          <w:highlight w:val="none"/>
          <w:u w:val="single"/>
        </w:rPr>
      </w:pPr>
      <w:r>
        <w:rPr>
          <w:rFonts w:hint="eastAsia" w:ascii="宋体" w:hAnsi="宋体" w:cs="宋体"/>
          <w:highlight w:val="none"/>
        </w:rPr>
        <w:t xml:space="preserve">                                </w:t>
      </w:r>
      <w:r>
        <w:rPr>
          <w:rFonts w:hint="eastAsia" w:ascii="宋体" w:hAnsi="宋体" w:cs="宋体"/>
          <w:sz w:val="24"/>
          <w:szCs w:val="24"/>
          <w:highlight w:val="none"/>
        </w:rPr>
        <w:t xml:space="preserve">投标人（全称并加盖公章）： </w:t>
      </w:r>
      <w:r>
        <w:rPr>
          <w:rFonts w:hint="eastAsia" w:ascii="宋体" w:hAnsi="宋体" w:cs="宋体"/>
          <w:sz w:val="24"/>
          <w:szCs w:val="24"/>
          <w:highlight w:val="none"/>
          <w:u w:val="single"/>
        </w:rPr>
        <w:t xml:space="preserve">                            </w:t>
      </w:r>
    </w:p>
    <w:p>
      <w:pPr>
        <w:spacing w:line="380" w:lineRule="exact"/>
        <w:rPr>
          <w:rFonts w:ascii="宋体" w:hAnsi="宋体" w:cs="宋体"/>
          <w:sz w:val="24"/>
          <w:szCs w:val="24"/>
          <w:highlight w:val="none"/>
        </w:rPr>
      </w:pPr>
      <w:r>
        <w:rPr>
          <w:rFonts w:hint="eastAsia" w:ascii="宋体" w:hAnsi="宋体" w:cs="宋体"/>
          <w:sz w:val="24"/>
          <w:szCs w:val="24"/>
          <w:highlight w:val="none"/>
        </w:rPr>
        <w:t xml:space="preserve">                            投标人代表签字：</w:t>
      </w:r>
      <w:r>
        <w:rPr>
          <w:rFonts w:hint="eastAsia" w:ascii="宋体" w:hAnsi="宋体" w:cs="宋体"/>
          <w:sz w:val="24"/>
          <w:szCs w:val="24"/>
          <w:highlight w:val="none"/>
          <w:u w:val="single"/>
        </w:rPr>
        <w:t xml:space="preserve">                                      </w:t>
      </w:r>
    </w:p>
    <w:p>
      <w:pPr>
        <w:spacing w:line="380" w:lineRule="exact"/>
        <w:ind w:firstLine="3360" w:firstLineChars="1400"/>
        <w:rPr>
          <w:rFonts w:ascii="宋体" w:hAnsi="宋体" w:cs="宋体"/>
          <w:sz w:val="24"/>
          <w:szCs w:val="24"/>
          <w:highlight w:val="none"/>
          <w:u w:val="single"/>
        </w:rPr>
      </w:pPr>
      <w:r>
        <w:rPr>
          <w:rFonts w:hint="eastAsia" w:ascii="宋体" w:hAnsi="宋体" w:cs="宋体"/>
          <w:sz w:val="24"/>
          <w:szCs w:val="24"/>
          <w:highlight w:val="none"/>
        </w:rPr>
        <w:t>邮 编：</w:t>
      </w:r>
      <w:r>
        <w:rPr>
          <w:rFonts w:hint="eastAsia" w:ascii="宋体" w:hAnsi="宋体" w:cs="宋体"/>
          <w:sz w:val="24"/>
          <w:szCs w:val="24"/>
          <w:highlight w:val="none"/>
          <w:u w:val="single"/>
        </w:rPr>
        <w:t xml:space="preserve">                        </w:t>
      </w:r>
      <w:r>
        <w:rPr>
          <w:rFonts w:hint="eastAsia" w:ascii="宋体" w:hAnsi="宋体" w:cs="宋体"/>
          <w:sz w:val="24"/>
          <w:szCs w:val="24"/>
          <w:highlight w:val="none"/>
        </w:rPr>
        <w:t>电 话：</w:t>
      </w:r>
      <w:r>
        <w:rPr>
          <w:rFonts w:hint="eastAsia" w:ascii="宋体" w:hAnsi="宋体" w:cs="宋体"/>
          <w:sz w:val="24"/>
          <w:szCs w:val="24"/>
          <w:highlight w:val="none"/>
          <w:u w:val="single"/>
        </w:rPr>
        <w:t xml:space="preserve">                </w:t>
      </w:r>
    </w:p>
    <w:p>
      <w:pPr>
        <w:spacing w:line="380" w:lineRule="exact"/>
        <w:rPr>
          <w:rFonts w:ascii="宋体" w:hAnsi="宋体" w:cs="宋体"/>
          <w:sz w:val="24"/>
          <w:szCs w:val="24"/>
          <w:highlight w:val="none"/>
          <w:u w:val="single"/>
        </w:rPr>
      </w:pPr>
      <w:r>
        <w:rPr>
          <w:rFonts w:hint="eastAsia" w:ascii="宋体" w:hAnsi="宋体" w:cs="宋体"/>
          <w:sz w:val="24"/>
          <w:szCs w:val="24"/>
          <w:highlight w:val="none"/>
        </w:rPr>
        <w:t xml:space="preserve">                            传 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日 期： </w:t>
      </w:r>
      <w:r>
        <w:rPr>
          <w:rFonts w:hint="eastAsia" w:ascii="宋体" w:hAnsi="宋体" w:cs="宋体"/>
          <w:sz w:val="24"/>
          <w:szCs w:val="24"/>
          <w:highlight w:val="none"/>
          <w:u w:val="single"/>
        </w:rPr>
        <w:t xml:space="preserve">               </w:t>
      </w:r>
    </w:p>
    <w:p>
      <w:pPr>
        <w:spacing w:line="380" w:lineRule="exact"/>
        <w:rPr>
          <w:rFonts w:ascii="宋体" w:hAnsi="宋体" w:cs="宋体"/>
          <w:sz w:val="24"/>
          <w:szCs w:val="24"/>
          <w:highlight w:val="none"/>
          <w:u w:val="single"/>
        </w:rPr>
      </w:pPr>
    </w:p>
    <w:p>
      <w:pPr>
        <w:pStyle w:val="20"/>
        <w:snapToGrid w:val="0"/>
        <w:spacing w:line="440" w:lineRule="exact"/>
        <w:ind w:firstLine="564"/>
        <w:jc w:val="left"/>
        <w:rPr>
          <w:rFonts w:hAnsi="宋体"/>
          <w:highlight w:val="none"/>
          <w:u w:val="single"/>
        </w:rPr>
      </w:pPr>
    </w:p>
    <w:p>
      <w:pPr>
        <w:pStyle w:val="95"/>
        <w:jc w:val="left"/>
        <w:rPr>
          <w:rFonts w:hAnsi="宋体"/>
          <w:sz w:val="21"/>
          <w:szCs w:val="21"/>
          <w:highlight w:val="none"/>
        </w:rPr>
      </w:pPr>
    </w:p>
    <w:p>
      <w:pPr>
        <w:pStyle w:val="95"/>
        <w:jc w:val="left"/>
        <w:rPr>
          <w:rFonts w:hAnsi="宋体"/>
          <w:sz w:val="21"/>
          <w:szCs w:val="21"/>
          <w:highlight w:val="none"/>
        </w:rPr>
      </w:pPr>
    </w:p>
    <w:p>
      <w:pPr>
        <w:pStyle w:val="95"/>
        <w:jc w:val="left"/>
        <w:rPr>
          <w:rFonts w:hAnsi="宋体"/>
          <w:sz w:val="21"/>
          <w:szCs w:val="21"/>
          <w:highlight w:val="none"/>
        </w:rPr>
      </w:pPr>
    </w:p>
    <w:p>
      <w:pPr>
        <w:pStyle w:val="95"/>
        <w:jc w:val="left"/>
        <w:rPr>
          <w:rFonts w:hAnsi="宋体"/>
          <w:sz w:val="21"/>
          <w:szCs w:val="21"/>
          <w:highlight w:val="none"/>
        </w:rPr>
      </w:pPr>
    </w:p>
    <w:p>
      <w:pPr>
        <w:pStyle w:val="95"/>
        <w:jc w:val="left"/>
        <w:rPr>
          <w:rFonts w:hAnsi="宋体"/>
          <w:sz w:val="21"/>
          <w:szCs w:val="21"/>
          <w:highlight w:val="none"/>
        </w:rPr>
      </w:pPr>
    </w:p>
    <w:p>
      <w:pPr>
        <w:pStyle w:val="95"/>
        <w:tabs>
          <w:tab w:val="left" w:pos="420"/>
        </w:tabs>
        <w:spacing w:line="460" w:lineRule="exact"/>
        <w:jc w:val="left"/>
        <w:rPr>
          <w:rFonts w:hAnsi="宋体"/>
          <w:sz w:val="21"/>
          <w:szCs w:val="21"/>
          <w:highlight w:val="none"/>
        </w:rPr>
      </w:pPr>
    </w:p>
    <w:p>
      <w:pPr>
        <w:pStyle w:val="95"/>
        <w:tabs>
          <w:tab w:val="left" w:pos="420"/>
        </w:tabs>
        <w:spacing w:line="460" w:lineRule="exact"/>
        <w:jc w:val="left"/>
        <w:rPr>
          <w:rFonts w:hAnsi="宋体"/>
          <w:b/>
          <w:bCs/>
          <w:spacing w:val="120"/>
          <w:sz w:val="84"/>
          <w:szCs w:val="84"/>
          <w:highlight w:val="none"/>
        </w:rPr>
      </w:pPr>
      <w:r>
        <w:rPr>
          <w:rFonts w:hint="eastAsia" w:hAnsi="宋体"/>
          <w:sz w:val="21"/>
          <w:szCs w:val="21"/>
          <w:highlight w:val="none"/>
        </w:rPr>
        <w:br w:type="page"/>
      </w:r>
    </w:p>
    <w:p>
      <w:pPr>
        <w:jc w:val="center"/>
        <w:rPr>
          <w:rFonts w:hint="eastAsia" w:ascii="宋体" w:hAnsi="宋体" w:eastAsia="宋体" w:cs="宋体"/>
          <w:b/>
          <w:bCs/>
          <w:sz w:val="72"/>
          <w:szCs w:val="72"/>
          <w:highlight w:val="none"/>
          <w:lang w:eastAsia="zh-CN"/>
        </w:rPr>
      </w:pPr>
      <w:r>
        <w:rPr>
          <w:rFonts w:hint="eastAsia" w:ascii="宋体" w:hAnsi="宋体" w:cs="宋体"/>
          <w:b/>
          <w:bCs/>
          <w:sz w:val="72"/>
          <w:szCs w:val="72"/>
          <w:highlight w:val="none"/>
          <w:lang w:eastAsia="zh-CN"/>
        </w:rPr>
        <w:t>充电桩配套设施技术改造项目</w:t>
      </w:r>
    </w:p>
    <w:p>
      <w:pPr>
        <w:rPr>
          <w:rFonts w:ascii="宋体" w:hAnsi="宋体" w:cs="宋体"/>
          <w:b/>
          <w:bCs/>
          <w:spacing w:val="120"/>
          <w:sz w:val="72"/>
          <w:szCs w:val="72"/>
          <w:highlight w:val="none"/>
        </w:rPr>
      </w:pPr>
    </w:p>
    <w:p>
      <w:pPr>
        <w:jc w:val="center"/>
        <w:rPr>
          <w:rFonts w:ascii="宋体" w:hAnsi="宋体" w:cs="宋体"/>
          <w:b/>
          <w:bCs/>
          <w:spacing w:val="120"/>
          <w:sz w:val="72"/>
          <w:szCs w:val="72"/>
          <w:highlight w:val="none"/>
        </w:rPr>
      </w:pPr>
      <w:r>
        <w:rPr>
          <w:rFonts w:hint="eastAsia" w:ascii="宋体" w:hAnsi="宋体" w:cs="宋体"/>
          <w:b/>
          <w:bCs/>
          <w:spacing w:val="120"/>
          <w:sz w:val="72"/>
          <w:szCs w:val="72"/>
          <w:highlight w:val="none"/>
        </w:rPr>
        <w:t>投标文件第二册</w:t>
      </w:r>
    </w:p>
    <w:p>
      <w:pPr>
        <w:jc w:val="center"/>
        <w:rPr>
          <w:rFonts w:ascii="宋体" w:hAnsi="宋体" w:cs="宋体"/>
          <w:b/>
          <w:bCs/>
          <w:spacing w:val="120"/>
          <w:sz w:val="72"/>
          <w:szCs w:val="72"/>
          <w:highlight w:val="none"/>
        </w:rPr>
      </w:pPr>
      <w:r>
        <w:rPr>
          <w:rFonts w:hint="eastAsia" w:ascii="宋体" w:hAnsi="宋体" w:cs="宋体"/>
          <w:b/>
          <w:bCs/>
          <w:spacing w:val="120"/>
          <w:sz w:val="72"/>
          <w:szCs w:val="72"/>
          <w:highlight w:val="none"/>
        </w:rPr>
        <w:t>报价部分</w:t>
      </w:r>
    </w:p>
    <w:p>
      <w:pPr>
        <w:pStyle w:val="3"/>
        <w:spacing w:line="800" w:lineRule="exact"/>
        <w:jc w:val="center"/>
        <w:rPr>
          <w:rFonts w:ascii="宋体" w:hAnsi="宋体" w:cs="宋体"/>
          <w:b/>
          <w:bCs/>
          <w:sz w:val="84"/>
          <w:szCs w:val="84"/>
          <w:highlight w:val="none"/>
        </w:rPr>
      </w:pPr>
    </w:p>
    <w:p>
      <w:pPr>
        <w:pStyle w:val="3"/>
        <w:spacing w:line="800" w:lineRule="exact"/>
        <w:jc w:val="center"/>
        <w:rPr>
          <w:rFonts w:ascii="宋体" w:hAnsi="宋体" w:cs="宋体"/>
          <w:b/>
          <w:bCs/>
          <w:sz w:val="84"/>
          <w:szCs w:val="84"/>
          <w:highlight w:val="none"/>
        </w:rPr>
      </w:pPr>
    </w:p>
    <w:p>
      <w:pPr>
        <w:pStyle w:val="3"/>
        <w:jc w:val="center"/>
        <w:rPr>
          <w:rFonts w:ascii="宋体" w:hAnsi="宋体" w:cs="宋体"/>
          <w:b/>
          <w:bCs/>
          <w:sz w:val="36"/>
          <w:szCs w:val="36"/>
          <w:highlight w:val="none"/>
        </w:rPr>
      </w:pPr>
      <w:r>
        <w:rPr>
          <w:rFonts w:hint="eastAsia" w:ascii="宋体" w:hAnsi="宋体" w:cs="宋体"/>
          <w:b/>
          <w:bCs/>
          <w:sz w:val="36"/>
          <w:szCs w:val="36"/>
          <w:highlight w:val="none"/>
        </w:rPr>
        <w:t>（正本/副本）</w:t>
      </w:r>
    </w:p>
    <w:p>
      <w:pPr>
        <w:pStyle w:val="20"/>
        <w:spacing w:line="700" w:lineRule="exact"/>
        <w:ind w:firstLine="1928" w:firstLineChars="600"/>
        <w:rPr>
          <w:rFonts w:hAnsi="宋体"/>
          <w:b/>
          <w:bCs/>
          <w:sz w:val="32"/>
          <w:szCs w:val="32"/>
          <w:highlight w:val="none"/>
          <w:u w:val="single"/>
        </w:rPr>
      </w:pPr>
      <w:r>
        <w:rPr>
          <w:rFonts w:hint="eastAsia" w:hAnsi="宋体"/>
          <w:b/>
          <w:bCs/>
          <w:sz w:val="32"/>
          <w:szCs w:val="32"/>
          <w:highlight w:val="none"/>
        </w:rPr>
        <w:t>项目编号：</w:t>
      </w:r>
      <w:r>
        <w:rPr>
          <w:rFonts w:hint="eastAsia" w:hAnsi="宋体"/>
          <w:b/>
          <w:bCs/>
          <w:sz w:val="32"/>
          <w:szCs w:val="32"/>
          <w:highlight w:val="none"/>
          <w:u w:val="single"/>
        </w:rPr>
        <w:t xml:space="preserve">                       </w:t>
      </w:r>
    </w:p>
    <w:p>
      <w:pPr>
        <w:pStyle w:val="20"/>
        <w:spacing w:line="700" w:lineRule="exact"/>
        <w:ind w:firstLine="1928" w:firstLineChars="600"/>
        <w:rPr>
          <w:rFonts w:hAnsi="宋体"/>
          <w:b/>
          <w:bCs/>
          <w:sz w:val="32"/>
          <w:szCs w:val="32"/>
          <w:highlight w:val="none"/>
          <w:u w:val="single"/>
        </w:rPr>
      </w:pPr>
      <w:r>
        <w:rPr>
          <w:rFonts w:hint="eastAsia" w:hAnsi="宋体"/>
          <w:b/>
          <w:bCs/>
          <w:sz w:val="32"/>
          <w:szCs w:val="32"/>
          <w:highlight w:val="none"/>
        </w:rPr>
        <w:t>项目名称：</w:t>
      </w:r>
      <w:r>
        <w:rPr>
          <w:rFonts w:hint="eastAsia" w:hAnsi="宋体"/>
          <w:b/>
          <w:bCs/>
          <w:sz w:val="32"/>
          <w:szCs w:val="32"/>
          <w:highlight w:val="none"/>
          <w:u w:val="single"/>
        </w:rPr>
        <w:t xml:space="preserve">                       </w:t>
      </w:r>
    </w:p>
    <w:p>
      <w:pPr>
        <w:pStyle w:val="20"/>
        <w:spacing w:line="700" w:lineRule="exact"/>
        <w:ind w:firstLine="1928" w:firstLineChars="600"/>
        <w:rPr>
          <w:rFonts w:hAnsi="宋体"/>
          <w:b/>
          <w:bCs/>
          <w:sz w:val="32"/>
          <w:szCs w:val="32"/>
          <w:highlight w:val="none"/>
          <w:u w:val="single"/>
        </w:rPr>
      </w:pPr>
      <w:r>
        <w:rPr>
          <w:rFonts w:hint="eastAsia" w:hAnsi="宋体"/>
          <w:b/>
          <w:bCs/>
          <w:sz w:val="32"/>
          <w:szCs w:val="32"/>
          <w:highlight w:val="none"/>
        </w:rPr>
        <w:t>合 同 包：</w:t>
      </w:r>
      <w:r>
        <w:rPr>
          <w:rFonts w:hint="eastAsia" w:hAnsi="宋体"/>
          <w:b/>
          <w:bCs/>
          <w:sz w:val="32"/>
          <w:szCs w:val="32"/>
          <w:highlight w:val="none"/>
          <w:u w:val="single"/>
        </w:rPr>
        <w:t xml:space="preserve">                       </w:t>
      </w:r>
    </w:p>
    <w:p>
      <w:pPr>
        <w:pStyle w:val="20"/>
        <w:spacing w:line="700" w:lineRule="exact"/>
        <w:ind w:firstLine="1928" w:firstLineChars="600"/>
        <w:rPr>
          <w:rFonts w:hAnsi="宋体"/>
          <w:b/>
          <w:bCs/>
          <w:sz w:val="32"/>
          <w:szCs w:val="32"/>
          <w:highlight w:val="none"/>
          <w:u w:val="single"/>
        </w:rPr>
      </w:pPr>
      <w:r>
        <w:rPr>
          <w:rFonts w:hint="eastAsia" w:hAnsi="宋体"/>
          <w:b/>
          <w:bCs/>
          <w:sz w:val="32"/>
          <w:szCs w:val="32"/>
          <w:highlight w:val="none"/>
        </w:rPr>
        <w:t>投标人名称：</w:t>
      </w:r>
      <w:r>
        <w:rPr>
          <w:rFonts w:hint="eastAsia" w:hAnsi="宋体"/>
          <w:b/>
          <w:bCs/>
          <w:sz w:val="32"/>
          <w:szCs w:val="32"/>
          <w:highlight w:val="none"/>
          <w:u w:val="single"/>
        </w:rPr>
        <w:t xml:space="preserve">                     </w:t>
      </w:r>
    </w:p>
    <w:p>
      <w:pPr>
        <w:pStyle w:val="20"/>
        <w:spacing w:line="700" w:lineRule="exact"/>
        <w:ind w:firstLine="1928" w:firstLineChars="600"/>
        <w:rPr>
          <w:rFonts w:hAnsi="宋体"/>
          <w:b/>
          <w:bCs/>
          <w:sz w:val="32"/>
          <w:szCs w:val="32"/>
          <w:highlight w:val="none"/>
          <w:u w:val="single"/>
        </w:rPr>
      </w:pPr>
      <w:r>
        <w:rPr>
          <w:rFonts w:hint="eastAsia" w:hAnsi="宋体"/>
          <w:b/>
          <w:bCs/>
          <w:sz w:val="32"/>
          <w:szCs w:val="32"/>
          <w:highlight w:val="none"/>
        </w:rPr>
        <w:t>地      址：</w:t>
      </w:r>
      <w:r>
        <w:rPr>
          <w:rFonts w:hint="eastAsia" w:hAnsi="宋体"/>
          <w:b/>
          <w:bCs/>
          <w:sz w:val="32"/>
          <w:szCs w:val="32"/>
          <w:highlight w:val="none"/>
          <w:u w:val="single"/>
        </w:rPr>
        <w:t xml:space="preserve">                     </w:t>
      </w:r>
    </w:p>
    <w:p>
      <w:pPr>
        <w:spacing w:line="500" w:lineRule="exact"/>
        <w:ind w:firstLine="1908" w:firstLineChars="594"/>
        <w:rPr>
          <w:rFonts w:ascii="宋体" w:hAnsi="宋体" w:cs="宋体"/>
          <w:b/>
          <w:bCs/>
          <w:sz w:val="32"/>
          <w:szCs w:val="32"/>
          <w:highlight w:val="none"/>
        </w:rPr>
      </w:pPr>
      <w:r>
        <w:rPr>
          <w:rFonts w:hint="eastAsia" w:ascii="宋体" w:hAnsi="宋体" w:cs="宋体"/>
          <w:b/>
          <w:bCs/>
          <w:sz w:val="32"/>
          <w:szCs w:val="32"/>
          <w:highlight w:val="none"/>
        </w:rPr>
        <w:t>邮编：</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电话：</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传真：</w:t>
      </w:r>
      <w:r>
        <w:rPr>
          <w:rFonts w:hint="eastAsia" w:ascii="宋体" w:hAnsi="宋体" w:cs="宋体"/>
          <w:b/>
          <w:bCs/>
          <w:sz w:val="32"/>
          <w:szCs w:val="32"/>
          <w:highlight w:val="none"/>
          <w:u w:val="single"/>
        </w:rPr>
        <w:t xml:space="preserve">     </w:t>
      </w:r>
    </w:p>
    <w:p>
      <w:pPr>
        <w:pStyle w:val="28"/>
        <w:rPr>
          <w:rFonts w:ascii="宋体" w:hAnsi="宋体" w:cs="宋体"/>
          <w:highlight w:val="none"/>
        </w:rPr>
      </w:pPr>
    </w:p>
    <w:p>
      <w:pPr>
        <w:spacing w:line="500" w:lineRule="exact"/>
        <w:ind w:firstLine="1928" w:firstLineChars="600"/>
        <w:rPr>
          <w:rFonts w:ascii="宋体" w:hAnsi="宋体" w:cs="宋体"/>
          <w:b/>
          <w:bCs/>
          <w:sz w:val="32"/>
          <w:szCs w:val="32"/>
          <w:highlight w:val="none"/>
        </w:rPr>
      </w:pPr>
      <w:r>
        <w:rPr>
          <w:rFonts w:hint="eastAsia" w:ascii="宋体" w:hAnsi="宋体" w:cs="宋体"/>
          <w:b/>
          <w:bCs/>
          <w:sz w:val="32"/>
          <w:szCs w:val="32"/>
          <w:highlight w:val="none"/>
        </w:rPr>
        <w:t>日      期：    年    月   日</w:t>
      </w:r>
    </w:p>
    <w:p>
      <w:pPr>
        <w:pStyle w:val="12"/>
        <w:snapToGrid w:val="0"/>
        <w:spacing w:line="420" w:lineRule="atLeast"/>
        <w:ind w:left="-2" w:leftChars="-1" w:firstLine="0"/>
        <w:jc w:val="center"/>
        <w:rPr>
          <w:rFonts w:ascii="宋体" w:hAnsi="宋体" w:cs="宋体"/>
          <w:b/>
          <w:bCs/>
          <w:sz w:val="32"/>
          <w:szCs w:val="32"/>
          <w:highlight w:val="none"/>
        </w:rPr>
      </w:pPr>
    </w:p>
    <w:p>
      <w:pPr>
        <w:pStyle w:val="12"/>
        <w:snapToGrid w:val="0"/>
        <w:spacing w:line="420" w:lineRule="atLeast"/>
        <w:ind w:left="-2" w:leftChars="-1" w:firstLine="0"/>
        <w:jc w:val="center"/>
        <w:rPr>
          <w:rFonts w:ascii="宋体" w:hAnsi="宋体" w:cs="宋体"/>
          <w:b/>
          <w:bCs/>
          <w:sz w:val="32"/>
          <w:szCs w:val="32"/>
          <w:highlight w:val="none"/>
        </w:rPr>
      </w:pPr>
    </w:p>
    <w:p>
      <w:pPr>
        <w:pStyle w:val="12"/>
        <w:snapToGrid w:val="0"/>
        <w:spacing w:line="420" w:lineRule="atLeast"/>
        <w:ind w:left="-2" w:leftChars="-1" w:firstLine="0"/>
        <w:jc w:val="center"/>
        <w:rPr>
          <w:rFonts w:ascii="宋体" w:hAnsi="宋体" w:cs="宋体"/>
          <w:b/>
          <w:bCs/>
          <w:sz w:val="32"/>
          <w:szCs w:val="32"/>
          <w:highlight w:val="none"/>
        </w:rPr>
      </w:pPr>
      <w:r>
        <w:rPr>
          <w:rFonts w:hint="eastAsia" w:ascii="宋体" w:hAnsi="宋体" w:cs="宋体"/>
          <w:b/>
          <w:bCs/>
          <w:sz w:val="32"/>
          <w:szCs w:val="32"/>
          <w:highlight w:val="none"/>
        </w:rPr>
        <w:t>报价部分格式</w:t>
      </w:r>
    </w:p>
    <w:p>
      <w:pPr>
        <w:pStyle w:val="12"/>
        <w:snapToGrid w:val="0"/>
        <w:spacing w:line="420" w:lineRule="atLeast"/>
        <w:ind w:left="-2" w:leftChars="-1" w:firstLine="0"/>
        <w:jc w:val="center"/>
        <w:rPr>
          <w:rFonts w:ascii="宋体" w:hAnsi="宋体" w:cs="宋体"/>
          <w:b/>
          <w:bCs/>
          <w:sz w:val="44"/>
          <w:szCs w:val="44"/>
          <w:highlight w:val="none"/>
        </w:rPr>
      </w:pPr>
    </w:p>
    <w:p>
      <w:pPr>
        <w:pStyle w:val="12"/>
        <w:snapToGrid w:val="0"/>
        <w:spacing w:line="420" w:lineRule="atLeast"/>
        <w:ind w:left="-2" w:leftChars="-1" w:firstLine="0"/>
        <w:jc w:val="center"/>
        <w:rPr>
          <w:rFonts w:ascii="宋体" w:hAnsi="宋体" w:cs="宋体"/>
          <w:highlight w:val="none"/>
        </w:rPr>
      </w:pPr>
      <w:r>
        <w:rPr>
          <w:rFonts w:hint="eastAsia" w:ascii="宋体" w:hAnsi="宋体" w:cs="宋体"/>
          <w:highlight w:val="none"/>
        </w:rPr>
        <w:t>目 录</w:t>
      </w:r>
    </w:p>
    <w:p>
      <w:pPr>
        <w:pStyle w:val="12"/>
        <w:snapToGrid w:val="0"/>
        <w:spacing w:line="420" w:lineRule="atLeast"/>
        <w:ind w:left="-2" w:leftChars="-1" w:firstLine="0"/>
        <w:jc w:val="center"/>
        <w:rPr>
          <w:rFonts w:ascii="宋体" w:hAnsi="宋体" w:cs="宋体"/>
          <w:highlight w:val="none"/>
        </w:rPr>
      </w:pPr>
    </w:p>
    <w:p>
      <w:pPr>
        <w:numPr>
          <w:ilvl w:val="0"/>
          <w:numId w:val="14"/>
        </w:numPr>
        <w:spacing w:line="480" w:lineRule="auto"/>
        <w:ind w:left="525" w:leftChars="250"/>
        <w:rPr>
          <w:rFonts w:ascii="宋体" w:hAnsi="宋体" w:cs="宋体"/>
          <w:b/>
          <w:bCs/>
          <w:highlight w:val="none"/>
        </w:rPr>
      </w:pPr>
      <w:r>
        <w:rPr>
          <w:rFonts w:hint="eastAsia" w:ascii="宋体" w:hAnsi="宋体" w:cs="宋体"/>
          <w:b/>
          <w:bCs/>
          <w:highlight w:val="none"/>
        </w:rPr>
        <w:t>开标一览表(附件10)</w:t>
      </w:r>
      <w:r>
        <w:rPr>
          <w:rFonts w:hint="eastAsia" w:ascii="宋体" w:hAnsi="宋体" w:cs="宋体"/>
          <w:highlight w:val="none"/>
        </w:rPr>
        <w:t xml:space="preserve">  ……………………………………………………………页码 </w:t>
      </w:r>
    </w:p>
    <w:p>
      <w:pPr>
        <w:numPr>
          <w:ilvl w:val="0"/>
          <w:numId w:val="14"/>
        </w:numPr>
        <w:spacing w:line="480" w:lineRule="auto"/>
        <w:ind w:left="525" w:leftChars="250"/>
        <w:rPr>
          <w:rFonts w:ascii="宋体" w:hAnsi="宋体" w:cs="宋体"/>
          <w:b/>
          <w:bCs/>
          <w:highlight w:val="none"/>
        </w:rPr>
      </w:pPr>
      <w:r>
        <w:rPr>
          <w:rFonts w:hint="eastAsia" w:ascii="宋体" w:hAnsi="宋体" w:cs="宋体"/>
          <w:b/>
          <w:bCs/>
          <w:highlight w:val="none"/>
        </w:rPr>
        <w:t>分项报价表(附件11)</w:t>
      </w:r>
      <w:r>
        <w:rPr>
          <w:rFonts w:hint="eastAsia" w:ascii="宋体" w:hAnsi="宋体" w:cs="宋体"/>
          <w:highlight w:val="none"/>
        </w:rPr>
        <w:t xml:space="preserve">  ……………………………………………………………页码 </w:t>
      </w:r>
    </w:p>
    <w:p>
      <w:pPr>
        <w:pStyle w:val="43"/>
        <w:rPr>
          <w:highlight w:val="none"/>
        </w:rPr>
      </w:pPr>
    </w:p>
    <w:p>
      <w:pPr>
        <w:pStyle w:val="95"/>
        <w:ind w:firstLine="620" w:firstLineChars="294"/>
        <w:rPr>
          <w:rFonts w:hAnsi="宋体"/>
          <w:b/>
          <w:bCs/>
          <w:sz w:val="21"/>
          <w:szCs w:val="21"/>
          <w:highlight w:val="none"/>
        </w:rPr>
      </w:pPr>
      <w:r>
        <w:rPr>
          <w:rFonts w:hint="eastAsia" w:hAnsi="宋体"/>
          <w:b/>
          <w:bCs/>
          <w:sz w:val="21"/>
          <w:szCs w:val="21"/>
          <w:highlight w:val="none"/>
        </w:rPr>
        <w:t xml:space="preserve"> 注:目录应标注页码</w:t>
      </w:r>
    </w:p>
    <w:p>
      <w:pPr>
        <w:pStyle w:val="95"/>
        <w:jc w:val="left"/>
        <w:rPr>
          <w:rFonts w:hAnsi="宋体"/>
          <w:b/>
          <w:bCs/>
          <w:sz w:val="36"/>
          <w:szCs w:val="36"/>
          <w:highlight w:val="none"/>
        </w:rPr>
        <w:sectPr>
          <w:headerReference r:id="rId9" w:type="default"/>
          <w:footerReference r:id="rId10" w:type="default"/>
          <w:pgSz w:w="11907" w:h="16840"/>
          <w:pgMar w:top="1361" w:right="1469" w:bottom="1440" w:left="1440" w:header="851" w:footer="992" w:gutter="0"/>
          <w:cols w:space="720" w:num="1"/>
          <w:titlePg/>
          <w:docGrid w:linePitch="323" w:charSpace="-2"/>
        </w:sectPr>
      </w:pPr>
    </w:p>
    <w:p>
      <w:pPr>
        <w:pStyle w:val="95"/>
        <w:jc w:val="left"/>
        <w:rPr>
          <w:rFonts w:hAnsi="宋体"/>
          <w:sz w:val="21"/>
          <w:szCs w:val="21"/>
          <w:highlight w:val="none"/>
        </w:rPr>
      </w:pPr>
      <w:r>
        <w:rPr>
          <w:rFonts w:hint="eastAsia" w:hAnsi="宋体"/>
          <w:sz w:val="21"/>
          <w:szCs w:val="21"/>
          <w:highlight w:val="none"/>
        </w:rPr>
        <w:t>附件10、</w:t>
      </w:r>
    </w:p>
    <w:p>
      <w:pPr>
        <w:pStyle w:val="95"/>
        <w:jc w:val="center"/>
        <w:rPr>
          <w:rFonts w:hAnsi="宋体"/>
          <w:b/>
          <w:bCs/>
          <w:sz w:val="21"/>
          <w:szCs w:val="21"/>
          <w:highlight w:val="none"/>
        </w:rPr>
      </w:pPr>
      <w:r>
        <w:rPr>
          <w:rFonts w:hint="eastAsia" w:hAnsi="宋体"/>
          <w:b/>
          <w:bCs/>
          <w:sz w:val="32"/>
          <w:szCs w:val="32"/>
          <w:highlight w:val="none"/>
        </w:rPr>
        <w:t>开标一览表</w:t>
      </w:r>
    </w:p>
    <w:p>
      <w:pPr>
        <w:pStyle w:val="95"/>
        <w:jc w:val="center"/>
        <w:rPr>
          <w:rFonts w:hAnsi="宋体"/>
          <w:highlight w:val="none"/>
        </w:rPr>
      </w:pPr>
      <w:r>
        <w:rPr>
          <w:rFonts w:hint="eastAsia" w:hAnsi="宋体"/>
          <w:sz w:val="21"/>
          <w:szCs w:val="21"/>
          <w:highlight w:val="none"/>
        </w:rPr>
        <w:t xml:space="preserve"> </w:t>
      </w:r>
    </w:p>
    <w:tbl>
      <w:tblPr>
        <w:tblStyle w:val="32"/>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0" w:type="dxa"/>
            <w:vAlign w:val="center"/>
          </w:tcPr>
          <w:p>
            <w:pPr>
              <w:widowControl/>
              <w:jc w:val="center"/>
              <w:rPr>
                <w:rFonts w:ascii="宋体" w:hAnsi="宋体" w:cs="宋体"/>
                <w:b/>
                <w:color w:val="000000"/>
                <w:kern w:val="0"/>
                <w:sz w:val="31"/>
                <w:szCs w:val="31"/>
                <w:highlight w:val="none"/>
                <w:lang w:bidi="ar"/>
              </w:rPr>
            </w:pPr>
          </w:p>
          <w:p>
            <w:pPr>
              <w:pStyle w:val="95"/>
              <w:jc w:val="left"/>
              <w:rPr>
                <w:rFonts w:hAnsi="宋体"/>
                <w:b/>
                <w:bCs/>
                <w:sz w:val="32"/>
                <w:szCs w:val="32"/>
                <w:highlight w:val="none"/>
              </w:rPr>
            </w:pPr>
            <w:r>
              <w:rPr>
                <w:rFonts w:hint="eastAsia" w:hAnsi="宋体"/>
                <w:b/>
                <w:bCs/>
                <w:sz w:val="32"/>
                <w:szCs w:val="32"/>
                <w:highlight w:val="none"/>
              </w:rPr>
              <w:t>开标一览表：开标一览表需从网上系统报价后打印出来由投标代表签字并加盖公章，无需再自行编写。打印出来的一览表与系统上不一致时，以系统上的报价为准。</w:t>
            </w:r>
          </w:p>
          <w:p>
            <w:pPr>
              <w:pStyle w:val="26"/>
              <w:jc w:val="center"/>
              <w:rPr>
                <w:color w:val="FF0000"/>
                <w:highlight w:val="none"/>
              </w:rPr>
            </w:pPr>
          </w:p>
        </w:tc>
      </w:tr>
    </w:tbl>
    <w:p>
      <w:pPr>
        <w:pStyle w:val="95"/>
        <w:jc w:val="left"/>
        <w:rPr>
          <w:rFonts w:hAnsi="宋体"/>
          <w:sz w:val="21"/>
          <w:szCs w:val="21"/>
          <w:highlight w:val="none"/>
        </w:rPr>
      </w:pPr>
    </w:p>
    <w:p>
      <w:pPr>
        <w:spacing w:line="380" w:lineRule="exact"/>
        <w:ind w:firstLine="3360" w:firstLineChars="1400"/>
        <w:rPr>
          <w:rFonts w:ascii="宋体"/>
          <w:sz w:val="24"/>
          <w:szCs w:val="24"/>
          <w:highlight w:val="none"/>
          <w:u w:val="single"/>
        </w:rPr>
      </w:pPr>
      <w:r>
        <w:rPr>
          <w:rFonts w:hint="eastAsia" w:ascii="宋体" w:hAnsi="宋体" w:cs="宋体"/>
          <w:sz w:val="24"/>
          <w:szCs w:val="24"/>
          <w:highlight w:val="none"/>
        </w:rPr>
        <w:t>投标人（全称并加盖公章）：</w:t>
      </w:r>
      <w:r>
        <w:rPr>
          <w:rFonts w:ascii="宋体" w:hAnsi="宋体" w:cs="宋体"/>
          <w:sz w:val="24"/>
          <w:szCs w:val="24"/>
          <w:highlight w:val="none"/>
        </w:rPr>
        <w:t xml:space="preserve"> </w:t>
      </w:r>
      <w:r>
        <w:rPr>
          <w:rFonts w:ascii="宋体" w:hAnsi="宋体" w:cs="宋体"/>
          <w:sz w:val="24"/>
          <w:szCs w:val="24"/>
          <w:highlight w:val="none"/>
          <w:u w:val="single"/>
        </w:rPr>
        <w:t xml:space="preserve">                            </w:t>
      </w:r>
    </w:p>
    <w:p>
      <w:pPr>
        <w:spacing w:line="380" w:lineRule="exact"/>
        <w:rPr>
          <w:rFonts w:ascii="宋体"/>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投标人代表签字：</w:t>
      </w:r>
      <w:r>
        <w:rPr>
          <w:rFonts w:ascii="宋体" w:hAnsi="宋体" w:cs="宋体"/>
          <w:sz w:val="24"/>
          <w:szCs w:val="24"/>
          <w:highlight w:val="none"/>
          <w:u w:val="single"/>
        </w:rPr>
        <w:t xml:space="preserve">                                      </w:t>
      </w:r>
    </w:p>
    <w:p>
      <w:pPr>
        <w:spacing w:line="380" w:lineRule="exact"/>
        <w:ind w:firstLine="3360" w:firstLineChars="1400"/>
        <w:rPr>
          <w:rFonts w:ascii="宋体"/>
          <w:sz w:val="24"/>
          <w:szCs w:val="24"/>
          <w:highlight w:val="none"/>
          <w:u w:val="single"/>
        </w:rPr>
      </w:pPr>
      <w:r>
        <w:rPr>
          <w:rFonts w:hint="eastAsia" w:ascii="宋体" w:hAnsi="宋体" w:cs="宋体"/>
          <w:sz w:val="24"/>
          <w:szCs w:val="24"/>
          <w:highlight w:val="none"/>
        </w:rPr>
        <w:t>邮</w:t>
      </w:r>
      <w:r>
        <w:rPr>
          <w:rFonts w:ascii="宋体" w:hAnsi="宋体" w:cs="宋体"/>
          <w:sz w:val="24"/>
          <w:szCs w:val="24"/>
          <w:highlight w:val="none"/>
        </w:rPr>
        <w:t xml:space="preserve"> </w:t>
      </w:r>
      <w:r>
        <w:rPr>
          <w:rFonts w:hint="eastAsia" w:ascii="宋体" w:hAnsi="宋体" w:cs="宋体"/>
          <w:sz w:val="24"/>
          <w:szCs w:val="24"/>
          <w:highlight w:val="none"/>
        </w:rPr>
        <w:t>编：</w:t>
      </w:r>
      <w:r>
        <w:rPr>
          <w:rFonts w:ascii="宋体" w:hAnsi="宋体" w:cs="宋体"/>
          <w:sz w:val="24"/>
          <w:szCs w:val="24"/>
          <w:highlight w:val="none"/>
          <w:u w:val="single"/>
        </w:rPr>
        <w:t xml:space="preserve">                        </w:t>
      </w:r>
      <w:r>
        <w:rPr>
          <w:rFonts w:hint="eastAsia" w:ascii="宋体" w:hAnsi="宋体" w:cs="宋体"/>
          <w:sz w:val="24"/>
          <w:szCs w:val="24"/>
          <w:highlight w:val="none"/>
        </w:rPr>
        <w:t>电</w:t>
      </w:r>
      <w:r>
        <w:rPr>
          <w:rFonts w:ascii="宋体" w:hAnsi="宋体" w:cs="宋体"/>
          <w:sz w:val="24"/>
          <w:szCs w:val="24"/>
          <w:highlight w:val="none"/>
        </w:rPr>
        <w:t xml:space="preserve"> </w:t>
      </w:r>
      <w:r>
        <w:rPr>
          <w:rFonts w:hint="eastAsia" w:ascii="宋体" w:hAnsi="宋体" w:cs="宋体"/>
          <w:sz w:val="24"/>
          <w:szCs w:val="24"/>
          <w:highlight w:val="none"/>
        </w:rPr>
        <w:t>话：</w:t>
      </w:r>
      <w:r>
        <w:rPr>
          <w:rFonts w:ascii="宋体" w:hAnsi="宋体" w:cs="宋体"/>
          <w:sz w:val="24"/>
          <w:szCs w:val="24"/>
          <w:highlight w:val="none"/>
          <w:u w:val="single"/>
        </w:rPr>
        <w:t xml:space="preserve">                </w:t>
      </w:r>
    </w:p>
    <w:p>
      <w:pPr>
        <w:pStyle w:val="95"/>
        <w:jc w:val="left"/>
        <w:rPr>
          <w:rFonts w:hAnsi="宋体"/>
          <w:sz w:val="24"/>
          <w:szCs w:val="24"/>
          <w:highlight w:val="none"/>
          <w:u w:val="single"/>
        </w:rPr>
      </w:pPr>
      <w:r>
        <w:rPr>
          <w:rFonts w:hAnsi="宋体"/>
          <w:sz w:val="24"/>
          <w:szCs w:val="24"/>
          <w:highlight w:val="none"/>
        </w:rPr>
        <w:t xml:space="preserve">                            </w:t>
      </w:r>
      <w:r>
        <w:rPr>
          <w:rFonts w:hint="eastAsia" w:hAnsi="宋体"/>
          <w:sz w:val="24"/>
          <w:szCs w:val="24"/>
          <w:highlight w:val="none"/>
        </w:rPr>
        <w:t>传</w:t>
      </w:r>
      <w:r>
        <w:rPr>
          <w:rFonts w:hAnsi="宋体"/>
          <w:sz w:val="24"/>
          <w:szCs w:val="24"/>
          <w:highlight w:val="none"/>
        </w:rPr>
        <w:t xml:space="preserve"> </w:t>
      </w:r>
      <w:r>
        <w:rPr>
          <w:rFonts w:hint="eastAsia" w:hAnsi="宋体"/>
          <w:sz w:val="24"/>
          <w:szCs w:val="24"/>
          <w:highlight w:val="none"/>
        </w:rPr>
        <w:t>真：</w:t>
      </w:r>
      <w:r>
        <w:rPr>
          <w:rFonts w:hAnsi="宋体"/>
          <w:sz w:val="24"/>
          <w:szCs w:val="24"/>
          <w:highlight w:val="none"/>
          <w:u w:val="single"/>
        </w:rPr>
        <w:t xml:space="preserve">                        </w:t>
      </w:r>
      <w:r>
        <w:rPr>
          <w:rFonts w:hint="eastAsia" w:hAnsi="宋体"/>
          <w:sz w:val="24"/>
          <w:szCs w:val="24"/>
          <w:highlight w:val="none"/>
        </w:rPr>
        <w:t>日</w:t>
      </w:r>
      <w:r>
        <w:rPr>
          <w:rFonts w:hAnsi="宋体"/>
          <w:sz w:val="24"/>
          <w:szCs w:val="24"/>
          <w:highlight w:val="none"/>
        </w:rPr>
        <w:t xml:space="preserve"> </w:t>
      </w:r>
      <w:r>
        <w:rPr>
          <w:rFonts w:hint="eastAsia" w:hAnsi="宋体"/>
          <w:sz w:val="24"/>
          <w:szCs w:val="24"/>
          <w:highlight w:val="none"/>
        </w:rPr>
        <w:t>期：</w:t>
      </w:r>
      <w:r>
        <w:rPr>
          <w:rFonts w:hAnsi="宋体"/>
          <w:sz w:val="24"/>
          <w:szCs w:val="24"/>
          <w:highlight w:val="none"/>
        </w:rPr>
        <w:t xml:space="preserve"> </w:t>
      </w:r>
      <w:r>
        <w:rPr>
          <w:rFonts w:hAnsi="宋体"/>
          <w:sz w:val="24"/>
          <w:szCs w:val="24"/>
          <w:highlight w:val="none"/>
          <w:u w:val="single"/>
        </w:rPr>
        <w:t xml:space="preserve">        </w:t>
      </w:r>
    </w:p>
    <w:p>
      <w:pPr>
        <w:pStyle w:val="95"/>
        <w:jc w:val="left"/>
        <w:rPr>
          <w:rFonts w:hAnsi="宋体"/>
          <w:sz w:val="21"/>
          <w:szCs w:val="21"/>
          <w:highlight w:val="none"/>
        </w:rPr>
      </w:pPr>
    </w:p>
    <w:p>
      <w:pPr>
        <w:pStyle w:val="95"/>
        <w:jc w:val="left"/>
        <w:rPr>
          <w:rFonts w:hAnsi="宋体"/>
          <w:sz w:val="21"/>
          <w:szCs w:val="21"/>
          <w:highlight w:val="none"/>
        </w:rPr>
      </w:pPr>
    </w:p>
    <w:p>
      <w:pPr>
        <w:pStyle w:val="95"/>
        <w:jc w:val="left"/>
        <w:rPr>
          <w:rFonts w:hAnsi="宋体"/>
          <w:sz w:val="24"/>
          <w:szCs w:val="24"/>
          <w:highlight w:val="none"/>
          <w:u w:val="single"/>
        </w:rPr>
      </w:pPr>
    </w:p>
    <w:p>
      <w:pPr>
        <w:pStyle w:val="95"/>
        <w:jc w:val="left"/>
        <w:rPr>
          <w:rFonts w:hAnsi="宋体"/>
          <w:sz w:val="24"/>
          <w:szCs w:val="24"/>
          <w:highlight w:val="none"/>
          <w:u w:val="single"/>
        </w:rPr>
      </w:pPr>
    </w:p>
    <w:p>
      <w:pPr>
        <w:pStyle w:val="95"/>
        <w:jc w:val="left"/>
        <w:rPr>
          <w:rFonts w:hAnsi="宋体"/>
          <w:sz w:val="24"/>
          <w:szCs w:val="24"/>
          <w:highlight w:val="none"/>
          <w:u w:val="single"/>
        </w:rPr>
      </w:pPr>
    </w:p>
    <w:p>
      <w:pPr>
        <w:pStyle w:val="95"/>
        <w:jc w:val="left"/>
        <w:rPr>
          <w:rFonts w:hAnsi="宋体" w:cs="Times New Roman"/>
          <w:sz w:val="21"/>
          <w:szCs w:val="21"/>
          <w:highlight w:val="none"/>
        </w:rPr>
      </w:pPr>
      <w:r>
        <w:rPr>
          <w:rFonts w:hint="eastAsia" w:hAnsi="宋体"/>
          <w:sz w:val="21"/>
          <w:szCs w:val="21"/>
          <w:highlight w:val="none"/>
        </w:rPr>
        <w:t>附件12、</w:t>
      </w:r>
    </w:p>
    <w:p>
      <w:pPr>
        <w:widowControl/>
        <w:spacing w:line="500" w:lineRule="exact"/>
        <w:ind w:firstLine="723" w:firstLineChars="200"/>
        <w:jc w:val="center"/>
        <w:rPr>
          <w:rFonts w:ascii="宋体" w:hAnsi="宋体" w:cs="宋体"/>
          <w:b/>
          <w:sz w:val="36"/>
          <w:highlight w:val="none"/>
        </w:rPr>
      </w:pPr>
    </w:p>
    <w:p>
      <w:pPr>
        <w:pStyle w:val="95"/>
        <w:jc w:val="center"/>
        <w:rPr>
          <w:rFonts w:hAnsi="宋体"/>
          <w:b/>
          <w:bCs/>
          <w:sz w:val="32"/>
          <w:szCs w:val="32"/>
          <w:highlight w:val="none"/>
        </w:rPr>
      </w:pPr>
      <w:r>
        <w:rPr>
          <w:rFonts w:hint="eastAsia" w:hAnsi="宋体"/>
          <w:b/>
          <w:bCs/>
          <w:sz w:val="32"/>
          <w:szCs w:val="32"/>
          <w:highlight w:val="none"/>
        </w:rPr>
        <w:t>分项报价表</w:t>
      </w:r>
    </w:p>
    <w:p>
      <w:pPr>
        <w:pStyle w:val="95"/>
        <w:jc w:val="center"/>
        <w:rPr>
          <w:rFonts w:hAnsi="宋体"/>
          <w:b/>
          <w:bCs/>
          <w:sz w:val="32"/>
          <w:szCs w:val="32"/>
          <w:highlight w:val="none"/>
        </w:rPr>
      </w:pPr>
    </w:p>
    <w:tbl>
      <w:tblPr>
        <w:tblStyle w:val="32"/>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0" w:type="dxa"/>
            <w:vAlign w:val="center"/>
          </w:tcPr>
          <w:p>
            <w:pPr>
              <w:pStyle w:val="95"/>
              <w:jc w:val="center"/>
              <w:rPr>
                <w:rFonts w:hAnsi="宋体"/>
                <w:b/>
                <w:bCs/>
                <w:sz w:val="32"/>
                <w:szCs w:val="32"/>
                <w:highlight w:val="none"/>
              </w:rPr>
            </w:pPr>
          </w:p>
          <w:p>
            <w:pPr>
              <w:pStyle w:val="95"/>
              <w:jc w:val="left"/>
              <w:rPr>
                <w:rFonts w:hAnsi="宋体"/>
                <w:b/>
                <w:bCs/>
                <w:sz w:val="32"/>
                <w:szCs w:val="32"/>
                <w:highlight w:val="none"/>
              </w:rPr>
            </w:pPr>
            <w:r>
              <w:rPr>
                <w:rFonts w:hint="eastAsia" w:hAnsi="宋体"/>
                <w:b/>
                <w:bCs/>
                <w:sz w:val="32"/>
                <w:szCs w:val="32"/>
                <w:highlight w:val="none"/>
              </w:rPr>
              <w:t>分项报价表：投标人根据本项目要求自拟（至少需包含货物名称、</w:t>
            </w:r>
            <w:r>
              <w:rPr>
                <w:rFonts w:hint="eastAsia" w:hAnsi="宋体"/>
                <w:b/>
                <w:bCs/>
                <w:sz w:val="32"/>
                <w:szCs w:val="32"/>
                <w:highlight w:val="none"/>
                <w:lang w:val="en-US" w:eastAsia="zh-CN"/>
              </w:rPr>
              <w:t>数量、</w:t>
            </w:r>
            <w:r>
              <w:rPr>
                <w:rFonts w:hint="eastAsia" w:hAnsi="宋体"/>
                <w:b/>
                <w:bCs/>
                <w:sz w:val="32"/>
                <w:szCs w:val="32"/>
                <w:highlight w:val="none"/>
              </w:rPr>
              <w:t>品牌、分项报价</w:t>
            </w:r>
            <w:r>
              <w:rPr>
                <w:rFonts w:hint="eastAsia" w:hAnsi="宋体"/>
                <w:b/>
                <w:bCs/>
                <w:sz w:val="32"/>
                <w:szCs w:val="32"/>
                <w:highlight w:val="none"/>
                <w:lang w:val="en-US" w:eastAsia="zh-CN"/>
              </w:rPr>
              <w:t>等</w:t>
            </w:r>
            <w:r>
              <w:rPr>
                <w:rFonts w:hint="eastAsia" w:hAnsi="宋体"/>
                <w:b/>
                <w:bCs/>
                <w:sz w:val="32"/>
                <w:szCs w:val="32"/>
                <w:highlight w:val="none"/>
              </w:rPr>
              <w:t>），分项报价总和需等于开标一览表报价。</w:t>
            </w:r>
          </w:p>
          <w:p>
            <w:pPr>
              <w:pStyle w:val="95"/>
              <w:jc w:val="center"/>
              <w:rPr>
                <w:rFonts w:hAnsi="宋体"/>
                <w:b/>
                <w:bCs/>
                <w:sz w:val="32"/>
                <w:szCs w:val="32"/>
                <w:highlight w:val="none"/>
              </w:rPr>
            </w:pPr>
          </w:p>
        </w:tc>
      </w:tr>
    </w:tbl>
    <w:p>
      <w:pPr>
        <w:pStyle w:val="95"/>
        <w:jc w:val="left"/>
        <w:rPr>
          <w:rFonts w:hAnsi="宋体"/>
          <w:sz w:val="24"/>
          <w:szCs w:val="24"/>
          <w:highlight w:val="none"/>
          <w:u w:val="single"/>
        </w:rPr>
      </w:pPr>
    </w:p>
    <w:p>
      <w:pPr>
        <w:pStyle w:val="95"/>
        <w:jc w:val="left"/>
        <w:rPr>
          <w:rFonts w:hAnsi="宋体"/>
          <w:sz w:val="21"/>
          <w:szCs w:val="21"/>
          <w:highlight w:val="none"/>
        </w:rPr>
      </w:pPr>
    </w:p>
    <w:p>
      <w:pPr>
        <w:pStyle w:val="95"/>
        <w:jc w:val="left"/>
        <w:rPr>
          <w:rFonts w:hAnsi="宋体"/>
          <w:sz w:val="21"/>
          <w:szCs w:val="21"/>
          <w:highlight w:val="none"/>
        </w:rPr>
      </w:pPr>
    </w:p>
    <w:p>
      <w:pPr>
        <w:pStyle w:val="95"/>
        <w:jc w:val="left"/>
        <w:rPr>
          <w:rFonts w:hAnsi="宋体"/>
          <w:sz w:val="21"/>
          <w:szCs w:val="21"/>
          <w:highlight w:val="none"/>
        </w:rPr>
      </w:pPr>
    </w:p>
    <w:p>
      <w:pPr>
        <w:pStyle w:val="95"/>
        <w:jc w:val="left"/>
        <w:rPr>
          <w:rFonts w:hAnsi="宋体"/>
          <w:sz w:val="21"/>
          <w:szCs w:val="21"/>
          <w:highlight w:val="none"/>
        </w:rPr>
      </w:pPr>
    </w:p>
    <w:p>
      <w:pPr>
        <w:spacing w:line="380" w:lineRule="exact"/>
        <w:ind w:firstLine="3360" w:firstLineChars="1400"/>
        <w:rPr>
          <w:rFonts w:ascii="宋体"/>
          <w:sz w:val="24"/>
          <w:szCs w:val="24"/>
          <w:highlight w:val="none"/>
          <w:u w:val="single"/>
        </w:rPr>
      </w:pPr>
      <w:r>
        <w:rPr>
          <w:rFonts w:hint="eastAsia" w:ascii="宋体" w:hAnsi="宋体" w:cs="宋体"/>
          <w:sz w:val="24"/>
          <w:szCs w:val="24"/>
          <w:highlight w:val="none"/>
        </w:rPr>
        <w:t>投标人（全称并加盖公章）：</w:t>
      </w:r>
      <w:r>
        <w:rPr>
          <w:rFonts w:ascii="宋体" w:hAnsi="宋体" w:cs="宋体"/>
          <w:sz w:val="24"/>
          <w:szCs w:val="24"/>
          <w:highlight w:val="none"/>
        </w:rPr>
        <w:t xml:space="preserve"> </w:t>
      </w:r>
      <w:r>
        <w:rPr>
          <w:rFonts w:ascii="宋体" w:hAnsi="宋体" w:cs="宋体"/>
          <w:sz w:val="24"/>
          <w:szCs w:val="24"/>
          <w:highlight w:val="none"/>
          <w:u w:val="single"/>
        </w:rPr>
        <w:t xml:space="preserve">                            </w:t>
      </w:r>
    </w:p>
    <w:p>
      <w:pPr>
        <w:spacing w:line="380" w:lineRule="exact"/>
        <w:rPr>
          <w:rFonts w:ascii="宋体"/>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投标人代表签字：</w:t>
      </w:r>
      <w:r>
        <w:rPr>
          <w:rFonts w:ascii="宋体" w:hAnsi="宋体" w:cs="宋体"/>
          <w:sz w:val="24"/>
          <w:szCs w:val="24"/>
          <w:highlight w:val="none"/>
          <w:u w:val="single"/>
        </w:rPr>
        <w:t xml:space="preserve">                                      </w:t>
      </w:r>
    </w:p>
    <w:p>
      <w:pPr>
        <w:spacing w:line="380" w:lineRule="exact"/>
        <w:ind w:firstLine="3360" w:firstLineChars="1400"/>
        <w:rPr>
          <w:rFonts w:ascii="宋体"/>
          <w:sz w:val="24"/>
          <w:szCs w:val="24"/>
          <w:highlight w:val="none"/>
          <w:u w:val="single"/>
        </w:rPr>
      </w:pPr>
      <w:r>
        <w:rPr>
          <w:rFonts w:hint="eastAsia" w:ascii="宋体" w:hAnsi="宋体" w:cs="宋体"/>
          <w:sz w:val="24"/>
          <w:szCs w:val="24"/>
          <w:highlight w:val="none"/>
        </w:rPr>
        <w:t>邮</w:t>
      </w:r>
      <w:r>
        <w:rPr>
          <w:rFonts w:ascii="宋体" w:hAnsi="宋体" w:cs="宋体"/>
          <w:sz w:val="24"/>
          <w:szCs w:val="24"/>
          <w:highlight w:val="none"/>
        </w:rPr>
        <w:t xml:space="preserve"> </w:t>
      </w:r>
      <w:r>
        <w:rPr>
          <w:rFonts w:hint="eastAsia" w:ascii="宋体" w:hAnsi="宋体" w:cs="宋体"/>
          <w:sz w:val="24"/>
          <w:szCs w:val="24"/>
          <w:highlight w:val="none"/>
        </w:rPr>
        <w:t>编：</w:t>
      </w:r>
      <w:r>
        <w:rPr>
          <w:rFonts w:ascii="宋体" w:hAnsi="宋体" w:cs="宋体"/>
          <w:sz w:val="24"/>
          <w:szCs w:val="24"/>
          <w:highlight w:val="none"/>
          <w:u w:val="single"/>
        </w:rPr>
        <w:t xml:space="preserve">                        </w:t>
      </w:r>
      <w:r>
        <w:rPr>
          <w:rFonts w:hint="eastAsia" w:ascii="宋体" w:hAnsi="宋体" w:cs="宋体"/>
          <w:sz w:val="24"/>
          <w:szCs w:val="24"/>
          <w:highlight w:val="none"/>
        </w:rPr>
        <w:t>电</w:t>
      </w:r>
      <w:r>
        <w:rPr>
          <w:rFonts w:ascii="宋体" w:hAnsi="宋体" w:cs="宋体"/>
          <w:sz w:val="24"/>
          <w:szCs w:val="24"/>
          <w:highlight w:val="none"/>
        </w:rPr>
        <w:t xml:space="preserve"> </w:t>
      </w:r>
      <w:r>
        <w:rPr>
          <w:rFonts w:hint="eastAsia" w:ascii="宋体" w:hAnsi="宋体" w:cs="宋体"/>
          <w:sz w:val="24"/>
          <w:szCs w:val="24"/>
          <w:highlight w:val="none"/>
        </w:rPr>
        <w:t>话：</w:t>
      </w:r>
      <w:r>
        <w:rPr>
          <w:rFonts w:ascii="宋体" w:hAnsi="宋体" w:cs="宋体"/>
          <w:sz w:val="24"/>
          <w:szCs w:val="24"/>
          <w:highlight w:val="none"/>
          <w:u w:val="single"/>
        </w:rPr>
        <w:t xml:space="preserve">                </w:t>
      </w:r>
    </w:p>
    <w:p>
      <w:pPr>
        <w:pStyle w:val="95"/>
        <w:jc w:val="left"/>
        <w:rPr>
          <w:rFonts w:hAnsi="宋体"/>
          <w:sz w:val="24"/>
          <w:szCs w:val="24"/>
          <w:highlight w:val="none"/>
          <w:u w:val="single"/>
        </w:rPr>
      </w:pPr>
      <w:r>
        <w:rPr>
          <w:rFonts w:hAnsi="宋体"/>
          <w:sz w:val="24"/>
          <w:szCs w:val="24"/>
          <w:highlight w:val="none"/>
        </w:rPr>
        <w:t xml:space="preserve">                            </w:t>
      </w:r>
      <w:r>
        <w:rPr>
          <w:rFonts w:hint="eastAsia" w:hAnsi="宋体"/>
          <w:sz w:val="24"/>
          <w:szCs w:val="24"/>
          <w:highlight w:val="none"/>
        </w:rPr>
        <w:t>传</w:t>
      </w:r>
      <w:r>
        <w:rPr>
          <w:rFonts w:hAnsi="宋体"/>
          <w:sz w:val="24"/>
          <w:szCs w:val="24"/>
          <w:highlight w:val="none"/>
        </w:rPr>
        <w:t xml:space="preserve"> </w:t>
      </w:r>
      <w:r>
        <w:rPr>
          <w:rFonts w:hint="eastAsia" w:hAnsi="宋体"/>
          <w:sz w:val="24"/>
          <w:szCs w:val="24"/>
          <w:highlight w:val="none"/>
        </w:rPr>
        <w:t>真：</w:t>
      </w:r>
      <w:r>
        <w:rPr>
          <w:rFonts w:hAnsi="宋体"/>
          <w:sz w:val="24"/>
          <w:szCs w:val="24"/>
          <w:highlight w:val="none"/>
          <w:u w:val="single"/>
        </w:rPr>
        <w:t xml:space="preserve">                        </w:t>
      </w:r>
      <w:r>
        <w:rPr>
          <w:rFonts w:hint="eastAsia" w:hAnsi="宋体"/>
          <w:sz w:val="24"/>
          <w:szCs w:val="24"/>
          <w:highlight w:val="none"/>
        </w:rPr>
        <w:t>日</w:t>
      </w:r>
      <w:r>
        <w:rPr>
          <w:rFonts w:hAnsi="宋体"/>
          <w:sz w:val="24"/>
          <w:szCs w:val="24"/>
          <w:highlight w:val="none"/>
        </w:rPr>
        <w:t xml:space="preserve"> </w:t>
      </w:r>
      <w:r>
        <w:rPr>
          <w:rFonts w:hint="eastAsia" w:hAnsi="宋体"/>
          <w:sz w:val="24"/>
          <w:szCs w:val="24"/>
          <w:highlight w:val="none"/>
        </w:rPr>
        <w:t>期：</w:t>
      </w:r>
      <w:r>
        <w:rPr>
          <w:rFonts w:hAnsi="宋体"/>
          <w:sz w:val="24"/>
          <w:szCs w:val="24"/>
          <w:highlight w:val="none"/>
        </w:rPr>
        <w:t xml:space="preserve"> </w:t>
      </w:r>
      <w:r>
        <w:rPr>
          <w:rFonts w:hAnsi="宋体"/>
          <w:sz w:val="24"/>
          <w:szCs w:val="24"/>
          <w:highlight w:val="none"/>
          <w:u w:val="single"/>
        </w:rPr>
        <w:t xml:space="preserve">        </w:t>
      </w:r>
    </w:p>
    <w:p>
      <w:pPr>
        <w:pStyle w:val="95"/>
        <w:jc w:val="left"/>
        <w:rPr>
          <w:rFonts w:hAnsi="宋体"/>
          <w:sz w:val="21"/>
          <w:szCs w:val="21"/>
          <w:highlight w:val="none"/>
        </w:rPr>
      </w:pPr>
    </w:p>
    <w:p>
      <w:pPr>
        <w:pStyle w:val="95"/>
        <w:jc w:val="left"/>
        <w:rPr>
          <w:rFonts w:hAnsi="宋体"/>
          <w:sz w:val="21"/>
          <w:szCs w:val="21"/>
          <w:highlight w:val="none"/>
        </w:rPr>
      </w:pPr>
    </w:p>
    <w:p>
      <w:pPr>
        <w:spacing w:line="380" w:lineRule="exact"/>
        <w:rPr>
          <w:rFonts w:hAnsi="宋体"/>
          <w:highlight w:val="none"/>
        </w:rPr>
      </w:pPr>
    </w:p>
    <w:sectPr>
      <w:footerReference r:id="rId11" w:type="default"/>
      <w:pgSz w:w="11907" w:h="16840"/>
      <w:pgMar w:top="1361" w:right="1469" w:bottom="1440" w:left="1440" w:header="851" w:footer="992" w:gutter="0"/>
      <w:cols w:space="720" w:num="1"/>
      <w:docGrid w:linePitch="323" w:charSpace="-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font-weight : 400">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方正姚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posOffset>2348865</wp:posOffset>
              </wp:positionH>
              <wp:positionV relativeFrom="paragraph">
                <wp:posOffset>-37465</wp:posOffset>
              </wp:positionV>
              <wp:extent cx="968375" cy="19240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968375" cy="192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66</w:t>
                          </w:r>
                          <w:r>
                            <w:fldChar w:fldCharType="end"/>
                          </w:r>
                          <w:r>
                            <w:rPr>
                              <w:rFonts w:hint="eastAsia"/>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4.95pt;margin-top:-2.95pt;height:15.15pt;width:76.25pt;mso-position-horizontal-relative:margin;z-index:251659264;mso-width-relative:page;mso-height-relative:page;" filled="f" stroked="f" coordsize="21600,21600" o:gfxdata="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51SQM2QAAAAkBAAAPAAAAAAAAAAEAIAAAACIAAABkcnMvZG93bnJldi54&#10;bWxQSwECFAAUAAAACACHTuJAt7/b+zICAABXBAAADgAAAAAAAAABACAAAAAoAQAAZHJzL2Uyb0Rv&#10;Yy54bWxQSwUGAAAAAAYABgBZAQAAzAUAAAAA&#10;">
              <v:fill on="f" focussize="0,0"/>
              <v:stroke on="f" weight="0.5pt"/>
              <v:imagedata o:title=""/>
              <o:lock v:ext="edit" aspectratio="f"/>
              <v:textbox inset="0mm,0mm,0mm,0mm">
                <w:txbxContent>
                  <w:p>
                    <w:pPr>
                      <w:pStyle w:val="2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0288" behindDoc="0" locked="0" layoutInCell="1" allowOverlap="1">
              <wp:simplePos x="0" y="0"/>
              <wp:positionH relativeFrom="margin">
                <wp:posOffset>2387600</wp:posOffset>
              </wp:positionH>
              <wp:positionV relativeFrom="paragraph">
                <wp:posOffset>-55880</wp:posOffset>
              </wp:positionV>
              <wp:extent cx="986790" cy="21082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86790" cy="210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8pt;margin-top:-4.4pt;height:16.6pt;width:77.7pt;mso-position-horizontal-relative:margin;z-index:251660288;mso-width-relative:page;mso-height-relative:page;" filled="f" stroked="f" coordsize="21600,21600" o:gfxdata="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DRv9XZAAAACQEAAA8AAAAAAAAAAQAgAAAAIgAAAGRycy9kb3ducmV2Lnht&#10;bFBLAQIUABQAAAAIAIdO4kDrD6FsMQIAAFcEAAAOAAAAAAAAAAEAIAAAACgBAABkcnMvZTJvRG9j&#10;LnhtbFBLBQYAAAAABgAGAFkBAADLBQAAAAA=&#10;">
              <v:fill on="f" focussize="0,0"/>
              <v:stroke on="f" weight="0.5pt"/>
              <v:imagedata o:title=""/>
              <o:lock v:ext="edit" aspectratio="f"/>
              <v:textbox inset="0mm,0mm,0mm,0mm">
                <w:txbxContent>
                  <w:p>
                    <w:pPr>
                      <w:pStyle w:val="24"/>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49</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2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2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rPr>
        <w:b/>
        <w:bCs/>
      </w:rPr>
    </w:pPr>
    <w:r>
      <w:rPr>
        <w:rFonts w:hint="eastAsia" w:ascii="宋体" w:hAnsi="宋体" w:cs="宋体"/>
      </w:rPr>
      <w:t>公开招标文件                                                       福建省中达招标代理有限公司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r>
      <w:rPr>
        <w:rFonts w:hint="eastAsia" w:ascii="宋体" w:hAnsi="宋体" w:cs="宋体"/>
      </w:rPr>
      <w:t>公开招标文件                                                             福建省中达招标代理有限公司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r>
      <w:rPr>
        <w:rFonts w:hint="eastAsia" w:ascii="宋体" w:hAnsi="宋体" w:cs="宋体"/>
      </w:rPr>
      <w:t>招标文件                                                                 福建省中达招标代理有限公司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r>
      <w:rPr>
        <w:rFonts w:hint="eastAsia" w:ascii="宋体" w:hAnsi="宋体" w:cs="宋体"/>
      </w:rPr>
      <w:t>公开招标文件                                                             福建省中达招标代理有限公司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B7463"/>
    <w:multiLevelType w:val="multilevel"/>
    <w:tmpl w:val="0AFB7463"/>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1">
    <w:nsid w:val="15BB55EF"/>
    <w:multiLevelType w:val="multilevel"/>
    <w:tmpl w:val="15BB55EF"/>
    <w:lvl w:ilvl="0" w:tentative="0">
      <w:start w:val="1"/>
      <w:numFmt w:val="japaneseCounting"/>
      <w:lvlText w:val="第%1章"/>
      <w:lvlJc w:val="left"/>
      <w:pPr>
        <w:tabs>
          <w:tab w:val="left" w:pos="1455"/>
        </w:tabs>
        <w:ind w:left="1455" w:hanging="14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4C95EE7"/>
    <w:multiLevelType w:val="multilevel"/>
    <w:tmpl w:val="24C95EE7"/>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3">
    <w:nsid w:val="295966DC"/>
    <w:multiLevelType w:val="multilevel"/>
    <w:tmpl w:val="295966D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F854E9C"/>
    <w:multiLevelType w:val="singleLevel"/>
    <w:tmpl w:val="2F854E9C"/>
    <w:lvl w:ilvl="0" w:tentative="0">
      <w:start w:val="1"/>
      <w:numFmt w:val="decimal"/>
      <w:pStyle w:val="11"/>
      <w:lvlText w:val="%1."/>
      <w:lvlJc w:val="left"/>
      <w:pPr>
        <w:tabs>
          <w:tab w:val="left" w:pos="425"/>
        </w:tabs>
        <w:ind w:left="425" w:hanging="425"/>
      </w:pPr>
      <w:rPr>
        <w:rFonts w:hint="eastAsia"/>
      </w:rPr>
    </w:lvl>
  </w:abstractNum>
  <w:abstractNum w:abstractNumId="5">
    <w:nsid w:val="50545E42"/>
    <w:multiLevelType w:val="multilevel"/>
    <w:tmpl w:val="50545E42"/>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6">
    <w:nsid w:val="581988A9"/>
    <w:multiLevelType w:val="singleLevel"/>
    <w:tmpl w:val="581988A9"/>
    <w:lvl w:ilvl="0" w:tentative="0">
      <w:start w:val="2"/>
      <w:numFmt w:val="decimal"/>
      <w:suff w:val="nothing"/>
      <w:lvlText w:val="%1、"/>
      <w:lvlJc w:val="left"/>
    </w:lvl>
  </w:abstractNum>
  <w:abstractNum w:abstractNumId="7">
    <w:nsid w:val="59486837"/>
    <w:multiLevelType w:val="multilevel"/>
    <w:tmpl w:val="59486837"/>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8">
    <w:nsid w:val="5C73716F"/>
    <w:multiLevelType w:val="multilevel"/>
    <w:tmpl w:val="5C73716F"/>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9">
    <w:nsid w:val="65FE1C38"/>
    <w:multiLevelType w:val="singleLevel"/>
    <w:tmpl w:val="65FE1C38"/>
    <w:lvl w:ilvl="0" w:tentative="0">
      <w:start w:val="1"/>
      <w:numFmt w:val="decimal"/>
      <w:suff w:val="nothing"/>
      <w:lvlText w:val="%1．"/>
      <w:lvlJc w:val="left"/>
    </w:lvl>
  </w:abstractNum>
  <w:abstractNum w:abstractNumId="10">
    <w:nsid w:val="70914B68"/>
    <w:multiLevelType w:val="multilevel"/>
    <w:tmpl w:val="70914B68"/>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11">
    <w:nsid w:val="74DD09EC"/>
    <w:multiLevelType w:val="multilevel"/>
    <w:tmpl w:val="74DD09EC"/>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12">
    <w:nsid w:val="767242AB"/>
    <w:multiLevelType w:val="multilevel"/>
    <w:tmpl w:val="767242AB"/>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13">
    <w:nsid w:val="77001089"/>
    <w:multiLevelType w:val="multilevel"/>
    <w:tmpl w:val="77001089"/>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num w:numId="1">
    <w:abstractNumId w:val="4"/>
  </w:num>
  <w:num w:numId="2">
    <w:abstractNumId w:val="1"/>
  </w:num>
  <w:num w:numId="3">
    <w:abstractNumId w:val="13"/>
    <w:lvlOverride w:ilvl="0">
      <w:startOverride w:val="1"/>
    </w:lvlOverride>
  </w:num>
  <w:num w:numId="4">
    <w:abstractNumId w:val="12"/>
  </w:num>
  <w:num w:numId="5">
    <w:abstractNumId w:val="11"/>
  </w:num>
  <w:num w:numId="6">
    <w:abstractNumId w:val="10"/>
  </w:num>
  <w:num w:numId="7">
    <w:abstractNumId w:val="2"/>
  </w:num>
  <w:num w:numId="8">
    <w:abstractNumId w:val="8"/>
  </w:num>
  <w:num w:numId="9">
    <w:abstractNumId w:val="0"/>
  </w:num>
  <w:num w:numId="10">
    <w:abstractNumId w:val="7"/>
  </w:num>
  <w:num w:numId="11">
    <w:abstractNumId w:val="5"/>
  </w:num>
  <w:num w:numId="12">
    <w:abstractNumId w:val="6"/>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Type w:val="letter"/>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ZTg4YWIzYTc4NzQxZTRkMmNiZDE3NDRjMWM3ZDAifQ=="/>
  </w:docVars>
  <w:rsids>
    <w:rsidRoot w:val="0042109C"/>
    <w:rsid w:val="00000BA2"/>
    <w:rsid w:val="00000D0F"/>
    <w:rsid w:val="00000D68"/>
    <w:rsid w:val="00000EC6"/>
    <w:rsid w:val="00000F0F"/>
    <w:rsid w:val="000011DF"/>
    <w:rsid w:val="00001464"/>
    <w:rsid w:val="00001592"/>
    <w:rsid w:val="0000199F"/>
    <w:rsid w:val="0000255D"/>
    <w:rsid w:val="00002E8A"/>
    <w:rsid w:val="0000363E"/>
    <w:rsid w:val="00003E2C"/>
    <w:rsid w:val="0000477E"/>
    <w:rsid w:val="000049E0"/>
    <w:rsid w:val="000053B7"/>
    <w:rsid w:val="00005EE5"/>
    <w:rsid w:val="0000610E"/>
    <w:rsid w:val="0000677B"/>
    <w:rsid w:val="00006C7B"/>
    <w:rsid w:val="0000705B"/>
    <w:rsid w:val="0000716D"/>
    <w:rsid w:val="00007172"/>
    <w:rsid w:val="000074A2"/>
    <w:rsid w:val="00007965"/>
    <w:rsid w:val="00007C1C"/>
    <w:rsid w:val="00007E6A"/>
    <w:rsid w:val="000101ED"/>
    <w:rsid w:val="000106E1"/>
    <w:rsid w:val="00010791"/>
    <w:rsid w:val="00010B8A"/>
    <w:rsid w:val="00010BFA"/>
    <w:rsid w:val="00011401"/>
    <w:rsid w:val="00011ACA"/>
    <w:rsid w:val="00011EE1"/>
    <w:rsid w:val="00012753"/>
    <w:rsid w:val="00012817"/>
    <w:rsid w:val="00012B2A"/>
    <w:rsid w:val="00012E79"/>
    <w:rsid w:val="00013156"/>
    <w:rsid w:val="000133C1"/>
    <w:rsid w:val="000135D3"/>
    <w:rsid w:val="00013903"/>
    <w:rsid w:val="00013C60"/>
    <w:rsid w:val="0001402A"/>
    <w:rsid w:val="000142A2"/>
    <w:rsid w:val="000149CA"/>
    <w:rsid w:val="000152EC"/>
    <w:rsid w:val="00015695"/>
    <w:rsid w:val="000156BD"/>
    <w:rsid w:val="00015CAD"/>
    <w:rsid w:val="00016362"/>
    <w:rsid w:val="000165AC"/>
    <w:rsid w:val="00016AFA"/>
    <w:rsid w:val="000178C6"/>
    <w:rsid w:val="00017993"/>
    <w:rsid w:val="00017B33"/>
    <w:rsid w:val="000201A6"/>
    <w:rsid w:val="000205CD"/>
    <w:rsid w:val="000210D3"/>
    <w:rsid w:val="00021577"/>
    <w:rsid w:val="00021749"/>
    <w:rsid w:val="0002179E"/>
    <w:rsid w:val="000217E9"/>
    <w:rsid w:val="00021863"/>
    <w:rsid w:val="00021B23"/>
    <w:rsid w:val="00022480"/>
    <w:rsid w:val="00022641"/>
    <w:rsid w:val="00022AE1"/>
    <w:rsid w:val="0002358E"/>
    <w:rsid w:val="0002365D"/>
    <w:rsid w:val="00023D56"/>
    <w:rsid w:val="0002471B"/>
    <w:rsid w:val="0002472F"/>
    <w:rsid w:val="000247DD"/>
    <w:rsid w:val="000249C1"/>
    <w:rsid w:val="00025D92"/>
    <w:rsid w:val="00025E25"/>
    <w:rsid w:val="00025F6F"/>
    <w:rsid w:val="0002621C"/>
    <w:rsid w:val="00026623"/>
    <w:rsid w:val="00027B1F"/>
    <w:rsid w:val="00027B33"/>
    <w:rsid w:val="000302A8"/>
    <w:rsid w:val="000305EF"/>
    <w:rsid w:val="00030878"/>
    <w:rsid w:val="00030A99"/>
    <w:rsid w:val="00030DDD"/>
    <w:rsid w:val="00030E30"/>
    <w:rsid w:val="00030EAA"/>
    <w:rsid w:val="00031A7B"/>
    <w:rsid w:val="00031AAC"/>
    <w:rsid w:val="00032070"/>
    <w:rsid w:val="00032688"/>
    <w:rsid w:val="00032C67"/>
    <w:rsid w:val="00032D23"/>
    <w:rsid w:val="00032F22"/>
    <w:rsid w:val="000336C4"/>
    <w:rsid w:val="000338BA"/>
    <w:rsid w:val="00033B95"/>
    <w:rsid w:val="00033E6E"/>
    <w:rsid w:val="00034764"/>
    <w:rsid w:val="0003487D"/>
    <w:rsid w:val="00034A85"/>
    <w:rsid w:val="00034E9A"/>
    <w:rsid w:val="0003556C"/>
    <w:rsid w:val="00035862"/>
    <w:rsid w:val="000358F9"/>
    <w:rsid w:val="00035B9B"/>
    <w:rsid w:val="00035E65"/>
    <w:rsid w:val="00036027"/>
    <w:rsid w:val="000362F6"/>
    <w:rsid w:val="000363FC"/>
    <w:rsid w:val="00036CD1"/>
    <w:rsid w:val="00037074"/>
    <w:rsid w:val="000372F3"/>
    <w:rsid w:val="00037534"/>
    <w:rsid w:val="000375A8"/>
    <w:rsid w:val="0003782E"/>
    <w:rsid w:val="00037D58"/>
    <w:rsid w:val="00037D62"/>
    <w:rsid w:val="00037E7F"/>
    <w:rsid w:val="000401A6"/>
    <w:rsid w:val="000408F7"/>
    <w:rsid w:val="00040936"/>
    <w:rsid w:val="00040DFC"/>
    <w:rsid w:val="00041373"/>
    <w:rsid w:val="000417BF"/>
    <w:rsid w:val="000417CC"/>
    <w:rsid w:val="00041BC9"/>
    <w:rsid w:val="000421D4"/>
    <w:rsid w:val="00042277"/>
    <w:rsid w:val="000427E8"/>
    <w:rsid w:val="000429FC"/>
    <w:rsid w:val="00042F67"/>
    <w:rsid w:val="0004316C"/>
    <w:rsid w:val="00043188"/>
    <w:rsid w:val="00043B9B"/>
    <w:rsid w:val="00043C6C"/>
    <w:rsid w:val="00043FC1"/>
    <w:rsid w:val="000444B9"/>
    <w:rsid w:val="0004475D"/>
    <w:rsid w:val="0004479B"/>
    <w:rsid w:val="000449C2"/>
    <w:rsid w:val="00044EDC"/>
    <w:rsid w:val="00044EE2"/>
    <w:rsid w:val="000451A1"/>
    <w:rsid w:val="00045250"/>
    <w:rsid w:val="00045928"/>
    <w:rsid w:val="000459C9"/>
    <w:rsid w:val="00045CBE"/>
    <w:rsid w:val="00045DCD"/>
    <w:rsid w:val="00046336"/>
    <w:rsid w:val="000463D9"/>
    <w:rsid w:val="0004668E"/>
    <w:rsid w:val="00046940"/>
    <w:rsid w:val="0004738D"/>
    <w:rsid w:val="000475FB"/>
    <w:rsid w:val="00047A12"/>
    <w:rsid w:val="00050094"/>
    <w:rsid w:val="0005039A"/>
    <w:rsid w:val="000503BF"/>
    <w:rsid w:val="00050785"/>
    <w:rsid w:val="00050986"/>
    <w:rsid w:val="00050D3A"/>
    <w:rsid w:val="0005100A"/>
    <w:rsid w:val="000515F3"/>
    <w:rsid w:val="00051753"/>
    <w:rsid w:val="00051C34"/>
    <w:rsid w:val="00052D68"/>
    <w:rsid w:val="00053882"/>
    <w:rsid w:val="00053917"/>
    <w:rsid w:val="0005397D"/>
    <w:rsid w:val="000544D6"/>
    <w:rsid w:val="0005455D"/>
    <w:rsid w:val="00054703"/>
    <w:rsid w:val="000547E9"/>
    <w:rsid w:val="00054E29"/>
    <w:rsid w:val="000558FF"/>
    <w:rsid w:val="00055C30"/>
    <w:rsid w:val="0005651B"/>
    <w:rsid w:val="00056789"/>
    <w:rsid w:val="00056BAC"/>
    <w:rsid w:val="00056E06"/>
    <w:rsid w:val="00056F56"/>
    <w:rsid w:val="00056F8A"/>
    <w:rsid w:val="0005745D"/>
    <w:rsid w:val="00057CBC"/>
    <w:rsid w:val="00057E4E"/>
    <w:rsid w:val="0006008A"/>
    <w:rsid w:val="000603EE"/>
    <w:rsid w:val="00060E5F"/>
    <w:rsid w:val="000613CE"/>
    <w:rsid w:val="0006170F"/>
    <w:rsid w:val="00061C30"/>
    <w:rsid w:val="00061F47"/>
    <w:rsid w:val="0006282F"/>
    <w:rsid w:val="00062D82"/>
    <w:rsid w:val="00063336"/>
    <w:rsid w:val="000636DA"/>
    <w:rsid w:val="000638FB"/>
    <w:rsid w:val="00063A17"/>
    <w:rsid w:val="00063A30"/>
    <w:rsid w:val="0006414D"/>
    <w:rsid w:val="00064352"/>
    <w:rsid w:val="00064559"/>
    <w:rsid w:val="000648D2"/>
    <w:rsid w:val="00064959"/>
    <w:rsid w:val="00065229"/>
    <w:rsid w:val="000653CF"/>
    <w:rsid w:val="0006557E"/>
    <w:rsid w:val="00065703"/>
    <w:rsid w:val="00065978"/>
    <w:rsid w:val="000659BD"/>
    <w:rsid w:val="000660CE"/>
    <w:rsid w:val="000661B5"/>
    <w:rsid w:val="00066602"/>
    <w:rsid w:val="0006672F"/>
    <w:rsid w:val="000667B2"/>
    <w:rsid w:val="000668D9"/>
    <w:rsid w:val="00066A4E"/>
    <w:rsid w:val="00066C5F"/>
    <w:rsid w:val="00066F27"/>
    <w:rsid w:val="000679FD"/>
    <w:rsid w:val="0007038A"/>
    <w:rsid w:val="00070491"/>
    <w:rsid w:val="00070641"/>
    <w:rsid w:val="00070C93"/>
    <w:rsid w:val="00070DD9"/>
    <w:rsid w:val="00071976"/>
    <w:rsid w:val="00072531"/>
    <w:rsid w:val="000729B0"/>
    <w:rsid w:val="00072A1B"/>
    <w:rsid w:val="00072B6D"/>
    <w:rsid w:val="00072E8A"/>
    <w:rsid w:val="00072EAB"/>
    <w:rsid w:val="00073519"/>
    <w:rsid w:val="0007378C"/>
    <w:rsid w:val="000741D6"/>
    <w:rsid w:val="000741F6"/>
    <w:rsid w:val="0007462D"/>
    <w:rsid w:val="00075958"/>
    <w:rsid w:val="00075ACD"/>
    <w:rsid w:val="00075D98"/>
    <w:rsid w:val="000760F6"/>
    <w:rsid w:val="00076488"/>
    <w:rsid w:val="00077802"/>
    <w:rsid w:val="00077E36"/>
    <w:rsid w:val="0008020E"/>
    <w:rsid w:val="000805AD"/>
    <w:rsid w:val="000808DC"/>
    <w:rsid w:val="00080CBC"/>
    <w:rsid w:val="00080D86"/>
    <w:rsid w:val="00080F0A"/>
    <w:rsid w:val="00080F56"/>
    <w:rsid w:val="00081026"/>
    <w:rsid w:val="000813F8"/>
    <w:rsid w:val="00081A49"/>
    <w:rsid w:val="00081B9A"/>
    <w:rsid w:val="00081BAF"/>
    <w:rsid w:val="00081BC6"/>
    <w:rsid w:val="000820CC"/>
    <w:rsid w:val="000824A8"/>
    <w:rsid w:val="00083349"/>
    <w:rsid w:val="00084B94"/>
    <w:rsid w:val="0008585E"/>
    <w:rsid w:val="000859F9"/>
    <w:rsid w:val="00085BD7"/>
    <w:rsid w:val="00085EED"/>
    <w:rsid w:val="000864BA"/>
    <w:rsid w:val="00086630"/>
    <w:rsid w:val="00086CB4"/>
    <w:rsid w:val="00087460"/>
    <w:rsid w:val="0008749F"/>
    <w:rsid w:val="000879B0"/>
    <w:rsid w:val="00087D99"/>
    <w:rsid w:val="00087FE5"/>
    <w:rsid w:val="000903BC"/>
    <w:rsid w:val="0009060C"/>
    <w:rsid w:val="00090712"/>
    <w:rsid w:val="000908DB"/>
    <w:rsid w:val="0009116C"/>
    <w:rsid w:val="000911B5"/>
    <w:rsid w:val="00091992"/>
    <w:rsid w:val="00091B9E"/>
    <w:rsid w:val="00092374"/>
    <w:rsid w:val="000927CC"/>
    <w:rsid w:val="00092BFC"/>
    <w:rsid w:val="000934F8"/>
    <w:rsid w:val="00093998"/>
    <w:rsid w:val="00093BA9"/>
    <w:rsid w:val="00093E69"/>
    <w:rsid w:val="000943D1"/>
    <w:rsid w:val="000949B9"/>
    <w:rsid w:val="000949EE"/>
    <w:rsid w:val="00094C4B"/>
    <w:rsid w:val="00094D67"/>
    <w:rsid w:val="00095411"/>
    <w:rsid w:val="000956B8"/>
    <w:rsid w:val="00096496"/>
    <w:rsid w:val="00097407"/>
    <w:rsid w:val="00097BB2"/>
    <w:rsid w:val="000A0041"/>
    <w:rsid w:val="000A0821"/>
    <w:rsid w:val="000A0A74"/>
    <w:rsid w:val="000A0E1F"/>
    <w:rsid w:val="000A0F40"/>
    <w:rsid w:val="000A150B"/>
    <w:rsid w:val="000A1C64"/>
    <w:rsid w:val="000A23ED"/>
    <w:rsid w:val="000A3D66"/>
    <w:rsid w:val="000A3F8D"/>
    <w:rsid w:val="000A40AE"/>
    <w:rsid w:val="000A450C"/>
    <w:rsid w:val="000A48C0"/>
    <w:rsid w:val="000A4A97"/>
    <w:rsid w:val="000A505F"/>
    <w:rsid w:val="000A55F4"/>
    <w:rsid w:val="000A568F"/>
    <w:rsid w:val="000A5BED"/>
    <w:rsid w:val="000A5DFC"/>
    <w:rsid w:val="000A5FE7"/>
    <w:rsid w:val="000A6447"/>
    <w:rsid w:val="000A649F"/>
    <w:rsid w:val="000A66B4"/>
    <w:rsid w:val="000A67AD"/>
    <w:rsid w:val="000A6BFC"/>
    <w:rsid w:val="000A6DC9"/>
    <w:rsid w:val="000A6F44"/>
    <w:rsid w:val="000A6FF2"/>
    <w:rsid w:val="000A7976"/>
    <w:rsid w:val="000B0299"/>
    <w:rsid w:val="000B02AA"/>
    <w:rsid w:val="000B0F0A"/>
    <w:rsid w:val="000B11AA"/>
    <w:rsid w:val="000B1825"/>
    <w:rsid w:val="000B18A8"/>
    <w:rsid w:val="000B19C9"/>
    <w:rsid w:val="000B27AF"/>
    <w:rsid w:val="000B2F11"/>
    <w:rsid w:val="000B2FAC"/>
    <w:rsid w:val="000B3515"/>
    <w:rsid w:val="000B3834"/>
    <w:rsid w:val="000B3D6E"/>
    <w:rsid w:val="000B430D"/>
    <w:rsid w:val="000B431E"/>
    <w:rsid w:val="000B432F"/>
    <w:rsid w:val="000B44F7"/>
    <w:rsid w:val="000B459B"/>
    <w:rsid w:val="000B4799"/>
    <w:rsid w:val="000B554D"/>
    <w:rsid w:val="000B586F"/>
    <w:rsid w:val="000B5B56"/>
    <w:rsid w:val="000B5EF5"/>
    <w:rsid w:val="000B63D4"/>
    <w:rsid w:val="000B6594"/>
    <w:rsid w:val="000B67A5"/>
    <w:rsid w:val="000B68AB"/>
    <w:rsid w:val="000B76D6"/>
    <w:rsid w:val="000B776F"/>
    <w:rsid w:val="000C01A7"/>
    <w:rsid w:val="000C0B59"/>
    <w:rsid w:val="000C0E42"/>
    <w:rsid w:val="000C19A6"/>
    <w:rsid w:val="000C19DF"/>
    <w:rsid w:val="000C1D13"/>
    <w:rsid w:val="000C2190"/>
    <w:rsid w:val="000C2696"/>
    <w:rsid w:val="000C313C"/>
    <w:rsid w:val="000C31A0"/>
    <w:rsid w:val="000C3DF0"/>
    <w:rsid w:val="000C3F1B"/>
    <w:rsid w:val="000C4014"/>
    <w:rsid w:val="000C4877"/>
    <w:rsid w:val="000C4B2C"/>
    <w:rsid w:val="000C4D75"/>
    <w:rsid w:val="000C4E03"/>
    <w:rsid w:val="000C5268"/>
    <w:rsid w:val="000C53FF"/>
    <w:rsid w:val="000C5974"/>
    <w:rsid w:val="000C5984"/>
    <w:rsid w:val="000C5C21"/>
    <w:rsid w:val="000C5C67"/>
    <w:rsid w:val="000C64FB"/>
    <w:rsid w:val="000C6616"/>
    <w:rsid w:val="000C6A5C"/>
    <w:rsid w:val="000C75EA"/>
    <w:rsid w:val="000C7AAC"/>
    <w:rsid w:val="000C7FC8"/>
    <w:rsid w:val="000D0066"/>
    <w:rsid w:val="000D08C8"/>
    <w:rsid w:val="000D0A06"/>
    <w:rsid w:val="000D1272"/>
    <w:rsid w:val="000D1C3C"/>
    <w:rsid w:val="000D1E0A"/>
    <w:rsid w:val="000D1E7C"/>
    <w:rsid w:val="000D1F62"/>
    <w:rsid w:val="000D20AB"/>
    <w:rsid w:val="000D2555"/>
    <w:rsid w:val="000D27EA"/>
    <w:rsid w:val="000D2A6E"/>
    <w:rsid w:val="000D2EA9"/>
    <w:rsid w:val="000D319A"/>
    <w:rsid w:val="000D347F"/>
    <w:rsid w:val="000D3480"/>
    <w:rsid w:val="000D34D1"/>
    <w:rsid w:val="000D3514"/>
    <w:rsid w:val="000D3A33"/>
    <w:rsid w:val="000D3F45"/>
    <w:rsid w:val="000D41EA"/>
    <w:rsid w:val="000D4746"/>
    <w:rsid w:val="000D4961"/>
    <w:rsid w:val="000D4A7C"/>
    <w:rsid w:val="000D4A98"/>
    <w:rsid w:val="000D4DC3"/>
    <w:rsid w:val="000D5332"/>
    <w:rsid w:val="000D5D2B"/>
    <w:rsid w:val="000D61D6"/>
    <w:rsid w:val="000D66C3"/>
    <w:rsid w:val="000D69E8"/>
    <w:rsid w:val="000D6C7C"/>
    <w:rsid w:val="000D6E07"/>
    <w:rsid w:val="000D7263"/>
    <w:rsid w:val="000D74B1"/>
    <w:rsid w:val="000D75CB"/>
    <w:rsid w:val="000D7CA5"/>
    <w:rsid w:val="000E02D2"/>
    <w:rsid w:val="000E0E2E"/>
    <w:rsid w:val="000E1291"/>
    <w:rsid w:val="000E13C1"/>
    <w:rsid w:val="000E151A"/>
    <w:rsid w:val="000E163B"/>
    <w:rsid w:val="000E1B27"/>
    <w:rsid w:val="000E276D"/>
    <w:rsid w:val="000E2C4E"/>
    <w:rsid w:val="000E340B"/>
    <w:rsid w:val="000E3628"/>
    <w:rsid w:val="000E39AC"/>
    <w:rsid w:val="000E439B"/>
    <w:rsid w:val="000E46FB"/>
    <w:rsid w:val="000E61B0"/>
    <w:rsid w:val="000E6BC3"/>
    <w:rsid w:val="000E6ED4"/>
    <w:rsid w:val="000E7012"/>
    <w:rsid w:val="000E70F8"/>
    <w:rsid w:val="000E726B"/>
    <w:rsid w:val="000E770F"/>
    <w:rsid w:val="000E78BB"/>
    <w:rsid w:val="000F013D"/>
    <w:rsid w:val="000F163D"/>
    <w:rsid w:val="000F1C24"/>
    <w:rsid w:val="000F226B"/>
    <w:rsid w:val="000F2C22"/>
    <w:rsid w:val="000F3165"/>
    <w:rsid w:val="000F36BF"/>
    <w:rsid w:val="000F3EC8"/>
    <w:rsid w:val="000F4BDE"/>
    <w:rsid w:val="000F4D59"/>
    <w:rsid w:val="000F4FDB"/>
    <w:rsid w:val="000F5355"/>
    <w:rsid w:val="000F53E2"/>
    <w:rsid w:val="000F55A5"/>
    <w:rsid w:val="000F5CC1"/>
    <w:rsid w:val="000F5DBF"/>
    <w:rsid w:val="000F6710"/>
    <w:rsid w:val="000F69B0"/>
    <w:rsid w:val="000F6CCD"/>
    <w:rsid w:val="000F722A"/>
    <w:rsid w:val="000F7A56"/>
    <w:rsid w:val="000F7AC5"/>
    <w:rsid w:val="000F7C92"/>
    <w:rsid w:val="000F7FF0"/>
    <w:rsid w:val="00100866"/>
    <w:rsid w:val="00100E1A"/>
    <w:rsid w:val="001011B0"/>
    <w:rsid w:val="00101E22"/>
    <w:rsid w:val="0010245E"/>
    <w:rsid w:val="00103C60"/>
    <w:rsid w:val="001040F1"/>
    <w:rsid w:val="00104106"/>
    <w:rsid w:val="00104858"/>
    <w:rsid w:val="00104942"/>
    <w:rsid w:val="00104A0B"/>
    <w:rsid w:val="00104AF4"/>
    <w:rsid w:val="00105190"/>
    <w:rsid w:val="001051BC"/>
    <w:rsid w:val="0010574E"/>
    <w:rsid w:val="001059A4"/>
    <w:rsid w:val="00105B4C"/>
    <w:rsid w:val="00106107"/>
    <w:rsid w:val="0010660F"/>
    <w:rsid w:val="00106784"/>
    <w:rsid w:val="00106797"/>
    <w:rsid w:val="00106882"/>
    <w:rsid w:val="00106B6E"/>
    <w:rsid w:val="00106D8C"/>
    <w:rsid w:val="0010764D"/>
    <w:rsid w:val="001078E4"/>
    <w:rsid w:val="00107AA5"/>
    <w:rsid w:val="001100D7"/>
    <w:rsid w:val="001108BF"/>
    <w:rsid w:val="00110AE3"/>
    <w:rsid w:val="00110C1A"/>
    <w:rsid w:val="00110F67"/>
    <w:rsid w:val="001111AE"/>
    <w:rsid w:val="00111F2A"/>
    <w:rsid w:val="00112336"/>
    <w:rsid w:val="001124FF"/>
    <w:rsid w:val="00112763"/>
    <w:rsid w:val="00112819"/>
    <w:rsid w:val="00112852"/>
    <w:rsid w:val="00112A32"/>
    <w:rsid w:val="00112A3E"/>
    <w:rsid w:val="00112D44"/>
    <w:rsid w:val="00113446"/>
    <w:rsid w:val="00113456"/>
    <w:rsid w:val="001137C0"/>
    <w:rsid w:val="00113CF6"/>
    <w:rsid w:val="00113D9D"/>
    <w:rsid w:val="00113E9D"/>
    <w:rsid w:val="00114311"/>
    <w:rsid w:val="00114519"/>
    <w:rsid w:val="001148D7"/>
    <w:rsid w:val="00114A82"/>
    <w:rsid w:val="0011576B"/>
    <w:rsid w:val="001158C1"/>
    <w:rsid w:val="00115AA4"/>
    <w:rsid w:val="00115D47"/>
    <w:rsid w:val="00116321"/>
    <w:rsid w:val="0011652D"/>
    <w:rsid w:val="00116766"/>
    <w:rsid w:val="00116B78"/>
    <w:rsid w:val="00116E1F"/>
    <w:rsid w:val="00117528"/>
    <w:rsid w:val="001179A9"/>
    <w:rsid w:val="00120A61"/>
    <w:rsid w:val="00120FBC"/>
    <w:rsid w:val="00121051"/>
    <w:rsid w:val="00121666"/>
    <w:rsid w:val="00121B9D"/>
    <w:rsid w:val="00121CEA"/>
    <w:rsid w:val="001223C1"/>
    <w:rsid w:val="001223F7"/>
    <w:rsid w:val="001237DD"/>
    <w:rsid w:val="00123B2A"/>
    <w:rsid w:val="00123CA3"/>
    <w:rsid w:val="00123E73"/>
    <w:rsid w:val="00124038"/>
    <w:rsid w:val="001240B3"/>
    <w:rsid w:val="001246C6"/>
    <w:rsid w:val="00124824"/>
    <w:rsid w:val="00124E6D"/>
    <w:rsid w:val="00124F5A"/>
    <w:rsid w:val="00124FFC"/>
    <w:rsid w:val="001252F9"/>
    <w:rsid w:val="00125B0F"/>
    <w:rsid w:val="00125BDB"/>
    <w:rsid w:val="00125FB8"/>
    <w:rsid w:val="001260BC"/>
    <w:rsid w:val="00126918"/>
    <w:rsid w:val="00126F94"/>
    <w:rsid w:val="00127501"/>
    <w:rsid w:val="00127532"/>
    <w:rsid w:val="00127C80"/>
    <w:rsid w:val="001300AE"/>
    <w:rsid w:val="00130227"/>
    <w:rsid w:val="001302E7"/>
    <w:rsid w:val="00130B61"/>
    <w:rsid w:val="00130D03"/>
    <w:rsid w:val="001311DB"/>
    <w:rsid w:val="00131863"/>
    <w:rsid w:val="00131EA3"/>
    <w:rsid w:val="001324C2"/>
    <w:rsid w:val="00132DAE"/>
    <w:rsid w:val="00132E12"/>
    <w:rsid w:val="00132EBA"/>
    <w:rsid w:val="00132EFF"/>
    <w:rsid w:val="0013378A"/>
    <w:rsid w:val="00133C46"/>
    <w:rsid w:val="0013405E"/>
    <w:rsid w:val="00134C84"/>
    <w:rsid w:val="00135798"/>
    <w:rsid w:val="00135B40"/>
    <w:rsid w:val="00135B67"/>
    <w:rsid w:val="00135EF2"/>
    <w:rsid w:val="00136071"/>
    <w:rsid w:val="0013620A"/>
    <w:rsid w:val="0013662F"/>
    <w:rsid w:val="00136CB5"/>
    <w:rsid w:val="00136CDF"/>
    <w:rsid w:val="00137D8C"/>
    <w:rsid w:val="001403DE"/>
    <w:rsid w:val="00140D3C"/>
    <w:rsid w:val="00140F89"/>
    <w:rsid w:val="001410C0"/>
    <w:rsid w:val="0014152A"/>
    <w:rsid w:val="001422D0"/>
    <w:rsid w:val="00142AE7"/>
    <w:rsid w:val="001434D7"/>
    <w:rsid w:val="00143676"/>
    <w:rsid w:val="00143741"/>
    <w:rsid w:val="00143CF5"/>
    <w:rsid w:val="001440B2"/>
    <w:rsid w:val="00144293"/>
    <w:rsid w:val="00144850"/>
    <w:rsid w:val="001449DA"/>
    <w:rsid w:val="00144D40"/>
    <w:rsid w:val="00144DF0"/>
    <w:rsid w:val="00144FA5"/>
    <w:rsid w:val="00145DC9"/>
    <w:rsid w:val="00146A18"/>
    <w:rsid w:val="00146A76"/>
    <w:rsid w:val="00146BE7"/>
    <w:rsid w:val="00146DCA"/>
    <w:rsid w:val="001471BB"/>
    <w:rsid w:val="0014728E"/>
    <w:rsid w:val="00147378"/>
    <w:rsid w:val="00147688"/>
    <w:rsid w:val="001479FD"/>
    <w:rsid w:val="00147B74"/>
    <w:rsid w:val="00147D55"/>
    <w:rsid w:val="00151AD4"/>
    <w:rsid w:val="00151C56"/>
    <w:rsid w:val="001528EB"/>
    <w:rsid w:val="00152F83"/>
    <w:rsid w:val="001530F6"/>
    <w:rsid w:val="00153306"/>
    <w:rsid w:val="00153383"/>
    <w:rsid w:val="001536C6"/>
    <w:rsid w:val="00153C37"/>
    <w:rsid w:val="001544F4"/>
    <w:rsid w:val="0015547E"/>
    <w:rsid w:val="001554ED"/>
    <w:rsid w:val="00155780"/>
    <w:rsid w:val="00155CA2"/>
    <w:rsid w:val="00155D73"/>
    <w:rsid w:val="00155F16"/>
    <w:rsid w:val="00156050"/>
    <w:rsid w:val="001563BE"/>
    <w:rsid w:val="001565F8"/>
    <w:rsid w:val="00156CEE"/>
    <w:rsid w:val="00156D93"/>
    <w:rsid w:val="001571BA"/>
    <w:rsid w:val="00157569"/>
    <w:rsid w:val="001577EA"/>
    <w:rsid w:val="001578AB"/>
    <w:rsid w:val="00157C45"/>
    <w:rsid w:val="00160545"/>
    <w:rsid w:val="00160F9B"/>
    <w:rsid w:val="001611D9"/>
    <w:rsid w:val="00161A48"/>
    <w:rsid w:val="00162075"/>
    <w:rsid w:val="0016211F"/>
    <w:rsid w:val="001626EA"/>
    <w:rsid w:val="001626F0"/>
    <w:rsid w:val="0016288C"/>
    <w:rsid w:val="00162B2E"/>
    <w:rsid w:val="00162D97"/>
    <w:rsid w:val="00162F7F"/>
    <w:rsid w:val="00162FF4"/>
    <w:rsid w:val="00164437"/>
    <w:rsid w:val="00164B4E"/>
    <w:rsid w:val="00164E1A"/>
    <w:rsid w:val="00164E4A"/>
    <w:rsid w:val="00164EB8"/>
    <w:rsid w:val="00164F20"/>
    <w:rsid w:val="00165257"/>
    <w:rsid w:val="001652AB"/>
    <w:rsid w:val="001654DB"/>
    <w:rsid w:val="00165845"/>
    <w:rsid w:val="0016690A"/>
    <w:rsid w:val="0016692B"/>
    <w:rsid w:val="00166FAD"/>
    <w:rsid w:val="001672E8"/>
    <w:rsid w:val="001673CF"/>
    <w:rsid w:val="00167795"/>
    <w:rsid w:val="00167874"/>
    <w:rsid w:val="00167A06"/>
    <w:rsid w:val="00167AE1"/>
    <w:rsid w:val="00167C48"/>
    <w:rsid w:val="00167ECF"/>
    <w:rsid w:val="00170C86"/>
    <w:rsid w:val="00170EEB"/>
    <w:rsid w:val="00170FC1"/>
    <w:rsid w:val="00171126"/>
    <w:rsid w:val="001713E3"/>
    <w:rsid w:val="00171656"/>
    <w:rsid w:val="00171CF0"/>
    <w:rsid w:val="001724F1"/>
    <w:rsid w:val="00172623"/>
    <w:rsid w:val="0017262A"/>
    <w:rsid w:val="001728C0"/>
    <w:rsid w:val="001728CE"/>
    <w:rsid w:val="0017352E"/>
    <w:rsid w:val="001739F7"/>
    <w:rsid w:val="00174236"/>
    <w:rsid w:val="0017440B"/>
    <w:rsid w:val="00174811"/>
    <w:rsid w:val="00174942"/>
    <w:rsid w:val="00174DD5"/>
    <w:rsid w:val="001752F3"/>
    <w:rsid w:val="001755EE"/>
    <w:rsid w:val="001757C1"/>
    <w:rsid w:val="001758CC"/>
    <w:rsid w:val="001761E6"/>
    <w:rsid w:val="0017667C"/>
    <w:rsid w:val="00176C57"/>
    <w:rsid w:val="00176C7A"/>
    <w:rsid w:val="00176FE6"/>
    <w:rsid w:val="0017735D"/>
    <w:rsid w:val="00177A91"/>
    <w:rsid w:val="00177C9E"/>
    <w:rsid w:val="00180904"/>
    <w:rsid w:val="00180A34"/>
    <w:rsid w:val="00181077"/>
    <w:rsid w:val="001810A0"/>
    <w:rsid w:val="001815E7"/>
    <w:rsid w:val="00182ACD"/>
    <w:rsid w:val="00182B8A"/>
    <w:rsid w:val="00182C79"/>
    <w:rsid w:val="00183155"/>
    <w:rsid w:val="00183381"/>
    <w:rsid w:val="00183386"/>
    <w:rsid w:val="001836AB"/>
    <w:rsid w:val="00183FE6"/>
    <w:rsid w:val="00184095"/>
    <w:rsid w:val="001841F2"/>
    <w:rsid w:val="00184405"/>
    <w:rsid w:val="00184A73"/>
    <w:rsid w:val="00184C45"/>
    <w:rsid w:val="00184C57"/>
    <w:rsid w:val="00185387"/>
    <w:rsid w:val="00185843"/>
    <w:rsid w:val="001859A2"/>
    <w:rsid w:val="00185FF6"/>
    <w:rsid w:val="001862B1"/>
    <w:rsid w:val="00186E39"/>
    <w:rsid w:val="00186F64"/>
    <w:rsid w:val="00187201"/>
    <w:rsid w:val="001872E9"/>
    <w:rsid w:val="001873B0"/>
    <w:rsid w:val="00187720"/>
    <w:rsid w:val="00190024"/>
    <w:rsid w:val="00190139"/>
    <w:rsid w:val="00190172"/>
    <w:rsid w:val="00190198"/>
    <w:rsid w:val="001907A4"/>
    <w:rsid w:val="00191470"/>
    <w:rsid w:val="001914A6"/>
    <w:rsid w:val="00191AC4"/>
    <w:rsid w:val="00191ACA"/>
    <w:rsid w:val="00191B77"/>
    <w:rsid w:val="0019223E"/>
    <w:rsid w:val="0019253F"/>
    <w:rsid w:val="0019260D"/>
    <w:rsid w:val="00192A5F"/>
    <w:rsid w:val="00192CC9"/>
    <w:rsid w:val="00192F74"/>
    <w:rsid w:val="00193679"/>
    <w:rsid w:val="00193A3C"/>
    <w:rsid w:val="00194B1B"/>
    <w:rsid w:val="0019548B"/>
    <w:rsid w:val="00195543"/>
    <w:rsid w:val="00195CB8"/>
    <w:rsid w:val="00195D7E"/>
    <w:rsid w:val="001962F5"/>
    <w:rsid w:val="001965E4"/>
    <w:rsid w:val="00196D89"/>
    <w:rsid w:val="00196EDE"/>
    <w:rsid w:val="00197191"/>
    <w:rsid w:val="00197570"/>
    <w:rsid w:val="00197698"/>
    <w:rsid w:val="00197ABD"/>
    <w:rsid w:val="001A0DAB"/>
    <w:rsid w:val="001A0F18"/>
    <w:rsid w:val="001A101D"/>
    <w:rsid w:val="001A1807"/>
    <w:rsid w:val="001A208D"/>
    <w:rsid w:val="001A2845"/>
    <w:rsid w:val="001A335B"/>
    <w:rsid w:val="001A354F"/>
    <w:rsid w:val="001A3840"/>
    <w:rsid w:val="001A3AAB"/>
    <w:rsid w:val="001A3F28"/>
    <w:rsid w:val="001A44FB"/>
    <w:rsid w:val="001A4AEE"/>
    <w:rsid w:val="001A4B2B"/>
    <w:rsid w:val="001A4D01"/>
    <w:rsid w:val="001A511C"/>
    <w:rsid w:val="001A52A8"/>
    <w:rsid w:val="001A5D2A"/>
    <w:rsid w:val="001A6006"/>
    <w:rsid w:val="001A610C"/>
    <w:rsid w:val="001A63A2"/>
    <w:rsid w:val="001A643E"/>
    <w:rsid w:val="001A6536"/>
    <w:rsid w:val="001A6540"/>
    <w:rsid w:val="001A654F"/>
    <w:rsid w:val="001A6692"/>
    <w:rsid w:val="001A687E"/>
    <w:rsid w:val="001A6FF6"/>
    <w:rsid w:val="001A7696"/>
    <w:rsid w:val="001A770A"/>
    <w:rsid w:val="001A7796"/>
    <w:rsid w:val="001A79F1"/>
    <w:rsid w:val="001A7E82"/>
    <w:rsid w:val="001B00C1"/>
    <w:rsid w:val="001B0CB9"/>
    <w:rsid w:val="001B192C"/>
    <w:rsid w:val="001B1D8B"/>
    <w:rsid w:val="001B1E26"/>
    <w:rsid w:val="001B2353"/>
    <w:rsid w:val="001B2657"/>
    <w:rsid w:val="001B2E69"/>
    <w:rsid w:val="001B319A"/>
    <w:rsid w:val="001B364A"/>
    <w:rsid w:val="001B3AB6"/>
    <w:rsid w:val="001B4164"/>
    <w:rsid w:val="001B47CD"/>
    <w:rsid w:val="001B4AB8"/>
    <w:rsid w:val="001B4D2F"/>
    <w:rsid w:val="001B5220"/>
    <w:rsid w:val="001B54C5"/>
    <w:rsid w:val="001B5C7C"/>
    <w:rsid w:val="001B5CA9"/>
    <w:rsid w:val="001B5E5A"/>
    <w:rsid w:val="001B6235"/>
    <w:rsid w:val="001B6A6C"/>
    <w:rsid w:val="001B6F15"/>
    <w:rsid w:val="001B75D9"/>
    <w:rsid w:val="001B7A92"/>
    <w:rsid w:val="001B7E14"/>
    <w:rsid w:val="001B7ED6"/>
    <w:rsid w:val="001C0AF4"/>
    <w:rsid w:val="001C0D52"/>
    <w:rsid w:val="001C1880"/>
    <w:rsid w:val="001C1928"/>
    <w:rsid w:val="001C1F5B"/>
    <w:rsid w:val="001C25FE"/>
    <w:rsid w:val="001C2934"/>
    <w:rsid w:val="001C2C0A"/>
    <w:rsid w:val="001C3290"/>
    <w:rsid w:val="001C35D5"/>
    <w:rsid w:val="001C3A16"/>
    <w:rsid w:val="001C3BC3"/>
    <w:rsid w:val="001C3D33"/>
    <w:rsid w:val="001C418B"/>
    <w:rsid w:val="001C50AA"/>
    <w:rsid w:val="001C5422"/>
    <w:rsid w:val="001C565D"/>
    <w:rsid w:val="001C5791"/>
    <w:rsid w:val="001C625D"/>
    <w:rsid w:val="001C65D0"/>
    <w:rsid w:val="001C6A40"/>
    <w:rsid w:val="001C6AC3"/>
    <w:rsid w:val="001C6FE4"/>
    <w:rsid w:val="001C7CB1"/>
    <w:rsid w:val="001C7EBC"/>
    <w:rsid w:val="001C7F2A"/>
    <w:rsid w:val="001C7FD3"/>
    <w:rsid w:val="001D0117"/>
    <w:rsid w:val="001D01A5"/>
    <w:rsid w:val="001D0D56"/>
    <w:rsid w:val="001D0F67"/>
    <w:rsid w:val="001D1166"/>
    <w:rsid w:val="001D221F"/>
    <w:rsid w:val="001D2336"/>
    <w:rsid w:val="001D2F88"/>
    <w:rsid w:val="001D3109"/>
    <w:rsid w:val="001D3216"/>
    <w:rsid w:val="001D3597"/>
    <w:rsid w:val="001D3F7C"/>
    <w:rsid w:val="001D4F52"/>
    <w:rsid w:val="001D5649"/>
    <w:rsid w:val="001D56CF"/>
    <w:rsid w:val="001D5A22"/>
    <w:rsid w:val="001D5BDC"/>
    <w:rsid w:val="001D5C5A"/>
    <w:rsid w:val="001D5F63"/>
    <w:rsid w:val="001D60BA"/>
    <w:rsid w:val="001D62A0"/>
    <w:rsid w:val="001D65A5"/>
    <w:rsid w:val="001D665E"/>
    <w:rsid w:val="001D6C54"/>
    <w:rsid w:val="001D71E9"/>
    <w:rsid w:val="001D7482"/>
    <w:rsid w:val="001D7AB9"/>
    <w:rsid w:val="001E009C"/>
    <w:rsid w:val="001E0AAE"/>
    <w:rsid w:val="001E0FAA"/>
    <w:rsid w:val="001E13AA"/>
    <w:rsid w:val="001E15BF"/>
    <w:rsid w:val="001E166B"/>
    <w:rsid w:val="001E1DDD"/>
    <w:rsid w:val="001E2774"/>
    <w:rsid w:val="001E2DC8"/>
    <w:rsid w:val="001E30EC"/>
    <w:rsid w:val="001E363D"/>
    <w:rsid w:val="001E3B6F"/>
    <w:rsid w:val="001E3CC9"/>
    <w:rsid w:val="001E3F20"/>
    <w:rsid w:val="001E41C4"/>
    <w:rsid w:val="001E4AA7"/>
    <w:rsid w:val="001E4AB3"/>
    <w:rsid w:val="001E4B32"/>
    <w:rsid w:val="001E4D15"/>
    <w:rsid w:val="001E4D3A"/>
    <w:rsid w:val="001E5618"/>
    <w:rsid w:val="001E587D"/>
    <w:rsid w:val="001E5982"/>
    <w:rsid w:val="001E5AE4"/>
    <w:rsid w:val="001E5F36"/>
    <w:rsid w:val="001E6010"/>
    <w:rsid w:val="001E60D6"/>
    <w:rsid w:val="001E662A"/>
    <w:rsid w:val="001E6A7D"/>
    <w:rsid w:val="001E6B30"/>
    <w:rsid w:val="001E6E22"/>
    <w:rsid w:val="001E7859"/>
    <w:rsid w:val="001E7C16"/>
    <w:rsid w:val="001E7C21"/>
    <w:rsid w:val="001E7EC1"/>
    <w:rsid w:val="001F003B"/>
    <w:rsid w:val="001F008E"/>
    <w:rsid w:val="001F01EF"/>
    <w:rsid w:val="001F078D"/>
    <w:rsid w:val="001F0A37"/>
    <w:rsid w:val="001F0A87"/>
    <w:rsid w:val="001F0A90"/>
    <w:rsid w:val="001F1112"/>
    <w:rsid w:val="001F13DE"/>
    <w:rsid w:val="001F13E7"/>
    <w:rsid w:val="001F1521"/>
    <w:rsid w:val="001F1639"/>
    <w:rsid w:val="001F1656"/>
    <w:rsid w:val="001F18AF"/>
    <w:rsid w:val="001F210C"/>
    <w:rsid w:val="001F241A"/>
    <w:rsid w:val="001F258B"/>
    <w:rsid w:val="001F2612"/>
    <w:rsid w:val="001F285B"/>
    <w:rsid w:val="001F2CD6"/>
    <w:rsid w:val="001F2DFB"/>
    <w:rsid w:val="001F2FB1"/>
    <w:rsid w:val="001F324D"/>
    <w:rsid w:val="001F3422"/>
    <w:rsid w:val="001F34F1"/>
    <w:rsid w:val="001F3836"/>
    <w:rsid w:val="001F4007"/>
    <w:rsid w:val="001F4AD5"/>
    <w:rsid w:val="001F516F"/>
    <w:rsid w:val="001F54AE"/>
    <w:rsid w:val="001F5934"/>
    <w:rsid w:val="001F5B64"/>
    <w:rsid w:val="001F5E4C"/>
    <w:rsid w:val="001F658A"/>
    <w:rsid w:val="001F664D"/>
    <w:rsid w:val="001F6C92"/>
    <w:rsid w:val="001F6DBD"/>
    <w:rsid w:val="001F71A2"/>
    <w:rsid w:val="001F7683"/>
    <w:rsid w:val="001F76C5"/>
    <w:rsid w:val="001F7F2A"/>
    <w:rsid w:val="0020030F"/>
    <w:rsid w:val="00200935"/>
    <w:rsid w:val="002015EC"/>
    <w:rsid w:val="00201622"/>
    <w:rsid w:val="00201CDD"/>
    <w:rsid w:val="00201E62"/>
    <w:rsid w:val="00202274"/>
    <w:rsid w:val="0020263A"/>
    <w:rsid w:val="002028E4"/>
    <w:rsid w:val="0020292B"/>
    <w:rsid w:val="00202D0D"/>
    <w:rsid w:val="002032AE"/>
    <w:rsid w:val="00203E17"/>
    <w:rsid w:val="0020418B"/>
    <w:rsid w:val="002042F6"/>
    <w:rsid w:val="00204326"/>
    <w:rsid w:val="00204DDD"/>
    <w:rsid w:val="0020608C"/>
    <w:rsid w:val="00206296"/>
    <w:rsid w:val="002065AE"/>
    <w:rsid w:val="00206A8D"/>
    <w:rsid w:val="002076AB"/>
    <w:rsid w:val="00207A8C"/>
    <w:rsid w:val="00210A17"/>
    <w:rsid w:val="00210AAB"/>
    <w:rsid w:val="00210D4F"/>
    <w:rsid w:val="00210FBF"/>
    <w:rsid w:val="00211834"/>
    <w:rsid w:val="00211ADD"/>
    <w:rsid w:val="0021206A"/>
    <w:rsid w:val="002121EA"/>
    <w:rsid w:val="00212896"/>
    <w:rsid w:val="00212AFA"/>
    <w:rsid w:val="00212D97"/>
    <w:rsid w:val="00212EB4"/>
    <w:rsid w:val="00213B34"/>
    <w:rsid w:val="00213B7A"/>
    <w:rsid w:val="0021488D"/>
    <w:rsid w:val="002149AE"/>
    <w:rsid w:val="00214A8D"/>
    <w:rsid w:val="00215375"/>
    <w:rsid w:val="00215B94"/>
    <w:rsid w:val="00215EFA"/>
    <w:rsid w:val="0021680D"/>
    <w:rsid w:val="002179E2"/>
    <w:rsid w:val="00217C84"/>
    <w:rsid w:val="00217D3A"/>
    <w:rsid w:val="002201FF"/>
    <w:rsid w:val="00220201"/>
    <w:rsid w:val="002202CC"/>
    <w:rsid w:val="00220B28"/>
    <w:rsid w:val="00220B30"/>
    <w:rsid w:val="00220F18"/>
    <w:rsid w:val="0022186C"/>
    <w:rsid w:val="00221C26"/>
    <w:rsid w:val="00221F9C"/>
    <w:rsid w:val="00221FDA"/>
    <w:rsid w:val="002233DB"/>
    <w:rsid w:val="002233E8"/>
    <w:rsid w:val="002236A9"/>
    <w:rsid w:val="00223713"/>
    <w:rsid w:val="00223953"/>
    <w:rsid w:val="00224628"/>
    <w:rsid w:val="00224812"/>
    <w:rsid w:val="00224877"/>
    <w:rsid w:val="002249D8"/>
    <w:rsid w:val="00224BF6"/>
    <w:rsid w:val="002253DF"/>
    <w:rsid w:val="00225C4D"/>
    <w:rsid w:val="00225D1E"/>
    <w:rsid w:val="00226028"/>
    <w:rsid w:val="002261C9"/>
    <w:rsid w:val="0022624A"/>
    <w:rsid w:val="0022668E"/>
    <w:rsid w:val="00226B2D"/>
    <w:rsid w:val="00226CED"/>
    <w:rsid w:val="00226F1F"/>
    <w:rsid w:val="002270E1"/>
    <w:rsid w:val="002270FE"/>
    <w:rsid w:val="002272CF"/>
    <w:rsid w:val="0022755B"/>
    <w:rsid w:val="00230E95"/>
    <w:rsid w:val="00231046"/>
    <w:rsid w:val="00231277"/>
    <w:rsid w:val="00231721"/>
    <w:rsid w:val="00231B74"/>
    <w:rsid w:val="002325F9"/>
    <w:rsid w:val="002329AA"/>
    <w:rsid w:val="00232B85"/>
    <w:rsid w:val="00232DCA"/>
    <w:rsid w:val="00232E3D"/>
    <w:rsid w:val="00232F4E"/>
    <w:rsid w:val="0023305A"/>
    <w:rsid w:val="002330A6"/>
    <w:rsid w:val="0023330C"/>
    <w:rsid w:val="00233493"/>
    <w:rsid w:val="00233721"/>
    <w:rsid w:val="00233D7D"/>
    <w:rsid w:val="0023463F"/>
    <w:rsid w:val="0023467C"/>
    <w:rsid w:val="002347D1"/>
    <w:rsid w:val="00234A82"/>
    <w:rsid w:val="00234BB4"/>
    <w:rsid w:val="00234C8C"/>
    <w:rsid w:val="0023512E"/>
    <w:rsid w:val="0023513A"/>
    <w:rsid w:val="00235841"/>
    <w:rsid w:val="00235AA7"/>
    <w:rsid w:val="00235AE9"/>
    <w:rsid w:val="00235CFD"/>
    <w:rsid w:val="00236398"/>
    <w:rsid w:val="00236549"/>
    <w:rsid w:val="002369ED"/>
    <w:rsid w:val="00236EB9"/>
    <w:rsid w:val="0023765C"/>
    <w:rsid w:val="00237A47"/>
    <w:rsid w:val="00237ABB"/>
    <w:rsid w:val="00237C45"/>
    <w:rsid w:val="00240237"/>
    <w:rsid w:val="00240701"/>
    <w:rsid w:val="00241782"/>
    <w:rsid w:val="00241A2A"/>
    <w:rsid w:val="00241F4E"/>
    <w:rsid w:val="002421B9"/>
    <w:rsid w:val="00242F75"/>
    <w:rsid w:val="00242FDC"/>
    <w:rsid w:val="00243487"/>
    <w:rsid w:val="00243A06"/>
    <w:rsid w:val="00243F19"/>
    <w:rsid w:val="00244224"/>
    <w:rsid w:val="002446EA"/>
    <w:rsid w:val="00244918"/>
    <w:rsid w:val="00244BB0"/>
    <w:rsid w:val="00244BE9"/>
    <w:rsid w:val="002451EE"/>
    <w:rsid w:val="002452D4"/>
    <w:rsid w:val="002453EC"/>
    <w:rsid w:val="002455EC"/>
    <w:rsid w:val="0024591B"/>
    <w:rsid w:val="00245C48"/>
    <w:rsid w:val="00245DCA"/>
    <w:rsid w:val="0024608A"/>
    <w:rsid w:val="00246701"/>
    <w:rsid w:val="0024671C"/>
    <w:rsid w:val="00246864"/>
    <w:rsid w:val="002469B1"/>
    <w:rsid w:val="00246CF5"/>
    <w:rsid w:val="00246D98"/>
    <w:rsid w:val="00246EC1"/>
    <w:rsid w:val="0024703C"/>
    <w:rsid w:val="0024724C"/>
    <w:rsid w:val="0024742B"/>
    <w:rsid w:val="002475CE"/>
    <w:rsid w:val="00247668"/>
    <w:rsid w:val="002478E2"/>
    <w:rsid w:val="00247E49"/>
    <w:rsid w:val="00250310"/>
    <w:rsid w:val="00250F6E"/>
    <w:rsid w:val="0025127F"/>
    <w:rsid w:val="00251772"/>
    <w:rsid w:val="00251AEE"/>
    <w:rsid w:val="00251B4D"/>
    <w:rsid w:val="00251D4C"/>
    <w:rsid w:val="00252035"/>
    <w:rsid w:val="00252197"/>
    <w:rsid w:val="00252269"/>
    <w:rsid w:val="00252A97"/>
    <w:rsid w:val="00252CC5"/>
    <w:rsid w:val="002531CA"/>
    <w:rsid w:val="0025343C"/>
    <w:rsid w:val="002535A2"/>
    <w:rsid w:val="00253A88"/>
    <w:rsid w:val="00253C79"/>
    <w:rsid w:val="00253CEA"/>
    <w:rsid w:val="00253D3A"/>
    <w:rsid w:val="00254124"/>
    <w:rsid w:val="002541FE"/>
    <w:rsid w:val="00254C7E"/>
    <w:rsid w:val="002551FA"/>
    <w:rsid w:val="002557CF"/>
    <w:rsid w:val="0025602F"/>
    <w:rsid w:val="00256108"/>
    <w:rsid w:val="002570FE"/>
    <w:rsid w:val="00257750"/>
    <w:rsid w:val="00260267"/>
    <w:rsid w:val="00260978"/>
    <w:rsid w:val="00260DF2"/>
    <w:rsid w:val="00260E35"/>
    <w:rsid w:val="00260E42"/>
    <w:rsid w:val="002611B5"/>
    <w:rsid w:val="002615FA"/>
    <w:rsid w:val="00261B6D"/>
    <w:rsid w:val="00261D51"/>
    <w:rsid w:val="00261FD0"/>
    <w:rsid w:val="0026289C"/>
    <w:rsid w:val="00262B33"/>
    <w:rsid w:val="00262CB0"/>
    <w:rsid w:val="0026314C"/>
    <w:rsid w:val="002636C5"/>
    <w:rsid w:val="00263A69"/>
    <w:rsid w:val="00263AF2"/>
    <w:rsid w:val="00263FC5"/>
    <w:rsid w:val="0026409B"/>
    <w:rsid w:val="002646DE"/>
    <w:rsid w:val="002648A1"/>
    <w:rsid w:val="0026498F"/>
    <w:rsid w:val="00264B53"/>
    <w:rsid w:val="00264BFA"/>
    <w:rsid w:val="00264F3A"/>
    <w:rsid w:val="002652B5"/>
    <w:rsid w:val="0026553F"/>
    <w:rsid w:val="002658B3"/>
    <w:rsid w:val="002660CF"/>
    <w:rsid w:val="0026625B"/>
    <w:rsid w:val="002662E7"/>
    <w:rsid w:val="002666AC"/>
    <w:rsid w:val="00266A9E"/>
    <w:rsid w:val="00266B2B"/>
    <w:rsid w:val="00266EC5"/>
    <w:rsid w:val="00266F95"/>
    <w:rsid w:val="002670CC"/>
    <w:rsid w:val="002671E3"/>
    <w:rsid w:val="00267345"/>
    <w:rsid w:val="0026756B"/>
    <w:rsid w:val="002676B8"/>
    <w:rsid w:val="002677E3"/>
    <w:rsid w:val="00267953"/>
    <w:rsid w:val="00267ADF"/>
    <w:rsid w:val="002703C4"/>
    <w:rsid w:val="00270455"/>
    <w:rsid w:val="00270570"/>
    <w:rsid w:val="00270C1E"/>
    <w:rsid w:val="0027101B"/>
    <w:rsid w:val="00271444"/>
    <w:rsid w:val="00271871"/>
    <w:rsid w:val="00271A48"/>
    <w:rsid w:val="00271BFC"/>
    <w:rsid w:val="00271D70"/>
    <w:rsid w:val="00271E36"/>
    <w:rsid w:val="0027218C"/>
    <w:rsid w:val="002723A8"/>
    <w:rsid w:val="002724DD"/>
    <w:rsid w:val="002725EF"/>
    <w:rsid w:val="00272DA9"/>
    <w:rsid w:val="00272DB7"/>
    <w:rsid w:val="002731D5"/>
    <w:rsid w:val="0027359F"/>
    <w:rsid w:val="00273807"/>
    <w:rsid w:val="002744C3"/>
    <w:rsid w:val="00274832"/>
    <w:rsid w:val="00274B2D"/>
    <w:rsid w:val="00274CE7"/>
    <w:rsid w:val="00274D55"/>
    <w:rsid w:val="00274FD6"/>
    <w:rsid w:val="00275B1E"/>
    <w:rsid w:val="0027619F"/>
    <w:rsid w:val="00276420"/>
    <w:rsid w:val="002765E7"/>
    <w:rsid w:val="00276625"/>
    <w:rsid w:val="00276F10"/>
    <w:rsid w:val="00277B95"/>
    <w:rsid w:val="00277C22"/>
    <w:rsid w:val="00277C91"/>
    <w:rsid w:val="00277EF7"/>
    <w:rsid w:val="00280159"/>
    <w:rsid w:val="00280279"/>
    <w:rsid w:val="00280732"/>
    <w:rsid w:val="0028091D"/>
    <w:rsid w:val="00280E57"/>
    <w:rsid w:val="00280FDC"/>
    <w:rsid w:val="00281515"/>
    <w:rsid w:val="00281792"/>
    <w:rsid w:val="0028184D"/>
    <w:rsid w:val="00281F0C"/>
    <w:rsid w:val="00282464"/>
    <w:rsid w:val="00282755"/>
    <w:rsid w:val="00282CB2"/>
    <w:rsid w:val="00282CD4"/>
    <w:rsid w:val="002830E6"/>
    <w:rsid w:val="002837CB"/>
    <w:rsid w:val="00283D78"/>
    <w:rsid w:val="00283DD9"/>
    <w:rsid w:val="0028474D"/>
    <w:rsid w:val="00285572"/>
    <w:rsid w:val="00285DEE"/>
    <w:rsid w:val="0028615F"/>
    <w:rsid w:val="002865B7"/>
    <w:rsid w:val="002877D9"/>
    <w:rsid w:val="002879B0"/>
    <w:rsid w:val="00287A38"/>
    <w:rsid w:val="00287A93"/>
    <w:rsid w:val="00290003"/>
    <w:rsid w:val="00290323"/>
    <w:rsid w:val="002903CC"/>
    <w:rsid w:val="002908C6"/>
    <w:rsid w:val="002909D2"/>
    <w:rsid w:val="00290F9D"/>
    <w:rsid w:val="00291197"/>
    <w:rsid w:val="002914C6"/>
    <w:rsid w:val="00291822"/>
    <w:rsid w:val="00291A7C"/>
    <w:rsid w:val="00291B09"/>
    <w:rsid w:val="00291C0A"/>
    <w:rsid w:val="0029224C"/>
    <w:rsid w:val="00292908"/>
    <w:rsid w:val="0029296C"/>
    <w:rsid w:val="00292C67"/>
    <w:rsid w:val="00292ECF"/>
    <w:rsid w:val="00293151"/>
    <w:rsid w:val="002931D9"/>
    <w:rsid w:val="002933CD"/>
    <w:rsid w:val="00293487"/>
    <w:rsid w:val="00293F70"/>
    <w:rsid w:val="0029416E"/>
    <w:rsid w:val="00294626"/>
    <w:rsid w:val="00294A06"/>
    <w:rsid w:val="00294CBE"/>
    <w:rsid w:val="00294EF3"/>
    <w:rsid w:val="00294FCE"/>
    <w:rsid w:val="002950C1"/>
    <w:rsid w:val="00295537"/>
    <w:rsid w:val="00295816"/>
    <w:rsid w:val="00295A98"/>
    <w:rsid w:val="00295BA0"/>
    <w:rsid w:val="0029668D"/>
    <w:rsid w:val="00296946"/>
    <w:rsid w:val="002969BA"/>
    <w:rsid w:val="00296BA1"/>
    <w:rsid w:val="002972FF"/>
    <w:rsid w:val="00297594"/>
    <w:rsid w:val="00297717"/>
    <w:rsid w:val="00297D92"/>
    <w:rsid w:val="002A0084"/>
    <w:rsid w:val="002A0392"/>
    <w:rsid w:val="002A0405"/>
    <w:rsid w:val="002A04CD"/>
    <w:rsid w:val="002A07D0"/>
    <w:rsid w:val="002A0C80"/>
    <w:rsid w:val="002A14D3"/>
    <w:rsid w:val="002A155D"/>
    <w:rsid w:val="002A1752"/>
    <w:rsid w:val="002A1921"/>
    <w:rsid w:val="002A1980"/>
    <w:rsid w:val="002A1D15"/>
    <w:rsid w:val="002A2675"/>
    <w:rsid w:val="002A2D57"/>
    <w:rsid w:val="002A3052"/>
    <w:rsid w:val="002A345B"/>
    <w:rsid w:val="002A36A0"/>
    <w:rsid w:val="002A4295"/>
    <w:rsid w:val="002A4520"/>
    <w:rsid w:val="002A4811"/>
    <w:rsid w:val="002A4881"/>
    <w:rsid w:val="002A491A"/>
    <w:rsid w:val="002A4945"/>
    <w:rsid w:val="002A4962"/>
    <w:rsid w:val="002A4CA0"/>
    <w:rsid w:val="002A4CE2"/>
    <w:rsid w:val="002A4E08"/>
    <w:rsid w:val="002A4F63"/>
    <w:rsid w:val="002A5192"/>
    <w:rsid w:val="002A5357"/>
    <w:rsid w:val="002A55F7"/>
    <w:rsid w:val="002A5693"/>
    <w:rsid w:val="002A5706"/>
    <w:rsid w:val="002A57EF"/>
    <w:rsid w:val="002A5B17"/>
    <w:rsid w:val="002A6767"/>
    <w:rsid w:val="002A7408"/>
    <w:rsid w:val="002A7633"/>
    <w:rsid w:val="002A7D67"/>
    <w:rsid w:val="002A7E11"/>
    <w:rsid w:val="002A7EDA"/>
    <w:rsid w:val="002B048B"/>
    <w:rsid w:val="002B0610"/>
    <w:rsid w:val="002B0B73"/>
    <w:rsid w:val="002B12D4"/>
    <w:rsid w:val="002B135D"/>
    <w:rsid w:val="002B1835"/>
    <w:rsid w:val="002B1A27"/>
    <w:rsid w:val="002B2200"/>
    <w:rsid w:val="002B3578"/>
    <w:rsid w:val="002B35B1"/>
    <w:rsid w:val="002B45E1"/>
    <w:rsid w:val="002B4690"/>
    <w:rsid w:val="002B495E"/>
    <w:rsid w:val="002B4B92"/>
    <w:rsid w:val="002B4C1D"/>
    <w:rsid w:val="002B4C7C"/>
    <w:rsid w:val="002B4FC5"/>
    <w:rsid w:val="002B5138"/>
    <w:rsid w:val="002B5DC6"/>
    <w:rsid w:val="002B614F"/>
    <w:rsid w:val="002B68DB"/>
    <w:rsid w:val="002B6E96"/>
    <w:rsid w:val="002B715D"/>
    <w:rsid w:val="002B7346"/>
    <w:rsid w:val="002B74FA"/>
    <w:rsid w:val="002B7782"/>
    <w:rsid w:val="002B7DA2"/>
    <w:rsid w:val="002C036C"/>
    <w:rsid w:val="002C05A0"/>
    <w:rsid w:val="002C08AB"/>
    <w:rsid w:val="002C0968"/>
    <w:rsid w:val="002C0E93"/>
    <w:rsid w:val="002C1032"/>
    <w:rsid w:val="002C141E"/>
    <w:rsid w:val="002C180E"/>
    <w:rsid w:val="002C1DE0"/>
    <w:rsid w:val="002C25C6"/>
    <w:rsid w:val="002C2840"/>
    <w:rsid w:val="002C2911"/>
    <w:rsid w:val="002C2EB5"/>
    <w:rsid w:val="002C3453"/>
    <w:rsid w:val="002C369B"/>
    <w:rsid w:val="002C3A6E"/>
    <w:rsid w:val="002C3B35"/>
    <w:rsid w:val="002C3EC9"/>
    <w:rsid w:val="002C4D8A"/>
    <w:rsid w:val="002C5110"/>
    <w:rsid w:val="002C5519"/>
    <w:rsid w:val="002C5616"/>
    <w:rsid w:val="002C5A36"/>
    <w:rsid w:val="002C5BC8"/>
    <w:rsid w:val="002C631B"/>
    <w:rsid w:val="002C68FB"/>
    <w:rsid w:val="002C6B1F"/>
    <w:rsid w:val="002C6C0D"/>
    <w:rsid w:val="002C6DD5"/>
    <w:rsid w:val="002C76F4"/>
    <w:rsid w:val="002C7EE4"/>
    <w:rsid w:val="002D04E2"/>
    <w:rsid w:val="002D080B"/>
    <w:rsid w:val="002D0ED9"/>
    <w:rsid w:val="002D14F9"/>
    <w:rsid w:val="002D1697"/>
    <w:rsid w:val="002D169F"/>
    <w:rsid w:val="002D1717"/>
    <w:rsid w:val="002D181A"/>
    <w:rsid w:val="002D1B88"/>
    <w:rsid w:val="002D21D0"/>
    <w:rsid w:val="002D2559"/>
    <w:rsid w:val="002D2674"/>
    <w:rsid w:val="002D3158"/>
    <w:rsid w:val="002D32C0"/>
    <w:rsid w:val="002D3761"/>
    <w:rsid w:val="002D3838"/>
    <w:rsid w:val="002D3B8F"/>
    <w:rsid w:val="002D404B"/>
    <w:rsid w:val="002D437D"/>
    <w:rsid w:val="002D4D3D"/>
    <w:rsid w:val="002D4D8B"/>
    <w:rsid w:val="002D5635"/>
    <w:rsid w:val="002D56A2"/>
    <w:rsid w:val="002D579C"/>
    <w:rsid w:val="002D5C87"/>
    <w:rsid w:val="002D5DC5"/>
    <w:rsid w:val="002D5EA1"/>
    <w:rsid w:val="002D5EBB"/>
    <w:rsid w:val="002D6087"/>
    <w:rsid w:val="002D632C"/>
    <w:rsid w:val="002D654F"/>
    <w:rsid w:val="002D6DEE"/>
    <w:rsid w:val="002D6E59"/>
    <w:rsid w:val="002D744F"/>
    <w:rsid w:val="002D778A"/>
    <w:rsid w:val="002D7F65"/>
    <w:rsid w:val="002D7F72"/>
    <w:rsid w:val="002E0AC1"/>
    <w:rsid w:val="002E0F2E"/>
    <w:rsid w:val="002E1255"/>
    <w:rsid w:val="002E1DA1"/>
    <w:rsid w:val="002E2182"/>
    <w:rsid w:val="002E2740"/>
    <w:rsid w:val="002E2846"/>
    <w:rsid w:val="002E2CD7"/>
    <w:rsid w:val="002E3024"/>
    <w:rsid w:val="002E3065"/>
    <w:rsid w:val="002E3528"/>
    <w:rsid w:val="002E3902"/>
    <w:rsid w:val="002E3FAF"/>
    <w:rsid w:val="002E3FCE"/>
    <w:rsid w:val="002E406E"/>
    <w:rsid w:val="002E4C81"/>
    <w:rsid w:val="002E4FD1"/>
    <w:rsid w:val="002E530F"/>
    <w:rsid w:val="002E53C1"/>
    <w:rsid w:val="002E54EA"/>
    <w:rsid w:val="002E5675"/>
    <w:rsid w:val="002E5A19"/>
    <w:rsid w:val="002E5B99"/>
    <w:rsid w:val="002E5DC3"/>
    <w:rsid w:val="002E641A"/>
    <w:rsid w:val="002E668A"/>
    <w:rsid w:val="002E6B66"/>
    <w:rsid w:val="002E6C53"/>
    <w:rsid w:val="002F075B"/>
    <w:rsid w:val="002F0B5F"/>
    <w:rsid w:val="002F0EE1"/>
    <w:rsid w:val="002F1325"/>
    <w:rsid w:val="002F1374"/>
    <w:rsid w:val="002F1400"/>
    <w:rsid w:val="002F17CE"/>
    <w:rsid w:val="002F1EF7"/>
    <w:rsid w:val="002F2221"/>
    <w:rsid w:val="002F2323"/>
    <w:rsid w:val="002F238B"/>
    <w:rsid w:val="002F2511"/>
    <w:rsid w:val="002F2E65"/>
    <w:rsid w:val="002F30B4"/>
    <w:rsid w:val="002F312B"/>
    <w:rsid w:val="002F3A87"/>
    <w:rsid w:val="002F45FA"/>
    <w:rsid w:val="002F503C"/>
    <w:rsid w:val="002F52DB"/>
    <w:rsid w:val="002F542E"/>
    <w:rsid w:val="002F56FC"/>
    <w:rsid w:val="002F6451"/>
    <w:rsid w:val="002F65BA"/>
    <w:rsid w:val="002F6711"/>
    <w:rsid w:val="002F7044"/>
    <w:rsid w:val="002F7215"/>
    <w:rsid w:val="002F76FA"/>
    <w:rsid w:val="002F7A07"/>
    <w:rsid w:val="0030064A"/>
    <w:rsid w:val="00300767"/>
    <w:rsid w:val="00300C8B"/>
    <w:rsid w:val="00300CDA"/>
    <w:rsid w:val="00300DB6"/>
    <w:rsid w:val="00300E2A"/>
    <w:rsid w:val="00301650"/>
    <w:rsid w:val="00301AC1"/>
    <w:rsid w:val="00301C07"/>
    <w:rsid w:val="00303046"/>
    <w:rsid w:val="00303362"/>
    <w:rsid w:val="0030376B"/>
    <w:rsid w:val="00303D47"/>
    <w:rsid w:val="00303EC2"/>
    <w:rsid w:val="00304527"/>
    <w:rsid w:val="00304960"/>
    <w:rsid w:val="0030496B"/>
    <w:rsid w:val="00304BBD"/>
    <w:rsid w:val="00304BE9"/>
    <w:rsid w:val="00304CFA"/>
    <w:rsid w:val="00304F99"/>
    <w:rsid w:val="00304F9F"/>
    <w:rsid w:val="003052C4"/>
    <w:rsid w:val="0030531A"/>
    <w:rsid w:val="00305D4A"/>
    <w:rsid w:val="00306098"/>
    <w:rsid w:val="00307008"/>
    <w:rsid w:val="003073FD"/>
    <w:rsid w:val="00307B36"/>
    <w:rsid w:val="00307B66"/>
    <w:rsid w:val="00307ECD"/>
    <w:rsid w:val="00310051"/>
    <w:rsid w:val="00310473"/>
    <w:rsid w:val="003104EE"/>
    <w:rsid w:val="003108A5"/>
    <w:rsid w:val="00310996"/>
    <w:rsid w:val="00310A07"/>
    <w:rsid w:val="00310CDA"/>
    <w:rsid w:val="003111D6"/>
    <w:rsid w:val="0031144A"/>
    <w:rsid w:val="003115EF"/>
    <w:rsid w:val="003125AB"/>
    <w:rsid w:val="003129B5"/>
    <w:rsid w:val="00312C5C"/>
    <w:rsid w:val="00312D58"/>
    <w:rsid w:val="00313AFC"/>
    <w:rsid w:val="00313F0D"/>
    <w:rsid w:val="00314514"/>
    <w:rsid w:val="00314532"/>
    <w:rsid w:val="0031472B"/>
    <w:rsid w:val="003149DB"/>
    <w:rsid w:val="00314BB2"/>
    <w:rsid w:val="00314D1D"/>
    <w:rsid w:val="00314DB3"/>
    <w:rsid w:val="00315129"/>
    <w:rsid w:val="00315383"/>
    <w:rsid w:val="003157EF"/>
    <w:rsid w:val="00316702"/>
    <w:rsid w:val="00316BDA"/>
    <w:rsid w:val="00316C61"/>
    <w:rsid w:val="0031705F"/>
    <w:rsid w:val="00317080"/>
    <w:rsid w:val="003175A5"/>
    <w:rsid w:val="00317866"/>
    <w:rsid w:val="00317E9E"/>
    <w:rsid w:val="00320ED7"/>
    <w:rsid w:val="00321255"/>
    <w:rsid w:val="0032373B"/>
    <w:rsid w:val="0032380B"/>
    <w:rsid w:val="00323990"/>
    <w:rsid w:val="00323F54"/>
    <w:rsid w:val="00324365"/>
    <w:rsid w:val="003247B0"/>
    <w:rsid w:val="00324C32"/>
    <w:rsid w:val="00324CF4"/>
    <w:rsid w:val="003258C7"/>
    <w:rsid w:val="00325A37"/>
    <w:rsid w:val="00325F6A"/>
    <w:rsid w:val="003268EB"/>
    <w:rsid w:val="00327237"/>
    <w:rsid w:val="003273FD"/>
    <w:rsid w:val="00327FD1"/>
    <w:rsid w:val="00330352"/>
    <w:rsid w:val="003304F7"/>
    <w:rsid w:val="003306CE"/>
    <w:rsid w:val="00330708"/>
    <w:rsid w:val="0033078B"/>
    <w:rsid w:val="003316B3"/>
    <w:rsid w:val="003319CF"/>
    <w:rsid w:val="003319E2"/>
    <w:rsid w:val="003323B6"/>
    <w:rsid w:val="00332B40"/>
    <w:rsid w:val="003333A6"/>
    <w:rsid w:val="00333698"/>
    <w:rsid w:val="00333B04"/>
    <w:rsid w:val="00334326"/>
    <w:rsid w:val="00334467"/>
    <w:rsid w:val="0033476D"/>
    <w:rsid w:val="0033505C"/>
    <w:rsid w:val="0033592C"/>
    <w:rsid w:val="0033610E"/>
    <w:rsid w:val="003371D8"/>
    <w:rsid w:val="00337331"/>
    <w:rsid w:val="003373CE"/>
    <w:rsid w:val="0033759A"/>
    <w:rsid w:val="00337BC1"/>
    <w:rsid w:val="00340080"/>
    <w:rsid w:val="003401B1"/>
    <w:rsid w:val="00340413"/>
    <w:rsid w:val="00340550"/>
    <w:rsid w:val="00340B2B"/>
    <w:rsid w:val="003411CE"/>
    <w:rsid w:val="00341DC6"/>
    <w:rsid w:val="0034229B"/>
    <w:rsid w:val="003429A1"/>
    <w:rsid w:val="0034389B"/>
    <w:rsid w:val="00343ABC"/>
    <w:rsid w:val="003450F0"/>
    <w:rsid w:val="00345179"/>
    <w:rsid w:val="003451C4"/>
    <w:rsid w:val="00345211"/>
    <w:rsid w:val="003453F0"/>
    <w:rsid w:val="00345917"/>
    <w:rsid w:val="00345A76"/>
    <w:rsid w:val="00345F29"/>
    <w:rsid w:val="003461A1"/>
    <w:rsid w:val="00346D1A"/>
    <w:rsid w:val="00346F06"/>
    <w:rsid w:val="003470C2"/>
    <w:rsid w:val="00347145"/>
    <w:rsid w:val="003472E9"/>
    <w:rsid w:val="0034731C"/>
    <w:rsid w:val="00347412"/>
    <w:rsid w:val="003475AC"/>
    <w:rsid w:val="003479AC"/>
    <w:rsid w:val="00347F50"/>
    <w:rsid w:val="0035011C"/>
    <w:rsid w:val="00350275"/>
    <w:rsid w:val="00350531"/>
    <w:rsid w:val="003515C9"/>
    <w:rsid w:val="00351667"/>
    <w:rsid w:val="00351870"/>
    <w:rsid w:val="003518B7"/>
    <w:rsid w:val="003518FB"/>
    <w:rsid w:val="00351C9A"/>
    <w:rsid w:val="00351D0B"/>
    <w:rsid w:val="00352046"/>
    <w:rsid w:val="0035273D"/>
    <w:rsid w:val="0035287E"/>
    <w:rsid w:val="00352BCB"/>
    <w:rsid w:val="0035326A"/>
    <w:rsid w:val="0035332D"/>
    <w:rsid w:val="0035355C"/>
    <w:rsid w:val="00353786"/>
    <w:rsid w:val="003538E8"/>
    <w:rsid w:val="00353C9E"/>
    <w:rsid w:val="00353DB0"/>
    <w:rsid w:val="00353DE5"/>
    <w:rsid w:val="00354112"/>
    <w:rsid w:val="0035429B"/>
    <w:rsid w:val="00354E8F"/>
    <w:rsid w:val="003552B2"/>
    <w:rsid w:val="00355475"/>
    <w:rsid w:val="0035570A"/>
    <w:rsid w:val="00355BCC"/>
    <w:rsid w:val="003560F2"/>
    <w:rsid w:val="003563AD"/>
    <w:rsid w:val="0035646B"/>
    <w:rsid w:val="00356622"/>
    <w:rsid w:val="0035670E"/>
    <w:rsid w:val="00356763"/>
    <w:rsid w:val="00356ACD"/>
    <w:rsid w:val="00357417"/>
    <w:rsid w:val="00357AE1"/>
    <w:rsid w:val="00357FD3"/>
    <w:rsid w:val="00360044"/>
    <w:rsid w:val="003603DB"/>
    <w:rsid w:val="00361393"/>
    <w:rsid w:val="003615CF"/>
    <w:rsid w:val="00361E5D"/>
    <w:rsid w:val="0036272B"/>
    <w:rsid w:val="00362862"/>
    <w:rsid w:val="00362E7A"/>
    <w:rsid w:val="003638B4"/>
    <w:rsid w:val="0036413C"/>
    <w:rsid w:val="0036414C"/>
    <w:rsid w:val="0036443F"/>
    <w:rsid w:val="00364622"/>
    <w:rsid w:val="00364E14"/>
    <w:rsid w:val="0036502A"/>
    <w:rsid w:val="00365404"/>
    <w:rsid w:val="00365AF1"/>
    <w:rsid w:val="00365C95"/>
    <w:rsid w:val="00365E1D"/>
    <w:rsid w:val="00366343"/>
    <w:rsid w:val="0036694D"/>
    <w:rsid w:val="00366A95"/>
    <w:rsid w:val="00366CC6"/>
    <w:rsid w:val="00366E7A"/>
    <w:rsid w:val="00366E8D"/>
    <w:rsid w:val="00367053"/>
    <w:rsid w:val="00367E27"/>
    <w:rsid w:val="0037006C"/>
    <w:rsid w:val="003704B4"/>
    <w:rsid w:val="00370AC8"/>
    <w:rsid w:val="00370D7D"/>
    <w:rsid w:val="00371834"/>
    <w:rsid w:val="00371E73"/>
    <w:rsid w:val="00372074"/>
    <w:rsid w:val="00372358"/>
    <w:rsid w:val="003726E0"/>
    <w:rsid w:val="003726F7"/>
    <w:rsid w:val="003729C9"/>
    <w:rsid w:val="00372D21"/>
    <w:rsid w:val="00372E3F"/>
    <w:rsid w:val="00373050"/>
    <w:rsid w:val="003734CE"/>
    <w:rsid w:val="0037362A"/>
    <w:rsid w:val="003736FD"/>
    <w:rsid w:val="00373E4F"/>
    <w:rsid w:val="00374310"/>
    <w:rsid w:val="00374630"/>
    <w:rsid w:val="00374689"/>
    <w:rsid w:val="003747DE"/>
    <w:rsid w:val="00374C7F"/>
    <w:rsid w:val="00374E5D"/>
    <w:rsid w:val="00375121"/>
    <w:rsid w:val="003751F0"/>
    <w:rsid w:val="00375E7F"/>
    <w:rsid w:val="00376245"/>
    <w:rsid w:val="003762E7"/>
    <w:rsid w:val="00376CB4"/>
    <w:rsid w:val="0037720E"/>
    <w:rsid w:val="0037724E"/>
    <w:rsid w:val="00377AB1"/>
    <w:rsid w:val="00377F82"/>
    <w:rsid w:val="003802D8"/>
    <w:rsid w:val="00380874"/>
    <w:rsid w:val="00380C3F"/>
    <w:rsid w:val="00380F4B"/>
    <w:rsid w:val="00381295"/>
    <w:rsid w:val="003816EC"/>
    <w:rsid w:val="00381D5B"/>
    <w:rsid w:val="003820AF"/>
    <w:rsid w:val="0038253C"/>
    <w:rsid w:val="00382580"/>
    <w:rsid w:val="00382B0B"/>
    <w:rsid w:val="00382B17"/>
    <w:rsid w:val="00382E84"/>
    <w:rsid w:val="00383050"/>
    <w:rsid w:val="003837F4"/>
    <w:rsid w:val="00383E32"/>
    <w:rsid w:val="0038471F"/>
    <w:rsid w:val="0038475D"/>
    <w:rsid w:val="0038517B"/>
    <w:rsid w:val="00385181"/>
    <w:rsid w:val="0038542B"/>
    <w:rsid w:val="003855E7"/>
    <w:rsid w:val="00385728"/>
    <w:rsid w:val="00385783"/>
    <w:rsid w:val="00386EF2"/>
    <w:rsid w:val="0038711D"/>
    <w:rsid w:val="00387512"/>
    <w:rsid w:val="0038759C"/>
    <w:rsid w:val="00387B37"/>
    <w:rsid w:val="00387C0B"/>
    <w:rsid w:val="00390333"/>
    <w:rsid w:val="00390892"/>
    <w:rsid w:val="00390FBE"/>
    <w:rsid w:val="00390FC9"/>
    <w:rsid w:val="0039118E"/>
    <w:rsid w:val="0039187A"/>
    <w:rsid w:val="00391921"/>
    <w:rsid w:val="00391C2E"/>
    <w:rsid w:val="003920D4"/>
    <w:rsid w:val="0039212F"/>
    <w:rsid w:val="003923F1"/>
    <w:rsid w:val="00392749"/>
    <w:rsid w:val="0039290F"/>
    <w:rsid w:val="003929D5"/>
    <w:rsid w:val="003932E3"/>
    <w:rsid w:val="0039353D"/>
    <w:rsid w:val="00393993"/>
    <w:rsid w:val="00393C95"/>
    <w:rsid w:val="00393FDF"/>
    <w:rsid w:val="00394010"/>
    <w:rsid w:val="00394044"/>
    <w:rsid w:val="00394B0B"/>
    <w:rsid w:val="00394CCD"/>
    <w:rsid w:val="00394F60"/>
    <w:rsid w:val="00394FA3"/>
    <w:rsid w:val="00395132"/>
    <w:rsid w:val="00395290"/>
    <w:rsid w:val="0039598F"/>
    <w:rsid w:val="00395FA5"/>
    <w:rsid w:val="003968E6"/>
    <w:rsid w:val="00396965"/>
    <w:rsid w:val="003969AF"/>
    <w:rsid w:val="00396A1F"/>
    <w:rsid w:val="00396E0C"/>
    <w:rsid w:val="00396EFB"/>
    <w:rsid w:val="003971A9"/>
    <w:rsid w:val="00397E98"/>
    <w:rsid w:val="003A08B1"/>
    <w:rsid w:val="003A0A39"/>
    <w:rsid w:val="003A1060"/>
    <w:rsid w:val="003A12C9"/>
    <w:rsid w:val="003A1803"/>
    <w:rsid w:val="003A19C0"/>
    <w:rsid w:val="003A20DC"/>
    <w:rsid w:val="003A2762"/>
    <w:rsid w:val="003A2A19"/>
    <w:rsid w:val="003A2E53"/>
    <w:rsid w:val="003A2EF4"/>
    <w:rsid w:val="003A3654"/>
    <w:rsid w:val="003A38F9"/>
    <w:rsid w:val="003A393E"/>
    <w:rsid w:val="003A3F74"/>
    <w:rsid w:val="003A4338"/>
    <w:rsid w:val="003A4368"/>
    <w:rsid w:val="003A441B"/>
    <w:rsid w:val="003A4554"/>
    <w:rsid w:val="003A46BD"/>
    <w:rsid w:val="003A4AAA"/>
    <w:rsid w:val="003A4F1E"/>
    <w:rsid w:val="003A4F49"/>
    <w:rsid w:val="003A5545"/>
    <w:rsid w:val="003A5BEC"/>
    <w:rsid w:val="003A5CAF"/>
    <w:rsid w:val="003A62F3"/>
    <w:rsid w:val="003A65A1"/>
    <w:rsid w:val="003A67AD"/>
    <w:rsid w:val="003A6D35"/>
    <w:rsid w:val="003A6EB8"/>
    <w:rsid w:val="003A7542"/>
    <w:rsid w:val="003A757B"/>
    <w:rsid w:val="003A7721"/>
    <w:rsid w:val="003A7780"/>
    <w:rsid w:val="003A7991"/>
    <w:rsid w:val="003A7D4D"/>
    <w:rsid w:val="003B0419"/>
    <w:rsid w:val="003B055D"/>
    <w:rsid w:val="003B092D"/>
    <w:rsid w:val="003B131E"/>
    <w:rsid w:val="003B13CE"/>
    <w:rsid w:val="003B151C"/>
    <w:rsid w:val="003B1DB8"/>
    <w:rsid w:val="003B1EB1"/>
    <w:rsid w:val="003B207D"/>
    <w:rsid w:val="003B2477"/>
    <w:rsid w:val="003B2635"/>
    <w:rsid w:val="003B2B9E"/>
    <w:rsid w:val="003B2BDD"/>
    <w:rsid w:val="003B2C88"/>
    <w:rsid w:val="003B3564"/>
    <w:rsid w:val="003B3C44"/>
    <w:rsid w:val="003B3E07"/>
    <w:rsid w:val="003B3EB0"/>
    <w:rsid w:val="003B3F3E"/>
    <w:rsid w:val="003B4000"/>
    <w:rsid w:val="003B40F5"/>
    <w:rsid w:val="003B4CEC"/>
    <w:rsid w:val="003B5168"/>
    <w:rsid w:val="003B5238"/>
    <w:rsid w:val="003B58CE"/>
    <w:rsid w:val="003B5BFF"/>
    <w:rsid w:val="003B63BD"/>
    <w:rsid w:val="003B66DB"/>
    <w:rsid w:val="003B6ADC"/>
    <w:rsid w:val="003B6CAF"/>
    <w:rsid w:val="003B7072"/>
    <w:rsid w:val="003B7B63"/>
    <w:rsid w:val="003B7EBB"/>
    <w:rsid w:val="003B7F39"/>
    <w:rsid w:val="003C006C"/>
    <w:rsid w:val="003C0244"/>
    <w:rsid w:val="003C0F10"/>
    <w:rsid w:val="003C0F1E"/>
    <w:rsid w:val="003C11A5"/>
    <w:rsid w:val="003C1210"/>
    <w:rsid w:val="003C13C8"/>
    <w:rsid w:val="003C182B"/>
    <w:rsid w:val="003C1B5A"/>
    <w:rsid w:val="003C1CB4"/>
    <w:rsid w:val="003C1CBD"/>
    <w:rsid w:val="003C1F6A"/>
    <w:rsid w:val="003C1FCA"/>
    <w:rsid w:val="003C2034"/>
    <w:rsid w:val="003C2AE3"/>
    <w:rsid w:val="003C374C"/>
    <w:rsid w:val="003C44AF"/>
    <w:rsid w:val="003C455A"/>
    <w:rsid w:val="003C4CDF"/>
    <w:rsid w:val="003C4DD4"/>
    <w:rsid w:val="003C532F"/>
    <w:rsid w:val="003C564F"/>
    <w:rsid w:val="003C6107"/>
    <w:rsid w:val="003C65D3"/>
    <w:rsid w:val="003C69F1"/>
    <w:rsid w:val="003C7203"/>
    <w:rsid w:val="003C730D"/>
    <w:rsid w:val="003C7627"/>
    <w:rsid w:val="003C7927"/>
    <w:rsid w:val="003C7E0B"/>
    <w:rsid w:val="003D0157"/>
    <w:rsid w:val="003D0557"/>
    <w:rsid w:val="003D05B9"/>
    <w:rsid w:val="003D0C55"/>
    <w:rsid w:val="003D0DE9"/>
    <w:rsid w:val="003D0F95"/>
    <w:rsid w:val="003D11D9"/>
    <w:rsid w:val="003D130D"/>
    <w:rsid w:val="003D13F6"/>
    <w:rsid w:val="003D1546"/>
    <w:rsid w:val="003D1A1E"/>
    <w:rsid w:val="003D1C0F"/>
    <w:rsid w:val="003D1D3D"/>
    <w:rsid w:val="003D1DAF"/>
    <w:rsid w:val="003D2005"/>
    <w:rsid w:val="003D30E6"/>
    <w:rsid w:val="003D4051"/>
    <w:rsid w:val="003D409E"/>
    <w:rsid w:val="003D436B"/>
    <w:rsid w:val="003D46D5"/>
    <w:rsid w:val="003D4CA3"/>
    <w:rsid w:val="003D5AFD"/>
    <w:rsid w:val="003D6125"/>
    <w:rsid w:val="003D644E"/>
    <w:rsid w:val="003D67D9"/>
    <w:rsid w:val="003D7A45"/>
    <w:rsid w:val="003D7C90"/>
    <w:rsid w:val="003D7E9B"/>
    <w:rsid w:val="003E07CA"/>
    <w:rsid w:val="003E0AFC"/>
    <w:rsid w:val="003E0CF4"/>
    <w:rsid w:val="003E118A"/>
    <w:rsid w:val="003E1213"/>
    <w:rsid w:val="003E18C2"/>
    <w:rsid w:val="003E2605"/>
    <w:rsid w:val="003E2705"/>
    <w:rsid w:val="003E2F03"/>
    <w:rsid w:val="003E2F83"/>
    <w:rsid w:val="003E3277"/>
    <w:rsid w:val="003E329E"/>
    <w:rsid w:val="003E32DB"/>
    <w:rsid w:val="003E34EF"/>
    <w:rsid w:val="003E38F4"/>
    <w:rsid w:val="003E3E23"/>
    <w:rsid w:val="003E3F21"/>
    <w:rsid w:val="003E3FAD"/>
    <w:rsid w:val="003E41E8"/>
    <w:rsid w:val="003E4336"/>
    <w:rsid w:val="003E4361"/>
    <w:rsid w:val="003E43BF"/>
    <w:rsid w:val="003E4F78"/>
    <w:rsid w:val="003E51F3"/>
    <w:rsid w:val="003E554C"/>
    <w:rsid w:val="003E58F5"/>
    <w:rsid w:val="003E5B95"/>
    <w:rsid w:val="003E5C97"/>
    <w:rsid w:val="003E5D0E"/>
    <w:rsid w:val="003E682B"/>
    <w:rsid w:val="003E6A36"/>
    <w:rsid w:val="003E6B79"/>
    <w:rsid w:val="003E6FB9"/>
    <w:rsid w:val="003E7028"/>
    <w:rsid w:val="003E756E"/>
    <w:rsid w:val="003E771B"/>
    <w:rsid w:val="003E7802"/>
    <w:rsid w:val="003E7B5D"/>
    <w:rsid w:val="003E7C7E"/>
    <w:rsid w:val="003F0168"/>
    <w:rsid w:val="003F016B"/>
    <w:rsid w:val="003F017A"/>
    <w:rsid w:val="003F0263"/>
    <w:rsid w:val="003F03FF"/>
    <w:rsid w:val="003F04E2"/>
    <w:rsid w:val="003F07D2"/>
    <w:rsid w:val="003F0A2E"/>
    <w:rsid w:val="003F0CBF"/>
    <w:rsid w:val="003F1413"/>
    <w:rsid w:val="003F1AB7"/>
    <w:rsid w:val="003F1F75"/>
    <w:rsid w:val="003F20BA"/>
    <w:rsid w:val="003F22D8"/>
    <w:rsid w:val="003F2BB7"/>
    <w:rsid w:val="003F2BC0"/>
    <w:rsid w:val="003F2E00"/>
    <w:rsid w:val="003F3E5C"/>
    <w:rsid w:val="003F4E24"/>
    <w:rsid w:val="003F5235"/>
    <w:rsid w:val="003F52CA"/>
    <w:rsid w:val="003F5615"/>
    <w:rsid w:val="003F57B4"/>
    <w:rsid w:val="003F592B"/>
    <w:rsid w:val="003F59E7"/>
    <w:rsid w:val="003F613B"/>
    <w:rsid w:val="003F6930"/>
    <w:rsid w:val="003F6B0B"/>
    <w:rsid w:val="003F6BDC"/>
    <w:rsid w:val="003F75EF"/>
    <w:rsid w:val="003F7A96"/>
    <w:rsid w:val="00400401"/>
    <w:rsid w:val="004004A4"/>
    <w:rsid w:val="00400A59"/>
    <w:rsid w:val="00400A6E"/>
    <w:rsid w:val="00400F49"/>
    <w:rsid w:val="00401552"/>
    <w:rsid w:val="004015AD"/>
    <w:rsid w:val="0040168E"/>
    <w:rsid w:val="0040172D"/>
    <w:rsid w:val="0040182E"/>
    <w:rsid w:val="004025DF"/>
    <w:rsid w:val="00402E0D"/>
    <w:rsid w:val="004030AB"/>
    <w:rsid w:val="0040338B"/>
    <w:rsid w:val="0040342C"/>
    <w:rsid w:val="0040351B"/>
    <w:rsid w:val="00403D46"/>
    <w:rsid w:val="00403D6C"/>
    <w:rsid w:val="00404209"/>
    <w:rsid w:val="004042C3"/>
    <w:rsid w:val="0040545B"/>
    <w:rsid w:val="00405A2A"/>
    <w:rsid w:val="00405C77"/>
    <w:rsid w:val="00406034"/>
    <w:rsid w:val="00406304"/>
    <w:rsid w:val="00406B17"/>
    <w:rsid w:val="004072EA"/>
    <w:rsid w:val="00407835"/>
    <w:rsid w:val="0041054F"/>
    <w:rsid w:val="00410D86"/>
    <w:rsid w:val="00411FDA"/>
    <w:rsid w:val="0041208C"/>
    <w:rsid w:val="0041256D"/>
    <w:rsid w:val="00412E74"/>
    <w:rsid w:val="00412F23"/>
    <w:rsid w:val="0041372A"/>
    <w:rsid w:val="00414020"/>
    <w:rsid w:val="00414476"/>
    <w:rsid w:val="004145F3"/>
    <w:rsid w:val="004146B4"/>
    <w:rsid w:val="0041489D"/>
    <w:rsid w:val="00414F58"/>
    <w:rsid w:val="004152E5"/>
    <w:rsid w:val="00415A4E"/>
    <w:rsid w:val="00415C85"/>
    <w:rsid w:val="00416529"/>
    <w:rsid w:val="0041666D"/>
    <w:rsid w:val="00416700"/>
    <w:rsid w:val="00416A88"/>
    <w:rsid w:val="00416D3C"/>
    <w:rsid w:val="00417616"/>
    <w:rsid w:val="00417A97"/>
    <w:rsid w:val="00417B34"/>
    <w:rsid w:val="0042015D"/>
    <w:rsid w:val="00420A7D"/>
    <w:rsid w:val="00420BB1"/>
    <w:rsid w:val="00420DB0"/>
    <w:rsid w:val="00420DCF"/>
    <w:rsid w:val="0042109C"/>
    <w:rsid w:val="0042146F"/>
    <w:rsid w:val="004214B7"/>
    <w:rsid w:val="00421574"/>
    <w:rsid w:val="00421582"/>
    <w:rsid w:val="0042177D"/>
    <w:rsid w:val="00422813"/>
    <w:rsid w:val="0042364A"/>
    <w:rsid w:val="004237DD"/>
    <w:rsid w:val="00423D4D"/>
    <w:rsid w:val="00423F14"/>
    <w:rsid w:val="00424115"/>
    <w:rsid w:val="00424525"/>
    <w:rsid w:val="00424B60"/>
    <w:rsid w:val="00424B64"/>
    <w:rsid w:val="00424E4B"/>
    <w:rsid w:val="00425171"/>
    <w:rsid w:val="004252B0"/>
    <w:rsid w:val="00425445"/>
    <w:rsid w:val="0042608B"/>
    <w:rsid w:val="0042691D"/>
    <w:rsid w:val="0042719D"/>
    <w:rsid w:val="0042765C"/>
    <w:rsid w:val="00427AAA"/>
    <w:rsid w:val="00427C72"/>
    <w:rsid w:val="00430B78"/>
    <w:rsid w:val="0043163E"/>
    <w:rsid w:val="00431E63"/>
    <w:rsid w:val="00432128"/>
    <w:rsid w:val="00432D80"/>
    <w:rsid w:val="00433098"/>
    <w:rsid w:val="00433286"/>
    <w:rsid w:val="00433751"/>
    <w:rsid w:val="004337EA"/>
    <w:rsid w:val="00433848"/>
    <w:rsid w:val="00433BD0"/>
    <w:rsid w:val="00433E0D"/>
    <w:rsid w:val="00434444"/>
    <w:rsid w:val="00434CA8"/>
    <w:rsid w:val="00434F67"/>
    <w:rsid w:val="00434FB8"/>
    <w:rsid w:val="00435123"/>
    <w:rsid w:val="004351B2"/>
    <w:rsid w:val="00435594"/>
    <w:rsid w:val="00435CFE"/>
    <w:rsid w:val="00435CFF"/>
    <w:rsid w:val="00435D1A"/>
    <w:rsid w:val="00435D37"/>
    <w:rsid w:val="0043639A"/>
    <w:rsid w:val="004363C6"/>
    <w:rsid w:val="004363FE"/>
    <w:rsid w:val="00436573"/>
    <w:rsid w:val="004368E9"/>
    <w:rsid w:val="00436D63"/>
    <w:rsid w:val="00437130"/>
    <w:rsid w:val="00437193"/>
    <w:rsid w:val="004372E1"/>
    <w:rsid w:val="0044026E"/>
    <w:rsid w:val="004407B5"/>
    <w:rsid w:val="00440C8B"/>
    <w:rsid w:val="00440EB1"/>
    <w:rsid w:val="0044112B"/>
    <w:rsid w:val="004415A8"/>
    <w:rsid w:val="0044166A"/>
    <w:rsid w:val="00441F03"/>
    <w:rsid w:val="00441F12"/>
    <w:rsid w:val="00442203"/>
    <w:rsid w:val="00442324"/>
    <w:rsid w:val="0044236A"/>
    <w:rsid w:val="00442988"/>
    <w:rsid w:val="00442A8C"/>
    <w:rsid w:val="00442BD3"/>
    <w:rsid w:val="00442D54"/>
    <w:rsid w:val="00442FA3"/>
    <w:rsid w:val="00443589"/>
    <w:rsid w:val="0044367E"/>
    <w:rsid w:val="00443AE5"/>
    <w:rsid w:val="00443C43"/>
    <w:rsid w:val="00444CDD"/>
    <w:rsid w:val="00444FE9"/>
    <w:rsid w:val="0044503C"/>
    <w:rsid w:val="00445D6D"/>
    <w:rsid w:val="00445DD6"/>
    <w:rsid w:val="00445E4B"/>
    <w:rsid w:val="00445F3D"/>
    <w:rsid w:val="00446767"/>
    <w:rsid w:val="00447017"/>
    <w:rsid w:val="00447AC0"/>
    <w:rsid w:val="00447BCE"/>
    <w:rsid w:val="00447CAD"/>
    <w:rsid w:val="00450231"/>
    <w:rsid w:val="0045032B"/>
    <w:rsid w:val="00450706"/>
    <w:rsid w:val="00450F78"/>
    <w:rsid w:val="0045130A"/>
    <w:rsid w:val="00451488"/>
    <w:rsid w:val="00451EDC"/>
    <w:rsid w:val="0045229B"/>
    <w:rsid w:val="004522E0"/>
    <w:rsid w:val="00452436"/>
    <w:rsid w:val="00452F2B"/>
    <w:rsid w:val="004535A3"/>
    <w:rsid w:val="004536E0"/>
    <w:rsid w:val="00453D23"/>
    <w:rsid w:val="004542D1"/>
    <w:rsid w:val="004544BE"/>
    <w:rsid w:val="00454BAB"/>
    <w:rsid w:val="004552E2"/>
    <w:rsid w:val="00455D00"/>
    <w:rsid w:val="00455E94"/>
    <w:rsid w:val="00456043"/>
    <w:rsid w:val="004561D2"/>
    <w:rsid w:val="004561F5"/>
    <w:rsid w:val="00456A1B"/>
    <w:rsid w:val="00456CA6"/>
    <w:rsid w:val="00457262"/>
    <w:rsid w:val="004574F3"/>
    <w:rsid w:val="004575CE"/>
    <w:rsid w:val="0045767D"/>
    <w:rsid w:val="00457746"/>
    <w:rsid w:val="004579FF"/>
    <w:rsid w:val="00460FE6"/>
    <w:rsid w:val="00461514"/>
    <w:rsid w:val="004617F1"/>
    <w:rsid w:val="004618C3"/>
    <w:rsid w:val="00461907"/>
    <w:rsid w:val="00461ACC"/>
    <w:rsid w:val="00461B56"/>
    <w:rsid w:val="00462105"/>
    <w:rsid w:val="004624B9"/>
    <w:rsid w:val="00462760"/>
    <w:rsid w:val="00462BDB"/>
    <w:rsid w:val="00462F1B"/>
    <w:rsid w:val="004630AA"/>
    <w:rsid w:val="00463422"/>
    <w:rsid w:val="0046368F"/>
    <w:rsid w:val="00464130"/>
    <w:rsid w:val="0046468E"/>
    <w:rsid w:val="00464DEE"/>
    <w:rsid w:val="004654CF"/>
    <w:rsid w:val="00465A95"/>
    <w:rsid w:val="00465C07"/>
    <w:rsid w:val="00465D18"/>
    <w:rsid w:val="00466A46"/>
    <w:rsid w:val="00466A53"/>
    <w:rsid w:val="00466CA5"/>
    <w:rsid w:val="004670D7"/>
    <w:rsid w:val="00467337"/>
    <w:rsid w:val="00467CA7"/>
    <w:rsid w:val="00467CD4"/>
    <w:rsid w:val="00467E8C"/>
    <w:rsid w:val="00467FE6"/>
    <w:rsid w:val="0047004F"/>
    <w:rsid w:val="0047050F"/>
    <w:rsid w:val="00470545"/>
    <w:rsid w:val="004706B8"/>
    <w:rsid w:val="00470C1E"/>
    <w:rsid w:val="00470DB0"/>
    <w:rsid w:val="00470FC0"/>
    <w:rsid w:val="00471053"/>
    <w:rsid w:val="00471ECC"/>
    <w:rsid w:val="00471F73"/>
    <w:rsid w:val="00472ACA"/>
    <w:rsid w:val="00472AFF"/>
    <w:rsid w:val="00472C1C"/>
    <w:rsid w:val="0047399B"/>
    <w:rsid w:val="00473CD8"/>
    <w:rsid w:val="00473D96"/>
    <w:rsid w:val="00473F5E"/>
    <w:rsid w:val="004740DC"/>
    <w:rsid w:val="0047423A"/>
    <w:rsid w:val="00474467"/>
    <w:rsid w:val="00474A6B"/>
    <w:rsid w:val="004759A1"/>
    <w:rsid w:val="00476036"/>
    <w:rsid w:val="004762EC"/>
    <w:rsid w:val="004763B3"/>
    <w:rsid w:val="004764A9"/>
    <w:rsid w:val="004769DA"/>
    <w:rsid w:val="00476F21"/>
    <w:rsid w:val="004774D5"/>
    <w:rsid w:val="00477859"/>
    <w:rsid w:val="00477BEF"/>
    <w:rsid w:val="00477DC9"/>
    <w:rsid w:val="004801C3"/>
    <w:rsid w:val="00480605"/>
    <w:rsid w:val="00480725"/>
    <w:rsid w:val="00480C99"/>
    <w:rsid w:val="00481041"/>
    <w:rsid w:val="00481480"/>
    <w:rsid w:val="00482324"/>
    <w:rsid w:val="00482870"/>
    <w:rsid w:val="0048295F"/>
    <w:rsid w:val="00482A4F"/>
    <w:rsid w:val="00482AEC"/>
    <w:rsid w:val="004831BF"/>
    <w:rsid w:val="00483483"/>
    <w:rsid w:val="004835C3"/>
    <w:rsid w:val="00483650"/>
    <w:rsid w:val="00483899"/>
    <w:rsid w:val="00483EB5"/>
    <w:rsid w:val="00484B52"/>
    <w:rsid w:val="00484BEA"/>
    <w:rsid w:val="004859EC"/>
    <w:rsid w:val="00485A2C"/>
    <w:rsid w:val="00485F2D"/>
    <w:rsid w:val="0048652C"/>
    <w:rsid w:val="00486552"/>
    <w:rsid w:val="004866AE"/>
    <w:rsid w:val="0048687C"/>
    <w:rsid w:val="00486974"/>
    <w:rsid w:val="00486FD0"/>
    <w:rsid w:val="00487010"/>
    <w:rsid w:val="0048757B"/>
    <w:rsid w:val="00487972"/>
    <w:rsid w:val="00487DD9"/>
    <w:rsid w:val="00487F8F"/>
    <w:rsid w:val="00490638"/>
    <w:rsid w:val="004917F4"/>
    <w:rsid w:val="00491B37"/>
    <w:rsid w:val="00491C79"/>
    <w:rsid w:val="00491D11"/>
    <w:rsid w:val="0049258B"/>
    <w:rsid w:val="00492894"/>
    <w:rsid w:val="00492CF2"/>
    <w:rsid w:val="00493373"/>
    <w:rsid w:val="004935AF"/>
    <w:rsid w:val="004938F6"/>
    <w:rsid w:val="00493C07"/>
    <w:rsid w:val="00493CE4"/>
    <w:rsid w:val="0049413A"/>
    <w:rsid w:val="004941BB"/>
    <w:rsid w:val="0049492C"/>
    <w:rsid w:val="00494EC8"/>
    <w:rsid w:val="004950E1"/>
    <w:rsid w:val="00495504"/>
    <w:rsid w:val="004955F8"/>
    <w:rsid w:val="00495662"/>
    <w:rsid w:val="00495A21"/>
    <w:rsid w:val="00495B3A"/>
    <w:rsid w:val="00495B4E"/>
    <w:rsid w:val="00495B79"/>
    <w:rsid w:val="00495D55"/>
    <w:rsid w:val="004968D7"/>
    <w:rsid w:val="00496A47"/>
    <w:rsid w:val="00496C03"/>
    <w:rsid w:val="00497637"/>
    <w:rsid w:val="0049768F"/>
    <w:rsid w:val="00497DE8"/>
    <w:rsid w:val="00497E71"/>
    <w:rsid w:val="00497F67"/>
    <w:rsid w:val="004A0049"/>
    <w:rsid w:val="004A00C2"/>
    <w:rsid w:val="004A04D9"/>
    <w:rsid w:val="004A0581"/>
    <w:rsid w:val="004A07FF"/>
    <w:rsid w:val="004A0FC2"/>
    <w:rsid w:val="004A10B1"/>
    <w:rsid w:val="004A121A"/>
    <w:rsid w:val="004A1461"/>
    <w:rsid w:val="004A14EF"/>
    <w:rsid w:val="004A160C"/>
    <w:rsid w:val="004A167C"/>
    <w:rsid w:val="004A167D"/>
    <w:rsid w:val="004A1744"/>
    <w:rsid w:val="004A178C"/>
    <w:rsid w:val="004A17D1"/>
    <w:rsid w:val="004A1CA7"/>
    <w:rsid w:val="004A1DE8"/>
    <w:rsid w:val="004A21E6"/>
    <w:rsid w:val="004A2668"/>
    <w:rsid w:val="004A28BE"/>
    <w:rsid w:val="004A29CC"/>
    <w:rsid w:val="004A29EA"/>
    <w:rsid w:val="004A2FA3"/>
    <w:rsid w:val="004A363E"/>
    <w:rsid w:val="004A3A7E"/>
    <w:rsid w:val="004A3A81"/>
    <w:rsid w:val="004A3D94"/>
    <w:rsid w:val="004A3FA6"/>
    <w:rsid w:val="004A416B"/>
    <w:rsid w:val="004A4C2F"/>
    <w:rsid w:val="004A5261"/>
    <w:rsid w:val="004A59D2"/>
    <w:rsid w:val="004A5B50"/>
    <w:rsid w:val="004A5E62"/>
    <w:rsid w:val="004A5EBD"/>
    <w:rsid w:val="004A6398"/>
    <w:rsid w:val="004A6D4F"/>
    <w:rsid w:val="004A7049"/>
    <w:rsid w:val="004A70EC"/>
    <w:rsid w:val="004A7292"/>
    <w:rsid w:val="004A72B9"/>
    <w:rsid w:val="004A79E3"/>
    <w:rsid w:val="004B1CA0"/>
    <w:rsid w:val="004B2B3F"/>
    <w:rsid w:val="004B3539"/>
    <w:rsid w:val="004B3A2D"/>
    <w:rsid w:val="004B4702"/>
    <w:rsid w:val="004B4D8F"/>
    <w:rsid w:val="004B5379"/>
    <w:rsid w:val="004B5405"/>
    <w:rsid w:val="004B577F"/>
    <w:rsid w:val="004B581D"/>
    <w:rsid w:val="004B5B90"/>
    <w:rsid w:val="004B5F6B"/>
    <w:rsid w:val="004B6B65"/>
    <w:rsid w:val="004B7059"/>
    <w:rsid w:val="004B772A"/>
    <w:rsid w:val="004B7BFE"/>
    <w:rsid w:val="004B7CB8"/>
    <w:rsid w:val="004B7E0D"/>
    <w:rsid w:val="004C0D4E"/>
    <w:rsid w:val="004C0E17"/>
    <w:rsid w:val="004C13A2"/>
    <w:rsid w:val="004C186F"/>
    <w:rsid w:val="004C1F45"/>
    <w:rsid w:val="004C2226"/>
    <w:rsid w:val="004C31DE"/>
    <w:rsid w:val="004C32DC"/>
    <w:rsid w:val="004C34C5"/>
    <w:rsid w:val="004C34D9"/>
    <w:rsid w:val="004C3C0E"/>
    <w:rsid w:val="004C447E"/>
    <w:rsid w:val="004C4D5B"/>
    <w:rsid w:val="004C4FB3"/>
    <w:rsid w:val="004C522A"/>
    <w:rsid w:val="004C5427"/>
    <w:rsid w:val="004C5464"/>
    <w:rsid w:val="004C5E37"/>
    <w:rsid w:val="004C60A9"/>
    <w:rsid w:val="004C66C7"/>
    <w:rsid w:val="004C70A5"/>
    <w:rsid w:val="004C787A"/>
    <w:rsid w:val="004C7B2A"/>
    <w:rsid w:val="004C7ECE"/>
    <w:rsid w:val="004C7EFF"/>
    <w:rsid w:val="004D10D8"/>
    <w:rsid w:val="004D16FB"/>
    <w:rsid w:val="004D1728"/>
    <w:rsid w:val="004D184D"/>
    <w:rsid w:val="004D1E2B"/>
    <w:rsid w:val="004D2110"/>
    <w:rsid w:val="004D24A2"/>
    <w:rsid w:val="004D2609"/>
    <w:rsid w:val="004D27B8"/>
    <w:rsid w:val="004D2F90"/>
    <w:rsid w:val="004D3199"/>
    <w:rsid w:val="004D3873"/>
    <w:rsid w:val="004D3A3D"/>
    <w:rsid w:val="004D3C9F"/>
    <w:rsid w:val="004D4334"/>
    <w:rsid w:val="004D46C0"/>
    <w:rsid w:val="004D4755"/>
    <w:rsid w:val="004D505B"/>
    <w:rsid w:val="004D55C6"/>
    <w:rsid w:val="004D57EB"/>
    <w:rsid w:val="004D5EE9"/>
    <w:rsid w:val="004D61F1"/>
    <w:rsid w:val="004D63C4"/>
    <w:rsid w:val="004D65FC"/>
    <w:rsid w:val="004D6763"/>
    <w:rsid w:val="004D6986"/>
    <w:rsid w:val="004D6EAE"/>
    <w:rsid w:val="004D713A"/>
    <w:rsid w:val="004D7247"/>
    <w:rsid w:val="004D782A"/>
    <w:rsid w:val="004D78B9"/>
    <w:rsid w:val="004D7B20"/>
    <w:rsid w:val="004D7DB9"/>
    <w:rsid w:val="004D7E78"/>
    <w:rsid w:val="004E00AE"/>
    <w:rsid w:val="004E013C"/>
    <w:rsid w:val="004E02AC"/>
    <w:rsid w:val="004E0476"/>
    <w:rsid w:val="004E07BE"/>
    <w:rsid w:val="004E096A"/>
    <w:rsid w:val="004E164A"/>
    <w:rsid w:val="004E17BA"/>
    <w:rsid w:val="004E18AB"/>
    <w:rsid w:val="004E1A8D"/>
    <w:rsid w:val="004E2119"/>
    <w:rsid w:val="004E211C"/>
    <w:rsid w:val="004E2C7B"/>
    <w:rsid w:val="004E311E"/>
    <w:rsid w:val="004E3479"/>
    <w:rsid w:val="004E3B21"/>
    <w:rsid w:val="004E3B38"/>
    <w:rsid w:val="004E3FE6"/>
    <w:rsid w:val="004E41CD"/>
    <w:rsid w:val="004E42CC"/>
    <w:rsid w:val="004E4318"/>
    <w:rsid w:val="004E434C"/>
    <w:rsid w:val="004E47B3"/>
    <w:rsid w:val="004E4B91"/>
    <w:rsid w:val="004E550A"/>
    <w:rsid w:val="004E5CDB"/>
    <w:rsid w:val="004E636C"/>
    <w:rsid w:val="004E670A"/>
    <w:rsid w:val="004E6769"/>
    <w:rsid w:val="004E6E26"/>
    <w:rsid w:val="004E7211"/>
    <w:rsid w:val="004E7F9B"/>
    <w:rsid w:val="004F01AC"/>
    <w:rsid w:val="004F0201"/>
    <w:rsid w:val="004F0498"/>
    <w:rsid w:val="004F07F2"/>
    <w:rsid w:val="004F0FDC"/>
    <w:rsid w:val="004F1243"/>
    <w:rsid w:val="004F1443"/>
    <w:rsid w:val="004F16ED"/>
    <w:rsid w:val="004F17D7"/>
    <w:rsid w:val="004F1AC0"/>
    <w:rsid w:val="004F1E36"/>
    <w:rsid w:val="004F1E9E"/>
    <w:rsid w:val="004F22A6"/>
    <w:rsid w:val="004F266A"/>
    <w:rsid w:val="004F27B8"/>
    <w:rsid w:val="004F290F"/>
    <w:rsid w:val="004F2D7D"/>
    <w:rsid w:val="004F3361"/>
    <w:rsid w:val="004F3374"/>
    <w:rsid w:val="004F3E3E"/>
    <w:rsid w:val="004F3F4A"/>
    <w:rsid w:val="004F405D"/>
    <w:rsid w:val="004F4439"/>
    <w:rsid w:val="004F45A6"/>
    <w:rsid w:val="004F4BC8"/>
    <w:rsid w:val="004F4F5B"/>
    <w:rsid w:val="004F51E6"/>
    <w:rsid w:val="004F5474"/>
    <w:rsid w:val="004F54F5"/>
    <w:rsid w:val="004F5586"/>
    <w:rsid w:val="004F560C"/>
    <w:rsid w:val="004F57AB"/>
    <w:rsid w:val="004F6C75"/>
    <w:rsid w:val="004F7065"/>
    <w:rsid w:val="004F71C5"/>
    <w:rsid w:val="004F73AA"/>
    <w:rsid w:val="004F741B"/>
    <w:rsid w:val="004F755D"/>
    <w:rsid w:val="004F78C6"/>
    <w:rsid w:val="004F7903"/>
    <w:rsid w:val="004F7B20"/>
    <w:rsid w:val="004F7D04"/>
    <w:rsid w:val="00500235"/>
    <w:rsid w:val="00500685"/>
    <w:rsid w:val="005006A5"/>
    <w:rsid w:val="00500D97"/>
    <w:rsid w:val="00501062"/>
    <w:rsid w:val="00501369"/>
    <w:rsid w:val="0050148A"/>
    <w:rsid w:val="00501AE7"/>
    <w:rsid w:val="00502359"/>
    <w:rsid w:val="005023FA"/>
    <w:rsid w:val="00502A9E"/>
    <w:rsid w:val="00502BBF"/>
    <w:rsid w:val="00502C97"/>
    <w:rsid w:val="0050306E"/>
    <w:rsid w:val="00503B16"/>
    <w:rsid w:val="00503C4E"/>
    <w:rsid w:val="00504080"/>
    <w:rsid w:val="005046E7"/>
    <w:rsid w:val="0050514F"/>
    <w:rsid w:val="0050545B"/>
    <w:rsid w:val="00505489"/>
    <w:rsid w:val="005054F5"/>
    <w:rsid w:val="00505618"/>
    <w:rsid w:val="005057E4"/>
    <w:rsid w:val="0050592F"/>
    <w:rsid w:val="00505A9F"/>
    <w:rsid w:val="00505C58"/>
    <w:rsid w:val="00506509"/>
    <w:rsid w:val="0050756D"/>
    <w:rsid w:val="00510EA2"/>
    <w:rsid w:val="005115E0"/>
    <w:rsid w:val="00511742"/>
    <w:rsid w:val="0051179A"/>
    <w:rsid w:val="0051179B"/>
    <w:rsid w:val="005118E8"/>
    <w:rsid w:val="00511DBD"/>
    <w:rsid w:val="00511DED"/>
    <w:rsid w:val="00512792"/>
    <w:rsid w:val="00512870"/>
    <w:rsid w:val="005128D7"/>
    <w:rsid w:val="00512A91"/>
    <w:rsid w:val="00512CA9"/>
    <w:rsid w:val="00513036"/>
    <w:rsid w:val="0051317F"/>
    <w:rsid w:val="0051333D"/>
    <w:rsid w:val="00513E69"/>
    <w:rsid w:val="00513FDA"/>
    <w:rsid w:val="005141B3"/>
    <w:rsid w:val="005143BA"/>
    <w:rsid w:val="00514772"/>
    <w:rsid w:val="005148E7"/>
    <w:rsid w:val="00515C0E"/>
    <w:rsid w:val="00515D6C"/>
    <w:rsid w:val="00516084"/>
    <w:rsid w:val="00516BBA"/>
    <w:rsid w:val="00516D95"/>
    <w:rsid w:val="005173FC"/>
    <w:rsid w:val="00517493"/>
    <w:rsid w:val="005174F2"/>
    <w:rsid w:val="00517BE3"/>
    <w:rsid w:val="00520452"/>
    <w:rsid w:val="0052061B"/>
    <w:rsid w:val="005209A3"/>
    <w:rsid w:val="00520DD1"/>
    <w:rsid w:val="00520FE4"/>
    <w:rsid w:val="00521327"/>
    <w:rsid w:val="00522021"/>
    <w:rsid w:val="00522581"/>
    <w:rsid w:val="00522812"/>
    <w:rsid w:val="00522ED7"/>
    <w:rsid w:val="00522F88"/>
    <w:rsid w:val="00522FAE"/>
    <w:rsid w:val="00523327"/>
    <w:rsid w:val="005239C7"/>
    <w:rsid w:val="00523A1A"/>
    <w:rsid w:val="00523C20"/>
    <w:rsid w:val="00523FAA"/>
    <w:rsid w:val="005245A4"/>
    <w:rsid w:val="00524AD0"/>
    <w:rsid w:val="005250D0"/>
    <w:rsid w:val="0052537B"/>
    <w:rsid w:val="00525736"/>
    <w:rsid w:val="00525996"/>
    <w:rsid w:val="00525BFB"/>
    <w:rsid w:val="00525CB5"/>
    <w:rsid w:val="00525D20"/>
    <w:rsid w:val="00525E4D"/>
    <w:rsid w:val="00525E8D"/>
    <w:rsid w:val="00526C23"/>
    <w:rsid w:val="005274F7"/>
    <w:rsid w:val="005276F6"/>
    <w:rsid w:val="00527BCB"/>
    <w:rsid w:val="00530148"/>
    <w:rsid w:val="00530589"/>
    <w:rsid w:val="005309E5"/>
    <w:rsid w:val="00530C70"/>
    <w:rsid w:val="005311F7"/>
    <w:rsid w:val="00531A14"/>
    <w:rsid w:val="00531AA6"/>
    <w:rsid w:val="005321D6"/>
    <w:rsid w:val="0053257A"/>
    <w:rsid w:val="00532A73"/>
    <w:rsid w:val="00532DCE"/>
    <w:rsid w:val="00533066"/>
    <w:rsid w:val="00533200"/>
    <w:rsid w:val="005332DB"/>
    <w:rsid w:val="005333FA"/>
    <w:rsid w:val="00533572"/>
    <w:rsid w:val="00533F40"/>
    <w:rsid w:val="00534110"/>
    <w:rsid w:val="00534617"/>
    <w:rsid w:val="00534A20"/>
    <w:rsid w:val="00534A2D"/>
    <w:rsid w:val="00534AE5"/>
    <w:rsid w:val="00535635"/>
    <w:rsid w:val="005364A1"/>
    <w:rsid w:val="00536F8F"/>
    <w:rsid w:val="005378E8"/>
    <w:rsid w:val="00537985"/>
    <w:rsid w:val="00537A67"/>
    <w:rsid w:val="00537AF1"/>
    <w:rsid w:val="0054010B"/>
    <w:rsid w:val="00540284"/>
    <w:rsid w:val="00540951"/>
    <w:rsid w:val="00540BEB"/>
    <w:rsid w:val="00540E02"/>
    <w:rsid w:val="00540E13"/>
    <w:rsid w:val="005411FD"/>
    <w:rsid w:val="00541951"/>
    <w:rsid w:val="00542094"/>
    <w:rsid w:val="0054253E"/>
    <w:rsid w:val="0054265A"/>
    <w:rsid w:val="005428F6"/>
    <w:rsid w:val="0054290C"/>
    <w:rsid w:val="00542B96"/>
    <w:rsid w:val="00542DAA"/>
    <w:rsid w:val="00543229"/>
    <w:rsid w:val="00543426"/>
    <w:rsid w:val="00543430"/>
    <w:rsid w:val="005437E5"/>
    <w:rsid w:val="00543902"/>
    <w:rsid w:val="00543FA9"/>
    <w:rsid w:val="00544261"/>
    <w:rsid w:val="00544444"/>
    <w:rsid w:val="00544494"/>
    <w:rsid w:val="00544870"/>
    <w:rsid w:val="005453DB"/>
    <w:rsid w:val="00545B5F"/>
    <w:rsid w:val="00545E92"/>
    <w:rsid w:val="00546279"/>
    <w:rsid w:val="0054658E"/>
    <w:rsid w:val="00546DB4"/>
    <w:rsid w:val="005472D6"/>
    <w:rsid w:val="00547B42"/>
    <w:rsid w:val="00547D99"/>
    <w:rsid w:val="00547F2F"/>
    <w:rsid w:val="0055028A"/>
    <w:rsid w:val="005506FF"/>
    <w:rsid w:val="0055091D"/>
    <w:rsid w:val="005510E1"/>
    <w:rsid w:val="0055123E"/>
    <w:rsid w:val="00551A27"/>
    <w:rsid w:val="00551C1F"/>
    <w:rsid w:val="00552236"/>
    <w:rsid w:val="0055223A"/>
    <w:rsid w:val="00552999"/>
    <w:rsid w:val="00552A3B"/>
    <w:rsid w:val="00552E2F"/>
    <w:rsid w:val="00553329"/>
    <w:rsid w:val="0055359B"/>
    <w:rsid w:val="00553C47"/>
    <w:rsid w:val="00553C8F"/>
    <w:rsid w:val="00553DD6"/>
    <w:rsid w:val="00553E00"/>
    <w:rsid w:val="00553EC7"/>
    <w:rsid w:val="00554025"/>
    <w:rsid w:val="00554AC0"/>
    <w:rsid w:val="00554E21"/>
    <w:rsid w:val="00554F59"/>
    <w:rsid w:val="00555D4C"/>
    <w:rsid w:val="00555DD6"/>
    <w:rsid w:val="005560FA"/>
    <w:rsid w:val="005568F3"/>
    <w:rsid w:val="0055691B"/>
    <w:rsid w:val="00556F24"/>
    <w:rsid w:val="00557037"/>
    <w:rsid w:val="00557AEA"/>
    <w:rsid w:val="00557C65"/>
    <w:rsid w:val="00557D6E"/>
    <w:rsid w:val="00557DED"/>
    <w:rsid w:val="0056038B"/>
    <w:rsid w:val="005604AE"/>
    <w:rsid w:val="00560A6B"/>
    <w:rsid w:val="00560E9D"/>
    <w:rsid w:val="00560FD4"/>
    <w:rsid w:val="005610C1"/>
    <w:rsid w:val="005612CC"/>
    <w:rsid w:val="00561840"/>
    <w:rsid w:val="00561C00"/>
    <w:rsid w:val="0056258F"/>
    <w:rsid w:val="00562628"/>
    <w:rsid w:val="00562C44"/>
    <w:rsid w:val="00562F37"/>
    <w:rsid w:val="0056439C"/>
    <w:rsid w:val="005644B6"/>
    <w:rsid w:val="00565213"/>
    <w:rsid w:val="00565444"/>
    <w:rsid w:val="00565492"/>
    <w:rsid w:val="00565777"/>
    <w:rsid w:val="005659A5"/>
    <w:rsid w:val="00565CFC"/>
    <w:rsid w:val="00565E0F"/>
    <w:rsid w:val="005665F6"/>
    <w:rsid w:val="00566813"/>
    <w:rsid w:val="00566B0E"/>
    <w:rsid w:val="00566BA7"/>
    <w:rsid w:val="00566E8C"/>
    <w:rsid w:val="0056781B"/>
    <w:rsid w:val="00567B26"/>
    <w:rsid w:val="00567EE1"/>
    <w:rsid w:val="00570556"/>
    <w:rsid w:val="0057062E"/>
    <w:rsid w:val="005706F2"/>
    <w:rsid w:val="0057099C"/>
    <w:rsid w:val="00570B7E"/>
    <w:rsid w:val="00570CFE"/>
    <w:rsid w:val="00571346"/>
    <w:rsid w:val="00571769"/>
    <w:rsid w:val="00571B2D"/>
    <w:rsid w:val="00571C43"/>
    <w:rsid w:val="00571CEB"/>
    <w:rsid w:val="00571D32"/>
    <w:rsid w:val="00572192"/>
    <w:rsid w:val="00572622"/>
    <w:rsid w:val="00572846"/>
    <w:rsid w:val="00572A8A"/>
    <w:rsid w:val="00572BE3"/>
    <w:rsid w:val="0057301C"/>
    <w:rsid w:val="0057313E"/>
    <w:rsid w:val="0057353E"/>
    <w:rsid w:val="00573A14"/>
    <w:rsid w:val="00573B5A"/>
    <w:rsid w:val="00573CCB"/>
    <w:rsid w:val="0057421D"/>
    <w:rsid w:val="005748D1"/>
    <w:rsid w:val="00574E80"/>
    <w:rsid w:val="00575387"/>
    <w:rsid w:val="0057557E"/>
    <w:rsid w:val="00575CC0"/>
    <w:rsid w:val="005760B4"/>
    <w:rsid w:val="005763B7"/>
    <w:rsid w:val="0057640F"/>
    <w:rsid w:val="00576EB7"/>
    <w:rsid w:val="00576ED6"/>
    <w:rsid w:val="00576F3E"/>
    <w:rsid w:val="00577234"/>
    <w:rsid w:val="005774E4"/>
    <w:rsid w:val="00577555"/>
    <w:rsid w:val="00577801"/>
    <w:rsid w:val="00577950"/>
    <w:rsid w:val="00577A64"/>
    <w:rsid w:val="0058007F"/>
    <w:rsid w:val="005802CB"/>
    <w:rsid w:val="00580FF8"/>
    <w:rsid w:val="005817BF"/>
    <w:rsid w:val="0058196F"/>
    <w:rsid w:val="0058239F"/>
    <w:rsid w:val="005823AA"/>
    <w:rsid w:val="005827FF"/>
    <w:rsid w:val="00582F6E"/>
    <w:rsid w:val="00582FDD"/>
    <w:rsid w:val="00583E83"/>
    <w:rsid w:val="00583EF3"/>
    <w:rsid w:val="005841A3"/>
    <w:rsid w:val="005842A4"/>
    <w:rsid w:val="0058442E"/>
    <w:rsid w:val="00584734"/>
    <w:rsid w:val="00584977"/>
    <w:rsid w:val="005849FE"/>
    <w:rsid w:val="005850C8"/>
    <w:rsid w:val="005852D3"/>
    <w:rsid w:val="005857AE"/>
    <w:rsid w:val="00585938"/>
    <w:rsid w:val="00585C69"/>
    <w:rsid w:val="00585EEB"/>
    <w:rsid w:val="00586963"/>
    <w:rsid w:val="00586E8C"/>
    <w:rsid w:val="00586EEF"/>
    <w:rsid w:val="005873D7"/>
    <w:rsid w:val="0058753F"/>
    <w:rsid w:val="0058757C"/>
    <w:rsid w:val="005876AB"/>
    <w:rsid w:val="00587F7C"/>
    <w:rsid w:val="005908BB"/>
    <w:rsid w:val="00591476"/>
    <w:rsid w:val="005917C1"/>
    <w:rsid w:val="00591A16"/>
    <w:rsid w:val="00591E27"/>
    <w:rsid w:val="00591F1C"/>
    <w:rsid w:val="00591F73"/>
    <w:rsid w:val="00592027"/>
    <w:rsid w:val="00592067"/>
    <w:rsid w:val="00592364"/>
    <w:rsid w:val="005924A1"/>
    <w:rsid w:val="005927E0"/>
    <w:rsid w:val="00592BA8"/>
    <w:rsid w:val="005936BD"/>
    <w:rsid w:val="005936D5"/>
    <w:rsid w:val="005937C1"/>
    <w:rsid w:val="005945E1"/>
    <w:rsid w:val="00594A4E"/>
    <w:rsid w:val="00594A60"/>
    <w:rsid w:val="00594C45"/>
    <w:rsid w:val="00594EC7"/>
    <w:rsid w:val="00594F70"/>
    <w:rsid w:val="005954B4"/>
    <w:rsid w:val="00595954"/>
    <w:rsid w:val="00595983"/>
    <w:rsid w:val="00595B59"/>
    <w:rsid w:val="00595F11"/>
    <w:rsid w:val="005960CB"/>
    <w:rsid w:val="005961FA"/>
    <w:rsid w:val="005963D9"/>
    <w:rsid w:val="00596843"/>
    <w:rsid w:val="00596E4C"/>
    <w:rsid w:val="005971F1"/>
    <w:rsid w:val="005972BA"/>
    <w:rsid w:val="00597324"/>
    <w:rsid w:val="00597CD6"/>
    <w:rsid w:val="00597D9A"/>
    <w:rsid w:val="005A0955"/>
    <w:rsid w:val="005A0BA6"/>
    <w:rsid w:val="005A1241"/>
    <w:rsid w:val="005A1373"/>
    <w:rsid w:val="005A14BF"/>
    <w:rsid w:val="005A2226"/>
    <w:rsid w:val="005A2746"/>
    <w:rsid w:val="005A2CC7"/>
    <w:rsid w:val="005A33BC"/>
    <w:rsid w:val="005A3E9E"/>
    <w:rsid w:val="005A4A36"/>
    <w:rsid w:val="005A4E1E"/>
    <w:rsid w:val="005A4FA8"/>
    <w:rsid w:val="005A5730"/>
    <w:rsid w:val="005A584F"/>
    <w:rsid w:val="005A6285"/>
    <w:rsid w:val="005A62F3"/>
    <w:rsid w:val="005A6562"/>
    <w:rsid w:val="005A687F"/>
    <w:rsid w:val="005A6B04"/>
    <w:rsid w:val="005A7A76"/>
    <w:rsid w:val="005B03A3"/>
    <w:rsid w:val="005B0608"/>
    <w:rsid w:val="005B0671"/>
    <w:rsid w:val="005B0717"/>
    <w:rsid w:val="005B12CF"/>
    <w:rsid w:val="005B12D6"/>
    <w:rsid w:val="005B1A6C"/>
    <w:rsid w:val="005B202D"/>
    <w:rsid w:val="005B2B07"/>
    <w:rsid w:val="005B3C2C"/>
    <w:rsid w:val="005B3D8F"/>
    <w:rsid w:val="005B43F3"/>
    <w:rsid w:val="005B4912"/>
    <w:rsid w:val="005B4C2F"/>
    <w:rsid w:val="005B4CF1"/>
    <w:rsid w:val="005B4F39"/>
    <w:rsid w:val="005B5E14"/>
    <w:rsid w:val="005B6766"/>
    <w:rsid w:val="005B688E"/>
    <w:rsid w:val="005B6A46"/>
    <w:rsid w:val="005B6AE4"/>
    <w:rsid w:val="005B6F10"/>
    <w:rsid w:val="005B7000"/>
    <w:rsid w:val="005B703A"/>
    <w:rsid w:val="005B732B"/>
    <w:rsid w:val="005B762A"/>
    <w:rsid w:val="005B7D05"/>
    <w:rsid w:val="005C025E"/>
    <w:rsid w:val="005C03EF"/>
    <w:rsid w:val="005C0588"/>
    <w:rsid w:val="005C076C"/>
    <w:rsid w:val="005C0BC1"/>
    <w:rsid w:val="005C10DF"/>
    <w:rsid w:val="005C124E"/>
    <w:rsid w:val="005C13B0"/>
    <w:rsid w:val="005C13DB"/>
    <w:rsid w:val="005C16C7"/>
    <w:rsid w:val="005C1C04"/>
    <w:rsid w:val="005C1D12"/>
    <w:rsid w:val="005C242D"/>
    <w:rsid w:val="005C2C83"/>
    <w:rsid w:val="005C2D37"/>
    <w:rsid w:val="005C345F"/>
    <w:rsid w:val="005C34CA"/>
    <w:rsid w:val="005C3649"/>
    <w:rsid w:val="005C4779"/>
    <w:rsid w:val="005C47D1"/>
    <w:rsid w:val="005C481A"/>
    <w:rsid w:val="005C4B53"/>
    <w:rsid w:val="005C4BE0"/>
    <w:rsid w:val="005C4C44"/>
    <w:rsid w:val="005C5287"/>
    <w:rsid w:val="005C5558"/>
    <w:rsid w:val="005C58D5"/>
    <w:rsid w:val="005C590B"/>
    <w:rsid w:val="005C5A08"/>
    <w:rsid w:val="005C6363"/>
    <w:rsid w:val="005C668B"/>
    <w:rsid w:val="005C6AD8"/>
    <w:rsid w:val="005C6B2D"/>
    <w:rsid w:val="005C6B7F"/>
    <w:rsid w:val="005C6D28"/>
    <w:rsid w:val="005C71AB"/>
    <w:rsid w:val="005C730A"/>
    <w:rsid w:val="005C78C6"/>
    <w:rsid w:val="005D0560"/>
    <w:rsid w:val="005D0B13"/>
    <w:rsid w:val="005D1220"/>
    <w:rsid w:val="005D1258"/>
    <w:rsid w:val="005D1E91"/>
    <w:rsid w:val="005D22C2"/>
    <w:rsid w:val="005D239B"/>
    <w:rsid w:val="005D24BB"/>
    <w:rsid w:val="005D2801"/>
    <w:rsid w:val="005D2DEC"/>
    <w:rsid w:val="005D33EA"/>
    <w:rsid w:val="005D340A"/>
    <w:rsid w:val="005D3649"/>
    <w:rsid w:val="005D384A"/>
    <w:rsid w:val="005D3881"/>
    <w:rsid w:val="005D3EFB"/>
    <w:rsid w:val="005D4ED7"/>
    <w:rsid w:val="005D55D7"/>
    <w:rsid w:val="005D57B0"/>
    <w:rsid w:val="005D57B7"/>
    <w:rsid w:val="005D5AF9"/>
    <w:rsid w:val="005D5F1E"/>
    <w:rsid w:val="005D6329"/>
    <w:rsid w:val="005D6AA2"/>
    <w:rsid w:val="005D6D25"/>
    <w:rsid w:val="005D7712"/>
    <w:rsid w:val="005D7A9B"/>
    <w:rsid w:val="005E06AB"/>
    <w:rsid w:val="005E0A97"/>
    <w:rsid w:val="005E0FDB"/>
    <w:rsid w:val="005E102A"/>
    <w:rsid w:val="005E14A2"/>
    <w:rsid w:val="005E15B3"/>
    <w:rsid w:val="005E19C2"/>
    <w:rsid w:val="005E2161"/>
    <w:rsid w:val="005E2350"/>
    <w:rsid w:val="005E2BCE"/>
    <w:rsid w:val="005E354D"/>
    <w:rsid w:val="005E373A"/>
    <w:rsid w:val="005E3748"/>
    <w:rsid w:val="005E4020"/>
    <w:rsid w:val="005E4899"/>
    <w:rsid w:val="005E4F95"/>
    <w:rsid w:val="005E5256"/>
    <w:rsid w:val="005E5FAC"/>
    <w:rsid w:val="005E6044"/>
    <w:rsid w:val="005E61F1"/>
    <w:rsid w:val="005E6449"/>
    <w:rsid w:val="005E69FE"/>
    <w:rsid w:val="005E7230"/>
    <w:rsid w:val="005E76B7"/>
    <w:rsid w:val="005E774F"/>
    <w:rsid w:val="005E7A06"/>
    <w:rsid w:val="005E7A28"/>
    <w:rsid w:val="005E7A53"/>
    <w:rsid w:val="005E7AFC"/>
    <w:rsid w:val="005E7B05"/>
    <w:rsid w:val="005E7B68"/>
    <w:rsid w:val="005F0009"/>
    <w:rsid w:val="005F1591"/>
    <w:rsid w:val="005F19D9"/>
    <w:rsid w:val="005F206F"/>
    <w:rsid w:val="005F238C"/>
    <w:rsid w:val="005F2405"/>
    <w:rsid w:val="005F2B94"/>
    <w:rsid w:val="005F2CE0"/>
    <w:rsid w:val="005F333B"/>
    <w:rsid w:val="005F3910"/>
    <w:rsid w:val="005F426E"/>
    <w:rsid w:val="005F45CE"/>
    <w:rsid w:val="005F51DB"/>
    <w:rsid w:val="005F5B92"/>
    <w:rsid w:val="005F5DF5"/>
    <w:rsid w:val="005F65B8"/>
    <w:rsid w:val="005F68FA"/>
    <w:rsid w:val="005F6938"/>
    <w:rsid w:val="005F6AC7"/>
    <w:rsid w:val="005F7104"/>
    <w:rsid w:val="005F71E4"/>
    <w:rsid w:val="005F735F"/>
    <w:rsid w:val="005F73E8"/>
    <w:rsid w:val="005F775A"/>
    <w:rsid w:val="005F7BD8"/>
    <w:rsid w:val="005F7EC4"/>
    <w:rsid w:val="006000AD"/>
    <w:rsid w:val="00600165"/>
    <w:rsid w:val="00600517"/>
    <w:rsid w:val="00600560"/>
    <w:rsid w:val="00600747"/>
    <w:rsid w:val="00600B59"/>
    <w:rsid w:val="00601041"/>
    <w:rsid w:val="00601491"/>
    <w:rsid w:val="00601980"/>
    <w:rsid w:val="00601B2B"/>
    <w:rsid w:val="00601FFA"/>
    <w:rsid w:val="00602649"/>
    <w:rsid w:val="00603615"/>
    <w:rsid w:val="00603964"/>
    <w:rsid w:val="00603B4D"/>
    <w:rsid w:val="00603D80"/>
    <w:rsid w:val="00603E10"/>
    <w:rsid w:val="00603E5C"/>
    <w:rsid w:val="006042FD"/>
    <w:rsid w:val="00604573"/>
    <w:rsid w:val="00604614"/>
    <w:rsid w:val="006049A8"/>
    <w:rsid w:val="006051E7"/>
    <w:rsid w:val="0060539B"/>
    <w:rsid w:val="006058F2"/>
    <w:rsid w:val="00605E90"/>
    <w:rsid w:val="006062BE"/>
    <w:rsid w:val="00606672"/>
    <w:rsid w:val="00606ADD"/>
    <w:rsid w:val="00606AE9"/>
    <w:rsid w:val="006073BC"/>
    <w:rsid w:val="006074C0"/>
    <w:rsid w:val="00607FBA"/>
    <w:rsid w:val="00610390"/>
    <w:rsid w:val="006108F9"/>
    <w:rsid w:val="00610CAB"/>
    <w:rsid w:val="0061103A"/>
    <w:rsid w:val="0061120D"/>
    <w:rsid w:val="00611DA8"/>
    <w:rsid w:val="00612342"/>
    <w:rsid w:val="006124E9"/>
    <w:rsid w:val="00612DB5"/>
    <w:rsid w:val="00614290"/>
    <w:rsid w:val="00614306"/>
    <w:rsid w:val="006148F6"/>
    <w:rsid w:val="00615A77"/>
    <w:rsid w:val="00615C3C"/>
    <w:rsid w:val="006166BB"/>
    <w:rsid w:val="0061737D"/>
    <w:rsid w:val="006173D5"/>
    <w:rsid w:val="006175B6"/>
    <w:rsid w:val="0061772E"/>
    <w:rsid w:val="00617803"/>
    <w:rsid w:val="006179A7"/>
    <w:rsid w:val="00617F6B"/>
    <w:rsid w:val="00617FD5"/>
    <w:rsid w:val="0062068A"/>
    <w:rsid w:val="006207DE"/>
    <w:rsid w:val="0062084D"/>
    <w:rsid w:val="00620CAC"/>
    <w:rsid w:val="00620FF0"/>
    <w:rsid w:val="00621153"/>
    <w:rsid w:val="0062161F"/>
    <w:rsid w:val="00621893"/>
    <w:rsid w:val="00623374"/>
    <w:rsid w:val="006233B1"/>
    <w:rsid w:val="006236FC"/>
    <w:rsid w:val="00623721"/>
    <w:rsid w:val="0062386F"/>
    <w:rsid w:val="0062449B"/>
    <w:rsid w:val="006245C2"/>
    <w:rsid w:val="00624CDD"/>
    <w:rsid w:val="00625413"/>
    <w:rsid w:val="006256E4"/>
    <w:rsid w:val="0062637F"/>
    <w:rsid w:val="00626A28"/>
    <w:rsid w:val="00626AC3"/>
    <w:rsid w:val="00626CD4"/>
    <w:rsid w:val="0062744C"/>
    <w:rsid w:val="00627884"/>
    <w:rsid w:val="006306A4"/>
    <w:rsid w:val="00630D03"/>
    <w:rsid w:val="00631308"/>
    <w:rsid w:val="00631B48"/>
    <w:rsid w:val="00631B6B"/>
    <w:rsid w:val="00632306"/>
    <w:rsid w:val="00632525"/>
    <w:rsid w:val="00632625"/>
    <w:rsid w:val="00632C0F"/>
    <w:rsid w:val="00633424"/>
    <w:rsid w:val="00633B09"/>
    <w:rsid w:val="00633C99"/>
    <w:rsid w:val="00633DD2"/>
    <w:rsid w:val="006340B9"/>
    <w:rsid w:val="00634462"/>
    <w:rsid w:val="006347E4"/>
    <w:rsid w:val="00634B55"/>
    <w:rsid w:val="00634C1E"/>
    <w:rsid w:val="00634DD9"/>
    <w:rsid w:val="006356DE"/>
    <w:rsid w:val="00635833"/>
    <w:rsid w:val="00635B40"/>
    <w:rsid w:val="00635C7D"/>
    <w:rsid w:val="00636598"/>
    <w:rsid w:val="00636C0F"/>
    <w:rsid w:val="00636D9F"/>
    <w:rsid w:val="0063723C"/>
    <w:rsid w:val="00637272"/>
    <w:rsid w:val="0063736F"/>
    <w:rsid w:val="0063749F"/>
    <w:rsid w:val="00637B8C"/>
    <w:rsid w:val="00637F7B"/>
    <w:rsid w:val="00640497"/>
    <w:rsid w:val="0064066A"/>
    <w:rsid w:val="006407BA"/>
    <w:rsid w:val="00640F8F"/>
    <w:rsid w:val="006411E8"/>
    <w:rsid w:val="006412C5"/>
    <w:rsid w:val="0064139D"/>
    <w:rsid w:val="00641565"/>
    <w:rsid w:val="00641B97"/>
    <w:rsid w:val="006420F7"/>
    <w:rsid w:val="006426C6"/>
    <w:rsid w:val="00642CD7"/>
    <w:rsid w:val="006431A9"/>
    <w:rsid w:val="0064335C"/>
    <w:rsid w:val="006435AB"/>
    <w:rsid w:val="006435E8"/>
    <w:rsid w:val="006436FE"/>
    <w:rsid w:val="00643968"/>
    <w:rsid w:val="00643A45"/>
    <w:rsid w:val="006444FF"/>
    <w:rsid w:val="00644A4B"/>
    <w:rsid w:val="00644B1B"/>
    <w:rsid w:val="00644DD3"/>
    <w:rsid w:val="00644DE0"/>
    <w:rsid w:val="00645733"/>
    <w:rsid w:val="00645785"/>
    <w:rsid w:val="006469A3"/>
    <w:rsid w:val="00646ACE"/>
    <w:rsid w:val="0064778C"/>
    <w:rsid w:val="006479D4"/>
    <w:rsid w:val="00647B1F"/>
    <w:rsid w:val="00650256"/>
    <w:rsid w:val="006512EF"/>
    <w:rsid w:val="00651A95"/>
    <w:rsid w:val="00651C2A"/>
    <w:rsid w:val="00651DF7"/>
    <w:rsid w:val="00651E5D"/>
    <w:rsid w:val="00652022"/>
    <w:rsid w:val="00652173"/>
    <w:rsid w:val="0065222C"/>
    <w:rsid w:val="00652326"/>
    <w:rsid w:val="0065277F"/>
    <w:rsid w:val="00652C07"/>
    <w:rsid w:val="00652F57"/>
    <w:rsid w:val="006531AE"/>
    <w:rsid w:val="00653DF9"/>
    <w:rsid w:val="00653E3D"/>
    <w:rsid w:val="0065434E"/>
    <w:rsid w:val="006547E5"/>
    <w:rsid w:val="006548E4"/>
    <w:rsid w:val="00654BC5"/>
    <w:rsid w:val="0065552A"/>
    <w:rsid w:val="00655B42"/>
    <w:rsid w:val="00655F41"/>
    <w:rsid w:val="00656131"/>
    <w:rsid w:val="006568E2"/>
    <w:rsid w:val="006568EB"/>
    <w:rsid w:val="00656B13"/>
    <w:rsid w:val="00656FD7"/>
    <w:rsid w:val="0065702C"/>
    <w:rsid w:val="0065744E"/>
    <w:rsid w:val="006577F4"/>
    <w:rsid w:val="00657A2B"/>
    <w:rsid w:val="00657C22"/>
    <w:rsid w:val="00660149"/>
    <w:rsid w:val="006608DD"/>
    <w:rsid w:val="00660A7E"/>
    <w:rsid w:val="00660EFF"/>
    <w:rsid w:val="006613BB"/>
    <w:rsid w:val="00661A8F"/>
    <w:rsid w:val="00661E9C"/>
    <w:rsid w:val="00661F0E"/>
    <w:rsid w:val="0066203D"/>
    <w:rsid w:val="006622FF"/>
    <w:rsid w:val="00662948"/>
    <w:rsid w:val="0066295C"/>
    <w:rsid w:val="00662A95"/>
    <w:rsid w:val="00662B20"/>
    <w:rsid w:val="0066331F"/>
    <w:rsid w:val="00663A2A"/>
    <w:rsid w:val="00663D66"/>
    <w:rsid w:val="006640CC"/>
    <w:rsid w:val="00664514"/>
    <w:rsid w:val="00664C3E"/>
    <w:rsid w:val="006651AF"/>
    <w:rsid w:val="006653FE"/>
    <w:rsid w:val="0066566B"/>
    <w:rsid w:val="00665A1C"/>
    <w:rsid w:val="00665A36"/>
    <w:rsid w:val="00665B24"/>
    <w:rsid w:val="006661FF"/>
    <w:rsid w:val="00666728"/>
    <w:rsid w:val="006670CB"/>
    <w:rsid w:val="006671B7"/>
    <w:rsid w:val="00667C79"/>
    <w:rsid w:val="00667D1A"/>
    <w:rsid w:val="006700BB"/>
    <w:rsid w:val="00670141"/>
    <w:rsid w:val="0067021E"/>
    <w:rsid w:val="00670611"/>
    <w:rsid w:val="006707D0"/>
    <w:rsid w:val="0067080A"/>
    <w:rsid w:val="00670DB0"/>
    <w:rsid w:val="00670EDE"/>
    <w:rsid w:val="00671203"/>
    <w:rsid w:val="00671968"/>
    <w:rsid w:val="0067197E"/>
    <w:rsid w:val="00671ECD"/>
    <w:rsid w:val="0067244C"/>
    <w:rsid w:val="00672624"/>
    <w:rsid w:val="00672A1F"/>
    <w:rsid w:val="006738AB"/>
    <w:rsid w:val="00673AED"/>
    <w:rsid w:val="00674291"/>
    <w:rsid w:val="00674400"/>
    <w:rsid w:val="006748F3"/>
    <w:rsid w:val="00674A81"/>
    <w:rsid w:val="00674FE2"/>
    <w:rsid w:val="006750A7"/>
    <w:rsid w:val="006753A1"/>
    <w:rsid w:val="006754E5"/>
    <w:rsid w:val="006754F5"/>
    <w:rsid w:val="006759A8"/>
    <w:rsid w:val="006759DC"/>
    <w:rsid w:val="00676526"/>
    <w:rsid w:val="00676926"/>
    <w:rsid w:val="00676A4E"/>
    <w:rsid w:val="00676ED0"/>
    <w:rsid w:val="0067711D"/>
    <w:rsid w:val="00677559"/>
    <w:rsid w:val="00677EDD"/>
    <w:rsid w:val="00680165"/>
    <w:rsid w:val="00680545"/>
    <w:rsid w:val="006805DE"/>
    <w:rsid w:val="00680AA2"/>
    <w:rsid w:val="00680D38"/>
    <w:rsid w:val="00681465"/>
    <w:rsid w:val="00681744"/>
    <w:rsid w:val="00681763"/>
    <w:rsid w:val="00681904"/>
    <w:rsid w:val="00681914"/>
    <w:rsid w:val="00681DBF"/>
    <w:rsid w:val="00681E23"/>
    <w:rsid w:val="00681EB6"/>
    <w:rsid w:val="0068228A"/>
    <w:rsid w:val="00682583"/>
    <w:rsid w:val="0068279F"/>
    <w:rsid w:val="00682D44"/>
    <w:rsid w:val="006833B5"/>
    <w:rsid w:val="00683B32"/>
    <w:rsid w:val="00683B9D"/>
    <w:rsid w:val="00683F7E"/>
    <w:rsid w:val="0068428F"/>
    <w:rsid w:val="006842B7"/>
    <w:rsid w:val="00684955"/>
    <w:rsid w:val="00684D92"/>
    <w:rsid w:val="00685211"/>
    <w:rsid w:val="0068553C"/>
    <w:rsid w:val="006858FC"/>
    <w:rsid w:val="00685E84"/>
    <w:rsid w:val="006864C9"/>
    <w:rsid w:val="00686A87"/>
    <w:rsid w:val="00686E38"/>
    <w:rsid w:val="00687097"/>
    <w:rsid w:val="006873BB"/>
    <w:rsid w:val="00687540"/>
    <w:rsid w:val="00687B66"/>
    <w:rsid w:val="00687E88"/>
    <w:rsid w:val="00687F48"/>
    <w:rsid w:val="00690794"/>
    <w:rsid w:val="00690C6C"/>
    <w:rsid w:val="00691749"/>
    <w:rsid w:val="00691D1F"/>
    <w:rsid w:val="00692093"/>
    <w:rsid w:val="0069247B"/>
    <w:rsid w:val="0069257A"/>
    <w:rsid w:val="00693146"/>
    <w:rsid w:val="006938B1"/>
    <w:rsid w:val="00693A26"/>
    <w:rsid w:val="00693A2E"/>
    <w:rsid w:val="00693A94"/>
    <w:rsid w:val="00693CF2"/>
    <w:rsid w:val="00693FDA"/>
    <w:rsid w:val="00694125"/>
    <w:rsid w:val="006958AA"/>
    <w:rsid w:val="00695A42"/>
    <w:rsid w:val="00695C88"/>
    <w:rsid w:val="006962F5"/>
    <w:rsid w:val="00697277"/>
    <w:rsid w:val="006975D5"/>
    <w:rsid w:val="00697C54"/>
    <w:rsid w:val="006A04B9"/>
    <w:rsid w:val="006A0A3D"/>
    <w:rsid w:val="006A0C77"/>
    <w:rsid w:val="006A0D74"/>
    <w:rsid w:val="006A107C"/>
    <w:rsid w:val="006A12B3"/>
    <w:rsid w:val="006A1431"/>
    <w:rsid w:val="006A1542"/>
    <w:rsid w:val="006A1941"/>
    <w:rsid w:val="006A1EFA"/>
    <w:rsid w:val="006A2040"/>
    <w:rsid w:val="006A20E4"/>
    <w:rsid w:val="006A2480"/>
    <w:rsid w:val="006A249C"/>
    <w:rsid w:val="006A3183"/>
    <w:rsid w:val="006A3314"/>
    <w:rsid w:val="006A34E6"/>
    <w:rsid w:val="006A3EB3"/>
    <w:rsid w:val="006A41A6"/>
    <w:rsid w:val="006A4670"/>
    <w:rsid w:val="006A50C3"/>
    <w:rsid w:val="006A5962"/>
    <w:rsid w:val="006A5A2D"/>
    <w:rsid w:val="006A60CA"/>
    <w:rsid w:val="006A610A"/>
    <w:rsid w:val="006A74BE"/>
    <w:rsid w:val="006A7667"/>
    <w:rsid w:val="006A7CF5"/>
    <w:rsid w:val="006B03DD"/>
    <w:rsid w:val="006B03FD"/>
    <w:rsid w:val="006B05FB"/>
    <w:rsid w:val="006B0855"/>
    <w:rsid w:val="006B0CAB"/>
    <w:rsid w:val="006B0FB4"/>
    <w:rsid w:val="006B139D"/>
    <w:rsid w:val="006B1841"/>
    <w:rsid w:val="006B188B"/>
    <w:rsid w:val="006B2C78"/>
    <w:rsid w:val="006B2D35"/>
    <w:rsid w:val="006B2F8B"/>
    <w:rsid w:val="006B310A"/>
    <w:rsid w:val="006B3A61"/>
    <w:rsid w:val="006B4362"/>
    <w:rsid w:val="006B4512"/>
    <w:rsid w:val="006B4688"/>
    <w:rsid w:val="006B46EE"/>
    <w:rsid w:val="006B4E6B"/>
    <w:rsid w:val="006B4FB0"/>
    <w:rsid w:val="006B54E0"/>
    <w:rsid w:val="006B55BA"/>
    <w:rsid w:val="006B55C6"/>
    <w:rsid w:val="006B5741"/>
    <w:rsid w:val="006B5810"/>
    <w:rsid w:val="006B596C"/>
    <w:rsid w:val="006B621C"/>
    <w:rsid w:val="006B622C"/>
    <w:rsid w:val="006B6432"/>
    <w:rsid w:val="006B69D6"/>
    <w:rsid w:val="006B69DE"/>
    <w:rsid w:val="006B6AB3"/>
    <w:rsid w:val="006B7414"/>
    <w:rsid w:val="006B74C9"/>
    <w:rsid w:val="006B79C2"/>
    <w:rsid w:val="006B7CDF"/>
    <w:rsid w:val="006C05B4"/>
    <w:rsid w:val="006C07C4"/>
    <w:rsid w:val="006C0EA8"/>
    <w:rsid w:val="006C113A"/>
    <w:rsid w:val="006C1147"/>
    <w:rsid w:val="006C1897"/>
    <w:rsid w:val="006C191E"/>
    <w:rsid w:val="006C1A1C"/>
    <w:rsid w:val="006C21D8"/>
    <w:rsid w:val="006C25E5"/>
    <w:rsid w:val="006C267F"/>
    <w:rsid w:val="006C283C"/>
    <w:rsid w:val="006C2BAF"/>
    <w:rsid w:val="006C2BC4"/>
    <w:rsid w:val="006C2F73"/>
    <w:rsid w:val="006C37F6"/>
    <w:rsid w:val="006C3820"/>
    <w:rsid w:val="006C39D1"/>
    <w:rsid w:val="006C3FD3"/>
    <w:rsid w:val="006C40E5"/>
    <w:rsid w:val="006C4BBF"/>
    <w:rsid w:val="006C52EB"/>
    <w:rsid w:val="006C5533"/>
    <w:rsid w:val="006C6381"/>
    <w:rsid w:val="006C6AC8"/>
    <w:rsid w:val="006C7070"/>
    <w:rsid w:val="006C7292"/>
    <w:rsid w:val="006C7BBD"/>
    <w:rsid w:val="006C7CA3"/>
    <w:rsid w:val="006C7D62"/>
    <w:rsid w:val="006D06D1"/>
    <w:rsid w:val="006D0BD0"/>
    <w:rsid w:val="006D0DC9"/>
    <w:rsid w:val="006D0EBC"/>
    <w:rsid w:val="006D0EE8"/>
    <w:rsid w:val="006D1E45"/>
    <w:rsid w:val="006D201B"/>
    <w:rsid w:val="006D223E"/>
    <w:rsid w:val="006D2676"/>
    <w:rsid w:val="006D27CD"/>
    <w:rsid w:val="006D35A1"/>
    <w:rsid w:val="006D35B9"/>
    <w:rsid w:val="006D3639"/>
    <w:rsid w:val="006D3C09"/>
    <w:rsid w:val="006D3CEC"/>
    <w:rsid w:val="006D43D5"/>
    <w:rsid w:val="006D43DB"/>
    <w:rsid w:val="006D4785"/>
    <w:rsid w:val="006D4CFB"/>
    <w:rsid w:val="006D5219"/>
    <w:rsid w:val="006D521A"/>
    <w:rsid w:val="006D528A"/>
    <w:rsid w:val="006D52DC"/>
    <w:rsid w:val="006D5780"/>
    <w:rsid w:val="006D5A64"/>
    <w:rsid w:val="006D612E"/>
    <w:rsid w:val="006D68C8"/>
    <w:rsid w:val="006D68E0"/>
    <w:rsid w:val="006D69A0"/>
    <w:rsid w:val="006D6AE9"/>
    <w:rsid w:val="006D6C13"/>
    <w:rsid w:val="006D74D9"/>
    <w:rsid w:val="006D7790"/>
    <w:rsid w:val="006D7839"/>
    <w:rsid w:val="006E043F"/>
    <w:rsid w:val="006E046E"/>
    <w:rsid w:val="006E0908"/>
    <w:rsid w:val="006E0ACF"/>
    <w:rsid w:val="006E1233"/>
    <w:rsid w:val="006E1900"/>
    <w:rsid w:val="006E19C8"/>
    <w:rsid w:val="006E1BC4"/>
    <w:rsid w:val="006E219D"/>
    <w:rsid w:val="006E240E"/>
    <w:rsid w:val="006E2933"/>
    <w:rsid w:val="006E31E1"/>
    <w:rsid w:val="006E33A9"/>
    <w:rsid w:val="006E3997"/>
    <w:rsid w:val="006E3C06"/>
    <w:rsid w:val="006E3C91"/>
    <w:rsid w:val="006E43FF"/>
    <w:rsid w:val="006E46CB"/>
    <w:rsid w:val="006E4B0E"/>
    <w:rsid w:val="006E561A"/>
    <w:rsid w:val="006E5D45"/>
    <w:rsid w:val="006E6207"/>
    <w:rsid w:val="006E6274"/>
    <w:rsid w:val="006E675B"/>
    <w:rsid w:val="006E679B"/>
    <w:rsid w:val="006E6960"/>
    <w:rsid w:val="006E6C3F"/>
    <w:rsid w:val="006E7280"/>
    <w:rsid w:val="006E79A7"/>
    <w:rsid w:val="006E7C7E"/>
    <w:rsid w:val="006F038E"/>
    <w:rsid w:val="006F067F"/>
    <w:rsid w:val="006F07E1"/>
    <w:rsid w:val="006F2543"/>
    <w:rsid w:val="006F260C"/>
    <w:rsid w:val="006F332F"/>
    <w:rsid w:val="006F38F0"/>
    <w:rsid w:val="006F3E06"/>
    <w:rsid w:val="006F4106"/>
    <w:rsid w:val="006F4827"/>
    <w:rsid w:val="006F4D74"/>
    <w:rsid w:val="006F50AE"/>
    <w:rsid w:val="006F515A"/>
    <w:rsid w:val="006F51EA"/>
    <w:rsid w:val="006F5466"/>
    <w:rsid w:val="006F5E4B"/>
    <w:rsid w:val="006F63A0"/>
    <w:rsid w:val="006F6582"/>
    <w:rsid w:val="006F65CD"/>
    <w:rsid w:val="006F7238"/>
    <w:rsid w:val="006F7501"/>
    <w:rsid w:val="006F7680"/>
    <w:rsid w:val="006F7A90"/>
    <w:rsid w:val="006F7D4C"/>
    <w:rsid w:val="006F7F7F"/>
    <w:rsid w:val="007005C8"/>
    <w:rsid w:val="00700C7C"/>
    <w:rsid w:val="0070155C"/>
    <w:rsid w:val="00701673"/>
    <w:rsid w:val="0070252C"/>
    <w:rsid w:val="00702696"/>
    <w:rsid w:val="00702ADC"/>
    <w:rsid w:val="00703066"/>
    <w:rsid w:val="0070365A"/>
    <w:rsid w:val="007036E7"/>
    <w:rsid w:val="007037C1"/>
    <w:rsid w:val="00703B48"/>
    <w:rsid w:val="007042E1"/>
    <w:rsid w:val="00704323"/>
    <w:rsid w:val="007047F7"/>
    <w:rsid w:val="00704BC6"/>
    <w:rsid w:val="00704E6E"/>
    <w:rsid w:val="00704FD5"/>
    <w:rsid w:val="0070505B"/>
    <w:rsid w:val="007051AA"/>
    <w:rsid w:val="00705B70"/>
    <w:rsid w:val="00705B80"/>
    <w:rsid w:val="00705E61"/>
    <w:rsid w:val="00706369"/>
    <w:rsid w:val="007068D8"/>
    <w:rsid w:val="00707896"/>
    <w:rsid w:val="00707978"/>
    <w:rsid w:val="00707AE7"/>
    <w:rsid w:val="00707B6E"/>
    <w:rsid w:val="00707EBB"/>
    <w:rsid w:val="007104E4"/>
    <w:rsid w:val="00710D45"/>
    <w:rsid w:val="00710E0B"/>
    <w:rsid w:val="00710E58"/>
    <w:rsid w:val="00711D81"/>
    <w:rsid w:val="00712145"/>
    <w:rsid w:val="00712328"/>
    <w:rsid w:val="0071249D"/>
    <w:rsid w:val="007128F1"/>
    <w:rsid w:val="00712DBB"/>
    <w:rsid w:val="00712E45"/>
    <w:rsid w:val="007133F8"/>
    <w:rsid w:val="00713667"/>
    <w:rsid w:val="00713B6A"/>
    <w:rsid w:val="00713EB0"/>
    <w:rsid w:val="00713FAD"/>
    <w:rsid w:val="00714337"/>
    <w:rsid w:val="007146B5"/>
    <w:rsid w:val="00715018"/>
    <w:rsid w:val="0071518E"/>
    <w:rsid w:val="00715448"/>
    <w:rsid w:val="007154EC"/>
    <w:rsid w:val="007159DD"/>
    <w:rsid w:val="007160FE"/>
    <w:rsid w:val="007162FD"/>
    <w:rsid w:val="007165C9"/>
    <w:rsid w:val="00716CB9"/>
    <w:rsid w:val="0071702C"/>
    <w:rsid w:val="0071727F"/>
    <w:rsid w:val="00717510"/>
    <w:rsid w:val="0071784F"/>
    <w:rsid w:val="0071799A"/>
    <w:rsid w:val="00717D3E"/>
    <w:rsid w:val="00717F89"/>
    <w:rsid w:val="00720222"/>
    <w:rsid w:val="00720718"/>
    <w:rsid w:val="007208FA"/>
    <w:rsid w:val="00720D53"/>
    <w:rsid w:val="00720F34"/>
    <w:rsid w:val="00722D9D"/>
    <w:rsid w:val="00722FA2"/>
    <w:rsid w:val="0072301C"/>
    <w:rsid w:val="007236AD"/>
    <w:rsid w:val="007238C4"/>
    <w:rsid w:val="0072421A"/>
    <w:rsid w:val="0072428C"/>
    <w:rsid w:val="00724374"/>
    <w:rsid w:val="007244CB"/>
    <w:rsid w:val="007247F1"/>
    <w:rsid w:val="00724C9D"/>
    <w:rsid w:val="007254D4"/>
    <w:rsid w:val="007255EF"/>
    <w:rsid w:val="00725DCE"/>
    <w:rsid w:val="007265FF"/>
    <w:rsid w:val="00726D1D"/>
    <w:rsid w:val="00726F4D"/>
    <w:rsid w:val="00726FDC"/>
    <w:rsid w:val="007274B8"/>
    <w:rsid w:val="00727BE1"/>
    <w:rsid w:val="00727EE0"/>
    <w:rsid w:val="00730A80"/>
    <w:rsid w:val="00730E0D"/>
    <w:rsid w:val="00731064"/>
    <w:rsid w:val="0073110C"/>
    <w:rsid w:val="007316C0"/>
    <w:rsid w:val="007316F0"/>
    <w:rsid w:val="00731796"/>
    <w:rsid w:val="0073194E"/>
    <w:rsid w:val="007323DF"/>
    <w:rsid w:val="00732462"/>
    <w:rsid w:val="00732512"/>
    <w:rsid w:val="00732ADD"/>
    <w:rsid w:val="00732C41"/>
    <w:rsid w:val="00732E44"/>
    <w:rsid w:val="00733F22"/>
    <w:rsid w:val="00734159"/>
    <w:rsid w:val="0073440E"/>
    <w:rsid w:val="007344D4"/>
    <w:rsid w:val="007345D2"/>
    <w:rsid w:val="00734813"/>
    <w:rsid w:val="00734AC1"/>
    <w:rsid w:val="00734DF3"/>
    <w:rsid w:val="00735539"/>
    <w:rsid w:val="0073566E"/>
    <w:rsid w:val="007357DF"/>
    <w:rsid w:val="00735B09"/>
    <w:rsid w:val="00735C6E"/>
    <w:rsid w:val="00736A93"/>
    <w:rsid w:val="007375F0"/>
    <w:rsid w:val="00737F85"/>
    <w:rsid w:val="0074015D"/>
    <w:rsid w:val="007405CE"/>
    <w:rsid w:val="00740B40"/>
    <w:rsid w:val="00740CD2"/>
    <w:rsid w:val="007410EB"/>
    <w:rsid w:val="0074139C"/>
    <w:rsid w:val="00741578"/>
    <w:rsid w:val="007420BA"/>
    <w:rsid w:val="007424FE"/>
    <w:rsid w:val="007425E7"/>
    <w:rsid w:val="00742B4C"/>
    <w:rsid w:val="00742E7B"/>
    <w:rsid w:val="00742F6E"/>
    <w:rsid w:val="0074326E"/>
    <w:rsid w:val="00743CAD"/>
    <w:rsid w:val="00743ED7"/>
    <w:rsid w:val="00744119"/>
    <w:rsid w:val="0074447F"/>
    <w:rsid w:val="007444B7"/>
    <w:rsid w:val="00744A92"/>
    <w:rsid w:val="00744E98"/>
    <w:rsid w:val="00744FDF"/>
    <w:rsid w:val="0074605E"/>
    <w:rsid w:val="0074634F"/>
    <w:rsid w:val="0074657C"/>
    <w:rsid w:val="007465D7"/>
    <w:rsid w:val="0074727C"/>
    <w:rsid w:val="007475AC"/>
    <w:rsid w:val="0074769F"/>
    <w:rsid w:val="007502F9"/>
    <w:rsid w:val="0075084C"/>
    <w:rsid w:val="00750BF9"/>
    <w:rsid w:val="00750CB6"/>
    <w:rsid w:val="007510DE"/>
    <w:rsid w:val="0075143F"/>
    <w:rsid w:val="007514FA"/>
    <w:rsid w:val="007516BA"/>
    <w:rsid w:val="00751A85"/>
    <w:rsid w:val="00751B2F"/>
    <w:rsid w:val="00751FB0"/>
    <w:rsid w:val="007520C3"/>
    <w:rsid w:val="007520F4"/>
    <w:rsid w:val="00752104"/>
    <w:rsid w:val="007523CB"/>
    <w:rsid w:val="0075284E"/>
    <w:rsid w:val="0075295C"/>
    <w:rsid w:val="007529DC"/>
    <w:rsid w:val="00752A75"/>
    <w:rsid w:val="00752D91"/>
    <w:rsid w:val="00752D9A"/>
    <w:rsid w:val="00753180"/>
    <w:rsid w:val="00753451"/>
    <w:rsid w:val="00753872"/>
    <w:rsid w:val="007538E8"/>
    <w:rsid w:val="00753B56"/>
    <w:rsid w:val="00753D55"/>
    <w:rsid w:val="007546CD"/>
    <w:rsid w:val="007546EA"/>
    <w:rsid w:val="007553B0"/>
    <w:rsid w:val="007555AC"/>
    <w:rsid w:val="00755796"/>
    <w:rsid w:val="007557C1"/>
    <w:rsid w:val="00755A21"/>
    <w:rsid w:val="0075609B"/>
    <w:rsid w:val="00756CA0"/>
    <w:rsid w:val="00756DC7"/>
    <w:rsid w:val="0075711A"/>
    <w:rsid w:val="00757680"/>
    <w:rsid w:val="0075792E"/>
    <w:rsid w:val="00757AEC"/>
    <w:rsid w:val="007600AF"/>
    <w:rsid w:val="007601FC"/>
    <w:rsid w:val="007609D7"/>
    <w:rsid w:val="0076115A"/>
    <w:rsid w:val="00761A45"/>
    <w:rsid w:val="0076219F"/>
    <w:rsid w:val="00762DC1"/>
    <w:rsid w:val="00762E72"/>
    <w:rsid w:val="00763901"/>
    <w:rsid w:val="00763C50"/>
    <w:rsid w:val="00763DD7"/>
    <w:rsid w:val="00763E84"/>
    <w:rsid w:val="00763FC5"/>
    <w:rsid w:val="00764831"/>
    <w:rsid w:val="00765492"/>
    <w:rsid w:val="007659AE"/>
    <w:rsid w:val="0076634D"/>
    <w:rsid w:val="007668C7"/>
    <w:rsid w:val="007668EE"/>
    <w:rsid w:val="0076694D"/>
    <w:rsid w:val="00766AFA"/>
    <w:rsid w:val="00766D4D"/>
    <w:rsid w:val="007673D2"/>
    <w:rsid w:val="007701AE"/>
    <w:rsid w:val="0077044E"/>
    <w:rsid w:val="007705A9"/>
    <w:rsid w:val="0077092B"/>
    <w:rsid w:val="007710EC"/>
    <w:rsid w:val="007714F3"/>
    <w:rsid w:val="00771AEF"/>
    <w:rsid w:val="00771C73"/>
    <w:rsid w:val="00772740"/>
    <w:rsid w:val="007728C7"/>
    <w:rsid w:val="00772F79"/>
    <w:rsid w:val="00772F8B"/>
    <w:rsid w:val="007731D4"/>
    <w:rsid w:val="007731E2"/>
    <w:rsid w:val="00773D9F"/>
    <w:rsid w:val="00773EE0"/>
    <w:rsid w:val="00773F78"/>
    <w:rsid w:val="00774E80"/>
    <w:rsid w:val="00774E8A"/>
    <w:rsid w:val="00774EF8"/>
    <w:rsid w:val="00775A1F"/>
    <w:rsid w:val="00775DC8"/>
    <w:rsid w:val="00775FF7"/>
    <w:rsid w:val="0077615A"/>
    <w:rsid w:val="00776229"/>
    <w:rsid w:val="00776576"/>
    <w:rsid w:val="00776692"/>
    <w:rsid w:val="007769B7"/>
    <w:rsid w:val="00776C91"/>
    <w:rsid w:val="007776F8"/>
    <w:rsid w:val="00777977"/>
    <w:rsid w:val="00777BED"/>
    <w:rsid w:val="00777CC5"/>
    <w:rsid w:val="00780B82"/>
    <w:rsid w:val="00780CCC"/>
    <w:rsid w:val="0078171C"/>
    <w:rsid w:val="0078183F"/>
    <w:rsid w:val="007819B4"/>
    <w:rsid w:val="00781A9C"/>
    <w:rsid w:val="00781CDA"/>
    <w:rsid w:val="00782818"/>
    <w:rsid w:val="007828AD"/>
    <w:rsid w:val="00782B35"/>
    <w:rsid w:val="00782D15"/>
    <w:rsid w:val="0078333A"/>
    <w:rsid w:val="00783362"/>
    <w:rsid w:val="00783BB9"/>
    <w:rsid w:val="00783EF8"/>
    <w:rsid w:val="00783F73"/>
    <w:rsid w:val="007848F0"/>
    <w:rsid w:val="00784A31"/>
    <w:rsid w:val="007851F4"/>
    <w:rsid w:val="00785391"/>
    <w:rsid w:val="00785613"/>
    <w:rsid w:val="0078588F"/>
    <w:rsid w:val="00785A1E"/>
    <w:rsid w:val="00785FBC"/>
    <w:rsid w:val="00786032"/>
    <w:rsid w:val="00786303"/>
    <w:rsid w:val="007867E4"/>
    <w:rsid w:val="0078697F"/>
    <w:rsid w:val="00786DC9"/>
    <w:rsid w:val="00786FC6"/>
    <w:rsid w:val="00787521"/>
    <w:rsid w:val="007878A3"/>
    <w:rsid w:val="00787AC3"/>
    <w:rsid w:val="00787B8D"/>
    <w:rsid w:val="00787E20"/>
    <w:rsid w:val="00787FFA"/>
    <w:rsid w:val="007901D1"/>
    <w:rsid w:val="00790A12"/>
    <w:rsid w:val="00790E7D"/>
    <w:rsid w:val="00790FFC"/>
    <w:rsid w:val="0079125E"/>
    <w:rsid w:val="00791DCF"/>
    <w:rsid w:val="00792084"/>
    <w:rsid w:val="0079256B"/>
    <w:rsid w:val="007928D5"/>
    <w:rsid w:val="00792C0C"/>
    <w:rsid w:val="00792E6E"/>
    <w:rsid w:val="00793190"/>
    <w:rsid w:val="0079344B"/>
    <w:rsid w:val="00793568"/>
    <w:rsid w:val="00793AF8"/>
    <w:rsid w:val="00793CBC"/>
    <w:rsid w:val="007954C3"/>
    <w:rsid w:val="00795734"/>
    <w:rsid w:val="0079589E"/>
    <w:rsid w:val="00795AA4"/>
    <w:rsid w:val="00796261"/>
    <w:rsid w:val="007966CF"/>
    <w:rsid w:val="0079680B"/>
    <w:rsid w:val="007968F1"/>
    <w:rsid w:val="00796C2F"/>
    <w:rsid w:val="00796D43"/>
    <w:rsid w:val="00797006"/>
    <w:rsid w:val="0079737C"/>
    <w:rsid w:val="007A0239"/>
    <w:rsid w:val="007A0A42"/>
    <w:rsid w:val="007A0A4A"/>
    <w:rsid w:val="007A0A60"/>
    <w:rsid w:val="007A0C67"/>
    <w:rsid w:val="007A1221"/>
    <w:rsid w:val="007A131E"/>
    <w:rsid w:val="007A1431"/>
    <w:rsid w:val="007A153E"/>
    <w:rsid w:val="007A1585"/>
    <w:rsid w:val="007A17ED"/>
    <w:rsid w:val="007A1989"/>
    <w:rsid w:val="007A1A4F"/>
    <w:rsid w:val="007A1B51"/>
    <w:rsid w:val="007A23B5"/>
    <w:rsid w:val="007A2EC3"/>
    <w:rsid w:val="007A2FC3"/>
    <w:rsid w:val="007A30F2"/>
    <w:rsid w:val="007A3730"/>
    <w:rsid w:val="007A3819"/>
    <w:rsid w:val="007A400C"/>
    <w:rsid w:val="007A4655"/>
    <w:rsid w:val="007A4656"/>
    <w:rsid w:val="007A46B7"/>
    <w:rsid w:val="007A4B88"/>
    <w:rsid w:val="007A4BAB"/>
    <w:rsid w:val="007A4BE7"/>
    <w:rsid w:val="007A51F1"/>
    <w:rsid w:val="007A5A8A"/>
    <w:rsid w:val="007A6819"/>
    <w:rsid w:val="007A68FB"/>
    <w:rsid w:val="007A6C33"/>
    <w:rsid w:val="007A6DA5"/>
    <w:rsid w:val="007A7036"/>
    <w:rsid w:val="007A7660"/>
    <w:rsid w:val="007A7BB4"/>
    <w:rsid w:val="007A7BE9"/>
    <w:rsid w:val="007B06D6"/>
    <w:rsid w:val="007B0B93"/>
    <w:rsid w:val="007B1272"/>
    <w:rsid w:val="007B13E9"/>
    <w:rsid w:val="007B14BD"/>
    <w:rsid w:val="007B16AA"/>
    <w:rsid w:val="007B1AAC"/>
    <w:rsid w:val="007B1DC4"/>
    <w:rsid w:val="007B1FF9"/>
    <w:rsid w:val="007B2A1E"/>
    <w:rsid w:val="007B339E"/>
    <w:rsid w:val="007B49EE"/>
    <w:rsid w:val="007B4A0D"/>
    <w:rsid w:val="007B4A42"/>
    <w:rsid w:val="007B4D10"/>
    <w:rsid w:val="007B530D"/>
    <w:rsid w:val="007B54A2"/>
    <w:rsid w:val="007B572B"/>
    <w:rsid w:val="007B59FD"/>
    <w:rsid w:val="007B5C6A"/>
    <w:rsid w:val="007B5DA3"/>
    <w:rsid w:val="007B5ECA"/>
    <w:rsid w:val="007B63B3"/>
    <w:rsid w:val="007B68CD"/>
    <w:rsid w:val="007B72C0"/>
    <w:rsid w:val="007B773D"/>
    <w:rsid w:val="007B77E5"/>
    <w:rsid w:val="007C0248"/>
    <w:rsid w:val="007C069F"/>
    <w:rsid w:val="007C0C7A"/>
    <w:rsid w:val="007C0DBF"/>
    <w:rsid w:val="007C10BE"/>
    <w:rsid w:val="007C139F"/>
    <w:rsid w:val="007C207B"/>
    <w:rsid w:val="007C2782"/>
    <w:rsid w:val="007C2E9C"/>
    <w:rsid w:val="007C2F84"/>
    <w:rsid w:val="007C2FFB"/>
    <w:rsid w:val="007C3075"/>
    <w:rsid w:val="007C3916"/>
    <w:rsid w:val="007C449D"/>
    <w:rsid w:val="007C44EA"/>
    <w:rsid w:val="007C4558"/>
    <w:rsid w:val="007C4694"/>
    <w:rsid w:val="007C5434"/>
    <w:rsid w:val="007C55A8"/>
    <w:rsid w:val="007C5AE1"/>
    <w:rsid w:val="007C5B0C"/>
    <w:rsid w:val="007C5B6B"/>
    <w:rsid w:val="007C5DDA"/>
    <w:rsid w:val="007C63E5"/>
    <w:rsid w:val="007C662D"/>
    <w:rsid w:val="007C672E"/>
    <w:rsid w:val="007C67C1"/>
    <w:rsid w:val="007C6D60"/>
    <w:rsid w:val="007C6F45"/>
    <w:rsid w:val="007C7B89"/>
    <w:rsid w:val="007C7CC9"/>
    <w:rsid w:val="007D018C"/>
    <w:rsid w:val="007D062F"/>
    <w:rsid w:val="007D06D7"/>
    <w:rsid w:val="007D0B2A"/>
    <w:rsid w:val="007D120C"/>
    <w:rsid w:val="007D1455"/>
    <w:rsid w:val="007D19E0"/>
    <w:rsid w:val="007D2085"/>
    <w:rsid w:val="007D24FE"/>
    <w:rsid w:val="007D25F5"/>
    <w:rsid w:val="007D2B7B"/>
    <w:rsid w:val="007D2C3C"/>
    <w:rsid w:val="007D33D4"/>
    <w:rsid w:val="007D361A"/>
    <w:rsid w:val="007D3622"/>
    <w:rsid w:val="007D41F8"/>
    <w:rsid w:val="007D4856"/>
    <w:rsid w:val="007D4C50"/>
    <w:rsid w:val="007D4F49"/>
    <w:rsid w:val="007D5045"/>
    <w:rsid w:val="007D532C"/>
    <w:rsid w:val="007D554F"/>
    <w:rsid w:val="007D5D21"/>
    <w:rsid w:val="007D6A8D"/>
    <w:rsid w:val="007D6B31"/>
    <w:rsid w:val="007D6DAD"/>
    <w:rsid w:val="007D6DCA"/>
    <w:rsid w:val="007D7734"/>
    <w:rsid w:val="007D7D49"/>
    <w:rsid w:val="007E007B"/>
    <w:rsid w:val="007E04D6"/>
    <w:rsid w:val="007E05F8"/>
    <w:rsid w:val="007E06C5"/>
    <w:rsid w:val="007E072F"/>
    <w:rsid w:val="007E0A1B"/>
    <w:rsid w:val="007E0E57"/>
    <w:rsid w:val="007E10BB"/>
    <w:rsid w:val="007E110A"/>
    <w:rsid w:val="007E13A8"/>
    <w:rsid w:val="007E13F8"/>
    <w:rsid w:val="007E1AA5"/>
    <w:rsid w:val="007E269A"/>
    <w:rsid w:val="007E2E7B"/>
    <w:rsid w:val="007E300A"/>
    <w:rsid w:val="007E3446"/>
    <w:rsid w:val="007E3615"/>
    <w:rsid w:val="007E377A"/>
    <w:rsid w:val="007E384F"/>
    <w:rsid w:val="007E3C4C"/>
    <w:rsid w:val="007E3DE4"/>
    <w:rsid w:val="007E3FCA"/>
    <w:rsid w:val="007E4086"/>
    <w:rsid w:val="007E4088"/>
    <w:rsid w:val="007E40E5"/>
    <w:rsid w:val="007E41F9"/>
    <w:rsid w:val="007E4365"/>
    <w:rsid w:val="007E47BA"/>
    <w:rsid w:val="007E48AE"/>
    <w:rsid w:val="007E504F"/>
    <w:rsid w:val="007E5511"/>
    <w:rsid w:val="007E5CC2"/>
    <w:rsid w:val="007E603B"/>
    <w:rsid w:val="007E615A"/>
    <w:rsid w:val="007E6BE7"/>
    <w:rsid w:val="007E719D"/>
    <w:rsid w:val="007E7B00"/>
    <w:rsid w:val="007F002A"/>
    <w:rsid w:val="007F0087"/>
    <w:rsid w:val="007F00CE"/>
    <w:rsid w:val="007F01AB"/>
    <w:rsid w:val="007F06DB"/>
    <w:rsid w:val="007F0C3D"/>
    <w:rsid w:val="007F18B3"/>
    <w:rsid w:val="007F1B47"/>
    <w:rsid w:val="007F1BD4"/>
    <w:rsid w:val="007F1D65"/>
    <w:rsid w:val="007F1FFB"/>
    <w:rsid w:val="007F2094"/>
    <w:rsid w:val="007F21BA"/>
    <w:rsid w:val="007F2700"/>
    <w:rsid w:val="007F28B6"/>
    <w:rsid w:val="007F28F3"/>
    <w:rsid w:val="007F2FAD"/>
    <w:rsid w:val="007F2FAE"/>
    <w:rsid w:val="007F37AC"/>
    <w:rsid w:val="007F38FC"/>
    <w:rsid w:val="007F3AC2"/>
    <w:rsid w:val="007F3C27"/>
    <w:rsid w:val="007F4532"/>
    <w:rsid w:val="007F4589"/>
    <w:rsid w:val="007F4EBE"/>
    <w:rsid w:val="007F5016"/>
    <w:rsid w:val="007F54BD"/>
    <w:rsid w:val="007F57B7"/>
    <w:rsid w:val="007F5AAC"/>
    <w:rsid w:val="007F69D9"/>
    <w:rsid w:val="007F6A5D"/>
    <w:rsid w:val="007F6EAC"/>
    <w:rsid w:val="007F6EDB"/>
    <w:rsid w:val="007F729D"/>
    <w:rsid w:val="007F72D5"/>
    <w:rsid w:val="007F765E"/>
    <w:rsid w:val="007F7A19"/>
    <w:rsid w:val="007F7C5A"/>
    <w:rsid w:val="007F7D51"/>
    <w:rsid w:val="007F7E24"/>
    <w:rsid w:val="00800034"/>
    <w:rsid w:val="00800646"/>
    <w:rsid w:val="008008BE"/>
    <w:rsid w:val="00800900"/>
    <w:rsid w:val="00800FE7"/>
    <w:rsid w:val="008010E4"/>
    <w:rsid w:val="0080159F"/>
    <w:rsid w:val="00801CE2"/>
    <w:rsid w:val="00801D55"/>
    <w:rsid w:val="00801F95"/>
    <w:rsid w:val="008021FB"/>
    <w:rsid w:val="00802C28"/>
    <w:rsid w:val="008032D9"/>
    <w:rsid w:val="008035F2"/>
    <w:rsid w:val="008036C0"/>
    <w:rsid w:val="00803EC5"/>
    <w:rsid w:val="008047A2"/>
    <w:rsid w:val="00804EA5"/>
    <w:rsid w:val="0080602F"/>
    <w:rsid w:val="0080639D"/>
    <w:rsid w:val="00806B7B"/>
    <w:rsid w:val="0080748C"/>
    <w:rsid w:val="00807C01"/>
    <w:rsid w:val="00807C28"/>
    <w:rsid w:val="0081000E"/>
    <w:rsid w:val="00810076"/>
    <w:rsid w:val="00810335"/>
    <w:rsid w:val="008107EA"/>
    <w:rsid w:val="00810C77"/>
    <w:rsid w:val="0081135A"/>
    <w:rsid w:val="0081180C"/>
    <w:rsid w:val="00811B66"/>
    <w:rsid w:val="00811F8C"/>
    <w:rsid w:val="008123B4"/>
    <w:rsid w:val="00812729"/>
    <w:rsid w:val="00812A01"/>
    <w:rsid w:val="00812B77"/>
    <w:rsid w:val="00812EAB"/>
    <w:rsid w:val="00812F3A"/>
    <w:rsid w:val="008134CF"/>
    <w:rsid w:val="008138CB"/>
    <w:rsid w:val="00813A1E"/>
    <w:rsid w:val="00813DAE"/>
    <w:rsid w:val="00813F1E"/>
    <w:rsid w:val="00813F80"/>
    <w:rsid w:val="0081514D"/>
    <w:rsid w:val="0081553E"/>
    <w:rsid w:val="008159D4"/>
    <w:rsid w:val="00815A40"/>
    <w:rsid w:val="00815A5C"/>
    <w:rsid w:val="008169E9"/>
    <w:rsid w:val="00816C92"/>
    <w:rsid w:val="00817128"/>
    <w:rsid w:val="008171C7"/>
    <w:rsid w:val="00817B18"/>
    <w:rsid w:val="00817C12"/>
    <w:rsid w:val="00817EA8"/>
    <w:rsid w:val="00820084"/>
    <w:rsid w:val="00820313"/>
    <w:rsid w:val="008203F7"/>
    <w:rsid w:val="008208DF"/>
    <w:rsid w:val="00820B6F"/>
    <w:rsid w:val="00820D04"/>
    <w:rsid w:val="00821668"/>
    <w:rsid w:val="008217ED"/>
    <w:rsid w:val="00821AB8"/>
    <w:rsid w:val="00821EBF"/>
    <w:rsid w:val="008222B1"/>
    <w:rsid w:val="00822583"/>
    <w:rsid w:val="0082295C"/>
    <w:rsid w:val="008233A1"/>
    <w:rsid w:val="00823A8A"/>
    <w:rsid w:val="00823B7A"/>
    <w:rsid w:val="00823CB2"/>
    <w:rsid w:val="00823D31"/>
    <w:rsid w:val="00824027"/>
    <w:rsid w:val="00824072"/>
    <w:rsid w:val="0082430D"/>
    <w:rsid w:val="0082482D"/>
    <w:rsid w:val="0082565B"/>
    <w:rsid w:val="00826355"/>
    <w:rsid w:val="00826E64"/>
    <w:rsid w:val="008271CA"/>
    <w:rsid w:val="008274FA"/>
    <w:rsid w:val="008275AB"/>
    <w:rsid w:val="00827E0D"/>
    <w:rsid w:val="0083009F"/>
    <w:rsid w:val="0083050C"/>
    <w:rsid w:val="00830A82"/>
    <w:rsid w:val="00830DB9"/>
    <w:rsid w:val="00830EDE"/>
    <w:rsid w:val="008312A2"/>
    <w:rsid w:val="0083223B"/>
    <w:rsid w:val="0083230F"/>
    <w:rsid w:val="008326DD"/>
    <w:rsid w:val="00832765"/>
    <w:rsid w:val="00832A89"/>
    <w:rsid w:val="00832C32"/>
    <w:rsid w:val="00832E3F"/>
    <w:rsid w:val="00833242"/>
    <w:rsid w:val="0083350E"/>
    <w:rsid w:val="00833543"/>
    <w:rsid w:val="008338F4"/>
    <w:rsid w:val="00833CAD"/>
    <w:rsid w:val="00834386"/>
    <w:rsid w:val="008343EB"/>
    <w:rsid w:val="008349F9"/>
    <w:rsid w:val="00834A01"/>
    <w:rsid w:val="00834B71"/>
    <w:rsid w:val="00834D2A"/>
    <w:rsid w:val="00834F1F"/>
    <w:rsid w:val="0083504E"/>
    <w:rsid w:val="00835A7E"/>
    <w:rsid w:val="008360D4"/>
    <w:rsid w:val="008360D7"/>
    <w:rsid w:val="00836129"/>
    <w:rsid w:val="0083634D"/>
    <w:rsid w:val="00836377"/>
    <w:rsid w:val="0083662E"/>
    <w:rsid w:val="008375E1"/>
    <w:rsid w:val="00837EC1"/>
    <w:rsid w:val="00840200"/>
    <w:rsid w:val="00840218"/>
    <w:rsid w:val="00840957"/>
    <w:rsid w:val="00840A39"/>
    <w:rsid w:val="00840F99"/>
    <w:rsid w:val="008410C9"/>
    <w:rsid w:val="00841257"/>
    <w:rsid w:val="008414DA"/>
    <w:rsid w:val="00841652"/>
    <w:rsid w:val="00841700"/>
    <w:rsid w:val="00841797"/>
    <w:rsid w:val="00841968"/>
    <w:rsid w:val="008419D7"/>
    <w:rsid w:val="00841DF3"/>
    <w:rsid w:val="00842A9A"/>
    <w:rsid w:val="00842DDF"/>
    <w:rsid w:val="008432B2"/>
    <w:rsid w:val="008433DA"/>
    <w:rsid w:val="00843B8F"/>
    <w:rsid w:val="00843CA9"/>
    <w:rsid w:val="00843CD1"/>
    <w:rsid w:val="00843DAB"/>
    <w:rsid w:val="00843EB9"/>
    <w:rsid w:val="008441A1"/>
    <w:rsid w:val="00844209"/>
    <w:rsid w:val="0084495B"/>
    <w:rsid w:val="00844D6E"/>
    <w:rsid w:val="00844D9D"/>
    <w:rsid w:val="00844E3C"/>
    <w:rsid w:val="00844E77"/>
    <w:rsid w:val="00845160"/>
    <w:rsid w:val="0084581C"/>
    <w:rsid w:val="0084659D"/>
    <w:rsid w:val="00846729"/>
    <w:rsid w:val="00846760"/>
    <w:rsid w:val="008469CD"/>
    <w:rsid w:val="00846E40"/>
    <w:rsid w:val="008473BA"/>
    <w:rsid w:val="008476E7"/>
    <w:rsid w:val="00847AF3"/>
    <w:rsid w:val="00850181"/>
    <w:rsid w:val="0085062B"/>
    <w:rsid w:val="00850812"/>
    <w:rsid w:val="00850CED"/>
    <w:rsid w:val="008511F1"/>
    <w:rsid w:val="00851C33"/>
    <w:rsid w:val="00851CB0"/>
    <w:rsid w:val="00852985"/>
    <w:rsid w:val="00852BF3"/>
    <w:rsid w:val="008530CD"/>
    <w:rsid w:val="00853353"/>
    <w:rsid w:val="00853958"/>
    <w:rsid w:val="0085459A"/>
    <w:rsid w:val="00854700"/>
    <w:rsid w:val="0085470A"/>
    <w:rsid w:val="00854759"/>
    <w:rsid w:val="00855182"/>
    <w:rsid w:val="00855245"/>
    <w:rsid w:val="00855812"/>
    <w:rsid w:val="00855FE4"/>
    <w:rsid w:val="008562D2"/>
    <w:rsid w:val="0085682F"/>
    <w:rsid w:val="00856DB6"/>
    <w:rsid w:val="00856F0C"/>
    <w:rsid w:val="0085706C"/>
    <w:rsid w:val="008570B4"/>
    <w:rsid w:val="0085784E"/>
    <w:rsid w:val="00857B72"/>
    <w:rsid w:val="00857B9C"/>
    <w:rsid w:val="00857D12"/>
    <w:rsid w:val="00857F18"/>
    <w:rsid w:val="00860291"/>
    <w:rsid w:val="00860B72"/>
    <w:rsid w:val="008612F4"/>
    <w:rsid w:val="0086150D"/>
    <w:rsid w:val="00861543"/>
    <w:rsid w:val="008618FC"/>
    <w:rsid w:val="008619F7"/>
    <w:rsid w:val="00861A7E"/>
    <w:rsid w:val="00861BCE"/>
    <w:rsid w:val="00861D1F"/>
    <w:rsid w:val="00862024"/>
    <w:rsid w:val="00862216"/>
    <w:rsid w:val="00862403"/>
    <w:rsid w:val="00862559"/>
    <w:rsid w:val="008625AF"/>
    <w:rsid w:val="008627B1"/>
    <w:rsid w:val="008637F9"/>
    <w:rsid w:val="00863AA5"/>
    <w:rsid w:val="00863EB1"/>
    <w:rsid w:val="00863F3C"/>
    <w:rsid w:val="00863F4D"/>
    <w:rsid w:val="0086477B"/>
    <w:rsid w:val="00864EE4"/>
    <w:rsid w:val="008651A3"/>
    <w:rsid w:val="0086549D"/>
    <w:rsid w:val="00865548"/>
    <w:rsid w:val="008658FB"/>
    <w:rsid w:val="00865A3D"/>
    <w:rsid w:val="008660B3"/>
    <w:rsid w:val="00866211"/>
    <w:rsid w:val="0086639B"/>
    <w:rsid w:val="008665A8"/>
    <w:rsid w:val="00866D38"/>
    <w:rsid w:val="0086724B"/>
    <w:rsid w:val="0087018A"/>
    <w:rsid w:val="0087055A"/>
    <w:rsid w:val="00870FEB"/>
    <w:rsid w:val="008716D4"/>
    <w:rsid w:val="00871D88"/>
    <w:rsid w:val="00872A69"/>
    <w:rsid w:val="00873411"/>
    <w:rsid w:val="008734AE"/>
    <w:rsid w:val="008734FB"/>
    <w:rsid w:val="00873968"/>
    <w:rsid w:val="00873DE6"/>
    <w:rsid w:val="00873DF1"/>
    <w:rsid w:val="008742BF"/>
    <w:rsid w:val="008746BD"/>
    <w:rsid w:val="00874746"/>
    <w:rsid w:val="008749FF"/>
    <w:rsid w:val="00874ADF"/>
    <w:rsid w:val="0087509B"/>
    <w:rsid w:val="00875A43"/>
    <w:rsid w:val="0087600D"/>
    <w:rsid w:val="00876220"/>
    <w:rsid w:val="0087691F"/>
    <w:rsid w:val="00876CCA"/>
    <w:rsid w:val="00876E5D"/>
    <w:rsid w:val="00877A08"/>
    <w:rsid w:val="00877DCD"/>
    <w:rsid w:val="0088001A"/>
    <w:rsid w:val="00880374"/>
    <w:rsid w:val="00880515"/>
    <w:rsid w:val="0088051E"/>
    <w:rsid w:val="0088060D"/>
    <w:rsid w:val="00880917"/>
    <w:rsid w:val="00880B72"/>
    <w:rsid w:val="008811B3"/>
    <w:rsid w:val="00881650"/>
    <w:rsid w:val="008816F3"/>
    <w:rsid w:val="0088190E"/>
    <w:rsid w:val="00881B33"/>
    <w:rsid w:val="00882779"/>
    <w:rsid w:val="00882B18"/>
    <w:rsid w:val="00882FCB"/>
    <w:rsid w:val="00883633"/>
    <w:rsid w:val="00883DBA"/>
    <w:rsid w:val="00884513"/>
    <w:rsid w:val="008847DC"/>
    <w:rsid w:val="00884A14"/>
    <w:rsid w:val="0088531E"/>
    <w:rsid w:val="0088535A"/>
    <w:rsid w:val="00885D12"/>
    <w:rsid w:val="00886015"/>
    <w:rsid w:val="00886766"/>
    <w:rsid w:val="00886810"/>
    <w:rsid w:val="00886C81"/>
    <w:rsid w:val="00886E1C"/>
    <w:rsid w:val="00887457"/>
    <w:rsid w:val="00887F8F"/>
    <w:rsid w:val="00890305"/>
    <w:rsid w:val="008905D4"/>
    <w:rsid w:val="0089065A"/>
    <w:rsid w:val="00890788"/>
    <w:rsid w:val="00891831"/>
    <w:rsid w:val="00891A6D"/>
    <w:rsid w:val="008938FF"/>
    <w:rsid w:val="00893928"/>
    <w:rsid w:val="00893B63"/>
    <w:rsid w:val="00893C2B"/>
    <w:rsid w:val="008940C5"/>
    <w:rsid w:val="00894358"/>
    <w:rsid w:val="0089444C"/>
    <w:rsid w:val="00894530"/>
    <w:rsid w:val="00894AB3"/>
    <w:rsid w:val="00895CA5"/>
    <w:rsid w:val="008962F8"/>
    <w:rsid w:val="008968A7"/>
    <w:rsid w:val="008968C9"/>
    <w:rsid w:val="00896ABC"/>
    <w:rsid w:val="0089727C"/>
    <w:rsid w:val="0089733F"/>
    <w:rsid w:val="00897D05"/>
    <w:rsid w:val="008A071C"/>
    <w:rsid w:val="008A0899"/>
    <w:rsid w:val="008A2301"/>
    <w:rsid w:val="008A2CEC"/>
    <w:rsid w:val="008A3E9D"/>
    <w:rsid w:val="008A4468"/>
    <w:rsid w:val="008A45CA"/>
    <w:rsid w:val="008A533A"/>
    <w:rsid w:val="008A551F"/>
    <w:rsid w:val="008A593A"/>
    <w:rsid w:val="008A5E1D"/>
    <w:rsid w:val="008A61AC"/>
    <w:rsid w:val="008A66F4"/>
    <w:rsid w:val="008A68BF"/>
    <w:rsid w:val="008A6CF8"/>
    <w:rsid w:val="008A6EBB"/>
    <w:rsid w:val="008A7C1B"/>
    <w:rsid w:val="008A7CD2"/>
    <w:rsid w:val="008B01AE"/>
    <w:rsid w:val="008B01BE"/>
    <w:rsid w:val="008B04B2"/>
    <w:rsid w:val="008B08FA"/>
    <w:rsid w:val="008B12C6"/>
    <w:rsid w:val="008B1496"/>
    <w:rsid w:val="008B1718"/>
    <w:rsid w:val="008B18AA"/>
    <w:rsid w:val="008B1F7E"/>
    <w:rsid w:val="008B1F92"/>
    <w:rsid w:val="008B229F"/>
    <w:rsid w:val="008B23BF"/>
    <w:rsid w:val="008B24F6"/>
    <w:rsid w:val="008B37F0"/>
    <w:rsid w:val="008B4296"/>
    <w:rsid w:val="008B42B4"/>
    <w:rsid w:val="008B45CA"/>
    <w:rsid w:val="008B5834"/>
    <w:rsid w:val="008B65F6"/>
    <w:rsid w:val="008B660B"/>
    <w:rsid w:val="008B6BC1"/>
    <w:rsid w:val="008B799F"/>
    <w:rsid w:val="008B7E3C"/>
    <w:rsid w:val="008C0867"/>
    <w:rsid w:val="008C0B40"/>
    <w:rsid w:val="008C0B86"/>
    <w:rsid w:val="008C14FD"/>
    <w:rsid w:val="008C1552"/>
    <w:rsid w:val="008C194C"/>
    <w:rsid w:val="008C1CE1"/>
    <w:rsid w:val="008C2E3E"/>
    <w:rsid w:val="008C2EC6"/>
    <w:rsid w:val="008C34C2"/>
    <w:rsid w:val="008C35D8"/>
    <w:rsid w:val="008C3962"/>
    <w:rsid w:val="008C40BF"/>
    <w:rsid w:val="008C4463"/>
    <w:rsid w:val="008C4524"/>
    <w:rsid w:val="008C48D6"/>
    <w:rsid w:val="008C5051"/>
    <w:rsid w:val="008C5238"/>
    <w:rsid w:val="008C5409"/>
    <w:rsid w:val="008C5717"/>
    <w:rsid w:val="008C58E0"/>
    <w:rsid w:val="008C6DDF"/>
    <w:rsid w:val="008C6FD0"/>
    <w:rsid w:val="008C7603"/>
    <w:rsid w:val="008C776B"/>
    <w:rsid w:val="008C7B60"/>
    <w:rsid w:val="008C7FE2"/>
    <w:rsid w:val="008D030B"/>
    <w:rsid w:val="008D0E51"/>
    <w:rsid w:val="008D1516"/>
    <w:rsid w:val="008D1B23"/>
    <w:rsid w:val="008D20E4"/>
    <w:rsid w:val="008D2279"/>
    <w:rsid w:val="008D23BB"/>
    <w:rsid w:val="008D2B86"/>
    <w:rsid w:val="008D2F95"/>
    <w:rsid w:val="008D3CAA"/>
    <w:rsid w:val="008D3E34"/>
    <w:rsid w:val="008D4017"/>
    <w:rsid w:val="008D43AB"/>
    <w:rsid w:val="008D47FA"/>
    <w:rsid w:val="008D4C46"/>
    <w:rsid w:val="008D55A5"/>
    <w:rsid w:val="008D5EB5"/>
    <w:rsid w:val="008D6046"/>
    <w:rsid w:val="008D6C6E"/>
    <w:rsid w:val="008D709A"/>
    <w:rsid w:val="008D74CB"/>
    <w:rsid w:val="008D76BE"/>
    <w:rsid w:val="008D77A9"/>
    <w:rsid w:val="008D7B2D"/>
    <w:rsid w:val="008E02B1"/>
    <w:rsid w:val="008E100F"/>
    <w:rsid w:val="008E1208"/>
    <w:rsid w:val="008E1430"/>
    <w:rsid w:val="008E14A5"/>
    <w:rsid w:val="008E1548"/>
    <w:rsid w:val="008E1681"/>
    <w:rsid w:val="008E19DF"/>
    <w:rsid w:val="008E1B63"/>
    <w:rsid w:val="008E1B76"/>
    <w:rsid w:val="008E1C7A"/>
    <w:rsid w:val="008E236D"/>
    <w:rsid w:val="008E23B8"/>
    <w:rsid w:val="008E2690"/>
    <w:rsid w:val="008E2B64"/>
    <w:rsid w:val="008E2FB4"/>
    <w:rsid w:val="008E2FDB"/>
    <w:rsid w:val="008E3444"/>
    <w:rsid w:val="008E3A4D"/>
    <w:rsid w:val="008E3D86"/>
    <w:rsid w:val="008E404C"/>
    <w:rsid w:val="008E4A10"/>
    <w:rsid w:val="008E4ABA"/>
    <w:rsid w:val="008E4C4E"/>
    <w:rsid w:val="008E4E42"/>
    <w:rsid w:val="008E51F3"/>
    <w:rsid w:val="008E55A3"/>
    <w:rsid w:val="008E571B"/>
    <w:rsid w:val="008E57B1"/>
    <w:rsid w:val="008E5D89"/>
    <w:rsid w:val="008E6101"/>
    <w:rsid w:val="008E62DA"/>
    <w:rsid w:val="008E64B8"/>
    <w:rsid w:val="008E663A"/>
    <w:rsid w:val="008E67E4"/>
    <w:rsid w:val="008E6DDE"/>
    <w:rsid w:val="008E7968"/>
    <w:rsid w:val="008E7B74"/>
    <w:rsid w:val="008E7E18"/>
    <w:rsid w:val="008F03FB"/>
    <w:rsid w:val="008F0453"/>
    <w:rsid w:val="008F0B94"/>
    <w:rsid w:val="008F0B99"/>
    <w:rsid w:val="008F0BCA"/>
    <w:rsid w:val="008F0E63"/>
    <w:rsid w:val="008F10EA"/>
    <w:rsid w:val="008F132A"/>
    <w:rsid w:val="008F24EC"/>
    <w:rsid w:val="008F25C1"/>
    <w:rsid w:val="008F3116"/>
    <w:rsid w:val="008F3134"/>
    <w:rsid w:val="008F3780"/>
    <w:rsid w:val="008F3894"/>
    <w:rsid w:val="008F3E0B"/>
    <w:rsid w:val="008F3E56"/>
    <w:rsid w:val="008F3E9C"/>
    <w:rsid w:val="008F4B06"/>
    <w:rsid w:val="008F4C6F"/>
    <w:rsid w:val="008F57EB"/>
    <w:rsid w:val="008F5B8A"/>
    <w:rsid w:val="008F5DED"/>
    <w:rsid w:val="008F61A0"/>
    <w:rsid w:val="008F6431"/>
    <w:rsid w:val="008F65E3"/>
    <w:rsid w:val="008F6632"/>
    <w:rsid w:val="008F6666"/>
    <w:rsid w:val="008F69E1"/>
    <w:rsid w:val="008F6AEA"/>
    <w:rsid w:val="008F6CC6"/>
    <w:rsid w:val="008F765A"/>
    <w:rsid w:val="008F7A2F"/>
    <w:rsid w:val="008F7BCE"/>
    <w:rsid w:val="008F7C17"/>
    <w:rsid w:val="008F7EB8"/>
    <w:rsid w:val="009003FB"/>
    <w:rsid w:val="0090062C"/>
    <w:rsid w:val="00900CBB"/>
    <w:rsid w:val="00901BC2"/>
    <w:rsid w:val="00902198"/>
    <w:rsid w:val="00902557"/>
    <w:rsid w:val="009027F1"/>
    <w:rsid w:val="009028FD"/>
    <w:rsid w:val="00902980"/>
    <w:rsid w:val="00902EAA"/>
    <w:rsid w:val="0090303E"/>
    <w:rsid w:val="00903286"/>
    <w:rsid w:val="00903566"/>
    <w:rsid w:val="00903D82"/>
    <w:rsid w:val="00903EF2"/>
    <w:rsid w:val="0090407B"/>
    <w:rsid w:val="0090557B"/>
    <w:rsid w:val="009059B3"/>
    <w:rsid w:val="009059B7"/>
    <w:rsid w:val="00906F4A"/>
    <w:rsid w:val="00907803"/>
    <w:rsid w:val="00910051"/>
    <w:rsid w:val="0091044E"/>
    <w:rsid w:val="009108D3"/>
    <w:rsid w:val="00910F0B"/>
    <w:rsid w:val="009112CA"/>
    <w:rsid w:val="00911469"/>
    <w:rsid w:val="009115C8"/>
    <w:rsid w:val="00911ECE"/>
    <w:rsid w:val="00912152"/>
    <w:rsid w:val="00912236"/>
    <w:rsid w:val="0091229C"/>
    <w:rsid w:val="009122C3"/>
    <w:rsid w:val="00912894"/>
    <w:rsid w:val="0091385B"/>
    <w:rsid w:val="00913AE2"/>
    <w:rsid w:val="00913ECA"/>
    <w:rsid w:val="00914237"/>
    <w:rsid w:val="009148FB"/>
    <w:rsid w:val="00914FB5"/>
    <w:rsid w:val="00915428"/>
    <w:rsid w:val="009156C0"/>
    <w:rsid w:val="009156EB"/>
    <w:rsid w:val="009159F5"/>
    <w:rsid w:val="00915BDF"/>
    <w:rsid w:val="00915C1D"/>
    <w:rsid w:val="00915D5C"/>
    <w:rsid w:val="00915D87"/>
    <w:rsid w:val="00915EE4"/>
    <w:rsid w:val="00916334"/>
    <w:rsid w:val="009163C7"/>
    <w:rsid w:val="009165C4"/>
    <w:rsid w:val="009168BD"/>
    <w:rsid w:val="00916EEE"/>
    <w:rsid w:val="00917D26"/>
    <w:rsid w:val="0092050A"/>
    <w:rsid w:val="00920512"/>
    <w:rsid w:val="00920602"/>
    <w:rsid w:val="009207C7"/>
    <w:rsid w:val="00920897"/>
    <w:rsid w:val="00920D61"/>
    <w:rsid w:val="0092194E"/>
    <w:rsid w:val="00921BD9"/>
    <w:rsid w:val="009221D8"/>
    <w:rsid w:val="00922203"/>
    <w:rsid w:val="0092243D"/>
    <w:rsid w:val="009226D0"/>
    <w:rsid w:val="009227A7"/>
    <w:rsid w:val="00922934"/>
    <w:rsid w:val="00922BAF"/>
    <w:rsid w:val="00922BD7"/>
    <w:rsid w:val="00922D4C"/>
    <w:rsid w:val="009231E2"/>
    <w:rsid w:val="0092355A"/>
    <w:rsid w:val="00923755"/>
    <w:rsid w:val="009244CB"/>
    <w:rsid w:val="0092453A"/>
    <w:rsid w:val="0092467F"/>
    <w:rsid w:val="009246AE"/>
    <w:rsid w:val="0092618A"/>
    <w:rsid w:val="009265F4"/>
    <w:rsid w:val="0092665E"/>
    <w:rsid w:val="00926A3A"/>
    <w:rsid w:val="00927093"/>
    <w:rsid w:val="0092717C"/>
    <w:rsid w:val="00927F75"/>
    <w:rsid w:val="00930031"/>
    <w:rsid w:val="009300D2"/>
    <w:rsid w:val="00931048"/>
    <w:rsid w:val="0093120F"/>
    <w:rsid w:val="009319C9"/>
    <w:rsid w:val="00932213"/>
    <w:rsid w:val="0093225A"/>
    <w:rsid w:val="009322A1"/>
    <w:rsid w:val="0093237D"/>
    <w:rsid w:val="00932E3F"/>
    <w:rsid w:val="0093319E"/>
    <w:rsid w:val="009331E2"/>
    <w:rsid w:val="009332A6"/>
    <w:rsid w:val="009332DB"/>
    <w:rsid w:val="009333BF"/>
    <w:rsid w:val="00934462"/>
    <w:rsid w:val="009344A5"/>
    <w:rsid w:val="009347C5"/>
    <w:rsid w:val="009352BD"/>
    <w:rsid w:val="009352CA"/>
    <w:rsid w:val="009356FD"/>
    <w:rsid w:val="00935937"/>
    <w:rsid w:val="009369E3"/>
    <w:rsid w:val="00936A17"/>
    <w:rsid w:val="00936CD1"/>
    <w:rsid w:val="00936FB8"/>
    <w:rsid w:val="0093723F"/>
    <w:rsid w:val="00937CEF"/>
    <w:rsid w:val="00937CFB"/>
    <w:rsid w:val="00937F80"/>
    <w:rsid w:val="009408F5"/>
    <w:rsid w:val="00940919"/>
    <w:rsid w:val="00941092"/>
    <w:rsid w:val="009414F6"/>
    <w:rsid w:val="00941569"/>
    <w:rsid w:val="009415F7"/>
    <w:rsid w:val="00941992"/>
    <w:rsid w:val="009419A7"/>
    <w:rsid w:val="0094213F"/>
    <w:rsid w:val="00942181"/>
    <w:rsid w:val="009424BC"/>
    <w:rsid w:val="00942743"/>
    <w:rsid w:val="00942842"/>
    <w:rsid w:val="00943008"/>
    <w:rsid w:val="009431DC"/>
    <w:rsid w:val="009434D8"/>
    <w:rsid w:val="00944B73"/>
    <w:rsid w:val="00945E5E"/>
    <w:rsid w:val="00946564"/>
    <w:rsid w:val="00946916"/>
    <w:rsid w:val="00946BAC"/>
    <w:rsid w:val="00946CBB"/>
    <w:rsid w:val="009470A0"/>
    <w:rsid w:val="0094771B"/>
    <w:rsid w:val="00950070"/>
    <w:rsid w:val="009500B7"/>
    <w:rsid w:val="00950512"/>
    <w:rsid w:val="009509BA"/>
    <w:rsid w:val="00950BD6"/>
    <w:rsid w:val="00950E21"/>
    <w:rsid w:val="00951A20"/>
    <w:rsid w:val="0095229B"/>
    <w:rsid w:val="00952FD8"/>
    <w:rsid w:val="00953FF4"/>
    <w:rsid w:val="00954212"/>
    <w:rsid w:val="0095429C"/>
    <w:rsid w:val="00955268"/>
    <w:rsid w:val="00955A5E"/>
    <w:rsid w:val="00955F1B"/>
    <w:rsid w:val="00955FF5"/>
    <w:rsid w:val="009560ED"/>
    <w:rsid w:val="00956E18"/>
    <w:rsid w:val="009570DB"/>
    <w:rsid w:val="009570DF"/>
    <w:rsid w:val="009575CA"/>
    <w:rsid w:val="009578A1"/>
    <w:rsid w:val="009579BE"/>
    <w:rsid w:val="00957BE6"/>
    <w:rsid w:val="00957E13"/>
    <w:rsid w:val="009601A0"/>
    <w:rsid w:val="009601C5"/>
    <w:rsid w:val="00960307"/>
    <w:rsid w:val="009604E5"/>
    <w:rsid w:val="009610BE"/>
    <w:rsid w:val="009617BE"/>
    <w:rsid w:val="00961995"/>
    <w:rsid w:val="00961E4D"/>
    <w:rsid w:val="00961FF4"/>
    <w:rsid w:val="00962041"/>
    <w:rsid w:val="00962173"/>
    <w:rsid w:val="00962204"/>
    <w:rsid w:val="00962BC6"/>
    <w:rsid w:val="00962BD2"/>
    <w:rsid w:val="009637A7"/>
    <w:rsid w:val="00963D52"/>
    <w:rsid w:val="00963F29"/>
    <w:rsid w:val="009642EF"/>
    <w:rsid w:val="00964365"/>
    <w:rsid w:val="009645D8"/>
    <w:rsid w:val="00964879"/>
    <w:rsid w:val="009648CD"/>
    <w:rsid w:val="00964C6B"/>
    <w:rsid w:val="0096526B"/>
    <w:rsid w:val="00966574"/>
    <w:rsid w:val="0096673F"/>
    <w:rsid w:val="00966A56"/>
    <w:rsid w:val="0096794E"/>
    <w:rsid w:val="009679F6"/>
    <w:rsid w:val="0097058A"/>
    <w:rsid w:val="00970AE3"/>
    <w:rsid w:val="00970B44"/>
    <w:rsid w:val="00970D9C"/>
    <w:rsid w:val="00970EDC"/>
    <w:rsid w:val="009713C2"/>
    <w:rsid w:val="00971508"/>
    <w:rsid w:val="00971D1D"/>
    <w:rsid w:val="00972004"/>
    <w:rsid w:val="00972969"/>
    <w:rsid w:val="00972AAF"/>
    <w:rsid w:val="00973313"/>
    <w:rsid w:val="0097365D"/>
    <w:rsid w:val="00973C00"/>
    <w:rsid w:val="00973CA7"/>
    <w:rsid w:val="00974507"/>
    <w:rsid w:val="00974A78"/>
    <w:rsid w:val="00974D38"/>
    <w:rsid w:val="00974EFE"/>
    <w:rsid w:val="00975301"/>
    <w:rsid w:val="009757AD"/>
    <w:rsid w:val="00975B12"/>
    <w:rsid w:val="00975F05"/>
    <w:rsid w:val="0097626A"/>
    <w:rsid w:val="00976577"/>
    <w:rsid w:val="00976E71"/>
    <w:rsid w:val="00977077"/>
    <w:rsid w:val="009775A0"/>
    <w:rsid w:val="009800B6"/>
    <w:rsid w:val="0098026C"/>
    <w:rsid w:val="00980459"/>
    <w:rsid w:val="0098063B"/>
    <w:rsid w:val="009809C6"/>
    <w:rsid w:val="00980B26"/>
    <w:rsid w:val="009810E5"/>
    <w:rsid w:val="00981595"/>
    <w:rsid w:val="009815A0"/>
    <w:rsid w:val="00981991"/>
    <w:rsid w:val="00981A76"/>
    <w:rsid w:val="009821AC"/>
    <w:rsid w:val="00982902"/>
    <w:rsid w:val="00982BE3"/>
    <w:rsid w:val="00982D71"/>
    <w:rsid w:val="009832D3"/>
    <w:rsid w:val="00983406"/>
    <w:rsid w:val="0098355D"/>
    <w:rsid w:val="009835AC"/>
    <w:rsid w:val="00983791"/>
    <w:rsid w:val="00983B8E"/>
    <w:rsid w:val="00983E3B"/>
    <w:rsid w:val="00984330"/>
    <w:rsid w:val="009845B0"/>
    <w:rsid w:val="00984A25"/>
    <w:rsid w:val="00984BC6"/>
    <w:rsid w:val="00984C3D"/>
    <w:rsid w:val="00984DA4"/>
    <w:rsid w:val="009850D1"/>
    <w:rsid w:val="0098541A"/>
    <w:rsid w:val="0098581F"/>
    <w:rsid w:val="00985885"/>
    <w:rsid w:val="00985B04"/>
    <w:rsid w:val="00986115"/>
    <w:rsid w:val="00986152"/>
    <w:rsid w:val="00986559"/>
    <w:rsid w:val="00986AB7"/>
    <w:rsid w:val="00986AFE"/>
    <w:rsid w:val="00986B75"/>
    <w:rsid w:val="00986C7D"/>
    <w:rsid w:val="00986CEE"/>
    <w:rsid w:val="00987082"/>
    <w:rsid w:val="00987213"/>
    <w:rsid w:val="0098780D"/>
    <w:rsid w:val="00987AD3"/>
    <w:rsid w:val="0099004E"/>
    <w:rsid w:val="00990132"/>
    <w:rsid w:val="009901D3"/>
    <w:rsid w:val="00990648"/>
    <w:rsid w:val="00990801"/>
    <w:rsid w:val="00990E3C"/>
    <w:rsid w:val="009914BB"/>
    <w:rsid w:val="0099214A"/>
    <w:rsid w:val="00992406"/>
    <w:rsid w:val="00992492"/>
    <w:rsid w:val="00992977"/>
    <w:rsid w:val="00992A4D"/>
    <w:rsid w:val="00993790"/>
    <w:rsid w:val="00993F04"/>
    <w:rsid w:val="00994086"/>
    <w:rsid w:val="009940F2"/>
    <w:rsid w:val="00994590"/>
    <w:rsid w:val="00994B44"/>
    <w:rsid w:val="00994F4A"/>
    <w:rsid w:val="00995ADF"/>
    <w:rsid w:val="00995F58"/>
    <w:rsid w:val="00996064"/>
    <w:rsid w:val="0099671A"/>
    <w:rsid w:val="009967E0"/>
    <w:rsid w:val="00996A54"/>
    <w:rsid w:val="00996BF3"/>
    <w:rsid w:val="00996E8D"/>
    <w:rsid w:val="00997887"/>
    <w:rsid w:val="00997994"/>
    <w:rsid w:val="009979D5"/>
    <w:rsid w:val="00997CC3"/>
    <w:rsid w:val="00997D11"/>
    <w:rsid w:val="00997EB1"/>
    <w:rsid w:val="009A03BF"/>
    <w:rsid w:val="009A03CD"/>
    <w:rsid w:val="009A08E2"/>
    <w:rsid w:val="009A10E5"/>
    <w:rsid w:val="009A15F9"/>
    <w:rsid w:val="009A1836"/>
    <w:rsid w:val="009A1865"/>
    <w:rsid w:val="009A1D91"/>
    <w:rsid w:val="009A2028"/>
    <w:rsid w:val="009A34E3"/>
    <w:rsid w:val="009A4BF3"/>
    <w:rsid w:val="009A4CB8"/>
    <w:rsid w:val="009A5412"/>
    <w:rsid w:val="009A5A41"/>
    <w:rsid w:val="009A5AAC"/>
    <w:rsid w:val="009A6D0E"/>
    <w:rsid w:val="009A6F29"/>
    <w:rsid w:val="009A77A4"/>
    <w:rsid w:val="009A77BA"/>
    <w:rsid w:val="009A7A21"/>
    <w:rsid w:val="009B02A8"/>
    <w:rsid w:val="009B067A"/>
    <w:rsid w:val="009B0736"/>
    <w:rsid w:val="009B09EE"/>
    <w:rsid w:val="009B0A34"/>
    <w:rsid w:val="009B0BEF"/>
    <w:rsid w:val="009B0F0C"/>
    <w:rsid w:val="009B0F6A"/>
    <w:rsid w:val="009B118A"/>
    <w:rsid w:val="009B1376"/>
    <w:rsid w:val="009B1D0C"/>
    <w:rsid w:val="009B2302"/>
    <w:rsid w:val="009B279E"/>
    <w:rsid w:val="009B2E22"/>
    <w:rsid w:val="009B318A"/>
    <w:rsid w:val="009B374E"/>
    <w:rsid w:val="009B3CCB"/>
    <w:rsid w:val="009B41E4"/>
    <w:rsid w:val="009B4235"/>
    <w:rsid w:val="009B4551"/>
    <w:rsid w:val="009B4E87"/>
    <w:rsid w:val="009B5041"/>
    <w:rsid w:val="009B53D8"/>
    <w:rsid w:val="009B5474"/>
    <w:rsid w:val="009B5AB7"/>
    <w:rsid w:val="009B627C"/>
    <w:rsid w:val="009B63BE"/>
    <w:rsid w:val="009B690A"/>
    <w:rsid w:val="009B70E4"/>
    <w:rsid w:val="009B743D"/>
    <w:rsid w:val="009B77C3"/>
    <w:rsid w:val="009B783A"/>
    <w:rsid w:val="009B7A7B"/>
    <w:rsid w:val="009B7C9F"/>
    <w:rsid w:val="009C02F3"/>
    <w:rsid w:val="009C0699"/>
    <w:rsid w:val="009C10A2"/>
    <w:rsid w:val="009C126B"/>
    <w:rsid w:val="009C1769"/>
    <w:rsid w:val="009C19FA"/>
    <w:rsid w:val="009C1A97"/>
    <w:rsid w:val="009C1AEC"/>
    <w:rsid w:val="009C1F71"/>
    <w:rsid w:val="009C1FA0"/>
    <w:rsid w:val="009C2B3F"/>
    <w:rsid w:val="009C2E27"/>
    <w:rsid w:val="009C388B"/>
    <w:rsid w:val="009C395D"/>
    <w:rsid w:val="009C3B0B"/>
    <w:rsid w:val="009C3CFD"/>
    <w:rsid w:val="009C417F"/>
    <w:rsid w:val="009C45B7"/>
    <w:rsid w:val="009C4D14"/>
    <w:rsid w:val="009C50F5"/>
    <w:rsid w:val="009C5B37"/>
    <w:rsid w:val="009C67BF"/>
    <w:rsid w:val="009C6959"/>
    <w:rsid w:val="009C6B4B"/>
    <w:rsid w:val="009C7ED7"/>
    <w:rsid w:val="009D0479"/>
    <w:rsid w:val="009D06EC"/>
    <w:rsid w:val="009D0833"/>
    <w:rsid w:val="009D0E65"/>
    <w:rsid w:val="009D0F1E"/>
    <w:rsid w:val="009D13C2"/>
    <w:rsid w:val="009D197E"/>
    <w:rsid w:val="009D1C1A"/>
    <w:rsid w:val="009D1EA5"/>
    <w:rsid w:val="009D207B"/>
    <w:rsid w:val="009D24C9"/>
    <w:rsid w:val="009D292E"/>
    <w:rsid w:val="009D32F8"/>
    <w:rsid w:val="009D3832"/>
    <w:rsid w:val="009D3C53"/>
    <w:rsid w:val="009D4820"/>
    <w:rsid w:val="009D4F4D"/>
    <w:rsid w:val="009D56AA"/>
    <w:rsid w:val="009D6B12"/>
    <w:rsid w:val="009D6CBD"/>
    <w:rsid w:val="009D770B"/>
    <w:rsid w:val="009D7713"/>
    <w:rsid w:val="009D7BD5"/>
    <w:rsid w:val="009E00A2"/>
    <w:rsid w:val="009E0295"/>
    <w:rsid w:val="009E0AF1"/>
    <w:rsid w:val="009E1116"/>
    <w:rsid w:val="009E1231"/>
    <w:rsid w:val="009E13F0"/>
    <w:rsid w:val="009E1F25"/>
    <w:rsid w:val="009E1F2A"/>
    <w:rsid w:val="009E276F"/>
    <w:rsid w:val="009E2826"/>
    <w:rsid w:val="009E285A"/>
    <w:rsid w:val="009E2A8F"/>
    <w:rsid w:val="009E2B28"/>
    <w:rsid w:val="009E2E85"/>
    <w:rsid w:val="009E3173"/>
    <w:rsid w:val="009E3569"/>
    <w:rsid w:val="009E3EC3"/>
    <w:rsid w:val="009E3F10"/>
    <w:rsid w:val="009E43EC"/>
    <w:rsid w:val="009E451A"/>
    <w:rsid w:val="009E4527"/>
    <w:rsid w:val="009E510B"/>
    <w:rsid w:val="009E5242"/>
    <w:rsid w:val="009E52B9"/>
    <w:rsid w:val="009E5457"/>
    <w:rsid w:val="009E56BA"/>
    <w:rsid w:val="009E59E4"/>
    <w:rsid w:val="009E5EB9"/>
    <w:rsid w:val="009E5FF9"/>
    <w:rsid w:val="009E6390"/>
    <w:rsid w:val="009E652A"/>
    <w:rsid w:val="009E6613"/>
    <w:rsid w:val="009E6615"/>
    <w:rsid w:val="009E67CE"/>
    <w:rsid w:val="009E69A3"/>
    <w:rsid w:val="009E71BC"/>
    <w:rsid w:val="009E78D6"/>
    <w:rsid w:val="009F00BE"/>
    <w:rsid w:val="009F06F8"/>
    <w:rsid w:val="009F0A83"/>
    <w:rsid w:val="009F0B90"/>
    <w:rsid w:val="009F0D46"/>
    <w:rsid w:val="009F0DEA"/>
    <w:rsid w:val="009F170C"/>
    <w:rsid w:val="009F1BA3"/>
    <w:rsid w:val="009F277E"/>
    <w:rsid w:val="009F2801"/>
    <w:rsid w:val="009F2AB3"/>
    <w:rsid w:val="009F2C35"/>
    <w:rsid w:val="009F3AAB"/>
    <w:rsid w:val="009F3C63"/>
    <w:rsid w:val="009F410E"/>
    <w:rsid w:val="009F4750"/>
    <w:rsid w:val="009F4910"/>
    <w:rsid w:val="009F49BF"/>
    <w:rsid w:val="009F4D11"/>
    <w:rsid w:val="009F55B3"/>
    <w:rsid w:val="009F56CA"/>
    <w:rsid w:val="009F5D6B"/>
    <w:rsid w:val="009F60AE"/>
    <w:rsid w:val="009F6140"/>
    <w:rsid w:val="009F62AC"/>
    <w:rsid w:val="009F6DE0"/>
    <w:rsid w:val="009F7609"/>
    <w:rsid w:val="009F7AAD"/>
    <w:rsid w:val="00A00074"/>
    <w:rsid w:val="00A000A2"/>
    <w:rsid w:val="00A0039A"/>
    <w:rsid w:val="00A0069C"/>
    <w:rsid w:val="00A006EE"/>
    <w:rsid w:val="00A00708"/>
    <w:rsid w:val="00A007CF"/>
    <w:rsid w:val="00A00C87"/>
    <w:rsid w:val="00A0132E"/>
    <w:rsid w:val="00A014E3"/>
    <w:rsid w:val="00A01AEB"/>
    <w:rsid w:val="00A01CEF"/>
    <w:rsid w:val="00A022CC"/>
    <w:rsid w:val="00A0279D"/>
    <w:rsid w:val="00A0297E"/>
    <w:rsid w:val="00A02CC3"/>
    <w:rsid w:val="00A02CEA"/>
    <w:rsid w:val="00A02F74"/>
    <w:rsid w:val="00A03E47"/>
    <w:rsid w:val="00A04131"/>
    <w:rsid w:val="00A04410"/>
    <w:rsid w:val="00A0449E"/>
    <w:rsid w:val="00A05044"/>
    <w:rsid w:val="00A058A1"/>
    <w:rsid w:val="00A05FBE"/>
    <w:rsid w:val="00A06562"/>
    <w:rsid w:val="00A06907"/>
    <w:rsid w:val="00A06992"/>
    <w:rsid w:val="00A06D1C"/>
    <w:rsid w:val="00A0777E"/>
    <w:rsid w:val="00A0791A"/>
    <w:rsid w:val="00A07BF0"/>
    <w:rsid w:val="00A07EB6"/>
    <w:rsid w:val="00A07FF5"/>
    <w:rsid w:val="00A1045F"/>
    <w:rsid w:val="00A1078F"/>
    <w:rsid w:val="00A10793"/>
    <w:rsid w:val="00A10A1A"/>
    <w:rsid w:val="00A10BBD"/>
    <w:rsid w:val="00A10E97"/>
    <w:rsid w:val="00A1125B"/>
    <w:rsid w:val="00A11D74"/>
    <w:rsid w:val="00A12053"/>
    <w:rsid w:val="00A120D6"/>
    <w:rsid w:val="00A12265"/>
    <w:rsid w:val="00A125B0"/>
    <w:rsid w:val="00A12E75"/>
    <w:rsid w:val="00A13211"/>
    <w:rsid w:val="00A133B2"/>
    <w:rsid w:val="00A1345B"/>
    <w:rsid w:val="00A13689"/>
    <w:rsid w:val="00A136CE"/>
    <w:rsid w:val="00A13AB4"/>
    <w:rsid w:val="00A13ABB"/>
    <w:rsid w:val="00A13C9D"/>
    <w:rsid w:val="00A14665"/>
    <w:rsid w:val="00A1466D"/>
    <w:rsid w:val="00A147B4"/>
    <w:rsid w:val="00A149F0"/>
    <w:rsid w:val="00A14A29"/>
    <w:rsid w:val="00A14BB2"/>
    <w:rsid w:val="00A15361"/>
    <w:rsid w:val="00A1542A"/>
    <w:rsid w:val="00A1554C"/>
    <w:rsid w:val="00A158CE"/>
    <w:rsid w:val="00A15A8A"/>
    <w:rsid w:val="00A167C6"/>
    <w:rsid w:val="00A16DB7"/>
    <w:rsid w:val="00A16FAD"/>
    <w:rsid w:val="00A1769D"/>
    <w:rsid w:val="00A2017D"/>
    <w:rsid w:val="00A201FF"/>
    <w:rsid w:val="00A202C3"/>
    <w:rsid w:val="00A2073B"/>
    <w:rsid w:val="00A2086F"/>
    <w:rsid w:val="00A210DD"/>
    <w:rsid w:val="00A21202"/>
    <w:rsid w:val="00A2131E"/>
    <w:rsid w:val="00A214EB"/>
    <w:rsid w:val="00A21770"/>
    <w:rsid w:val="00A21A87"/>
    <w:rsid w:val="00A22AF2"/>
    <w:rsid w:val="00A2306B"/>
    <w:rsid w:val="00A2353C"/>
    <w:rsid w:val="00A2364E"/>
    <w:rsid w:val="00A23B60"/>
    <w:rsid w:val="00A24DFF"/>
    <w:rsid w:val="00A250C8"/>
    <w:rsid w:val="00A250EB"/>
    <w:rsid w:val="00A25BE7"/>
    <w:rsid w:val="00A261AD"/>
    <w:rsid w:val="00A2627B"/>
    <w:rsid w:val="00A262E1"/>
    <w:rsid w:val="00A26377"/>
    <w:rsid w:val="00A2675F"/>
    <w:rsid w:val="00A26B78"/>
    <w:rsid w:val="00A27040"/>
    <w:rsid w:val="00A270AA"/>
    <w:rsid w:val="00A27228"/>
    <w:rsid w:val="00A27873"/>
    <w:rsid w:val="00A278C3"/>
    <w:rsid w:val="00A30017"/>
    <w:rsid w:val="00A302B8"/>
    <w:rsid w:val="00A30574"/>
    <w:rsid w:val="00A307CA"/>
    <w:rsid w:val="00A30CB4"/>
    <w:rsid w:val="00A30CD8"/>
    <w:rsid w:val="00A3128A"/>
    <w:rsid w:val="00A312E2"/>
    <w:rsid w:val="00A31392"/>
    <w:rsid w:val="00A318DE"/>
    <w:rsid w:val="00A3200C"/>
    <w:rsid w:val="00A32547"/>
    <w:rsid w:val="00A325E3"/>
    <w:rsid w:val="00A32970"/>
    <w:rsid w:val="00A32FB0"/>
    <w:rsid w:val="00A32FF2"/>
    <w:rsid w:val="00A32FFB"/>
    <w:rsid w:val="00A33302"/>
    <w:rsid w:val="00A33334"/>
    <w:rsid w:val="00A33415"/>
    <w:rsid w:val="00A33426"/>
    <w:rsid w:val="00A33C04"/>
    <w:rsid w:val="00A342D5"/>
    <w:rsid w:val="00A3446A"/>
    <w:rsid w:val="00A348F6"/>
    <w:rsid w:val="00A34BB5"/>
    <w:rsid w:val="00A34CEC"/>
    <w:rsid w:val="00A34D2F"/>
    <w:rsid w:val="00A34EFF"/>
    <w:rsid w:val="00A35A3A"/>
    <w:rsid w:val="00A35B21"/>
    <w:rsid w:val="00A35B68"/>
    <w:rsid w:val="00A363F5"/>
    <w:rsid w:val="00A369A1"/>
    <w:rsid w:val="00A3732A"/>
    <w:rsid w:val="00A3748F"/>
    <w:rsid w:val="00A37A2B"/>
    <w:rsid w:val="00A37F0A"/>
    <w:rsid w:val="00A37FD3"/>
    <w:rsid w:val="00A400D1"/>
    <w:rsid w:val="00A4090F"/>
    <w:rsid w:val="00A40A17"/>
    <w:rsid w:val="00A40C63"/>
    <w:rsid w:val="00A40ED0"/>
    <w:rsid w:val="00A41722"/>
    <w:rsid w:val="00A419D1"/>
    <w:rsid w:val="00A41DBC"/>
    <w:rsid w:val="00A41F2B"/>
    <w:rsid w:val="00A42509"/>
    <w:rsid w:val="00A4267F"/>
    <w:rsid w:val="00A426A5"/>
    <w:rsid w:val="00A426C0"/>
    <w:rsid w:val="00A42B96"/>
    <w:rsid w:val="00A434A9"/>
    <w:rsid w:val="00A44174"/>
    <w:rsid w:val="00A4424D"/>
    <w:rsid w:val="00A4430A"/>
    <w:rsid w:val="00A44348"/>
    <w:rsid w:val="00A4444D"/>
    <w:rsid w:val="00A44843"/>
    <w:rsid w:val="00A4559C"/>
    <w:rsid w:val="00A457B7"/>
    <w:rsid w:val="00A458EA"/>
    <w:rsid w:val="00A45A48"/>
    <w:rsid w:val="00A461DA"/>
    <w:rsid w:val="00A4635C"/>
    <w:rsid w:val="00A465CA"/>
    <w:rsid w:val="00A476D2"/>
    <w:rsid w:val="00A4780C"/>
    <w:rsid w:val="00A50606"/>
    <w:rsid w:val="00A50827"/>
    <w:rsid w:val="00A5128D"/>
    <w:rsid w:val="00A51651"/>
    <w:rsid w:val="00A516FC"/>
    <w:rsid w:val="00A51BCE"/>
    <w:rsid w:val="00A522E1"/>
    <w:rsid w:val="00A52656"/>
    <w:rsid w:val="00A52882"/>
    <w:rsid w:val="00A52BB7"/>
    <w:rsid w:val="00A53916"/>
    <w:rsid w:val="00A5394E"/>
    <w:rsid w:val="00A54252"/>
    <w:rsid w:val="00A543B7"/>
    <w:rsid w:val="00A54439"/>
    <w:rsid w:val="00A5492C"/>
    <w:rsid w:val="00A54A61"/>
    <w:rsid w:val="00A54D25"/>
    <w:rsid w:val="00A55056"/>
    <w:rsid w:val="00A5518B"/>
    <w:rsid w:val="00A55772"/>
    <w:rsid w:val="00A55A5F"/>
    <w:rsid w:val="00A5602F"/>
    <w:rsid w:val="00A560E8"/>
    <w:rsid w:val="00A56811"/>
    <w:rsid w:val="00A5693C"/>
    <w:rsid w:val="00A570B3"/>
    <w:rsid w:val="00A57784"/>
    <w:rsid w:val="00A57D6B"/>
    <w:rsid w:val="00A600A7"/>
    <w:rsid w:val="00A60769"/>
    <w:rsid w:val="00A60A79"/>
    <w:rsid w:val="00A616D1"/>
    <w:rsid w:val="00A61715"/>
    <w:rsid w:val="00A61798"/>
    <w:rsid w:val="00A61B51"/>
    <w:rsid w:val="00A6288C"/>
    <w:rsid w:val="00A62B0A"/>
    <w:rsid w:val="00A62DF2"/>
    <w:rsid w:val="00A63092"/>
    <w:rsid w:val="00A633A0"/>
    <w:rsid w:val="00A63966"/>
    <w:rsid w:val="00A63B65"/>
    <w:rsid w:val="00A646B3"/>
    <w:rsid w:val="00A64CD9"/>
    <w:rsid w:val="00A65134"/>
    <w:rsid w:val="00A65F16"/>
    <w:rsid w:val="00A66238"/>
    <w:rsid w:val="00A665BE"/>
    <w:rsid w:val="00A674ED"/>
    <w:rsid w:val="00A676A6"/>
    <w:rsid w:val="00A67CA2"/>
    <w:rsid w:val="00A7033F"/>
    <w:rsid w:val="00A7041B"/>
    <w:rsid w:val="00A705EB"/>
    <w:rsid w:val="00A70618"/>
    <w:rsid w:val="00A70ED9"/>
    <w:rsid w:val="00A70F9C"/>
    <w:rsid w:val="00A7114B"/>
    <w:rsid w:val="00A713B5"/>
    <w:rsid w:val="00A71450"/>
    <w:rsid w:val="00A7198D"/>
    <w:rsid w:val="00A71CA3"/>
    <w:rsid w:val="00A72A66"/>
    <w:rsid w:val="00A72F71"/>
    <w:rsid w:val="00A732E1"/>
    <w:rsid w:val="00A733B2"/>
    <w:rsid w:val="00A734DF"/>
    <w:rsid w:val="00A73F81"/>
    <w:rsid w:val="00A752AF"/>
    <w:rsid w:val="00A756F7"/>
    <w:rsid w:val="00A75AA2"/>
    <w:rsid w:val="00A76136"/>
    <w:rsid w:val="00A7637D"/>
    <w:rsid w:val="00A76CB6"/>
    <w:rsid w:val="00A76E13"/>
    <w:rsid w:val="00A7731A"/>
    <w:rsid w:val="00A77670"/>
    <w:rsid w:val="00A779B6"/>
    <w:rsid w:val="00A8013E"/>
    <w:rsid w:val="00A8036C"/>
    <w:rsid w:val="00A804E3"/>
    <w:rsid w:val="00A80D53"/>
    <w:rsid w:val="00A810F0"/>
    <w:rsid w:val="00A81195"/>
    <w:rsid w:val="00A812E0"/>
    <w:rsid w:val="00A81447"/>
    <w:rsid w:val="00A8183F"/>
    <w:rsid w:val="00A818ED"/>
    <w:rsid w:val="00A81AC3"/>
    <w:rsid w:val="00A81FDC"/>
    <w:rsid w:val="00A823A7"/>
    <w:rsid w:val="00A82563"/>
    <w:rsid w:val="00A82746"/>
    <w:rsid w:val="00A828B1"/>
    <w:rsid w:val="00A82B09"/>
    <w:rsid w:val="00A82EAF"/>
    <w:rsid w:val="00A833B5"/>
    <w:rsid w:val="00A83716"/>
    <w:rsid w:val="00A83949"/>
    <w:rsid w:val="00A83B1B"/>
    <w:rsid w:val="00A83CBE"/>
    <w:rsid w:val="00A83D5C"/>
    <w:rsid w:val="00A83FDF"/>
    <w:rsid w:val="00A8426C"/>
    <w:rsid w:val="00A84559"/>
    <w:rsid w:val="00A84A9D"/>
    <w:rsid w:val="00A84B15"/>
    <w:rsid w:val="00A852F2"/>
    <w:rsid w:val="00A85781"/>
    <w:rsid w:val="00A85918"/>
    <w:rsid w:val="00A85B01"/>
    <w:rsid w:val="00A85F82"/>
    <w:rsid w:val="00A8631F"/>
    <w:rsid w:val="00A86A6B"/>
    <w:rsid w:val="00A8709C"/>
    <w:rsid w:val="00A87100"/>
    <w:rsid w:val="00A8727E"/>
    <w:rsid w:val="00A87C24"/>
    <w:rsid w:val="00A87CEF"/>
    <w:rsid w:val="00A90177"/>
    <w:rsid w:val="00A90936"/>
    <w:rsid w:val="00A90D40"/>
    <w:rsid w:val="00A914F0"/>
    <w:rsid w:val="00A9240E"/>
    <w:rsid w:val="00A92546"/>
    <w:rsid w:val="00A926FC"/>
    <w:rsid w:val="00A932D4"/>
    <w:rsid w:val="00A9352A"/>
    <w:rsid w:val="00A9366D"/>
    <w:rsid w:val="00A93BB3"/>
    <w:rsid w:val="00A93ECC"/>
    <w:rsid w:val="00A94058"/>
    <w:rsid w:val="00A9418A"/>
    <w:rsid w:val="00A95BD6"/>
    <w:rsid w:val="00A95EF6"/>
    <w:rsid w:val="00A96A9C"/>
    <w:rsid w:val="00A96B05"/>
    <w:rsid w:val="00A96C1F"/>
    <w:rsid w:val="00A97223"/>
    <w:rsid w:val="00A97398"/>
    <w:rsid w:val="00A97787"/>
    <w:rsid w:val="00A97798"/>
    <w:rsid w:val="00A97A38"/>
    <w:rsid w:val="00A97B85"/>
    <w:rsid w:val="00A97EFC"/>
    <w:rsid w:val="00AA0253"/>
    <w:rsid w:val="00AA037E"/>
    <w:rsid w:val="00AA039E"/>
    <w:rsid w:val="00AA0411"/>
    <w:rsid w:val="00AA0585"/>
    <w:rsid w:val="00AA0605"/>
    <w:rsid w:val="00AA08BD"/>
    <w:rsid w:val="00AA0B01"/>
    <w:rsid w:val="00AA15E7"/>
    <w:rsid w:val="00AA16BC"/>
    <w:rsid w:val="00AA174E"/>
    <w:rsid w:val="00AA19A8"/>
    <w:rsid w:val="00AA1A96"/>
    <w:rsid w:val="00AA1CC2"/>
    <w:rsid w:val="00AA2260"/>
    <w:rsid w:val="00AA23D9"/>
    <w:rsid w:val="00AA2A7A"/>
    <w:rsid w:val="00AA2AE9"/>
    <w:rsid w:val="00AA2E8E"/>
    <w:rsid w:val="00AA2F41"/>
    <w:rsid w:val="00AA3522"/>
    <w:rsid w:val="00AA3D02"/>
    <w:rsid w:val="00AA3F38"/>
    <w:rsid w:val="00AA4146"/>
    <w:rsid w:val="00AA4286"/>
    <w:rsid w:val="00AA44D4"/>
    <w:rsid w:val="00AA4765"/>
    <w:rsid w:val="00AA4C7E"/>
    <w:rsid w:val="00AA4C8F"/>
    <w:rsid w:val="00AA5C72"/>
    <w:rsid w:val="00AA5C93"/>
    <w:rsid w:val="00AA76F1"/>
    <w:rsid w:val="00AA79EE"/>
    <w:rsid w:val="00AA7A62"/>
    <w:rsid w:val="00AA7A6A"/>
    <w:rsid w:val="00AA7B65"/>
    <w:rsid w:val="00AA7C70"/>
    <w:rsid w:val="00AA7CF5"/>
    <w:rsid w:val="00AA7E22"/>
    <w:rsid w:val="00AB01C7"/>
    <w:rsid w:val="00AB0249"/>
    <w:rsid w:val="00AB0341"/>
    <w:rsid w:val="00AB064C"/>
    <w:rsid w:val="00AB073E"/>
    <w:rsid w:val="00AB0851"/>
    <w:rsid w:val="00AB0EF1"/>
    <w:rsid w:val="00AB1018"/>
    <w:rsid w:val="00AB118C"/>
    <w:rsid w:val="00AB13B5"/>
    <w:rsid w:val="00AB141B"/>
    <w:rsid w:val="00AB142D"/>
    <w:rsid w:val="00AB1AF5"/>
    <w:rsid w:val="00AB237D"/>
    <w:rsid w:val="00AB2545"/>
    <w:rsid w:val="00AB2ADC"/>
    <w:rsid w:val="00AB3610"/>
    <w:rsid w:val="00AB3D82"/>
    <w:rsid w:val="00AB4421"/>
    <w:rsid w:val="00AB52CC"/>
    <w:rsid w:val="00AB52DA"/>
    <w:rsid w:val="00AB570E"/>
    <w:rsid w:val="00AB5895"/>
    <w:rsid w:val="00AB58FD"/>
    <w:rsid w:val="00AB5CCF"/>
    <w:rsid w:val="00AB5EBB"/>
    <w:rsid w:val="00AB6013"/>
    <w:rsid w:val="00AB6249"/>
    <w:rsid w:val="00AB63C2"/>
    <w:rsid w:val="00AB6580"/>
    <w:rsid w:val="00AB6F92"/>
    <w:rsid w:val="00AB730B"/>
    <w:rsid w:val="00AB76A9"/>
    <w:rsid w:val="00AB7E67"/>
    <w:rsid w:val="00AB7FB2"/>
    <w:rsid w:val="00AC01AA"/>
    <w:rsid w:val="00AC01C8"/>
    <w:rsid w:val="00AC038A"/>
    <w:rsid w:val="00AC087F"/>
    <w:rsid w:val="00AC09D4"/>
    <w:rsid w:val="00AC10FE"/>
    <w:rsid w:val="00AC17E6"/>
    <w:rsid w:val="00AC1C72"/>
    <w:rsid w:val="00AC1F1D"/>
    <w:rsid w:val="00AC1F71"/>
    <w:rsid w:val="00AC26BA"/>
    <w:rsid w:val="00AC29D1"/>
    <w:rsid w:val="00AC29EE"/>
    <w:rsid w:val="00AC2EE4"/>
    <w:rsid w:val="00AC3254"/>
    <w:rsid w:val="00AC34F0"/>
    <w:rsid w:val="00AC3574"/>
    <w:rsid w:val="00AC3B99"/>
    <w:rsid w:val="00AC3D4D"/>
    <w:rsid w:val="00AC49F8"/>
    <w:rsid w:val="00AC4A20"/>
    <w:rsid w:val="00AC4B55"/>
    <w:rsid w:val="00AC5166"/>
    <w:rsid w:val="00AC518A"/>
    <w:rsid w:val="00AC58A2"/>
    <w:rsid w:val="00AC5BCA"/>
    <w:rsid w:val="00AC5FCD"/>
    <w:rsid w:val="00AC60E3"/>
    <w:rsid w:val="00AC6283"/>
    <w:rsid w:val="00AC631A"/>
    <w:rsid w:val="00AC66D9"/>
    <w:rsid w:val="00AC7187"/>
    <w:rsid w:val="00AC754B"/>
    <w:rsid w:val="00AC78CA"/>
    <w:rsid w:val="00AC7CCA"/>
    <w:rsid w:val="00AC7D81"/>
    <w:rsid w:val="00AC7ED0"/>
    <w:rsid w:val="00AC7F53"/>
    <w:rsid w:val="00AD0BB8"/>
    <w:rsid w:val="00AD169C"/>
    <w:rsid w:val="00AD19D2"/>
    <w:rsid w:val="00AD2366"/>
    <w:rsid w:val="00AD2803"/>
    <w:rsid w:val="00AD2B5A"/>
    <w:rsid w:val="00AD2C93"/>
    <w:rsid w:val="00AD2C96"/>
    <w:rsid w:val="00AD34F8"/>
    <w:rsid w:val="00AD404B"/>
    <w:rsid w:val="00AD4103"/>
    <w:rsid w:val="00AD4246"/>
    <w:rsid w:val="00AD427B"/>
    <w:rsid w:val="00AD43D9"/>
    <w:rsid w:val="00AD447C"/>
    <w:rsid w:val="00AD4613"/>
    <w:rsid w:val="00AD4BCC"/>
    <w:rsid w:val="00AD4F3B"/>
    <w:rsid w:val="00AD5AC4"/>
    <w:rsid w:val="00AD5B2A"/>
    <w:rsid w:val="00AD5C23"/>
    <w:rsid w:val="00AD6568"/>
    <w:rsid w:val="00AD6656"/>
    <w:rsid w:val="00AD67EF"/>
    <w:rsid w:val="00AD6940"/>
    <w:rsid w:val="00AD6A9B"/>
    <w:rsid w:val="00AD6BB2"/>
    <w:rsid w:val="00AD74DE"/>
    <w:rsid w:val="00AD74F4"/>
    <w:rsid w:val="00AD76A2"/>
    <w:rsid w:val="00AD7947"/>
    <w:rsid w:val="00AD79EC"/>
    <w:rsid w:val="00AD7D92"/>
    <w:rsid w:val="00AE06F9"/>
    <w:rsid w:val="00AE0861"/>
    <w:rsid w:val="00AE0FD9"/>
    <w:rsid w:val="00AE1146"/>
    <w:rsid w:val="00AE1486"/>
    <w:rsid w:val="00AE1580"/>
    <w:rsid w:val="00AE1694"/>
    <w:rsid w:val="00AE2222"/>
    <w:rsid w:val="00AE2AA5"/>
    <w:rsid w:val="00AE4697"/>
    <w:rsid w:val="00AE4885"/>
    <w:rsid w:val="00AE4A11"/>
    <w:rsid w:val="00AE4FE5"/>
    <w:rsid w:val="00AE53CA"/>
    <w:rsid w:val="00AE5BA2"/>
    <w:rsid w:val="00AE5BF4"/>
    <w:rsid w:val="00AE5D0B"/>
    <w:rsid w:val="00AE60B0"/>
    <w:rsid w:val="00AE6563"/>
    <w:rsid w:val="00AE67BC"/>
    <w:rsid w:val="00AE6D20"/>
    <w:rsid w:val="00AE6EEE"/>
    <w:rsid w:val="00AE7072"/>
    <w:rsid w:val="00AE7F80"/>
    <w:rsid w:val="00AF006C"/>
    <w:rsid w:val="00AF09A0"/>
    <w:rsid w:val="00AF10DD"/>
    <w:rsid w:val="00AF1161"/>
    <w:rsid w:val="00AF1395"/>
    <w:rsid w:val="00AF149D"/>
    <w:rsid w:val="00AF1B57"/>
    <w:rsid w:val="00AF1D0B"/>
    <w:rsid w:val="00AF211C"/>
    <w:rsid w:val="00AF24F0"/>
    <w:rsid w:val="00AF2E94"/>
    <w:rsid w:val="00AF339E"/>
    <w:rsid w:val="00AF34DB"/>
    <w:rsid w:val="00AF3708"/>
    <w:rsid w:val="00AF39D4"/>
    <w:rsid w:val="00AF3AD3"/>
    <w:rsid w:val="00AF3B18"/>
    <w:rsid w:val="00AF401A"/>
    <w:rsid w:val="00AF5111"/>
    <w:rsid w:val="00AF5A6E"/>
    <w:rsid w:val="00AF5FC8"/>
    <w:rsid w:val="00AF69C6"/>
    <w:rsid w:val="00AF6BDE"/>
    <w:rsid w:val="00AF7702"/>
    <w:rsid w:val="00AF7FB5"/>
    <w:rsid w:val="00B0024B"/>
    <w:rsid w:val="00B00682"/>
    <w:rsid w:val="00B01141"/>
    <w:rsid w:val="00B013DA"/>
    <w:rsid w:val="00B016EB"/>
    <w:rsid w:val="00B01865"/>
    <w:rsid w:val="00B01BF3"/>
    <w:rsid w:val="00B01C3D"/>
    <w:rsid w:val="00B01D45"/>
    <w:rsid w:val="00B020E9"/>
    <w:rsid w:val="00B02449"/>
    <w:rsid w:val="00B02777"/>
    <w:rsid w:val="00B028F9"/>
    <w:rsid w:val="00B0387C"/>
    <w:rsid w:val="00B03E62"/>
    <w:rsid w:val="00B03F82"/>
    <w:rsid w:val="00B04095"/>
    <w:rsid w:val="00B04F02"/>
    <w:rsid w:val="00B04F4C"/>
    <w:rsid w:val="00B05069"/>
    <w:rsid w:val="00B0516B"/>
    <w:rsid w:val="00B052B8"/>
    <w:rsid w:val="00B0534D"/>
    <w:rsid w:val="00B056A8"/>
    <w:rsid w:val="00B059A0"/>
    <w:rsid w:val="00B05ABD"/>
    <w:rsid w:val="00B06015"/>
    <w:rsid w:val="00B066A5"/>
    <w:rsid w:val="00B06801"/>
    <w:rsid w:val="00B06BE5"/>
    <w:rsid w:val="00B06C1E"/>
    <w:rsid w:val="00B06C32"/>
    <w:rsid w:val="00B06EC3"/>
    <w:rsid w:val="00B07345"/>
    <w:rsid w:val="00B073F5"/>
    <w:rsid w:val="00B07439"/>
    <w:rsid w:val="00B07DEB"/>
    <w:rsid w:val="00B07E3F"/>
    <w:rsid w:val="00B07E98"/>
    <w:rsid w:val="00B10615"/>
    <w:rsid w:val="00B1067E"/>
    <w:rsid w:val="00B10888"/>
    <w:rsid w:val="00B10AB7"/>
    <w:rsid w:val="00B10CB7"/>
    <w:rsid w:val="00B10DE3"/>
    <w:rsid w:val="00B110FB"/>
    <w:rsid w:val="00B11990"/>
    <w:rsid w:val="00B12279"/>
    <w:rsid w:val="00B127BC"/>
    <w:rsid w:val="00B129FF"/>
    <w:rsid w:val="00B13AEB"/>
    <w:rsid w:val="00B1546D"/>
    <w:rsid w:val="00B1568A"/>
    <w:rsid w:val="00B15CB4"/>
    <w:rsid w:val="00B15E1E"/>
    <w:rsid w:val="00B166B9"/>
    <w:rsid w:val="00B167BF"/>
    <w:rsid w:val="00B16C0A"/>
    <w:rsid w:val="00B16D24"/>
    <w:rsid w:val="00B173E6"/>
    <w:rsid w:val="00B176CD"/>
    <w:rsid w:val="00B17AEF"/>
    <w:rsid w:val="00B17F23"/>
    <w:rsid w:val="00B2039A"/>
    <w:rsid w:val="00B203D0"/>
    <w:rsid w:val="00B20428"/>
    <w:rsid w:val="00B2049F"/>
    <w:rsid w:val="00B20FD3"/>
    <w:rsid w:val="00B217F4"/>
    <w:rsid w:val="00B220CB"/>
    <w:rsid w:val="00B229C3"/>
    <w:rsid w:val="00B22CB1"/>
    <w:rsid w:val="00B22D27"/>
    <w:rsid w:val="00B24756"/>
    <w:rsid w:val="00B25731"/>
    <w:rsid w:val="00B25E14"/>
    <w:rsid w:val="00B263AB"/>
    <w:rsid w:val="00B26DF3"/>
    <w:rsid w:val="00B2732D"/>
    <w:rsid w:val="00B275F6"/>
    <w:rsid w:val="00B276ED"/>
    <w:rsid w:val="00B27D0E"/>
    <w:rsid w:val="00B30075"/>
    <w:rsid w:val="00B30840"/>
    <w:rsid w:val="00B30910"/>
    <w:rsid w:val="00B30EE8"/>
    <w:rsid w:val="00B30F2C"/>
    <w:rsid w:val="00B310F1"/>
    <w:rsid w:val="00B3168A"/>
    <w:rsid w:val="00B318E2"/>
    <w:rsid w:val="00B31D74"/>
    <w:rsid w:val="00B31EF8"/>
    <w:rsid w:val="00B3206F"/>
    <w:rsid w:val="00B32098"/>
    <w:rsid w:val="00B3224C"/>
    <w:rsid w:val="00B32780"/>
    <w:rsid w:val="00B32989"/>
    <w:rsid w:val="00B32B76"/>
    <w:rsid w:val="00B32D13"/>
    <w:rsid w:val="00B32E0E"/>
    <w:rsid w:val="00B34156"/>
    <w:rsid w:val="00B3422E"/>
    <w:rsid w:val="00B342DD"/>
    <w:rsid w:val="00B34857"/>
    <w:rsid w:val="00B34B71"/>
    <w:rsid w:val="00B35064"/>
    <w:rsid w:val="00B357F6"/>
    <w:rsid w:val="00B357FE"/>
    <w:rsid w:val="00B35929"/>
    <w:rsid w:val="00B3628F"/>
    <w:rsid w:val="00B36347"/>
    <w:rsid w:val="00B36770"/>
    <w:rsid w:val="00B3695C"/>
    <w:rsid w:val="00B36CF8"/>
    <w:rsid w:val="00B36E37"/>
    <w:rsid w:val="00B37007"/>
    <w:rsid w:val="00B3760A"/>
    <w:rsid w:val="00B37CA0"/>
    <w:rsid w:val="00B403AD"/>
    <w:rsid w:val="00B40ACE"/>
    <w:rsid w:val="00B40BAF"/>
    <w:rsid w:val="00B40D1D"/>
    <w:rsid w:val="00B40FA1"/>
    <w:rsid w:val="00B4169E"/>
    <w:rsid w:val="00B41712"/>
    <w:rsid w:val="00B41764"/>
    <w:rsid w:val="00B4190C"/>
    <w:rsid w:val="00B41964"/>
    <w:rsid w:val="00B41B9C"/>
    <w:rsid w:val="00B41D46"/>
    <w:rsid w:val="00B42454"/>
    <w:rsid w:val="00B4279D"/>
    <w:rsid w:val="00B429E5"/>
    <w:rsid w:val="00B42B78"/>
    <w:rsid w:val="00B42F2F"/>
    <w:rsid w:val="00B43395"/>
    <w:rsid w:val="00B43544"/>
    <w:rsid w:val="00B43C49"/>
    <w:rsid w:val="00B43E96"/>
    <w:rsid w:val="00B44858"/>
    <w:rsid w:val="00B451EE"/>
    <w:rsid w:val="00B45379"/>
    <w:rsid w:val="00B45873"/>
    <w:rsid w:val="00B45A48"/>
    <w:rsid w:val="00B45BF7"/>
    <w:rsid w:val="00B46566"/>
    <w:rsid w:val="00B465F6"/>
    <w:rsid w:val="00B46604"/>
    <w:rsid w:val="00B46B9F"/>
    <w:rsid w:val="00B46CAF"/>
    <w:rsid w:val="00B476F7"/>
    <w:rsid w:val="00B500BD"/>
    <w:rsid w:val="00B501F7"/>
    <w:rsid w:val="00B50629"/>
    <w:rsid w:val="00B507C8"/>
    <w:rsid w:val="00B507FA"/>
    <w:rsid w:val="00B50A52"/>
    <w:rsid w:val="00B50B5B"/>
    <w:rsid w:val="00B50DE8"/>
    <w:rsid w:val="00B50FBA"/>
    <w:rsid w:val="00B510D2"/>
    <w:rsid w:val="00B5123A"/>
    <w:rsid w:val="00B516F5"/>
    <w:rsid w:val="00B5174F"/>
    <w:rsid w:val="00B51948"/>
    <w:rsid w:val="00B51AB6"/>
    <w:rsid w:val="00B51B89"/>
    <w:rsid w:val="00B5229B"/>
    <w:rsid w:val="00B522C1"/>
    <w:rsid w:val="00B525DF"/>
    <w:rsid w:val="00B5319C"/>
    <w:rsid w:val="00B5337F"/>
    <w:rsid w:val="00B5361D"/>
    <w:rsid w:val="00B53779"/>
    <w:rsid w:val="00B539E1"/>
    <w:rsid w:val="00B53C06"/>
    <w:rsid w:val="00B54509"/>
    <w:rsid w:val="00B54812"/>
    <w:rsid w:val="00B54902"/>
    <w:rsid w:val="00B54C32"/>
    <w:rsid w:val="00B5528C"/>
    <w:rsid w:val="00B55C83"/>
    <w:rsid w:val="00B55ED7"/>
    <w:rsid w:val="00B56C33"/>
    <w:rsid w:val="00B57135"/>
    <w:rsid w:val="00B579F4"/>
    <w:rsid w:val="00B57B78"/>
    <w:rsid w:val="00B57C27"/>
    <w:rsid w:val="00B606D1"/>
    <w:rsid w:val="00B6135C"/>
    <w:rsid w:val="00B61434"/>
    <w:rsid w:val="00B6193F"/>
    <w:rsid w:val="00B61FFC"/>
    <w:rsid w:val="00B629F9"/>
    <w:rsid w:val="00B62E2F"/>
    <w:rsid w:val="00B63464"/>
    <w:rsid w:val="00B63631"/>
    <w:rsid w:val="00B63842"/>
    <w:rsid w:val="00B638D6"/>
    <w:rsid w:val="00B63938"/>
    <w:rsid w:val="00B63D24"/>
    <w:rsid w:val="00B63EBF"/>
    <w:rsid w:val="00B63ED8"/>
    <w:rsid w:val="00B64162"/>
    <w:rsid w:val="00B64901"/>
    <w:rsid w:val="00B64F09"/>
    <w:rsid w:val="00B64F26"/>
    <w:rsid w:val="00B6502E"/>
    <w:rsid w:val="00B65C93"/>
    <w:rsid w:val="00B66517"/>
    <w:rsid w:val="00B6689B"/>
    <w:rsid w:val="00B66F27"/>
    <w:rsid w:val="00B676E1"/>
    <w:rsid w:val="00B6786E"/>
    <w:rsid w:val="00B678C6"/>
    <w:rsid w:val="00B67AB8"/>
    <w:rsid w:val="00B67E8F"/>
    <w:rsid w:val="00B67F01"/>
    <w:rsid w:val="00B702B6"/>
    <w:rsid w:val="00B70C8B"/>
    <w:rsid w:val="00B71710"/>
    <w:rsid w:val="00B71817"/>
    <w:rsid w:val="00B718BA"/>
    <w:rsid w:val="00B71B8C"/>
    <w:rsid w:val="00B71BF5"/>
    <w:rsid w:val="00B71FE3"/>
    <w:rsid w:val="00B71FEF"/>
    <w:rsid w:val="00B7296F"/>
    <w:rsid w:val="00B72C85"/>
    <w:rsid w:val="00B72CD6"/>
    <w:rsid w:val="00B72F35"/>
    <w:rsid w:val="00B733B4"/>
    <w:rsid w:val="00B734D0"/>
    <w:rsid w:val="00B73D4A"/>
    <w:rsid w:val="00B7412B"/>
    <w:rsid w:val="00B74444"/>
    <w:rsid w:val="00B744B8"/>
    <w:rsid w:val="00B74807"/>
    <w:rsid w:val="00B7503C"/>
    <w:rsid w:val="00B75348"/>
    <w:rsid w:val="00B75526"/>
    <w:rsid w:val="00B75831"/>
    <w:rsid w:val="00B75868"/>
    <w:rsid w:val="00B75A15"/>
    <w:rsid w:val="00B75BC1"/>
    <w:rsid w:val="00B75BFA"/>
    <w:rsid w:val="00B7613F"/>
    <w:rsid w:val="00B764B6"/>
    <w:rsid w:val="00B7669C"/>
    <w:rsid w:val="00B766C6"/>
    <w:rsid w:val="00B76881"/>
    <w:rsid w:val="00B76BB7"/>
    <w:rsid w:val="00B77038"/>
    <w:rsid w:val="00B77583"/>
    <w:rsid w:val="00B776C8"/>
    <w:rsid w:val="00B80513"/>
    <w:rsid w:val="00B80848"/>
    <w:rsid w:val="00B80E6C"/>
    <w:rsid w:val="00B814AD"/>
    <w:rsid w:val="00B81776"/>
    <w:rsid w:val="00B8182B"/>
    <w:rsid w:val="00B81B12"/>
    <w:rsid w:val="00B81C72"/>
    <w:rsid w:val="00B8270D"/>
    <w:rsid w:val="00B82944"/>
    <w:rsid w:val="00B82BA6"/>
    <w:rsid w:val="00B82E97"/>
    <w:rsid w:val="00B834A5"/>
    <w:rsid w:val="00B83630"/>
    <w:rsid w:val="00B842C4"/>
    <w:rsid w:val="00B843AB"/>
    <w:rsid w:val="00B847A2"/>
    <w:rsid w:val="00B848BF"/>
    <w:rsid w:val="00B84E5C"/>
    <w:rsid w:val="00B84F3E"/>
    <w:rsid w:val="00B8512F"/>
    <w:rsid w:val="00B8535B"/>
    <w:rsid w:val="00B8540C"/>
    <w:rsid w:val="00B858F9"/>
    <w:rsid w:val="00B85902"/>
    <w:rsid w:val="00B85A1C"/>
    <w:rsid w:val="00B85C25"/>
    <w:rsid w:val="00B86458"/>
    <w:rsid w:val="00B87670"/>
    <w:rsid w:val="00B87DF4"/>
    <w:rsid w:val="00B87EBC"/>
    <w:rsid w:val="00B90233"/>
    <w:rsid w:val="00B9094F"/>
    <w:rsid w:val="00B90C0F"/>
    <w:rsid w:val="00B90C47"/>
    <w:rsid w:val="00B9107F"/>
    <w:rsid w:val="00B914DB"/>
    <w:rsid w:val="00B91537"/>
    <w:rsid w:val="00B919CA"/>
    <w:rsid w:val="00B91FD7"/>
    <w:rsid w:val="00B920BC"/>
    <w:rsid w:val="00B92332"/>
    <w:rsid w:val="00B923CF"/>
    <w:rsid w:val="00B92453"/>
    <w:rsid w:val="00B92610"/>
    <w:rsid w:val="00B92BDF"/>
    <w:rsid w:val="00B92FEF"/>
    <w:rsid w:val="00B93BA6"/>
    <w:rsid w:val="00B93CBE"/>
    <w:rsid w:val="00B94976"/>
    <w:rsid w:val="00B94ADF"/>
    <w:rsid w:val="00B94C70"/>
    <w:rsid w:val="00B95380"/>
    <w:rsid w:val="00B95685"/>
    <w:rsid w:val="00B9568F"/>
    <w:rsid w:val="00B9587B"/>
    <w:rsid w:val="00B9595E"/>
    <w:rsid w:val="00B95AC6"/>
    <w:rsid w:val="00B95F63"/>
    <w:rsid w:val="00B962F1"/>
    <w:rsid w:val="00B9692B"/>
    <w:rsid w:val="00B96A8F"/>
    <w:rsid w:val="00B96CB0"/>
    <w:rsid w:val="00B96DD0"/>
    <w:rsid w:val="00B96E1A"/>
    <w:rsid w:val="00B96F0F"/>
    <w:rsid w:val="00B9738C"/>
    <w:rsid w:val="00B97D4C"/>
    <w:rsid w:val="00B97DFD"/>
    <w:rsid w:val="00BA009E"/>
    <w:rsid w:val="00BA03DD"/>
    <w:rsid w:val="00BA0D3C"/>
    <w:rsid w:val="00BA11CB"/>
    <w:rsid w:val="00BA120A"/>
    <w:rsid w:val="00BA12D9"/>
    <w:rsid w:val="00BA13AB"/>
    <w:rsid w:val="00BA1C34"/>
    <w:rsid w:val="00BA1E2C"/>
    <w:rsid w:val="00BA1ECB"/>
    <w:rsid w:val="00BA2744"/>
    <w:rsid w:val="00BA2CA7"/>
    <w:rsid w:val="00BA35C6"/>
    <w:rsid w:val="00BA3F11"/>
    <w:rsid w:val="00BA416E"/>
    <w:rsid w:val="00BA4363"/>
    <w:rsid w:val="00BA4374"/>
    <w:rsid w:val="00BA4379"/>
    <w:rsid w:val="00BA46E1"/>
    <w:rsid w:val="00BA4A06"/>
    <w:rsid w:val="00BA4C66"/>
    <w:rsid w:val="00BA4C73"/>
    <w:rsid w:val="00BA4E7C"/>
    <w:rsid w:val="00BA4E8C"/>
    <w:rsid w:val="00BA4E9E"/>
    <w:rsid w:val="00BA5234"/>
    <w:rsid w:val="00BA5CFA"/>
    <w:rsid w:val="00BA68AC"/>
    <w:rsid w:val="00BA7893"/>
    <w:rsid w:val="00BA79F7"/>
    <w:rsid w:val="00BA7D71"/>
    <w:rsid w:val="00BB03B1"/>
    <w:rsid w:val="00BB1924"/>
    <w:rsid w:val="00BB198A"/>
    <w:rsid w:val="00BB1B19"/>
    <w:rsid w:val="00BB1F94"/>
    <w:rsid w:val="00BB2328"/>
    <w:rsid w:val="00BB2983"/>
    <w:rsid w:val="00BB30D7"/>
    <w:rsid w:val="00BB311A"/>
    <w:rsid w:val="00BB32AB"/>
    <w:rsid w:val="00BB41E1"/>
    <w:rsid w:val="00BB5092"/>
    <w:rsid w:val="00BB53BE"/>
    <w:rsid w:val="00BB5541"/>
    <w:rsid w:val="00BB5CEB"/>
    <w:rsid w:val="00BB5DA1"/>
    <w:rsid w:val="00BB5F4F"/>
    <w:rsid w:val="00BB5F62"/>
    <w:rsid w:val="00BB60F0"/>
    <w:rsid w:val="00BB664F"/>
    <w:rsid w:val="00BB68EA"/>
    <w:rsid w:val="00BB6AE7"/>
    <w:rsid w:val="00BB6DE7"/>
    <w:rsid w:val="00BB71E1"/>
    <w:rsid w:val="00BB75FB"/>
    <w:rsid w:val="00BB76C2"/>
    <w:rsid w:val="00BB776D"/>
    <w:rsid w:val="00BB7B69"/>
    <w:rsid w:val="00BC03C8"/>
    <w:rsid w:val="00BC04AC"/>
    <w:rsid w:val="00BC0E84"/>
    <w:rsid w:val="00BC1C44"/>
    <w:rsid w:val="00BC1D46"/>
    <w:rsid w:val="00BC2120"/>
    <w:rsid w:val="00BC23B7"/>
    <w:rsid w:val="00BC2599"/>
    <w:rsid w:val="00BC2A24"/>
    <w:rsid w:val="00BC360E"/>
    <w:rsid w:val="00BC385C"/>
    <w:rsid w:val="00BC420C"/>
    <w:rsid w:val="00BC466F"/>
    <w:rsid w:val="00BC4D34"/>
    <w:rsid w:val="00BC51E1"/>
    <w:rsid w:val="00BC555C"/>
    <w:rsid w:val="00BC55BD"/>
    <w:rsid w:val="00BC5727"/>
    <w:rsid w:val="00BC579C"/>
    <w:rsid w:val="00BC57C4"/>
    <w:rsid w:val="00BC58BC"/>
    <w:rsid w:val="00BC66BC"/>
    <w:rsid w:val="00BC6B5F"/>
    <w:rsid w:val="00BC6B6B"/>
    <w:rsid w:val="00BC7429"/>
    <w:rsid w:val="00BC765D"/>
    <w:rsid w:val="00BC7C24"/>
    <w:rsid w:val="00BC7C3A"/>
    <w:rsid w:val="00BD069A"/>
    <w:rsid w:val="00BD0F88"/>
    <w:rsid w:val="00BD153C"/>
    <w:rsid w:val="00BD159D"/>
    <w:rsid w:val="00BD1642"/>
    <w:rsid w:val="00BD1E91"/>
    <w:rsid w:val="00BD2344"/>
    <w:rsid w:val="00BD24F0"/>
    <w:rsid w:val="00BD31BB"/>
    <w:rsid w:val="00BD3B2A"/>
    <w:rsid w:val="00BD46B2"/>
    <w:rsid w:val="00BD475C"/>
    <w:rsid w:val="00BD47C5"/>
    <w:rsid w:val="00BD4928"/>
    <w:rsid w:val="00BD4C53"/>
    <w:rsid w:val="00BD4D44"/>
    <w:rsid w:val="00BD5A76"/>
    <w:rsid w:val="00BD5B99"/>
    <w:rsid w:val="00BD5EC5"/>
    <w:rsid w:val="00BD5FAD"/>
    <w:rsid w:val="00BD60AB"/>
    <w:rsid w:val="00BD67C7"/>
    <w:rsid w:val="00BD6895"/>
    <w:rsid w:val="00BD6CAE"/>
    <w:rsid w:val="00BD70A5"/>
    <w:rsid w:val="00BD70F7"/>
    <w:rsid w:val="00BD7159"/>
    <w:rsid w:val="00BD77F5"/>
    <w:rsid w:val="00BD7E9D"/>
    <w:rsid w:val="00BD7ED6"/>
    <w:rsid w:val="00BD7F3F"/>
    <w:rsid w:val="00BE033C"/>
    <w:rsid w:val="00BE0AB1"/>
    <w:rsid w:val="00BE1042"/>
    <w:rsid w:val="00BE1295"/>
    <w:rsid w:val="00BE1DA3"/>
    <w:rsid w:val="00BE1DDF"/>
    <w:rsid w:val="00BE21A3"/>
    <w:rsid w:val="00BE2331"/>
    <w:rsid w:val="00BE25C9"/>
    <w:rsid w:val="00BE264D"/>
    <w:rsid w:val="00BE2779"/>
    <w:rsid w:val="00BE3663"/>
    <w:rsid w:val="00BE3A06"/>
    <w:rsid w:val="00BE3ACC"/>
    <w:rsid w:val="00BE3F70"/>
    <w:rsid w:val="00BE44E0"/>
    <w:rsid w:val="00BE4924"/>
    <w:rsid w:val="00BE4BC4"/>
    <w:rsid w:val="00BE4FF6"/>
    <w:rsid w:val="00BE5024"/>
    <w:rsid w:val="00BE54B4"/>
    <w:rsid w:val="00BE55CB"/>
    <w:rsid w:val="00BE568E"/>
    <w:rsid w:val="00BE58CF"/>
    <w:rsid w:val="00BE59B4"/>
    <w:rsid w:val="00BE6117"/>
    <w:rsid w:val="00BE67D1"/>
    <w:rsid w:val="00BE68AE"/>
    <w:rsid w:val="00BE68DE"/>
    <w:rsid w:val="00BE6AB6"/>
    <w:rsid w:val="00BE7242"/>
    <w:rsid w:val="00BE73C5"/>
    <w:rsid w:val="00BE7555"/>
    <w:rsid w:val="00BE75C3"/>
    <w:rsid w:val="00BE7B2D"/>
    <w:rsid w:val="00BE7EAE"/>
    <w:rsid w:val="00BF0002"/>
    <w:rsid w:val="00BF02BC"/>
    <w:rsid w:val="00BF061D"/>
    <w:rsid w:val="00BF08CB"/>
    <w:rsid w:val="00BF0D6D"/>
    <w:rsid w:val="00BF10BB"/>
    <w:rsid w:val="00BF1ACB"/>
    <w:rsid w:val="00BF221C"/>
    <w:rsid w:val="00BF25C5"/>
    <w:rsid w:val="00BF29CF"/>
    <w:rsid w:val="00BF3B43"/>
    <w:rsid w:val="00BF4364"/>
    <w:rsid w:val="00BF46AE"/>
    <w:rsid w:val="00BF46CC"/>
    <w:rsid w:val="00BF4BB8"/>
    <w:rsid w:val="00BF5025"/>
    <w:rsid w:val="00BF5106"/>
    <w:rsid w:val="00BF521A"/>
    <w:rsid w:val="00BF54A9"/>
    <w:rsid w:val="00BF5524"/>
    <w:rsid w:val="00BF5984"/>
    <w:rsid w:val="00BF5EAE"/>
    <w:rsid w:val="00BF61A8"/>
    <w:rsid w:val="00BF62AB"/>
    <w:rsid w:val="00BF6769"/>
    <w:rsid w:val="00BF700C"/>
    <w:rsid w:val="00BF7140"/>
    <w:rsid w:val="00BF7400"/>
    <w:rsid w:val="00BF77FF"/>
    <w:rsid w:val="00BF7B14"/>
    <w:rsid w:val="00C00375"/>
    <w:rsid w:val="00C00A2A"/>
    <w:rsid w:val="00C00B6A"/>
    <w:rsid w:val="00C00EB1"/>
    <w:rsid w:val="00C013B9"/>
    <w:rsid w:val="00C013F0"/>
    <w:rsid w:val="00C01546"/>
    <w:rsid w:val="00C020CD"/>
    <w:rsid w:val="00C020F1"/>
    <w:rsid w:val="00C02B0B"/>
    <w:rsid w:val="00C02EBA"/>
    <w:rsid w:val="00C03164"/>
    <w:rsid w:val="00C037DC"/>
    <w:rsid w:val="00C038FE"/>
    <w:rsid w:val="00C042F1"/>
    <w:rsid w:val="00C04408"/>
    <w:rsid w:val="00C0448C"/>
    <w:rsid w:val="00C04A3D"/>
    <w:rsid w:val="00C054CF"/>
    <w:rsid w:val="00C05BD0"/>
    <w:rsid w:val="00C05C40"/>
    <w:rsid w:val="00C05D4F"/>
    <w:rsid w:val="00C05E8D"/>
    <w:rsid w:val="00C06A6E"/>
    <w:rsid w:val="00C06AE4"/>
    <w:rsid w:val="00C06DE9"/>
    <w:rsid w:val="00C06E2B"/>
    <w:rsid w:val="00C070DE"/>
    <w:rsid w:val="00C07E19"/>
    <w:rsid w:val="00C10925"/>
    <w:rsid w:val="00C10DB5"/>
    <w:rsid w:val="00C1101C"/>
    <w:rsid w:val="00C11186"/>
    <w:rsid w:val="00C11747"/>
    <w:rsid w:val="00C12057"/>
    <w:rsid w:val="00C121B1"/>
    <w:rsid w:val="00C12382"/>
    <w:rsid w:val="00C12594"/>
    <w:rsid w:val="00C12A13"/>
    <w:rsid w:val="00C12E3A"/>
    <w:rsid w:val="00C13202"/>
    <w:rsid w:val="00C13430"/>
    <w:rsid w:val="00C136F3"/>
    <w:rsid w:val="00C1400D"/>
    <w:rsid w:val="00C141AE"/>
    <w:rsid w:val="00C145A4"/>
    <w:rsid w:val="00C14B88"/>
    <w:rsid w:val="00C14F72"/>
    <w:rsid w:val="00C154C0"/>
    <w:rsid w:val="00C15837"/>
    <w:rsid w:val="00C1592E"/>
    <w:rsid w:val="00C1595C"/>
    <w:rsid w:val="00C15DE0"/>
    <w:rsid w:val="00C16173"/>
    <w:rsid w:val="00C172AB"/>
    <w:rsid w:val="00C17F74"/>
    <w:rsid w:val="00C207EC"/>
    <w:rsid w:val="00C20B76"/>
    <w:rsid w:val="00C20E86"/>
    <w:rsid w:val="00C21B45"/>
    <w:rsid w:val="00C21C92"/>
    <w:rsid w:val="00C21F83"/>
    <w:rsid w:val="00C22018"/>
    <w:rsid w:val="00C224E5"/>
    <w:rsid w:val="00C22749"/>
    <w:rsid w:val="00C23041"/>
    <w:rsid w:val="00C23114"/>
    <w:rsid w:val="00C23132"/>
    <w:rsid w:val="00C238A3"/>
    <w:rsid w:val="00C23B75"/>
    <w:rsid w:val="00C248AF"/>
    <w:rsid w:val="00C25451"/>
    <w:rsid w:val="00C25825"/>
    <w:rsid w:val="00C2584B"/>
    <w:rsid w:val="00C2585D"/>
    <w:rsid w:val="00C25A0C"/>
    <w:rsid w:val="00C25A37"/>
    <w:rsid w:val="00C25BE5"/>
    <w:rsid w:val="00C2612D"/>
    <w:rsid w:val="00C26846"/>
    <w:rsid w:val="00C26A28"/>
    <w:rsid w:val="00C26A4B"/>
    <w:rsid w:val="00C27146"/>
    <w:rsid w:val="00C27713"/>
    <w:rsid w:val="00C278C2"/>
    <w:rsid w:val="00C279A0"/>
    <w:rsid w:val="00C30946"/>
    <w:rsid w:val="00C30C5B"/>
    <w:rsid w:val="00C31445"/>
    <w:rsid w:val="00C31B68"/>
    <w:rsid w:val="00C31C73"/>
    <w:rsid w:val="00C32416"/>
    <w:rsid w:val="00C329A6"/>
    <w:rsid w:val="00C32B19"/>
    <w:rsid w:val="00C32ECF"/>
    <w:rsid w:val="00C3334A"/>
    <w:rsid w:val="00C33356"/>
    <w:rsid w:val="00C338DF"/>
    <w:rsid w:val="00C33F30"/>
    <w:rsid w:val="00C340CC"/>
    <w:rsid w:val="00C340EC"/>
    <w:rsid w:val="00C341CC"/>
    <w:rsid w:val="00C34288"/>
    <w:rsid w:val="00C34453"/>
    <w:rsid w:val="00C347E2"/>
    <w:rsid w:val="00C34803"/>
    <w:rsid w:val="00C349DA"/>
    <w:rsid w:val="00C34EE0"/>
    <w:rsid w:val="00C352BE"/>
    <w:rsid w:val="00C35365"/>
    <w:rsid w:val="00C35430"/>
    <w:rsid w:val="00C35560"/>
    <w:rsid w:val="00C35A50"/>
    <w:rsid w:val="00C35E9D"/>
    <w:rsid w:val="00C369D4"/>
    <w:rsid w:val="00C36AF7"/>
    <w:rsid w:val="00C37193"/>
    <w:rsid w:val="00C3726B"/>
    <w:rsid w:val="00C376F2"/>
    <w:rsid w:val="00C379AE"/>
    <w:rsid w:val="00C4067A"/>
    <w:rsid w:val="00C40792"/>
    <w:rsid w:val="00C40820"/>
    <w:rsid w:val="00C40FA8"/>
    <w:rsid w:val="00C414D9"/>
    <w:rsid w:val="00C416C7"/>
    <w:rsid w:val="00C41DDB"/>
    <w:rsid w:val="00C4205F"/>
    <w:rsid w:val="00C424FF"/>
    <w:rsid w:val="00C425F7"/>
    <w:rsid w:val="00C42999"/>
    <w:rsid w:val="00C43429"/>
    <w:rsid w:val="00C4352E"/>
    <w:rsid w:val="00C435D1"/>
    <w:rsid w:val="00C4371F"/>
    <w:rsid w:val="00C43D06"/>
    <w:rsid w:val="00C43D2F"/>
    <w:rsid w:val="00C440F5"/>
    <w:rsid w:val="00C4412E"/>
    <w:rsid w:val="00C446BB"/>
    <w:rsid w:val="00C44D77"/>
    <w:rsid w:val="00C4519F"/>
    <w:rsid w:val="00C45997"/>
    <w:rsid w:val="00C45EDB"/>
    <w:rsid w:val="00C46815"/>
    <w:rsid w:val="00C468D7"/>
    <w:rsid w:val="00C46A16"/>
    <w:rsid w:val="00C472EA"/>
    <w:rsid w:val="00C47B5E"/>
    <w:rsid w:val="00C47BAC"/>
    <w:rsid w:val="00C47FF7"/>
    <w:rsid w:val="00C50140"/>
    <w:rsid w:val="00C5017B"/>
    <w:rsid w:val="00C501CF"/>
    <w:rsid w:val="00C507CA"/>
    <w:rsid w:val="00C50F98"/>
    <w:rsid w:val="00C51B80"/>
    <w:rsid w:val="00C51DD9"/>
    <w:rsid w:val="00C5213E"/>
    <w:rsid w:val="00C52695"/>
    <w:rsid w:val="00C526A9"/>
    <w:rsid w:val="00C527E1"/>
    <w:rsid w:val="00C52898"/>
    <w:rsid w:val="00C529DE"/>
    <w:rsid w:val="00C52A83"/>
    <w:rsid w:val="00C53521"/>
    <w:rsid w:val="00C53733"/>
    <w:rsid w:val="00C53AD2"/>
    <w:rsid w:val="00C53FC2"/>
    <w:rsid w:val="00C543CB"/>
    <w:rsid w:val="00C54C57"/>
    <w:rsid w:val="00C555DA"/>
    <w:rsid w:val="00C56928"/>
    <w:rsid w:val="00C5694B"/>
    <w:rsid w:val="00C56BCE"/>
    <w:rsid w:val="00C56FE5"/>
    <w:rsid w:val="00C572B4"/>
    <w:rsid w:val="00C57369"/>
    <w:rsid w:val="00C575A1"/>
    <w:rsid w:val="00C578F5"/>
    <w:rsid w:val="00C57905"/>
    <w:rsid w:val="00C57930"/>
    <w:rsid w:val="00C60531"/>
    <w:rsid w:val="00C6055D"/>
    <w:rsid w:val="00C61020"/>
    <w:rsid w:val="00C61043"/>
    <w:rsid w:val="00C610C7"/>
    <w:rsid w:val="00C6169C"/>
    <w:rsid w:val="00C617FF"/>
    <w:rsid w:val="00C61D3C"/>
    <w:rsid w:val="00C622E7"/>
    <w:rsid w:val="00C62C1A"/>
    <w:rsid w:val="00C62F7D"/>
    <w:rsid w:val="00C62FD1"/>
    <w:rsid w:val="00C637B5"/>
    <w:rsid w:val="00C6383F"/>
    <w:rsid w:val="00C63C1F"/>
    <w:rsid w:val="00C643A6"/>
    <w:rsid w:val="00C64685"/>
    <w:rsid w:val="00C64B06"/>
    <w:rsid w:val="00C64F3B"/>
    <w:rsid w:val="00C65019"/>
    <w:rsid w:val="00C650AD"/>
    <w:rsid w:val="00C65333"/>
    <w:rsid w:val="00C6552A"/>
    <w:rsid w:val="00C65A58"/>
    <w:rsid w:val="00C65A9E"/>
    <w:rsid w:val="00C65F2D"/>
    <w:rsid w:val="00C65FC3"/>
    <w:rsid w:val="00C6635A"/>
    <w:rsid w:val="00C663EE"/>
    <w:rsid w:val="00C66671"/>
    <w:rsid w:val="00C666D2"/>
    <w:rsid w:val="00C66CF5"/>
    <w:rsid w:val="00C67557"/>
    <w:rsid w:val="00C67643"/>
    <w:rsid w:val="00C67682"/>
    <w:rsid w:val="00C676E0"/>
    <w:rsid w:val="00C678EA"/>
    <w:rsid w:val="00C67B1A"/>
    <w:rsid w:val="00C67C4C"/>
    <w:rsid w:val="00C705CD"/>
    <w:rsid w:val="00C70F1A"/>
    <w:rsid w:val="00C7106C"/>
    <w:rsid w:val="00C713AD"/>
    <w:rsid w:val="00C719E8"/>
    <w:rsid w:val="00C71E86"/>
    <w:rsid w:val="00C72141"/>
    <w:rsid w:val="00C7226C"/>
    <w:rsid w:val="00C72724"/>
    <w:rsid w:val="00C7292D"/>
    <w:rsid w:val="00C7310C"/>
    <w:rsid w:val="00C734E1"/>
    <w:rsid w:val="00C73A0B"/>
    <w:rsid w:val="00C73AD2"/>
    <w:rsid w:val="00C73BCE"/>
    <w:rsid w:val="00C73CD1"/>
    <w:rsid w:val="00C73E23"/>
    <w:rsid w:val="00C73F32"/>
    <w:rsid w:val="00C7408D"/>
    <w:rsid w:val="00C7422D"/>
    <w:rsid w:val="00C742A2"/>
    <w:rsid w:val="00C745A3"/>
    <w:rsid w:val="00C74B88"/>
    <w:rsid w:val="00C7505A"/>
    <w:rsid w:val="00C75236"/>
    <w:rsid w:val="00C75483"/>
    <w:rsid w:val="00C755D8"/>
    <w:rsid w:val="00C75C15"/>
    <w:rsid w:val="00C75D53"/>
    <w:rsid w:val="00C75F51"/>
    <w:rsid w:val="00C76C09"/>
    <w:rsid w:val="00C76EC3"/>
    <w:rsid w:val="00C7773F"/>
    <w:rsid w:val="00C77A4F"/>
    <w:rsid w:val="00C77D41"/>
    <w:rsid w:val="00C77EFA"/>
    <w:rsid w:val="00C8032A"/>
    <w:rsid w:val="00C80FF8"/>
    <w:rsid w:val="00C80FFF"/>
    <w:rsid w:val="00C8118E"/>
    <w:rsid w:val="00C81578"/>
    <w:rsid w:val="00C81982"/>
    <w:rsid w:val="00C81AB2"/>
    <w:rsid w:val="00C81E8B"/>
    <w:rsid w:val="00C81F2C"/>
    <w:rsid w:val="00C821D5"/>
    <w:rsid w:val="00C82368"/>
    <w:rsid w:val="00C82548"/>
    <w:rsid w:val="00C828DE"/>
    <w:rsid w:val="00C83199"/>
    <w:rsid w:val="00C8334A"/>
    <w:rsid w:val="00C8398B"/>
    <w:rsid w:val="00C83A40"/>
    <w:rsid w:val="00C83EF0"/>
    <w:rsid w:val="00C841F2"/>
    <w:rsid w:val="00C84483"/>
    <w:rsid w:val="00C84C39"/>
    <w:rsid w:val="00C84DA1"/>
    <w:rsid w:val="00C84FBC"/>
    <w:rsid w:val="00C8511C"/>
    <w:rsid w:val="00C85A21"/>
    <w:rsid w:val="00C85C15"/>
    <w:rsid w:val="00C85DF0"/>
    <w:rsid w:val="00C861D1"/>
    <w:rsid w:val="00C864C9"/>
    <w:rsid w:val="00C866BB"/>
    <w:rsid w:val="00C86864"/>
    <w:rsid w:val="00C86902"/>
    <w:rsid w:val="00C86B6E"/>
    <w:rsid w:val="00C8763C"/>
    <w:rsid w:val="00C87F64"/>
    <w:rsid w:val="00C87F80"/>
    <w:rsid w:val="00C90B25"/>
    <w:rsid w:val="00C90BDD"/>
    <w:rsid w:val="00C90FF9"/>
    <w:rsid w:val="00C91178"/>
    <w:rsid w:val="00C9185A"/>
    <w:rsid w:val="00C91DF8"/>
    <w:rsid w:val="00C9207A"/>
    <w:rsid w:val="00C92187"/>
    <w:rsid w:val="00C927AB"/>
    <w:rsid w:val="00C92F22"/>
    <w:rsid w:val="00C92FB0"/>
    <w:rsid w:val="00C935C3"/>
    <w:rsid w:val="00C93A7E"/>
    <w:rsid w:val="00C93A8A"/>
    <w:rsid w:val="00C93EF9"/>
    <w:rsid w:val="00C94911"/>
    <w:rsid w:val="00C94972"/>
    <w:rsid w:val="00C94E7E"/>
    <w:rsid w:val="00C95041"/>
    <w:rsid w:val="00C950ED"/>
    <w:rsid w:val="00C95132"/>
    <w:rsid w:val="00C95D88"/>
    <w:rsid w:val="00C95FAD"/>
    <w:rsid w:val="00C96029"/>
    <w:rsid w:val="00C96740"/>
    <w:rsid w:val="00C969B2"/>
    <w:rsid w:val="00C96AA3"/>
    <w:rsid w:val="00C96CBC"/>
    <w:rsid w:val="00C96E39"/>
    <w:rsid w:val="00C971C1"/>
    <w:rsid w:val="00C97535"/>
    <w:rsid w:val="00C977D9"/>
    <w:rsid w:val="00C97F93"/>
    <w:rsid w:val="00CA00EB"/>
    <w:rsid w:val="00CA02F3"/>
    <w:rsid w:val="00CA03C0"/>
    <w:rsid w:val="00CA0861"/>
    <w:rsid w:val="00CA0987"/>
    <w:rsid w:val="00CA10D5"/>
    <w:rsid w:val="00CA1703"/>
    <w:rsid w:val="00CA1748"/>
    <w:rsid w:val="00CA1A16"/>
    <w:rsid w:val="00CA234C"/>
    <w:rsid w:val="00CA2469"/>
    <w:rsid w:val="00CA25CF"/>
    <w:rsid w:val="00CA2747"/>
    <w:rsid w:val="00CA2AB1"/>
    <w:rsid w:val="00CA2D57"/>
    <w:rsid w:val="00CA2F2A"/>
    <w:rsid w:val="00CA2F4D"/>
    <w:rsid w:val="00CA3140"/>
    <w:rsid w:val="00CA3A63"/>
    <w:rsid w:val="00CA3B50"/>
    <w:rsid w:val="00CA4206"/>
    <w:rsid w:val="00CA4453"/>
    <w:rsid w:val="00CA4C0E"/>
    <w:rsid w:val="00CA4D0C"/>
    <w:rsid w:val="00CA53BD"/>
    <w:rsid w:val="00CA59EF"/>
    <w:rsid w:val="00CA6067"/>
    <w:rsid w:val="00CA64BF"/>
    <w:rsid w:val="00CA769A"/>
    <w:rsid w:val="00CA7B85"/>
    <w:rsid w:val="00CA7C6C"/>
    <w:rsid w:val="00CB0296"/>
    <w:rsid w:val="00CB07D6"/>
    <w:rsid w:val="00CB0CF4"/>
    <w:rsid w:val="00CB11D0"/>
    <w:rsid w:val="00CB1A01"/>
    <w:rsid w:val="00CB1B1B"/>
    <w:rsid w:val="00CB220C"/>
    <w:rsid w:val="00CB244F"/>
    <w:rsid w:val="00CB2464"/>
    <w:rsid w:val="00CB2540"/>
    <w:rsid w:val="00CB2683"/>
    <w:rsid w:val="00CB2E49"/>
    <w:rsid w:val="00CB30B3"/>
    <w:rsid w:val="00CB31A3"/>
    <w:rsid w:val="00CB327A"/>
    <w:rsid w:val="00CB34EF"/>
    <w:rsid w:val="00CB3984"/>
    <w:rsid w:val="00CB3ED2"/>
    <w:rsid w:val="00CB413A"/>
    <w:rsid w:val="00CB484D"/>
    <w:rsid w:val="00CB49E2"/>
    <w:rsid w:val="00CB534B"/>
    <w:rsid w:val="00CB5608"/>
    <w:rsid w:val="00CB59C6"/>
    <w:rsid w:val="00CB5B46"/>
    <w:rsid w:val="00CB61D3"/>
    <w:rsid w:val="00CB62DA"/>
    <w:rsid w:val="00CB6553"/>
    <w:rsid w:val="00CB6A16"/>
    <w:rsid w:val="00CB6E18"/>
    <w:rsid w:val="00CB6FC3"/>
    <w:rsid w:val="00CB7123"/>
    <w:rsid w:val="00CC02BF"/>
    <w:rsid w:val="00CC0349"/>
    <w:rsid w:val="00CC0418"/>
    <w:rsid w:val="00CC052C"/>
    <w:rsid w:val="00CC08D2"/>
    <w:rsid w:val="00CC12B3"/>
    <w:rsid w:val="00CC141A"/>
    <w:rsid w:val="00CC14FC"/>
    <w:rsid w:val="00CC1BB0"/>
    <w:rsid w:val="00CC1BFE"/>
    <w:rsid w:val="00CC2B66"/>
    <w:rsid w:val="00CC3227"/>
    <w:rsid w:val="00CC37E7"/>
    <w:rsid w:val="00CC3896"/>
    <w:rsid w:val="00CC3F7A"/>
    <w:rsid w:val="00CC43CA"/>
    <w:rsid w:val="00CC493B"/>
    <w:rsid w:val="00CC49A5"/>
    <w:rsid w:val="00CC4E9A"/>
    <w:rsid w:val="00CC5823"/>
    <w:rsid w:val="00CC5FEF"/>
    <w:rsid w:val="00CC645C"/>
    <w:rsid w:val="00CC66E5"/>
    <w:rsid w:val="00CC6AB0"/>
    <w:rsid w:val="00CC7969"/>
    <w:rsid w:val="00CC7BDD"/>
    <w:rsid w:val="00CD018D"/>
    <w:rsid w:val="00CD0329"/>
    <w:rsid w:val="00CD0F91"/>
    <w:rsid w:val="00CD1025"/>
    <w:rsid w:val="00CD10B3"/>
    <w:rsid w:val="00CD10BB"/>
    <w:rsid w:val="00CD126E"/>
    <w:rsid w:val="00CD1A91"/>
    <w:rsid w:val="00CD1B90"/>
    <w:rsid w:val="00CD265A"/>
    <w:rsid w:val="00CD2AEC"/>
    <w:rsid w:val="00CD2AFD"/>
    <w:rsid w:val="00CD3DFE"/>
    <w:rsid w:val="00CD3E9E"/>
    <w:rsid w:val="00CD4295"/>
    <w:rsid w:val="00CD4546"/>
    <w:rsid w:val="00CD4915"/>
    <w:rsid w:val="00CD4A0C"/>
    <w:rsid w:val="00CD4FFF"/>
    <w:rsid w:val="00CD5111"/>
    <w:rsid w:val="00CD53A1"/>
    <w:rsid w:val="00CD5472"/>
    <w:rsid w:val="00CD59F8"/>
    <w:rsid w:val="00CD5C1D"/>
    <w:rsid w:val="00CD62B9"/>
    <w:rsid w:val="00CD67C9"/>
    <w:rsid w:val="00CD6AB0"/>
    <w:rsid w:val="00CD6C79"/>
    <w:rsid w:val="00CD7923"/>
    <w:rsid w:val="00CD7FB2"/>
    <w:rsid w:val="00CD7FDD"/>
    <w:rsid w:val="00CD7FEC"/>
    <w:rsid w:val="00CE0604"/>
    <w:rsid w:val="00CE0B7E"/>
    <w:rsid w:val="00CE1A90"/>
    <w:rsid w:val="00CE2274"/>
    <w:rsid w:val="00CE27DD"/>
    <w:rsid w:val="00CE3050"/>
    <w:rsid w:val="00CE3374"/>
    <w:rsid w:val="00CE3A8D"/>
    <w:rsid w:val="00CE3D96"/>
    <w:rsid w:val="00CE3E93"/>
    <w:rsid w:val="00CE427D"/>
    <w:rsid w:val="00CE4710"/>
    <w:rsid w:val="00CE472F"/>
    <w:rsid w:val="00CE48F7"/>
    <w:rsid w:val="00CE49F6"/>
    <w:rsid w:val="00CE4EEA"/>
    <w:rsid w:val="00CE5268"/>
    <w:rsid w:val="00CE55AA"/>
    <w:rsid w:val="00CE5733"/>
    <w:rsid w:val="00CE57C4"/>
    <w:rsid w:val="00CE5890"/>
    <w:rsid w:val="00CE5931"/>
    <w:rsid w:val="00CE5AD6"/>
    <w:rsid w:val="00CE5F2E"/>
    <w:rsid w:val="00CE6722"/>
    <w:rsid w:val="00CE6C67"/>
    <w:rsid w:val="00CE71DF"/>
    <w:rsid w:val="00CE7B30"/>
    <w:rsid w:val="00CE7B57"/>
    <w:rsid w:val="00CF018F"/>
    <w:rsid w:val="00CF0A02"/>
    <w:rsid w:val="00CF0B3E"/>
    <w:rsid w:val="00CF0E8F"/>
    <w:rsid w:val="00CF1299"/>
    <w:rsid w:val="00CF1D60"/>
    <w:rsid w:val="00CF1E68"/>
    <w:rsid w:val="00CF1EC1"/>
    <w:rsid w:val="00CF1FDD"/>
    <w:rsid w:val="00CF2098"/>
    <w:rsid w:val="00CF2864"/>
    <w:rsid w:val="00CF2DFB"/>
    <w:rsid w:val="00CF40C6"/>
    <w:rsid w:val="00CF4AC5"/>
    <w:rsid w:val="00CF5328"/>
    <w:rsid w:val="00CF53CD"/>
    <w:rsid w:val="00CF58DC"/>
    <w:rsid w:val="00CF5FE5"/>
    <w:rsid w:val="00CF6C60"/>
    <w:rsid w:val="00CF71EE"/>
    <w:rsid w:val="00CF74C1"/>
    <w:rsid w:val="00CF77A6"/>
    <w:rsid w:val="00CF7DC9"/>
    <w:rsid w:val="00D0077B"/>
    <w:rsid w:val="00D00857"/>
    <w:rsid w:val="00D014F9"/>
    <w:rsid w:val="00D01578"/>
    <w:rsid w:val="00D01661"/>
    <w:rsid w:val="00D016C0"/>
    <w:rsid w:val="00D01AB7"/>
    <w:rsid w:val="00D01B3F"/>
    <w:rsid w:val="00D01DBE"/>
    <w:rsid w:val="00D02484"/>
    <w:rsid w:val="00D027BB"/>
    <w:rsid w:val="00D02BF4"/>
    <w:rsid w:val="00D02EC0"/>
    <w:rsid w:val="00D03127"/>
    <w:rsid w:val="00D0367B"/>
    <w:rsid w:val="00D03AEE"/>
    <w:rsid w:val="00D03BD3"/>
    <w:rsid w:val="00D04178"/>
    <w:rsid w:val="00D041F7"/>
    <w:rsid w:val="00D04B1E"/>
    <w:rsid w:val="00D056D4"/>
    <w:rsid w:val="00D06063"/>
    <w:rsid w:val="00D06324"/>
    <w:rsid w:val="00D06570"/>
    <w:rsid w:val="00D06839"/>
    <w:rsid w:val="00D06C5C"/>
    <w:rsid w:val="00D06E80"/>
    <w:rsid w:val="00D071ED"/>
    <w:rsid w:val="00D07A35"/>
    <w:rsid w:val="00D07FF6"/>
    <w:rsid w:val="00D1009C"/>
    <w:rsid w:val="00D1012D"/>
    <w:rsid w:val="00D10513"/>
    <w:rsid w:val="00D10E04"/>
    <w:rsid w:val="00D10F96"/>
    <w:rsid w:val="00D1114D"/>
    <w:rsid w:val="00D1198E"/>
    <w:rsid w:val="00D119BA"/>
    <w:rsid w:val="00D119E2"/>
    <w:rsid w:val="00D11EE7"/>
    <w:rsid w:val="00D125F1"/>
    <w:rsid w:val="00D1281F"/>
    <w:rsid w:val="00D12BAD"/>
    <w:rsid w:val="00D12E59"/>
    <w:rsid w:val="00D12F05"/>
    <w:rsid w:val="00D12F11"/>
    <w:rsid w:val="00D13219"/>
    <w:rsid w:val="00D13307"/>
    <w:rsid w:val="00D14330"/>
    <w:rsid w:val="00D14676"/>
    <w:rsid w:val="00D14EB6"/>
    <w:rsid w:val="00D150CC"/>
    <w:rsid w:val="00D15417"/>
    <w:rsid w:val="00D1570D"/>
    <w:rsid w:val="00D15D3B"/>
    <w:rsid w:val="00D161E3"/>
    <w:rsid w:val="00D163A5"/>
    <w:rsid w:val="00D165FA"/>
    <w:rsid w:val="00D16FAE"/>
    <w:rsid w:val="00D176BA"/>
    <w:rsid w:val="00D17BE1"/>
    <w:rsid w:val="00D17D82"/>
    <w:rsid w:val="00D17FE6"/>
    <w:rsid w:val="00D20319"/>
    <w:rsid w:val="00D20604"/>
    <w:rsid w:val="00D20624"/>
    <w:rsid w:val="00D206A5"/>
    <w:rsid w:val="00D206B5"/>
    <w:rsid w:val="00D2073C"/>
    <w:rsid w:val="00D2074E"/>
    <w:rsid w:val="00D20AF3"/>
    <w:rsid w:val="00D20FEB"/>
    <w:rsid w:val="00D21063"/>
    <w:rsid w:val="00D21101"/>
    <w:rsid w:val="00D21166"/>
    <w:rsid w:val="00D2197A"/>
    <w:rsid w:val="00D21B98"/>
    <w:rsid w:val="00D21FA1"/>
    <w:rsid w:val="00D22235"/>
    <w:rsid w:val="00D222C7"/>
    <w:rsid w:val="00D222F3"/>
    <w:rsid w:val="00D225F6"/>
    <w:rsid w:val="00D22B73"/>
    <w:rsid w:val="00D22C95"/>
    <w:rsid w:val="00D22EC1"/>
    <w:rsid w:val="00D22F05"/>
    <w:rsid w:val="00D231D1"/>
    <w:rsid w:val="00D23DFE"/>
    <w:rsid w:val="00D23ED4"/>
    <w:rsid w:val="00D23F9E"/>
    <w:rsid w:val="00D24313"/>
    <w:rsid w:val="00D248F2"/>
    <w:rsid w:val="00D24CA2"/>
    <w:rsid w:val="00D24FAB"/>
    <w:rsid w:val="00D2528E"/>
    <w:rsid w:val="00D252C5"/>
    <w:rsid w:val="00D25CD6"/>
    <w:rsid w:val="00D266DF"/>
    <w:rsid w:val="00D26DD0"/>
    <w:rsid w:val="00D26E65"/>
    <w:rsid w:val="00D26FE5"/>
    <w:rsid w:val="00D27ABF"/>
    <w:rsid w:val="00D27E37"/>
    <w:rsid w:val="00D303D4"/>
    <w:rsid w:val="00D303E6"/>
    <w:rsid w:val="00D30870"/>
    <w:rsid w:val="00D30B3A"/>
    <w:rsid w:val="00D30C16"/>
    <w:rsid w:val="00D31774"/>
    <w:rsid w:val="00D31EAA"/>
    <w:rsid w:val="00D321B7"/>
    <w:rsid w:val="00D326D1"/>
    <w:rsid w:val="00D32EE9"/>
    <w:rsid w:val="00D32F9A"/>
    <w:rsid w:val="00D3322F"/>
    <w:rsid w:val="00D335F4"/>
    <w:rsid w:val="00D33850"/>
    <w:rsid w:val="00D33B86"/>
    <w:rsid w:val="00D33CE5"/>
    <w:rsid w:val="00D33D81"/>
    <w:rsid w:val="00D348E6"/>
    <w:rsid w:val="00D349C2"/>
    <w:rsid w:val="00D34EF3"/>
    <w:rsid w:val="00D352AE"/>
    <w:rsid w:val="00D352D5"/>
    <w:rsid w:val="00D35DFF"/>
    <w:rsid w:val="00D35E24"/>
    <w:rsid w:val="00D36845"/>
    <w:rsid w:val="00D36CDB"/>
    <w:rsid w:val="00D36E04"/>
    <w:rsid w:val="00D375E9"/>
    <w:rsid w:val="00D37805"/>
    <w:rsid w:val="00D37BC8"/>
    <w:rsid w:val="00D37D56"/>
    <w:rsid w:val="00D37D8F"/>
    <w:rsid w:val="00D37EA1"/>
    <w:rsid w:val="00D401AA"/>
    <w:rsid w:val="00D402A5"/>
    <w:rsid w:val="00D40A04"/>
    <w:rsid w:val="00D40F45"/>
    <w:rsid w:val="00D40FE5"/>
    <w:rsid w:val="00D41105"/>
    <w:rsid w:val="00D41171"/>
    <w:rsid w:val="00D4122F"/>
    <w:rsid w:val="00D4133B"/>
    <w:rsid w:val="00D4151A"/>
    <w:rsid w:val="00D42228"/>
    <w:rsid w:val="00D424AD"/>
    <w:rsid w:val="00D42843"/>
    <w:rsid w:val="00D429FB"/>
    <w:rsid w:val="00D42D5D"/>
    <w:rsid w:val="00D436B8"/>
    <w:rsid w:val="00D438BF"/>
    <w:rsid w:val="00D43AF4"/>
    <w:rsid w:val="00D43FA5"/>
    <w:rsid w:val="00D4443E"/>
    <w:rsid w:val="00D44688"/>
    <w:rsid w:val="00D4496C"/>
    <w:rsid w:val="00D44E3C"/>
    <w:rsid w:val="00D46321"/>
    <w:rsid w:val="00D46340"/>
    <w:rsid w:val="00D464E9"/>
    <w:rsid w:val="00D46C19"/>
    <w:rsid w:val="00D476ED"/>
    <w:rsid w:val="00D5039C"/>
    <w:rsid w:val="00D50767"/>
    <w:rsid w:val="00D507C5"/>
    <w:rsid w:val="00D507DF"/>
    <w:rsid w:val="00D50D53"/>
    <w:rsid w:val="00D512F2"/>
    <w:rsid w:val="00D5150B"/>
    <w:rsid w:val="00D51677"/>
    <w:rsid w:val="00D51708"/>
    <w:rsid w:val="00D51B55"/>
    <w:rsid w:val="00D52087"/>
    <w:rsid w:val="00D529EE"/>
    <w:rsid w:val="00D52B5A"/>
    <w:rsid w:val="00D53047"/>
    <w:rsid w:val="00D539B4"/>
    <w:rsid w:val="00D5432B"/>
    <w:rsid w:val="00D54835"/>
    <w:rsid w:val="00D5486F"/>
    <w:rsid w:val="00D54E35"/>
    <w:rsid w:val="00D54EA0"/>
    <w:rsid w:val="00D55281"/>
    <w:rsid w:val="00D5549A"/>
    <w:rsid w:val="00D5563C"/>
    <w:rsid w:val="00D558AB"/>
    <w:rsid w:val="00D55904"/>
    <w:rsid w:val="00D55C2E"/>
    <w:rsid w:val="00D55F7D"/>
    <w:rsid w:val="00D563FD"/>
    <w:rsid w:val="00D56CC3"/>
    <w:rsid w:val="00D57451"/>
    <w:rsid w:val="00D575F6"/>
    <w:rsid w:val="00D5764E"/>
    <w:rsid w:val="00D5781B"/>
    <w:rsid w:val="00D57AC0"/>
    <w:rsid w:val="00D57BA6"/>
    <w:rsid w:val="00D60372"/>
    <w:rsid w:val="00D608C2"/>
    <w:rsid w:val="00D60C1E"/>
    <w:rsid w:val="00D60F1B"/>
    <w:rsid w:val="00D6133E"/>
    <w:rsid w:val="00D615B4"/>
    <w:rsid w:val="00D61F20"/>
    <w:rsid w:val="00D62509"/>
    <w:rsid w:val="00D629AC"/>
    <w:rsid w:val="00D62A41"/>
    <w:rsid w:val="00D630A8"/>
    <w:rsid w:val="00D63B8D"/>
    <w:rsid w:val="00D63C87"/>
    <w:rsid w:val="00D63D50"/>
    <w:rsid w:val="00D63D6A"/>
    <w:rsid w:val="00D64031"/>
    <w:rsid w:val="00D65317"/>
    <w:rsid w:val="00D658EB"/>
    <w:rsid w:val="00D65C02"/>
    <w:rsid w:val="00D65CDD"/>
    <w:rsid w:val="00D65DD5"/>
    <w:rsid w:val="00D65E7A"/>
    <w:rsid w:val="00D662EA"/>
    <w:rsid w:val="00D66D8A"/>
    <w:rsid w:val="00D670DB"/>
    <w:rsid w:val="00D6731C"/>
    <w:rsid w:val="00D67427"/>
    <w:rsid w:val="00D701FA"/>
    <w:rsid w:val="00D7025A"/>
    <w:rsid w:val="00D706C5"/>
    <w:rsid w:val="00D70835"/>
    <w:rsid w:val="00D7092B"/>
    <w:rsid w:val="00D70CC0"/>
    <w:rsid w:val="00D71199"/>
    <w:rsid w:val="00D716FF"/>
    <w:rsid w:val="00D7195C"/>
    <w:rsid w:val="00D719BC"/>
    <w:rsid w:val="00D71AB0"/>
    <w:rsid w:val="00D71B46"/>
    <w:rsid w:val="00D7246D"/>
    <w:rsid w:val="00D72506"/>
    <w:rsid w:val="00D72555"/>
    <w:rsid w:val="00D72777"/>
    <w:rsid w:val="00D72DC2"/>
    <w:rsid w:val="00D72E4A"/>
    <w:rsid w:val="00D730DB"/>
    <w:rsid w:val="00D737E5"/>
    <w:rsid w:val="00D73982"/>
    <w:rsid w:val="00D73FD0"/>
    <w:rsid w:val="00D745C6"/>
    <w:rsid w:val="00D74D8E"/>
    <w:rsid w:val="00D74F5C"/>
    <w:rsid w:val="00D750D5"/>
    <w:rsid w:val="00D7549E"/>
    <w:rsid w:val="00D75690"/>
    <w:rsid w:val="00D75805"/>
    <w:rsid w:val="00D75914"/>
    <w:rsid w:val="00D75A75"/>
    <w:rsid w:val="00D75CDA"/>
    <w:rsid w:val="00D75D8C"/>
    <w:rsid w:val="00D75D93"/>
    <w:rsid w:val="00D75F19"/>
    <w:rsid w:val="00D763BD"/>
    <w:rsid w:val="00D768A2"/>
    <w:rsid w:val="00D76A9C"/>
    <w:rsid w:val="00D76AE9"/>
    <w:rsid w:val="00D76B17"/>
    <w:rsid w:val="00D77140"/>
    <w:rsid w:val="00D778F1"/>
    <w:rsid w:val="00D77A69"/>
    <w:rsid w:val="00D77B71"/>
    <w:rsid w:val="00D77E1D"/>
    <w:rsid w:val="00D77ECE"/>
    <w:rsid w:val="00D803D7"/>
    <w:rsid w:val="00D80644"/>
    <w:rsid w:val="00D80A51"/>
    <w:rsid w:val="00D80ABD"/>
    <w:rsid w:val="00D80BE0"/>
    <w:rsid w:val="00D816E6"/>
    <w:rsid w:val="00D818B8"/>
    <w:rsid w:val="00D81AFF"/>
    <w:rsid w:val="00D82438"/>
    <w:rsid w:val="00D828E1"/>
    <w:rsid w:val="00D82ABD"/>
    <w:rsid w:val="00D82DCC"/>
    <w:rsid w:val="00D82EA5"/>
    <w:rsid w:val="00D83197"/>
    <w:rsid w:val="00D833D5"/>
    <w:rsid w:val="00D833E8"/>
    <w:rsid w:val="00D837F0"/>
    <w:rsid w:val="00D83C28"/>
    <w:rsid w:val="00D84DE9"/>
    <w:rsid w:val="00D857DA"/>
    <w:rsid w:val="00D85C24"/>
    <w:rsid w:val="00D85D79"/>
    <w:rsid w:val="00D86627"/>
    <w:rsid w:val="00D86E54"/>
    <w:rsid w:val="00D87627"/>
    <w:rsid w:val="00D876CD"/>
    <w:rsid w:val="00D901C6"/>
    <w:rsid w:val="00D903B6"/>
    <w:rsid w:val="00D907DE"/>
    <w:rsid w:val="00D90879"/>
    <w:rsid w:val="00D91E39"/>
    <w:rsid w:val="00D922FB"/>
    <w:rsid w:val="00D92EB1"/>
    <w:rsid w:val="00D93098"/>
    <w:rsid w:val="00D935D3"/>
    <w:rsid w:val="00D93E22"/>
    <w:rsid w:val="00D940C1"/>
    <w:rsid w:val="00D940F2"/>
    <w:rsid w:val="00D94A75"/>
    <w:rsid w:val="00D9549E"/>
    <w:rsid w:val="00D957EC"/>
    <w:rsid w:val="00D95906"/>
    <w:rsid w:val="00D95A1F"/>
    <w:rsid w:val="00D95A2C"/>
    <w:rsid w:val="00D95D51"/>
    <w:rsid w:val="00D95F6A"/>
    <w:rsid w:val="00D96231"/>
    <w:rsid w:val="00D96B69"/>
    <w:rsid w:val="00D96B85"/>
    <w:rsid w:val="00D970FA"/>
    <w:rsid w:val="00D975BF"/>
    <w:rsid w:val="00D97936"/>
    <w:rsid w:val="00D97A8F"/>
    <w:rsid w:val="00D97B81"/>
    <w:rsid w:val="00D97EC7"/>
    <w:rsid w:val="00D97F74"/>
    <w:rsid w:val="00D97F8D"/>
    <w:rsid w:val="00DA0084"/>
    <w:rsid w:val="00DA070F"/>
    <w:rsid w:val="00DA0963"/>
    <w:rsid w:val="00DA0A54"/>
    <w:rsid w:val="00DA0AEA"/>
    <w:rsid w:val="00DA0F68"/>
    <w:rsid w:val="00DA127C"/>
    <w:rsid w:val="00DA1444"/>
    <w:rsid w:val="00DA2350"/>
    <w:rsid w:val="00DA2365"/>
    <w:rsid w:val="00DA2448"/>
    <w:rsid w:val="00DA26CB"/>
    <w:rsid w:val="00DA2A3A"/>
    <w:rsid w:val="00DA3238"/>
    <w:rsid w:val="00DA364E"/>
    <w:rsid w:val="00DA3AF5"/>
    <w:rsid w:val="00DA3ED7"/>
    <w:rsid w:val="00DA4468"/>
    <w:rsid w:val="00DA4DA3"/>
    <w:rsid w:val="00DA5775"/>
    <w:rsid w:val="00DA5785"/>
    <w:rsid w:val="00DA5A63"/>
    <w:rsid w:val="00DA5EFA"/>
    <w:rsid w:val="00DA5FB5"/>
    <w:rsid w:val="00DA6478"/>
    <w:rsid w:val="00DA670D"/>
    <w:rsid w:val="00DA6767"/>
    <w:rsid w:val="00DA6840"/>
    <w:rsid w:val="00DA69CC"/>
    <w:rsid w:val="00DA6BD7"/>
    <w:rsid w:val="00DA6F76"/>
    <w:rsid w:val="00DA72FB"/>
    <w:rsid w:val="00DA7670"/>
    <w:rsid w:val="00DA76DD"/>
    <w:rsid w:val="00DA7ED1"/>
    <w:rsid w:val="00DB0617"/>
    <w:rsid w:val="00DB07B0"/>
    <w:rsid w:val="00DB09F4"/>
    <w:rsid w:val="00DB0FF9"/>
    <w:rsid w:val="00DB1399"/>
    <w:rsid w:val="00DB1DCD"/>
    <w:rsid w:val="00DB230F"/>
    <w:rsid w:val="00DB2443"/>
    <w:rsid w:val="00DB28F9"/>
    <w:rsid w:val="00DB29C8"/>
    <w:rsid w:val="00DB2C13"/>
    <w:rsid w:val="00DB33D6"/>
    <w:rsid w:val="00DB3887"/>
    <w:rsid w:val="00DB4018"/>
    <w:rsid w:val="00DB437C"/>
    <w:rsid w:val="00DB4409"/>
    <w:rsid w:val="00DB4883"/>
    <w:rsid w:val="00DB4B34"/>
    <w:rsid w:val="00DB4E1C"/>
    <w:rsid w:val="00DB4FE4"/>
    <w:rsid w:val="00DB518A"/>
    <w:rsid w:val="00DB520C"/>
    <w:rsid w:val="00DB538A"/>
    <w:rsid w:val="00DB5702"/>
    <w:rsid w:val="00DB575C"/>
    <w:rsid w:val="00DB636D"/>
    <w:rsid w:val="00DB6C32"/>
    <w:rsid w:val="00DB709A"/>
    <w:rsid w:val="00DB7663"/>
    <w:rsid w:val="00DB7FB7"/>
    <w:rsid w:val="00DC0262"/>
    <w:rsid w:val="00DC0631"/>
    <w:rsid w:val="00DC0895"/>
    <w:rsid w:val="00DC0A02"/>
    <w:rsid w:val="00DC0CFF"/>
    <w:rsid w:val="00DC173E"/>
    <w:rsid w:val="00DC1850"/>
    <w:rsid w:val="00DC1B29"/>
    <w:rsid w:val="00DC1B5F"/>
    <w:rsid w:val="00DC1E84"/>
    <w:rsid w:val="00DC23C0"/>
    <w:rsid w:val="00DC242A"/>
    <w:rsid w:val="00DC2967"/>
    <w:rsid w:val="00DC2DA1"/>
    <w:rsid w:val="00DC301B"/>
    <w:rsid w:val="00DC33B9"/>
    <w:rsid w:val="00DC3FEE"/>
    <w:rsid w:val="00DC4144"/>
    <w:rsid w:val="00DC44DB"/>
    <w:rsid w:val="00DC4C6D"/>
    <w:rsid w:val="00DC51A0"/>
    <w:rsid w:val="00DC5B59"/>
    <w:rsid w:val="00DC5FE4"/>
    <w:rsid w:val="00DC60CC"/>
    <w:rsid w:val="00DC6394"/>
    <w:rsid w:val="00DC6914"/>
    <w:rsid w:val="00DC6A7C"/>
    <w:rsid w:val="00DC6D23"/>
    <w:rsid w:val="00DC70AF"/>
    <w:rsid w:val="00DC7CBD"/>
    <w:rsid w:val="00DC7DBD"/>
    <w:rsid w:val="00DC7E1B"/>
    <w:rsid w:val="00DD01F2"/>
    <w:rsid w:val="00DD0270"/>
    <w:rsid w:val="00DD0571"/>
    <w:rsid w:val="00DD06F3"/>
    <w:rsid w:val="00DD08C8"/>
    <w:rsid w:val="00DD08FC"/>
    <w:rsid w:val="00DD0B23"/>
    <w:rsid w:val="00DD0D13"/>
    <w:rsid w:val="00DD1A3C"/>
    <w:rsid w:val="00DD1E35"/>
    <w:rsid w:val="00DD1F4F"/>
    <w:rsid w:val="00DD2019"/>
    <w:rsid w:val="00DD24D2"/>
    <w:rsid w:val="00DD2654"/>
    <w:rsid w:val="00DD27DC"/>
    <w:rsid w:val="00DD28A0"/>
    <w:rsid w:val="00DD2B4C"/>
    <w:rsid w:val="00DD3606"/>
    <w:rsid w:val="00DD36D6"/>
    <w:rsid w:val="00DD4571"/>
    <w:rsid w:val="00DD489B"/>
    <w:rsid w:val="00DD4B5F"/>
    <w:rsid w:val="00DD530B"/>
    <w:rsid w:val="00DD56BC"/>
    <w:rsid w:val="00DD5DEE"/>
    <w:rsid w:val="00DD610F"/>
    <w:rsid w:val="00DD62E6"/>
    <w:rsid w:val="00DD6DA3"/>
    <w:rsid w:val="00DD720A"/>
    <w:rsid w:val="00DE0102"/>
    <w:rsid w:val="00DE0D65"/>
    <w:rsid w:val="00DE1A0D"/>
    <w:rsid w:val="00DE1BB0"/>
    <w:rsid w:val="00DE2065"/>
    <w:rsid w:val="00DE20E9"/>
    <w:rsid w:val="00DE2ECA"/>
    <w:rsid w:val="00DE2FB9"/>
    <w:rsid w:val="00DE3BD1"/>
    <w:rsid w:val="00DE3CE0"/>
    <w:rsid w:val="00DE4471"/>
    <w:rsid w:val="00DE459E"/>
    <w:rsid w:val="00DE49BD"/>
    <w:rsid w:val="00DE50F1"/>
    <w:rsid w:val="00DE50FA"/>
    <w:rsid w:val="00DE55FF"/>
    <w:rsid w:val="00DE59D5"/>
    <w:rsid w:val="00DE6AE8"/>
    <w:rsid w:val="00DE6EBC"/>
    <w:rsid w:val="00DE73C5"/>
    <w:rsid w:val="00DE7686"/>
    <w:rsid w:val="00DE7DB4"/>
    <w:rsid w:val="00DE7E30"/>
    <w:rsid w:val="00DF0439"/>
    <w:rsid w:val="00DF04DE"/>
    <w:rsid w:val="00DF09DB"/>
    <w:rsid w:val="00DF0FBE"/>
    <w:rsid w:val="00DF1093"/>
    <w:rsid w:val="00DF19B8"/>
    <w:rsid w:val="00DF1F08"/>
    <w:rsid w:val="00DF2211"/>
    <w:rsid w:val="00DF25E6"/>
    <w:rsid w:val="00DF266F"/>
    <w:rsid w:val="00DF2798"/>
    <w:rsid w:val="00DF29C4"/>
    <w:rsid w:val="00DF31CD"/>
    <w:rsid w:val="00DF3265"/>
    <w:rsid w:val="00DF369E"/>
    <w:rsid w:val="00DF3CED"/>
    <w:rsid w:val="00DF3EB0"/>
    <w:rsid w:val="00DF41A3"/>
    <w:rsid w:val="00DF434E"/>
    <w:rsid w:val="00DF4353"/>
    <w:rsid w:val="00DF4DC1"/>
    <w:rsid w:val="00DF550F"/>
    <w:rsid w:val="00DF5579"/>
    <w:rsid w:val="00DF5606"/>
    <w:rsid w:val="00DF57BB"/>
    <w:rsid w:val="00DF58CC"/>
    <w:rsid w:val="00DF591E"/>
    <w:rsid w:val="00DF5C73"/>
    <w:rsid w:val="00DF628D"/>
    <w:rsid w:val="00DF63F9"/>
    <w:rsid w:val="00DF6586"/>
    <w:rsid w:val="00DF6FF7"/>
    <w:rsid w:val="00DF737A"/>
    <w:rsid w:val="00DF7801"/>
    <w:rsid w:val="00DF7A48"/>
    <w:rsid w:val="00DF7A5A"/>
    <w:rsid w:val="00DF7D77"/>
    <w:rsid w:val="00DF7E07"/>
    <w:rsid w:val="00E002E8"/>
    <w:rsid w:val="00E00958"/>
    <w:rsid w:val="00E010CB"/>
    <w:rsid w:val="00E016D2"/>
    <w:rsid w:val="00E01905"/>
    <w:rsid w:val="00E02230"/>
    <w:rsid w:val="00E03771"/>
    <w:rsid w:val="00E03894"/>
    <w:rsid w:val="00E03E46"/>
    <w:rsid w:val="00E0421C"/>
    <w:rsid w:val="00E04327"/>
    <w:rsid w:val="00E04896"/>
    <w:rsid w:val="00E04F20"/>
    <w:rsid w:val="00E04F2F"/>
    <w:rsid w:val="00E05197"/>
    <w:rsid w:val="00E054BC"/>
    <w:rsid w:val="00E05C79"/>
    <w:rsid w:val="00E06405"/>
    <w:rsid w:val="00E0691F"/>
    <w:rsid w:val="00E06B20"/>
    <w:rsid w:val="00E06B80"/>
    <w:rsid w:val="00E07185"/>
    <w:rsid w:val="00E07390"/>
    <w:rsid w:val="00E074D3"/>
    <w:rsid w:val="00E1043A"/>
    <w:rsid w:val="00E10697"/>
    <w:rsid w:val="00E106A2"/>
    <w:rsid w:val="00E1072C"/>
    <w:rsid w:val="00E10A67"/>
    <w:rsid w:val="00E10C31"/>
    <w:rsid w:val="00E1113B"/>
    <w:rsid w:val="00E117A9"/>
    <w:rsid w:val="00E119E2"/>
    <w:rsid w:val="00E11AA8"/>
    <w:rsid w:val="00E12043"/>
    <w:rsid w:val="00E121A7"/>
    <w:rsid w:val="00E12200"/>
    <w:rsid w:val="00E12357"/>
    <w:rsid w:val="00E1261F"/>
    <w:rsid w:val="00E12E94"/>
    <w:rsid w:val="00E1308C"/>
    <w:rsid w:val="00E1310E"/>
    <w:rsid w:val="00E1359C"/>
    <w:rsid w:val="00E13EB2"/>
    <w:rsid w:val="00E14BF4"/>
    <w:rsid w:val="00E14E45"/>
    <w:rsid w:val="00E151D2"/>
    <w:rsid w:val="00E154A8"/>
    <w:rsid w:val="00E158CD"/>
    <w:rsid w:val="00E158EB"/>
    <w:rsid w:val="00E15D78"/>
    <w:rsid w:val="00E16062"/>
    <w:rsid w:val="00E16ED5"/>
    <w:rsid w:val="00E17653"/>
    <w:rsid w:val="00E17708"/>
    <w:rsid w:val="00E17801"/>
    <w:rsid w:val="00E17B20"/>
    <w:rsid w:val="00E17B9A"/>
    <w:rsid w:val="00E17BA2"/>
    <w:rsid w:val="00E17F60"/>
    <w:rsid w:val="00E20014"/>
    <w:rsid w:val="00E20102"/>
    <w:rsid w:val="00E20319"/>
    <w:rsid w:val="00E20443"/>
    <w:rsid w:val="00E208D6"/>
    <w:rsid w:val="00E209E8"/>
    <w:rsid w:val="00E20E79"/>
    <w:rsid w:val="00E20E88"/>
    <w:rsid w:val="00E21249"/>
    <w:rsid w:val="00E215E4"/>
    <w:rsid w:val="00E21739"/>
    <w:rsid w:val="00E2195E"/>
    <w:rsid w:val="00E21C73"/>
    <w:rsid w:val="00E21D15"/>
    <w:rsid w:val="00E21FC3"/>
    <w:rsid w:val="00E227BB"/>
    <w:rsid w:val="00E227CD"/>
    <w:rsid w:val="00E22C26"/>
    <w:rsid w:val="00E22DFE"/>
    <w:rsid w:val="00E230B8"/>
    <w:rsid w:val="00E236EB"/>
    <w:rsid w:val="00E237A0"/>
    <w:rsid w:val="00E2384A"/>
    <w:rsid w:val="00E23C1C"/>
    <w:rsid w:val="00E24781"/>
    <w:rsid w:val="00E24B11"/>
    <w:rsid w:val="00E24C8C"/>
    <w:rsid w:val="00E24DC5"/>
    <w:rsid w:val="00E24E47"/>
    <w:rsid w:val="00E25832"/>
    <w:rsid w:val="00E25C1E"/>
    <w:rsid w:val="00E2626A"/>
    <w:rsid w:val="00E26392"/>
    <w:rsid w:val="00E26734"/>
    <w:rsid w:val="00E26F2E"/>
    <w:rsid w:val="00E271F3"/>
    <w:rsid w:val="00E273D5"/>
    <w:rsid w:val="00E274BB"/>
    <w:rsid w:val="00E27687"/>
    <w:rsid w:val="00E2776A"/>
    <w:rsid w:val="00E305A7"/>
    <w:rsid w:val="00E30C20"/>
    <w:rsid w:val="00E30E66"/>
    <w:rsid w:val="00E319EA"/>
    <w:rsid w:val="00E31BE8"/>
    <w:rsid w:val="00E32261"/>
    <w:rsid w:val="00E32DA0"/>
    <w:rsid w:val="00E32DE8"/>
    <w:rsid w:val="00E33951"/>
    <w:rsid w:val="00E33B35"/>
    <w:rsid w:val="00E33B7E"/>
    <w:rsid w:val="00E33BB9"/>
    <w:rsid w:val="00E33C8F"/>
    <w:rsid w:val="00E33F45"/>
    <w:rsid w:val="00E3492F"/>
    <w:rsid w:val="00E34F53"/>
    <w:rsid w:val="00E35294"/>
    <w:rsid w:val="00E353D7"/>
    <w:rsid w:val="00E35C36"/>
    <w:rsid w:val="00E361A7"/>
    <w:rsid w:val="00E361EA"/>
    <w:rsid w:val="00E36354"/>
    <w:rsid w:val="00E368F7"/>
    <w:rsid w:val="00E36B02"/>
    <w:rsid w:val="00E374AA"/>
    <w:rsid w:val="00E40433"/>
    <w:rsid w:val="00E40A07"/>
    <w:rsid w:val="00E40A21"/>
    <w:rsid w:val="00E411FA"/>
    <w:rsid w:val="00E41543"/>
    <w:rsid w:val="00E415BF"/>
    <w:rsid w:val="00E41881"/>
    <w:rsid w:val="00E41BCB"/>
    <w:rsid w:val="00E41E38"/>
    <w:rsid w:val="00E41F1B"/>
    <w:rsid w:val="00E42F1F"/>
    <w:rsid w:val="00E432A7"/>
    <w:rsid w:val="00E43376"/>
    <w:rsid w:val="00E43737"/>
    <w:rsid w:val="00E4384E"/>
    <w:rsid w:val="00E4386C"/>
    <w:rsid w:val="00E43A3A"/>
    <w:rsid w:val="00E43A8C"/>
    <w:rsid w:val="00E43D65"/>
    <w:rsid w:val="00E44637"/>
    <w:rsid w:val="00E44D11"/>
    <w:rsid w:val="00E46108"/>
    <w:rsid w:val="00E46315"/>
    <w:rsid w:val="00E472A5"/>
    <w:rsid w:val="00E47D30"/>
    <w:rsid w:val="00E47DDA"/>
    <w:rsid w:val="00E47E56"/>
    <w:rsid w:val="00E47FD2"/>
    <w:rsid w:val="00E50108"/>
    <w:rsid w:val="00E50415"/>
    <w:rsid w:val="00E50C7A"/>
    <w:rsid w:val="00E50CFB"/>
    <w:rsid w:val="00E5162A"/>
    <w:rsid w:val="00E51C0D"/>
    <w:rsid w:val="00E51D26"/>
    <w:rsid w:val="00E528C0"/>
    <w:rsid w:val="00E52FD0"/>
    <w:rsid w:val="00E531AD"/>
    <w:rsid w:val="00E531ED"/>
    <w:rsid w:val="00E535FC"/>
    <w:rsid w:val="00E53DF0"/>
    <w:rsid w:val="00E54441"/>
    <w:rsid w:val="00E545A2"/>
    <w:rsid w:val="00E54649"/>
    <w:rsid w:val="00E549B7"/>
    <w:rsid w:val="00E55580"/>
    <w:rsid w:val="00E56DB1"/>
    <w:rsid w:val="00E56F15"/>
    <w:rsid w:val="00E56F84"/>
    <w:rsid w:val="00E57F65"/>
    <w:rsid w:val="00E6002E"/>
    <w:rsid w:val="00E60D04"/>
    <w:rsid w:val="00E60DAD"/>
    <w:rsid w:val="00E60E9E"/>
    <w:rsid w:val="00E6101E"/>
    <w:rsid w:val="00E611A2"/>
    <w:rsid w:val="00E611FC"/>
    <w:rsid w:val="00E61468"/>
    <w:rsid w:val="00E61A94"/>
    <w:rsid w:val="00E61E01"/>
    <w:rsid w:val="00E62885"/>
    <w:rsid w:val="00E62ADB"/>
    <w:rsid w:val="00E63DBC"/>
    <w:rsid w:val="00E63FFB"/>
    <w:rsid w:val="00E643AF"/>
    <w:rsid w:val="00E643DE"/>
    <w:rsid w:val="00E647A6"/>
    <w:rsid w:val="00E65183"/>
    <w:rsid w:val="00E653D4"/>
    <w:rsid w:val="00E65943"/>
    <w:rsid w:val="00E65B1A"/>
    <w:rsid w:val="00E65C47"/>
    <w:rsid w:val="00E66254"/>
    <w:rsid w:val="00E66385"/>
    <w:rsid w:val="00E6662F"/>
    <w:rsid w:val="00E6689B"/>
    <w:rsid w:val="00E670A7"/>
    <w:rsid w:val="00E676D2"/>
    <w:rsid w:val="00E678CF"/>
    <w:rsid w:val="00E67BB7"/>
    <w:rsid w:val="00E67D76"/>
    <w:rsid w:val="00E67FE9"/>
    <w:rsid w:val="00E700E3"/>
    <w:rsid w:val="00E702E9"/>
    <w:rsid w:val="00E703C1"/>
    <w:rsid w:val="00E70523"/>
    <w:rsid w:val="00E70C38"/>
    <w:rsid w:val="00E71184"/>
    <w:rsid w:val="00E71446"/>
    <w:rsid w:val="00E7154E"/>
    <w:rsid w:val="00E71904"/>
    <w:rsid w:val="00E719F8"/>
    <w:rsid w:val="00E71DA8"/>
    <w:rsid w:val="00E724E8"/>
    <w:rsid w:val="00E728DD"/>
    <w:rsid w:val="00E72DA0"/>
    <w:rsid w:val="00E73148"/>
    <w:rsid w:val="00E73756"/>
    <w:rsid w:val="00E7408A"/>
    <w:rsid w:val="00E74154"/>
    <w:rsid w:val="00E74665"/>
    <w:rsid w:val="00E7479D"/>
    <w:rsid w:val="00E74F4D"/>
    <w:rsid w:val="00E753B1"/>
    <w:rsid w:val="00E75602"/>
    <w:rsid w:val="00E763B5"/>
    <w:rsid w:val="00E77711"/>
    <w:rsid w:val="00E777AB"/>
    <w:rsid w:val="00E77AA1"/>
    <w:rsid w:val="00E77C80"/>
    <w:rsid w:val="00E80145"/>
    <w:rsid w:val="00E801E0"/>
    <w:rsid w:val="00E80DE7"/>
    <w:rsid w:val="00E80E4E"/>
    <w:rsid w:val="00E81074"/>
    <w:rsid w:val="00E8113E"/>
    <w:rsid w:val="00E81146"/>
    <w:rsid w:val="00E81CD7"/>
    <w:rsid w:val="00E823E4"/>
    <w:rsid w:val="00E8256F"/>
    <w:rsid w:val="00E82E05"/>
    <w:rsid w:val="00E834D7"/>
    <w:rsid w:val="00E837D6"/>
    <w:rsid w:val="00E83CAE"/>
    <w:rsid w:val="00E83D73"/>
    <w:rsid w:val="00E84650"/>
    <w:rsid w:val="00E84716"/>
    <w:rsid w:val="00E84D12"/>
    <w:rsid w:val="00E85102"/>
    <w:rsid w:val="00E85134"/>
    <w:rsid w:val="00E8578F"/>
    <w:rsid w:val="00E857CF"/>
    <w:rsid w:val="00E85B5B"/>
    <w:rsid w:val="00E85F55"/>
    <w:rsid w:val="00E86053"/>
    <w:rsid w:val="00E8651A"/>
    <w:rsid w:val="00E869B3"/>
    <w:rsid w:val="00E86DEB"/>
    <w:rsid w:val="00E87285"/>
    <w:rsid w:val="00E873F4"/>
    <w:rsid w:val="00E8750A"/>
    <w:rsid w:val="00E87517"/>
    <w:rsid w:val="00E878A6"/>
    <w:rsid w:val="00E878B6"/>
    <w:rsid w:val="00E878F7"/>
    <w:rsid w:val="00E8792D"/>
    <w:rsid w:val="00E87F4E"/>
    <w:rsid w:val="00E90035"/>
    <w:rsid w:val="00E90A69"/>
    <w:rsid w:val="00E90DC5"/>
    <w:rsid w:val="00E90F4D"/>
    <w:rsid w:val="00E913E0"/>
    <w:rsid w:val="00E914DE"/>
    <w:rsid w:val="00E916CB"/>
    <w:rsid w:val="00E9176D"/>
    <w:rsid w:val="00E918C9"/>
    <w:rsid w:val="00E91952"/>
    <w:rsid w:val="00E91C11"/>
    <w:rsid w:val="00E92375"/>
    <w:rsid w:val="00E92D26"/>
    <w:rsid w:val="00E92F54"/>
    <w:rsid w:val="00E92FBE"/>
    <w:rsid w:val="00E9386C"/>
    <w:rsid w:val="00E9398B"/>
    <w:rsid w:val="00E943E6"/>
    <w:rsid w:val="00E94618"/>
    <w:rsid w:val="00E947E8"/>
    <w:rsid w:val="00E94A50"/>
    <w:rsid w:val="00E95F5C"/>
    <w:rsid w:val="00E95FF1"/>
    <w:rsid w:val="00E96801"/>
    <w:rsid w:val="00E96E52"/>
    <w:rsid w:val="00E977B3"/>
    <w:rsid w:val="00E97B32"/>
    <w:rsid w:val="00EA0622"/>
    <w:rsid w:val="00EA07D6"/>
    <w:rsid w:val="00EA086E"/>
    <w:rsid w:val="00EA1608"/>
    <w:rsid w:val="00EA1713"/>
    <w:rsid w:val="00EA1BDF"/>
    <w:rsid w:val="00EA1BE7"/>
    <w:rsid w:val="00EA21EA"/>
    <w:rsid w:val="00EA2620"/>
    <w:rsid w:val="00EA2B5C"/>
    <w:rsid w:val="00EA3B4C"/>
    <w:rsid w:val="00EA3C62"/>
    <w:rsid w:val="00EA408C"/>
    <w:rsid w:val="00EA43D0"/>
    <w:rsid w:val="00EA447A"/>
    <w:rsid w:val="00EA44B1"/>
    <w:rsid w:val="00EA4547"/>
    <w:rsid w:val="00EA4DF0"/>
    <w:rsid w:val="00EA5057"/>
    <w:rsid w:val="00EA54C5"/>
    <w:rsid w:val="00EA5ECC"/>
    <w:rsid w:val="00EA5F8E"/>
    <w:rsid w:val="00EA68DD"/>
    <w:rsid w:val="00EA7132"/>
    <w:rsid w:val="00EA73B8"/>
    <w:rsid w:val="00EA778A"/>
    <w:rsid w:val="00EA7949"/>
    <w:rsid w:val="00EA7CC2"/>
    <w:rsid w:val="00EA7E77"/>
    <w:rsid w:val="00EB0061"/>
    <w:rsid w:val="00EB0145"/>
    <w:rsid w:val="00EB0357"/>
    <w:rsid w:val="00EB0628"/>
    <w:rsid w:val="00EB06E3"/>
    <w:rsid w:val="00EB1224"/>
    <w:rsid w:val="00EB14FB"/>
    <w:rsid w:val="00EB169A"/>
    <w:rsid w:val="00EB1759"/>
    <w:rsid w:val="00EB1ADA"/>
    <w:rsid w:val="00EB1B16"/>
    <w:rsid w:val="00EB1EA0"/>
    <w:rsid w:val="00EB2012"/>
    <w:rsid w:val="00EB248D"/>
    <w:rsid w:val="00EB2A0D"/>
    <w:rsid w:val="00EB2AFD"/>
    <w:rsid w:val="00EB2C9E"/>
    <w:rsid w:val="00EB2D3B"/>
    <w:rsid w:val="00EB3D12"/>
    <w:rsid w:val="00EB4152"/>
    <w:rsid w:val="00EB4240"/>
    <w:rsid w:val="00EB4245"/>
    <w:rsid w:val="00EB45F8"/>
    <w:rsid w:val="00EB5710"/>
    <w:rsid w:val="00EB57CD"/>
    <w:rsid w:val="00EB58EA"/>
    <w:rsid w:val="00EB6616"/>
    <w:rsid w:val="00EB694F"/>
    <w:rsid w:val="00EB6DAC"/>
    <w:rsid w:val="00EB7081"/>
    <w:rsid w:val="00EB70BD"/>
    <w:rsid w:val="00EB725F"/>
    <w:rsid w:val="00EB78AB"/>
    <w:rsid w:val="00EC0072"/>
    <w:rsid w:val="00EC066D"/>
    <w:rsid w:val="00EC0B2F"/>
    <w:rsid w:val="00EC1137"/>
    <w:rsid w:val="00EC1528"/>
    <w:rsid w:val="00EC19C6"/>
    <w:rsid w:val="00EC1A3F"/>
    <w:rsid w:val="00EC1C9D"/>
    <w:rsid w:val="00EC2079"/>
    <w:rsid w:val="00EC207B"/>
    <w:rsid w:val="00EC26E3"/>
    <w:rsid w:val="00EC2CB1"/>
    <w:rsid w:val="00EC2D3F"/>
    <w:rsid w:val="00EC2D77"/>
    <w:rsid w:val="00EC2F16"/>
    <w:rsid w:val="00EC3609"/>
    <w:rsid w:val="00EC3A76"/>
    <w:rsid w:val="00EC3EBE"/>
    <w:rsid w:val="00EC4197"/>
    <w:rsid w:val="00EC4429"/>
    <w:rsid w:val="00EC45B0"/>
    <w:rsid w:val="00EC47F6"/>
    <w:rsid w:val="00EC505C"/>
    <w:rsid w:val="00EC517E"/>
    <w:rsid w:val="00EC5561"/>
    <w:rsid w:val="00EC567B"/>
    <w:rsid w:val="00EC587E"/>
    <w:rsid w:val="00EC59DD"/>
    <w:rsid w:val="00EC5DED"/>
    <w:rsid w:val="00EC5E27"/>
    <w:rsid w:val="00EC5F98"/>
    <w:rsid w:val="00EC6242"/>
    <w:rsid w:val="00EC6655"/>
    <w:rsid w:val="00EC67D2"/>
    <w:rsid w:val="00EC6D81"/>
    <w:rsid w:val="00EC71AF"/>
    <w:rsid w:val="00EC7772"/>
    <w:rsid w:val="00EC77CD"/>
    <w:rsid w:val="00EC7811"/>
    <w:rsid w:val="00EC79EE"/>
    <w:rsid w:val="00EC7B2B"/>
    <w:rsid w:val="00EC7DD0"/>
    <w:rsid w:val="00ED008C"/>
    <w:rsid w:val="00ED043A"/>
    <w:rsid w:val="00ED08A5"/>
    <w:rsid w:val="00ED09C3"/>
    <w:rsid w:val="00ED0ADD"/>
    <w:rsid w:val="00ED0B9C"/>
    <w:rsid w:val="00ED107C"/>
    <w:rsid w:val="00ED1717"/>
    <w:rsid w:val="00ED1A3C"/>
    <w:rsid w:val="00ED2043"/>
    <w:rsid w:val="00ED20E0"/>
    <w:rsid w:val="00ED2654"/>
    <w:rsid w:val="00ED2A58"/>
    <w:rsid w:val="00ED33D7"/>
    <w:rsid w:val="00ED36C2"/>
    <w:rsid w:val="00ED3763"/>
    <w:rsid w:val="00ED3A45"/>
    <w:rsid w:val="00ED4020"/>
    <w:rsid w:val="00ED4706"/>
    <w:rsid w:val="00ED4A1C"/>
    <w:rsid w:val="00ED4AAC"/>
    <w:rsid w:val="00ED4B73"/>
    <w:rsid w:val="00ED50AC"/>
    <w:rsid w:val="00ED5143"/>
    <w:rsid w:val="00ED5217"/>
    <w:rsid w:val="00ED5AB0"/>
    <w:rsid w:val="00ED5C3B"/>
    <w:rsid w:val="00ED5D63"/>
    <w:rsid w:val="00ED60C8"/>
    <w:rsid w:val="00ED65AD"/>
    <w:rsid w:val="00ED6A59"/>
    <w:rsid w:val="00ED6B47"/>
    <w:rsid w:val="00ED6EF3"/>
    <w:rsid w:val="00ED7563"/>
    <w:rsid w:val="00ED7A71"/>
    <w:rsid w:val="00ED7CC9"/>
    <w:rsid w:val="00EE0065"/>
    <w:rsid w:val="00EE017F"/>
    <w:rsid w:val="00EE09BB"/>
    <w:rsid w:val="00EE0BD9"/>
    <w:rsid w:val="00EE0C2B"/>
    <w:rsid w:val="00EE0C88"/>
    <w:rsid w:val="00EE15BC"/>
    <w:rsid w:val="00EE1EDF"/>
    <w:rsid w:val="00EE22D4"/>
    <w:rsid w:val="00EE2575"/>
    <w:rsid w:val="00EE270F"/>
    <w:rsid w:val="00EE271E"/>
    <w:rsid w:val="00EE282E"/>
    <w:rsid w:val="00EE28B1"/>
    <w:rsid w:val="00EE2DD8"/>
    <w:rsid w:val="00EE2E9B"/>
    <w:rsid w:val="00EE30D5"/>
    <w:rsid w:val="00EE3290"/>
    <w:rsid w:val="00EE3C63"/>
    <w:rsid w:val="00EE42AD"/>
    <w:rsid w:val="00EE4492"/>
    <w:rsid w:val="00EE4704"/>
    <w:rsid w:val="00EE4C83"/>
    <w:rsid w:val="00EE53FB"/>
    <w:rsid w:val="00EE5D59"/>
    <w:rsid w:val="00EE5DEC"/>
    <w:rsid w:val="00EE5F11"/>
    <w:rsid w:val="00EE6428"/>
    <w:rsid w:val="00EE6509"/>
    <w:rsid w:val="00EE65FE"/>
    <w:rsid w:val="00EE6625"/>
    <w:rsid w:val="00EE6B19"/>
    <w:rsid w:val="00EE6B83"/>
    <w:rsid w:val="00EE705F"/>
    <w:rsid w:val="00EE7657"/>
    <w:rsid w:val="00EE7D6D"/>
    <w:rsid w:val="00EF00DA"/>
    <w:rsid w:val="00EF0205"/>
    <w:rsid w:val="00EF1109"/>
    <w:rsid w:val="00EF1530"/>
    <w:rsid w:val="00EF1623"/>
    <w:rsid w:val="00EF1648"/>
    <w:rsid w:val="00EF174C"/>
    <w:rsid w:val="00EF195F"/>
    <w:rsid w:val="00EF1A13"/>
    <w:rsid w:val="00EF2117"/>
    <w:rsid w:val="00EF284C"/>
    <w:rsid w:val="00EF28ED"/>
    <w:rsid w:val="00EF2BC9"/>
    <w:rsid w:val="00EF2F0A"/>
    <w:rsid w:val="00EF32E2"/>
    <w:rsid w:val="00EF3305"/>
    <w:rsid w:val="00EF38EF"/>
    <w:rsid w:val="00EF3EB2"/>
    <w:rsid w:val="00EF3ECB"/>
    <w:rsid w:val="00EF41B2"/>
    <w:rsid w:val="00EF45A1"/>
    <w:rsid w:val="00EF4B36"/>
    <w:rsid w:val="00EF5864"/>
    <w:rsid w:val="00EF5974"/>
    <w:rsid w:val="00EF5D4B"/>
    <w:rsid w:val="00EF5F04"/>
    <w:rsid w:val="00EF6D0A"/>
    <w:rsid w:val="00EF72DE"/>
    <w:rsid w:val="00EF763B"/>
    <w:rsid w:val="00EF7BEC"/>
    <w:rsid w:val="00F00290"/>
    <w:rsid w:val="00F0059F"/>
    <w:rsid w:val="00F005B4"/>
    <w:rsid w:val="00F00C57"/>
    <w:rsid w:val="00F018A2"/>
    <w:rsid w:val="00F01ACF"/>
    <w:rsid w:val="00F01D0B"/>
    <w:rsid w:val="00F01F23"/>
    <w:rsid w:val="00F02DC3"/>
    <w:rsid w:val="00F02F23"/>
    <w:rsid w:val="00F0335D"/>
    <w:rsid w:val="00F03373"/>
    <w:rsid w:val="00F03536"/>
    <w:rsid w:val="00F03945"/>
    <w:rsid w:val="00F03EBF"/>
    <w:rsid w:val="00F0446F"/>
    <w:rsid w:val="00F04F4D"/>
    <w:rsid w:val="00F04FD5"/>
    <w:rsid w:val="00F05030"/>
    <w:rsid w:val="00F05319"/>
    <w:rsid w:val="00F0536F"/>
    <w:rsid w:val="00F05474"/>
    <w:rsid w:val="00F05653"/>
    <w:rsid w:val="00F073C0"/>
    <w:rsid w:val="00F07643"/>
    <w:rsid w:val="00F07842"/>
    <w:rsid w:val="00F07843"/>
    <w:rsid w:val="00F07944"/>
    <w:rsid w:val="00F07AAA"/>
    <w:rsid w:val="00F1006B"/>
    <w:rsid w:val="00F100E4"/>
    <w:rsid w:val="00F101AA"/>
    <w:rsid w:val="00F10264"/>
    <w:rsid w:val="00F10573"/>
    <w:rsid w:val="00F1093B"/>
    <w:rsid w:val="00F10DCB"/>
    <w:rsid w:val="00F111BF"/>
    <w:rsid w:val="00F1154F"/>
    <w:rsid w:val="00F11744"/>
    <w:rsid w:val="00F11CBC"/>
    <w:rsid w:val="00F11D2E"/>
    <w:rsid w:val="00F11E3E"/>
    <w:rsid w:val="00F123CC"/>
    <w:rsid w:val="00F12581"/>
    <w:rsid w:val="00F127AC"/>
    <w:rsid w:val="00F127B3"/>
    <w:rsid w:val="00F1290D"/>
    <w:rsid w:val="00F12C28"/>
    <w:rsid w:val="00F12C5C"/>
    <w:rsid w:val="00F12EF8"/>
    <w:rsid w:val="00F140CB"/>
    <w:rsid w:val="00F143B6"/>
    <w:rsid w:val="00F14400"/>
    <w:rsid w:val="00F145BE"/>
    <w:rsid w:val="00F146A8"/>
    <w:rsid w:val="00F1490C"/>
    <w:rsid w:val="00F14FD1"/>
    <w:rsid w:val="00F157E9"/>
    <w:rsid w:val="00F160D1"/>
    <w:rsid w:val="00F165A7"/>
    <w:rsid w:val="00F16B23"/>
    <w:rsid w:val="00F16BDD"/>
    <w:rsid w:val="00F177B9"/>
    <w:rsid w:val="00F179F6"/>
    <w:rsid w:val="00F2041A"/>
    <w:rsid w:val="00F208C1"/>
    <w:rsid w:val="00F214E0"/>
    <w:rsid w:val="00F21797"/>
    <w:rsid w:val="00F217FC"/>
    <w:rsid w:val="00F218AC"/>
    <w:rsid w:val="00F21ED4"/>
    <w:rsid w:val="00F220B6"/>
    <w:rsid w:val="00F2287C"/>
    <w:rsid w:val="00F22892"/>
    <w:rsid w:val="00F228F1"/>
    <w:rsid w:val="00F23488"/>
    <w:rsid w:val="00F2370B"/>
    <w:rsid w:val="00F23D66"/>
    <w:rsid w:val="00F23EDD"/>
    <w:rsid w:val="00F241AB"/>
    <w:rsid w:val="00F24258"/>
    <w:rsid w:val="00F243A0"/>
    <w:rsid w:val="00F243F4"/>
    <w:rsid w:val="00F244B6"/>
    <w:rsid w:val="00F24881"/>
    <w:rsid w:val="00F24D0D"/>
    <w:rsid w:val="00F25247"/>
    <w:rsid w:val="00F259C2"/>
    <w:rsid w:val="00F25A56"/>
    <w:rsid w:val="00F25E2D"/>
    <w:rsid w:val="00F26A68"/>
    <w:rsid w:val="00F2720E"/>
    <w:rsid w:val="00F274CF"/>
    <w:rsid w:val="00F2776C"/>
    <w:rsid w:val="00F2782E"/>
    <w:rsid w:val="00F3012D"/>
    <w:rsid w:val="00F30164"/>
    <w:rsid w:val="00F30CB0"/>
    <w:rsid w:val="00F30EB5"/>
    <w:rsid w:val="00F3148C"/>
    <w:rsid w:val="00F315F0"/>
    <w:rsid w:val="00F31845"/>
    <w:rsid w:val="00F31999"/>
    <w:rsid w:val="00F321F6"/>
    <w:rsid w:val="00F3223C"/>
    <w:rsid w:val="00F3292B"/>
    <w:rsid w:val="00F329E7"/>
    <w:rsid w:val="00F32CB8"/>
    <w:rsid w:val="00F33160"/>
    <w:rsid w:val="00F33964"/>
    <w:rsid w:val="00F33982"/>
    <w:rsid w:val="00F33A98"/>
    <w:rsid w:val="00F34079"/>
    <w:rsid w:val="00F34437"/>
    <w:rsid w:val="00F3499D"/>
    <w:rsid w:val="00F356D8"/>
    <w:rsid w:val="00F35D9C"/>
    <w:rsid w:val="00F36179"/>
    <w:rsid w:val="00F364E4"/>
    <w:rsid w:val="00F36A91"/>
    <w:rsid w:val="00F36AC2"/>
    <w:rsid w:val="00F36D0B"/>
    <w:rsid w:val="00F36EEB"/>
    <w:rsid w:val="00F377C5"/>
    <w:rsid w:val="00F378AE"/>
    <w:rsid w:val="00F40241"/>
    <w:rsid w:val="00F404D4"/>
    <w:rsid w:val="00F40609"/>
    <w:rsid w:val="00F4074D"/>
    <w:rsid w:val="00F4079B"/>
    <w:rsid w:val="00F41026"/>
    <w:rsid w:val="00F4139E"/>
    <w:rsid w:val="00F414FD"/>
    <w:rsid w:val="00F416C2"/>
    <w:rsid w:val="00F418B3"/>
    <w:rsid w:val="00F41B24"/>
    <w:rsid w:val="00F41B97"/>
    <w:rsid w:val="00F41C52"/>
    <w:rsid w:val="00F41C8D"/>
    <w:rsid w:val="00F42149"/>
    <w:rsid w:val="00F42184"/>
    <w:rsid w:val="00F422FA"/>
    <w:rsid w:val="00F427D7"/>
    <w:rsid w:val="00F42A73"/>
    <w:rsid w:val="00F42D5E"/>
    <w:rsid w:val="00F42DD2"/>
    <w:rsid w:val="00F4304A"/>
    <w:rsid w:val="00F431B4"/>
    <w:rsid w:val="00F431D2"/>
    <w:rsid w:val="00F43CFC"/>
    <w:rsid w:val="00F4446F"/>
    <w:rsid w:val="00F44841"/>
    <w:rsid w:val="00F44BE1"/>
    <w:rsid w:val="00F44D0A"/>
    <w:rsid w:val="00F44E96"/>
    <w:rsid w:val="00F45125"/>
    <w:rsid w:val="00F45285"/>
    <w:rsid w:val="00F45BBA"/>
    <w:rsid w:val="00F45C54"/>
    <w:rsid w:val="00F45CB1"/>
    <w:rsid w:val="00F461DC"/>
    <w:rsid w:val="00F46371"/>
    <w:rsid w:val="00F4695E"/>
    <w:rsid w:val="00F46EEC"/>
    <w:rsid w:val="00F4738E"/>
    <w:rsid w:val="00F474A5"/>
    <w:rsid w:val="00F47F75"/>
    <w:rsid w:val="00F502A3"/>
    <w:rsid w:val="00F507E7"/>
    <w:rsid w:val="00F50C09"/>
    <w:rsid w:val="00F50E16"/>
    <w:rsid w:val="00F5144D"/>
    <w:rsid w:val="00F51486"/>
    <w:rsid w:val="00F518A8"/>
    <w:rsid w:val="00F51937"/>
    <w:rsid w:val="00F519CC"/>
    <w:rsid w:val="00F51B7D"/>
    <w:rsid w:val="00F51BDF"/>
    <w:rsid w:val="00F51BF7"/>
    <w:rsid w:val="00F5265C"/>
    <w:rsid w:val="00F527B5"/>
    <w:rsid w:val="00F527F2"/>
    <w:rsid w:val="00F52A8D"/>
    <w:rsid w:val="00F52F80"/>
    <w:rsid w:val="00F52FFA"/>
    <w:rsid w:val="00F531A4"/>
    <w:rsid w:val="00F53234"/>
    <w:rsid w:val="00F5339F"/>
    <w:rsid w:val="00F53BC0"/>
    <w:rsid w:val="00F5409E"/>
    <w:rsid w:val="00F5419D"/>
    <w:rsid w:val="00F545BE"/>
    <w:rsid w:val="00F54748"/>
    <w:rsid w:val="00F54A7A"/>
    <w:rsid w:val="00F54BBD"/>
    <w:rsid w:val="00F54D61"/>
    <w:rsid w:val="00F55847"/>
    <w:rsid w:val="00F55A96"/>
    <w:rsid w:val="00F561E7"/>
    <w:rsid w:val="00F568BF"/>
    <w:rsid w:val="00F573AF"/>
    <w:rsid w:val="00F57407"/>
    <w:rsid w:val="00F6029E"/>
    <w:rsid w:val="00F60940"/>
    <w:rsid w:val="00F60E76"/>
    <w:rsid w:val="00F611D0"/>
    <w:rsid w:val="00F614C0"/>
    <w:rsid w:val="00F61705"/>
    <w:rsid w:val="00F61B1D"/>
    <w:rsid w:val="00F61D8E"/>
    <w:rsid w:val="00F61EFC"/>
    <w:rsid w:val="00F6252A"/>
    <w:rsid w:val="00F6297A"/>
    <w:rsid w:val="00F62AF2"/>
    <w:rsid w:val="00F62B61"/>
    <w:rsid w:val="00F62FC4"/>
    <w:rsid w:val="00F63354"/>
    <w:rsid w:val="00F638CC"/>
    <w:rsid w:val="00F6423D"/>
    <w:rsid w:val="00F64368"/>
    <w:rsid w:val="00F646B3"/>
    <w:rsid w:val="00F64733"/>
    <w:rsid w:val="00F6498C"/>
    <w:rsid w:val="00F64A35"/>
    <w:rsid w:val="00F64B46"/>
    <w:rsid w:val="00F65060"/>
    <w:rsid w:val="00F65153"/>
    <w:rsid w:val="00F65873"/>
    <w:rsid w:val="00F65A9B"/>
    <w:rsid w:val="00F65B0B"/>
    <w:rsid w:val="00F65DD2"/>
    <w:rsid w:val="00F66088"/>
    <w:rsid w:val="00F664DA"/>
    <w:rsid w:val="00F666D0"/>
    <w:rsid w:val="00F66E2F"/>
    <w:rsid w:val="00F66F78"/>
    <w:rsid w:val="00F66FB7"/>
    <w:rsid w:val="00F670CE"/>
    <w:rsid w:val="00F7047F"/>
    <w:rsid w:val="00F70707"/>
    <w:rsid w:val="00F707C6"/>
    <w:rsid w:val="00F70E43"/>
    <w:rsid w:val="00F71402"/>
    <w:rsid w:val="00F71948"/>
    <w:rsid w:val="00F7217D"/>
    <w:rsid w:val="00F722C2"/>
    <w:rsid w:val="00F72394"/>
    <w:rsid w:val="00F724EA"/>
    <w:rsid w:val="00F72552"/>
    <w:rsid w:val="00F72D8F"/>
    <w:rsid w:val="00F73681"/>
    <w:rsid w:val="00F7421B"/>
    <w:rsid w:val="00F74796"/>
    <w:rsid w:val="00F74AC2"/>
    <w:rsid w:val="00F74BFA"/>
    <w:rsid w:val="00F755E8"/>
    <w:rsid w:val="00F76518"/>
    <w:rsid w:val="00F76D3B"/>
    <w:rsid w:val="00F76F48"/>
    <w:rsid w:val="00F77074"/>
    <w:rsid w:val="00F7762D"/>
    <w:rsid w:val="00F77786"/>
    <w:rsid w:val="00F777CF"/>
    <w:rsid w:val="00F77E4C"/>
    <w:rsid w:val="00F77F8F"/>
    <w:rsid w:val="00F80010"/>
    <w:rsid w:val="00F80429"/>
    <w:rsid w:val="00F8087E"/>
    <w:rsid w:val="00F80A42"/>
    <w:rsid w:val="00F80D44"/>
    <w:rsid w:val="00F80FE7"/>
    <w:rsid w:val="00F8111D"/>
    <w:rsid w:val="00F81274"/>
    <w:rsid w:val="00F81281"/>
    <w:rsid w:val="00F813B2"/>
    <w:rsid w:val="00F81CA9"/>
    <w:rsid w:val="00F81D32"/>
    <w:rsid w:val="00F82B0C"/>
    <w:rsid w:val="00F8329F"/>
    <w:rsid w:val="00F8377F"/>
    <w:rsid w:val="00F83A26"/>
    <w:rsid w:val="00F83CD2"/>
    <w:rsid w:val="00F843AE"/>
    <w:rsid w:val="00F8457A"/>
    <w:rsid w:val="00F845CC"/>
    <w:rsid w:val="00F84A95"/>
    <w:rsid w:val="00F8515F"/>
    <w:rsid w:val="00F85B2E"/>
    <w:rsid w:val="00F8622D"/>
    <w:rsid w:val="00F867BC"/>
    <w:rsid w:val="00F86D8A"/>
    <w:rsid w:val="00F8712E"/>
    <w:rsid w:val="00F8764D"/>
    <w:rsid w:val="00F876E5"/>
    <w:rsid w:val="00F87D4D"/>
    <w:rsid w:val="00F87F5B"/>
    <w:rsid w:val="00F905A3"/>
    <w:rsid w:val="00F90B36"/>
    <w:rsid w:val="00F916A4"/>
    <w:rsid w:val="00F91CC4"/>
    <w:rsid w:val="00F91DB7"/>
    <w:rsid w:val="00F91DE9"/>
    <w:rsid w:val="00F91ED7"/>
    <w:rsid w:val="00F924BC"/>
    <w:rsid w:val="00F924DB"/>
    <w:rsid w:val="00F926A0"/>
    <w:rsid w:val="00F92CAF"/>
    <w:rsid w:val="00F93707"/>
    <w:rsid w:val="00F937F7"/>
    <w:rsid w:val="00F94391"/>
    <w:rsid w:val="00F948CF"/>
    <w:rsid w:val="00F94EFE"/>
    <w:rsid w:val="00F95383"/>
    <w:rsid w:val="00F955C1"/>
    <w:rsid w:val="00F95932"/>
    <w:rsid w:val="00F95F76"/>
    <w:rsid w:val="00F960D1"/>
    <w:rsid w:val="00F9669A"/>
    <w:rsid w:val="00F96BD0"/>
    <w:rsid w:val="00F97478"/>
    <w:rsid w:val="00F9749E"/>
    <w:rsid w:val="00F97892"/>
    <w:rsid w:val="00F97BD7"/>
    <w:rsid w:val="00FA07BF"/>
    <w:rsid w:val="00FA07DF"/>
    <w:rsid w:val="00FA08AA"/>
    <w:rsid w:val="00FA0CAA"/>
    <w:rsid w:val="00FA1424"/>
    <w:rsid w:val="00FA145D"/>
    <w:rsid w:val="00FA16EA"/>
    <w:rsid w:val="00FA1A04"/>
    <w:rsid w:val="00FA2BF6"/>
    <w:rsid w:val="00FA2C19"/>
    <w:rsid w:val="00FA3283"/>
    <w:rsid w:val="00FA331D"/>
    <w:rsid w:val="00FA375C"/>
    <w:rsid w:val="00FA3897"/>
    <w:rsid w:val="00FA42DB"/>
    <w:rsid w:val="00FA4446"/>
    <w:rsid w:val="00FA4FEC"/>
    <w:rsid w:val="00FA503B"/>
    <w:rsid w:val="00FA560D"/>
    <w:rsid w:val="00FA561E"/>
    <w:rsid w:val="00FA5B82"/>
    <w:rsid w:val="00FA5B84"/>
    <w:rsid w:val="00FA5C6D"/>
    <w:rsid w:val="00FA6680"/>
    <w:rsid w:val="00FA6889"/>
    <w:rsid w:val="00FA7135"/>
    <w:rsid w:val="00FA7429"/>
    <w:rsid w:val="00FA7BEA"/>
    <w:rsid w:val="00FA7DE7"/>
    <w:rsid w:val="00FA7E7E"/>
    <w:rsid w:val="00FA7EC7"/>
    <w:rsid w:val="00FA7F25"/>
    <w:rsid w:val="00FB0EF8"/>
    <w:rsid w:val="00FB1387"/>
    <w:rsid w:val="00FB1695"/>
    <w:rsid w:val="00FB1A35"/>
    <w:rsid w:val="00FB2AD3"/>
    <w:rsid w:val="00FB2C08"/>
    <w:rsid w:val="00FB3055"/>
    <w:rsid w:val="00FB34DC"/>
    <w:rsid w:val="00FB3A1F"/>
    <w:rsid w:val="00FB3EF5"/>
    <w:rsid w:val="00FB4160"/>
    <w:rsid w:val="00FB448C"/>
    <w:rsid w:val="00FB4B9A"/>
    <w:rsid w:val="00FB4C36"/>
    <w:rsid w:val="00FB4C91"/>
    <w:rsid w:val="00FB4F15"/>
    <w:rsid w:val="00FB5748"/>
    <w:rsid w:val="00FB5968"/>
    <w:rsid w:val="00FB5A3C"/>
    <w:rsid w:val="00FB5E82"/>
    <w:rsid w:val="00FB65D5"/>
    <w:rsid w:val="00FB68E9"/>
    <w:rsid w:val="00FB719D"/>
    <w:rsid w:val="00FB72B3"/>
    <w:rsid w:val="00FC0138"/>
    <w:rsid w:val="00FC0686"/>
    <w:rsid w:val="00FC0982"/>
    <w:rsid w:val="00FC0ACB"/>
    <w:rsid w:val="00FC0E66"/>
    <w:rsid w:val="00FC1389"/>
    <w:rsid w:val="00FC16D8"/>
    <w:rsid w:val="00FC17A0"/>
    <w:rsid w:val="00FC1C24"/>
    <w:rsid w:val="00FC228A"/>
    <w:rsid w:val="00FC2658"/>
    <w:rsid w:val="00FC2A5E"/>
    <w:rsid w:val="00FC3278"/>
    <w:rsid w:val="00FC3A3A"/>
    <w:rsid w:val="00FC3B1E"/>
    <w:rsid w:val="00FC3BDA"/>
    <w:rsid w:val="00FC4028"/>
    <w:rsid w:val="00FC41DE"/>
    <w:rsid w:val="00FC4A29"/>
    <w:rsid w:val="00FC4C37"/>
    <w:rsid w:val="00FC5461"/>
    <w:rsid w:val="00FC561F"/>
    <w:rsid w:val="00FC6658"/>
    <w:rsid w:val="00FC6DE1"/>
    <w:rsid w:val="00FC7261"/>
    <w:rsid w:val="00FC7377"/>
    <w:rsid w:val="00FC7571"/>
    <w:rsid w:val="00FC7BAF"/>
    <w:rsid w:val="00FC7D2F"/>
    <w:rsid w:val="00FC7F17"/>
    <w:rsid w:val="00FC7F3F"/>
    <w:rsid w:val="00FC7FC3"/>
    <w:rsid w:val="00FD0695"/>
    <w:rsid w:val="00FD0A7C"/>
    <w:rsid w:val="00FD1627"/>
    <w:rsid w:val="00FD16C1"/>
    <w:rsid w:val="00FD1743"/>
    <w:rsid w:val="00FD179F"/>
    <w:rsid w:val="00FD1CD0"/>
    <w:rsid w:val="00FD22CC"/>
    <w:rsid w:val="00FD2752"/>
    <w:rsid w:val="00FD3117"/>
    <w:rsid w:val="00FD33A3"/>
    <w:rsid w:val="00FD378F"/>
    <w:rsid w:val="00FD3C3A"/>
    <w:rsid w:val="00FD4830"/>
    <w:rsid w:val="00FD4912"/>
    <w:rsid w:val="00FD4AB5"/>
    <w:rsid w:val="00FD4CA5"/>
    <w:rsid w:val="00FD4FAB"/>
    <w:rsid w:val="00FD4FFA"/>
    <w:rsid w:val="00FD54B3"/>
    <w:rsid w:val="00FD54D8"/>
    <w:rsid w:val="00FD5D9E"/>
    <w:rsid w:val="00FD5DAF"/>
    <w:rsid w:val="00FD6A70"/>
    <w:rsid w:val="00FD6E8A"/>
    <w:rsid w:val="00FD7047"/>
    <w:rsid w:val="00FD7477"/>
    <w:rsid w:val="00FD7582"/>
    <w:rsid w:val="00FE0005"/>
    <w:rsid w:val="00FE000C"/>
    <w:rsid w:val="00FE088E"/>
    <w:rsid w:val="00FE0D43"/>
    <w:rsid w:val="00FE109F"/>
    <w:rsid w:val="00FE1406"/>
    <w:rsid w:val="00FE1458"/>
    <w:rsid w:val="00FE181A"/>
    <w:rsid w:val="00FE19BD"/>
    <w:rsid w:val="00FE1A7E"/>
    <w:rsid w:val="00FE201C"/>
    <w:rsid w:val="00FE293F"/>
    <w:rsid w:val="00FE29A6"/>
    <w:rsid w:val="00FE32BB"/>
    <w:rsid w:val="00FE3368"/>
    <w:rsid w:val="00FE34B8"/>
    <w:rsid w:val="00FE3503"/>
    <w:rsid w:val="00FE37D1"/>
    <w:rsid w:val="00FE381D"/>
    <w:rsid w:val="00FE38AB"/>
    <w:rsid w:val="00FE3906"/>
    <w:rsid w:val="00FE3949"/>
    <w:rsid w:val="00FE3CDA"/>
    <w:rsid w:val="00FE3D64"/>
    <w:rsid w:val="00FE3DC5"/>
    <w:rsid w:val="00FE3FC7"/>
    <w:rsid w:val="00FE477F"/>
    <w:rsid w:val="00FE5EC5"/>
    <w:rsid w:val="00FE5F40"/>
    <w:rsid w:val="00FE624F"/>
    <w:rsid w:val="00FE65CA"/>
    <w:rsid w:val="00FE6722"/>
    <w:rsid w:val="00FE67B0"/>
    <w:rsid w:val="00FE67F7"/>
    <w:rsid w:val="00FE6840"/>
    <w:rsid w:val="00FE7940"/>
    <w:rsid w:val="00FE79D0"/>
    <w:rsid w:val="00FE7BB8"/>
    <w:rsid w:val="00FE7F1C"/>
    <w:rsid w:val="00FF02B2"/>
    <w:rsid w:val="00FF0490"/>
    <w:rsid w:val="00FF0602"/>
    <w:rsid w:val="00FF0716"/>
    <w:rsid w:val="00FF10CE"/>
    <w:rsid w:val="00FF1186"/>
    <w:rsid w:val="00FF12C9"/>
    <w:rsid w:val="00FF13AB"/>
    <w:rsid w:val="00FF18B8"/>
    <w:rsid w:val="00FF1AA8"/>
    <w:rsid w:val="00FF1E0F"/>
    <w:rsid w:val="00FF1F6F"/>
    <w:rsid w:val="00FF2085"/>
    <w:rsid w:val="00FF2F97"/>
    <w:rsid w:val="00FF37B2"/>
    <w:rsid w:val="00FF3B19"/>
    <w:rsid w:val="00FF419C"/>
    <w:rsid w:val="00FF4433"/>
    <w:rsid w:val="00FF4534"/>
    <w:rsid w:val="00FF45E6"/>
    <w:rsid w:val="00FF4676"/>
    <w:rsid w:val="00FF532C"/>
    <w:rsid w:val="00FF5A4B"/>
    <w:rsid w:val="00FF5EDD"/>
    <w:rsid w:val="00FF6D7D"/>
    <w:rsid w:val="00FF6F49"/>
    <w:rsid w:val="00FF73D1"/>
    <w:rsid w:val="01057A89"/>
    <w:rsid w:val="01197729"/>
    <w:rsid w:val="012E0260"/>
    <w:rsid w:val="014D0F62"/>
    <w:rsid w:val="015016D0"/>
    <w:rsid w:val="0163096E"/>
    <w:rsid w:val="01A01BAA"/>
    <w:rsid w:val="01B24842"/>
    <w:rsid w:val="01BF797E"/>
    <w:rsid w:val="01D7255F"/>
    <w:rsid w:val="01D7558D"/>
    <w:rsid w:val="01E05B13"/>
    <w:rsid w:val="01F746BD"/>
    <w:rsid w:val="021A4511"/>
    <w:rsid w:val="022673FD"/>
    <w:rsid w:val="02543863"/>
    <w:rsid w:val="025D268F"/>
    <w:rsid w:val="025D617A"/>
    <w:rsid w:val="0284476F"/>
    <w:rsid w:val="02896BC3"/>
    <w:rsid w:val="02925947"/>
    <w:rsid w:val="02A0711C"/>
    <w:rsid w:val="02B1165E"/>
    <w:rsid w:val="02BC5EEC"/>
    <w:rsid w:val="02CB3224"/>
    <w:rsid w:val="02EA6C36"/>
    <w:rsid w:val="03152B15"/>
    <w:rsid w:val="03211076"/>
    <w:rsid w:val="033330D4"/>
    <w:rsid w:val="03664ECF"/>
    <w:rsid w:val="037F7E71"/>
    <w:rsid w:val="03D11BCC"/>
    <w:rsid w:val="03EE1431"/>
    <w:rsid w:val="03F1169C"/>
    <w:rsid w:val="03F20826"/>
    <w:rsid w:val="03FB7AF5"/>
    <w:rsid w:val="043C29C3"/>
    <w:rsid w:val="04614E40"/>
    <w:rsid w:val="04907B19"/>
    <w:rsid w:val="049E201C"/>
    <w:rsid w:val="04DD6AFD"/>
    <w:rsid w:val="04E56E97"/>
    <w:rsid w:val="050243F9"/>
    <w:rsid w:val="050E425C"/>
    <w:rsid w:val="053901C6"/>
    <w:rsid w:val="053E4511"/>
    <w:rsid w:val="055B2804"/>
    <w:rsid w:val="055D679A"/>
    <w:rsid w:val="05A3072E"/>
    <w:rsid w:val="05B97ADB"/>
    <w:rsid w:val="05D8266A"/>
    <w:rsid w:val="05E24B4A"/>
    <w:rsid w:val="05F24B5A"/>
    <w:rsid w:val="05FF6CE7"/>
    <w:rsid w:val="06240F4C"/>
    <w:rsid w:val="06283C9D"/>
    <w:rsid w:val="063C1F22"/>
    <w:rsid w:val="065232EB"/>
    <w:rsid w:val="068454CB"/>
    <w:rsid w:val="069C1B4E"/>
    <w:rsid w:val="06BE4AD9"/>
    <w:rsid w:val="06FE0C51"/>
    <w:rsid w:val="07063DB2"/>
    <w:rsid w:val="074739D7"/>
    <w:rsid w:val="07493EC7"/>
    <w:rsid w:val="074C7B81"/>
    <w:rsid w:val="07570A7E"/>
    <w:rsid w:val="075F213B"/>
    <w:rsid w:val="07AB43CD"/>
    <w:rsid w:val="07B0396B"/>
    <w:rsid w:val="07C31198"/>
    <w:rsid w:val="07C32997"/>
    <w:rsid w:val="07D47FC4"/>
    <w:rsid w:val="07F70812"/>
    <w:rsid w:val="08047E4A"/>
    <w:rsid w:val="08155FDD"/>
    <w:rsid w:val="082515B5"/>
    <w:rsid w:val="083A0FCA"/>
    <w:rsid w:val="083D610B"/>
    <w:rsid w:val="085B065F"/>
    <w:rsid w:val="088F18EB"/>
    <w:rsid w:val="08A03504"/>
    <w:rsid w:val="08BA5A51"/>
    <w:rsid w:val="08BF559D"/>
    <w:rsid w:val="08C2649B"/>
    <w:rsid w:val="08DC1EE2"/>
    <w:rsid w:val="08E67E56"/>
    <w:rsid w:val="08F53EF6"/>
    <w:rsid w:val="08F96EDA"/>
    <w:rsid w:val="09184A2A"/>
    <w:rsid w:val="09202725"/>
    <w:rsid w:val="092A3EA5"/>
    <w:rsid w:val="092E01A2"/>
    <w:rsid w:val="09302C6A"/>
    <w:rsid w:val="097274A9"/>
    <w:rsid w:val="09BD2EF9"/>
    <w:rsid w:val="09BE1A15"/>
    <w:rsid w:val="09D21D5A"/>
    <w:rsid w:val="09EF36A9"/>
    <w:rsid w:val="09F34824"/>
    <w:rsid w:val="0A145CED"/>
    <w:rsid w:val="0A30685D"/>
    <w:rsid w:val="0A467619"/>
    <w:rsid w:val="0A5834E0"/>
    <w:rsid w:val="0A752690"/>
    <w:rsid w:val="0ACB72A5"/>
    <w:rsid w:val="0AD1773B"/>
    <w:rsid w:val="0B0E2C00"/>
    <w:rsid w:val="0B20152F"/>
    <w:rsid w:val="0B583B9E"/>
    <w:rsid w:val="0B772DBA"/>
    <w:rsid w:val="0B7F711B"/>
    <w:rsid w:val="0B8A28DE"/>
    <w:rsid w:val="0B950341"/>
    <w:rsid w:val="0BB20C4D"/>
    <w:rsid w:val="0BCB0CC1"/>
    <w:rsid w:val="0BE052FF"/>
    <w:rsid w:val="0BE4556B"/>
    <w:rsid w:val="0BEB2026"/>
    <w:rsid w:val="0BF94CF9"/>
    <w:rsid w:val="0BF95449"/>
    <w:rsid w:val="0C0D3374"/>
    <w:rsid w:val="0C0F70CD"/>
    <w:rsid w:val="0C6B535F"/>
    <w:rsid w:val="0CA713C5"/>
    <w:rsid w:val="0CB967F5"/>
    <w:rsid w:val="0CBC60AB"/>
    <w:rsid w:val="0CE95A0C"/>
    <w:rsid w:val="0CEB1A3A"/>
    <w:rsid w:val="0CF85B96"/>
    <w:rsid w:val="0D064D8E"/>
    <w:rsid w:val="0D102C60"/>
    <w:rsid w:val="0D12791A"/>
    <w:rsid w:val="0D3653AB"/>
    <w:rsid w:val="0D5A7476"/>
    <w:rsid w:val="0D5D458C"/>
    <w:rsid w:val="0DA371BD"/>
    <w:rsid w:val="0DDE0CE0"/>
    <w:rsid w:val="0DFB17AD"/>
    <w:rsid w:val="0E042446"/>
    <w:rsid w:val="0E322A5C"/>
    <w:rsid w:val="0E342AD0"/>
    <w:rsid w:val="0E383860"/>
    <w:rsid w:val="0E786071"/>
    <w:rsid w:val="0E820CA2"/>
    <w:rsid w:val="0E897407"/>
    <w:rsid w:val="0E8E5EFE"/>
    <w:rsid w:val="0E94100A"/>
    <w:rsid w:val="0EBB3A21"/>
    <w:rsid w:val="0EEA07B5"/>
    <w:rsid w:val="0F057AE4"/>
    <w:rsid w:val="0F103A32"/>
    <w:rsid w:val="0F5E3FCC"/>
    <w:rsid w:val="0F9F406A"/>
    <w:rsid w:val="0FC4168E"/>
    <w:rsid w:val="0FE33E10"/>
    <w:rsid w:val="0FF72D34"/>
    <w:rsid w:val="0FF9546E"/>
    <w:rsid w:val="100B7DB1"/>
    <w:rsid w:val="10187D52"/>
    <w:rsid w:val="1023586E"/>
    <w:rsid w:val="103F5A19"/>
    <w:rsid w:val="10662959"/>
    <w:rsid w:val="10803198"/>
    <w:rsid w:val="108977E9"/>
    <w:rsid w:val="109B2E6A"/>
    <w:rsid w:val="10BE4006"/>
    <w:rsid w:val="10C946FA"/>
    <w:rsid w:val="10D31C5C"/>
    <w:rsid w:val="10F602CC"/>
    <w:rsid w:val="110C1716"/>
    <w:rsid w:val="11327D19"/>
    <w:rsid w:val="115D2582"/>
    <w:rsid w:val="11636156"/>
    <w:rsid w:val="116654D8"/>
    <w:rsid w:val="1169538C"/>
    <w:rsid w:val="11967697"/>
    <w:rsid w:val="11B637D3"/>
    <w:rsid w:val="11C005B5"/>
    <w:rsid w:val="11C32DFC"/>
    <w:rsid w:val="11C81158"/>
    <w:rsid w:val="11CE2DE3"/>
    <w:rsid w:val="12020982"/>
    <w:rsid w:val="12033567"/>
    <w:rsid w:val="12046EA7"/>
    <w:rsid w:val="121031A0"/>
    <w:rsid w:val="122B3941"/>
    <w:rsid w:val="1236699D"/>
    <w:rsid w:val="126436C6"/>
    <w:rsid w:val="1265008E"/>
    <w:rsid w:val="12721C55"/>
    <w:rsid w:val="128E3068"/>
    <w:rsid w:val="12B7511A"/>
    <w:rsid w:val="12D92C29"/>
    <w:rsid w:val="12DE2E0C"/>
    <w:rsid w:val="12ED1C77"/>
    <w:rsid w:val="131011C2"/>
    <w:rsid w:val="13167B92"/>
    <w:rsid w:val="13213D6B"/>
    <w:rsid w:val="13305337"/>
    <w:rsid w:val="134946E6"/>
    <w:rsid w:val="137F1A31"/>
    <w:rsid w:val="138255C5"/>
    <w:rsid w:val="138468E1"/>
    <w:rsid w:val="13850D4F"/>
    <w:rsid w:val="13AE32E6"/>
    <w:rsid w:val="13DB19F0"/>
    <w:rsid w:val="13EE5E3E"/>
    <w:rsid w:val="13F647C6"/>
    <w:rsid w:val="13FB04BE"/>
    <w:rsid w:val="141B6DB9"/>
    <w:rsid w:val="1434630E"/>
    <w:rsid w:val="143A3CFF"/>
    <w:rsid w:val="145A2029"/>
    <w:rsid w:val="146E164C"/>
    <w:rsid w:val="148C3A26"/>
    <w:rsid w:val="14D22700"/>
    <w:rsid w:val="152D1FDD"/>
    <w:rsid w:val="153E09A6"/>
    <w:rsid w:val="15403501"/>
    <w:rsid w:val="154442AE"/>
    <w:rsid w:val="155933B0"/>
    <w:rsid w:val="157960C0"/>
    <w:rsid w:val="15D77E51"/>
    <w:rsid w:val="15E94A95"/>
    <w:rsid w:val="160D046E"/>
    <w:rsid w:val="161F5317"/>
    <w:rsid w:val="16360A98"/>
    <w:rsid w:val="16367645"/>
    <w:rsid w:val="166D432E"/>
    <w:rsid w:val="16950DA1"/>
    <w:rsid w:val="16A03EB4"/>
    <w:rsid w:val="16D6404C"/>
    <w:rsid w:val="16E6704E"/>
    <w:rsid w:val="17241272"/>
    <w:rsid w:val="17245B06"/>
    <w:rsid w:val="173E6131"/>
    <w:rsid w:val="174076C3"/>
    <w:rsid w:val="17481CB8"/>
    <w:rsid w:val="174A7335"/>
    <w:rsid w:val="17922E14"/>
    <w:rsid w:val="17B62554"/>
    <w:rsid w:val="17E849A9"/>
    <w:rsid w:val="17FF64F0"/>
    <w:rsid w:val="182B0B62"/>
    <w:rsid w:val="18315108"/>
    <w:rsid w:val="18746647"/>
    <w:rsid w:val="18846F4E"/>
    <w:rsid w:val="18863B30"/>
    <w:rsid w:val="18A1541C"/>
    <w:rsid w:val="18A27E20"/>
    <w:rsid w:val="18C06C73"/>
    <w:rsid w:val="192A10BF"/>
    <w:rsid w:val="19362234"/>
    <w:rsid w:val="19437A4E"/>
    <w:rsid w:val="194930DE"/>
    <w:rsid w:val="194A7988"/>
    <w:rsid w:val="197B0F31"/>
    <w:rsid w:val="199A1D9A"/>
    <w:rsid w:val="19A75121"/>
    <w:rsid w:val="19A80B2C"/>
    <w:rsid w:val="19B96A79"/>
    <w:rsid w:val="19BD09FE"/>
    <w:rsid w:val="19E1442D"/>
    <w:rsid w:val="19E63A77"/>
    <w:rsid w:val="19F5617E"/>
    <w:rsid w:val="1A1010AE"/>
    <w:rsid w:val="1A1E2E12"/>
    <w:rsid w:val="1A235CE1"/>
    <w:rsid w:val="1A55038F"/>
    <w:rsid w:val="1A9730E8"/>
    <w:rsid w:val="1ABB2B38"/>
    <w:rsid w:val="1ADE57C6"/>
    <w:rsid w:val="1AEB29CE"/>
    <w:rsid w:val="1B1E7BF2"/>
    <w:rsid w:val="1B46382D"/>
    <w:rsid w:val="1B4D41D6"/>
    <w:rsid w:val="1B5617EA"/>
    <w:rsid w:val="1B5D3BD9"/>
    <w:rsid w:val="1B9F23A1"/>
    <w:rsid w:val="1BB50186"/>
    <w:rsid w:val="1BC019A1"/>
    <w:rsid w:val="1BD537BA"/>
    <w:rsid w:val="1BDF04E4"/>
    <w:rsid w:val="1C0D3ADD"/>
    <w:rsid w:val="1C234F9C"/>
    <w:rsid w:val="1C4C4237"/>
    <w:rsid w:val="1C5675BB"/>
    <w:rsid w:val="1CBA215B"/>
    <w:rsid w:val="1CD34B56"/>
    <w:rsid w:val="1D12105F"/>
    <w:rsid w:val="1D1B529A"/>
    <w:rsid w:val="1D1E7BD0"/>
    <w:rsid w:val="1D3739CC"/>
    <w:rsid w:val="1D4B24A3"/>
    <w:rsid w:val="1D6A07B0"/>
    <w:rsid w:val="1D6C6AD3"/>
    <w:rsid w:val="1D9A58F4"/>
    <w:rsid w:val="1DA13091"/>
    <w:rsid w:val="1DA50573"/>
    <w:rsid w:val="1DA926E7"/>
    <w:rsid w:val="1DDF7313"/>
    <w:rsid w:val="1DFE7BB9"/>
    <w:rsid w:val="1E137228"/>
    <w:rsid w:val="1E2A6997"/>
    <w:rsid w:val="1E354C4D"/>
    <w:rsid w:val="1E4D3999"/>
    <w:rsid w:val="1E587AA0"/>
    <w:rsid w:val="1E7160AF"/>
    <w:rsid w:val="1E791AC9"/>
    <w:rsid w:val="1E7A26D6"/>
    <w:rsid w:val="1E7D0EBB"/>
    <w:rsid w:val="1E843810"/>
    <w:rsid w:val="1E9C600A"/>
    <w:rsid w:val="1EA4706B"/>
    <w:rsid w:val="1ED52F8C"/>
    <w:rsid w:val="1EFA4284"/>
    <w:rsid w:val="1EFF3632"/>
    <w:rsid w:val="1F0048BA"/>
    <w:rsid w:val="1F0954D7"/>
    <w:rsid w:val="1F110606"/>
    <w:rsid w:val="1F2D1FA4"/>
    <w:rsid w:val="1F4E65E1"/>
    <w:rsid w:val="1F7630FB"/>
    <w:rsid w:val="1FBC0C63"/>
    <w:rsid w:val="1FC26279"/>
    <w:rsid w:val="1FC35740"/>
    <w:rsid w:val="1FE0174F"/>
    <w:rsid w:val="2001742D"/>
    <w:rsid w:val="20097113"/>
    <w:rsid w:val="20131495"/>
    <w:rsid w:val="202C4AAF"/>
    <w:rsid w:val="203E1933"/>
    <w:rsid w:val="2056699C"/>
    <w:rsid w:val="2083542B"/>
    <w:rsid w:val="20913C21"/>
    <w:rsid w:val="20E72616"/>
    <w:rsid w:val="20F12048"/>
    <w:rsid w:val="211050E1"/>
    <w:rsid w:val="2117166F"/>
    <w:rsid w:val="211B0E82"/>
    <w:rsid w:val="211D56CA"/>
    <w:rsid w:val="212A0A50"/>
    <w:rsid w:val="2130470E"/>
    <w:rsid w:val="21485DF6"/>
    <w:rsid w:val="21592983"/>
    <w:rsid w:val="21837F51"/>
    <w:rsid w:val="21857E65"/>
    <w:rsid w:val="218D0ECC"/>
    <w:rsid w:val="218D6646"/>
    <w:rsid w:val="21CD459B"/>
    <w:rsid w:val="21D03B85"/>
    <w:rsid w:val="21FC63AB"/>
    <w:rsid w:val="220501EE"/>
    <w:rsid w:val="221D3AD6"/>
    <w:rsid w:val="22310FEC"/>
    <w:rsid w:val="22315EAB"/>
    <w:rsid w:val="223C163A"/>
    <w:rsid w:val="226C3D13"/>
    <w:rsid w:val="226C784A"/>
    <w:rsid w:val="226D35A9"/>
    <w:rsid w:val="22A01243"/>
    <w:rsid w:val="22AA5E0C"/>
    <w:rsid w:val="22B47541"/>
    <w:rsid w:val="22E0562C"/>
    <w:rsid w:val="22F31DEE"/>
    <w:rsid w:val="232264A0"/>
    <w:rsid w:val="232546B8"/>
    <w:rsid w:val="23555606"/>
    <w:rsid w:val="23707252"/>
    <w:rsid w:val="237666F2"/>
    <w:rsid w:val="237B3F09"/>
    <w:rsid w:val="2386438F"/>
    <w:rsid w:val="239F35B7"/>
    <w:rsid w:val="23A227CA"/>
    <w:rsid w:val="23B260BE"/>
    <w:rsid w:val="23BF3ED9"/>
    <w:rsid w:val="23E47D40"/>
    <w:rsid w:val="23F2722B"/>
    <w:rsid w:val="241473CC"/>
    <w:rsid w:val="241A5E8A"/>
    <w:rsid w:val="24440138"/>
    <w:rsid w:val="24442993"/>
    <w:rsid w:val="245012E1"/>
    <w:rsid w:val="245E59B7"/>
    <w:rsid w:val="24600BC5"/>
    <w:rsid w:val="2463510E"/>
    <w:rsid w:val="246A484C"/>
    <w:rsid w:val="24AE1A8C"/>
    <w:rsid w:val="24B02429"/>
    <w:rsid w:val="24B25B89"/>
    <w:rsid w:val="24BD49CC"/>
    <w:rsid w:val="24D077B9"/>
    <w:rsid w:val="250F5086"/>
    <w:rsid w:val="253F3685"/>
    <w:rsid w:val="2553047A"/>
    <w:rsid w:val="255F56D7"/>
    <w:rsid w:val="2571234D"/>
    <w:rsid w:val="257A1A54"/>
    <w:rsid w:val="258A5678"/>
    <w:rsid w:val="258B2089"/>
    <w:rsid w:val="258B2356"/>
    <w:rsid w:val="259C342B"/>
    <w:rsid w:val="25A64EDA"/>
    <w:rsid w:val="25AB27D7"/>
    <w:rsid w:val="25B34D8C"/>
    <w:rsid w:val="25B6695F"/>
    <w:rsid w:val="25DA5A33"/>
    <w:rsid w:val="26135A33"/>
    <w:rsid w:val="26454D09"/>
    <w:rsid w:val="26460639"/>
    <w:rsid w:val="26633E37"/>
    <w:rsid w:val="267C5535"/>
    <w:rsid w:val="26B90652"/>
    <w:rsid w:val="26BA4A71"/>
    <w:rsid w:val="26C16627"/>
    <w:rsid w:val="26CD37A7"/>
    <w:rsid w:val="26D229D1"/>
    <w:rsid w:val="27016E57"/>
    <w:rsid w:val="27081BD6"/>
    <w:rsid w:val="272343EC"/>
    <w:rsid w:val="27241DC5"/>
    <w:rsid w:val="272824EF"/>
    <w:rsid w:val="272A512C"/>
    <w:rsid w:val="272E15C5"/>
    <w:rsid w:val="27362214"/>
    <w:rsid w:val="273A6490"/>
    <w:rsid w:val="2740601C"/>
    <w:rsid w:val="275A3EE2"/>
    <w:rsid w:val="27654FAF"/>
    <w:rsid w:val="27745604"/>
    <w:rsid w:val="27833D56"/>
    <w:rsid w:val="27B319C0"/>
    <w:rsid w:val="27BC6509"/>
    <w:rsid w:val="27C269C7"/>
    <w:rsid w:val="27C6591A"/>
    <w:rsid w:val="28283705"/>
    <w:rsid w:val="28504F48"/>
    <w:rsid w:val="285C1EDC"/>
    <w:rsid w:val="28636A41"/>
    <w:rsid w:val="286F0E57"/>
    <w:rsid w:val="28774DDF"/>
    <w:rsid w:val="2878448D"/>
    <w:rsid w:val="287C3F66"/>
    <w:rsid w:val="28854E35"/>
    <w:rsid w:val="288E5417"/>
    <w:rsid w:val="289754A0"/>
    <w:rsid w:val="28985004"/>
    <w:rsid w:val="28A1011E"/>
    <w:rsid w:val="28D64025"/>
    <w:rsid w:val="29211CF0"/>
    <w:rsid w:val="29567639"/>
    <w:rsid w:val="295C4F33"/>
    <w:rsid w:val="295F3084"/>
    <w:rsid w:val="29727E01"/>
    <w:rsid w:val="297918C6"/>
    <w:rsid w:val="297F79C3"/>
    <w:rsid w:val="29970A17"/>
    <w:rsid w:val="29B073A1"/>
    <w:rsid w:val="29C25900"/>
    <w:rsid w:val="29E94AD8"/>
    <w:rsid w:val="2A190DE0"/>
    <w:rsid w:val="2A1E320F"/>
    <w:rsid w:val="2A421D70"/>
    <w:rsid w:val="2A4C3917"/>
    <w:rsid w:val="2A5620DD"/>
    <w:rsid w:val="2A7C51AF"/>
    <w:rsid w:val="2A8B3267"/>
    <w:rsid w:val="2A8B6F91"/>
    <w:rsid w:val="2AA61550"/>
    <w:rsid w:val="2AF760CD"/>
    <w:rsid w:val="2B0F28F2"/>
    <w:rsid w:val="2B357714"/>
    <w:rsid w:val="2B5F76DA"/>
    <w:rsid w:val="2B9017B1"/>
    <w:rsid w:val="2BA60B9A"/>
    <w:rsid w:val="2BB23D7D"/>
    <w:rsid w:val="2BB723F4"/>
    <w:rsid w:val="2BC445CB"/>
    <w:rsid w:val="2BD44A44"/>
    <w:rsid w:val="2BD57010"/>
    <w:rsid w:val="2BD86E90"/>
    <w:rsid w:val="2BED7BEA"/>
    <w:rsid w:val="2BF1041D"/>
    <w:rsid w:val="2BF2772B"/>
    <w:rsid w:val="2C273152"/>
    <w:rsid w:val="2C423ECD"/>
    <w:rsid w:val="2C70271C"/>
    <w:rsid w:val="2CC976BB"/>
    <w:rsid w:val="2CD16889"/>
    <w:rsid w:val="2D1250C1"/>
    <w:rsid w:val="2D282C24"/>
    <w:rsid w:val="2D627171"/>
    <w:rsid w:val="2DB860F0"/>
    <w:rsid w:val="2DD06B86"/>
    <w:rsid w:val="2DD50F35"/>
    <w:rsid w:val="2DE01930"/>
    <w:rsid w:val="2E013B0B"/>
    <w:rsid w:val="2E037A94"/>
    <w:rsid w:val="2E0A53BD"/>
    <w:rsid w:val="2E592200"/>
    <w:rsid w:val="2E6A11C3"/>
    <w:rsid w:val="2E8B6EB2"/>
    <w:rsid w:val="2E965301"/>
    <w:rsid w:val="2EA71F0A"/>
    <w:rsid w:val="2EBE0E91"/>
    <w:rsid w:val="2EC7222F"/>
    <w:rsid w:val="2ED3395D"/>
    <w:rsid w:val="2ED95190"/>
    <w:rsid w:val="2EDC5ED9"/>
    <w:rsid w:val="2EDF266F"/>
    <w:rsid w:val="2EF43C73"/>
    <w:rsid w:val="2F04086E"/>
    <w:rsid w:val="2F0956C6"/>
    <w:rsid w:val="2F466D49"/>
    <w:rsid w:val="2F4E265F"/>
    <w:rsid w:val="2F53243F"/>
    <w:rsid w:val="2F703447"/>
    <w:rsid w:val="2F780A02"/>
    <w:rsid w:val="2F8E203C"/>
    <w:rsid w:val="2F9776EE"/>
    <w:rsid w:val="2F9C2EE3"/>
    <w:rsid w:val="2FA1689E"/>
    <w:rsid w:val="2FAA78FC"/>
    <w:rsid w:val="2FBE6E9D"/>
    <w:rsid w:val="2FC23374"/>
    <w:rsid w:val="2FD44FE5"/>
    <w:rsid w:val="2FD767D5"/>
    <w:rsid w:val="300E4300"/>
    <w:rsid w:val="30360735"/>
    <w:rsid w:val="304E1B1D"/>
    <w:rsid w:val="30A65009"/>
    <w:rsid w:val="30B37F4D"/>
    <w:rsid w:val="30B53DD6"/>
    <w:rsid w:val="30BC24D0"/>
    <w:rsid w:val="30C52499"/>
    <w:rsid w:val="31181235"/>
    <w:rsid w:val="31247CDB"/>
    <w:rsid w:val="313B0776"/>
    <w:rsid w:val="31443F4E"/>
    <w:rsid w:val="31601176"/>
    <w:rsid w:val="31646A45"/>
    <w:rsid w:val="317350B8"/>
    <w:rsid w:val="31A6633A"/>
    <w:rsid w:val="31E36AFE"/>
    <w:rsid w:val="320E2D73"/>
    <w:rsid w:val="32285D90"/>
    <w:rsid w:val="322D1EDF"/>
    <w:rsid w:val="326C546A"/>
    <w:rsid w:val="327F2870"/>
    <w:rsid w:val="32812BBA"/>
    <w:rsid w:val="32935245"/>
    <w:rsid w:val="32940500"/>
    <w:rsid w:val="329C68CE"/>
    <w:rsid w:val="32BB4478"/>
    <w:rsid w:val="32E009D7"/>
    <w:rsid w:val="33221E9E"/>
    <w:rsid w:val="332A0732"/>
    <w:rsid w:val="333257BF"/>
    <w:rsid w:val="33346EDA"/>
    <w:rsid w:val="33491264"/>
    <w:rsid w:val="337E6440"/>
    <w:rsid w:val="3394230C"/>
    <w:rsid w:val="33C124EF"/>
    <w:rsid w:val="33FE1E07"/>
    <w:rsid w:val="343A4811"/>
    <w:rsid w:val="345339C1"/>
    <w:rsid w:val="34690B26"/>
    <w:rsid w:val="34723355"/>
    <w:rsid w:val="3476373A"/>
    <w:rsid w:val="34846CE8"/>
    <w:rsid w:val="34976358"/>
    <w:rsid w:val="34DC614F"/>
    <w:rsid w:val="34E6432B"/>
    <w:rsid w:val="34FE3441"/>
    <w:rsid w:val="35144FC2"/>
    <w:rsid w:val="3552323E"/>
    <w:rsid w:val="35814BD1"/>
    <w:rsid w:val="35970F37"/>
    <w:rsid w:val="35993E91"/>
    <w:rsid w:val="359A183F"/>
    <w:rsid w:val="35FF4C7A"/>
    <w:rsid w:val="360723A1"/>
    <w:rsid w:val="36294BB2"/>
    <w:rsid w:val="36387971"/>
    <w:rsid w:val="36631474"/>
    <w:rsid w:val="366C2422"/>
    <w:rsid w:val="36703359"/>
    <w:rsid w:val="36717361"/>
    <w:rsid w:val="367654E9"/>
    <w:rsid w:val="367E371D"/>
    <w:rsid w:val="368528CA"/>
    <w:rsid w:val="36AA1E8A"/>
    <w:rsid w:val="36C60C7B"/>
    <w:rsid w:val="36C65794"/>
    <w:rsid w:val="36D8741B"/>
    <w:rsid w:val="371541D1"/>
    <w:rsid w:val="373509D3"/>
    <w:rsid w:val="374D5D8C"/>
    <w:rsid w:val="3755109E"/>
    <w:rsid w:val="376A5F34"/>
    <w:rsid w:val="3779788B"/>
    <w:rsid w:val="3786118A"/>
    <w:rsid w:val="378C713D"/>
    <w:rsid w:val="37A17B33"/>
    <w:rsid w:val="37A25F73"/>
    <w:rsid w:val="37CE690E"/>
    <w:rsid w:val="37F03B5E"/>
    <w:rsid w:val="38427F72"/>
    <w:rsid w:val="384E7F7B"/>
    <w:rsid w:val="386F5D88"/>
    <w:rsid w:val="38783150"/>
    <w:rsid w:val="388A4991"/>
    <w:rsid w:val="388B4152"/>
    <w:rsid w:val="388C0D82"/>
    <w:rsid w:val="389D2568"/>
    <w:rsid w:val="38FD0D62"/>
    <w:rsid w:val="39113BA4"/>
    <w:rsid w:val="39176769"/>
    <w:rsid w:val="39361C1E"/>
    <w:rsid w:val="3941601C"/>
    <w:rsid w:val="39492008"/>
    <w:rsid w:val="39573400"/>
    <w:rsid w:val="398A3BCA"/>
    <w:rsid w:val="3998664C"/>
    <w:rsid w:val="39C04C44"/>
    <w:rsid w:val="39C36AE9"/>
    <w:rsid w:val="39DB5A07"/>
    <w:rsid w:val="39E6240C"/>
    <w:rsid w:val="39FA53A3"/>
    <w:rsid w:val="3A4201BB"/>
    <w:rsid w:val="3A4E1E88"/>
    <w:rsid w:val="3A6137EF"/>
    <w:rsid w:val="3A9416BD"/>
    <w:rsid w:val="3AB0574B"/>
    <w:rsid w:val="3ADA5C60"/>
    <w:rsid w:val="3B032673"/>
    <w:rsid w:val="3B0657A8"/>
    <w:rsid w:val="3B1F6736"/>
    <w:rsid w:val="3B2004F2"/>
    <w:rsid w:val="3B2A11B5"/>
    <w:rsid w:val="3B2B25CA"/>
    <w:rsid w:val="3B3209CE"/>
    <w:rsid w:val="3B3356BD"/>
    <w:rsid w:val="3B8E0D20"/>
    <w:rsid w:val="3BA50692"/>
    <w:rsid w:val="3BC33B32"/>
    <w:rsid w:val="3BDB3F01"/>
    <w:rsid w:val="3BFA58BA"/>
    <w:rsid w:val="3C2530C1"/>
    <w:rsid w:val="3C2B0180"/>
    <w:rsid w:val="3C747397"/>
    <w:rsid w:val="3C7B13DB"/>
    <w:rsid w:val="3C9914FA"/>
    <w:rsid w:val="3CCC7A3C"/>
    <w:rsid w:val="3CEF4B7C"/>
    <w:rsid w:val="3CF64FF2"/>
    <w:rsid w:val="3D0C4D5C"/>
    <w:rsid w:val="3D437565"/>
    <w:rsid w:val="3D447DF5"/>
    <w:rsid w:val="3D4B1105"/>
    <w:rsid w:val="3D7366F0"/>
    <w:rsid w:val="3D825091"/>
    <w:rsid w:val="3D90162C"/>
    <w:rsid w:val="3DBF4A2E"/>
    <w:rsid w:val="3DC349C7"/>
    <w:rsid w:val="3DCD5587"/>
    <w:rsid w:val="3DCE2B0F"/>
    <w:rsid w:val="3DDD794F"/>
    <w:rsid w:val="3DE912B3"/>
    <w:rsid w:val="3E2325E4"/>
    <w:rsid w:val="3E4B6FEF"/>
    <w:rsid w:val="3E591356"/>
    <w:rsid w:val="3E712C65"/>
    <w:rsid w:val="3E747601"/>
    <w:rsid w:val="3EA86D55"/>
    <w:rsid w:val="3EAE3196"/>
    <w:rsid w:val="3EB84807"/>
    <w:rsid w:val="3EC951E6"/>
    <w:rsid w:val="3EE12137"/>
    <w:rsid w:val="3EE24939"/>
    <w:rsid w:val="3F005B96"/>
    <w:rsid w:val="3F047C6A"/>
    <w:rsid w:val="3F283D20"/>
    <w:rsid w:val="3F2B777B"/>
    <w:rsid w:val="3F337968"/>
    <w:rsid w:val="3F3549AF"/>
    <w:rsid w:val="3F372C65"/>
    <w:rsid w:val="3F621572"/>
    <w:rsid w:val="3F922A82"/>
    <w:rsid w:val="3F9A1EC4"/>
    <w:rsid w:val="3FDA14DD"/>
    <w:rsid w:val="3FFB6BC1"/>
    <w:rsid w:val="400359E7"/>
    <w:rsid w:val="408234E3"/>
    <w:rsid w:val="40897961"/>
    <w:rsid w:val="40C638AD"/>
    <w:rsid w:val="40CA425D"/>
    <w:rsid w:val="41670D09"/>
    <w:rsid w:val="416C06DC"/>
    <w:rsid w:val="416C65E2"/>
    <w:rsid w:val="416D45E0"/>
    <w:rsid w:val="417525F5"/>
    <w:rsid w:val="41813677"/>
    <w:rsid w:val="41B067A6"/>
    <w:rsid w:val="41BE4CC7"/>
    <w:rsid w:val="420A126B"/>
    <w:rsid w:val="420E70C0"/>
    <w:rsid w:val="421B31E2"/>
    <w:rsid w:val="42220CF1"/>
    <w:rsid w:val="422277D1"/>
    <w:rsid w:val="42407D03"/>
    <w:rsid w:val="426D73D2"/>
    <w:rsid w:val="4292041D"/>
    <w:rsid w:val="429B5682"/>
    <w:rsid w:val="42AC606C"/>
    <w:rsid w:val="42AF33E9"/>
    <w:rsid w:val="42B96DBD"/>
    <w:rsid w:val="42F01900"/>
    <w:rsid w:val="432958F9"/>
    <w:rsid w:val="43380DE5"/>
    <w:rsid w:val="43550DF4"/>
    <w:rsid w:val="43586CB7"/>
    <w:rsid w:val="43A7112E"/>
    <w:rsid w:val="43CB45E8"/>
    <w:rsid w:val="43E70B7D"/>
    <w:rsid w:val="43E70FE7"/>
    <w:rsid w:val="43F353EB"/>
    <w:rsid w:val="440453FA"/>
    <w:rsid w:val="445B0D45"/>
    <w:rsid w:val="44615FF9"/>
    <w:rsid w:val="44AE4F31"/>
    <w:rsid w:val="44D63372"/>
    <w:rsid w:val="44DA471E"/>
    <w:rsid w:val="44EA5D3C"/>
    <w:rsid w:val="44F9314C"/>
    <w:rsid w:val="44FD2C0A"/>
    <w:rsid w:val="450779CA"/>
    <w:rsid w:val="45223C9A"/>
    <w:rsid w:val="455C6A1C"/>
    <w:rsid w:val="45A6126C"/>
    <w:rsid w:val="45B179E2"/>
    <w:rsid w:val="45B43A36"/>
    <w:rsid w:val="45C305EC"/>
    <w:rsid w:val="45D264C6"/>
    <w:rsid w:val="46142134"/>
    <w:rsid w:val="46296A1C"/>
    <w:rsid w:val="46400EE0"/>
    <w:rsid w:val="46483DAF"/>
    <w:rsid w:val="464F4444"/>
    <w:rsid w:val="467F34B2"/>
    <w:rsid w:val="468819D8"/>
    <w:rsid w:val="46924EC4"/>
    <w:rsid w:val="469F4869"/>
    <w:rsid w:val="46E95F29"/>
    <w:rsid w:val="472C0F92"/>
    <w:rsid w:val="473C1001"/>
    <w:rsid w:val="47440C9C"/>
    <w:rsid w:val="476B0D9D"/>
    <w:rsid w:val="479033D8"/>
    <w:rsid w:val="4795340B"/>
    <w:rsid w:val="479B74B5"/>
    <w:rsid w:val="479E78D1"/>
    <w:rsid w:val="479E7D31"/>
    <w:rsid w:val="47A17BD6"/>
    <w:rsid w:val="47B37F19"/>
    <w:rsid w:val="47FB5229"/>
    <w:rsid w:val="48025DE1"/>
    <w:rsid w:val="480A521B"/>
    <w:rsid w:val="480B7F02"/>
    <w:rsid w:val="4813787E"/>
    <w:rsid w:val="482379E3"/>
    <w:rsid w:val="482D4F2D"/>
    <w:rsid w:val="48352FD3"/>
    <w:rsid w:val="48A24680"/>
    <w:rsid w:val="48D40BFF"/>
    <w:rsid w:val="48DF3B22"/>
    <w:rsid w:val="48E1173B"/>
    <w:rsid w:val="48FF7D63"/>
    <w:rsid w:val="493A51B2"/>
    <w:rsid w:val="49522D5E"/>
    <w:rsid w:val="495E7E75"/>
    <w:rsid w:val="4976669E"/>
    <w:rsid w:val="49810A6A"/>
    <w:rsid w:val="49837331"/>
    <w:rsid w:val="499526E5"/>
    <w:rsid w:val="4A011EAA"/>
    <w:rsid w:val="4A082917"/>
    <w:rsid w:val="4A124D2C"/>
    <w:rsid w:val="4A2C4DCA"/>
    <w:rsid w:val="4A3848C9"/>
    <w:rsid w:val="4A4327F3"/>
    <w:rsid w:val="4A5A2CB7"/>
    <w:rsid w:val="4A5E24EF"/>
    <w:rsid w:val="4A6C6657"/>
    <w:rsid w:val="4A6C70EC"/>
    <w:rsid w:val="4A7434AD"/>
    <w:rsid w:val="4A8A1A11"/>
    <w:rsid w:val="4A9066CD"/>
    <w:rsid w:val="4A920DA8"/>
    <w:rsid w:val="4A9B7544"/>
    <w:rsid w:val="4AB00302"/>
    <w:rsid w:val="4ABB0E27"/>
    <w:rsid w:val="4ADD71BB"/>
    <w:rsid w:val="4AEE21F8"/>
    <w:rsid w:val="4B010FFE"/>
    <w:rsid w:val="4B012C58"/>
    <w:rsid w:val="4B1B2F3C"/>
    <w:rsid w:val="4B1C6383"/>
    <w:rsid w:val="4B402F7A"/>
    <w:rsid w:val="4B4B146A"/>
    <w:rsid w:val="4B800CDC"/>
    <w:rsid w:val="4B89272D"/>
    <w:rsid w:val="4B8C4A77"/>
    <w:rsid w:val="4BA509D0"/>
    <w:rsid w:val="4BD1333F"/>
    <w:rsid w:val="4BDC3BFA"/>
    <w:rsid w:val="4C191297"/>
    <w:rsid w:val="4C465A0B"/>
    <w:rsid w:val="4C51578E"/>
    <w:rsid w:val="4C953139"/>
    <w:rsid w:val="4C9F7632"/>
    <w:rsid w:val="4CBB2C07"/>
    <w:rsid w:val="4CD97F30"/>
    <w:rsid w:val="4D0C2670"/>
    <w:rsid w:val="4D0D0F73"/>
    <w:rsid w:val="4D5F439A"/>
    <w:rsid w:val="4D870E9F"/>
    <w:rsid w:val="4D9A7923"/>
    <w:rsid w:val="4DA50A30"/>
    <w:rsid w:val="4DD20058"/>
    <w:rsid w:val="4DE82850"/>
    <w:rsid w:val="4E237D6A"/>
    <w:rsid w:val="4E4F3EA7"/>
    <w:rsid w:val="4E790EE1"/>
    <w:rsid w:val="4EA04578"/>
    <w:rsid w:val="4EBA4F97"/>
    <w:rsid w:val="4EE76C69"/>
    <w:rsid w:val="4EEA2B3B"/>
    <w:rsid w:val="4F1064BE"/>
    <w:rsid w:val="4F3F379A"/>
    <w:rsid w:val="4F4E4912"/>
    <w:rsid w:val="4F984F0F"/>
    <w:rsid w:val="4F9D3835"/>
    <w:rsid w:val="4FA51022"/>
    <w:rsid w:val="4FB17BE9"/>
    <w:rsid w:val="4FB94BF8"/>
    <w:rsid w:val="4FBD611B"/>
    <w:rsid w:val="504C4C3B"/>
    <w:rsid w:val="508C4AA3"/>
    <w:rsid w:val="50A85406"/>
    <w:rsid w:val="50B10EF0"/>
    <w:rsid w:val="50B43010"/>
    <w:rsid w:val="50B657B2"/>
    <w:rsid w:val="50B83116"/>
    <w:rsid w:val="50C71B1B"/>
    <w:rsid w:val="50DF1E37"/>
    <w:rsid w:val="50F10529"/>
    <w:rsid w:val="50F42D89"/>
    <w:rsid w:val="511D663E"/>
    <w:rsid w:val="519E11F8"/>
    <w:rsid w:val="51BC174F"/>
    <w:rsid w:val="51C933E7"/>
    <w:rsid w:val="51D510C4"/>
    <w:rsid w:val="51F95692"/>
    <w:rsid w:val="51FC54A2"/>
    <w:rsid w:val="52007B5B"/>
    <w:rsid w:val="52084255"/>
    <w:rsid w:val="520F7D5C"/>
    <w:rsid w:val="521A49C2"/>
    <w:rsid w:val="522360A9"/>
    <w:rsid w:val="526E4055"/>
    <w:rsid w:val="52726B57"/>
    <w:rsid w:val="52751D0A"/>
    <w:rsid w:val="52765854"/>
    <w:rsid w:val="528D2E6D"/>
    <w:rsid w:val="52A046E9"/>
    <w:rsid w:val="52A478E0"/>
    <w:rsid w:val="52C86DD7"/>
    <w:rsid w:val="52E13FC0"/>
    <w:rsid w:val="52E26189"/>
    <w:rsid w:val="52EF627F"/>
    <w:rsid w:val="52F07969"/>
    <w:rsid w:val="53246878"/>
    <w:rsid w:val="5363032E"/>
    <w:rsid w:val="53875A56"/>
    <w:rsid w:val="539C7B68"/>
    <w:rsid w:val="539D7DEB"/>
    <w:rsid w:val="53BE1269"/>
    <w:rsid w:val="53CE1A35"/>
    <w:rsid w:val="53E3409F"/>
    <w:rsid w:val="54057997"/>
    <w:rsid w:val="540D7234"/>
    <w:rsid w:val="5419249D"/>
    <w:rsid w:val="543E5D81"/>
    <w:rsid w:val="54916CB6"/>
    <w:rsid w:val="549C7177"/>
    <w:rsid w:val="54A91443"/>
    <w:rsid w:val="54D45802"/>
    <w:rsid w:val="54EE16AA"/>
    <w:rsid w:val="55047D5F"/>
    <w:rsid w:val="55272314"/>
    <w:rsid w:val="55466EAF"/>
    <w:rsid w:val="555475F8"/>
    <w:rsid w:val="55806B40"/>
    <w:rsid w:val="55966BC6"/>
    <w:rsid w:val="55A5536B"/>
    <w:rsid w:val="55AA2F0F"/>
    <w:rsid w:val="55AE384A"/>
    <w:rsid w:val="55B226AA"/>
    <w:rsid w:val="55DD34CA"/>
    <w:rsid w:val="55DE04A3"/>
    <w:rsid w:val="55F1458E"/>
    <w:rsid w:val="55FE15A0"/>
    <w:rsid w:val="561C2A2B"/>
    <w:rsid w:val="562E7E79"/>
    <w:rsid w:val="563422E0"/>
    <w:rsid w:val="569904C6"/>
    <w:rsid w:val="569D097D"/>
    <w:rsid w:val="56AD643E"/>
    <w:rsid w:val="56C24EB1"/>
    <w:rsid w:val="56C71EA9"/>
    <w:rsid w:val="56CA79B0"/>
    <w:rsid w:val="56CF0BC0"/>
    <w:rsid w:val="56D203BA"/>
    <w:rsid w:val="5707049E"/>
    <w:rsid w:val="57070A37"/>
    <w:rsid w:val="57083D97"/>
    <w:rsid w:val="57245079"/>
    <w:rsid w:val="572C2D2D"/>
    <w:rsid w:val="575543B7"/>
    <w:rsid w:val="576E778C"/>
    <w:rsid w:val="577921D5"/>
    <w:rsid w:val="578A74C4"/>
    <w:rsid w:val="5796066F"/>
    <w:rsid w:val="57A30B78"/>
    <w:rsid w:val="57BB774D"/>
    <w:rsid w:val="57E10BDF"/>
    <w:rsid w:val="57E746F9"/>
    <w:rsid w:val="57EB6F88"/>
    <w:rsid w:val="57F85B6D"/>
    <w:rsid w:val="57FE1042"/>
    <w:rsid w:val="583B0DA2"/>
    <w:rsid w:val="58512F1B"/>
    <w:rsid w:val="585F6BB8"/>
    <w:rsid w:val="58877682"/>
    <w:rsid w:val="58AF04A5"/>
    <w:rsid w:val="58B41632"/>
    <w:rsid w:val="58F16B00"/>
    <w:rsid w:val="58F2052A"/>
    <w:rsid w:val="592E1D33"/>
    <w:rsid w:val="5941756D"/>
    <w:rsid w:val="597644A8"/>
    <w:rsid w:val="598655A6"/>
    <w:rsid w:val="59A57DD1"/>
    <w:rsid w:val="59BA1615"/>
    <w:rsid w:val="59E07BAA"/>
    <w:rsid w:val="5A1573EA"/>
    <w:rsid w:val="5A274115"/>
    <w:rsid w:val="5A36551B"/>
    <w:rsid w:val="5A6F38CA"/>
    <w:rsid w:val="5A7F3D29"/>
    <w:rsid w:val="5A9B3D0E"/>
    <w:rsid w:val="5A9C112E"/>
    <w:rsid w:val="5A9F342A"/>
    <w:rsid w:val="5AAD0796"/>
    <w:rsid w:val="5AB76903"/>
    <w:rsid w:val="5ADC6E7C"/>
    <w:rsid w:val="5AF57579"/>
    <w:rsid w:val="5AF93B49"/>
    <w:rsid w:val="5AF94476"/>
    <w:rsid w:val="5AFB2069"/>
    <w:rsid w:val="5B032997"/>
    <w:rsid w:val="5B2133CE"/>
    <w:rsid w:val="5B51079C"/>
    <w:rsid w:val="5B5107D2"/>
    <w:rsid w:val="5B9330B0"/>
    <w:rsid w:val="5BA52740"/>
    <w:rsid w:val="5BC65407"/>
    <w:rsid w:val="5BC74FD4"/>
    <w:rsid w:val="5BD14DE0"/>
    <w:rsid w:val="5BE1337C"/>
    <w:rsid w:val="5BE53F6B"/>
    <w:rsid w:val="5C143FDA"/>
    <w:rsid w:val="5C257744"/>
    <w:rsid w:val="5C4F1FBC"/>
    <w:rsid w:val="5C534D46"/>
    <w:rsid w:val="5C7A4A9F"/>
    <w:rsid w:val="5C8A0C41"/>
    <w:rsid w:val="5CAE32C4"/>
    <w:rsid w:val="5CE029E9"/>
    <w:rsid w:val="5D1F5EEC"/>
    <w:rsid w:val="5D374B7A"/>
    <w:rsid w:val="5D3D34A4"/>
    <w:rsid w:val="5D5C751F"/>
    <w:rsid w:val="5D995676"/>
    <w:rsid w:val="5DED53CE"/>
    <w:rsid w:val="5E092317"/>
    <w:rsid w:val="5E24116B"/>
    <w:rsid w:val="5E283D95"/>
    <w:rsid w:val="5E3F56C1"/>
    <w:rsid w:val="5E530A5B"/>
    <w:rsid w:val="5E8E2607"/>
    <w:rsid w:val="5E91608D"/>
    <w:rsid w:val="5E963C06"/>
    <w:rsid w:val="5EA955B7"/>
    <w:rsid w:val="5EE25222"/>
    <w:rsid w:val="5EF31BE8"/>
    <w:rsid w:val="5F097802"/>
    <w:rsid w:val="5F1C3458"/>
    <w:rsid w:val="5F215708"/>
    <w:rsid w:val="5F32597A"/>
    <w:rsid w:val="5F541C70"/>
    <w:rsid w:val="5F571DA4"/>
    <w:rsid w:val="5F70603F"/>
    <w:rsid w:val="5FB07201"/>
    <w:rsid w:val="5FD747E7"/>
    <w:rsid w:val="5FE0630C"/>
    <w:rsid w:val="5FE42DBF"/>
    <w:rsid w:val="5FF55178"/>
    <w:rsid w:val="600C338C"/>
    <w:rsid w:val="600C33C3"/>
    <w:rsid w:val="6040276C"/>
    <w:rsid w:val="60686C0D"/>
    <w:rsid w:val="60702B3A"/>
    <w:rsid w:val="607565F9"/>
    <w:rsid w:val="608E193E"/>
    <w:rsid w:val="60955F9B"/>
    <w:rsid w:val="60BA6C33"/>
    <w:rsid w:val="60D22D51"/>
    <w:rsid w:val="610B0DC5"/>
    <w:rsid w:val="61235D87"/>
    <w:rsid w:val="612A57B0"/>
    <w:rsid w:val="61371989"/>
    <w:rsid w:val="61623D24"/>
    <w:rsid w:val="61772330"/>
    <w:rsid w:val="617C6E18"/>
    <w:rsid w:val="61B01AE6"/>
    <w:rsid w:val="61B167B1"/>
    <w:rsid w:val="61B628E3"/>
    <w:rsid w:val="61C82A5B"/>
    <w:rsid w:val="620378FC"/>
    <w:rsid w:val="6216126A"/>
    <w:rsid w:val="624728BE"/>
    <w:rsid w:val="62742AE8"/>
    <w:rsid w:val="628A02D8"/>
    <w:rsid w:val="62954296"/>
    <w:rsid w:val="629B5170"/>
    <w:rsid w:val="62C657F9"/>
    <w:rsid w:val="62DC5485"/>
    <w:rsid w:val="62DC7DAD"/>
    <w:rsid w:val="62FE06E7"/>
    <w:rsid w:val="63055BA1"/>
    <w:rsid w:val="631F58CA"/>
    <w:rsid w:val="63204CDF"/>
    <w:rsid w:val="634A5A9B"/>
    <w:rsid w:val="63665EE9"/>
    <w:rsid w:val="63711E80"/>
    <w:rsid w:val="637557FF"/>
    <w:rsid w:val="638130D6"/>
    <w:rsid w:val="63865998"/>
    <w:rsid w:val="638947A1"/>
    <w:rsid w:val="63A800E0"/>
    <w:rsid w:val="63B05281"/>
    <w:rsid w:val="63D63A6E"/>
    <w:rsid w:val="63D8686A"/>
    <w:rsid w:val="63F76686"/>
    <w:rsid w:val="640149EC"/>
    <w:rsid w:val="640C0F98"/>
    <w:rsid w:val="641408BC"/>
    <w:rsid w:val="644E57B8"/>
    <w:rsid w:val="64710D91"/>
    <w:rsid w:val="648B7499"/>
    <w:rsid w:val="64955ACF"/>
    <w:rsid w:val="64AB6A1D"/>
    <w:rsid w:val="64AF6BA4"/>
    <w:rsid w:val="64C748E6"/>
    <w:rsid w:val="64FE1A11"/>
    <w:rsid w:val="650133B3"/>
    <w:rsid w:val="65095E54"/>
    <w:rsid w:val="650E76BA"/>
    <w:rsid w:val="6525594E"/>
    <w:rsid w:val="6565350F"/>
    <w:rsid w:val="65A15C60"/>
    <w:rsid w:val="65D43780"/>
    <w:rsid w:val="65F14DA6"/>
    <w:rsid w:val="661B3C98"/>
    <w:rsid w:val="661E52E2"/>
    <w:rsid w:val="66226F06"/>
    <w:rsid w:val="664B2B98"/>
    <w:rsid w:val="665D5001"/>
    <w:rsid w:val="666772AD"/>
    <w:rsid w:val="66763221"/>
    <w:rsid w:val="66934999"/>
    <w:rsid w:val="66A22A2A"/>
    <w:rsid w:val="66A479E2"/>
    <w:rsid w:val="66B6628C"/>
    <w:rsid w:val="66D153EF"/>
    <w:rsid w:val="66D22D0C"/>
    <w:rsid w:val="66D53831"/>
    <w:rsid w:val="66DA791B"/>
    <w:rsid w:val="66FA7506"/>
    <w:rsid w:val="66FF1E6B"/>
    <w:rsid w:val="670A1926"/>
    <w:rsid w:val="676B36AA"/>
    <w:rsid w:val="67921B1F"/>
    <w:rsid w:val="67AA27F0"/>
    <w:rsid w:val="680E1205"/>
    <w:rsid w:val="68113530"/>
    <w:rsid w:val="68126520"/>
    <w:rsid w:val="68185603"/>
    <w:rsid w:val="686664E0"/>
    <w:rsid w:val="688C62B4"/>
    <w:rsid w:val="68976857"/>
    <w:rsid w:val="689D255D"/>
    <w:rsid w:val="68B030EC"/>
    <w:rsid w:val="68B259E8"/>
    <w:rsid w:val="68C6534C"/>
    <w:rsid w:val="68CB7999"/>
    <w:rsid w:val="693134FA"/>
    <w:rsid w:val="6950362C"/>
    <w:rsid w:val="696B065D"/>
    <w:rsid w:val="698C10B1"/>
    <w:rsid w:val="69A25F85"/>
    <w:rsid w:val="69BE4A65"/>
    <w:rsid w:val="69CA5A7A"/>
    <w:rsid w:val="69D016DD"/>
    <w:rsid w:val="69D10101"/>
    <w:rsid w:val="69ED2CC6"/>
    <w:rsid w:val="6A2B5D59"/>
    <w:rsid w:val="6A4B34D3"/>
    <w:rsid w:val="6AA71200"/>
    <w:rsid w:val="6AAD3025"/>
    <w:rsid w:val="6AD303F6"/>
    <w:rsid w:val="6ADA4A8C"/>
    <w:rsid w:val="6B0E70F3"/>
    <w:rsid w:val="6B4F55D5"/>
    <w:rsid w:val="6B634B97"/>
    <w:rsid w:val="6B7E22FC"/>
    <w:rsid w:val="6B9F4FE6"/>
    <w:rsid w:val="6BAC3F92"/>
    <w:rsid w:val="6BCB637F"/>
    <w:rsid w:val="6BCB7640"/>
    <w:rsid w:val="6BEA3073"/>
    <w:rsid w:val="6C122134"/>
    <w:rsid w:val="6C5355DA"/>
    <w:rsid w:val="6C67044E"/>
    <w:rsid w:val="6C6A7D17"/>
    <w:rsid w:val="6C8662A0"/>
    <w:rsid w:val="6CBD2AAF"/>
    <w:rsid w:val="6CC517AC"/>
    <w:rsid w:val="6CE12E8B"/>
    <w:rsid w:val="6D1C41EB"/>
    <w:rsid w:val="6D6D6109"/>
    <w:rsid w:val="6D800EF5"/>
    <w:rsid w:val="6DBE11CD"/>
    <w:rsid w:val="6DC4628E"/>
    <w:rsid w:val="6DCC2A25"/>
    <w:rsid w:val="6DE102AF"/>
    <w:rsid w:val="6DE463EB"/>
    <w:rsid w:val="6DEA3C22"/>
    <w:rsid w:val="6DF4753E"/>
    <w:rsid w:val="6E047D3D"/>
    <w:rsid w:val="6E051B20"/>
    <w:rsid w:val="6E2436CE"/>
    <w:rsid w:val="6E3F61AE"/>
    <w:rsid w:val="6E5E02DA"/>
    <w:rsid w:val="6E643E30"/>
    <w:rsid w:val="6E84154D"/>
    <w:rsid w:val="6E8F511F"/>
    <w:rsid w:val="6EAE2D68"/>
    <w:rsid w:val="6EBF1759"/>
    <w:rsid w:val="6EE308D7"/>
    <w:rsid w:val="6EF85C53"/>
    <w:rsid w:val="6EFF37DE"/>
    <w:rsid w:val="6F267249"/>
    <w:rsid w:val="6F49673B"/>
    <w:rsid w:val="6F53673E"/>
    <w:rsid w:val="6F690579"/>
    <w:rsid w:val="6F8B13E9"/>
    <w:rsid w:val="6FA213AF"/>
    <w:rsid w:val="6FA67CAE"/>
    <w:rsid w:val="6FD15650"/>
    <w:rsid w:val="6FD61AD1"/>
    <w:rsid w:val="70352FC3"/>
    <w:rsid w:val="704960CE"/>
    <w:rsid w:val="705C124B"/>
    <w:rsid w:val="70792ECD"/>
    <w:rsid w:val="70CD6A67"/>
    <w:rsid w:val="710C522E"/>
    <w:rsid w:val="71116AE1"/>
    <w:rsid w:val="712F294F"/>
    <w:rsid w:val="71373A91"/>
    <w:rsid w:val="714B7942"/>
    <w:rsid w:val="715C36F9"/>
    <w:rsid w:val="7179583E"/>
    <w:rsid w:val="718B461B"/>
    <w:rsid w:val="719B4C0A"/>
    <w:rsid w:val="71A36970"/>
    <w:rsid w:val="71B82069"/>
    <w:rsid w:val="71B936A3"/>
    <w:rsid w:val="71D07025"/>
    <w:rsid w:val="71D82444"/>
    <w:rsid w:val="71F74B4E"/>
    <w:rsid w:val="71F864F3"/>
    <w:rsid w:val="720778EB"/>
    <w:rsid w:val="72175FD4"/>
    <w:rsid w:val="725151D1"/>
    <w:rsid w:val="725D1E84"/>
    <w:rsid w:val="7260031C"/>
    <w:rsid w:val="72722DBF"/>
    <w:rsid w:val="72870C47"/>
    <w:rsid w:val="72A95611"/>
    <w:rsid w:val="72AF0827"/>
    <w:rsid w:val="72C54244"/>
    <w:rsid w:val="72CC7232"/>
    <w:rsid w:val="72D16422"/>
    <w:rsid w:val="72D927BD"/>
    <w:rsid w:val="72E34F82"/>
    <w:rsid w:val="72EC15F1"/>
    <w:rsid w:val="73395CD1"/>
    <w:rsid w:val="73403F29"/>
    <w:rsid w:val="73493615"/>
    <w:rsid w:val="7369325E"/>
    <w:rsid w:val="736B5BD3"/>
    <w:rsid w:val="737619AC"/>
    <w:rsid w:val="738324D0"/>
    <w:rsid w:val="738A3CFE"/>
    <w:rsid w:val="73A34B59"/>
    <w:rsid w:val="73BD6614"/>
    <w:rsid w:val="73E61F34"/>
    <w:rsid w:val="740C27EE"/>
    <w:rsid w:val="741B5008"/>
    <w:rsid w:val="742177EB"/>
    <w:rsid w:val="74255243"/>
    <w:rsid w:val="74391CE5"/>
    <w:rsid w:val="743E5EBC"/>
    <w:rsid w:val="745553E2"/>
    <w:rsid w:val="745C582E"/>
    <w:rsid w:val="74AB5365"/>
    <w:rsid w:val="74BB57B5"/>
    <w:rsid w:val="74DF7BF3"/>
    <w:rsid w:val="74FC3801"/>
    <w:rsid w:val="750E0AC9"/>
    <w:rsid w:val="75154A74"/>
    <w:rsid w:val="75411A14"/>
    <w:rsid w:val="755E00A0"/>
    <w:rsid w:val="756B5BFA"/>
    <w:rsid w:val="75C8053E"/>
    <w:rsid w:val="75DC6A41"/>
    <w:rsid w:val="75E97257"/>
    <w:rsid w:val="761B371F"/>
    <w:rsid w:val="76236CAC"/>
    <w:rsid w:val="76455B34"/>
    <w:rsid w:val="7646097A"/>
    <w:rsid w:val="76465679"/>
    <w:rsid w:val="767D111A"/>
    <w:rsid w:val="769D42D9"/>
    <w:rsid w:val="770A6A9C"/>
    <w:rsid w:val="773B7005"/>
    <w:rsid w:val="777A180E"/>
    <w:rsid w:val="778D6C92"/>
    <w:rsid w:val="778F62C6"/>
    <w:rsid w:val="77AD71F3"/>
    <w:rsid w:val="77BA3BAC"/>
    <w:rsid w:val="77F07E72"/>
    <w:rsid w:val="7801558A"/>
    <w:rsid w:val="780A112E"/>
    <w:rsid w:val="781B00B8"/>
    <w:rsid w:val="7828709E"/>
    <w:rsid w:val="78372FF1"/>
    <w:rsid w:val="787D2646"/>
    <w:rsid w:val="7887703C"/>
    <w:rsid w:val="78885F18"/>
    <w:rsid w:val="78BF430D"/>
    <w:rsid w:val="78C41945"/>
    <w:rsid w:val="78E648D0"/>
    <w:rsid w:val="792214A5"/>
    <w:rsid w:val="79426FE6"/>
    <w:rsid w:val="79481A30"/>
    <w:rsid w:val="796B24E2"/>
    <w:rsid w:val="79C457D3"/>
    <w:rsid w:val="79D67E26"/>
    <w:rsid w:val="79E87668"/>
    <w:rsid w:val="79EF10F2"/>
    <w:rsid w:val="79F65F7C"/>
    <w:rsid w:val="7A4B4D16"/>
    <w:rsid w:val="7A7D0957"/>
    <w:rsid w:val="7AA541D9"/>
    <w:rsid w:val="7AC82337"/>
    <w:rsid w:val="7AD84189"/>
    <w:rsid w:val="7B067BD7"/>
    <w:rsid w:val="7B290054"/>
    <w:rsid w:val="7B2D79C8"/>
    <w:rsid w:val="7B4509EF"/>
    <w:rsid w:val="7B9131F6"/>
    <w:rsid w:val="7B946A98"/>
    <w:rsid w:val="7B9E0D04"/>
    <w:rsid w:val="7BB036A6"/>
    <w:rsid w:val="7BB3525E"/>
    <w:rsid w:val="7BC650B4"/>
    <w:rsid w:val="7BD030EB"/>
    <w:rsid w:val="7BDA27CF"/>
    <w:rsid w:val="7C2A6F95"/>
    <w:rsid w:val="7C420736"/>
    <w:rsid w:val="7C467055"/>
    <w:rsid w:val="7C475498"/>
    <w:rsid w:val="7C4C3077"/>
    <w:rsid w:val="7C6B2C07"/>
    <w:rsid w:val="7C9A62A1"/>
    <w:rsid w:val="7CAB377D"/>
    <w:rsid w:val="7CBC2B06"/>
    <w:rsid w:val="7CC55B05"/>
    <w:rsid w:val="7CD6609B"/>
    <w:rsid w:val="7D087439"/>
    <w:rsid w:val="7D164F0D"/>
    <w:rsid w:val="7D244799"/>
    <w:rsid w:val="7D847A3A"/>
    <w:rsid w:val="7D93745B"/>
    <w:rsid w:val="7DB55232"/>
    <w:rsid w:val="7DC51973"/>
    <w:rsid w:val="7DE467B0"/>
    <w:rsid w:val="7E523E78"/>
    <w:rsid w:val="7E6F68C8"/>
    <w:rsid w:val="7EEB46A9"/>
    <w:rsid w:val="7F244250"/>
    <w:rsid w:val="7F2E7543"/>
    <w:rsid w:val="7F95130C"/>
    <w:rsid w:val="7FBE7D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heading 1"/>
    <w:basedOn w:val="1"/>
    <w:next w:val="1"/>
    <w:link w:val="46"/>
    <w:qFormat/>
    <w:uiPriority w:val="99"/>
    <w:pPr>
      <w:keepNext/>
      <w:keepLines/>
      <w:spacing w:before="340" w:after="330" w:line="578" w:lineRule="auto"/>
      <w:outlineLvl w:val="0"/>
    </w:pPr>
    <w:rPr>
      <w:b/>
      <w:bCs/>
      <w:kern w:val="44"/>
      <w:sz w:val="44"/>
      <w:szCs w:val="44"/>
    </w:rPr>
  </w:style>
  <w:style w:type="paragraph" w:styleId="9">
    <w:name w:val="heading 2"/>
    <w:basedOn w:val="1"/>
    <w:next w:val="1"/>
    <w:link w:val="47"/>
    <w:qFormat/>
    <w:uiPriority w:val="99"/>
    <w:pPr>
      <w:keepNext/>
      <w:keepLines/>
      <w:spacing w:before="260" w:after="260" w:line="416" w:lineRule="auto"/>
      <w:outlineLvl w:val="1"/>
    </w:pPr>
    <w:rPr>
      <w:rFonts w:ascii="Arial" w:hAnsi="Arial" w:eastAsia="黑体" w:cs="Arial"/>
      <w:b/>
      <w:bCs/>
      <w:sz w:val="32"/>
      <w:szCs w:val="32"/>
    </w:rPr>
  </w:style>
  <w:style w:type="paragraph" w:styleId="10">
    <w:name w:val="heading 3"/>
    <w:basedOn w:val="1"/>
    <w:next w:val="1"/>
    <w:link w:val="48"/>
    <w:qFormat/>
    <w:uiPriority w:val="99"/>
    <w:pPr>
      <w:keepNext/>
      <w:keepLines/>
      <w:spacing w:before="260" w:after="260" w:line="416" w:lineRule="auto"/>
      <w:outlineLvl w:val="2"/>
    </w:pPr>
    <w:rPr>
      <w:b/>
      <w:bCs/>
      <w:sz w:val="32"/>
      <w:szCs w:val="32"/>
    </w:rPr>
  </w:style>
  <w:style w:type="paragraph" w:styleId="11">
    <w:name w:val="heading 4"/>
    <w:basedOn w:val="1"/>
    <w:next w:val="12"/>
    <w:link w:val="49"/>
    <w:qFormat/>
    <w:uiPriority w:val="99"/>
    <w:pPr>
      <w:keepNext/>
      <w:keepLines/>
      <w:numPr>
        <w:ilvl w:val="0"/>
        <w:numId w:val="1"/>
      </w:numPr>
      <w:spacing w:before="360" w:line="240" w:lineRule="exact"/>
      <w:outlineLvl w:val="3"/>
    </w:pPr>
    <w:rPr>
      <w:rFonts w:ascii="宋体" w:cs="宋体"/>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63"/>
    <w:qFormat/>
    <w:uiPriority w:val="99"/>
    <w:pPr>
      <w:ind w:firstLine="420" w:firstLineChars="200"/>
    </w:pPr>
  </w:style>
  <w:style w:type="paragraph" w:styleId="3">
    <w:name w:val="Body Text Indent"/>
    <w:basedOn w:val="1"/>
    <w:next w:val="2"/>
    <w:link w:val="54"/>
    <w:qFormat/>
    <w:uiPriority w:val="99"/>
    <w:pPr>
      <w:spacing w:after="120"/>
      <w:ind w:left="420" w:leftChars="200"/>
    </w:pPr>
  </w:style>
  <w:style w:type="paragraph" w:customStyle="1" w:styleId="4">
    <w:name w:val="样式 标题 3 + (中文) 黑体 小四 非加粗 段前: 7.8 磅 段后: 0 磅 行距: 固定值 20 磅_0"/>
    <w:basedOn w:val="5"/>
    <w:qFormat/>
    <w:uiPriority w:val="0"/>
    <w:pPr>
      <w:spacing w:before="0" w:after="0" w:line="400" w:lineRule="exact"/>
    </w:pPr>
    <w:rPr>
      <w:rFonts w:ascii="Times New Roman" w:hAnsi="Times New Roman" w:eastAsia="黑体" w:cs="宋体"/>
      <w:b w:val="0"/>
      <w:bCs w:val="0"/>
      <w:sz w:val="21"/>
      <w:szCs w:val="20"/>
    </w:rPr>
  </w:style>
  <w:style w:type="paragraph" w:customStyle="1" w:styleId="5">
    <w:name w:val="标题 3_0"/>
    <w:basedOn w:val="6"/>
    <w:next w:val="7"/>
    <w:qFormat/>
    <w:uiPriority w:val="0"/>
    <w:pPr>
      <w:keepNext/>
      <w:keepLines/>
      <w:spacing w:before="260" w:after="260" w:line="416" w:lineRule="auto"/>
      <w:outlineLvl w:val="2"/>
    </w:pPr>
    <w:rPr>
      <w:rFonts w:eastAsia="宋体"/>
      <w:b/>
      <w:bCs/>
      <w:sz w:val="32"/>
      <w:szCs w:val="32"/>
    </w:rPr>
  </w:style>
  <w:style w:type="paragraph" w:customStyle="1" w:styleId="6">
    <w:name w:val="正文_0"/>
    <w:next w:val="2"/>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7">
    <w:name w:val="正文_1"/>
    <w:next w:val="2"/>
    <w:qFormat/>
    <w:uiPriority w:val="0"/>
    <w:pPr>
      <w:widowControl w:val="0"/>
      <w:jc w:val="both"/>
    </w:pPr>
    <w:rPr>
      <w:rFonts w:ascii="Calibri" w:hAnsi="Calibri" w:eastAsia="仿宋_GB2312" w:cs="Times New Roman"/>
      <w:kern w:val="2"/>
      <w:sz w:val="21"/>
      <w:szCs w:val="22"/>
      <w:lang w:val="en-US" w:eastAsia="zh-CN" w:bidi="ar-SA"/>
    </w:rPr>
  </w:style>
  <w:style w:type="paragraph" w:styleId="12">
    <w:name w:val="Normal Indent"/>
    <w:basedOn w:val="1"/>
    <w:link w:val="67"/>
    <w:qFormat/>
    <w:uiPriority w:val="99"/>
    <w:pPr>
      <w:ind w:firstLine="420"/>
    </w:pPr>
  </w:style>
  <w:style w:type="paragraph" w:styleId="13">
    <w:name w:val="List 3"/>
    <w:basedOn w:val="1"/>
    <w:qFormat/>
    <w:uiPriority w:val="99"/>
    <w:pPr>
      <w:ind w:left="100" w:leftChars="400" w:hanging="200" w:hangingChars="200"/>
    </w:pPr>
  </w:style>
  <w:style w:type="paragraph" w:styleId="14">
    <w:name w:val="caption"/>
    <w:basedOn w:val="1"/>
    <w:next w:val="1"/>
    <w:link w:val="102"/>
    <w:qFormat/>
    <w:uiPriority w:val="99"/>
    <w:pPr>
      <w:widowControl/>
      <w:autoSpaceDE w:val="0"/>
      <w:autoSpaceDN w:val="0"/>
      <w:spacing w:before="120" w:after="240" w:line="360" w:lineRule="auto"/>
      <w:ind w:left="100" w:leftChars="100" w:right="100" w:rightChars="100" w:firstLine="420"/>
    </w:pPr>
    <w:rPr>
      <w:rFonts w:ascii="Arial" w:hAnsi="Arial" w:cs="Arial"/>
      <w:b/>
      <w:bCs/>
      <w:kern w:val="0"/>
      <w:sz w:val="22"/>
      <w:szCs w:val="22"/>
      <w:lang w:val="zh-CN"/>
    </w:rPr>
  </w:style>
  <w:style w:type="paragraph" w:styleId="15">
    <w:name w:val="Document Map"/>
    <w:basedOn w:val="1"/>
    <w:link w:val="51"/>
    <w:semiHidden/>
    <w:qFormat/>
    <w:uiPriority w:val="99"/>
    <w:pPr>
      <w:shd w:val="clear" w:color="auto" w:fill="000080"/>
    </w:pPr>
  </w:style>
  <w:style w:type="paragraph" w:styleId="16">
    <w:name w:val="annotation text"/>
    <w:basedOn w:val="1"/>
    <w:link w:val="52"/>
    <w:semiHidden/>
    <w:qFormat/>
    <w:uiPriority w:val="99"/>
    <w:pPr>
      <w:jc w:val="left"/>
    </w:pPr>
  </w:style>
  <w:style w:type="paragraph" w:styleId="17">
    <w:name w:val="Body Text"/>
    <w:basedOn w:val="1"/>
    <w:next w:val="1"/>
    <w:link w:val="53"/>
    <w:qFormat/>
    <w:uiPriority w:val="99"/>
    <w:pPr>
      <w:tabs>
        <w:tab w:val="left" w:pos="8100"/>
      </w:tabs>
      <w:adjustRightInd w:val="0"/>
      <w:snapToGrid w:val="0"/>
      <w:spacing w:line="400" w:lineRule="exact"/>
    </w:pPr>
    <w:rPr>
      <w:rFonts w:ascii="仿宋_GB2312" w:hAnsi="宋体" w:eastAsia="仿宋_GB2312" w:cs="仿宋_GB2312"/>
      <w:spacing w:val="-12"/>
      <w:sz w:val="24"/>
      <w:szCs w:val="24"/>
    </w:rPr>
  </w:style>
  <w:style w:type="paragraph" w:styleId="18">
    <w:name w:val="List 2"/>
    <w:basedOn w:val="1"/>
    <w:qFormat/>
    <w:uiPriority w:val="99"/>
    <w:pPr>
      <w:ind w:left="100" w:leftChars="200" w:hanging="200" w:hangingChars="200"/>
    </w:pPr>
  </w:style>
  <w:style w:type="paragraph" w:styleId="19">
    <w:name w:val="List Continue"/>
    <w:basedOn w:val="1"/>
    <w:qFormat/>
    <w:uiPriority w:val="99"/>
    <w:pPr>
      <w:spacing w:after="120"/>
      <w:ind w:left="420" w:leftChars="200"/>
    </w:pPr>
  </w:style>
  <w:style w:type="paragraph" w:styleId="20">
    <w:name w:val="Plain Text"/>
    <w:basedOn w:val="1"/>
    <w:next w:val="1"/>
    <w:link w:val="55"/>
    <w:qFormat/>
    <w:uiPriority w:val="99"/>
    <w:rPr>
      <w:rFonts w:ascii="宋体" w:hAnsi="Courier New" w:cs="宋体"/>
    </w:rPr>
  </w:style>
  <w:style w:type="paragraph" w:styleId="21">
    <w:name w:val="Date"/>
    <w:basedOn w:val="1"/>
    <w:next w:val="1"/>
    <w:link w:val="56"/>
    <w:qFormat/>
    <w:uiPriority w:val="99"/>
    <w:rPr>
      <w:sz w:val="28"/>
      <w:szCs w:val="28"/>
    </w:rPr>
  </w:style>
  <w:style w:type="paragraph" w:styleId="22">
    <w:name w:val="Body Text Indent 2"/>
    <w:basedOn w:val="1"/>
    <w:link w:val="57"/>
    <w:qFormat/>
    <w:uiPriority w:val="99"/>
    <w:pPr>
      <w:spacing w:after="120" w:line="480" w:lineRule="auto"/>
      <w:ind w:left="420" w:leftChars="200"/>
    </w:pPr>
  </w:style>
  <w:style w:type="paragraph" w:styleId="23">
    <w:name w:val="Balloon Text"/>
    <w:basedOn w:val="1"/>
    <w:link w:val="58"/>
    <w:semiHidden/>
    <w:qFormat/>
    <w:uiPriority w:val="99"/>
    <w:rPr>
      <w:sz w:val="18"/>
      <w:szCs w:val="18"/>
    </w:rPr>
  </w:style>
  <w:style w:type="paragraph" w:styleId="24">
    <w:name w:val="footer"/>
    <w:basedOn w:val="1"/>
    <w:link w:val="59"/>
    <w:qFormat/>
    <w:uiPriority w:val="99"/>
    <w:pPr>
      <w:tabs>
        <w:tab w:val="center" w:pos="4153"/>
        <w:tab w:val="right" w:pos="8306"/>
      </w:tabs>
      <w:snapToGrid w:val="0"/>
      <w:jc w:val="left"/>
    </w:pPr>
    <w:rPr>
      <w:sz w:val="18"/>
      <w:szCs w:val="18"/>
    </w:rPr>
  </w:style>
  <w:style w:type="paragraph" w:styleId="25">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6">
    <w:name w:val="Normal (Web)"/>
    <w:basedOn w:val="1"/>
    <w:link w:val="96"/>
    <w:qFormat/>
    <w:uiPriority w:val="99"/>
    <w:pPr>
      <w:widowControl/>
      <w:spacing w:before="100" w:beforeAutospacing="1" w:after="100" w:afterAutospacing="1"/>
      <w:jc w:val="left"/>
    </w:pPr>
    <w:rPr>
      <w:rFonts w:ascii="宋体" w:hAnsi="宋体" w:cs="宋体"/>
      <w:kern w:val="0"/>
      <w:sz w:val="24"/>
      <w:szCs w:val="24"/>
    </w:rPr>
  </w:style>
  <w:style w:type="paragraph" w:styleId="27">
    <w:name w:val="index 1"/>
    <w:basedOn w:val="1"/>
    <w:next w:val="1"/>
    <w:semiHidden/>
    <w:qFormat/>
    <w:uiPriority w:val="99"/>
    <w:pPr>
      <w:spacing w:line="500" w:lineRule="exact"/>
      <w:jc w:val="center"/>
    </w:pPr>
    <w:rPr>
      <w:rFonts w:ascii="幼圆" w:hAnsi="宋体" w:eastAsia="幼圆" w:cs="幼圆"/>
    </w:rPr>
  </w:style>
  <w:style w:type="paragraph" w:styleId="28">
    <w:name w:val="Title"/>
    <w:basedOn w:val="1"/>
    <w:next w:val="1"/>
    <w:link w:val="50"/>
    <w:qFormat/>
    <w:uiPriority w:val="99"/>
    <w:pPr>
      <w:jc w:val="center"/>
      <w:outlineLvl w:val="0"/>
    </w:pPr>
    <w:rPr>
      <w:rFonts w:ascii="Arial" w:hAnsi="Arial" w:cs="Arial"/>
      <w:b/>
      <w:bCs/>
      <w:sz w:val="32"/>
      <w:szCs w:val="32"/>
    </w:rPr>
  </w:style>
  <w:style w:type="paragraph" w:styleId="29">
    <w:name w:val="annotation subject"/>
    <w:basedOn w:val="16"/>
    <w:next w:val="16"/>
    <w:link w:val="61"/>
    <w:semiHidden/>
    <w:qFormat/>
    <w:uiPriority w:val="99"/>
    <w:rPr>
      <w:b/>
      <w:bCs/>
    </w:rPr>
  </w:style>
  <w:style w:type="paragraph" w:styleId="30">
    <w:name w:val="Body Text First Indent"/>
    <w:basedOn w:val="17"/>
    <w:link w:val="62"/>
    <w:qFormat/>
    <w:uiPriority w:val="99"/>
    <w:pPr>
      <w:adjustRightInd/>
      <w:snapToGrid/>
      <w:spacing w:after="120" w:line="240" w:lineRule="auto"/>
      <w:ind w:firstLine="420" w:firstLineChars="100"/>
    </w:pPr>
    <w:rPr>
      <w:rFonts w:ascii="Times New Roman" w:hAnsi="Times New Roman" w:eastAsia="宋体" w:cs="Times New Roman"/>
      <w:spacing w:val="0"/>
      <w:sz w:val="21"/>
      <w:szCs w:val="21"/>
    </w:rPr>
  </w:style>
  <w:style w:type="table" w:styleId="32">
    <w:name w:val="Table Grid"/>
    <w:basedOn w:val="3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99"/>
    <w:rPr>
      <w:b/>
      <w:bCs/>
    </w:rPr>
  </w:style>
  <w:style w:type="character" w:styleId="35">
    <w:name w:val="page number"/>
    <w:basedOn w:val="33"/>
    <w:qFormat/>
    <w:uiPriority w:val="99"/>
  </w:style>
  <w:style w:type="character" w:styleId="36">
    <w:name w:val="FollowedHyperlink"/>
    <w:basedOn w:val="33"/>
    <w:qFormat/>
    <w:uiPriority w:val="99"/>
    <w:rPr>
      <w:color w:val="800080"/>
      <w:u w:val="single"/>
    </w:rPr>
  </w:style>
  <w:style w:type="character" w:styleId="37">
    <w:name w:val="HTML Definition"/>
    <w:basedOn w:val="33"/>
    <w:qFormat/>
    <w:uiPriority w:val="99"/>
    <w:rPr>
      <w:i/>
      <w:iCs/>
    </w:rPr>
  </w:style>
  <w:style w:type="character" w:styleId="38">
    <w:name w:val="Hyperlink"/>
    <w:basedOn w:val="33"/>
    <w:qFormat/>
    <w:uiPriority w:val="99"/>
    <w:rPr>
      <w:color w:val="0000FF"/>
      <w:u w:val="single"/>
    </w:rPr>
  </w:style>
  <w:style w:type="character" w:styleId="39">
    <w:name w:val="HTML Code"/>
    <w:basedOn w:val="33"/>
    <w:qFormat/>
    <w:uiPriority w:val="99"/>
    <w:rPr>
      <w:rFonts w:ascii="monospace" w:hAnsi="monospace" w:eastAsia="Times New Roman" w:cs="monospace"/>
      <w:sz w:val="21"/>
      <w:szCs w:val="21"/>
    </w:rPr>
  </w:style>
  <w:style w:type="character" w:styleId="40">
    <w:name w:val="annotation reference"/>
    <w:basedOn w:val="33"/>
    <w:semiHidden/>
    <w:qFormat/>
    <w:uiPriority w:val="99"/>
    <w:rPr>
      <w:sz w:val="21"/>
      <w:szCs w:val="21"/>
    </w:rPr>
  </w:style>
  <w:style w:type="character" w:styleId="41">
    <w:name w:val="HTML Keyboard"/>
    <w:basedOn w:val="33"/>
    <w:qFormat/>
    <w:uiPriority w:val="99"/>
    <w:rPr>
      <w:rFonts w:ascii="monospace" w:hAnsi="monospace" w:eastAsia="Times New Roman" w:cs="monospace"/>
      <w:sz w:val="21"/>
      <w:szCs w:val="21"/>
    </w:rPr>
  </w:style>
  <w:style w:type="character" w:styleId="42">
    <w:name w:val="HTML Sample"/>
    <w:basedOn w:val="33"/>
    <w:qFormat/>
    <w:uiPriority w:val="99"/>
    <w:rPr>
      <w:rFonts w:ascii="monospace" w:hAnsi="monospace" w:eastAsia="Times New Roman" w:cs="monospace"/>
      <w:sz w:val="21"/>
      <w:szCs w:val="21"/>
    </w:rPr>
  </w:style>
  <w:style w:type="paragraph" w:customStyle="1" w:styleId="43">
    <w:name w:val="样式 首行缩进:  2 字符"/>
    <w:basedOn w:val="1"/>
    <w:qFormat/>
    <w:uiPriority w:val="99"/>
    <w:pPr>
      <w:ind w:firstLine="560"/>
    </w:pPr>
    <w:rPr>
      <w:rFonts w:eastAsia="仿宋_GB2312" w:cs="宋体"/>
      <w:sz w:val="24"/>
      <w:szCs w:val="24"/>
    </w:rPr>
  </w:style>
  <w:style w:type="paragraph" w:customStyle="1" w:styleId="44">
    <w:name w:val="BodyText"/>
    <w:basedOn w:val="1"/>
    <w:qFormat/>
    <w:uiPriority w:val="0"/>
    <w:pPr>
      <w:spacing w:after="120"/>
    </w:pPr>
  </w:style>
  <w:style w:type="paragraph" w:customStyle="1" w:styleId="45">
    <w:name w:val="样式2"/>
    <w:basedOn w:val="12"/>
    <w:qFormat/>
    <w:uiPriority w:val="99"/>
    <w:pPr>
      <w:spacing w:line="360" w:lineRule="auto"/>
      <w:ind w:firstLine="0"/>
    </w:pPr>
    <w:rPr>
      <w:rFonts w:ascii="宋体" w:hAnsi="宋体" w:cs="宋体"/>
      <w:sz w:val="24"/>
      <w:szCs w:val="24"/>
    </w:rPr>
  </w:style>
  <w:style w:type="character" w:customStyle="1" w:styleId="46">
    <w:name w:val="标题 1 字符"/>
    <w:basedOn w:val="33"/>
    <w:link w:val="8"/>
    <w:qFormat/>
    <w:uiPriority w:val="9"/>
    <w:rPr>
      <w:b/>
      <w:bCs/>
      <w:kern w:val="44"/>
      <w:sz w:val="44"/>
      <w:szCs w:val="44"/>
    </w:rPr>
  </w:style>
  <w:style w:type="character" w:customStyle="1" w:styleId="47">
    <w:name w:val="标题 2 字符"/>
    <w:basedOn w:val="33"/>
    <w:link w:val="9"/>
    <w:semiHidden/>
    <w:qFormat/>
    <w:uiPriority w:val="9"/>
    <w:rPr>
      <w:rFonts w:asciiTheme="majorHAnsi" w:hAnsiTheme="majorHAnsi" w:eastAsiaTheme="majorEastAsia" w:cstheme="majorBidi"/>
      <w:b/>
      <w:bCs/>
      <w:sz w:val="32"/>
      <w:szCs w:val="32"/>
    </w:rPr>
  </w:style>
  <w:style w:type="character" w:customStyle="1" w:styleId="48">
    <w:name w:val="标题 3 字符"/>
    <w:basedOn w:val="33"/>
    <w:link w:val="10"/>
    <w:semiHidden/>
    <w:qFormat/>
    <w:uiPriority w:val="9"/>
    <w:rPr>
      <w:b/>
      <w:bCs/>
      <w:sz w:val="32"/>
      <w:szCs w:val="32"/>
    </w:rPr>
  </w:style>
  <w:style w:type="character" w:customStyle="1" w:styleId="49">
    <w:name w:val="标题 4 字符"/>
    <w:basedOn w:val="33"/>
    <w:link w:val="11"/>
    <w:semiHidden/>
    <w:qFormat/>
    <w:uiPriority w:val="9"/>
    <w:rPr>
      <w:rFonts w:asciiTheme="majorHAnsi" w:hAnsiTheme="majorHAnsi" w:eastAsiaTheme="majorEastAsia" w:cstheme="majorBidi"/>
      <w:b/>
      <w:bCs/>
      <w:sz w:val="28"/>
      <w:szCs w:val="28"/>
    </w:rPr>
  </w:style>
  <w:style w:type="character" w:customStyle="1" w:styleId="50">
    <w:name w:val="标题 字符"/>
    <w:basedOn w:val="33"/>
    <w:link w:val="28"/>
    <w:qFormat/>
    <w:locked/>
    <w:uiPriority w:val="99"/>
    <w:rPr>
      <w:rFonts w:ascii="Arial" w:hAnsi="Arial" w:cs="Arial"/>
      <w:b/>
      <w:bCs/>
      <w:kern w:val="2"/>
      <w:sz w:val="32"/>
      <w:szCs w:val="32"/>
    </w:rPr>
  </w:style>
  <w:style w:type="character" w:customStyle="1" w:styleId="51">
    <w:name w:val="文档结构图 字符"/>
    <w:basedOn w:val="33"/>
    <w:link w:val="15"/>
    <w:semiHidden/>
    <w:qFormat/>
    <w:uiPriority w:val="99"/>
    <w:rPr>
      <w:sz w:val="0"/>
      <w:szCs w:val="0"/>
    </w:rPr>
  </w:style>
  <w:style w:type="character" w:customStyle="1" w:styleId="52">
    <w:name w:val="批注文字 字符"/>
    <w:basedOn w:val="33"/>
    <w:link w:val="16"/>
    <w:qFormat/>
    <w:locked/>
    <w:uiPriority w:val="99"/>
    <w:rPr>
      <w:rFonts w:eastAsia="宋体"/>
      <w:kern w:val="2"/>
      <w:sz w:val="24"/>
      <w:szCs w:val="24"/>
      <w:lang w:val="en-US" w:eastAsia="zh-CN"/>
    </w:rPr>
  </w:style>
  <w:style w:type="character" w:customStyle="1" w:styleId="53">
    <w:name w:val="正文文本 字符"/>
    <w:basedOn w:val="33"/>
    <w:link w:val="17"/>
    <w:semiHidden/>
    <w:qFormat/>
    <w:uiPriority w:val="99"/>
    <w:rPr>
      <w:szCs w:val="21"/>
    </w:rPr>
  </w:style>
  <w:style w:type="character" w:customStyle="1" w:styleId="54">
    <w:name w:val="正文文本缩进 字符"/>
    <w:basedOn w:val="33"/>
    <w:link w:val="3"/>
    <w:semiHidden/>
    <w:qFormat/>
    <w:uiPriority w:val="99"/>
    <w:rPr>
      <w:szCs w:val="21"/>
    </w:rPr>
  </w:style>
  <w:style w:type="character" w:customStyle="1" w:styleId="55">
    <w:name w:val="纯文本 字符"/>
    <w:basedOn w:val="33"/>
    <w:link w:val="20"/>
    <w:qFormat/>
    <w:locked/>
    <w:uiPriority w:val="99"/>
    <w:rPr>
      <w:rFonts w:ascii="宋体" w:hAnsi="Courier New" w:eastAsia="宋体" w:cs="宋体"/>
      <w:kern w:val="2"/>
      <w:sz w:val="21"/>
      <w:szCs w:val="21"/>
      <w:lang w:val="en-US" w:eastAsia="zh-CN"/>
    </w:rPr>
  </w:style>
  <w:style w:type="character" w:customStyle="1" w:styleId="56">
    <w:name w:val="日期 字符"/>
    <w:basedOn w:val="33"/>
    <w:link w:val="21"/>
    <w:semiHidden/>
    <w:qFormat/>
    <w:uiPriority w:val="99"/>
    <w:rPr>
      <w:szCs w:val="21"/>
    </w:rPr>
  </w:style>
  <w:style w:type="character" w:customStyle="1" w:styleId="57">
    <w:name w:val="正文文本缩进 2 字符"/>
    <w:basedOn w:val="33"/>
    <w:link w:val="22"/>
    <w:semiHidden/>
    <w:qFormat/>
    <w:uiPriority w:val="99"/>
    <w:rPr>
      <w:szCs w:val="21"/>
    </w:rPr>
  </w:style>
  <w:style w:type="character" w:customStyle="1" w:styleId="58">
    <w:name w:val="批注框文本 字符"/>
    <w:basedOn w:val="33"/>
    <w:link w:val="23"/>
    <w:semiHidden/>
    <w:qFormat/>
    <w:uiPriority w:val="99"/>
    <w:rPr>
      <w:sz w:val="0"/>
      <w:szCs w:val="0"/>
    </w:rPr>
  </w:style>
  <w:style w:type="character" w:customStyle="1" w:styleId="59">
    <w:name w:val="页脚 字符"/>
    <w:basedOn w:val="33"/>
    <w:link w:val="24"/>
    <w:qFormat/>
    <w:locked/>
    <w:uiPriority w:val="99"/>
    <w:rPr>
      <w:kern w:val="2"/>
      <w:sz w:val="18"/>
      <w:szCs w:val="18"/>
    </w:rPr>
  </w:style>
  <w:style w:type="character" w:customStyle="1" w:styleId="60">
    <w:name w:val="页眉 字符"/>
    <w:basedOn w:val="33"/>
    <w:link w:val="25"/>
    <w:semiHidden/>
    <w:qFormat/>
    <w:uiPriority w:val="99"/>
    <w:rPr>
      <w:sz w:val="18"/>
      <w:szCs w:val="18"/>
    </w:rPr>
  </w:style>
  <w:style w:type="character" w:customStyle="1" w:styleId="61">
    <w:name w:val="批注主题 字符"/>
    <w:basedOn w:val="52"/>
    <w:link w:val="29"/>
    <w:semiHidden/>
    <w:qFormat/>
    <w:uiPriority w:val="99"/>
    <w:rPr>
      <w:rFonts w:eastAsia="宋体"/>
      <w:b/>
      <w:bCs/>
      <w:kern w:val="2"/>
      <w:sz w:val="24"/>
      <w:szCs w:val="21"/>
      <w:lang w:val="en-US" w:eastAsia="zh-CN"/>
    </w:rPr>
  </w:style>
  <w:style w:type="character" w:customStyle="1" w:styleId="62">
    <w:name w:val="正文首行缩进 字符"/>
    <w:basedOn w:val="53"/>
    <w:link w:val="30"/>
    <w:semiHidden/>
    <w:qFormat/>
    <w:uiPriority w:val="99"/>
    <w:rPr>
      <w:szCs w:val="21"/>
    </w:rPr>
  </w:style>
  <w:style w:type="character" w:customStyle="1" w:styleId="63">
    <w:name w:val="正文首行缩进 2 字符"/>
    <w:basedOn w:val="54"/>
    <w:link w:val="2"/>
    <w:qFormat/>
    <w:locked/>
    <w:uiPriority w:val="99"/>
    <w:rPr>
      <w:kern w:val="2"/>
      <w:sz w:val="21"/>
      <w:szCs w:val="21"/>
    </w:rPr>
  </w:style>
  <w:style w:type="character" w:customStyle="1" w:styleId="64">
    <w:name w:val="headline-content2"/>
    <w:basedOn w:val="33"/>
    <w:qFormat/>
    <w:uiPriority w:val="99"/>
  </w:style>
  <w:style w:type="character" w:customStyle="1" w:styleId="65">
    <w:name w:val="Char Char9"/>
    <w:basedOn w:val="33"/>
    <w:qFormat/>
    <w:uiPriority w:val="99"/>
    <w:rPr>
      <w:rFonts w:ascii="宋体" w:hAnsi="Courier New" w:eastAsia="宋体" w:cs="宋体"/>
      <w:kern w:val="2"/>
      <w:sz w:val="21"/>
      <w:szCs w:val="21"/>
      <w:lang w:val="en-US" w:eastAsia="zh-CN"/>
    </w:rPr>
  </w:style>
  <w:style w:type="character" w:customStyle="1" w:styleId="66">
    <w:name w:val="Char Char1"/>
    <w:basedOn w:val="33"/>
    <w:qFormat/>
    <w:uiPriority w:val="99"/>
    <w:rPr>
      <w:rFonts w:ascii="宋体" w:hAnsi="Courier New" w:eastAsia="宋体" w:cs="宋体"/>
      <w:kern w:val="2"/>
      <w:sz w:val="21"/>
      <w:szCs w:val="21"/>
      <w:lang w:val="en-US" w:eastAsia="zh-CN"/>
    </w:rPr>
  </w:style>
  <w:style w:type="character" w:customStyle="1" w:styleId="67">
    <w:name w:val="正文缩进 字符"/>
    <w:basedOn w:val="33"/>
    <w:link w:val="12"/>
    <w:qFormat/>
    <w:locked/>
    <w:uiPriority w:val="99"/>
    <w:rPr>
      <w:rFonts w:eastAsia="宋体"/>
      <w:kern w:val="2"/>
      <w:sz w:val="21"/>
      <w:szCs w:val="21"/>
      <w:lang w:val="en-US" w:eastAsia="zh-CN"/>
    </w:rPr>
  </w:style>
  <w:style w:type="paragraph" w:customStyle="1" w:styleId="68">
    <w:name w:val="Default Paragraph Font Para Char"/>
    <w:basedOn w:val="1"/>
    <w:qFormat/>
    <w:uiPriority w:val="99"/>
    <w:pPr>
      <w:widowControl/>
      <w:spacing w:after="160" w:line="240" w:lineRule="exact"/>
      <w:jc w:val="left"/>
    </w:pPr>
  </w:style>
  <w:style w:type="paragraph" w:customStyle="1" w:styleId="69">
    <w:name w:val="默认段落字体 Para Char Char Char Char Char Char Char Char Char Char"/>
    <w:basedOn w:val="1"/>
    <w:qFormat/>
    <w:uiPriority w:val="99"/>
    <w:pPr>
      <w:adjustRightInd w:val="0"/>
      <w:spacing w:line="360" w:lineRule="auto"/>
    </w:pPr>
    <w:rPr>
      <w:kern w:val="0"/>
      <w:sz w:val="24"/>
      <w:szCs w:val="24"/>
    </w:rPr>
  </w:style>
  <w:style w:type="paragraph" w:customStyle="1" w:styleId="70">
    <w:name w:val="Char Char Char Char Char Char Char Char Char Char"/>
    <w:basedOn w:val="1"/>
    <w:qFormat/>
    <w:uiPriority w:val="99"/>
    <w:rPr>
      <w:rFonts w:ascii="Tahoma" w:hAnsi="Tahoma" w:cs="Tahoma"/>
      <w:sz w:val="24"/>
      <w:szCs w:val="24"/>
    </w:rPr>
  </w:style>
  <w:style w:type="paragraph" w:customStyle="1" w:styleId="71">
    <w:name w:val="1.1.1.1"/>
    <w:basedOn w:val="1"/>
    <w:qFormat/>
    <w:uiPriority w:val="99"/>
    <w:pPr>
      <w:tabs>
        <w:tab w:val="left" w:pos="26875"/>
      </w:tabs>
      <w:autoSpaceDE w:val="0"/>
      <w:autoSpaceDN w:val="0"/>
      <w:adjustRightInd w:val="0"/>
      <w:spacing w:before="60" w:after="60" w:line="360" w:lineRule="atLeast"/>
      <w:ind w:left="1134" w:hanging="1134"/>
    </w:pPr>
    <w:rPr>
      <w:rFonts w:ascii="宋体" w:cs="宋体"/>
      <w:kern w:val="0"/>
      <w:sz w:val="24"/>
      <w:szCs w:val="24"/>
    </w:rPr>
  </w:style>
  <w:style w:type="paragraph" w:customStyle="1" w:styleId="72">
    <w:name w:val="列出段落1"/>
    <w:basedOn w:val="1"/>
    <w:qFormat/>
    <w:uiPriority w:val="99"/>
    <w:pPr>
      <w:ind w:firstLine="420" w:firstLineChars="200"/>
    </w:pPr>
    <w:rPr>
      <w:rFonts w:ascii="Calibri" w:hAnsi="Calibri" w:cs="Calibri"/>
    </w:rPr>
  </w:style>
  <w:style w:type="paragraph" w:customStyle="1" w:styleId="7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正文_89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Char Char1 Char Char Char Char Char Char Char"/>
    <w:basedOn w:val="1"/>
    <w:qFormat/>
    <w:uiPriority w:val="99"/>
  </w:style>
  <w:style w:type="paragraph" w:customStyle="1" w:styleId="76">
    <w:name w:val="1"/>
    <w:basedOn w:val="1"/>
    <w:qFormat/>
    <w:uiPriority w:val="99"/>
    <w:rPr>
      <w:rFonts w:ascii="Tahoma" w:hAnsi="Tahoma" w:cs="Tahoma"/>
      <w:sz w:val="24"/>
      <w:szCs w:val="24"/>
    </w:rPr>
  </w:style>
  <w:style w:type="paragraph" w:customStyle="1" w:styleId="77">
    <w:name w:val="Char Char1 Char Char Char"/>
    <w:basedOn w:val="15"/>
    <w:qFormat/>
    <w:uiPriority w:val="99"/>
    <w:rPr>
      <w:rFonts w:ascii="Tahoma" w:hAnsi="Tahoma" w:cs="Tahoma"/>
      <w:sz w:val="24"/>
      <w:szCs w:val="24"/>
    </w:rPr>
  </w:style>
  <w:style w:type="paragraph" w:customStyle="1" w:styleId="78">
    <w:name w:val="Char1"/>
    <w:basedOn w:val="1"/>
    <w:qFormat/>
    <w:uiPriority w:val="99"/>
    <w:rPr>
      <w:rFonts w:ascii="Tahoma" w:hAnsi="Tahoma" w:cs="Tahoma"/>
      <w:sz w:val="24"/>
      <w:szCs w:val="24"/>
    </w:rPr>
  </w:style>
  <w:style w:type="paragraph" w:customStyle="1" w:styleId="79">
    <w:name w:val="Char"/>
    <w:basedOn w:val="1"/>
    <w:semiHidden/>
    <w:qFormat/>
    <w:uiPriority w:val="99"/>
    <w:pPr>
      <w:spacing w:line="240" w:lineRule="atLeast"/>
      <w:ind w:left="420" w:firstLine="420"/>
    </w:pPr>
    <w:rPr>
      <w:kern w:val="0"/>
    </w:rPr>
  </w:style>
  <w:style w:type="paragraph" w:customStyle="1" w:styleId="80">
    <w:name w:val="p0_17"/>
    <w:basedOn w:val="1"/>
    <w:qFormat/>
    <w:uiPriority w:val="99"/>
    <w:pPr>
      <w:widowControl/>
    </w:pPr>
    <w:rPr>
      <w:kern w:val="0"/>
    </w:rPr>
  </w:style>
  <w:style w:type="paragraph" w:customStyle="1" w:styleId="81">
    <w:name w:val="标3"/>
    <w:basedOn w:val="1"/>
    <w:qFormat/>
    <w:uiPriority w:val="99"/>
    <w:pPr>
      <w:tabs>
        <w:tab w:val="left" w:pos="425"/>
      </w:tabs>
      <w:adjustRightInd w:val="0"/>
      <w:snapToGrid w:val="0"/>
      <w:spacing w:before="50"/>
      <w:ind w:left="425" w:hanging="425"/>
      <w:outlineLvl w:val="2"/>
    </w:pPr>
    <w:rPr>
      <w:rFonts w:ascii="Arial Narrow" w:hAnsi="Arial Narrow" w:eastAsia="仿宋_GB2312" w:cs="Arial Narrow"/>
      <w:sz w:val="28"/>
      <w:szCs w:val="28"/>
    </w:rPr>
  </w:style>
  <w:style w:type="paragraph" w:customStyle="1" w:styleId="82">
    <w:name w:val="Body 1"/>
    <w:qFormat/>
    <w:uiPriority w:val="99"/>
    <w:pPr>
      <w:widowControl w:val="0"/>
      <w:jc w:val="both"/>
      <w:outlineLvl w:val="0"/>
    </w:pPr>
    <w:rPr>
      <w:rFonts w:ascii="Times New Roman" w:hAnsi="Times New Roman" w:eastAsia="宋体" w:cs="Times New Roman"/>
      <w:color w:val="000000"/>
      <w:kern w:val="2"/>
      <w:sz w:val="21"/>
      <w:szCs w:val="21"/>
      <w:lang w:val="en-US" w:eastAsia="zh-CN" w:bidi="ar-SA"/>
    </w:rPr>
  </w:style>
  <w:style w:type="paragraph" w:customStyle="1" w:styleId="83">
    <w:name w:val="无间隔1"/>
    <w:basedOn w:val="1"/>
    <w:qFormat/>
    <w:uiPriority w:val="99"/>
    <w:pPr>
      <w:jc w:val="left"/>
    </w:pPr>
    <w:rPr>
      <w:rFonts w:eastAsia="DFKai-SB"/>
      <w:sz w:val="24"/>
      <w:szCs w:val="24"/>
      <w:lang w:eastAsia="zh-TW"/>
    </w:rPr>
  </w:style>
  <w:style w:type="paragraph" w:customStyle="1" w:styleId="84">
    <w:name w:val="Char3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85">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86">
    <w:name w:val="标准"/>
    <w:basedOn w:val="1"/>
    <w:qFormat/>
    <w:uiPriority w:val="99"/>
    <w:pPr>
      <w:spacing w:line="360" w:lineRule="auto"/>
      <w:ind w:firstLine="200" w:firstLineChars="200"/>
    </w:pPr>
  </w:style>
  <w:style w:type="paragraph" w:customStyle="1" w:styleId="87">
    <w:name w:val="默认段落字体 Para Char"/>
    <w:basedOn w:val="1"/>
    <w:qFormat/>
    <w:uiPriority w:val="99"/>
    <w:rPr>
      <w:sz w:val="30"/>
      <w:szCs w:val="30"/>
    </w:rPr>
  </w:style>
  <w:style w:type="paragraph" w:customStyle="1" w:styleId="88">
    <w:name w:val="Char Char Char Char"/>
    <w:basedOn w:val="1"/>
    <w:qFormat/>
    <w:uiPriority w:val="99"/>
    <w:rPr>
      <w:rFonts w:ascii="Tahoma" w:hAnsi="Tahoma" w:cs="Tahoma"/>
      <w:sz w:val="24"/>
      <w:szCs w:val="24"/>
    </w:rPr>
  </w:style>
  <w:style w:type="paragraph" w:customStyle="1" w:styleId="89">
    <w:name w:val="_Style 2"/>
    <w:basedOn w:val="1"/>
    <w:qFormat/>
    <w:uiPriority w:val="99"/>
    <w:pPr>
      <w:ind w:firstLine="420" w:firstLineChars="200"/>
    </w:pPr>
    <w:rPr>
      <w:rFonts w:ascii="Calibri" w:hAnsi="Calibri" w:cs="Calibri"/>
    </w:rPr>
  </w:style>
  <w:style w:type="paragraph" w:customStyle="1" w:styleId="90">
    <w:name w:val="Char1 Char Char Char Char Char Char Char Char1 Char Char"/>
    <w:basedOn w:val="1"/>
    <w:qFormat/>
    <w:uiPriority w:val="99"/>
    <w:rPr>
      <w:b/>
      <w:bCs/>
      <w:sz w:val="36"/>
      <w:szCs w:val="36"/>
    </w:rPr>
  </w:style>
  <w:style w:type="paragraph" w:customStyle="1" w:styleId="91">
    <w:name w:val="xl25"/>
    <w:basedOn w:val="1"/>
    <w:qFormat/>
    <w:uiPriority w:val="99"/>
    <w:pPr>
      <w:widowControl/>
      <w:pBdr>
        <w:bottom w:val="single" w:color="auto" w:sz="4" w:space="0"/>
        <w:right w:val="single" w:color="auto" w:sz="4" w:space="0"/>
      </w:pBdr>
      <w:spacing w:before="100" w:beforeAutospacing="1" w:after="100" w:afterAutospacing="1"/>
      <w:jc w:val="center"/>
    </w:pPr>
    <w:rPr>
      <w:kern w:val="0"/>
    </w:rPr>
  </w:style>
  <w:style w:type="paragraph" w:customStyle="1" w:styleId="92">
    <w:name w:val="Char Char Char Char1"/>
    <w:basedOn w:val="1"/>
    <w:qFormat/>
    <w:uiPriority w:val="99"/>
    <w:rPr>
      <w:rFonts w:ascii="Tahoma" w:hAnsi="Tahoma" w:cs="Tahoma"/>
      <w:sz w:val="24"/>
      <w:szCs w:val="24"/>
    </w:rPr>
  </w:style>
  <w:style w:type="paragraph" w:customStyle="1" w:styleId="93">
    <w:name w:val="_Style 1"/>
    <w:basedOn w:val="1"/>
    <w:qFormat/>
    <w:uiPriority w:val="99"/>
    <w:pPr>
      <w:ind w:firstLine="420" w:firstLineChars="200"/>
    </w:pPr>
  </w:style>
  <w:style w:type="paragraph" w:customStyle="1" w:styleId="94">
    <w:name w:val="正文 A"/>
    <w:qFormat/>
    <w:uiPriority w:val="99"/>
    <w:pPr>
      <w:framePr w:wrap="around" w:vAnchor="margin" w:hAnchor="text" w:yAlign="top"/>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95">
    <w:name w:val="样式3"/>
    <w:basedOn w:val="20"/>
    <w:qFormat/>
    <w:uiPriority w:val="99"/>
    <w:pPr>
      <w:spacing w:line="240" w:lineRule="atLeast"/>
      <w:outlineLvl w:val="0"/>
    </w:pPr>
    <w:rPr>
      <w:sz w:val="28"/>
      <w:szCs w:val="28"/>
    </w:rPr>
  </w:style>
  <w:style w:type="character" w:customStyle="1" w:styleId="96">
    <w:name w:val="普通(网站) 字符"/>
    <w:basedOn w:val="33"/>
    <w:link w:val="26"/>
    <w:qFormat/>
    <w:locked/>
    <w:uiPriority w:val="99"/>
    <w:rPr>
      <w:rFonts w:ascii="宋体" w:eastAsia="宋体" w:cs="宋体"/>
      <w:sz w:val="24"/>
      <w:szCs w:val="24"/>
    </w:rPr>
  </w:style>
  <w:style w:type="paragraph" w:customStyle="1" w:styleId="97">
    <w:name w:val="列出段落2"/>
    <w:basedOn w:val="1"/>
    <w:qFormat/>
    <w:uiPriority w:val="99"/>
    <w:pPr>
      <w:ind w:firstLine="420" w:firstLineChars="200"/>
    </w:pPr>
  </w:style>
  <w:style w:type="paragraph" w:customStyle="1" w:styleId="98">
    <w:name w:val="Fließtext"/>
    <w:basedOn w:val="1"/>
    <w:qFormat/>
    <w:uiPriority w:val="99"/>
    <w:pPr>
      <w:overflowPunct w:val="0"/>
      <w:autoSpaceDE w:val="0"/>
      <w:autoSpaceDN w:val="0"/>
      <w:adjustRightInd w:val="0"/>
      <w:textAlignment w:val="baseline"/>
    </w:pPr>
    <w:rPr>
      <w:rFonts w:eastAsia="仿宋_GB2312"/>
      <w:kern w:val="28"/>
      <w:sz w:val="24"/>
      <w:szCs w:val="24"/>
    </w:rPr>
  </w:style>
  <w:style w:type="paragraph" w:customStyle="1" w:styleId="99">
    <w:name w:val="修订1"/>
    <w:hidden/>
    <w:qFormat/>
    <w:uiPriority w:val="99"/>
    <w:rPr>
      <w:rFonts w:ascii="Times New Roman" w:hAnsi="Times New Roman" w:eastAsia="宋体" w:cs="Times New Roman"/>
      <w:kern w:val="2"/>
      <w:sz w:val="21"/>
      <w:szCs w:val="21"/>
      <w:lang w:val="en-US" w:eastAsia="zh-CN" w:bidi="ar-SA"/>
    </w:rPr>
  </w:style>
  <w:style w:type="character" w:customStyle="1" w:styleId="100">
    <w:name w:val="font11"/>
    <w:basedOn w:val="33"/>
    <w:qFormat/>
    <w:uiPriority w:val="99"/>
    <w:rPr>
      <w:rFonts w:ascii="Times New Roman" w:hAnsi="Times New Roman" w:cs="Times New Roman"/>
      <w:color w:val="000000"/>
      <w:sz w:val="20"/>
      <w:szCs w:val="20"/>
      <w:u w:val="none"/>
    </w:rPr>
  </w:style>
  <w:style w:type="character" w:customStyle="1" w:styleId="101">
    <w:name w:val="Char Char7"/>
    <w:basedOn w:val="33"/>
    <w:qFormat/>
    <w:uiPriority w:val="99"/>
    <w:rPr>
      <w:rFonts w:eastAsia="宋体"/>
      <w:kern w:val="2"/>
      <w:sz w:val="24"/>
      <w:szCs w:val="24"/>
      <w:lang w:val="en-US" w:eastAsia="zh-CN"/>
    </w:rPr>
  </w:style>
  <w:style w:type="character" w:customStyle="1" w:styleId="102">
    <w:name w:val="题注 字符"/>
    <w:link w:val="14"/>
    <w:qFormat/>
    <w:locked/>
    <w:uiPriority w:val="99"/>
    <w:rPr>
      <w:rFonts w:ascii="Arial" w:hAnsi="Arial" w:cs="Arial"/>
      <w:b/>
      <w:bCs/>
      <w:sz w:val="22"/>
      <w:szCs w:val="22"/>
      <w:lang w:val="zh-CN"/>
    </w:rPr>
  </w:style>
  <w:style w:type="character" w:customStyle="1" w:styleId="103">
    <w:name w:val="font31"/>
    <w:basedOn w:val="33"/>
    <w:qFormat/>
    <w:uiPriority w:val="99"/>
    <w:rPr>
      <w:rFonts w:ascii="等线" w:hAnsi="等线" w:eastAsia="等线" w:cs="等线"/>
      <w:color w:val="000000"/>
      <w:sz w:val="20"/>
      <w:szCs w:val="20"/>
      <w:u w:val="none"/>
    </w:rPr>
  </w:style>
  <w:style w:type="character" w:customStyle="1" w:styleId="104">
    <w:name w:val="纯文本 Char1"/>
    <w:basedOn w:val="33"/>
    <w:qFormat/>
    <w:uiPriority w:val="99"/>
    <w:rPr>
      <w:rFonts w:ascii="宋体" w:hAnsi="Courier New" w:eastAsia="宋体" w:cs="宋体"/>
      <w:kern w:val="2"/>
      <w:sz w:val="21"/>
      <w:szCs w:val="21"/>
      <w:lang w:val="en-US" w:eastAsia="zh-CN"/>
    </w:rPr>
  </w:style>
  <w:style w:type="paragraph" w:customStyle="1" w:styleId="105">
    <w:name w:val="列出段落3"/>
    <w:basedOn w:val="1"/>
    <w:qFormat/>
    <w:uiPriority w:val="99"/>
    <w:pPr>
      <w:spacing w:line="360" w:lineRule="auto"/>
      <w:ind w:firstLine="420" w:firstLineChars="200"/>
    </w:pPr>
    <w:rPr>
      <w:sz w:val="24"/>
      <w:szCs w:val="24"/>
    </w:rPr>
  </w:style>
  <w:style w:type="paragraph" w:customStyle="1" w:styleId="106">
    <w:name w:val="样式 正文文本缩进 + 左  0 字符"/>
    <w:basedOn w:val="3"/>
    <w:qFormat/>
    <w:uiPriority w:val="99"/>
    <w:pPr>
      <w:spacing w:after="0" w:line="360" w:lineRule="auto"/>
      <w:ind w:left="0" w:leftChars="0" w:firstLine="250" w:firstLineChars="250"/>
    </w:pPr>
    <w:rPr>
      <w:sz w:val="24"/>
      <w:szCs w:val="24"/>
    </w:rPr>
  </w:style>
  <w:style w:type="paragraph" w:customStyle="1" w:styleId="107">
    <w:name w:val="列出段落11"/>
    <w:basedOn w:val="1"/>
    <w:qFormat/>
    <w:uiPriority w:val="99"/>
    <w:pPr>
      <w:ind w:firstLine="200" w:firstLineChars="200"/>
    </w:pPr>
  </w:style>
  <w:style w:type="paragraph" w:customStyle="1" w:styleId="108">
    <w:name w:val="样式 正文缩进 + 首行缩进:  2 字符"/>
    <w:basedOn w:val="12"/>
    <w:qFormat/>
    <w:uiPriority w:val="99"/>
    <w:pPr>
      <w:spacing w:line="360" w:lineRule="auto"/>
      <w:ind w:firstLine="200"/>
    </w:pPr>
    <w:rPr>
      <w:sz w:val="24"/>
      <w:szCs w:val="24"/>
    </w:rPr>
  </w:style>
  <w:style w:type="paragraph" w:customStyle="1" w:styleId="109">
    <w:name w:val="List Paragraph1"/>
    <w:basedOn w:val="1"/>
    <w:qFormat/>
    <w:uiPriority w:val="99"/>
    <w:pPr>
      <w:ind w:firstLine="420" w:firstLineChars="200"/>
    </w:pPr>
    <w:rPr>
      <w:rFonts w:ascii="Calibri" w:hAnsi="Calibri" w:cs="Calibri"/>
    </w:rPr>
  </w:style>
  <w:style w:type="paragraph" w:customStyle="1" w:styleId="110">
    <w:name w:val="彩色列表 - 强调文字颜色 11"/>
    <w:basedOn w:val="1"/>
    <w:qFormat/>
    <w:uiPriority w:val="99"/>
    <w:pPr>
      <w:spacing w:line="312" w:lineRule="auto"/>
      <w:ind w:firstLine="420" w:firstLineChars="200"/>
    </w:pPr>
    <w:rPr>
      <w:kern w:val="0"/>
      <w:sz w:val="20"/>
      <w:szCs w:val="20"/>
    </w:rPr>
  </w:style>
  <w:style w:type="paragraph" w:customStyle="1" w:styleId="111">
    <w:name w:val="列出段落4"/>
    <w:basedOn w:val="1"/>
    <w:qFormat/>
    <w:uiPriority w:val="99"/>
    <w:pPr>
      <w:ind w:firstLine="420" w:firstLineChars="200"/>
    </w:pPr>
    <w:rPr>
      <w:rFonts w:ascii="Calibri" w:hAnsi="Calibri" w:cs="Calibri"/>
    </w:rPr>
  </w:style>
  <w:style w:type="paragraph" w:customStyle="1" w:styleId="112">
    <w:name w:val="修订11"/>
    <w:qFormat/>
    <w:uiPriority w:val="99"/>
    <w:rPr>
      <w:rFonts w:ascii="Times New Roman" w:hAnsi="Times New Roman" w:eastAsia="宋体" w:cs="Times New Roman"/>
      <w:kern w:val="2"/>
      <w:sz w:val="21"/>
      <w:szCs w:val="21"/>
      <w:lang w:val="en-US" w:eastAsia="zh-CN" w:bidi="ar-SA"/>
    </w:rPr>
  </w:style>
  <w:style w:type="paragraph" w:customStyle="1" w:styleId="113">
    <w:name w:val="正文_29"/>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4">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15">
    <w:name w:val="font71"/>
    <w:basedOn w:val="33"/>
    <w:qFormat/>
    <w:uiPriority w:val="99"/>
    <w:rPr>
      <w:rFonts w:ascii="font-weight : 400" w:hAnsi="font-weight : 400" w:eastAsia="Times New Roman" w:cs="font-weight : 400"/>
      <w:color w:val="000000"/>
      <w:sz w:val="22"/>
      <w:szCs w:val="22"/>
      <w:u w:val="none"/>
    </w:rPr>
  </w:style>
  <w:style w:type="character" w:customStyle="1" w:styleId="116">
    <w:name w:val="font61"/>
    <w:basedOn w:val="33"/>
    <w:qFormat/>
    <w:uiPriority w:val="99"/>
    <w:rPr>
      <w:rFonts w:ascii="font-weight : 400" w:hAnsi="font-weight : 400" w:eastAsia="Times New Roman" w:cs="font-weight : 400"/>
      <w:color w:val="000000"/>
      <w:sz w:val="22"/>
      <w:szCs w:val="22"/>
      <w:u w:val="none"/>
    </w:rPr>
  </w:style>
  <w:style w:type="character" w:customStyle="1" w:styleId="117">
    <w:name w:val="font41"/>
    <w:basedOn w:val="33"/>
    <w:qFormat/>
    <w:uiPriority w:val="99"/>
    <w:rPr>
      <w:rFonts w:ascii="font-weight : 400" w:hAnsi="font-weight : 400" w:eastAsia="Times New Roman" w:cs="font-weight : 400"/>
      <w:color w:val="000000"/>
      <w:sz w:val="22"/>
      <w:szCs w:val="22"/>
      <w:u w:val="none"/>
    </w:rPr>
  </w:style>
  <w:style w:type="character" w:customStyle="1" w:styleId="118">
    <w:name w:val="font01"/>
    <w:basedOn w:val="33"/>
    <w:qFormat/>
    <w:uiPriority w:val="99"/>
    <w:rPr>
      <w:rFonts w:ascii="Times New Roman" w:hAnsi="Times New Roman" w:cs="Times New Roman"/>
      <w:color w:val="000000"/>
      <w:sz w:val="24"/>
      <w:szCs w:val="24"/>
      <w:u w:val="none"/>
    </w:rPr>
  </w:style>
  <w:style w:type="character" w:customStyle="1" w:styleId="119">
    <w:name w:val="font51"/>
    <w:basedOn w:val="33"/>
    <w:qFormat/>
    <w:uiPriority w:val="99"/>
    <w:rPr>
      <w:rFonts w:ascii="宋体" w:hAnsi="宋体" w:eastAsia="宋体" w:cs="宋体"/>
      <w:color w:val="000000"/>
      <w:sz w:val="22"/>
      <w:szCs w:val="22"/>
      <w:u w:val="none"/>
    </w:rPr>
  </w:style>
  <w:style w:type="character" w:customStyle="1" w:styleId="120">
    <w:name w:val="font21"/>
    <w:basedOn w:val="33"/>
    <w:qFormat/>
    <w:uiPriority w:val="99"/>
    <w:rPr>
      <w:rFonts w:ascii="宋体" w:hAnsi="宋体" w:eastAsia="宋体" w:cs="宋体"/>
      <w:color w:val="000000"/>
      <w:sz w:val="22"/>
      <w:szCs w:val="22"/>
      <w:u w:val="none"/>
    </w:rPr>
  </w:style>
  <w:style w:type="character" w:customStyle="1" w:styleId="121">
    <w:name w:val="font91"/>
    <w:basedOn w:val="33"/>
    <w:qFormat/>
    <w:uiPriority w:val="99"/>
    <w:rPr>
      <w:rFonts w:ascii="宋体" w:hAnsi="宋体" w:eastAsia="宋体" w:cs="宋体"/>
      <w:color w:val="000000"/>
      <w:sz w:val="22"/>
      <w:szCs w:val="22"/>
      <w:u w:val="none"/>
    </w:rPr>
  </w:style>
  <w:style w:type="character" w:customStyle="1" w:styleId="122">
    <w:name w:val="font81"/>
    <w:basedOn w:val="33"/>
    <w:qFormat/>
    <w:uiPriority w:val="99"/>
    <w:rPr>
      <w:rFonts w:ascii="宋体" w:hAnsi="宋体" w:eastAsia="宋体" w:cs="宋体"/>
      <w:color w:val="000000"/>
      <w:sz w:val="22"/>
      <w:szCs w:val="22"/>
      <w:u w:val="none"/>
    </w:rPr>
  </w:style>
  <w:style w:type="paragraph" w:customStyle="1" w:styleId="123">
    <w:name w:val="正文首缩两字"/>
    <w:basedOn w:val="1"/>
    <w:qFormat/>
    <w:uiPriority w:val="0"/>
    <w:pPr>
      <w:spacing w:line="360" w:lineRule="auto"/>
      <w:ind w:firstLine="200" w:firstLineChars="200"/>
    </w:pPr>
    <w:rPr>
      <w:rFonts w:ascii="Verdana" w:hAnsi="Verdana"/>
      <w:sz w:val="24"/>
    </w:rPr>
  </w:style>
  <w:style w:type="paragraph" w:customStyle="1" w:styleId="124">
    <w:name w:val="文本格式"/>
    <w:qFormat/>
    <w:uiPriority w:val="0"/>
    <w:pPr>
      <w:spacing w:line="360" w:lineRule="auto"/>
      <w:ind w:firstLine="200" w:firstLineChars="200"/>
    </w:pPr>
    <w:rPr>
      <w:rFonts w:ascii="Times New Roman" w:hAnsi="Times New Roman" w:eastAsia="宋体" w:cs="宋体"/>
      <w:kern w:val="2"/>
      <w:sz w:val="24"/>
      <w:szCs w:val="24"/>
      <w:lang w:val="en-US" w:eastAsia="zh-CN" w:bidi="ar-SA"/>
    </w:rPr>
  </w:style>
  <w:style w:type="paragraph" w:customStyle="1" w:styleId="125">
    <w:name w:val="样式 正文5 + 两端对齐 首行缩进:  2 字符"/>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500" w:lineRule="exact"/>
      <w:ind w:firstLine="200"/>
      <w:jc w:val="both"/>
    </w:pPr>
    <w:rPr>
      <w:rFonts w:ascii="仿宋_GB2312" w:hAnsi="仿宋_GB2312" w:eastAsia="仿宋_GB2312" w:cs="宋体"/>
      <w:sz w:val="21"/>
      <w:lang w:val="en-US" w:eastAsia="zh-CN" w:bidi="ar-SA"/>
    </w:rPr>
  </w:style>
  <w:style w:type="paragraph" w:customStyle="1" w:styleId="126">
    <w:name w:val="正文C"/>
    <w:basedOn w:val="1"/>
    <w:qFormat/>
    <w:uiPriority w:val="0"/>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pPr>
    <w:rPr>
      <w:rFonts w:ascii="Calibri" w:hAnsi="Calibri"/>
      <w:kern w:val="2"/>
      <w:sz w:val="24"/>
      <w:szCs w:val="22"/>
    </w:rPr>
  </w:style>
  <w:style w:type="paragraph" w:customStyle="1" w:styleId="127">
    <w:name w:val="表格内字体字号"/>
    <w:basedOn w:val="1"/>
    <w:qFormat/>
    <w:uiPriority w:val="0"/>
    <w:pPr>
      <w:topLinePunct/>
      <w:snapToGrid w:val="0"/>
      <w:spacing w:beforeLines="20" w:afterLines="20" w:line="360" w:lineRule="auto"/>
      <w:ind w:left="30" w:leftChars="30" w:right="30" w:rightChars="30"/>
      <w:jc w:val="center"/>
    </w:pPr>
    <w:rPr>
      <w:rFonts w:ascii="宋体" w:hAnsi="宋体" w:cs="宋体"/>
      <w:sz w:val="18"/>
      <w:szCs w:val="18"/>
    </w:rPr>
  </w:style>
  <w:style w:type="paragraph" w:customStyle="1" w:styleId="128">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29">
    <w:name w:val="正文表标题"/>
    <w:next w:val="1"/>
    <w:qFormat/>
    <w:uiPriority w:val="0"/>
    <w:pPr>
      <w:tabs>
        <w:tab w:val="left" w:pos="450"/>
      </w:tabs>
      <w:spacing w:before="156" w:beforeLines="50" w:after="156" w:afterLines="50"/>
      <w:ind w:left="450" w:hanging="450"/>
      <w:jc w:val="center"/>
    </w:pPr>
    <w:rPr>
      <w:rFonts w:ascii="黑体" w:hAnsi="Times New Roman" w:eastAsia="黑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86</Pages>
  <Words>51535</Words>
  <Characters>55021</Characters>
  <Lines>318</Lines>
  <Paragraphs>89</Paragraphs>
  <TotalTime>9</TotalTime>
  <ScaleCrop>false</ScaleCrop>
  <LinksUpToDate>false</LinksUpToDate>
  <CharactersWithSpaces>59263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2021-08-16T02:16:00Z</dcterms:created>
  <dc:creator>YE</dc:creator>
  <cp:lastModifiedBy>小智</cp:lastModifiedBy>
  <cp:lastPrinted>2020-12-27T19:21:00Z</cp:lastPrinted>
  <dcterms:modified xsi:type="dcterms:W3CDTF">2022-07-07T08:01:18Z</dcterms:modified>
  <dc:title>龙岩市政府采购货物及服务项目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E22AA533EBAD43898AB7FC3C1852D681</vt:lpwstr>
  </property>
  <property fmtid="{D5CDD505-2E9C-101B-9397-08002B2CF9AE}" pid="4" name="GSEDS_HWMT_d46a6755">
    <vt:lpwstr>f2447efc_mFV3wz84Kik3OMpOkHv8r5WVPik=_8QYrr15fIzUrXdpKknH80t1ucG78qrWagrh/vgox/ooIAG4dplNs2xTtEhydE55mmCusSHDSePZqH5X/qHWDxUg6nUk=_1b929afb</vt:lpwstr>
  </property>
</Properties>
</file>