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sz w:val="60"/>
          <w:szCs w:val="60"/>
          <w:highlight w:val="none"/>
        </w:rPr>
      </w:pPr>
    </w:p>
    <w:p>
      <w:pPr>
        <w:jc w:val="center"/>
        <w:rPr>
          <w:rFonts w:ascii="新宋体" w:hAnsi="新宋体" w:eastAsia="新宋体"/>
          <w:sz w:val="60"/>
          <w:szCs w:val="60"/>
          <w:highlight w:val="none"/>
        </w:rPr>
      </w:pPr>
    </w:p>
    <w:p>
      <w:pPr>
        <w:jc w:val="center"/>
        <w:rPr>
          <w:rFonts w:ascii="新宋体" w:hAnsi="新宋体" w:eastAsia="新宋体"/>
          <w:sz w:val="60"/>
          <w:szCs w:val="60"/>
          <w:highlight w:val="none"/>
        </w:rPr>
      </w:pPr>
    </w:p>
    <w:p>
      <w:pPr>
        <w:jc w:val="center"/>
        <w:rPr>
          <w:rFonts w:ascii="新宋体" w:hAnsi="新宋体" w:eastAsia="新宋体"/>
          <w:sz w:val="60"/>
          <w:szCs w:val="60"/>
          <w:highlight w:val="none"/>
        </w:rPr>
      </w:pPr>
    </w:p>
    <w:p>
      <w:pPr>
        <w:jc w:val="center"/>
        <w:rPr>
          <w:rFonts w:ascii="新宋体" w:hAnsi="新宋体" w:eastAsia="新宋体"/>
          <w:b/>
          <w:bCs/>
          <w:sz w:val="60"/>
          <w:szCs w:val="60"/>
          <w:highlight w:val="none"/>
        </w:rPr>
      </w:pPr>
      <w:r>
        <w:rPr>
          <w:rFonts w:hint="eastAsia" w:ascii="新宋体" w:hAnsi="新宋体" w:eastAsia="新宋体"/>
          <w:b/>
          <w:bCs/>
          <w:sz w:val="60"/>
          <w:szCs w:val="60"/>
          <w:highlight w:val="none"/>
        </w:rPr>
        <w:t>政府采购公开招标文件</w:t>
      </w:r>
    </w:p>
    <w:p>
      <w:pPr>
        <w:jc w:val="center"/>
        <w:rPr>
          <w:rFonts w:ascii="新宋体" w:hAnsi="新宋体" w:eastAsia="新宋体"/>
          <w:b/>
          <w:bCs/>
          <w:sz w:val="60"/>
          <w:szCs w:val="60"/>
          <w:highlight w:val="none"/>
        </w:rPr>
      </w:pPr>
    </w:p>
    <w:p>
      <w:pPr>
        <w:jc w:val="center"/>
        <w:rPr>
          <w:rFonts w:ascii="新宋体" w:hAnsi="新宋体" w:eastAsia="新宋体"/>
          <w:b/>
          <w:bCs/>
          <w:sz w:val="60"/>
          <w:szCs w:val="60"/>
          <w:highlight w:val="none"/>
        </w:rPr>
      </w:pPr>
      <w:r>
        <w:rPr>
          <w:rFonts w:hint="eastAsia" w:ascii="新宋体" w:hAnsi="新宋体" w:eastAsia="新宋体"/>
          <w:b/>
          <w:bCs/>
          <w:sz w:val="60"/>
          <w:szCs w:val="60"/>
          <w:highlight w:val="none"/>
        </w:rPr>
        <w:t>第一册</w:t>
      </w:r>
    </w:p>
    <w:p>
      <w:pPr>
        <w:jc w:val="center"/>
        <w:rPr>
          <w:rFonts w:ascii="新宋体" w:hAnsi="新宋体" w:eastAsia="新宋体"/>
          <w:sz w:val="60"/>
          <w:szCs w:val="60"/>
          <w:highlight w:val="none"/>
        </w:rPr>
      </w:pPr>
    </w:p>
    <w:p>
      <w:pPr>
        <w:jc w:val="center"/>
        <w:rPr>
          <w:rFonts w:ascii="新宋体" w:hAnsi="新宋体" w:eastAsia="新宋体"/>
          <w:sz w:val="60"/>
          <w:szCs w:val="60"/>
          <w:highlight w:val="none"/>
        </w:rPr>
      </w:pPr>
    </w:p>
    <w:tbl>
      <w:tblPr>
        <w:tblStyle w:val="24"/>
        <w:tblW w:w="8613" w:type="dxa"/>
        <w:jc w:val="center"/>
        <w:tblLayout w:type="fixed"/>
        <w:tblCellMar>
          <w:top w:w="0" w:type="dxa"/>
          <w:left w:w="108" w:type="dxa"/>
          <w:bottom w:w="0" w:type="dxa"/>
          <w:right w:w="108" w:type="dxa"/>
        </w:tblCellMar>
      </w:tblPr>
      <w:tblGrid>
        <w:gridCol w:w="2235"/>
        <w:gridCol w:w="425"/>
        <w:gridCol w:w="5953"/>
      </w:tblGrid>
      <w:tr>
        <w:tblPrEx>
          <w:tblCellMar>
            <w:top w:w="0" w:type="dxa"/>
            <w:left w:w="108" w:type="dxa"/>
            <w:bottom w:w="0" w:type="dxa"/>
            <w:right w:w="108" w:type="dxa"/>
          </w:tblCellMar>
        </w:tblPrEx>
        <w:trPr>
          <w:jc w:val="center"/>
        </w:trPr>
        <w:tc>
          <w:tcPr>
            <w:tcW w:w="2235" w:type="dxa"/>
            <w:vAlign w:val="center"/>
          </w:tcPr>
          <w:p>
            <w:pPr>
              <w:jc w:val="distribute"/>
              <w:rPr>
                <w:rFonts w:ascii="新宋体" w:hAnsi="新宋体" w:eastAsia="新宋体"/>
                <w:sz w:val="60"/>
                <w:szCs w:val="60"/>
                <w:highlight w:val="none"/>
              </w:rPr>
            </w:pPr>
            <w:r>
              <w:rPr>
                <w:rFonts w:hint="eastAsia" w:ascii="仿宋_GB2312" w:hAnsi="Times New Roman" w:eastAsia="仿宋_GB2312" w:cs="Times New Roman"/>
                <w:bCs/>
                <w:sz w:val="32"/>
                <w:highlight w:val="none"/>
                <w:lang w:bidi="ar-SA"/>
              </w:rPr>
              <w:t>项目名称</w:t>
            </w:r>
          </w:p>
        </w:tc>
        <w:tc>
          <w:tcPr>
            <w:tcW w:w="425" w:type="dxa"/>
            <w:vAlign w:val="center"/>
          </w:tcPr>
          <w:p>
            <w:pPr>
              <w:jc w:val="left"/>
              <w:rPr>
                <w:rFonts w:ascii="新宋体" w:hAnsi="新宋体" w:eastAsia="新宋体"/>
                <w:sz w:val="60"/>
                <w:szCs w:val="60"/>
                <w:highlight w:val="none"/>
              </w:rPr>
            </w:pPr>
            <w:r>
              <w:rPr>
                <w:rFonts w:hint="eastAsia" w:ascii="仿宋_GB2312" w:hAnsi="Times New Roman" w:eastAsia="仿宋_GB2312" w:cs="Times New Roman"/>
                <w:bCs/>
                <w:sz w:val="32"/>
                <w:highlight w:val="none"/>
                <w:lang w:bidi="ar-SA"/>
              </w:rPr>
              <w:t>：</w:t>
            </w:r>
          </w:p>
        </w:tc>
        <w:tc>
          <w:tcPr>
            <w:tcW w:w="5953" w:type="dxa"/>
            <w:tcBorders>
              <w:bottom w:val="single" w:color="auto" w:sz="4" w:space="0"/>
            </w:tcBorders>
            <w:vAlign w:val="center"/>
          </w:tcPr>
          <w:p>
            <w:pPr>
              <w:jc w:val="center"/>
              <w:rPr>
                <w:rFonts w:hint="eastAsia" w:ascii="仿宋_GB2312" w:hAnsi="Times New Roman" w:eastAsia="仿宋_GB2312" w:cs="Times New Roman"/>
                <w:bCs/>
                <w:sz w:val="32"/>
                <w:highlight w:val="none"/>
                <w:lang w:eastAsia="zh-CN" w:bidi="ar-SA"/>
              </w:rPr>
            </w:pPr>
            <w:r>
              <w:rPr>
                <w:rFonts w:hint="eastAsia" w:ascii="仿宋_GB2312" w:hAnsi="Times New Roman" w:eastAsia="仿宋_GB2312" w:cs="Times New Roman"/>
                <w:bCs/>
                <w:sz w:val="32"/>
                <w:highlight w:val="none"/>
                <w:lang w:val="zh-TW" w:eastAsia="zh-CN" w:bidi="ar-SA"/>
              </w:rPr>
              <w:t>那曲国省公路接管组2022年日常养护和抢险保通材料采购</w:t>
            </w:r>
          </w:p>
        </w:tc>
      </w:tr>
      <w:tr>
        <w:tblPrEx>
          <w:tblCellMar>
            <w:top w:w="0" w:type="dxa"/>
            <w:left w:w="108" w:type="dxa"/>
            <w:bottom w:w="0" w:type="dxa"/>
            <w:right w:w="108" w:type="dxa"/>
          </w:tblCellMar>
        </w:tblPrEx>
        <w:trPr>
          <w:jc w:val="center"/>
        </w:trPr>
        <w:tc>
          <w:tcPr>
            <w:tcW w:w="2235" w:type="dxa"/>
            <w:vAlign w:val="center"/>
          </w:tcPr>
          <w:p>
            <w:pPr>
              <w:jc w:val="distribute"/>
              <w:rPr>
                <w:rFonts w:ascii="新宋体" w:hAnsi="新宋体" w:eastAsia="新宋体"/>
                <w:sz w:val="60"/>
                <w:szCs w:val="60"/>
                <w:highlight w:val="none"/>
              </w:rPr>
            </w:pPr>
            <w:r>
              <w:rPr>
                <w:rFonts w:hint="eastAsia" w:ascii="仿宋_GB2312" w:hAnsi="Times New Roman" w:eastAsia="仿宋_GB2312" w:cs="Times New Roman"/>
                <w:bCs/>
                <w:sz w:val="32"/>
                <w:highlight w:val="none"/>
                <w:lang w:val="en-US" w:eastAsia="zh-CN" w:bidi="ar-SA"/>
              </w:rPr>
              <w:t>项目</w:t>
            </w:r>
            <w:r>
              <w:rPr>
                <w:rFonts w:hint="eastAsia" w:ascii="仿宋_GB2312" w:hAnsi="Times New Roman" w:eastAsia="仿宋_GB2312" w:cs="Times New Roman"/>
                <w:bCs/>
                <w:sz w:val="32"/>
                <w:highlight w:val="none"/>
                <w:lang w:bidi="ar-SA"/>
              </w:rPr>
              <w:t>编号</w:t>
            </w:r>
          </w:p>
        </w:tc>
        <w:tc>
          <w:tcPr>
            <w:tcW w:w="425" w:type="dxa"/>
            <w:vAlign w:val="center"/>
          </w:tcPr>
          <w:p>
            <w:pPr>
              <w:jc w:val="left"/>
              <w:rPr>
                <w:rFonts w:ascii="新宋体" w:hAnsi="新宋体" w:eastAsia="新宋体"/>
                <w:sz w:val="60"/>
                <w:szCs w:val="60"/>
                <w:highlight w:val="none"/>
              </w:rPr>
            </w:pPr>
            <w:r>
              <w:rPr>
                <w:rFonts w:hint="eastAsia" w:ascii="仿宋_GB2312" w:hAnsi="Times New Roman" w:eastAsia="仿宋_GB2312" w:cs="Times New Roman"/>
                <w:bCs/>
                <w:sz w:val="32"/>
                <w:highlight w:val="none"/>
                <w:lang w:bidi="ar-SA"/>
              </w:rPr>
              <w:t>：</w:t>
            </w:r>
          </w:p>
        </w:tc>
        <w:tc>
          <w:tcPr>
            <w:tcW w:w="5953" w:type="dxa"/>
            <w:tcBorders>
              <w:top w:val="single" w:color="auto" w:sz="4" w:space="0"/>
              <w:bottom w:val="single" w:color="auto" w:sz="4" w:space="0"/>
            </w:tcBorders>
            <w:vAlign w:val="center"/>
          </w:tcPr>
          <w:p>
            <w:pPr>
              <w:jc w:val="center"/>
              <w:rPr>
                <w:rFonts w:hint="eastAsia" w:ascii="仿宋_GB2312" w:hAnsi="Times New Roman" w:eastAsia="仿宋_GB2312" w:cs="Times New Roman"/>
                <w:bCs/>
                <w:sz w:val="32"/>
                <w:highlight w:val="none"/>
                <w:lang w:bidi="ar-SA"/>
              </w:rPr>
            </w:pPr>
            <w:r>
              <w:rPr>
                <w:rFonts w:hint="eastAsia" w:ascii="仿宋_GB2312" w:hAnsi="Times New Roman" w:eastAsia="仿宋_GB2312" w:cs="Times New Roman"/>
                <w:bCs/>
                <w:sz w:val="32"/>
                <w:highlight w:val="none"/>
                <w:lang w:val="zh-TW" w:eastAsia="zh-CN" w:bidi="ar-SA"/>
              </w:rPr>
              <w:t>GZFCG2022-8976</w:t>
            </w:r>
          </w:p>
        </w:tc>
      </w:tr>
      <w:tr>
        <w:tblPrEx>
          <w:tblCellMar>
            <w:top w:w="0" w:type="dxa"/>
            <w:left w:w="108" w:type="dxa"/>
            <w:bottom w:w="0" w:type="dxa"/>
            <w:right w:w="108" w:type="dxa"/>
          </w:tblCellMar>
        </w:tblPrEx>
        <w:trPr>
          <w:jc w:val="center"/>
        </w:trPr>
        <w:tc>
          <w:tcPr>
            <w:tcW w:w="2235" w:type="dxa"/>
            <w:vAlign w:val="center"/>
          </w:tcPr>
          <w:p>
            <w:pPr>
              <w:jc w:val="distribute"/>
              <w:rPr>
                <w:rFonts w:ascii="新宋体" w:hAnsi="新宋体" w:eastAsia="新宋体"/>
                <w:sz w:val="60"/>
                <w:szCs w:val="60"/>
                <w:highlight w:val="none"/>
              </w:rPr>
            </w:pPr>
            <w:r>
              <w:rPr>
                <w:rFonts w:hint="eastAsia" w:ascii="仿宋_GB2312" w:hAnsi="Times New Roman" w:eastAsia="仿宋_GB2312" w:cs="Times New Roman"/>
                <w:bCs/>
                <w:sz w:val="32"/>
                <w:highlight w:val="none"/>
                <w:lang w:bidi="ar-SA"/>
              </w:rPr>
              <w:t>采购代理机构</w:t>
            </w:r>
          </w:p>
        </w:tc>
        <w:tc>
          <w:tcPr>
            <w:tcW w:w="425" w:type="dxa"/>
            <w:vAlign w:val="center"/>
          </w:tcPr>
          <w:p>
            <w:pPr>
              <w:jc w:val="left"/>
              <w:rPr>
                <w:rFonts w:ascii="新宋体" w:hAnsi="新宋体" w:eastAsia="新宋体"/>
                <w:sz w:val="60"/>
                <w:szCs w:val="60"/>
                <w:highlight w:val="none"/>
              </w:rPr>
            </w:pPr>
            <w:r>
              <w:rPr>
                <w:rFonts w:hint="eastAsia" w:ascii="仿宋_GB2312" w:hAnsi="Times New Roman" w:eastAsia="仿宋_GB2312" w:cs="Times New Roman"/>
                <w:bCs/>
                <w:sz w:val="32"/>
                <w:highlight w:val="none"/>
                <w:lang w:bidi="ar-SA"/>
              </w:rPr>
              <w:t>：</w:t>
            </w:r>
          </w:p>
        </w:tc>
        <w:tc>
          <w:tcPr>
            <w:tcW w:w="5953" w:type="dxa"/>
            <w:tcBorders>
              <w:top w:val="single" w:color="auto" w:sz="4" w:space="0"/>
              <w:bottom w:val="single" w:color="auto" w:sz="4" w:space="0"/>
            </w:tcBorders>
            <w:vAlign w:val="center"/>
          </w:tcPr>
          <w:p>
            <w:pPr>
              <w:jc w:val="center"/>
              <w:rPr>
                <w:rFonts w:hint="eastAsia" w:ascii="仿宋_GB2312" w:hAnsi="Times New Roman" w:eastAsia="仿宋_GB2312" w:cs="Times New Roman"/>
                <w:bCs/>
                <w:sz w:val="32"/>
                <w:highlight w:val="none"/>
                <w:lang w:bidi="ar-SA"/>
              </w:rPr>
            </w:pPr>
            <w:r>
              <w:rPr>
                <w:rFonts w:hint="eastAsia" w:ascii="仿宋_GB2312" w:hAnsi="Times New Roman" w:eastAsia="仿宋_GB2312" w:cs="Times New Roman"/>
                <w:bCs/>
                <w:sz w:val="32"/>
                <w:highlight w:val="none"/>
                <w:lang w:val="en-US" w:eastAsia="zh-CN" w:bidi="ar-SA"/>
              </w:rPr>
              <w:t xml:space="preserve"> 九鼎工程管理咨询有限公司</w:t>
            </w:r>
          </w:p>
        </w:tc>
      </w:tr>
      <w:tr>
        <w:tblPrEx>
          <w:tblCellMar>
            <w:top w:w="0" w:type="dxa"/>
            <w:left w:w="108" w:type="dxa"/>
            <w:bottom w:w="0" w:type="dxa"/>
            <w:right w:w="108" w:type="dxa"/>
          </w:tblCellMar>
        </w:tblPrEx>
        <w:trPr>
          <w:jc w:val="center"/>
        </w:trPr>
        <w:tc>
          <w:tcPr>
            <w:tcW w:w="2235" w:type="dxa"/>
            <w:vAlign w:val="center"/>
          </w:tcPr>
          <w:p>
            <w:pPr>
              <w:jc w:val="distribute"/>
              <w:rPr>
                <w:rFonts w:ascii="新宋体" w:hAnsi="新宋体" w:eastAsia="新宋体"/>
                <w:sz w:val="60"/>
                <w:szCs w:val="60"/>
                <w:highlight w:val="none"/>
              </w:rPr>
            </w:pPr>
            <w:r>
              <w:rPr>
                <w:rFonts w:hint="eastAsia" w:ascii="仿宋_GB2312" w:hAnsi="Times New Roman" w:eastAsia="仿宋_GB2312" w:cs="Times New Roman"/>
                <w:bCs/>
                <w:sz w:val="32"/>
                <w:highlight w:val="none"/>
                <w:lang w:bidi="ar-SA"/>
              </w:rPr>
              <w:t>发出日期</w:t>
            </w:r>
          </w:p>
        </w:tc>
        <w:tc>
          <w:tcPr>
            <w:tcW w:w="425" w:type="dxa"/>
            <w:vAlign w:val="center"/>
          </w:tcPr>
          <w:p>
            <w:pPr>
              <w:jc w:val="left"/>
              <w:rPr>
                <w:rFonts w:ascii="新宋体" w:hAnsi="新宋体" w:eastAsia="新宋体"/>
                <w:sz w:val="60"/>
                <w:szCs w:val="60"/>
                <w:highlight w:val="none"/>
              </w:rPr>
            </w:pPr>
            <w:r>
              <w:rPr>
                <w:rFonts w:hint="eastAsia" w:ascii="仿宋_GB2312" w:hAnsi="Times New Roman" w:eastAsia="仿宋_GB2312" w:cs="Times New Roman"/>
                <w:bCs/>
                <w:sz w:val="32"/>
                <w:highlight w:val="none"/>
                <w:lang w:bidi="ar-SA"/>
              </w:rPr>
              <w:t>：</w:t>
            </w:r>
          </w:p>
        </w:tc>
        <w:tc>
          <w:tcPr>
            <w:tcW w:w="5953" w:type="dxa"/>
            <w:tcBorders>
              <w:top w:val="single" w:color="auto" w:sz="4" w:space="0"/>
              <w:bottom w:val="single" w:color="auto" w:sz="4" w:space="0"/>
            </w:tcBorders>
            <w:vAlign w:val="center"/>
          </w:tcPr>
          <w:p>
            <w:pPr>
              <w:jc w:val="center"/>
              <w:rPr>
                <w:rFonts w:hint="default" w:ascii="仿宋_GB2312" w:hAnsi="Times New Roman" w:eastAsia="仿宋_GB2312" w:cs="Times New Roman"/>
                <w:bCs/>
                <w:sz w:val="32"/>
                <w:highlight w:val="none"/>
                <w:lang w:val="en-US" w:eastAsia="zh-CN" w:bidi="ar-SA"/>
              </w:rPr>
            </w:pPr>
            <w:r>
              <w:rPr>
                <w:rFonts w:hint="eastAsia" w:ascii="仿宋_GB2312" w:hAnsi="Times New Roman" w:eastAsia="仿宋_GB2312" w:cs="Times New Roman"/>
                <w:bCs/>
                <w:sz w:val="32"/>
                <w:highlight w:val="none"/>
                <w:lang w:val="en-US" w:eastAsia="zh-CN" w:bidi="ar-SA"/>
              </w:rPr>
              <w:t>2022年6月</w:t>
            </w:r>
          </w:p>
        </w:tc>
      </w:tr>
    </w:tbl>
    <w:p>
      <w:pPr>
        <w:rPr>
          <w:highlight w:val="none"/>
        </w:rPr>
      </w:pPr>
    </w:p>
    <w:p>
      <w:pPr>
        <w:widowControl/>
        <w:jc w:val="left"/>
      </w:pPr>
      <w:r>
        <w:rPr>
          <w:highlight w:val="none"/>
        </w:rPr>
        <w:br w:type="page"/>
      </w:r>
      <w:r>
        <w:fldChar w:fldCharType="begin"/>
      </w:r>
      <w:r>
        <w:instrText xml:space="preserve"> TOC \o "1-4" \h \z \u </w:instrText>
      </w:r>
      <w:r>
        <w:fldChar w:fldCharType="separate"/>
      </w:r>
    </w:p>
    <w:p>
      <w:pPr>
        <w:pStyle w:val="18"/>
        <w:tabs>
          <w:tab w:val="right" w:leader="dot" w:pos="8302"/>
        </w:tabs>
        <w:spacing w:line="360" w:lineRule="auto"/>
        <w:ind w:firstLine="602" w:firstLineChars="300"/>
        <w:rPr>
          <w:rFonts w:asciiTheme="minorHAnsi" w:hAnsiTheme="minorHAnsi" w:eastAsiaTheme="minorEastAsia" w:cstheme="minorBidi"/>
          <w:b w:val="0"/>
          <w:bCs w:val="0"/>
          <w:caps w:val="0"/>
          <w:sz w:val="21"/>
          <w:szCs w:val="22"/>
          <w:lang w:bidi="ar-SA"/>
        </w:rPr>
      </w:pPr>
      <w:r>
        <w:fldChar w:fldCharType="begin"/>
      </w:r>
      <w:r>
        <w:instrText xml:space="preserve"> HYPERLINK \l "_Toc75442990" </w:instrText>
      </w:r>
      <w:r>
        <w:fldChar w:fldCharType="separate"/>
      </w:r>
      <w:r>
        <w:rPr>
          <w:rStyle w:val="28"/>
          <w:rFonts w:hint="eastAsia"/>
        </w:rPr>
        <w:t>第</w:t>
      </w:r>
      <w:r>
        <w:rPr>
          <w:rStyle w:val="28"/>
        </w:rPr>
        <w:t>1</w:t>
      </w:r>
      <w:r>
        <w:rPr>
          <w:rStyle w:val="28"/>
          <w:rFonts w:hint="eastAsia"/>
        </w:rPr>
        <w:t>章投标人须知</w:t>
      </w:r>
      <w:r>
        <w:tab/>
      </w:r>
      <w:r>
        <w:rPr>
          <w:rFonts w:hint="eastAsia"/>
          <w:i w:val="0"/>
          <w:iCs w:val="0"/>
          <w:highlight w:val="none"/>
          <w:lang w:eastAsia="zh-CN"/>
        </w:rPr>
        <w:t>3</w:t>
      </w:r>
      <w:r>
        <w:fldChar w:fldCharType="end"/>
      </w:r>
    </w:p>
    <w:p>
      <w:pPr>
        <w:pStyle w:val="21"/>
        <w:tabs>
          <w:tab w:val="right" w:leader="dot" w:pos="8302"/>
        </w:tabs>
        <w:spacing w:line="360" w:lineRule="auto"/>
        <w:ind w:firstLine="800" w:firstLineChars="400"/>
        <w:rPr>
          <w:rFonts w:asciiTheme="minorHAnsi" w:hAnsiTheme="minorHAnsi" w:eastAsiaTheme="minorEastAsia" w:cstheme="minorBidi"/>
          <w:i w:val="0"/>
          <w:iCs w:val="0"/>
          <w:sz w:val="21"/>
          <w:szCs w:val="22"/>
          <w:highlight w:val="none"/>
          <w:lang w:bidi="ar-SA"/>
        </w:rPr>
      </w:pPr>
      <w:r>
        <w:fldChar w:fldCharType="begin"/>
      </w:r>
      <w:r>
        <w:instrText xml:space="preserve"> HYPERLINK \l "_Toc75442991" </w:instrText>
      </w:r>
      <w:r>
        <w:fldChar w:fldCharType="separate"/>
      </w:r>
      <w:r>
        <w:rPr>
          <w:rStyle w:val="28"/>
          <w:rFonts w:hint="eastAsia"/>
        </w:rPr>
        <w:t>一</w:t>
      </w:r>
      <w:r>
        <w:rPr>
          <w:rStyle w:val="28"/>
        </w:rPr>
        <w:t xml:space="preserve"> </w:t>
      </w:r>
      <w:r>
        <w:rPr>
          <w:rStyle w:val="28"/>
          <w:rFonts w:hint="eastAsia"/>
        </w:rPr>
        <w:t>总则</w:t>
      </w:r>
      <w:r>
        <w:tab/>
      </w:r>
      <w:r>
        <w:rPr>
          <w:rFonts w:hint="eastAsia"/>
          <w:i w:val="0"/>
          <w:iCs w:val="0"/>
          <w:highlight w:val="none"/>
          <w:lang w:eastAsia="zh-CN"/>
        </w:rPr>
        <w:t>3</w:t>
      </w:r>
      <w:r>
        <w:fldChar w:fldCharType="end"/>
      </w:r>
    </w:p>
    <w:p>
      <w:pPr>
        <w:pStyle w:val="21"/>
        <w:tabs>
          <w:tab w:val="right" w:leader="dot" w:pos="8302"/>
        </w:tabs>
        <w:spacing w:line="360" w:lineRule="auto"/>
        <w:ind w:firstLine="800" w:firstLineChars="400"/>
        <w:rPr>
          <w:rFonts w:asciiTheme="minorHAnsi" w:hAnsiTheme="minorHAnsi" w:eastAsiaTheme="minorEastAsia" w:cstheme="minorBidi"/>
          <w:i w:val="0"/>
          <w:iCs w:val="0"/>
          <w:sz w:val="21"/>
          <w:szCs w:val="22"/>
          <w:highlight w:val="none"/>
          <w:lang w:bidi="ar-SA"/>
        </w:rPr>
      </w:pPr>
      <w:r>
        <w:fldChar w:fldCharType="begin"/>
      </w:r>
      <w:r>
        <w:instrText xml:space="preserve"> HYPERLINK \l "_Toc75442996" </w:instrText>
      </w:r>
      <w:r>
        <w:fldChar w:fldCharType="separate"/>
      </w:r>
      <w:r>
        <w:rPr>
          <w:rStyle w:val="28"/>
          <w:rFonts w:hint="eastAsia"/>
        </w:rPr>
        <w:t>二</w:t>
      </w:r>
      <w:r>
        <w:rPr>
          <w:rStyle w:val="28"/>
        </w:rPr>
        <w:t xml:space="preserve"> </w:t>
      </w:r>
      <w:r>
        <w:rPr>
          <w:rStyle w:val="28"/>
          <w:rFonts w:hint="eastAsia"/>
        </w:rPr>
        <w:t>招标文件</w:t>
      </w:r>
      <w:r>
        <w:tab/>
      </w:r>
      <w:r>
        <w:rPr>
          <w:rFonts w:hint="eastAsia"/>
          <w:i w:val="0"/>
          <w:iCs w:val="0"/>
          <w:highlight w:val="none"/>
          <w:lang w:eastAsia="zh-CN"/>
        </w:rPr>
        <w:t>5</w:t>
      </w:r>
      <w:r>
        <w:fldChar w:fldCharType="end"/>
      </w:r>
    </w:p>
    <w:p>
      <w:pPr>
        <w:pStyle w:val="21"/>
        <w:tabs>
          <w:tab w:val="right" w:leader="dot" w:pos="8302"/>
        </w:tabs>
        <w:spacing w:line="360" w:lineRule="auto"/>
        <w:ind w:firstLine="800" w:firstLineChars="400"/>
        <w:rPr>
          <w:rFonts w:asciiTheme="minorHAnsi" w:hAnsiTheme="minorHAnsi" w:eastAsiaTheme="minorEastAsia" w:cstheme="minorBidi"/>
          <w:i w:val="0"/>
          <w:iCs w:val="0"/>
          <w:sz w:val="21"/>
          <w:szCs w:val="22"/>
          <w:highlight w:val="none"/>
          <w:lang w:bidi="ar-SA"/>
        </w:rPr>
      </w:pPr>
      <w:r>
        <w:fldChar w:fldCharType="begin"/>
      </w:r>
      <w:r>
        <w:instrText xml:space="preserve"> HYPERLINK \l "_Toc75443000" </w:instrText>
      </w:r>
      <w:r>
        <w:fldChar w:fldCharType="separate"/>
      </w:r>
      <w:r>
        <w:rPr>
          <w:rStyle w:val="28"/>
          <w:rFonts w:hint="eastAsia"/>
        </w:rPr>
        <w:t>三</w:t>
      </w:r>
      <w:r>
        <w:rPr>
          <w:rStyle w:val="28"/>
        </w:rPr>
        <w:t xml:space="preserve"> </w:t>
      </w:r>
      <w:r>
        <w:rPr>
          <w:rStyle w:val="28"/>
          <w:rFonts w:hint="eastAsia"/>
        </w:rPr>
        <w:t>投标文件的编制</w:t>
      </w:r>
      <w:r>
        <w:tab/>
      </w:r>
      <w:r>
        <w:rPr>
          <w:rFonts w:hint="eastAsia"/>
          <w:i w:val="0"/>
          <w:iCs w:val="0"/>
          <w:highlight w:val="none"/>
          <w:lang w:eastAsia="zh-CN"/>
        </w:rPr>
        <w:t>6</w:t>
      </w:r>
      <w:r>
        <w:fldChar w:fldCharType="end"/>
      </w:r>
    </w:p>
    <w:p>
      <w:pPr>
        <w:pStyle w:val="21"/>
        <w:tabs>
          <w:tab w:val="right" w:leader="dot" w:pos="8302"/>
        </w:tabs>
        <w:spacing w:line="360" w:lineRule="auto"/>
        <w:ind w:firstLine="800" w:firstLineChars="400"/>
        <w:rPr>
          <w:rFonts w:asciiTheme="minorHAnsi" w:hAnsiTheme="minorHAnsi" w:eastAsiaTheme="minorEastAsia" w:cstheme="minorBidi"/>
          <w:i w:val="0"/>
          <w:iCs w:val="0"/>
          <w:sz w:val="21"/>
          <w:szCs w:val="22"/>
          <w:highlight w:val="none"/>
          <w:lang w:bidi="ar-SA"/>
        </w:rPr>
      </w:pPr>
      <w:r>
        <w:fldChar w:fldCharType="begin"/>
      </w:r>
      <w:r>
        <w:instrText xml:space="preserve"> HYPERLINK \l "_Toc75443009" </w:instrText>
      </w:r>
      <w:r>
        <w:fldChar w:fldCharType="separate"/>
      </w:r>
      <w:r>
        <w:rPr>
          <w:rStyle w:val="28"/>
          <w:rFonts w:hint="eastAsia"/>
        </w:rPr>
        <w:t>四</w:t>
      </w:r>
      <w:r>
        <w:rPr>
          <w:rStyle w:val="28"/>
        </w:rPr>
        <w:t xml:space="preserve"> </w:t>
      </w:r>
      <w:r>
        <w:rPr>
          <w:rStyle w:val="28"/>
          <w:rFonts w:hint="eastAsia"/>
        </w:rPr>
        <w:t>投标文件的递交</w:t>
      </w:r>
      <w:r>
        <w:tab/>
      </w:r>
      <w:r>
        <w:fldChar w:fldCharType="begin"/>
      </w:r>
      <w:r>
        <w:instrText xml:space="preserve"> PAGEREF _Toc75443009 \h </w:instrText>
      </w:r>
      <w:r>
        <w:fldChar w:fldCharType="separate"/>
      </w:r>
      <w:r>
        <w:t>8</w:t>
      </w:r>
      <w:r>
        <w:fldChar w:fldCharType="end"/>
      </w:r>
      <w:r>
        <w:fldChar w:fldCharType="end"/>
      </w:r>
    </w:p>
    <w:p>
      <w:pPr>
        <w:pStyle w:val="21"/>
        <w:tabs>
          <w:tab w:val="right" w:leader="dot" w:pos="8302"/>
        </w:tabs>
        <w:spacing w:line="360" w:lineRule="auto"/>
        <w:ind w:firstLine="800" w:firstLineChars="400"/>
        <w:rPr>
          <w:rFonts w:asciiTheme="minorHAnsi" w:hAnsiTheme="minorHAnsi" w:eastAsiaTheme="minorEastAsia" w:cstheme="minorBidi"/>
          <w:i w:val="0"/>
          <w:iCs w:val="0"/>
          <w:sz w:val="21"/>
          <w:szCs w:val="22"/>
          <w:highlight w:val="none"/>
          <w:lang w:bidi="ar-SA"/>
        </w:rPr>
      </w:pPr>
      <w:r>
        <w:fldChar w:fldCharType="begin"/>
      </w:r>
      <w:r>
        <w:instrText xml:space="preserve"> HYPERLINK \l "_Toc75443013" </w:instrText>
      </w:r>
      <w:r>
        <w:fldChar w:fldCharType="separate"/>
      </w:r>
      <w:r>
        <w:rPr>
          <w:rStyle w:val="28"/>
          <w:rFonts w:hint="eastAsia"/>
        </w:rPr>
        <w:t>五</w:t>
      </w:r>
      <w:r>
        <w:rPr>
          <w:rStyle w:val="28"/>
          <w:rFonts w:hint="eastAsia"/>
          <w:i w:val="0"/>
          <w:iCs w:val="0"/>
          <w:highlight w:val="none"/>
          <w:lang w:val="en-US" w:eastAsia="zh-CN"/>
        </w:rPr>
        <w:t xml:space="preserve"> </w:t>
      </w:r>
      <w:r>
        <w:rPr>
          <w:rStyle w:val="28"/>
          <w:rFonts w:hint="eastAsia"/>
        </w:rPr>
        <w:t>开标及评标</w:t>
      </w:r>
      <w:r>
        <w:tab/>
      </w:r>
      <w:r>
        <w:fldChar w:fldCharType="begin"/>
      </w:r>
      <w:r>
        <w:instrText xml:space="preserve"> PAGEREF _Toc75443013 \h </w:instrText>
      </w:r>
      <w:r>
        <w:fldChar w:fldCharType="separate"/>
      </w:r>
      <w:r>
        <w:t>8</w:t>
      </w:r>
      <w:r>
        <w:fldChar w:fldCharType="end"/>
      </w:r>
      <w:r>
        <w:fldChar w:fldCharType="end"/>
      </w:r>
    </w:p>
    <w:p>
      <w:pPr>
        <w:pStyle w:val="21"/>
        <w:tabs>
          <w:tab w:val="right" w:leader="dot" w:pos="8302"/>
        </w:tabs>
        <w:spacing w:line="360" w:lineRule="auto"/>
        <w:ind w:firstLine="800" w:firstLineChars="400"/>
        <w:rPr>
          <w:rFonts w:asciiTheme="minorHAnsi" w:hAnsiTheme="minorHAnsi" w:eastAsiaTheme="minorEastAsia" w:cstheme="minorBidi"/>
          <w:smallCaps w:val="0"/>
          <w:sz w:val="21"/>
          <w:szCs w:val="22"/>
          <w:lang w:bidi="ar-SA"/>
        </w:rPr>
      </w:pPr>
      <w:r>
        <w:fldChar w:fldCharType="begin"/>
      </w:r>
      <w:r>
        <w:instrText xml:space="preserve"> HYPERLINK \l "_Toc75443017" </w:instrText>
      </w:r>
      <w:r>
        <w:fldChar w:fldCharType="separate"/>
      </w:r>
      <w:r>
        <w:rPr>
          <w:rStyle w:val="28"/>
          <w:rFonts w:hint="eastAsia"/>
        </w:rPr>
        <w:t>六</w:t>
      </w:r>
      <w:r>
        <w:rPr>
          <w:rStyle w:val="28"/>
          <w:rFonts w:hint="eastAsia"/>
          <w:i w:val="0"/>
          <w:iCs w:val="0"/>
          <w:highlight w:val="none"/>
          <w:lang w:val="en-US" w:eastAsia="zh-CN"/>
        </w:rPr>
        <w:t xml:space="preserve"> </w:t>
      </w:r>
      <w:r>
        <w:rPr>
          <w:rStyle w:val="28"/>
          <w:rFonts w:hint="eastAsia"/>
        </w:rPr>
        <w:t>确定中标</w:t>
      </w:r>
      <w:r>
        <w:tab/>
      </w:r>
      <w:r>
        <w:fldChar w:fldCharType="begin"/>
      </w:r>
      <w:r>
        <w:instrText xml:space="preserve"> PAGEREF _Toc75443017 \h </w:instrText>
      </w:r>
      <w:r>
        <w:fldChar w:fldCharType="separate"/>
      </w:r>
      <w:r>
        <w:t>12</w:t>
      </w:r>
      <w:r>
        <w:fldChar w:fldCharType="end"/>
      </w:r>
      <w:r>
        <w:fldChar w:fldCharType="end"/>
      </w:r>
    </w:p>
    <w:p>
      <w:pPr>
        <w:pStyle w:val="18"/>
        <w:tabs>
          <w:tab w:val="right" w:leader="dot" w:pos="8302"/>
        </w:tabs>
        <w:spacing w:line="360" w:lineRule="auto"/>
        <w:ind w:firstLine="602" w:firstLineChars="300"/>
        <w:rPr>
          <w:rFonts w:asciiTheme="minorHAnsi" w:hAnsiTheme="minorHAnsi" w:eastAsiaTheme="minorEastAsia" w:cstheme="minorBidi"/>
          <w:b w:val="0"/>
          <w:bCs w:val="0"/>
          <w:caps w:val="0"/>
          <w:sz w:val="21"/>
          <w:szCs w:val="22"/>
          <w:lang w:bidi="ar-SA"/>
        </w:rPr>
      </w:pPr>
      <w:r>
        <w:fldChar w:fldCharType="begin"/>
      </w:r>
      <w:r>
        <w:instrText xml:space="preserve"> HYPERLINK \l "_Toc75443018" </w:instrText>
      </w:r>
      <w:r>
        <w:fldChar w:fldCharType="separate"/>
      </w:r>
      <w:r>
        <w:rPr>
          <w:rStyle w:val="28"/>
          <w:rFonts w:hint="eastAsia"/>
        </w:rPr>
        <w:t>第</w:t>
      </w:r>
      <w:r>
        <w:rPr>
          <w:rStyle w:val="28"/>
          <w:rFonts w:ascii="宋体" w:hAnsi="宋体"/>
        </w:rPr>
        <w:t>2</w:t>
      </w:r>
      <w:r>
        <w:rPr>
          <w:rStyle w:val="28"/>
          <w:rFonts w:hint="eastAsia"/>
        </w:rPr>
        <w:t>章投标文件格式</w:t>
      </w:r>
      <w:r>
        <w:tab/>
      </w:r>
      <w:r>
        <w:fldChar w:fldCharType="begin"/>
      </w:r>
      <w:r>
        <w:instrText xml:space="preserve"> PAGEREF _Toc75443018 \h </w:instrText>
      </w:r>
      <w:r>
        <w:fldChar w:fldCharType="separate"/>
      </w:r>
      <w:r>
        <w:t>15</w:t>
      </w:r>
      <w:r>
        <w:fldChar w:fldCharType="end"/>
      </w:r>
      <w:r>
        <w:fldChar w:fldCharType="end"/>
      </w:r>
    </w:p>
    <w:p>
      <w:pPr>
        <w:pStyle w:val="21"/>
        <w:tabs>
          <w:tab w:val="right" w:leader="dot" w:pos="8302"/>
        </w:tabs>
        <w:spacing w:line="360" w:lineRule="auto"/>
        <w:ind w:firstLine="800" w:firstLineChars="400"/>
        <w:rPr>
          <w:rFonts w:asciiTheme="minorHAnsi" w:hAnsiTheme="minorHAnsi" w:eastAsiaTheme="minorEastAsia" w:cstheme="minorBidi"/>
          <w:sz w:val="21"/>
          <w:szCs w:val="22"/>
          <w:lang w:bidi="ar-SA"/>
        </w:rPr>
      </w:pPr>
      <w:r>
        <w:fldChar w:fldCharType="begin"/>
      </w:r>
      <w:r>
        <w:instrText xml:space="preserve"> HYPERLINK \l "_Toc75443019" </w:instrText>
      </w:r>
      <w:r>
        <w:fldChar w:fldCharType="separate"/>
      </w:r>
      <w:r>
        <w:rPr>
          <w:rStyle w:val="28"/>
          <w:rFonts w:hint="eastAsia"/>
        </w:rPr>
        <w:t>第一部分开标一览表及资格证明文件</w:t>
      </w:r>
      <w:r>
        <w:tab/>
      </w:r>
      <w:r>
        <w:fldChar w:fldCharType="begin"/>
      </w:r>
      <w:r>
        <w:instrText xml:space="preserve"> PAGEREF _Toc75443019 \h </w:instrText>
      </w:r>
      <w:r>
        <w:fldChar w:fldCharType="separate"/>
      </w:r>
      <w:r>
        <w:t>15</w:t>
      </w:r>
      <w:r>
        <w:fldChar w:fldCharType="end"/>
      </w:r>
      <w:r>
        <w:fldChar w:fldCharType="end"/>
      </w:r>
    </w:p>
    <w:p>
      <w:pPr>
        <w:pStyle w:val="21"/>
        <w:tabs>
          <w:tab w:val="right" w:leader="dot" w:pos="8302"/>
        </w:tabs>
        <w:spacing w:line="360" w:lineRule="auto"/>
        <w:ind w:firstLine="800" w:firstLineChars="400"/>
        <w:rPr>
          <w:rFonts w:asciiTheme="minorHAnsi" w:hAnsiTheme="minorHAnsi" w:eastAsiaTheme="minorEastAsia" w:cstheme="minorBidi"/>
          <w:sz w:val="21"/>
          <w:szCs w:val="22"/>
          <w:lang w:bidi="ar-SA"/>
        </w:rPr>
      </w:pPr>
      <w:r>
        <w:fldChar w:fldCharType="begin"/>
      </w:r>
      <w:r>
        <w:instrText xml:space="preserve"> HYPERLINK \l "_Toc75443027" </w:instrText>
      </w:r>
      <w:r>
        <w:fldChar w:fldCharType="separate"/>
      </w:r>
      <w:r>
        <w:rPr>
          <w:rStyle w:val="28"/>
          <w:rFonts w:hint="eastAsia"/>
        </w:rPr>
        <w:t>第二部分商务及技术文件</w:t>
      </w:r>
      <w:r>
        <w:tab/>
      </w:r>
      <w:r>
        <w:fldChar w:fldCharType="begin"/>
      </w:r>
      <w:r>
        <w:instrText xml:space="preserve"> PAGEREF _Toc75443027 \h </w:instrText>
      </w:r>
      <w:r>
        <w:fldChar w:fldCharType="separate"/>
      </w:r>
      <w:r>
        <w:t>25</w:t>
      </w:r>
      <w:r>
        <w:fldChar w:fldCharType="end"/>
      </w:r>
      <w:r>
        <w:fldChar w:fldCharType="end"/>
      </w:r>
    </w:p>
    <w:p>
      <w:pPr>
        <w:pStyle w:val="18"/>
        <w:tabs>
          <w:tab w:val="right" w:leader="dot" w:pos="8302"/>
        </w:tabs>
        <w:spacing w:line="360" w:lineRule="auto"/>
        <w:ind w:firstLine="602" w:firstLineChars="300"/>
        <w:rPr>
          <w:rFonts w:asciiTheme="minorHAnsi" w:hAnsiTheme="minorHAnsi" w:eastAsiaTheme="minorEastAsia" w:cstheme="minorBidi"/>
          <w:b w:val="0"/>
          <w:bCs w:val="0"/>
          <w:caps w:val="0"/>
          <w:sz w:val="21"/>
          <w:szCs w:val="22"/>
          <w:lang w:bidi="ar-SA"/>
        </w:rPr>
      </w:pPr>
      <w:r>
        <w:fldChar w:fldCharType="begin"/>
      </w:r>
      <w:r>
        <w:instrText xml:space="preserve"> HYPERLINK \l "_Toc75443037" </w:instrText>
      </w:r>
      <w:r>
        <w:fldChar w:fldCharType="separate"/>
      </w:r>
      <w:r>
        <w:rPr>
          <w:rStyle w:val="28"/>
          <w:rFonts w:hint="eastAsia" w:ascii="Times New Roman" w:hAnsi="Times New Roman"/>
        </w:rPr>
        <w:t>第3章</w:t>
      </w:r>
      <w:r>
        <w:rPr>
          <w:rStyle w:val="28"/>
          <w:rFonts w:hint="eastAsia" w:ascii="Times New Roman" w:hAnsi="Times New Roman"/>
          <w:lang w:val="en-US" w:eastAsia="zh-CN"/>
        </w:rPr>
        <w:t>招标公告</w:t>
      </w:r>
      <w:r>
        <w:tab/>
      </w:r>
      <w:r>
        <w:fldChar w:fldCharType="begin"/>
      </w:r>
      <w:r>
        <w:instrText xml:space="preserve"> PAGEREF _Toc75443037 \h </w:instrText>
      </w:r>
      <w:r>
        <w:fldChar w:fldCharType="separate"/>
      </w:r>
      <w:r>
        <w:t>43</w:t>
      </w:r>
      <w:r>
        <w:fldChar w:fldCharType="end"/>
      </w:r>
      <w:r>
        <w:fldChar w:fldCharType="end"/>
      </w:r>
    </w:p>
    <w:p>
      <w:pPr>
        <w:pStyle w:val="18"/>
        <w:tabs>
          <w:tab w:val="right" w:leader="dot" w:pos="8302"/>
        </w:tabs>
        <w:spacing w:line="360" w:lineRule="auto"/>
        <w:ind w:firstLine="602" w:firstLineChars="300"/>
        <w:rPr>
          <w:rFonts w:asciiTheme="minorHAnsi" w:hAnsiTheme="minorHAnsi" w:eastAsiaTheme="minorEastAsia" w:cstheme="minorBidi"/>
          <w:b w:val="0"/>
          <w:bCs w:val="0"/>
          <w:caps w:val="0"/>
          <w:sz w:val="21"/>
          <w:szCs w:val="22"/>
          <w:lang w:bidi="ar-SA"/>
        </w:rPr>
      </w:pPr>
      <w:r>
        <w:fldChar w:fldCharType="begin"/>
      </w:r>
      <w:r>
        <w:instrText xml:space="preserve"> HYPERLINK \l "_Toc75443038" </w:instrText>
      </w:r>
      <w:r>
        <w:fldChar w:fldCharType="separate"/>
      </w:r>
      <w:r>
        <w:rPr>
          <w:rStyle w:val="28"/>
          <w:rFonts w:hint="eastAsia"/>
        </w:rPr>
        <w:t>第</w:t>
      </w:r>
      <w:r>
        <w:rPr>
          <w:rStyle w:val="28"/>
        </w:rPr>
        <w:t>4</w:t>
      </w:r>
      <w:r>
        <w:rPr>
          <w:rStyle w:val="28"/>
          <w:rFonts w:hint="eastAsia"/>
        </w:rPr>
        <w:t>章投标人须知资料表</w:t>
      </w:r>
      <w:r>
        <w:tab/>
      </w:r>
      <w:r>
        <w:fldChar w:fldCharType="begin"/>
      </w:r>
      <w:r>
        <w:instrText xml:space="preserve"> PAGEREF _Toc75443038 \h </w:instrText>
      </w:r>
      <w:r>
        <w:fldChar w:fldCharType="separate"/>
      </w:r>
      <w:r>
        <w:t>47</w:t>
      </w:r>
      <w:r>
        <w:fldChar w:fldCharType="end"/>
      </w:r>
      <w:r>
        <w:fldChar w:fldCharType="end"/>
      </w:r>
    </w:p>
    <w:p>
      <w:pPr>
        <w:pStyle w:val="18"/>
        <w:tabs>
          <w:tab w:val="right" w:leader="dot" w:pos="8302"/>
        </w:tabs>
        <w:spacing w:line="360" w:lineRule="auto"/>
        <w:ind w:firstLine="602" w:firstLineChars="300"/>
        <w:rPr>
          <w:rFonts w:asciiTheme="minorHAnsi" w:hAnsiTheme="minorHAnsi" w:eastAsiaTheme="minorEastAsia" w:cstheme="minorBidi"/>
          <w:b w:val="0"/>
          <w:bCs w:val="0"/>
          <w:caps w:val="0"/>
          <w:sz w:val="21"/>
          <w:szCs w:val="22"/>
          <w:lang w:bidi="ar-SA"/>
        </w:rPr>
      </w:pPr>
      <w:r>
        <w:fldChar w:fldCharType="begin"/>
      </w:r>
      <w:r>
        <w:instrText xml:space="preserve"> HYPERLINK \l "_Toc75443040" </w:instrText>
      </w:r>
      <w:r>
        <w:fldChar w:fldCharType="separate"/>
      </w:r>
      <w:r>
        <w:rPr>
          <w:rStyle w:val="28"/>
          <w:rFonts w:hint="eastAsia" w:ascii="Times New Roman" w:hAnsi="Times New Roman"/>
        </w:rPr>
        <w:t>第5章货物（服务）需求一览表及技术规格</w:t>
      </w:r>
      <w:r>
        <w:tab/>
      </w:r>
      <w:r>
        <w:fldChar w:fldCharType="begin"/>
      </w:r>
      <w:r>
        <w:instrText xml:space="preserve"> PAGEREF _Toc75443040 \h </w:instrText>
      </w:r>
      <w:r>
        <w:fldChar w:fldCharType="separate"/>
      </w:r>
      <w:r>
        <w:t>55</w:t>
      </w:r>
      <w:r>
        <w:fldChar w:fldCharType="end"/>
      </w:r>
      <w:r>
        <w:fldChar w:fldCharType="end"/>
      </w:r>
    </w:p>
    <w:p>
      <w:pPr>
        <w:pStyle w:val="18"/>
        <w:tabs>
          <w:tab w:val="right" w:leader="dot" w:pos="8302"/>
        </w:tabs>
        <w:spacing w:line="360" w:lineRule="auto"/>
        <w:ind w:firstLine="602" w:firstLineChars="300"/>
        <w:rPr>
          <w:rFonts w:asciiTheme="minorHAnsi" w:hAnsiTheme="minorHAnsi" w:eastAsiaTheme="minorEastAsia" w:cstheme="minorBidi"/>
          <w:sz w:val="21"/>
          <w:szCs w:val="22"/>
          <w:lang w:bidi="ar-SA"/>
        </w:rPr>
      </w:pPr>
      <w:r>
        <w:fldChar w:fldCharType="begin"/>
      </w:r>
      <w:r>
        <w:instrText xml:space="preserve"> HYPERLINK \l "_Toc75443041" </w:instrText>
      </w:r>
      <w:r>
        <w:fldChar w:fldCharType="separate"/>
      </w:r>
      <w:r>
        <w:rPr>
          <w:rStyle w:val="28"/>
          <w:rFonts w:hint="eastAsia" w:ascii="Times New Roman" w:hAnsi="Times New Roman"/>
        </w:rPr>
        <w:t>第6章评标方式和标准</w:t>
      </w:r>
      <w:r>
        <w:tab/>
      </w:r>
      <w:r>
        <w:fldChar w:fldCharType="begin"/>
      </w:r>
      <w:r>
        <w:instrText xml:space="preserve"> PAGEREF _Toc75443041 \h </w:instrText>
      </w:r>
      <w:r>
        <w:fldChar w:fldCharType="separate"/>
      </w:r>
      <w:r>
        <w:t>56</w:t>
      </w:r>
      <w:r>
        <w:fldChar w:fldCharType="end"/>
      </w:r>
      <w:r>
        <w:fldChar w:fldCharType="end"/>
      </w:r>
    </w:p>
    <w:p>
      <w:pPr>
        <w:pStyle w:val="18"/>
        <w:tabs>
          <w:tab w:val="right" w:leader="dot" w:pos="8302"/>
        </w:tabs>
        <w:spacing w:line="360" w:lineRule="auto"/>
        <w:ind w:firstLine="602" w:firstLineChars="300"/>
        <w:rPr>
          <w:rFonts w:asciiTheme="minorHAnsi" w:hAnsiTheme="minorHAnsi" w:eastAsiaTheme="minorEastAsia" w:cstheme="minorBidi"/>
          <w:b w:val="0"/>
          <w:bCs w:val="0"/>
          <w:caps w:val="0"/>
          <w:sz w:val="21"/>
          <w:szCs w:val="22"/>
          <w:lang w:bidi="ar-SA"/>
        </w:rPr>
      </w:pPr>
      <w:r>
        <w:fldChar w:fldCharType="begin"/>
      </w:r>
      <w:r>
        <w:instrText xml:space="preserve"> HYPERLINK \l "_Toc75443044" </w:instrText>
      </w:r>
      <w:r>
        <w:fldChar w:fldCharType="separate"/>
      </w:r>
      <w:r>
        <w:rPr>
          <w:rStyle w:val="28"/>
          <w:rFonts w:hint="eastAsia"/>
        </w:rPr>
        <w:t>第</w:t>
      </w:r>
      <w:r>
        <w:rPr>
          <w:rStyle w:val="28"/>
        </w:rPr>
        <w:t>7</w:t>
      </w:r>
      <w:r>
        <w:rPr>
          <w:rStyle w:val="28"/>
          <w:rFonts w:hint="eastAsia"/>
        </w:rPr>
        <w:t>章政府采购合同</w:t>
      </w:r>
      <w:r>
        <w:tab/>
      </w:r>
      <w:r>
        <w:fldChar w:fldCharType="begin"/>
      </w:r>
      <w:r>
        <w:instrText xml:space="preserve"> PAGEREF _Toc75443044 \h </w:instrText>
      </w:r>
      <w:r>
        <w:fldChar w:fldCharType="separate"/>
      </w:r>
      <w:r>
        <w:t>66</w:t>
      </w:r>
      <w:r>
        <w:fldChar w:fldCharType="end"/>
      </w:r>
      <w:r>
        <w:fldChar w:fldCharType="end"/>
      </w:r>
    </w:p>
    <w:p>
      <w:pPr>
        <w:pStyle w:val="21"/>
        <w:tabs>
          <w:tab w:val="right" w:leader="dot" w:pos="8302"/>
        </w:tabs>
        <w:spacing w:line="360" w:lineRule="auto"/>
        <w:ind w:firstLine="800" w:firstLineChars="400"/>
        <w:rPr>
          <w:rFonts w:hint="eastAsia" w:eastAsia="宋体" w:asciiTheme="minorHAnsi" w:hAnsiTheme="minorHAnsi" w:cstheme="minorBidi"/>
          <w:smallCaps w:val="0"/>
          <w:sz w:val="21"/>
          <w:szCs w:val="22"/>
          <w:lang w:val="en-US" w:eastAsia="zh-CN" w:bidi="ar-SA"/>
        </w:rPr>
      </w:pPr>
      <w:r>
        <w:fldChar w:fldCharType="begin"/>
      </w:r>
      <w:r>
        <w:instrText xml:space="preserve"> HYPERLINK \l "_Toc75443045" </w:instrText>
      </w:r>
      <w:r>
        <w:fldChar w:fldCharType="separate"/>
      </w:r>
      <w:r>
        <w:rPr>
          <w:rStyle w:val="28"/>
          <w:rFonts w:hint="eastAsia"/>
        </w:rPr>
        <w:t>第一部分合同书</w:t>
      </w:r>
      <w:r>
        <w:tab/>
      </w:r>
      <w:r>
        <w:rPr>
          <w:rFonts w:hint="eastAsia"/>
          <w:lang w:val="en-US" w:eastAsia="zh-CN"/>
        </w:rPr>
        <w:t>6</w:t>
      </w:r>
      <w:r>
        <w:fldChar w:fldCharType="end"/>
      </w:r>
      <w:r>
        <w:rPr>
          <w:rFonts w:hint="eastAsia"/>
          <w:lang w:val="en-US" w:eastAsia="zh-CN"/>
        </w:rPr>
        <w:t>8</w:t>
      </w:r>
    </w:p>
    <w:p>
      <w:pPr>
        <w:pStyle w:val="21"/>
        <w:tabs>
          <w:tab w:val="right" w:leader="dot" w:pos="8302"/>
        </w:tabs>
        <w:spacing w:line="360" w:lineRule="auto"/>
        <w:ind w:firstLine="800" w:firstLineChars="400"/>
        <w:rPr>
          <w:rFonts w:hint="eastAsia" w:eastAsia="宋体" w:asciiTheme="minorHAnsi" w:hAnsiTheme="minorHAnsi" w:cstheme="minorBidi"/>
          <w:smallCaps w:val="0"/>
          <w:sz w:val="21"/>
          <w:szCs w:val="22"/>
          <w:lang w:val="en-US" w:eastAsia="zh-CN" w:bidi="ar-SA"/>
        </w:rPr>
      </w:pPr>
      <w:r>
        <w:fldChar w:fldCharType="begin"/>
      </w:r>
      <w:r>
        <w:instrText xml:space="preserve"> HYPERLINK \l "_Toc75443047" </w:instrText>
      </w:r>
      <w:r>
        <w:fldChar w:fldCharType="separate"/>
      </w:r>
      <w:r>
        <w:rPr>
          <w:rStyle w:val="28"/>
          <w:rFonts w:hint="eastAsia"/>
        </w:rPr>
        <w:t>第三部分合同专用条款</w:t>
      </w:r>
      <w:r>
        <w:tab/>
      </w:r>
      <w:r>
        <w:rPr>
          <w:rFonts w:hint="eastAsia"/>
          <w:i w:val="0"/>
          <w:iCs w:val="0"/>
          <w:highlight w:val="none"/>
          <w:lang w:eastAsia="zh-CN"/>
        </w:rPr>
        <w:t>7</w:t>
      </w:r>
      <w:r>
        <w:fldChar w:fldCharType="end"/>
      </w:r>
      <w:r>
        <w:rPr>
          <w:rFonts w:hint="eastAsia"/>
          <w:lang w:val="en-US" w:eastAsia="zh-CN"/>
        </w:rPr>
        <w:t>2</w:t>
      </w:r>
    </w:p>
    <w:p>
      <w:pPr>
        <w:pStyle w:val="18"/>
        <w:tabs>
          <w:tab w:val="right" w:leader="dot" w:pos="8296"/>
        </w:tabs>
        <w:rPr>
          <w:b w:val="0"/>
          <w:bCs w:val="0"/>
          <w:caps w:val="0"/>
          <w:sz w:val="21"/>
          <w:szCs w:val="32"/>
        </w:rPr>
      </w:pPr>
      <w:r>
        <w:fldChar w:fldCharType="end"/>
      </w:r>
    </w:p>
    <w:p>
      <w:pPr>
        <w:pStyle w:val="2"/>
        <w:jc w:val="center"/>
        <w:rPr>
          <w:highlight w:val="none"/>
          <w:lang w:bidi="ar-SA"/>
        </w:rPr>
      </w:pPr>
      <w:r>
        <w:rPr>
          <w:lang w:bidi="ar-SA"/>
        </w:rPr>
        <w:br w:type="page"/>
      </w:r>
      <w:bookmarkStart w:id="0" w:name="_Toc75442990"/>
      <w:r>
        <w:rPr>
          <w:rFonts w:hint="eastAsia"/>
          <w:highlight w:val="none"/>
          <w:lang w:bidi="ar-SA"/>
        </w:rPr>
        <w:t>第</w:t>
      </w:r>
      <w:r>
        <w:rPr>
          <w:highlight w:val="none"/>
          <w:lang w:bidi="ar-SA"/>
        </w:rPr>
        <w:t>1</w:t>
      </w:r>
      <w:r>
        <w:rPr>
          <w:rFonts w:hint="eastAsia"/>
          <w:highlight w:val="none"/>
          <w:lang w:bidi="ar-SA"/>
        </w:rPr>
        <w:t>章投标人须知</w:t>
      </w:r>
      <w:bookmarkEnd w:id="0"/>
    </w:p>
    <w:p>
      <w:pPr>
        <w:pStyle w:val="3"/>
        <w:rPr>
          <w:highlight w:val="none"/>
          <w:lang w:bidi="ar-SA"/>
        </w:rPr>
      </w:pPr>
      <w:bookmarkStart w:id="1" w:name="_Toc75442991"/>
      <w:r>
        <w:rPr>
          <w:rFonts w:hint="eastAsia"/>
          <w:highlight w:val="none"/>
          <w:lang w:bidi="ar-SA"/>
        </w:rPr>
        <w:t>一 总则</w:t>
      </w:r>
      <w:bookmarkEnd w:id="1"/>
    </w:p>
    <w:p>
      <w:pPr>
        <w:pStyle w:val="4"/>
        <w:ind w:firstLine="470" w:firstLineChars="195"/>
        <w:rPr>
          <w:rFonts w:ascii="仿宋_GB2312" w:hAnsi="宋体" w:eastAsia="仿宋_GB2312" w:cs="Times New Roman"/>
          <w:szCs w:val="24"/>
          <w:highlight w:val="none"/>
          <w:lang w:bidi="ar-SA"/>
        </w:rPr>
      </w:pPr>
      <w:bookmarkStart w:id="2" w:name="_Toc75442992"/>
      <w:r>
        <w:rPr>
          <w:rFonts w:ascii="仿宋_GB2312" w:hAnsi="宋体" w:eastAsia="仿宋_GB2312" w:cs="Times New Roman"/>
          <w:szCs w:val="24"/>
          <w:highlight w:val="none"/>
          <w:lang w:bidi="ar-SA"/>
        </w:rPr>
        <w:t>1.</w:t>
      </w:r>
      <w:r>
        <w:rPr>
          <w:rFonts w:hint="eastAsia" w:ascii="仿宋_GB2312" w:hAnsi="宋体" w:eastAsia="仿宋_GB2312" w:cs="Times New Roman"/>
          <w:szCs w:val="24"/>
          <w:highlight w:val="none"/>
          <w:lang w:bidi="ar-SA"/>
        </w:rPr>
        <w:t>采购人、采购代理机构及投标人</w:t>
      </w:r>
      <w:bookmarkEnd w:id="2"/>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1.1</w:t>
      </w:r>
      <w:r>
        <w:rPr>
          <w:rFonts w:hint="eastAsia" w:ascii="仿宋_GB2312" w:hAnsi="宋体" w:eastAsia="仿宋_GB2312" w:cs="Times New Roman"/>
          <w:sz w:val="24"/>
          <w:szCs w:val="24"/>
          <w:highlight w:val="none"/>
          <w:lang w:bidi="ar-SA"/>
        </w:rPr>
        <w:t>采购人：是指依法开展政府采购活动的国家机关、事业单位、团体组织。</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本项目的采购人见</w:t>
      </w:r>
      <w:r>
        <w:rPr>
          <w:rFonts w:hint="eastAsia" w:ascii="仿宋_GB2312" w:hAnsi="宋体" w:eastAsia="仿宋_GB2312" w:cs="Times New Roman"/>
          <w:sz w:val="24"/>
          <w:szCs w:val="24"/>
          <w:highlight w:val="none"/>
          <w:u w:val="single"/>
          <w:lang w:bidi="ar-SA"/>
        </w:rPr>
        <w:t>投标人须知资料表。</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1.2</w:t>
      </w:r>
      <w:r>
        <w:rPr>
          <w:rFonts w:hint="eastAsia" w:ascii="仿宋_GB2312" w:hAnsi="宋体" w:eastAsia="仿宋_GB2312" w:cs="Times New Roman"/>
          <w:sz w:val="24"/>
          <w:szCs w:val="24"/>
          <w:highlight w:val="none"/>
          <w:lang w:bidi="ar-SA"/>
        </w:rPr>
        <w:t>采购代理机构：是指集中采购机构或从事采购代理业务的社会中介机构。本项目的采购代理机构见</w:t>
      </w:r>
      <w:r>
        <w:rPr>
          <w:rFonts w:hint="eastAsia" w:ascii="仿宋_GB2312" w:hAnsi="宋体" w:eastAsia="仿宋_GB2312" w:cs="Times New Roman"/>
          <w:sz w:val="24"/>
          <w:szCs w:val="24"/>
          <w:highlight w:val="none"/>
          <w:u w:val="single"/>
          <w:lang w:bidi="ar-SA"/>
        </w:rPr>
        <w:t>投标人须知资料表。</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bidi="ar-SA"/>
        </w:rPr>
        <w:t>投标人：是指向采购人提供货物、工程或者服务的法人、非法人组织或者自然人。本项目的投标人</w:t>
      </w:r>
      <w:r>
        <w:rPr>
          <w:rFonts w:hint="eastAsia" w:ascii="仿宋_GB2312" w:hAnsi="宋体" w:eastAsia="仿宋_GB2312" w:cs="Times New Roman"/>
          <w:color w:val="000000" w:themeColor="text1"/>
          <w:sz w:val="24"/>
          <w:szCs w:val="24"/>
          <w:highlight w:val="none"/>
          <w:lang w:bidi="ar-SA"/>
          <w14:textFill>
            <w14:solidFill>
              <w14:schemeClr w14:val="tx1"/>
            </w14:solidFill>
          </w14:textFill>
        </w:rPr>
        <w:t>及其投标货物（服务）</w:t>
      </w:r>
      <w:r>
        <w:rPr>
          <w:rFonts w:hint="eastAsia" w:ascii="仿宋_GB2312" w:hAnsi="宋体" w:eastAsia="仿宋_GB2312" w:cs="Times New Roman"/>
          <w:sz w:val="24"/>
          <w:szCs w:val="24"/>
          <w:highlight w:val="none"/>
          <w:lang w:bidi="ar-SA"/>
        </w:rPr>
        <w:t>须满足以下条件：</w:t>
      </w:r>
    </w:p>
    <w:p>
      <w:pPr>
        <w:spacing w:line="400" w:lineRule="exact"/>
        <w:ind w:firstLine="480" w:firstLineChars="200"/>
        <w:rPr>
          <w:rFonts w:ascii="仿宋_GB2312" w:hAnsi="宋体" w:eastAsia="仿宋_GB2312" w:cs="Times New Roman"/>
          <w:color w:val="000000" w:themeColor="text1"/>
          <w:sz w:val="24"/>
          <w:szCs w:val="24"/>
          <w:highlight w:val="none"/>
          <w:lang w:bidi="ar-SA"/>
          <w14:textFill>
            <w14:solidFill>
              <w14:schemeClr w14:val="tx1"/>
            </w14:solidFill>
          </w14:textFill>
        </w:rPr>
      </w:pPr>
      <w:r>
        <w:rPr>
          <w:rFonts w:ascii="仿宋_GB2312" w:hAnsi="宋体" w:eastAsia="仿宋_GB2312" w:cs="Times New Roman"/>
          <w:color w:val="000000" w:themeColor="text1"/>
          <w:sz w:val="24"/>
          <w:szCs w:val="24"/>
          <w:highlight w:val="none"/>
          <w:lang w:bidi="ar-SA"/>
          <w14:textFill>
            <w14:solidFill>
              <w14:schemeClr w14:val="tx1"/>
            </w14:solidFill>
          </w14:textFill>
        </w:rPr>
        <w:t>1.3.1</w:t>
      </w:r>
      <w:r>
        <w:rPr>
          <w:rFonts w:hint="eastAsia" w:ascii="仿宋_GB2312" w:hAnsi="宋体" w:eastAsia="仿宋_GB2312" w:cs="Times New Roman"/>
          <w:color w:val="000000" w:themeColor="text1"/>
          <w:sz w:val="24"/>
          <w:szCs w:val="24"/>
          <w:highlight w:val="none"/>
          <w:lang w:bidi="ar-SA"/>
          <w14:textFill>
            <w14:solidFill>
              <w14:schemeClr w14:val="tx1"/>
            </w14:solidFill>
          </w14:textFill>
        </w:rPr>
        <w:t>在中华人民共和国境内注册，能够独立承担民事责任，有生产或供应能力的本国供应商。</w:t>
      </w:r>
    </w:p>
    <w:p>
      <w:pPr>
        <w:spacing w:line="400" w:lineRule="exact"/>
        <w:ind w:firstLine="480" w:firstLineChars="200"/>
        <w:rPr>
          <w:rFonts w:hint="default" w:ascii="仿宋_GB2312" w:hAnsi="宋体" w:eastAsia="仿宋_GB2312" w:cs="Times New Roman"/>
          <w:color w:val="auto"/>
          <w:sz w:val="24"/>
          <w:szCs w:val="24"/>
          <w:lang w:val="en-US" w:eastAsia="zh-CN" w:bidi="ar-SA"/>
        </w:rPr>
      </w:pPr>
      <w:r>
        <w:rPr>
          <w:rFonts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bidi="ar-SA"/>
        </w:rPr>
        <w:t>1具备《中华人民共和国政府采购法》第二十二条关于供应商条件的规定，遵</w:t>
      </w:r>
      <w:r>
        <w:rPr>
          <w:rFonts w:hint="eastAsia" w:ascii="仿宋_GB2312" w:hAnsi="宋体" w:eastAsia="仿宋_GB2312" w:cs="Times New Roman"/>
          <w:sz w:val="24"/>
          <w:szCs w:val="24"/>
          <w:lang w:bidi="ar-SA"/>
        </w:rPr>
        <w:t>守本项目采购人本级和上级财政部门政府采购的有关规定</w:t>
      </w:r>
      <w:r>
        <w:rPr>
          <w:rFonts w:hint="eastAsia" w:ascii="仿宋_GB2312" w:hAnsi="宋体" w:eastAsia="仿宋_GB2312" w:cs="Times New Roman"/>
          <w:sz w:val="24"/>
          <w:szCs w:val="24"/>
          <w:highlight w:val="none"/>
          <w:lang w:bidi="ar-SA"/>
        </w:rPr>
        <w:t>。</w:t>
      </w:r>
      <w:r>
        <w:rPr>
          <w:rFonts w:hint="eastAsia" w:ascii="仿宋_GB2312" w:hAnsi="宋体" w:eastAsia="仿宋_GB2312" w:cs="Times New Roman"/>
          <w:color w:val="auto"/>
          <w:sz w:val="24"/>
          <w:szCs w:val="24"/>
          <w:lang w:val="en-US" w:eastAsia="zh-CN" w:bidi="ar-SA"/>
        </w:rPr>
        <w:t>遵守本项目采购人和上级主管部门的有关规定。</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bidi="ar-SA"/>
        </w:rPr>
        <w:t>2以采购代理机构认可的方式获得了本项目的招标文件。</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bidi="ar-SA"/>
        </w:rPr>
        <w:t>3符合</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中规定的其他要求。</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bidi="ar-SA"/>
        </w:rPr>
        <w:t>4若</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中写明允许采购进口产品，投标人应保证所投产品可履行合法报通关手续进入中国</w:t>
      </w:r>
      <w:r>
        <w:rPr>
          <w:rFonts w:hint="eastAsia" w:ascii="仿宋_GB2312" w:hAnsi="宋体" w:eastAsia="仿宋_GB2312" w:cs="Times New Roman"/>
          <w:color w:val="000000" w:themeColor="text1"/>
          <w:sz w:val="24"/>
          <w:szCs w:val="24"/>
          <w:highlight w:val="none"/>
          <w:lang w:bidi="ar-SA"/>
          <w14:textFill>
            <w14:solidFill>
              <w14:schemeClr w14:val="tx1"/>
            </w14:solidFill>
          </w14:textFill>
        </w:rPr>
        <w:t>关境</w:t>
      </w:r>
      <w:r>
        <w:rPr>
          <w:rFonts w:hint="eastAsia" w:ascii="仿宋_GB2312" w:hAnsi="宋体" w:eastAsia="仿宋_GB2312" w:cs="Times New Roman"/>
          <w:sz w:val="24"/>
          <w:szCs w:val="24"/>
          <w:highlight w:val="none"/>
          <w:lang w:bidi="ar-SA"/>
        </w:rPr>
        <w:t>内。</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若</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中未写明允许采购进口产品，如投标人所投产品为进口产品，其投标将被认定为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bidi="ar-SA"/>
        </w:rPr>
        <w:t>5若</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中写明专门面向中小企业采购的，如投标人为非中小企业且所投产品为非中小企业产品，其投标将被认定为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w:t>
      </w:r>
      <w:r>
        <w:rPr>
          <w:rFonts w:hint="eastAsia" w:ascii="仿宋_GB2312" w:hAnsi="宋体" w:eastAsia="仿宋_GB2312" w:cs="Times New Roman"/>
          <w:sz w:val="24"/>
          <w:szCs w:val="24"/>
          <w:highlight w:val="none"/>
          <w:lang w:bidi="ar-SA"/>
        </w:rPr>
        <w:t>如</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中允许联合体投标，对联合体规定如下：</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1.4.1</w:t>
      </w:r>
      <w:r>
        <w:rPr>
          <w:rFonts w:hint="eastAsia" w:ascii="仿宋_GB2312" w:hAnsi="宋体" w:eastAsia="仿宋_GB2312" w:cs="Times New Roman"/>
          <w:sz w:val="24"/>
          <w:szCs w:val="24"/>
          <w:highlight w:val="none"/>
          <w:lang w:bidi="ar-SA"/>
        </w:rPr>
        <w:t>两个以上供应商可以组成一个投标联合体，以一个投标人的身份投标。</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1.4.2</w:t>
      </w:r>
      <w:r>
        <w:rPr>
          <w:rFonts w:hint="eastAsia" w:ascii="仿宋_GB2312" w:hAnsi="宋体" w:eastAsia="仿宋_GB2312" w:cs="Times New Roman"/>
          <w:sz w:val="24"/>
          <w:szCs w:val="24"/>
          <w:highlight w:val="none"/>
          <w:lang w:bidi="ar-SA"/>
        </w:rPr>
        <w:t>联合体各方均应符合《中华人民共和国政府采购法》第二十二条规定的条件。</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1.4.3</w:t>
      </w:r>
      <w:r>
        <w:rPr>
          <w:rFonts w:hint="eastAsia" w:ascii="仿宋_GB2312" w:hAnsi="宋体" w:eastAsia="仿宋_GB2312" w:cs="Times New Roman"/>
          <w:color w:val="000000" w:themeColor="text1"/>
          <w:sz w:val="24"/>
          <w:szCs w:val="24"/>
          <w:highlight w:val="none"/>
          <w:lang w:bidi="ar-SA"/>
          <w14:textFill>
            <w14:solidFill>
              <w14:schemeClr w14:val="tx1"/>
            </w14:solidFill>
          </w14:textFill>
        </w:rPr>
        <w:t>采购人根据采购项目对投标人的特殊要求，联合体中至少应当有一方符合相关规定。</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w:t>
      </w:r>
      <w:r>
        <w:rPr>
          <w:rFonts w:hint="eastAsia" w:ascii="仿宋_GB2312" w:hAnsi="宋体" w:eastAsia="仿宋_GB2312" w:cs="Times New Roman"/>
          <w:sz w:val="24"/>
          <w:szCs w:val="24"/>
          <w:highlight w:val="none"/>
          <w:lang w:bidi="ar-SA"/>
        </w:rPr>
        <w:t>3联合体各方应签订共同投标协议，明确约定联合体各方承担的工作和相应的责任，并将共同投标协议连同作为投标文件第一部分的内容提交。</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w:t>
      </w:r>
      <w:r>
        <w:rPr>
          <w:rFonts w:hint="eastAsia" w:ascii="仿宋_GB2312" w:hAnsi="宋体" w:eastAsia="仿宋_GB2312" w:cs="Times New Roman"/>
          <w:sz w:val="24"/>
          <w:szCs w:val="24"/>
          <w:highlight w:val="none"/>
          <w:lang w:bidi="ar-SA"/>
        </w:rPr>
        <w:t>4大中型企业、其他自然人、法人或者非法人组织与小型、微型企业组成联合体共同参加投标，共同投标协议中应写明小型、微型企业的协议合同金额占到共同投标协议投标总金额的比例。</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w:t>
      </w:r>
      <w:r>
        <w:rPr>
          <w:rFonts w:hint="eastAsia" w:ascii="仿宋_GB2312" w:hAnsi="宋体" w:eastAsia="仿宋_GB2312" w:cs="Times New Roman"/>
          <w:sz w:val="24"/>
          <w:szCs w:val="24"/>
          <w:highlight w:val="none"/>
          <w:lang w:bidi="ar-SA"/>
        </w:rPr>
        <w:t>5联合体中有同类资质的供应商按照联合体分工承担相同工作的，按照较低的资质等级确定联合体的资质等级。</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w:t>
      </w:r>
      <w:r>
        <w:rPr>
          <w:rFonts w:hint="eastAsia" w:ascii="仿宋_GB2312" w:hAnsi="宋体" w:eastAsia="仿宋_GB2312" w:cs="Times New Roman"/>
          <w:sz w:val="24"/>
          <w:szCs w:val="24"/>
          <w:highlight w:val="none"/>
          <w:lang w:bidi="ar-SA"/>
        </w:rPr>
        <w:t>6以联合体形式参加政府采购活动的，联合体各方不得再单独参加或者与其他供应商另外组成联合体参加本项目投标，否则相关投标将被认定为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w:t>
      </w:r>
      <w:r>
        <w:rPr>
          <w:rFonts w:hint="eastAsia" w:ascii="仿宋_GB2312" w:hAnsi="宋体" w:eastAsia="仿宋_GB2312" w:cs="Times New Roman"/>
          <w:sz w:val="24"/>
          <w:szCs w:val="24"/>
          <w:highlight w:val="none"/>
          <w:lang w:bidi="ar-SA"/>
        </w:rPr>
        <w:t>7对联合体投标的其他资格要求见</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1.5</w:t>
      </w:r>
      <w:r>
        <w:rPr>
          <w:rFonts w:hint="eastAsia" w:ascii="仿宋_GB2312" w:hAnsi="宋体" w:eastAsia="仿宋_GB2312" w:cs="Times New Roman"/>
          <w:sz w:val="24"/>
          <w:szCs w:val="24"/>
          <w:highlight w:val="none"/>
          <w:lang w:bidi="ar-SA"/>
        </w:rPr>
        <w:t>单位负责人为同一人或者存在直接控股、管理关系的不同供应商，其相关投标将被认定为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1.6</w:t>
      </w:r>
      <w:r>
        <w:rPr>
          <w:rFonts w:hint="eastAsia" w:ascii="仿宋_GB2312" w:hAnsi="宋体" w:eastAsia="仿宋_GB2312" w:cs="Times New Roman"/>
          <w:sz w:val="24"/>
          <w:szCs w:val="24"/>
          <w:highlight w:val="none"/>
          <w:lang w:bidi="ar-SA"/>
        </w:rPr>
        <w:t>为本项目提供过整体设计、规范编制或者项目管理、监理、检测等服务的供应商，不得再参加本项目上述服务以外的其他采购活动。否则其投标将被认定为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1.7</w:t>
      </w:r>
      <w:r>
        <w:rPr>
          <w:rFonts w:hint="eastAsia" w:ascii="仿宋_GB2312" w:hAnsi="宋体" w:eastAsia="仿宋_GB2312" w:cs="Times New Roman"/>
          <w:sz w:val="24"/>
          <w:szCs w:val="24"/>
          <w:highlight w:val="none"/>
          <w:lang w:bidi="ar-SA"/>
        </w:rPr>
        <w:t>投标人在投标过程中不得向采购人提供、给予任何有价值的物品，影响其正常决策行为。一经发现，其将被认定为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pStyle w:val="4"/>
        <w:ind w:firstLine="482"/>
        <w:rPr>
          <w:highlight w:val="none"/>
          <w:lang w:bidi="ar-SA"/>
        </w:rPr>
      </w:pPr>
      <w:bookmarkStart w:id="3" w:name="_Toc75442993"/>
      <w:r>
        <w:rPr>
          <w:highlight w:val="none"/>
          <w:lang w:bidi="ar-SA"/>
        </w:rPr>
        <w:t>2.</w:t>
      </w:r>
      <w:r>
        <w:rPr>
          <w:rFonts w:hint="eastAsia"/>
          <w:highlight w:val="none"/>
          <w:lang w:bidi="ar-SA"/>
        </w:rPr>
        <w:t>资金来源</w:t>
      </w:r>
      <w:bookmarkEnd w:id="3"/>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2.1</w:t>
      </w:r>
      <w:r>
        <w:rPr>
          <w:rFonts w:hint="eastAsia" w:ascii="仿宋_GB2312" w:hAnsi="宋体" w:eastAsia="仿宋_GB2312" w:cs="Times New Roman"/>
          <w:sz w:val="24"/>
          <w:szCs w:val="24"/>
          <w:highlight w:val="none"/>
          <w:lang w:bidi="ar-SA"/>
        </w:rPr>
        <w:t>本项目的采购人已获得足以支付本次招标后所签订的合同项下的资金。</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2.2</w:t>
      </w:r>
      <w:r>
        <w:rPr>
          <w:rFonts w:hint="eastAsia" w:ascii="仿宋_GB2312" w:hAnsi="宋体" w:eastAsia="仿宋_GB2312" w:cs="Times New Roman"/>
          <w:sz w:val="24"/>
          <w:szCs w:val="24"/>
          <w:highlight w:val="none"/>
          <w:lang w:bidi="ar-SA"/>
        </w:rPr>
        <w:t>项目预算金额和分项或分包最高限价见</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2.3</w:t>
      </w:r>
      <w:r>
        <w:rPr>
          <w:rFonts w:hint="eastAsia" w:ascii="仿宋_GB2312" w:hAnsi="宋体" w:eastAsia="仿宋_GB2312" w:cs="Times New Roman"/>
          <w:sz w:val="24"/>
          <w:szCs w:val="24"/>
          <w:highlight w:val="none"/>
          <w:lang w:bidi="ar-SA"/>
        </w:rPr>
        <w:t>投标人报价超过招标文件规定的预算金额或者分项、分包最高限价的，其投标将被认定为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pStyle w:val="4"/>
        <w:ind w:firstLine="482"/>
        <w:rPr>
          <w:highlight w:val="none"/>
          <w:lang w:bidi="ar-SA"/>
        </w:rPr>
      </w:pPr>
      <w:bookmarkStart w:id="4" w:name="_Toc75442994"/>
      <w:r>
        <w:rPr>
          <w:highlight w:val="none"/>
          <w:lang w:bidi="ar-SA"/>
        </w:rPr>
        <w:t>3.</w:t>
      </w:r>
      <w:r>
        <w:rPr>
          <w:rFonts w:hint="eastAsia"/>
          <w:highlight w:val="none"/>
          <w:lang w:bidi="ar-SA"/>
        </w:rPr>
        <w:t>投标费用</w:t>
      </w:r>
      <w:bookmarkEnd w:id="4"/>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ab/>
      </w:r>
      <w:r>
        <w:rPr>
          <w:rFonts w:hint="eastAsia" w:ascii="仿宋_GB2312" w:hAnsi="宋体" w:eastAsia="仿宋_GB2312" w:cs="Times New Roman"/>
          <w:sz w:val="24"/>
          <w:szCs w:val="24"/>
          <w:highlight w:val="none"/>
          <w:lang w:bidi="ar-SA"/>
        </w:rPr>
        <w:t>不论投标的结果如何，投标人应承担所有与准备和参加投标有关的费用。</w:t>
      </w:r>
    </w:p>
    <w:p>
      <w:pPr>
        <w:pStyle w:val="4"/>
        <w:ind w:firstLine="482"/>
        <w:rPr>
          <w:highlight w:val="none"/>
          <w:lang w:bidi="ar-SA"/>
        </w:rPr>
      </w:pPr>
      <w:bookmarkStart w:id="5" w:name="_Toc75442995"/>
      <w:r>
        <w:rPr>
          <w:highlight w:val="none"/>
          <w:lang w:bidi="ar-SA"/>
        </w:rPr>
        <w:t>4.</w:t>
      </w:r>
      <w:r>
        <w:rPr>
          <w:rFonts w:hint="eastAsia"/>
          <w:highlight w:val="none"/>
          <w:lang w:bidi="ar-SA"/>
        </w:rPr>
        <w:t>适用法律</w:t>
      </w:r>
      <w:bookmarkEnd w:id="5"/>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本项目采购人、采购代理机构、投标人、评标委员会的相关行为均受《中华人民共和国政府采购法》、《中华人民共和国政府采购法实施条例》及本项目</w:t>
      </w:r>
      <w:r>
        <w:rPr>
          <w:rFonts w:hint="eastAsia" w:ascii="仿宋_GB2312" w:hAnsi="宋体" w:eastAsia="仿宋_GB2312" w:cs="Times New Roman"/>
          <w:sz w:val="24"/>
          <w:szCs w:val="24"/>
          <w:highlight w:val="none"/>
          <w:lang w:val="en-US" w:eastAsia="zh-CN" w:bidi="ar-SA"/>
        </w:rPr>
        <w:t>采购人</w:t>
      </w:r>
      <w:r>
        <w:rPr>
          <w:rFonts w:hint="eastAsia" w:ascii="仿宋_GB2312" w:hAnsi="宋体" w:eastAsia="仿宋_GB2312" w:cs="Times New Roman"/>
          <w:sz w:val="24"/>
          <w:szCs w:val="24"/>
          <w:highlight w:val="none"/>
          <w:lang w:bidi="ar-SA"/>
        </w:rPr>
        <w:t>本级和上级</w:t>
      </w:r>
      <w:r>
        <w:rPr>
          <w:rFonts w:hint="eastAsia" w:ascii="仿宋_GB2312" w:hAnsi="宋体" w:eastAsia="仿宋_GB2312" w:cs="Times New Roman"/>
          <w:sz w:val="24"/>
          <w:szCs w:val="24"/>
          <w:highlight w:val="none"/>
          <w:lang w:val="en-US" w:eastAsia="zh-CN" w:bidi="ar-SA"/>
        </w:rPr>
        <w:t>相关主管部门</w:t>
      </w:r>
      <w:r>
        <w:rPr>
          <w:rFonts w:hint="eastAsia" w:ascii="仿宋_GB2312" w:hAnsi="宋体" w:eastAsia="仿宋_GB2312" w:cs="Times New Roman"/>
          <w:sz w:val="24"/>
          <w:szCs w:val="24"/>
          <w:highlight w:val="none"/>
          <w:lang w:bidi="ar-SA"/>
        </w:rPr>
        <w:t>有关规定的约束，其权利受到上述法律法规的保护。</w:t>
      </w:r>
    </w:p>
    <w:p>
      <w:pPr>
        <w:spacing w:line="400" w:lineRule="exact"/>
        <w:rPr>
          <w:rFonts w:ascii="仿宋_GB2312" w:hAnsi="宋体" w:eastAsia="仿宋_GB2312" w:cs="Times New Roman"/>
          <w:sz w:val="24"/>
          <w:szCs w:val="24"/>
          <w:highlight w:val="none"/>
          <w:lang w:bidi="ar-SA"/>
        </w:rPr>
      </w:pPr>
    </w:p>
    <w:p>
      <w:pPr>
        <w:rPr>
          <w:rFonts w:hint="eastAsia"/>
          <w:highlight w:val="none"/>
          <w:lang w:bidi="ar-SA"/>
        </w:rPr>
      </w:pPr>
      <w:bookmarkStart w:id="6" w:name="_Toc75442996"/>
      <w:r>
        <w:rPr>
          <w:rFonts w:hint="eastAsia"/>
          <w:highlight w:val="none"/>
          <w:lang w:bidi="ar-SA"/>
        </w:rPr>
        <w:br w:type="page"/>
      </w:r>
    </w:p>
    <w:p>
      <w:pPr>
        <w:pStyle w:val="3"/>
        <w:rPr>
          <w:highlight w:val="none"/>
          <w:lang w:bidi="ar-SA"/>
        </w:rPr>
      </w:pPr>
      <w:r>
        <w:rPr>
          <w:rFonts w:hint="eastAsia"/>
          <w:highlight w:val="none"/>
          <w:lang w:bidi="ar-SA"/>
        </w:rPr>
        <w:t>二 招标文件</w:t>
      </w:r>
      <w:bookmarkEnd w:id="6"/>
    </w:p>
    <w:p>
      <w:pPr>
        <w:spacing w:line="400" w:lineRule="exact"/>
        <w:rPr>
          <w:rFonts w:ascii="仿宋_GB2312" w:hAnsi="宋体" w:eastAsia="仿宋_GB2312" w:cs="Times New Roman"/>
          <w:sz w:val="24"/>
          <w:szCs w:val="24"/>
          <w:highlight w:val="none"/>
          <w:lang w:bidi="ar-SA"/>
        </w:rPr>
      </w:pPr>
    </w:p>
    <w:p>
      <w:pPr>
        <w:pStyle w:val="4"/>
        <w:ind w:firstLine="482"/>
        <w:rPr>
          <w:highlight w:val="none"/>
          <w:lang w:bidi="ar-SA"/>
        </w:rPr>
      </w:pPr>
      <w:bookmarkStart w:id="7" w:name="_Toc75442997"/>
      <w:r>
        <w:rPr>
          <w:highlight w:val="none"/>
          <w:lang w:bidi="ar-SA"/>
        </w:rPr>
        <w:t>5.</w:t>
      </w:r>
      <w:r>
        <w:rPr>
          <w:rFonts w:hint="eastAsia"/>
          <w:highlight w:val="none"/>
          <w:lang w:bidi="ar-SA"/>
        </w:rPr>
        <w:t>招标文件构成</w:t>
      </w:r>
      <w:bookmarkEnd w:id="7"/>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5.1</w:t>
      </w:r>
      <w:r>
        <w:rPr>
          <w:rFonts w:hint="eastAsia" w:ascii="仿宋_GB2312" w:hAnsi="宋体" w:eastAsia="仿宋_GB2312" w:cs="Times New Roman"/>
          <w:sz w:val="24"/>
          <w:szCs w:val="24"/>
          <w:highlight w:val="none"/>
          <w:lang w:bidi="ar-SA"/>
        </w:rPr>
        <w:t>招标文件分为三册共</w:t>
      </w:r>
      <w:r>
        <w:rPr>
          <w:rFonts w:ascii="仿宋_GB2312" w:hAnsi="宋体" w:eastAsia="仿宋_GB2312" w:cs="Times New Roman"/>
          <w:sz w:val="24"/>
          <w:szCs w:val="24"/>
          <w:highlight w:val="none"/>
          <w:lang w:bidi="ar-SA"/>
        </w:rPr>
        <w:t>7</w:t>
      </w:r>
      <w:r>
        <w:rPr>
          <w:rFonts w:hint="eastAsia" w:ascii="仿宋_GB2312" w:hAnsi="宋体" w:eastAsia="仿宋_GB2312" w:cs="Times New Roman"/>
          <w:sz w:val="24"/>
          <w:szCs w:val="24"/>
          <w:highlight w:val="none"/>
          <w:lang w:bidi="ar-SA"/>
        </w:rPr>
        <w:t>章，内容如下：</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第一册</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第</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章投标人须知</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第</w:t>
      </w: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章投标文件格式</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第二册</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bidi="ar-SA"/>
        </w:rPr>
        <w:t>第</w:t>
      </w: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章</w:t>
      </w:r>
      <w:r>
        <w:rPr>
          <w:rFonts w:hint="eastAsia" w:ascii="仿宋_GB2312" w:hAnsi="宋体" w:eastAsia="仿宋_GB2312" w:cs="Times New Roman"/>
          <w:sz w:val="24"/>
          <w:szCs w:val="24"/>
          <w:highlight w:val="none"/>
          <w:lang w:val="en-US" w:eastAsia="zh-CN" w:bidi="ar-SA"/>
        </w:rPr>
        <w:t>招标公告</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第</w:t>
      </w:r>
      <w:r>
        <w:rPr>
          <w:rFonts w:ascii="仿宋_GB2312" w:hAnsi="宋体" w:eastAsia="仿宋_GB2312" w:cs="Times New Roman"/>
          <w:sz w:val="24"/>
          <w:szCs w:val="24"/>
          <w:highlight w:val="none"/>
          <w:lang w:bidi="ar-SA"/>
        </w:rPr>
        <w:t>4</w:t>
      </w:r>
      <w:r>
        <w:rPr>
          <w:rFonts w:hint="eastAsia" w:ascii="仿宋_GB2312" w:hAnsi="宋体" w:eastAsia="仿宋_GB2312" w:cs="Times New Roman"/>
          <w:sz w:val="24"/>
          <w:szCs w:val="24"/>
          <w:highlight w:val="none"/>
          <w:lang w:bidi="ar-SA"/>
        </w:rPr>
        <w:t>章投标人须知资料表</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第</w:t>
      </w:r>
      <w:r>
        <w:rPr>
          <w:rFonts w:ascii="仿宋_GB2312" w:hAnsi="宋体" w:eastAsia="仿宋_GB2312" w:cs="Times New Roman"/>
          <w:sz w:val="24"/>
          <w:szCs w:val="24"/>
          <w:highlight w:val="none"/>
          <w:lang w:bidi="ar-SA"/>
        </w:rPr>
        <w:t>5</w:t>
      </w:r>
      <w:r>
        <w:rPr>
          <w:rFonts w:hint="eastAsia" w:ascii="仿宋_GB2312" w:hAnsi="宋体" w:eastAsia="仿宋_GB2312" w:cs="Times New Roman"/>
          <w:sz w:val="24"/>
          <w:szCs w:val="24"/>
          <w:highlight w:val="none"/>
          <w:lang w:bidi="ar-SA"/>
        </w:rPr>
        <w:t>章货物（服务）需求一览表及技术规格</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第</w:t>
      </w:r>
      <w:r>
        <w:rPr>
          <w:rFonts w:ascii="仿宋_GB2312" w:hAnsi="宋体" w:eastAsia="仿宋_GB2312" w:cs="Times New Roman"/>
          <w:sz w:val="24"/>
          <w:szCs w:val="24"/>
          <w:highlight w:val="none"/>
          <w:lang w:bidi="ar-SA"/>
        </w:rPr>
        <w:t>6</w:t>
      </w:r>
      <w:r>
        <w:rPr>
          <w:rFonts w:hint="eastAsia" w:ascii="仿宋_GB2312" w:hAnsi="宋体" w:eastAsia="仿宋_GB2312" w:cs="Times New Roman"/>
          <w:sz w:val="24"/>
          <w:szCs w:val="24"/>
          <w:highlight w:val="none"/>
          <w:lang w:bidi="ar-SA"/>
        </w:rPr>
        <w:t>章评标方法和标准</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第三册</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第</w:t>
      </w:r>
      <w:r>
        <w:rPr>
          <w:rFonts w:ascii="仿宋_GB2312" w:hAnsi="宋体" w:eastAsia="仿宋_GB2312" w:cs="Times New Roman"/>
          <w:sz w:val="24"/>
          <w:szCs w:val="24"/>
          <w:highlight w:val="none"/>
          <w:lang w:bidi="ar-SA"/>
        </w:rPr>
        <w:t>7</w:t>
      </w:r>
      <w:r>
        <w:rPr>
          <w:rFonts w:hint="eastAsia" w:ascii="仿宋_GB2312" w:hAnsi="宋体" w:eastAsia="仿宋_GB2312" w:cs="Times New Roman"/>
          <w:sz w:val="24"/>
          <w:szCs w:val="24"/>
          <w:highlight w:val="none"/>
          <w:lang w:bidi="ar-SA"/>
        </w:rPr>
        <w:t>章政府采购合同格式</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5.2</w:t>
      </w:r>
      <w:r>
        <w:rPr>
          <w:rFonts w:hint="eastAsia" w:ascii="仿宋_GB2312" w:hAnsi="宋体" w:eastAsia="仿宋_GB2312" w:cs="Times New Roman"/>
          <w:sz w:val="24"/>
          <w:szCs w:val="24"/>
          <w:highlight w:val="none"/>
          <w:lang w:bidi="ar-SA"/>
        </w:rPr>
        <w:t>如本文件的前后内容不一致，以最后描述为准。</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5.3</w:t>
      </w:r>
      <w:r>
        <w:rPr>
          <w:rFonts w:hint="eastAsia" w:ascii="仿宋_GB2312" w:hAnsi="宋体" w:eastAsia="仿宋_GB2312" w:cs="Times New Roman"/>
          <w:sz w:val="24"/>
          <w:szCs w:val="24"/>
          <w:highlight w:val="none"/>
          <w:lang w:bidi="ar-SA"/>
        </w:rPr>
        <w:t>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pStyle w:val="4"/>
        <w:ind w:firstLine="482"/>
        <w:rPr>
          <w:highlight w:val="none"/>
          <w:lang w:bidi="ar-SA"/>
        </w:rPr>
      </w:pPr>
      <w:bookmarkStart w:id="8" w:name="_Toc75442998"/>
      <w:r>
        <w:rPr>
          <w:highlight w:val="none"/>
          <w:lang w:bidi="ar-SA"/>
        </w:rPr>
        <w:t>6.</w:t>
      </w:r>
      <w:r>
        <w:rPr>
          <w:rFonts w:hint="eastAsia"/>
          <w:highlight w:val="none"/>
          <w:lang w:bidi="ar-SA"/>
        </w:rPr>
        <w:t>招标文件的澄清与修改</w:t>
      </w:r>
      <w:bookmarkEnd w:id="8"/>
    </w:p>
    <w:p>
      <w:pPr>
        <w:pStyle w:val="118"/>
        <w:spacing w:line="480" w:lineRule="exact"/>
        <w:ind w:firstLine="456" w:firstLineChars="190"/>
        <w:rPr>
          <w:rFonts w:ascii="仿宋_GB2312" w:hAnsi="宋体" w:eastAsia="仿宋_GB2312" w:cs="Times New Roman"/>
          <w:sz w:val="24"/>
          <w:szCs w:val="24"/>
          <w:highlight w:val="none"/>
          <w:lang w:bidi="ar-SA"/>
        </w:rPr>
      </w:pPr>
      <w:r>
        <w:rPr>
          <w:rFonts w:hint="eastAsia" w:ascii="仿宋_GB2312" w:hAnsi="宋体" w:eastAsia="仿宋_GB2312" w:cs="Times New Roman"/>
          <w:kern w:val="2"/>
          <w:sz w:val="24"/>
          <w:szCs w:val="24"/>
          <w:highlight w:val="none"/>
          <w:lang w:val="en-US" w:eastAsia="zh-CN" w:bidi="ar-SA"/>
        </w:rPr>
        <w:t>6.1为了保证对招标文件的澄清和修改满足法律的时限要求，采购人或者采购代理机构对发出的招标文件进行必要的澄清或者修改，均应在投标截止时间至少15日前，采购代理机构（或采购人）可对招标文件进行必要的澄清或修改。澄清或修改内容作为招标文件的组成部分，澄清或修改的内容可能影响文件编制的，采购代理机构将澄清或修改文件上传至西藏自治区公共资源交易平台，同时在原公告媒体发布，采购代理机构不再以其他方式通知各供应商,供应商应及时主动在电子交易系统中获取澄清或修改文件。如供应商未获取到澄清或修改文件,责任由供应商自负,采购人或采购代理机构不接受由此提出的质疑。澄清或修改的内容可能影响投标文件编制，且时间距提交投标文件截止时间不足</w:t>
      </w:r>
      <w:r>
        <w:rPr>
          <w:rFonts w:hint="eastAsia" w:cs="Times New Roman"/>
          <w:kern w:val="2"/>
          <w:sz w:val="24"/>
          <w:szCs w:val="24"/>
          <w:highlight w:val="none"/>
          <w:lang w:val="en-US" w:eastAsia="zh-CN" w:bidi="ar-SA"/>
        </w:rPr>
        <w:t>1</w:t>
      </w:r>
      <w:r>
        <w:rPr>
          <w:rFonts w:hint="eastAsia" w:ascii="仿宋_GB2312" w:hAnsi="宋体" w:eastAsia="仿宋_GB2312" w:cs="Times New Roman"/>
          <w:kern w:val="2"/>
          <w:sz w:val="24"/>
          <w:szCs w:val="24"/>
          <w:highlight w:val="none"/>
          <w:lang w:val="en-US" w:eastAsia="zh-CN" w:bidi="ar-SA"/>
        </w:rPr>
        <w:t>5天的，采购人将酌情延长提交投标文件截止时间。招标文件的澄清、修改等均以书面形式的内容为准。当招标文件、招标文件的澄清或修改文件等在同一内容的表述上不一致时，以最后发出的书面文件为准。</w:t>
      </w:r>
    </w:p>
    <w:p>
      <w:pPr>
        <w:pStyle w:val="4"/>
        <w:ind w:firstLine="482"/>
        <w:rPr>
          <w:highlight w:val="none"/>
          <w:lang w:bidi="ar-SA"/>
        </w:rPr>
      </w:pPr>
      <w:bookmarkStart w:id="9" w:name="_Toc75442999"/>
      <w:r>
        <w:rPr>
          <w:highlight w:val="none"/>
          <w:lang w:bidi="ar-SA"/>
        </w:rPr>
        <w:t>7.</w:t>
      </w:r>
      <w:r>
        <w:rPr>
          <w:rFonts w:hint="eastAsia"/>
          <w:highlight w:val="none"/>
          <w:lang w:bidi="ar-SA"/>
        </w:rPr>
        <w:t>投标截止时间的顺延</w:t>
      </w:r>
      <w:bookmarkEnd w:id="9"/>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为使投标人准备投标时有足够的时间对招标文件的澄清或者修改部分进行研究，澄清或者修改内容</w:t>
      </w:r>
      <w:r>
        <w:rPr>
          <w:rFonts w:hint="eastAsia" w:ascii="仿宋_GB2312" w:hAnsi="宋体" w:eastAsia="仿宋_GB2312" w:cs="Times New Roman"/>
          <w:sz w:val="24"/>
          <w:szCs w:val="24"/>
          <w:highlight w:val="none"/>
          <w:lang w:val="en-US" w:eastAsia="zh-CN" w:bidi="ar-SA"/>
        </w:rPr>
        <w:t>可</w:t>
      </w:r>
      <w:r>
        <w:rPr>
          <w:rFonts w:hint="eastAsia" w:ascii="仿宋_GB2312" w:hAnsi="宋体" w:eastAsia="仿宋_GB2312" w:cs="Times New Roman"/>
          <w:sz w:val="24"/>
          <w:szCs w:val="24"/>
          <w:highlight w:val="none"/>
          <w:lang w:bidi="ar-SA"/>
        </w:rPr>
        <w:t>能影响投标文件编制的，距投标截止时间不足15日的，采购人将依法决定是否顺延投标截止时间。</w:t>
      </w:r>
    </w:p>
    <w:p>
      <w:pPr>
        <w:spacing w:line="400" w:lineRule="exact"/>
        <w:rPr>
          <w:rFonts w:ascii="仿宋_GB2312" w:hAnsi="宋体" w:eastAsia="仿宋_GB2312" w:cs="Times New Roman"/>
          <w:sz w:val="24"/>
          <w:szCs w:val="24"/>
          <w:highlight w:val="none"/>
          <w:lang w:bidi="ar-SA"/>
        </w:rPr>
      </w:pPr>
    </w:p>
    <w:p>
      <w:pPr>
        <w:pStyle w:val="3"/>
        <w:rPr>
          <w:highlight w:val="none"/>
          <w:lang w:bidi="ar-SA"/>
        </w:rPr>
      </w:pPr>
      <w:bookmarkStart w:id="10" w:name="_Toc75443000"/>
      <w:r>
        <w:rPr>
          <w:rFonts w:hint="eastAsia"/>
          <w:highlight w:val="none"/>
          <w:lang w:bidi="ar-SA"/>
        </w:rPr>
        <w:t>三 投标文件的编制</w:t>
      </w:r>
      <w:bookmarkEnd w:id="10"/>
    </w:p>
    <w:p>
      <w:pPr>
        <w:spacing w:line="400" w:lineRule="exact"/>
        <w:rPr>
          <w:rFonts w:ascii="仿宋_GB2312" w:hAnsi="宋体" w:eastAsia="仿宋_GB2312" w:cs="Times New Roman"/>
          <w:sz w:val="24"/>
          <w:szCs w:val="24"/>
          <w:highlight w:val="none"/>
          <w:lang w:bidi="ar-SA"/>
        </w:rPr>
      </w:pPr>
    </w:p>
    <w:p>
      <w:pPr>
        <w:pStyle w:val="4"/>
        <w:ind w:firstLine="482"/>
        <w:rPr>
          <w:highlight w:val="none"/>
          <w:lang w:bidi="ar-SA"/>
        </w:rPr>
      </w:pPr>
      <w:bookmarkStart w:id="11" w:name="_Toc75443001"/>
      <w:r>
        <w:rPr>
          <w:highlight w:val="none"/>
          <w:lang w:bidi="ar-SA"/>
        </w:rPr>
        <w:t>8.</w:t>
      </w:r>
      <w:r>
        <w:rPr>
          <w:rFonts w:hint="eastAsia"/>
          <w:highlight w:val="none"/>
          <w:lang w:bidi="ar-SA"/>
        </w:rPr>
        <w:t>投标范围及投标文件中标准和计量单位的使用</w:t>
      </w:r>
      <w:bookmarkEnd w:id="11"/>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8.1</w:t>
      </w:r>
      <w:r>
        <w:rPr>
          <w:rFonts w:hint="eastAsia" w:ascii="仿宋_GB2312" w:hAnsi="宋体" w:eastAsia="仿宋_GB2312" w:cs="Times New Roman"/>
          <w:sz w:val="24"/>
          <w:szCs w:val="24"/>
          <w:highlight w:val="none"/>
          <w:lang w:bidi="ar-SA"/>
        </w:rPr>
        <w:t>项目有分包的，投标人可对招标文件其中某一个或几个分包货物（服务）进行投标，除非在</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中另有规定。</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8.2</w:t>
      </w:r>
      <w:r>
        <w:rPr>
          <w:rFonts w:hint="eastAsia" w:ascii="仿宋_GB2312" w:hAnsi="宋体" w:eastAsia="仿宋_GB2312" w:cs="Times New Roman"/>
          <w:sz w:val="24"/>
          <w:szCs w:val="24"/>
          <w:highlight w:val="none"/>
          <w:lang w:bidi="ar-SA"/>
        </w:rPr>
        <w:t>投标人应当对所投分包招标文件中“服务需求”所列的所有内容进行投标，如仅响应分包中的部分内容，其该包投标将被认定为投标无效。</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8.3</w:t>
      </w:r>
      <w:r>
        <w:rPr>
          <w:rFonts w:hint="eastAsia" w:ascii="仿宋_GB2312" w:hAnsi="宋体" w:eastAsia="仿宋_GB2312" w:cs="Times New Roman"/>
          <w:sz w:val="24"/>
          <w:szCs w:val="24"/>
          <w:highlight w:val="none"/>
          <w:lang w:bidi="ar-SA"/>
        </w:rPr>
        <w:t>无论招标文件第</w:t>
      </w:r>
      <w:r>
        <w:rPr>
          <w:rFonts w:ascii="仿宋_GB2312" w:hAnsi="宋体" w:eastAsia="仿宋_GB2312" w:cs="Times New Roman"/>
          <w:sz w:val="24"/>
          <w:szCs w:val="24"/>
          <w:highlight w:val="none"/>
          <w:lang w:bidi="ar-SA"/>
        </w:rPr>
        <w:t>5</w:t>
      </w:r>
      <w:r>
        <w:rPr>
          <w:rFonts w:hint="eastAsia" w:ascii="仿宋_GB2312" w:hAnsi="宋体" w:eastAsia="仿宋_GB2312" w:cs="Times New Roman"/>
          <w:sz w:val="24"/>
          <w:szCs w:val="24"/>
          <w:highlight w:val="none"/>
          <w:lang w:bidi="ar-SA"/>
        </w:rPr>
        <w:t>章货物（服务）需求一览表及技术规格中是否要求，投标人所投货物均应符合国家强制性标准。</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8.4</w:t>
      </w:r>
      <w:r>
        <w:rPr>
          <w:rFonts w:hint="eastAsia" w:ascii="仿宋_GB2312" w:hAnsi="宋体" w:eastAsia="仿宋_GB2312" w:cs="Times New Roman"/>
          <w:sz w:val="24"/>
          <w:szCs w:val="24"/>
          <w:highlight w:val="none"/>
          <w:lang w:bidi="ar-SA"/>
        </w:rPr>
        <w:t>除招标文件中有特殊要求外，投标文件中所使用的计量单位，应采用中华人民共和国法定计量单位。</w:t>
      </w:r>
    </w:p>
    <w:p>
      <w:pPr>
        <w:pStyle w:val="4"/>
        <w:ind w:firstLine="482"/>
        <w:rPr>
          <w:highlight w:val="none"/>
          <w:lang w:bidi="ar-SA"/>
        </w:rPr>
      </w:pPr>
      <w:bookmarkStart w:id="12" w:name="_Toc75443002"/>
      <w:r>
        <w:rPr>
          <w:highlight w:val="none"/>
          <w:lang w:bidi="ar-SA"/>
        </w:rPr>
        <w:t>9.</w:t>
      </w:r>
      <w:r>
        <w:rPr>
          <w:rFonts w:hint="eastAsia"/>
          <w:highlight w:val="none"/>
          <w:lang w:bidi="ar-SA"/>
        </w:rPr>
        <w:t>投标文件构成</w:t>
      </w:r>
      <w:bookmarkEnd w:id="12"/>
    </w:p>
    <w:p>
      <w:pPr>
        <w:spacing w:line="400" w:lineRule="exact"/>
        <w:ind w:firstLine="480" w:firstLineChars="200"/>
        <w:rPr>
          <w:rFonts w:hint="eastAsia"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9.1</w:t>
      </w:r>
      <w:r>
        <w:rPr>
          <w:rFonts w:hint="eastAsia" w:ascii="仿宋_GB2312" w:hAnsi="宋体" w:eastAsia="仿宋_GB2312" w:cs="Times New Roman"/>
          <w:sz w:val="24"/>
          <w:szCs w:val="24"/>
          <w:highlight w:val="none"/>
          <w:lang w:bidi="ar-SA"/>
        </w:rPr>
        <w:t>投标人应完整地按招标文件提供的投标文件格式及要求编写投标文件。</w:t>
      </w:r>
    </w:p>
    <w:p>
      <w:pPr>
        <w:pStyle w:val="118"/>
        <w:spacing w:line="480" w:lineRule="exact"/>
        <w:ind w:firstLine="494"/>
        <w:rPr>
          <w:rFonts w:hint="eastAsia" w:ascii="仿宋_GB2312" w:hAnsi="宋体" w:eastAsia="仿宋_GB2312" w:cs="Times New Roman"/>
          <w:sz w:val="24"/>
          <w:szCs w:val="24"/>
          <w:highlight w:val="none"/>
          <w:lang w:val="en-US" w:eastAsia="zh-CN" w:bidi="ar-SA"/>
        </w:rPr>
      </w:pPr>
      <w:r>
        <w:rPr>
          <w:rFonts w:ascii="仿宋_GB2312" w:hAnsi="宋体" w:eastAsia="仿宋_GB2312" w:cs="Times New Roman"/>
          <w:sz w:val="24"/>
          <w:szCs w:val="24"/>
          <w:highlight w:val="none"/>
          <w:lang w:bidi="ar-SA"/>
        </w:rPr>
        <w:t>9.2</w:t>
      </w:r>
      <w:r>
        <w:rPr>
          <w:rFonts w:hint="eastAsia" w:ascii="仿宋_GB2312" w:hAnsi="宋体" w:eastAsia="仿宋_GB2312" w:cs="Times New Roman"/>
          <w:sz w:val="24"/>
          <w:szCs w:val="24"/>
          <w:highlight w:val="none"/>
          <w:lang w:bidi="ar-SA"/>
        </w:rPr>
        <w:t>上述文件应按照招标文件规定的格式填写、</w:t>
      </w:r>
      <w:r>
        <w:rPr>
          <w:rFonts w:hint="eastAsia" w:ascii="仿宋_GB2312" w:hAnsi="宋体" w:eastAsia="仿宋_GB2312" w:cs="Times New Roman"/>
          <w:sz w:val="24"/>
          <w:szCs w:val="24"/>
          <w:highlight w:val="none"/>
          <w:lang w:eastAsia="zh-CN" w:bidi="ar-SA"/>
        </w:rPr>
        <w:t>电子投标文件</w:t>
      </w:r>
      <w:r>
        <w:rPr>
          <w:rFonts w:hint="eastAsia" w:ascii="仿宋_GB2312" w:hAnsi="宋体" w:eastAsia="仿宋_GB2312" w:cs="Times New Roman"/>
          <w:sz w:val="24"/>
          <w:szCs w:val="24"/>
          <w:highlight w:val="none"/>
          <w:lang w:bidi="ar-SA"/>
        </w:rPr>
        <w:t>要求加盖公章之处，应当使用单位公章</w:t>
      </w:r>
      <w:r>
        <w:rPr>
          <w:rFonts w:hint="eastAsia" w:ascii="仿宋_GB2312" w:hAnsi="宋体" w:eastAsia="仿宋_GB2312" w:cs="Times New Roman"/>
          <w:sz w:val="24"/>
          <w:szCs w:val="24"/>
          <w:highlight w:val="none"/>
          <w:lang w:val="en-US" w:eastAsia="zh-CN" w:bidi="ar-SA"/>
        </w:rPr>
        <w:t>或</w:t>
      </w:r>
      <w:r>
        <w:rPr>
          <w:rFonts w:hint="eastAsia" w:ascii="仿宋_GB2312" w:hAnsi="宋体" w:eastAsia="仿宋_GB2312" w:cs="Times New Roman"/>
          <w:sz w:val="24"/>
          <w:szCs w:val="24"/>
          <w:highlight w:val="none"/>
          <w:lang w:bidi="ar-SA"/>
        </w:rPr>
        <w:t>单位电子公章进行盖章</w:t>
      </w:r>
      <w:r>
        <w:rPr>
          <w:rFonts w:hint="eastAsia" w:ascii="仿宋_GB2312" w:hAnsi="宋体" w:eastAsia="仿宋_GB2312" w:cs="Times New Roman"/>
          <w:sz w:val="24"/>
          <w:szCs w:val="24"/>
          <w:highlight w:val="none"/>
          <w:lang w:eastAsia="zh-CN" w:bidi="ar-SA"/>
        </w:rPr>
        <w:t>。</w:t>
      </w:r>
    </w:p>
    <w:p>
      <w:pPr>
        <w:pStyle w:val="4"/>
        <w:ind w:firstLine="482"/>
        <w:rPr>
          <w:highlight w:val="none"/>
          <w:lang w:bidi="ar-SA"/>
        </w:rPr>
      </w:pPr>
      <w:bookmarkStart w:id="13" w:name="_Toc75443003"/>
      <w:r>
        <w:rPr>
          <w:highlight w:val="none"/>
          <w:lang w:bidi="ar-SA"/>
        </w:rPr>
        <w:t>10.</w:t>
      </w:r>
      <w:r>
        <w:rPr>
          <w:rFonts w:hint="eastAsia"/>
          <w:highlight w:val="none"/>
          <w:lang w:bidi="ar-SA"/>
        </w:rPr>
        <w:t>证明投标标的的合格性和符合招标文件规定的技术文件</w:t>
      </w:r>
      <w:bookmarkEnd w:id="13"/>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10.1</w:t>
      </w:r>
      <w:r>
        <w:rPr>
          <w:rFonts w:hint="eastAsia" w:ascii="仿宋_GB2312" w:hAnsi="宋体" w:eastAsia="仿宋_GB2312" w:cs="Times New Roman"/>
          <w:sz w:val="24"/>
          <w:szCs w:val="24"/>
          <w:highlight w:val="none"/>
          <w:lang w:bidi="ar-SA"/>
        </w:rPr>
        <w:t>投标人应提交证明文件，证明其投标内容符合招标文件规定。该证明文件是投标文件的一部分。</w:t>
      </w:r>
    </w:p>
    <w:p>
      <w:pPr>
        <w:spacing w:line="400" w:lineRule="exact"/>
        <w:ind w:firstLine="480" w:firstLineChars="200"/>
        <w:rPr>
          <w:rFonts w:hint="eastAsia" w:ascii="仿宋_GB2312" w:hAnsi="宋体" w:eastAsia="仿宋_GB2312" w:cs="Times New Roman"/>
          <w:sz w:val="24"/>
          <w:szCs w:val="24"/>
          <w:highlight w:val="none"/>
          <w:lang w:eastAsia="zh-CN" w:bidi="ar-SA"/>
        </w:rPr>
      </w:pPr>
      <w:r>
        <w:rPr>
          <w:rFonts w:ascii="仿宋_GB2312" w:hAnsi="宋体" w:eastAsia="仿宋_GB2312" w:cs="Times New Roman"/>
          <w:sz w:val="24"/>
          <w:szCs w:val="24"/>
          <w:highlight w:val="none"/>
          <w:lang w:bidi="ar-SA"/>
        </w:rPr>
        <w:t>10.2</w:t>
      </w:r>
      <w:r>
        <w:rPr>
          <w:rFonts w:hint="eastAsia" w:ascii="仿宋_GB2312" w:hAnsi="宋体" w:eastAsia="仿宋_GB2312" w:cs="Times New Roman"/>
          <w:sz w:val="24"/>
          <w:szCs w:val="24"/>
          <w:highlight w:val="none"/>
          <w:lang w:bidi="ar-SA"/>
        </w:rPr>
        <w:t>上款所述的证明文件，可以是文字资料、图纸和数据</w:t>
      </w:r>
      <w:r>
        <w:rPr>
          <w:rFonts w:hint="eastAsia" w:ascii="仿宋_GB2312" w:hAnsi="宋体" w:eastAsia="仿宋_GB2312" w:cs="Times New Roman"/>
          <w:sz w:val="24"/>
          <w:szCs w:val="24"/>
          <w:highlight w:val="none"/>
          <w:lang w:eastAsia="zh-CN"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10.2.1</w:t>
      </w:r>
      <w:r>
        <w:rPr>
          <w:rFonts w:hint="eastAsia" w:ascii="仿宋_GB2312" w:hAnsi="宋体" w:eastAsia="仿宋_GB2312" w:cs="Times New Roman"/>
          <w:sz w:val="24"/>
          <w:szCs w:val="24"/>
          <w:highlight w:val="none"/>
          <w:lang w:bidi="ar-SA"/>
        </w:rPr>
        <w:t>货物（服务）主要技术指标和性能的详细说明；</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10.2.2</w:t>
      </w:r>
      <w:r>
        <w:rPr>
          <w:rFonts w:hint="eastAsia" w:ascii="仿宋_GB2312" w:hAnsi="宋体" w:eastAsia="仿宋_GB2312" w:cs="Times New Roman"/>
          <w:sz w:val="24"/>
          <w:szCs w:val="24"/>
          <w:highlight w:val="none"/>
          <w:lang w:bidi="ar-SA"/>
        </w:rPr>
        <w:t>货物从买方开始使用至招标文件规定的保质期内正常、连续地使用所必须的备件和专用工具清单，包括备件和专用工具的货源及现行价格；</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10.2.3</w:t>
      </w:r>
      <w:r>
        <w:rPr>
          <w:rFonts w:hint="eastAsia" w:ascii="仿宋_GB2312" w:hAnsi="宋体" w:eastAsia="仿宋_GB2312" w:cs="Times New Roman"/>
          <w:sz w:val="24"/>
          <w:szCs w:val="24"/>
          <w:highlight w:val="none"/>
          <w:lang w:bidi="ar-SA"/>
        </w:rPr>
        <w:t>对照招标文件技术规格，逐条说明所提供货物及伴随的工程和服务已对招标文件的技术规格做出了实质性的响应，或申明与技术规格条文的偏差和例外；</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10.3</w:t>
      </w:r>
      <w:r>
        <w:rPr>
          <w:rFonts w:ascii="仿宋_GB2312" w:hAnsi="宋体" w:eastAsia="仿宋_GB2312" w:cs="Times New Roman"/>
          <w:sz w:val="24"/>
          <w:szCs w:val="24"/>
          <w:highlight w:val="none"/>
          <w:lang w:bidi="ar-SA"/>
        </w:rPr>
        <w:tab/>
      </w:r>
      <w:r>
        <w:rPr>
          <w:rFonts w:hint="eastAsia" w:ascii="仿宋_GB2312" w:hAnsi="宋体" w:eastAsia="仿宋_GB2312" w:cs="Times New Roman"/>
          <w:sz w:val="24"/>
          <w:szCs w:val="24"/>
          <w:highlight w:val="none"/>
          <w:lang w:bidi="ar-SA"/>
        </w:rPr>
        <w:t>投标人应注意采购人在招标文件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10.4</w:t>
      </w:r>
      <w:r>
        <w:rPr>
          <w:rFonts w:hint="eastAsia" w:ascii="仿宋_GB2312" w:hAnsi="宋体" w:eastAsia="仿宋_GB2312" w:cs="Times New Roman"/>
          <w:sz w:val="24"/>
          <w:szCs w:val="24"/>
          <w:highlight w:val="none"/>
          <w:lang w:bidi="ar-SA"/>
        </w:rPr>
        <w:t>投标人应对照招标文件技术规格，逐条说明所提供货物（服务）已对招标文件的技术规格做出了实质性的响应，并申明与技术规格条文的偏差和例外。特别对有具体参数要求的指标，投标人必须提供所投设备的具体参数值；</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10.5</w:t>
      </w:r>
      <w:r>
        <w:rPr>
          <w:rFonts w:hint="eastAsia" w:ascii="仿宋_GB2312" w:hAnsi="宋体" w:eastAsia="仿宋_GB2312" w:cs="Times New Roman"/>
          <w:sz w:val="24"/>
          <w:szCs w:val="24"/>
          <w:highlight w:val="none"/>
          <w:lang w:bidi="ar-SA"/>
        </w:rPr>
        <w:t>技术偏离披露的原则性规定：</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10.5.1</w:t>
      </w:r>
      <w:r>
        <w:rPr>
          <w:rFonts w:hint="eastAsia" w:ascii="仿宋_GB2312" w:hAnsi="宋体" w:eastAsia="仿宋_GB2312" w:cs="Times New Roman"/>
          <w:sz w:val="24"/>
          <w:szCs w:val="24"/>
          <w:highlight w:val="none"/>
          <w:lang w:bidi="ar-SA"/>
        </w:rPr>
        <w:t>所有投标人应本着诚实信用的原则，以审慎的态度明确、清楚地披露各项技术偏离，尤其是对技术负偏离均要进行披露；</w:t>
      </w:r>
    </w:p>
    <w:p>
      <w:pPr>
        <w:spacing w:line="400" w:lineRule="exact"/>
        <w:ind w:firstLine="480" w:firstLineChars="200"/>
        <w:rPr>
          <w:rFonts w:ascii="仿宋_GB2312" w:hAnsi="宋体" w:eastAsia="仿宋_GB2312" w:cs="Times New Roman"/>
          <w:color w:val="000000" w:themeColor="text1"/>
          <w:sz w:val="24"/>
          <w:szCs w:val="24"/>
          <w:highlight w:val="none"/>
          <w:lang w:bidi="ar-SA"/>
          <w14:textFill>
            <w14:solidFill>
              <w14:schemeClr w14:val="tx1"/>
            </w14:solidFill>
          </w14:textFill>
        </w:rPr>
      </w:pPr>
      <w:r>
        <w:rPr>
          <w:rFonts w:ascii="仿宋_GB2312" w:hAnsi="宋体" w:eastAsia="仿宋_GB2312" w:cs="Times New Roman"/>
          <w:color w:val="000000" w:themeColor="text1"/>
          <w:sz w:val="24"/>
          <w:szCs w:val="24"/>
          <w:highlight w:val="none"/>
          <w:lang w:bidi="ar-SA"/>
          <w14:textFill>
            <w14:solidFill>
              <w14:schemeClr w14:val="tx1"/>
            </w14:solidFill>
          </w14:textFill>
        </w:rPr>
        <w:t>10.5.2</w:t>
      </w:r>
      <w:r>
        <w:rPr>
          <w:rFonts w:hint="eastAsia" w:ascii="仿宋_GB2312" w:hAnsi="宋体" w:eastAsia="仿宋_GB2312" w:cs="Times New Roman"/>
          <w:color w:val="000000" w:themeColor="text1"/>
          <w:sz w:val="24"/>
          <w:szCs w:val="24"/>
          <w:highlight w:val="none"/>
          <w:lang w:bidi="ar-SA"/>
          <w14:textFill>
            <w14:solidFill>
              <w14:schemeClr w14:val="tx1"/>
            </w14:solidFill>
          </w14:textFill>
        </w:rPr>
        <w:t>如果投标人不能确定对某一事项是否构成技术偏离，则必须在技术偏离表中清楚地表明，并注明“不能确定”字样，以供评标委员会参考</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10.5.</w:t>
      </w:r>
      <w:r>
        <w:rPr>
          <w:rFonts w:hint="eastAsia" w:ascii="仿宋_GB2312" w:hAnsi="宋体" w:eastAsia="仿宋_GB2312" w:cs="Times New Roman"/>
          <w:sz w:val="24"/>
          <w:szCs w:val="24"/>
          <w:highlight w:val="none"/>
          <w:lang w:bidi="ar-SA"/>
        </w:rPr>
        <w:t>2一旦在评审过程中被发现存在技术偏离而投标人并未如实进行披露的，评标委员会有充分的权力视具体情形予以处理，包括但不限于：按照评标规则扣分、增加扣分、加倍扣分或对该投标予以拒绝；</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10.6.1</w:t>
      </w:r>
      <w:r>
        <w:rPr>
          <w:rFonts w:hint="eastAsia" w:ascii="仿宋_GB2312" w:hAnsi="宋体" w:eastAsia="仿宋_GB2312" w:cs="Times New Roman"/>
          <w:sz w:val="24"/>
          <w:szCs w:val="24"/>
          <w:highlight w:val="none"/>
          <w:lang w:bidi="ar-SA"/>
        </w:rPr>
        <w:t>招标文件需求中提出的技术规格仅为参考，投标人可以进行优化，提供更优的（或者性能实质上不低于的）技术方案或者设备配置；</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10.6.2</w:t>
      </w:r>
      <w:r>
        <w:rPr>
          <w:rFonts w:hint="eastAsia" w:ascii="仿宋_GB2312" w:hAnsi="宋体" w:eastAsia="仿宋_GB2312" w:cs="Times New Roman"/>
          <w:sz w:val="24"/>
          <w:szCs w:val="24"/>
          <w:highlight w:val="none"/>
          <w:lang w:bidi="ar-SA"/>
        </w:rPr>
        <w:t>为鼓励不同品牌的充分竞争，如某设备的某技术参数属于个别品牌所专有，则该技术参数不具有限制性，投标人可对该参数进行适当调整，并应说明调整的理由。对含差别歧视待遇的专有技术条款评标委员会不视为实质性要求；</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10.6.3</w:t>
      </w:r>
      <w:r>
        <w:rPr>
          <w:rFonts w:hint="eastAsia" w:ascii="仿宋_GB2312" w:hAnsi="宋体" w:eastAsia="仿宋_GB2312" w:cs="Times New Roman"/>
          <w:sz w:val="24"/>
          <w:szCs w:val="24"/>
          <w:highlight w:val="none"/>
          <w:lang w:bidi="ar-SA"/>
        </w:rPr>
        <w:t>为有助于投标人选择投标产品，项目需求中提供了推荐品牌（或型号）、参考品牌（或型号）等，但这些品牌（或型号）仅供参考，并无限制性。投标人可以选择性能不低于推荐（或参考）的品牌（或型号）的其他品牌产品；</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10.6.4</w:t>
      </w:r>
      <w:r>
        <w:rPr>
          <w:rFonts w:hint="eastAsia" w:ascii="仿宋_GB2312" w:hAnsi="宋体" w:eastAsia="仿宋_GB2312" w:cs="Times New Roman"/>
          <w:sz w:val="24"/>
          <w:szCs w:val="24"/>
          <w:highlight w:val="none"/>
          <w:lang w:bidi="ar-SA"/>
        </w:rPr>
        <w:t>如有标明的专有技术、专利产品、特定品牌的字样只起说明作用，任何与其同等的技术均应被认为符合招标要求；</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10.6.5  </w:t>
      </w:r>
      <w:r>
        <w:rPr>
          <w:rFonts w:hint="eastAsia" w:ascii="仿宋_GB2312" w:hAnsi="宋体" w:eastAsia="仿宋_GB2312" w:cs="Times New Roman"/>
          <w:sz w:val="24"/>
          <w:szCs w:val="24"/>
          <w:highlight w:val="none"/>
          <w:lang w:bidi="ar-SA"/>
        </w:rPr>
        <w:t>投标人应在投标文件中列出完成本项目并通过验收所需的所有的设备、设施、材料及服务等明细表及全部费用，中标人必须确保本项目通过用户方及有关主管部门验收；</w:t>
      </w:r>
    </w:p>
    <w:p>
      <w:pPr>
        <w:pStyle w:val="4"/>
        <w:ind w:firstLine="482"/>
        <w:rPr>
          <w:highlight w:val="none"/>
          <w:lang w:bidi="ar-SA"/>
        </w:rPr>
      </w:pPr>
      <w:bookmarkStart w:id="14" w:name="_Toc75443004"/>
      <w:r>
        <w:rPr>
          <w:highlight w:val="none"/>
          <w:lang w:bidi="ar-SA"/>
        </w:rPr>
        <w:t>11.</w:t>
      </w:r>
      <w:r>
        <w:rPr>
          <w:rFonts w:hint="eastAsia"/>
          <w:highlight w:val="none"/>
          <w:lang w:bidi="ar-SA"/>
        </w:rPr>
        <w:t>投标报价</w:t>
      </w:r>
      <w:bookmarkEnd w:id="14"/>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11.1</w:t>
      </w:r>
      <w:r>
        <w:rPr>
          <w:rFonts w:hint="eastAsia" w:ascii="仿宋_GB2312" w:hAnsi="宋体" w:eastAsia="仿宋_GB2312" w:cs="Times New Roman"/>
          <w:sz w:val="24"/>
          <w:szCs w:val="24"/>
          <w:highlight w:val="none"/>
          <w:lang w:bidi="ar-SA"/>
        </w:rPr>
        <w:t>所有投标均以人民币报价。投标人的投标报价应遵守《中华人民共和国价格法》。同时，根据《中华人民共和国政府采购法》第二条的规定，为保证公平竞争，如有货物（服务）主体部分的赠与行为，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11.2</w:t>
      </w:r>
      <w:r>
        <w:rPr>
          <w:rFonts w:hint="eastAsia" w:ascii="仿宋_GB2312" w:hAnsi="宋体" w:eastAsia="仿宋_GB2312" w:cs="Times New Roman"/>
          <w:sz w:val="24"/>
          <w:szCs w:val="24"/>
          <w:highlight w:val="none"/>
          <w:lang w:bidi="ar-SA"/>
        </w:rPr>
        <w:t>投标人应在投标分项报价表上标明投标货物（服务）及相关服务的单价（如适用）和总价，并由法定代表人或其授权代表签署。</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11.3</w:t>
      </w:r>
      <w:r>
        <w:rPr>
          <w:rFonts w:ascii="仿宋_GB2312" w:hAnsi="宋体" w:eastAsia="仿宋_GB2312" w:cs="Times New Roman"/>
          <w:sz w:val="24"/>
          <w:szCs w:val="24"/>
          <w:highlight w:val="none"/>
          <w:lang w:bidi="ar-SA"/>
        </w:rPr>
        <w:tab/>
      </w:r>
      <w:r>
        <w:rPr>
          <w:rFonts w:hint="eastAsia" w:ascii="仿宋_GB2312" w:hAnsi="宋体" w:eastAsia="仿宋_GB2312" w:cs="Times New Roman"/>
          <w:sz w:val="24"/>
          <w:szCs w:val="24"/>
          <w:highlight w:val="none"/>
          <w:lang w:bidi="ar-SA"/>
        </w:rPr>
        <w:t>投标分项报价表上的价格应按下列方式填写：</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11.3.1</w:t>
      </w:r>
      <w:r>
        <w:rPr>
          <w:rFonts w:hint="eastAsia" w:ascii="仿宋_GB2312" w:hAnsi="宋体" w:eastAsia="仿宋_GB2312" w:cs="Times New Roman"/>
          <w:sz w:val="24"/>
          <w:szCs w:val="24"/>
          <w:highlight w:val="none"/>
          <w:lang w:bidi="ar-SA"/>
        </w:rPr>
        <w:t>投标货物（包括备品备件、专用工具等）的出厂价（包括已在中国国内的进口货物完税后的仓库交货价、展室交货价或货架交货价），投标货物安装、调试、检验、技术服务和培训等费用；投标服务报价；</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11.3.2</w:t>
      </w:r>
      <w:r>
        <w:rPr>
          <w:rFonts w:hint="eastAsia" w:ascii="仿宋_GB2312" w:hAnsi="宋体" w:eastAsia="仿宋_GB2312" w:cs="Times New Roman"/>
          <w:sz w:val="24"/>
          <w:szCs w:val="24"/>
          <w:highlight w:val="none"/>
          <w:lang w:bidi="ar-SA"/>
        </w:rPr>
        <w:t>货物运至最终目的地的运输费和保险费用。</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11.4</w:t>
      </w:r>
      <w:r>
        <w:rPr>
          <w:rFonts w:hint="eastAsia" w:ascii="仿宋_GB2312" w:hAnsi="宋体" w:eastAsia="仿宋_GB2312" w:cs="Times New Roman"/>
          <w:sz w:val="24"/>
          <w:szCs w:val="24"/>
          <w:highlight w:val="none"/>
          <w:lang w:bidi="ar-SA"/>
        </w:rPr>
        <w:t>投标人所报的各分项投标单价在合同履行过程中是固定不变的，不得以任何理由予以变更。任何包含价格调整要求的投标，其投标将被认定为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11.5</w:t>
      </w:r>
      <w:r>
        <w:rPr>
          <w:rFonts w:hint="eastAsia" w:ascii="仿宋_GB2312" w:hAnsi="宋体" w:eastAsia="仿宋_GB2312" w:cs="Times New Roman"/>
          <w:sz w:val="24"/>
          <w:szCs w:val="24"/>
          <w:highlight w:val="none"/>
          <w:lang w:bidi="ar-SA"/>
        </w:rPr>
        <w:t>每种货物（服务）只能有一个投标报价。采购人不接受具有附加条件的报价。</w:t>
      </w:r>
    </w:p>
    <w:p>
      <w:pPr>
        <w:pStyle w:val="4"/>
        <w:ind w:firstLine="482"/>
        <w:rPr>
          <w:highlight w:val="none"/>
          <w:lang w:bidi="ar-SA"/>
        </w:rPr>
      </w:pPr>
      <w:bookmarkStart w:id="15" w:name="_Toc75443005"/>
      <w:r>
        <w:rPr>
          <w:highlight w:val="none"/>
          <w:lang w:bidi="ar-SA"/>
        </w:rPr>
        <w:t>12.</w:t>
      </w:r>
      <w:r>
        <w:rPr>
          <w:rFonts w:hint="eastAsia"/>
          <w:highlight w:val="none"/>
          <w:lang w:bidi="ar-SA"/>
        </w:rPr>
        <w:t>投标保证金</w:t>
      </w:r>
      <w:bookmarkEnd w:id="15"/>
    </w:p>
    <w:p>
      <w:pPr>
        <w:pStyle w:val="4"/>
        <w:ind w:firstLine="480"/>
        <w:rPr>
          <w:rFonts w:ascii="仿宋_GB2312" w:hAnsi="宋体" w:eastAsia="仿宋_GB2312" w:cs="Times New Roman"/>
          <w:b w:val="0"/>
          <w:bCs w:val="0"/>
          <w:szCs w:val="24"/>
          <w:highlight w:val="none"/>
          <w:u w:val="single"/>
          <w:lang w:bidi="ar-SA"/>
        </w:rPr>
      </w:pPr>
      <w:bookmarkStart w:id="16" w:name="_Toc75443006"/>
      <w:r>
        <w:rPr>
          <w:rFonts w:hint="eastAsia" w:ascii="仿宋_GB2312" w:hAnsi="宋体" w:eastAsia="仿宋_GB2312" w:cs="Times New Roman"/>
          <w:b w:val="0"/>
          <w:bCs w:val="0"/>
          <w:szCs w:val="24"/>
          <w:highlight w:val="none"/>
          <w:lang w:bidi="ar-SA"/>
        </w:rPr>
        <w:t>见</w:t>
      </w:r>
      <w:r>
        <w:rPr>
          <w:rFonts w:hint="eastAsia" w:ascii="仿宋_GB2312" w:hAnsi="宋体" w:eastAsia="仿宋_GB2312" w:cs="Times New Roman"/>
          <w:b w:val="0"/>
          <w:bCs w:val="0"/>
          <w:szCs w:val="24"/>
          <w:highlight w:val="none"/>
          <w:u w:val="single"/>
          <w:lang w:bidi="ar-SA"/>
        </w:rPr>
        <w:t>投标人须知资料表</w:t>
      </w:r>
      <w:bookmarkEnd w:id="16"/>
    </w:p>
    <w:p>
      <w:pPr>
        <w:pStyle w:val="4"/>
        <w:ind w:firstLine="482"/>
        <w:rPr>
          <w:highlight w:val="none"/>
          <w:lang w:bidi="ar-SA"/>
        </w:rPr>
      </w:pPr>
      <w:bookmarkStart w:id="17" w:name="_Toc75443007"/>
      <w:r>
        <w:rPr>
          <w:highlight w:val="none"/>
          <w:lang w:bidi="ar-SA"/>
        </w:rPr>
        <w:t>13.</w:t>
      </w:r>
      <w:r>
        <w:rPr>
          <w:rFonts w:hint="eastAsia"/>
          <w:highlight w:val="none"/>
          <w:lang w:bidi="ar-SA"/>
        </w:rPr>
        <w:t>投标有效期</w:t>
      </w:r>
      <w:bookmarkEnd w:id="17"/>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13.1</w:t>
      </w:r>
      <w:r>
        <w:rPr>
          <w:rFonts w:hint="eastAsia" w:ascii="仿宋_GB2312" w:hAnsi="宋体" w:eastAsia="仿宋_GB2312" w:cs="Times New Roman"/>
          <w:sz w:val="24"/>
          <w:szCs w:val="24"/>
          <w:highlight w:val="none"/>
          <w:lang w:bidi="ar-SA"/>
        </w:rPr>
        <w:t>投标应在</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中规定时间内保持有效。投标有效期不满足要求的投标，其投标将被认定为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13.2</w:t>
      </w:r>
      <w:r>
        <w:rPr>
          <w:rFonts w:hint="eastAsia" w:ascii="仿宋_GB2312" w:hAnsi="宋体" w:eastAsia="仿宋_GB2312" w:cs="Times New Roman"/>
          <w:sz w:val="24"/>
          <w:szCs w:val="24"/>
          <w:highlight w:val="none"/>
          <w:lang w:bidi="ar-SA"/>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上述要求和答复都应以书面形式提交。</w:t>
      </w:r>
    </w:p>
    <w:p>
      <w:pPr>
        <w:pStyle w:val="4"/>
        <w:ind w:firstLine="482"/>
        <w:rPr>
          <w:highlight w:val="none"/>
          <w:lang w:bidi="ar-SA"/>
        </w:rPr>
      </w:pPr>
      <w:bookmarkStart w:id="18" w:name="_Toc75443008"/>
      <w:r>
        <w:rPr>
          <w:highlight w:val="none"/>
          <w:lang w:bidi="ar-SA"/>
        </w:rPr>
        <w:t>14.</w:t>
      </w:r>
      <w:r>
        <w:rPr>
          <w:rFonts w:hint="eastAsia"/>
          <w:highlight w:val="none"/>
          <w:lang w:bidi="ar-SA"/>
        </w:rPr>
        <w:t>投标文件的签署及规定</w:t>
      </w:r>
      <w:bookmarkEnd w:id="18"/>
    </w:p>
    <w:p>
      <w:pPr>
        <w:pStyle w:val="11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eastAsia="仿宋_GB2312" w:cs="Times New Roman"/>
          <w:b/>
          <w:bCs/>
          <w:kern w:val="2"/>
          <w:sz w:val="24"/>
          <w:szCs w:val="24"/>
          <w:highlight w:val="none"/>
          <w:lang w:val="en-US" w:eastAsia="zh-CN" w:bidi="ar-SA"/>
        </w:rPr>
      </w:pPr>
      <w:r>
        <w:rPr>
          <w:rFonts w:ascii="仿宋_GB2312" w:hAnsi="宋体" w:eastAsia="仿宋_GB2312" w:cs="Times New Roman"/>
          <w:kern w:val="2"/>
          <w:sz w:val="24"/>
          <w:szCs w:val="24"/>
          <w:highlight w:val="none"/>
          <w:lang w:val="en-US" w:eastAsia="zh-CN" w:bidi="ar-SA"/>
        </w:rPr>
        <w:t>14.1</w:t>
      </w:r>
      <w:r>
        <w:rPr>
          <w:rFonts w:hint="eastAsia" w:ascii="仿宋_GB2312" w:hAnsi="宋体" w:eastAsia="仿宋_GB2312" w:cs="Times New Roman"/>
          <w:kern w:val="2"/>
          <w:sz w:val="24"/>
          <w:szCs w:val="24"/>
          <w:highlight w:val="none"/>
          <w:lang w:val="en-US" w:eastAsia="zh-CN" w:bidi="ar-SA"/>
        </w:rPr>
        <w:t>投标人</w:t>
      </w:r>
      <w:r>
        <w:rPr>
          <w:rFonts w:hint="eastAsia" w:ascii="仿宋_GB2312" w:hAnsi="宋体" w:eastAsia="仿宋_GB2312" w:cs="Times New Roman"/>
          <w:sz w:val="24"/>
          <w:szCs w:val="24"/>
          <w:highlight w:val="none"/>
          <w:lang w:bidi="ar-SA"/>
        </w:rPr>
        <w:t>应按</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中的规定，</w:t>
      </w:r>
      <w:r>
        <w:rPr>
          <w:rFonts w:hint="eastAsia" w:ascii="仿宋_GB2312" w:hAnsi="宋体" w:eastAsia="仿宋_GB2312" w:cs="Times New Roman"/>
          <w:b/>
          <w:bCs/>
          <w:kern w:val="2"/>
          <w:sz w:val="24"/>
          <w:szCs w:val="24"/>
          <w:highlight w:val="none"/>
          <w:lang w:val="en-US" w:eastAsia="zh-CN" w:bidi="ar-SA"/>
        </w:rPr>
        <w:t>供应商应提交电子文档u盘2份（包含投标文件所有内容，Word文档格式1份、签章后的PDF扫描件格式1份）。</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ascii="仿宋_GB2312" w:hAnsi="宋体" w:eastAsia="仿宋_GB2312" w:cs="Times New Roman"/>
          <w:sz w:val="24"/>
          <w:szCs w:val="24"/>
          <w:highlight w:val="none"/>
          <w:lang w:bidi="ar-SA"/>
        </w:rPr>
        <w:t>14.2</w:t>
      </w:r>
      <w:r>
        <w:rPr>
          <w:rFonts w:hint="eastAsia" w:ascii="仿宋_GB2312" w:hAnsi="宋体" w:eastAsia="仿宋_GB2312" w:cs="Times New Roman"/>
          <w:sz w:val="24"/>
          <w:szCs w:val="24"/>
          <w:highlight w:val="none"/>
          <w:lang w:val="en-US" w:eastAsia="zh-CN" w:bidi="ar-SA"/>
        </w:rPr>
        <w:t>供应商应上传一</w:t>
      </w:r>
      <w:r>
        <w:rPr>
          <w:rFonts w:hint="eastAsia" w:ascii="仿宋_GB2312" w:hAnsi="宋体" w:eastAsia="仿宋_GB2312" w:cs="Times New Roman"/>
          <w:kern w:val="2"/>
          <w:sz w:val="24"/>
          <w:szCs w:val="24"/>
          <w:highlight w:val="none"/>
          <w:lang w:val="en-US" w:eastAsia="zh-CN" w:bidi="ar-SA"/>
        </w:rPr>
        <w:t>份加密的电子投标文件。</w:t>
      </w:r>
    </w:p>
    <w:p>
      <w:pPr>
        <w:spacing w:line="400" w:lineRule="exact"/>
        <w:ind w:firstLine="480" w:firstLineChars="200"/>
        <w:rPr>
          <w:rFonts w:hint="eastAsia"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14.</w:t>
      </w:r>
      <w:r>
        <w:rPr>
          <w:rFonts w:hint="eastAsia" w:ascii="仿宋_GB2312" w:hAnsi="宋体" w:eastAsia="仿宋_GB2312" w:cs="Times New Roman"/>
          <w:sz w:val="24"/>
          <w:szCs w:val="24"/>
          <w:highlight w:val="none"/>
          <w:lang w:bidi="ar-SA"/>
        </w:rPr>
        <w:t>3投标文件因字迹潦草、表达不清所引起的后果由投标人负责。</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14.5</w:t>
      </w:r>
      <w:r>
        <w:rPr>
          <w:rFonts w:hint="eastAsia" w:ascii="仿宋_GB2312" w:hAnsi="宋体" w:eastAsia="仿宋_GB2312" w:cs="Times New Roman"/>
          <w:sz w:val="24"/>
          <w:szCs w:val="24"/>
          <w:highlight w:val="none"/>
          <w:lang w:eastAsia="zh-CN" w:bidi="ar-SA"/>
        </w:rPr>
        <w:t>电子投标文件</w:t>
      </w:r>
      <w:r>
        <w:rPr>
          <w:rFonts w:hint="eastAsia" w:ascii="仿宋_GB2312" w:hAnsi="宋体" w:eastAsia="仿宋_GB2312" w:cs="Times New Roman"/>
          <w:sz w:val="24"/>
          <w:szCs w:val="24"/>
          <w:highlight w:val="none"/>
          <w:lang w:bidi="ar-SA"/>
        </w:rPr>
        <w:t>要求加盖公章之处，应当使用单位公章</w:t>
      </w:r>
      <w:r>
        <w:rPr>
          <w:rFonts w:hint="eastAsia" w:ascii="仿宋_GB2312" w:hAnsi="宋体" w:eastAsia="仿宋_GB2312" w:cs="Times New Roman"/>
          <w:sz w:val="24"/>
          <w:szCs w:val="24"/>
          <w:highlight w:val="none"/>
          <w:lang w:val="en-US" w:eastAsia="zh-CN" w:bidi="ar-SA"/>
        </w:rPr>
        <w:t>或</w:t>
      </w:r>
      <w:r>
        <w:rPr>
          <w:rFonts w:hint="eastAsia" w:ascii="仿宋_GB2312" w:hAnsi="宋体" w:eastAsia="仿宋_GB2312" w:cs="Times New Roman"/>
          <w:sz w:val="24"/>
          <w:szCs w:val="24"/>
          <w:highlight w:val="none"/>
          <w:lang w:bidi="ar-SA"/>
        </w:rPr>
        <w:t>单位电子公章进行盖章</w:t>
      </w:r>
      <w:r>
        <w:rPr>
          <w:rFonts w:hint="eastAsia" w:ascii="仿宋_GB2312" w:hAnsi="宋体" w:eastAsia="仿宋_GB2312" w:cs="Times New Roman"/>
          <w:sz w:val="24"/>
          <w:szCs w:val="24"/>
          <w:highlight w:val="none"/>
          <w:lang w:eastAsia="zh-CN" w:bidi="ar-SA"/>
        </w:rPr>
        <w:t>。</w:t>
      </w:r>
    </w:p>
    <w:p>
      <w:pPr>
        <w:pStyle w:val="9"/>
        <w:rPr>
          <w:rFonts w:hint="default" w:eastAsia="仿宋_GB2312"/>
          <w:lang w:val="en-US" w:eastAsia="zh-CN"/>
        </w:rPr>
      </w:pPr>
    </w:p>
    <w:p>
      <w:pPr>
        <w:pStyle w:val="3"/>
        <w:rPr>
          <w:rFonts w:hint="eastAsia"/>
          <w:highlight w:val="none"/>
          <w:lang w:bidi="ar-SA"/>
        </w:rPr>
      </w:pPr>
      <w:bookmarkStart w:id="19" w:name="_Toc75443009"/>
      <w:r>
        <w:rPr>
          <w:rFonts w:hint="eastAsia"/>
          <w:highlight w:val="none"/>
          <w:lang w:bidi="ar-SA"/>
        </w:rPr>
        <w:t>四 投标文件的递交</w:t>
      </w:r>
      <w:bookmarkEnd w:id="19"/>
    </w:p>
    <w:p>
      <w:pPr>
        <w:spacing w:line="400" w:lineRule="exact"/>
        <w:rPr>
          <w:rFonts w:ascii="仿宋_GB2312" w:hAnsi="宋体" w:eastAsia="仿宋_GB2312" w:cs="Times New Roman"/>
          <w:sz w:val="24"/>
          <w:szCs w:val="24"/>
          <w:highlight w:val="none"/>
          <w:lang w:bidi="ar-SA"/>
        </w:rPr>
      </w:pPr>
    </w:p>
    <w:p>
      <w:pPr>
        <w:pStyle w:val="4"/>
        <w:numPr>
          <w:ilvl w:val="0"/>
          <w:numId w:val="1"/>
        </w:numPr>
        <w:ind w:firstLine="482"/>
        <w:rPr>
          <w:rFonts w:hint="eastAsia"/>
          <w:highlight w:val="none"/>
          <w:lang w:bidi="ar-SA"/>
        </w:rPr>
      </w:pPr>
      <w:bookmarkStart w:id="20" w:name="_Toc75443010"/>
      <w:r>
        <w:rPr>
          <w:rFonts w:hint="eastAsia"/>
          <w:highlight w:val="none"/>
          <w:lang w:bidi="ar-SA"/>
        </w:rPr>
        <w:t>投标文件的密封和标记</w:t>
      </w:r>
      <w:bookmarkEnd w:id="20"/>
    </w:p>
    <w:p>
      <w:pPr>
        <w:numPr>
          <w:ilvl w:val="0"/>
          <w:numId w:val="0"/>
        </w:numPr>
        <w:rPr>
          <w:rFonts w:hint="default" w:eastAsia="宋体"/>
          <w:lang w:val="en-US" w:eastAsia="zh-CN"/>
        </w:rPr>
      </w:pPr>
      <w:r>
        <w:rPr>
          <w:rFonts w:hint="eastAsia"/>
          <w:lang w:val="en-US" w:eastAsia="zh-CN"/>
        </w:rPr>
        <w:t xml:space="preserve">    </w:t>
      </w:r>
      <w:r>
        <w:rPr>
          <w:rFonts w:hint="eastAsia" w:ascii="仿宋_GB2312" w:hAnsi="宋体" w:eastAsia="仿宋_GB2312" w:cs="Times New Roman"/>
          <w:sz w:val="24"/>
          <w:szCs w:val="24"/>
          <w:highlight w:val="none"/>
          <w:lang w:val="en-US" w:eastAsia="zh-CN" w:bidi="ar-SA"/>
        </w:rPr>
        <w:t xml:space="preserve"> 15.1供应商应上传一份加密的电子投标文件。</w:t>
      </w:r>
    </w:p>
    <w:p>
      <w:pPr>
        <w:pStyle w:val="4"/>
        <w:numPr>
          <w:ilvl w:val="0"/>
          <w:numId w:val="0"/>
        </w:numPr>
        <w:ind w:firstLine="480" w:firstLineChars="200"/>
        <w:rPr>
          <w:rFonts w:hint="eastAsia" w:ascii="仿宋_GB2312" w:hAnsi="宋体" w:eastAsia="仿宋_GB2312" w:cs="Times New Roman"/>
          <w:b w:val="0"/>
          <w:bCs w:val="0"/>
          <w:kern w:val="2"/>
          <w:sz w:val="24"/>
          <w:szCs w:val="24"/>
          <w:highlight w:val="none"/>
          <w:lang w:val="en-US" w:eastAsia="zh-CN" w:bidi="ar-SA"/>
        </w:rPr>
      </w:pPr>
      <w:bookmarkStart w:id="21" w:name="_Toc73958124"/>
      <w:r>
        <w:rPr>
          <w:rFonts w:hint="eastAsia" w:ascii="仿宋_GB2312" w:hAnsi="宋体" w:eastAsia="仿宋_GB2312" w:cs="Times New Roman"/>
          <w:b w:val="0"/>
          <w:bCs w:val="0"/>
          <w:kern w:val="2"/>
          <w:sz w:val="24"/>
          <w:szCs w:val="24"/>
          <w:highlight w:val="none"/>
          <w:lang w:val="en-US" w:eastAsia="zh-CN" w:bidi="ar-SA"/>
        </w:rPr>
        <w:t>15.2出现下列情况的，采购人、采购代理机构应当拒收投标文件：</w:t>
      </w:r>
    </w:p>
    <w:p>
      <w:pPr>
        <w:pStyle w:val="4"/>
        <w:numPr>
          <w:ilvl w:val="0"/>
          <w:numId w:val="0"/>
        </w:numPr>
        <w:ind w:firstLine="480" w:firstLineChars="200"/>
        <w:rPr>
          <w:rFonts w:hint="eastAsia" w:ascii="仿宋_GB2312" w:hAnsi="宋体" w:eastAsia="仿宋_GB2312" w:cs="Times New Roman"/>
          <w:b w:val="0"/>
          <w:bCs w:val="0"/>
          <w:kern w:val="2"/>
          <w:sz w:val="24"/>
          <w:szCs w:val="24"/>
          <w:highlight w:val="none"/>
          <w:lang w:val="en-US" w:eastAsia="zh-CN" w:bidi="ar-SA"/>
        </w:rPr>
      </w:pPr>
      <w:r>
        <w:rPr>
          <w:rFonts w:hint="eastAsia" w:ascii="仿宋_GB2312" w:hAnsi="宋体" w:eastAsia="仿宋_GB2312" w:cs="Times New Roman"/>
          <w:b w:val="0"/>
          <w:bCs w:val="0"/>
          <w:kern w:val="2"/>
          <w:sz w:val="24"/>
          <w:szCs w:val="24"/>
          <w:highlight w:val="none"/>
          <w:lang w:val="en-US" w:eastAsia="zh-CN" w:bidi="ar-SA"/>
        </w:rPr>
        <w:t>（1）供应商代表未按招标文件要求参加开启会或开启现场未携带CA锁的；</w:t>
      </w:r>
    </w:p>
    <w:p>
      <w:pPr>
        <w:pStyle w:val="4"/>
        <w:numPr>
          <w:ilvl w:val="0"/>
          <w:numId w:val="0"/>
        </w:numPr>
        <w:ind w:firstLine="480" w:firstLineChars="200"/>
        <w:rPr>
          <w:rFonts w:hint="eastAsia" w:ascii="仿宋_GB2312" w:hAnsi="宋体" w:eastAsia="仿宋_GB2312" w:cs="Times New Roman"/>
          <w:b w:val="0"/>
          <w:bCs w:val="0"/>
          <w:kern w:val="2"/>
          <w:sz w:val="24"/>
          <w:szCs w:val="24"/>
          <w:highlight w:val="none"/>
          <w:lang w:val="en-US" w:eastAsia="zh-CN" w:bidi="ar-SA"/>
        </w:rPr>
      </w:pPr>
      <w:r>
        <w:rPr>
          <w:rFonts w:hint="eastAsia" w:ascii="仿宋_GB2312" w:hAnsi="宋体" w:eastAsia="仿宋_GB2312" w:cs="Times New Roman"/>
          <w:b w:val="0"/>
          <w:bCs w:val="0"/>
          <w:kern w:val="2"/>
          <w:sz w:val="24"/>
          <w:szCs w:val="24"/>
          <w:highlight w:val="none"/>
          <w:lang w:val="en-US" w:eastAsia="zh-CN" w:bidi="ar-SA"/>
        </w:rPr>
        <w:t>（2）供应商因自身原因未在规定时间内完成电子投标文件在线解密或电子投标文件无法解密的；</w:t>
      </w:r>
    </w:p>
    <w:p>
      <w:pPr>
        <w:pStyle w:val="4"/>
        <w:numPr>
          <w:ilvl w:val="0"/>
          <w:numId w:val="0"/>
        </w:numPr>
        <w:ind w:firstLine="480" w:firstLineChars="200"/>
        <w:rPr>
          <w:rFonts w:hint="eastAsia" w:ascii="仿宋_GB2312" w:hAnsi="宋体" w:eastAsia="仿宋_GB2312" w:cs="Times New Roman"/>
          <w:b w:val="0"/>
          <w:bCs w:val="0"/>
          <w:szCs w:val="24"/>
          <w:highlight w:val="none"/>
          <w:lang w:bidi="ar-SA"/>
        </w:rPr>
      </w:pPr>
      <w:r>
        <w:rPr>
          <w:rFonts w:hint="eastAsia" w:ascii="仿宋_GB2312" w:hAnsi="宋体" w:eastAsia="仿宋_GB2312" w:cs="Times New Roman"/>
          <w:b w:val="0"/>
          <w:bCs w:val="0"/>
          <w:kern w:val="2"/>
          <w:sz w:val="24"/>
          <w:szCs w:val="24"/>
          <w:highlight w:val="none"/>
          <w:lang w:val="en-US" w:eastAsia="zh-CN" w:bidi="ar-SA"/>
        </w:rPr>
        <w:t>（3）经检查数字证书无效的投标文件；</w:t>
      </w:r>
    </w:p>
    <w:bookmarkEnd w:id="21"/>
    <w:p>
      <w:pPr>
        <w:pStyle w:val="4"/>
        <w:ind w:firstLine="482"/>
        <w:rPr>
          <w:highlight w:val="none"/>
          <w:lang w:bidi="ar-SA"/>
        </w:rPr>
      </w:pPr>
      <w:bookmarkStart w:id="22" w:name="_Toc75443011"/>
      <w:r>
        <w:rPr>
          <w:highlight w:val="none"/>
          <w:lang w:bidi="ar-SA"/>
        </w:rPr>
        <w:t>16.</w:t>
      </w:r>
      <w:r>
        <w:rPr>
          <w:rFonts w:hint="eastAsia"/>
          <w:highlight w:val="none"/>
          <w:lang w:bidi="ar-SA"/>
        </w:rPr>
        <w:t>投标截止</w:t>
      </w:r>
      <w:bookmarkEnd w:id="22"/>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16.</w:t>
      </w:r>
      <w:r>
        <w:rPr>
          <w:rFonts w:hint="eastAsia" w:ascii="仿宋_GB2312" w:hAnsi="宋体" w:eastAsia="仿宋_GB2312" w:cs="Times New Roman"/>
          <w:sz w:val="24"/>
          <w:szCs w:val="24"/>
          <w:highlight w:val="none"/>
          <w:lang w:bidi="ar-SA"/>
        </w:rPr>
        <w:t>1</w:t>
      </w:r>
      <w:r>
        <w:rPr>
          <w:rFonts w:hint="eastAsia" w:ascii="仿宋" w:hAnsi="仿宋" w:eastAsia="仿宋" w:cs="Times New Roman"/>
          <w:sz w:val="24"/>
          <w:szCs w:val="24"/>
          <w:highlight w:val="none"/>
          <w:lang w:bidi="ar-SA"/>
        </w:rPr>
        <w:t>投</w:t>
      </w:r>
      <w:r>
        <w:rPr>
          <w:rFonts w:hint="eastAsia" w:ascii="仿宋_GB2312" w:hAnsi="宋体" w:eastAsia="仿宋_GB2312" w:cs="Times New Roman"/>
          <w:sz w:val="24"/>
          <w:szCs w:val="24"/>
          <w:highlight w:val="none"/>
          <w:lang w:bidi="ar-SA"/>
        </w:rPr>
        <w:t>标方式采用线</w:t>
      </w:r>
      <w:r>
        <w:rPr>
          <w:rFonts w:hint="eastAsia" w:ascii="仿宋_GB2312" w:hAnsi="宋体" w:eastAsia="仿宋_GB2312" w:cs="Times New Roman"/>
          <w:sz w:val="24"/>
          <w:szCs w:val="24"/>
          <w:highlight w:val="none"/>
          <w:lang w:val="en-US" w:eastAsia="zh-CN" w:bidi="ar-SA"/>
        </w:rPr>
        <w:t>上上传</w:t>
      </w:r>
      <w:r>
        <w:rPr>
          <w:rFonts w:hint="eastAsia" w:ascii="仿宋_GB2312" w:hAnsi="宋体" w:eastAsia="仿宋_GB2312" w:cs="Times New Roman"/>
          <w:sz w:val="24"/>
          <w:szCs w:val="24"/>
          <w:highlight w:val="none"/>
          <w:lang w:bidi="ar-SA"/>
        </w:rPr>
        <w:t>的投标文件</w:t>
      </w:r>
      <w:r>
        <w:rPr>
          <w:rFonts w:hint="eastAsia" w:ascii="仿宋_GB2312" w:hAnsi="宋体" w:eastAsia="仿宋_GB2312" w:cs="Times New Roman"/>
          <w:sz w:val="24"/>
          <w:szCs w:val="24"/>
          <w:highlight w:val="none"/>
          <w:lang w:eastAsia="zh-CN" w:bidi="ar-SA"/>
        </w:rPr>
        <w:t>；</w:t>
      </w:r>
    </w:p>
    <w:p>
      <w:pPr>
        <w:wordWrap w:val="0"/>
        <w:ind w:firstLine="480"/>
        <w:rPr>
          <w:rFonts w:hint="eastAsia" w:ascii="宋体" w:hAnsi="宋体" w:eastAsia="宋体" w:cs="宋体"/>
          <w:szCs w:val="21"/>
        </w:rPr>
      </w:pPr>
      <w:r>
        <w:rPr>
          <w:rFonts w:ascii="仿宋" w:hAnsi="仿宋" w:eastAsia="仿宋" w:cs="Times New Roman"/>
          <w:sz w:val="24"/>
          <w:szCs w:val="24"/>
          <w:highlight w:val="none"/>
          <w:lang w:bidi="ar-SA"/>
        </w:rPr>
        <w:t>16.</w:t>
      </w:r>
      <w:r>
        <w:rPr>
          <w:rFonts w:hint="eastAsia" w:ascii="仿宋" w:hAnsi="仿宋" w:eastAsia="仿宋" w:cs="Times New Roman"/>
          <w:sz w:val="24"/>
          <w:szCs w:val="24"/>
          <w:highlight w:val="none"/>
          <w:lang w:bidi="ar-SA"/>
        </w:rPr>
        <w:t>1.1</w:t>
      </w:r>
      <w:r>
        <w:rPr>
          <w:rFonts w:hint="eastAsia" w:ascii="仿宋_GB2312" w:hAnsi="宋体" w:eastAsia="仿宋_GB2312" w:cs="Times New Roman"/>
          <w:sz w:val="24"/>
          <w:szCs w:val="24"/>
          <w:highlight w:val="none"/>
          <w:lang w:val="en-US" w:eastAsia="zh-CN" w:bidi="ar-SA"/>
        </w:rPr>
        <w:t>投标人应在开标当日且在本招标文件中规定的投标截止时间前，将电子投标文件上传至西藏自治区公共资源交易网上。投标截止时间以后上传的电子投标文件将被拒绝。采购人邀请所有投标人的法定代表人或其委托代理人参加开标会，投标人的法定代表人或其委托代理人应持二代身份证按时参加开标会。</w:t>
      </w:r>
    </w:p>
    <w:p>
      <w:pPr>
        <w:pStyle w:val="4"/>
        <w:ind w:firstLine="482"/>
        <w:rPr>
          <w:highlight w:val="none"/>
          <w:lang w:bidi="ar-SA"/>
        </w:rPr>
      </w:pPr>
      <w:bookmarkStart w:id="23" w:name="_Toc75443012"/>
      <w:r>
        <w:rPr>
          <w:highlight w:val="none"/>
          <w:lang w:bidi="ar-SA"/>
        </w:rPr>
        <w:t>17.</w:t>
      </w:r>
      <w:r>
        <w:rPr>
          <w:rFonts w:hint="eastAsia"/>
          <w:highlight w:val="none"/>
          <w:lang w:bidi="ar-SA"/>
        </w:rPr>
        <w:t>投标文件的接收、修改与撤回</w:t>
      </w:r>
      <w:bookmarkEnd w:id="23"/>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17.1在投标截止时间后</w:t>
      </w:r>
      <w:r>
        <w:rPr>
          <w:rFonts w:hint="eastAsia" w:ascii="仿宋_GB2312" w:hAnsi="宋体" w:eastAsia="仿宋_GB2312" w:cs="Times New Roman"/>
          <w:sz w:val="24"/>
          <w:szCs w:val="24"/>
          <w:highlight w:val="none"/>
          <w:lang w:val="en-US" w:eastAsia="zh-CN" w:bidi="ar-SA"/>
        </w:rPr>
        <w:t>上传</w:t>
      </w:r>
      <w:r>
        <w:rPr>
          <w:rFonts w:hint="eastAsia" w:ascii="仿宋_GB2312" w:hAnsi="宋体" w:eastAsia="仿宋_GB2312" w:cs="Times New Roman"/>
          <w:sz w:val="24"/>
          <w:szCs w:val="24"/>
          <w:highlight w:val="none"/>
          <w:lang w:bidi="ar-SA"/>
        </w:rPr>
        <w:t>的投标文件的，采购人和采购代理机构将拒绝接收。</w:t>
      </w:r>
    </w:p>
    <w:p>
      <w:pPr>
        <w:topLinePunct/>
        <w:ind w:firstLine="480"/>
        <w:rPr>
          <w:rFonts w:hint="eastAsia"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17.2</w:t>
      </w:r>
      <w:r>
        <w:rPr>
          <w:rFonts w:hint="eastAsia" w:ascii="仿宋_GB2312" w:hAnsi="宋体" w:eastAsia="仿宋_GB2312" w:cs="Times New Roman"/>
          <w:sz w:val="24"/>
          <w:szCs w:val="24"/>
          <w:highlight w:val="none"/>
          <w:lang w:bidi="ar-SA"/>
        </w:rPr>
        <w:t>投标人在投标截止时间之前，可以对已提交的投标文件进行修改或撤回；在投标截止时间之后，投标人不得修改撤回投标文件。修改后重新递交的投标文件应当按本招标文件的要求签署、盖章。</w:t>
      </w:r>
    </w:p>
    <w:p>
      <w:pPr>
        <w:pStyle w:val="3"/>
        <w:rPr>
          <w:rFonts w:ascii="仿宋_GB2312" w:hAnsi="宋体" w:eastAsia="仿宋_GB2312" w:cs="Times New Roman"/>
          <w:sz w:val="24"/>
          <w:szCs w:val="24"/>
          <w:highlight w:val="none"/>
          <w:lang w:bidi="ar-SA"/>
        </w:rPr>
      </w:pPr>
      <w:bookmarkStart w:id="24" w:name="_Toc75443013"/>
      <w:r>
        <w:rPr>
          <w:rFonts w:hint="eastAsia"/>
          <w:highlight w:val="none"/>
          <w:lang w:bidi="ar-SA"/>
        </w:rPr>
        <w:t>五开标及评标</w:t>
      </w:r>
      <w:bookmarkEnd w:id="24"/>
    </w:p>
    <w:p>
      <w:pPr>
        <w:pStyle w:val="4"/>
        <w:ind w:firstLine="482"/>
        <w:rPr>
          <w:highlight w:val="none"/>
          <w:lang w:bidi="ar-SA"/>
        </w:rPr>
      </w:pPr>
      <w:bookmarkStart w:id="25" w:name="_Toc75443014"/>
      <w:r>
        <w:rPr>
          <w:highlight w:val="none"/>
          <w:lang w:bidi="ar-SA"/>
        </w:rPr>
        <w:t>18.</w:t>
      </w:r>
      <w:r>
        <w:rPr>
          <w:rFonts w:hint="eastAsia"/>
          <w:highlight w:val="none"/>
          <w:lang w:bidi="ar-SA"/>
        </w:rPr>
        <w:t>开标</w:t>
      </w:r>
      <w:bookmarkEnd w:id="25"/>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18.1.1采购人和采购代理机构将按</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中规定的开标时间和地点组织公开开标所有投标人代表参加。</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投标人不足</w:t>
      </w: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家的，不得开标。</w:t>
      </w:r>
    </w:p>
    <w:p>
      <w:pPr>
        <w:spacing w:line="400" w:lineRule="exact"/>
        <w:ind w:firstLine="480" w:firstLineChars="200"/>
        <w:rPr>
          <w:rFonts w:hint="eastAsia" w:ascii="仿宋_GB2312" w:hAnsi="宋体" w:eastAsia="仿宋_GB2312" w:cs="Times New Roman"/>
          <w:sz w:val="24"/>
          <w:szCs w:val="24"/>
          <w:highlight w:val="none"/>
          <w:lang w:bidi="ar-SA"/>
        </w:rPr>
        <w:sectPr>
          <w:footerReference r:id="rId3" w:type="default"/>
          <w:pgSz w:w="11905" w:h="16839"/>
          <w:pgMar w:top="1431" w:right="1000" w:bottom="1005" w:left="995" w:header="0" w:footer="753" w:gutter="0"/>
          <w:pgNumType w:fmt="decimal" w:start="1"/>
          <w:cols w:space="720" w:num="1"/>
        </w:sectPr>
      </w:pPr>
      <w:r>
        <w:rPr>
          <w:rFonts w:hint="eastAsia" w:ascii="仿宋_GB2312" w:hAnsi="宋体" w:eastAsia="仿宋_GB2312" w:cs="Times New Roman"/>
          <w:sz w:val="24"/>
          <w:szCs w:val="24"/>
          <w:highlight w:val="none"/>
          <w:lang w:bidi="ar-SA"/>
        </w:rPr>
        <w:t>18.1.2开标在招标文件规定的时间和地点公开进行，采购人、投标人应派代表参 加并签到以证明其出席。开标由采购代理机构主持，邀请投标人参加。评标委员会成员不参加开标活动。</w:t>
      </w:r>
    </w:p>
    <w:p>
      <w:pPr>
        <w:spacing w:line="400" w:lineRule="exact"/>
        <w:ind w:firstLine="480" w:firstLineChars="2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18.1.3开标时，根据具体情况邀请有关监督管理部门对开标活动进行现场监督。</w:t>
      </w:r>
    </w:p>
    <w:p>
      <w:pPr>
        <w:spacing w:line="400" w:lineRule="exact"/>
        <w:ind w:firstLine="480" w:firstLineChars="2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18.1.4开标时，由电子系统按照规定的内容进行唱标。投标人或者其推选的代表对其他投标人的开标现场情况有异议的，可以当场反映者现场招标代理机构工作人员或监督人员，在开标现场记录人员予以记录，并在评标时予以认定处理，但不得干扰、阻挠开标工作的正常进行。</w:t>
      </w:r>
    </w:p>
    <w:p>
      <w:pPr>
        <w:spacing w:line="400" w:lineRule="exact"/>
        <w:ind w:firstLine="480" w:firstLineChars="2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18.1.</w:t>
      </w:r>
      <w:r>
        <w:rPr>
          <w:rFonts w:hint="eastAsia" w:ascii="仿宋_GB2312" w:hAnsi="宋体" w:eastAsia="仿宋_GB2312" w:cs="Times New Roman"/>
          <w:sz w:val="24"/>
          <w:szCs w:val="24"/>
          <w:highlight w:val="none"/>
          <w:lang w:val="en-US" w:eastAsia="zh-CN" w:bidi="ar-SA"/>
        </w:rPr>
        <w:t>5</w:t>
      </w:r>
      <w:r>
        <w:rPr>
          <w:rFonts w:hint="eastAsia" w:ascii="仿宋_GB2312" w:hAnsi="宋体" w:eastAsia="仿宋_GB2312" w:cs="Times New Roman"/>
          <w:sz w:val="24"/>
          <w:szCs w:val="24"/>
          <w:highlight w:val="none"/>
          <w:lang w:bidi="ar-SA"/>
        </w:rPr>
        <w:t>开标时，“开标一览表”中的大写金额与小写金额不一致的，以大写金额 为准；总价金额与按单价计算的汇总金额不一致的， 以单价计算的汇总金额为准；单价金额有明显小数点错误的，以总价为准，并修改单价。投标文件中相关内容与“开标一览表”不一致的，以“开标一览表”为准。 对不同文字文本投标文件的解释发生异议的，以中文文本为准。</w:t>
      </w:r>
    </w:p>
    <w:p>
      <w:pPr>
        <w:spacing w:line="400" w:lineRule="exact"/>
        <w:ind w:firstLine="480" w:firstLineChars="2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18.1.</w:t>
      </w:r>
      <w:r>
        <w:rPr>
          <w:rFonts w:hint="eastAsia" w:ascii="仿宋_GB2312" w:hAnsi="宋体" w:eastAsia="仿宋_GB2312" w:cs="Times New Roman"/>
          <w:sz w:val="24"/>
          <w:szCs w:val="24"/>
          <w:highlight w:val="none"/>
          <w:lang w:val="en-US" w:eastAsia="zh-CN" w:bidi="ar-SA"/>
        </w:rPr>
        <w:t>6</w:t>
      </w:r>
      <w:r>
        <w:rPr>
          <w:rFonts w:hint="eastAsia" w:ascii="仿宋_GB2312" w:hAnsi="宋体" w:eastAsia="仿宋_GB2312" w:cs="Times New Roman"/>
          <w:sz w:val="24"/>
          <w:szCs w:val="24"/>
          <w:highlight w:val="none"/>
          <w:lang w:bidi="ar-SA"/>
        </w:rPr>
        <w:t xml:space="preserve"> 所有电子系统按照规定的内容进行唱标完毕，如投标人代表对系统上的内容有异议的，可以当场反映者现场招标代理机构工作人员或监督人员。如确实属于系统宣读错的，当场予以更正。</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18.1.</w:t>
      </w:r>
      <w:r>
        <w:rPr>
          <w:rFonts w:hint="eastAsia" w:ascii="仿宋_GB2312" w:hAnsi="宋体" w:eastAsia="仿宋_GB2312" w:cs="Times New Roman"/>
          <w:sz w:val="24"/>
          <w:szCs w:val="24"/>
          <w:highlight w:val="none"/>
          <w:lang w:val="en-US" w:eastAsia="zh-CN" w:bidi="ar-SA"/>
        </w:rPr>
        <w:t>7</w:t>
      </w:r>
      <w:r>
        <w:rPr>
          <w:rFonts w:hint="eastAsia" w:ascii="仿宋_GB2312" w:hAnsi="宋体" w:eastAsia="仿宋_GB2312" w:cs="Times New Roman"/>
          <w:sz w:val="24"/>
          <w:szCs w:val="24"/>
          <w:highlight w:val="none"/>
          <w:lang w:bidi="ar-SA"/>
        </w:rPr>
        <w:t>投标人未参加开标的，视同认可开标结果。</w:t>
      </w:r>
    </w:p>
    <w:p>
      <w:pPr>
        <w:pStyle w:val="4"/>
        <w:ind w:firstLine="482"/>
        <w:rPr>
          <w:highlight w:val="none"/>
          <w:lang w:bidi="ar-SA"/>
        </w:rPr>
      </w:pPr>
      <w:bookmarkStart w:id="26" w:name="_Toc75443015"/>
      <w:r>
        <w:rPr>
          <w:highlight w:val="none"/>
          <w:lang w:bidi="ar-SA"/>
        </w:rPr>
        <w:t>19.</w:t>
      </w:r>
      <w:r>
        <w:rPr>
          <w:rFonts w:hint="eastAsia"/>
          <w:highlight w:val="none"/>
          <w:lang w:bidi="ar-SA"/>
        </w:rPr>
        <w:t>资格审查及组建评标委员会</w:t>
      </w:r>
      <w:bookmarkEnd w:id="26"/>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19.1</w:t>
      </w:r>
      <w:r>
        <w:rPr>
          <w:rFonts w:hint="eastAsia" w:ascii="仿宋_GB2312" w:hAnsi="宋体" w:eastAsia="仿宋_GB2312" w:cs="Times New Roman"/>
          <w:sz w:val="24"/>
          <w:szCs w:val="24"/>
          <w:highlight w:val="none"/>
          <w:lang w:bidi="ar-SA"/>
        </w:rPr>
        <w:t>采购代理机构</w:t>
      </w:r>
      <w:r>
        <w:rPr>
          <w:rFonts w:hint="eastAsia" w:ascii="仿宋_GB2312" w:hAnsi="宋体" w:eastAsia="仿宋_GB2312" w:cs="Times New Roman"/>
          <w:sz w:val="24"/>
          <w:szCs w:val="24"/>
          <w:highlight w:val="none"/>
          <w:lang w:val="en-US" w:eastAsia="zh-CN" w:bidi="ar-SA"/>
        </w:rPr>
        <w:t>或</w:t>
      </w:r>
      <w:r>
        <w:rPr>
          <w:rFonts w:hint="eastAsia" w:ascii="仿宋_GB2312" w:hAnsi="宋体" w:eastAsia="仿宋_GB2312" w:cs="Times New Roman"/>
          <w:sz w:val="24"/>
          <w:szCs w:val="24"/>
          <w:highlight w:val="none"/>
          <w:lang w:bidi="ar-SA"/>
        </w:rPr>
        <w:t>采购人依据法律法规和招标文件中规定的内容，对投标人的资格进行审查，未通过资格审查的投标人</w:t>
      </w:r>
      <w:r>
        <w:rPr>
          <w:rFonts w:hint="eastAsia" w:ascii="仿宋_GB2312" w:hAnsi="宋体" w:eastAsia="仿宋_GB2312" w:cs="Times New Roman"/>
          <w:sz w:val="24"/>
          <w:szCs w:val="24"/>
          <w:highlight w:val="none"/>
          <w:lang w:val="en-US" w:eastAsia="zh-CN" w:bidi="ar-SA"/>
        </w:rPr>
        <w:t>将被认定为无效投标</w:t>
      </w:r>
      <w:r>
        <w:rPr>
          <w:rFonts w:hint="eastAsia" w:ascii="仿宋_GB2312" w:hAnsi="宋体" w:eastAsia="仿宋_GB2312" w:cs="Times New Roman"/>
          <w:sz w:val="24"/>
          <w:szCs w:val="24"/>
          <w:highlight w:val="none"/>
          <w:lang w:bidi="ar-SA"/>
        </w:rPr>
        <w:t>；通过资格审查的投标人不足三家的，</w:t>
      </w:r>
      <w:r>
        <w:rPr>
          <w:rFonts w:hint="eastAsia" w:ascii="仿宋_GB2312" w:hAnsi="宋体" w:eastAsia="仿宋_GB2312" w:cs="Times New Roman"/>
          <w:sz w:val="24"/>
          <w:szCs w:val="24"/>
          <w:highlight w:val="none"/>
          <w:lang w:val="en-US" w:eastAsia="zh-CN" w:bidi="ar-SA"/>
        </w:rPr>
        <w:t>做废标处理</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19.2</w:t>
      </w:r>
      <w:r>
        <w:rPr>
          <w:rFonts w:hint="eastAsia" w:ascii="仿宋_GB2312" w:hAnsi="宋体" w:eastAsia="仿宋_GB2312" w:cs="Times New Roman"/>
          <w:sz w:val="24"/>
          <w:szCs w:val="24"/>
          <w:highlight w:val="none"/>
          <w:lang w:bidi="ar-SA"/>
        </w:rPr>
        <w:t>投标人存在不良信用记录的，其投标将被认定为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19.2.1</w:t>
      </w:r>
      <w:r>
        <w:rPr>
          <w:rFonts w:hint="eastAsia" w:ascii="仿宋_GB2312" w:hAnsi="宋体" w:eastAsia="仿宋_GB2312" w:cs="Times New Roman"/>
          <w:sz w:val="24"/>
          <w:szCs w:val="24"/>
          <w:highlight w:val="none"/>
          <w:lang w:bidi="ar-SA"/>
        </w:rPr>
        <w:t>不良信用记录指：投标人在“信用中国”网站（</w:t>
      </w:r>
      <w:r>
        <w:rPr>
          <w:rFonts w:ascii="仿宋_GB2312" w:hAnsi="宋体" w:eastAsia="仿宋_GB2312" w:cs="Times New Roman"/>
          <w:sz w:val="24"/>
          <w:szCs w:val="24"/>
          <w:highlight w:val="none"/>
          <w:lang w:bidi="ar-SA"/>
        </w:rPr>
        <w:t>www.creditchina.gov.cn</w:t>
      </w:r>
      <w:r>
        <w:rPr>
          <w:rFonts w:hint="eastAsia" w:ascii="仿宋_GB2312" w:hAnsi="宋体" w:eastAsia="仿宋_GB2312" w:cs="Times New Roman"/>
          <w:sz w:val="24"/>
          <w:szCs w:val="24"/>
          <w:highlight w:val="none"/>
          <w:lang w:bidi="ar-SA"/>
        </w:rPr>
        <w:t>）被列入失信被执行人、重大税收违法案件当事人名单，以及存在《中华人民共和国政府采购法实施条例》第十九条规定的刑事处罚记录</w:t>
      </w:r>
      <w:r>
        <w:rPr>
          <w:rFonts w:hint="eastAsia" w:ascii="仿宋_GB2312" w:hAnsi="宋体" w:eastAsia="仿宋_GB2312" w:cs="Times New Roman"/>
          <w:sz w:val="24"/>
          <w:szCs w:val="24"/>
          <w:highlight w:val="none"/>
          <w:lang w:eastAsia="zh-CN" w:bidi="ar-SA"/>
        </w:rPr>
        <w:t>，</w:t>
      </w:r>
      <w:r>
        <w:rPr>
          <w:rFonts w:hint="eastAsia" w:ascii="仿宋_GB2312" w:hAnsi="宋体" w:eastAsia="仿宋_GB2312" w:cs="Times New Roman"/>
          <w:kern w:val="2"/>
          <w:sz w:val="24"/>
          <w:szCs w:val="24"/>
          <w:highlight w:val="none"/>
          <w:lang w:val="en-US" w:eastAsia="zh-CN" w:bidi="ar-SA"/>
        </w:rPr>
        <w:t>未被中国政府采购网（www.ccgp.gov.cn）列入政府采购严重违法失信行为记录名单、被财政部门禁止参加政府采购活动（处罚决定规定的时间和地域范围内）的投标人禁止参加本项目的投标活动</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以联合体形式参加投标的，联合体任何成员存在以上不良信用记录的，联合体投标将被认定为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19.3</w:t>
      </w:r>
      <w:r>
        <w:rPr>
          <w:rFonts w:hint="eastAsia" w:ascii="仿宋_GB2312" w:hAnsi="宋体" w:eastAsia="仿宋_GB2312" w:cs="Times New Roman"/>
          <w:sz w:val="24"/>
          <w:szCs w:val="24"/>
          <w:highlight w:val="none"/>
          <w:lang w:bidi="ar-SA"/>
        </w:rPr>
        <w:t>按照《中华人民共和国政府采购法》、《中华人民共和国政府采购法实施条例》及财政部门的有关规定依法组建的评标委员会，负责评标工作。</w:t>
      </w:r>
    </w:p>
    <w:p>
      <w:pPr>
        <w:pStyle w:val="4"/>
        <w:ind w:firstLine="482"/>
        <w:rPr>
          <w:highlight w:val="none"/>
          <w:lang w:bidi="ar-SA"/>
        </w:rPr>
      </w:pPr>
      <w:bookmarkStart w:id="27" w:name="_Toc75443016"/>
      <w:r>
        <w:rPr>
          <w:highlight w:val="none"/>
          <w:lang w:bidi="ar-SA"/>
        </w:rPr>
        <w:t>20.</w:t>
      </w:r>
      <w:r>
        <w:rPr>
          <w:rFonts w:hint="eastAsia"/>
          <w:highlight w:val="none"/>
          <w:lang w:bidi="ar-SA"/>
        </w:rPr>
        <w:t>投标文件符合性审查与澄清</w:t>
      </w:r>
      <w:bookmarkEnd w:id="27"/>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20.1</w:t>
      </w:r>
      <w:r>
        <w:rPr>
          <w:rFonts w:hint="eastAsia" w:ascii="仿宋_GB2312" w:hAnsi="宋体" w:eastAsia="仿宋_GB2312" w:cs="Times New Roman"/>
          <w:sz w:val="24"/>
          <w:szCs w:val="24"/>
          <w:highlight w:val="none"/>
          <w:lang w:bidi="ar-SA"/>
        </w:rPr>
        <w:t>符合性审查是指依据招标文件的规定，从投标文件的有效性和完整性对招标文件的响应程度进行审查，以确定是否对招标文件的实质性要求做出响应。</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20.2</w:t>
      </w:r>
      <w:r>
        <w:rPr>
          <w:rFonts w:hint="eastAsia" w:ascii="仿宋_GB2312" w:hAnsi="宋体" w:eastAsia="仿宋_GB2312" w:cs="Times New Roman"/>
          <w:sz w:val="24"/>
          <w:szCs w:val="24"/>
          <w:highlight w:val="none"/>
          <w:lang w:bidi="ar-SA"/>
        </w:rPr>
        <w:t>投标文件的澄清</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20.2.1</w:t>
      </w:r>
      <w:r>
        <w:rPr>
          <w:rFonts w:hint="eastAsia" w:ascii="仿宋_GB2312" w:hAnsi="宋体" w:eastAsia="仿宋_GB2312" w:cs="Times New Roman"/>
          <w:sz w:val="24"/>
          <w:szCs w:val="24"/>
          <w:highlight w:val="none"/>
          <w:lang w:bidi="ar-SA"/>
        </w:rPr>
        <w:t>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20.2.2</w:t>
      </w:r>
      <w:r>
        <w:rPr>
          <w:rFonts w:hint="eastAsia" w:ascii="仿宋_GB2312" w:hAnsi="宋体" w:eastAsia="仿宋_GB2312" w:cs="Times New Roman"/>
          <w:sz w:val="24"/>
          <w:szCs w:val="24"/>
          <w:highlight w:val="none"/>
          <w:lang w:bidi="ar-SA"/>
        </w:rPr>
        <w:t>投标人的的澄清、说明或补正将作为投标文件的一部分。</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20.3</w:t>
      </w:r>
      <w:r>
        <w:rPr>
          <w:rFonts w:hint="eastAsia" w:ascii="仿宋_GB2312" w:hAnsi="宋体" w:eastAsia="仿宋_GB2312" w:cs="Times New Roman"/>
          <w:sz w:val="24"/>
          <w:szCs w:val="24"/>
          <w:highlight w:val="none"/>
          <w:lang w:bidi="ar-SA"/>
        </w:rPr>
        <w:t>投标文件报价出现前后不一致的，按照下列规定修正：</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）投标文件中开标一览表（报价表）内容与投标文件中相应内容不一致的，以开标一览表（报价表）为准；</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）大写金额和小写金额不一致的，以大写金额为准；</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）单价金额小数点或者百分比有明显错位的，以开标一览表的总价为准，并修改单价；</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4</w:t>
      </w:r>
      <w:r>
        <w:rPr>
          <w:rFonts w:hint="eastAsia" w:ascii="仿宋_GB2312" w:hAnsi="宋体" w:eastAsia="仿宋_GB2312" w:cs="Times New Roman"/>
          <w:sz w:val="24"/>
          <w:szCs w:val="24"/>
          <w:highlight w:val="none"/>
          <w:lang w:bidi="ar-SA"/>
        </w:rPr>
        <w:t>）总价金额与按单价汇总金额不一致的，以单价金额计算结果为准。</w:t>
      </w:r>
    </w:p>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同时出现两种以上不一致的，按照前款规定的顺序修正。修正后的报价按照第</w:t>
      </w:r>
      <w:r>
        <w:rPr>
          <w:rFonts w:ascii="仿宋_GB2312" w:hAnsi="宋体" w:eastAsia="仿宋_GB2312" w:cs="Times New Roman"/>
          <w:sz w:val="24"/>
          <w:szCs w:val="24"/>
          <w:highlight w:val="none"/>
          <w:lang w:bidi="ar-SA"/>
        </w:rPr>
        <w:t>20.2</w:t>
      </w:r>
      <w:r>
        <w:rPr>
          <w:rFonts w:hint="eastAsia" w:ascii="仿宋_GB2312" w:hAnsi="宋体" w:eastAsia="仿宋_GB2312" w:cs="Times New Roman"/>
          <w:sz w:val="24"/>
          <w:szCs w:val="24"/>
          <w:highlight w:val="none"/>
          <w:lang w:bidi="ar-SA"/>
        </w:rPr>
        <w:t>条的规定经投标人确认后产生约束力，投标人不确认的，其投标将被认定为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对不同文字文本投标文件的解释发生异议的，以中文文本为准。</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20.4</w:t>
      </w:r>
      <w:r>
        <w:rPr>
          <w:rFonts w:hint="eastAsia" w:ascii="仿宋_GB2312" w:hAnsi="宋体" w:eastAsia="仿宋_GB2312" w:cs="Times New Roman"/>
          <w:sz w:val="24"/>
          <w:szCs w:val="24"/>
          <w:highlight w:val="none"/>
          <w:lang w:bidi="ar-SA"/>
        </w:rPr>
        <w:t>如一个分包内只有一种产品，不同投标人所投产品为同一品牌的，按如下方式处理：</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20.4.1</w:t>
      </w:r>
      <w:r>
        <w:rPr>
          <w:rFonts w:hint="eastAsia" w:ascii="仿宋_GB2312" w:hAnsi="宋体" w:eastAsia="仿宋_GB2312" w:cs="Times New Roman"/>
          <w:sz w:val="24"/>
          <w:szCs w:val="24"/>
          <w:highlight w:val="none"/>
          <w:lang w:bidi="ar-SA"/>
        </w:rPr>
        <w:t>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20.5</w:t>
      </w:r>
      <w:r>
        <w:rPr>
          <w:rFonts w:hint="eastAsia" w:ascii="仿宋_GB2312" w:hAnsi="宋体" w:eastAsia="仿宋_GB2312" w:cs="Times New Roman"/>
          <w:sz w:val="24"/>
          <w:szCs w:val="24"/>
          <w:highlight w:val="none"/>
          <w:lang w:bidi="ar-SA"/>
        </w:rPr>
        <w:t>如一个分包内包含多种产品的，采购人或采购代理机构将在投标人须知资料表中载明核心产品，多家投标人提供的核心产品品牌相同的，按第</w:t>
      </w:r>
      <w:r>
        <w:rPr>
          <w:rFonts w:ascii="仿宋_GB2312" w:hAnsi="宋体" w:eastAsia="仿宋_GB2312" w:cs="Times New Roman"/>
          <w:sz w:val="24"/>
          <w:szCs w:val="24"/>
          <w:highlight w:val="none"/>
          <w:lang w:bidi="ar-SA"/>
        </w:rPr>
        <w:t>20.4</w:t>
      </w:r>
      <w:r>
        <w:rPr>
          <w:rFonts w:hint="eastAsia" w:ascii="仿宋_GB2312" w:hAnsi="宋体" w:eastAsia="仿宋_GB2312" w:cs="Times New Roman"/>
          <w:sz w:val="24"/>
          <w:szCs w:val="24"/>
          <w:highlight w:val="none"/>
          <w:lang w:bidi="ar-SA"/>
        </w:rPr>
        <w:t>条规定处理。</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20.6</w:t>
      </w:r>
      <w:r>
        <w:rPr>
          <w:rFonts w:hint="eastAsia" w:ascii="仿宋_GB2312" w:hAnsi="宋体" w:eastAsia="仿宋_GB2312" w:cs="Times New Roman"/>
          <w:sz w:val="24"/>
          <w:szCs w:val="24"/>
          <w:highlight w:val="none"/>
          <w:lang w:bidi="ar-SA"/>
        </w:rPr>
        <w:t>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如采购人所采购产品为政府强制采购的节能产品，投标人所投产品的品牌及型号必须为清单中有效期内产品并提供证明文件，否则其投标将被认定为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21.</w:t>
      </w:r>
      <w:r>
        <w:rPr>
          <w:rFonts w:hint="eastAsia" w:ascii="仿宋_GB2312" w:hAnsi="宋体" w:eastAsia="仿宋_GB2312" w:cs="Times New Roman"/>
          <w:b/>
          <w:bCs/>
          <w:sz w:val="24"/>
          <w:szCs w:val="24"/>
          <w:highlight w:val="none"/>
          <w:lang w:bidi="ar-SA"/>
        </w:rPr>
        <w:t>投标偏离</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投标文件技术偏离表中可以存在不构成实质性偏离的技术参数。</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22.</w:t>
      </w:r>
      <w:r>
        <w:rPr>
          <w:rFonts w:hint="eastAsia" w:ascii="仿宋_GB2312" w:hAnsi="宋体" w:eastAsia="仿宋_GB2312" w:cs="Times New Roman"/>
          <w:b/>
          <w:bCs/>
          <w:sz w:val="24"/>
          <w:szCs w:val="24"/>
          <w:highlight w:val="none"/>
          <w:lang w:bidi="ar-SA"/>
        </w:rPr>
        <w:t>投标无效</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22.1</w:t>
      </w:r>
      <w:r>
        <w:rPr>
          <w:rFonts w:hint="eastAsia" w:ascii="仿宋_GB2312" w:hAnsi="宋体" w:eastAsia="仿宋_GB2312" w:cs="Times New Roman"/>
          <w:sz w:val="24"/>
          <w:szCs w:val="24"/>
          <w:highlight w:val="none"/>
          <w:lang w:bidi="ar-SA"/>
        </w:rPr>
        <w:t>在比较与评价之前，根据本须知的规定，评标委员会要审查每份投标文件是否实质上响应了招标文件的要求。实质上响应的投标应该是与招标文件要求的实质性条款、条件和规格相符没有重大偏离的响应。对关键条款的偏离。对实质性条款的负偏离，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。投标人不得通过修正或撤销不符合要求的偏离，从而使其投标成为实质上响应的投标。</w:t>
      </w:r>
    </w:p>
    <w:p>
      <w:pPr>
        <w:spacing w:line="400" w:lineRule="exact"/>
        <w:ind w:firstLine="480" w:firstLineChars="200"/>
        <w:rPr>
          <w:rFonts w:ascii="仿宋_GB2312" w:hAnsi="宋体" w:eastAsia="仿宋_GB2312" w:cs="Times New Roman"/>
          <w:b/>
          <w:i/>
          <w:color w:val="92D050"/>
          <w:sz w:val="24"/>
          <w:szCs w:val="24"/>
          <w:highlight w:val="none"/>
          <w:lang w:bidi="ar-SA"/>
        </w:rPr>
      </w:pPr>
      <w:r>
        <w:rPr>
          <w:rFonts w:hint="eastAsia" w:ascii="仿宋_GB2312" w:hAnsi="宋体" w:eastAsia="仿宋_GB2312" w:cs="Times New Roman"/>
          <w:sz w:val="24"/>
          <w:szCs w:val="24"/>
          <w:highlight w:val="none"/>
          <w:lang w:bidi="ar-SA"/>
        </w:rPr>
        <w:t>评标委员会决定投标的响应性只根据招标文件要求、投标文件内容及财政主管部门指定媒体发布相关信息。</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22.2</w:t>
      </w:r>
      <w:r>
        <w:rPr>
          <w:rFonts w:hint="eastAsia" w:ascii="仿宋_GB2312" w:hAnsi="宋体" w:eastAsia="仿宋_GB2312" w:cs="Times New Roman"/>
          <w:sz w:val="24"/>
          <w:szCs w:val="24"/>
          <w:highlight w:val="none"/>
          <w:lang w:bidi="ar-SA"/>
        </w:rPr>
        <w:t>如发现下列情况之一的，其投标将被认定为</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）未按照招标文件规定要求签署、盖章的；</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）未满足招标文件中技术条款的实质性要求（哪些属于实质性要求由评标委员会判定）；</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）与其他投标人串通投标，或者与招标人串通投标；</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4</w:t>
      </w:r>
      <w:r>
        <w:rPr>
          <w:rFonts w:hint="eastAsia" w:ascii="仿宋_GB2312" w:hAnsi="宋体" w:eastAsia="仿宋_GB2312" w:cs="Times New Roman"/>
          <w:sz w:val="24"/>
          <w:szCs w:val="24"/>
          <w:highlight w:val="none"/>
          <w:lang w:bidi="ar-SA"/>
        </w:rPr>
        <w:t>）属于招标文件规定的其他</w:t>
      </w:r>
      <w:r>
        <w:rPr>
          <w:rFonts w:hint="eastAsia" w:ascii="仿宋_GB2312" w:hAnsi="宋体" w:eastAsia="仿宋_GB2312" w:cs="Times New Roman"/>
          <w:b/>
          <w:bCs/>
          <w:sz w:val="24"/>
          <w:szCs w:val="24"/>
          <w:highlight w:val="none"/>
          <w:lang w:bidi="ar-SA"/>
        </w:rPr>
        <w:t>投标无效</w:t>
      </w:r>
      <w:r>
        <w:rPr>
          <w:rFonts w:hint="eastAsia" w:ascii="仿宋_GB2312" w:hAnsi="宋体" w:eastAsia="仿宋_GB2312" w:cs="Times New Roman"/>
          <w:sz w:val="24"/>
          <w:szCs w:val="24"/>
          <w:highlight w:val="none"/>
          <w:lang w:bidi="ar-SA"/>
        </w:rPr>
        <w:t>情形；</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5</w:t>
      </w:r>
      <w:r>
        <w:rPr>
          <w:rFonts w:hint="eastAsia" w:ascii="仿宋_GB2312" w:hAnsi="宋体" w:eastAsia="仿宋_GB2312" w:cs="Times New Roman"/>
          <w:sz w:val="24"/>
          <w:szCs w:val="24"/>
          <w:highlight w:val="none"/>
          <w:lang w:bidi="ar-SA"/>
        </w:rPr>
        <w:t>）评标委员会认为投标人的报价明显低于其他通过符合性检查投标人的报价，有可能影响履约的，且投标人未按照规定证明其报价合理性的；</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6</w:t>
      </w:r>
      <w:r>
        <w:rPr>
          <w:rFonts w:hint="eastAsia" w:ascii="仿宋_GB2312" w:hAnsi="宋体" w:eastAsia="仿宋_GB2312" w:cs="Times New Roman"/>
          <w:sz w:val="24"/>
          <w:szCs w:val="24"/>
          <w:highlight w:val="none"/>
          <w:lang w:bidi="ar-SA"/>
        </w:rPr>
        <w:t>）投标文件含有采购人不能接受的附加条件的；</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7</w:t>
      </w:r>
      <w:r>
        <w:rPr>
          <w:rFonts w:hint="eastAsia" w:ascii="仿宋_GB2312" w:hAnsi="宋体" w:eastAsia="仿宋_GB2312" w:cs="Times New Roman"/>
          <w:sz w:val="24"/>
          <w:szCs w:val="24"/>
          <w:highlight w:val="none"/>
          <w:lang w:bidi="ar-SA"/>
        </w:rPr>
        <w:t>）不符合法规和招标文件中规定的其他实质性要求的；</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8</w:t>
      </w:r>
      <w:r>
        <w:rPr>
          <w:rFonts w:hint="eastAsia" w:ascii="仿宋_GB2312" w:hAnsi="宋体" w:eastAsia="仿宋_GB2312" w:cs="Times New Roman"/>
          <w:sz w:val="24"/>
          <w:szCs w:val="24"/>
          <w:highlight w:val="none"/>
          <w:lang w:bidi="ar-SA"/>
        </w:rPr>
        <w:t>）不按照评标委员会要求澄清、说明或者补正的；</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9</w:t>
      </w:r>
      <w:r>
        <w:rPr>
          <w:rFonts w:hint="eastAsia" w:ascii="仿宋_GB2312" w:hAnsi="宋体" w:eastAsia="仿宋_GB2312" w:cs="Times New Roman"/>
          <w:sz w:val="24"/>
          <w:szCs w:val="24"/>
          <w:highlight w:val="none"/>
          <w:lang w:bidi="ar-SA"/>
        </w:rPr>
        <w:t>）投标文件未经投标单位盖章和单位负责人签字（凡出现单位落款的地方均需要由法人或其授权人代表签字并加盖单位公章）；</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10</w:t>
      </w:r>
      <w:r>
        <w:rPr>
          <w:rFonts w:hint="eastAsia" w:ascii="仿宋_GB2312" w:hAnsi="宋体" w:eastAsia="仿宋_GB2312" w:cs="Times New Roman"/>
          <w:sz w:val="24"/>
          <w:szCs w:val="24"/>
          <w:highlight w:val="none"/>
          <w:lang w:bidi="ar-SA"/>
        </w:rPr>
        <w:t>）投标人不符合国家或者招标文件规定的资格条件；</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11</w:t>
      </w:r>
      <w:r>
        <w:rPr>
          <w:rFonts w:hint="eastAsia" w:ascii="仿宋_GB2312" w:hAnsi="宋体" w:eastAsia="仿宋_GB2312" w:cs="Times New Roman"/>
          <w:sz w:val="24"/>
          <w:szCs w:val="24"/>
          <w:highlight w:val="none"/>
          <w:lang w:bidi="ar-SA"/>
        </w:rPr>
        <w:t>）同一投标人递交两个以上不同的投标文件或者投标报价，但招标文件要求递交备选投标的除外；</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12</w:t>
      </w:r>
      <w:r>
        <w:rPr>
          <w:rFonts w:hint="eastAsia" w:ascii="仿宋_GB2312" w:hAnsi="宋体" w:eastAsia="仿宋_GB2312" w:cs="Times New Roman"/>
          <w:sz w:val="24"/>
          <w:szCs w:val="24"/>
          <w:highlight w:val="none"/>
          <w:lang w:bidi="ar-SA"/>
        </w:rPr>
        <w:t>）财政部令第</w:t>
      </w:r>
      <w:r>
        <w:rPr>
          <w:rFonts w:ascii="仿宋_GB2312" w:hAnsi="宋体" w:eastAsia="仿宋_GB2312" w:cs="Times New Roman"/>
          <w:sz w:val="24"/>
          <w:szCs w:val="24"/>
          <w:highlight w:val="none"/>
          <w:lang w:bidi="ar-SA"/>
        </w:rPr>
        <w:t>87</w:t>
      </w:r>
      <w:r>
        <w:rPr>
          <w:rFonts w:hint="eastAsia" w:ascii="仿宋_GB2312" w:hAnsi="宋体" w:eastAsia="仿宋_GB2312" w:cs="Times New Roman"/>
          <w:sz w:val="24"/>
          <w:szCs w:val="24"/>
          <w:highlight w:val="none"/>
          <w:lang w:bidi="ar-SA"/>
        </w:rPr>
        <w:t>号第</w:t>
      </w:r>
      <w:r>
        <w:rPr>
          <w:rFonts w:ascii="仿宋_GB2312" w:hAnsi="宋体" w:eastAsia="仿宋_GB2312" w:cs="Times New Roman"/>
          <w:sz w:val="24"/>
          <w:szCs w:val="24"/>
          <w:highlight w:val="none"/>
          <w:lang w:bidi="ar-SA"/>
        </w:rPr>
        <w:t>60</w:t>
      </w:r>
      <w:r>
        <w:rPr>
          <w:rFonts w:hint="eastAsia" w:ascii="仿宋_GB2312" w:hAnsi="宋体" w:eastAsia="仿宋_GB2312" w:cs="Times New Roman"/>
          <w:sz w:val="24"/>
          <w:szCs w:val="24"/>
          <w:highlight w:val="none"/>
          <w:lang w:bidi="ar-SA"/>
        </w:rPr>
        <w:t>条情形或者高于招标文件设定的最高投标限价；</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bidi="ar-SA"/>
        </w:rPr>
        <w:t>）投标文件没有对招标文件的实质性要求和条件做出响应；</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14</w:t>
      </w:r>
      <w:r>
        <w:rPr>
          <w:rFonts w:hint="eastAsia" w:ascii="仿宋_GB2312" w:hAnsi="宋体" w:eastAsia="仿宋_GB2312" w:cs="Times New Roman"/>
          <w:sz w:val="24"/>
          <w:szCs w:val="24"/>
          <w:highlight w:val="none"/>
          <w:lang w:bidi="ar-SA"/>
        </w:rPr>
        <w:t>）投标人以他人名义投标；</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15</w:t>
      </w:r>
      <w:r>
        <w:rPr>
          <w:rFonts w:hint="eastAsia" w:ascii="仿宋_GB2312" w:hAnsi="宋体" w:eastAsia="仿宋_GB2312" w:cs="Times New Roman"/>
          <w:sz w:val="24"/>
          <w:szCs w:val="24"/>
          <w:highlight w:val="none"/>
          <w:lang w:bidi="ar-SA"/>
        </w:rPr>
        <w:t>）没有按照招标文件要求提供投标担保或者所提供的投标担保有瑕疵；</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16</w:t>
      </w:r>
      <w:r>
        <w:rPr>
          <w:rFonts w:hint="eastAsia" w:ascii="仿宋_GB2312" w:hAnsi="宋体" w:eastAsia="仿宋_GB2312" w:cs="Times New Roman"/>
          <w:sz w:val="24"/>
          <w:szCs w:val="24"/>
          <w:highlight w:val="none"/>
          <w:lang w:bidi="ar-SA"/>
        </w:rPr>
        <w:t>）投标文件载明的招标项目完成期限超过招标文件规定的期限；</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17</w:t>
      </w:r>
      <w:r>
        <w:rPr>
          <w:rFonts w:hint="eastAsia" w:ascii="仿宋_GB2312" w:hAnsi="宋体" w:eastAsia="仿宋_GB2312" w:cs="Times New Roman"/>
          <w:sz w:val="24"/>
          <w:szCs w:val="24"/>
          <w:highlight w:val="none"/>
          <w:lang w:bidi="ar-SA"/>
        </w:rPr>
        <w:t>）明显不符合技术规格、技术标准的要求。</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23.</w:t>
      </w:r>
      <w:r>
        <w:rPr>
          <w:rFonts w:hint="eastAsia" w:ascii="仿宋_GB2312" w:hAnsi="宋体" w:eastAsia="仿宋_GB2312" w:cs="Times New Roman"/>
          <w:sz w:val="24"/>
          <w:szCs w:val="24"/>
          <w:highlight w:val="none"/>
          <w:lang w:bidi="ar-SA"/>
        </w:rPr>
        <w:t>比较与评价</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23.1</w:t>
      </w:r>
      <w:r>
        <w:rPr>
          <w:rFonts w:hint="eastAsia" w:ascii="仿宋_GB2312" w:hAnsi="宋体" w:eastAsia="仿宋_GB2312" w:cs="Times New Roman"/>
          <w:sz w:val="24"/>
          <w:szCs w:val="24"/>
          <w:highlight w:val="none"/>
          <w:lang w:bidi="ar-SA"/>
        </w:rPr>
        <w:t>经符合性审查合格的投标文件，评标委员会将根据招标文件确定的评标方法和标准，对其技术部分和商务部分作进一步的比较和评价。</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23.2</w:t>
      </w:r>
      <w:r>
        <w:rPr>
          <w:rFonts w:hint="eastAsia" w:ascii="仿宋_GB2312" w:hAnsi="宋体" w:eastAsia="仿宋_GB2312" w:cs="Times New Roman"/>
          <w:sz w:val="24"/>
          <w:szCs w:val="24"/>
          <w:highlight w:val="none"/>
          <w:lang w:bidi="ar-SA"/>
        </w:rPr>
        <w:t>评标严格按照招标文件的要求和条件进行。根据实际情况，在</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中规定采用下列一种评标方法，详细评标标准见招标文件第六章：</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）最低评标价法，是指投标文件满足招标文件全部实质性要求，且投标报价最低的投标人为中标候选人的评标方法。</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）综合评分法，是指投标文件满足招标文件全部实质性要求，且按照评审因素的量化指标评审得分最高的投标人为中标候选人的评标方法。</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23.3</w:t>
      </w:r>
      <w:r>
        <w:rPr>
          <w:rFonts w:hint="eastAsia" w:ascii="仿宋_GB2312" w:hAnsi="宋体" w:eastAsia="仿宋_GB2312" w:cs="Times New Roman"/>
          <w:sz w:val="24"/>
          <w:szCs w:val="24"/>
          <w:highlight w:val="none"/>
          <w:lang w:bidi="ar-SA"/>
        </w:rPr>
        <w:t>根据《政府采购促进中小企业发展管理办法》（财库</w:t>
      </w:r>
      <w:r>
        <w:rPr>
          <w:rFonts w:ascii="仿宋_GB2312" w:hAnsi="宋体" w:eastAsia="仿宋_GB2312" w:cs="Times New Roman"/>
          <w:sz w:val="24"/>
          <w:szCs w:val="24"/>
          <w:highlight w:val="none"/>
          <w:lang w:bidi="ar-SA"/>
        </w:rPr>
        <w:t>[20</w:t>
      </w:r>
      <w:r>
        <w:rPr>
          <w:rFonts w:hint="eastAsia" w:ascii="仿宋_GB2312" w:hAnsi="宋体" w:eastAsia="仿宋_GB2312" w:cs="Times New Roman"/>
          <w:sz w:val="24"/>
          <w:szCs w:val="24"/>
          <w:highlight w:val="none"/>
          <w:lang w:bidi="ar-SA"/>
        </w:rPr>
        <w:t>20</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46号）、《财政部司法部关于政府采购支持监狱企业发展有关问题的通知》（财库〔</w:t>
      </w:r>
      <w:r>
        <w:rPr>
          <w:rFonts w:ascii="仿宋_GB2312" w:hAnsi="宋体" w:eastAsia="仿宋_GB2312" w:cs="Times New Roman"/>
          <w:sz w:val="24"/>
          <w:szCs w:val="24"/>
          <w:highlight w:val="none"/>
          <w:lang w:bidi="ar-SA"/>
        </w:rPr>
        <w:t>2014</w:t>
      </w: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68</w:t>
      </w:r>
      <w:r>
        <w:rPr>
          <w:rFonts w:hint="eastAsia" w:ascii="仿宋_GB2312" w:hAnsi="宋体" w:eastAsia="仿宋_GB2312" w:cs="Times New Roman"/>
          <w:sz w:val="24"/>
          <w:szCs w:val="24"/>
          <w:highlight w:val="none"/>
          <w:lang w:bidi="ar-SA"/>
        </w:rPr>
        <w:t>号）和《三部门联合发布关于促进残疾人就业政府采购政策的通知》（财库〔</w:t>
      </w:r>
      <w:r>
        <w:rPr>
          <w:rFonts w:ascii="仿宋_GB2312" w:hAnsi="宋体" w:eastAsia="仿宋_GB2312" w:cs="Times New Roman"/>
          <w:sz w:val="24"/>
          <w:szCs w:val="24"/>
          <w:highlight w:val="none"/>
          <w:lang w:bidi="ar-SA"/>
        </w:rPr>
        <w:t>2017</w:t>
      </w: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141</w:t>
      </w:r>
      <w:r>
        <w:rPr>
          <w:rFonts w:hint="eastAsia" w:ascii="仿宋_GB2312" w:hAnsi="宋体" w:eastAsia="仿宋_GB2312" w:cs="Times New Roman"/>
          <w:sz w:val="24"/>
          <w:szCs w:val="24"/>
          <w:highlight w:val="none"/>
          <w:lang w:bidi="ar-SA"/>
        </w:rPr>
        <w:t>号）的规定，对满足价格扣除条件且在投标文件中提交了《投标人企业类型声明函》或省级以上监狱管理局、戒毒管理局（含新疆生产建设兵团）出具的属于监狱企业的证明文件的投标人，其投标报价扣除</w:t>
      </w:r>
      <w:r>
        <w:rPr>
          <w:rFonts w:ascii="仿宋_GB2312" w:hAnsi="宋体" w:eastAsia="仿宋_GB2312" w:cs="Times New Roman"/>
          <w:sz w:val="24"/>
          <w:szCs w:val="24"/>
          <w:highlight w:val="none"/>
          <w:lang w:bidi="ar-SA"/>
        </w:rPr>
        <w:t>6-10%</w:t>
      </w:r>
      <w:r>
        <w:rPr>
          <w:rFonts w:hint="eastAsia" w:ascii="仿宋_GB2312" w:hAnsi="宋体" w:eastAsia="仿宋_GB2312" w:cs="Times New Roman"/>
          <w:sz w:val="24"/>
          <w:szCs w:val="24"/>
          <w:highlight w:val="none"/>
          <w:lang w:bidi="ar-SA"/>
        </w:rPr>
        <w:t>后参与评审。具体办法详见招标文件第</w:t>
      </w:r>
      <w:r>
        <w:rPr>
          <w:rFonts w:ascii="仿宋_GB2312" w:hAnsi="宋体" w:eastAsia="仿宋_GB2312" w:cs="Times New Roman"/>
          <w:sz w:val="24"/>
          <w:szCs w:val="24"/>
          <w:highlight w:val="none"/>
          <w:lang w:bidi="ar-SA"/>
        </w:rPr>
        <w:t>6</w:t>
      </w:r>
      <w:r>
        <w:rPr>
          <w:rFonts w:hint="eastAsia" w:ascii="仿宋_GB2312" w:hAnsi="宋体" w:eastAsia="仿宋_GB2312" w:cs="Times New Roman"/>
          <w:sz w:val="24"/>
          <w:szCs w:val="24"/>
          <w:highlight w:val="none"/>
          <w:lang w:bidi="ar-SA"/>
        </w:rPr>
        <w:t>章。</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24.</w:t>
      </w:r>
      <w:r>
        <w:rPr>
          <w:rFonts w:hint="eastAsia" w:ascii="仿宋_GB2312" w:hAnsi="宋体" w:eastAsia="仿宋_GB2312" w:cs="Times New Roman"/>
          <w:b/>
          <w:bCs/>
          <w:sz w:val="24"/>
          <w:szCs w:val="24"/>
          <w:highlight w:val="none"/>
          <w:lang w:bidi="ar-SA"/>
        </w:rPr>
        <w:t>废标</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出现下列情形之一，将导致项目废标：</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）符合专业条件的供应商或者对招标文件做实质性响应的供应商不足三家；</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）出现影响采购公正的违法、违规行为的；</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）投标人的报价均超过了采购预算，采购人不能支付的；</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4</w:t>
      </w:r>
      <w:r>
        <w:rPr>
          <w:rFonts w:hint="eastAsia" w:ascii="仿宋_GB2312" w:hAnsi="宋体" w:eastAsia="仿宋_GB2312" w:cs="Times New Roman"/>
          <w:sz w:val="24"/>
          <w:szCs w:val="24"/>
          <w:highlight w:val="none"/>
          <w:lang w:bidi="ar-SA"/>
        </w:rPr>
        <w:t>）因重大变故，采购任务取消的；</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25.</w:t>
      </w:r>
      <w:r>
        <w:rPr>
          <w:rFonts w:hint="eastAsia" w:ascii="仿宋_GB2312" w:hAnsi="宋体" w:eastAsia="仿宋_GB2312" w:cs="Times New Roman"/>
          <w:b/>
          <w:bCs/>
          <w:sz w:val="24"/>
          <w:szCs w:val="24"/>
          <w:highlight w:val="none"/>
          <w:lang w:bidi="ar-SA"/>
        </w:rPr>
        <w:t>保密原则</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25.1</w:t>
      </w:r>
      <w:r>
        <w:rPr>
          <w:rFonts w:hint="eastAsia" w:ascii="仿宋_GB2312" w:hAnsi="宋体" w:eastAsia="仿宋_GB2312" w:cs="Times New Roman"/>
          <w:sz w:val="24"/>
          <w:szCs w:val="24"/>
          <w:highlight w:val="none"/>
          <w:lang w:bidi="ar-SA"/>
        </w:rPr>
        <w:t>评标将在严格保密的情况下进行。</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25.2</w:t>
      </w:r>
      <w:r>
        <w:rPr>
          <w:rFonts w:hint="eastAsia" w:ascii="仿宋_GB2312" w:hAnsi="宋体" w:eastAsia="仿宋_GB2312" w:cs="Times New Roman"/>
          <w:sz w:val="24"/>
          <w:szCs w:val="24"/>
          <w:highlight w:val="none"/>
          <w:lang w:bidi="ar-SA"/>
        </w:rPr>
        <w:t>政府采购评审专家应当遵守评审工作纪律，不得泄露评审文件、评审情况和评审中获悉的商业秘密，评审专家应当独立评审。</w:t>
      </w:r>
    </w:p>
    <w:p>
      <w:pPr>
        <w:spacing w:line="400" w:lineRule="exact"/>
        <w:rPr>
          <w:rFonts w:ascii="仿宋_GB2312" w:hAnsi="宋体" w:eastAsia="仿宋_GB2312" w:cs="Times New Roman"/>
          <w:sz w:val="24"/>
          <w:szCs w:val="24"/>
          <w:highlight w:val="none"/>
          <w:lang w:bidi="ar-SA"/>
        </w:rPr>
      </w:pPr>
    </w:p>
    <w:p>
      <w:pPr>
        <w:pStyle w:val="3"/>
        <w:rPr>
          <w:highlight w:val="none"/>
          <w:lang w:bidi="ar-SA"/>
        </w:rPr>
      </w:pPr>
      <w:bookmarkStart w:id="28" w:name="_Toc75443017"/>
      <w:r>
        <w:rPr>
          <w:rFonts w:hint="eastAsia"/>
          <w:highlight w:val="none"/>
          <w:lang w:bidi="ar-SA"/>
        </w:rPr>
        <w:t>六确定中标</w:t>
      </w:r>
      <w:bookmarkEnd w:id="28"/>
    </w:p>
    <w:p>
      <w:pPr>
        <w:spacing w:line="400" w:lineRule="exact"/>
        <w:rPr>
          <w:rFonts w:ascii="仿宋_GB2312" w:hAnsi="宋体" w:eastAsia="仿宋_GB2312" w:cs="Times New Roman"/>
          <w:sz w:val="24"/>
          <w:szCs w:val="24"/>
          <w:highlight w:val="none"/>
          <w:lang w:bidi="ar-SA"/>
        </w:rPr>
      </w:pP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26.</w:t>
      </w:r>
      <w:r>
        <w:rPr>
          <w:rFonts w:hint="eastAsia" w:ascii="仿宋_GB2312" w:hAnsi="宋体" w:eastAsia="仿宋_GB2312" w:cs="Times New Roman"/>
          <w:b/>
          <w:bCs/>
          <w:sz w:val="24"/>
          <w:szCs w:val="24"/>
          <w:highlight w:val="none"/>
          <w:lang w:bidi="ar-SA"/>
        </w:rPr>
        <w:t>中标候选人的确定原则及标准</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除第</w:t>
      </w:r>
      <w:r>
        <w:rPr>
          <w:rFonts w:ascii="仿宋_GB2312" w:hAnsi="宋体" w:eastAsia="仿宋_GB2312" w:cs="Times New Roman"/>
          <w:sz w:val="24"/>
          <w:szCs w:val="24"/>
          <w:highlight w:val="none"/>
          <w:lang w:bidi="ar-SA"/>
        </w:rPr>
        <w:t>28</w:t>
      </w:r>
      <w:r>
        <w:rPr>
          <w:rFonts w:hint="eastAsia" w:ascii="仿宋_GB2312" w:hAnsi="宋体" w:eastAsia="仿宋_GB2312" w:cs="Times New Roman"/>
          <w:sz w:val="24"/>
          <w:szCs w:val="24"/>
          <w:highlight w:val="none"/>
          <w:lang w:bidi="ar-SA"/>
        </w:rPr>
        <w:t>条规定外，对实质上响应招标文件的投标人按下列方法进行排序，确定投标候选人：</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采用最低评标价法的，除了算术修正和落实政府采购政策需进行的价格扣除外，不对投标人的投标价格进行任何调整。评标结果按修正和扣除后的投标报价由低到高顺序排列。报价相同的处理方式详见招标文件第</w:t>
      </w:r>
      <w:r>
        <w:rPr>
          <w:rFonts w:ascii="仿宋_GB2312" w:hAnsi="宋体" w:eastAsia="仿宋_GB2312" w:cs="Times New Roman"/>
          <w:sz w:val="24"/>
          <w:szCs w:val="24"/>
          <w:highlight w:val="none"/>
          <w:lang w:bidi="ar-SA"/>
        </w:rPr>
        <w:t>6</w:t>
      </w:r>
      <w:r>
        <w:rPr>
          <w:rFonts w:hint="eastAsia" w:ascii="仿宋_GB2312" w:hAnsi="宋体" w:eastAsia="仿宋_GB2312" w:cs="Times New Roman"/>
          <w:sz w:val="24"/>
          <w:szCs w:val="24"/>
          <w:highlight w:val="none"/>
          <w:lang w:bidi="ar-SA"/>
        </w:rPr>
        <w:t>章。</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27.</w:t>
      </w:r>
      <w:r>
        <w:rPr>
          <w:rFonts w:hint="eastAsia" w:ascii="仿宋_GB2312" w:hAnsi="宋体" w:eastAsia="仿宋_GB2312" w:cs="Times New Roman"/>
          <w:b/>
          <w:bCs/>
          <w:sz w:val="24"/>
          <w:szCs w:val="24"/>
          <w:highlight w:val="none"/>
          <w:lang w:bidi="ar-SA"/>
        </w:rPr>
        <w:t>确定中标候选人和中标人</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评标委员会将根据评标标准，按</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中规定数量推荐中标候选人；或根据采购人的委托，直接确定中标人。</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28.</w:t>
      </w:r>
      <w:r>
        <w:rPr>
          <w:rFonts w:hint="eastAsia" w:ascii="仿宋_GB2312" w:hAnsi="宋体" w:eastAsia="仿宋_GB2312" w:cs="Times New Roman"/>
          <w:b/>
          <w:bCs/>
          <w:sz w:val="24"/>
          <w:szCs w:val="24"/>
          <w:highlight w:val="none"/>
          <w:lang w:bidi="ar-SA"/>
        </w:rPr>
        <w:t>采购任务取消</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因重大变故采购任务取消时，采购人有权拒绝任何投标人中标，且对受影响的投标人不承担任何责任。</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29.</w:t>
      </w:r>
      <w:r>
        <w:rPr>
          <w:rFonts w:hint="eastAsia" w:ascii="仿宋_GB2312" w:hAnsi="宋体" w:eastAsia="仿宋_GB2312" w:cs="Times New Roman"/>
          <w:b/>
          <w:bCs/>
          <w:sz w:val="24"/>
          <w:szCs w:val="24"/>
          <w:highlight w:val="none"/>
          <w:lang w:bidi="ar-SA"/>
        </w:rPr>
        <w:t>中标通知书和招标结果通知书</w:t>
      </w:r>
    </w:p>
    <w:p>
      <w:pPr>
        <w:keepNext w:val="0"/>
        <w:keepLines w:val="0"/>
        <w:widowControl/>
        <w:suppressLineNumbers w:val="0"/>
        <w:ind w:firstLine="480" w:firstLineChars="200"/>
        <w:jc w:val="left"/>
        <w:rPr>
          <w:rFonts w:hint="eastAsia" w:ascii="仿宋_GB2312" w:hAnsi="宋体" w:eastAsia="仿宋_GB2312" w:cs="Times New Roman"/>
          <w:color w:val="000000" w:themeColor="text1"/>
          <w:sz w:val="24"/>
          <w:szCs w:val="24"/>
          <w:highlight w:val="none"/>
          <w:lang w:bidi="ar-SA"/>
          <w14:textFill>
            <w14:solidFill>
              <w14:schemeClr w14:val="tx1"/>
            </w14:solidFill>
          </w14:textFill>
        </w:rPr>
      </w:pPr>
      <w:r>
        <w:rPr>
          <w:rFonts w:ascii="仿宋_GB2312" w:hAnsi="宋体" w:eastAsia="仿宋_GB2312" w:cs="Times New Roman"/>
          <w:color w:val="000000" w:themeColor="text1"/>
          <w:sz w:val="24"/>
          <w:szCs w:val="24"/>
          <w:highlight w:val="none"/>
          <w:lang w:bidi="ar-SA"/>
          <w14:textFill>
            <w14:solidFill>
              <w14:schemeClr w14:val="tx1"/>
            </w14:solidFill>
          </w14:textFill>
        </w:rPr>
        <w:t>29.1</w:t>
      </w:r>
      <w:r>
        <w:rPr>
          <w:rFonts w:hint="eastAsia" w:ascii="仿宋_GB2312" w:hAnsi="宋体" w:eastAsia="仿宋_GB2312" w:cs="Times New Roman"/>
          <w:color w:val="000000" w:themeColor="text1"/>
          <w:sz w:val="24"/>
          <w:szCs w:val="24"/>
          <w:highlight w:val="none"/>
          <w:lang w:bidi="ar-SA"/>
          <w14:textFill>
            <w14:solidFill>
              <w14:schemeClr w14:val="tx1"/>
            </w14:solidFill>
          </w14:textFill>
        </w:rPr>
        <w:t>在投标有效期内，中标人确定后，采购人或者采购代理机构应当自中标人确定之日起2个工作日内，在</w:t>
      </w:r>
      <w:r>
        <w:rPr>
          <w:rFonts w:hint="eastAsia" w:ascii="仿宋_GB2312" w:hAnsi="宋体" w:eastAsia="仿宋_GB2312" w:cs="Times New Roman"/>
          <w:color w:val="000000" w:themeColor="text1"/>
          <w:sz w:val="24"/>
          <w:szCs w:val="24"/>
          <w:highlight w:val="none"/>
          <w:lang w:eastAsia="zh-CN" w:bidi="ar-SA"/>
          <w14:textFill>
            <w14:solidFill>
              <w14:schemeClr w14:val="tx1"/>
            </w14:solidFill>
          </w14:textFill>
        </w:rPr>
        <w:t>《</w:t>
      </w:r>
      <w:r>
        <w:rPr>
          <w:rFonts w:hint="eastAsia" w:ascii="仿宋_GB2312" w:hAnsi="宋体" w:eastAsia="仿宋_GB2312" w:cs="Times New Roman"/>
          <w:color w:val="000000" w:themeColor="text1"/>
          <w:sz w:val="24"/>
          <w:szCs w:val="24"/>
          <w:highlight w:val="none"/>
          <w:lang w:val="en-US" w:eastAsia="zh-CN" w:bidi="ar-SA"/>
          <w14:textFill>
            <w14:solidFill>
              <w14:schemeClr w14:val="tx1"/>
            </w14:solidFill>
          </w14:textFill>
        </w:rPr>
        <w:t>中国</w:t>
      </w:r>
      <w:r>
        <w:rPr>
          <w:rFonts w:hint="eastAsia" w:ascii="仿宋_GB2312" w:hAnsi="宋体" w:eastAsia="仿宋_GB2312" w:cs="Times New Roman"/>
          <w:color w:val="000000" w:themeColor="text1"/>
          <w:sz w:val="24"/>
          <w:szCs w:val="24"/>
          <w:highlight w:val="none"/>
          <w:lang w:bidi="ar-SA"/>
          <w14:textFill>
            <w14:solidFill>
              <w14:schemeClr w14:val="tx1"/>
            </w14:solidFill>
          </w14:textFill>
        </w:rPr>
        <w:t>政府采购网</w:t>
      </w:r>
      <w:r>
        <w:rPr>
          <w:rFonts w:hint="eastAsia" w:ascii="仿宋_GB2312" w:hAnsi="宋体" w:eastAsia="仿宋_GB2312" w:cs="Times New Roman"/>
          <w:color w:val="000000" w:themeColor="text1"/>
          <w:sz w:val="24"/>
          <w:szCs w:val="24"/>
          <w:highlight w:val="none"/>
          <w:lang w:eastAsia="zh-CN" w:bidi="ar-SA"/>
          <w14:textFill>
            <w14:solidFill>
              <w14:schemeClr w14:val="tx1"/>
            </w14:solidFill>
          </w14:textFill>
        </w:rPr>
        <w:t>》、《</w:t>
      </w:r>
      <w:r>
        <w:rPr>
          <w:rFonts w:hint="eastAsia" w:ascii="仿宋_GB2312" w:hAnsi="宋体" w:eastAsia="仿宋_GB2312" w:cs="Times New Roman"/>
          <w:color w:val="000000" w:themeColor="text1"/>
          <w:sz w:val="24"/>
          <w:szCs w:val="24"/>
          <w:highlight w:val="none"/>
          <w:lang w:val="en-US" w:eastAsia="zh-CN" w:bidi="ar-SA"/>
          <w14:textFill>
            <w14:solidFill>
              <w14:schemeClr w14:val="tx1"/>
            </w14:solidFill>
          </w14:textFill>
        </w:rPr>
        <w:t>西藏自治区公共资源交易平台</w:t>
      </w:r>
      <w:r>
        <w:rPr>
          <w:rFonts w:hint="eastAsia" w:ascii="仿宋_GB2312" w:hAnsi="宋体" w:eastAsia="仿宋_GB2312" w:cs="Times New Roman"/>
          <w:color w:val="000000" w:themeColor="text1"/>
          <w:sz w:val="24"/>
          <w:szCs w:val="24"/>
          <w:highlight w:val="none"/>
          <w:lang w:eastAsia="zh-CN" w:bidi="ar-SA"/>
          <w14:textFill>
            <w14:solidFill>
              <w14:schemeClr w14:val="tx1"/>
            </w14:solidFill>
          </w14:textFill>
        </w:rPr>
        <w:t>》《西藏自治区交通运输厅》、</w:t>
      </w:r>
      <w:r>
        <w:rPr>
          <w:rFonts w:hint="eastAsia" w:ascii="仿宋_GB2312" w:hAnsi="宋体" w:eastAsia="仿宋_GB2312" w:cs="Times New Roman"/>
          <w:color w:val="000000" w:themeColor="text1"/>
          <w:sz w:val="24"/>
          <w:szCs w:val="24"/>
          <w:highlight w:val="none"/>
          <w:lang w:bidi="ar-SA"/>
          <w14:textFill>
            <w14:solidFill>
              <w14:schemeClr w14:val="tx1"/>
            </w14:solidFill>
          </w14:textFill>
        </w:rPr>
        <w:t>发布中标公告，同时以书面形式向中标人发出中标通知书。</w:t>
      </w:r>
    </w:p>
    <w:p>
      <w:pPr>
        <w:keepNext w:val="0"/>
        <w:keepLines w:val="0"/>
        <w:widowControl/>
        <w:suppressLineNumbers w:val="0"/>
        <w:ind w:firstLine="480" w:firstLineChars="200"/>
        <w:jc w:val="left"/>
        <w:rPr>
          <w:rFonts w:ascii="仿宋_GB2312" w:hAnsi="宋体" w:eastAsia="仿宋_GB2312" w:cs="Times New Roman"/>
          <w:color w:val="000000" w:themeColor="text1"/>
          <w:sz w:val="24"/>
          <w:szCs w:val="24"/>
          <w:highlight w:val="none"/>
          <w:lang w:bidi="ar-SA"/>
          <w14:textFill>
            <w14:solidFill>
              <w14:schemeClr w14:val="tx1"/>
            </w14:solidFill>
          </w14:textFill>
        </w:rPr>
      </w:pPr>
      <w:r>
        <w:rPr>
          <w:rFonts w:hint="eastAsia" w:ascii="仿宋_GB2312" w:hAnsi="宋体" w:eastAsia="仿宋_GB2312" w:cs="Times New Roman"/>
          <w:color w:val="000000" w:themeColor="text1"/>
          <w:sz w:val="24"/>
          <w:szCs w:val="24"/>
          <w:highlight w:val="none"/>
          <w:lang w:bidi="ar-SA"/>
          <w14:textFill>
            <w14:solidFill>
              <w14:schemeClr w14:val="tx1"/>
            </w14:solidFill>
          </w14:textFill>
        </w:rPr>
        <w:t>中标公告期限为1个工作日</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29.2</w:t>
      </w:r>
      <w:r>
        <w:rPr>
          <w:rFonts w:hint="eastAsia" w:ascii="仿宋_GB2312" w:hAnsi="宋体" w:eastAsia="仿宋_GB2312" w:cs="Times New Roman"/>
          <w:sz w:val="24"/>
          <w:szCs w:val="24"/>
          <w:highlight w:val="none"/>
          <w:lang w:bidi="ar-SA"/>
        </w:rPr>
        <w:t>中标通知书是合同的组成部分。</w:t>
      </w:r>
    </w:p>
    <w:p>
      <w:pPr>
        <w:spacing w:line="400" w:lineRule="exact"/>
        <w:ind w:firstLine="480" w:firstLineChars="200"/>
        <w:rPr>
          <w:rFonts w:hint="eastAsia"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29.3</w:t>
      </w:r>
      <w:r>
        <w:rPr>
          <w:rFonts w:hint="eastAsia" w:ascii="仿宋_GB2312" w:hAnsi="宋体" w:eastAsia="仿宋_GB2312" w:cs="Times New Roman"/>
          <w:sz w:val="24"/>
          <w:szCs w:val="24"/>
          <w:highlight w:val="none"/>
          <w:lang w:bidi="ar-SA"/>
        </w:rPr>
        <w:t>招标结果通知书和中标通知书同时发出。招标结果通知书中将告知未通过资格审查的投标人未通过的原因；采用综合评分法评审的，还将告知未中标人本人的评审得分和排序。</w:t>
      </w:r>
    </w:p>
    <w:p>
      <w:pPr>
        <w:spacing w:line="400" w:lineRule="exact"/>
        <w:ind w:firstLine="480" w:firstLineChars="200"/>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29.4中标单位在领取中标通知书时，需提供纸质版的投标文件（正本一份、副本二份）内容必须与</w:t>
      </w:r>
      <w:r>
        <w:rPr>
          <w:rFonts w:hint="eastAsia" w:ascii="仿宋_GB2312" w:hAnsi="宋体" w:eastAsia="仿宋_GB2312" w:cs="Times New Roman"/>
          <w:kern w:val="2"/>
          <w:sz w:val="24"/>
          <w:szCs w:val="24"/>
          <w:highlight w:val="none"/>
          <w:lang w:val="en-US" w:eastAsia="zh-CN" w:bidi="ar-SA"/>
        </w:rPr>
        <w:t>上传的电子标书内容一致。</w:t>
      </w:r>
      <w:r>
        <w:rPr>
          <w:rFonts w:hint="eastAsia" w:ascii="仿宋_GB2312" w:hAnsi="宋体" w:eastAsia="仿宋_GB2312" w:cs="Times New Roman"/>
          <w:sz w:val="24"/>
          <w:szCs w:val="24"/>
          <w:highlight w:val="none"/>
          <w:lang w:val="en-US" w:eastAsia="zh-CN" w:bidi="ar-SA"/>
        </w:rPr>
        <w:t xml:space="preserve">     </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30.</w:t>
      </w:r>
      <w:r>
        <w:rPr>
          <w:rFonts w:hint="eastAsia" w:ascii="仿宋_GB2312" w:hAnsi="宋体" w:eastAsia="仿宋_GB2312" w:cs="Times New Roman"/>
          <w:b/>
          <w:bCs/>
          <w:sz w:val="24"/>
          <w:szCs w:val="24"/>
          <w:highlight w:val="none"/>
          <w:lang w:bidi="ar-SA"/>
        </w:rPr>
        <w:t>签订合同</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30.1</w:t>
      </w:r>
      <w:r>
        <w:rPr>
          <w:rFonts w:hint="eastAsia" w:ascii="仿宋_GB2312" w:hAnsi="宋体" w:eastAsia="仿宋_GB2312" w:cs="Times New Roman"/>
          <w:sz w:val="24"/>
          <w:szCs w:val="24"/>
          <w:highlight w:val="none"/>
          <w:lang w:bidi="ar-SA"/>
        </w:rPr>
        <w:t>中标人应当自发出中标通知书之日起</w:t>
      </w:r>
      <w:r>
        <w:rPr>
          <w:rFonts w:ascii="仿宋_GB2312" w:hAnsi="宋体" w:eastAsia="仿宋_GB2312" w:cs="Times New Roman"/>
          <w:sz w:val="24"/>
          <w:szCs w:val="24"/>
          <w:highlight w:val="none"/>
          <w:lang w:bidi="ar-SA"/>
        </w:rPr>
        <w:t>30</w:t>
      </w:r>
      <w:r>
        <w:rPr>
          <w:rFonts w:hint="eastAsia" w:ascii="仿宋_GB2312" w:hAnsi="宋体" w:eastAsia="仿宋_GB2312" w:cs="Times New Roman"/>
          <w:sz w:val="24"/>
          <w:szCs w:val="24"/>
          <w:highlight w:val="none"/>
          <w:lang w:bidi="ar-SA"/>
        </w:rPr>
        <w:t>日内，与采购人签订合同。</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30.2</w:t>
      </w:r>
      <w:r>
        <w:rPr>
          <w:rFonts w:hint="eastAsia" w:ascii="仿宋_GB2312" w:hAnsi="宋体" w:eastAsia="仿宋_GB2312" w:cs="Times New Roman"/>
          <w:sz w:val="24"/>
          <w:szCs w:val="24"/>
          <w:highlight w:val="none"/>
          <w:lang w:bidi="ar-SA"/>
        </w:rPr>
        <w:t>招标文件、中标人的投标文件及其澄清文件等，均为签订合同的依据。</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30.3</w:t>
      </w:r>
      <w:r>
        <w:rPr>
          <w:rFonts w:hint="eastAsia" w:ascii="仿宋_GB2312" w:hAnsi="宋体" w:eastAsia="仿宋_GB2312" w:cs="Times New Roman"/>
          <w:sz w:val="24"/>
          <w:szCs w:val="24"/>
          <w:highlight w:val="none"/>
          <w:lang w:bidi="ar-SA"/>
        </w:rPr>
        <w:t>《政府采购法实施条例》第</w:t>
      </w:r>
      <w:r>
        <w:rPr>
          <w:rFonts w:ascii="仿宋_GB2312" w:hAnsi="宋体" w:eastAsia="仿宋_GB2312" w:cs="Times New Roman"/>
          <w:sz w:val="24"/>
          <w:szCs w:val="24"/>
          <w:highlight w:val="none"/>
          <w:lang w:bidi="ar-SA"/>
        </w:rPr>
        <w:t>49</w:t>
      </w:r>
      <w:r>
        <w:rPr>
          <w:rFonts w:hint="eastAsia" w:ascii="仿宋_GB2312" w:hAnsi="宋体" w:eastAsia="仿宋_GB2312" w:cs="Times New Roman"/>
          <w:sz w:val="24"/>
          <w:szCs w:val="24"/>
          <w:highlight w:val="none"/>
          <w:lang w:bidi="ar-SA"/>
        </w:rPr>
        <w:t>条，中标人拒绝与采购人签订合同的，采购人可以按照评审报告推荐的中标候选人名单排序，确定下一中标候选人为中标人，或依法重新开展政府采购活动。《政府采购法实施条例》第</w:t>
      </w:r>
      <w:r>
        <w:rPr>
          <w:rFonts w:ascii="仿宋_GB2312" w:hAnsi="宋体" w:eastAsia="仿宋_GB2312" w:cs="Times New Roman"/>
          <w:sz w:val="24"/>
          <w:szCs w:val="24"/>
          <w:highlight w:val="none"/>
          <w:lang w:bidi="ar-SA"/>
        </w:rPr>
        <w:t>72</w:t>
      </w:r>
      <w:r>
        <w:rPr>
          <w:rFonts w:hint="eastAsia" w:ascii="仿宋_GB2312" w:hAnsi="宋体" w:eastAsia="仿宋_GB2312" w:cs="Times New Roman"/>
          <w:sz w:val="24"/>
          <w:szCs w:val="24"/>
          <w:highlight w:val="none"/>
          <w:lang w:bidi="ar-SA"/>
        </w:rPr>
        <w:t>条规定，中标成交供应商无正当理由拒不与采购人签订政府采购合同的，将要被依法追究，并承担相应的法律责任。</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30.4</w:t>
      </w:r>
      <w:r>
        <w:rPr>
          <w:rFonts w:hint="eastAsia" w:ascii="仿宋_GB2312" w:hAnsi="宋体" w:eastAsia="仿宋_GB2312" w:cs="Times New Roman"/>
          <w:sz w:val="24"/>
          <w:szCs w:val="24"/>
          <w:highlight w:val="none"/>
          <w:lang w:bidi="ar-SA"/>
        </w:rPr>
        <w:t>当出现法规规定的中标无效或中标结果无效情形时，采购人可与排名下一位的中标候选人另行签订合同，或依法重新开展采购活动。</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31.</w:t>
      </w:r>
      <w:r>
        <w:rPr>
          <w:rFonts w:hint="eastAsia" w:ascii="仿宋_GB2312" w:hAnsi="宋体" w:eastAsia="仿宋_GB2312" w:cs="Times New Roman"/>
          <w:b/>
          <w:bCs/>
          <w:sz w:val="24"/>
          <w:szCs w:val="24"/>
          <w:highlight w:val="none"/>
          <w:lang w:bidi="ar-SA"/>
        </w:rPr>
        <w:t>履约保证金</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31.1</w:t>
      </w:r>
      <w:r>
        <w:rPr>
          <w:rFonts w:hint="eastAsia" w:ascii="仿宋_GB2312" w:hAnsi="宋体" w:eastAsia="仿宋_GB2312" w:cs="Times New Roman"/>
          <w:sz w:val="24"/>
          <w:szCs w:val="24"/>
          <w:highlight w:val="none"/>
          <w:lang w:bidi="ar-SA"/>
        </w:rPr>
        <w:t>中标人在收到中标通知书后在签订合同前按照采购人确定的数额及方式缴纳项目履约保证金政府采购合同金额</w:t>
      </w:r>
      <w:r>
        <w:rPr>
          <w:rFonts w:hint="eastAsia" w:ascii="仿宋_GB2312" w:hAnsi="宋体" w:eastAsia="仿宋_GB2312" w:cs="Times New Roman"/>
          <w:sz w:val="24"/>
          <w:szCs w:val="24"/>
          <w:highlight w:val="none"/>
          <w:lang w:val="en-US" w:eastAsia="zh-CN" w:bidi="ar-SA"/>
        </w:rPr>
        <w:t>5</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。供应商可以以支票、汇票、本票、保函等非现金形式缴纳或提交保证金。应当在采购合同中约定履约保证金退还的方式、时间、条件和不予退还的情形，明确逾期退还履约保证金的违约责任。</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32.</w:t>
      </w:r>
      <w:r>
        <w:rPr>
          <w:rFonts w:hint="eastAsia" w:ascii="仿宋_GB2312" w:hAnsi="宋体" w:eastAsia="仿宋_GB2312" w:cs="Times New Roman"/>
          <w:b/>
          <w:bCs/>
          <w:sz w:val="24"/>
          <w:szCs w:val="24"/>
          <w:highlight w:val="none"/>
          <w:lang w:bidi="ar-SA"/>
        </w:rPr>
        <w:t>中标服务费</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代理费用可以由中标、成交供应商支付，也可由采购人支付。由中标、成交供应商支付的，供应商报价应当包含代理费用。代理费用超过采购限额标准的，原则上由中标、成交供应商支付。</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代理机构应当在采购文件中明示代理费用收取方式及标准，随中标、成交结果一并公开本项目收费情况，包括具体收费标准及收费金额等。</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根据委托协议约定。</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33.</w:t>
      </w:r>
      <w:r>
        <w:rPr>
          <w:rFonts w:hint="eastAsia" w:ascii="仿宋_GB2312" w:hAnsi="宋体" w:eastAsia="仿宋_GB2312" w:cs="Times New Roman"/>
          <w:b/>
          <w:bCs/>
          <w:sz w:val="24"/>
          <w:szCs w:val="24"/>
          <w:highlight w:val="none"/>
          <w:lang w:bidi="ar-SA"/>
        </w:rPr>
        <w:t>廉洁自律规定</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33.1</w:t>
      </w:r>
      <w:r>
        <w:rPr>
          <w:rFonts w:hint="eastAsia" w:ascii="仿宋_GB2312" w:hAnsi="宋体" w:eastAsia="仿宋_GB2312" w:cs="Times New Roman"/>
          <w:sz w:val="24"/>
          <w:szCs w:val="24"/>
          <w:highlight w:val="none"/>
          <w:lang w:bidi="ar-SA"/>
        </w:rPr>
        <w:t>采购代理机构工作人员不得与采购人、供应商恶意串通操纵政府采购活动。</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33.2</w:t>
      </w:r>
      <w:r>
        <w:rPr>
          <w:rFonts w:hint="eastAsia" w:ascii="仿宋_GB2312" w:hAnsi="宋体" w:eastAsia="仿宋_GB2312" w:cs="Times New Roman"/>
          <w:sz w:val="24"/>
          <w:szCs w:val="24"/>
          <w:highlight w:val="none"/>
          <w:lang w:bidi="ar-SA"/>
        </w:rPr>
        <w:t>采购代理机构工作人员不得接受采购人或者供应商组织的宴请、旅游、娱乐，不得收受礼品、现金、有价证券等，不得向采购人或者供应商报销应当由个人承担的费用。</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33.3</w:t>
      </w:r>
      <w:r>
        <w:rPr>
          <w:rFonts w:hint="eastAsia" w:ascii="仿宋_GB2312" w:hAnsi="宋体" w:eastAsia="仿宋_GB2312" w:cs="Times New Roman"/>
          <w:sz w:val="24"/>
          <w:szCs w:val="24"/>
          <w:highlight w:val="none"/>
          <w:lang w:bidi="ar-SA"/>
        </w:rPr>
        <w:t>为强化采购代理机构内部监督机制，供应商可按</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中的监督电话和邮箱，反映采购代理机构的廉洁自律等问题。</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34.</w:t>
      </w:r>
      <w:r>
        <w:rPr>
          <w:rFonts w:hint="eastAsia" w:ascii="仿宋_GB2312" w:hAnsi="宋体" w:eastAsia="仿宋_GB2312" w:cs="Times New Roman"/>
          <w:b/>
          <w:bCs/>
          <w:sz w:val="24"/>
          <w:szCs w:val="24"/>
          <w:highlight w:val="none"/>
          <w:lang w:bidi="ar-SA"/>
        </w:rPr>
        <w:t>人员回避</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投标人认为采购人员及其相关人员有法律法规所列与其他供应商有利害关系的，可以向采购人或采购代理机构书面提出回避申请，并说明理由。</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35.</w:t>
      </w:r>
      <w:r>
        <w:rPr>
          <w:rFonts w:hint="eastAsia" w:ascii="仿宋_GB2312" w:hAnsi="宋体" w:eastAsia="仿宋_GB2312" w:cs="Times New Roman"/>
          <w:sz w:val="24"/>
          <w:szCs w:val="24"/>
          <w:highlight w:val="none"/>
          <w:lang w:bidi="ar-SA"/>
        </w:rPr>
        <w:t>质疑与接收</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35.1</w:t>
      </w:r>
      <w:r>
        <w:rPr>
          <w:rFonts w:hint="eastAsia" w:ascii="仿宋_GB2312" w:hAnsi="宋体" w:eastAsia="仿宋_GB2312" w:cs="Times New Roman"/>
          <w:sz w:val="24"/>
          <w:szCs w:val="24"/>
          <w:highlight w:val="none"/>
          <w:lang w:bidi="ar-SA"/>
        </w:rPr>
        <w:t>投标人认为招标文件、招标过程和中标结果使自己的权益受到损害的，可以根据《中华人民共和国政府采购法》、《中华人民共和国政府采购法实施条例》和《政府采购质疑和投诉办法》（财政部令第</w:t>
      </w:r>
      <w:r>
        <w:rPr>
          <w:rFonts w:ascii="仿宋_GB2312" w:hAnsi="宋体" w:eastAsia="仿宋_GB2312" w:cs="Times New Roman"/>
          <w:sz w:val="24"/>
          <w:szCs w:val="24"/>
          <w:highlight w:val="none"/>
          <w:lang w:bidi="ar-SA"/>
        </w:rPr>
        <w:t>94</w:t>
      </w:r>
      <w:r>
        <w:rPr>
          <w:rFonts w:hint="eastAsia" w:ascii="仿宋_GB2312" w:hAnsi="宋体" w:eastAsia="仿宋_GB2312" w:cs="Times New Roman"/>
          <w:sz w:val="24"/>
          <w:szCs w:val="24"/>
          <w:highlight w:val="none"/>
          <w:lang w:bidi="ar-SA"/>
        </w:rPr>
        <w:t>号）的有关规定，依法向采购人或其委托的采购代理机构提出质疑。</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35.2</w:t>
      </w:r>
      <w:r>
        <w:rPr>
          <w:rFonts w:hint="eastAsia" w:ascii="仿宋_GB2312" w:hAnsi="宋体" w:eastAsia="仿宋_GB2312" w:cs="Times New Roman"/>
          <w:sz w:val="24"/>
          <w:szCs w:val="24"/>
          <w:highlight w:val="none"/>
          <w:lang w:bidi="ar-SA"/>
        </w:rPr>
        <w:t>质疑供应商应按照财政部制定的《政府采购质疑函范本》格式（可从财政部官方网站下载）和《政府采购质疑和投诉办法》的要求，在法定质疑期内提出质疑，针对同一采购程序环节的质疑应一次性提出。</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超出法定质疑期的、重复提出的、分次提出的或内容、形式不符合《政府采购质疑和投诉办法》的，质疑供应商将依法承担不利后果。</w:t>
      </w:r>
    </w:p>
    <w:p>
      <w:pPr>
        <w:spacing w:line="400" w:lineRule="exact"/>
        <w:ind w:firstLine="480" w:firstLineChars="200"/>
        <w:rPr>
          <w:rFonts w:ascii="仿宋_GB2312" w:hAnsi="宋体" w:eastAsia="仿宋_GB2312" w:cs="Times New Roman"/>
          <w:strike/>
          <w:color w:val="FF0000"/>
          <w:sz w:val="24"/>
          <w:szCs w:val="24"/>
          <w:highlight w:val="none"/>
          <w:lang w:bidi="ar-SA"/>
        </w:rPr>
      </w:pPr>
      <w:r>
        <w:rPr>
          <w:rFonts w:ascii="仿宋_GB2312" w:hAnsi="宋体" w:eastAsia="仿宋_GB2312" w:cs="Times New Roman"/>
          <w:sz w:val="24"/>
          <w:szCs w:val="24"/>
          <w:highlight w:val="none"/>
          <w:lang w:bidi="ar-SA"/>
        </w:rPr>
        <w:t>35.3</w:t>
      </w:r>
      <w:r>
        <w:rPr>
          <w:rFonts w:hint="eastAsia" w:ascii="仿宋_GB2312" w:hAnsi="宋体" w:eastAsia="仿宋_GB2312" w:cs="Times New Roman"/>
          <w:sz w:val="24"/>
          <w:szCs w:val="24"/>
          <w:highlight w:val="none"/>
          <w:lang w:bidi="ar-SA"/>
        </w:rPr>
        <w:t>采购代理机构质疑函接收部门、联系电话和通讯地址</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bidi="ar-SA"/>
        </w:rPr>
        <w:t>见</w:t>
      </w:r>
      <w:r>
        <w:rPr>
          <w:rFonts w:hint="eastAsia" w:ascii="仿宋_GB2312" w:hAnsi="宋体" w:eastAsia="仿宋_GB2312" w:cs="Times New Roman"/>
          <w:sz w:val="24"/>
          <w:szCs w:val="24"/>
          <w:highlight w:val="none"/>
          <w:u w:val="single"/>
          <w:lang w:bidi="ar-SA"/>
        </w:rPr>
        <w:t>投标人须知资料表</w:t>
      </w:r>
      <w:r>
        <w:rPr>
          <w:rFonts w:hint="eastAsia" w:ascii="仿宋_GB2312" w:hAnsi="宋体" w:eastAsia="仿宋_GB2312" w:cs="Times New Roman"/>
          <w:sz w:val="24"/>
          <w:szCs w:val="24"/>
          <w:highlight w:val="none"/>
          <w:lang w:bidi="ar-SA"/>
        </w:rPr>
        <w:t>。</w:t>
      </w:r>
    </w:p>
    <w:p>
      <w:pPr>
        <w:spacing w:line="400" w:lineRule="exact"/>
        <w:rPr>
          <w:highlight w:val="none"/>
        </w:rPr>
      </w:pPr>
    </w:p>
    <w:p>
      <w:pPr>
        <w:pStyle w:val="2"/>
        <w:rPr>
          <w:highlight w:val="none"/>
        </w:rPr>
      </w:pPr>
      <w:r>
        <w:rPr>
          <w:highlight w:val="none"/>
        </w:rPr>
        <w:br w:type="page"/>
      </w:r>
      <w:bookmarkStart w:id="29" w:name="_Toc75443018"/>
      <w:r>
        <w:rPr>
          <w:rFonts w:hint="eastAsia"/>
          <w:highlight w:val="none"/>
        </w:rPr>
        <w:t>第</w:t>
      </w:r>
      <w:r>
        <w:rPr>
          <w:rFonts w:ascii="宋体" w:hAnsi="宋体"/>
          <w:highlight w:val="none"/>
        </w:rPr>
        <w:t>2</w:t>
      </w:r>
      <w:r>
        <w:rPr>
          <w:rFonts w:hint="eastAsia"/>
          <w:highlight w:val="none"/>
        </w:rPr>
        <w:t>章投标文件格式</w:t>
      </w:r>
      <w:bookmarkEnd w:id="29"/>
    </w:p>
    <w:p>
      <w:pPr>
        <w:spacing w:line="400" w:lineRule="exact"/>
        <w:rPr>
          <w:highlight w:val="none"/>
        </w:rPr>
      </w:pPr>
    </w:p>
    <w:p>
      <w:pPr>
        <w:pStyle w:val="3"/>
        <w:rPr>
          <w:highlight w:val="none"/>
          <w:lang w:bidi="ar-SA"/>
        </w:rPr>
      </w:pPr>
      <w:bookmarkStart w:id="30" w:name="_Toc75443019"/>
      <w:r>
        <w:rPr>
          <w:rFonts w:hint="eastAsia"/>
          <w:highlight w:val="none"/>
          <w:lang w:bidi="ar-SA"/>
        </w:rPr>
        <w:t>第一部分开标一览表及资格证明文件</w:t>
      </w:r>
      <w:bookmarkEnd w:id="30"/>
    </w:p>
    <w:p>
      <w:pPr>
        <w:spacing w:line="400" w:lineRule="exact"/>
        <w:rPr>
          <w:highlight w:val="none"/>
        </w:rPr>
      </w:pP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开标一览表（见投标文件格式一）</w:t>
      </w:r>
      <w:r>
        <w:rPr>
          <w:rFonts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法人或者非法人组织的营业执照等证明文件复印件（须加盖本单位公章）或自然人的身份证明复印件</w:t>
      </w:r>
      <w:r>
        <w:rPr>
          <w:rFonts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法定代表人授权书（见投标文件格式二，自然人投标的无需提供）</w:t>
      </w:r>
      <w:r>
        <w:rPr>
          <w:rFonts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val="en-US" w:eastAsia="zh-CN" w:bidi="ar-SA"/>
        </w:rPr>
        <w:t>4</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具有良好的商业信誉和健全的财务会计制度的证明文件；</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val="en-US" w:eastAsia="zh-CN" w:bidi="ar-SA"/>
        </w:rPr>
        <w:t>5</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社会保障资金的缴纳记录</w:t>
      </w:r>
      <w:r>
        <w:rPr>
          <w:rFonts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val="en-US" w:eastAsia="zh-CN" w:bidi="ar-SA"/>
        </w:rPr>
        <w:t>6</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参加政府采购活动前</w:t>
      </w: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年内在经营活动中没有重大违法记录的书面声明</w:t>
      </w:r>
      <w:r>
        <w:rPr>
          <w:rFonts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val="en-US" w:eastAsia="zh-CN" w:bidi="ar-SA"/>
        </w:rPr>
        <w:t>7</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投标人须知资料表要求的其他资格证明文件</w:t>
      </w:r>
      <w:r>
        <w:rPr>
          <w:rFonts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val="en-US" w:eastAsia="zh-CN" w:bidi="ar-SA"/>
        </w:rPr>
        <w:t>8</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信用记录查询情况</w:t>
      </w:r>
      <w:r>
        <w:rPr>
          <w:rFonts w:ascii="仿宋_GB2312" w:hAnsi="宋体" w:eastAsia="仿宋_GB2312" w:cs="Times New Roman"/>
          <w:sz w:val="24"/>
          <w:szCs w:val="24"/>
          <w:highlight w:val="none"/>
          <w:lang w:bidi="ar-SA"/>
        </w:rPr>
        <w:t>;</w:t>
      </w:r>
    </w:p>
    <w:p>
      <w:pPr>
        <w:spacing w:line="400" w:lineRule="exact"/>
        <w:ind w:firstLine="480" w:firstLineChars="200"/>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9.</w:t>
      </w:r>
      <w:r>
        <w:rPr>
          <w:rFonts w:hint="eastAsia" w:ascii="仿宋_GB2312" w:hAnsi="宋体" w:eastAsia="仿宋_GB2312" w:cs="Times New Roman"/>
          <w:sz w:val="24"/>
          <w:szCs w:val="24"/>
          <w:highlight w:val="none"/>
          <w:lang w:bidi="ar-SA"/>
        </w:rPr>
        <w:t>保密承诺书</w:t>
      </w:r>
    </w:p>
    <w:p>
      <w:pPr>
        <w:pStyle w:val="2"/>
        <w:jc w:val="both"/>
      </w:pPr>
    </w:p>
    <w:p>
      <w:pPr>
        <w:widowControl/>
        <w:jc w:val="left"/>
        <w:rPr>
          <w:rFonts w:ascii="仿宋_GB2312" w:hAnsi="宋体" w:eastAsia="仿宋_GB2312" w:cs="Times New Roman"/>
          <w:b/>
          <w:bCs/>
          <w:sz w:val="24"/>
          <w:szCs w:val="24"/>
          <w:highlight w:val="none"/>
          <w:lang w:bidi="ar-SA"/>
        </w:rPr>
      </w:pPr>
    </w:p>
    <w:p>
      <w:pPr>
        <w:pStyle w:val="5"/>
        <w:rPr>
          <w:highlight w:val="none"/>
          <w:lang w:bidi="ar-SA"/>
        </w:rPr>
      </w:pPr>
      <w:r>
        <w:rPr>
          <w:highlight w:val="none"/>
          <w:lang w:bidi="ar-SA"/>
        </w:rPr>
        <w:br w:type="page"/>
      </w:r>
      <w:bookmarkStart w:id="31" w:name="_Toc75443020"/>
      <w:r>
        <w:rPr>
          <w:highlight w:val="none"/>
          <w:lang w:bidi="ar-SA"/>
        </w:rPr>
        <w:t>1.</w:t>
      </w:r>
      <w:r>
        <w:rPr>
          <w:rFonts w:hint="eastAsia"/>
          <w:highlight w:val="none"/>
          <w:lang w:bidi="ar-SA"/>
        </w:rPr>
        <w:t>开标一览表（投标文件格式一）</w:t>
      </w:r>
      <w:bookmarkEnd w:id="31"/>
    </w:p>
    <w:p>
      <w:pPr>
        <w:spacing w:line="400" w:lineRule="exact"/>
        <w:rPr>
          <w:rFonts w:ascii="仿宋_GB2312" w:hAnsi="宋体" w:eastAsia="仿宋_GB2312" w:cs="Times New Roman"/>
          <w:sz w:val="24"/>
          <w:szCs w:val="24"/>
          <w:highlight w:val="none"/>
          <w:lang w:bidi="ar-SA"/>
        </w:rPr>
      </w:pPr>
    </w:p>
    <w:p>
      <w:pPr>
        <w:spacing w:line="400" w:lineRule="exact"/>
        <w:jc w:val="center"/>
        <w:rPr>
          <w:rFonts w:ascii="仿宋_GB2312" w:hAnsi="宋体" w:eastAsia="仿宋_GB2312" w:cs="Times New Roman"/>
          <w:b/>
          <w:bCs/>
          <w:sz w:val="24"/>
          <w:szCs w:val="24"/>
          <w:highlight w:val="none"/>
          <w:lang w:bidi="ar-SA"/>
        </w:rPr>
      </w:pPr>
      <w:r>
        <w:rPr>
          <w:rFonts w:hint="eastAsia" w:ascii="仿宋_GB2312" w:hAnsi="宋体" w:eastAsia="仿宋_GB2312" w:cs="Times New Roman"/>
          <w:b/>
          <w:bCs/>
          <w:sz w:val="24"/>
          <w:szCs w:val="24"/>
          <w:highlight w:val="none"/>
          <w:lang w:bidi="ar-SA"/>
        </w:rPr>
        <w:t>开标一览表</w:t>
      </w:r>
    </w:p>
    <w:p>
      <w:pPr>
        <w:rPr>
          <w:highlight w:val="none"/>
        </w:rPr>
      </w:pPr>
    </w:p>
    <w:p>
      <w:pPr>
        <w:spacing w:line="400" w:lineRule="exact"/>
        <w:ind w:firstLine="480" w:firstLineChars="200"/>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bidi="ar-SA"/>
        </w:rPr>
        <w:t>项目编号：</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u w:val="none"/>
          <w:lang w:val="en-US" w:eastAsia="zh-CN" w:bidi="ar-SA"/>
        </w:rPr>
        <w:t xml:space="preserve">        </w:t>
      </w:r>
      <w:r>
        <w:rPr>
          <w:rFonts w:hint="eastAsia" w:ascii="仿宋_GB2312" w:hAnsi="宋体" w:eastAsia="仿宋_GB2312" w:cs="Times New Roman"/>
          <w:sz w:val="24"/>
          <w:szCs w:val="24"/>
          <w:highlight w:val="none"/>
          <w:lang w:bidi="ar-SA"/>
        </w:rPr>
        <w:t>单位：人民币元</w:t>
      </w:r>
      <w:r>
        <w:rPr>
          <w:rFonts w:hint="eastAsia" w:ascii="仿宋_GB2312" w:hAnsi="宋体" w:eastAsia="仿宋_GB2312" w:cs="Times New Roman"/>
          <w:sz w:val="24"/>
          <w:szCs w:val="24"/>
          <w:highlight w:val="none"/>
          <w:lang w:val="en-US" w:eastAsia="zh-CN" w:bidi="ar-SA"/>
        </w:rPr>
        <w:t xml:space="preserve">              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val="en-US" w:eastAsia="zh-CN" w:bidi="ar-SA"/>
        </w:rPr>
        <w:t>标段</w:t>
      </w:r>
    </w:p>
    <w:tbl>
      <w:tblPr>
        <w:tblStyle w:val="24"/>
        <w:tblpPr w:leftFromText="180" w:rightFromText="180" w:vertAnchor="text" w:horzAnchor="page" w:tblpX="1295" w:tblpY="508"/>
        <w:tblOverlap w:val="never"/>
        <w:tblW w:w="8665" w:type="dxa"/>
        <w:tblInd w:w="0" w:type="dxa"/>
        <w:tblLayout w:type="fixed"/>
        <w:tblCellMar>
          <w:top w:w="0" w:type="dxa"/>
          <w:left w:w="0" w:type="dxa"/>
          <w:bottom w:w="0" w:type="dxa"/>
          <w:right w:w="0" w:type="dxa"/>
        </w:tblCellMar>
      </w:tblPr>
      <w:tblGrid>
        <w:gridCol w:w="2443"/>
        <w:gridCol w:w="2025"/>
        <w:gridCol w:w="1547"/>
        <w:gridCol w:w="1257"/>
        <w:gridCol w:w="1393"/>
      </w:tblGrid>
      <w:tr>
        <w:tblPrEx>
          <w:tblCellMar>
            <w:top w:w="0" w:type="dxa"/>
            <w:left w:w="0" w:type="dxa"/>
            <w:bottom w:w="0" w:type="dxa"/>
            <w:right w:w="0" w:type="dxa"/>
          </w:tblCellMar>
        </w:tblPrEx>
        <w:trPr>
          <w:trHeight w:val="635" w:hRule="atLeast"/>
        </w:trPr>
        <w:tc>
          <w:tcPr>
            <w:tcW w:w="2443"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400" w:lineRule="exact"/>
              <w:ind w:right="-199" w:firstLine="720" w:firstLineChars="300"/>
              <w:jc w:val="both"/>
              <w:rPr>
                <w:rFonts w:ascii="仿宋_GB2312" w:hAnsi="宋体" w:eastAsia="仿宋_GB2312"/>
                <w:sz w:val="24"/>
                <w:highlight w:val="none"/>
              </w:rPr>
            </w:pPr>
            <w:r>
              <w:rPr>
                <w:rFonts w:hint="eastAsia" w:ascii="仿宋_GB2312" w:hAnsi="宋体" w:eastAsia="仿宋_GB2312"/>
                <w:sz w:val="24"/>
                <w:highlight w:val="none"/>
              </w:rPr>
              <w:t>项目名称</w:t>
            </w:r>
          </w:p>
        </w:tc>
        <w:tc>
          <w:tcPr>
            <w:tcW w:w="2025"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400" w:lineRule="exact"/>
              <w:ind w:firstLine="240" w:firstLineChars="100"/>
              <w:jc w:val="center"/>
              <w:rPr>
                <w:rFonts w:ascii="仿宋_GB2312" w:hAnsi="宋体" w:eastAsia="仿宋_GB2312"/>
                <w:sz w:val="24"/>
                <w:highlight w:val="none"/>
              </w:rPr>
            </w:pPr>
            <w:r>
              <w:rPr>
                <w:rFonts w:hint="eastAsia" w:ascii="仿宋_GB2312" w:hAnsi="宋体" w:eastAsia="仿宋_GB2312"/>
                <w:sz w:val="24"/>
                <w:highlight w:val="none"/>
              </w:rPr>
              <w:t>投标总价</w:t>
            </w:r>
          </w:p>
        </w:tc>
        <w:tc>
          <w:tcPr>
            <w:tcW w:w="1547" w:type="dxa"/>
            <w:tcBorders>
              <w:top w:val="single" w:color="auto" w:sz="8" w:space="0"/>
              <w:left w:val="single" w:color="auto" w:sz="4" w:space="0"/>
              <w:bottom w:val="single" w:color="auto" w:sz="8" w:space="0"/>
              <w:right w:val="single" w:color="auto" w:sz="4" w:space="0"/>
            </w:tcBorders>
            <w:vAlign w:val="center"/>
          </w:tcPr>
          <w:p>
            <w:pPr>
              <w:tabs>
                <w:tab w:val="left" w:pos="5580"/>
              </w:tabs>
              <w:spacing w:line="400" w:lineRule="exact"/>
              <w:jc w:val="center"/>
              <w:rPr>
                <w:rFonts w:ascii="仿宋_GB2312" w:hAnsi="宋体" w:eastAsia="仿宋_GB2312"/>
                <w:sz w:val="24"/>
                <w:highlight w:val="none"/>
              </w:rPr>
            </w:pPr>
            <w:r>
              <w:rPr>
                <w:rFonts w:hint="eastAsia" w:ascii="仿宋_GB2312" w:hAnsi="宋体" w:eastAsia="仿宋_GB2312"/>
                <w:sz w:val="24"/>
                <w:highlight w:val="none"/>
              </w:rPr>
              <w:t>交货期</w:t>
            </w:r>
          </w:p>
        </w:tc>
        <w:tc>
          <w:tcPr>
            <w:tcW w:w="1257" w:type="dxa"/>
            <w:tcBorders>
              <w:top w:val="single" w:color="auto" w:sz="8" w:space="0"/>
              <w:left w:val="single" w:color="auto" w:sz="4" w:space="0"/>
              <w:bottom w:val="single" w:color="auto" w:sz="8" w:space="0"/>
              <w:right w:val="single" w:color="auto" w:sz="4" w:space="0"/>
            </w:tcBorders>
            <w:vAlign w:val="center"/>
          </w:tcPr>
          <w:p>
            <w:pPr>
              <w:tabs>
                <w:tab w:val="left" w:pos="5580"/>
              </w:tabs>
              <w:spacing w:line="400" w:lineRule="exact"/>
              <w:jc w:val="center"/>
              <w:rPr>
                <w:rFonts w:ascii="仿宋_GB2312" w:hAnsi="宋体" w:eastAsia="仿宋_GB2312"/>
                <w:sz w:val="24"/>
                <w:highlight w:val="none"/>
              </w:rPr>
            </w:pPr>
            <w:r>
              <w:rPr>
                <w:rFonts w:hint="eastAsia" w:ascii="仿宋_GB2312" w:hAnsi="宋体" w:eastAsia="仿宋_GB2312"/>
                <w:sz w:val="24"/>
                <w:highlight w:val="none"/>
              </w:rPr>
              <w:t>交货地点</w:t>
            </w:r>
          </w:p>
        </w:tc>
        <w:tc>
          <w:tcPr>
            <w:tcW w:w="1393"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400" w:lineRule="exact"/>
              <w:jc w:val="center"/>
              <w:rPr>
                <w:rFonts w:ascii="仿宋_GB2312" w:hAnsi="宋体" w:eastAsia="仿宋_GB2312"/>
                <w:sz w:val="24"/>
                <w:highlight w:val="none"/>
              </w:rPr>
            </w:pPr>
            <w:r>
              <w:rPr>
                <w:rFonts w:hint="eastAsia" w:ascii="仿宋_GB2312" w:hAnsi="宋体" w:eastAsia="仿宋_GB2312"/>
                <w:sz w:val="24"/>
                <w:highlight w:val="none"/>
              </w:rPr>
              <w:t>备注</w:t>
            </w:r>
          </w:p>
        </w:tc>
      </w:tr>
      <w:tr>
        <w:tblPrEx>
          <w:tblCellMar>
            <w:top w:w="0" w:type="dxa"/>
            <w:left w:w="0" w:type="dxa"/>
            <w:bottom w:w="0" w:type="dxa"/>
            <w:right w:w="0" w:type="dxa"/>
          </w:tblCellMar>
        </w:tblPrEx>
        <w:trPr>
          <w:cantSplit/>
          <w:trHeight w:val="1609" w:hRule="atLeast"/>
        </w:trPr>
        <w:tc>
          <w:tcPr>
            <w:tcW w:w="2443"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400" w:lineRule="exact"/>
              <w:ind w:left="1079" w:leftChars="257" w:hanging="540"/>
              <w:jc w:val="center"/>
              <w:rPr>
                <w:rFonts w:ascii="仿宋_GB2312" w:hAnsi="宋体" w:eastAsia="仿宋_GB2312"/>
                <w:sz w:val="24"/>
                <w:highlight w:val="none"/>
              </w:rPr>
            </w:pPr>
          </w:p>
        </w:tc>
        <w:tc>
          <w:tcPr>
            <w:tcW w:w="2025"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大写：</w:t>
            </w:r>
          </w:p>
          <w:p>
            <w:pPr>
              <w:tabs>
                <w:tab w:val="left" w:pos="5580"/>
              </w:tabs>
              <w:spacing w:line="400" w:lineRule="exact"/>
              <w:jc w:val="left"/>
              <w:rPr>
                <w:rFonts w:ascii="仿宋_GB2312" w:hAnsi="宋体" w:eastAsia="仿宋_GB2312"/>
                <w:sz w:val="24"/>
                <w:highlight w:val="none"/>
              </w:rPr>
            </w:pPr>
            <w:r>
              <w:rPr>
                <w:rFonts w:hint="eastAsia" w:ascii="仿宋_GB2312" w:hAnsi="宋体" w:eastAsia="仿宋_GB2312"/>
                <w:sz w:val="24"/>
                <w:highlight w:val="none"/>
              </w:rPr>
              <w:t>小写：</w:t>
            </w:r>
          </w:p>
        </w:tc>
        <w:tc>
          <w:tcPr>
            <w:tcW w:w="1547"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400" w:lineRule="exact"/>
              <w:jc w:val="center"/>
              <w:rPr>
                <w:rFonts w:ascii="仿宋_GB2312" w:hAnsi="宋体" w:eastAsia="仿宋_GB2312"/>
                <w:sz w:val="24"/>
                <w:highlight w:val="none"/>
              </w:rPr>
            </w:pPr>
          </w:p>
        </w:tc>
        <w:tc>
          <w:tcPr>
            <w:tcW w:w="1257"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400" w:lineRule="exact"/>
              <w:jc w:val="center"/>
              <w:rPr>
                <w:rFonts w:ascii="仿宋_GB2312" w:hAnsi="宋体" w:eastAsia="仿宋_GB2312"/>
                <w:sz w:val="24"/>
                <w:highlight w:val="none"/>
              </w:rPr>
            </w:pPr>
          </w:p>
        </w:tc>
        <w:tc>
          <w:tcPr>
            <w:tcW w:w="1393"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400" w:lineRule="exact"/>
              <w:jc w:val="center"/>
              <w:rPr>
                <w:rFonts w:ascii="仿宋_GB2312" w:hAnsi="宋体" w:eastAsia="仿宋_GB2312"/>
                <w:sz w:val="24"/>
                <w:highlight w:val="none"/>
              </w:rPr>
            </w:pPr>
          </w:p>
        </w:tc>
      </w:tr>
    </w:tbl>
    <w:p>
      <w:pPr>
        <w:rPr>
          <w:highlight w:val="none"/>
        </w:rPr>
      </w:pPr>
    </w:p>
    <w:tbl>
      <w:tblPr>
        <w:tblStyle w:val="24"/>
        <w:tblW w:w="0" w:type="auto"/>
        <w:tblInd w:w="534" w:type="dxa"/>
        <w:tblLayout w:type="fixed"/>
        <w:tblCellMar>
          <w:top w:w="0" w:type="dxa"/>
          <w:left w:w="108" w:type="dxa"/>
          <w:bottom w:w="0" w:type="dxa"/>
          <w:right w:w="108" w:type="dxa"/>
        </w:tblCellMar>
      </w:tblPr>
      <w:tblGrid>
        <w:gridCol w:w="3416"/>
        <w:gridCol w:w="236"/>
        <w:gridCol w:w="2737"/>
      </w:tblGrid>
      <w:tr>
        <w:tblPrEx>
          <w:tblCellMar>
            <w:top w:w="0" w:type="dxa"/>
            <w:left w:w="108" w:type="dxa"/>
            <w:bottom w:w="0" w:type="dxa"/>
            <w:right w:w="108" w:type="dxa"/>
          </w:tblCellMar>
        </w:tblPrEx>
        <w:trPr>
          <w:trHeight w:val="661" w:hRule="atLeast"/>
        </w:trPr>
        <w:tc>
          <w:tcPr>
            <w:tcW w:w="3416" w:type="dxa"/>
            <w:vAlign w:val="center"/>
          </w:tcPr>
          <w:p>
            <w:pPr>
              <w:jc w:val="distribute"/>
              <w:rPr>
                <w:rFonts w:ascii="仿宋_GB2312" w:hAnsi="宋体" w:eastAsia="仿宋_GB2312"/>
                <w:sz w:val="24"/>
                <w:highlight w:val="none"/>
              </w:rPr>
            </w:pPr>
            <w:r>
              <w:rPr>
                <w:rFonts w:hint="eastAsia" w:ascii="仿宋_GB2312" w:hAnsi="宋体" w:eastAsia="仿宋_GB2312"/>
                <w:sz w:val="24"/>
                <w:highlight w:val="none"/>
              </w:rPr>
              <w:t>投标人名称（单位盖章）</w:t>
            </w:r>
          </w:p>
        </w:tc>
        <w:tc>
          <w:tcPr>
            <w:tcW w:w="236" w:type="dxa"/>
            <w:vAlign w:val="center"/>
          </w:tcPr>
          <w:p>
            <w:pPr>
              <w:rPr>
                <w:rFonts w:ascii="仿宋_GB2312" w:hAnsi="宋体" w:eastAsia="仿宋_GB2312"/>
                <w:sz w:val="24"/>
                <w:highlight w:val="none"/>
              </w:rPr>
            </w:pPr>
            <w:r>
              <w:rPr>
                <w:rFonts w:hint="eastAsia" w:ascii="仿宋_GB2312" w:hAnsi="宋体" w:eastAsia="仿宋_GB2312"/>
                <w:sz w:val="24"/>
                <w:highlight w:val="none"/>
              </w:rPr>
              <w:t>：</w:t>
            </w:r>
          </w:p>
        </w:tc>
        <w:tc>
          <w:tcPr>
            <w:tcW w:w="2737" w:type="dxa"/>
            <w:tcBorders>
              <w:bottom w:val="single" w:color="auto" w:sz="4" w:space="0"/>
            </w:tcBorders>
            <w:vAlign w:val="center"/>
          </w:tcPr>
          <w:p>
            <w:pPr>
              <w:rPr>
                <w:rFonts w:ascii="仿宋_GB2312" w:hAnsi="宋体" w:eastAsia="仿宋_GB2312"/>
                <w:sz w:val="24"/>
                <w:highlight w:val="none"/>
              </w:rPr>
            </w:pPr>
          </w:p>
        </w:tc>
      </w:tr>
      <w:tr>
        <w:tblPrEx>
          <w:tblCellMar>
            <w:top w:w="0" w:type="dxa"/>
            <w:left w:w="108" w:type="dxa"/>
            <w:bottom w:w="0" w:type="dxa"/>
            <w:right w:w="108" w:type="dxa"/>
          </w:tblCellMar>
        </w:tblPrEx>
        <w:trPr>
          <w:trHeight w:val="661" w:hRule="atLeast"/>
        </w:trPr>
        <w:tc>
          <w:tcPr>
            <w:tcW w:w="3416" w:type="dxa"/>
            <w:vAlign w:val="center"/>
          </w:tcPr>
          <w:p>
            <w:pPr>
              <w:jc w:val="distribute"/>
              <w:rPr>
                <w:rFonts w:ascii="仿宋_GB2312" w:hAnsi="宋体" w:eastAsia="仿宋_GB2312"/>
                <w:sz w:val="24"/>
                <w:highlight w:val="none"/>
              </w:rPr>
            </w:pPr>
            <w:r>
              <w:rPr>
                <w:rFonts w:hint="eastAsia" w:ascii="仿宋_GB2312" w:hAnsi="宋体" w:eastAsia="仿宋_GB2312"/>
                <w:sz w:val="24"/>
                <w:highlight w:val="none"/>
              </w:rPr>
              <w:t>法定代表人或委托代理</w:t>
            </w:r>
            <w:r>
              <w:rPr>
                <w:rFonts w:ascii="仿宋_GB2312" w:hAnsi="宋体" w:eastAsia="仿宋_GB2312"/>
                <w:sz w:val="24"/>
                <w:highlight w:val="none"/>
              </w:rPr>
              <w:t>(</w:t>
            </w:r>
            <w:r>
              <w:rPr>
                <w:rFonts w:hint="eastAsia" w:ascii="仿宋_GB2312" w:hAnsi="宋体" w:eastAsia="仿宋_GB2312"/>
                <w:sz w:val="24"/>
                <w:highlight w:val="none"/>
              </w:rPr>
              <w:t>签字</w:t>
            </w:r>
            <w:r>
              <w:rPr>
                <w:rFonts w:ascii="仿宋_GB2312" w:hAnsi="宋体" w:eastAsia="仿宋_GB2312"/>
                <w:sz w:val="24"/>
                <w:highlight w:val="none"/>
              </w:rPr>
              <w:t>)</w:t>
            </w:r>
          </w:p>
        </w:tc>
        <w:tc>
          <w:tcPr>
            <w:tcW w:w="236" w:type="dxa"/>
            <w:vAlign w:val="center"/>
          </w:tcPr>
          <w:p>
            <w:pPr>
              <w:rPr>
                <w:rFonts w:ascii="仿宋_GB2312" w:hAnsi="宋体" w:eastAsia="仿宋_GB2312"/>
                <w:sz w:val="24"/>
                <w:highlight w:val="none"/>
              </w:rPr>
            </w:pPr>
            <w:r>
              <w:rPr>
                <w:rFonts w:hint="eastAsia" w:ascii="仿宋_GB2312" w:hAnsi="宋体" w:eastAsia="仿宋_GB2312"/>
                <w:sz w:val="24"/>
                <w:highlight w:val="none"/>
              </w:rPr>
              <w:t>：</w:t>
            </w:r>
          </w:p>
        </w:tc>
        <w:tc>
          <w:tcPr>
            <w:tcW w:w="2737" w:type="dxa"/>
            <w:tcBorders>
              <w:top w:val="single" w:color="auto" w:sz="4" w:space="0"/>
              <w:bottom w:val="single" w:color="auto" w:sz="4" w:space="0"/>
            </w:tcBorders>
            <w:vAlign w:val="center"/>
          </w:tcPr>
          <w:p>
            <w:pPr>
              <w:rPr>
                <w:rFonts w:ascii="仿宋_GB2312" w:hAnsi="宋体" w:eastAsia="仿宋_GB2312"/>
                <w:sz w:val="24"/>
                <w:highlight w:val="none"/>
              </w:rPr>
            </w:pPr>
          </w:p>
        </w:tc>
      </w:tr>
    </w:tbl>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注</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此表应按投标人须知的规定装订密封。</w:t>
      </w:r>
    </w:p>
    <w:p>
      <w:pPr>
        <w:spacing w:line="400" w:lineRule="exact"/>
        <w:ind w:firstLine="840" w:firstLineChars="35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此表中，每包的投标总价应和投标分项报价表的总价相一致。</w:t>
      </w:r>
    </w:p>
    <w:p>
      <w:pPr>
        <w:spacing w:line="400" w:lineRule="exact"/>
        <w:ind w:firstLine="840" w:firstLineChars="35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开标一览表报价总价以人民币元为单位。保留两位小数点。</w:t>
      </w:r>
    </w:p>
    <w:p>
      <w:pPr>
        <w:widowControl/>
        <w:jc w:val="left"/>
        <w:rPr>
          <w:rFonts w:ascii="仿宋_GB2312" w:hAnsi="宋体" w:eastAsia="仿宋_GB2312" w:cs="Times New Roman"/>
          <w:b/>
          <w:bCs/>
          <w:sz w:val="24"/>
          <w:szCs w:val="24"/>
          <w:highlight w:val="none"/>
          <w:lang w:bidi="ar-SA"/>
        </w:rPr>
      </w:pPr>
    </w:p>
    <w:p>
      <w:pPr>
        <w:widowControl/>
        <w:jc w:val="left"/>
        <w:rPr>
          <w:rFonts w:ascii="仿宋_GB2312" w:hAnsi="宋体" w:eastAsia="仿宋_GB2312" w:cs="Times New Roman"/>
          <w:b/>
          <w:bCs/>
          <w:sz w:val="24"/>
          <w:szCs w:val="24"/>
          <w:highlight w:val="none"/>
          <w:lang w:bidi="ar-SA"/>
        </w:rPr>
      </w:pPr>
    </w:p>
    <w:p>
      <w:pPr>
        <w:pStyle w:val="5"/>
        <w:rPr>
          <w:highlight w:val="none"/>
          <w:lang w:bidi="ar-SA"/>
        </w:rPr>
      </w:pPr>
      <w:r>
        <w:rPr>
          <w:highlight w:val="none"/>
          <w:lang w:bidi="ar-SA"/>
        </w:rPr>
        <w:br w:type="page"/>
      </w:r>
      <w:bookmarkStart w:id="32" w:name="_Toc75443021"/>
      <w:r>
        <w:rPr>
          <w:highlight w:val="none"/>
          <w:lang w:bidi="ar-SA"/>
        </w:rPr>
        <w:t>2.</w:t>
      </w:r>
      <w:r>
        <w:rPr>
          <w:rFonts w:hint="eastAsia"/>
          <w:highlight w:val="none"/>
          <w:lang w:bidi="ar-SA"/>
        </w:rPr>
        <w:t>法人或者非法人组织的营业执照等证明文件或自然人的身份证明</w:t>
      </w:r>
      <w:bookmarkEnd w:id="32"/>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说明：</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提供有效的营业执照等证明文件复印件，复印件上应加盖本单位公章。</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          2. </w:t>
      </w:r>
      <w:r>
        <w:rPr>
          <w:rFonts w:hint="eastAsia" w:ascii="仿宋_GB2312" w:hAnsi="宋体" w:eastAsia="仿宋_GB2312" w:cs="Times New Roman"/>
          <w:sz w:val="24"/>
          <w:szCs w:val="24"/>
          <w:highlight w:val="none"/>
          <w:lang w:bidi="ar-SA"/>
        </w:rPr>
        <w:t>投标人为自然人的，应提供身份证明的复印件。</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          3.</w:t>
      </w:r>
      <w:r>
        <w:rPr>
          <w:rFonts w:hint="eastAsia" w:ascii="仿宋_GB2312" w:hAnsi="宋体" w:eastAsia="仿宋_GB2312" w:cs="Times New Roman"/>
          <w:sz w:val="24"/>
          <w:szCs w:val="24"/>
          <w:highlight w:val="none"/>
          <w:lang w:bidi="ar-SA"/>
        </w:rPr>
        <w:t>联合体投标应提供联合体各方满足以上要求的证明文件。</w:t>
      </w:r>
    </w:p>
    <w:p>
      <w:pPr>
        <w:widowControl/>
        <w:jc w:val="left"/>
        <w:rPr>
          <w:rFonts w:ascii="仿宋_GB2312" w:hAnsi="宋体" w:eastAsia="仿宋_GB2312" w:cs="Times New Roman"/>
          <w:b/>
          <w:bCs/>
          <w:sz w:val="24"/>
          <w:szCs w:val="24"/>
          <w:highlight w:val="none"/>
          <w:lang w:bidi="ar-SA"/>
        </w:rPr>
      </w:pPr>
    </w:p>
    <w:p>
      <w:pPr>
        <w:pStyle w:val="5"/>
        <w:rPr>
          <w:highlight w:val="none"/>
          <w:lang w:bidi="ar-SA"/>
        </w:rPr>
      </w:pPr>
      <w:r>
        <w:rPr>
          <w:highlight w:val="none"/>
          <w:lang w:bidi="ar-SA"/>
        </w:rPr>
        <w:br w:type="page"/>
      </w:r>
      <w:bookmarkStart w:id="33" w:name="_Toc75443022"/>
      <w:r>
        <w:rPr>
          <w:highlight w:val="none"/>
          <w:lang w:bidi="ar-SA"/>
        </w:rPr>
        <w:t>3.</w:t>
      </w:r>
      <w:r>
        <w:rPr>
          <w:rFonts w:hint="eastAsia"/>
          <w:highlight w:val="none"/>
          <w:lang w:bidi="ar-SA"/>
        </w:rPr>
        <w:t>法定代表人授权委托书</w:t>
      </w:r>
      <w:r>
        <w:rPr>
          <w:highlight w:val="none"/>
          <w:lang w:bidi="ar-SA"/>
        </w:rPr>
        <w:t>(</w:t>
      </w:r>
      <w:r>
        <w:rPr>
          <w:rFonts w:hint="eastAsia"/>
          <w:highlight w:val="none"/>
          <w:lang w:bidi="ar-SA"/>
        </w:rPr>
        <w:t>投标文件格式二，自然人投标的无需提供</w:t>
      </w:r>
      <w:r>
        <w:rPr>
          <w:highlight w:val="none"/>
          <w:lang w:bidi="ar-SA"/>
        </w:rPr>
        <w:t>)</w:t>
      </w:r>
      <w:bookmarkEnd w:id="33"/>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i w:val="0"/>
          <w:iCs w:val="0"/>
          <w:sz w:val="24"/>
          <w:szCs w:val="24"/>
          <w:highlight w:val="none"/>
          <w:lang w:bidi="ar-SA"/>
        </w:rPr>
      </w:pPr>
      <w:r>
        <w:rPr>
          <w:rFonts w:hint="eastAsia" w:ascii="仿宋_GB2312" w:hAnsi="宋体" w:eastAsia="仿宋_GB2312" w:cs="Times New Roman"/>
          <w:sz w:val="24"/>
          <w:szCs w:val="24"/>
          <w:highlight w:val="none"/>
          <w:lang w:bidi="ar-SA"/>
        </w:rPr>
        <w:t>本授</w:t>
      </w:r>
      <w:r>
        <w:rPr>
          <w:rFonts w:hint="eastAsia" w:ascii="仿宋_GB2312" w:hAnsi="宋体" w:eastAsia="仿宋_GB2312" w:cs="Times New Roman"/>
          <w:i w:val="0"/>
          <w:iCs w:val="0"/>
          <w:sz w:val="24"/>
          <w:szCs w:val="24"/>
          <w:highlight w:val="none"/>
          <w:lang w:bidi="ar-SA"/>
        </w:rPr>
        <w:t>权书声明：注册于</w:t>
      </w:r>
      <w:r>
        <w:rPr>
          <w:rFonts w:hint="eastAsia" w:ascii="仿宋_GB2312" w:hAnsi="宋体" w:eastAsia="仿宋_GB2312" w:cs="Times New Roman"/>
          <w:i w:val="0"/>
          <w:iCs w:val="0"/>
          <w:sz w:val="24"/>
          <w:szCs w:val="24"/>
          <w:highlight w:val="none"/>
          <w:u w:val="single"/>
          <w:lang w:bidi="ar-SA"/>
        </w:rPr>
        <w:t>（国家或地区的名称）</w:t>
      </w:r>
      <w:r>
        <w:rPr>
          <w:rFonts w:hint="eastAsia" w:ascii="仿宋_GB2312" w:hAnsi="宋体" w:eastAsia="仿宋_GB2312" w:cs="Times New Roman"/>
          <w:i w:val="0"/>
          <w:iCs w:val="0"/>
          <w:sz w:val="24"/>
          <w:szCs w:val="24"/>
          <w:highlight w:val="none"/>
          <w:lang w:bidi="ar-SA"/>
        </w:rPr>
        <w:t>的</w:t>
      </w:r>
      <w:r>
        <w:rPr>
          <w:rFonts w:hint="eastAsia" w:ascii="仿宋_GB2312" w:hAnsi="宋体" w:eastAsia="仿宋_GB2312" w:cs="Times New Roman"/>
          <w:i w:val="0"/>
          <w:iCs w:val="0"/>
          <w:sz w:val="24"/>
          <w:szCs w:val="24"/>
          <w:highlight w:val="none"/>
          <w:u w:val="single"/>
          <w:lang w:bidi="ar-SA"/>
        </w:rPr>
        <w:t>（投标人）</w:t>
      </w:r>
      <w:r>
        <w:rPr>
          <w:rFonts w:hint="eastAsia" w:ascii="仿宋_GB2312" w:hAnsi="宋体" w:eastAsia="仿宋_GB2312" w:cs="Times New Roman"/>
          <w:i w:val="0"/>
          <w:iCs w:val="0"/>
          <w:sz w:val="24"/>
          <w:szCs w:val="24"/>
          <w:highlight w:val="none"/>
          <w:lang w:bidi="ar-SA"/>
        </w:rPr>
        <w:t>的</w:t>
      </w:r>
      <w:r>
        <w:rPr>
          <w:rFonts w:hint="eastAsia" w:ascii="仿宋_GB2312" w:hAnsi="宋体" w:eastAsia="仿宋_GB2312" w:cs="Times New Roman"/>
          <w:i w:val="0"/>
          <w:iCs w:val="0"/>
          <w:sz w:val="24"/>
          <w:szCs w:val="24"/>
          <w:highlight w:val="none"/>
          <w:u w:val="single"/>
          <w:lang w:bidi="ar-SA"/>
        </w:rPr>
        <w:t>（法人代表姓名、职务）</w:t>
      </w:r>
      <w:r>
        <w:rPr>
          <w:rFonts w:hint="eastAsia" w:ascii="仿宋_GB2312" w:hAnsi="宋体" w:eastAsia="仿宋_GB2312" w:cs="Times New Roman"/>
          <w:i w:val="0"/>
          <w:iCs w:val="0"/>
          <w:sz w:val="24"/>
          <w:szCs w:val="24"/>
          <w:highlight w:val="none"/>
          <w:lang w:bidi="ar-SA"/>
        </w:rPr>
        <w:t>代表</w:t>
      </w:r>
      <w:r>
        <w:rPr>
          <w:rFonts w:hint="eastAsia" w:ascii="仿宋_GB2312" w:hAnsi="宋体" w:eastAsia="仿宋_GB2312" w:cs="Times New Roman"/>
          <w:i w:val="0"/>
          <w:iCs w:val="0"/>
          <w:sz w:val="24"/>
          <w:szCs w:val="24"/>
          <w:highlight w:val="none"/>
          <w:u w:val="single"/>
          <w:lang w:bidi="ar-SA"/>
        </w:rPr>
        <w:t>（单位名称）</w:t>
      </w:r>
      <w:r>
        <w:rPr>
          <w:rFonts w:hint="eastAsia" w:ascii="仿宋_GB2312" w:hAnsi="宋体" w:eastAsia="仿宋_GB2312" w:cs="Times New Roman"/>
          <w:i w:val="0"/>
          <w:iCs w:val="0"/>
          <w:sz w:val="24"/>
          <w:szCs w:val="24"/>
          <w:highlight w:val="none"/>
          <w:lang w:bidi="ar-SA"/>
        </w:rPr>
        <w:t>授权的</w:t>
      </w:r>
      <w:r>
        <w:rPr>
          <w:rFonts w:hint="eastAsia" w:ascii="仿宋_GB2312" w:hAnsi="宋体" w:eastAsia="仿宋_GB2312" w:cs="Times New Roman"/>
          <w:i w:val="0"/>
          <w:iCs w:val="0"/>
          <w:sz w:val="24"/>
          <w:szCs w:val="24"/>
          <w:highlight w:val="none"/>
          <w:u w:val="single"/>
          <w:lang w:bidi="ar-SA"/>
        </w:rPr>
        <w:t>（被授权人的姓名、职务）</w:t>
      </w:r>
      <w:r>
        <w:rPr>
          <w:rFonts w:hint="eastAsia" w:ascii="仿宋_GB2312" w:hAnsi="宋体" w:eastAsia="仿宋_GB2312" w:cs="Times New Roman"/>
          <w:i w:val="0"/>
          <w:iCs w:val="0"/>
          <w:sz w:val="24"/>
          <w:szCs w:val="24"/>
          <w:highlight w:val="none"/>
          <w:lang w:bidi="ar-SA"/>
        </w:rPr>
        <w:t>为我单位的合法代理人，就</w:t>
      </w:r>
      <w:r>
        <w:rPr>
          <w:rFonts w:hint="eastAsia" w:ascii="仿宋_GB2312" w:hAnsi="宋体" w:eastAsia="仿宋_GB2312" w:cs="Times New Roman"/>
          <w:i w:val="0"/>
          <w:iCs w:val="0"/>
          <w:sz w:val="24"/>
          <w:szCs w:val="24"/>
          <w:highlight w:val="none"/>
          <w:u w:val="single"/>
          <w:lang w:bidi="ar-SA"/>
        </w:rPr>
        <w:t>（项目名称）</w:t>
      </w:r>
      <w:r>
        <w:rPr>
          <w:rFonts w:hint="eastAsia" w:ascii="仿宋_GB2312" w:hAnsi="宋体" w:eastAsia="仿宋_GB2312" w:cs="Times New Roman"/>
          <w:i w:val="0"/>
          <w:iCs w:val="0"/>
          <w:sz w:val="24"/>
          <w:szCs w:val="24"/>
          <w:highlight w:val="none"/>
          <w:lang w:bidi="ar-SA"/>
        </w:rPr>
        <w:t>的投标</w:t>
      </w:r>
      <w:r>
        <w:rPr>
          <w:rFonts w:hint="eastAsia" w:ascii="仿宋_GB2312" w:hAnsi="宋体" w:eastAsia="仿宋_GB2312" w:cs="Times New Roman"/>
          <w:sz w:val="24"/>
          <w:szCs w:val="24"/>
          <w:highlight w:val="none"/>
          <w:lang w:val="en-US" w:eastAsia="zh-CN" w:bidi="ar-SA"/>
        </w:rPr>
        <w:t xml:space="preserve"> 、第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val="en-US" w:eastAsia="zh-CN" w:bidi="ar-SA"/>
        </w:rPr>
        <w:t>标段</w:t>
      </w:r>
      <w:r>
        <w:rPr>
          <w:rFonts w:hint="eastAsia" w:ascii="仿宋_GB2312" w:hAnsi="宋体" w:eastAsia="仿宋_GB2312" w:cs="Times New Roman"/>
          <w:i w:val="0"/>
          <w:iCs w:val="0"/>
          <w:sz w:val="24"/>
          <w:szCs w:val="24"/>
          <w:highlight w:val="none"/>
          <w:lang w:bidi="ar-SA"/>
        </w:rPr>
        <w:t>，并以我单位名义处理一切与之有关的事务。　　</w:t>
      </w:r>
    </w:p>
    <w:p>
      <w:pPr>
        <w:spacing w:line="400" w:lineRule="exact"/>
        <w:ind w:firstLine="480" w:firstLineChars="200"/>
        <w:rPr>
          <w:rFonts w:ascii="仿宋_GB2312" w:hAnsi="宋体" w:eastAsia="仿宋_GB2312" w:cs="Times New Roman"/>
          <w:i w:val="0"/>
          <w:iCs w:val="0"/>
          <w:sz w:val="24"/>
          <w:szCs w:val="24"/>
          <w:highlight w:val="none"/>
          <w:lang w:bidi="ar-SA"/>
        </w:rPr>
      </w:pPr>
      <w:r>
        <w:rPr>
          <w:rFonts w:hint="eastAsia" w:ascii="仿宋_GB2312" w:hAnsi="宋体" w:eastAsia="仿宋_GB2312" w:cs="Times New Roman"/>
          <w:i w:val="0"/>
          <w:iCs w:val="0"/>
          <w:sz w:val="24"/>
          <w:szCs w:val="24"/>
          <w:highlight w:val="none"/>
          <w:lang w:bidi="ar-SA"/>
        </w:rPr>
        <w:t>本授权书于年月日签字生效</w:t>
      </w:r>
      <w:r>
        <w:rPr>
          <w:rFonts w:ascii="仿宋_GB2312" w:hAnsi="宋体" w:eastAsia="仿宋_GB2312" w:cs="Times New Roman"/>
          <w:i w:val="0"/>
          <w:iCs w:val="0"/>
          <w:sz w:val="24"/>
          <w:szCs w:val="24"/>
          <w:highlight w:val="none"/>
          <w:lang w:bidi="ar-SA"/>
        </w:rPr>
        <w:t>,</w:t>
      </w:r>
      <w:r>
        <w:rPr>
          <w:rFonts w:hint="eastAsia" w:ascii="仿宋_GB2312" w:hAnsi="宋体" w:eastAsia="仿宋_GB2312" w:cs="Times New Roman"/>
          <w:i w:val="0"/>
          <w:iCs w:val="0"/>
          <w:sz w:val="24"/>
          <w:szCs w:val="24"/>
          <w:highlight w:val="none"/>
          <w:lang w:bidi="ar-SA"/>
        </w:rPr>
        <w:t>特此声明。</w:t>
      </w:r>
    </w:p>
    <w:p>
      <w:pPr>
        <w:spacing w:line="400" w:lineRule="exact"/>
        <w:rPr>
          <w:rFonts w:ascii="仿宋_GB2312" w:hAnsi="宋体" w:eastAsia="仿宋_GB2312" w:cs="Times New Roman"/>
          <w:sz w:val="24"/>
          <w:szCs w:val="24"/>
          <w:highlight w:val="none"/>
          <w:lang w:bidi="ar-SA"/>
        </w:rPr>
      </w:pPr>
    </w:p>
    <w:tbl>
      <w:tblPr>
        <w:tblStyle w:val="24"/>
        <w:tblW w:w="0" w:type="auto"/>
        <w:tblInd w:w="285" w:type="dxa"/>
        <w:tblLayout w:type="fixed"/>
        <w:tblCellMar>
          <w:top w:w="0" w:type="dxa"/>
          <w:left w:w="108" w:type="dxa"/>
          <w:bottom w:w="0" w:type="dxa"/>
          <w:right w:w="108" w:type="dxa"/>
        </w:tblCellMar>
      </w:tblPr>
      <w:tblGrid>
        <w:gridCol w:w="2942"/>
        <w:gridCol w:w="427"/>
        <w:gridCol w:w="4394"/>
      </w:tblGrid>
      <w:tr>
        <w:tblPrEx>
          <w:tblCellMar>
            <w:top w:w="0" w:type="dxa"/>
            <w:left w:w="108" w:type="dxa"/>
            <w:bottom w:w="0" w:type="dxa"/>
            <w:right w:w="108" w:type="dxa"/>
          </w:tblCellMar>
        </w:tblPrEx>
        <w:trPr>
          <w:trHeight w:val="624" w:hRule="atLeast"/>
        </w:trPr>
        <w:tc>
          <w:tcPr>
            <w:tcW w:w="2942"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投标人（盖单位章）</w:t>
            </w:r>
          </w:p>
        </w:tc>
        <w:tc>
          <w:tcPr>
            <w:tcW w:w="427" w:type="dxa"/>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394" w:type="dxa"/>
            <w:tcBorders>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4" w:hRule="atLeast"/>
        </w:trPr>
        <w:tc>
          <w:tcPr>
            <w:tcW w:w="2942"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法定代表人（签字或签章）</w:t>
            </w:r>
          </w:p>
        </w:tc>
        <w:tc>
          <w:tcPr>
            <w:tcW w:w="427" w:type="dxa"/>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4" w:hRule="atLeast"/>
        </w:trPr>
        <w:tc>
          <w:tcPr>
            <w:tcW w:w="2942"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身份证号码</w:t>
            </w:r>
          </w:p>
        </w:tc>
        <w:tc>
          <w:tcPr>
            <w:tcW w:w="427" w:type="dxa"/>
          </w:tcPr>
          <w:p>
            <w:pPr>
              <w:rPr>
                <w:highlight w:val="none"/>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4" w:hRule="atLeast"/>
        </w:trPr>
        <w:tc>
          <w:tcPr>
            <w:tcW w:w="2942"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委托代理人</w:t>
            </w:r>
          </w:p>
        </w:tc>
        <w:tc>
          <w:tcPr>
            <w:tcW w:w="427" w:type="dxa"/>
          </w:tcPr>
          <w:p>
            <w:pPr>
              <w:rPr>
                <w:highlight w:val="none"/>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4" w:hRule="atLeast"/>
        </w:trPr>
        <w:tc>
          <w:tcPr>
            <w:tcW w:w="2942"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身份证号码</w:t>
            </w:r>
          </w:p>
        </w:tc>
        <w:tc>
          <w:tcPr>
            <w:tcW w:w="427" w:type="dxa"/>
          </w:tcPr>
          <w:p>
            <w:pPr>
              <w:rPr>
                <w:highlight w:val="none"/>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4" w:hRule="atLeast"/>
        </w:trPr>
        <w:tc>
          <w:tcPr>
            <w:tcW w:w="2942"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详细通讯地址</w:t>
            </w:r>
          </w:p>
        </w:tc>
        <w:tc>
          <w:tcPr>
            <w:tcW w:w="427" w:type="dxa"/>
          </w:tcPr>
          <w:p>
            <w:pPr>
              <w:rPr>
                <w:highlight w:val="none"/>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4" w:hRule="atLeast"/>
        </w:trPr>
        <w:tc>
          <w:tcPr>
            <w:tcW w:w="2942"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邮政编码</w:t>
            </w:r>
          </w:p>
        </w:tc>
        <w:tc>
          <w:tcPr>
            <w:tcW w:w="427" w:type="dxa"/>
          </w:tcPr>
          <w:p>
            <w:pPr>
              <w:rPr>
                <w:highlight w:val="none"/>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4" w:hRule="atLeast"/>
        </w:trPr>
        <w:tc>
          <w:tcPr>
            <w:tcW w:w="2942"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传真</w:t>
            </w:r>
          </w:p>
        </w:tc>
        <w:tc>
          <w:tcPr>
            <w:tcW w:w="427" w:type="dxa"/>
          </w:tcPr>
          <w:p>
            <w:pPr>
              <w:rPr>
                <w:highlight w:val="none"/>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4" w:hRule="atLeast"/>
        </w:trPr>
        <w:tc>
          <w:tcPr>
            <w:tcW w:w="2942"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电话</w:t>
            </w:r>
          </w:p>
        </w:tc>
        <w:tc>
          <w:tcPr>
            <w:tcW w:w="427" w:type="dxa"/>
          </w:tcPr>
          <w:p>
            <w:pPr>
              <w:rPr>
                <w:highlight w:val="none"/>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bl>
    <w:p>
      <w:pPr>
        <w:spacing w:line="400" w:lineRule="exact"/>
        <w:jc w:val="center"/>
        <w:rPr>
          <w:rFonts w:ascii="仿宋_GB2312" w:hAnsi="宋体" w:eastAsia="仿宋_GB2312" w:cs="Times New Roman"/>
          <w:b/>
          <w:bCs/>
          <w:sz w:val="24"/>
          <w:szCs w:val="24"/>
          <w:highlight w:val="none"/>
          <w:lang w:bidi="ar-SA"/>
        </w:rPr>
      </w:pPr>
    </w:p>
    <w:p>
      <w:pPr>
        <w:widowControl/>
        <w:jc w:val="left"/>
        <w:rPr>
          <w:rFonts w:ascii="仿宋_GB2312" w:hAnsi="宋体" w:eastAsia="仿宋_GB2312" w:cs="Times New Roman"/>
          <w:b/>
          <w:bCs/>
          <w:sz w:val="24"/>
          <w:szCs w:val="24"/>
          <w:highlight w:val="none"/>
          <w:lang w:bidi="ar-SA"/>
        </w:rPr>
      </w:pPr>
    </w:p>
    <w:p>
      <w:pPr>
        <w:pStyle w:val="5"/>
        <w:rPr>
          <w:highlight w:val="none"/>
          <w:lang w:bidi="ar-SA"/>
        </w:rPr>
      </w:pPr>
      <w:r>
        <w:rPr>
          <w:highlight w:val="none"/>
          <w:lang w:bidi="ar-SA"/>
        </w:rPr>
        <w:br w:type="page"/>
      </w:r>
      <w:bookmarkStart w:id="34" w:name="_Toc75443023"/>
      <w:r>
        <w:rPr>
          <w:highlight w:val="none"/>
          <w:lang w:bidi="ar-SA"/>
        </w:rPr>
        <w:t>4.</w:t>
      </w:r>
      <w:r>
        <w:rPr>
          <w:rFonts w:hint="eastAsia"/>
          <w:highlight w:val="none"/>
          <w:lang w:bidi="ar-SA"/>
        </w:rPr>
        <w:t>具有良好的商业信誉和健全的财务会计制度的证明文件</w:t>
      </w:r>
      <w:bookmarkEnd w:id="34"/>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说明：</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提供本单位</w:t>
      </w:r>
      <w:r>
        <w:rPr>
          <w:rFonts w:hint="eastAsia" w:ascii="仿宋_GB2312" w:hAnsi="宋体" w:eastAsia="仿宋_GB2312" w:cs="Times New Roman"/>
          <w:sz w:val="24"/>
          <w:szCs w:val="24"/>
          <w:highlight w:val="none"/>
          <w:lang w:val="en-US" w:eastAsia="zh-CN" w:bidi="ar-SA"/>
        </w:rPr>
        <w:t>近三</w:t>
      </w:r>
      <w:r>
        <w:rPr>
          <w:rFonts w:hint="eastAsia" w:ascii="仿宋_GB2312" w:hAnsi="宋体" w:eastAsia="仿宋_GB2312" w:cs="Times New Roman"/>
          <w:sz w:val="24"/>
          <w:szCs w:val="24"/>
          <w:highlight w:val="none"/>
          <w:lang w:bidi="ar-SA"/>
        </w:rPr>
        <w:t>年</w:t>
      </w:r>
      <w:r>
        <w:rPr>
          <w:rFonts w:hint="eastAsia" w:ascii="仿宋_GB2312" w:hAnsi="宋体" w:eastAsia="仿宋_GB2312" w:cs="Times New Roman"/>
          <w:sz w:val="24"/>
          <w:szCs w:val="24"/>
          <w:highlight w:val="none"/>
          <w:lang w:eastAsia="zh-CN" w:bidi="ar-SA"/>
        </w:rPr>
        <w:t>（</w:t>
      </w:r>
      <w:r>
        <w:rPr>
          <w:rFonts w:hint="eastAsia" w:ascii="仿宋_GB2312" w:hAnsi="宋体" w:eastAsia="仿宋_GB2312" w:cs="Times New Roman"/>
          <w:sz w:val="24"/>
          <w:szCs w:val="24"/>
          <w:highlight w:val="none"/>
          <w:lang w:val="en-US" w:eastAsia="zh-CN" w:bidi="ar-SA"/>
        </w:rPr>
        <w:t>2018-2020或2019-2021年度，若企业成立不足三年则提供成立以来的财务报表</w:t>
      </w:r>
      <w:r>
        <w:rPr>
          <w:rFonts w:hint="eastAsia" w:ascii="仿宋_GB2312" w:hAnsi="宋体" w:eastAsia="仿宋_GB2312" w:cs="Times New Roman"/>
          <w:sz w:val="24"/>
          <w:szCs w:val="24"/>
          <w:highlight w:val="none"/>
          <w:lang w:eastAsia="zh-CN" w:bidi="ar-SA"/>
        </w:rPr>
        <w:t>）</w:t>
      </w:r>
      <w:r>
        <w:rPr>
          <w:rFonts w:hint="eastAsia" w:ascii="仿宋_GB2312" w:hAnsi="宋体" w:eastAsia="仿宋_GB2312" w:cs="Times New Roman"/>
          <w:sz w:val="24"/>
          <w:szCs w:val="24"/>
          <w:highlight w:val="none"/>
          <w:lang w:bidi="ar-SA"/>
        </w:rPr>
        <w:t>经会计师事务所出具的审计报告复印件须加盖本单位公章。</w:t>
      </w:r>
    </w:p>
    <w:p>
      <w:pPr>
        <w:spacing w:line="400" w:lineRule="exact"/>
        <w:ind w:firstLine="1200" w:firstLineChars="5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spacing w:line="400" w:lineRule="exact"/>
        <w:ind w:firstLine="1200" w:firstLineChars="5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如果是联合体投标，联合体各方均需提供上述证明。</w:t>
      </w:r>
    </w:p>
    <w:p>
      <w:pPr>
        <w:widowControl/>
        <w:jc w:val="left"/>
        <w:rPr>
          <w:rFonts w:ascii="仿宋_GB2312" w:hAnsi="宋体" w:eastAsia="仿宋_GB2312" w:cs="Times New Roman"/>
          <w:sz w:val="24"/>
          <w:szCs w:val="24"/>
          <w:highlight w:val="none"/>
          <w:lang w:bidi="ar-SA"/>
        </w:rPr>
      </w:pPr>
    </w:p>
    <w:p>
      <w:pPr>
        <w:pStyle w:val="5"/>
        <w:rPr>
          <w:highlight w:val="none"/>
          <w:lang w:bidi="ar-SA"/>
        </w:rPr>
      </w:pPr>
      <w:r>
        <w:rPr>
          <w:highlight w:val="none"/>
          <w:lang w:bidi="ar-SA"/>
        </w:rPr>
        <w:br w:type="page"/>
      </w:r>
      <w:bookmarkStart w:id="35" w:name="_Toc75443024"/>
      <w:r>
        <w:rPr>
          <w:highlight w:val="none"/>
          <w:lang w:bidi="ar-SA"/>
        </w:rPr>
        <w:t>5.</w:t>
      </w:r>
      <w:r>
        <w:rPr>
          <w:rFonts w:hint="eastAsia"/>
          <w:highlight w:val="none"/>
          <w:lang w:bidi="ar-SA"/>
        </w:rPr>
        <w:t>社会保障资金的缴纳记录</w:t>
      </w:r>
      <w:bookmarkEnd w:id="35"/>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说明：</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按照投标人须知资料表中的规定提供复印件。</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          2.</w:t>
      </w:r>
      <w:r>
        <w:rPr>
          <w:rFonts w:hint="eastAsia" w:ascii="仿宋_GB2312" w:hAnsi="宋体" w:eastAsia="仿宋_GB2312" w:cs="Times New Roman"/>
          <w:sz w:val="24"/>
          <w:szCs w:val="24"/>
          <w:highlight w:val="none"/>
          <w:lang w:bidi="ar-SA"/>
        </w:rPr>
        <w:t>复印件上应加盖本单位章。</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          3.</w:t>
      </w:r>
      <w:r>
        <w:rPr>
          <w:rFonts w:hint="eastAsia" w:ascii="仿宋_GB2312" w:hAnsi="宋体" w:eastAsia="仿宋_GB2312" w:cs="Times New Roman"/>
          <w:sz w:val="24"/>
          <w:szCs w:val="24"/>
          <w:highlight w:val="none"/>
          <w:lang w:bidi="ar-SA"/>
        </w:rPr>
        <w:t>如果是联合体投标，联合体各方均需提供上述证明。</w:t>
      </w:r>
    </w:p>
    <w:p>
      <w:pPr>
        <w:widowControl/>
        <w:jc w:val="left"/>
        <w:rPr>
          <w:rFonts w:ascii="仿宋_GB2312" w:hAnsi="宋体" w:eastAsia="仿宋_GB2312" w:cs="Times New Roman"/>
          <w:b/>
          <w:bCs/>
          <w:sz w:val="24"/>
          <w:szCs w:val="24"/>
          <w:highlight w:val="none"/>
          <w:lang w:bidi="ar-SA"/>
        </w:rPr>
      </w:pPr>
    </w:p>
    <w:p>
      <w:pPr>
        <w:pStyle w:val="5"/>
        <w:rPr>
          <w:w w:val="90"/>
          <w:highlight w:val="none"/>
          <w:lang w:bidi="ar-SA"/>
        </w:rPr>
      </w:pPr>
      <w:r>
        <w:rPr>
          <w:w w:val="90"/>
          <w:highlight w:val="none"/>
          <w:lang w:bidi="ar-SA"/>
        </w:rPr>
        <w:br w:type="page"/>
      </w:r>
      <w:bookmarkStart w:id="36" w:name="_Toc75443025"/>
      <w:r>
        <w:rPr>
          <w:w w:val="90"/>
          <w:highlight w:val="none"/>
          <w:lang w:bidi="ar-SA"/>
        </w:rPr>
        <w:t>6.</w:t>
      </w:r>
      <w:r>
        <w:rPr>
          <w:rFonts w:hint="eastAsia"/>
          <w:w w:val="90"/>
          <w:highlight w:val="none"/>
          <w:lang w:bidi="ar-SA"/>
        </w:rPr>
        <w:t>参加政府采购活动前</w:t>
      </w:r>
      <w:r>
        <w:rPr>
          <w:w w:val="90"/>
          <w:highlight w:val="none"/>
          <w:lang w:bidi="ar-SA"/>
        </w:rPr>
        <w:t>3</w:t>
      </w:r>
      <w:r>
        <w:rPr>
          <w:rFonts w:hint="eastAsia"/>
          <w:w w:val="90"/>
          <w:highlight w:val="none"/>
          <w:lang w:bidi="ar-SA"/>
        </w:rPr>
        <w:t>年内在经营活动中没有重大违法记录的书面声明</w:t>
      </w:r>
      <w:bookmarkEnd w:id="36"/>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说明：</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投标人应按照相关法规规定如实作出说明。</w:t>
      </w:r>
    </w:p>
    <w:p>
      <w:pPr>
        <w:spacing w:line="400" w:lineRule="exact"/>
        <w:ind w:firstLine="1200" w:firstLineChars="5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．按照招标文件的规定加盖单位章（自然人投标的无需盖章，需要签字）。</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          3.</w:t>
      </w:r>
      <w:r>
        <w:rPr>
          <w:rFonts w:hint="eastAsia" w:ascii="仿宋_GB2312" w:hAnsi="宋体" w:eastAsia="仿宋_GB2312" w:cs="Times New Roman"/>
          <w:sz w:val="24"/>
          <w:szCs w:val="24"/>
          <w:highlight w:val="none"/>
          <w:lang w:bidi="ar-SA"/>
        </w:rPr>
        <w:t>如果是联合体投标，联合体各方均需提供上述证明。</w:t>
      </w:r>
    </w:p>
    <w:p>
      <w:pPr>
        <w:widowControl/>
        <w:jc w:val="left"/>
        <w:rPr>
          <w:rFonts w:ascii="仿宋_GB2312" w:hAnsi="宋体" w:eastAsia="仿宋_GB2312" w:cs="Times New Roman"/>
          <w:b/>
          <w:bCs/>
          <w:sz w:val="24"/>
          <w:szCs w:val="24"/>
          <w:highlight w:val="none"/>
          <w:lang w:bidi="ar-SA"/>
        </w:rPr>
      </w:pPr>
    </w:p>
    <w:p>
      <w:pPr>
        <w:pStyle w:val="5"/>
        <w:rPr>
          <w:highlight w:val="none"/>
          <w:lang w:bidi="ar-SA"/>
        </w:rPr>
      </w:pPr>
      <w:r>
        <w:rPr>
          <w:highlight w:val="none"/>
          <w:lang w:bidi="ar-SA"/>
        </w:rPr>
        <w:br w:type="page"/>
      </w:r>
      <w:bookmarkStart w:id="37" w:name="_Toc75443026"/>
      <w:r>
        <w:rPr>
          <w:highlight w:val="none"/>
          <w:lang w:bidi="ar-SA"/>
        </w:rPr>
        <w:t>7.</w:t>
      </w:r>
      <w:r>
        <w:rPr>
          <w:rFonts w:hint="eastAsia"/>
          <w:highlight w:val="none"/>
          <w:lang w:bidi="ar-SA"/>
        </w:rPr>
        <w:t>投标人须知资料表要求的其他资格证明文件</w:t>
      </w:r>
      <w:bookmarkEnd w:id="37"/>
    </w:p>
    <w:p>
      <w:pPr>
        <w:spacing w:line="400" w:lineRule="exact"/>
        <w:rPr>
          <w:rFonts w:ascii="仿宋_GB2312" w:hAnsi="宋体" w:eastAsia="仿宋_GB2312" w:cs="Times New Roman"/>
          <w:sz w:val="24"/>
          <w:szCs w:val="24"/>
          <w:highlight w:val="none"/>
          <w:lang w:bidi="ar-SA"/>
        </w:rPr>
      </w:pPr>
    </w:p>
    <w:p>
      <w:pPr>
        <w:spacing w:line="400" w:lineRule="exact"/>
        <w:ind w:firstLine="480" w:firstLineChars="2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说明：</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应提供投标人须知资料表要求的其他资格证明文件。</w:t>
      </w:r>
    </w:p>
    <w:p>
      <w:pPr>
        <w:pStyle w:val="9"/>
        <w:ind w:firstLine="1200" w:firstLineChars="500"/>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2.投标保证金递交凭证及开户许可证。</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3</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复印件上应加盖本单位章（自然人投标的无需盖章，需要签字）。</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val="en-US" w:eastAsia="zh-CN" w:bidi="ar-SA"/>
        </w:rPr>
        <w:t>4</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如果是联合体投标，联合体各方需提供的满足招标文件要求的其他资格证明文件。</w:t>
      </w:r>
    </w:p>
    <w:p>
      <w:pPr>
        <w:pStyle w:val="9"/>
        <w:rPr>
          <w:rFonts w:hint="eastAsia"/>
        </w:rPr>
      </w:pPr>
    </w:p>
    <w:p>
      <w:pPr>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br w:type="page"/>
      </w:r>
    </w:p>
    <w:p>
      <w:pPr>
        <w:pStyle w:val="9"/>
        <w:numPr>
          <w:ilvl w:val="0"/>
          <w:numId w:val="2"/>
        </w:numPr>
        <w:jc w:val="center"/>
        <w:rPr>
          <w:rFonts w:hint="eastAsia" w:ascii="Cambria" w:hAnsi="Cambria" w:eastAsia="仿宋_GB2312" w:cs="Microsoft Himalaya"/>
          <w:b/>
          <w:bCs/>
          <w:kern w:val="2"/>
          <w:sz w:val="28"/>
          <w:szCs w:val="40"/>
          <w:highlight w:val="none"/>
          <w:lang w:val="en-US" w:eastAsia="zh-CN" w:bidi="ar-SA"/>
        </w:rPr>
      </w:pPr>
      <w:r>
        <w:rPr>
          <w:rFonts w:hint="eastAsia" w:ascii="Cambria" w:hAnsi="Cambria" w:eastAsia="仿宋_GB2312" w:cs="Microsoft Himalaya"/>
          <w:b/>
          <w:bCs/>
          <w:kern w:val="2"/>
          <w:sz w:val="28"/>
          <w:szCs w:val="40"/>
          <w:highlight w:val="none"/>
          <w:lang w:val="en-US" w:eastAsia="zh-CN" w:bidi="ar-SA"/>
        </w:rPr>
        <w:t>信用记录查询情况（格式自拟）</w:t>
      </w:r>
    </w:p>
    <w:p>
      <w:pPr>
        <w:rPr>
          <w:rFonts w:hint="eastAsia" w:ascii="Cambria" w:hAnsi="Cambria" w:eastAsia="仿宋_GB2312" w:cs="Microsoft Himalaya"/>
          <w:b/>
          <w:bCs/>
          <w:kern w:val="2"/>
          <w:sz w:val="28"/>
          <w:szCs w:val="40"/>
          <w:highlight w:val="none"/>
          <w:lang w:val="en-US" w:eastAsia="zh-CN" w:bidi="ar-SA"/>
        </w:rPr>
      </w:pPr>
      <w:r>
        <w:rPr>
          <w:rFonts w:hint="eastAsia" w:ascii="Cambria" w:hAnsi="Cambria" w:eastAsia="仿宋_GB2312" w:cs="Microsoft Himalaya"/>
          <w:b/>
          <w:bCs/>
          <w:kern w:val="2"/>
          <w:sz w:val="28"/>
          <w:szCs w:val="40"/>
          <w:highlight w:val="none"/>
          <w:lang w:val="en-US" w:eastAsia="zh-CN" w:bidi="ar-SA"/>
        </w:rPr>
        <w:br w:type="page"/>
      </w:r>
    </w:p>
    <w:p>
      <w:pPr>
        <w:pStyle w:val="9"/>
        <w:numPr>
          <w:ilvl w:val="0"/>
          <w:numId w:val="2"/>
        </w:numPr>
        <w:jc w:val="center"/>
        <w:rPr>
          <w:rFonts w:hint="eastAsia" w:ascii="Cambria" w:hAnsi="Cambria" w:eastAsia="仿宋_GB2312" w:cs="Microsoft Himalaya"/>
          <w:b/>
          <w:bCs/>
          <w:kern w:val="2"/>
          <w:sz w:val="28"/>
          <w:szCs w:val="40"/>
          <w:highlight w:val="none"/>
          <w:lang w:val="en-US" w:eastAsia="zh-CN" w:bidi="ar-SA"/>
        </w:rPr>
      </w:pPr>
      <w:r>
        <w:rPr>
          <w:rFonts w:hint="eastAsia" w:ascii="Cambria" w:hAnsi="Cambria" w:eastAsia="仿宋_GB2312" w:cs="Microsoft Himalaya"/>
          <w:b/>
          <w:bCs/>
          <w:kern w:val="2"/>
          <w:sz w:val="28"/>
          <w:szCs w:val="40"/>
          <w:highlight w:val="none"/>
          <w:lang w:val="en-US" w:eastAsia="zh-CN" w:bidi="ar-SA"/>
        </w:rPr>
        <w:t>保密承诺书</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根据《中华人民共和国保守国家秘密法》《国家秘密载体保密管理的规定》以及西藏自治区和交通运输部关于加强西藏和四省藏区保密工作要求，我单位在参与本项目招投标的过程中，熟悉有关保密知识和规章制度，知悉应当承担的保密义务和法律责任，并承诺严格执行以下规定：</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1.认真遵守国家、西藏自治区和区交通运输厅关于保密工作的法律法规、规章制度和各项要求，严格贯彻落实保密措施，自觉履行保密义务，对建设项目招投标过程中保密工作负有主体责任。</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2.切实增强保密工作意识，加强涉密工作人员的管理，不论涉密工作人员在岗或调离，均承担本单位涉密工作人员失泄密的责任。</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3.招标人发出的所有资料严格保管，不外传、不上网、不复印、不拍照、不留存，严禁扩大知悉范围及向无关人员透露等，杜绝丢失。</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4.编制投标文件时，严格按照保密工作要求，不在非涉密计算机和非涉密移动储存介质上处理、存储涉密文件或项目信息，不通过电子邮件、网络聊天工具、手机等发送涉密文件或项目信息，不在互联网及其他公共信息网络或者未采取保密措施的有线和无线通信中传递涉密文件或项目信息，自觉做到“涉密信息不上网，上网信息不涉密”。</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5.保证不公开发表、对外交流、转让和出售涉密文件或项目信息资料、涉密载体和内容。</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6.保证妥善存放、运输和管理招标文件、投标文件等相关资料，文件清样、废页和多余份数，严格按规定做好销毁工作，严禁个人留存，抄录、拍照和外传。</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7.如发现涉密文件或项目信息可能泄露或者已经泄露的情况，立即采取补救措施，并立刻向相关部门报告。</w:t>
      </w:r>
    </w:p>
    <w:p>
      <w:pPr>
        <w:spacing w:line="400" w:lineRule="exact"/>
        <w:ind w:firstLine="1200" w:firstLineChars="500"/>
        <w:rPr>
          <w:rFonts w:hint="eastAsia" w:ascii="仿宋_GB2312" w:hAnsi="宋体" w:eastAsia="仿宋_GB2312" w:cs="Times New Roman"/>
          <w:sz w:val="24"/>
          <w:szCs w:val="24"/>
          <w:highlight w:val="none"/>
          <w:lang w:bidi="ar-SA"/>
        </w:rPr>
      </w:pP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 xml:space="preserve">                        </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潜在投标人：（盖章）</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法定代表人或其授权代理人：（签字）</w:t>
      </w:r>
    </w:p>
    <w:p>
      <w:pPr>
        <w:spacing w:line="400" w:lineRule="exact"/>
        <w:ind w:firstLine="1200" w:firstLineChars="5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 xml:space="preserve">                           年    月    日</w:t>
      </w:r>
    </w:p>
    <w:p>
      <w:pPr>
        <w:spacing w:line="400" w:lineRule="exact"/>
        <w:ind w:firstLine="1200" w:firstLineChars="500"/>
        <w:rPr>
          <w:rFonts w:hint="eastAsia" w:ascii="仿宋_GB2312" w:hAnsi="宋体" w:eastAsia="仿宋_GB2312" w:cs="Times New Roman"/>
          <w:sz w:val="24"/>
          <w:szCs w:val="24"/>
          <w:highlight w:val="none"/>
          <w:lang w:val="en-US" w:eastAsia="zh-CN" w:bidi="ar-SA"/>
        </w:rPr>
      </w:pPr>
    </w:p>
    <w:p>
      <w:pPr>
        <w:pStyle w:val="3"/>
        <w:rPr>
          <w:sz w:val="24"/>
          <w:szCs w:val="24"/>
          <w:highlight w:val="none"/>
          <w:lang w:bidi="ar-SA"/>
        </w:rPr>
      </w:pPr>
      <w:r>
        <w:rPr>
          <w:highlight w:val="none"/>
          <w:lang w:bidi="ar-SA"/>
        </w:rPr>
        <w:br w:type="page"/>
      </w:r>
      <w:bookmarkStart w:id="38" w:name="_Toc75443027"/>
      <w:r>
        <w:rPr>
          <w:rFonts w:hint="eastAsia"/>
          <w:highlight w:val="none"/>
          <w:lang w:bidi="ar-SA"/>
        </w:rPr>
        <w:t>第二部分商务及技术文件</w:t>
      </w:r>
      <w:bookmarkEnd w:id="38"/>
    </w:p>
    <w:p>
      <w:pPr>
        <w:spacing w:line="400" w:lineRule="exact"/>
        <w:rPr>
          <w:rFonts w:ascii="仿宋_GB2312" w:hAnsi="宋体" w:eastAsia="仿宋_GB2312" w:cs="Times New Roman"/>
          <w:sz w:val="24"/>
          <w:szCs w:val="24"/>
          <w:highlight w:val="none"/>
          <w:lang w:bidi="ar-SA"/>
        </w:rPr>
      </w:pP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投标书（投标文件格式三）</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投标分项报价表（投标文件格式四）</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货物（服务）说明一览表（投标文件格式五）</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4.</w:t>
      </w:r>
      <w:r>
        <w:rPr>
          <w:rFonts w:hint="eastAsia" w:ascii="仿宋_GB2312" w:hAnsi="宋体" w:eastAsia="仿宋_GB2312" w:cs="Times New Roman"/>
          <w:sz w:val="24"/>
          <w:szCs w:val="24"/>
          <w:highlight w:val="none"/>
          <w:lang w:bidi="ar-SA"/>
        </w:rPr>
        <w:t>技术规格偏离表（投标文件格式六）</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5.</w:t>
      </w:r>
      <w:r>
        <w:rPr>
          <w:rFonts w:hint="eastAsia" w:ascii="仿宋_GB2312" w:hAnsi="宋体" w:eastAsia="仿宋_GB2312" w:cs="Times New Roman"/>
          <w:sz w:val="24"/>
          <w:szCs w:val="24"/>
          <w:highlight w:val="none"/>
          <w:lang w:bidi="ar-SA"/>
        </w:rPr>
        <w:t>商务条款偏离表（投标文件格式七）</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6.</w:t>
      </w:r>
      <w:r>
        <w:rPr>
          <w:rFonts w:hint="eastAsia" w:ascii="仿宋_GB2312" w:hAnsi="宋体" w:eastAsia="仿宋_GB2312" w:cs="Times New Roman"/>
          <w:sz w:val="24"/>
          <w:szCs w:val="24"/>
          <w:highlight w:val="none"/>
          <w:lang w:bidi="ar-SA"/>
        </w:rPr>
        <w:t>符合《政府采购促进中小企业发展管理办法》、《关于政府采购支持监狱企业发展有关问题的通知》和《三部门联合发布关于促进残疾人就业政府采购政策的通知》价格扣减条件的投标人须提交）</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6-1</w:t>
      </w:r>
      <w:r>
        <w:rPr>
          <w:rFonts w:hint="eastAsia" w:ascii="仿宋_GB2312" w:hAnsi="宋体" w:eastAsia="仿宋_GB2312" w:cs="Times New Roman"/>
          <w:sz w:val="24"/>
          <w:szCs w:val="24"/>
          <w:highlight w:val="none"/>
          <w:lang w:bidi="ar-SA"/>
        </w:rPr>
        <w:t>《中小企业声明函》（投标文件格式八）</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6-2</w:t>
      </w:r>
      <w:r>
        <w:rPr>
          <w:rFonts w:hint="eastAsia" w:ascii="仿宋_GB2312" w:hAnsi="宋体" w:eastAsia="仿宋_GB2312" w:cs="Times New Roman"/>
          <w:sz w:val="24"/>
          <w:szCs w:val="24"/>
          <w:highlight w:val="none"/>
          <w:lang w:bidi="ar-SA"/>
        </w:rPr>
        <w:t>《残疾人福利性单位声明函》（投标文件格式九）</w:t>
      </w:r>
    </w:p>
    <w:p>
      <w:pPr>
        <w:spacing w:line="400" w:lineRule="exact"/>
        <w:ind w:firstLine="480" w:firstLineChars="200"/>
        <w:rPr>
          <w:rFonts w:hint="eastAsia"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7.</w:t>
      </w:r>
      <w:r>
        <w:rPr>
          <w:rFonts w:hint="eastAsia" w:ascii="仿宋_GB2312" w:hAnsi="宋体" w:eastAsia="仿宋_GB2312" w:cs="Times New Roman"/>
          <w:sz w:val="24"/>
          <w:szCs w:val="24"/>
          <w:highlight w:val="none"/>
          <w:lang w:bidi="ar-SA"/>
        </w:rPr>
        <w:t>投标人关联单位的说明（格式自拟）</w:t>
      </w:r>
    </w:p>
    <w:p>
      <w:pPr>
        <w:pStyle w:val="101"/>
        <w:pageBreakBefore w:val="0"/>
        <w:kinsoku/>
        <w:wordWrap/>
        <w:overflowPunct/>
        <w:topLinePunct w:val="0"/>
        <w:autoSpaceDE/>
        <w:autoSpaceDN/>
        <w:bidi w:val="0"/>
        <w:adjustRightInd/>
        <w:snapToGrid/>
        <w:spacing w:line="413" w:lineRule="exact"/>
        <w:ind w:left="0" w:leftChars="0" w:firstLine="480" w:firstLineChars="200"/>
        <w:textAlignment w:val="auto"/>
        <w:rPr>
          <w:rFonts w:hint="eastAsia" w:ascii="仿宋_GB2312" w:hAnsi="宋体" w:eastAsia="仿宋_GB2312" w:cs="Times New Roman"/>
          <w:b w:val="0"/>
          <w:bCs w:val="0"/>
          <w:kern w:val="2"/>
          <w:sz w:val="24"/>
          <w:szCs w:val="24"/>
          <w:highlight w:val="none"/>
          <w:lang w:val="en-US" w:eastAsia="zh-CN" w:bidi="ar-SA"/>
        </w:rPr>
      </w:pPr>
      <w:r>
        <w:rPr>
          <w:rFonts w:hint="eastAsia" w:ascii="仿宋_GB2312" w:hAnsi="宋体" w:eastAsia="仿宋_GB2312" w:cs="Times New Roman"/>
          <w:b w:val="0"/>
          <w:bCs w:val="0"/>
          <w:kern w:val="2"/>
          <w:sz w:val="24"/>
          <w:szCs w:val="24"/>
          <w:highlight w:val="none"/>
          <w:lang w:val="en-US" w:eastAsia="zh-CN" w:bidi="ar-SA"/>
        </w:rPr>
        <w:t>8.企业助廉守法承诺书</w:t>
      </w:r>
    </w:p>
    <w:p>
      <w:pPr>
        <w:pStyle w:val="101"/>
        <w:pageBreakBefore w:val="0"/>
        <w:kinsoku/>
        <w:wordWrap/>
        <w:overflowPunct/>
        <w:topLinePunct w:val="0"/>
        <w:autoSpaceDE/>
        <w:autoSpaceDN/>
        <w:bidi w:val="0"/>
        <w:adjustRightInd/>
        <w:snapToGrid/>
        <w:spacing w:line="413" w:lineRule="exact"/>
        <w:ind w:left="0" w:leftChars="0" w:firstLine="480" w:firstLineChars="200"/>
        <w:textAlignment w:val="auto"/>
        <w:rPr>
          <w:rFonts w:hint="eastAsia" w:ascii="仿宋_GB2312" w:hAnsi="宋体" w:eastAsia="仿宋_GB2312" w:cs="Times New Roman"/>
          <w:b w:val="0"/>
          <w:bCs w:val="0"/>
          <w:kern w:val="2"/>
          <w:sz w:val="24"/>
          <w:szCs w:val="24"/>
          <w:highlight w:val="none"/>
          <w:lang w:val="zh-CN" w:eastAsia="zh-CN" w:bidi="ar-SA"/>
        </w:rPr>
      </w:pPr>
      <w:r>
        <w:rPr>
          <w:rFonts w:hint="eastAsia" w:ascii="仿宋_GB2312" w:hAnsi="宋体" w:eastAsia="仿宋_GB2312" w:cs="Times New Roman"/>
          <w:b w:val="0"/>
          <w:bCs w:val="0"/>
          <w:kern w:val="2"/>
          <w:sz w:val="24"/>
          <w:szCs w:val="24"/>
          <w:highlight w:val="none"/>
          <w:lang w:val="en-US" w:eastAsia="zh-CN" w:bidi="ar-SA"/>
        </w:rPr>
        <w:t>9.</w:t>
      </w:r>
      <w:r>
        <w:rPr>
          <w:rFonts w:hint="eastAsia" w:ascii="仿宋_GB2312" w:hAnsi="宋体" w:eastAsia="仿宋_GB2312" w:cs="Times New Roman"/>
          <w:b w:val="0"/>
          <w:bCs w:val="0"/>
          <w:kern w:val="2"/>
          <w:sz w:val="24"/>
          <w:szCs w:val="24"/>
          <w:highlight w:val="none"/>
          <w:lang w:val="zh-CN" w:eastAsia="zh-CN" w:bidi="ar-SA"/>
        </w:rPr>
        <w:t>疫情防控承诺书</w:t>
      </w:r>
    </w:p>
    <w:p>
      <w:pPr>
        <w:pStyle w:val="101"/>
        <w:pageBreakBefore w:val="0"/>
        <w:kinsoku/>
        <w:wordWrap/>
        <w:overflowPunct/>
        <w:topLinePunct w:val="0"/>
        <w:autoSpaceDE/>
        <w:autoSpaceDN/>
        <w:bidi w:val="0"/>
        <w:adjustRightInd/>
        <w:snapToGrid/>
        <w:spacing w:line="413" w:lineRule="exact"/>
        <w:ind w:left="0" w:leftChars="0" w:firstLine="480" w:firstLineChars="200"/>
        <w:textAlignment w:val="auto"/>
        <w:rPr>
          <w:rFonts w:hint="eastAsia" w:ascii="仿宋_GB2312" w:hAnsi="宋体" w:eastAsia="仿宋_GB2312" w:cs="Times New Roman"/>
          <w:b w:val="0"/>
          <w:bCs w:val="0"/>
          <w:kern w:val="2"/>
          <w:sz w:val="24"/>
          <w:szCs w:val="24"/>
          <w:highlight w:val="none"/>
          <w:lang w:val="zh-CN" w:eastAsia="zh-CN" w:bidi="ar-SA"/>
        </w:rPr>
      </w:pPr>
      <w:r>
        <w:rPr>
          <w:rFonts w:hint="eastAsia" w:ascii="仿宋_GB2312" w:hAnsi="宋体" w:eastAsia="仿宋_GB2312" w:cs="Times New Roman"/>
          <w:b w:val="0"/>
          <w:bCs w:val="0"/>
          <w:kern w:val="2"/>
          <w:sz w:val="24"/>
          <w:szCs w:val="24"/>
          <w:highlight w:val="none"/>
          <w:lang w:val="en-US" w:eastAsia="zh-CN" w:bidi="ar-SA"/>
        </w:rPr>
        <w:t>10.</w:t>
      </w:r>
      <w:r>
        <w:rPr>
          <w:rFonts w:hint="eastAsia" w:ascii="仿宋_GB2312" w:hAnsi="宋体" w:eastAsia="仿宋_GB2312" w:cs="Times New Roman"/>
          <w:b w:val="0"/>
          <w:bCs w:val="0"/>
          <w:kern w:val="2"/>
          <w:sz w:val="24"/>
          <w:szCs w:val="24"/>
          <w:highlight w:val="none"/>
          <w:lang w:val="zh-CN" w:eastAsia="zh-CN" w:bidi="ar-SA"/>
        </w:rPr>
        <w:t>承诺函</w:t>
      </w:r>
    </w:p>
    <w:p>
      <w:pPr>
        <w:pStyle w:val="101"/>
        <w:spacing w:line="413" w:lineRule="exact"/>
        <w:ind w:firstLine="480" w:firstLineChars="200"/>
        <w:rPr>
          <w:rFonts w:hint="eastAsia" w:ascii="仿宋_GB2312" w:hAnsi="宋体" w:eastAsia="仿宋_GB2312" w:cs="Times New Roman"/>
          <w:b w:val="0"/>
          <w:bCs w:val="0"/>
          <w:kern w:val="2"/>
          <w:sz w:val="24"/>
          <w:szCs w:val="24"/>
          <w:highlight w:val="none"/>
          <w:lang w:val="zh-CN" w:eastAsia="zh-CN" w:bidi="ar-SA"/>
        </w:rPr>
      </w:pPr>
      <w:r>
        <w:rPr>
          <w:rFonts w:hint="eastAsia" w:ascii="仿宋_GB2312" w:hAnsi="宋体" w:eastAsia="仿宋_GB2312" w:cs="Times New Roman"/>
          <w:b w:val="0"/>
          <w:bCs w:val="0"/>
          <w:kern w:val="2"/>
          <w:sz w:val="24"/>
          <w:szCs w:val="24"/>
          <w:highlight w:val="none"/>
          <w:lang w:val="en-US" w:eastAsia="zh-CN" w:bidi="ar-SA"/>
        </w:rPr>
        <w:t>11.</w:t>
      </w:r>
      <w:r>
        <w:rPr>
          <w:rFonts w:hint="eastAsia" w:ascii="仿宋_GB2312" w:hAnsi="宋体" w:eastAsia="仿宋_GB2312" w:cs="Times New Roman"/>
          <w:b w:val="0"/>
          <w:bCs w:val="0"/>
          <w:kern w:val="2"/>
          <w:sz w:val="24"/>
          <w:szCs w:val="24"/>
          <w:highlight w:val="none"/>
          <w:lang w:val="zh-CN" w:eastAsia="zh-CN" w:bidi="ar-SA"/>
        </w:rPr>
        <w:t>质量承诺书</w:t>
      </w:r>
    </w:p>
    <w:p>
      <w:pPr>
        <w:pStyle w:val="101"/>
        <w:spacing w:line="413" w:lineRule="exact"/>
        <w:ind w:firstLine="480" w:firstLineChars="200"/>
        <w:rPr>
          <w:rFonts w:hint="default" w:ascii="仿宋_GB2312" w:hAnsi="宋体" w:eastAsia="仿宋_GB2312" w:cs="Times New Roman"/>
          <w:b w:val="0"/>
          <w:bCs w:val="0"/>
          <w:kern w:val="2"/>
          <w:sz w:val="24"/>
          <w:szCs w:val="24"/>
          <w:highlight w:val="none"/>
          <w:lang w:val="en-US" w:eastAsia="zh-CN" w:bidi="ar-SA"/>
        </w:rPr>
      </w:pPr>
      <w:r>
        <w:rPr>
          <w:rFonts w:hint="eastAsia" w:ascii="仿宋_GB2312" w:hAnsi="宋体" w:eastAsia="仿宋_GB2312" w:cs="Times New Roman"/>
          <w:b w:val="0"/>
          <w:bCs w:val="0"/>
          <w:kern w:val="2"/>
          <w:sz w:val="24"/>
          <w:szCs w:val="24"/>
          <w:highlight w:val="none"/>
          <w:lang w:val="en-US" w:eastAsia="zh-CN" w:bidi="ar-SA"/>
        </w:rPr>
        <w:t>12履约承诺书</w:t>
      </w: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宋体" w:eastAsia="仿宋_GB2312" w:cs="Times New Roman"/>
          <w:b w:val="0"/>
          <w:bCs w:val="0"/>
          <w:kern w:val="2"/>
          <w:sz w:val="24"/>
          <w:szCs w:val="24"/>
          <w:highlight w:val="none"/>
          <w:lang w:val="en-US" w:eastAsia="zh-CN" w:bidi="ar-SA"/>
        </w:rPr>
      </w:pPr>
      <w:r>
        <w:rPr>
          <w:rFonts w:hint="eastAsia" w:ascii="仿宋_GB2312" w:hAnsi="宋体" w:eastAsia="仿宋_GB2312" w:cs="Times New Roman"/>
          <w:b w:val="0"/>
          <w:bCs w:val="0"/>
          <w:kern w:val="2"/>
          <w:sz w:val="24"/>
          <w:szCs w:val="24"/>
          <w:highlight w:val="none"/>
          <w:lang w:val="en-US" w:eastAsia="zh-CN" w:bidi="ar-SA"/>
        </w:rPr>
        <w:t>13.投标文件还应包括投标人须知第10条的所有技术文件</w:t>
      </w:r>
    </w:p>
    <w:p>
      <w:pPr>
        <w:spacing w:line="400" w:lineRule="exact"/>
        <w:ind w:firstLine="480" w:firstLineChars="200"/>
        <w:rPr>
          <w:rFonts w:hint="default" w:ascii="仿宋_GB2312" w:hAnsi="宋体" w:eastAsia="仿宋_GB2312" w:cs="Times New Roman"/>
          <w:b w:val="0"/>
          <w:bCs w:val="0"/>
          <w:kern w:val="2"/>
          <w:sz w:val="24"/>
          <w:szCs w:val="24"/>
          <w:highlight w:val="none"/>
          <w:lang w:val="en-US" w:eastAsia="zh-CN" w:bidi="ar-SA"/>
        </w:rPr>
      </w:pPr>
      <w:r>
        <w:rPr>
          <w:rFonts w:hint="eastAsia" w:ascii="仿宋_GB2312" w:hAnsi="宋体" w:eastAsia="仿宋_GB2312" w:cs="Times New Roman"/>
          <w:b w:val="0"/>
          <w:bCs w:val="0"/>
          <w:kern w:val="2"/>
          <w:sz w:val="24"/>
          <w:szCs w:val="24"/>
          <w:highlight w:val="none"/>
          <w:lang w:val="en-US" w:eastAsia="zh-CN" w:bidi="ar-SA"/>
        </w:rPr>
        <w:t>14.技术方案</w:t>
      </w:r>
    </w:p>
    <w:p>
      <w:pPr>
        <w:pageBreakBefore w:val="0"/>
        <w:widowControl/>
        <w:kinsoku/>
        <w:wordWrap/>
        <w:overflowPunct/>
        <w:topLinePunct w:val="0"/>
        <w:autoSpaceDE/>
        <w:autoSpaceDN/>
        <w:bidi w:val="0"/>
        <w:adjustRightInd/>
        <w:snapToGrid/>
        <w:ind w:left="0" w:leftChars="0" w:firstLine="480" w:firstLineChars="200"/>
        <w:jc w:val="left"/>
        <w:textAlignment w:val="auto"/>
        <w:rPr>
          <w:rFonts w:hint="eastAsia" w:ascii="仿宋_GB2312" w:hAnsi="宋体" w:eastAsia="仿宋_GB2312" w:cs="Times New Roman"/>
          <w:b w:val="0"/>
          <w:bCs w:val="0"/>
          <w:kern w:val="2"/>
          <w:sz w:val="24"/>
          <w:szCs w:val="24"/>
          <w:highlight w:val="none"/>
          <w:lang w:val="en-US" w:eastAsia="zh-CN" w:bidi="ar-SA"/>
        </w:rPr>
      </w:pPr>
    </w:p>
    <w:p>
      <w:pPr>
        <w:pStyle w:val="5"/>
        <w:pageBreakBefore w:val="0"/>
        <w:kinsoku/>
        <w:wordWrap/>
        <w:overflowPunct/>
        <w:topLinePunct w:val="0"/>
        <w:autoSpaceDE/>
        <w:autoSpaceDN/>
        <w:bidi w:val="0"/>
        <w:adjustRightInd/>
        <w:snapToGrid/>
        <w:ind w:firstLine="560" w:firstLineChars="200"/>
        <w:textAlignment w:val="auto"/>
        <w:rPr>
          <w:highlight w:val="none"/>
          <w:lang w:bidi="ar-SA"/>
        </w:rPr>
      </w:pPr>
      <w:r>
        <w:rPr>
          <w:highlight w:val="none"/>
          <w:lang w:bidi="ar-SA"/>
        </w:rPr>
        <w:br w:type="page"/>
      </w:r>
      <w:bookmarkStart w:id="39" w:name="_Toc75443028"/>
      <w:r>
        <w:rPr>
          <w:highlight w:val="none"/>
          <w:lang w:bidi="ar-SA"/>
        </w:rPr>
        <w:t>1.</w:t>
      </w:r>
      <w:r>
        <w:rPr>
          <w:rFonts w:hint="eastAsia"/>
          <w:highlight w:val="none"/>
          <w:lang w:bidi="ar-SA"/>
        </w:rPr>
        <w:t>投标书（投标文件格式三）</w:t>
      </w:r>
      <w:bookmarkEnd w:id="39"/>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（代理机构名称）：</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根据贵方</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项目名称</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项目</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项目编号</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的</w:t>
      </w:r>
      <w:r>
        <w:rPr>
          <w:rFonts w:hint="eastAsia" w:ascii="仿宋_GB2312" w:hAnsi="宋体" w:eastAsia="仿宋_GB2312" w:cs="Times New Roman"/>
          <w:sz w:val="24"/>
          <w:szCs w:val="24"/>
          <w:highlight w:val="none"/>
          <w:lang w:val="en-US" w:eastAsia="zh-CN" w:bidi="ar-SA"/>
        </w:rPr>
        <w:t>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val="en-US" w:eastAsia="zh-CN" w:bidi="ar-SA"/>
        </w:rPr>
        <w:t>标段</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姓名、职务</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经正式授权并代表投标人（投标人名称）提交下述文件正本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bidi="ar-SA"/>
        </w:rPr>
        <w:t>份、副本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bidi="ar-SA"/>
        </w:rPr>
        <w:t>份及电子文档</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bidi="ar-SA"/>
        </w:rPr>
        <w:t>份。</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据此，签字代表宣布同意如下：</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）附投标价格表中规定的应提供货物（服务）的投标总价详见开标一览表，其中由小型和微型企业制造产品的价格为</w:t>
      </w:r>
      <w:r>
        <w:rPr>
          <w:rFonts w:hint="eastAsia" w:ascii="仿宋_GB2312" w:hAnsi="宋体" w:eastAsia="仿宋_GB2312" w:cs="Times New Roman"/>
          <w:i w:val="0"/>
          <w:iCs w:val="0"/>
          <w:sz w:val="24"/>
          <w:szCs w:val="24"/>
          <w:highlight w:val="none"/>
          <w:u w:val="single"/>
          <w:lang w:bidi="ar-SA"/>
        </w:rPr>
        <w:t>（用文字和数字表示）</w:t>
      </w:r>
      <w:r>
        <w:rPr>
          <w:rFonts w:hint="eastAsia" w:ascii="仿宋_GB2312" w:hAnsi="宋体" w:eastAsia="仿宋_GB2312" w:cs="Times New Roman"/>
          <w:sz w:val="24"/>
          <w:szCs w:val="24"/>
          <w:highlight w:val="none"/>
          <w:lang w:bidi="ar-SA"/>
        </w:rPr>
        <w:t>，占投标总价</w:t>
      </w:r>
      <w:r>
        <w:rPr>
          <w:rFonts w:hint="eastAsia" w:ascii="仿宋_GB2312" w:hAnsi="宋体" w:eastAsia="仿宋_GB2312" w:cs="Times New Roman"/>
          <w:sz w:val="24"/>
          <w:szCs w:val="24"/>
          <w:highlight w:val="none"/>
          <w:u w:val="single"/>
          <w:lang w:val="en-US" w:eastAsia="zh-CN" w:bidi="ar-SA"/>
        </w:rPr>
        <w:t xml:space="preserve">   </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）本投标有效期为自投标截止之日起</w:t>
      </w:r>
      <w:r>
        <w:rPr>
          <w:rFonts w:hint="eastAsia" w:ascii="仿宋_GB2312" w:hAnsi="宋体" w:eastAsia="仿宋_GB2312" w:cs="Times New Roman"/>
          <w:sz w:val="24"/>
          <w:szCs w:val="24"/>
          <w:highlight w:val="none"/>
          <w:u w:val="single"/>
          <w:lang w:eastAsia="zh-CN" w:bidi="ar-SA"/>
        </w:rPr>
        <w:t xml:space="preserve"> </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lang w:bidi="ar-SA"/>
        </w:rPr>
        <w:t>日。</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bidi="ar-SA"/>
        </w:rPr>
        <w:t>）联合体中的大中型企业和其他自然人、法人或者非法人组织，与联合体中的小型、微型企业之间（存在、不存在）投资关系（如果是联合体的话）。</w:t>
      </w:r>
    </w:p>
    <w:p>
      <w:pPr>
        <w:spacing w:line="400" w:lineRule="exact"/>
        <w:ind w:firstLine="480" w:firstLineChars="200"/>
        <w:rPr>
          <w:rFonts w:ascii="仿宋_GB2312" w:hAnsi="宋体" w:eastAsia="仿宋_GB2312" w:cs="Times New Roman"/>
          <w:b/>
          <w:i/>
          <w:color w:val="92D050"/>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4</w:t>
      </w:r>
      <w:r>
        <w:rPr>
          <w:rFonts w:hint="eastAsia" w:ascii="仿宋_GB2312" w:hAnsi="宋体" w:eastAsia="仿宋_GB2312" w:cs="Times New Roman"/>
          <w:sz w:val="24"/>
          <w:szCs w:val="24"/>
          <w:highlight w:val="none"/>
          <w:lang w:bidi="ar-SA"/>
        </w:rPr>
        <w:t>）已详细审查全部招标文件，包括所有补充通知（如果有的话），完全理解并同意放弃对这方面有不明、误解和质疑的权力。</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5</w:t>
      </w:r>
      <w:r>
        <w:rPr>
          <w:rFonts w:hint="eastAsia" w:ascii="仿宋_GB2312" w:hAnsi="宋体" w:eastAsia="仿宋_GB2312" w:cs="Times New Roman"/>
          <w:sz w:val="24"/>
          <w:szCs w:val="24"/>
          <w:highlight w:val="none"/>
          <w:lang w:bidi="ar-SA"/>
        </w:rPr>
        <w:t>）在规定的开标时间后，遵守招标文件中有关保证金的规定。</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6</w:t>
      </w:r>
      <w:r>
        <w:rPr>
          <w:rFonts w:hint="eastAsia" w:ascii="仿宋_GB2312" w:hAnsi="宋体" w:eastAsia="仿宋_GB2312" w:cs="Times New Roman"/>
          <w:sz w:val="24"/>
          <w:szCs w:val="24"/>
          <w:highlight w:val="none"/>
          <w:lang w:bidi="ar-SA"/>
        </w:rPr>
        <w:t>）我方不是为本项目提供整体设计、规范编制或者项目管理、监理、检测等服务的供应商，我方不是采购代理机构的附属机构。</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7</w:t>
      </w:r>
      <w:r>
        <w:rPr>
          <w:rFonts w:hint="eastAsia" w:ascii="仿宋_GB2312" w:hAnsi="宋体" w:eastAsia="仿宋_GB2312" w:cs="Times New Roman"/>
          <w:sz w:val="24"/>
          <w:szCs w:val="24"/>
          <w:highlight w:val="none"/>
          <w:lang w:bidi="ar-SA"/>
        </w:rPr>
        <w:t>）按照贵方可能要求，提供与其投标有关的一切数据或资料，完全理解贵方不一定接受最低价的投标或收到的任何投标。</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8</w:t>
      </w:r>
      <w:r>
        <w:rPr>
          <w:rFonts w:hint="eastAsia" w:ascii="仿宋_GB2312" w:hAnsi="宋体" w:eastAsia="仿宋_GB2312" w:cs="Times New Roman"/>
          <w:sz w:val="24"/>
          <w:szCs w:val="24"/>
          <w:highlight w:val="none"/>
          <w:lang w:bidi="ar-SA"/>
        </w:rPr>
        <w:t>）按照招标文件的规定履行合同责任和义务。</w:t>
      </w:r>
    </w:p>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与本投标有关的一切正式往来信函请寄：</w:t>
      </w:r>
    </w:p>
    <w:tbl>
      <w:tblPr>
        <w:tblStyle w:val="24"/>
        <w:tblW w:w="6912" w:type="dxa"/>
        <w:tblInd w:w="700" w:type="dxa"/>
        <w:tblLayout w:type="fixed"/>
        <w:tblCellMar>
          <w:top w:w="0" w:type="dxa"/>
          <w:left w:w="108" w:type="dxa"/>
          <w:bottom w:w="0" w:type="dxa"/>
          <w:right w:w="108" w:type="dxa"/>
        </w:tblCellMar>
      </w:tblPr>
      <w:tblGrid>
        <w:gridCol w:w="2235"/>
        <w:gridCol w:w="283"/>
        <w:gridCol w:w="4394"/>
      </w:tblGrid>
      <w:tr>
        <w:tblPrEx>
          <w:tblCellMar>
            <w:top w:w="0" w:type="dxa"/>
            <w:left w:w="108" w:type="dxa"/>
            <w:bottom w:w="0" w:type="dxa"/>
            <w:right w:w="108" w:type="dxa"/>
          </w:tblCellMar>
        </w:tblPrEx>
        <w:trPr>
          <w:trHeight w:val="593" w:hRule="atLeast"/>
        </w:trPr>
        <w:tc>
          <w:tcPr>
            <w:tcW w:w="2235" w:type="dxa"/>
          </w:tcPr>
          <w:p>
            <w:pPr>
              <w:spacing w:line="400" w:lineRule="exact"/>
              <w:jc w:val="distribute"/>
              <w:rPr>
                <w:rFonts w:ascii="仿宋_GB2312" w:hAnsi="宋体" w:eastAsia="仿宋_GB2312"/>
                <w:sz w:val="24"/>
                <w:szCs w:val="34"/>
                <w:highlight w:val="none"/>
              </w:rPr>
            </w:pPr>
            <w:r>
              <w:rPr>
                <w:rFonts w:hint="eastAsia" w:ascii="仿宋_GB2312" w:hAnsi="宋体" w:eastAsia="仿宋_GB2312" w:cs="Times New Roman"/>
                <w:sz w:val="24"/>
                <w:szCs w:val="24"/>
                <w:highlight w:val="none"/>
                <w:lang w:bidi="ar-SA"/>
              </w:rPr>
              <w:t>电话</w:t>
            </w:r>
            <w:r>
              <w:rPr>
                <w:rFonts w:hint="eastAsia" w:ascii="仿宋_GB2312" w:hAnsi="宋体" w:eastAsia="仿宋_GB2312"/>
                <w:sz w:val="24"/>
                <w:szCs w:val="34"/>
                <w:highlight w:val="none"/>
              </w:rPr>
              <w:t>（传真）</w:t>
            </w:r>
          </w:p>
        </w:tc>
        <w:tc>
          <w:tcPr>
            <w:tcW w:w="283" w:type="dxa"/>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394" w:type="dxa"/>
            <w:tcBorders>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93" w:hRule="atLeast"/>
        </w:trPr>
        <w:tc>
          <w:tcPr>
            <w:tcW w:w="2235"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地址</w:t>
            </w:r>
          </w:p>
        </w:tc>
        <w:tc>
          <w:tcPr>
            <w:tcW w:w="283" w:type="dxa"/>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93" w:hRule="atLeast"/>
        </w:trPr>
        <w:tc>
          <w:tcPr>
            <w:tcW w:w="2235"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电子邮箱</w:t>
            </w:r>
          </w:p>
        </w:tc>
        <w:tc>
          <w:tcPr>
            <w:tcW w:w="283" w:type="dxa"/>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39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bl>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tbl>
      <w:tblPr>
        <w:tblStyle w:val="24"/>
        <w:tblW w:w="8122" w:type="dxa"/>
        <w:tblInd w:w="534" w:type="dxa"/>
        <w:tblLayout w:type="fixed"/>
        <w:tblCellMar>
          <w:top w:w="0" w:type="dxa"/>
          <w:left w:w="108" w:type="dxa"/>
          <w:bottom w:w="0" w:type="dxa"/>
          <w:right w:w="108" w:type="dxa"/>
        </w:tblCellMar>
      </w:tblPr>
      <w:tblGrid>
        <w:gridCol w:w="3176"/>
        <w:gridCol w:w="288"/>
        <w:gridCol w:w="4658"/>
      </w:tblGrid>
      <w:tr>
        <w:tblPrEx>
          <w:tblCellMar>
            <w:top w:w="0" w:type="dxa"/>
            <w:left w:w="108" w:type="dxa"/>
            <w:bottom w:w="0" w:type="dxa"/>
            <w:right w:w="108" w:type="dxa"/>
          </w:tblCellMar>
        </w:tblPrEx>
        <w:trPr>
          <w:trHeight w:val="620" w:hRule="atLeast"/>
        </w:trPr>
        <w:tc>
          <w:tcPr>
            <w:tcW w:w="3176"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法定代表人或托代理人签字</w:t>
            </w:r>
          </w:p>
        </w:tc>
        <w:tc>
          <w:tcPr>
            <w:tcW w:w="288" w:type="dxa"/>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658" w:type="dxa"/>
            <w:tcBorders>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0" w:hRule="atLeast"/>
        </w:trPr>
        <w:tc>
          <w:tcPr>
            <w:tcW w:w="3176"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投标人名称（全称）</w:t>
            </w:r>
          </w:p>
        </w:tc>
        <w:tc>
          <w:tcPr>
            <w:tcW w:w="288" w:type="dxa"/>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658"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93" w:hRule="atLeast"/>
        </w:trPr>
        <w:tc>
          <w:tcPr>
            <w:tcW w:w="3176"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投标人单位章</w:t>
            </w:r>
          </w:p>
        </w:tc>
        <w:tc>
          <w:tcPr>
            <w:tcW w:w="288" w:type="dxa"/>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658"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620" w:hRule="atLeast"/>
        </w:trPr>
        <w:tc>
          <w:tcPr>
            <w:tcW w:w="3176"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日期</w:t>
            </w:r>
          </w:p>
        </w:tc>
        <w:tc>
          <w:tcPr>
            <w:tcW w:w="288" w:type="dxa"/>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658"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bl>
    <w:p>
      <w:pPr>
        <w:pStyle w:val="5"/>
        <w:rPr>
          <w:highlight w:val="none"/>
          <w:lang w:bidi="ar-SA"/>
        </w:rPr>
      </w:pPr>
      <w:r>
        <w:rPr>
          <w:highlight w:val="none"/>
          <w:lang w:bidi="ar-SA"/>
        </w:rPr>
        <w:br w:type="page"/>
      </w:r>
      <w:bookmarkStart w:id="40" w:name="_Toc75443029"/>
      <w:r>
        <w:rPr>
          <w:highlight w:val="none"/>
          <w:lang w:bidi="ar-SA"/>
        </w:rPr>
        <w:t>2.</w:t>
      </w:r>
      <w:r>
        <w:rPr>
          <w:rFonts w:hint="eastAsia"/>
          <w:highlight w:val="none"/>
          <w:lang w:bidi="ar-SA"/>
        </w:rPr>
        <w:t>投标分项报价表（投标文件格式四）</w:t>
      </w:r>
      <w:bookmarkEnd w:id="40"/>
    </w:p>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bidi="ar-SA"/>
        </w:rPr>
        <w:t>项目名称</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val="en-US" w:eastAsia="zh-CN" w:bidi="ar-SA"/>
        </w:rPr>
        <w:t xml:space="preserve">    </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 xml:space="preserve">  项目</w:t>
      </w:r>
      <w:r>
        <w:rPr>
          <w:rFonts w:hint="eastAsia" w:ascii="仿宋_GB2312" w:hAnsi="宋体" w:eastAsia="仿宋_GB2312" w:cs="Times New Roman"/>
          <w:sz w:val="24"/>
          <w:szCs w:val="24"/>
          <w:highlight w:val="none"/>
          <w:lang w:bidi="ar-SA"/>
        </w:rPr>
        <w:t>编号</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 xml:space="preserve">  </w:t>
      </w:r>
      <w:r>
        <w:rPr>
          <w:rFonts w:hint="eastAsia" w:ascii="仿宋_GB2312" w:hAnsi="宋体" w:eastAsia="仿宋_GB2312" w:cs="Times New Roman"/>
          <w:sz w:val="24"/>
          <w:szCs w:val="24"/>
          <w:highlight w:val="none"/>
          <w:lang w:bidi="ar-SA"/>
        </w:rPr>
        <w:t>报价单位：元</w:t>
      </w:r>
      <w:r>
        <w:rPr>
          <w:rFonts w:hint="eastAsia" w:ascii="仿宋_GB2312" w:hAnsi="宋体" w:eastAsia="仿宋_GB2312" w:cs="Times New Roman"/>
          <w:sz w:val="24"/>
          <w:szCs w:val="24"/>
          <w:highlight w:val="none"/>
          <w:lang w:val="en-US" w:eastAsia="zh-CN" w:bidi="ar-SA"/>
        </w:rPr>
        <w:t xml:space="preserve">        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val="en-US" w:eastAsia="zh-CN" w:bidi="ar-SA"/>
        </w:rPr>
        <w:t>标段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642"/>
        <w:gridCol w:w="1601"/>
        <w:gridCol w:w="696"/>
        <w:gridCol w:w="642"/>
        <w:gridCol w:w="1627"/>
        <w:gridCol w:w="2186"/>
        <w:gridCol w:w="642"/>
        <w:gridCol w:w="642"/>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序号</w:t>
            </w:r>
          </w:p>
        </w:tc>
        <w:tc>
          <w:tcPr>
            <w:tcW w:w="0" w:type="auto"/>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名称</w:t>
            </w:r>
          </w:p>
        </w:tc>
        <w:tc>
          <w:tcPr>
            <w:tcW w:w="1600"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型号和规格（服务内容）</w:t>
            </w:r>
          </w:p>
        </w:tc>
        <w:tc>
          <w:tcPr>
            <w:tcW w:w="437" w:type="dxa"/>
            <w:vAlign w:val="center"/>
          </w:tcPr>
          <w:p>
            <w:pPr>
              <w:spacing w:line="400" w:lineRule="exact"/>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单位（）</w:t>
            </w:r>
          </w:p>
        </w:tc>
        <w:tc>
          <w:tcPr>
            <w:tcW w:w="0" w:type="auto"/>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数量</w:t>
            </w:r>
          </w:p>
        </w:tc>
        <w:tc>
          <w:tcPr>
            <w:tcW w:w="0" w:type="auto"/>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原产地（货物）</w:t>
            </w:r>
          </w:p>
        </w:tc>
        <w:tc>
          <w:tcPr>
            <w:tcW w:w="0" w:type="auto"/>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制造商（承接商）名称</w:t>
            </w:r>
          </w:p>
        </w:tc>
        <w:tc>
          <w:tcPr>
            <w:tcW w:w="0" w:type="auto"/>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单价</w:t>
            </w:r>
          </w:p>
        </w:tc>
        <w:tc>
          <w:tcPr>
            <w:tcW w:w="0" w:type="auto"/>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总价</w:t>
            </w:r>
          </w:p>
        </w:tc>
        <w:tc>
          <w:tcPr>
            <w:tcW w:w="0" w:type="auto"/>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1600" w:type="dxa"/>
            <w:vAlign w:val="center"/>
          </w:tcPr>
          <w:p>
            <w:pPr>
              <w:spacing w:line="400" w:lineRule="exact"/>
              <w:rPr>
                <w:rFonts w:ascii="仿宋_GB2312" w:hAnsi="宋体" w:eastAsia="仿宋_GB2312" w:cs="Times New Roman"/>
                <w:sz w:val="24"/>
                <w:szCs w:val="24"/>
                <w:highlight w:val="none"/>
                <w:lang w:bidi="ar-SA"/>
              </w:rPr>
            </w:pPr>
          </w:p>
        </w:tc>
        <w:tc>
          <w:tcPr>
            <w:tcW w:w="437" w:type="dxa"/>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1600" w:type="dxa"/>
            <w:vAlign w:val="center"/>
          </w:tcPr>
          <w:p>
            <w:pPr>
              <w:spacing w:line="400" w:lineRule="exact"/>
              <w:rPr>
                <w:rFonts w:ascii="仿宋_GB2312" w:hAnsi="宋体" w:eastAsia="仿宋_GB2312" w:cs="Times New Roman"/>
                <w:sz w:val="24"/>
                <w:szCs w:val="24"/>
                <w:highlight w:val="none"/>
                <w:lang w:bidi="ar-SA"/>
              </w:rPr>
            </w:pPr>
          </w:p>
        </w:tc>
        <w:tc>
          <w:tcPr>
            <w:tcW w:w="437" w:type="dxa"/>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1600" w:type="dxa"/>
            <w:vAlign w:val="center"/>
          </w:tcPr>
          <w:p>
            <w:pPr>
              <w:spacing w:line="400" w:lineRule="exact"/>
              <w:rPr>
                <w:rFonts w:ascii="仿宋_GB2312" w:hAnsi="宋体" w:eastAsia="仿宋_GB2312" w:cs="Times New Roman"/>
                <w:sz w:val="24"/>
                <w:szCs w:val="24"/>
                <w:highlight w:val="none"/>
                <w:lang w:bidi="ar-SA"/>
              </w:rPr>
            </w:pPr>
          </w:p>
        </w:tc>
        <w:tc>
          <w:tcPr>
            <w:tcW w:w="437" w:type="dxa"/>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1600" w:type="dxa"/>
            <w:vAlign w:val="center"/>
          </w:tcPr>
          <w:p>
            <w:pPr>
              <w:spacing w:line="400" w:lineRule="exact"/>
              <w:rPr>
                <w:rFonts w:ascii="仿宋_GB2312" w:hAnsi="宋体" w:eastAsia="仿宋_GB2312" w:cs="Times New Roman"/>
                <w:sz w:val="24"/>
                <w:szCs w:val="24"/>
                <w:highlight w:val="none"/>
                <w:lang w:bidi="ar-SA"/>
              </w:rPr>
            </w:pPr>
          </w:p>
        </w:tc>
        <w:tc>
          <w:tcPr>
            <w:tcW w:w="437" w:type="dxa"/>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1600" w:type="dxa"/>
            <w:vAlign w:val="center"/>
          </w:tcPr>
          <w:p>
            <w:pPr>
              <w:spacing w:line="400" w:lineRule="exact"/>
              <w:rPr>
                <w:rFonts w:ascii="仿宋_GB2312" w:hAnsi="宋体" w:eastAsia="仿宋_GB2312" w:cs="Times New Roman"/>
                <w:sz w:val="24"/>
                <w:szCs w:val="24"/>
                <w:highlight w:val="none"/>
                <w:lang w:bidi="ar-SA"/>
              </w:rPr>
            </w:pPr>
          </w:p>
        </w:tc>
        <w:tc>
          <w:tcPr>
            <w:tcW w:w="437" w:type="dxa"/>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1600" w:type="dxa"/>
            <w:vAlign w:val="center"/>
          </w:tcPr>
          <w:p>
            <w:pPr>
              <w:spacing w:line="400" w:lineRule="exact"/>
              <w:rPr>
                <w:rFonts w:ascii="仿宋_GB2312" w:hAnsi="宋体" w:eastAsia="仿宋_GB2312" w:cs="Times New Roman"/>
                <w:sz w:val="24"/>
                <w:szCs w:val="24"/>
                <w:highlight w:val="none"/>
                <w:lang w:bidi="ar-SA"/>
              </w:rPr>
            </w:pPr>
          </w:p>
        </w:tc>
        <w:tc>
          <w:tcPr>
            <w:tcW w:w="437" w:type="dxa"/>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rPr>
                <w:rFonts w:hint="eastAsia" w:ascii="仿宋_GB2312" w:hAnsi="宋体" w:eastAsia="仿宋_GB2312" w:cs="Times New Roman"/>
                <w:sz w:val="24"/>
                <w:szCs w:val="24"/>
                <w:highlight w:val="none"/>
                <w:lang w:bidi="ar-SA"/>
              </w:rPr>
            </w:pPr>
          </w:p>
        </w:tc>
        <w:tc>
          <w:tcPr>
            <w:tcW w:w="0" w:type="auto"/>
            <w:gridSpan w:val="7"/>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总价：</w:t>
            </w:r>
          </w:p>
        </w:tc>
        <w:tc>
          <w:tcPr>
            <w:tcW w:w="0" w:type="auto"/>
            <w:vAlign w:val="center"/>
          </w:tcPr>
          <w:p>
            <w:pPr>
              <w:spacing w:line="400" w:lineRule="exact"/>
              <w:rPr>
                <w:rFonts w:ascii="仿宋_GB2312" w:hAnsi="宋体" w:eastAsia="仿宋_GB2312" w:cs="Times New Roman"/>
                <w:sz w:val="24"/>
                <w:szCs w:val="24"/>
                <w:highlight w:val="none"/>
                <w:lang w:bidi="ar-SA"/>
              </w:rPr>
            </w:pPr>
          </w:p>
        </w:tc>
        <w:tc>
          <w:tcPr>
            <w:tcW w:w="0" w:type="auto"/>
            <w:vAlign w:val="center"/>
          </w:tcPr>
          <w:p>
            <w:pPr>
              <w:spacing w:line="400" w:lineRule="exact"/>
              <w:rPr>
                <w:rFonts w:ascii="仿宋_GB2312" w:hAnsi="宋体" w:eastAsia="仿宋_GB2312" w:cs="Times New Roman"/>
                <w:sz w:val="24"/>
                <w:szCs w:val="24"/>
                <w:highlight w:val="none"/>
                <w:lang w:bidi="ar-SA"/>
              </w:rPr>
            </w:pPr>
          </w:p>
        </w:tc>
      </w:tr>
    </w:tbl>
    <w:p>
      <w:pPr>
        <w:spacing w:line="400" w:lineRule="exact"/>
        <w:rPr>
          <w:rFonts w:ascii="仿宋_GB2312" w:hAnsi="宋体" w:eastAsia="仿宋_GB2312" w:cs="Times New Roman"/>
          <w:sz w:val="24"/>
          <w:szCs w:val="24"/>
          <w:highlight w:val="none"/>
          <w:lang w:bidi="ar-SA"/>
        </w:rPr>
      </w:pPr>
    </w:p>
    <w:tbl>
      <w:tblPr>
        <w:tblStyle w:val="24"/>
        <w:tblW w:w="0" w:type="auto"/>
        <w:tblInd w:w="0" w:type="dxa"/>
        <w:tblLayout w:type="autofit"/>
        <w:tblCellMar>
          <w:top w:w="0" w:type="dxa"/>
          <w:left w:w="108" w:type="dxa"/>
          <w:bottom w:w="0" w:type="dxa"/>
          <w:right w:w="108" w:type="dxa"/>
        </w:tblCellMar>
      </w:tblPr>
      <w:tblGrid>
        <w:gridCol w:w="3700"/>
        <w:gridCol w:w="456"/>
        <w:gridCol w:w="3734"/>
      </w:tblGrid>
      <w:tr>
        <w:tblPrEx>
          <w:tblCellMar>
            <w:top w:w="0" w:type="dxa"/>
            <w:left w:w="108" w:type="dxa"/>
            <w:bottom w:w="0" w:type="dxa"/>
            <w:right w:w="108" w:type="dxa"/>
          </w:tblCellMar>
        </w:tblPrEx>
        <w:trPr>
          <w:trHeight w:val="521" w:hRule="atLeast"/>
        </w:trPr>
        <w:tc>
          <w:tcPr>
            <w:tcW w:w="3700"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法定代表人或其委托代理人签字</w:t>
            </w:r>
          </w:p>
        </w:tc>
        <w:tc>
          <w:tcPr>
            <w:tcW w:w="288" w:type="dxa"/>
            <w:vAlign w:val="bottom"/>
          </w:tcPr>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w:t>
            </w:r>
          </w:p>
        </w:tc>
        <w:tc>
          <w:tcPr>
            <w:tcW w:w="3734" w:type="dxa"/>
            <w:tcBorders>
              <w:bottom w:val="single" w:color="auto" w:sz="4" w:space="0"/>
            </w:tcBorders>
            <w:vAlign w:val="bottom"/>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43" w:hRule="atLeast"/>
        </w:trPr>
        <w:tc>
          <w:tcPr>
            <w:tcW w:w="3700"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投标人</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盖单位章</w:t>
            </w:r>
            <w:r>
              <w:rPr>
                <w:rFonts w:ascii="仿宋_GB2312" w:hAnsi="宋体" w:eastAsia="仿宋_GB2312" w:cs="Times New Roman"/>
                <w:sz w:val="24"/>
                <w:szCs w:val="24"/>
                <w:highlight w:val="none"/>
                <w:lang w:bidi="ar-SA"/>
              </w:rPr>
              <w:t>)</w:t>
            </w:r>
          </w:p>
        </w:tc>
        <w:tc>
          <w:tcPr>
            <w:tcW w:w="288" w:type="dxa"/>
            <w:vAlign w:val="bottom"/>
          </w:tcPr>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w:t>
            </w:r>
          </w:p>
        </w:tc>
        <w:tc>
          <w:tcPr>
            <w:tcW w:w="3734" w:type="dxa"/>
            <w:tcBorders>
              <w:top w:val="single" w:color="auto" w:sz="4" w:space="0"/>
              <w:bottom w:val="single" w:color="auto" w:sz="4" w:space="0"/>
            </w:tcBorders>
            <w:vAlign w:val="bottom"/>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43" w:hRule="atLeast"/>
        </w:trPr>
        <w:tc>
          <w:tcPr>
            <w:tcW w:w="3700"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日期</w:t>
            </w:r>
          </w:p>
        </w:tc>
        <w:tc>
          <w:tcPr>
            <w:tcW w:w="288" w:type="dxa"/>
            <w:vAlign w:val="bottom"/>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3734" w:type="dxa"/>
            <w:tcBorders>
              <w:top w:val="single" w:color="auto" w:sz="4" w:space="0"/>
              <w:bottom w:val="single" w:color="auto" w:sz="4" w:space="0"/>
            </w:tcBorders>
            <w:vAlign w:val="bottom"/>
          </w:tcPr>
          <w:p>
            <w:pPr>
              <w:spacing w:line="400" w:lineRule="exact"/>
              <w:rPr>
                <w:rFonts w:ascii="仿宋_GB2312" w:hAnsi="宋体" w:eastAsia="仿宋_GB2312" w:cs="Times New Roman"/>
                <w:sz w:val="24"/>
                <w:szCs w:val="24"/>
                <w:highlight w:val="none"/>
                <w:lang w:bidi="ar-SA"/>
              </w:rPr>
            </w:pPr>
          </w:p>
        </w:tc>
      </w:tr>
    </w:tbl>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注</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如果投标人认为需要，每种货物（服务）填写一份该表。</w:t>
      </w:r>
    </w:p>
    <w:p>
      <w:pPr>
        <w:spacing w:line="400" w:lineRule="exact"/>
        <w:ind w:firstLine="840" w:firstLineChars="35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如果按单价计算的结果与总价不一致</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以单价为准修正总价。</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       3.</w:t>
      </w:r>
      <w:r>
        <w:rPr>
          <w:rFonts w:hint="eastAsia" w:ascii="仿宋_GB2312" w:hAnsi="宋体" w:eastAsia="仿宋_GB2312" w:cs="Times New Roman"/>
          <w:sz w:val="24"/>
          <w:szCs w:val="24"/>
          <w:highlight w:val="none"/>
          <w:lang w:bidi="ar-SA"/>
        </w:rPr>
        <w:t>如果不提供详细分项报价将视为没有实质性响应招标文件。</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       4.</w:t>
      </w:r>
      <w:r>
        <w:rPr>
          <w:rFonts w:hint="eastAsia" w:ascii="仿宋_GB2312" w:hAnsi="宋体" w:eastAsia="仿宋_GB2312" w:cs="Times New Roman"/>
          <w:sz w:val="24"/>
          <w:szCs w:val="24"/>
          <w:highlight w:val="none"/>
          <w:lang w:bidi="ar-SA"/>
        </w:rPr>
        <w:t>上述各项的详细分项报价，应另页描述。</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       5.</w:t>
      </w:r>
      <w:r>
        <w:rPr>
          <w:rFonts w:hint="eastAsia" w:ascii="仿宋_GB2312" w:hAnsi="宋体" w:eastAsia="仿宋_GB2312" w:cs="Times New Roman"/>
          <w:sz w:val="24"/>
          <w:szCs w:val="24"/>
          <w:highlight w:val="none"/>
          <w:lang w:bidi="ar-SA"/>
        </w:rPr>
        <w:t>如果开标一览表（报价表）内容与投标文件中明细表内容不一致的，以开标一览表（报价表）内容为准。</w:t>
      </w:r>
    </w:p>
    <w:p>
      <w:pPr>
        <w:pStyle w:val="5"/>
        <w:rPr>
          <w:highlight w:val="none"/>
          <w:lang w:bidi="ar-SA"/>
        </w:rPr>
        <w:sectPr>
          <w:headerReference r:id="rId4" w:type="default"/>
          <w:footerReference r:id="rId5" w:type="default"/>
          <w:pgSz w:w="11906" w:h="16838"/>
          <w:pgMar w:top="1440" w:right="1080" w:bottom="1440" w:left="1080" w:header="851" w:footer="992" w:gutter="0"/>
          <w:pgNumType w:fmt="decimal"/>
          <w:cols w:space="425" w:num="1"/>
          <w:docGrid w:type="linesAndChars" w:linePitch="312" w:charSpace="0"/>
        </w:sectPr>
      </w:pPr>
    </w:p>
    <w:p>
      <w:pPr>
        <w:pStyle w:val="5"/>
        <w:rPr>
          <w:highlight w:val="none"/>
          <w:lang w:bidi="ar-SA"/>
        </w:rPr>
      </w:pPr>
      <w:bookmarkStart w:id="41" w:name="_Toc75443030"/>
      <w:r>
        <w:rPr>
          <w:highlight w:val="none"/>
          <w:lang w:bidi="ar-SA"/>
        </w:rPr>
        <w:t>3.</w:t>
      </w:r>
      <w:r>
        <w:rPr>
          <w:rFonts w:hint="eastAsia"/>
          <w:highlight w:val="none"/>
          <w:lang w:bidi="ar-SA"/>
        </w:rPr>
        <w:t>货物（服务）说明一览表（投标文件格式五）</w:t>
      </w:r>
      <w:bookmarkEnd w:id="41"/>
    </w:p>
    <w:p>
      <w:pPr>
        <w:spacing w:line="400" w:lineRule="exact"/>
        <w:rPr>
          <w:rFonts w:ascii="仿宋_GB2312" w:hAnsi="宋体" w:eastAsia="仿宋_GB2312" w:cs="Times New Roman"/>
          <w:sz w:val="24"/>
          <w:szCs w:val="24"/>
          <w:highlight w:val="none"/>
          <w:lang w:bidi="ar-SA"/>
        </w:rPr>
      </w:pPr>
    </w:p>
    <w:p>
      <w:pPr>
        <w:spacing w:line="400" w:lineRule="exact"/>
        <w:ind w:firstLine="960" w:firstLineChars="4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项目名称</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项目</w:t>
      </w:r>
      <w:r>
        <w:rPr>
          <w:rFonts w:hint="eastAsia" w:ascii="仿宋_GB2312" w:hAnsi="宋体" w:eastAsia="仿宋_GB2312" w:cs="Times New Roman"/>
          <w:sz w:val="24"/>
          <w:szCs w:val="24"/>
          <w:highlight w:val="none"/>
          <w:lang w:bidi="ar-SA"/>
        </w:rPr>
        <w:t>编号</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 xml:space="preserve"> 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val="en-US" w:eastAsia="zh-CN" w:bidi="ar-SA"/>
        </w:rPr>
        <w:t>标段</w:t>
      </w:r>
      <w:r>
        <w:rPr>
          <w:rFonts w:ascii="仿宋_GB2312" w:hAnsi="宋体" w:eastAsia="仿宋_GB2312" w:cs="Times New Roman"/>
          <w:sz w:val="24"/>
          <w:szCs w:val="24"/>
          <w:highlight w:val="none"/>
          <w:lang w:bidi="ar-SA"/>
        </w:rPr>
        <w:t xml:space="preserve">                     </w:t>
      </w:r>
    </w:p>
    <w:tbl>
      <w:tblPr>
        <w:tblStyle w:val="24"/>
        <w:tblpPr w:leftFromText="180" w:rightFromText="180" w:vertAnchor="text" w:horzAnchor="page" w:tblpX="1952"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001"/>
        <w:gridCol w:w="1981"/>
        <w:gridCol w:w="912"/>
        <w:gridCol w:w="828"/>
        <w:gridCol w:w="2988"/>
        <w:gridCol w:w="189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52"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序号</w:t>
            </w:r>
          </w:p>
        </w:tc>
        <w:tc>
          <w:tcPr>
            <w:tcW w:w="2001"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货物（服务）名称</w:t>
            </w:r>
          </w:p>
        </w:tc>
        <w:tc>
          <w:tcPr>
            <w:tcW w:w="1981"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主要规格（服务内容</w:t>
            </w:r>
          </w:p>
        </w:tc>
        <w:tc>
          <w:tcPr>
            <w:tcW w:w="912"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数量</w:t>
            </w:r>
          </w:p>
        </w:tc>
        <w:tc>
          <w:tcPr>
            <w:tcW w:w="828" w:type="dxa"/>
          </w:tcPr>
          <w:p>
            <w:pPr>
              <w:pStyle w:val="13"/>
              <w:spacing w:line="240" w:lineRule="atLeast"/>
              <w:jc w:val="center"/>
              <w:rPr>
                <w:rFonts w:hint="eastAsia" w:ascii="仿宋_GB2312" w:eastAsia="仿宋_GB2312"/>
                <w:kern w:val="2"/>
                <w:sz w:val="24"/>
                <w:szCs w:val="24"/>
                <w:highlight w:val="none"/>
                <w:lang w:val="en-US" w:eastAsia="zh-CN"/>
              </w:rPr>
            </w:pPr>
            <w:r>
              <w:rPr>
                <w:rFonts w:hint="eastAsia" w:ascii="仿宋_GB2312" w:eastAsia="仿宋_GB2312"/>
                <w:kern w:val="2"/>
                <w:sz w:val="24"/>
                <w:szCs w:val="24"/>
                <w:highlight w:val="none"/>
                <w:lang w:val="en-US" w:eastAsia="zh-CN"/>
              </w:rPr>
              <w:t>单位（）</w:t>
            </w:r>
          </w:p>
        </w:tc>
        <w:tc>
          <w:tcPr>
            <w:tcW w:w="2988"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交货期（提供服务时间）</w:t>
            </w:r>
          </w:p>
        </w:tc>
        <w:tc>
          <w:tcPr>
            <w:tcW w:w="1896"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交货（服务）地点</w:t>
            </w:r>
          </w:p>
        </w:tc>
        <w:tc>
          <w:tcPr>
            <w:tcW w:w="1392"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52" w:type="dxa"/>
          </w:tcPr>
          <w:p>
            <w:pPr>
              <w:pStyle w:val="13"/>
              <w:spacing w:line="240" w:lineRule="atLeast"/>
              <w:jc w:val="center"/>
              <w:rPr>
                <w:rFonts w:ascii="仿宋_GB2312" w:eastAsia="仿宋_GB2312"/>
                <w:kern w:val="2"/>
                <w:sz w:val="24"/>
                <w:szCs w:val="24"/>
                <w:highlight w:val="none"/>
              </w:rPr>
            </w:pPr>
          </w:p>
        </w:tc>
        <w:tc>
          <w:tcPr>
            <w:tcW w:w="2001" w:type="dxa"/>
          </w:tcPr>
          <w:p>
            <w:pPr>
              <w:pStyle w:val="13"/>
              <w:spacing w:line="240" w:lineRule="atLeast"/>
              <w:jc w:val="center"/>
              <w:rPr>
                <w:rFonts w:ascii="仿宋_GB2312" w:eastAsia="仿宋_GB2312"/>
                <w:kern w:val="2"/>
                <w:sz w:val="24"/>
                <w:szCs w:val="24"/>
                <w:highlight w:val="none"/>
              </w:rPr>
            </w:pPr>
          </w:p>
        </w:tc>
        <w:tc>
          <w:tcPr>
            <w:tcW w:w="1981" w:type="dxa"/>
          </w:tcPr>
          <w:p>
            <w:pPr>
              <w:pStyle w:val="13"/>
              <w:spacing w:line="240" w:lineRule="atLeast"/>
              <w:jc w:val="center"/>
              <w:rPr>
                <w:rFonts w:ascii="仿宋_GB2312" w:eastAsia="仿宋_GB2312"/>
                <w:kern w:val="2"/>
                <w:sz w:val="24"/>
                <w:szCs w:val="24"/>
                <w:highlight w:val="none"/>
              </w:rPr>
            </w:pPr>
          </w:p>
        </w:tc>
        <w:tc>
          <w:tcPr>
            <w:tcW w:w="912" w:type="dxa"/>
          </w:tcPr>
          <w:p>
            <w:pPr>
              <w:pStyle w:val="13"/>
              <w:spacing w:line="240" w:lineRule="atLeast"/>
              <w:jc w:val="center"/>
              <w:rPr>
                <w:rFonts w:ascii="仿宋_GB2312" w:eastAsia="仿宋_GB2312"/>
                <w:kern w:val="2"/>
                <w:sz w:val="24"/>
                <w:szCs w:val="24"/>
                <w:highlight w:val="none"/>
              </w:rPr>
            </w:pPr>
          </w:p>
        </w:tc>
        <w:tc>
          <w:tcPr>
            <w:tcW w:w="828" w:type="dxa"/>
          </w:tcPr>
          <w:p>
            <w:pPr>
              <w:pStyle w:val="13"/>
              <w:spacing w:line="240" w:lineRule="atLeast"/>
              <w:jc w:val="center"/>
              <w:rPr>
                <w:rFonts w:ascii="仿宋_GB2312" w:eastAsia="仿宋_GB2312"/>
                <w:kern w:val="2"/>
                <w:sz w:val="24"/>
                <w:szCs w:val="24"/>
                <w:highlight w:val="none"/>
              </w:rPr>
            </w:pPr>
          </w:p>
        </w:tc>
        <w:tc>
          <w:tcPr>
            <w:tcW w:w="2988" w:type="dxa"/>
          </w:tcPr>
          <w:p>
            <w:pPr>
              <w:pStyle w:val="13"/>
              <w:spacing w:line="240" w:lineRule="atLeast"/>
              <w:jc w:val="center"/>
              <w:rPr>
                <w:rFonts w:ascii="仿宋_GB2312" w:eastAsia="仿宋_GB2312"/>
                <w:kern w:val="2"/>
                <w:sz w:val="24"/>
                <w:szCs w:val="24"/>
                <w:highlight w:val="none"/>
              </w:rPr>
            </w:pPr>
          </w:p>
        </w:tc>
        <w:tc>
          <w:tcPr>
            <w:tcW w:w="1896" w:type="dxa"/>
          </w:tcPr>
          <w:p>
            <w:pPr>
              <w:pStyle w:val="13"/>
              <w:spacing w:line="240" w:lineRule="atLeast"/>
              <w:jc w:val="center"/>
              <w:rPr>
                <w:rFonts w:ascii="仿宋_GB2312" w:eastAsia="仿宋_GB2312"/>
                <w:kern w:val="2"/>
                <w:sz w:val="24"/>
                <w:szCs w:val="24"/>
                <w:highlight w:val="none"/>
              </w:rPr>
            </w:pPr>
          </w:p>
        </w:tc>
        <w:tc>
          <w:tcPr>
            <w:tcW w:w="1392" w:type="dxa"/>
          </w:tcPr>
          <w:p>
            <w:pPr>
              <w:pStyle w:val="13"/>
              <w:spacing w:line="240" w:lineRule="atLeast"/>
              <w:jc w:val="center"/>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52" w:type="dxa"/>
          </w:tcPr>
          <w:p>
            <w:pPr>
              <w:pStyle w:val="13"/>
              <w:spacing w:line="240" w:lineRule="atLeast"/>
              <w:jc w:val="center"/>
              <w:rPr>
                <w:rFonts w:ascii="仿宋_GB2312" w:eastAsia="仿宋_GB2312"/>
                <w:kern w:val="2"/>
                <w:sz w:val="24"/>
                <w:szCs w:val="24"/>
                <w:highlight w:val="none"/>
              </w:rPr>
            </w:pPr>
          </w:p>
        </w:tc>
        <w:tc>
          <w:tcPr>
            <w:tcW w:w="2001" w:type="dxa"/>
          </w:tcPr>
          <w:p>
            <w:pPr>
              <w:pStyle w:val="13"/>
              <w:spacing w:line="240" w:lineRule="atLeast"/>
              <w:jc w:val="center"/>
              <w:rPr>
                <w:rFonts w:ascii="仿宋_GB2312" w:eastAsia="仿宋_GB2312"/>
                <w:kern w:val="2"/>
                <w:sz w:val="24"/>
                <w:szCs w:val="24"/>
                <w:highlight w:val="none"/>
              </w:rPr>
            </w:pPr>
          </w:p>
        </w:tc>
        <w:tc>
          <w:tcPr>
            <w:tcW w:w="1981" w:type="dxa"/>
          </w:tcPr>
          <w:p>
            <w:pPr>
              <w:pStyle w:val="13"/>
              <w:spacing w:line="240" w:lineRule="atLeast"/>
              <w:jc w:val="center"/>
              <w:rPr>
                <w:rFonts w:ascii="仿宋_GB2312" w:eastAsia="仿宋_GB2312"/>
                <w:kern w:val="2"/>
                <w:sz w:val="24"/>
                <w:szCs w:val="24"/>
                <w:highlight w:val="none"/>
              </w:rPr>
            </w:pPr>
          </w:p>
        </w:tc>
        <w:tc>
          <w:tcPr>
            <w:tcW w:w="912" w:type="dxa"/>
          </w:tcPr>
          <w:p>
            <w:pPr>
              <w:pStyle w:val="13"/>
              <w:spacing w:line="240" w:lineRule="atLeast"/>
              <w:jc w:val="center"/>
              <w:rPr>
                <w:rFonts w:ascii="仿宋_GB2312" w:eastAsia="仿宋_GB2312"/>
                <w:kern w:val="2"/>
                <w:sz w:val="24"/>
                <w:szCs w:val="24"/>
                <w:highlight w:val="none"/>
              </w:rPr>
            </w:pPr>
          </w:p>
        </w:tc>
        <w:tc>
          <w:tcPr>
            <w:tcW w:w="828" w:type="dxa"/>
          </w:tcPr>
          <w:p>
            <w:pPr>
              <w:pStyle w:val="13"/>
              <w:spacing w:line="240" w:lineRule="atLeast"/>
              <w:jc w:val="center"/>
              <w:rPr>
                <w:rFonts w:ascii="仿宋_GB2312" w:eastAsia="仿宋_GB2312"/>
                <w:kern w:val="2"/>
                <w:sz w:val="24"/>
                <w:szCs w:val="24"/>
                <w:highlight w:val="none"/>
              </w:rPr>
            </w:pPr>
          </w:p>
        </w:tc>
        <w:tc>
          <w:tcPr>
            <w:tcW w:w="2988" w:type="dxa"/>
          </w:tcPr>
          <w:p>
            <w:pPr>
              <w:pStyle w:val="13"/>
              <w:spacing w:line="240" w:lineRule="atLeast"/>
              <w:jc w:val="center"/>
              <w:rPr>
                <w:rFonts w:ascii="仿宋_GB2312" w:eastAsia="仿宋_GB2312"/>
                <w:kern w:val="2"/>
                <w:sz w:val="24"/>
                <w:szCs w:val="24"/>
                <w:highlight w:val="none"/>
              </w:rPr>
            </w:pPr>
          </w:p>
        </w:tc>
        <w:tc>
          <w:tcPr>
            <w:tcW w:w="1896" w:type="dxa"/>
          </w:tcPr>
          <w:p>
            <w:pPr>
              <w:pStyle w:val="13"/>
              <w:spacing w:line="240" w:lineRule="atLeast"/>
              <w:jc w:val="center"/>
              <w:rPr>
                <w:rFonts w:ascii="仿宋_GB2312" w:eastAsia="仿宋_GB2312"/>
                <w:kern w:val="2"/>
                <w:sz w:val="24"/>
                <w:szCs w:val="24"/>
                <w:highlight w:val="none"/>
              </w:rPr>
            </w:pPr>
          </w:p>
        </w:tc>
        <w:tc>
          <w:tcPr>
            <w:tcW w:w="1392" w:type="dxa"/>
          </w:tcPr>
          <w:p>
            <w:pPr>
              <w:pStyle w:val="13"/>
              <w:spacing w:line="240" w:lineRule="atLeast"/>
              <w:jc w:val="center"/>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52" w:type="dxa"/>
          </w:tcPr>
          <w:p>
            <w:pPr>
              <w:pStyle w:val="13"/>
              <w:spacing w:line="240" w:lineRule="atLeast"/>
              <w:jc w:val="center"/>
              <w:rPr>
                <w:rFonts w:ascii="仿宋_GB2312" w:eastAsia="仿宋_GB2312"/>
                <w:kern w:val="2"/>
                <w:sz w:val="24"/>
                <w:szCs w:val="24"/>
                <w:highlight w:val="none"/>
              </w:rPr>
            </w:pPr>
          </w:p>
        </w:tc>
        <w:tc>
          <w:tcPr>
            <w:tcW w:w="2001" w:type="dxa"/>
          </w:tcPr>
          <w:p>
            <w:pPr>
              <w:pStyle w:val="13"/>
              <w:spacing w:line="240" w:lineRule="atLeast"/>
              <w:jc w:val="center"/>
              <w:rPr>
                <w:rFonts w:ascii="仿宋_GB2312" w:eastAsia="仿宋_GB2312"/>
                <w:kern w:val="2"/>
                <w:sz w:val="24"/>
                <w:szCs w:val="24"/>
                <w:highlight w:val="none"/>
              </w:rPr>
            </w:pPr>
          </w:p>
        </w:tc>
        <w:tc>
          <w:tcPr>
            <w:tcW w:w="1981" w:type="dxa"/>
          </w:tcPr>
          <w:p>
            <w:pPr>
              <w:pStyle w:val="13"/>
              <w:spacing w:line="240" w:lineRule="atLeast"/>
              <w:jc w:val="center"/>
              <w:rPr>
                <w:rFonts w:ascii="仿宋_GB2312" w:eastAsia="仿宋_GB2312"/>
                <w:kern w:val="2"/>
                <w:sz w:val="24"/>
                <w:szCs w:val="24"/>
                <w:highlight w:val="none"/>
              </w:rPr>
            </w:pPr>
          </w:p>
        </w:tc>
        <w:tc>
          <w:tcPr>
            <w:tcW w:w="912" w:type="dxa"/>
          </w:tcPr>
          <w:p>
            <w:pPr>
              <w:pStyle w:val="13"/>
              <w:spacing w:line="240" w:lineRule="atLeast"/>
              <w:jc w:val="center"/>
              <w:rPr>
                <w:rFonts w:ascii="仿宋_GB2312" w:eastAsia="仿宋_GB2312"/>
                <w:kern w:val="2"/>
                <w:sz w:val="24"/>
                <w:szCs w:val="24"/>
                <w:highlight w:val="none"/>
              </w:rPr>
            </w:pPr>
          </w:p>
        </w:tc>
        <w:tc>
          <w:tcPr>
            <w:tcW w:w="828" w:type="dxa"/>
          </w:tcPr>
          <w:p>
            <w:pPr>
              <w:pStyle w:val="13"/>
              <w:spacing w:line="240" w:lineRule="atLeast"/>
              <w:jc w:val="center"/>
              <w:rPr>
                <w:rFonts w:ascii="仿宋_GB2312" w:eastAsia="仿宋_GB2312"/>
                <w:kern w:val="2"/>
                <w:sz w:val="24"/>
                <w:szCs w:val="24"/>
                <w:highlight w:val="none"/>
              </w:rPr>
            </w:pPr>
          </w:p>
        </w:tc>
        <w:tc>
          <w:tcPr>
            <w:tcW w:w="2988" w:type="dxa"/>
          </w:tcPr>
          <w:p>
            <w:pPr>
              <w:pStyle w:val="13"/>
              <w:spacing w:line="240" w:lineRule="atLeast"/>
              <w:jc w:val="center"/>
              <w:rPr>
                <w:rFonts w:ascii="仿宋_GB2312" w:eastAsia="仿宋_GB2312"/>
                <w:kern w:val="2"/>
                <w:sz w:val="24"/>
                <w:szCs w:val="24"/>
                <w:highlight w:val="none"/>
              </w:rPr>
            </w:pPr>
          </w:p>
        </w:tc>
        <w:tc>
          <w:tcPr>
            <w:tcW w:w="1896" w:type="dxa"/>
          </w:tcPr>
          <w:p>
            <w:pPr>
              <w:pStyle w:val="13"/>
              <w:spacing w:line="240" w:lineRule="atLeast"/>
              <w:jc w:val="center"/>
              <w:rPr>
                <w:rFonts w:ascii="仿宋_GB2312" w:eastAsia="仿宋_GB2312"/>
                <w:kern w:val="2"/>
                <w:sz w:val="24"/>
                <w:szCs w:val="24"/>
                <w:highlight w:val="none"/>
              </w:rPr>
            </w:pPr>
          </w:p>
        </w:tc>
        <w:tc>
          <w:tcPr>
            <w:tcW w:w="1392" w:type="dxa"/>
          </w:tcPr>
          <w:p>
            <w:pPr>
              <w:pStyle w:val="13"/>
              <w:spacing w:line="240" w:lineRule="atLeast"/>
              <w:jc w:val="center"/>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52" w:type="dxa"/>
          </w:tcPr>
          <w:p>
            <w:pPr>
              <w:pStyle w:val="13"/>
              <w:spacing w:line="240" w:lineRule="atLeast"/>
              <w:jc w:val="center"/>
              <w:rPr>
                <w:rFonts w:ascii="仿宋_GB2312" w:eastAsia="仿宋_GB2312"/>
                <w:kern w:val="2"/>
                <w:sz w:val="24"/>
                <w:szCs w:val="24"/>
                <w:highlight w:val="none"/>
              </w:rPr>
            </w:pPr>
          </w:p>
        </w:tc>
        <w:tc>
          <w:tcPr>
            <w:tcW w:w="2001" w:type="dxa"/>
          </w:tcPr>
          <w:p>
            <w:pPr>
              <w:pStyle w:val="13"/>
              <w:spacing w:line="240" w:lineRule="atLeast"/>
              <w:jc w:val="center"/>
              <w:rPr>
                <w:rFonts w:ascii="仿宋_GB2312" w:eastAsia="仿宋_GB2312"/>
                <w:kern w:val="2"/>
                <w:sz w:val="24"/>
                <w:szCs w:val="24"/>
                <w:highlight w:val="none"/>
              </w:rPr>
            </w:pPr>
          </w:p>
        </w:tc>
        <w:tc>
          <w:tcPr>
            <w:tcW w:w="1981" w:type="dxa"/>
          </w:tcPr>
          <w:p>
            <w:pPr>
              <w:pStyle w:val="13"/>
              <w:spacing w:line="240" w:lineRule="atLeast"/>
              <w:jc w:val="center"/>
              <w:rPr>
                <w:rFonts w:ascii="仿宋_GB2312" w:eastAsia="仿宋_GB2312"/>
                <w:kern w:val="2"/>
                <w:sz w:val="24"/>
                <w:szCs w:val="24"/>
                <w:highlight w:val="none"/>
              </w:rPr>
            </w:pPr>
          </w:p>
        </w:tc>
        <w:tc>
          <w:tcPr>
            <w:tcW w:w="912" w:type="dxa"/>
          </w:tcPr>
          <w:p>
            <w:pPr>
              <w:pStyle w:val="13"/>
              <w:spacing w:line="240" w:lineRule="atLeast"/>
              <w:jc w:val="center"/>
              <w:rPr>
                <w:rFonts w:ascii="仿宋_GB2312" w:eastAsia="仿宋_GB2312"/>
                <w:kern w:val="2"/>
                <w:sz w:val="24"/>
                <w:szCs w:val="24"/>
                <w:highlight w:val="none"/>
              </w:rPr>
            </w:pPr>
          </w:p>
        </w:tc>
        <w:tc>
          <w:tcPr>
            <w:tcW w:w="828" w:type="dxa"/>
          </w:tcPr>
          <w:p>
            <w:pPr>
              <w:pStyle w:val="13"/>
              <w:spacing w:line="240" w:lineRule="atLeast"/>
              <w:jc w:val="center"/>
              <w:rPr>
                <w:rFonts w:ascii="仿宋_GB2312" w:eastAsia="仿宋_GB2312"/>
                <w:kern w:val="2"/>
                <w:sz w:val="24"/>
                <w:szCs w:val="24"/>
                <w:highlight w:val="none"/>
              </w:rPr>
            </w:pPr>
          </w:p>
        </w:tc>
        <w:tc>
          <w:tcPr>
            <w:tcW w:w="2988" w:type="dxa"/>
          </w:tcPr>
          <w:p>
            <w:pPr>
              <w:pStyle w:val="13"/>
              <w:spacing w:line="240" w:lineRule="atLeast"/>
              <w:jc w:val="center"/>
              <w:rPr>
                <w:rFonts w:ascii="仿宋_GB2312" w:eastAsia="仿宋_GB2312"/>
                <w:kern w:val="2"/>
                <w:sz w:val="24"/>
                <w:szCs w:val="24"/>
                <w:highlight w:val="none"/>
              </w:rPr>
            </w:pPr>
          </w:p>
        </w:tc>
        <w:tc>
          <w:tcPr>
            <w:tcW w:w="1896" w:type="dxa"/>
          </w:tcPr>
          <w:p>
            <w:pPr>
              <w:pStyle w:val="13"/>
              <w:spacing w:line="240" w:lineRule="atLeast"/>
              <w:jc w:val="center"/>
              <w:rPr>
                <w:rFonts w:ascii="仿宋_GB2312" w:eastAsia="仿宋_GB2312"/>
                <w:kern w:val="2"/>
                <w:sz w:val="24"/>
                <w:szCs w:val="24"/>
                <w:highlight w:val="none"/>
              </w:rPr>
            </w:pPr>
          </w:p>
        </w:tc>
        <w:tc>
          <w:tcPr>
            <w:tcW w:w="1392" w:type="dxa"/>
          </w:tcPr>
          <w:p>
            <w:pPr>
              <w:pStyle w:val="13"/>
              <w:spacing w:line="240" w:lineRule="atLeast"/>
              <w:jc w:val="center"/>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52" w:type="dxa"/>
          </w:tcPr>
          <w:p>
            <w:pPr>
              <w:pStyle w:val="13"/>
              <w:spacing w:line="240" w:lineRule="atLeast"/>
              <w:jc w:val="center"/>
              <w:rPr>
                <w:rFonts w:ascii="仿宋_GB2312" w:eastAsia="仿宋_GB2312"/>
                <w:kern w:val="2"/>
                <w:sz w:val="24"/>
                <w:szCs w:val="24"/>
                <w:highlight w:val="none"/>
              </w:rPr>
            </w:pPr>
          </w:p>
        </w:tc>
        <w:tc>
          <w:tcPr>
            <w:tcW w:w="2001" w:type="dxa"/>
          </w:tcPr>
          <w:p>
            <w:pPr>
              <w:pStyle w:val="13"/>
              <w:spacing w:line="240" w:lineRule="atLeast"/>
              <w:jc w:val="center"/>
              <w:rPr>
                <w:rFonts w:ascii="仿宋_GB2312" w:eastAsia="仿宋_GB2312"/>
                <w:kern w:val="2"/>
                <w:sz w:val="24"/>
                <w:szCs w:val="24"/>
                <w:highlight w:val="none"/>
              </w:rPr>
            </w:pPr>
          </w:p>
        </w:tc>
        <w:tc>
          <w:tcPr>
            <w:tcW w:w="1981" w:type="dxa"/>
          </w:tcPr>
          <w:p>
            <w:pPr>
              <w:pStyle w:val="13"/>
              <w:spacing w:line="240" w:lineRule="atLeast"/>
              <w:jc w:val="center"/>
              <w:rPr>
                <w:rFonts w:ascii="仿宋_GB2312" w:eastAsia="仿宋_GB2312"/>
                <w:kern w:val="2"/>
                <w:sz w:val="24"/>
                <w:szCs w:val="24"/>
                <w:highlight w:val="none"/>
              </w:rPr>
            </w:pPr>
          </w:p>
        </w:tc>
        <w:tc>
          <w:tcPr>
            <w:tcW w:w="912" w:type="dxa"/>
          </w:tcPr>
          <w:p>
            <w:pPr>
              <w:pStyle w:val="13"/>
              <w:spacing w:line="240" w:lineRule="atLeast"/>
              <w:jc w:val="center"/>
              <w:rPr>
                <w:rFonts w:ascii="仿宋_GB2312" w:eastAsia="仿宋_GB2312"/>
                <w:kern w:val="2"/>
                <w:sz w:val="24"/>
                <w:szCs w:val="24"/>
                <w:highlight w:val="none"/>
              </w:rPr>
            </w:pPr>
          </w:p>
        </w:tc>
        <w:tc>
          <w:tcPr>
            <w:tcW w:w="828" w:type="dxa"/>
          </w:tcPr>
          <w:p>
            <w:pPr>
              <w:pStyle w:val="13"/>
              <w:spacing w:line="240" w:lineRule="atLeast"/>
              <w:jc w:val="center"/>
              <w:rPr>
                <w:rFonts w:ascii="仿宋_GB2312" w:eastAsia="仿宋_GB2312"/>
                <w:kern w:val="2"/>
                <w:sz w:val="24"/>
                <w:szCs w:val="24"/>
                <w:highlight w:val="none"/>
              </w:rPr>
            </w:pPr>
          </w:p>
        </w:tc>
        <w:tc>
          <w:tcPr>
            <w:tcW w:w="2988" w:type="dxa"/>
          </w:tcPr>
          <w:p>
            <w:pPr>
              <w:pStyle w:val="13"/>
              <w:spacing w:line="240" w:lineRule="atLeast"/>
              <w:jc w:val="center"/>
              <w:rPr>
                <w:rFonts w:ascii="仿宋_GB2312" w:eastAsia="仿宋_GB2312"/>
                <w:kern w:val="2"/>
                <w:sz w:val="24"/>
                <w:szCs w:val="24"/>
                <w:highlight w:val="none"/>
              </w:rPr>
            </w:pPr>
          </w:p>
        </w:tc>
        <w:tc>
          <w:tcPr>
            <w:tcW w:w="1896" w:type="dxa"/>
          </w:tcPr>
          <w:p>
            <w:pPr>
              <w:pStyle w:val="13"/>
              <w:spacing w:line="240" w:lineRule="atLeast"/>
              <w:jc w:val="center"/>
              <w:rPr>
                <w:rFonts w:ascii="仿宋_GB2312" w:eastAsia="仿宋_GB2312"/>
                <w:kern w:val="2"/>
                <w:sz w:val="24"/>
                <w:szCs w:val="24"/>
                <w:highlight w:val="none"/>
              </w:rPr>
            </w:pPr>
          </w:p>
        </w:tc>
        <w:tc>
          <w:tcPr>
            <w:tcW w:w="1392" w:type="dxa"/>
          </w:tcPr>
          <w:p>
            <w:pPr>
              <w:pStyle w:val="13"/>
              <w:spacing w:line="240" w:lineRule="atLeast"/>
              <w:jc w:val="center"/>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52" w:type="dxa"/>
          </w:tcPr>
          <w:p>
            <w:pPr>
              <w:pStyle w:val="13"/>
              <w:spacing w:line="240" w:lineRule="atLeast"/>
              <w:jc w:val="center"/>
              <w:rPr>
                <w:rFonts w:ascii="仿宋_GB2312" w:eastAsia="仿宋_GB2312"/>
                <w:kern w:val="2"/>
                <w:sz w:val="24"/>
                <w:szCs w:val="24"/>
                <w:highlight w:val="none"/>
              </w:rPr>
            </w:pPr>
          </w:p>
        </w:tc>
        <w:tc>
          <w:tcPr>
            <w:tcW w:w="2001" w:type="dxa"/>
          </w:tcPr>
          <w:p>
            <w:pPr>
              <w:pStyle w:val="13"/>
              <w:spacing w:line="240" w:lineRule="atLeast"/>
              <w:jc w:val="center"/>
              <w:rPr>
                <w:rFonts w:ascii="仿宋_GB2312" w:eastAsia="仿宋_GB2312"/>
                <w:kern w:val="2"/>
                <w:sz w:val="24"/>
                <w:szCs w:val="24"/>
                <w:highlight w:val="none"/>
              </w:rPr>
            </w:pPr>
          </w:p>
        </w:tc>
        <w:tc>
          <w:tcPr>
            <w:tcW w:w="1981" w:type="dxa"/>
          </w:tcPr>
          <w:p>
            <w:pPr>
              <w:pStyle w:val="13"/>
              <w:spacing w:line="240" w:lineRule="atLeast"/>
              <w:jc w:val="center"/>
              <w:rPr>
                <w:rFonts w:ascii="仿宋_GB2312" w:eastAsia="仿宋_GB2312"/>
                <w:kern w:val="2"/>
                <w:sz w:val="24"/>
                <w:szCs w:val="24"/>
                <w:highlight w:val="none"/>
              </w:rPr>
            </w:pPr>
          </w:p>
        </w:tc>
        <w:tc>
          <w:tcPr>
            <w:tcW w:w="912" w:type="dxa"/>
          </w:tcPr>
          <w:p>
            <w:pPr>
              <w:pStyle w:val="13"/>
              <w:spacing w:line="240" w:lineRule="atLeast"/>
              <w:jc w:val="center"/>
              <w:rPr>
                <w:rFonts w:ascii="仿宋_GB2312" w:eastAsia="仿宋_GB2312"/>
                <w:kern w:val="2"/>
                <w:sz w:val="24"/>
                <w:szCs w:val="24"/>
                <w:highlight w:val="none"/>
              </w:rPr>
            </w:pPr>
          </w:p>
        </w:tc>
        <w:tc>
          <w:tcPr>
            <w:tcW w:w="828" w:type="dxa"/>
          </w:tcPr>
          <w:p>
            <w:pPr>
              <w:pStyle w:val="13"/>
              <w:spacing w:line="240" w:lineRule="atLeast"/>
              <w:jc w:val="center"/>
              <w:rPr>
                <w:rFonts w:ascii="仿宋_GB2312" w:eastAsia="仿宋_GB2312"/>
                <w:kern w:val="2"/>
                <w:sz w:val="24"/>
                <w:szCs w:val="24"/>
                <w:highlight w:val="none"/>
              </w:rPr>
            </w:pPr>
          </w:p>
        </w:tc>
        <w:tc>
          <w:tcPr>
            <w:tcW w:w="2988" w:type="dxa"/>
          </w:tcPr>
          <w:p>
            <w:pPr>
              <w:pStyle w:val="13"/>
              <w:spacing w:line="240" w:lineRule="atLeast"/>
              <w:jc w:val="center"/>
              <w:rPr>
                <w:rFonts w:ascii="仿宋_GB2312" w:eastAsia="仿宋_GB2312"/>
                <w:kern w:val="2"/>
                <w:sz w:val="24"/>
                <w:szCs w:val="24"/>
                <w:highlight w:val="none"/>
              </w:rPr>
            </w:pPr>
          </w:p>
        </w:tc>
        <w:tc>
          <w:tcPr>
            <w:tcW w:w="1896" w:type="dxa"/>
          </w:tcPr>
          <w:p>
            <w:pPr>
              <w:pStyle w:val="13"/>
              <w:spacing w:line="240" w:lineRule="atLeast"/>
              <w:jc w:val="center"/>
              <w:rPr>
                <w:rFonts w:ascii="仿宋_GB2312" w:eastAsia="仿宋_GB2312"/>
                <w:kern w:val="2"/>
                <w:sz w:val="24"/>
                <w:szCs w:val="24"/>
                <w:highlight w:val="none"/>
              </w:rPr>
            </w:pPr>
          </w:p>
        </w:tc>
        <w:tc>
          <w:tcPr>
            <w:tcW w:w="1392" w:type="dxa"/>
          </w:tcPr>
          <w:p>
            <w:pPr>
              <w:pStyle w:val="13"/>
              <w:spacing w:line="240" w:lineRule="atLeast"/>
              <w:jc w:val="center"/>
              <w:rPr>
                <w:rFonts w:ascii="仿宋_GB2312" w:eastAsia="仿宋_GB2312"/>
                <w:kern w:val="2"/>
                <w:sz w:val="24"/>
                <w:szCs w:val="24"/>
                <w:highlight w:val="none"/>
              </w:rPr>
            </w:pPr>
          </w:p>
        </w:tc>
      </w:tr>
    </w:tbl>
    <w:p>
      <w:pPr>
        <w:spacing w:line="400" w:lineRule="exact"/>
        <w:rPr>
          <w:rFonts w:ascii="仿宋_GB2312" w:hAnsi="宋体" w:eastAsia="仿宋_GB2312" w:cs="Times New Roman"/>
          <w:sz w:val="24"/>
          <w:szCs w:val="24"/>
          <w:highlight w:val="none"/>
          <w:lang w:bidi="ar-SA"/>
        </w:rPr>
      </w:pPr>
    </w:p>
    <w:p>
      <w:pPr>
        <w:spacing w:line="400" w:lineRule="exact"/>
        <w:ind w:firstLine="2880" w:firstLineChars="1200"/>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注</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bidi="ar-SA"/>
        </w:rPr>
        <w:t>各项货物（服务内容）详细技术性能应另页描述。</w:t>
      </w:r>
    </w:p>
    <w:tbl>
      <w:tblPr>
        <w:tblStyle w:val="24"/>
        <w:tblpPr w:leftFromText="180" w:rightFromText="180" w:vertAnchor="text" w:horzAnchor="page" w:tblpX="1872" w:tblpY="153"/>
        <w:tblOverlap w:val="never"/>
        <w:tblW w:w="0" w:type="auto"/>
        <w:tblInd w:w="0" w:type="dxa"/>
        <w:tblLayout w:type="autofit"/>
        <w:tblCellMar>
          <w:top w:w="0" w:type="dxa"/>
          <w:left w:w="108" w:type="dxa"/>
          <w:bottom w:w="0" w:type="dxa"/>
          <w:right w:w="108" w:type="dxa"/>
        </w:tblCellMar>
      </w:tblPr>
      <w:tblGrid>
        <w:gridCol w:w="3700"/>
        <w:gridCol w:w="456"/>
        <w:gridCol w:w="3734"/>
      </w:tblGrid>
      <w:tr>
        <w:tblPrEx>
          <w:tblCellMar>
            <w:top w:w="0" w:type="dxa"/>
            <w:left w:w="108" w:type="dxa"/>
            <w:bottom w:w="0" w:type="dxa"/>
            <w:right w:w="108" w:type="dxa"/>
          </w:tblCellMar>
        </w:tblPrEx>
        <w:trPr>
          <w:trHeight w:val="521" w:hRule="atLeast"/>
        </w:trPr>
        <w:tc>
          <w:tcPr>
            <w:tcW w:w="3700"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法定代表人或其委托代理人签字</w:t>
            </w:r>
          </w:p>
        </w:tc>
        <w:tc>
          <w:tcPr>
            <w:tcW w:w="456" w:type="dxa"/>
          </w:tcPr>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w:t>
            </w:r>
          </w:p>
        </w:tc>
        <w:tc>
          <w:tcPr>
            <w:tcW w:w="3734" w:type="dxa"/>
            <w:tcBorders>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43" w:hRule="atLeast"/>
        </w:trPr>
        <w:tc>
          <w:tcPr>
            <w:tcW w:w="3700"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投标人</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盖单位章</w:t>
            </w:r>
            <w:r>
              <w:rPr>
                <w:rFonts w:ascii="仿宋_GB2312" w:hAnsi="宋体" w:eastAsia="仿宋_GB2312" w:cs="Times New Roman"/>
                <w:sz w:val="24"/>
                <w:szCs w:val="24"/>
                <w:highlight w:val="none"/>
                <w:lang w:bidi="ar-SA"/>
              </w:rPr>
              <w:t>)</w:t>
            </w:r>
          </w:p>
        </w:tc>
        <w:tc>
          <w:tcPr>
            <w:tcW w:w="456" w:type="dxa"/>
          </w:tcPr>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w:t>
            </w:r>
          </w:p>
        </w:tc>
        <w:tc>
          <w:tcPr>
            <w:tcW w:w="373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43" w:hRule="atLeast"/>
        </w:trPr>
        <w:tc>
          <w:tcPr>
            <w:tcW w:w="3700"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日期</w:t>
            </w:r>
          </w:p>
        </w:tc>
        <w:tc>
          <w:tcPr>
            <w:tcW w:w="456" w:type="dxa"/>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373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bl>
    <w:p>
      <w:pPr>
        <w:spacing w:line="400" w:lineRule="exact"/>
        <w:ind w:firstLine="2640" w:firstLineChars="1100"/>
        <w:rPr>
          <w:rFonts w:hint="eastAsia" w:ascii="仿宋_GB2312" w:hAnsi="宋体" w:eastAsia="仿宋_GB2312" w:cs="Times New Roman"/>
          <w:sz w:val="24"/>
          <w:szCs w:val="24"/>
          <w:highlight w:val="none"/>
          <w:lang w:bidi="ar-SA"/>
        </w:rPr>
      </w:pPr>
    </w:p>
    <w:p>
      <w:pPr>
        <w:spacing w:line="400" w:lineRule="exact"/>
        <w:jc w:val="center"/>
        <w:rPr>
          <w:rFonts w:ascii="仿宋_GB2312" w:hAnsi="宋体" w:eastAsia="仿宋_GB2312" w:cs="Times New Roman"/>
          <w:b/>
          <w:bCs/>
          <w:sz w:val="28"/>
          <w:szCs w:val="28"/>
          <w:highlight w:val="none"/>
          <w:lang w:bidi="ar-SA"/>
        </w:rPr>
        <w:sectPr>
          <w:pgSz w:w="16838" w:h="11906" w:orient="landscape"/>
          <w:pgMar w:top="1440" w:right="1080" w:bottom="1440" w:left="1080" w:header="851" w:footer="992" w:gutter="0"/>
          <w:pgNumType w:fmt="decimal"/>
          <w:cols w:space="425" w:num="1"/>
          <w:docGrid w:linePitch="312" w:charSpace="0"/>
        </w:sectPr>
      </w:pPr>
    </w:p>
    <w:p>
      <w:pPr>
        <w:pStyle w:val="5"/>
        <w:rPr>
          <w:highlight w:val="none"/>
          <w:lang w:bidi="ar-SA"/>
        </w:rPr>
      </w:pPr>
      <w:bookmarkStart w:id="42" w:name="_Toc75443031"/>
      <w:r>
        <w:rPr>
          <w:highlight w:val="none"/>
          <w:lang w:bidi="ar-SA"/>
        </w:rPr>
        <w:t>4.</w:t>
      </w:r>
      <w:r>
        <w:rPr>
          <w:rFonts w:hint="eastAsia"/>
          <w:highlight w:val="none"/>
          <w:lang w:bidi="ar-SA"/>
        </w:rPr>
        <w:t>技术规格偏离表（投标文件格式六）</w:t>
      </w:r>
      <w:bookmarkEnd w:id="42"/>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项目名称</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项目</w:t>
      </w:r>
      <w:r>
        <w:rPr>
          <w:rFonts w:hint="eastAsia" w:ascii="仿宋_GB2312" w:hAnsi="宋体" w:eastAsia="仿宋_GB2312" w:cs="Times New Roman"/>
          <w:sz w:val="24"/>
          <w:szCs w:val="24"/>
          <w:highlight w:val="none"/>
          <w:lang w:bidi="ar-SA"/>
        </w:rPr>
        <w:t>编号</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 xml:space="preserve"> 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val="en-US" w:eastAsia="zh-CN" w:bidi="ar-SA"/>
        </w:rPr>
        <w:t>标段</w:t>
      </w:r>
    </w:p>
    <w:tbl>
      <w:tblPr>
        <w:tblStyle w:val="2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05"/>
        <w:gridCol w:w="1693"/>
        <w:gridCol w:w="132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序号</w:t>
            </w:r>
          </w:p>
        </w:tc>
        <w:tc>
          <w:tcPr>
            <w:tcW w:w="1260" w:type="dxa"/>
            <w:vAlign w:val="center"/>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货物（服务）名称</w:t>
            </w:r>
          </w:p>
        </w:tc>
        <w:tc>
          <w:tcPr>
            <w:tcW w:w="1605" w:type="dxa"/>
            <w:vAlign w:val="center"/>
          </w:tcPr>
          <w:p>
            <w:pPr>
              <w:pStyle w:val="13"/>
              <w:spacing w:line="240" w:lineRule="atLeast"/>
              <w:ind w:left="269" w:leftChars="128"/>
              <w:jc w:val="center"/>
              <w:rPr>
                <w:rFonts w:hint="eastAsia" w:ascii="仿宋_GB2312" w:eastAsia="仿宋_GB2312"/>
                <w:kern w:val="2"/>
                <w:sz w:val="24"/>
                <w:szCs w:val="24"/>
                <w:highlight w:val="none"/>
              </w:rPr>
            </w:pPr>
            <w:r>
              <w:rPr>
                <w:rFonts w:hint="eastAsia" w:ascii="仿宋_GB2312" w:eastAsia="仿宋_GB2312"/>
                <w:kern w:val="2"/>
                <w:sz w:val="24"/>
                <w:szCs w:val="24"/>
                <w:highlight w:val="none"/>
              </w:rPr>
              <w:t>招标文件</w:t>
            </w:r>
          </w:p>
          <w:p>
            <w:pPr>
              <w:pStyle w:val="13"/>
              <w:spacing w:line="240" w:lineRule="atLeast"/>
              <w:ind w:left="269" w:leftChars="128"/>
              <w:jc w:val="center"/>
              <w:rPr>
                <w:rFonts w:ascii="仿宋_GB2312" w:eastAsia="仿宋_GB2312"/>
                <w:kern w:val="2"/>
                <w:sz w:val="24"/>
                <w:szCs w:val="24"/>
                <w:highlight w:val="none"/>
              </w:rPr>
            </w:pPr>
            <w:r>
              <w:rPr>
                <w:rFonts w:hint="eastAsia" w:ascii="仿宋_GB2312" w:eastAsia="仿宋_GB2312"/>
                <w:kern w:val="2"/>
                <w:sz w:val="24"/>
                <w:szCs w:val="24"/>
                <w:highlight w:val="none"/>
              </w:rPr>
              <w:t>条款号</w:t>
            </w:r>
          </w:p>
        </w:tc>
        <w:tc>
          <w:tcPr>
            <w:tcW w:w="1693" w:type="dxa"/>
            <w:vAlign w:val="center"/>
          </w:tcPr>
          <w:p>
            <w:pPr>
              <w:pStyle w:val="13"/>
              <w:spacing w:line="240" w:lineRule="atLeast"/>
              <w:jc w:val="center"/>
              <w:rPr>
                <w:rFonts w:hint="eastAsia" w:ascii="仿宋_GB2312" w:eastAsia="仿宋_GB2312"/>
                <w:kern w:val="2"/>
                <w:sz w:val="24"/>
                <w:szCs w:val="24"/>
                <w:highlight w:val="none"/>
                <w:lang w:val="en-US" w:eastAsia="zh-CN"/>
              </w:rPr>
            </w:pPr>
            <w:r>
              <w:rPr>
                <w:rFonts w:hint="eastAsia" w:ascii="仿宋_GB2312" w:eastAsia="仿宋_GB2312"/>
                <w:kern w:val="2"/>
                <w:sz w:val="24"/>
                <w:szCs w:val="24"/>
                <w:highlight w:val="none"/>
                <w:lang w:val="en-US" w:eastAsia="zh-CN"/>
              </w:rPr>
              <w:t>招标</w:t>
            </w:r>
          </w:p>
          <w:p>
            <w:pPr>
              <w:pStyle w:val="13"/>
              <w:spacing w:line="240" w:lineRule="atLeast"/>
              <w:jc w:val="center"/>
              <w:rPr>
                <w:rFonts w:hint="default" w:ascii="仿宋_GB2312" w:eastAsia="仿宋_GB2312"/>
                <w:kern w:val="2"/>
                <w:sz w:val="24"/>
                <w:szCs w:val="24"/>
                <w:highlight w:val="none"/>
                <w:lang w:val="en-US" w:eastAsia="zh-CN"/>
              </w:rPr>
            </w:pPr>
            <w:r>
              <w:rPr>
                <w:rFonts w:hint="eastAsia" w:ascii="仿宋_GB2312" w:eastAsia="仿宋_GB2312"/>
                <w:kern w:val="2"/>
                <w:sz w:val="24"/>
                <w:szCs w:val="24"/>
                <w:highlight w:val="none"/>
                <w:lang w:val="en-US" w:eastAsia="zh-CN"/>
              </w:rPr>
              <w:t>规格</w:t>
            </w:r>
          </w:p>
        </w:tc>
        <w:tc>
          <w:tcPr>
            <w:tcW w:w="1322" w:type="dxa"/>
            <w:vAlign w:val="center"/>
          </w:tcPr>
          <w:p>
            <w:pPr>
              <w:pStyle w:val="13"/>
              <w:spacing w:line="240" w:lineRule="atLeast"/>
              <w:jc w:val="center"/>
              <w:rPr>
                <w:rFonts w:hint="eastAsia" w:ascii="仿宋_GB2312" w:eastAsia="仿宋_GB2312"/>
                <w:kern w:val="2"/>
                <w:sz w:val="24"/>
                <w:szCs w:val="24"/>
                <w:highlight w:val="none"/>
                <w:lang w:val="en-US" w:eastAsia="zh-CN"/>
              </w:rPr>
            </w:pPr>
            <w:r>
              <w:rPr>
                <w:rFonts w:hint="eastAsia" w:ascii="仿宋_GB2312" w:eastAsia="仿宋_GB2312"/>
                <w:kern w:val="2"/>
                <w:sz w:val="24"/>
                <w:szCs w:val="24"/>
                <w:highlight w:val="none"/>
                <w:lang w:val="en-US" w:eastAsia="zh-CN"/>
              </w:rPr>
              <w:t>投标</w:t>
            </w:r>
          </w:p>
          <w:p>
            <w:pPr>
              <w:pStyle w:val="13"/>
              <w:spacing w:line="240" w:lineRule="atLeast"/>
              <w:jc w:val="center"/>
              <w:rPr>
                <w:rFonts w:hint="default" w:ascii="仿宋_GB2312" w:eastAsia="仿宋_GB2312"/>
                <w:kern w:val="2"/>
                <w:sz w:val="24"/>
                <w:szCs w:val="24"/>
                <w:highlight w:val="none"/>
                <w:lang w:val="en-US" w:eastAsia="zh-CN"/>
              </w:rPr>
            </w:pPr>
            <w:r>
              <w:rPr>
                <w:rFonts w:hint="eastAsia" w:ascii="仿宋_GB2312" w:eastAsia="仿宋_GB2312"/>
                <w:kern w:val="2"/>
                <w:sz w:val="24"/>
                <w:szCs w:val="24"/>
                <w:highlight w:val="none"/>
                <w:lang w:val="en-US" w:eastAsia="zh-CN"/>
              </w:rPr>
              <w:t>规格</w:t>
            </w:r>
          </w:p>
        </w:tc>
        <w:tc>
          <w:tcPr>
            <w:tcW w:w="2040" w:type="dxa"/>
            <w:vAlign w:val="center"/>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偏离情况</w:t>
            </w:r>
          </w:p>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（无偏离、正偏离、负偏离、不能确定）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3"/>
              <w:spacing w:line="240" w:lineRule="atLeast"/>
              <w:ind w:left="1080" w:leftChars="257" w:hanging="540"/>
              <w:rPr>
                <w:rFonts w:ascii="仿宋_GB2312" w:eastAsia="仿宋_GB2312"/>
                <w:kern w:val="2"/>
                <w:sz w:val="24"/>
                <w:szCs w:val="24"/>
                <w:highlight w:val="none"/>
              </w:rPr>
            </w:pPr>
          </w:p>
        </w:tc>
        <w:tc>
          <w:tcPr>
            <w:tcW w:w="1260" w:type="dxa"/>
          </w:tcPr>
          <w:p>
            <w:pPr>
              <w:pStyle w:val="13"/>
              <w:spacing w:line="240" w:lineRule="atLeast"/>
              <w:ind w:left="1080" w:leftChars="257" w:hanging="540"/>
              <w:rPr>
                <w:rFonts w:ascii="仿宋_GB2312" w:eastAsia="仿宋_GB2312"/>
                <w:kern w:val="2"/>
                <w:sz w:val="24"/>
                <w:szCs w:val="24"/>
                <w:highlight w:val="none"/>
              </w:rPr>
            </w:pPr>
          </w:p>
        </w:tc>
        <w:tc>
          <w:tcPr>
            <w:tcW w:w="1605" w:type="dxa"/>
          </w:tcPr>
          <w:p>
            <w:pPr>
              <w:pStyle w:val="13"/>
              <w:spacing w:line="240" w:lineRule="atLeast"/>
              <w:ind w:left="1080" w:leftChars="257" w:hanging="540"/>
              <w:rPr>
                <w:rFonts w:ascii="仿宋_GB2312" w:eastAsia="仿宋_GB2312"/>
                <w:kern w:val="2"/>
                <w:sz w:val="24"/>
                <w:szCs w:val="24"/>
                <w:highlight w:val="none"/>
              </w:rPr>
            </w:pPr>
          </w:p>
        </w:tc>
        <w:tc>
          <w:tcPr>
            <w:tcW w:w="1693" w:type="dxa"/>
          </w:tcPr>
          <w:p>
            <w:pPr>
              <w:pStyle w:val="13"/>
              <w:spacing w:line="240" w:lineRule="atLeast"/>
              <w:ind w:left="1080" w:leftChars="257" w:hanging="540"/>
              <w:rPr>
                <w:rFonts w:ascii="仿宋_GB2312" w:eastAsia="仿宋_GB2312"/>
                <w:kern w:val="2"/>
                <w:sz w:val="24"/>
                <w:szCs w:val="24"/>
                <w:highlight w:val="none"/>
              </w:rPr>
            </w:pPr>
          </w:p>
        </w:tc>
        <w:tc>
          <w:tcPr>
            <w:tcW w:w="1322" w:type="dxa"/>
          </w:tcPr>
          <w:p>
            <w:pPr>
              <w:pStyle w:val="13"/>
              <w:spacing w:line="240" w:lineRule="atLeast"/>
              <w:ind w:left="1080" w:leftChars="257" w:hanging="540"/>
              <w:rPr>
                <w:rFonts w:ascii="仿宋_GB2312" w:eastAsia="仿宋_GB2312"/>
                <w:kern w:val="2"/>
                <w:sz w:val="24"/>
                <w:szCs w:val="24"/>
                <w:highlight w:val="none"/>
              </w:rPr>
            </w:pPr>
          </w:p>
        </w:tc>
        <w:tc>
          <w:tcPr>
            <w:tcW w:w="2040" w:type="dxa"/>
          </w:tcPr>
          <w:p>
            <w:pPr>
              <w:pStyle w:val="13"/>
              <w:spacing w:line="240" w:lineRule="atLeast"/>
              <w:ind w:left="1080" w:leftChars="257" w:hanging="540"/>
              <w:rPr>
                <w:rFonts w:ascii="仿宋_GB2312" w:eastAsia="仿宋_GB2312"/>
                <w:kern w:val="2"/>
                <w:sz w:val="24"/>
                <w:szCs w:val="24"/>
                <w:highlight w:val="none"/>
              </w:rPr>
            </w:pPr>
          </w:p>
        </w:tc>
      </w:tr>
    </w:tbl>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注：</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未按要求将招标文件和投标文件所投设备（服务）进行对比，而只是笼统地说明无偏离、完全复制招标文件参数的，视为不合格标。</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投标产品无型号、产地、数量、单价等视为不合格标。</w:t>
      </w:r>
    </w:p>
    <w:p>
      <w:pPr>
        <w:spacing w:line="400" w:lineRule="exact"/>
        <w:rPr>
          <w:rFonts w:ascii="仿宋_GB2312" w:hAnsi="宋体" w:eastAsia="仿宋_GB2312" w:cs="Times New Roman"/>
          <w:sz w:val="24"/>
          <w:szCs w:val="24"/>
          <w:highlight w:val="none"/>
          <w:lang w:bidi="ar-SA"/>
        </w:rPr>
      </w:pPr>
    </w:p>
    <w:tbl>
      <w:tblPr>
        <w:tblStyle w:val="24"/>
        <w:tblW w:w="0" w:type="auto"/>
        <w:tblInd w:w="0" w:type="dxa"/>
        <w:tblLayout w:type="autofit"/>
        <w:tblCellMar>
          <w:top w:w="0" w:type="dxa"/>
          <w:left w:w="108" w:type="dxa"/>
          <w:bottom w:w="0" w:type="dxa"/>
          <w:right w:w="108" w:type="dxa"/>
        </w:tblCellMar>
      </w:tblPr>
      <w:tblGrid>
        <w:gridCol w:w="3700"/>
        <w:gridCol w:w="456"/>
        <w:gridCol w:w="3734"/>
      </w:tblGrid>
      <w:tr>
        <w:trPr>
          <w:trHeight w:val="521" w:hRule="atLeast"/>
        </w:trPr>
        <w:tc>
          <w:tcPr>
            <w:tcW w:w="3700"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法定代表人或其委托代理人签字</w:t>
            </w:r>
          </w:p>
        </w:tc>
        <w:tc>
          <w:tcPr>
            <w:tcW w:w="288" w:type="dxa"/>
          </w:tcPr>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w:t>
            </w:r>
          </w:p>
        </w:tc>
        <w:tc>
          <w:tcPr>
            <w:tcW w:w="3734" w:type="dxa"/>
            <w:tcBorders>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43" w:hRule="atLeast"/>
        </w:trPr>
        <w:tc>
          <w:tcPr>
            <w:tcW w:w="3700"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投标人</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盖单位章</w:t>
            </w:r>
            <w:r>
              <w:rPr>
                <w:rFonts w:ascii="仿宋_GB2312" w:hAnsi="宋体" w:eastAsia="仿宋_GB2312" w:cs="Times New Roman"/>
                <w:sz w:val="24"/>
                <w:szCs w:val="24"/>
                <w:highlight w:val="none"/>
                <w:lang w:bidi="ar-SA"/>
              </w:rPr>
              <w:t>)</w:t>
            </w:r>
          </w:p>
        </w:tc>
        <w:tc>
          <w:tcPr>
            <w:tcW w:w="288" w:type="dxa"/>
          </w:tcPr>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w:t>
            </w:r>
          </w:p>
        </w:tc>
        <w:tc>
          <w:tcPr>
            <w:tcW w:w="373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43" w:hRule="atLeast"/>
        </w:trPr>
        <w:tc>
          <w:tcPr>
            <w:tcW w:w="3700"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日期</w:t>
            </w:r>
          </w:p>
        </w:tc>
        <w:tc>
          <w:tcPr>
            <w:tcW w:w="288" w:type="dxa"/>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373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bl>
    <w:p>
      <w:pPr>
        <w:spacing w:line="400" w:lineRule="exact"/>
        <w:jc w:val="center"/>
        <w:rPr>
          <w:rFonts w:ascii="仿宋_GB2312" w:hAnsi="宋体" w:eastAsia="仿宋_GB2312" w:cs="Times New Roman"/>
          <w:b/>
          <w:bCs/>
          <w:sz w:val="28"/>
          <w:szCs w:val="28"/>
          <w:highlight w:val="none"/>
          <w:lang w:bidi="ar-SA"/>
        </w:rPr>
      </w:pPr>
    </w:p>
    <w:p>
      <w:pPr>
        <w:pStyle w:val="5"/>
        <w:rPr>
          <w:highlight w:val="none"/>
          <w:lang w:bidi="ar-SA"/>
        </w:rPr>
      </w:pPr>
      <w:r>
        <w:rPr>
          <w:highlight w:val="none"/>
          <w:lang w:bidi="ar-SA"/>
        </w:rPr>
        <w:br w:type="page"/>
      </w:r>
      <w:bookmarkStart w:id="43" w:name="_Toc75443032"/>
      <w:r>
        <w:rPr>
          <w:highlight w:val="none"/>
          <w:lang w:bidi="ar-SA"/>
        </w:rPr>
        <w:t>5.</w:t>
      </w:r>
      <w:r>
        <w:rPr>
          <w:rFonts w:hint="eastAsia"/>
          <w:highlight w:val="none"/>
          <w:lang w:bidi="ar-SA"/>
        </w:rPr>
        <w:t>商务条款偏离表（投标文件格式七）</w:t>
      </w:r>
      <w:bookmarkEnd w:id="43"/>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项目名称</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项目</w:t>
      </w:r>
      <w:r>
        <w:rPr>
          <w:rFonts w:hint="eastAsia" w:ascii="仿宋_GB2312" w:hAnsi="宋体" w:eastAsia="仿宋_GB2312" w:cs="Times New Roman"/>
          <w:sz w:val="24"/>
          <w:szCs w:val="24"/>
          <w:highlight w:val="none"/>
          <w:lang w:bidi="ar-SA"/>
        </w:rPr>
        <w:t>编号</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 xml:space="preserve"> 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val="en-US" w:eastAsia="zh-CN" w:bidi="ar-SA"/>
        </w:rPr>
        <w:t>标段</w:t>
      </w:r>
    </w:p>
    <w:tbl>
      <w:tblPr>
        <w:tblStyle w:val="2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13"/>
        <w:gridCol w:w="2520"/>
        <w:gridCol w:w="1463"/>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序号</w:t>
            </w:r>
          </w:p>
        </w:tc>
        <w:tc>
          <w:tcPr>
            <w:tcW w:w="2113" w:type="dxa"/>
          </w:tcPr>
          <w:p>
            <w:pPr>
              <w:pStyle w:val="13"/>
              <w:spacing w:line="240" w:lineRule="atLeast"/>
              <w:jc w:val="both"/>
              <w:rPr>
                <w:rFonts w:ascii="仿宋_GB2312" w:eastAsia="仿宋_GB2312"/>
                <w:kern w:val="2"/>
                <w:sz w:val="24"/>
                <w:szCs w:val="24"/>
                <w:highlight w:val="none"/>
              </w:rPr>
            </w:pPr>
            <w:r>
              <w:rPr>
                <w:rFonts w:hint="eastAsia" w:ascii="仿宋_GB2312" w:eastAsia="仿宋_GB2312"/>
                <w:kern w:val="2"/>
                <w:sz w:val="24"/>
                <w:szCs w:val="24"/>
                <w:highlight w:val="none"/>
              </w:rPr>
              <w:t>招标文件条款号</w:t>
            </w:r>
          </w:p>
        </w:tc>
        <w:tc>
          <w:tcPr>
            <w:tcW w:w="2520"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招标文件的商务条款</w:t>
            </w:r>
          </w:p>
        </w:tc>
        <w:tc>
          <w:tcPr>
            <w:tcW w:w="1463"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投标文件的商务条款</w:t>
            </w:r>
          </w:p>
        </w:tc>
        <w:tc>
          <w:tcPr>
            <w:tcW w:w="1957" w:type="dxa"/>
          </w:tcPr>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偏离情况</w:t>
            </w:r>
          </w:p>
          <w:p>
            <w:pPr>
              <w:pStyle w:val="13"/>
              <w:spacing w:line="240" w:lineRule="atLeast"/>
              <w:jc w:val="center"/>
              <w:rPr>
                <w:rFonts w:ascii="仿宋_GB2312" w:eastAsia="仿宋_GB2312"/>
                <w:kern w:val="2"/>
                <w:sz w:val="24"/>
                <w:szCs w:val="24"/>
                <w:highlight w:val="none"/>
              </w:rPr>
            </w:pPr>
            <w:r>
              <w:rPr>
                <w:rFonts w:hint="eastAsia" w:ascii="仿宋_GB2312" w:eastAsia="仿宋_GB2312"/>
                <w:kern w:val="2"/>
                <w:sz w:val="24"/>
                <w:szCs w:val="24"/>
                <w:highlight w:val="none"/>
              </w:rPr>
              <w:t>（无偏离、正偏离、负偏离、不能确定）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jc w:val="center"/>
              <w:rPr>
                <w:rFonts w:ascii="仿宋_GB2312" w:eastAsia="仿宋_GB2312"/>
                <w:kern w:val="2"/>
                <w:sz w:val="24"/>
                <w:szCs w:val="24"/>
                <w:highlight w:val="none"/>
              </w:rPr>
            </w:pPr>
          </w:p>
        </w:tc>
        <w:tc>
          <w:tcPr>
            <w:tcW w:w="1463" w:type="dxa"/>
          </w:tcPr>
          <w:p>
            <w:pPr>
              <w:pStyle w:val="13"/>
              <w:spacing w:line="240" w:lineRule="atLeast"/>
              <w:ind w:left="1080" w:leftChars="257" w:hanging="540"/>
              <w:jc w:val="center"/>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5" w:type="dxa"/>
          </w:tcPr>
          <w:p>
            <w:pPr>
              <w:pStyle w:val="13"/>
              <w:spacing w:line="240" w:lineRule="atLeast"/>
              <w:ind w:left="1080" w:leftChars="257" w:hanging="540"/>
              <w:rPr>
                <w:rFonts w:ascii="仿宋_GB2312" w:eastAsia="仿宋_GB2312"/>
                <w:kern w:val="2"/>
                <w:sz w:val="24"/>
                <w:szCs w:val="24"/>
                <w:highlight w:val="none"/>
              </w:rPr>
            </w:pPr>
          </w:p>
        </w:tc>
        <w:tc>
          <w:tcPr>
            <w:tcW w:w="2113" w:type="dxa"/>
          </w:tcPr>
          <w:p>
            <w:pPr>
              <w:pStyle w:val="13"/>
              <w:spacing w:line="240" w:lineRule="atLeast"/>
              <w:ind w:left="1080" w:leftChars="257" w:hanging="540"/>
              <w:rPr>
                <w:rFonts w:ascii="仿宋_GB2312" w:eastAsia="仿宋_GB2312"/>
                <w:kern w:val="2"/>
                <w:sz w:val="24"/>
                <w:szCs w:val="24"/>
                <w:highlight w:val="none"/>
              </w:rPr>
            </w:pPr>
          </w:p>
        </w:tc>
        <w:tc>
          <w:tcPr>
            <w:tcW w:w="2520" w:type="dxa"/>
          </w:tcPr>
          <w:p>
            <w:pPr>
              <w:pStyle w:val="13"/>
              <w:spacing w:line="240" w:lineRule="atLeast"/>
              <w:ind w:left="1080" w:leftChars="257" w:hanging="540"/>
              <w:rPr>
                <w:rFonts w:ascii="仿宋_GB2312" w:eastAsia="仿宋_GB2312"/>
                <w:kern w:val="2"/>
                <w:sz w:val="24"/>
                <w:szCs w:val="24"/>
                <w:highlight w:val="none"/>
              </w:rPr>
            </w:pPr>
          </w:p>
        </w:tc>
        <w:tc>
          <w:tcPr>
            <w:tcW w:w="1463" w:type="dxa"/>
          </w:tcPr>
          <w:p>
            <w:pPr>
              <w:pStyle w:val="13"/>
              <w:spacing w:line="240" w:lineRule="atLeast"/>
              <w:ind w:left="1080" w:leftChars="257" w:hanging="540"/>
              <w:rPr>
                <w:rFonts w:ascii="仿宋_GB2312" w:eastAsia="仿宋_GB2312"/>
                <w:kern w:val="2"/>
                <w:sz w:val="24"/>
                <w:szCs w:val="24"/>
                <w:highlight w:val="none"/>
              </w:rPr>
            </w:pPr>
          </w:p>
        </w:tc>
        <w:tc>
          <w:tcPr>
            <w:tcW w:w="1957" w:type="dxa"/>
          </w:tcPr>
          <w:p>
            <w:pPr>
              <w:pStyle w:val="13"/>
              <w:spacing w:line="240" w:lineRule="atLeast"/>
              <w:ind w:left="1080" w:leftChars="257" w:hanging="540"/>
              <w:rPr>
                <w:rFonts w:ascii="仿宋_GB2312" w:eastAsia="仿宋_GB2312"/>
                <w:kern w:val="2"/>
                <w:sz w:val="24"/>
                <w:szCs w:val="24"/>
                <w:highlight w:val="none"/>
              </w:rPr>
            </w:pPr>
          </w:p>
        </w:tc>
      </w:tr>
    </w:tbl>
    <w:p>
      <w:pPr>
        <w:spacing w:line="400" w:lineRule="exact"/>
        <w:rPr>
          <w:rFonts w:ascii="仿宋_GB2312" w:hAnsi="宋体" w:eastAsia="仿宋_GB2312" w:cs="Times New Roman"/>
          <w:sz w:val="24"/>
          <w:szCs w:val="24"/>
          <w:highlight w:val="none"/>
          <w:lang w:bidi="ar-SA"/>
        </w:rPr>
      </w:pPr>
    </w:p>
    <w:tbl>
      <w:tblPr>
        <w:tblStyle w:val="24"/>
        <w:tblW w:w="0" w:type="auto"/>
        <w:tblInd w:w="0" w:type="dxa"/>
        <w:tblLayout w:type="autofit"/>
        <w:tblCellMar>
          <w:top w:w="0" w:type="dxa"/>
          <w:left w:w="108" w:type="dxa"/>
          <w:bottom w:w="0" w:type="dxa"/>
          <w:right w:w="108" w:type="dxa"/>
        </w:tblCellMar>
      </w:tblPr>
      <w:tblGrid>
        <w:gridCol w:w="3700"/>
        <w:gridCol w:w="456"/>
        <w:gridCol w:w="3734"/>
      </w:tblGrid>
      <w:tr>
        <w:tblPrEx>
          <w:tblCellMar>
            <w:top w:w="0" w:type="dxa"/>
            <w:left w:w="108" w:type="dxa"/>
            <w:bottom w:w="0" w:type="dxa"/>
            <w:right w:w="108" w:type="dxa"/>
          </w:tblCellMar>
        </w:tblPrEx>
        <w:trPr>
          <w:trHeight w:val="521" w:hRule="atLeast"/>
        </w:trPr>
        <w:tc>
          <w:tcPr>
            <w:tcW w:w="3700"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法定代表人或其委托代理人签字</w:t>
            </w:r>
          </w:p>
        </w:tc>
        <w:tc>
          <w:tcPr>
            <w:tcW w:w="288" w:type="dxa"/>
          </w:tcPr>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w:t>
            </w:r>
          </w:p>
        </w:tc>
        <w:tc>
          <w:tcPr>
            <w:tcW w:w="3734" w:type="dxa"/>
            <w:tcBorders>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43" w:hRule="atLeast"/>
        </w:trPr>
        <w:tc>
          <w:tcPr>
            <w:tcW w:w="3700"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投标人</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盖单位章</w:t>
            </w:r>
            <w:r>
              <w:rPr>
                <w:rFonts w:ascii="仿宋_GB2312" w:hAnsi="宋体" w:eastAsia="仿宋_GB2312" w:cs="Times New Roman"/>
                <w:sz w:val="24"/>
                <w:szCs w:val="24"/>
                <w:highlight w:val="none"/>
                <w:lang w:bidi="ar-SA"/>
              </w:rPr>
              <w:t>)</w:t>
            </w:r>
          </w:p>
        </w:tc>
        <w:tc>
          <w:tcPr>
            <w:tcW w:w="288" w:type="dxa"/>
          </w:tcPr>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w:t>
            </w:r>
          </w:p>
        </w:tc>
        <w:tc>
          <w:tcPr>
            <w:tcW w:w="373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543" w:hRule="atLeast"/>
        </w:trPr>
        <w:tc>
          <w:tcPr>
            <w:tcW w:w="3700" w:type="dxa"/>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日期</w:t>
            </w:r>
          </w:p>
        </w:tc>
        <w:tc>
          <w:tcPr>
            <w:tcW w:w="288" w:type="dxa"/>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3734"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bl>
    <w:p>
      <w:pPr>
        <w:spacing w:line="400" w:lineRule="exact"/>
        <w:jc w:val="center"/>
        <w:rPr>
          <w:rFonts w:ascii="仿宋_GB2312" w:hAnsi="宋体" w:eastAsia="仿宋_GB2312" w:cs="Times New Roman"/>
          <w:b/>
          <w:bCs/>
          <w:sz w:val="28"/>
          <w:szCs w:val="28"/>
          <w:highlight w:val="none"/>
          <w:lang w:bidi="ar-SA"/>
        </w:rPr>
      </w:pPr>
    </w:p>
    <w:p>
      <w:pPr>
        <w:widowControl/>
        <w:jc w:val="left"/>
        <w:rPr>
          <w:rFonts w:ascii="仿宋_GB2312" w:hAnsi="宋体" w:eastAsia="仿宋_GB2312" w:cs="Times New Roman"/>
          <w:b/>
          <w:bCs/>
          <w:sz w:val="28"/>
          <w:szCs w:val="28"/>
          <w:highlight w:val="none"/>
          <w:lang w:bidi="ar-SA"/>
        </w:rPr>
      </w:pPr>
    </w:p>
    <w:p>
      <w:pPr>
        <w:pStyle w:val="5"/>
        <w:rPr>
          <w:highlight w:val="none"/>
        </w:rPr>
      </w:pPr>
      <w:r>
        <w:rPr>
          <w:szCs w:val="28"/>
          <w:highlight w:val="none"/>
          <w:lang w:bidi="ar-SA"/>
        </w:rPr>
        <w:br w:type="page"/>
      </w:r>
      <w:bookmarkStart w:id="44" w:name="_Toc75443033"/>
      <w:r>
        <w:rPr>
          <w:szCs w:val="28"/>
          <w:highlight w:val="none"/>
          <w:lang w:bidi="ar-SA"/>
        </w:rPr>
        <w:t>6-1</w:t>
      </w:r>
      <w:r>
        <w:rPr>
          <w:rFonts w:hint="eastAsia"/>
          <w:highlight w:val="none"/>
        </w:rPr>
        <w:t>中小企业声明函（投标文件格式八）</w:t>
      </w:r>
      <w:bookmarkEnd w:id="44"/>
    </w:p>
    <w:p>
      <w:pPr>
        <w:spacing w:line="400" w:lineRule="exact"/>
        <w:rPr>
          <w:rFonts w:ascii="仿宋" w:hAnsi="仿宋" w:eastAsia="仿宋"/>
          <w:i w:val="0"/>
          <w:iCs w:val="0"/>
          <w:sz w:val="24"/>
          <w:szCs w:val="24"/>
          <w:highlight w:val="none"/>
        </w:rPr>
      </w:pPr>
      <w:r>
        <w:rPr>
          <w:rFonts w:hint="eastAsia" w:ascii="仿宋" w:hAnsi="仿宋" w:eastAsia="仿宋"/>
          <w:i w:val="0"/>
          <w:iCs w:val="0"/>
          <w:sz w:val="24"/>
          <w:szCs w:val="24"/>
          <w:highlight w:val="none"/>
        </w:rPr>
        <w:t>本公司（联合体）郑重声明，根据《政府采购促进中小企业发展管理办法》（财库〔</w:t>
      </w:r>
      <w:r>
        <w:rPr>
          <w:rFonts w:ascii="仿宋" w:hAnsi="仿宋" w:eastAsia="仿宋"/>
          <w:i w:val="0"/>
          <w:iCs w:val="0"/>
          <w:sz w:val="24"/>
          <w:szCs w:val="24"/>
          <w:highlight w:val="none"/>
        </w:rPr>
        <w:t>2020</w:t>
      </w:r>
      <w:r>
        <w:rPr>
          <w:rFonts w:hint="eastAsia" w:ascii="仿宋" w:hAnsi="仿宋" w:eastAsia="仿宋"/>
          <w:i w:val="0"/>
          <w:iCs w:val="0"/>
          <w:sz w:val="24"/>
          <w:szCs w:val="24"/>
          <w:highlight w:val="none"/>
        </w:rPr>
        <w:t>〕</w:t>
      </w:r>
      <w:r>
        <w:rPr>
          <w:rFonts w:ascii="仿宋" w:hAnsi="仿宋" w:eastAsia="仿宋"/>
          <w:i w:val="0"/>
          <w:iCs w:val="0"/>
          <w:sz w:val="24"/>
          <w:szCs w:val="24"/>
          <w:highlight w:val="none"/>
        </w:rPr>
        <w:t>46</w:t>
      </w:r>
      <w:r>
        <w:rPr>
          <w:rFonts w:hint="eastAsia" w:ascii="仿宋" w:hAnsi="仿宋" w:eastAsia="仿宋"/>
          <w:i w:val="0"/>
          <w:iCs w:val="0"/>
          <w:sz w:val="24"/>
          <w:szCs w:val="24"/>
          <w:highlight w:val="none"/>
        </w:rPr>
        <w:t>号）的规定，本公司（联合体）参加</w:t>
      </w:r>
      <w:r>
        <w:rPr>
          <w:rFonts w:hint="eastAsia" w:ascii="仿宋" w:hAnsi="仿宋" w:eastAsia="仿宋"/>
          <w:i w:val="0"/>
          <w:iCs w:val="0"/>
          <w:sz w:val="24"/>
          <w:szCs w:val="24"/>
          <w:highlight w:val="none"/>
          <w:u w:val="single"/>
        </w:rPr>
        <w:t>（单位名称）</w:t>
      </w:r>
      <w:r>
        <w:rPr>
          <w:rFonts w:hint="eastAsia" w:ascii="仿宋" w:hAnsi="仿宋" w:eastAsia="仿宋"/>
          <w:i w:val="0"/>
          <w:iCs w:val="0"/>
          <w:sz w:val="24"/>
          <w:szCs w:val="24"/>
          <w:highlight w:val="none"/>
        </w:rPr>
        <w:t>的</w:t>
      </w:r>
      <w:r>
        <w:rPr>
          <w:rFonts w:hint="eastAsia" w:ascii="仿宋" w:hAnsi="仿宋" w:eastAsia="仿宋"/>
          <w:i w:val="0"/>
          <w:iCs w:val="0"/>
          <w:sz w:val="24"/>
          <w:szCs w:val="24"/>
          <w:highlight w:val="none"/>
          <w:u w:val="single"/>
        </w:rPr>
        <w:t>（项目名称）</w:t>
      </w:r>
      <w:r>
        <w:rPr>
          <w:rFonts w:hint="eastAsia" w:ascii="仿宋_GB2312" w:hAnsi="宋体" w:eastAsia="仿宋_GB2312" w:cs="Times New Roman"/>
          <w:sz w:val="24"/>
          <w:szCs w:val="24"/>
          <w:highlight w:val="none"/>
          <w:lang w:val="en-US" w:eastAsia="zh-CN" w:bidi="ar-SA"/>
        </w:rPr>
        <w:t>第</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val="en-US" w:eastAsia="zh-CN" w:bidi="ar-SA"/>
        </w:rPr>
        <w:t>标段</w:t>
      </w:r>
      <w:r>
        <w:rPr>
          <w:rFonts w:hint="eastAsia" w:ascii="仿宋" w:hAnsi="仿宋" w:eastAsia="仿宋"/>
          <w:i w:val="0"/>
          <w:iCs w:val="0"/>
          <w:sz w:val="24"/>
          <w:szCs w:val="24"/>
          <w:highlight w:val="none"/>
        </w:rPr>
        <w:t>采购活动，提供的货物（服务）全部由符合政策要求的中小企业制造（提供服务）。相关企业（含联合体中的中小企业、签订分包意向协议的中小企业）的具体情况如下：</w:t>
      </w:r>
    </w:p>
    <w:p>
      <w:pPr>
        <w:pStyle w:val="13"/>
        <w:spacing w:line="360" w:lineRule="auto"/>
        <w:ind w:firstLine="480" w:firstLineChars="200"/>
        <w:rPr>
          <w:rFonts w:ascii="仿宋" w:hAnsi="仿宋" w:eastAsia="仿宋"/>
          <w:i w:val="0"/>
          <w:iCs w:val="0"/>
          <w:sz w:val="24"/>
          <w:szCs w:val="24"/>
          <w:highlight w:val="none"/>
        </w:rPr>
      </w:pPr>
      <w:r>
        <w:rPr>
          <w:rFonts w:ascii="仿宋" w:hAnsi="仿宋" w:eastAsia="仿宋"/>
          <w:i w:val="0"/>
          <w:iCs w:val="0"/>
          <w:sz w:val="24"/>
          <w:szCs w:val="24"/>
          <w:highlight w:val="none"/>
        </w:rPr>
        <w:t>1</w:t>
      </w:r>
      <w:r>
        <w:rPr>
          <w:rFonts w:hint="eastAsia" w:ascii="仿宋" w:hAnsi="仿宋" w:eastAsia="仿宋"/>
          <w:i w:val="0"/>
          <w:iCs w:val="0"/>
          <w:sz w:val="24"/>
          <w:szCs w:val="24"/>
          <w:highlight w:val="none"/>
        </w:rPr>
        <w:t>．</w:t>
      </w:r>
      <w:r>
        <w:rPr>
          <w:rFonts w:hint="eastAsia" w:ascii="仿宋" w:hAnsi="仿宋" w:eastAsia="仿宋"/>
          <w:i w:val="0"/>
          <w:iCs w:val="0"/>
          <w:sz w:val="24"/>
          <w:szCs w:val="24"/>
          <w:highlight w:val="none"/>
          <w:u w:val="single"/>
        </w:rPr>
        <w:t>（标的名称）</w:t>
      </w:r>
      <w:r>
        <w:rPr>
          <w:rFonts w:hint="eastAsia" w:ascii="仿宋" w:hAnsi="仿宋" w:eastAsia="仿宋"/>
          <w:i w:val="0"/>
          <w:iCs w:val="0"/>
          <w:sz w:val="24"/>
          <w:szCs w:val="24"/>
          <w:highlight w:val="none"/>
        </w:rPr>
        <w:t>，属于</w:t>
      </w:r>
      <w:r>
        <w:rPr>
          <w:rFonts w:hint="eastAsia" w:ascii="仿宋" w:hAnsi="仿宋" w:eastAsia="仿宋"/>
          <w:i w:val="0"/>
          <w:iCs w:val="0"/>
          <w:sz w:val="24"/>
          <w:szCs w:val="24"/>
          <w:highlight w:val="none"/>
          <w:u w:val="single"/>
        </w:rPr>
        <w:t>（采购文件中明确的所属行业）</w:t>
      </w:r>
      <w:r>
        <w:rPr>
          <w:rFonts w:hint="eastAsia" w:ascii="仿宋" w:hAnsi="仿宋" w:eastAsia="仿宋"/>
          <w:i w:val="0"/>
          <w:iCs w:val="0"/>
          <w:sz w:val="24"/>
          <w:szCs w:val="24"/>
          <w:highlight w:val="none"/>
        </w:rPr>
        <w:t>；制造商（承接企业）为</w:t>
      </w:r>
      <w:r>
        <w:rPr>
          <w:rFonts w:hint="eastAsia" w:ascii="仿宋" w:hAnsi="仿宋" w:eastAsia="仿宋"/>
          <w:i w:val="0"/>
          <w:iCs w:val="0"/>
          <w:sz w:val="24"/>
          <w:szCs w:val="24"/>
          <w:highlight w:val="none"/>
          <w:u w:val="single"/>
        </w:rPr>
        <w:t>（企业名称）</w:t>
      </w:r>
      <w:r>
        <w:rPr>
          <w:rFonts w:hint="eastAsia" w:ascii="仿宋" w:hAnsi="仿宋" w:eastAsia="仿宋"/>
          <w:i w:val="0"/>
          <w:iCs w:val="0"/>
          <w:sz w:val="24"/>
          <w:szCs w:val="24"/>
          <w:highlight w:val="none"/>
        </w:rPr>
        <w:t>，从业人员人，营业收入为万元，资产总额为万元</w:t>
      </w:r>
      <w:r>
        <w:rPr>
          <w:rFonts w:ascii="仿宋" w:hAnsi="仿宋" w:eastAsia="仿宋"/>
          <w:i w:val="0"/>
          <w:iCs w:val="0"/>
          <w:sz w:val="24"/>
          <w:szCs w:val="24"/>
          <w:highlight w:val="none"/>
          <w:vertAlign w:val="superscript"/>
        </w:rPr>
        <w:t>1</w:t>
      </w:r>
      <w:r>
        <w:rPr>
          <w:rFonts w:hint="eastAsia" w:ascii="仿宋" w:hAnsi="仿宋" w:eastAsia="仿宋"/>
          <w:i w:val="0"/>
          <w:iCs w:val="0"/>
          <w:sz w:val="24"/>
          <w:szCs w:val="24"/>
          <w:highlight w:val="none"/>
        </w:rPr>
        <w:t>，属于（中型企业、小型企业、微型企业）；</w:t>
      </w:r>
    </w:p>
    <w:p>
      <w:pPr>
        <w:pStyle w:val="13"/>
        <w:spacing w:line="360" w:lineRule="auto"/>
        <w:ind w:firstLine="480" w:firstLineChars="200"/>
        <w:rPr>
          <w:rFonts w:ascii="仿宋" w:hAnsi="仿宋" w:eastAsia="仿宋"/>
          <w:i w:val="0"/>
          <w:iCs w:val="0"/>
          <w:sz w:val="24"/>
          <w:szCs w:val="24"/>
          <w:highlight w:val="none"/>
        </w:rPr>
      </w:pPr>
      <w:r>
        <w:rPr>
          <w:rFonts w:ascii="仿宋" w:hAnsi="仿宋" w:eastAsia="仿宋"/>
          <w:i w:val="0"/>
          <w:iCs w:val="0"/>
          <w:sz w:val="24"/>
          <w:szCs w:val="24"/>
          <w:highlight w:val="none"/>
        </w:rPr>
        <w:t>2</w:t>
      </w:r>
      <w:r>
        <w:rPr>
          <w:rFonts w:hint="eastAsia" w:ascii="仿宋" w:hAnsi="仿宋" w:eastAsia="仿宋"/>
          <w:i w:val="0"/>
          <w:iCs w:val="0"/>
          <w:sz w:val="24"/>
          <w:szCs w:val="24"/>
          <w:highlight w:val="none"/>
        </w:rPr>
        <w:t>．</w:t>
      </w:r>
      <w:r>
        <w:rPr>
          <w:rFonts w:hint="eastAsia" w:ascii="仿宋" w:hAnsi="仿宋" w:eastAsia="仿宋"/>
          <w:i w:val="0"/>
          <w:iCs w:val="0"/>
          <w:sz w:val="24"/>
          <w:szCs w:val="24"/>
          <w:highlight w:val="none"/>
          <w:u w:val="single"/>
        </w:rPr>
        <w:t>（标的名称）</w:t>
      </w:r>
      <w:r>
        <w:rPr>
          <w:rFonts w:hint="eastAsia" w:ascii="仿宋" w:hAnsi="仿宋" w:eastAsia="仿宋"/>
          <w:i w:val="0"/>
          <w:iCs w:val="0"/>
          <w:sz w:val="24"/>
          <w:szCs w:val="24"/>
          <w:highlight w:val="none"/>
        </w:rPr>
        <w:t>，属于</w:t>
      </w:r>
      <w:r>
        <w:rPr>
          <w:rFonts w:hint="eastAsia" w:ascii="仿宋" w:hAnsi="仿宋" w:eastAsia="仿宋"/>
          <w:i w:val="0"/>
          <w:iCs w:val="0"/>
          <w:sz w:val="24"/>
          <w:szCs w:val="24"/>
          <w:highlight w:val="none"/>
          <w:u w:val="single"/>
        </w:rPr>
        <w:t>（采购文件中明确的所属行业）</w:t>
      </w:r>
      <w:r>
        <w:rPr>
          <w:rFonts w:hint="eastAsia" w:ascii="仿宋" w:hAnsi="仿宋" w:eastAsia="仿宋"/>
          <w:i w:val="0"/>
          <w:iCs w:val="0"/>
          <w:sz w:val="24"/>
          <w:szCs w:val="24"/>
          <w:highlight w:val="none"/>
        </w:rPr>
        <w:t>；制造商（承接企业）为</w:t>
      </w:r>
      <w:r>
        <w:rPr>
          <w:rFonts w:hint="eastAsia" w:ascii="仿宋" w:hAnsi="仿宋" w:eastAsia="仿宋"/>
          <w:i w:val="0"/>
          <w:iCs w:val="0"/>
          <w:sz w:val="24"/>
          <w:szCs w:val="24"/>
          <w:highlight w:val="none"/>
          <w:u w:val="single"/>
        </w:rPr>
        <w:t>（企业名称）</w:t>
      </w:r>
      <w:r>
        <w:rPr>
          <w:rFonts w:hint="eastAsia" w:ascii="仿宋" w:hAnsi="仿宋" w:eastAsia="仿宋"/>
          <w:i w:val="0"/>
          <w:iCs w:val="0"/>
          <w:sz w:val="24"/>
          <w:szCs w:val="24"/>
          <w:highlight w:val="none"/>
        </w:rPr>
        <w:t>，从业人员人，营业收入为万元，资产总额为万元</w:t>
      </w:r>
      <w:r>
        <w:rPr>
          <w:rFonts w:ascii="仿宋" w:hAnsi="仿宋" w:eastAsia="仿宋"/>
          <w:i w:val="0"/>
          <w:iCs w:val="0"/>
          <w:sz w:val="24"/>
          <w:szCs w:val="24"/>
          <w:highlight w:val="none"/>
          <w:vertAlign w:val="superscript"/>
        </w:rPr>
        <w:t>1</w:t>
      </w:r>
      <w:r>
        <w:rPr>
          <w:rFonts w:hint="eastAsia" w:ascii="仿宋" w:hAnsi="仿宋" w:eastAsia="仿宋"/>
          <w:i w:val="0"/>
          <w:iCs w:val="0"/>
          <w:sz w:val="24"/>
          <w:szCs w:val="24"/>
          <w:highlight w:val="none"/>
        </w:rPr>
        <w:t>，属于（中型企业、小型企业、微型企业）；</w:t>
      </w:r>
    </w:p>
    <w:p>
      <w:pPr>
        <w:pStyle w:val="13"/>
        <w:spacing w:line="360" w:lineRule="auto"/>
        <w:ind w:firstLine="480" w:firstLineChars="200"/>
        <w:rPr>
          <w:rFonts w:ascii="仿宋" w:hAnsi="仿宋" w:eastAsia="仿宋"/>
          <w:i w:val="0"/>
          <w:iCs w:val="0"/>
          <w:sz w:val="24"/>
          <w:szCs w:val="24"/>
          <w:highlight w:val="none"/>
        </w:rPr>
      </w:pPr>
      <w:r>
        <w:rPr>
          <w:rFonts w:hint="eastAsia" w:ascii="仿宋" w:hAnsi="仿宋" w:eastAsia="仿宋"/>
          <w:i w:val="0"/>
          <w:iCs w:val="0"/>
          <w:sz w:val="24"/>
          <w:szCs w:val="24"/>
          <w:highlight w:val="none"/>
        </w:rPr>
        <w:t>……</w:t>
      </w:r>
      <w:r>
        <w:rPr>
          <w:rFonts w:ascii="仿宋" w:hAnsi="仿宋" w:eastAsia="仿宋"/>
          <w:i w:val="0"/>
          <w:iCs w:val="0"/>
          <w:sz w:val="24"/>
          <w:szCs w:val="24"/>
          <w:highlight w:val="none"/>
          <w:vertAlign w:val="superscript"/>
        </w:rPr>
        <w:t>2</w:t>
      </w:r>
    </w:p>
    <w:p>
      <w:pPr>
        <w:pStyle w:val="13"/>
        <w:spacing w:line="360" w:lineRule="auto"/>
        <w:ind w:firstLine="480" w:firstLineChars="200"/>
        <w:rPr>
          <w:rFonts w:ascii="仿宋" w:hAnsi="仿宋" w:eastAsia="仿宋"/>
          <w:i w:val="0"/>
          <w:iCs w:val="0"/>
          <w:sz w:val="24"/>
          <w:szCs w:val="24"/>
          <w:highlight w:val="none"/>
        </w:rPr>
      </w:pPr>
      <w:r>
        <w:rPr>
          <w:rFonts w:hint="eastAsia" w:ascii="仿宋" w:hAnsi="仿宋" w:eastAsia="仿宋"/>
          <w:i w:val="0"/>
          <w:iCs w:val="0"/>
          <w:sz w:val="24"/>
          <w:szCs w:val="24"/>
          <w:highlight w:val="none"/>
        </w:rPr>
        <w:t>以上企业，不属于大企业的分支机构，不存在控股股东为大企业的情形，也不存在与大企业的负责人为同一人的情形。</w:t>
      </w:r>
    </w:p>
    <w:p>
      <w:pPr>
        <w:pStyle w:val="13"/>
        <w:spacing w:line="360" w:lineRule="auto"/>
        <w:ind w:firstLine="480" w:firstLineChars="200"/>
        <w:rPr>
          <w:rFonts w:ascii="仿宋" w:hAnsi="仿宋" w:eastAsia="仿宋"/>
          <w:i w:val="0"/>
          <w:iCs w:val="0"/>
          <w:sz w:val="24"/>
          <w:szCs w:val="24"/>
          <w:highlight w:val="none"/>
        </w:rPr>
      </w:pPr>
      <w:r>
        <w:rPr>
          <w:rFonts w:hint="eastAsia" w:ascii="仿宋" w:hAnsi="仿宋" w:eastAsia="仿宋"/>
          <w:i w:val="0"/>
          <w:iCs w:val="0"/>
          <w:sz w:val="24"/>
          <w:szCs w:val="24"/>
          <w:highlight w:val="none"/>
        </w:rPr>
        <w:t>本企业对上述声明内容的真实性负责。如有虚假，将依法承担相应责任。</w:t>
      </w:r>
      <w:bookmarkStart w:id="45" w:name="_Toc60229736"/>
    </w:p>
    <w:p>
      <w:pPr>
        <w:ind w:left="1785" w:leftChars="450" w:hanging="840" w:hangingChars="350"/>
        <w:rPr>
          <w:rFonts w:ascii="仿宋" w:hAnsi="仿宋" w:eastAsia="仿宋" w:cs="Times New Roman"/>
          <w:i w:val="0"/>
          <w:iCs w:val="0"/>
          <w:kern w:val="0"/>
          <w:sz w:val="24"/>
          <w:szCs w:val="24"/>
          <w:highlight w:val="none"/>
          <w:lang w:bidi="ar-SA"/>
        </w:rPr>
      </w:pPr>
      <w:r>
        <w:rPr>
          <w:rFonts w:hint="eastAsia" w:ascii="仿宋" w:hAnsi="仿宋" w:eastAsia="仿宋" w:cs="Times New Roman"/>
          <w:i w:val="0"/>
          <w:iCs w:val="0"/>
          <w:kern w:val="0"/>
          <w:sz w:val="24"/>
          <w:szCs w:val="24"/>
          <w:highlight w:val="none"/>
          <w:lang w:bidi="ar-SA"/>
        </w:rPr>
        <w:t>注：</w:t>
      </w:r>
      <w:r>
        <w:rPr>
          <w:rFonts w:ascii="仿宋" w:hAnsi="仿宋" w:eastAsia="仿宋" w:cs="Times New Roman"/>
          <w:i w:val="0"/>
          <w:iCs w:val="0"/>
          <w:kern w:val="0"/>
          <w:sz w:val="24"/>
          <w:szCs w:val="24"/>
          <w:highlight w:val="none"/>
          <w:lang w:bidi="ar-SA"/>
        </w:rPr>
        <w:t>1.</w:t>
      </w:r>
      <w:r>
        <w:rPr>
          <w:rFonts w:hint="eastAsia" w:ascii="仿宋" w:hAnsi="仿宋" w:eastAsia="仿宋" w:cs="Times New Roman"/>
          <w:i w:val="0"/>
          <w:iCs w:val="0"/>
          <w:kern w:val="0"/>
          <w:sz w:val="24"/>
          <w:szCs w:val="24"/>
          <w:highlight w:val="none"/>
          <w:lang w:bidi="ar-SA"/>
        </w:rPr>
        <w:t>从业人员、营业收入、资产总额填报上一年度数据，无上一年度数据的新成立企业可不填报。</w:t>
      </w:r>
    </w:p>
    <w:bookmarkEnd w:id="45"/>
    <w:p>
      <w:pPr>
        <w:pStyle w:val="13"/>
        <w:spacing w:line="360" w:lineRule="auto"/>
        <w:ind w:firstLine="1440" w:firstLineChars="600"/>
        <w:rPr>
          <w:rFonts w:ascii="仿宋" w:hAnsi="仿宋" w:eastAsia="仿宋"/>
          <w:i w:val="0"/>
          <w:iCs w:val="0"/>
          <w:sz w:val="24"/>
          <w:szCs w:val="24"/>
          <w:highlight w:val="none"/>
        </w:rPr>
      </w:pPr>
      <w:r>
        <w:rPr>
          <w:rFonts w:ascii="仿宋" w:hAnsi="仿宋" w:eastAsia="仿宋"/>
          <w:i w:val="0"/>
          <w:iCs w:val="0"/>
          <w:sz w:val="24"/>
          <w:szCs w:val="24"/>
          <w:highlight w:val="none"/>
        </w:rPr>
        <w:t>2.</w:t>
      </w:r>
      <w:r>
        <w:rPr>
          <w:rFonts w:hint="eastAsia" w:ascii="仿宋" w:hAnsi="仿宋" w:eastAsia="仿宋"/>
          <w:i w:val="0"/>
          <w:iCs w:val="0"/>
          <w:sz w:val="24"/>
          <w:szCs w:val="24"/>
          <w:highlight w:val="none"/>
        </w:rPr>
        <w:t>如有多个标的，按实际标的数增加标的信息。</w:t>
      </w:r>
    </w:p>
    <w:p>
      <w:pPr>
        <w:pStyle w:val="13"/>
        <w:spacing w:line="360" w:lineRule="auto"/>
        <w:ind w:firstLine="1440" w:firstLineChars="600"/>
        <w:rPr>
          <w:rFonts w:ascii="仿宋" w:hAnsi="仿宋" w:eastAsia="仿宋"/>
          <w:i w:val="0"/>
          <w:iCs w:val="0"/>
          <w:sz w:val="24"/>
          <w:szCs w:val="24"/>
          <w:highlight w:val="none"/>
        </w:rPr>
      </w:pPr>
      <w:r>
        <w:rPr>
          <w:rFonts w:hint="eastAsia" w:ascii="仿宋" w:hAnsi="仿宋" w:eastAsia="仿宋"/>
          <w:i w:val="0"/>
          <w:iCs w:val="0"/>
          <w:sz w:val="24"/>
          <w:szCs w:val="24"/>
          <w:highlight w:val="none"/>
        </w:rPr>
        <w:t>3.企业类型应当填写中型企业、小型企业、微型企业；</w:t>
      </w:r>
    </w:p>
    <w:p>
      <w:pPr>
        <w:pStyle w:val="13"/>
        <w:spacing w:line="360" w:lineRule="auto"/>
        <w:ind w:firstLine="480" w:firstLineChars="200"/>
        <w:rPr>
          <w:rFonts w:ascii="仿宋" w:hAnsi="仿宋" w:eastAsia="仿宋"/>
          <w:sz w:val="24"/>
          <w:szCs w:val="24"/>
          <w:highlight w:val="none"/>
        </w:rPr>
      </w:pPr>
    </w:p>
    <w:p>
      <w:pPr>
        <w:pStyle w:val="13"/>
        <w:spacing w:line="360" w:lineRule="auto"/>
        <w:ind w:firstLine="480" w:firstLineChars="200"/>
        <w:rPr>
          <w:rFonts w:ascii="仿宋" w:hAnsi="仿宋" w:eastAsia="仿宋"/>
          <w:sz w:val="24"/>
          <w:szCs w:val="24"/>
          <w:highlight w:val="none"/>
        </w:rPr>
      </w:pPr>
    </w:p>
    <w:tbl>
      <w:tblPr>
        <w:tblStyle w:val="24"/>
        <w:tblW w:w="0" w:type="auto"/>
        <w:jc w:val="right"/>
        <w:tblLayout w:type="fixed"/>
        <w:tblCellMar>
          <w:top w:w="0" w:type="dxa"/>
          <w:left w:w="108" w:type="dxa"/>
          <w:bottom w:w="0" w:type="dxa"/>
          <w:right w:w="108" w:type="dxa"/>
        </w:tblCellMar>
      </w:tblPr>
      <w:tblGrid>
        <w:gridCol w:w="1961"/>
        <w:gridCol w:w="425"/>
        <w:gridCol w:w="1633"/>
      </w:tblGrid>
      <w:tr>
        <w:tblPrEx>
          <w:tblCellMar>
            <w:top w:w="0" w:type="dxa"/>
            <w:left w:w="108" w:type="dxa"/>
            <w:bottom w:w="0" w:type="dxa"/>
            <w:right w:w="108" w:type="dxa"/>
          </w:tblCellMar>
        </w:tblPrEx>
        <w:trPr>
          <w:trHeight w:val="757" w:hRule="atLeast"/>
          <w:jc w:val="right"/>
        </w:trPr>
        <w:tc>
          <w:tcPr>
            <w:tcW w:w="1961" w:type="dxa"/>
            <w:vAlign w:val="bottom"/>
          </w:tcPr>
          <w:p>
            <w:pPr>
              <w:spacing w:line="400" w:lineRule="exact"/>
              <w:jc w:val="distribute"/>
              <w:rPr>
                <w:rFonts w:ascii="仿宋" w:hAnsi="仿宋" w:eastAsia="仿宋" w:cs="Times New Roman"/>
                <w:sz w:val="24"/>
                <w:szCs w:val="24"/>
                <w:highlight w:val="none"/>
              </w:rPr>
            </w:pPr>
            <w:r>
              <w:rPr>
                <w:rFonts w:hint="eastAsia" w:ascii="仿宋" w:hAnsi="仿宋" w:eastAsia="仿宋"/>
                <w:sz w:val="24"/>
                <w:szCs w:val="24"/>
                <w:highlight w:val="none"/>
              </w:rPr>
              <w:t>企业名称（公章）</w:t>
            </w:r>
          </w:p>
        </w:tc>
        <w:tc>
          <w:tcPr>
            <w:tcW w:w="425" w:type="dxa"/>
            <w:vAlign w:val="bottom"/>
          </w:tcPr>
          <w:p>
            <w:pPr>
              <w:spacing w:line="40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w:t>
            </w:r>
          </w:p>
        </w:tc>
        <w:tc>
          <w:tcPr>
            <w:tcW w:w="1633" w:type="dxa"/>
            <w:tcBorders>
              <w:bottom w:val="single" w:color="auto" w:sz="4" w:space="0"/>
            </w:tcBorders>
          </w:tcPr>
          <w:p>
            <w:pPr>
              <w:rPr>
                <w:rFonts w:ascii="仿宋" w:hAnsi="仿宋" w:eastAsia="仿宋" w:cs="Times New Roman"/>
                <w:sz w:val="24"/>
                <w:szCs w:val="24"/>
                <w:highlight w:val="none"/>
              </w:rPr>
            </w:pPr>
          </w:p>
        </w:tc>
      </w:tr>
      <w:tr>
        <w:tblPrEx>
          <w:tblCellMar>
            <w:top w:w="0" w:type="dxa"/>
            <w:left w:w="108" w:type="dxa"/>
            <w:bottom w:w="0" w:type="dxa"/>
            <w:right w:w="108" w:type="dxa"/>
          </w:tblCellMar>
        </w:tblPrEx>
        <w:trPr>
          <w:trHeight w:val="757" w:hRule="atLeast"/>
          <w:jc w:val="right"/>
        </w:trPr>
        <w:tc>
          <w:tcPr>
            <w:tcW w:w="1961" w:type="dxa"/>
            <w:vAlign w:val="bottom"/>
          </w:tcPr>
          <w:p>
            <w:pPr>
              <w:spacing w:line="400" w:lineRule="exact"/>
              <w:jc w:val="distribute"/>
              <w:rPr>
                <w:rFonts w:ascii="仿宋" w:hAnsi="仿宋" w:eastAsia="仿宋" w:cs="Times New Roman"/>
                <w:sz w:val="24"/>
                <w:szCs w:val="24"/>
                <w:highlight w:val="none"/>
              </w:rPr>
            </w:pPr>
            <w:r>
              <w:rPr>
                <w:rFonts w:hint="eastAsia" w:ascii="仿宋" w:hAnsi="仿宋" w:eastAsia="仿宋"/>
                <w:sz w:val="24"/>
                <w:szCs w:val="24"/>
                <w:highlight w:val="none"/>
              </w:rPr>
              <w:t>日期</w:t>
            </w:r>
          </w:p>
        </w:tc>
        <w:tc>
          <w:tcPr>
            <w:tcW w:w="425" w:type="dxa"/>
            <w:vAlign w:val="bottom"/>
          </w:tcPr>
          <w:p>
            <w:pPr>
              <w:spacing w:line="40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w:t>
            </w:r>
          </w:p>
        </w:tc>
        <w:tc>
          <w:tcPr>
            <w:tcW w:w="1633" w:type="dxa"/>
            <w:tcBorders>
              <w:top w:val="single" w:color="auto" w:sz="4" w:space="0"/>
              <w:bottom w:val="single" w:color="auto" w:sz="4" w:space="0"/>
            </w:tcBorders>
          </w:tcPr>
          <w:p>
            <w:pPr>
              <w:spacing w:line="400" w:lineRule="exact"/>
              <w:rPr>
                <w:rFonts w:ascii="仿宋" w:hAnsi="仿宋" w:eastAsia="仿宋" w:cs="Times New Roman"/>
                <w:sz w:val="24"/>
                <w:szCs w:val="24"/>
                <w:highlight w:val="none"/>
              </w:rPr>
            </w:pPr>
          </w:p>
        </w:tc>
      </w:tr>
    </w:tbl>
    <w:p>
      <w:pPr>
        <w:rPr>
          <w:rFonts w:ascii="仿宋" w:hAnsi="仿宋" w:eastAsia="仿宋" w:cs="Times New Roman"/>
          <w:szCs w:val="28"/>
          <w:highlight w:val="none"/>
        </w:rPr>
      </w:pPr>
    </w:p>
    <w:p>
      <w:pPr>
        <w:rPr>
          <w:rFonts w:ascii="仿宋" w:hAnsi="仿宋" w:eastAsia="仿宋" w:cs="Times New Roman"/>
          <w:szCs w:val="28"/>
          <w:highlight w:val="none"/>
        </w:rPr>
      </w:pPr>
    </w:p>
    <w:p>
      <w:pPr>
        <w:rPr>
          <w:rFonts w:ascii="仿宋" w:hAnsi="仿宋" w:eastAsia="仿宋" w:cs="Times New Roman"/>
          <w:szCs w:val="28"/>
          <w:highlight w:val="none"/>
        </w:rPr>
      </w:pPr>
    </w:p>
    <w:p>
      <w:pPr>
        <w:rPr>
          <w:rFonts w:ascii="仿宋" w:hAnsi="仿宋" w:eastAsia="仿宋" w:cs="Times New Roman"/>
          <w:szCs w:val="28"/>
          <w:highlight w:val="none"/>
        </w:rPr>
      </w:pPr>
    </w:p>
    <w:p>
      <w:pPr>
        <w:rPr>
          <w:rFonts w:ascii="仿宋" w:hAnsi="仿宋" w:eastAsia="仿宋" w:cs="Times New Roman"/>
          <w:szCs w:val="28"/>
          <w:highlight w:val="none"/>
        </w:rPr>
      </w:pPr>
    </w:p>
    <w:p>
      <w:pPr>
        <w:rPr>
          <w:rFonts w:ascii="仿宋" w:hAnsi="仿宋" w:eastAsia="仿宋" w:cs="Times New Roman"/>
          <w:szCs w:val="28"/>
          <w:highlight w:val="none"/>
        </w:rPr>
      </w:pPr>
    </w:p>
    <w:p>
      <w:pPr>
        <w:rPr>
          <w:rFonts w:ascii="仿宋" w:hAnsi="仿宋" w:eastAsia="仿宋" w:cs="Times New Roman"/>
          <w:szCs w:val="28"/>
          <w:highlight w:val="none"/>
        </w:rPr>
      </w:pPr>
    </w:p>
    <w:p>
      <w:pPr>
        <w:pStyle w:val="5"/>
        <w:rPr>
          <w:highlight w:val="none"/>
          <w:lang w:bidi="ar-SA"/>
        </w:rPr>
      </w:pPr>
      <w:r>
        <w:rPr>
          <w:highlight w:val="none"/>
          <w:lang w:bidi="ar-SA"/>
        </w:rPr>
        <w:br w:type="page"/>
      </w:r>
      <w:bookmarkStart w:id="46" w:name="_Toc75443034"/>
      <w:r>
        <w:rPr>
          <w:highlight w:val="none"/>
          <w:lang w:bidi="ar-SA"/>
        </w:rPr>
        <w:t xml:space="preserve">6-2   </w:t>
      </w:r>
      <w:r>
        <w:rPr>
          <w:rFonts w:hint="eastAsia"/>
          <w:highlight w:val="none"/>
          <w:lang w:bidi="ar-SA"/>
        </w:rPr>
        <w:t>残疾人福利性单位声明函（投标文件格式九）</w:t>
      </w:r>
      <w:bookmarkEnd w:id="46"/>
    </w:p>
    <w:p>
      <w:pPr>
        <w:spacing w:line="400" w:lineRule="exact"/>
        <w:rPr>
          <w:rFonts w:ascii="仿宋_GB2312" w:hAnsi="宋体" w:eastAsia="仿宋_GB2312" w:cs="Times New Roman"/>
          <w:sz w:val="24"/>
          <w:szCs w:val="24"/>
          <w:highlight w:val="none"/>
          <w:lang w:bidi="ar-SA"/>
        </w:rPr>
      </w:pP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本单位郑重声明，根据《财政部民政部中国残疾人联合会关于促进残疾人就业政府采购政策的通知》（财库〔</w:t>
      </w:r>
      <w:r>
        <w:rPr>
          <w:rFonts w:ascii="仿宋_GB2312" w:hAnsi="宋体" w:eastAsia="仿宋_GB2312" w:cs="Times New Roman"/>
          <w:sz w:val="24"/>
          <w:szCs w:val="24"/>
          <w:highlight w:val="none"/>
          <w:lang w:bidi="ar-SA"/>
        </w:rPr>
        <w:t>2017</w:t>
      </w: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141</w:t>
      </w:r>
      <w:r>
        <w:rPr>
          <w:rFonts w:hint="eastAsia" w:ascii="仿宋_GB2312" w:hAnsi="宋体" w:eastAsia="仿宋_GB2312" w:cs="Times New Roman"/>
          <w:sz w:val="24"/>
          <w:szCs w:val="24"/>
          <w:highlight w:val="none"/>
          <w:lang w:bidi="ar-SA"/>
        </w:rPr>
        <w:t>号）的规定，本单位为符合条件的残疾人福利性单位，且本单位参加单位的项目采购活动提供本单位制造的货物（服务），或者提供其他残疾人福利性单位制造的货物、货物（不包括使用非残疾人福利性单位注册商标的货物）。</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本单位对上述声明的真实性负责。如有虚假，将依法承担相应责任。</w:t>
      </w: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tbl>
      <w:tblPr>
        <w:tblStyle w:val="24"/>
        <w:tblW w:w="0" w:type="auto"/>
        <w:jc w:val="right"/>
        <w:tblLayout w:type="fixed"/>
        <w:tblCellMar>
          <w:top w:w="0" w:type="dxa"/>
          <w:left w:w="108" w:type="dxa"/>
          <w:bottom w:w="0" w:type="dxa"/>
          <w:right w:w="108" w:type="dxa"/>
        </w:tblCellMar>
      </w:tblPr>
      <w:tblGrid>
        <w:gridCol w:w="4064"/>
        <w:gridCol w:w="425"/>
        <w:gridCol w:w="3249"/>
      </w:tblGrid>
      <w:tr>
        <w:tblPrEx>
          <w:tblCellMar>
            <w:top w:w="0" w:type="dxa"/>
            <w:left w:w="108" w:type="dxa"/>
            <w:bottom w:w="0" w:type="dxa"/>
            <w:right w:w="108" w:type="dxa"/>
          </w:tblCellMar>
        </w:tblPrEx>
        <w:trPr>
          <w:trHeight w:val="757" w:hRule="atLeast"/>
          <w:jc w:val="right"/>
        </w:trPr>
        <w:tc>
          <w:tcPr>
            <w:tcW w:w="4064"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残疾人福利性单位名称（盖单位章）</w:t>
            </w:r>
          </w:p>
        </w:tc>
        <w:tc>
          <w:tcPr>
            <w:tcW w:w="425" w:type="dxa"/>
            <w:vAlign w:val="bottom"/>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3249" w:type="dxa"/>
            <w:tcBorders>
              <w:bottom w:val="single" w:color="auto" w:sz="4" w:space="0"/>
            </w:tcBorders>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757" w:hRule="atLeast"/>
          <w:jc w:val="right"/>
        </w:trPr>
        <w:tc>
          <w:tcPr>
            <w:tcW w:w="4064"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日期</w:t>
            </w:r>
          </w:p>
        </w:tc>
        <w:tc>
          <w:tcPr>
            <w:tcW w:w="425" w:type="dxa"/>
            <w:vAlign w:val="bottom"/>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3249" w:type="dxa"/>
            <w:tcBorders>
              <w:top w:val="single" w:color="auto" w:sz="4" w:space="0"/>
              <w:bottom w:val="single" w:color="auto" w:sz="4" w:space="0"/>
            </w:tcBorders>
          </w:tcPr>
          <w:p>
            <w:pPr>
              <w:spacing w:line="400" w:lineRule="exact"/>
              <w:rPr>
                <w:rFonts w:ascii="仿宋_GB2312" w:hAnsi="宋体" w:eastAsia="仿宋_GB2312" w:cs="Times New Roman"/>
                <w:sz w:val="24"/>
                <w:szCs w:val="24"/>
                <w:highlight w:val="none"/>
                <w:lang w:bidi="ar-SA"/>
              </w:rPr>
            </w:pPr>
          </w:p>
        </w:tc>
      </w:tr>
    </w:tbl>
    <w:p>
      <w:pPr>
        <w:spacing w:line="400" w:lineRule="exact"/>
        <w:jc w:val="center"/>
        <w:rPr>
          <w:rFonts w:ascii="仿宋_GB2312" w:hAnsi="宋体" w:eastAsia="仿宋_GB2312" w:cs="Times New Roman"/>
          <w:b/>
          <w:bCs/>
          <w:sz w:val="28"/>
          <w:szCs w:val="28"/>
          <w:highlight w:val="none"/>
          <w:lang w:bidi="ar-SA"/>
        </w:rPr>
      </w:pPr>
    </w:p>
    <w:p>
      <w:pPr>
        <w:widowControl/>
        <w:jc w:val="left"/>
        <w:rPr>
          <w:rFonts w:ascii="仿宋_GB2312" w:hAnsi="宋体" w:eastAsia="仿宋_GB2312" w:cs="Times New Roman"/>
          <w:b/>
          <w:bCs/>
          <w:sz w:val="28"/>
          <w:szCs w:val="28"/>
          <w:highlight w:val="none"/>
          <w:lang w:bidi="ar-SA"/>
        </w:rPr>
      </w:pPr>
    </w:p>
    <w:p>
      <w:pPr>
        <w:pStyle w:val="5"/>
        <w:rPr>
          <w:highlight w:val="none"/>
          <w:lang w:bidi="ar-SA"/>
        </w:rPr>
      </w:pPr>
      <w:r>
        <w:rPr>
          <w:highlight w:val="none"/>
          <w:lang w:bidi="ar-SA"/>
        </w:rPr>
        <w:br w:type="page"/>
      </w:r>
      <w:bookmarkStart w:id="47" w:name="_Toc75443035"/>
      <w:r>
        <w:rPr>
          <w:highlight w:val="none"/>
          <w:lang w:bidi="ar-SA"/>
        </w:rPr>
        <w:t>7.</w:t>
      </w:r>
      <w:r>
        <w:rPr>
          <w:rFonts w:hint="eastAsia"/>
          <w:highlight w:val="none"/>
          <w:lang w:bidi="ar-SA"/>
        </w:rPr>
        <w:t>投标人关联单位的说明</w:t>
      </w:r>
      <w:bookmarkEnd w:id="47"/>
    </w:p>
    <w:p>
      <w:pPr>
        <w:spacing w:line="400" w:lineRule="exact"/>
        <w:rPr>
          <w:rFonts w:ascii="仿宋_GB2312" w:hAnsi="宋体" w:eastAsia="仿宋_GB2312" w:cs="Times New Roman"/>
          <w:sz w:val="24"/>
          <w:szCs w:val="24"/>
          <w:highlight w:val="none"/>
          <w:lang w:bidi="ar-SA"/>
        </w:rPr>
      </w:pP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说明：投标人应当如实披露与本单位存在下列关联关系的单位名称：</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bidi="ar-SA"/>
        </w:rPr>
        <w:t>）与投标人单位负责人为同一人的其他单位；</w:t>
      </w:r>
    </w:p>
    <w:p>
      <w:pPr>
        <w:spacing w:line="400" w:lineRule="exact"/>
        <w:ind w:left="0" w:leftChars="0" w:firstLine="420" w:firstLineChars="175"/>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r>
        <w:rPr>
          <w:rFonts w:ascii="仿宋_GB2312" w:hAnsi="宋体" w:eastAsia="仿宋_GB2312" w:cs="Times New Roman"/>
          <w:sz w:val="24"/>
          <w:szCs w:val="24"/>
          <w:highlight w:val="none"/>
          <w:lang w:bidi="ar-SA"/>
        </w:rPr>
        <w:t>2</w:t>
      </w:r>
      <w:r>
        <w:rPr>
          <w:rFonts w:hint="eastAsia" w:ascii="仿宋_GB2312" w:hAnsi="宋体" w:eastAsia="仿宋_GB2312" w:cs="Times New Roman"/>
          <w:sz w:val="24"/>
          <w:szCs w:val="24"/>
          <w:highlight w:val="none"/>
          <w:lang w:bidi="ar-SA"/>
        </w:rPr>
        <w:t>）与投标人存在直接控股、管理关系的其他单位。</w:t>
      </w:r>
    </w:p>
    <w:p>
      <w:pPr>
        <w:spacing w:line="400" w:lineRule="exact"/>
        <w:rPr>
          <w:rFonts w:ascii="仿宋_GB2312" w:hAnsi="宋体" w:eastAsia="仿宋_GB2312" w:cs="Times New Roman"/>
          <w:sz w:val="24"/>
          <w:szCs w:val="24"/>
          <w:highlight w:val="none"/>
          <w:lang w:bidi="ar-SA"/>
        </w:rPr>
      </w:pPr>
    </w:p>
    <w:p>
      <w:pPr>
        <w:widowControl/>
        <w:jc w:val="left"/>
        <w:rPr>
          <w:rFonts w:ascii="仿宋_GB2312" w:hAnsi="宋体" w:eastAsia="仿宋_GB2312" w:cs="Times New Roman"/>
          <w:b/>
          <w:bCs/>
          <w:sz w:val="28"/>
          <w:szCs w:val="28"/>
          <w:highlight w:val="none"/>
          <w:lang w:bidi="ar-SA"/>
        </w:rPr>
      </w:pPr>
    </w:p>
    <w:p>
      <w:pPr>
        <w:pStyle w:val="99"/>
        <w:spacing w:line="240" w:lineRule="auto"/>
        <w:ind w:firstLine="0"/>
        <w:jc w:val="center"/>
        <w:rPr>
          <w:rFonts w:hint="eastAsia" w:ascii="仿宋_GB2312" w:hAnsi="宋体" w:eastAsia="仿宋_GB2312" w:cs="Times New Roman"/>
          <w:b/>
          <w:bCs/>
          <w:sz w:val="32"/>
          <w:szCs w:val="32"/>
          <w:highlight w:val="none"/>
          <w:lang w:val="en-US" w:eastAsia="zh-CN" w:bidi="ar-SA"/>
        </w:rPr>
      </w:pPr>
      <w:r>
        <w:rPr>
          <w:highlight w:val="none"/>
          <w:lang w:bidi="ar-SA"/>
        </w:rPr>
        <w:br w:type="page"/>
      </w:r>
      <w:bookmarkStart w:id="48" w:name="_Toc75443036"/>
      <w:r>
        <w:rPr>
          <w:rFonts w:hint="default" w:ascii="仿宋_GB2312" w:eastAsia="仿宋_GB2312" w:cs="Times New Roman"/>
          <w:b/>
          <w:bCs/>
          <w:sz w:val="32"/>
          <w:szCs w:val="32"/>
          <w:highlight w:val="none"/>
          <w:lang w:val="en-US" w:eastAsia="zh-CN" w:bidi="ar-SA"/>
        </w:rPr>
        <w:t>8.</w:t>
      </w:r>
      <w:r>
        <w:rPr>
          <w:rFonts w:hint="default" w:ascii="仿宋_GB2312" w:hAnsi="宋体" w:eastAsia="仿宋_GB2312" w:cs="Times New Roman"/>
          <w:b/>
          <w:bCs/>
          <w:sz w:val="32"/>
          <w:szCs w:val="32"/>
          <w:highlight w:val="none"/>
          <w:lang w:val="en-US" w:eastAsia="zh-CN" w:bidi="ar-SA"/>
        </w:rPr>
        <w:t>企业助廉守法承诺书</w:t>
      </w:r>
    </w:p>
    <w:p>
      <w:pPr>
        <w:pStyle w:val="99"/>
        <w:spacing w:line="240" w:lineRule="auto"/>
        <w:ind w:firstLine="0"/>
        <w:jc w:val="center"/>
        <w:rPr>
          <w:rFonts w:hint="eastAsia" w:ascii="宋体" w:hAnsi="宋体" w:eastAsia="宋体" w:cs="宋体"/>
          <w:b w:val="0"/>
          <w:bCs w:val="0"/>
          <w:color w:val="auto"/>
          <w:sz w:val="21"/>
          <w:szCs w:val="21"/>
          <w:highlight w:val="none"/>
          <w:lang w:val="en-US" w:eastAsia="zh-CN"/>
        </w:rPr>
      </w:pPr>
    </w:p>
    <w:p>
      <w:pPr>
        <w:pStyle w:val="99"/>
        <w:spacing w:line="240" w:lineRule="auto"/>
        <w:ind w:firstLine="0"/>
        <w:jc w:val="center"/>
        <w:rPr>
          <w:rFonts w:hint="default" w:ascii="仿宋_GB2312" w:hAnsi="宋体" w:eastAsia="仿宋_GB2312" w:cs="Times New Roman"/>
          <w:b/>
          <w:bCs/>
          <w:sz w:val="28"/>
          <w:szCs w:val="28"/>
          <w:highlight w:val="none"/>
          <w:lang w:val="en-US" w:eastAsia="zh-CN" w:bidi="ar-SA"/>
        </w:rPr>
      </w:pPr>
      <w:r>
        <w:rPr>
          <w:rFonts w:hint="default" w:ascii="仿宋_GB2312" w:hAnsi="宋体" w:eastAsia="仿宋_GB2312" w:cs="Times New Roman"/>
          <w:b/>
          <w:bCs/>
          <w:sz w:val="28"/>
          <w:szCs w:val="28"/>
          <w:highlight w:val="none"/>
          <w:lang w:val="en-US" w:eastAsia="zh-CN" w:bidi="ar-SA"/>
        </w:rPr>
        <w:t>企业助廉守法承诺书</w:t>
      </w:r>
    </w:p>
    <w:tbl>
      <w:tblPr>
        <w:tblStyle w:val="24"/>
        <w:tblW w:w="9630"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490"/>
        <w:gridCol w:w="476"/>
        <w:gridCol w:w="1166"/>
        <w:gridCol w:w="471"/>
        <w:gridCol w:w="1172"/>
        <w:gridCol w:w="130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1380"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企业公司名称</w:t>
            </w:r>
          </w:p>
        </w:tc>
        <w:tc>
          <w:tcPr>
            <w:tcW w:w="2490"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（盖章）</w:t>
            </w:r>
          </w:p>
        </w:tc>
        <w:tc>
          <w:tcPr>
            <w:tcW w:w="1642" w:type="dxa"/>
            <w:gridSpan w:val="2"/>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企业公司法人</w:t>
            </w:r>
          </w:p>
        </w:tc>
        <w:tc>
          <w:tcPr>
            <w:tcW w:w="1643" w:type="dxa"/>
            <w:gridSpan w:val="2"/>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tc>
        <w:tc>
          <w:tcPr>
            <w:tcW w:w="1305"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注册地址</w:t>
            </w:r>
          </w:p>
        </w:tc>
        <w:tc>
          <w:tcPr>
            <w:tcW w:w="1170"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80" w:type="dxa"/>
          </w:tcPr>
          <w:p>
            <w:pPr>
              <w:widowControl/>
              <w:spacing w:line="400" w:lineRule="exac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承诺人姓名</w:t>
            </w:r>
          </w:p>
        </w:tc>
        <w:tc>
          <w:tcPr>
            <w:tcW w:w="2490"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tc>
        <w:tc>
          <w:tcPr>
            <w:tcW w:w="476"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性</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别</w:t>
            </w:r>
          </w:p>
        </w:tc>
        <w:tc>
          <w:tcPr>
            <w:tcW w:w="1166"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tc>
        <w:tc>
          <w:tcPr>
            <w:tcW w:w="471"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民</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族</w:t>
            </w:r>
          </w:p>
        </w:tc>
        <w:tc>
          <w:tcPr>
            <w:tcW w:w="1172"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tc>
        <w:tc>
          <w:tcPr>
            <w:tcW w:w="1305"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住址</w:t>
            </w:r>
          </w:p>
        </w:tc>
        <w:tc>
          <w:tcPr>
            <w:tcW w:w="1170"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80" w:type="dxa"/>
          </w:tcPr>
          <w:p>
            <w:pPr>
              <w:widowControl/>
              <w:spacing w:line="400" w:lineRule="exac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项目名称</w:t>
            </w:r>
          </w:p>
        </w:tc>
        <w:tc>
          <w:tcPr>
            <w:tcW w:w="8250" w:type="dxa"/>
            <w:gridSpan w:val="7"/>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80" w:type="dxa"/>
          </w:tcPr>
          <w:p>
            <w:pPr>
              <w:widowControl/>
              <w:spacing w:line="400" w:lineRule="exac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项目主管单位或业主</w:t>
            </w:r>
          </w:p>
        </w:tc>
        <w:tc>
          <w:tcPr>
            <w:tcW w:w="8250" w:type="dxa"/>
            <w:gridSpan w:val="7"/>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4" w:hRule="atLeast"/>
        </w:trPr>
        <w:tc>
          <w:tcPr>
            <w:tcW w:w="1380" w:type="dxa"/>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承</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诺</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内</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容</w:t>
            </w:r>
          </w:p>
        </w:tc>
        <w:tc>
          <w:tcPr>
            <w:tcW w:w="8250" w:type="dxa"/>
            <w:gridSpan w:val="7"/>
          </w:tcPr>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本人代表企业（公司、个人）在生产经营性活动中做出以下郑重承诺：</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严格遵守国家法律法规规定和企业（公司、个人）有关连接从业的各项规章制度，做到遵纪守法、诚实守信、行为规范、廉洁从业；</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坚决抵制商业贿赂，不向国家公职人员行贿、赠送礼金礼品，不利用各种关系谋求不正当利益；</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如违反承诺，自觉接受行业主管部门或单位的处罚，同意被行业主管部门或单位列入“黑名单”。</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承诺人签字：</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承诺人身份证号：</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承诺时间：</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公司名称：（签章）</w:t>
            </w:r>
          </w:p>
        </w:tc>
      </w:tr>
    </w:tbl>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sectPr>
          <w:pgSz w:w="11900" w:h="16840"/>
          <w:pgMar w:top="1440" w:right="1800" w:bottom="1440" w:left="1800" w:header="0" w:footer="3" w:gutter="0"/>
          <w:pgNumType w:fmt="decimal"/>
          <w:cols w:space="720" w:num="1"/>
          <w:docGrid w:linePitch="360" w:charSpace="0"/>
        </w:sectPr>
      </w:pPr>
      <w:r>
        <w:rPr>
          <w:rFonts w:hint="eastAsia" w:ascii="仿宋_GB2312" w:hAnsi="宋体" w:eastAsia="仿宋_GB2312" w:cs="Times New Roman"/>
          <w:b w:val="0"/>
          <w:bCs w:val="0"/>
          <w:sz w:val="24"/>
          <w:szCs w:val="24"/>
          <w:highlight w:val="none"/>
          <w:lang w:val="en-US" w:eastAsia="zh-CN" w:bidi="ar-SA"/>
        </w:rPr>
        <w:t>备注：</w:t>
      </w:r>
      <w:r>
        <w:rPr>
          <w:rFonts w:hint="eastAsia" w:ascii="仿宋_GB2312" w:hAnsi="宋体" w:eastAsia="仿宋_GB2312" w:cs="Times New Roman"/>
          <w:b w:val="0"/>
          <w:bCs w:val="0"/>
          <w:sz w:val="24"/>
          <w:szCs w:val="24"/>
          <w:highlight w:val="none"/>
          <w:lang w:eastAsia="zh-CN" w:bidi="ar-SA"/>
        </w:rPr>
        <w:t>此表必须作为投标文件一部分，否</w:t>
      </w:r>
      <w:r>
        <w:rPr>
          <w:rFonts w:hint="eastAsia" w:ascii="仿宋_GB2312" w:hAnsi="宋体" w:eastAsia="仿宋_GB2312" w:cs="Times New Roman"/>
          <w:b w:val="0"/>
          <w:bCs w:val="0"/>
          <w:sz w:val="24"/>
          <w:szCs w:val="24"/>
          <w:highlight w:val="none"/>
          <w:lang w:val="en-US" w:eastAsia="zh-CN" w:bidi="ar-SA"/>
        </w:rPr>
        <w:t>则作为废标处理。</w:t>
      </w:r>
    </w:p>
    <w:p>
      <w:pPr>
        <w:widowControl/>
        <w:spacing w:line="400" w:lineRule="exact"/>
        <w:ind w:firstLine="643" w:firstLineChars="200"/>
        <w:jc w:val="center"/>
        <w:rPr>
          <w:rFonts w:hint="eastAsia" w:ascii="仿宋_GB2312" w:hAnsi="宋体" w:eastAsia="仿宋_GB2312" w:cs="Times New Roman"/>
          <w:b/>
          <w:bCs/>
          <w:sz w:val="32"/>
          <w:szCs w:val="32"/>
          <w:highlight w:val="none"/>
          <w:lang w:val="en-US" w:eastAsia="zh-CN" w:bidi="ar-SA"/>
        </w:rPr>
      </w:pPr>
      <w:r>
        <w:rPr>
          <w:rFonts w:hint="eastAsia" w:ascii="仿宋_GB2312" w:hAnsi="宋体" w:eastAsia="仿宋_GB2312" w:cs="Times New Roman"/>
          <w:b/>
          <w:bCs/>
          <w:sz w:val="32"/>
          <w:szCs w:val="32"/>
          <w:highlight w:val="none"/>
          <w:lang w:val="en-US" w:eastAsia="zh-CN" w:bidi="ar-SA"/>
        </w:rPr>
        <w:t>签订企业助廉守法承诺书说明</w:t>
      </w:r>
    </w:p>
    <w:p>
      <w:pPr>
        <w:widowControl/>
        <w:spacing w:line="400" w:lineRule="exact"/>
        <w:ind w:firstLine="482" w:firstLineChars="200"/>
        <w:rPr>
          <w:rFonts w:hint="eastAsia" w:ascii="仿宋_GB2312" w:hAnsi="宋体" w:eastAsia="仿宋_GB2312" w:cs="Times New Roman"/>
          <w:b/>
          <w:bCs/>
          <w:sz w:val="24"/>
          <w:szCs w:val="24"/>
          <w:highlight w:val="none"/>
          <w:lang w:val="en-US" w:eastAsia="zh-CN" w:bidi="ar-SA"/>
        </w:rPr>
      </w:pPr>
      <w:bookmarkStart w:id="49" w:name="bookmark506"/>
      <w:r>
        <w:rPr>
          <w:rFonts w:hint="eastAsia" w:ascii="仿宋_GB2312" w:hAnsi="宋体" w:eastAsia="仿宋_GB2312" w:cs="Times New Roman"/>
          <w:b/>
          <w:bCs/>
          <w:sz w:val="24"/>
          <w:szCs w:val="24"/>
          <w:highlight w:val="none"/>
          <w:lang w:val="en-US" w:eastAsia="zh-CN" w:bidi="ar-SA"/>
        </w:rPr>
        <w:t>一</w:t>
      </w:r>
      <w:bookmarkEnd w:id="49"/>
      <w:r>
        <w:rPr>
          <w:rFonts w:hint="eastAsia" w:ascii="仿宋_GB2312" w:hAnsi="宋体" w:eastAsia="仿宋_GB2312" w:cs="Times New Roman"/>
          <w:b/>
          <w:bCs/>
          <w:sz w:val="24"/>
          <w:szCs w:val="24"/>
          <w:highlight w:val="none"/>
          <w:lang w:val="en-US" w:eastAsia="zh-CN" w:bidi="ar-SA"/>
        </w:rPr>
        <w:t>、签订对象</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《企业助廉守法承诺书》签订对象为与各县（区）、各单位各部门发生生产 经营性活动的各类企业（公司、个人），含在市工商局注册登记的企业和个人， 在市国税局纳税的企业和个人，由市国资委主管的国有企业，由市工商联联系或 主管的非公企业，由市民政局主管的经营性社会团体等。</w:t>
      </w:r>
    </w:p>
    <w:p>
      <w:pPr>
        <w:widowControl/>
        <w:spacing w:line="400" w:lineRule="exact"/>
        <w:ind w:firstLine="482" w:firstLineChars="200"/>
        <w:rPr>
          <w:rFonts w:hint="eastAsia" w:ascii="仿宋_GB2312" w:hAnsi="宋体" w:eastAsia="仿宋_GB2312" w:cs="Times New Roman"/>
          <w:b/>
          <w:bCs/>
          <w:sz w:val="24"/>
          <w:szCs w:val="24"/>
          <w:highlight w:val="none"/>
          <w:lang w:val="en-US" w:eastAsia="zh-CN" w:bidi="ar-SA"/>
        </w:rPr>
      </w:pPr>
      <w:bookmarkStart w:id="50" w:name="bookmark507"/>
      <w:r>
        <w:rPr>
          <w:rFonts w:hint="eastAsia" w:ascii="仿宋_GB2312" w:hAnsi="宋体" w:eastAsia="仿宋_GB2312" w:cs="Times New Roman"/>
          <w:b/>
          <w:bCs/>
          <w:sz w:val="24"/>
          <w:szCs w:val="24"/>
          <w:highlight w:val="none"/>
          <w:lang w:val="en-US" w:eastAsia="zh-CN" w:bidi="ar-SA"/>
        </w:rPr>
        <w:t>二</w:t>
      </w:r>
      <w:bookmarkEnd w:id="50"/>
      <w:r>
        <w:rPr>
          <w:rFonts w:hint="eastAsia" w:ascii="仿宋_GB2312" w:hAnsi="宋体" w:eastAsia="仿宋_GB2312" w:cs="Times New Roman"/>
          <w:b/>
          <w:bCs/>
          <w:sz w:val="24"/>
          <w:szCs w:val="24"/>
          <w:highlight w:val="none"/>
          <w:lang w:val="en-US" w:eastAsia="zh-CN" w:bidi="ar-SA"/>
        </w:rPr>
        <w:t>、签订内容</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为进一步降低党员领导干部职工在从事土地转让、工程建设、产权交易、政 府采购、招标投标以及其它生产经营性活动中的廉政风险，全市各类企业（公司、 个人）与各单位各部门之间发生生产经营性活动的，需按照管理层级与项目主管 单位或项目业主签订《企业助廉守法承诺书》。</w:t>
      </w:r>
    </w:p>
    <w:p>
      <w:pPr>
        <w:widowControl/>
        <w:spacing w:line="400" w:lineRule="exact"/>
        <w:ind w:firstLine="482" w:firstLineChars="200"/>
        <w:rPr>
          <w:rFonts w:hint="eastAsia" w:ascii="仿宋_GB2312" w:hAnsi="宋体" w:eastAsia="仿宋_GB2312" w:cs="Times New Roman"/>
          <w:b w:val="0"/>
          <w:bCs w:val="0"/>
          <w:sz w:val="24"/>
          <w:szCs w:val="24"/>
          <w:highlight w:val="none"/>
          <w:lang w:val="en-US" w:eastAsia="zh-CN" w:bidi="ar-SA"/>
        </w:rPr>
      </w:pPr>
      <w:bookmarkStart w:id="51" w:name="bookmark508"/>
      <w:r>
        <w:rPr>
          <w:rFonts w:hint="eastAsia" w:ascii="仿宋_GB2312" w:hAnsi="宋体" w:eastAsia="仿宋_GB2312" w:cs="Times New Roman"/>
          <w:b/>
          <w:bCs/>
          <w:sz w:val="24"/>
          <w:szCs w:val="24"/>
          <w:highlight w:val="none"/>
          <w:lang w:val="en-US" w:eastAsia="zh-CN" w:bidi="ar-SA"/>
        </w:rPr>
        <w:t>三</w:t>
      </w:r>
      <w:bookmarkEnd w:id="51"/>
      <w:r>
        <w:rPr>
          <w:rFonts w:hint="eastAsia" w:ascii="仿宋_GB2312" w:hAnsi="宋体" w:eastAsia="仿宋_GB2312" w:cs="Times New Roman"/>
          <w:b/>
          <w:bCs/>
          <w:sz w:val="24"/>
          <w:szCs w:val="24"/>
          <w:highlight w:val="none"/>
          <w:lang w:val="en-US" w:eastAsia="zh-CN" w:bidi="ar-SA"/>
        </w:rPr>
        <w:t>、签订方式</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各单位各部门在政府采购、招标投标、产权交易、项目建设、资产出租出售、 内部维修改造、维护翻修等签订合同或投递标书环节中，要以工程项目为依据与 建设单位、施工单位、投标企业（公司、个人）签订《企业助廉守法承诺书》。</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各企业主管部门也可在企业注册、换证、登记、纳税、检查过程中签订。</w:t>
      </w:r>
    </w:p>
    <w:p>
      <w:pPr>
        <w:widowControl/>
        <w:spacing w:line="400" w:lineRule="exact"/>
        <w:ind w:firstLine="482" w:firstLineChars="200"/>
        <w:rPr>
          <w:rFonts w:hint="eastAsia" w:ascii="仿宋_GB2312" w:hAnsi="宋体" w:eastAsia="仿宋_GB2312" w:cs="Times New Roman"/>
          <w:b/>
          <w:bCs/>
          <w:sz w:val="24"/>
          <w:szCs w:val="24"/>
          <w:highlight w:val="none"/>
          <w:lang w:val="en-US" w:eastAsia="zh-CN" w:bidi="ar-SA"/>
        </w:rPr>
      </w:pPr>
      <w:bookmarkStart w:id="52" w:name="bookmark509"/>
      <w:r>
        <w:rPr>
          <w:rFonts w:hint="eastAsia" w:ascii="仿宋_GB2312" w:hAnsi="宋体" w:eastAsia="仿宋_GB2312" w:cs="Times New Roman"/>
          <w:b/>
          <w:bCs/>
          <w:sz w:val="24"/>
          <w:szCs w:val="24"/>
          <w:highlight w:val="none"/>
          <w:lang w:val="en-US" w:eastAsia="zh-CN" w:bidi="ar-SA"/>
        </w:rPr>
        <w:t>四</w:t>
      </w:r>
      <w:bookmarkEnd w:id="52"/>
      <w:r>
        <w:rPr>
          <w:rFonts w:hint="eastAsia" w:ascii="仿宋_GB2312" w:hAnsi="宋体" w:eastAsia="仿宋_GB2312" w:cs="Times New Roman"/>
          <w:b/>
          <w:bCs/>
          <w:sz w:val="24"/>
          <w:szCs w:val="24"/>
          <w:highlight w:val="none"/>
          <w:lang w:val="en-US" w:eastAsia="zh-CN" w:bidi="ar-SA"/>
        </w:rPr>
        <w:t>、签订要求</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《企业助廉守法承诺书》应成为各企业签订合同、投递标书、登记注册等的 前置条件，并实行备案制。</w:t>
      </w:r>
    </w:p>
    <w:p>
      <w:pPr>
        <w:widowControl/>
        <w:spacing w:line="400" w:lineRule="exact"/>
        <w:ind w:firstLine="482" w:firstLineChars="200"/>
        <w:rPr>
          <w:rFonts w:hint="eastAsia" w:ascii="仿宋_GB2312" w:hAnsi="宋体" w:eastAsia="仿宋_GB2312" w:cs="Times New Roman"/>
          <w:b/>
          <w:bCs/>
          <w:sz w:val="24"/>
          <w:szCs w:val="24"/>
          <w:highlight w:val="none"/>
          <w:lang w:val="en-US" w:eastAsia="zh-CN" w:bidi="ar-SA"/>
        </w:rPr>
      </w:pPr>
      <w:bookmarkStart w:id="53" w:name="bookmark510"/>
      <w:r>
        <w:rPr>
          <w:rFonts w:hint="eastAsia" w:ascii="仿宋_GB2312" w:hAnsi="宋体" w:eastAsia="仿宋_GB2312" w:cs="Times New Roman"/>
          <w:b/>
          <w:bCs/>
          <w:sz w:val="24"/>
          <w:szCs w:val="24"/>
          <w:highlight w:val="none"/>
          <w:lang w:val="en-US" w:eastAsia="zh-CN" w:bidi="ar-SA"/>
        </w:rPr>
        <w:t>五</w:t>
      </w:r>
      <w:bookmarkEnd w:id="53"/>
      <w:r>
        <w:rPr>
          <w:rFonts w:hint="eastAsia" w:ascii="仿宋_GB2312" w:hAnsi="宋体" w:eastAsia="仿宋_GB2312" w:cs="Times New Roman"/>
          <w:b/>
          <w:bCs/>
          <w:sz w:val="24"/>
          <w:szCs w:val="24"/>
          <w:highlight w:val="none"/>
          <w:lang w:val="en-US" w:eastAsia="zh-CN" w:bidi="ar-SA"/>
        </w:rPr>
        <w:t>、签订主体</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《企业助廉守法承诺书》由各项目业主或项目主管单位（含单位内部自行实 施的项目）同项目实施的企业（公司、个人）法定代表人、法定代表人代表、法 定代表人授权委托人或项目负责人签订。</w:t>
      </w:r>
    </w:p>
    <w:p>
      <w:pPr>
        <w:widowControl/>
        <w:spacing w:line="400" w:lineRule="exact"/>
        <w:ind w:firstLine="482" w:firstLineChars="200"/>
        <w:rPr>
          <w:rFonts w:hint="eastAsia" w:ascii="仿宋_GB2312" w:hAnsi="宋体" w:eastAsia="仿宋_GB2312" w:cs="Times New Roman"/>
          <w:b/>
          <w:bCs/>
          <w:sz w:val="24"/>
          <w:szCs w:val="24"/>
          <w:highlight w:val="none"/>
          <w:lang w:val="en-US" w:eastAsia="zh-CN" w:bidi="ar-SA"/>
        </w:rPr>
      </w:pPr>
      <w:bookmarkStart w:id="54" w:name="bookmark511"/>
      <w:r>
        <w:rPr>
          <w:rFonts w:hint="eastAsia" w:ascii="仿宋_GB2312" w:hAnsi="宋体" w:eastAsia="仿宋_GB2312" w:cs="Times New Roman"/>
          <w:b/>
          <w:bCs/>
          <w:sz w:val="24"/>
          <w:szCs w:val="24"/>
          <w:highlight w:val="none"/>
          <w:lang w:val="en-US" w:eastAsia="zh-CN" w:bidi="ar-SA"/>
        </w:rPr>
        <w:t>六</w:t>
      </w:r>
      <w:bookmarkEnd w:id="54"/>
      <w:r>
        <w:rPr>
          <w:rFonts w:hint="eastAsia" w:ascii="仿宋_GB2312" w:hAnsi="宋体" w:eastAsia="仿宋_GB2312" w:cs="Times New Roman"/>
          <w:b/>
          <w:bCs/>
          <w:sz w:val="24"/>
          <w:szCs w:val="24"/>
          <w:highlight w:val="none"/>
          <w:lang w:val="en-US" w:eastAsia="zh-CN" w:bidi="ar-SA"/>
        </w:rPr>
        <w:t>、实行</w:t>
      </w:r>
      <w:r>
        <w:rPr>
          <w:rFonts w:hint="eastAsia" w:ascii="仿宋_GB2312" w:hAnsi="宋体" w:eastAsia="仿宋_GB2312" w:cs="Times New Roman"/>
          <w:b/>
          <w:bCs/>
          <w:sz w:val="24"/>
          <w:szCs w:val="24"/>
          <w:highlight w:val="none"/>
          <w:lang w:val="zh-CN" w:eastAsia="zh-CN" w:bidi="ar-SA"/>
        </w:rPr>
        <w:t>“黑</w:t>
      </w:r>
      <w:r>
        <w:rPr>
          <w:rFonts w:hint="eastAsia" w:ascii="仿宋_GB2312" w:hAnsi="宋体" w:eastAsia="仿宋_GB2312" w:cs="Times New Roman"/>
          <w:b/>
          <w:bCs/>
          <w:sz w:val="24"/>
          <w:szCs w:val="24"/>
          <w:highlight w:val="none"/>
          <w:lang w:val="en-US" w:eastAsia="zh-CN" w:bidi="ar-SA"/>
        </w:rPr>
        <w:t>名单"制度</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sectPr>
          <w:headerReference r:id="rId6" w:type="default"/>
          <w:footerReference r:id="rId7" w:type="default"/>
          <w:pgSz w:w="11900" w:h="16840"/>
          <w:pgMar w:top="1858" w:right="1556" w:bottom="1858" w:left="1685" w:header="1430" w:footer="3" w:gutter="0"/>
          <w:pgNumType w:fmt="decimal"/>
          <w:cols w:space="720" w:num="1"/>
          <w:docGrid w:linePitch="360" w:charSpace="0"/>
        </w:sectPr>
      </w:pPr>
      <w:r>
        <w:rPr>
          <w:rFonts w:hint="eastAsia" w:ascii="仿宋_GB2312" w:hAnsi="宋体" w:eastAsia="仿宋_GB2312" w:cs="Times New Roman"/>
          <w:b w:val="0"/>
          <w:bCs w:val="0"/>
          <w:sz w:val="24"/>
          <w:szCs w:val="24"/>
          <w:highlight w:val="none"/>
          <w:lang w:val="en-US" w:eastAsia="zh-CN" w:bidi="ar-SA"/>
        </w:rPr>
        <w:t>各类企业（公司、个人）签订《企业助廉守法承诺书》后，一经发现有违反 承诺行为除依据法律法规处罚外，还应由企业主管部门将其列入“黑名单"，被 列入</w:t>
      </w:r>
      <w:r>
        <w:rPr>
          <w:rFonts w:hint="eastAsia" w:ascii="仿宋_GB2312" w:hAnsi="宋体" w:eastAsia="仿宋_GB2312" w:cs="Times New Roman"/>
          <w:b w:val="0"/>
          <w:bCs w:val="0"/>
          <w:sz w:val="24"/>
          <w:szCs w:val="24"/>
          <w:highlight w:val="none"/>
          <w:lang w:val="zh-CN" w:eastAsia="zh-CN" w:bidi="ar-SA"/>
        </w:rPr>
        <w:t>“黑</w:t>
      </w:r>
      <w:r>
        <w:rPr>
          <w:rFonts w:hint="eastAsia" w:ascii="仿宋_GB2312" w:hAnsi="宋体" w:eastAsia="仿宋_GB2312" w:cs="Times New Roman"/>
          <w:b w:val="0"/>
          <w:bCs w:val="0"/>
          <w:sz w:val="24"/>
          <w:szCs w:val="24"/>
          <w:highlight w:val="none"/>
          <w:lang w:val="en-US" w:eastAsia="zh-CN" w:bidi="ar-SA"/>
        </w:rPr>
        <w:t>名单“的企业和个人，视情节3-5年内不得参与各县（区）、各单位各 部门主导的生产经营性活动。</w:t>
      </w:r>
    </w:p>
    <w:p>
      <w:pPr>
        <w:widowControl/>
        <w:spacing w:line="400" w:lineRule="exact"/>
        <w:ind w:firstLine="643" w:firstLineChars="200"/>
        <w:jc w:val="center"/>
        <w:rPr>
          <w:rFonts w:hint="eastAsia" w:ascii="仿宋_GB2312" w:hAnsi="宋体" w:eastAsia="仿宋_GB2312" w:cs="Times New Roman"/>
          <w:b/>
          <w:bCs/>
          <w:sz w:val="32"/>
          <w:szCs w:val="32"/>
          <w:highlight w:val="none"/>
          <w:lang w:val="en-US" w:eastAsia="zh-CN" w:bidi="ar-SA"/>
        </w:rPr>
      </w:pPr>
      <w:r>
        <w:rPr>
          <w:rFonts w:hint="eastAsia" w:ascii="仿宋_GB2312" w:hAnsi="宋体" w:eastAsia="仿宋_GB2312" w:cs="Times New Roman"/>
          <w:b/>
          <w:bCs/>
          <w:sz w:val="32"/>
          <w:szCs w:val="32"/>
          <w:highlight w:val="none"/>
          <w:lang w:val="en-US" w:eastAsia="zh-CN" w:bidi="ar-SA"/>
        </w:rPr>
        <w:t>9、疫情防控承诺书</w:t>
      </w:r>
    </w:p>
    <w:p>
      <w:pPr>
        <w:widowControl/>
        <w:spacing w:line="400" w:lineRule="exact"/>
        <w:ind w:firstLine="643" w:firstLineChars="200"/>
        <w:jc w:val="center"/>
        <w:rPr>
          <w:rFonts w:hint="eastAsia" w:ascii="仿宋_GB2312" w:hAnsi="宋体" w:eastAsia="仿宋_GB2312" w:cs="Times New Roman"/>
          <w:b/>
          <w:bCs/>
          <w:sz w:val="32"/>
          <w:szCs w:val="32"/>
          <w:highlight w:val="none"/>
          <w:lang w:val="en-US" w:eastAsia="zh-CN" w:bidi="ar-SA"/>
        </w:rPr>
      </w:pPr>
    </w:p>
    <w:p>
      <w:pPr>
        <w:widowControl/>
        <w:spacing w:line="400" w:lineRule="exact"/>
        <w:ind w:firstLine="643" w:firstLineChars="200"/>
        <w:jc w:val="center"/>
        <w:rPr>
          <w:rFonts w:hint="eastAsia" w:ascii="仿宋_GB2312" w:hAnsi="宋体" w:eastAsia="仿宋_GB2312" w:cs="Times New Roman"/>
          <w:b/>
          <w:bCs/>
          <w:sz w:val="32"/>
          <w:szCs w:val="32"/>
          <w:highlight w:val="none"/>
          <w:lang w:val="en-US" w:eastAsia="zh-CN" w:bidi="ar-SA"/>
        </w:rPr>
      </w:pPr>
    </w:p>
    <w:p>
      <w:pPr>
        <w:widowControl/>
        <w:spacing w:line="400" w:lineRule="exact"/>
        <w:ind w:firstLine="643" w:firstLineChars="200"/>
        <w:jc w:val="center"/>
        <w:rPr>
          <w:rFonts w:hint="eastAsia" w:ascii="仿宋_GB2312" w:hAnsi="宋体" w:eastAsia="仿宋_GB2312" w:cs="Times New Roman"/>
          <w:b/>
          <w:bCs/>
          <w:sz w:val="32"/>
          <w:szCs w:val="32"/>
          <w:highlight w:val="none"/>
          <w:lang w:val="en-US" w:eastAsia="zh-CN" w:bidi="ar-SA"/>
        </w:rPr>
      </w:pPr>
      <w:r>
        <w:rPr>
          <w:rFonts w:hint="eastAsia" w:ascii="仿宋_GB2312" w:hAnsi="宋体" w:eastAsia="仿宋_GB2312" w:cs="Times New Roman"/>
          <w:b/>
          <w:bCs/>
          <w:sz w:val="32"/>
          <w:szCs w:val="32"/>
          <w:highlight w:val="none"/>
          <w:lang w:val="en-US" w:eastAsia="zh-CN" w:bidi="ar-SA"/>
        </w:rPr>
        <w:t>疫情防控承诺书</w:t>
      </w:r>
    </w:p>
    <w:p>
      <w:pPr>
        <w:pStyle w:val="9"/>
        <w:rPr>
          <w:rFonts w:hint="eastAsia"/>
          <w:lang w:val="en-US" w:eastAsia="zh-CN"/>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为坚决贯彻落实党中央、国务院重大部署及区政府关于疫情防控工作的有关要求，切实加强新型冠状病毒感染的肺炎疫情防控工作，我单位在参加项目的投标活动中，郑重承诺如下：</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一、前往现场参加投标活动的工作人员身体健康，体温正常，无咳嗽、流涕、打喷嚏等不适症状。</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二、前往现场参加投标活动的工作人员非疫区返藏人员，且没有接触疫区相关人员。</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三、疫区返藏人员进行14天隔离，无不适症状方可参加现场招投标活动。</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四、前往现场参加投标活动的工作人员需全程佩戴有效防护口罩。</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五、投标活动中，个人员应保持1米以上的距离。</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本人如果未遵守以上承诺，愿意承担《中华人民共和国传染病防治法》中规定的相应法律责任。</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jc w:val="righ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投标单位名称并盖章：</w:t>
      </w:r>
    </w:p>
    <w:p>
      <w:pPr>
        <w:widowControl/>
        <w:spacing w:line="400" w:lineRule="exact"/>
        <w:ind w:firstLine="480" w:firstLineChars="200"/>
        <w:jc w:val="right"/>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jc w:val="righ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承诺人（签字）：</w:t>
      </w:r>
    </w:p>
    <w:p>
      <w:pPr>
        <w:widowControl/>
        <w:spacing w:line="400" w:lineRule="exact"/>
        <w:ind w:firstLine="480" w:firstLineChars="200"/>
        <w:jc w:val="right"/>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jc w:val="right"/>
        <w:rPr>
          <w:rFonts w:hint="eastAsia" w:ascii="仿宋_GB2312" w:hAnsi="宋体" w:eastAsia="仿宋_GB2312" w:cs="Times New Roman"/>
          <w:b w:val="0"/>
          <w:bCs w:val="0"/>
          <w:sz w:val="24"/>
          <w:szCs w:val="24"/>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仿宋_GB2312" w:hAnsi="宋体" w:eastAsia="仿宋_GB2312" w:cs="Times New Roman"/>
          <w:b w:val="0"/>
          <w:bCs w:val="0"/>
          <w:sz w:val="24"/>
          <w:szCs w:val="24"/>
          <w:highlight w:val="none"/>
          <w:lang w:val="en-US" w:eastAsia="zh-CN" w:bidi="ar-SA"/>
        </w:rPr>
        <w:t>日期：    年  月  日</w:t>
      </w:r>
    </w:p>
    <w:p>
      <w:pPr>
        <w:widowControl/>
        <w:spacing w:line="400" w:lineRule="exact"/>
        <w:ind w:firstLine="643" w:firstLineChars="200"/>
        <w:jc w:val="center"/>
        <w:rPr>
          <w:rFonts w:hint="eastAsia" w:ascii="仿宋_GB2312" w:hAnsi="宋体" w:eastAsia="仿宋_GB2312" w:cs="Times New Roman"/>
          <w:b/>
          <w:bCs/>
          <w:sz w:val="32"/>
          <w:szCs w:val="32"/>
          <w:highlight w:val="none"/>
          <w:lang w:val="en-US" w:eastAsia="zh-CN" w:bidi="ar-SA"/>
        </w:rPr>
      </w:pPr>
      <w:r>
        <w:rPr>
          <w:rFonts w:hint="eastAsia" w:ascii="仿宋_GB2312" w:hAnsi="宋体" w:eastAsia="仿宋_GB2312" w:cs="Times New Roman"/>
          <w:b/>
          <w:bCs/>
          <w:sz w:val="32"/>
          <w:szCs w:val="32"/>
          <w:highlight w:val="none"/>
          <w:lang w:val="en-US" w:eastAsia="zh-CN" w:bidi="ar-SA"/>
        </w:rPr>
        <w:t>10、承 诺 函</w:t>
      </w:r>
    </w:p>
    <w:p>
      <w:pPr>
        <w:widowControl/>
        <w:spacing w:line="400" w:lineRule="exact"/>
        <w:ind w:firstLine="482" w:firstLineChars="200"/>
        <w:jc w:val="center"/>
        <w:rPr>
          <w:rFonts w:hint="eastAsia" w:ascii="仿宋_GB2312" w:hAnsi="宋体" w:eastAsia="仿宋_GB2312" w:cs="Times New Roman"/>
          <w:b/>
          <w:bCs/>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_GB2312" w:hAnsi="宋体" w:eastAsia="仿宋_GB2312" w:cs="Times New Roman"/>
          <w:b w:val="0"/>
          <w:bCs w:val="0"/>
          <w:sz w:val="24"/>
          <w:szCs w:val="24"/>
          <w:highlight w:val="none"/>
          <w:lang w:val="en-US" w:eastAsia="zh-CN" w:bidi="ar-SA"/>
        </w:rPr>
        <w:t>（采购代理机构名称）</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我公司作为本次采购项目的投标人，根据招标文件要求，现郑重承诺如下：</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一、具备《中华人民共和国政府采购法》第二十二条第一款和本项目规定的条件；</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二、完全接受和满足本项目招标文件中规定的实质性要求，如对招标文件有异义，已经在投标截止时间届满前依法进行维权；不存在对招标文件有异议的同时又参加投标以求侥幸成交或者为实现其他非法目的的行为。</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三、参加本次采购活动，不存在与单位负责人为同一人或者存在直接控股、管理关系的其他供应商参与同一合同项下的政府采购活动的行为。我方未参与本采购项目前期咨询论证，不属于禁止参加本项目的投标人。</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四、参加本次采购活动，不存在和其他投标人在同一合同项目下的采购项目中，同时委托同一个自然人、同一家庭的人员、同一单位的人员作为代理人的行为。</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五、我司未被列入按财库[2016]125号规定的失信被执行人、重大税收违法案件当事人名单、政府采购严重违法失信行为记录名单及其他不符合《中华人民共和国政府采购法》第二十二条规定条件的供应商。</w:t>
      </w:r>
    </w:p>
    <w:p>
      <w:pPr>
        <w:widowControl/>
        <w:spacing w:line="400" w:lineRule="exact"/>
        <w:ind w:firstLine="480" w:firstLineChars="200"/>
        <w:rPr>
          <w:rFonts w:hint="default" w:ascii="仿宋" w:hAnsi="仿宋" w:eastAsia="仿宋" w:cs="仿宋"/>
          <w:b w:val="0"/>
          <w:bCs w:val="0"/>
          <w:sz w:val="24"/>
          <w:szCs w:val="24"/>
          <w:highlight w:val="none"/>
          <w:u w:val="none"/>
          <w:lang w:val="en-US" w:eastAsia="zh-CN"/>
        </w:rPr>
      </w:pPr>
      <w:r>
        <w:rPr>
          <w:rFonts w:hint="eastAsia" w:ascii="仿宋_GB2312" w:hAnsi="宋体" w:eastAsia="仿宋_GB2312" w:cs="Times New Roman"/>
          <w:b w:val="0"/>
          <w:bCs w:val="0"/>
          <w:sz w:val="24"/>
          <w:szCs w:val="24"/>
          <w:highlight w:val="none"/>
          <w:lang w:val="en-US" w:eastAsia="zh-CN" w:bidi="ar-SA"/>
        </w:rPr>
        <w:t>六、如果有规定的记入诚信档案的失信行为，将在投标文件中全面如实反映。</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七、投标文件中提供的能够给予我公司带来优惠、好处的任何材料资料和技术、服务、商务等响应承诺情况都是真实的、有效的、合法的。</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八、如本项目投标过程中需要提供样品，则我公司提供的样品即为成交后将需提供的成交产品，我公司对提供样品的性能和质量负责，因样品存在缺陷或者不符合招标文件要求导致未能成交的，我公司愿意承担相应不利后果。</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九、我司完全同意招标文件中关于知识产权的说明，承诺由此造成的纠纷由我单位全权负责。</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十、本公司承诺不对本项目进行转包、分包，发包人查实后有权进行清退出场处理。</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十一、本公司承诺未按投标文件更换授权委托人，一经发现必须于七天整改完毕，逾期未改整的，发包人有权对中标单位清退出场。</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十二、本公司承诺未被西藏自治区交通运输厅列为禁止投标的单位（处罚决定规定的时间和地域范围内）。</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本公司对上述承诺的内容事项真实性负责。如经查实上述承诺的内容事项存在虚假，我公司愿意接受以提供虚假材料谋取成交追究法律责任。</w:t>
      </w:r>
    </w:p>
    <w:p>
      <w:pPr>
        <w:widowControl/>
        <w:spacing w:line="400" w:lineRule="exact"/>
        <w:ind w:firstLine="6000" w:firstLineChars="2500"/>
        <w:jc w:val="both"/>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投标单位名称：（盖单位公章）</w:t>
      </w:r>
    </w:p>
    <w:p>
      <w:pPr>
        <w:widowControl/>
        <w:spacing w:line="400" w:lineRule="exact"/>
        <w:ind w:firstLine="480" w:firstLineChars="200"/>
        <w:jc w:val="center"/>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 xml:space="preserve">                                            法定代表人或授权代表（签字）：</w:t>
      </w:r>
    </w:p>
    <w:p>
      <w:pPr>
        <w:widowControl/>
        <w:spacing w:line="400" w:lineRule="exact"/>
        <w:ind w:firstLine="480" w:firstLineChars="200"/>
        <w:jc w:val="center"/>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 xml:space="preserve">                               日期：</w:t>
      </w:r>
    </w:p>
    <w:p>
      <w:pPr>
        <w:widowControl/>
        <w:spacing w:line="400" w:lineRule="exact"/>
        <w:ind w:firstLine="480" w:firstLineChars="200"/>
        <w:jc w:val="right"/>
        <w:rPr>
          <w:rFonts w:hint="eastAsia" w:ascii="仿宋_GB2312" w:hAnsi="宋体" w:eastAsia="仿宋_GB2312" w:cs="Times New Roman"/>
          <w:b w:val="0"/>
          <w:bCs w:val="0"/>
          <w:sz w:val="24"/>
          <w:szCs w:val="24"/>
          <w:highlight w:val="none"/>
          <w:lang w:val="zh-CN" w:eastAsia="zh-CN" w:bidi="ar-SA"/>
        </w:rPr>
      </w:pPr>
      <w:r>
        <w:rPr>
          <w:rFonts w:hint="eastAsia" w:ascii="仿宋_GB2312" w:hAnsi="宋体" w:eastAsia="仿宋_GB2312" w:cs="Times New Roman"/>
          <w:b w:val="0"/>
          <w:bCs w:val="0"/>
          <w:sz w:val="24"/>
          <w:szCs w:val="24"/>
          <w:highlight w:val="none"/>
          <w:lang w:val="zh-CN" w:eastAsia="zh-CN" w:bidi="ar-SA"/>
        </w:rPr>
        <w:br w:type="page"/>
      </w:r>
    </w:p>
    <w:p>
      <w:pPr>
        <w:widowControl/>
        <w:spacing w:line="400" w:lineRule="exact"/>
        <w:ind w:firstLine="643" w:firstLineChars="200"/>
        <w:jc w:val="center"/>
        <w:rPr>
          <w:rFonts w:hint="eastAsia" w:ascii="仿宋_GB2312" w:hAnsi="宋体" w:eastAsia="仿宋_GB2312" w:cs="Times New Roman"/>
          <w:b/>
          <w:bCs/>
          <w:sz w:val="32"/>
          <w:szCs w:val="32"/>
          <w:highlight w:val="none"/>
          <w:lang w:val="en-US" w:eastAsia="zh-CN" w:bidi="ar-SA"/>
        </w:rPr>
      </w:pPr>
      <w:r>
        <w:rPr>
          <w:rFonts w:hint="eastAsia" w:ascii="仿宋_GB2312" w:hAnsi="宋体" w:eastAsia="仿宋_GB2312" w:cs="Times New Roman"/>
          <w:b/>
          <w:bCs/>
          <w:sz w:val="32"/>
          <w:szCs w:val="32"/>
          <w:highlight w:val="none"/>
          <w:lang w:val="en-US" w:eastAsia="zh-CN" w:bidi="ar-SA"/>
        </w:rPr>
        <w:t>11</w:t>
      </w:r>
      <w:r>
        <w:rPr>
          <w:rFonts w:hint="eastAsia" w:ascii="仿宋_GB2312" w:hAnsi="宋体" w:eastAsia="仿宋_GB2312" w:cs="Times New Roman"/>
          <w:b/>
          <w:bCs/>
          <w:sz w:val="32"/>
          <w:szCs w:val="32"/>
          <w:highlight w:val="none"/>
          <w:lang w:val="zh-CN" w:eastAsia="zh-CN" w:bidi="ar-SA"/>
        </w:rPr>
        <w:t>、</w:t>
      </w:r>
      <w:r>
        <w:rPr>
          <w:rFonts w:hint="eastAsia" w:ascii="仿宋_GB2312" w:hAnsi="宋体" w:eastAsia="仿宋_GB2312" w:cs="Times New Roman"/>
          <w:b/>
          <w:bCs/>
          <w:sz w:val="32"/>
          <w:szCs w:val="32"/>
          <w:highlight w:val="none"/>
          <w:lang w:val="en-US" w:eastAsia="zh-CN" w:bidi="ar-SA"/>
        </w:rPr>
        <w:t>质量承诺书</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（招标人）：</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若我公司有幸中标，特对本项目供货质量承诺如下：</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 xml:space="preserve">1、我公司保证提供的所有投标产品是符合国家标准的、全新、原产、未使用过的，承诺不用假冒及伪劣产品替代。 </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2、我公司保证提供的投标产品的技术性能、综合质量的稳定性和可靠性;保证提供的投标产品符合国家质量、技术、环保、安全、节能等相关法律、法规和政策要求及商检标准。</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3、我公司承诺完全按照采购文件要求的规格、型号、参数等要求供货，不以少充多、不以旧充新，不以劣充优，不以假充真;不提供降低产品等级标准或存在缺陷的产品。</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4、如出现上述质量问题买方有权退货;如造成直接经济损失，买方可要求我公司给予赔偿。我公司所提供的投标产品均为经检验合格证的全新品，否则由我公司承担因此产生的一切后果。</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5、我公司认可采购人的货物验收制度和仓库保存条件，并在对供应货物进行验收时，自愿严格遵守采购人的货物验收制度。</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6、我公司对未通过验收的货物，保证在采购人规定时间内补充合格的货物，否则自愿承担由此造成的所有损失。</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7、我公司对通过验收的货物，在采购人投入使用之前，出现相关证照不全、品牌不符及任何质量问题的，我公司承诺无条件退货，并在采购人规定时间内补充合格的货物，否则自愿承担由此造成的所有损失。</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8我公司承诺提供货物制造厂商的出厂检验报告、合格证书、原产地证书。</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9、我公司保证按合同和技术协议配套供货，保证按期、按质、按量交货，并提供完整的技术资料。我公司将为采购人提供完善的售前、售中、售后服务。</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 xml:space="preserve">                                         </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 xml:space="preserve">                                             承诺人：     （盖章）</w:t>
      </w:r>
    </w:p>
    <w:p>
      <w:pPr>
        <w:widowControl/>
        <w:spacing w:line="400" w:lineRule="exact"/>
        <w:ind w:firstLine="480" w:firstLineChars="200"/>
        <w:jc w:val="righ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法定代表人或委托代理人：（签字）</w:t>
      </w:r>
    </w:p>
    <w:p>
      <w:pPr>
        <w:widowControl/>
        <w:spacing w:line="400" w:lineRule="exact"/>
        <w:ind w:firstLine="480" w:firstLineChars="200"/>
        <w:jc w:val="right"/>
        <w:rPr>
          <w:rFonts w:hint="eastAsia" w:ascii="仿宋_GB2312" w:hAnsi="宋体" w:eastAsia="仿宋_GB2312" w:cs="Times New Roman"/>
          <w:b w:val="0"/>
          <w:bCs w:val="0"/>
          <w:sz w:val="24"/>
          <w:szCs w:val="24"/>
          <w:highlight w:val="none"/>
          <w:lang w:val="en-US" w:eastAsia="en-US" w:bidi="ar-SA"/>
        </w:rPr>
      </w:pPr>
      <w:bookmarkStart w:id="55" w:name="_Toc7710"/>
      <w:r>
        <w:rPr>
          <w:rFonts w:hint="eastAsia" w:ascii="仿宋_GB2312" w:hAnsi="宋体" w:eastAsia="仿宋_GB2312" w:cs="Times New Roman"/>
          <w:b w:val="0"/>
          <w:bCs w:val="0"/>
          <w:sz w:val="24"/>
          <w:szCs w:val="24"/>
          <w:highlight w:val="none"/>
          <w:lang w:val="en-US" w:eastAsia="zh-CN" w:bidi="ar-SA"/>
        </w:rPr>
        <w:t xml:space="preserve">                                      </w:t>
      </w:r>
      <w:r>
        <w:rPr>
          <w:rFonts w:hint="eastAsia" w:ascii="仿宋_GB2312" w:hAnsi="宋体" w:eastAsia="仿宋_GB2312" w:cs="Times New Roman"/>
          <w:b w:val="0"/>
          <w:bCs w:val="0"/>
          <w:sz w:val="24"/>
          <w:szCs w:val="24"/>
          <w:highlight w:val="none"/>
          <w:lang w:val="en-US" w:eastAsia="en-US" w:bidi="ar-SA"/>
        </w:rPr>
        <w:t>年   月   日</w:t>
      </w:r>
      <w:bookmarkEnd w:id="55"/>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br w:type="page"/>
      </w:r>
    </w:p>
    <w:p>
      <w:pPr>
        <w:widowControl/>
        <w:spacing w:line="400" w:lineRule="exact"/>
        <w:ind w:firstLine="643" w:firstLineChars="200"/>
        <w:jc w:val="center"/>
        <w:rPr>
          <w:rFonts w:hint="eastAsia" w:ascii="仿宋_GB2312" w:hAnsi="宋体" w:eastAsia="仿宋_GB2312" w:cs="Times New Roman"/>
          <w:b/>
          <w:bCs/>
          <w:sz w:val="32"/>
          <w:szCs w:val="32"/>
          <w:highlight w:val="none"/>
          <w:lang w:val="en-US" w:eastAsia="zh-CN" w:bidi="ar-SA"/>
        </w:rPr>
      </w:pPr>
      <w:r>
        <w:rPr>
          <w:rFonts w:hint="eastAsia" w:ascii="仿宋_GB2312" w:hAnsi="宋体" w:eastAsia="仿宋_GB2312" w:cs="Times New Roman"/>
          <w:b/>
          <w:bCs/>
          <w:sz w:val="32"/>
          <w:szCs w:val="32"/>
          <w:highlight w:val="none"/>
          <w:lang w:val="en-US" w:eastAsia="zh-CN" w:bidi="ar-SA"/>
        </w:rPr>
        <w:t>12履约承诺书</w:t>
      </w:r>
    </w:p>
    <w:p>
      <w:pPr>
        <w:widowControl/>
        <w:spacing w:line="400" w:lineRule="exact"/>
        <w:ind w:firstLine="480" w:firstLineChars="200"/>
        <w:rPr>
          <w:rFonts w:hint="default"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（招标人）：</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一、若我公司有幸以（投标报价）    元（小写：   ）的价格中标，特对（项目名称） 作出以下承诺，我公司所出报价均能满足招标文件中货物（服务）质量与数量的要求，并响应招标文件中所提出的实质性内容，如我公司在中标后满足不了招标文件采购需求及相关实质性条款，后果自负，愿承担一切相关违约责任并赔偿招标人一切损失。</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二、我公司承诺在投标过程中出具的样品（如有）与检测报告一致，若提供虚假材料，我公司愿承担愿承担一切相关违约责任并赔偿招标人一切损失。</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特此承诺！</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p>
    <w:p>
      <w:pPr>
        <w:widowControl/>
        <w:spacing w:line="400" w:lineRule="exact"/>
        <w:ind w:firstLine="480" w:firstLineChars="200"/>
        <w:jc w:val="center"/>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 xml:space="preserve">                                                     投标人名称（盖章）：</w:t>
      </w:r>
    </w:p>
    <w:p>
      <w:pPr>
        <w:widowControl/>
        <w:spacing w:line="400" w:lineRule="exact"/>
        <w:ind w:firstLine="480" w:firstLineChars="200"/>
        <w:jc w:val="right"/>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法定代表人签字或盖章：</w:t>
      </w:r>
      <w:bookmarkStart w:id="56" w:name="bookmark527"/>
      <w:bookmarkEnd w:id="56"/>
    </w:p>
    <w:p>
      <w:pPr>
        <w:widowControl/>
        <w:spacing w:line="400" w:lineRule="exact"/>
        <w:ind w:firstLine="480" w:firstLineChars="200"/>
        <w:jc w:val="center"/>
        <w:rPr>
          <w:rFonts w:hint="eastAsia" w:asciiTheme="minorEastAsia" w:hAnsiTheme="minorEastAsia" w:eastAsiaTheme="minorEastAsia"/>
          <w:sz w:val="21"/>
          <w:szCs w:val="20"/>
          <w:highlight w:val="none"/>
          <w:lang w:val="en-US" w:eastAsia="zh-CN"/>
        </w:rPr>
      </w:pPr>
      <w:r>
        <w:rPr>
          <w:rFonts w:hint="eastAsia" w:ascii="仿宋_GB2312" w:hAnsi="宋体" w:eastAsia="仿宋_GB2312" w:cs="Times New Roman"/>
          <w:b w:val="0"/>
          <w:bCs w:val="0"/>
          <w:sz w:val="24"/>
          <w:szCs w:val="24"/>
          <w:highlight w:val="none"/>
          <w:lang w:val="en-US" w:eastAsia="zh-CN" w:bidi="ar-SA"/>
        </w:rPr>
        <w:t xml:space="preserve">                                       日期：</w:t>
      </w:r>
    </w:p>
    <w:p>
      <w:pPr>
        <w:rPr>
          <w:rFonts w:hint="eastAsia"/>
          <w:szCs w:val="28"/>
          <w:highlight w:val="none"/>
          <w:lang w:val="en-US" w:bidi="ar-SA"/>
        </w:rPr>
      </w:pPr>
      <w:r>
        <w:rPr>
          <w:rFonts w:hint="eastAsia"/>
          <w:szCs w:val="28"/>
          <w:highlight w:val="none"/>
          <w:lang w:val="en-US" w:bidi="ar-SA"/>
        </w:rPr>
        <w:br w:type="page"/>
      </w:r>
    </w:p>
    <w:p>
      <w:pPr>
        <w:jc w:val="center"/>
        <w:rPr>
          <w:rFonts w:hint="eastAsia" w:ascii="仿宋" w:hAnsi="仿宋" w:eastAsia="仿宋" w:cs="仿宋"/>
          <w:b/>
          <w:bCs/>
          <w:sz w:val="28"/>
          <w:szCs w:val="28"/>
          <w:highlight w:val="none"/>
          <w:lang w:val="en-US" w:eastAsia="zh-CN" w:bidi="zh-CN"/>
        </w:rPr>
      </w:pPr>
      <w:r>
        <w:rPr>
          <w:rFonts w:hint="eastAsia" w:ascii="仿宋" w:hAnsi="仿宋" w:eastAsia="仿宋" w:cs="仿宋"/>
          <w:b/>
          <w:bCs/>
          <w:sz w:val="28"/>
          <w:szCs w:val="28"/>
          <w:highlight w:val="none"/>
          <w:lang w:val="en-US" w:eastAsia="zh-CN" w:bidi="zh-CN"/>
        </w:rPr>
        <w:t>13.投标文件还应包括投标人须知第10条的所有技术文件</w:t>
      </w:r>
      <w:bookmarkEnd w:id="48"/>
    </w:p>
    <w:p>
      <w:pPr>
        <w:jc w:val="center"/>
        <w:rPr>
          <w:rFonts w:hint="eastAsia" w:ascii="仿宋" w:hAnsi="仿宋" w:eastAsia="仿宋" w:cs="仿宋"/>
          <w:b/>
          <w:bCs/>
          <w:sz w:val="28"/>
          <w:szCs w:val="28"/>
          <w:highlight w:val="none"/>
          <w:lang w:val="en-US" w:eastAsia="zh-CN" w:bidi="zh-CN"/>
        </w:rPr>
      </w:pPr>
    </w:p>
    <w:p>
      <w:pPr>
        <w:widowControl/>
        <w:jc w:val="lef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br w:type="page"/>
      </w:r>
    </w:p>
    <w:p>
      <w:pPr>
        <w:numPr>
          <w:ilvl w:val="0"/>
          <w:numId w:val="0"/>
        </w:numPr>
        <w:spacing w:line="400" w:lineRule="exact"/>
        <w:jc w:val="center"/>
        <w:rPr>
          <w:rFonts w:hint="eastAsia" w:ascii="仿宋_GB2312" w:hAnsi="宋体" w:eastAsia="仿宋_GB2312" w:cs="Times New Roman"/>
          <w:b/>
          <w:bCs/>
          <w:sz w:val="28"/>
          <w:szCs w:val="28"/>
          <w:highlight w:val="none"/>
          <w:lang w:val="en-US" w:eastAsia="zh-CN" w:bidi="ar-SA"/>
        </w:rPr>
      </w:pPr>
      <w:r>
        <w:rPr>
          <w:rFonts w:hint="eastAsia" w:ascii="仿宋_GB2312" w:hAnsi="宋体" w:eastAsia="仿宋_GB2312" w:cs="Times New Roman"/>
          <w:b/>
          <w:bCs/>
          <w:sz w:val="28"/>
          <w:szCs w:val="28"/>
          <w:highlight w:val="none"/>
          <w:lang w:val="en-US" w:eastAsia="zh-CN" w:bidi="ar-SA"/>
        </w:rPr>
        <w:t>14.技术服务方案（格式自拟）</w:t>
      </w:r>
    </w:p>
    <w:p>
      <w:pPr>
        <w:widowControl/>
        <w:spacing w:line="400" w:lineRule="exact"/>
        <w:ind w:firstLine="480" w:firstLineChars="200"/>
        <w:rPr>
          <w:rFonts w:hint="eastAsia" w:ascii="仿宋_GB2312" w:hAnsi="宋体" w:eastAsia="仿宋_GB2312" w:cs="Times New Roman"/>
          <w:b w:val="0"/>
          <w:bCs w:val="0"/>
          <w:sz w:val="24"/>
          <w:szCs w:val="24"/>
          <w:highlight w:val="none"/>
          <w:lang w:eastAsia="zh-CN" w:bidi="ar-SA"/>
        </w:rPr>
      </w:pPr>
      <w:r>
        <w:rPr>
          <w:rFonts w:hint="eastAsia" w:ascii="仿宋_GB2312" w:hAnsi="宋体" w:eastAsia="仿宋_GB2312" w:cs="Times New Roman"/>
          <w:b w:val="0"/>
          <w:bCs w:val="0"/>
          <w:sz w:val="24"/>
          <w:szCs w:val="24"/>
          <w:highlight w:val="none"/>
          <w:lang w:eastAsia="zh-CN" w:bidi="ar-SA"/>
        </w:rPr>
        <w:t>应包括但不限于以下内容：</w:t>
      </w:r>
    </w:p>
    <w:p>
      <w:pPr>
        <w:widowControl/>
        <w:spacing w:line="400" w:lineRule="exact"/>
        <w:ind w:firstLine="480" w:firstLineChars="200"/>
        <w:rPr>
          <w:rFonts w:hint="eastAsia" w:ascii="仿宋_GB2312" w:hAnsi="宋体" w:eastAsia="仿宋_GB2312" w:cs="Times New Roman"/>
          <w:b w:val="0"/>
          <w:bCs w:val="0"/>
          <w:sz w:val="24"/>
          <w:szCs w:val="24"/>
          <w:highlight w:val="none"/>
          <w:lang w:eastAsia="zh-CN" w:bidi="ar-SA"/>
        </w:rPr>
      </w:pPr>
      <w:r>
        <w:rPr>
          <w:rFonts w:hint="eastAsia" w:ascii="仿宋_GB2312" w:hAnsi="宋体" w:eastAsia="仿宋_GB2312" w:cs="Times New Roman"/>
          <w:b w:val="0"/>
          <w:bCs w:val="0"/>
          <w:sz w:val="24"/>
          <w:szCs w:val="24"/>
          <w:highlight w:val="none"/>
          <w:lang w:eastAsia="zh-CN" w:bidi="ar-SA"/>
        </w:rPr>
        <w:t>1、总体供货服务方案布置及规划</w:t>
      </w:r>
    </w:p>
    <w:p>
      <w:pPr>
        <w:widowControl/>
        <w:spacing w:line="400" w:lineRule="exact"/>
        <w:ind w:firstLine="480" w:firstLineChars="200"/>
        <w:rPr>
          <w:rFonts w:hint="eastAsia" w:ascii="仿宋_GB2312" w:hAnsi="宋体" w:eastAsia="仿宋_GB2312" w:cs="Times New Roman"/>
          <w:b w:val="0"/>
          <w:bCs w:val="0"/>
          <w:sz w:val="24"/>
          <w:szCs w:val="24"/>
          <w:highlight w:val="none"/>
          <w:lang w:eastAsia="zh-CN" w:bidi="ar-SA"/>
        </w:rPr>
      </w:pPr>
      <w:r>
        <w:rPr>
          <w:rFonts w:hint="eastAsia" w:ascii="仿宋_GB2312" w:hAnsi="宋体" w:eastAsia="仿宋_GB2312" w:cs="Times New Roman"/>
          <w:b w:val="0"/>
          <w:bCs w:val="0"/>
          <w:sz w:val="24"/>
          <w:szCs w:val="24"/>
          <w:highlight w:val="none"/>
          <w:lang w:eastAsia="zh-CN" w:bidi="ar-SA"/>
        </w:rPr>
        <w:t>2、</w:t>
      </w:r>
      <w:r>
        <w:rPr>
          <w:rFonts w:hint="eastAsia" w:ascii="仿宋_GB2312" w:hAnsi="宋体" w:eastAsia="仿宋_GB2312" w:cs="Times New Roman"/>
          <w:b w:val="0"/>
          <w:bCs w:val="0"/>
          <w:sz w:val="24"/>
          <w:szCs w:val="24"/>
          <w:highlight w:val="none"/>
          <w:lang w:val="en-US" w:eastAsia="zh-CN" w:bidi="ar-SA"/>
        </w:rPr>
        <w:t>供货</w:t>
      </w:r>
      <w:r>
        <w:rPr>
          <w:rFonts w:hint="eastAsia" w:ascii="仿宋_GB2312" w:hAnsi="宋体" w:eastAsia="仿宋_GB2312" w:cs="Times New Roman"/>
          <w:b w:val="0"/>
          <w:bCs w:val="0"/>
          <w:sz w:val="24"/>
          <w:szCs w:val="24"/>
          <w:highlight w:val="none"/>
          <w:lang w:eastAsia="zh-CN" w:bidi="ar-SA"/>
        </w:rPr>
        <w:t>能力保证方案、方法与技术措施</w:t>
      </w:r>
    </w:p>
    <w:p>
      <w:pPr>
        <w:widowControl/>
        <w:spacing w:line="400" w:lineRule="exact"/>
        <w:ind w:firstLine="480" w:firstLineChars="200"/>
        <w:rPr>
          <w:rFonts w:hint="eastAsia" w:ascii="仿宋_GB2312" w:hAnsi="宋体" w:eastAsia="仿宋_GB2312" w:cs="Times New Roman"/>
          <w:b w:val="0"/>
          <w:bCs w:val="0"/>
          <w:sz w:val="24"/>
          <w:szCs w:val="24"/>
          <w:highlight w:val="none"/>
          <w:lang w:eastAsia="zh-CN" w:bidi="ar-SA"/>
        </w:rPr>
      </w:pPr>
      <w:r>
        <w:rPr>
          <w:rFonts w:hint="eastAsia" w:ascii="仿宋_GB2312" w:hAnsi="宋体" w:eastAsia="仿宋_GB2312" w:cs="Times New Roman"/>
          <w:b w:val="0"/>
          <w:bCs w:val="0"/>
          <w:sz w:val="24"/>
          <w:szCs w:val="24"/>
          <w:highlight w:val="none"/>
          <w:lang w:eastAsia="zh-CN" w:bidi="ar-SA"/>
        </w:rPr>
        <w:t>3、供货时间保证体系及措施</w:t>
      </w:r>
    </w:p>
    <w:p>
      <w:pPr>
        <w:widowControl/>
        <w:spacing w:line="400" w:lineRule="exact"/>
        <w:ind w:firstLine="480" w:firstLineChars="200"/>
        <w:rPr>
          <w:rFonts w:hint="eastAsia" w:ascii="仿宋_GB2312" w:hAnsi="宋体" w:eastAsia="仿宋_GB2312" w:cs="Times New Roman"/>
          <w:b w:val="0"/>
          <w:bCs w:val="0"/>
          <w:sz w:val="24"/>
          <w:szCs w:val="24"/>
          <w:highlight w:val="none"/>
          <w:lang w:eastAsia="zh-CN" w:bidi="ar-SA"/>
        </w:rPr>
      </w:pPr>
      <w:r>
        <w:rPr>
          <w:rFonts w:hint="eastAsia" w:ascii="仿宋_GB2312" w:hAnsi="宋体" w:eastAsia="仿宋_GB2312" w:cs="Times New Roman"/>
          <w:b w:val="0"/>
          <w:bCs w:val="0"/>
          <w:sz w:val="24"/>
          <w:szCs w:val="24"/>
          <w:highlight w:val="none"/>
          <w:lang w:eastAsia="zh-CN" w:bidi="ar-SA"/>
        </w:rPr>
        <w:t>4、货物包装运输安全保证体系及措施</w:t>
      </w:r>
    </w:p>
    <w:p>
      <w:pPr>
        <w:widowControl/>
        <w:spacing w:line="400" w:lineRule="exact"/>
        <w:ind w:firstLine="480" w:firstLineChars="200"/>
        <w:rPr>
          <w:rFonts w:hint="eastAsia" w:ascii="仿宋_GB2312" w:hAnsi="宋体" w:eastAsia="仿宋_GB2312" w:cs="Times New Roman"/>
          <w:b w:val="0"/>
          <w:bCs w:val="0"/>
          <w:sz w:val="24"/>
          <w:szCs w:val="24"/>
          <w:highlight w:val="none"/>
          <w:lang w:val="en-US" w:eastAsia="zh-CN" w:bidi="ar-SA"/>
        </w:rPr>
      </w:pPr>
      <w:r>
        <w:rPr>
          <w:rFonts w:hint="eastAsia" w:ascii="仿宋_GB2312" w:hAnsi="宋体" w:eastAsia="仿宋_GB2312" w:cs="Times New Roman"/>
          <w:b w:val="0"/>
          <w:bCs w:val="0"/>
          <w:sz w:val="24"/>
          <w:szCs w:val="24"/>
          <w:highlight w:val="none"/>
          <w:lang w:val="en-US" w:eastAsia="zh-CN" w:bidi="ar-SA"/>
        </w:rPr>
        <w:t>5、材料技术服务方案（包括人员配备及技术服务方案需满足第五章</w:t>
      </w:r>
      <w:r>
        <w:rPr>
          <w:rFonts w:hint="eastAsia" w:ascii="仿宋_GB2312" w:hAnsi="宋体" w:eastAsia="仿宋_GB2312" w:cs="Times New Roman"/>
          <w:kern w:val="2"/>
          <w:sz w:val="24"/>
          <w:szCs w:val="24"/>
          <w:highlight w:val="none"/>
          <w:lang w:val="en-US" w:eastAsia="zh-CN" w:bidi="ar-SA"/>
        </w:rPr>
        <w:t>货物需求一览表及技术规格</w:t>
      </w:r>
      <w:r>
        <w:rPr>
          <w:rFonts w:hint="eastAsia" w:ascii="仿宋_GB2312" w:hAnsi="宋体" w:eastAsia="仿宋_GB2312" w:cs="Times New Roman"/>
          <w:b w:val="0"/>
          <w:bCs w:val="0"/>
          <w:sz w:val="24"/>
          <w:szCs w:val="24"/>
          <w:highlight w:val="none"/>
          <w:lang w:val="en-US" w:eastAsia="zh-CN" w:bidi="ar-SA"/>
        </w:rPr>
        <w:t>）</w:t>
      </w:r>
    </w:p>
    <w:p>
      <w:pPr>
        <w:widowControl/>
        <w:spacing w:line="400" w:lineRule="exact"/>
        <w:ind w:firstLine="480" w:firstLineChars="200"/>
        <w:rPr>
          <w:rFonts w:hint="eastAsia" w:ascii="仿宋_GB2312" w:hAnsi="宋体" w:eastAsia="仿宋_GB2312" w:cs="Times New Roman"/>
          <w:b w:val="0"/>
          <w:bCs w:val="0"/>
          <w:sz w:val="24"/>
          <w:szCs w:val="24"/>
          <w:highlight w:val="none"/>
          <w:lang w:eastAsia="zh-CN" w:bidi="ar-SA"/>
        </w:rPr>
      </w:pPr>
      <w:r>
        <w:rPr>
          <w:rFonts w:hint="eastAsia" w:ascii="仿宋_GB2312" w:hAnsi="宋体" w:eastAsia="仿宋_GB2312" w:cs="Times New Roman"/>
          <w:b w:val="0"/>
          <w:bCs w:val="0"/>
          <w:sz w:val="24"/>
          <w:szCs w:val="24"/>
          <w:highlight w:val="none"/>
          <w:lang w:val="en-US" w:eastAsia="zh-CN" w:bidi="ar-SA"/>
        </w:rPr>
        <w:t>6</w:t>
      </w:r>
      <w:r>
        <w:rPr>
          <w:rFonts w:hint="eastAsia" w:ascii="仿宋_GB2312" w:hAnsi="宋体" w:eastAsia="仿宋_GB2312" w:cs="Times New Roman"/>
          <w:b w:val="0"/>
          <w:bCs w:val="0"/>
          <w:sz w:val="24"/>
          <w:szCs w:val="24"/>
          <w:highlight w:val="none"/>
          <w:lang w:eastAsia="zh-CN" w:bidi="ar-SA"/>
        </w:rPr>
        <w:t>、供货质量保证体系及措施</w:t>
      </w:r>
    </w:p>
    <w:p>
      <w:pPr>
        <w:widowControl/>
        <w:spacing w:line="400" w:lineRule="exact"/>
        <w:ind w:firstLine="480" w:firstLineChars="200"/>
        <w:rPr>
          <w:rFonts w:hint="eastAsia" w:ascii="仿宋_GB2312" w:hAnsi="宋体" w:eastAsia="仿宋_GB2312" w:cs="Times New Roman"/>
          <w:b w:val="0"/>
          <w:bCs w:val="0"/>
          <w:sz w:val="24"/>
          <w:szCs w:val="24"/>
          <w:highlight w:val="none"/>
          <w:lang w:eastAsia="zh-CN" w:bidi="ar-SA"/>
        </w:rPr>
      </w:pPr>
      <w:r>
        <w:rPr>
          <w:rFonts w:hint="eastAsia" w:ascii="仿宋_GB2312" w:hAnsi="宋体" w:eastAsia="仿宋_GB2312" w:cs="Times New Roman"/>
          <w:b w:val="0"/>
          <w:bCs w:val="0"/>
          <w:sz w:val="24"/>
          <w:szCs w:val="24"/>
          <w:highlight w:val="none"/>
          <w:lang w:val="en-US" w:eastAsia="zh-CN" w:bidi="ar-SA"/>
        </w:rPr>
        <w:t>7</w:t>
      </w:r>
      <w:r>
        <w:rPr>
          <w:rFonts w:hint="eastAsia" w:ascii="仿宋_GB2312" w:hAnsi="宋体" w:eastAsia="仿宋_GB2312" w:cs="Times New Roman"/>
          <w:b w:val="0"/>
          <w:bCs w:val="0"/>
          <w:sz w:val="24"/>
          <w:szCs w:val="24"/>
          <w:highlight w:val="none"/>
          <w:lang w:eastAsia="zh-CN" w:bidi="ar-SA"/>
        </w:rPr>
        <w:t>、售后服务方案</w:t>
      </w:r>
    </w:p>
    <w:p>
      <w:pPr>
        <w:widowControl/>
        <w:jc w:val="left"/>
        <w:rPr>
          <w:rFonts w:hint="default" w:ascii="仿宋_GB2312" w:hAnsi="宋体" w:eastAsia="仿宋_GB2312" w:cs="Times New Roman"/>
          <w:sz w:val="24"/>
          <w:szCs w:val="24"/>
          <w:highlight w:val="none"/>
          <w:lang w:val="en-US" w:eastAsia="zh-CN" w:bidi="ar-SA"/>
        </w:rPr>
      </w:pPr>
      <w:r>
        <w:rPr>
          <w:b/>
          <w:bCs/>
          <w:highlight w:val="none"/>
          <w:lang w:eastAsia="zh-CN"/>
        </w:rPr>
        <w:br w:type="page"/>
      </w:r>
    </w:p>
    <w:p>
      <w:pPr>
        <w:jc w:val="center"/>
        <w:rPr>
          <w:rFonts w:ascii="新宋体" w:hAnsi="新宋体" w:eastAsia="新宋体"/>
          <w:b/>
          <w:bCs/>
          <w:sz w:val="60"/>
          <w:szCs w:val="60"/>
          <w:highlight w:val="none"/>
        </w:rPr>
      </w:pPr>
      <w:r>
        <w:rPr>
          <w:rFonts w:hint="eastAsia" w:ascii="新宋体" w:hAnsi="新宋体" w:eastAsia="新宋体"/>
          <w:b/>
          <w:bCs/>
          <w:sz w:val="60"/>
          <w:szCs w:val="60"/>
          <w:highlight w:val="none"/>
        </w:rPr>
        <w:t>政府采购公开招标文件</w:t>
      </w:r>
    </w:p>
    <w:p>
      <w:pPr>
        <w:jc w:val="center"/>
        <w:rPr>
          <w:rFonts w:ascii="新宋体" w:hAnsi="新宋体" w:eastAsia="新宋体"/>
          <w:b/>
          <w:bCs/>
          <w:sz w:val="60"/>
          <w:szCs w:val="60"/>
          <w:highlight w:val="none"/>
        </w:rPr>
      </w:pPr>
    </w:p>
    <w:p>
      <w:pPr>
        <w:jc w:val="center"/>
        <w:rPr>
          <w:rFonts w:ascii="新宋体" w:hAnsi="新宋体" w:eastAsia="新宋体"/>
          <w:b/>
          <w:bCs/>
          <w:sz w:val="60"/>
          <w:szCs w:val="60"/>
          <w:highlight w:val="none"/>
        </w:rPr>
      </w:pPr>
    </w:p>
    <w:p>
      <w:pPr>
        <w:jc w:val="center"/>
        <w:rPr>
          <w:rFonts w:ascii="新宋体" w:hAnsi="新宋体" w:eastAsia="新宋体"/>
          <w:b/>
          <w:bCs/>
          <w:sz w:val="60"/>
          <w:szCs w:val="60"/>
          <w:highlight w:val="none"/>
        </w:rPr>
      </w:pPr>
      <w:r>
        <w:rPr>
          <w:rFonts w:hint="eastAsia" w:ascii="新宋体" w:hAnsi="新宋体" w:eastAsia="新宋体"/>
          <w:b/>
          <w:bCs/>
          <w:sz w:val="60"/>
          <w:szCs w:val="60"/>
          <w:highlight w:val="none"/>
        </w:rPr>
        <w:t>第二册</w:t>
      </w:r>
    </w:p>
    <w:p>
      <w:pPr>
        <w:widowControl/>
        <w:jc w:val="left"/>
        <w:rPr>
          <w:rFonts w:ascii="仿宋_GB2312" w:hAnsi="宋体" w:eastAsia="仿宋_GB2312" w:cs="Times New Roman"/>
          <w:b/>
          <w:bCs/>
          <w:sz w:val="24"/>
          <w:szCs w:val="24"/>
          <w:highlight w:val="none"/>
          <w:lang w:bidi="ar-SA"/>
        </w:rPr>
      </w:pPr>
    </w:p>
    <w:p>
      <w:pPr>
        <w:widowControl/>
        <w:jc w:val="left"/>
        <w:rPr>
          <w:rFonts w:ascii="仿宋_GB2312" w:hAnsi="宋体" w:eastAsia="仿宋_GB2312" w:cs="Times New Roman"/>
          <w:b/>
          <w:bCs/>
          <w:sz w:val="24"/>
          <w:szCs w:val="24"/>
          <w:highlight w:val="none"/>
          <w:lang w:bidi="ar-SA"/>
        </w:rPr>
      </w:pPr>
    </w:p>
    <w:p>
      <w:pPr>
        <w:widowControl/>
        <w:jc w:val="left"/>
        <w:rPr>
          <w:rFonts w:ascii="仿宋_GB2312" w:hAnsi="宋体" w:eastAsia="仿宋_GB2312" w:cs="Times New Roman"/>
          <w:b/>
          <w:bCs/>
          <w:sz w:val="24"/>
          <w:szCs w:val="24"/>
          <w:highlight w:val="none"/>
          <w:lang w:bidi="ar-SA"/>
        </w:rPr>
      </w:pPr>
    </w:p>
    <w:p>
      <w:pPr>
        <w:widowControl/>
        <w:jc w:val="left"/>
        <w:rPr>
          <w:rFonts w:ascii="仿宋_GB2312" w:hAnsi="宋体" w:eastAsia="仿宋_GB2312" w:cs="Times New Roman"/>
          <w:b/>
          <w:bCs/>
          <w:sz w:val="24"/>
          <w:szCs w:val="24"/>
          <w:highlight w:val="none"/>
          <w:lang w:bidi="ar-SA"/>
        </w:rPr>
      </w:pPr>
    </w:p>
    <w:p>
      <w:pPr>
        <w:rPr>
          <w:highlight w:val="none"/>
          <w:lang w:bidi="ar-SA"/>
        </w:rPr>
      </w:pPr>
      <w:r>
        <w:rPr>
          <w:highlight w:val="none"/>
          <w:lang w:bidi="ar-SA"/>
        </w:rPr>
        <w:br w:type="page"/>
      </w:r>
    </w:p>
    <w:p>
      <w:pPr>
        <w:pStyle w:val="2"/>
        <w:spacing w:before="0" w:after="0"/>
        <w:rPr>
          <w:rFonts w:hint="default" w:ascii="仿宋_GB2312" w:hAnsi="宋体" w:eastAsia="仿宋_GB2312" w:cs="Times New Roman"/>
          <w:b/>
          <w:bCs/>
          <w:kern w:val="2"/>
          <w:sz w:val="32"/>
          <w:szCs w:val="32"/>
          <w:highlight w:val="none"/>
          <w:lang w:val="en-US" w:eastAsia="zh-CN" w:bidi="ar-SA"/>
        </w:rPr>
      </w:pPr>
      <w:bookmarkStart w:id="57" w:name="_Toc75443037"/>
      <w:r>
        <w:rPr>
          <w:rFonts w:hint="eastAsia" w:ascii="仿宋_GB2312" w:hAnsi="宋体" w:eastAsia="仿宋_GB2312" w:cs="Times New Roman"/>
          <w:b/>
          <w:bCs/>
          <w:kern w:val="2"/>
          <w:sz w:val="32"/>
          <w:szCs w:val="32"/>
          <w:highlight w:val="none"/>
          <w:lang w:val="en-US" w:eastAsia="zh-CN" w:bidi="ar-SA"/>
        </w:rPr>
        <w:t>第3章</w:t>
      </w:r>
      <w:bookmarkEnd w:id="57"/>
      <w:r>
        <w:rPr>
          <w:rFonts w:hint="eastAsia" w:ascii="仿宋_GB2312" w:hAnsi="宋体" w:eastAsia="仿宋_GB2312" w:cs="Times New Roman"/>
          <w:b/>
          <w:bCs/>
          <w:kern w:val="2"/>
          <w:sz w:val="32"/>
          <w:szCs w:val="32"/>
          <w:highlight w:val="none"/>
          <w:lang w:val="en-US" w:eastAsia="zh-CN" w:bidi="ar-SA"/>
        </w:rPr>
        <w:t xml:space="preserve"> 招标公告</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宋体" w:eastAsia="仿宋_GB2312" w:cs="Times New Roman"/>
          <w:kern w:val="2"/>
          <w:sz w:val="24"/>
          <w:szCs w:val="24"/>
          <w:highlight w:val="none"/>
          <w:lang w:val="zh-TW" w:eastAsia="zh-CN" w:bidi="ar-SA"/>
        </w:rPr>
      </w:pPr>
      <w:bookmarkStart w:id="58" w:name="bookmark36"/>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宋体" w:eastAsia="仿宋_GB2312" w:cs="Times New Roman"/>
          <w:kern w:val="2"/>
          <w:sz w:val="24"/>
          <w:szCs w:val="24"/>
          <w:highlight w:val="none"/>
          <w:lang w:val="zh-TW" w:eastAsia="zh-CN" w:bidi="ar-SA"/>
        </w:rPr>
      </w:pPr>
      <w:r>
        <w:rPr>
          <w:rFonts w:hint="eastAsia" w:ascii="仿宋_GB2312" w:hAnsi="宋体" w:eastAsia="仿宋_GB2312" w:cs="Times New Roman"/>
          <w:kern w:val="2"/>
          <w:sz w:val="24"/>
          <w:szCs w:val="24"/>
          <w:highlight w:val="none"/>
          <w:lang w:val="zh-TW" w:eastAsia="zh-CN" w:bidi="ar-SA"/>
        </w:rPr>
        <w:t>项目概况</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226" w:afterAutospacing="0" w:line="360" w:lineRule="atLeast"/>
        <w:ind w:left="0" w:right="0" w:firstLine="480" w:firstLineChars="200"/>
        <w:textAlignment w:val="auto"/>
        <w:rPr>
          <w:rFonts w:hint="eastAsia" w:ascii="仿宋_GB2312" w:hAnsi="宋体" w:eastAsia="仿宋_GB2312" w:cs="Times New Roman"/>
          <w:b/>
          <w:bCs/>
          <w:sz w:val="24"/>
          <w:szCs w:val="24"/>
          <w:highlight w:val="none"/>
          <w:lang w:val="en-US" w:eastAsia="zh-CN" w:bidi="ar-SA"/>
        </w:rPr>
      </w:pPr>
      <w:r>
        <w:rPr>
          <w:rFonts w:hint="eastAsia" w:ascii="仿宋_GB2312" w:hAnsi="宋体" w:eastAsia="仿宋_GB2312" w:cs="Times New Roman"/>
          <w:kern w:val="2"/>
          <w:sz w:val="24"/>
          <w:szCs w:val="24"/>
          <w:highlight w:val="none"/>
          <w:u w:val="single"/>
          <w:lang w:val="zh-TW" w:eastAsia="zh-CN" w:bidi="ar-SA"/>
        </w:rPr>
        <w:t>那曲国省公路接管组2022年日常养护和抢险保通材料采购</w:t>
      </w:r>
      <w:r>
        <w:rPr>
          <w:rFonts w:hint="eastAsia" w:ascii="仿宋_GB2312" w:hAnsi="宋体" w:eastAsia="仿宋_GB2312" w:cs="Times New Roman"/>
          <w:kern w:val="2"/>
          <w:sz w:val="24"/>
          <w:szCs w:val="24"/>
          <w:highlight w:val="none"/>
          <w:lang w:val="zh-TW" w:eastAsia="zh-TW" w:bidi="ar-SA"/>
        </w:rPr>
        <w:t>的潜在</w:t>
      </w:r>
      <w:r>
        <w:rPr>
          <w:rFonts w:hint="eastAsia" w:ascii="仿宋_GB2312" w:hAnsi="宋体" w:eastAsia="仿宋_GB2312" w:cs="Times New Roman"/>
          <w:kern w:val="2"/>
          <w:sz w:val="24"/>
          <w:szCs w:val="24"/>
          <w:highlight w:val="none"/>
          <w:lang w:val="zh-TW" w:eastAsia="zh-CN" w:bidi="ar-SA"/>
        </w:rPr>
        <w:t>供应商</w:t>
      </w:r>
      <w:r>
        <w:rPr>
          <w:rFonts w:hint="eastAsia" w:ascii="仿宋_GB2312" w:hAnsi="宋体" w:eastAsia="仿宋_GB2312" w:cs="Times New Roman"/>
          <w:kern w:val="2"/>
          <w:sz w:val="24"/>
          <w:szCs w:val="24"/>
          <w:highlight w:val="none"/>
          <w:lang w:val="zh-TW" w:eastAsia="zh-TW" w:bidi="ar-SA"/>
        </w:rPr>
        <w:t>应在</w:t>
      </w:r>
      <w:r>
        <w:rPr>
          <w:rFonts w:hint="eastAsia" w:ascii="仿宋_GB2312" w:hAnsi="宋体" w:eastAsia="仿宋_GB2312" w:cs="Times New Roman"/>
          <w:kern w:val="2"/>
          <w:sz w:val="24"/>
          <w:szCs w:val="24"/>
          <w:highlight w:val="none"/>
          <w:lang w:val="zh-TW" w:eastAsia="zh-CN" w:bidi="ar-SA"/>
        </w:rPr>
        <w:t>西藏自治区公共资源交易平台（通过西藏自治区公共资源交易网登录，网址：ggzy.xizang.gov.cn）</w:t>
      </w:r>
      <w:r>
        <w:rPr>
          <w:rFonts w:hint="eastAsia" w:ascii="仿宋_GB2312" w:hAnsi="宋体" w:eastAsia="仿宋_GB2312" w:cs="Times New Roman"/>
          <w:kern w:val="2"/>
          <w:sz w:val="24"/>
          <w:szCs w:val="24"/>
          <w:highlight w:val="none"/>
          <w:lang w:val="zh-TW" w:eastAsia="zh-TW" w:bidi="ar-SA"/>
        </w:rPr>
        <w:t>获取招标文件，并于</w:t>
      </w:r>
      <w:r>
        <w:rPr>
          <w:rFonts w:hint="eastAsia" w:ascii="仿宋_GB2312" w:hAnsi="宋体" w:eastAsia="仿宋_GB2312" w:cs="Times New Roman"/>
          <w:kern w:val="2"/>
          <w:sz w:val="24"/>
          <w:szCs w:val="24"/>
          <w:highlight w:val="none"/>
          <w:u w:val="single"/>
          <w:lang w:val="en-US" w:eastAsia="zh-CN" w:bidi="ar-SA"/>
        </w:rPr>
        <w:t>2022</w:t>
      </w:r>
      <w:r>
        <w:rPr>
          <w:rFonts w:hint="eastAsia" w:ascii="仿宋_GB2312" w:hAnsi="宋体" w:eastAsia="仿宋_GB2312" w:cs="Times New Roman"/>
          <w:kern w:val="2"/>
          <w:sz w:val="24"/>
          <w:szCs w:val="24"/>
          <w:highlight w:val="none"/>
          <w:u w:val="single"/>
          <w:lang w:val="zh-TW" w:eastAsia="zh-TW" w:bidi="ar-SA"/>
        </w:rPr>
        <w:t>年</w:t>
      </w:r>
      <w:r>
        <w:rPr>
          <w:rFonts w:hint="eastAsia" w:ascii="仿宋_GB2312" w:hAnsi="宋体" w:eastAsia="仿宋_GB2312" w:cs="Times New Roman"/>
          <w:kern w:val="2"/>
          <w:sz w:val="24"/>
          <w:szCs w:val="24"/>
          <w:highlight w:val="none"/>
          <w:u w:val="single"/>
          <w:lang w:val="en-US" w:eastAsia="zh-CN" w:bidi="ar-SA"/>
        </w:rPr>
        <w:t xml:space="preserve">  7  </w:t>
      </w:r>
      <w:r>
        <w:rPr>
          <w:rFonts w:hint="eastAsia" w:ascii="仿宋_GB2312" w:hAnsi="宋体" w:eastAsia="仿宋_GB2312" w:cs="Times New Roman"/>
          <w:kern w:val="2"/>
          <w:sz w:val="24"/>
          <w:szCs w:val="24"/>
          <w:highlight w:val="none"/>
          <w:u w:val="single"/>
          <w:lang w:val="zh-TW" w:eastAsia="zh-TW" w:bidi="ar-SA"/>
        </w:rPr>
        <w:t>月</w:t>
      </w:r>
      <w:r>
        <w:rPr>
          <w:rFonts w:hint="eastAsia" w:ascii="仿宋_GB2312" w:hAnsi="宋体" w:eastAsia="仿宋_GB2312" w:cs="Times New Roman"/>
          <w:kern w:val="2"/>
          <w:sz w:val="24"/>
          <w:szCs w:val="24"/>
          <w:highlight w:val="none"/>
          <w:u w:val="single"/>
          <w:lang w:val="en-US" w:eastAsia="zh-CN" w:bidi="ar-SA"/>
        </w:rPr>
        <w:t xml:space="preserve"> 6  </w:t>
      </w:r>
      <w:r>
        <w:rPr>
          <w:rFonts w:hint="eastAsia" w:ascii="仿宋_GB2312" w:hAnsi="宋体" w:eastAsia="仿宋_GB2312" w:cs="Times New Roman"/>
          <w:kern w:val="2"/>
          <w:sz w:val="24"/>
          <w:szCs w:val="24"/>
          <w:highlight w:val="none"/>
          <w:u w:val="single"/>
          <w:lang w:val="zh-TW" w:eastAsia="zh-TW" w:bidi="ar-SA"/>
        </w:rPr>
        <w:t>日</w:t>
      </w:r>
      <w:r>
        <w:rPr>
          <w:rFonts w:hint="eastAsia" w:ascii="仿宋_GB2312" w:hAnsi="宋体" w:eastAsia="仿宋_GB2312" w:cs="Times New Roman"/>
          <w:kern w:val="2"/>
          <w:sz w:val="24"/>
          <w:szCs w:val="24"/>
          <w:highlight w:val="none"/>
          <w:u w:val="single"/>
          <w:lang w:val="en-US" w:eastAsia="zh-CN" w:bidi="ar-SA"/>
        </w:rPr>
        <w:t xml:space="preserve"> 11  时  40  </w:t>
      </w:r>
      <w:r>
        <w:rPr>
          <w:rFonts w:hint="eastAsia" w:ascii="仿宋_GB2312" w:hAnsi="宋体" w:eastAsia="仿宋_GB2312" w:cs="Times New Roman"/>
          <w:kern w:val="2"/>
          <w:sz w:val="24"/>
          <w:szCs w:val="24"/>
          <w:highlight w:val="none"/>
          <w:u w:val="single"/>
          <w:lang w:val="zh-TW" w:eastAsia="zh-TW" w:bidi="ar-SA"/>
        </w:rPr>
        <w:t>分</w:t>
      </w:r>
      <w:r>
        <w:rPr>
          <w:rFonts w:hint="eastAsia" w:ascii="仿宋_GB2312" w:hAnsi="宋体" w:eastAsia="仿宋_GB2312" w:cs="Times New Roman"/>
          <w:kern w:val="2"/>
          <w:sz w:val="24"/>
          <w:szCs w:val="24"/>
          <w:highlight w:val="none"/>
          <w:lang w:val="zh-TW" w:eastAsia="zh-TW" w:bidi="ar-SA"/>
        </w:rPr>
        <w:t>（北京时间）前递交投标文件。</w:t>
      </w:r>
      <w:bookmarkEnd w:id="58"/>
    </w:p>
    <w:p>
      <w:pPr>
        <w:spacing w:line="400" w:lineRule="exact"/>
        <w:ind w:firstLine="482" w:firstLineChars="200"/>
        <w:rPr>
          <w:rFonts w:hint="eastAsia" w:ascii="仿宋_GB2312" w:hAnsi="宋体" w:eastAsia="仿宋_GB2312" w:cs="Times New Roman"/>
          <w:b/>
          <w:bCs/>
          <w:sz w:val="24"/>
          <w:szCs w:val="24"/>
          <w:highlight w:val="none"/>
          <w:lang w:val="en-US" w:eastAsia="zh-CN" w:bidi="ar-SA"/>
        </w:rPr>
      </w:pPr>
      <w:r>
        <w:rPr>
          <w:rFonts w:hint="eastAsia" w:ascii="仿宋_GB2312" w:hAnsi="宋体" w:eastAsia="仿宋_GB2312" w:cs="Times New Roman"/>
          <w:b/>
          <w:bCs/>
          <w:sz w:val="24"/>
          <w:szCs w:val="24"/>
          <w:highlight w:val="none"/>
          <w:lang w:val="en-US" w:eastAsia="zh-CN" w:bidi="ar-SA"/>
        </w:rPr>
        <w:t>1.项目基本情况</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zh-TW" w:eastAsia="zh-TW" w:bidi="ar-SA"/>
        </w:rPr>
        <w:t>项目</w:t>
      </w:r>
      <w:r>
        <w:rPr>
          <w:rFonts w:hint="eastAsia" w:ascii="仿宋_GB2312" w:hAnsi="宋体" w:eastAsia="仿宋_GB2312" w:cs="Times New Roman"/>
          <w:kern w:val="2"/>
          <w:sz w:val="24"/>
          <w:szCs w:val="24"/>
          <w:highlight w:val="none"/>
          <w:lang w:val="en-US" w:eastAsia="zh-CN" w:bidi="ar-SA"/>
        </w:rPr>
        <w:t>编号</w:t>
      </w:r>
      <w:r>
        <w:rPr>
          <w:rFonts w:hint="eastAsia" w:ascii="仿宋_GB2312" w:hAnsi="宋体" w:eastAsia="仿宋_GB2312" w:cs="Times New Roman"/>
          <w:kern w:val="2"/>
          <w:sz w:val="24"/>
          <w:szCs w:val="24"/>
          <w:highlight w:val="none"/>
          <w:lang w:val="zh-TW" w:eastAsia="zh-TW" w:bidi="ar-SA"/>
        </w:rPr>
        <w:t>：</w:t>
      </w:r>
      <w:r>
        <w:rPr>
          <w:rFonts w:hint="eastAsia" w:ascii="仿宋_GB2312" w:hAnsi="宋体" w:eastAsia="仿宋_GB2312" w:cs="Times New Roman"/>
          <w:kern w:val="2"/>
          <w:sz w:val="24"/>
          <w:szCs w:val="24"/>
          <w:highlight w:val="none"/>
          <w:lang w:val="zh-TW" w:eastAsia="zh-CN" w:bidi="ar-SA"/>
        </w:rPr>
        <w:t>GZFCG2022-8976-001、GZFCG2022-8976-00</w:t>
      </w:r>
      <w:r>
        <w:rPr>
          <w:rFonts w:hint="eastAsia" w:ascii="仿宋_GB2312" w:hAnsi="宋体" w:eastAsia="仿宋_GB2312" w:cs="Times New Roman"/>
          <w:kern w:val="2"/>
          <w:sz w:val="24"/>
          <w:szCs w:val="24"/>
          <w:highlight w:val="none"/>
          <w:lang w:val="en-US" w:eastAsia="zh-CN" w:bidi="ar-SA"/>
        </w:rPr>
        <w:t>2</w:t>
      </w:r>
    </w:p>
    <w:p>
      <w:pPr>
        <w:spacing w:line="400" w:lineRule="exact"/>
        <w:ind w:firstLine="480" w:firstLineChars="200"/>
        <w:rPr>
          <w:rFonts w:hint="eastAsia" w:ascii="仿宋_GB2312" w:hAnsi="宋体" w:eastAsia="仿宋_GB2312" w:cs="Times New Roman"/>
          <w:kern w:val="2"/>
          <w:sz w:val="24"/>
          <w:szCs w:val="24"/>
          <w:highlight w:val="none"/>
          <w:lang w:val="zh-TW" w:eastAsia="zh-CN" w:bidi="ar-SA"/>
        </w:rPr>
      </w:pPr>
      <w:r>
        <w:rPr>
          <w:rFonts w:hint="eastAsia" w:ascii="仿宋_GB2312" w:hAnsi="宋体" w:eastAsia="仿宋_GB2312" w:cs="Times New Roman"/>
          <w:kern w:val="2"/>
          <w:sz w:val="24"/>
          <w:szCs w:val="24"/>
          <w:highlight w:val="none"/>
          <w:lang w:val="zh-TW" w:eastAsia="zh-TW" w:bidi="ar-SA"/>
        </w:rPr>
        <w:t>项目</w:t>
      </w:r>
      <w:r>
        <w:rPr>
          <w:rFonts w:hint="eastAsia" w:ascii="仿宋_GB2312" w:hAnsi="宋体" w:eastAsia="仿宋_GB2312" w:cs="Times New Roman"/>
          <w:kern w:val="2"/>
          <w:sz w:val="24"/>
          <w:szCs w:val="24"/>
          <w:highlight w:val="none"/>
          <w:lang w:val="en-US" w:eastAsia="zh-CN" w:bidi="ar-SA"/>
        </w:rPr>
        <w:t>名称</w:t>
      </w:r>
      <w:r>
        <w:rPr>
          <w:rFonts w:hint="eastAsia" w:ascii="仿宋_GB2312" w:hAnsi="宋体" w:eastAsia="仿宋_GB2312" w:cs="Times New Roman"/>
          <w:kern w:val="2"/>
          <w:sz w:val="24"/>
          <w:szCs w:val="24"/>
          <w:highlight w:val="none"/>
          <w:lang w:val="zh-TW" w:eastAsia="zh-TW" w:bidi="ar-SA"/>
        </w:rPr>
        <w:t>：</w:t>
      </w:r>
      <w:r>
        <w:rPr>
          <w:rFonts w:hint="eastAsia" w:ascii="仿宋_GB2312" w:hAnsi="宋体" w:eastAsia="仿宋_GB2312" w:cs="Times New Roman"/>
          <w:kern w:val="2"/>
          <w:sz w:val="24"/>
          <w:szCs w:val="24"/>
          <w:highlight w:val="none"/>
          <w:lang w:val="zh-TW" w:eastAsia="zh-CN" w:bidi="ar-SA"/>
        </w:rPr>
        <w:t>那曲国省公路接管组2022年日常养护和抢险保通材料采购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宋体" w:eastAsia="仿宋_GB2312" w:cs="Times New Roman"/>
          <w:sz w:val="24"/>
          <w:szCs w:val="24"/>
          <w:highlight w:val="none"/>
          <w:lang w:val="zh-TW" w:eastAsia="zh-TW" w:bidi="ar-SA"/>
        </w:rPr>
      </w:pPr>
      <w:r>
        <w:rPr>
          <w:rFonts w:hint="default" w:ascii="仿宋_GB2312" w:hAnsi="宋体" w:eastAsia="仿宋_GB2312" w:cs="Times New Roman"/>
          <w:sz w:val="24"/>
          <w:szCs w:val="24"/>
          <w:highlight w:val="none"/>
          <w:lang w:val="zh-TW" w:eastAsia="zh-TW" w:bidi="ar-SA"/>
        </w:rPr>
        <w:t>预</w:t>
      </w:r>
      <w:r>
        <w:rPr>
          <w:rFonts w:hint="default" w:ascii="仿宋_GB2312" w:hAnsi="宋体" w:eastAsia="仿宋_GB2312" w:cs="Times New Roman"/>
          <w:color w:val="auto"/>
          <w:sz w:val="24"/>
          <w:szCs w:val="24"/>
          <w:highlight w:val="none"/>
          <w:lang w:val="zh-TW" w:eastAsia="zh-TW" w:bidi="ar-SA"/>
        </w:rPr>
        <w:t>算金</w:t>
      </w:r>
      <w:r>
        <w:rPr>
          <w:rFonts w:hint="default" w:ascii="仿宋_GB2312" w:hAnsi="宋体" w:eastAsia="仿宋_GB2312" w:cs="Times New Roman"/>
          <w:sz w:val="24"/>
          <w:szCs w:val="24"/>
          <w:highlight w:val="none"/>
          <w:lang w:val="zh-TW" w:eastAsia="zh-TW" w:bidi="ar-SA"/>
        </w:rPr>
        <w:t>额：</w:t>
      </w:r>
      <w:r>
        <w:rPr>
          <w:rFonts w:hint="eastAsia" w:ascii="仿宋_GB2312" w:hAnsi="宋体" w:eastAsia="仿宋_GB2312" w:cs="Times New Roman"/>
          <w:sz w:val="24"/>
          <w:szCs w:val="24"/>
          <w:highlight w:val="none"/>
          <w:lang w:val="en-US" w:eastAsia="zh-CN" w:bidi="ar-SA"/>
        </w:rPr>
        <w:t>5160000.00</w:t>
      </w:r>
      <w:r>
        <w:rPr>
          <w:rFonts w:hint="default" w:ascii="仿宋_GB2312" w:hAnsi="宋体" w:eastAsia="仿宋_GB2312" w:cs="Times New Roman"/>
          <w:sz w:val="24"/>
          <w:szCs w:val="24"/>
          <w:highlight w:val="none"/>
          <w:lang w:val="en-US" w:eastAsia="zh-CN" w:bidi="ar-SA"/>
        </w:rPr>
        <w:t>元</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default" w:ascii="仿宋_GB2312" w:hAnsi="宋体" w:eastAsia="仿宋_GB2312" w:cs="Times New Roman"/>
          <w:sz w:val="24"/>
          <w:szCs w:val="24"/>
          <w:highlight w:val="none"/>
          <w:lang w:val="zh-TW" w:eastAsia="zh-TW" w:bidi="ar-SA"/>
        </w:rPr>
        <w:t>最高限价：</w:t>
      </w:r>
      <w:r>
        <w:rPr>
          <w:rFonts w:hint="eastAsia" w:ascii="仿宋_GB2312" w:hAnsi="宋体" w:eastAsia="仿宋_GB2312" w:cs="Times New Roman"/>
          <w:sz w:val="24"/>
          <w:szCs w:val="24"/>
          <w:highlight w:val="none"/>
          <w:lang w:val="en-US" w:eastAsia="zh-CN" w:bidi="ar-SA"/>
        </w:rPr>
        <w:t>5160000.00</w:t>
      </w:r>
      <w:r>
        <w:rPr>
          <w:rFonts w:hint="default" w:ascii="仿宋_GB2312" w:hAnsi="宋体" w:eastAsia="仿宋_GB2312" w:cs="Times New Roman"/>
          <w:sz w:val="24"/>
          <w:szCs w:val="24"/>
          <w:highlight w:val="none"/>
          <w:lang w:val="zh-TW" w:eastAsia="zh-TW" w:bidi="ar-SA"/>
        </w:rPr>
        <w:t>元</w:t>
      </w:r>
      <w:r>
        <w:rPr>
          <w:rFonts w:hint="eastAsia" w:ascii="仿宋_GB2312" w:hAnsi="宋体" w:eastAsia="仿宋_GB2312" w:cs="Times New Roman"/>
          <w:kern w:val="2"/>
          <w:sz w:val="24"/>
          <w:szCs w:val="24"/>
          <w:highlight w:val="none"/>
          <w:lang w:val="en-US" w:eastAsia="zh-CN" w:bidi="ar-SA"/>
        </w:rPr>
        <w:t>(第一标段：3680000.00元，第二标段：1480000.00元）</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采购需求：</w:t>
      </w:r>
    </w:p>
    <w:tbl>
      <w:tblPr>
        <w:tblStyle w:val="24"/>
        <w:tblW w:w="8587"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2"/>
        <w:gridCol w:w="2413"/>
        <w:gridCol w:w="1112"/>
        <w:gridCol w:w="1363"/>
        <w:gridCol w:w="2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87"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4" w:hRule="atLeast"/>
        </w:trPr>
        <w:tc>
          <w:tcPr>
            <w:tcW w:w="85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第一标段：日常养护材料采购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沥青</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吨</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23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技术参数及相关要求详见第</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章 货物技术规格、参数与要求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灌封胶</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吨</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238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8"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冷补料</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吨</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2"/>
                <w:szCs w:val="22"/>
                <w:u w:val="none"/>
                <w:lang w:val="en-US" w:eastAsia="zh-CN" w:bidi="ar"/>
              </w:rPr>
              <w:t>1200</w:t>
            </w:r>
          </w:p>
        </w:tc>
        <w:tc>
          <w:tcPr>
            <w:tcW w:w="238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第二标段：抢险保通材料采购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80"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ZB-200装配式钢架桥</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技术参数及相关要求详见第</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章 货物技术规格、参数与要求</w:t>
            </w:r>
          </w:p>
        </w:tc>
      </w:tr>
    </w:tbl>
    <w:p>
      <w:pPr>
        <w:spacing w:line="400" w:lineRule="exact"/>
        <w:ind w:firstLine="480" w:firstLineChars="200"/>
        <w:rPr>
          <w:rFonts w:hint="eastAsia" w:ascii="仿宋_GB2312" w:hAnsi="宋体" w:eastAsia="仿宋_GB2312" w:cs="Times New Roman"/>
          <w:sz w:val="24"/>
          <w:szCs w:val="24"/>
          <w:highlight w:val="none"/>
          <w:lang w:val="zh-TW" w:eastAsia="zh-TW" w:bidi="ar-SA"/>
        </w:rPr>
      </w:pPr>
    </w:p>
    <w:p>
      <w:pPr>
        <w:spacing w:line="400" w:lineRule="exact"/>
        <w:ind w:firstLine="480" w:firstLineChars="200"/>
        <w:rPr>
          <w:rFonts w:hint="default" w:ascii="仿宋_GB2312" w:hAnsi="宋体" w:eastAsia="仿宋_GB2312" w:cs="Times New Roman"/>
          <w:kern w:val="2"/>
          <w:sz w:val="24"/>
          <w:szCs w:val="24"/>
          <w:highlight w:val="none"/>
          <w:lang w:val="en-US" w:eastAsia="zh-CN" w:bidi="ar-SA"/>
        </w:rPr>
      </w:pPr>
      <w:r>
        <w:rPr>
          <w:rFonts w:hint="default" w:ascii="仿宋_GB2312" w:hAnsi="宋体" w:eastAsia="仿宋_GB2312" w:cs="Times New Roman"/>
          <w:sz w:val="24"/>
          <w:szCs w:val="24"/>
          <w:highlight w:val="none"/>
          <w:lang w:val="zh-TW" w:eastAsia="zh-TW" w:bidi="ar-SA"/>
        </w:rPr>
        <w:t>合同履行期限：</w:t>
      </w:r>
      <w:r>
        <w:rPr>
          <w:rFonts w:hint="eastAsia" w:ascii="仿宋_GB2312" w:hAnsi="宋体" w:eastAsia="仿宋_GB2312" w:cs="Times New Roman"/>
          <w:kern w:val="2"/>
          <w:sz w:val="24"/>
          <w:szCs w:val="24"/>
          <w:highlight w:val="none"/>
          <w:lang w:val="en-US" w:eastAsia="zh-CN" w:bidi="ar-SA"/>
        </w:rPr>
        <w:t>在签订合同时明确。</w:t>
      </w:r>
      <w:r>
        <w:rPr>
          <w:rFonts w:hint="eastAsia" w:ascii="仿宋_GB2312" w:hAnsi="宋体" w:eastAsia="仿宋_GB2312" w:cs="Times New Roman"/>
          <w:kern w:val="2"/>
          <w:sz w:val="24"/>
          <w:szCs w:val="24"/>
          <w:highlight w:val="none"/>
          <w:lang w:val="en-US" w:eastAsia="zh-CN" w:bidi="ar-SA"/>
        </w:rPr>
        <w:tab/>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本项目否接受联合体投标</w:t>
      </w:r>
    </w:p>
    <w:p>
      <w:pPr>
        <w:spacing w:line="400" w:lineRule="exact"/>
        <w:ind w:firstLine="480" w:firstLineChars="200"/>
        <w:rPr>
          <w:rFonts w:hint="default" w:ascii="仿宋_GB2312" w:hAnsi="宋体" w:eastAsia="仿宋_GB2312" w:cs="Times New Roman"/>
          <w:sz w:val="24"/>
          <w:szCs w:val="24"/>
          <w:highlight w:val="none"/>
          <w:lang w:val="zh-TW" w:eastAsia="zh-TW" w:bidi="ar-SA"/>
        </w:rPr>
      </w:pPr>
      <w:r>
        <w:rPr>
          <w:rFonts w:hint="eastAsia" w:ascii="仿宋_GB2312" w:hAnsi="宋体" w:eastAsia="仿宋_GB2312" w:cs="Times New Roman"/>
          <w:kern w:val="2"/>
          <w:sz w:val="24"/>
          <w:szCs w:val="24"/>
          <w:highlight w:val="none"/>
          <w:lang w:val="en-US" w:eastAsia="zh-CN" w:bidi="ar-SA"/>
        </w:rPr>
        <w:t>交货地点：按采购要求执行。</w:t>
      </w:r>
    </w:p>
    <w:p>
      <w:pPr>
        <w:spacing w:line="400" w:lineRule="exact"/>
        <w:ind w:firstLine="482" w:firstLineChars="200"/>
        <w:rPr>
          <w:rFonts w:hint="eastAsia" w:ascii="仿宋_GB2312" w:hAnsi="宋体" w:eastAsia="仿宋_GB2312" w:cs="Times New Roman"/>
          <w:b/>
          <w:bCs/>
          <w:sz w:val="24"/>
          <w:szCs w:val="24"/>
          <w:highlight w:val="none"/>
          <w:lang w:val="en-US" w:eastAsia="zh-CN" w:bidi="ar-SA"/>
        </w:rPr>
      </w:pPr>
      <w:r>
        <w:rPr>
          <w:rFonts w:hint="eastAsia" w:ascii="仿宋_GB2312" w:hAnsi="宋体" w:eastAsia="仿宋_GB2312" w:cs="Times New Roman"/>
          <w:b/>
          <w:bCs/>
          <w:sz w:val="24"/>
          <w:szCs w:val="24"/>
          <w:highlight w:val="none"/>
          <w:lang w:val="en-US" w:eastAsia="zh-CN" w:bidi="ar-SA"/>
        </w:rPr>
        <w:t>2.投标人资格条件</w:t>
      </w:r>
    </w:p>
    <w:p>
      <w:pPr>
        <w:spacing w:line="400" w:lineRule="exact"/>
        <w:ind w:firstLine="480" w:firstLineChars="200"/>
        <w:rPr>
          <w:rFonts w:hint="eastAsia" w:ascii="仿宋_GB2312" w:hAnsi="宋体" w:eastAsia="仿宋_GB2312" w:cs="Times New Roman"/>
          <w:kern w:val="2"/>
          <w:sz w:val="24"/>
          <w:szCs w:val="24"/>
          <w:highlight w:val="none"/>
          <w:lang w:val="zh-TW" w:eastAsia="zh-TW" w:bidi="ar-SA"/>
        </w:rPr>
      </w:pPr>
      <w:r>
        <w:rPr>
          <w:rFonts w:hint="eastAsia" w:ascii="仿宋_GB2312" w:hAnsi="宋体" w:eastAsia="仿宋_GB2312" w:cs="Times New Roman"/>
          <w:kern w:val="2"/>
          <w:sz w:val="24"/>
          <w:szCs w:val="24"/>
          <w:highlight w:val="none"/>
          <w:lang w:val="en-US" w:eastAsia="zh-CN" w:bidi="ar-SA"/>
        </w:rPr>
        <w:t>1.满足</w:t>
      </w:r>
      <w:r>
        <w:rPr>
          <w:rFonts w:hint="eastAsia" w:ascii="仿宋_GB2312" w:hAnsi="宋体" w:eastAsia="仿宋_GB2312" w:cs="Times New Roman"/>
          <w:kern w:val="2"/>
          <w:sz w:val="24"/>
          <w:szCs w:val="24"/>
          <w:highlight w:val="none"/>
          <w:lang w:val="zh-TW" w:eastAsia="zh-TW" w:bidi="ar-SA"/>
        </w:rPr>
        <w:t>《中华人民共和国政府采购法》第二十二条规定的条件；</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1.1具有独立承担民事责任能力，具有有效的营业执照；</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1.2具有良好</w:t>
      </w:r>
      <w:r>
        <w:rPr>
          <w:rFonts w:hint="eastAsia" w:ascii="仿宋_GB2312" w:hAnsi="宋体" w:eastAsia="仿宋_GB2312" w:cs="Times New Roman"/>
          <w:color w:val="auto"/>
          <w:kern w:val="2"/>
          <w:sz w:val="24"/>
          <w:szCs w:val="24"/>
          <w:highlight w:val="none"/>
          <w:lang w:val="en-US" w:eastAsia="zh-CN" w:bidi="ar-SA"/>
        </w:rPr>
        <w:t>的商业信誉和健</w:t>
      </w:r>
      <w:r>
        <w:rPr>
          <w:rFonts w:hint="eastAsia" w:ascii="仿宋_GB2312" w:hAnsi="宋体" w:eastAsia="仿宋_GB2312" w:cs="Times New Roman"/>
          <w:kern w:val="2"/>
          <w:sz w:val="24"/>
          <w:szCs w:val="24"/>
          <w:highlight w:val="none"/>
          <w:lang w:val="en-US" w:eastAsia="zh-CN" w:bidi="ar-SA"/>
        </w:rPr>
        <w:t>全的财务会计制度，提供近三年（2018-2020年度或2019-2021年度）经会计师事务所审计的财务报告（新成立企业从成立当年开始提供）；</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1.3具有履行合同所必需的设备和专业技术能力，提供证明材料或承诺函；</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1.4具有依法缴纳税收和社会保障资金的良好记录，提供近三个月供应商税收缴纳和社保缴纳证明材料；</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1.5参加政府采购前三年内在经营活动中没有重大违法记录，未被列入经营异常名录或者严重违法企业名单，提供声明（格式自拟）；</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1.6法律、法规要求的其他条件（提供声明）。</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2.符合《中华人民共和国政府采购法实施条例》第十八条规定的条件。</w:t>
      </w:r>
    </w:p>
    <w:p>
      <w:pPr>
        <w:spacing w:line="400" w:lineRule="exact"/>
        <w:ind w:firstLine="480" w:firstLineChars="200"/>
        <w:rPr>
          <w:rFonts w:hint="eastAsia" w:ascii="仿宋_GB2312" w:hAnsi="宋体" w:eastAsia="仿宋_GB2312" w:cs="Times New Roman"/>
          <w:kern w:val="2"/>
          <w:sz w:val="24"/>
          <w:szCs w:val="24"/>
          <w:highlight w:val="none"/>
          <w:u w:val="single"/>
          <w:lang w:val="en-US" w:eastAsia="zh-CN" w:bidi="ar-SA"/>
        </w:rPr>
      </w:pPr>
      <w:r>
        <w:rPr>
          <w:rFonts w:hint="eastAsia" w:ascii="仿宋_GB2312" w:hAnsi="宋体" w:eastAsia="仿宋_GB2312" w:cs="Times New Roman"/>
          <w:kern w:val="2"/>
          <w:sz w:val="24"/>
          <w:szCs w:val="24"/>
          <w:highlight w:val="none"/>
          <w:lang w:val="en-US" w:eastAsia="zh-CN" w:bidi="ar-SA"/>
        </w:rPr>
        <w:t>3.本项目特定资格要求：</w:t>
      </w:r>
      <w:r>
        <w:rPr>
          <w:rFonts w:hint="eastAsia" w:ascii="仿宋_GB2312" w:hAnsi="宋体" w:eastAsia="仿宋_GB2312" w:cs="Times New Roman"/>
          <w:kern w:val="2"/>
          <w:sz w:val="24"/>
          <w:szCs w:val="24"/>
          <w:highlight w:val="none"/>
          <w:u w:val="single"/>
          <w:lang w:val="en-US" w:eastAsia="zh-CN" w:bidi="ar-SA"/>
        </w:rPr>
        <w:t xml:space="preserve">   无   </w:t>
      </w:r>
    </w:p>
    <w:p>
      <w:pPr>
        <w:spacing w:line="400" w:lineRule="exact"/>
        <w:ind w:firstLine="482" w:firstLineChars="200"/>
        <w:rPr>
          <w:rFonts w:hint="eastAsia" w:ascii="仿宋_GB2312" w:hAnsi="宋体" w:eastAsia="仿宋_GB2312" w:cs="Times New Roman"/>
          <w:b/>
          <w:bCs/>
          <w:sz w:val="24"/>
          <w:szCs w:val="24"/>
          <w:highlight w:val="none"/>
          <w:lang w:val="en-US" w:eastAsia="zh-CN" w:bidi="ar-SA"/>
        </w:rPr>
      </w:pPr>
      <w:r>
        <w:rPr>
          <w:rFonts w:hint="eastAsia" w:ascii="仿宋_GB2312" w:hAnsi="宋体" w:eastAsia="仿宋_GB2312" w:cs="Times New Roman"/>
          <w:b/>
          <w:bCs/>
          <w:sz w:val="24"/>
          <w:szCs w:val="24"/>
          <w:highlight w:val="none"/>
          <w:lang w:val="en-US" w:eastAsia="zh-CN" w:bidi="ar-SA"/>
        </w:rPr>
        <w:t>3. 获取招标文件</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仿宋_GB2312" w:hAnsi="宋体" w:eastAsia="仿宋_GB2312" w:cs="Times New Roman"/>
          <w:kern w:val="2"/>
          <w:sz w:val="24"/>
          <w:szCs w:val="24"/>
          <w:highlight w:val="none"/>
          <w:lang w:val="zh-TW" w:eastAsia="zh-CN" w:bidi="ar-SA"/>
        </w:rPr>
      </w:pPr>
      <w:r>
        <w:rPr>
          <w:rFonts w:hint="eastAsia" w:ascii="仿宋_GB2312" w:hAnsi="宋体" w:eastAsia="仿宋_GB2312" w:cs="Times New Roman"/>
          <w:kern w:val="2"/>
          <w:sz w:val="24"/>
          <w:szCs w:val="24"/>
          <w:highlight w:val="none"/>
          <w:lang w:val="zh-TW" w:eastAsia="zh-CN" w:bidi="ar-SA"/>
        </w:rPr>
        <w:t>时间：</w:t>
      </w:r>
      <w:r>
        <w:rPr>
          <w:rFonts w:hint="eastAsia" w:ascii="仿宋_GB2312" w:hAnsi="宋体" w:eastAsia="仿宋_GB2312" w:cs="Times New Roman"/>
          <w:kern w:val="2"/>
          <w:sz w:val="24"/>
          <w:szCs w:val="24"/>
          <w:highlight w:val="none"/>
          <w:u w:val="single"/>
          <w:lang w:val="zh-TW" w:eastAsia="zh-CN" w:bidi="ar-SA"/>
        </w:rPr>
        <w:t>202</w:t>
      </w:r>
      <w:r>
        <w:rPr>
          <w:rFonts w:hint="eastAsia" w:ascii="仿宋_GB2312" w:hAnsi="宋体" w:eastAsia="仿宋_GB2312" w:cs="Times New Roman"/>
          <w:kern w:val="2"/>
          <w:sz w:val="24"/>
          <w:szCs w:val="24"/>
          <w:highlight w:val="none"/>
          <w:u w:val="single"/>
          <w:lang w:val="en-US" w:eastAsia="zh-CN" w:bidi="ar-SA"/>
        </w:rPr>
        <w:t>2</w:t>
      </w:r>
      <w:r>
        <w:rPr>
          <w:rFonts w:hint="eastAsia" w:ascii="仿宋_GB2312" w:hAnsi="宋体" w:eastAsia="仿宋_GB2312" w:cs="Times New Roman"/>
          <w:kern w:val="2"/>
          <w:sz w:val="24"/>
          <w:szCs w:val="24"/>
          <w:highlight w:val="none"/>
          <w:u w:val="single"/>
          <w:lang w:val="zh-TW" w:eastAsia="zh-CN" w:bidi="ar-SA"/>
        </w:rPr>
        <w:t>年</w:t>
      </w:r>
      <w:r>
        <w:rPr>
          <w:rFonts w:hint="eastAsia" w:ascii="仿宋_GB2312" w:hAnsi="宋体" w:eastAsia="仿宋_GB2312" w:cs="Times New Roman"/>
          <w:kern w:val="2"/>
          <w:sz w:val="24"/>
          <w:szCs w:val="24"/>
          <w:highlight w:val="none"/>
          <w:u w:val="single"/>
          <w:lang w:val="en-US" w:eastAsia="zh-CN" w:bidi="ar-SA"/>
        </w:rPr>
        <w:t xml:space="preserve"> 6 </w:t>
      </w:r>
      <w:r>
        <w:rPr>
          <w:rFonts w:hint="eastAsia" w:ascii="仿宋_GB2312" w:hAnsi="宋体" w:eastAsia="仿宋_GB2312" w:cs="Times New Roman"/>
          <w:kern w:val="2"/>
          <w:sz w:val="24"/>
          <w:szCs w:val="24"/>
          <w:highlight w:val="none"/>
          <w:u w:val="single"/>
          <w:lang w:val="zh-TW" w:eastAsia="zh-CN" w:bidi="ar-SA"/>
        </w:rPr>
        <w:t>月</w:t>
      </w:r>
      <w:r>
        <w:rPr>
          <w:rFonts w:hint="eastAsia" w:ascii="仿宋_GB2312" w:hAnsi="宋体" w:eastAsia="仿宋_GB2312" w:cs="Times New Roman"/>
          <w:kern w:val="2"/>
          <w:sz w:val="24"/>
          <w:szCs w:val="24"/>
          <w:highlight w:val="none"/>
          <w:u w:val="single"/>
          <w:lang w:val="en-US" w:eastAsia="zh-CN" w:bidi="ar-SA"/>
        </w:rPr>
        <w:t xml:space="preserve"> 13  </w:t>
      </w:r>
      <w:r>
        <w:rPr>
          <w:rFonts w:hint="eastAsia" w:ascii="仿宋_GB2312" w:hAnsi="宋体" w:eastAsia="仿宋_GB2312" w:cs="Times New Roman"/>
          <w:kern w:val="2"/>
          <w:sz w:val="24"/>
          <w:szCs w:val="24"/>
          <w:highlight w:val="none"/>
          <w:u w:val="single"/>
          <w:lang w:val="zh-TW" w:eastAsia="zh-CN" w:bidi="ar-SA"/>
        </w:rPr>
        <w:t>日</w:t>
      </w:r>
      <w:r>
        <w:rPr>
          <w:rFonts w:hint="eastAsia" w:ascii="仿宋_GB2312" w:hAnsi="宋体" w:eastAsia="仿宋_GB2312" w:cs="Times New Roman"/>
          <w:kern w:val="2"/>
          <w:sz w:val="24"/>
          <w:szCs w:val="24"/>
          <w:highlight w:val="none"/>
          <w:u w:val="single"/>
          <w:lang w:val="en-US" w:eastAsia="zh-CN" w:bidi="ar-SA"/>
        </w:rPr>
        <w:t xml:space="preserve"> 00 </w:t>
      </w:r>
      <w:r>
        <w:rPr>
          <w:rFonts w:hint="default" w:ascii="仿宋_GB2312" w:hAnsi="宋体" w:eastAsia="仿宋_GB2312" w:cs="Times New Roman"/>
          <w:kern w:val="2"/>
          <w:sz w:val="24"/>
          <w:szCs w:val="24"/>
          <w:highlight w:val="none"/>
          <w:u w:val="single"/>
          <w:lang w:val="zh-TW" w:eastAsia="zh-CN" w:bidi="ar-SA"/>
        </w:rPr>
        <w:t>时</w:t>
      </w:r>
      <w:r>
        <w:rPr>
          <w:rFonts w:hint="eastAsia" w:ascii="仿宋_GB2312" w:hAnsi="宋体" w:eastAsia="仿宋_GB2312" w:cs="Times New Roman"/>
          <w:kern w:val="2"/>
          <w:sz w:val="24"/>
          <w:szCs w:val="24"/>
          <w:highlight w:val="none"/>
          <w:u w:val="single"/>
          <w:lang w:val="en-US" w:eastAsia="zh-CN" w:bidi="ar-SA"/>
        </w:rPr>
        <w:t xml:space="preserve"> 00 </w:t>
      </w:r>
      <w:r>
        <w:rPr>
          <w:rFonts w:hint="default" w:ascii="仿宋_GB2312" w:hAnsi="宋体" w:eastAsia="仿宋_GB2312" w:cs="Times New Roman"/>
          <w:kern w:val="2"/>
          <w:sz w:val="24"/>
          <w:szCs w:val="24"/>
          <w:highlight w:val="none"/>
          <w:u w:val="single"/>
          <w:lang w:val="zh-TW" w:eastAsia="zh-CN" w:bidi="ar-SA"/>
        </w:rPr>
        <w:t>分</w:t>
      </w:r>
      <w:r>
        <w:rPr>
          <w:rFonts w:hint="eastAsia" w:ascii="仿宋_GB2312" w:hAnsi="宋体" w:eastAsia="仿宋_GB2312" w:cs="Times New Roman"/>
          <w:kern w:val="2"/>
          <w:sz w:val="24"/>
          <w:szCs w:val="24"/>
          <w:highlight w:val="none"/>
          <w:u w:val="single"/>
          <w:lang w:val="zh-TW" w:eastAsia="zh-CN" w:bidi="ar-SA"/>
        </w:rPr>
        <w:t>至202</w:t>
      </w:r>
      <w:r>
        <w:rPr>
          <w:rFonts w:hint="eastAsia" w:ascii="仿宋_GB2312" w:hAnsi="宋体" w:eastAsia="仿宋_GB2312" w:cs="Times New Roman"/>
          <w:kern w:val="2"/>
          <w:sz w:val="24"/>
          <w:szCs w:val="24"/>
          <w:highlight w:val="none"/>
          <w:u w:val="single"/>
          <w:lang w:val="en-US" w:eastAsia="zh-CN" w:bidi="ar-SA"/>
        </w:rPr>
        <w:t>2</w:t>
      </w:r>
      <w:r>
        <w:rPr>
          <w:rFonts w:hint="eastAsia" w:ascii="仿宋_GB2312" w:hAnsi="宋体" w:eastAsia="仿宋_GB2312" w:cs="Times New Roman"/>
          <w:kern w:val="2"/>
          <w:sz w:val="24"/>
          <w:szCs w:val="24"/>
          <w:highlight w:val="none"/>
          <w:u w:val="single"/>
          <w:lang w:val="zh-TW" w:eastAsia="zh-CN" w:bidi="ar-SA"/>
        </w:rPr>
        <w:t>年</w:t>
      </w:r>
      <w:r>
        <w:rPr>
          <w:rFonts w:hint="eastAsia" w:ascii="仿宋_GB2312" w:hAnsi="宋体" w:eastAsia="仿宋_GB2312" w:cs="Times New Roman"/>
          <w:kern w:val="2"/>
          <w:sz w:val="24"/>
          <w:szCs w:val="24"/>
          <w:highlight w:val="none"/>
          <w:u w:val="single"/>
          <w:lang w:val="en-US" w:eastAsia="zh-CN" w:bidi="ar-SA"/>
        </w:rPr>
        <w:t xml:space="preserve"> 6 </w:t>
      </w:r>
      <w:r>
        <w:rPr>
          <w:rFonts w:hint="eastAsia" w:ascii="仿宋_GB2312" w:hAnsi="宋体" w:eastAsia="仿宋_GB2312" w:cs="Times New Roman"/>
          <w:kern w:val="2"/>
          <w:sz w:val="24"/>
          <w:szCs w:val="24"/>
          <w:highlight w:val="none"/>
          <w:u w:val="single"/>
          <w:lang w:val="zh-TW" w:eastAsia="zh-CN" w:bidi="ar-SA"/>
        </w:rPr>
        <w:t>月</w:t>
      </w:r>
      <w:r>
        <w:rPr>
          <w:rFonts w:hint="eastAsia" w:ascii="仿宋_GB2312" w:hAnsi="宋体" w:eastAsia="仿宋_GB2312" w:cs="Times New Roman"/>
          <w:kern w:val="2"/>
          <w:sz w:val="24"/>
          <w:szCs w:val="24"/>
          <w:highlight w:val="none"/>
          <w:u w:val="single"/>
          <w:lang w:val="en-US" w:eastAsia="zh-CN" w:bidi="ar-SA"/>
        </w:rPr>
        <w:t xml:space="preserve">  18 </w:t>
      </w:r>
      <w:r>
        <w:rPr>
          <w:rFonts w:hint="eastAsia" w:ascii="仿宋_GB2312" w:hAnsi="宋体" w:eastAsia="仿宋_GB2312" w:cs="Times New Roman"/>
          <w:kern w:val="2"/>
          <w:sz w:val="24"/>
          <w:szCs w:val="24"/>
          <w:highlight w:val="none"/>
          <w:u w:val="single"/>
          <w:lang w:val="zh-TW" w:eastAsia="zh-CN" w:bidi="ar-SA"/>
        </w:rPr>
        <w:t>日</w:t>
      </w:r>
      <w:r>
        <w:rPr>
          <w:rFonts w:hint="eastAsia" w:ascii="仿宋_GB2312" w:hAnsi="宋体" w:eastAsia="仿宋_GB2312" w:cs="Times New Roman"/>
          <w:kern w:val="2"/>
          <w:sz w:val="24"/>
          <w:szCs w:val="24"/>
          <w:highlight w:val="none"/>
          <w:u w:val="single"/>
          <w:lang w:val="en-US" w:eastAsia="zh-CN" w:bidi="ar-SA"/>
        </w:rPr>
        <w:t xml:space="preserve"> 00 </w:t>
      </w:r>
      <w:r>
        <w:rPr>
          <w:rFonts w:hint="default" w:ascii="仿宋_GB2312" w:hAnsi="宋体" w:eastAsia="仿宋_GB2312" w:cs="Times New Roman"/>
          <w:kern w:val="2"/>
          <w:sz w:val="24"/>
          <w:szCs w:val="24"/>
          <w:highlight w:val="none"/>
          <w:u w:val="single"/>
          <w:lang w:val="zh-TW" w:eastAsia="zh-CN" w:bidi="ar-SA"/>
        </w:rPr>
        <w:t>时</w:t>
      </w:r>
      <w:r>
        <w:rPr>
          <w:rFonts w:hint="eastAsia" w:ascii="仿宋_GB2312" w:hAnsi="宋体" w:eastAsia="仿宋_GB2312" w:cs="Times New Roman"/>
          <w:kern w:val="2"/>
          <w:sz w:val="24"/>
          <w:szCs w:val="24"/>
          <w:highlight w:val="none"/>
          <w:u w:val="single"/>
          <w:lang w:val="en-US" w:eastAsia="zh-CN" w:bidi="ar-SA"/>
        </w:rPr>
        <w:t xml:space="preserve"> 00</w:t>
      </w:r>
      <w:r>
        <w:rPr>
          <w:rFonts w:hint="default" w:ascii="仿宋_GB2312" w:hAnsi="宋体" w:eastAsia="仿宋_GB2312" w:cs="Times New Roman"/>
          <w:kern w:val="2"/>
          <w:sz w:val="24"/>
          <w:szCs w:val="24"/>
          <w:highlight w:val="none"/>
          <w:u w:val="single"/>
          <w:lang w:val="zh-TW" w:eastAsia="zh-CN" w:bidi="ar-SA"/>
        </w:rPr>
        <w:t>分</w:t>
      </w:r>
      <w:r>
        <w:rPr>
          <w:rFonts w:hint="eastAsia" w:ascii="仿宋_GB2312" w:hAnsi="宋体" w:eastAsia="仿宋_GB2312" w:cs="Times New Roman"/>
          <w:kern w:val="2"/>
          <w:sz w:val="24"/>
          <w:szCs w:val="24"/>
          <w:highlight w:val="none"/>
          <w:lang w:val="zh-TW" w:eastAsia="zh-CN" w:bidi="ar-SA"/>
        </w:rPr>
        <w:t>（北京时间，法定节假日除外）</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仿宋_GB2312" w:hAnsi="宋体" w:eastAsia="仿宋_GB2312" w:cs="Times New Roman"/>
          <w:kern w:val="2"/>
          <w:sz w:val="24"/>
          <w:szCs w:val="24"/>
          <w:highlight w:val="none"/>
          <w:lang w:val="zh-TW" w:eastAsia="zh-CN" w:bidi="ar-SA"/>
        </w:rPr>
      </w:pPr>
      <w:r>
        <w:rPr>
          <w:rFonts w:hint="eastAsia" w:ascii="仿宋_GB2312" w:hAnsi="宋体" w:eastAsia="仿宋_GB2312" w:cs="Times New Roman"/>
          <w:kern w:val="2"/>
          <w:sz w:val="24"/>
          <w:szCs w:val="24"/>
          <w:highlight w:val="none"/>
          <w:lang w:val="zh-TW" w:eastAsia="zh-CN" w:bidi="ar-SA"/>
        </w:rPr>
        <w:t>地点</w:t>
      </w:r>
      <w:r>
        <w:rPr>
          <w:rFonts w:hint="eastAsia" w:ascii="仿宋_GB2312" w:hAnsi="宋体" w:eastAsia="仿宋_GB2312" w:cs="Times New Roman"/>
          <w:kern w:val="2"/>
          <w:sz w:val="24"/>
          <w:szCs w:val="24"/>
          <w:highlight w:val="none"/>
          <w:lang w:val="en-US" w:eastAsia="zh-CN" w:bidi="ar-SA"/>
        </w:rPr>
        <w:t>及</w:t>
      </w:r>
      <w:r>
        <w:rPr>
          <w:rFonts w:hint="eastAsia" w:ascii="仿宋_GB2312" w:hAnsi="宋体" w:eastAsia="仿宋_GB2312" w:cs="Times New Roman"/>
          <w:kern w:val="2"/>
          <w:sz w:val="24"/>
          <w:szCs w:val="24"/>
          <w:highlight w:val="none"/>
          <w:lang w:val="zh-TW" w:eastAsia="zh-CN" w:bidi="ar-SA"/>
        </w:rPr>
        <w:t>方式：西藏自治区公共资源交易平台（网址：ggzy.xizang.gov.cn）下载。</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仿宋_GB2312" w:hAnsi="宋体" w:eastAsia="仿宋_GB2312" w:cs="Times New Roman"/>
          <w:kern w:val="2"/>
          <w:sz w:val="24"/>
          <w:szCs w:val="24"/>
          <w:highlight w:val="none"/>
          <w:lang w:val="zh-TW" w:eastAsia="zh-CN" w:bidi="ar-SA"/>
        </w:rPr>
      </w:pPr>
      <w:r>
        <w:rPr>
          <w:rFonts w:hint="eastAsia" w:ascii="仿宋_GB2312" w:hAnsi="宋体" w:eastAsia="仿宋_GB2312" w:cs="Times New Roman"/>
          <w:kern w:val="2"/>
          <w:sz w:val="24"/>
          <w:szCs w:val="24"/>
          <w:highlight w:val="none"/>
          <w:lang w:val="zh-TW" w:eastAsia="zh-CN" w:bidi="ar-SA"/>
        </w:rPr>
        <w:t>方式：在线获取</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zh-TW" w:eastAsia="zh-CN" w:bidi="ar-SA"/>
        </w:rPr>
        <w:t>售价：免费获取</w:t>
      </w:r>
    </w:p>
    <w:p>
      <w:pPr>
        <w:spacing w:line="400" w:lineRule="exact"/>
        <w:ind w:firstLine="241" w:firstLineChars="100"/>
        <w:rPr>
          <w:rFonts w:hint="default" w:ascii="仿宋_GB2312" w:hAnsi="宋体" w:eastAsia="仿宋_GB2312" w:cs="Times New Roman"/>
          <w:b/>
          <w:bCs/>
          <w:sz w:val="24"/>
          <w:szCs w:val="24"/>
          <w:highlight w:val="none"/>
          <w:lang w:val="en-US" w:eastAsia="zh-CN" w:bidi="ar-SA"/>
        </w:rPr>
      </w:pPr>
      <w:r>
        <w:rPr>
          <w:rFonts w:hint="eastAsia" w:ascii="仿宋_GB2312" w:hAnsi="宋体" w:eastAsia="仿宋_GB2312" w:cs="Times New Roman"/>
          <w:b/>
          <w:bCs/>
          <w:sz w:val="24"/>
          <w:szCs w:val="24"/>
          <w:highlight w:val="none"/>
          <w:lang w:val="en-US" w:eastAsia="zh-CN" w:bidi="ar-SA"/>
        </w:rPr>
        <w:t>4.提交投标文件截止时间、开标时间和地点</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仿宋_GB2312" w:hAnsi="宋体" w:eastAsia="仿宋_GB2312" w:cs="Times New Roman"/>
          <w:kern w:val="2"/>
          <w:sz w:val="24"/>
          <w:szCs w:val="24"/>
          <w:highlight w:val="none"/>
          <w:lang w:val="zh-TW" w:eastAsia="zh-CN" w:bidi="ar-SA"/>
        </w:rPr>
      </w:pPr>
      <w:r>
        <w:rPr>
          <w:rFonts w:hint="eastAsia" w:ascii="仿宋_GB2312" w:hAnsi="宋体" w:eastAsia="仿宋_GB2312" w:cs="Times New Roman"/>
          <w:kern w:val="2"/>
          <w:sz w:val="24"/>
          <w:szCs w:val="24"/>
          <w:highlight w:val="none"/>
          <w:lang w:val="zh-TW" w:eastAsia="zh-CN" w:bidi="ar-SA"/>
        </w:rPr>
        <w:t>截止时间、开标时间：202</w:t>
      </w:r>
      <w:r>
        <w:rPr>
          <w:rFonts w:hint="eastAsia" w:ascii="仿宋_GB2312" w:hAnsi="宋体" w:eastAsia="仿宋_GB2312" w:cs="Times New Roman"/>
          <w:kern w:val="2"/>
          <w:sz w:val="24"/>
          <w:szCs w:val="24"/>
          <w:highlight w:val="none"/>
          <w:lang w:val="en-US" w:eastAsia="zh-CN" w:bidi="ar-SA"/>
        </w:rPr>
        <w:t>2</w:t>
      </w:r>
      <w:r>
        <w:rPr>
          <w:rFonts w:hint="eastAsia" w:ascii="仿宋_GB2312" w:hAnsi="宋体" w:eastAsia="仿宋_GB2312" w:cs="Times New Roman"/>
          <w:kern w:val="2"/>
          <w:sz w:val="24"/>
          <w:szCs w:val="24"/>
          <w:highlight w:val="none"/>
          <w:lang w:val="zh-TW" w:eastAsia="zh-CN" w:bidi="ar-SA"/>
        </w:rPr>
        <w:t>年</w:t>
      </w:r>
      <w:r>
        <w:rPr>
          <w:rFonts w:hint="eastAsia" w:ascii="仿宋_GB2312" w:hAnsi="宋体" w:eastAsia="仿宋_GB2312" w:cs="Times New Roman"/>
          <w:kern w:val="2"/>
          <w:sz w:val="24"/>
          <w:szCs w:val="24"/>
          <w:highlight w:val="none"/>
          <w:lang w:val="en-US" w:eastAsia="zh-CN" w:bidi="ar-SA"/>
        </w:rPr>
        <w:t xml:space="preserve"> 7  </w:t>
      </w:r>
      <w:r>
        <w:rPr>
          <w:rFonts w:hint="eastAsia" w:ascii="仿宋_GB2312" w:hAnsi="宋体" w:eastAsia="仿宋_GB2312" w:cs="Times New Roman"/>
          <w:kern w:val="2"/>
          <w:sz w:val="24"/>
          <w:szCs w:val="24"/>
          <w:highlight w:val="none"/>
          <w:lang w:val="zh-TW" w:eastAsia="zh-CN" w:bidi="ar-SA"/>
        </w:rPr>
        <w:t>月</w:t>
      </w:r>
      <w:r>
        <w:rPr>
          <w:rFonts w:hint="eastAsia" w:ascii="仿宋_GB2312" w:hAnsi="宋体" w:eastAsia="仿宋_GB2312" w:cs="Times New Roman"/>
          <w:kern w:val="2"/>
          <w:sz w:val="24"/>
          <w:szCs w:val="24"/>
          <w:highlight w:val="none"/>
          <w:lang w:val="en-US" w:eastAsia="zh-CN" w:bidi="ar-SA"/>
        </w:rPr>
        <w:t xml:space="preserve"> 6 </w:t>
      </w:r>
      <w:r>
        <w:rPr>
          <w:rFonts w:hint="eastAsia" w:ascii="仿宋_GB2312" w:hAnsi="宋体" w:eastAsia="仿宋_GB2312" w:cs="Times New Roman"/>
          <w:kern w:val="2"/>
          <w:sz w:val="24"/>
          <w:szCs w:val="24"/>
          <w:highlight w:val="none"/>
          <w:lang w:val="zh-TW" w:eastAsia="zh-CN" w:bidi="ar-SA"/>
        </w:rPr>
        <w:t>日</w:t>
      </w:r>
      <w:r>
        <w:rPr>
          <w:rFonts w:hint="eastAsia" w:ascii="仿宋_GB2312" w:hAnsi="宋体" w:eastAsia="仿宋_GB2312" w:cs="Times New Roman"/>
          <w:kern w:val="2"/>
          <w:sz w:val="24"/>
          <w:szCs w:val="24"/>
          <w:highlight w:val="none"/>
          <w:lang w:val="en-US" w:eastAsia="zh-CN" w:bidi="ar-SA"/>
        </w:rPr>
        <w:t>11</w:t>
      </w:r>
      <w:r>
        <w:rPr>
          <w:rFonts w:hint="eastAsia" w:ascii="仿宋_GB2312" w:hAnsi="宋体" w:eastAsia="仿宋_GB2312" w:cs="Times New Roman"/>
          <w:kern w:val="2"/>
          <w:sz w:val="24"/>
          <w:szCs w:val="24"/>
          <w:highlight w:val="none"/>
          <w:lang w:val="zh-TW" w:eastAsia="zh-CN" w:bidi="ar-SA"/>
        </w:rPr>
        <w:t>时</w:t>
      </w:r>
      <w:r>
        <w:rPr>
          <w:rFonts w:hint="eastAsia" w:ascii="仿宋_GB2312" w:hAnsi="宋体" w:eastAsia="仿宋_GB2312" w:cs="Times New Roman"/>
          <w:kern w:val="2"/>
          <w:sz w:val="24"/>
          <w:szCs w:val="24"/>
          <w:highlight w:val="none"/>
          <w:lang w:val="en-US" w:eastAsia="zh-CN" w:bidi="ar-SA"/>
        </w:rPr>
        <w:t>40</w:t>
      </w:r>
      <w:r>
        <w:rPr>
          <w:rFonts w:hint="eastAsia" w:ascii="仿宋_GB2312" w:hAnsi="宋体" w:eastAsia="仿宋_GB2312" w:cs="Times New Roman"/>
          <w:kern w:val="2"/>
          <w:sz w:val="24"/>
          <w:szCs w:val="24"/>
          <w:highlight w:val="none"/>
          <w:lang w:val="zh-TW" w:eastAsia="zh-CN" w:bidi="ar-SA"/>
        </w:rPr>
        <w:t>分（北京时间）</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仿宋_GB2312" w:hAnsi="宋体" w:eastAsia="仿宋_GB2312" w:cs="Times New Roman"/>
          <w:kern w:val="2"/>
          <w:sz w:val="24"/>
          <w:szCs w:val="24"/>
          <w:highlight w:val="none"/>
          <w:lang w:val="zh-TW" w:eastAsia="zh-CN" w:bidi="ar-SA"/>
        </w:rPr>
      </w:pPr>
      <w:r>
        <w:rPr>
          <w:rFonts w:hint="eastAsia" w:ascii="仿宋_GB2312" w:hAnsi="宋体" w:eastAsia="仿宋_GB2312" w:cs="Times New Roman"/>
          <w:kern w:val="2"/>
          <w:sz w:val="24"/>
          <w:szCs w:val="24"/>
          <w:highlight w:val="none"/>
          <w:lang w:val="zh-TW" w:eastAsia="zh-CN" w:bidi="ar-SA"/>
        </w:rPr>
        <w:t>开标地点</w:t>
      </w:r>
      <w:r>
        <w:rPr>
          <w:rFonts w:hint="eastAsia" w:ascii="仿宋_GB2312" w:hAnsi="宋体" w:eastAsia="仿宋_GB2312" w:cs="Times New Roman"/>
          <w:kern w:val="2"/>
          <w:sz w:val="24"/>
          <w:szCs w:val="24"/>
          <w:highlight w:val="none"/>
          <w:lang w:val="en-US" w:eastAsia="zh-CN" w:bidi="ar-SA"/>
        </w:rPr>
        <w:t>及</w:t>
      </w:r>
      <w:r>
        <w:rPr>
          <w:rFonts w:hint="eastAsia" w:ascii="仿宋_GB2312" w:hAnsi="宋体" w:eastAsia="仿宋_GB2312" w:cs="Times New Roman"/>
          <w:kern w:val="2"/>
          <w:sz w:val="24"/>
          <w:szCs w:val="24"/>
          <w:highlight w:val="none"/>
          <w:lang w:val="zh-TW" w:eastAsia="zh-CN" w:bidi="ar-SA"/>
        </w:rPr>
        <w:t>投标文件提交地点：西藏自治区公共资源交易中心</w:t>
      </w:r>
      <w:r>
        <w:rPr>
          <w:rFonts w:hint="eastAsia" w:ascii="仿宋_GB2312" w:hAnsi="宋体" w:eastAsia="仿宋_GB2312" w:cs="Times New Roman"/>
          <w:kern w:val="2"/>
          <w:sz w:val="24"/>
          <w:szCs w:val="24"/>
          <w:highlight w:val="none"/>
          <w:lang w:val="en-US" w:eastAsia="zh-CN" w:bidi="ar-SA"/>
        </w:rPr>
        <w:t>***</w:t>
      </w:r>
      <w:r>
        <w:rPr>
          <w:rFonts w:hint="eastAsia" w:ascii="仿宋_GB2312" w:hAnsi="宋体" w:eastAsia="仿宋_GB2312" w:cs="Times New Roman"/>
          <w:kern w:val="2"/>
          <w:sz w:val="24"/>
          <w:szCs w:val="24"/>
          <w:highlight w:val="none"/>
          <w:lang w:val="zh-TW" w:eastAsia="zh-CN" w:bidi="ar-SA"/>
        </w:rPr>
        <w:t>开标室（开标室见交易大厅屏幕展示信息）</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仿宋_GB2312" w:hAnsi="宋体" w:eastAsia="仿宋_GB2312" w:cs="Times New Roman"/>
          <w:kern w:val="2"/>
          <w:sz w:val="24"/>
          <w:szCs w:val="24"/>
          <w:highlight w:val="none"/>
          <w:lang w:val="zh-TW" w:eastAsia="zh-CN" w:bidi="ar-SA"/>
        </w:rPr>
      </w:pPr>
      <w:r>
        <w:rPr>
          <w:rFonts w:hint="eastAsia" w:ascii="仿宋_GB2312" w:hAnsi="宋体" w:eastAsia="仿宋_GB2312" w:cs="Times New Roman"/>
          <w:kern w:val="2"/>
          <w:sz w:val="24"/>
          <w:szCs w:val="24"/>
          <w:highlight w:val="none"/>
          <w:lang w:val="zh-TW" w:eastAsia="zh-CN" w:bidi="ar-SA"/>
        </w:rPr>
        <w:t>电子投标文件提交：西藏自治区公共资源交易平台（通过西藏自治区公共资源交易网登录，网 址：ggzy.xizang.gov.cn）</w:t>
      </w:r>
    </w:p>
    <w:p>
      <w:pPr>
        <w:spacing w:line="400" w:lineRule="exact"/>
        <w:ind w:firstLine="482" w:firstLineChars="200"/>
        <w:rPr>
          <w:rFonts w:hint="eastAsia" w:ascii="仿宋_GB2312" w:hAnsi="宋体" w:eastAsia="仿宋_GB2312" w:cs="Times New Roman"/>
          <w:b/>
          <w:bCs/>
          <w:sz w:val="24"/>
          <w:szCs w:val="24"/>
          <w:highlight w:val="none"/>
          <w:lang w:val="en-US" w:eastAsia="zh-CN" w:bidi="ar-SA"/>
        </w:rPr>
      </w:pPr>
      <w:r>
        <w:rPr>
          <w:rFonts w:hint="eastAsia" w:ascii="仿宋_GB2312" w:hAnsi="宋体" w:eastAsia="仿宋_GB2312" w:cs="Times New Roman"/>
          <w:b/>
          <w:bCs/>
          <w:sz w:val="24"/>
          <w:szCs w:val="24"/>
          <w:highlight w:val="none"/>
          <w:lang w:val="en-US" w:eastAsia="zh-CN" w:bidi="ar-SA"/>
        </w:rPr>
        <w:t>5、公告期限</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自本公告发布之日起5个工作日。</w:t>
      </w:r>
    </w:p>
    <w:p>
      <w:pPr>
        <w:spacing w:line="400" w:lineRule="exact"/>
        <w:ind w:firstLine="482" w:firstLineChars="200"/>
        <w:rPr>
          <w:rFonts w:hint="default" w:ascii="仿宋_GB2312" w:hAnsi="宋体" w:eastAsia="仿宋_GB2312" w:cs="Times New Roman"/>
          <w:b/>
          <w:bCs/>
          <w:sz w:val="24"/>
          <w:szCs w:val="24"/>
          <w:highlight w:val="none"/>
          <w:lang w:val="en-US" w:eastAsia="zh-CN" w:bidi="ar-SA"/>
        </w:rPr>
      </w:pPr>
      <w:r>
        <w:rPr>
          <w:rFonts w:hint="eastAsia" w:ascii="仿宋_GB2312" w:hAnsi="宋体" w:eastAsia="仿宋_GB2312" w:cs="Times New Roman"/>
          <w:b/>
          <w:bCs/>
          <w:sz w:val="24"/>
          <w:szCs w:val="24"/>
          <w:highlight w:val="none"/>
          <w:lang w:val="en-US" w:eastAsia="zh-CN" w:bidi="ar-SA"/>
        </w:rPr>
        <w:t>6</w:t>
      </w:r>
      <w:r>
        <w:rPr>
          <w:rFonts w:hint="default" w:ascii="仿宋_GB2312" w:hAnsi="宋体" w:eastAsia="仿宋_GB2312" w:cs="Times New Roman"/>
          <w:b/>
          <w:bCs/>
          <w:sz w:val="24"/>
          <w:szCs w:val="24"/>
          <w:highlight w:val="none"/>
          <w:lang w:val="en-US" w:bidi="ar-SA"/>
        </w:rPr>
        <w:t>、</w:t>
      </w:r>
      <w:r>
        <w:rPr>
          <w:rFonts w:hint="default" w:ascii="仿宋_GB2312" w:hAnsi="宋体" w:eastAsia="仿宋_GB2312" w:cs="Times New Roman"/>
          <w:b/>
          <w:bCs/>
          <w:sz w:val="24"/>
          <w:szCs w:val="24"/>
          <w:highlight w:val="none"/>
          <w:lang w:val="en-US" w:eastAsia="zh-CN" w:bidi="ar-SA"/>
        </w:rPr>
        <w:t>其他补充事宜</w:t>
      </w:r>
    </w:p>
    <w:p>
      <w:pPr>
        <w:keepNext w:val="0"/>
        <w:keepLines w:val="0"/>
        <w:widowControl/>
        <w:suppressLineNumbers w:val="0"/>
        <w:ind w:firstLine="480" w:firstLineChars="200"/>
        <w:jc w:val="lef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1、本公告同时在</w:t>
      </w:r>
      <w:r>
        <w:rPr>
          <w:rFonts w:hint="eastAsia" w:ascii="仿宋_GB2312" w:hAnsi="宋体" w:eastAsia="仿宋_GB2312" w:cs="Times New Roman"/>
          <w:color w:val="000000" w:themeColor="text1"/>
          <w:sz w:val="24"/>
          <w:szCs w:val="24"/>
          <w:highlight w:val="none"/>
          <w:u w:val="none"/>
          <w:lang w:eastAsia="zh-CN" w:bidi="ar-SA"/>
          <w14:textFill>
            <w14:solidFill>
              <w14:schemeClr w14:val="tx1"/>
            </w14:solidFill>
          </w14:textFill>
        </w:rPr>
        <w:t>《</w:t>
      </w:r>
      <w:r>
        <w:rPr>
          <w:rFonts w:hint="eastAsia" w:ascii="仿宋_GB2312" w:hAnsi="宋体" w:eastAsia="仿宋_GB2312" w:cs="Times New Roman"/>
          <w:color w:val="000000" w:themeColor="text1"/>
          <w:sz w:val="24"/>
          <w:szCs w:val="24"/>
          <w:highlight w:val="none"/>
          <w:u w:val="none"/>
          <w:lang w:val="en-US" w:eastAsia="zh-CN" w:bidi="ar-SA"/>
          <w14:textFill>
            <w14:solidFill>
              <w14:schemeClr w14:val="tx1"/>
            </w14:solidFill>
          </w14:textFill>
        </w:rPr>
        <w:t>中国</w:t>
      </w:r>
      <w:r>
        <w:rPr>
          <w:rFonts w:hint="eastAsia" w:ascii="仿宋_GB2312" w:hAnsi="宋体" w:eastAsia="仿宋_GB2312" w:cs="Times New Roman"/>
          <w:color w:val="000000" w:themeColor="text1"/>
          <w:sz w:val="24"/>
          <w:szCs w:val="24"/>
          <w:highlight w:val="none"/>
          <w:u w:val="none"/>
          <w:lang w:bidi="ar-SA"/>
          <w14:textFill>
            <w14:solidFill>
              <w14:schemeClr w14:val="tx1"/>
            </w14:solidFill>
          </w14:textFill>
        </w:rPr>
        <w:t>政府采购网</w:t>
      </w:r>
      <w:r>
        <w:rPr>
          <w:rFonts w:hint="eastAsia" w:ascii="仿宋_GB2312" w:hAnsi="宋体" w:eastAsia="仿宋_GB2312" w:cs="Times New Roman"/>
          <w:color w:val="000000" w:themeColor="text1"/>
          <w:sz w:val="24"/>
          <w:szCs w:val="24"/>
          <w:highlight w:val="none"/>
          <w:u w:val="none"/>
          <w:lang w:eastAsia="zh-CN" w:bidi="ar-SA"/>
          <w14:textFill>
            <w14:solidFill>
              <w14:schemeClr w14:val="tx1"/>
            </w14:solidFill>
          </w14:textFill>
        </w:rPr>
        <w:t>》、《</w:t>
      </w:r>
      <w:r>
        <w:rPr>
          <w:rFonts w:hint="eastAsia" w:ascii="仿宋_GB2312" w:hAnsi="宋体" w:eastAsia="仿宋_GB2312" w:cs="Times New Roman"/>
          <w:color w:val="000000" w:themeColor="text1"/>
          <w:sz w:val="24"/>
          <w:szCs w:val="24"/>
          <w:highlight w:val="none"/>
          <w:u w:val="none"/>
          <w:lang w:val="en-US" w:eastAsia="zh-CN" w:bidi="ar-SA"/>
          <w14:textFill>
            <w14:solidFill>
              <w14:schemeClr w14:val="tx1"/>
            </w14:solidFill>
          </w14:textFill>
        </w:rPr>
        <w:t>西藏自治区公共资源交易平台</w:t>
      </w:r>
      <w:r>
        <w:rPr>
          <w:rFonts w:hint="eastAsia" w:ascii="仿宋_GB2312" w:hAnsi="宋体" w:eastAsia="仿宋_GB2312" w:cs="Times New Roman"/>
          <w:color w:val="000000" w:themeColor="text1"/>
          <w:sz w:val="24"/>
          <w:szCs w:val="24"/>
          <w:highlight w:val="none"/>
          <w:u w:val="none"/>
          <w:lang w:eastAsia="zh-CN" w:bidi="ar-SA"/>
          <w14:textFill>
            <w14:solidFill>
              <w14:schemeClr w14:val="tx1"/>
            </w14:solidFill>
          </w14:textFill>
        </w:rPr>
        <w:t>》、《西藏自治区交通运输厅》</w:t>
      </w:r>
      <w:r>
        <w:rPr>
          <w:rFonts w:hint="eastAsia" w:ascii="仿宋_GB2312" w:hAnsi="宋体" w:eastAsia="仿宋_GB2312" w:cs="Times New Roman"/>
          <w:kern w:val="2"/>
          <w:sz w:val="24"/>
          <w:szCs w:val="24"/>
          <w:highlight w:val="none"/>
          <w:lang w:val="en-US" w:eastAsia="zh-CN" w:bidi="ar-SA"/>
        </w:rPr>
        <w:t>上发布。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2.落实政府采购政策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2.1.执行《中华人民共和国政府采购法》、《中华人民共和国政府采购法实施条例》等有关法律、法规和和政策；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2.2.执行《政府采购促进中小企业发展管理办法》、《关于政府采购支持监狱企业发展有关问题的通知》和《关于促进残疾人就业政府采购政策的通知》，本项目涉及小微企业、监狱企业和残疾人福利性单位；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2.3.执行《节能产品政府采购实施意见》、《财政部环保总局关于环境标志产品政府采购实施的意见》；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2.4.落实节约能源、保护环境、扶持不发达地区和少数民族地区、促进中小企业发展等政府采购政策。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2.5.本项目不属于专门面向中小企业采购的项目,供应商不限制必须为中小微企业、监狱企业、残疾人福利性单位。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3.对投标人的信用要求：未被“信用中国”网站（www.creditchina.gov.cn）列入失信被执行人、 重大税收违法案件当事人名单，未被中国政府采购网（www.ccgp.gov.cn）列入政府采购严重违法失信行为记录名单、被财政部门禁止参加政府采购活动（处罚决定规定的时间和地域范围内）的投标人禁止参加本项目的投标活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4.单位负责人为同一人或者存在直接控股、管理关系的不同投标人，不得参加同一合同项下的政府采购活动。为所投的标段提供过项目造价咨询服务或者审计服务的投标人，不得再参加该采购项目的其他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5.本公告同时在上刊载《中国政府采购网》、《西藏自治区公共资源交易平台》、《西藏自治区交通运输厅》，后续澄清、更正、终止、中标（成交）公告请关注上述媒介，因在西藏自治区公共资源交易网进行采购相关工作，无法得知各潜在投标人的名单和联系方式，故本项目相关澄清、更正、终止等信息无法以书面形式通知所有获取招标文件的潜在投标人。请各潜在投标人及时关注《中国政府采购网》、《西藏自治区公共资源交易平台》《西藏自治区交通运输厅》等相关平台，如未获取到相关澄清、更正、终止等信息造成的后果由各潜在投标人自行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6.供应商在投标时需要上传电子投标文件至西藏自治区公共资源交易平台系统中、并在招投标现场开标用企业CA锁制作电子标书的锁，解密上传的电子标书。备注：请供应商将投标文件中需要签字的页面打印出来签字或西藏自治区公共资源交易平台内的电子签名，不得使用电脑打字输入，并制作成电子文件上传至系统中，否则投标文件无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7.投标保证金采取线上银行保函或保单保函方式提交。投标人在关注报名下载招标文件后即可线上缴纳投标保证金。（根据招投标系统平台推荐的选择其中一种可以缴纳投标保证金的平台）。</w:t>
      </w:r>
    </w:p>
    <w:p>
      <w:pPr>
        <w:spacing w:line="400" w:lineRule="exact"/>
        <w:ind w:firstLine="480" w:firstLineChars="20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8.各潜在投标人应在西藏自治区公共资源交易网（http://ggzy.xizang.gov.cn/）进行单位注册、完善资料等工作，并依照西藏自治区公共资源交易网相关要求办理 CA（数字证书），以便完成获取招标文件、投标等相关操作。各项操作及规范以西藏自治区公共资源交易网及其交易平台（系统） 要求为准，如遇网站、系统平台、CA 等相关问题请按照西藏自治区公共资源交易平台联系方式（http://ggzy.xizang.gov.cn/fwzxlx/33175.jhtml）进行咨询。</w:t>
      </w:r>
    </w:p>
    <w:p>
      <w:pPr>
        <w:spacing w:line="400" w:lineRule="exact"/>
        <w:ind w:firstLine="480" w:firstLineChars="200"/>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9.</w:t>
      </w:r>
      <w:r>
        <w:rPr>
          <w:rFonts w:hint="default" w:ascii="仿宋_GB2312" w:hAnsi="宋体" w:eastAsia="仿宋_GB2312" w:cs="Times New Roman"/>
          <w:kern w:val="2"/>
          <w:sz w:val="24"/>
          <w:szCs w:val="24"/>
          <w:highlight w:val="none"/>
          <w:lang w:val="zh-TW" w:eastAsia="zh-TW" w:bidi="ar-SA"/>
        </w:rPr>
        <w:t>不接受被西藏自治区交通运输厅列为禁止投标的单位参与投标。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p>
    <w:p>
      <w:pPr>
        <w:rPr>
          <w:rFonts w:hint="eastAsia" w:ascii="仿宋_GB2312" w:hAnsi="宋体" w:eastAsia="仿宋_GB2312" w:cs="Times New Roman"/>
          <w:b/>
          <w:bCs/>
          <w:sz w:val="24"/>
          <w:szCs w:val="24"/>
          <w:highlight w:val="none"/>
          <w:lang w:val="en-US" w:eastAsia="zh-CN" w:bidi="ar-SA"/>
        </w:rPr>
      </w:pPr>
      <w:r>
        <w:rPr>
          <w:rFonts w:hint="eastAsia" w:ascii="仿宋_GB2312" w:hAnsi="宋体" w:eastAsia="仿宋_GB2312" w:cs="Times New Roman"/>
          <w:b/>
          <w:bCs/>
          <w:sz w:val="24"/>
          <w:szCs w:val="24"/>
          <w:highlight w:val="none"/>
          <w:lang w:val="en-US" w:eastAsia="zh-CN" w:bidi="ar-SA"/>
        </w:rPr>
        <w:br w:type="page"/>
      </w:r>
    </w:p>
    <w:p>
      <w:pPr>
        <w:spacing w:line="360" w:lineRule="auto"/>
        <w:ind w:firstLine="482" w:firstLineChars="200"/>
        <w:rPr>
          <w:rFonts w:ascii="仿宋_GB2312" w:hAnsi="宋体" w:eastAsia="仿宋_GB2312" w:cs="Times New Roman"/>
          <w:b/>
          <w:bCs/>
          <w:sz w:val="24"/>
          <w:szCs w:val="24"/>
          <w:highlight w:val="none"/>
          <w:lang w:bidi="ar-SA"/>
        </w:rPr>
      </w:pPr>
      <w:r>
        <w:rPr>
          <w:rFonts w:hint="eastAsia" w:ascii="仿宋_GB2312" w:hAnsi="宋体" w:eastAsia="仿宋_GB2312" w:cs="Times New Roman"/>
          <w:b/>
          <w:bCs/>
          <w:sz w:val="24"/>
          <w:szCs w:val="24"/>
          <w:highlight w:val="none"/>
          <w:lang w:val="en-US" w:eastAsia="zh-CN" w:bidi="ar-SA"/>
        </w:rPr>
        <w:t>7</w:t>
      </w:r>
      <w:r>
        <w:rPr>
          <w:rFonts w:ascii="仿宋_GB2312" w:hAnsi="宋体" w:eastAsia="仿宋_GB2312" w:cs="Times New Roman"/>
          <w:b/>
          <w:bCs/>
          <w:sz w:val="24"/>
          <w:szCs w:val="24"/>
          <w:highlight w:val="none"/>
          <w:lang w:bidi="ar-SA"/>
        </w:rPr>
        <w:t>.</w:t>
      </w:r>
      <w:r>
        <w:rPr>
          <w:rFonts w:hint="eastAsia" w:ascii="仿宋_GB2312" w:hAnsi="宋体" w:eastAsia="仿宋_GB2312" w:cs="Times New Roman"/>
          <w:b/>
          <w:bCs/>
          <w:sz w:val="24"/>
          <w:szCs w:val="24"/>
          <w:highlight w:val="none"/>
          <w:lang w:bidi="ar-SA"/>
        </w:rPr>
        <w:t>采购人信息</w:t>
      </w:r>
    </w:p>
    <w:p>
      <w:pPr>
        <w:pStyle w:val="23"/>
        <w:keepNext w:val="0"/>
        <w:keepLines w:val="0"/>
        <w:widowControl/>
        <w:suppressLineNumbers w:val="0"/>
        <w:spacing w:before="0" w:beforeAutospacing="0" w:after="226" w:afterAutospacing="0" w:line="360" w:lineRule="auto"/>
        <w:ind w:left="0" w:right="0" w:firstLine="57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7.1名称：那曲国省公路接管组（西藏自治区公路局青藏公路分局那曲公路养护段）</w:t>
      </w:r>
    </w:p>
    <w:p>
      <w:pPr>
        <w:pStyle w:val="23"/>
        <w:keepNext w:val="0"/>
        <w:keepLines w:val="0"/>
        <w:widowControl/>
        <w:suppressLineNumbers w:val="0"/>
        <w:spacing w:before="0" w:beforeAutospacing="0" w:after="226" w:afterAutospacing="0" w:line="360" w:lineRule="atLeast"/>
        <w:ind w:left="0" w:right="0" w:firstLine="57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7.2地址：西藏自治区那曲市色尼区拉萨北路20号</w:t>
      </w:r>
    </w:p>
    <w:p>
      <w:pPr>
        <w:pStyle w:val="23"/>
        <w:keepNext w:val="0"/>
        <w:keepLines w:val="0"/>
        <w:widowControl/>
        <w:suppressLineNumbers w:val="0"/>
        <w:spacing w:before="0" w:beforeAutospacing="0" w:after="226" w:afterAutospacing="0" w:line="360" w:lineRule="atLeast"/>
        <w:ind w:left="0" w:right="0" w:firstLine="57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7.3联系人：洛桑次培 </w:t>
      </w:r>
    </w:p>
    <w:p>
      <w:pPr>
        <w:pStyle w:val="23"/>
        <w:keepNext w:val="0"/>
        <w:keepLines w:val="0"/>
        <w:widowControl/>
        <w:suppressLineNumbers w:val="0"/>
        <w:spacing w:before="0" w:beforeAutospacing="0" w:after="226" w:afterAutospacing="0" w:line="360" w:lineRule="atLeast"/>
        <w:ind w:left="0" w:right="0" w:firstLine="57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7.4电话：0896-3333072 </w:t>
      </w:r>
    </w:p>
    <w:p>
      <w:pPr>
        <w:spacing w:line="360" w:lineRule="auto"/>
        <w:ind w:firstLine="482" w:firstLineChars="200"/>
        <w:rPr>
          <w:rFonts w:hint="eastAsia" w:ascii="仿宋_GB2312" w:hAnsi="宋体" w:eastAsia="仿宋_GB2312" w:cs="Times New Roman"/>
          <w:b/>
          <w:bCs/>
          <w:sz w:val="24"/>
          <w:szCs w:val="24"/>
          <w:highlight w:val="none"/>
          <w:lang w:val="en-US" w:eastAsia="zh-CN" w:bidi="ar-SA"/>
        </w:rPr>
      </w:pPr>
      <w:r>
        <w:rPr>
          <w:rFonts w:hint="eastAsia" w:ascii="仿宋_GB2312" w:hAnsi="宋体" w:eastAsia="仿宋_GB2312" w:cs="Times New Roman"/>
          <w:b/>
          <w:bCs/>
          <w:sz w:val="24"/>
          <w:szCs w:val="24"/>
          <w:highlight w:val="none"/>
          <w:lang w:val="en-US" w:eastAsia="zh-CN" w:bidi="ar-SA"/>
        </w:rPr>
        <w:t>8.采购代理机构信息</w:t>
      </w:r>
    </w:p>
    <w:p>
      <w:pPr>
        <w:pStyle w:val="23"/>
        <w:keepNext w:val="0"/>
        <w:keepLines w:val="0"/>
        <w:widowControl/>
        <w:suppressLineNumbers w:val="0"/>
        <w:spacing w:before="0" w:beforeAutospacing="0" w:after="226" w:afterAutospacing="0" w:line="360" w:lineRule="atLeast"/>
        <w:ind w:left="0" w:right="0" w:firstLine="57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8.1名称：九鼎工程管理咨询有限公司</w:t>
      </w:r>
    </w:p>
    <w:p>
      <w:pPr>
        <w:pStyle w:val="23"/>
        <w:keepNext w:val="0"/>
        <w:keepLines w:val="0"/>
        <w:widowControl/>
        <w:suppressLineNumbers w:val="0"/>
        <w:spacing w:before="0" w:beforeAutospacing="0" w:after="226" w:afterAutospacing="0" w:line="360" w:lineRule="auto"/>
        <w:ind w:left="0" w:right="0" w:firstLine="57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8.2地址：西藏自治区政协办公厅机关第一生活区（曲米路）别墅区4001号（西门）</w:t>
      </w:r>
    </w:p>
    <w:p>
      <w:pPr>
        <w:pStyle w:val="23"/>
        <w:keepNext w:val="0"/>
        <w:keepLines w:val="0"/>
        <w:widowControl/>
        <w:suppressLineNumbers w:val="0"/>
        <w:spacing w:before="0" w:beforeAutospacing="0" w:after="226" w:afterAutospacing="0" w:line="360" w:lineRule="auto"/>
        <w:ind w:left="0" w:right="0" w:firstLine="570"/>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8.3项目负责人：胡先生</w:t>
      </w:r>
    </w:p>
    <w:p>
      <w:pPr>
        <w:pStyle w:val="23"/>
        <w:keepNext w:val="0"/>
        <w:keepLines w:val="0"/>
        <w:widowControl/>
        <w:suppressLineNumbers w:val="0"/>
        <w:spacing w:before="0" w:beforeAutospacing="0" w:after="226" w:afterAutospacing="0" w:line="360" w:lineRule="auto"/>
        <w:ind w:left="0" w:right="0" w:firstLine="57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8.4联系电话：0891-6652905、17389008786</w:t>
      </w:r>
    </w:p>
    <w:p>
      <w:pPr>
        <w:spacing w:line="400" w:lineRule="exact"/>
        <w:ind w:firstLine="480" w:firstLineChars="200"/>
        <w:rPr>
          <w:rFonts w:ascii="仿宋_GB2312" w:hAnsi="宋体" w:eastAsia="仿宋_GB2312" w:cs="Times New Roman"/>
          <w:sz w:val="24"/>
          <w:szCs w:val="24"/>
          <w:highlight w:val="none"/>
          <w:lang w:bidi="ar-SA"/>
        </w:rPr>
      </w:pPr>
    </w:p>
    <w:p>
      <w:pPr>
        <w:spacing w:before="0" w:after="0"/>
        <w:rPr>
          <w:rFonts w:hint="eastAsia"/>
          <w:highlight w:val="none"/>
          <w:lang w:bidi="ar-SA"/>
        </w:rPr>
      </w:pPr>
      <w:bookmarkStart w:id="59" w:name="_Toc75443038"/>
      <w:r>
        <w:rPr>
          <w:rFonts w:hint="eastAsia"/>
          <w:highlight w:val="none"/>
          <w:lang w:bidi="ar-SA"/>
        </w:rPr>
        <w:br w:type="page"/>
      </w:r>
    </w:p>
    <w:p>
      <w:pPr>
        <w:pStyle w:val="2"/>
        <w:spacing w:before="0" w:after="0"/>
        <w:rPr>
          <w:rFonts w:hint="eastAsia" w:ascii="仿宋_GB2312" w:hAnsi="宋体" w:eastAsia="仿宋_GB2312" w:cs="Times New Roman"/>
          <w:b/>
          <w:bCs/>
          <w:kern w:val="2"/>
          <w:sz w:val="32"/>
          <w:szCs w:val="32"/>
          <w:highlight w:val="none"/>
          <w:lang w:val="en-US" w:eastAsia="zh-CN" w:bidi="ar-SA"/>
        </w:rPr>
      </w:pPr>
      <w:r>
        <w:rPr>
          <w:rFonts w:hint="eastAsia" w:ascii="仿宋_GB2312" w:hAnsi="宋体" w:eastAsia="仿宋_GB2312" w:cs="Times New Roman"/>
          <w:b/>
          <w:bCs/>
          <w:kern w:val="2"/>
          <w:sz w:val="32"/>
          <w:szCs w:val="32"/>
          <w:highlight w:val="none"/>
          <w:lang w:val="en-US" w:eastAsia="zh-CN" w:bidi="ar-SA"/>
        </w:rPr>
        <w:t>第4章投标人须知资料表</w:t>
      </w:r>
      <w:bookmarkEnd w:id="59"/>
    </w:p>
    <w:p>
      <w:pPr>
        <w:spacing w:line="400" w:lineRule="exact"/>
        <w:ind w:firstLine="540" w:firstLineChars="300"/>
        <w:jc w:val="left"/>
        <w:rPr>
          <w:rFonts w:ascii="仿宋_GB2312" w:hAnsi="宋体" w:eastAsia="仿宋_GB2312" w:cs="Times New Roman"/>
          <w:w w:val="75"/>
          <w:sz w:val="24"/>
          <w:szCs w:val="24"/>
          <w:highlight w:val="none"/>
          <w:lang w:bidi="ar-SA"/>
        </w:rPr>
      </w:pPr>
      <w:r>
        <w:rPr>
          <w:rFonts w:hint="eastAsia" w:ascii="仿宋_GB2312" w:hAnsi="宋体" w:eastAsia="仿宋_GB2312" w:cs="Times New Roman"/>
          <w:w w:val="75"/>
          <w:sz w:val="24"/>
          <w:szCs w:val="24"/>
          <w:highlight w:val="none"/>
          <w:lang w:bidi="ar-SA"/>
        </w:rPr>
        <w:t>本表是本招标项目的具体资料，是对投标人须知的具体补充和修改，如有矛盾，应以本资料表为准。</w:t>
      </w:r>
    </w:p>
    <w:tbl>
      <w:tblPr>
        <w:tblStyle w:val="24"/>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条款号</w:t>
            </w:r>
          </w:p>
        </w:tc>
        <w:tc>
          <w:tcPr>
            <w:tcW w:w="7729" w:type="dxa"/>
            <w:vAlign w:val="center"/>
          </w:tcPr>
          <w:p>
            <w:pPr>
              <w:spacing w:line="400" w:lineRule="exact"/>
              <w:ind w:firstLine="3120" w:firstLineChars="1300"/>
              <w:rPr>
                <w:rFonts w:hint="eastAsia"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 xml:space="preserve">内 </w:t>
            </w:r>
            <w:r>
              <w:rPr>
                <w:rFonts w:hint="eastAsia" w:ascii="仿宋_GB2312" w:hAnsi="宋体" w:eastAsia="仿宋_GB2312" w:cs="Times New Roman"/>
                <w:sz w:val="24"/>
                <w:szCs w:val="24"/>
                <w:highlight w:val="none"/>
                <w:lang w:val="en-US" w:eastAsia="zh-CN" w:bidi="ar-SA"/>
              </w:rPr>
              <w:t xml:space="preserve"> </w:t>
            </w:r>
            <w:r>
              <w:rPr>
                <w:rFonts w:hint="eastAsia" w:ascii="仿宋_GB2312" w:hAnsi="宋体" w:eastAsia="仿宋_GB2312" w:cs="Times New Roman"/>
                <w:sz w:val="24"/>
                <w:szCs w:val="24"/>
                <w:highlight w:val="none"/>
                <w:lang w:bidi="ar-SA"/>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6" w:type="dxa"/>
            <w:vAlign w:val="center"/>
          </w:tcPr>
          <w:p>
            <w:pPr>
              <w:spacing w:line="400" w:lineRule="exact"/>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w:t>
            </w:r>
          </w:p>
        </w:tc>
        <w:tc>
          <w:tcPr>
            <w:tcW w:w="7729" w:type="dxa"/>
            <w:vAlign w:val="center"/>
          </w:tcPr>
          <w:p>
            <w:pPr>
              <w:pStyle w:val="100"/>
              <w:keepNext w:val="0"/>
              <w:keepLines w:val="0"/>
              <w:pageBreakBefore w:val="0"/>
              <w:widowControl w:val="0"/>
              <w:kinsoku/>
              <w:wordWrap/>
              <w:overflowPunct/>
              <w:topLinePunct w:val="0"/>
              <w:autoSpaceDE/>
              <w:autoSpaceDN/>
              <w:bidi w:val="0"/>
              <w:adjustRightInd/>
              <w:snapToGrid/>
              <w:spacing w:before="181" w:beforeLines="50" w:after="160"/>
              <w:jc w:val="both"/>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项目名称：</w:t>
            </w:r>
            <w:r>
              <w:rPr>
                <w:rFonts w:hint="eastAsia" w:ascii="仿宋_GB2312" w:eastAsia="仿宋_GB2312" w:cs="Times New Roman"/>
                <w:kern w:val="2"/>
                <w:sz w:val="24"/>
                <w:szCs w:val="24"/>
                <w:highlight w:val="none"/>
                <w:lang w:val="zh-TW" w:eastAsia="zh-CN" w:bidi="ar-SA"/>
              </w:rPr>
              <w:t>那曲国省公路接管组2022年日常养护和抢险保通材料采购</w:t>
            </w:r>
          </w:p>
          <w:p>
            <w:pPr>
              <w:spacing w:line="400" w:lineRule="exact"/>
              <w:jc w:val="both"/>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项目编号：</w:t>
            </w:r>
            <w:r>
              <w:rPr>
                <w:rFonts w:hint="eastAsia" w:ascii="仿宋_GB2312" w:hAnsi="宋体" w:eastAsia="仿宋_GB2312" w:cs="Times New Roman"/>
                <w:kern w:val="2"/>
                <w:sz w:val="24"/>
                <w:szCs w:val="24"/>
                <w:highlight w:val="none"/>
                <w:lang w:val="zh-TW" w:eastAsia="zh-CN" w:bidi="ar-SA"/>
              </w:rPr>
              <w:t>GZFCG2022-8976-001、GZFCG2022-8976-00</w:t>
            </w:r>
            <w:r>
              <w:rPr>
                <w:rFonts w:hint="eastAsia" w:ascii="仿宋_GB2312" w:hAnsi="宋体" w:eastAsia="仿宋_GB2312" w:cs="Times New Roman"/>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1.1</w:t>
            </w:r>
          </w:p>
        </w:tc>
        <w:tc>
          <w:tcPr>
            <w:tcW w:w="77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采购人：那曲国省公路接管组（西藏自治区公路局青藏公路分局那曲公路养护段）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地  址：西藏自治区那曲市色尼区拉萨北路20号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电  话：0896-3333072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1.2</w:t>
            </w:r>
          </w:p>
        </w:tc>
        <w:tc>
          <w:tcPr>
            <w:tcW w:w="7729" w:type="dxa"/>
            <w:vAlign w:val="center"/>
          </w:tcPr>
          <w:p>
            <w:pPr>
              <w:spacing w:line="400" w:lineRule="exact"/>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采购代理机构： 九鼎工程管理咨询有限公司</w:t>
            </w:r>
          </w:p>
          <w:p>
            <w:pPr>
              <w:spacing w:line="400" w:lineRule="exact"/>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地址：西藏自治区政协办公厅机关第一生活区（曲米路）别墅区4001号（西门）</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联系人：胡先生  电话：</w:t>
            </w:r>
            <w:r>
              <w:rPr>
                <w:rFonts w:hint="eastAsia" w:ascii="仿宋_GB2312" w:hAnsi="宋体" w:eastAsia="仿宋_GB2312" w:cs="Times New Roman"/>
                <w:sz w:val="24"/>
                <w:szCs w:val="24"/>
                <w:highlight w:val="none"/>
                <w:lang w:bidi="ar-SA"/>
              </w:rPr>
              <w:t>0891-6652905、17389008786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1.3.1</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投标人应具备《中华人民共和国政府采购法》第二十二条规定的条件；</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1、具有独立承担民事责任能力，具有有效的营业执照；</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2、具有良好的商业信誉和健全的财务会计制度，提供近三年（2018-2020或2019-2021年度）经会计师事务所审计的财务报告（新成立企业从成立当年开始提供）；</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3、具有履行合同所必需的设备和专业技术能力，提供证明材料或承诺函；</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4、具有依法缴纳税收和社会保障资金的良好记录，提供近三个月供应商税收缴纳和社保缴纳证明材料；</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5、参加政府采购前三年内在经营活动中没有重大违法记录，未被列入经营异常名录或者严重违法企业名单，提供声明（格式自拟）；</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zh-TW" w:eastAsia="zh-TW" w:bidi="ar-SA"/>
              </w:rPr>
              <w:t>6</w:t>
            </w:r>
            <w:r>
              <w:rPr>
                <w:rFonts w:hint="eastAsia" w:ascii="仿宋_GB2312" w:hAnsi="宋体" w:eastAsia="仿宋_GB2312" w:cs="Times New Roman"/>
                <w:kern w:val="2"/>
                <w:sz w:val="24"/>
                <w:szCs w:val="24"/>
                <w:highlight w:val="none"/>
                <w:lang w:val="zh-TW" w:eastAsia="zh-CN" w:bidi="ar-SA"/>
              </w:rPr>
              <w:t>、</w:t>
            </w:r>
            <w:r>
              <w:rPr>
                <w:rFonts w:hint="eastAsia" w:ascii="仿宋_GB2312" w:hAnsi="宋体" w:eastAsia="仿宋_GB2312" w:cs="Times New Roman"/>
                <w:kern w:val="2"/>
                <w:sz w:val="24"/>
                <w:szCs w:val="24"/>
                <w:highlight w:val="none"/>
                <w:lang w:val="zh-TW" w:eastAsia="zh-TW" w:bidi="ar-SA"/>
              </w:rPr>
              <w:t>法律、法规要求的其他条件</w:t>
            </w:r>
            <w:r>
              <w:rPr>
                <w:rFonts w:hint="eastAsia" w:ascii="仿宋_GB2312" w:hAnsi="宋体" w:eastAsia="仿宋_GB2312" w:cs="Times New Roman"/>
                <w:kern w:val="2"/>
                <w:sz w:val="24"/>
                <w:szCs w:val="24"/>
                <w:highlight w:val="none"/>
                <w:lang w:val="zh-TW" w:eastAsia="zh-CN" w:bidi="ar-SA"/>
              </w:rPr>
              <w:t>（</w:t>
            </w:r>
            <w:r>
              <w:rPr>
                <w:rFonts w:hint="eastAsia" w:ascii="仿宋_GB2312" w:hAnsi="宋体" w:eastAsia="仿宋_GB2312" w:cs="Times New Roman"/>
                <w:kern w:val="2"/>
                <w:sz w:val="24"/>
                <w:szCs w:val="24"/>
                <w:highlight w:val="none"/>
                <w:lang w:val="en-US" w:eastAsia="zh-CN" w:bidi="ar-SA"/>
              </w:rPr>
              <w:t>提供声明</w:t>
            </w:r>
            <w:r>
              <w:rPr>
                <w:rFonts w:hint="eastAsia" w:ascii="仿宋_GB2312" w:hAnsi="宋体" w:eastAsia="仿宋_GB2312" w:cs="Times New Roman"/>
                <w:kern w:val="2"/>
                <w:sz w:val="24"/>
                <w:szCs w:val="24"/>
                <w:highlight w:val="none"/>
                <w:lang w:val="zh-TW"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1.3.2</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信用要求：未被列入“信用中国”网站记录失信被执行人、重大税收违法案件当事人名单、政府采购严重违法失信行为记录名单；不处于中国政府采购网（www.ccgp.gov.cn）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6" w:type="dxa"/>
            <w:vAlign w:val="center"/>
          </w:tcPr>
          <w:p>
            <w:pPr>
              <w:spacing w:line="400" w:lineRule="exact"/>
              <w:rPr>
                <w:rFonts w:hint="eastAsia" w:ascii="仿宋_GB2312" w:hAnsi="宋体" w:eastAsia="仿宋_GB2312" w:cs="Times New Roman"/>
                <w:sz w:val="24"/>
                <w:szCs w:val="24"/>
                <w:highlight w:val="none"/>
                <w:lang w:eastAsia="zh-CN" w:bidi="ar-SA"/>
              </w:rPr>
            </w:pPr>
            <w:r>
              <w:rPr>
                <w:rFonts w:hint="eastAsia"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val="en-US" w:eastAsia="zh-CN" w:bidi="ar-SA"/>
              </w:rPr>
              <w:t>3</w:t>
            </w:r>
          </w:p>
        </w:tc>
        <w:tc>
          <w:tcPr>
            <w:tcW w:w="7729" w:type="dxa"/>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right="0"/>
              <w:textAlignment w:val="auto"/>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合格投标人的特定资格要求：无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36" w:type="dxa"/>
            <w:vAlign w:val="center"/>
          </w:tcPr>
          <w:p>
            <w:pPr>
              <w:spacing w:line="400" w:lineRule="exact"/>
              <w:rPr>
                <w:rFonts w:hint="eastAsia" w:ascii="仿宋_GB2312" w:hAnsi="宋体" w:eastAsia="仿宋_GB2312" w:cs="Times New Roman"/>
                <w:sz w:val="24"/>
                <w:szCs w:val="24"/>
                <w:highlight w:val="none"/>
                <w:lang w:eastAsia="zh-CN" w:bidi="ar-SA"/>
              </w:rPr>
            </w:pPr>
            <w:r>
              <w:rPr>
                <w:rFonts w:hint="eastAsia"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val="en-US" w:eastAsia="zh-CN" w:bidi="ar-SA"/>
              </w:rPr>
              <w:t>4</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是否允许采购进口产品：否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36" w:type="dxa"/>
            <w:vAlign w:val="center"/>
          </w:tcPr>
          <w:p>
            <w:pPr>
              <w:spacing w:line="400" w:lineRule="exact"/>
              <w:rPr>
                <w:rFonts w:hint="eastAsia" w:ascii="仿宋_GB2312" w:hAnsi="宋体" w:eastAsia="仿宋_GB2312" w:cs="Times New Roman"/>
                <w:sz w:val="24"/>
                <w:szCs w:val="24"/>
                <w:highlight w:val="none"/>
                <w:lang w:eastAsia="zh-CN" w:bidi="ar-SA"/>
              </w:rPr>
            </w:pPr>
            <w:r>
              <w:rPr>
                <w:rFonts w:hint="eastAsia" w:ascii="仿宋_GB2312" w:hAnsi="宋体" w:eastAsia="仿宋_GB2312" w:cs="Times New Roman"/>
                <w:sz w:val="24"/>
                <w:szCs w:val="24"/>
                <w:highlight w:val="none"/>
                <w:lang w:bidi="ar-SA"/>
              </w:rPr>
              <w:t>1.3.</w:t>
            </w:r>
            <w:r>
              <w:rPr>
                <w:rFonts w:hint="eastAsia" w:ascii="仿宋_GB2312" w:hAnsi="宋体" w:eastAsia="仿宋_GB2312" w:cs="Times New Roman"/>
                <w:sz w:val="24"/>
                <w:szCs w:val="24"/>
                <w:highlight w:val="none"/>
                <w:lang w:val="en-US" w:eastAsia="zh-CN" w:bidi="ar-SA"/>
              </w:rPr>
              <w:t>5</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是否为专门面向中小企业采购：否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1.4</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是否允许联合体投标：否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36" w:type="dxa"/>
            <w:vAlign w:val="center"/>
          </w:tcPr>
          <w:p>
            <w:pPr>
              <w:spacing w:line="400" w:lineRule="exact"/>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bidi="ar-SA"/>
              </w:rPr>
              <w:t>1.</w:t>
            </w:r>
            <w:r>
              <w:rPr>
                <w:rFonts w:hint="eastAsia" w:ascii="仿宋_GB2312" w:hAnsi="宋体" w:eastAsia="仿宋_GB2312" w:cs="Times New Roman"/>
                <w:sz w:val="24"/>
                <w:szCs w:val="24"/>
                <w:highlight w:val="none"/>
                <w:lang w:val="en-US" w:eastAsia="zh-CN" w:bidi="ar-SA"/>
              </w:rPr>
              <w:t>5</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联合体的其他资格要求：/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2.1</w:t>
            </w:r>
          </w:p>
        </w:tc>
        <w:tc>
          <w:tcPr>
            <w:tcW w:w="7729" w:type="dxa"/>
            <w:vAlign w:val="center"/>
          </w:tcPr>
          <w:p>
            <w:pPr>
              <w:spacing w:line="400" w:lineRule="exact"/>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资金来源：国家投资 出资比例：100%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2.2</w:t>
            </w:r>
          </w:p>
        </w:tc>
        <w:tc>
          <w:tcPr>
            <w:tcW w:w="7729" w:type="dxa"/>
            <w:vAlign w:val="center"/>
          </w:tcPr>
          <w:p>
            <w:pPr>
              <w:keepNext w:val="0"/>
              <w:keepLines w:val="0"/>
              <w:pageBreakBefore w:val="0"/>
              <w:widowControl w:val="0"/>
              <w:kinsoku/>
              <w:wordWrap/>
              <w:overflowPunct/>
              <w:topLinePunct w:val="0"/>
              <w:autoSpaceDE/>
              <w:autoSpaceDN/>
              <w:bidi w:val="0"/>
              <w:adjustRightInd/>
              <w:snapToGrid/>
              <w:spacing w:before="181" w:beforeLines="50" w:after="160" w:line="400" w:lineRule="exact"/>
              <w:ind w:firstLine="0" w:firstLineChars="0"/>
              <w:jc w:val="both"/>
              <w:textAlignment w:val="auto"/>
              <w:rPr>
                <w:rFonts w:hint="default" w:ascii="仿宋_GB2312" w:hAnsi="宋体" w:eastAsia="仿宋_GB2312" w:cs="Times New Roman"/>
                <w:sz w:val="24"/>
                <w:szCs w:val="24"/>
                <w:highlight w:val="none"/>
                <w:lang w:val="zh-TW" w:eastAsia="zh-TW" w:bidi="ar-SA"/>
              </w:rPr>
            </w:pPr>
            <w:r>
              <w:rPr>
                <w:rFonts w:hint="eastAsia" w:ascii="仿宋_GB2312" w:hAnsi="宋体" w:eastAsia="仿宋_GB2312" w:cs="Times New Roman"/>
                <w:kern w:val="2"/>
                <w:sz w:val="24"/>
                <w:szCs w:val="24"/>
                <w:highlight w:val="none"/>
                <w:lang w:val="en-US" w:eastAsia="zh-CN" w:bidi="ar-SA"/>
              </w:rPr>
              <w:t>项目预算金额：5160000.00</w:t>
            </w:r>
            <w:r>
              <w:rPr>
                <w:rFonts w:hint="default" w:ascii="仿宋_GB2312" w:hAnsi="宋体" w:eastAsia="仿宋_GB2312" w:cs="Times New Roman"/>
                <w:sz w:val="24"/>
                <w:szCs w:val="24"/>
                <w:highlight w:val="none"/>
                <w:lang w:val="zh-TW" w:eastAsia="zh-TW" w:bidi="ar-SA"/>
              </w:rPr>
              <w:t>元</w:t>
            </w:r>
          </w:p>
          <w:p>
            <w:pPr>
              <w:keepNext w:val="0"/>
              <w:keepLines w:val="0"/>
              <w:pageBreakBefore w:val="0"/>
              <w:widowControl w:val="0"/>
              <w:kinsoku/>
              <w:wordWrap/>
              <w:overflowPunct/>
              <w:topLinePunct w:val="0"/>
              <w:autoSpaceDE/>
              <w:autoSpaceDN/>
              <w:bidi w:val="0"/>
              <w:adjustRightInd/>
              <w:snapToGrid/>
              <w:spacing w:before="181" w:beforeLines="50" w:after="160" w:line="400" w:lineRule="exact"/>
              <w:ind w:firstLine="0" w:firstLineChars="0"/>
              <w:jc w:val="both"/>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(第一标段：3680000.00元，第二标段：1480000.00元）</w:t>
            </w:r>
          </w:p>
          <w:p>
            <w:pPr>
              <w:pStyle w:val="100"/>
              <w:spacing w:before="181" w:beforeLines="50" w:after="160" w:line="400" w:lineRule="exact"/>
              <w:ind w:firstLine="0" w:firstLineChars="0"/>
              <w:rPr>
                <w:rFonts w:hint="default" w:ascii="仿宋_GB2312" w:hAnsi="宋体" w:eastAsia="仿宋_GB2312" w:cs="Times New Roman"/>
                <w:kern w:val="2"/>
                <w:sz w:val="24"/>
                <w:szCs w:val="24"/>
                <w:highlight w:val="none"/>
                <w:lang w:val="en-US" w:eastAsia="zh-CN" w:bidi="ar-SA"/>
              </w:rPr>
            </w:pPr>
            <w:r>
              <w:rPr>
                <w:rFonts w:hint="eastAsia" w:ascii="仿宋_GB2312" w:eastAsia="仿宋_GB2312" w:cs="Times New Roman"/>
                <w:sz w:val="24"/>
                <w:szCs w:val="24"/>
                <w:highlight w:val="none"/>
                <w:lang w:val="en-US" w:eastAsia="zh-CN" w:bidi="ar-SA"/>
              </w:rPr>
              <w:t>*</w:t>
            </w:r>
            <w:r>
              <w:rPr>
                <w:rFonts w:hint="eastAsia" w:ascii="仿宋_GB2312" w:eastAsia="仿宋_GB2312" w:cs="Times New Roman"/>
                <w:sz w:val="24"/>
                <w:szCs w:val="24"/>
                <w:highlight w:val="none"/>
                <w:lang w:val="en-US" w:eastAsia="en-US" w:bidi="ar-SA"/>
              </w:rPr>
              <w:t>分包：</w:t>
            </w:r>
            <w:r>
              <w:rPr>
                <w:rFonts w:hint="eastAsia" w:ascii="仿宋_GB2312" w:hAnsi="宋体" w:eastAsia="仿宋_GB2312" w:cs="Times New Roman"/>
                <w:kern w:val="2"/>
                <w:sz w:val="24"/>
                <w:szCs w:val="24"/>
                <w:highlight w:val="none"/>
                <w:lang w:val="en-US" w:eastAsia="zh-CN" w:bidi="ar-SA"/>
              </w:rPr>
              <w:t>否允许分包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2.3</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*最高限价：第一标段：3680000.00元，第二标段：1480000.00元，超过此限价的投标报价，视为无效报价，作无效投标处理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6.1</w:t>
            </w:r>
          </w:p>
        </w:tc>
        <w:tc>
          <w:tcPr>
            <w:tcW w:w="7729" w:type="dxa"/>
            <w:vAlign w:val="center"/>
          </w:tcPr>
          <w:p>
            <w:pPr>
              <w:pStyle w:val="100"/>
              <w:spacing w:line="398"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采购文件的澄清与修改：投标截止时间15日前，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6.2</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采购人不统一组织标前答疑会，各投标人如有问题，请将需要解答的问题以 书面形式通知采购人，采购人予以回复。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8.1</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如投标人对多个包进行投标，只可以中一个标/包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11</w:t>
            </w:r>
          </w:p>
        </w:tc>
        <w:tc>
          <w:tcPr>
            <w:tcW w:w="7729" w:type="dxa"/>
            <w:vAlign w:val="center"/>
          </w:tcPr>
          <w:p>
            <w:pPr>
              <w:spacing w:line="400" w:lineRule="exact"/>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bidi="ar-SA"/>
              </w:rPr>
              <w:t>12</w:t>
            </w:r>
            <w:r>
              <w:rPr>
                <w:rFonts w:hint="eastAsia" w:ascii="仿宋_GB2312" w:hAnsi="宋体" w:eastAsia="仿宋_GB2312" w:cs="Times New Roman"/>
                <w:sz w:val="24"/>
                <w:szCs w:val="24"/>
                <w:highlight w:val="none"/>
                <w:lang w:val="en-US" w:eastAsia="zh-CN" w:bidi="ar-SA"/>
              </w:rPr>
              <w:t>.1</w:t>
            </w:r>
          </w:p>
        </w:tc>
        <w:tc>
          <w:tcPr>
            <w:tcW w:w="7729" w:type="dxa"/>
            <w:vAlign w:val="center"/>
          </w:tcPr>
          <w:p>
            <w:pPr>
              <w:pStyle w:val="100"/>
              <w:keepNext w:val="0"/>
              <w:keepLines w:val="0"/>
              <w:pageBreakBefore w:val="0"/>
              <w:widowControl w:val="0"/>
              <w:kinsoku/>
              <w:wordWrap/>
              <w:overflowPunct/>
              <w:topLinePunct w:val="0"/>
              <w:autoSpaceDE/>
              <w:autoSpaceDN/>
              <w:bidi w:val="0"/>
              <w:adjustRightInd/>
              <w:snapToGrid/>
              <w:spacing w:before="181" w:beforeLines="50" w:after="160"/>
              <w:ind w:firstLine="0" w:firstLineChars="0"/>
              <w:jc w:val="both"/>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*投标保证金金额：</w:t>
            </w:r>
          </w:p>
          <w:p>
            <w:pPr>
              <w:pStyle w:val="100"/>
              <w:keepNext w:val="0"/>
              <w:keepLines w:val="0"/>
              <w:pageBreakBefore w:val="0"/>
              <w:widowControl w:val="0"/>
              <w:kinsoku/>
              <w:wordWrap/>
              <w:overflowPunct/>
              <w:topLinePunct w:val="0"/>
              <w:autoSpaceDE/>
              <w:autoSpaceDN/>
              <w:bidi w:val="0"/>
              <w:adjustRightInd/>
              <w:snapToGrid/>
              <w:spacing w:before="181" w:beforeLines="50" w:after="160"/>
              <w:ind w:firstLine="0" w:firstLineChars="0"/>
              <w:jc w:val="both"/>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第一标段 66200.00 元（大写：陆万陆仟贰佰元整）</w:t>
            </w:r>
          </w:p>
          <w:p>
            <w:pPr>
              <w:pStyle w:val="100"/>
              <w:keepNext w:val="0"/>
              <w:keepLines w:val="0"/>
              <w:pageBreakBefore w:val="0"/>
              <w:widowControl w:val="0"/>
              <w:kinsoku/>
              <w:wordWrap/>
              <w:overflowPunct/>
              <w:topLinePunct w:val="0"/>
              <w:autoSpaceDE/>
              <w:autoSpaceDN/>
              <w:bidi w:val="0"/>
              <w:adjustRightInd/>
              <w:snapToGrid/>
              <w:spacing w:before="181" w:beforeLines="50" w:after="160"/>
              <w:ind w:firstLine="0" w:firstLineChars="0"/>
              <w:jc w:val="both"/>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第二标段 26000.00元（大写：贰万陆仟元整）</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根据中华人民共和国政府采购实施条例第三十三条规定采购文件要求供应商提交投标保证金的，投标保证金不得超过采购项目预算金额的2%。</w:t>
            </w:r>
          </w:p>
          <w:p>
            <w:pPr>
              <w:spacing w:line="400" w:lineRule="exact"/>
              <w:rPr>
                <w:rFonts w:hint="eastAsia" w:ascii="仿宋_GB2312" w:hAnsi="宋体" w:eastAsia="仿宋_GB2312" w:cs="Times New Roman"/>
                <w:b/>
                <w:bCs/>
                <w:kern w:val="2"/>
                <w:sz w:val="24"/>
                <w:szCs w:val="24"/>
                <w:highlight w:val="none"/>
                <w:lang w:val="en-US" w:eastAsia="zh-CN" w:bidi="ar-SA"/>
              </w:rPr>
            </w:pPr>
            <w:r>
              <w:rPr>
                <w:rFonts w:hint="eastAsia" w:ascii="仿宋_GB2312" w:hAnsi="宋体" w:eastAsia="仿宋_GB2312" w:cs="Times New Roman"/>
                <w:b/>
                <w:bCs/>
                <w:kern w:val="2"/>
                <w:sz w:val="24"/>
                <w:szCs w:val="24"/>
                <w:highlight w:val="none"/>
                <w:lang w:val="en-US" w:eastAsia="zh-CN" w:bidi="ar-SA"/>
              </w:rPr>
              <w:t>1、投标保证金应当保函等非现金形式提交银行保函或保单保函：（根据招投标系统平台推荐的选择其中一种可以缴纳投标保证金的平台）</w:t>
            </w:r>
          </w:p>
          <w:p>
            <w:pPr>
              <w:spacing w:line="400" w:lineRule="exact"/>
              <w:rPr>
                <w:rFonts w:hint="eastAsia"/>
                <w:lang w:val="en-US" w:eastAsia="zh-CN"/>
              </w:rPr>
            </w:pPr>
            <w:r>
              <w:rPr>
                <w:rFonts w:hint="eastAsia" w:ascii="仿宋_GB2312" w:hAnsi="宋体" w:eastAsia="仿宋_GB2312" w:cs="Times New Roman"/>
                <w:b/>
                <w:bCs/>
                <w:kern w:val="2"/>
                <w:sz w:val="24"/>
                <w:szCs w:val="24"/>
                <w:highlight w:val="none"/>
                <w:lang w:val="en-US" w:eastAsia="zh-CN" w:bidi="ar-SA"/>
              </w:rPr>
              <w:t xml:space="preserve">2、供应商在编制投标文件时，将提交投标保证金的相关凭证复印件封装在投标文件指定位置；原件带到开标现场备查。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12.2</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（1）投标人不得对招标文件格式中的内容进行删减或修改。</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（3）按投标文件格式在空格（下划线）由投标人填写的内容，确实没有需要填写的，可以在空格中用“/”标示，也可以不填（空白）。</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（4）投标文件应对招标文件提出的所有实质性要求和条件作出实质性响应，并且实质性响应的内容不得互相矛盾。</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（5）投标文件应内容完整，字迹清晰可辨。</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（6）投标文件所附证明应完整并清晰可辨。所附证明内容不完整或字迹、印章模糊的，评审委员会应要求投标人提供原件核验。如不能提供原件核验的按无效标处理。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13.1</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投标有效期：90日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14.1</w:t>
            </w:r>
          </w:p>
        </w:tc>
        <w:tc>
          <w:tcPr>
            <w:tcW w:w="7729" w:type="dxa"/>
            <w:vAlign w:val="center"/>
          </w:tcPr>
          <w:p>
            <w:pPr>
              <w:spacing w:line="400" w:lineRule="exact"/>
              <w:ind w:left="0" w:leftChars="0" w:firstLine="0" w:firstLineChars="0"/>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w:t>
            </w:r>
            <w:r>
              <w:rPr>
                <w:rFonts w:hint="eastAsia" w:ascii="仿宋_GB2312" w:hAnsi="宋体" w:eastAsia="仿宋_GB2312" w:cs="Times New Roman"/>
                <w:kern w:val="2"/>
                <w:sz w:val="24"/>
                <w:szCs w:val="24"/>
                <w:highlight w:val="none"/>
                <w:lang w:val="zh-CN" w:eastAsia="zh-CN" w:bidi="ar-SA"/>
              </w:rPr>
              <w:t>关于投标单位委托代理人的要求及开投标人的法定代表人或其委托代理人</w:t>
            </w:r>
            <w:r>
              <w:rPr>
                <w:rFonts w:hint="eastAsia" w:ascii="仿宋_GB2312" w:hAnsi="宋体" w:eastAsia="仿宋_GB2312" w:cs="Times New Roman"/>
                <w:kern w:val="2"/>
                <w:sz w:val="24"/>
                <w:szCs w:val="24"/>
                <w:highlight w:val="none"/>
                <w:lang w:val="en-US" w:eastAsia="zh-CN" w:bidi="ar-SA"/>
              </w:rPr>
              <w:t>需</w:t>
            </w:r>
            <w:r>
              <w:rPr>
                <w:rFonts w:hint="eastAsia" w:ascii="仿宋_GB2312" w:hAnsi="宋体" w:eastAsia="仿宋_GB2312" w:cs="Times New Roman"/>
                <w:kern w:val="2"/>
                <w:sz w:val="24"/>
                <w:szCs w:val="24"/>
                <w:highlight w:val="none"/>
                <w:lang w:val="zh-CN" w:eastAsia="zh-CN" w:bidi="ar-SA"/>
              </w:rPr>
              <w:t>携本人身份证参加开标会，并在开标相关程序中向监督人员出示本人身份证，以证明其出席。</w:t>
            </w:r>
            <w:r>
              <w:rPr>
                <w:rFonts w:hint="eastAsia" w:ascii="仿宋_GB2312" w:hAnsi="宋体" w:eastAsia="仿宋_GB2312" w:cs="Times New Roman"/>
                <w:kern w:val="2"/>
                <w:sz w:val="24"/>
                <w:szCs w:val="24"/>
                <w:highlight w:val="none"/>
                <w:lang w:val="en-US" w:eastAsia="zh-CN" w:bidi="ar-SA"/>
              </w:rPr>
              <w:t>2、</w:t>
            </w:r>
            <w:r>
              <w:rPr>
                <w:rFonts w:hint="eastAsia" w:ascii="仿宋_GB2312" w:hAnsi="宋体" w:eastAsia="仿宋_GB2312" w:cs="Times New Roman"/>
                <w:kern w:val="2"/>
                <w:sz w:val="24"/>
                <w:szCs w:val="24"/>
                <w:highlight w:val="none"/>
                <w:lang w:val="zh-CN" w:eastAsia="zh-CN" w:bidi="ar-SA"/>
              </w:rPr>
              <w:t>投标人的法定代表人或其委托代理人</w:t>
            </w:r>
            <w:r>
              <w:rPr>
                <w:rFonts w:hint="eastAsia" w:ascii="仿宋_GB2312" w:hAnsi="宋体" w:eastAsia="仿宋_GB2312" w:cs="Times New Roman"/>
                <w:kern w:val="2"/>
                <w:sz w:val="24"/>
                <w:szCs w:val="24"/>
                <w:highlight w:val="none"/>
                <w:lang w:val="en-US" w:eastAsia="zh-CN" w:bidi="ar-SA"/>
              </w:rPr>
              <w:t>需</w:t>
            </w:r>
            <w:r>
              <w:rPr>
                <w:rFonts w:hint="eastAsia" w:ascii="仿宋_GB2312" w:hAnsi="宋体" w:eastAsia="仿宋_GB2312" w:cs="Times New Roman"/>
                <w:kern w:val="2"/>
                <w:sz w:val="24"/>
                <w:szCs w:val="24"/>
                <w:highlight w:val="none"/>
                <w:lang w:val="zh-CN" w:eastAsia="zh-CN" w:bidi="ar-SA"/>
              </w:rPr>
              <w:t>携</w:t>
            </w:r>
            <w:r>
              <w:rPr>
                <w:rFonts w:hint="eastAsia" w:ascii="仿宋_GB2312" w:hAnsi="宋体" w:eastAsia="仿宋_GB2312" w:cs="Times New Roman"/>
                <w:kern w:val="2"/>
                <w:sz w:val="24"/>
                <w:szCs w:val="24"/>
                <w:highlight w:val="none"/>
                <w:lang w:val="en-US" w:eastAsia="zh-CN" w:bidi="ar-SA"/>
              </w:rPr>
              <w:t>带笔记本电脑及CA，以便对上传的投标文件进行解密。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15</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1）因西藏自治区公共资源交易平台在项目进场登记时会在系统内自动生成一个登记编号，投标人在编制投标文件时以招标文件内的项目编号：为准。</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2）采购人、采购代理机构对招标文件进行必要的澄清或者修改，澄清或者修改的内容为招标文件的组成部分，因在西藏自治区公共资源交易网进行采购相关工作，无法得知各潜在投标人的名单和联系方式，故本项目相关澄清、更正、终止等信息无法以书面形式通知所有获取招标文件的潜在投标人。请各潜在投标人及时关注“中国政府采购网”、“西藏自治区公共资源交易网”“西藏自治区交通运输厅”等相关平台，如未获取到相关澄清、更正、终止等信息造成的后果由各潜在投标人自行承担。</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3）对不按《中华人民共和国政府采购法》及相关法律法规的规定提出质疑且提出质疑内容经核实属于虚假的，影响采购周期和效率，将列入西藏自治区政府采购不良企业黑名单记录，在三年内禁止参与政府采购项目。</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4）为避免恶意低价竞争，评审委员会认为供应商的报价明显低于其他通过符合性审查供应商的报价，有可能影响产品质量或者不能诚信履约的，应当要求其在评审现场合理的时间内提供书面说明，供应商书面说明应当按照国家财务会计制度的规定要求，逐项就供应商提供的货物、工程或者服务的主营业务成本（应根据供应商企业类型予以区别）、税金及附加、销售费用、管理费用、财务费用等成本构成事项详细陈述；供应商不能证明其报价合理性的，评审委员会应当将其作为无效响应处理。供应商须准备好报价证明材料，如评审委员会要求其提供报价合理性解释证明材料时，须在评审现场30分钟内完成提供，如不能提供，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16.1</w:t>
            </w:r>
          </w:p>
        </w:tc>
        <w:tc>
          <w:tcPr>
            <w:tcW w:w="77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w:t>
            </w:r>
            <w:r>
              <w:rPr>
                <w:rFonts w:hint="eastAsia" w:ascii="仿宋_GB2312" w:hAnsi="宋体" w:eastAsia="仿宋_GB2312" w:cs="Times New Roman"/>
                <w:kern w:val="2"/>
                <w:sz w:val="24"/>
                <w:szCs w:val="24"/>
                <w:highlight w:val="none"/>
                <w:lang w:val="zh-CN" w:eastAsia="zh-CN" w:bidi="ar-SA"/>
              </w:rPr>
              <w:t>电子招投标流程注意事项：</w:t>
            </w:r>
            <w:r>
              <w:rPr>
                <w:rFonts w:hint="eastAsia" w:ascii="仿宋_GB2312" w:hAnsi="宋体" w:eastAsia="仿宋_GB2312" w:cs="Times New Roman"/>
                <w:kern w:val="2"/>
                <w:sz w:val="24"/>
                <w:szCs w:val="24"/>
                <w:highlight w:val="none"/>
                <w:lang w:val="en-US" w:eastAsia="zh-CN" w:bidi="ar-SA"/>
              </w:rPr>
              <w:t>各潜在投标人应在西藏自治区公共资源交易网（http://ggzy.xizang.gov.cn/）进行单位注册、完善资料等工作，并依照西藏自治区公共资源交易网相关要求办理 CA（数字证书），以便完成获取招标文件、投标等相关操作。各项操作及规范以西藏自治区公共资源交易网及其交易平台（系统） 要求为准，如遇网站、系统平台、CA 等相关问题请按照西藏自治区公共资源交易平台联系方式（http://ggzy.xizang.gov.cn/fwzxlx/33175.jhtml）进行咨询。</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 xml:space="preserve">1.本项目采用电子评标（网上评标），只对电子投标文件进行评审，如在评标过程中出现意外情况导致无法继续进行电子评标时，改为非加密电子投标文件评标。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2.定义：（1）电子投标文件是指</w:t>
            </w:r>
            <w:r>
              <w:rPr>
                <w:rFonts w:hint="eastAsia" w:ascii="仿宋_GB2312" w:hAnsi="宋体" w:eastAsia="仿宋_GB2312" w:cs="Times New Roman"/>
                <w:kern w:val="2"/>
                <w:sz w:val="24"/>
                <w:szCs w:val="24"/>
                <w:highlight w:val="none"/>
                <w:lang w:val="en-US" w:eastAsia="zh-CN" w:bidi="ar-SA"/>
              </w:rPr>
              <w:t>内容</w:t>
            </w:r>
            <w:r>
              <w:rPr>
                <w:rFonts w:hint="eastAsia" w:ascii="仿宋_GB2312" w:hAnsi="宋体" w:eastAsia="仿宋_GB2312" w:cs="Times New Roman"/>
                <w:kern w:val="2"/>
                <w:sz w:val="24"/>
                <w:szCs w:val="24"/>
                <w:highlight w:val="none"/>
                <w:lang w:val="zh-CN" w:eastAsia="zh-CN" w:bidi="ar-SA"/>
              </w:rPr>
              <w:t>与上传的电子投标文件一致的投标文件。在电子投标文件中，涉及“</w:t>
            </w:r>
            <w:r>
              <w:rPr>
                <w:rFonts w:hint="eastAsia" w:ascii="仿宋_GB2312" w:hAnsi="宋体" w:eastAsia="仿宋_GB2312" w:cs="Times New Roman"/>
                <w:kern w:val="2"/>
                <w:sz w:val="24"/>
                <w:szCs w:val="24"/>
                <w:highlight w:val="none"/>
                <w:lang w:val="en-US" w:eastAsia="zh-CN" w:bidi="ar-SA"/>
              </w:rPr>
              <w:t>签字</w:t>
            </w:r>
            <w:r>
              <w:rPr>
                <w:rFonts w:hint="eastAsia" w:ascii="仿宋_GB2312" w:hAnsi="宋体" w:eastAsia="仿宋_GB2312" w:cs="Times New Roman"/>
                <w:kern w:val="2"/>
                <w:sz w:val="24"/>
                <w:szCs w:val="24"/>
                <w:highlight w:val="none"/>
                <w:lang w:val="zh-CN" w:eastAsia="zh-CN" w:bidi="ar-SA"/>
              </w:rPr>
              <w:t>”的内容</w:t>
            </w:r>
            <w:r>
              <w:rPr>
                <w:rFonts w:hint="eastAsia" w:ascii="仿宋_GB2312" w:hAnsi="宋体" w:eastAsia="仿宋_GB2312" w:cs="Times New Roman"/>
                <w:kern w:val="2"/>
                <w:sz w:val="24"/>
                <w:szCs w:val="24"/>
                <w:highlight w:val="none"/>
                <w:lang w:val="en-US" w:eastAsia="zh-CN" w:bidi="ar-SA"/>
              </w:rPr>
              <w:t>请供应商将投标文件中需要签字的页面打印出来签字或西藏自治区公共资源交易平台内的电子签名，不得使用电脑打字输入，并制作成电子文件上传至系统中，否则投标文件无效</w:t>
            </w:r>
            <w:r>
              <w:rPr>
                <w:rFonts w:hint="eastAsia" w:ascii="仿宋_GB2312" w:hAnsi="宋体" w:eastAsia="仿宋_GB2312" w:cs="Times New Roman"/>
                <w:kern w:val="2"/>
                <w:sz w:val="24"/>
                <w:szCs w:val="24"/>
                <w:highlight w:val="none"/>
                <w:lang w:val="zh-CN" w:eastAsia="zh-CN" w:bidi="ar-SA"/>
              </w:rPr>
              <w:t xml:space="preserve">签字并制作成电子文件上传至电子招投标系统中。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 xml:space="preserve">（2）非加密电子版投标文件是指存储在U盘中的投标文件。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3.U盘由投标人自行刻录、存储，投标人必须保证电子存储设备能够正常读取。U盘</w:t>
            </w:r>
            <w:r>
              <w:rPr>
                <w:rFonts w:hint="eastAsia" w:ascii="仿宋_GB2312" w:hAnsi="宋体" w:eastAsia="仿宋_GB2312" w:cs="Times New Roman"/>
                <w:kern w:val="2"/>
                <w:sz w:val="24"/>
                <w:szCs w:val="24"/>
                <w:highlight w:val="none"/>
                <w:lang w:val="en-US" w:eastAsia="zh-CN" w:bidi="ar-SA"/>
              </w:rPr>
              <w:t>密封包装</w:t>
            </w:r>
            <w:r>
              <w:rPr>
                <w:rFonts w:hint="eastAsia" w:ascii="仿宋_GB2312" w:hAnsi="宋体" w:eastAsia="仿宋_GB2312" w:cs="Times New Roman"/>
                <w:kern w:val="2"/>
                <w:sz w:val="24"/>
                <w:szCs w:val="24"/>
                <w:highlight w:val="none"/>
                <w:lang w:val="zh-CN" w:eastAsia="zh-CN" w:bidi="ar-SA"/>
              </w:rPr>
              <w:t>表面应简要载明项目名称</w:t>
            </w:r>
            <w:r>
              <w:rPr>
                <w:rFonts w:hint="eastAsia" w:ascii="仿宋_GB2312" w:hAnsi="宋体" w:eastAsia="仿宋_GB2312" w:cs="Times New Roman"/>
                <w:kern w:val="2"/>
                <w:sz w:val="24"/>
                <w:szCs w:val="24"/>
                <w:highlight w:val="none"/>
                <w:lang w:val="en-US" w:eastAsia="zh-CN" w:bidi="ar-SA"/>
              </w:rPr>
              <w:t>、</w:t>
            </w:r>
            <w:r>
              <w:rPr>
                <w:rFonts w:hint="eastAsia" w:ascii="仿宋_GB2312" w:hAnsi="宋体" w:eastAsia="仿宋_GB2312" w:cs="Times New Roman"/>
                <w:kern w:val="2"/>
                <w:sz w:val="24"/>
                <w:szCs w:val="24"/>
                <w:highlight w:val="none"/>
                <w:lang w:val="zh-CN" w:eastAsia="zh-CN" w:bidi="ar-SA"/>
              </w:rPr>
              <w:t xml:space="preserve">投标单位名称等信息。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 xml:space="preserve">4.投标人应当按照本招标公告载明的时间参加开标。开标时，投标人应当使用CA锁在规定的时间内完成投标文件在线解密。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 xml:space="preserve">5.开标时出现下列情况的，将视为逾期送达或者未按照招标文件要求密封的投标文件，采购人、采购代理机构应当拒收。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w:t>
            </w:r>
            <w:r>
              <w:rPr>
                <w:rFonts w:hint="eastAsia" w:ascii="仿宋_GB2312" w:hAnsi="宋体" w:eastAsia="仿宋_GB2312" w:cs="Times New Roman"/>
                <w:kern w:val="2"/>
                <w:sz w:val="24"/>
                <w:szCs w:val="24"/>
                <w:highlight w:val="none"/>
                <w:lang w:val="en-US" w:eastAsia="zh-CN" w:bidi="ar-SA"/>
              </w:rPr>
              <w:t>1</w:t>
            </w:r>
            <w:r>
              <w:rPr>
                <w:rFonts w:hint="eastAsia" w:ascii="仿宋_GB2312" w:hAnsi="宋体" w:eastAsia="仿宋_GB2312" w:cs="Times New Roman"/>
                <w:kern w:val="2"/>
                <w:sz w:val="24"/>
                <w:szCs w:val="24"/>
                <w:highlight w:val="none"/>
                <w:lang w:val="zh-CN" w:eastAsia="zh-CN" w:bidi="ar-SA"/>
              </w:rPr>
              <w:t xml:space="preserve">）投标人的法定代表人或其委托代理人未在规定时间内完成电子投标文件在线解密。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w:t>
            </w:r>
            <w:r>
              <w:rPr>
                <w:rFonts w:hint="eastAsia" w:ascii="仿宋_GB2312" w:hAnsi="宋体" w:eastAsia="仿宋_GB2312" w:cs="Times New Roman"/>
                <w:kern w:val="2"/>
                <w:sz w:val="24"/>
                <w:szCs w:val="24"/>
                <w:highlight w:val="none"/>
                <w:lang w:val="en-US" w:eastAsia="zh-CN" w:bidi="ar-SA"/>
              </w:rPr>
              <w:t>2</w:t>
            </w:r>
            <w:r>
              <w:rPr>
                <w:rFonts w:hint="eastAsia" w:ascii="仿宋_GB2312" w:hAnsi="宋体" w:eastAsia="仿宋_GB2312" w:cs="Times New Roman"/>
                <w:kern w:val="2"/>
                <w:sz w:val="24"/>
                <w:szCs w:val="24"/>
                <w:highlight w:val="none"/>
                <w:lang w:val="zh-CN" w:eastAsia="zh-CN" w:bidi="ar-SA"/>
              </w:rPr>
              <w:t xml:space="preserve">）经检查数字证书无效的投标文件。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w:t>
            </w:r>
            <w:r>
              <w:rPr>
                <w:rFonts w:hint="eastAsia" w:ascii="仿宋_GB2312" w:hAnsi="宋体" w:eastAsia="仿宋_GB2312" w:cs="Times New Roman"/>
                <w:kern w:val="2"/>
                <w:sz w:val="24"/>
                <w:szCs w:val="24"/>
                <w:highlight w:val="none"/>
                <w:lang w:val="en-US" w:eastAsia="zh-CN" w:bidi="ar-SA"/>
              </w:rPr>
              <w:t>3</w:t>
            </w:r>
            <w:r>
              <w:rPr>
                <w:rFonts w:hint="eastAsia" w:ascii="仿宋_GB2312" w:hAnsi="宋体" w:eastAsia="仿宋_GB2312" w:cs="Times New Roman"/>
                <w:kern w:val="2"/>
                <w:sz w:val="24"/>
                <w:szCs w:val="24"/>
                <w:highlight w:val="none"/>
                <w:lang w:val="zh-CN" w:eastAsia="zh-CN" w:bidi="ar-SA"/>
              </w:rPr>
              <w:t xml:space="preserve">）投标人的法定代表人或其委托代理人自身原因造成电子投标文件未能解密的。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w:t>
            </w:r>
            <w:r>
              <w:rPr>
                <w:rFonts w:hint="eastAsia" w:ascii="仿宋_GB2312" w:hAnsi="宋体" w:eastAsia="仿宋_GB2312" w:cs="Times New Roman"/>
                <w:kern w:val="2"/>
                <w:sz w:val="24"/>
                <w:szCs w:val="24"/>
                <w:highlight w:val="none"/>
                <w:lang w:val="en-US" w:eastAsia="zh-CN" w:bidi="ar-SA"/>
              </w:rPr>
              <w:t>4</w:t>
            </w:r>
            <w:r>
              <w:rPr>
                <w:rFonts w:hint="eastAsia" w:ascii="仿宋_GB2312" w:hAnsi="宋体" w:eastAsia="仿宋_GB2312" w:cs="Times New Roman"/>
                <w:kern w:val="2"/>
                <w:sz w:val="24"/>
                <w:szCs w:val="24"/>
                <w:highlight w:val="none"/>
                <w:lang w:val="zh-CN" w:eastAsia="zh-CN" w:bidi="ar-SA"/>
              </w:rPr>
              <w:t xml:space="preserve">）开标现场无法使用系统进行电子开评标时，投标人未按招标文件要求提供非加密电子版投标文件的。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zh-CN" w:eastAsia="zh-CN" w:bidi="ar-SA"/>
              </w:rPr>
            </w:pPr>
            <w:r>
              <w:rPr>
                <w:rFonts w:hint="eastAsia" w:ascii="仿宋_GB2312" w:hAnsi="宋体" w:eastAsia="仿宋_GB2312" w:cs="Times New Roman"/>
                <w:kern w:val="2"/>
                <w:sz w:val="24"/>
                <w:szCs w:val="24"/>
                <w:highlight w:val="none"/>
                <w:lang w:val="zh-CN" w:eastAsia="zh-CN" w:bidi="ar-SA"/>
              </w:rPr>
              <w:t>6.本项目的投标人的法定代表人或其委托代理人必须在开始开标后</w:t>
            </w:r>
            <w:r>
              <w:rPr>
                <w:rFonts w:hint="eastAsia" w:ascii="仿宋_GB2312" w:hAnsi="宋体" w:eastAsia="仿宋_GB2312" w:cs="Times New Roman"/>
                <w:kern w:val="2"/>
                <w:sz w:val="24"/>
                <w:szCs w:val="24"/>
                <w:highlight w:val="none"/>
                <w:lang w:val="en-US" w:eastAsia="zh-CN" w:bidi="ar-SA"/>
              </w:rPr>
              <w:t>按照要求</w:t>
            </w:r>
            <w:r>
              <w:rPr>
                <w:rFonts w:hint="eastAsia" w:ascii="仿宋_GB2312" w:hAnsi="宋体" w:eastAsia="仿宋_GB2312" w:cs="Times New Roman"/>
                <w:kern w:val="2"/>
                <w:sz w:val="24"/>
                <w:szCs w:val="24"/>
                <w:highlight w:val="none"/>
                <w:lang w:val="zh-CN" w:eastAsia="zh-CN" w:bidi="ar-SA"/>
              </w:rPr>
              <w:t>完成所投全部标段的电子投标文件在线解密。投标人的法定代表人或其委托代理人必须保证在规定时间内完成全部标段的电子投标文件解密。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7.</w:t>
            </w:r>
            <w:r>
              <w:rPr>
                <w:rFonts w:hint="eastAsia" w:ascii="仿宋_GB2312" w:hAnsi="宋体" w:eastAsia="仿宋_GB2312" w:cs="Times New Roman"/>
                <w:kern w:val="2"/>
                <w:sz w:val="24"/>
                <w:szCs w:val="24"/>
                <w:highlight w:val="none"/>
                <w:lang w:val="zh-CN" w:eastAsia="zh-CN" w:bidi="ar-SA"/>
              </w:rPr>
              <w:t xml:space="preserve"> </w:t>
            </w:r>
            <w:r>
              <w:rPr>
                <w:rFonts w:hint="eastAsia" w:ascii="仿宋_GB2312" w:hAnsi="宋体" w:eastAsia="仿宋_GB2312" w:cs="Times New Roman"/>
                <w:kern w:val="2"/>
                <w:sz w:val="24"/>
                <w:szCs w:val="24"/>
                <w:highlight w:val="none"/>
                <w:lang w:val="en-US" w:eastAsia="zh-CN" w:bidi="ar-SA"/>
              </w:rPr>
              <w:t xml:space="preserve">本项目无需提交纸质投标文件，如下文与本条要求有冲突之处，以本条要求为准。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17</w:t>
            </w:r>
          </w:p>
        </w:tc>
        <w:tc>
          <w:tcPr>
            <w:tcW w:w="7729" w:type="dxa"/>
            <w:vAlign w:val="center"/>
          </w:tcPr>
          <w:p>
            <w:pPr>
              <w:spacing w:line="400" w:lineRule="exact"/>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是否退还投标文件：否（投标截止时间提交投标文件供应商不足3家的，退还投标文件）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bidi="ar-SA"/>
              </w:rPr>
              <w:t>18.1</w:t>
            </w:r>
            <w:r>
              <w:rPr>
                <w:rFonts w:hint="eastAsia" w:ascii="仿宋_GB2312" w:hAnsi="宋体" w:eastAsia="仿宋_GB2312" w:cs="Times New Roman"/>
                <w:sz w:val="24"/>
                <w:szCs w:val="24"/>
                <w:highlight w:val="none"/>
                <w:lang w:val="en-US" w:eastAsia="zh-CN" w:bidi="ar-SA"/>
              </w:rPr>
              <w:t>.1</w:t>
            </w:r>
          </w:p>
        </w:tc>
        <w:tc>
          <w:tcPr>
            <w:tcW w:w="7729" w:type="dxa"/>
            <w:vAlign w:val="center"/>
          </w:tcPr>
          <w:p>
            <w:pPr>
              <w:spacing w:line="400" w:lineRule="exact"/>
              <w:rPr>
                <w:rFonts w:hint="eastAsia" w:ascii="仿宋_GB2312" w:hAnsi="宋体" w:eastAsia="仿宋_GB2312" w:cs="Times New Roman"/>
                <w:sz w:val="24"/>
                <w:szCs w:val="24"/>
                <w:highlight w:val="none"/>
                <w:u w:val="none"/>
                <w:lang w:val="en-US" w:eastAsia="zh-CN" w:bidi="ar-SA"/>
              </w:rPr>
            </w:pPr>
            <w:r>
              <w:rPr>
                <w:rFonts w:hint="eastAsia" w:ascii="仿宋_GB2312" w:hAnsi="宋体" w:eastAsia="仿宋_GB2312" w:cs="Times New Roman"/>
                <w:kern w:val="2"/>
                <w:sz w:val="24"/>
                <w:szCs w:val="24"/>
                <w:highlight w:val="none"/>
                <w:lang w:val="en-US" w:eastAsia="zh-CN" w:bidi="ar-SA"/>
              </w:rPr>
              <w:t>开标时间：2022</w:t>
            </w:r>
            <w:r>
              <w:rPr>
                <w:rFonts w:hint="eastAsia" w:ascii="仿宋_GB2312" w:hAnsi="宋体" w:eastAsia="仿宋_GB2312" w:cs="Times New Roman"/>
                <w:sz w:val="24"/>
                <w:szCs w:val="24"/>
                <w:highlight w:val="none"/>
                <w:u w:val="none"/>
                <w:lang w:bidi="ar-SA"/>
              </w:rPr>
              <w:t xml:space="preserve">年 </w:t>
            </w:r>
            <w:r>
              <w:rPr>
                <w:rFonts w:hint="eastAsia" w:ascii="仿宋_GB2312" w:hAnsi="宋体" w:eastAsia="仿宋_GB2312" w:cs="Times New Roman"/>
                <w:sz w:val="24"/>
                <w:szCs w:val="24"/>
                <w:highlight w:val="none"/>
                <w:u w:val="none"/>
                <w:lang w:val="en-US" w:eastAsia="zh-CN" w:bidi="ar-SA"/>
              </w:rPr>
              <w:t>7</w:t>
            </w:r>
            <w:r>
              <w:rPr>
                <w:rFonts w:hint="eastAsia" w:ascii="仿宋_GB2312" w:hAnsi="宋体" w:eastAsia="仿宋_GB2312" w:cs="Times New Roman"/>
                <w:sz w:val="24"/>
                <w:szCs w:val="24"/>
                <w:highlight w:val="none"/>
                <w:u w:val="none"/>
                <w:lang w:bidi="ar-SA"/>
              </w:rPr>
              <w:t xml:space="preserve"> 月 </w:t>
            </w:r>
            <w:r>
              <w:rPr>
                <w:rFonts w:hint="eastAsia" w:ascii="仿宋_GB2312" w:hAnsi="宋体" w:eastAsia="仿宋_GB2312" w:cs="Times New Roman"/>
                <w:sz w:val="24"/>
                <w:szCs w:val="24"/>
                <w:highlight w:val="none"/>
                <w:u w:val="none"/>
                <w:lang w:val="en-US" w:eastAsia="zh-CN" w:bidi="ar-SA"/>
              </w:rPr>
              <w:t>6</w:t>
            </w:r>
            <w:r>
              <w:rPr>
                <w:rFonts w:hint="eastAsia" w:ascii="仿宋_GB2312" w:hAnsi="宋体" w:eastAsia="仿宋_GB2312" w:cs="Times New Roman"/>
                <w:sz w:val="24"/>
                <w:szCs w:val="24"/>
                <w:highlight w:val="none"/>
                <w:u w:val="none"/>
                <w:lang w:bidi="ar-SA"/>
              </w:rPr>
              <w:t xml:space="preserve"> 日</w:t>
            </w:r>
            <w:r>
              <w:rPr>
                <w:rFonts w:hint="eastAsia" w:ascii="仿宋_GB2312" w:hAnsi="宋体" w:eastAsia="仿宋_GB2312" w:cs="Times New Roman"/>
                <w:sz w:val="24"/>
                <w:szCs w:val="24"/>
                <w:highlight w:val="none"/>
                <w:u w:val="none"/>
                <w:lang w:val="en-US" w:eastAsia="zh-CN" w:bidi="ar-SA"/>
              </w:rPr>
              <w:t xml:space="preserve"> 11 时 40 分</w:t>
            </w:r>
            <w:bookmarkStart w:id="93" w:name="_GoBack"/>
            <w:bookmarkEnd w:id="93"/>
          </w:p>
          <w:p>
            <w:pPr>
              <w:spacing w:line="400" w:lineRule="exact"/>
              <w:rPr>
                <w:rFonts w:hint="eastAsia" w:ascii="仿宋_GB2312" w:hAnsi="宋体" w:eastAsia="仿宋_GB2312" w:cs="Times New Roman"/>
                <w:sz w:val="24"/>
                <w:szCs w:val="24"/>
                <w:highlight w:val="none"/>
                <w:lang w:bidi="ar-SA"/>
              </w:rPr>
            </w:pPr>
            <w:r>
              <w:rPr>
                <w:rFonts w:hint="eastAsia" w:ascii="仿宋_GB2312" w:hAnsi="宋体" w:eastAsia="仿宋_GB2312" w:cs="Times New Roman"/>
                <w:kern w:val="2"/>
                <w:sz w:val="24"/>
                <w:szCs w:val="24"/>
                <w:highlight w:val="none"/>
                <w:lang w:val="en-US" w:eastAsia="zh-CN" w:bidi="ar-SA"/>
              </w:rPr>
              <w:t>开标地点：</w:t>
            </w:r>
            <w:r>
              <w:rPr>
                <w:rFonts w:hint="eastAsia" w:ascii="仿宋_GB2312" w:hAnsi="宋体" w:eastAsia="仿宋_GB2312" w:cs="Times New Roman"/>
                <w:sz w:val="24"/>
                <w:szCs w:val="24"/>
                <w:highlight w:val="none"/>
                <w:lang w:val="en-US" w:eastAsia="zh-CN" w:bidi="ar-SA"/>
              </w:rPr>
              <w:t>西藏自治区公共资源交易中心</w:t>
            </w:r>
            <w:r>
              <w:rPr>
                <w:rFonts w:hint="eastAsia" w:ascii="仿宋" w:hAnsi="仿宋" w:eastAsia="仿宋" w:cs="宋体"/>
                <w:kern w:val="0"/>
                <w:sz w:val="24"/>
                <w:szCs w:val="24"/>
                <w:lang w:val="en-US" w:eastAsia="zh-CN"/>
              </w:rPr>
              <w:t>（具体开标室详见西藏自治区公共资源交易中心大厅大屏幕）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18.1.2</w:t>
            </w:r>
          </w:p>
        </w:tc>
        <w:tc>
          <w:tcPr>
            <w:tcW w:w="7729" w:type="dxa"/>
            <w:vAlign w:val="center"/>
          </w:tcPr>
          <w:p>
            <w:pPr>
              <w:pStyle w:val="100"/>
              <w:tabs>
                <w:tab w:val="left" w:pos="422"/>
              </w:tabs>
              <w:spacing w:before="181" w:beforeLines="50" w:after="181" w:afterLines="50" w:line="400" w:lineRule="exact"/>
              <w:rPr>
                <w:rFonts w:hint="eastAsia" w:ascii="仿宋_GB2312" w:eastAsia="仿宋_GB2312" w:cs="Times New Roman"/>
                <w:sz w:val="24"/>
                <w:szCs w:val="24"/>
                <w:highlight w:val="none"/>
                <w:lang w:val="en-US" w:eastAsia="zh-CN" w:bidi="ar-SA"/>
              </w:rPr>
            </w:pPr>
            <w:r>
              <w:rPr>
                <w:rFonts w:hint="eastAsia" w:ascii="仿宋_GB2312" w:eastAsia="仿宋_GB2312" w:cs="Times New Roman"/>
                <w:sz w:val="24"/>
                <w:szCs w:val="24"/>
                <w:highlight w:val="none"/>
                <w:lang w:val="en-US" w:eastAsia="zh-CN" w:bidi="ar-SA"/>
              </w:rPr>
              <w:t>（1）密封情况检查：由现场监督及各供应商代表共同检查</w:t>
            </w:r>
          </w:p>
          <w:p>
            <w:pPr>
              <w:pStyle w:val="100"/>
              <w:tabs>
                <w:tab w:val="left" w:pos="422"/>
              </w:tabs>
              <w:spacing w:before="181" w:beforeLines="50" w:after="181" w:afterLines="50" w:line="400" w:lineRule="exact"/>
              <w:rPr>
                <w:rFonts w:hint="eastAsia" w:ascii="仿宋_GB2312" w:eastAsia="仿宋_GB2312" w:cs="Times New Roman"/>
                <w:sz w:val="24"/>
                <w:szCs w:val="24"/>
                <w:highlight w:val="none"/>
                <w:lang w:val="en-US" w:eastAsia="zh-CN" w:bidi="ar-SA"/>
              </w:rPr>
            </w:pPr>
            <w:r>
              <w:rPr>
                <w:rFonts w:hint="eastAsia" w:ascii="仿宋_GB2312" w:eastAsia="仿宋_GB2312" w:cs="Times New Roman"/>
                <w:sz w:val="24"/>
                <w:szCs w:val="24"/>
                <w:highlight w:val="none"/>
                <w:lang w:val="en-US" w:eastAsia="zh-CN" w:bidi="ar-SA"/>
              </w:rPr>
              <w:t>（2）开标顺序：随机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19</w:t>
            </w:r>
          </w:p>
        </w:tc>
        <w:tc>
          <w:tcPr>
            <w:tcW w:w="7729" w:type="dxa"/>
            <w:vAlign w:val="center"/>
          </w:tcPr>
          <w:p>
            <w:pPr>
              <w:pStyle w:val="100"/>
              <w:tabs>
                <w:tab w:val="left" w:pos="422"/>
              </w:tabs>
              <w:spacing w:before="181" w:beforeLines="50" w:after="181" w:afterLines="50"/>
              <w:rPr>
                <w:rFonts w:hint="eastAsia" w:ascii="仿宋_GB2312"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评标委员会构成：</w:t>
            </w:r>
            <w:r>
              <w:rPr>
                <w:rFonts w:hint="eastAsia" w:ascii="仿宋_GB2312" w:eastAsia="仿宋_GB2312" w:cs="Times New Roman"/>
                <w:sz w:val="24"/>
                <w:szCs w:val="24"/>
                <w:highlight w:val="none"/>
                <w:lang w:val="en-US" w:eastAsia="zh-CN" w:bidi="ar-SA"/>
              </w:rPr>
              <w:t>5</w:t>
            </w:r>
            <w:r>
              <w:rPr>
                <w:rFonts w:hint="eastAsia" w:ascii="仿宋_GB2312" w:hAnsi="宋体" w:eastAsia="仿宋_GB2312" w:cs="Times New Roman"/>
                <w:sz w:val="24"/>
                <w:szCs w:val="24"/>
                <w:highlight w:val="none"/>
                <w:lang w:val="en-US" w:eastAsia="zh-CN" w:bidi="ar-SA"/>
              </w:rPr>
              <w:t>人，其中专家</w:t>
            </w:r>
            <w:r>
              <w:rPr>
                <w:rFonts w:hint="eastAsia" w:ascii="仿宋_GB2312" w:eastAsia="仿宋_GB2312" w:cs="Times New Roman"/>
                <w:sz w:val="24"/>
                <w:szCs w:val="24"/>
                <w:highlight w:val="none"/>
                <w:lang w:val="en-US" w:eastAsia="zh-CN" w:bidi="ar-SA"/>
              </w:rPr>
              <w:t>4</w:t>
            </w:r>
            <w:r>
              <w:rPr>
                <w:rFonts w:hint="eastAsia" w:ascii="仿宋_GB2312" w:hAnsi="宋体" w:eastAsia="仿宋_GB2312" w:cs="Times New Roman"/>
                <w:sz w:val="24"/>
                <w:szCs w:val="24"/>
                <w:highlight w:val="none"/>
                <w:lang w:val="en-US" w:eastAsia="zh-CN" w:bidi="ar-SA"/>
              </w:rPr>
              <w:t>人；业主代表</w:t>
            </w:r>
            <w:r>
              <w:rPr>
                <w:rFonts w:hint="eastAsia" w:ascii="仿宋_GB2312" w:eastAsia="仿宋_GB2312" w:cs="Times New Roman"/>
                <w:sz w:val="24"/>
                <w:szCs w:val="24"/>
                <w:highlight w:val="none"/>
                <w:lang w:val="en-US" w:eastAsia="zh-CN" w:bidi="ar-SA"/>
              </w:rPr>
              <w:t>1</w:t>
            </w:r>
            <w:r>
              <w:rPr>
                <w:rFonts w:hint="eastAsia" w:ascii="仿宋_GB2312" w:hAnsi="宋体" w:eastAsia="仿宋_GB2312" w:cs="Times New Roman"/>
                <w:sz w:val="24"/>
                <w:szCs w:val="24"/>
                <w:highlight w:val="none"/>
                <w:lang w:val="en-US" w:eastAsia="zh-CN" w:bidi="ar-SA"/>
              </w:rPr>
              <w:t>人；评标专家确定方式：</w:t>
            </w:r>
            <w:r>
              <w:rPr>
                <w:rFonts w:hint="eastAsia" w:ascii="仿宋_GB2312" w:eastAsia="仿宋_GB2312" w:cs="Times New Roman"/>
                <w:sz w:val="24"/>
                <w:szCs w:val="24"/>
                <w:highlight w:val="none"/>
                <w:lang w:val="en-US" w:eastAsia="zh-CN" w:bidi="ar-SA"/>
              </w:rPr>
              <w:t>依法从西藏自治区公共资源交易综合专家库中随机抽取。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20.5</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21</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*偏离：标注*的不允许偏离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23.2</w:t>
            </w:r>
          </w:p>
        </w:tc>
        <w:tc>
          <w:tcPr>
            <w:tcW w:w="7729" w:type="dxa"/>
            <w:vAlign w:val="center"/>
          </w:tcPr>
          <w:p>
            <w:pPr>
              <w:spacing w:line="400" w:lineRule="exact"/>
              <w:ind w:firstLine="0" w:firstLineChars="0"/>
              <w:rPr>
                <w:rFonts w:hint="eastAsia" w:ascii="仿宋_GB2312" w:hAnsi="宋体" w:eastAsia="仿宋_GB2312" w:cs="Times New Roman"/>
                <w:kern w:val="2"/>
                <w:sz w:val="24"/>
                <w:szCs w:val="24"/>
                <w:highlight w:val="none"/>
                <w:lang w:val="en-US" w:eastAsia="en-US" w:bidi="ar-SA"/>
              </w:rPr>
            </w:pPr>
            <w:r>
              <w:rPr>
                <w:rFonts w:hint="eastAsia" w:ascii="仿宋_GB2312" w:hAnsi="宋体" w:eastAsia="仿宋_GB2312" w:cs="Times New Roman"/>
                <w:kern w:val="2"/>
                <w:sz w:val="24"/>
                <w:szCs w:val="24"/>
                <w:highlight w:val="none"/>
                <w:lang w:val="en-US" w:eastAsia="zh-CN" w:bidi="ar-SA"/>
              </w:rPr>
              <w:t>评标方法：最低评标价</w:t>
            </w:r>
            <w:r>
              <w:rPr>
                <w:rFonts w:hint="eastAsia" w:ascii="仿宋_GB2312" w:hAnsi="宋体" w:eastAsia="仿宋_GB2312" w:cs="Times New Roman"/>
                <w:kern w:val="2"/>
                <w:sz w:val="24"/>
                <w:szCs w:val="24"/>
                <w:highlight w:val="none"/>
                <w:lang w:val="en-US" w:eastAsia="en-US" w:bidi="ar-SA"/>
              </w:rPr>
              <w:t>法</w:t>
            </w:r>
          </w:p>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（除了算术修正和落实政府采购政策需进行的价格扣除外，不对投标人的投标价格进行任何调整。评标结果按修正和扣除后的投标报价由低到高顺序排列。报价相同的处理方式详见招标文件第6章。）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36" w:type="dxa"/>
            <w:vAlign w:val="center"/>
          </w:tcPr>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27</w:t>
            </w:r>
          </w:p>
        </w:tc>
        <w:tc>
          <w:tcPr>
            <w:tcW w:w="7729" w:type="dxa"/>
            <w:vAlign w:val="center"/>
          </w:tcPr>
          <w:p>
            <w:pPr>
              <w:spacing w:line="400" w:lineRule="exact"/>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招标人是否委托评标委员会直接确定中标人：否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27.1</w:t>
            </w:r>
          </w:p>
        </w:tc>
        <w:tc>
          <w:tcPr>
            <w:tcW w:w="7729" w:type="dxa"/>
            <w:vAlign w:val="center"/>
          </w:tcPr>
          <w:p>
            <w:pPr>
              <w:spacing w:line="400" w:lineRule="exact"/>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推荐中标（成交）候选人数量：3个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29</w:t>
            </w:r>
          </w:p>
        </w:tc>
        <w:tc>
          <w:tcPr>
            <w:tcW w:w="7729" w:type="dxa"/>
            <w:vAlign w:val="center"/>
          </w:tcPr>
          <w:p>
            <w:pPr>
              <w:pStyle w:val="100"/>
              <w:spacing w:after="160" w:line="360" w:lineRule="auto"/>
              <w:jc w:val="both"/>
              <w:rPr>
                <w:rFonts w:hint="eastAsia" w:ascii="仿宋_GB2312" w:hAnsi="宋体" w:eastAsia="仿宋_GB2312" w:cs="Times New Roman"/>
                <w:sz w:val="24"/>
                <w:szCs w:val="24"/>
                <w:highlight w:val="none"/>
                <w:lang w:val="en-US" w:eastAsia="zh-CN" w:bidi="ar-SA"/>
              </w:rPr>
            </w:pPr>
            <w:r>
              <w:rPr>
                <w:rFonts w:hint="eastAsia" w:ascii="仿宋_GB2312" w:eastAsia="仿宋_GB2312" w:cs="Times New Roman"/>
                <w:sz w:val="24"/>
                <w:szCs w:val="24"/>
                <w:highlight w:val="none"/>
                <w:lang w:val="en-US" w:eastAsia="zh-CN" w:bidi="ar-SA"/>
              </w:rPr>
              <w:t>中标结果公告媒介：</w:t>
            </w:r>
            <w:r>
              <w:rPr>
                <w:rFonts w:hint="eastAsia" w:ascii="仿宋_GB2312" w:hAnsi="宋体" w:eastAsia="仿宋_GB2312" w:cs="Times New Roman"/>
                <w:kern w:val="2"/>
                <w:sz w:val="24"/>
                <w:szCs w:val="24"/>
                <w:highlight w:val="none"/>
                <w:lang w:val="en-US" w:eastAsia="zh-CN" w:bidi="ar-SA"/>
              </w:rPr>
              <w:t>“中国政府采购网”、“西藏自治区公共资源交易网”“西藏自治区交通运输厅”</w:t>
            </w:r>
          </w:p>
          <w:p>
            <w:pPr>
              <w:pStyle w:val="100"/>
              <w:spacing w:after="160" w:line="360" w:lineRule="auto"/>
              <w:jc w:val="both"/>
              <w:rPr>
                <w:rFonts w:hint="eastAsia" w:ascii="仿宋_GB2312" w:hAnsi="宋体" w:eastAsia="仿宋_GB2312" w:cs="Times New Roman"/>
                <w:kern w:val="2"/>
                <w:sz w:val="24"/>
                <w:szCs w:val="24"/>
                <w:highlight w:val="none"/>
                <w:lang w:val="en-US" w:eastAsia="zh-CN" w:bidi="ar-SA"/>
              </w:rPr>
            </w:pPr>
            <w:r>
              <w:rPr>
                <w:rFonts w:hint="eastAsia" w:ascii="仿宋_GB2312" w:eastAsia="仿宋_GB2312" w:cs="Times New Roman"/>
                <w:sz w:val="24"/>
                <w:szCs w:val="24"/>
                <w:highlight w:val="none"/>
                <w:lang w:bidi="ar-SA"/>
              </w:rPr>
              <w:t>中标结果公告</w:t>
            </w:r>
            <w:r>
              <w:rPr>
                <w:rFonts w:hint="eastAsia" w:ascii="仿宋_GB2312" w:eastAsia="仿宋_GB2312" w:cs="Times New Roman"/>
                <w:sz w:val="24"/>
                <w:szCs w:val="24"/>
                <w:highlight w:val="none"/>
                <w:lang w:val="en-US" w:eastAsia="zh-CN" w:bidi="ar-SA"/>
              </w:rPr>
              <w:t>期限</w:t>
            </w:r>
            <w:r>
              <w:rPr>
                <w:rFonts w:hint="eastAsia" w:ascii="仿宋_GB2312" w:eastAsia="仿宋_GB2312" w:cs="Times New Roman"/>
                <w:sz w:val="24"/>
                <w:szCs w:val="24"/>
                <w:highlight w:val="none"/>
                <w:lang w:bidi="ar-SA"/>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31</w:t>
            </w:r>
          </w:p>
        </w:tc>
        <w:tc>
          <w:tcPr>
            <w:tcW w:w="7729" w:type="dxa"/>
            <w:vAlign w:val="center"/>
          </w:tcPr>
          <w:p>
            <w:pPr>
              <w:pStyle w:val="8"/>
              <w:topLinePunct/>
              <w:spacing w:line="360" w:lineRule="auto"/>
              <w:ind w:left="0" w:leftChars="0" w:firstLine="0" w:firstLineChars="0"/>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是否要求中标人提交履约保证金：</w:t>
            </w:r>
          </w:p>
          <w:p>
            <w:pPr>
              <w:adjustRightInd w:val="0"/>
              <w:snapToGrid w:val="0"/>
              <w:spacing w:line="360" w:lineRule="auto"/>
              <w:ind w:left="0" w:leftChars="0" w:right="111" w:firstLine="0" w:firstLineChars="0"/>
              <w:jc w:val="both"/>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☑要求，履约保证金的形式：银行保函或现金、支票形式</w:t>
            </w:r>
          </w:p>
          <w:p>
            <w:pPr>
              <w:adjustRightInd w:val="0"/>
              <w:snapToGrid w:val="0"/>
              <w:spacing w:line="360" w:lineRule="auto"/>
              <w:ind w:left="0" w:leftChars="0" w:right="111" w:firstLine="0" w:firstLineChars="0"/>
              <w:jc w:val="both"/>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履约保证金的金额：5％签约合同价。</w:t>
            </w:r>
          </w:p>
          <w:p>
            <w:pPr>
              <w:adjustRightInd w:val="0"/>
              <w:snapToGrid w:val="0"/>
              <w:spacing w:line="360" w:lineRule="auto"/>
              <w:ind w:left="0" w:leftChars="0" w:right="111" w:firstLine="0" w:firstLineChars="0"/>
              <w:jc w:val="both"/>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采用银行保函时，出具保函的银行级别：在西藏的国有商业银行或股份制银行的地市级支行及以上级别的银行。</w:t>
            </w:r>
          </w:p>
          <w:p>
            <w:pPr>
              <w:adjustRightInd w:val="0"/>
              <w:snapToGrid w:val="0"/>
              <w:spacing w:line="360" w:lineRule="auto"/>
              <w:ind w:left="0" w:leftChars="0" w:right="111" w:firstLine="0" w:firstLineChars="0"/>
              <w:jc w:val="both"/>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 xml:space="preserve">□不要求     </w:t>
            </w:r>
          </w:p>
          <w:p>
            <w:pPr>
              <w:pStyle w:val="100"/>
              <w:keepNext w:val="0"/>
              <w:keepLines w:val="0"/>
              <w:pageBreakBefore w:val="0"/>
              <w:widowControl w:val="0"/>
              <w:kinsoku/>
              <w:wordWrap/>
              <w:overflowPunct/>
              <w:topLinePunct w:val="0"/>
              <w:autoSpaceDE/>
              <w:autoSpaceDN/>
              <w:bidi w:val="0"/>
              <w:adjustRightInd/>
              <w:snapToGrid/>
              <w:spacing w:before="181" w:beforeLines="50" w:after="180" w:line="360" w:lineRule="auto"/>
              <w:ind w:left="0" w:leftChars="0" w:firstLine="0" w:firstLineChars="0"/>
              <w:textAlignment w:val="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履约担保应在收到中标通知书后30日内从供应商基本账户一次性汇入指定账户或递交保函至项目业主处。所需费用由中标人承担，中标人应保证银行保函有效性。</w:t>
            </w:r>
          </w:p>
          <w:p>
            <w:pPr>
              <w:spacing w:line="400" w:lineRule="exact"/>
              <w:ind w:left="0" w:leftChars="0" w:firstLine="0" w:firstLineChars="0"/>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中标人不能按上述要求提交履约保证金的，视为放弃中标，其投标保证金不予退还，给采购人造成的损失超过投标保证金数额的，中标人还应当对超过部分予以赔偿。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936" w:type="dxa"/>
            <w:vAlign w:val="center"/>
          </w:tcPr>
          <w:p>
            <w:pPr>
              <w:spacing w:line="4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32</w:t>
            </w:r>
          </w:p>
        </w:tc>
        <w:tc>
          <w:tcPr>
            <w:tcW w:w="7729" w:type="dxa"/>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378" w:beforeAutospacing="0" w:after="482" w:afterAutospacing="0" w:line="480" w:lineRule="atLeast"/>
              <w:ind w:right="0"/>
              <w:textAlignment w:val="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采购代理费用收取标准：按照国家发改委“发改价格[2015]299 号”文件规定计取，由中标人支付，供应商报价时应考虑此项费用，中标通知书发出时，中标人应支付此项目费用给采购代理机构。</w:t>
            </w:r>
          </w:p>
          <w:p>
            <w:pPr>
              <w:pStyle w:val="23"/>
              <w:keepNext w:val="0"/>
              <w:keepLines w:val="0"/>
              <w:pageBreakBefore w:val="0"/>
              <w:widowControl/>
              <w:suppressLineNumbers w:val="0"/>
              <w:kinsoku/>
              <w:wordWrap/>
              <w:overflowPunct/>
              <w:topLinePunct w:val="0"/>
              <w:autoSpaceDE/>
              <w:autoSpaceDN/>
              <w:bidi w:val="0"/>
              <w:adjustRightInd/>
              <w:snapToGrid/>
              <w:spacing w:before="378" w:beforeAutospacing="0" w:after="482" w:afterAutospacing="0" w:line="480" w:lineRule="atLeast"/>
              <w:ind w:right="0"/>
              <w:textAlignment w:val="auto"/>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采购代理费用收取方式：银行转账。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Align w:val="center"/>
          </w:tcPr>
          <w:p>
            <w:pPr>
              <w:spacing w:line="400" w:lineRule="exact"/>
              <w:rPr>
                <w:rFonts w:ascii="仿宋_GB2312" w:hAnsi="宋体" w:eastAsia="仿宋_GB2312" w:cs="Times New Roman"/>
                <w:sz w:val="24"/>
                <w:szCs w:val="24"/>
                <w:highlight w:val="yellow"/>
                <w:lang w:bidi="ar-SA"/>
              </w:rPr>
            </w:pPr>
            <w:r>
              <w:rPr>
                <w:rFonts w:hint="eastAsia" w:ascii="仿宋_GB2312" w:hAnsi="宋体" w:eastAsia="仿宋_GB2312" w:cs="Times New Roman"/>
                <w:sz w:val="24"/>
                <w:szCs w:val="24"/>
                <w:highlight w:val="none"/>
                <w:lang w:bidi="ar-SA"/>
              </w:rPr>
              <w:t>3</w:t>
            </w:r>
            <w:r>
              <w:rPr>
                <w:rFonts w:hint="eastAsia" w:ascii="仿宋_GB2312" w:hAnsi="宋体" w:eastAsia="仿宋_GB2312" w:cs="Times New Roman"/>
                <w:sz w:val="24"/>
                <w:szCs w:val="24"/>
                <w:highlight w:val="none"/>
                <w:lang w:val="en-US" w:eastAsia="zh-CN" w:bidi="ar-SA"/>
              </w:rPr>
              <w:t>3</w:t>
            </w:r>
            <w:r>
              <w:rPr>
                <w:rFonts w:hint="eastAsia" w:ascii="仿宋_GB2312" w:hAnsi="宋体" w:eastAsia="仿宋_GB2312" w:cs="Times New Roman"/>
                <w:sz w:val="24"/>
                <w:szCs w:val="24"/>
                <w:highlight w:val="none"/>
                <w:lang w:bidi="ar-SA"/>
              </w:rPr>
              <w:t>.3</w:t>
            </w:r>
          </w:p>
        </w:tc>
        <w:tc>
          <w:tcPr>
            <w:tcW w:w="7729" w:type="dxa"/>
            <w:vAlign w:val="top"/>
          </w:tcPr>
          <w:p>
            <w:pPr>
              <w:pStyle w:val="100"/>
              <w:spacing w:before="240" w:beforeLines="100" w:after="120" w:afterLines="50"/>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zh-TW" w:eastAsia="zh-TW" w:bidi="ar-SA"/>
              </w:rPr>
              <w:t>合同履行期限：</w:t>
            </w:r>
            <w:r>
              <w:rPr>
                <w:rFonts w:hint="eastAsia" w:ascii="仿宋_GB2312" w:eastAsia="仿宋_GB2312" w:cs="Times New Roman"/>
                <w:color w:val="auto"/>
                <w:kern w:val="2"/>
                <w:sz w:val="24"/>
                <w:szCs w:val="24"/>
                <w:highlight w:val="none"/>
                <w:lang w:val="en-US" w:eastAsia="zh-CN" w:bidi="ar-SA"/>
              </w:rPr>
              <w:t>在签订合同时明确</w:t>
            </w:r>
            <w:r>
              <w:rPr>
                <w:rFonts w:hint="eastAsia" w:ascii="仿宋_GB2312" w:hAnsi="宋体" w:eastAsia="仿宋_GB2312" w:cs="Times New Roman"/>
                <w:color w:val="auto"/>
                <w:kern w:val="2"/>
                <w:sz w:val="24"/>
                <w:szCs w:val="24"/>
                <w:highlight w:val="none"/>
                <w:lang w:val="zh-TW"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36" w:type="dxa"/>
            <w:vAlign w:val="center"/>
          </w:tcPr>
          <w:p>
            <w:pPr>
              <w:spacing w:line="300" w:lineRule="exact"/>
              <w:rPr>
                <w:rFonts w:ascii="仿宋_GB2312" w:eastAsia="仿宋_GB2312"/>
                <w:sz w:val="24"/>
                <w:szCs w:val="24"/>
                <w:highlight w:val="yellow"/>
              </w:rPr>
            </w:pPr>
            <w:r>
              <w:rPr>
                <w:rFonts w:hint="eastAsia" w:ascii="仿宋_GB2312" w:hAnsi="宋体" w:eastAsia="仿宋_GB2312" w:cs="Times New Roman"/>
                <w:sz w:val="24"/>
                <w:szCs w:val="24"/>
                <w:highlight w:val="none"/>
                <w:lang w:bidi="ar-SA"/>
              </w:rPr>
              <w:t>35.3</w:t>
            </w:r>
          </w:p>
        </w:tc>
        <w:tc>
          <w:tcPr>
            <w:tcW w:w="7729" w:type="dxa"/>
            <w:vAlign w:val="top"/>
          </w:tcPr>
          <w:p>
            <w:pPr>
              <w:pStyle w:val="100"/>
              <w:spacing w:before="240" w:beforeLines="100" w:after="120" w:afterLines="50"/>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zh-TW" w:eastAsia="zh-TW" w:bidi="ar-SA"/>
              </w:rPr>
              <w:t>交货地点：</w:t>
            </w:r>
            <w:r>
              <w:rPr>
                <w:rFonts w:hint="eastAsia" w:ascii="仿宋_GB2312" w:hAnsi="宋体" w:eastAsia="仿宋_GB2312" w:cs="Times New Roman"/>
                <w:color w:val="auto"/>
                <w:kern w:val="2"/>
                <w:sz w:val="24"/>
                <w:szCs w:val="24"/>
                <w:highlight w:val="none"/>
                <w:lang w:val="en-US" w:eastAsia="zh-CN" w:bidi="ar-SA"/>
              </w:rPr>
              <w:t>按采购要求执行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36" w:type="dxa"/>
            <w:vAlign w:val="center"/>
          </w:tcPr>
          <w:p>
            <w:pPr>
              <w:spacing w:line="3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36.1</w:t>
            </w:r>
          </w:p>
        </w:tc>
        <w:tc>
          <w:tcPr>
            <w:tcW w:w="7729" w:type="dxa"/>
            <w:vAlign w:val="center"/>
          </w:tcPr>
          <w:p>
            <w:pPr>
              <w:spacing w:line="400" w:lineRule="exact"/>
              <w:rPr>
                <w:rFonts w:hint="eastAsia" w:ascii="仿宋_GB2312" w:hAnsi="宋体" w:eastAsia="仿宋_GB2312" w:cs="Times New Roman"/>
                <w:color w:val="auto"/>
                <w:kern w:val="2"/>
                <w:sz w:val="24"/>
                <w:szCs w:val="24"/>
                <w:highlight w:val="none"/>
                <w:lang w:val="zh-TW" w:eastAsia="zh-TW" w:bidi="ar-SA"/>
              </w:rPr>
            </w:pPr>
            <w:r>
              <w:rPr>
                <w:rFonts w:hint="eastAsia" w:ascii="仿宋_GB2312" w:hAnsi="宋体" w:eastAsia="仿宋_GB2312" w:cs="Times New Roman"/>
                <w:color w:val="auto"/>
                <w:kern w:val="2"/>
                <w:sz w:val="24"/>
                <w:szCs w:val="24"/>
                <w:highlight w:val="none"/>
                <w:lang w:val="zh-TW" w:eastAsia="zh-TW" w:bidi="ar-SA"/>
              </w:rPr>
              <w:t>中标候选人确定后，</w:t>
            </w:r>
            <w:r>
              <w:rPr>
                <w:rFonts w:hint="eastAsia" w:ascii="仿宋_GB2312" w:hAnsi="宋体" w:eastAsia="仿宋_GB2312" w:cs="Times New Roman"/>
                <w:color w:val="auto"/>
                <w:kern w:val="2"/>
                <w:sz w:val="24"/>
                <w:szCs w:val="24"/>
                <w:highlight w:val="none"/>
                <w:lang w:val="zh-TW" w:eastAsia="zh-CN" w:bidi="ar-SA"/>
              </w:rPr>
              <w:t>采购人</w:t>
            </w:r>
            <w:r>
              <w:rPr>
                <w:rFonts w:hint="eastAsia" w:ascii="仿宋_GB2312" w:hAnsi="宋体" w:eastAsia="仿宋_GB2312" w:cs="Times New Roman"/>
                <w:color w:val="auto"/>
                <w:kern w:val="2"/>
                <w:sz w:val="24"/>
                <w:szCs w:val="24"/>
                <w:highlight w:val="none"/>
                <w:lang w:val="zh-TW" w:eastAsia="zh-TW" w:bidi="ar-SA"/>
              </w:rPr>
              <w:t>将对中标候选人的相关资料进行原件核查，核查要求如下：</w:t>
            </w:r>
          </w:p>
          <w:p>
            <w:pPr>
              <w:spacing w:line="400" w:lineRule="exact"/>
              <w:rPr>
                <w:rFonts w:hint="eastAsia" w:ascii="仿宋_GB2312" w:hAnsi="宋体" w:eastAsia="仿宋_GB2312" w:cs="Times New Roman"/>
                <w:color w:val="auto"/>
                <w:kern w:val="2"/>
                <w:sz w:val="24"/>
                <w:szCs w:val="24"/>
                <w:highlight w:val="none"/>
                <w:lang w:val="zh-TW" w:eastAsia="zh-TW" w:bidi="ar-SA"/>
              </w:rPr>
            </w:pPr>
            <w:r>
              <w:rPr>
                <w:rFonts w:hint="eastAsia" w:ascii="仿宋_GB2312" w:hAnsi="宋体" w:eastAsia="仿宋_GB2312" w:cs="Times New Roman"/>
                <w:color w:val="auto"/>
                <w:kern w:val="2"/>
                <w:sz w:val="24"/>
                <w:szCs w:val="24"/>
                <w:highlight w:val="none"/>
                <w:lang w:val="zh-TW" w:eastAsia="zh-TW" w:bidi="ar-SA"/>
              </w:rPr>
              <w:t>1.中标候选人在投标文件中提供的财务报表、营业执照等材料与原件不符，且不能在10个工作日内提供原发证机关出具的更换新证等相关情况证明材料的，</w:t>
            </w:r>
            <w:r>
              <w:rPr>
                <w:rFonts w:hint="eastAsia" w:ascii="仿宋_GB2312" w:hAnsi="宋体" w:eastAsia="仿宋_GB2312" w:cs="Times New Roman"/>
                <w:color w:val="auto"/>
                <w:kern w:val="2"/>
                <w:sz w:val="24"/>
                <w:szCs w:val="24"/>
                <w:highlight w:val="none"/>
                <w:lang w:val="zh-TW" w:eastAsia="zh-CN" w:bidi="ar-SA"/>
              </w:rPr>
              <w:t>采购人</w:t>
            </w:r>
            <w:r>
              <w:rPr>
                <w:rFonts w:hint="eastAsia" w:ascii="仿宋_GB2312" w:hAnsi="宋体" w:eastAsia="仿宋_GB2312" w:cs="Times New Roman"/>
                <w:color w:val="auto"/>
                <w:kern w:val="2"/>
                <w:sz w:val="24"/>
                <w:szCs w:val="24"/>
                <w:highlight w:val="none"/>
                <w:lang w:val="zh-TW" w:eastAsia="zh-TW" w:bidi="ar-SA"/>
              </w:rPr>
              <w:t>在向交通运输主管部门如实上报后取消中标候选人中标资格。</w:t>
            </w:r>
          </w:p>
          <w:p>
            <w:pPr>
              <w:spacing w:line="400" w:lineRule="exact"/>
              <w:rPr>
                <w:rFonts w:hint="eastAsia" w:ascii="仿宋_GB2312" w:hAnsi="宋体" w:eastAsia="仿宋_GB2312" w:cs="Times New Roman"/>
                <w:color w:val="auto"/>
                <w:kern w:val="2"/>
                <w:sz w:val="24"/>
                <w:szCs w:val="24"/>
                <w:highlight w:val="none"/>
                <w:lang w:val="zh-TW" w:eastAsia="zh-TW" w:bidi="ar-SA"/>
              </w:rPr>
            </w:pPr>
            <w:r>
              <w:rPr>
                <w:rFonts w:hint="eastAsia" w:ascii="仿宋_GB2312" w:hAnsi="宋体" w:eastAsia="仿宋_GB2312" w:cs="Times New Roman"/>
                <w:color w:val="auto"/>
                <w:kern w:val="2"/>
                <w:sz w:val="24"/>
                <w:szCs w:val="24"/>
                <w:highlight w:val="none"/>
                <w:lang w:val="zh-TW" w:eastAsia="zh-TW" w:bidi="ar-SA"/>
              </w:rPr>
              <w:t>2.中标候选人在投标文件中提供的营业执照与原件虽然相符，但复核时发现已经失效的，中标候选人应提供更新的有效证件或发证机关出具的延期证明，若10个工作日内不能提供的，</w:t>
            </w:r>
            <w:r>
              <w:rPr>
                <w:rFonts w:hint="eastAsia" w:ascii="仿宋_GB2312" w:hAnsi="宋体" w:eastAsia="仿宋_GB2312" w:cs="Times New Roman"/>
                <w:color w:val="auto"/>
                <w:kern w:val="2"/>
                <w:sz w:val="24"/>
                <w:szCs w:val="24"/>
                <w:highlight w:val="none"/>
                <w:lang w:val="zh-TW" w:eastAsia="zh-CN" w:bidi="ar-SA"/>
              </w:rPr>
              <w:t>采购人</w:t>
            </w:r>
            <w:r>
              <w:rPr>
                <w:rFonts w:hint="eastAsia" w:ascii="仿宋_GB2312" w:hAnsi="宋体" w:eastAsia="仿宋_GB2312" w:cs="Times New Roman"/>
                <w:color w:val="auto"/>
                <w:kern w:val="2"/>
                <w:sz w:val="24"/>
                <w:szCs w:val="24"/>
                <w:highlight w:val="none"/>
                <w:lang w:val="zh-TW" w:eastAsia="zh-TW" w:bidi="ar-SA"/>
              </w:rPr>
              <w:t>在向交通运输主管部门如实上报后取消中标候选人中标资格。</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3.</w:t>
            </w:r>
            <w:r>
              <w:rPr>
                <w:rFonts w:hint="eastAsia" w:ascii="仿宋_GB2312" w:hAnsi="宋体" w:eastAsia="仿宋_GB2312" w:cs="Times New Roman"/>
                <w:color w:val="auto"/>
                <w:kern w:val="2"/>
                <w:sz w:val="24"/>
                <w:szCs w:val="24"/>
                <w:highlight w:val="none"/>
                <w:lang w:val="zh-TW" w:eastAsia="zh-TW" w:bidi="ar-SA"/>
              </w:rPr>
              <w:t>核查过程中若发现银行信贷证明（如有）、投标保函、公证书（如有）等虚假，除取消中标资格和追究其违约责任外，对尚未构成犯罪的，依法进行处罚；构成犯罪的，移交司法机关处理。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936" w:type="dxa"/>
            <w:vAlign w:val="center"/>
          </w:tcPr>
          <w:p>
            <w:pPr>
              <w:spacing w:line="3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36.2</w:t>
            </w:r>
          </w:p>
        </w:tc>
        <w:tc>
          <w:tcPr>
            <w:tcW w:w="7729" w:type="dxa"/>
            <w:vAlign w:val="center"/>
          </w:tcPr>
          <w:p>
            <w:pPr>
              <w:pStyle w:val="100"/>
              <w:numPr>
                <w:ilvl w:val="0"/>
                <w:numId w:val="0"/>
              </w:numPr>
              <w:spacing w:line="408" w:lineRule="exact"/>
              <w:jc w:val="both"/>
              <w:rPr>
                <w:rFonts w:hint="eastAsia" w:ascii="仿宋_GB2312" w:hAnsi="宋体" w:eastAsia="仿宋_GB2312" w:cs="Times New Roman"/>
                <w:color w:val="auto"/>
                <w:kern w:val="2"/>
                <w:sz w:val="24"/>
                <w:szCs w:val="24"/>
                <w:highlight w:val="none"/>
                <w:lang w:val="zh-TW" w:eastAsia="zh-CN" w:bidi="ar-SA"/>
              </w:rPr>
            </w:pPr>
            <w:r>
              <w:rPr>
                <w:rFonts w:hint="eastAsia" w:ascii="仿宋_GB2312" w:hAnsi="宋体" w:eastAsia="仿宋_GB2312" w:cs="Times New Roman"/>
                <w:color w:val="auto"/>
                <w:kern w:val="2"/>
                <w:sz w:val="24"/>
                <w:szCs w:val="24"/>
                <w:highlight w:val="none"/>
                <w:lang w:val="zh-TW" w:eastAsia="zh-CN" w:bidi="ar-SA"/>
              </w:rPr>
              <w:t>补充条款：</w:t>
            </w:r>
          </w:p>
          <w:p>
            <w:pPr>
              <w:pStyle w:val="100"/>
              <w:numPr>
                <w:ilvl w:val="0"/>
                <w:numId w:val="0"/>
              </w:numPr>
              <w:spacing w:line="408" w:lineRule="exact"/>
              <w:jc w:val="both"/>
              <w:rPr>
                <w:rFonts w:hint="eastAsia" w:ascii="仿宋_GB2312" w:hAnsi="宋体" w:eastAsia="仿宋_GB2312" w:cs="Times New Roman"/>
                <w:color w:val="auto"/>
                <w:kern w:val="2"/>
                <w:sz w:val="24"/>
                <w:szCs w:val="24"/>
                <w:highlight w:val="none"/>
                <w:lang w:val="zh-TW" w:eastAsia="zh-CN" w:bidi="ar-SA"/>
              </w:rPr>
            </w:pPr>
            <w:r>
              <w:rPr>
                <w:rFonts w:hint="eastAsia" w:ascii="仿宋_GB2312" w:hAnsi="宋体" w:eastAsia="仿宋_GB2312" w:cs="Times New Roman"/>
                <w:color w:val="auto"/>
                <w:kern w:val="2"/>
                <w:sz w:val="24"/>
                <w:szCs w:val="24"/>
                <w:highlight w:val="none"/>
                <w:lang w:val="en-US" w:eastAsia="zh-CN" w:bidi="ar-SA"/>
              </w:rPr>
              <w:t>（1）</w:t>
            </w:r>
            <w:r>
              <w:rPr>
                <w:rFonts w:hint="eastAsia" w:ascii="仿宋_GB2312" w:hAnsi="宋体" w:eastAsia="仿宋_GB2312" w:cs="Times New Roman"/>
                <w:color w:val="auto"/>
                <w:kern w:val="2"/>
                <w:sz w:val="24"/>
                <w:szCs w:val="24"/>
                <w:highlight w:val="none"/>
                <w:lang w:val="zh-TW" w:eastAsia="zh-CN" w:bidi="ar-SA"/>
              </w:rPr>
              <w:t>出现因民工工资事项到区交通运输厅及以上政府机构信(上)访事项时，项目中标单位应承诺先支付再通过法律手段予以解决。</w:t>
            </w:r>
          </w:p>
          <w:p>
            <w:pPr>
              <w:spacing w:line="3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（2）</w:t>
            </w:r>
            <w:r>
              <w:rPr>
                <w:rFonts w:hint="eastAsia" w:ascii="仿宋_GB2312" w:hAnsi="宋体" w:eastAsia="仿宋_GB2312" w:cs="Times New Roman"/>
                <w:color w:val="auto"/>
                <w:kern w:val="2"/>
                <w:sz w:val="24"/>
                <w:szCs w:val="24"/>
                <w:highlight w:val="none"/>
                <w:lang w:val="zh-TW" w:eastAsia="zh-CN" w:bidi="ar-SA"/>
              </w:rPr>
              <w:t>出现因中标人未向生产厂家支付相关费用而产生停工等事项时，项目中标单位应承诺先支付再通过法律手段予以解决。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36" w:type="dxa"/>
            <w:vAlign w:val="center"/>
          </w:tcPr>
          <w:p>
            <w:pPr>
              <w:spacing w:line="3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36.3</w:t>
            </w:r>
          </w:p>
        </w:tc>
        <w:tc>
          <w:tcPr>
            <w:tcW w:w="7729" w:type="dxa"/>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对在廉政建设、项目安全、质量进度、农民工工资支付等环节出现不履约、不服从管理的供应单位，采取“四个一律”，即：信用等级一律评为最低等次；一律纳入黑名单并向社会公布；一律永久禁入西藏交通建设市场；一律抄告涉事企业的上级主管部门，对央企直接向国务院国资委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36" w:type="dxa"/>
            <w:vAlign w:val="center"/>
          </w:tcPr>
          <w:p>
            <w:pPr>
              <w:spacing w:line="300" w:lineRule="exact"/>
              <w:rPr>
                <w:rFonts w:hint="default"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36.4</w:t>
            </w:r>
          </w:p>
        </w:tc>
        <w:tc>
          <w:tcPr>
            <w:tcW w:w="7729" w:type="dxa"/>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一、投诉人投诉时，应当提交投诉书。投诉书应当包括下列内容：</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（一）投诉人的名称、地址及有效联系方式；</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（二）被投诉人的名称、地址及有效联系方式；</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（三）投诉事项的基本事实；</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（四）异议的提出及采购人答复情况；</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（五）相关请求及主张；</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（六）有效线索和相关证明材料。</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二、不符合规定且不能联系到投诉举报人的，则不受理；能联系到投诉举报人的，告知其不予受理的原因，若其补正后的投诉举报材料仍不能满足受理条件，超过7个工作日，则不再受理。</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三、关于业绩、经历的质疑，投诉人若认为有弄虚作假嫌疑，应向业绩、经历所在地省级主管部门举报，采购人将依据该主管部门对业绩、经历真实性的认定意见，作出是否取消被投诉人中标候选人资格的决定。</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四、在投诉有效期满后不再受理针对招标投标的投诉举报。在合同签署后发现并经调查核实确实存在问题的，一般性的违规行为只依据采购文件对该中标单位进行处罚，并责令中标人改正，同时作为在我区交通建设市场的不良从业行为进行信用评价，必要时采购人要约谈其法定代表人。除以下行为外，原则上不取消中标人资格:</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（1）投标文件中提供伪造的企业营业执照、授权书。</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（2）在采购公告发布至投诉举报受理期间，被交通运输部、财政部等国家部委、禁止投标且处罚仍在有效期。对于国家其它部委的处罚，若有明确禁止投标的范围，只要不包括公路项目，则不在此列。</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（3）采取商业贿赂方式谋取中标。</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（4）有下列围标、串标行为:</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①与采购人或采购代理机构勾结，在开标前获取应保密信息，或在开标后撤换、更改投标文件;</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②与其他供应商使用同一人或者同一单位的资金交纳投标保证金或者互作投标担保或者近期内发生与投标保证金相同金额的资金往来;</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③与其他供应商委托同一人办理投标事务或投标期间发现两供应商代表乘同一辆车;</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④与其他供应商的投标文件内容出现非正常一致，或者出现同样规律性特点和错误;</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⑤投标文件与其他供应商的投标文件混装，包括单方面混装(指甲单位投标文件中装有乙单位的内容而乙单位投标文件中无甲单位的内容，则甲单位按串标认定):</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⑥《中华人民共和国招标投标法实施条例》第四十条、第四十一条规定的情形。</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五、因投诉举报等原因导致中标人改变的，采购人应将取消中标资格的原因和处理决定书面告知原中标人，并告知其申诉的有效期限和受理部门(申诉有效期应不少于3个工作日)，在规定的时间未收到其申诉材料或其申诉材料不足以改变定标结果，采购人在获得交通运输主管部门同意后在中标候选人公示的同一媒体上发布“中标人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665" w:type="dxa"/>
            <w:gridSpan w:val="2"/>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为助力打好污染防治攻坚战，推广使用绿色包装，本项目商品、快递包装严格按照《西藏自治区财政厅西藏自治区生态环境厅 西藏自治区邮政管理局关于转发&lt;财政部办公厅 生态环境部办公厅 国家邮政局办公室关于印发〈商品包装政府采购需求标准（试行）〉〈快递包装政府采购需求标准（试行）〉的通知&gt;的通知》（藏财采办〔2020〕138号）规定执行。</w:t>
            </w:r>
          </w:p>
        </w:tc>
      </w:tr>
    </w:tbl>
    <w:p>
      <w:pPr>
        <w:spacing w:line="240" w:lineRule="auto"/>
        <w:jc w:val="left"/>
        <w:rPr>
          <w:rFonts w:ascii="仿宋_GB2312" w:hAnsi="宋体" w:eastAsia="仿宋_GB2312" w:cs="Times New Roman"/>
          <w:b/>
          <w:bCs/>
          <w:highlight w:val="none"/>
          <w:lang w:bidi="ar-SA"/>
        </w:rPr>
      </w:pPr>
      <w:r>
        <w:rPr>
          <w:rFonts w:ascii="仿宋_GB2312" w:hAnsi="宋体" w:eastAsia="仿宋_GB2312" w:cs="Times New Roman"/>
          <w:b/>
          <w:bCs/>
          <w:highlight w:val="none"/>
          <w:lang w:bidi="ar-SA"/>
        </w:rPr>
        <w:br w:type="page"/>
      </w:r>
    </w:p>
    <w:p>
      <w:pPr>
        <w:pStyle w:val="2"/>
        <w:spacing w:line="400" w:lineRule="exact"/>
        <w:jc w:val="center"/>
        <w:outlineLvl w:val="0"/>
        <w:rPr>
          <w:highlight w:val="none"/>
        </w:rPr>
      </w:pPr>
      <w:bookmarkStart w:id="60" w:name="_Toc75443040"/>
      <w:r>
        <w:rPr>
          <w:rFonts w:hint="eastAsia"/>
        </w:rPr>
        <w:t>第</w:t>
      </w:r>
      <w:r>
        <w:t>5</w:t>
      </w:r>
      <w:r>
        <w:rPr>
          <w:rFonts w:hint="eastAsia"/>
        </w:rPr>
        <w:t>章货物（服务）需求一览表及技术规格</w:t>
      </w:r>
      <w:bookmarkEnd w:id="60"/>
    </w:p>
    <w:p>
      <w:pPr>
        <w:widowControl/>
        <w:spacing w:line="400" w:lineRule="exact"/>
        <w:jc w:val="left"/>
        <w:rPr>
          <w:rFonts w:ascii="仿宋" w:hAnsi="仿宋" w:eastAsia="仿宋" w:cs="Times New Roman"/>
          <w:kern w:val="0"/>
          <w:sz w:val="24"/>
          <w:szCs w:val="24"/>
          <w:highlight w:val="none"/>
          <w:lang w:bidi="ar-SA"/>
        </w:rPr>
      </w:pPr>
      <w:r>
        <w:rPr>
          <w:rFonts w:hint="eastAsia" w:ascii="仿宋" w:hAnsi="仿宋" w:eastAsia="仿宋" w:cs="宋体"/>
          <w:color w:val="000000"/>
          <w:kern w:val="0"/>
          <w:sz w:val="24"/>
          <w:szCs w:val="24"/>
          <w:highlight w:val="none"/>
        </w:rPr>
        <w:t>说</w:t>
      </w:r>
      <w:r>
        <w:rPr>
          <w:rFonts w:hint="eastAsia" w:ascii="仿宋" w:hAnsi="仿宋" w:eastAsia="仿宋" w:cs="Times New Roman"/>
          <w:kern w:val="0"/>
          <w:sz w:val="24"/>
          <w:szCs w:val="24"/>
          <w:highlight w:val="none"/>
          <w:lang w:bidi="ar-SA"/>
        </w:rPr>
        <w:t>明：</w:t>
      </w:r>
    </w:p>
    <w:p>
      <w:pPr>
        <w:spacing w:line="400" w:lineRule="exact"/>
        <w:ind w:firstLine="480" w:firstLineChars="200"/>
        <w:rPr>
          <w:rFonts w:ascii="仿宋" w:hAnsi="仿宋" w:eastAsia="仿宋" w:cs="Times New Roman"/>
          <w:kern w:val="0"/>
          <w:sz w:val="24"/>
          <w:szCs w:val="24"/>
          <w:highlight w:val="none"/>
          <w:lang w:bidi="ar-SA"/>
        </w:rPr>
      </w:pPr>
      <w:r>
        <w:rPr>
          <w:rFonts w:hint="eastAsia" w:ascii="仿宋" w:hAnsi="仿宋" w:eastAsia="仿宋" w:cs="Times New Roman"/>
          <w:kern w:val="0"/>
          <w:sz w:val="24"/>
          <w:szCs w:val="24"/>
          <w:highlight w:val="none"/>
          <w:lang w:bidi="ar-SA"/>
        </w:rPr>
        <w:t>1.未按要求将招标文件和投标文件所投设备进行对比，而只是笼统地说明无偏离、完全复制招标文件参数，视为</w:t>
      </w:r>
      <w:r>
        <w:rPr>
          <w:rFonts w:hint="eastAsia" w:ascii="仿宋" w:hAnsi="仿宋" w:eastAsia="仿宋" w:cs="Times New Roman"/>
          <w:b/>
          <w:kern w:val="0"/>
          <w:sz w:val="24"/>
          <w:szCs w:val="24"/>
          <w:highlight w:val="none"/>
          <w:lang w:bidi="ar-SA"/>
        </w:rPr>
        <w:t>不合格投标</w:t>
      </w:r>
      <w:r>
        <w:rPr>
          <w:rFonts w:hint="eastAsia" w:ascii="仿宋" w:hAnsi="仿宋" w:eastAsia="仿宋" w:cs="Times New Roman"/>
          <w:kern w:val="0"/>
          <w:sz w:val="24"/>
          <w:szCs w:val="24"/>
          <w:highlight w:val="none"/>
          <w:lang w:bidi="ar-SA"/>
        </w:rPr>
        <w:t>。</w:t>
      </w:r>
    </w:p>
    <w:p>
      <w:pPr>
        <w:spacing w:line="400" w:lineRule="exact"/>
        <w:ind w:firstLine="480" w:firstLineChars="200"/>
        <w:rPr>
          <w:rFonts w:ascii="仿宋" w:hAnsi="仿宋" w:eastAsia="仿宋" w:cs="Times New Roman"/>
          <w:kern w:val="0"/>
          <w:sz w:val="24"/>
          <w:szCs w:val="24"/>
          <w:highlight w:val="none"/>
          <w:lang w:bidi="ar-SA"/>
        </w:rPr>
      </w:pPr>
      <w:r>
        <w:rPr>
          <w:rFonts w:hint="eastAsia" w:ascii="仿宋" w:hAnsi="仿宋" w:eastAsia="仿宋" w:cs="Times New Roman"/>
          <w:kern w:val="0"/>
          <w:sz w:val="24"/>
          <w:szCs w:val="24"/>
          <w:highlight w:val="none"/>
          <w:lang w:bidi="ar-SA"/>
        </w:rPr>
        <w:t>2.招标文件需求中提出的技术参数仅为参考，投标人可以进行优化，提供更优的（或者性能实质上不低于的）技术方案或者设备配置；</w:t>
      </w:r>
    </w:p>
    <w:p>
      <w:pPr>
        <w:spacing w:line="400" w:lineRule="exact"/>
        <w:ind w:firstLine="480" w:firstLineChars="200"/>
        <w:rPr>
          <w:rFonts w:hint="eastAsia" w:ascii="仿宋" w:hAnsi="仿宋" w:eastAsia="仿宋" w:cs="Times New Roman"/>
          <w:kern w:val="0"/>
          <w:sz w:val="24"/>
          <w:szCs w:val="24"/>
          <w:highlight w:val="none"/>
          <w:lang w:bidi="ar-SA"/>
        </w:rPr>
      </w:pPr>
      <w:r>
        <w:rPr>
          <w:rFonts w:hint="eastAsia" w:ascii="仿宋" w:hAnsi="仿宋" w:eastAsia="仿宋" w:cs="Times New Roman"/>
          <w:kern w:val="0"/>
          <w:sz w:val="24"/>
          <w:szCs w:val="24"/>
          <w:highlight w:val="none"/>
          <w:lang w:bidi="ar-SA"/>
        </w:rPr>
        <w:t>3.为有助于投标人选择投标产品，项目参数中的需要如涉及到品牌、型号、图片等仅供参考，并无限制性；</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一、货物名称</w:t>
      </w:r>
    </w:p>
    <w:p>
      <w:pPr>
        <w:pStyle w:val="3"/>
        <w:jc w:val="both"/>
        <w:rPr>
          <w:rFonts w:hint="eastAsia" w:ascii="仿宋" w:hAnsi="仿宋" w:eastAsia="仿宋_GB2312" w:cs="Times New Roman"/>
          <w:kern w:val="0"/>
          <w:sz w:val="24"/>
          <w:szCs w:val="24"/>
          <w:highlight w:val="none"/>
          <w:lang w:eastAsia="zh-CN" w:bidi="ar-SA"/>
        </w:rPr>
      </w:pPr>
      <w:r>
        <w:rPr>
          <w:rFonts w:hint="eastAsia" w:ascii="仿宋_GB2312" w:hAnsi="宋体" w:eastAsia="仿宋_GB2312" w:cs="Times New Roman"/>
          <w:color w:val="auto"/>
          <w:kern w:val="2"/>
          <w:sz w:val="24"/>
          <w:szCs w:val="24"/>
          <w:highlight w:val="none"/>
          <w:lang w:val="en-US" w:eastAsia="zh-CN" w:bidi="ar-SA"/>
        </w:rPr>
        <w:t>SBR AC-16C改性沥青</w:t>
      </w:r>
    </w:p>
    <w:p>
      <w:pPr>
        <w:numPr>
          <w:ilvl w:val="0"/>
          <w:numId w:val="3"/>
        </w:num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购买数量</w:t>
      </w:r>
    </w:p>
    <w:p>
      <w:pPr>
        <w:spacing w:line="400" w:lineRule="exact"/>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满足日常养护材料沥青150吨，灌封胶80吨，冷补料1200吨。抢险保通材料ZB-200型39.6米钢架桥。</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三、最高限价</w:t>
      </w:r>
    </w:p>
    <w:p>
      <w:pPr>
        <w:spacing w:line="400" w:lineRule="exact"/>
        <w:ind w:firstLine="480" w:firstLineChars="200"/>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总采购金额为516万元（该笔费用包含材料购买及运输费用）投标报价中(有特别说明的除外)单价和总额价均包含现场踏勘费用、材料费(含辅助材料等)、人工费、材料生产机械使用费、企业管理费、运输及装卸费、材料保管费、检验及测试费、临时水电费、措施费、安全生产费用、质保期内维修及保养费、义务和一般风险、保险费、利润、规费、增值税发票、政策性文件规定的费用和其他交付采购人使用前产生的所有费用。用于本合同项目的各类装备的提供、运输、维护、拆卸、拼装等支付的费用，已包括在投标报价的总额价之中。</w:t>
      </w:r>
    </w:p>
    <w:p>
      <w:pPr>
        <w:numPr>
          <w:ilvl w:val="0"/>
          <w:numId w:val="3"/>
        </w:numPr>
        <w:spacing w:line="400" w:lineRule="exact"/>
        <w:ind w:left="0" w:leftChars="0" w:firstLine="0" w:firstLineChars="0"/>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交货地点</w:t>
      </w:r>
    </w:p>
    <w:p>
      <w:pPr>
        <w:pStyle w:val="3"/>
        <w:numPr>
          <w:ilvl w:val="0"/>
          <w:numId w:val="0"/>
        </w:numPr>
        <w:ind w:leftChars="0"/>
        <w:jc w:val="both"/>
        <w:rPr>
          <w:rFonts w:hint="eastAsia"/>
          <w:lang w:val="en-US" w:eastAsia="zh-CN"/>
        </w:rPr>
      </w:pPr>
      <w:r>
        <w:rPr>
          <w:rFonts w:hint="eastAsia" w:ascii="仿宋_GB2312" w:hAnsi="宋体" w:eastAsia="仿宋_GB2312" w:cs="Times New Roman"/>
          <w:sz w:val="24"/>
          <w:szCs w:val="24"/>
          <w:highlight w:val="none"/>
          <w:lang w:val="en-US" w:eastAsia="zh-CN" w:bidi="ar-SA"/>
        </w:rPr>
        <w:t>*</w:t>
      </w:r>
      <w:r>
        <w:rPr>
          <w:rFonts w:hint="eastAsia"/>
          <w:lang w:val="en-US" w:eastAsia="zh-CN"/>
        </w:rPr>
        <w:t>采购人需求</w:t>
      </w: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（一）</w:t>
      </w:r>
      <w:r>
        <w:rPr>
          <w:rFonts w:hint="eastAsia" w:ascii="仿宋_GB2312" w:hAnsi="宋体" w:eastAsia="仿宋_GB2312" w:cs="Times New Roman"/>
          <w:sz w:val="24"/>
          <w:szCs w:val="24"/>
          <w:highlight w:val="none"/>
          <w:lang w:val="en-US" w:eastAsia="zh-CN" w:bidi="ar-SA"/>
        </w:rPr>
        <w:t>*</w:t>
      </w:r>
      <w:r>
        <w:rPr>
          <w:rFonts w:hint="eastAsia" w:ascii="仿宋_GB2312" w:hAnsi="宋体" w:eastAsia="仿宋_GB2312" w:cs="Times New Roman"/>
          <w:color w:val="auto"/>
          <w:kern w:val="2"/>
          <w:sz w:val="24"/>
          <w:szCs w:val="24"/>
          <w:highlight w:val="none"/>
          <w:lang w:val="en-US" w:eastAsia="zh-CN" w:bidi="ar-SA"/>
        </w:rPr>
        <w:t>沥青</w:t>
      </w:r>
    </w:p>
    <w:p>
      <w:pPr>
        <w:spacing w:line="440" w:lineRule="exact"/>
        <w:ind w:firstLine="410" w:firstLineChars="171"/>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本项目选用SBR改性沥青。沥青的技术指标应满足《公路沥青路面施工技术规范》（JTG F40-2004）的要求。试验方法和用量按照现行《公路工程沥青及沥青混合料试验规程JTGE20-2011》规定的方法执行。</w:t>
      </w:r>
    </w:p>
    <w:p>
      <w:pPr>
        <w:pStyle w:val="13"/>
        <w:snapToGrid w:val="0"/>
        <w:ind w:left="0" w:leftChars="0" w:firstLine="560"/>
        <w:rPr>
          <w:rFonts w:hint="eastAsia" w:ascii="仿宋" w:hAnsi="仿宋" w:eastAsia="仿宋"/>
          <w:kern w:val="0"/>
          <w:sz w:val="28"/>
          <w:szCs w:val="28"/>
        </w:rPr>
      </w:pPr>
      <w:r>
        <w:rPr>
          <w:rFonts w:ascii="仿宋" w:hAnsi="仿宋" w:eastAsia="仿宋"/>
          <w:sz w:val="28"/>
          <w:szCs w:val="28"/>
        </w:rPr>
        <w:t>本项目气候分区属于</w:t>
      </w:r>
      <w:r>
        <w:rPr>
          <w:rFonts w:hint="eastAsia" w:ascii="仿宋" w:hAnsi="仿宋" w:eastAsia="仿宋"/>
          <w:sz w:val="28"/>
          <w:szCs w:val="28"/>
        </w:rPr>
        <w:t>3-2区选用聚合物改性沥青SBR Ⅱ-A型。</w:t>
      </w:r>
      <w:r>
        <w:rPr>
          <w:rFonts w:ascii="仿宋" w:hAnsi="仿宋" w:eastAsia="仿宋"/>
          <w:sz w:val="28"/>
          <w:szCs w:val="28"/>
        </w:rPr>
        <w:t>沥青的技术指标应满足《公路沥青路面施工技术规范》(JTG F40-2004)的要求</w:t>
      </w:r>
      <w:r>
        <w:rPr>
          <w:rFonts w:hint="eastAsia" w:ascii="仿宋" w:hAnsi="仿宋" w:eastAsia="仿宋"/>
          <w:sz w:val="28"/>
          <w:szCs w:val="28"/>
        </w:rPr>
        <w:t>见表10-3</w:t>
      </w:r>
      <w:r>
        <w:rPr>
          <w:rFonts w:ascii="仿宋" w:hAnsi="仿宋" w:eastAsia="仿宋"/>
          <w:sz w:val="28"/>
          <w:szCs w:val="28"/>
        </w:rPr>
        <w:t>。试验方法和用量按照现行《公路工程沥青及沥青混合料试验规程 JTJ 052-2000》规定的方法执行。</w:t>
      </w:r>
    </w:p>
    <w:tbl>
      <w:tblPr>
        <w:tblStyle w:val="2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75"/>
        <w:gridCol w:w="1106"/>
        <w:gridCol w:w="1987"/>
        <w:gridCol w:w="2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675" w:type="dxa"/>
            <w:vMerge w:val="restart"/>
            <w:tcBorders>
              <w:left w:val="single" w:color="auto" w:sz="6" w:space="0"/>
              <w:bottom w:val="nil"/>
            </w:tcBorders>
            <w:noWrap w:val="0"/>
            <w:vAlign w:val="center"/>
          </w:tcPr>
          <w:p>
            <w:pPr>
              <w:autoSpaceDE w:val="0"/>
              <w:autoSpaceDN w:val="0"/>
              <w:jc w:val="center"/>
              <w:textAlignment w:val="bottom"/>
              <w:rPr>
                <w:rFonts w:ascii="宋体"/>
                <w:sz w:val="18"/>
              </w:rPr>
            </w:pPr>
            <w:r>
              <w:rPr>
                <w:rFonts w:hint="eastAsia" w:ascii="宋体"/>
                <w:sz w:val="18"/>
              </w:rPr>
              <w:t>指   标</w:t>
            </w:r>
          </w:p>
        </w:tc>
        <w:tc>
          <w:tcPr>
            <w:tcW w:w="1106" w:type="dxa"/>
            <w:vMerge w:val="restart"/>
            <w:noWrap w:val="0"/>
            <w:vAlign w:val="center"/>
          </w:tcPr>
          <w:p>
            <w:pPr>
              <w:autoSpaceDE w:val="0"/>
              <w:autoSpaceDN w:val="0"/>
              <w:jc w:val="center"/>
              <w:textAlignment w:val="bottom"/>
              <w:rPr>
                <w:rFonts w:hint="eastAsia" w:ascii="宋体"/>
                <w:sz w:val="18"/>
              </w:rPr>
            </w:pPr>
            <w:r>
              <w:rPr>
                <w:rFonts w:hint="eastAsia" w:ascii="宋体"/>
                <w:sz w:val="18"/>
              </w:rPr>
              <w:t>单位</w:t>
            </w:r>
          </w:p>
        </w:tc>
        <w:tc>
          <w:tcPr>
            <w:tcW w:w="1987" w:type="dxa"/>
            <w:noWrap w:val="0"/>
            <w:vAlign w:val="center"/>
          </w:tcPr>
          <w:p>
            <w:pPr>
              <w:autoSpaceDE w:val="0"/>
              <w:autoSpaceDN w:val="0"/>
              <w:jc w:val="center"/>
              <w:textAlignment w:val="bottom"/>
              <w:rPr>
                <w:rFonts w:ascii="宋体"/>
                <w:sz w:val="18"/>
              </w:rPr>
            </w:pPr>
            <w:r>
              <w:rPr>
                <w:rFonts w:ascii="宋体"/>
                <w:sz w:val="18"/>
              </w:rPr>
              <w:t>SBR</w:t>
            </w:r>
            <w:r>
              <w:rPr>
                <w:rFonts w:hint="eastAsia" w:ascii="宋体"/>
                <w:sz w:val="18"/>
              </w:rPr>
              <w:t>类</w:t>
            </w:r>
            <w:r>
              <w:rPr>
                <w:rFonts w:ascii="宋体"/>
                <w:sz w:val="18"/>
              </w:rPr>
              <w:t>(</w:t>
            </w:r>
            <w:r>
              <w:rPr>
                <w:rFonts w:ascii="宋体"/>
                <w:sz w:val="18"/>
              </w:rPr>
              <w:fldChar w:fldCharType="begin"/>
            </w:r>
            <w:r>
              <w:rPr>
                <w:rFonts w:ascii="宋体"/>
                <w:sz w:val="18"/>
              </w:rPr>
              <w:instrText xml:space="preserve"> = 2 \* ROMAN </w:instrText>
            </w:r>
            <w:r>
              <w:rPr>
                <w:rFonts w:ascii="宋体"/>
                <w:sz w:val="18"/>
              </w:rPr>
              <w:fldChar w:fldCharType="separate"/>
            </w:r>
            <w:r>
              <w:rPr>
                <w:rFonts w:ascii="宋体"/>
                <w:sz w:val="18"/>
              </w:rPr>
              <w:t>II</w:t>
            </w:r>
            <w:r>
              <w:rPr>
                <w:rFonts w:ascii="宋体"/>
                <w:sz w:val="18"/>
              </w:rPr>
              <w:fldChar w:fldCharType="end"/>
            </w:r>
            <w:r>
              <w:rPr>
                <w:rFonts w:hint="eastAsia" w:ascii="宋体"/>
                <w:sz w:val="18"/>
              </w:rPr>
              <w:t>类</w:t>
            </w:r>
            <w:r>
              <w:rPr>
                <w:rFonts w:ascii="宋体"/>
                <w:sz w:val="18"/>
              </w:rPr>
              <w:t>)</w:t>
            </w:r>
          </w:p>
        </w:tc>
        <w:tc>
          <w:tcPr>
            <w:tcW w:w="2250" w:type="dxa"/>
            <w:vMerge w:val="restart"/>
            <w:tcBorders>
              <w:bottom w:val="nil"/>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试验方法</w:t>
            </w:r>
            <w:r>
              <w:rPr>
                <w:rFonts w:hint="eastAsia" w:ascii="宋体"/>
                <w:sz w:val="18"/>
                <w:vertAlign w:val="superscript"/>
              </w:rPr>
              <w:t>[1]</w:t>
            </w:r>
            <w:r>
              <w:rPr>
                <w:rFonts w:hint="eastAsia" w:ascii="宋体"/>
                <w:sz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675" w:type="dxa"/>
            <w:vMerge w:val="continue"/>
            <w:tcBorders>
              <w:top w:val="nil"/>
              <w:left w:val="single" w:color="auto" w:sz="6" w:space="0"/>
              <w:bottom w:val="nil"/>
            </w:tcBorders>
            <w:noWrap w:val="0"/>
            <w:vAlign w:val="center"/>
          </w:tcPr>
          <w:p>
            <w:pPr>
              <w:autoSpaceDE w:val="0"/>
              <w:autoSpaceDN w:val="0"/>
              <w:textAlignment w:val="bottom"/>
              <w:rPr>
                <w:rFonts w:ascii="宋体"/>
                <w:sz w:val="18"/>
              </w:rPr>
            </w:pPr>
          </w:p>
        </w:tc>
        <w:tc>
          <w:tcPr>
            <w:tcW w:w="1106" w:type="dxa"/>
            <w:vMerge w:val="continue"/>
            <w:noWrap w:val="0"/>
            <w:vAlign w:val="top"/>
          </w:tcPr>
          <w:p>
            <w:pPr>
              <w:autoSpaceDE w:val="0"/>
              <w:autoSpaceDN w:val="0"/>
              <w:jc w:val="center"/>
              <w:textAlignment w:val="bottom"/>
              <w:rPr>
                <w:rFonts w:ascii="宋体"/>
                <w:sz w:val="18"/>
              </w:rPr>
            </w:pPr>
          </w:p>
        </w:tc>
        <w:tc>
          <w:tcPr>
            <w:tcW w:w="1987" w:type="dxa"/>
            <w:noWrap w:val="0"/>
            <w:vAlign w:val="center"/>
          </w:tcPr>
          <w:p>
            <w:pPr>
              <w:autoSpaceDE w:val="0"/>
              <w:autoSpaceDN w:val="0"/>
              <w:jc w:val="center"/>
              <w:textAlignment w:val="bottom"/>
              <w:rPr>
                <w:rFonts w:ascii="宋体"/>
                <w:sz w:val="18"/>
              </w:rPr>
            </w:pPr>
            <w:r>
              <w:rPr>
                <w:rFonts w:ascii="宋体"/>
                <w:sz w:val="18"/>
              </w:rPr>
              <w:fldChar w:fldCharType="begin"/>
            </w:r>
            <w:r>
              <w:rPr>
                <w:rFonts w:ascii="宋体"/>
                <w:sz w:val="18"/>
              </w:rPr>
              <w:instrText xml:space="preserve"> = 2 \* ROMAN </w:instrText>
            </w:r>
            <w:r>
              <w:rPr>
                <w:rFonts w:ascii="宋体"/>
                <w:sz w:val="18"/>
              </w:rPr>
              <w:fldChar w:fldCharType="separate"/>
            </w:r>
            <w:r>
              <w:rPr>
                <w:rFonts w:ascii="宋体"/>
                <w:sz w:val="18"/>
              </w:rPr>
              <w:t>II</w:t>
            </w:r>
            <w:r>
              <w:rPr>
                <w:rFonts w:ascii="宋体"/>
                <w:sz w:val="18"/>
              </w:rPr>
              <w:fldChar w:fldCharType="end"/>
            </w:r>
            <w:r>
              <w:rPr>
                <w:rFonts w:ascii="宋体"/>
                <w:sz w:val="18"/>
              </w:rPr>
              <w:t>-A</w:t>
            </w:r>
          </w:p>
        </w:tc>
        <w:tc>
          <w:tcPr>
            <w:tcW w:w="2250" w:type="dxa"/>
            <w:vMerge w:val="continue"/>
            <w:tcBorders>
              <w:top w:val="nil"/>
              <w:right w:val="single" w:color="auto" w:sz="6" w:space="0"/>
            </w:tcBorders>
            <w:noWrap w:val="0"/>
            <w:vAlign w:val="center"/>
          </w:tcPr>
          <w:p>
            <w:pPr>
              <w:autoSpaceDE w:val="0"/>
              <w:autoSpaceDN w:val="0"/>
              <w:jc w:val="center"/>
              <w:textAlignment w:val="bottom"/>
              <w:rPr>
                <w:rFonts w:hint="eastAsia" w:asci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3" w:hRule="atLeast"/>
          <w:jc w:val="center"/>
        </w:trPr>
        <w:tc>
          <w:tcPr>
            <w:tcW w:w="2675" w:type="dxa"/>
            <w:tcBorders>
              <w:top w:val="single" w:color="auto" w:sz="6" w:space="0"/>
              <w:left w:val="single" w:color="auto" w:sz="6" w:space="0"/>
              <w:bottom w:val="single" w:color="auto" w:sz="6" w:space="0"/>
            </w:tcBorders>
            <w:noWrap w:val="0"/>
            <w:vAlign w:val="center"/>
          </w:tcPr>
          <w:p>
            <w:pPr>
              <w:autoSpaceDE w:val="0"/>
              <w:autoSpaceDN w:val="0"/>
              <w:textAlignment w:val="bottom"/>
              <w:rPr>
                <w:rFonts w:hint="eastAsia" w:ascii="宋体"/>
                <w:sz w:val="18"/>
              </w:rPr>
            </w:pPr>
            <w:r>
              <w:rPr>
                <w:rFonts w:hint="eastAsia" w:ascii="宋体"/>
                <w:sz w:val="18"/>
              </w:rPr>
              <w:t>针入度</w:t>
            </w:r>
            <w:r>
              <w:rPr>
                <w:rFonts w:ascii="宋体"/>
                <w:sz w:val="18"/>
              </w:rPr>
              <w:t xml:space="preserve"> 25</w:t>
            </w:r>
            <w:r>
              <w:rPr>
                <w:rFonts w:hint="eastAsia" w:ascii="宋体"/>
                <w:sz w:val="18"/>
              </w:rPr>
              <w:t>℃</w:t>
            </w:r>
            <w:r>
              <w:rPr>
                <w:rFonts w:ascii="宋体"/>
                <w:sz w:val="18"/>
              </w:rPr>
              <w:t>,100g</w:t>
            </w:r>
            <w:r>
              <w:rPr>
                <w:rFonts w:hint="eastAsia" w:ascii="宋体"/>
                <w:sz w:val="18"/>
              </w:rPr>
              <w:t>,</w:t>
            </w:r>
            <w:r>
              <w:rPr>
                <w:rFonts w:ascii="宋体"/>
                <w:sz w:val="18"/>
              </w:rPr>
              <w:t xml:space="preserve">5s                </w:t>
            </w:r>
          </w:p>
        </w:tc>
        <w:tc>
          <w:tcPr>
            <w:tcW w:w="1106" w:type="dxa"/>
            <w:noWrap w:val="0"/>
            <w:vAlign w:val="center"/>
          </w:tcPr>
          <w:p>
            <w:pPr>
              <w:autoSpaceDE w:val="0"/>
              <w:autoSpaceDN w:val="0"/>
              <w:jc w:val="center"/>
              <w:textAlignment w:val="bottom"/>
              <w:rPr>
                <w:rFonts w:hint="eastAsia" w:ascii="宋体"/>
                <w:sz w:val="15"/>
              </w:rPr>
            </w:pPr>
            <w:r>
              <w:rPr>
                <w:rFonts w:hint="eastAsia" w:ascii="宋体"/>
                <w:sz w:val="15"/>
              </w:rPr>
              <w:t>dmm</w:t>
            </w:r>
          </w:p>
        </w:tc>
        <w:tc>
          <w:tcPr>
            <w:tcW w:w="1987" w:type="dxa"/>
            <w:noWrap w:val="0"/>
            <w:vAlign w:val="center"/>
          </w:tcPr>
          <w:p>
            <w:pPr>
              <w:autoSpaceDE w:val="0"/>
              <w:autoSpaceDN w:val="0"/>
              <w:jc w:val="center"/>
              <w:textAlignment w:val="bottom"/>
              <w:rPr>
                <w:rFonts w:hint="eastAsia" w:ascii="宋体"/>
                <w:sz w:val="18"/>
              </w:rPr>
            </w:pPr>
            <w:r>
              <w:rPr>
                <w:rFonts w:hint="eastAsia" w:ascii="宋体"/>
                <w:sz w:val="18"/>
              </w:rPr>
              <w:t>&gt;</w:t>
            </w:r>
            <w:r>
              <w:rPr>
                <w:rFonts w:ascii="宋体"/>
                <w:sz w:val="18"/>
              </w:rPr>
              <w:t>100</w:t>
            </w:r>
          </w:p>
        </w:tc>
        <w:tc>
          <w:tcPr>
            <w:tcW w:w="2250" w:type="dxa"/>
            <w:tcBorders>
              <w:right w:val="single" w:color="auto" w:sz="6" w:space="0"/>
            </w:tcBorders>
            <w:noWrap w:val="0"/>
            <w:vAlign w:val="center"/>
          </w:tcPr>
          <w:p>
            <w:pPr>
              <w:autoSpaceDE w:val="0"/>
              <w:autoSpaceDN w:val="0"/>
              <w:jc w:val="center"/>
              <w:textAlignment w:val="bottom"/>
              <w:rPr>
                <w:rFonts w:ascii="宋体"/>
                <w:sz w:val="18"/>
              </w:rPr>
            </w:pPr>
            <w:r>
              <w:rPr>
                <w:rFonts w:hint="eastAsia" w:ascii="宋体"/>
                <w:sz w:val="18"/>
              </w:rPr>
              <w:t>T 0604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8" w:hRule="atLeast"/>
          <w:jc w:val="center"/>
        </w:trPr>
        <w:tc>
          <w:tcPr>
            <w:tcW w:w="2675" w:type="dxa"/>
            <w:tcBorders>
              <w:top w:val="single" w:color="auto" w:sz="6" w:space="0"/>
              <w:left w:val="single" w:color="auto" w:sz="6" w:space="0"/>
              <w:bottom w:val="single" w:color="auto" w:sz="6" w:space="0"/>
            </w:tcBorders>
            <w:noWrap w:val="0"/>
            <w:vAlign w:val="center"/>
          </w:tcPr>
          <w:p>
            <w:pPr>
              <w:autoSpaceDE w:val="0"/>
              <w:autoSpaceDN w:val="0"/>
              <w:textAlignment w:val="bottom"/>
              <w:rPr>
                <w:rFonts w:ascii="宋体"/>
                <w:sz w:val="18"/>
              </w:rPr>
            </w:pPr>
            <w:r>
              <w:rPr>
                <w:rFonts w:hint="eastAsia" w:ascii="宋体"/>
                <w:sz w:val="18"/>
              </w:rPr>
              <w:t>针入度指数</w:t>
            </w:r>
            <w:r>
              <w:rPr>
                <w:rFonts w:ascii="宋体"/>
                <w:sz w:val="18"/>
              </w:rPr>
              <w:t>PI</w:t>
            </w:r>
            <w:r>
              <w:rPr>
                <w:rFonts w:hint="eastAsia" w:ascii="宋体"/>
                <w:sz w:val="18"/>
              </w:rPr>
              <w:t xml:space="preserve"> </w:t>
            </w:r>
            <w:r>
              <w:rPr>
                <w:rFonts w:ascii="宋体"/>
                <w:sz w:val="18"/>
              </w:rPr>
              <w:t xml:space="preserve"> 不小于</w:t>
            </w:r>
          </w:p>
        </w:tc>
        <w:tc>
          <w:tcPr>
            <w:tcW w:w="1106" w:type="dxa"/>
            <w:noWrap w:val="0"/>
            <w:vAlign w:val="top"/>
          </w:tcPr>
          <w:p>
            <w:pPr>
              <w:autoSpaceDE w:val="0"/>
              <w:autoSpaceDN w:val="0"/>
              <w:jc w:val="center"/>
              <w:textAlignment w:val="bottom"/>
              <w:rPr>
                <w:rFonts w:ascii="宋体"/>
                <w:sz w:val="18"/>
              </w:rPr>
            </w:pPr>
          </w:p>
        </w:tc>
        <w:tc>
          <w:tcPr>
            <w:tcW w:w="1987" w:type="dxa"/>
            <w:noWrap w:val="0"/>
            <w:vAlign w:val="center"/>
          </w:tcPr>
          <w:p>
            <w:pPr>
              <w:autoSpaceDE w:val="0"/>
              <w:autoSpaceDN w:val="0"/>
              <w:jc w:val="center"/>
              <w:textAlignment w:val="bottom"/>
              <w:rPr>
                <w:rFonts w:ascii="宋体"/>
                <w:sz w:val="18"/>
              </w:rPr>
            </w:pPr>
            <w:r>
              <w:rPr>
                <w:rFonts w:ascii="宋体"/>
                <w:sz w:val="18"/>
              </w:rPr>
              <w:t>-1.0</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1" w:hRule="atLeast"/>
          <w:jc w:val="center"/>
        </w:trPr>
        <w:tc>
          <w:tcPr>
            <w:tcW w:w="2675" w:type="dxa"/>
            <w:tcBorders>
              <w:top w:val="single" w:color="auto" w:sz="6" w:space="0"/>
              <w:left w:val="single" w:color="auto" w:sz="6" w:space="0"/>
              <w:bottom w:val="single" w:color="auto" w:sz="6" w:space="0"/>
            </w:tcBorders>
            <w:noWrap w:val="0"/>
            <w:vAlign w:val="center"/>
          </w:tcPr>
          <w:p>
            <w:pPr>
              <w:autoSpaceDE w:val="0"/>
              <w:autoSpaceDN w:val="0"/>
              <w:textAlignment w:val="bottom"/>
              <w:rPr>
                <w:rFonts w:ascii="宋体"/>
                <w:sz w:val="18"/>
              </w:rPr>
            </w:pPr>
            <w:r>
              <w:rPr>
                <w:rFonts w:hint="eastAsia" w:ascii="宋体"/>
                <w:sz w:val="18"/>
              </w:rPr>
              <w:t>延度</w:t>
            </w:r>
            <w:r>
              <w:rPr>
                <w:rFonts w:ascii="宋体"/>
                <w:sz w:val="18"/>
              </w:rPr>
              <w:t xml:space="preserve"> 5</w:t>
            </w:r>
            <w:r>
              <w:rPr>
                <w:rFonts w:hint="eastAsia" w:ascii="宋体"/>
                <w:sz w:val="18"/>
              </w:rPr>
              <w:t>℃</w:t>
            </w:r>
            <w:r>
              <w:rPr>
                <w:rFonts w:ascii="宋体"/>
                <w:sz w:val="18"/>
              </w:rPr>
              <w:t>,5cm/min不小于</w:t>
            </w:r>
          </w:p>
        </w:tc>
        <w:tc>
          <w:tcPr>
            <w:tcW w:w="1106" w:type="dxa"/>
            <w:noWrap w:val="0"/>
            <w:vAlign w:val="top"/>
          </w:tcPr>
          <w:p>
            <w:pPr>
              <w:autoSpaceDE w:val="0"/>
              <w:autoSpaceDN w:val="0"/>
              <w:jc w:val="center"/>
              <w:textAlignment w:val="bottom"/>
              <w:rPr>
                <w:rFonts w:ascii="宋体"/>
                <w:sz w:val="18"/>
              </w:rPr>
            </w:pPr>
            <w:r>
              <w:rPr>
                <w:rFonts w:ascii="宋体"/>
                <w:sz w:val="18"/>
              </w:rPr>
              <w:t>cm</w:t>
            </w:r>
          </w:p>
        </w:tc>
        <w:tc>
          <w:tcPr>
            <w:tcW w:w="1987" w:type="dxa"/>
            <w:noWrap w:val="0"/>
            <w:vAlign w:val="center"/>
          </w:tcPr>
          <w:p>
            <w:pPr>
              <w:autoSpaceDE w:val="0"/>
              <w:autoSpaceDN w:val="0"/>
              <w:jc w:val="center"/>
              <w:textAlignment w:val="bottom"/>
              <w:rPr>
                <w:rFonts w:ascii="宋体"/>
                <w:sz w:val="18"/>
              </w:rPr>
            </w:pPr>
            <w:r>
              <w:rPr>
                <w:rFonts w:ascii="宋体"/>
                <w:sz w:val="18"/>
              </w:rPr>
              <w:t>60</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8" w:hRule="atLeast"/>
          <w:jc w:val="center"/>
        </w:trPr>
        <w:tc>
          <w:tcPr>
            <w:tcW w:w="2675" w:type="dxa"/>
            <w:tcBorders>
              <w:top w:val="single" w:color="auto" w:sz="6" w:space="0"/>
              <w:left w:val="single" w:color="auto" w:sz="6" w:space="0"/>
              <w:bottom w:val="single" w:color="auto" w:sz="6" w:space="0"/>
            </w:tcBorders>
            <w:noWrap w:val="0"/>
            <w:vAlign w:val="center"/>
          </w:tcPr>
          <w:p>
            <w:pPr>
              <w:autoSpaceDE w:val="0"/>
              <w:autoSpaceDN w:val="0"/>
              <w:textAlignment w:val="bottom"/>
              <w:rPr>
                <w:rFonts w:ascii="宋体"/>
                <w:sz w:val="18"/>
              </w:rPr>
            </w:pPr>
            <w:r>
              <w:rPr>
                <w:rFonts w:hint="eastAsia" w:ascii="宋体"/>
                <w:sz w:val="18"/>
              </w:rPr>
              <w:t>软化点</w:t>
            </w:r>
            <w:r>
              <w:rPr>
                <w:rFonts w:ascii="宋体"/>
                <w:sz w:val="18"/>
              </w:rPr>
              <w:t xml:space="preserve"> T</w:t>
            </w:r>
            <w:r>
              <w:rPr>
                <w:rFonts w:ascii="宋体"/>
                <w:sz w:val="18"/>
                <w:vertAlign w:val="subscript"/>
              </w:rPr>
              <w:t xml:space="preserve">R&amp;B </w:t>
            </w:r>
            <w:r>
              <w:rPr>
                <w:rFonts w:ascii="宋体"/>
                <w:sz w:val="18"/>
              </w:rPr>
              <w:t xml:space="preserve"> </w:t>
            </w:r>
            <w:r>
              <w:rPr>
                <w:rFonts w:hint="eastAsia" w:ascii="宋体"/>
                <w:sz w:val="18"/>
              </w:rPr>
              <w:t xml:space="preserve">  </w:t>
            </w:r>
            <w:r>
              <w:rPr>
                <w:rFonts w:ascii="宋体"/>
                <w:sz w:val="18"/>
              </w:rPr>
              <w:t xml:space="preserve"> 不小于</w:t>
            </w:r>
          </w:p>
        </w:tc>
        <w:tc>
          <w:tcPr>
            <w:tcW w:w="1106" w:type="dxa"/>
            <w:noWrap w:val="0"/>
            <w:vAlign w:val="top"/>
          </w:tcPr>
          <w:p>
            <w:pPr>
              <w:autoSpaceDE w:val="0"/>
              <w:autoSpaceDN w:val="0"/>
              <w:jc w:val="center"/>
              <w:textAlignment w:val="bottom"/>
              <w:rPr>
                <w:rFonts w:ascii="宋体"/>
                <w:sz w:val="18"/>
              </w:rPr>
            </w:pPr>
            <w:r>
              <w:rPr>
                <w:rFonts w:hint="eastAsia" w:ascii="宋体"/>
                <w:sz w:val="18"/>
              </w:rPr>
              <w:t xml:space="preserve">℃  </w:t>
            </w:r>
          </w:p>
        </w:tc>
        <w:tc>
          <w:tcPr>
            <w:tcW w:w="1987" w:type="dxa"/>
            <w:noWrap w:val="0"/>
            <w:vAlign w:val="center"/>
          </w:tcPr>
          <w:p>
            <w:pPr>
              <w:autoSpaceDE w:val="0"/>
              <w:autoSpaceDN w:val="0"/>
              <w:jc w:val="center"/>
              <w:textAlignment w:val="bottom"/>
              <w:rPr>
                <w:rFonts w:ascii="宋体"/>
                <w:sz w:val="18"/>
              </w:rPr>
            </w:pPr>
            <w:r>
              <w:rPr>
                <w:rFonts w:ascii="宋体"/>
                <w:sz w:val="18"/>
              </w:rPr>
              <w:t>45</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6" w:hRule="atLeast"/>
          <w:jc w:val="center"/>
        </w:trPr>
        <w:tc>
          <w:tcPr>
            <w:tcW w:w="2675" w:type="dxa"/>
            <w:tcBorders>
              <w:top w:val="single" w:color="auto" w:sz="6" w:space="0"/>
              <w:left w:val="single" w:color="auto" w:sz="6" w:space="0"/>
              <w:bottom w:val="single" w:color="auto" w:sz="6" w:space="0"/>
            </w:tcBorders>
            <w:noWrap w:val="0"/>
            <w:vAlign w:val="center"/>
          </w:tcPr>
          <w:p>
            <w:pPr>
              <w:autoSpaceDE w:val="0"/>
              <w:autoSpaceDN w:val="0"/>
              <w:textAlignment w:val="bottom"/>
              <w:rPr>
                <w:rFonts w:hint="eastAsia" w:ascii="宋体"/>
                <w:sz w:val="18"/>
              </w:rPr>
            </w:pPr>
            <w:r>
              <w:rPr>
                <w:rFonts w:hint="eastAsia" w:ascii="宋体"/>
                <w:sz w:val="18"/>
              </w:rPr>
              <w:t>运动粘度</w:t>
            </w:r>
            <w:r>
              <w:rPr>
                <w:rFonts w:ascii="宋体"/>
                <w:sz w:val="18"/>
                <w:vertAlign w:val="superscript"/>
              </w:rPr>
              <w:t>[</w:t>
            </w:r>
            <w:r>
              <w:rPr>
                <w:rFonts w:hint="eastAsia" w:ascii="宋体"/>
                <w:sz w:val="18"/>
                <w:vertAlign w:val="superscript"/>
              </w:rPr>
              <w:t>1</w:t>
            </w:r>
            <w:r>
              <w:rPr>
                <w:rFonts w:ascii="宋体"/>
                <w:sz w:val="18"/>
                <w:vertAlign w:val="superscript"/>
              </w:rPr>
              <w:t>]</w:t>
            </w:r>
            <w:r>
              <w:rPr>
                <w:rFonts w:ascii="宋体"/>
                <w:sz w:val="18"/>
              </w:rPr>
              <w:t>135</w:t>
            </w:r>
            <w:r>
              <w:rPr>
                <w:rFonts w:hint="eastAsia" w:ascii="宋体"/>
                <w:sz w:val="18"/>
              </w:rPr>
              <w:t>℃,不大于</w:t>
            </w:r>
          </w:p>
        </w:tc>
        <w:tc>
          <w:tcPr>
            <w:tcW w:w="1106" w:type="dxa"/>
            <w:tcBorders>
              <w:right w:val="nil"/>
            </w:tcBorders>
            <w:noWrap w:val="0"/>
            <w:vAlign w:val="center"/>
          </w:tcPr>
          <w:p>
            <w:pPr>
              <w:autoSpaceDE w:val="0"/>
              <w:autoSpaceDN w:val="0"/>
              <w:jc w:val="center"/>
              <w:textAlignment w:val="bottom"/>
              <w:rPr>
                <w:rFonts w:ascii="宋体"/>
                <w:sz w:val="18"/>
              </w:rPr>
            </w:pPr>
            <w:r>
              <w:rPr>
                <w:rFonts w:ascii="宋体"/>
                <w:sz w:val="18"/>
              </w:rPr>
              <w:t>Pas</w:t>
            </w:r>
          </w:p>
        </w:tc>
        <w:tc>
          <w:tcPr>
            <w:tcW w:w="1987" w:type="dxa"/>
            <w:tcBorders>
              <w:top w:val="single" w:color="auto" w:sz="4" w:space="0"/>
              <w:bottom w:val="single" w:color="auto" w:sz="4" w:space="0"/>
              <w:right w:val="single" w:color="auto" w:sz="6" w:space="0"/>
            </w:tcBorders>
            <w:noWrap w:val="0"/>
            <w:vAlign w:val="center"/>
          </w:tcPr>
          <w:p>
            <w:pPr>
              <w:jc w:val="center"/>
              <w:rPr>
                <w:rFonts w:hint="eastAsia" w:ascii="宋体" w:eastAsia="宋体"/>
                <w:sz w:val="18"/>
                <w:lang w:val="en-US" w:eastAsia="zh-CN"/>
              </w:rPr>
            </w:pPr>
            <w:r>
              <w:rPr>
                <w:rFonts w:hint="eastAsia" w:ascii="宋体"/>
                <w:sz w:val="18"/>
                <w:lang w:val="en-US" w:eastAsia="zh-CN"/>
              </w:rPr>
              <w:t>3</w:t>
            </w:r>
          </w:p>
        </w:tc>
        <w:tc>
          <w:tcPr>
            <w:tcW w:w="2250" w:type="dxa"/>
            <w:tcBorders>
              <w:top w:val="single" w:color="auto" w:sz="4" w:space="0"/>
              <w:bottom w:val="single" w:color="auto" w:sz="4" w:space="0"/>
              <w:right w:val="single" w:color="auto" w:sz="6" w:space="0"/>
            </w:tcBorders>
            <w:noWrap w:val="0"/>
            <w:vAlign w:val="center"/>
          </w:tcPr>
          <w:p>
            <w:pPr>
              <w:jc w:val="center"/>
              <w:rPr>
                <w:rFonts w:hint="eastAsia" w:ascii="宋体"/>
                <w:sz w:val="18"/>
              </w:rPr>
            </w:pPr>
            <w:r>
              <w:rPr>
                <w:rFonts w:hint="eastAsia" w:ascii="宋体"/>
                <w:sz w:val="18"/>
              </w:rPr>
              <w:t>T 0625</w:t>
            </w:r>
            <w:r>
              <w:rPr>
                <w:rFonts w:hint="eastAsia" w:ascii="宋体"/>
                <w:sz w:val="18"/>
                <w:lang w:val="en-US" w:eastAsia="zh-CN"/>
              </w:rPr>
              <w:t xml:space="preserve">    </w:t>
            </w:r>
            <w:r>
              <w:rPr>
                <w:rFonts w:hint="eastAsia" w:ascii="宋体"/>
                <w:sz w:val="18"/>
              </w:rPr>
              <w:t>T 0619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5" w:hRule="atLeast"/>
          <w:jc w:val="center"/>
        </w:trPr>
        <w:tc>
          <w:tcPr>
            <w:tcW w:w="2675" w:type="dxa"/>
            <w:tcBorders>
              <w:left w:val="single" w:color="auto" w:sz="6" w:space="0"/>
              <w:bottom w:val="nil"/>
            </w:tcBorders>
            <w:noWrap w:val="0"/>
            <w:vAlign w:val="center"/>
          </w:tcPr>
          <w:p>
            <w:pPr>
              <w:autoSpaceDE w:val="0"/>
              <w:autoSpaceDN w:val="0"/>
              <w:textAlignment w:val="bottom"/>
              <w:rPr>
                <w:rFonts w:ascii="宋体"/>
                <w:sz w:val="18"/>
              </w:rPr>
            </w:pPr>
            <w:r>
              <w:rPr>
                <w:rFonts w:hint="eastAsia" w:ascii="宋体"/>
                <w:sz w:val="18"/>
              </w:rPr>
              <w:t xml:space="preserve">闪点     </w:t>
            </w:r>
            <w:r>
              <w:rPr>
                <w:rFonts w:ascii="宋体"/>
                <w:sz w:val="18"/>
              </w:rPr>
              <w:t xml:space="preserve"> </w:t>
            </w:r>
            <w:r>
              <w:rPr>
                <w:rFonts w:hint="eastAsia" w:ascii="宋体"/>
                <w:sz w:val="18"/>
              </w:rPr>
              <w:t xml:space="preserve">    </w:t>
            </w:r>
            <w:r>
              <w:rPr>
                <w:rFonts w:ascii="宋体"/>
                <w:sz w:val="18"/>
              </w:rPr>
              <w:t>不小于</w:t>
            </w:r>
          </w:p>
        </w:tc>
        <w:tc>
          <w:tcPr>
            <w:tcW w:w="1106" w:type="dxa"/>
            <w:noWrap w:val="0"/>
            <w:vAlign w:val="center"/>
          </w:tcPr>
          <w:p>
            <w:pPr>
              <w:autoSpaceDE w:val="0"/>
              <w:autoSpaceDN w:val="0"/>
              <w:jc w:val="center"/>
              <w:textAlignment w:val="bottom"/>
              <w:rPr>
                <w:rFonts w:ascii="宋体"/>
                <w:sz w:val="18"/>
              </w:rPr>
            </w:pPr>
            <w:r>
              <w:rPr>
                <w:rFonts w:hint="eastAsia" w:ascii="宋体"/>
                <w:sz w:val="18"/>
              </w:rPr>
              <w:t>℃</w:t>
            </w:r>
          </w:p>
        </w:tc>
        <w:tc>
          <w:tcPr>
            <w:tcW w:w="1987" w:type="dxa"/>
            <w:noWrap w:val="0"/>
            <w:vAlign w:val="center"/>
          </w:tcPr>
          <w:p>
            <w:pPr>
              <w:autoSpaceDE w:val="0"/>
              <w:autoSpaceDN w:val="0"/>
              <w:jc w:val="center"/>
              <w:textAlignment w:val="bottom"/>
              <w:rPr>
                <w:rFonts w:ascii="宋体"/>
                <w:sz w:val="18"/>
              </w:rPr>
            </w:pPr>
            <w:r>
              <w:rPr>
                <w:rFonts w:ascii="宋体"/>
                <w:sz w:val="18"/>
              </w:rPr>
              <w:t>230</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1" w:hRule="atLeast"/>
          <w:jc w:val="center"/>
        </w:trPr>
        <w:tc>
          <w:tcPr>
            <w:tcW w:w="2675" w:type="dxa"/>
            <w:tcBorders>
              <w:left w:val="single" w:color="auto" w:sz="6" w:space="0"/>
              <w:bottom w:val="nil"/>
            </w:tcBorders>
            <w:noWrap w:val="0"/>
            <w:vAlign w:val="center"/>
          </w:tcPr>
          <w:p>
            <w:pPr>
              <w:autoSpaceDE w:val="0"/>
              <w:autoSpaceDN w:val="0"/>
              <w:textAlignment w:val="bottom"/>
              <w:rPr>
                <w:rFonts w:ascii="宋体"/>
                <w:sz w:val="18"/>
              </w:rPr>
            </w:pPr>
            <w:r>
              <w:rPr>
                <w:rFonts w:hint="eastAsia" w:ascii="宋体"/>
                <w:sz w:val="18"/>
              </w:rPr>
              <w:t xml:space="preserve">溶解度   </w:t>
            </w:r>
            <w:r>
              <w:rPr>
                <w:rFonts w:ascii="宋体"/>
                <w:sz w:val="18"/>
              </w:rPr>
              <w:t xml:space="preserve"> </w:t>
            </w:r>
            <w:r>
              <w:rPr>
                <w:rFonts w:hint="eastAsia" w:ascii="宋体"/>
                <w:sz w:val="18"/>
              </w:rPr>
              <w:t xml:space="preserve">    </w:t>
            </w:r>
            <w:r>
              <w:rPr>
                <w:rFonts w:ascii="宋体"/>
                <w:sz w:val="18"/>
              </w:rPr>
              <w:t>不小于</w:t>
            </w:r>
          </w:p>
        </w:tc>
        <w:tc>
          <w:tcPr>
            <w:tcW w:w="1106" w:type="dxa"/>
            <w:noWrap w:val="0"/>
            <w:vAlign w:val="center"/>
          </w:tcPr>
          <w:p>
            <w:pPr>
              <w:autoSpaceDE w:val="0"/>
              <w:autoSpaceDN w:val="0"/>
              <w:jc w:val="center"/>
              <w:textAlignment w:val="bottom"/>
              <w:rPr>
                <w:rFonts w:ascii="宋体"/>
                <w:sz w:val="18"/>
              </w:rPr>
            </w:pPr>
            <w:r>
              <w:rPr>
                <w:rFonts w:hint="eastAsia" w:ascii="宋体"/>
                <w:sz w:val="18"/>
              </w:rPr>
              <w:t xml:space="preserve">％     </w:t>
            </w:r>
          </w:p>
        </w:tc>
        <w:tc>
          <w:tcPr>
            <w:tcW w:w="1987" w:type="dxa"/>
            <w:noWrap w:val="0"/>
            <w:vAlign w:val="center"/>
          </w:tcPr>
          <w:p>
            <w:pPr>
              <w:autoSpaceDE w:val="0"/>
              <w:autoSpaceDN w:val="0"/>
              <w:jc w:val="center"/>
              <w:textAlignment w:val="bottom"/>
              <w:rPr>
                <w:rFonts w:ascii="宋体"/>
                <w:sz w:val="18"/>
              </w:rPr>
            </w:pPr>
            <w:r>
              <w:rPr>
                <w:rFonts w:ascii="宋体"/>
                <w:sz w:val="18"/>
              </w:rPr>
              <w:t>99</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2675" w:type="dxa"/>
            <w:tcBorders>
              <w:left w:val="single" w:color="auto" w:sz="6" w:space="0"/>
              <w:bottom w:val="nil"/>
            </w:tcBorders>
            <w:noWrap w:val="0"/>
            <w:vAlign w:val="center"/>
          </w:tcPr>
          <w:p>
            <w:pPr>
              <w:autoSpaceDE w:val="0"/>
              <w:autoSpaceDN w:val="0"/>
              <w:textAlignment w:val="bottom"/>
              <w:rPr>
                <w:rFonts w:ascii="宋体"/>
                <w:sz w:val="18"/>
              </w:rPr>
            </w:pPr>
            <w:r>
              <w:rPr>
                <w:rFonts w:hint="eastAsia" w:ascii="宋体"/>
                <w:sz w:val="18"/>
              </w:rPr>
              <w:t>弹性恢复</w:t>
            </w:r>
            <w:r>
              <w:rPr>
                <w:rFonts w:ascii="宋体"/>
                <w:sz w:val="18"/>
              </w:rPr>
              <w:t>25</w:t>
            </w:r>
            <w:r>
              <w:rPr>
                <w:rFonts w:hint="eastAsia" w:ascii="宋体"/>
                <w:sz w:val="18"/>
              </w:rPr>
              <w:t>℃</w:t>
            </w:r>
            <w:r>
              <w:rPr>
                <w:rFonts w:ascii="宋体"/>
                <w:sz w:val="18"/>
              </w:rPr>
              <w:t xml:space="preserve">  不小于</w:t>
            </w:r>
          </w:p>
        </w:tc>
        <w:tc>
          <w:tcPr>
            <w:tcW w:w="1106" w:type="dxa"/>
            <w:noWrap w:val="0"/>
            <w:vAlign w:val="top"/>
          </w:tcPr>
          <w:p>
            <w:pPr>
              <w:autoSpaceDE w:val="0"/>
              <w:autoSpaceDN w:val="0"/>
              <w:jc w:val="center"/>
              <w:textAlignment w:val="bottom"/>
              <w:rPr>
                <w:rFonts w:hint="eastAsia" w:ascii="宋体"/>
                <w:sz w:val="18"/>
              </w:rPr>
            </w:pPr>
            <w:r>
              <w:rPr>
                <w:rFonts w:hint="eastAsia" w:ascii="宋体"/>
                <w:sz w:val="18"/>
              </w:rPr>
              <w:t>％</w:t>
            </w:r>
          </w:p>
        </w:tc>
        <w:tc>
          <w:tcPr>
            <w:tcW w:w="1987" w:type="dxa"/>
            <w:noWrap w:val="0"/>
            <w:vAlign w:val="center"/>
          </w:tcPr>
          <w:p>
            <w:pPr>
              <w:autoSpaceDE w:val="0"/>
              <w:autoSpaceDN w:val="0"/>
              <w:jc w:val="center"/>
              <w:textAlignment w:val="bottom"/>
              <w:rPr>
                <w:rFonts w:ascii="宋体"/>
                <w:sz w:val="18"/>
              </w:rPr>
            </w:pPr>
            <w:r>
              <w:rPr>
                <w:rFonts w:hint="eastAsia" w:ascii="宋体"/>
                <w:sz w:val="18"/>
              </w:rPr>
              <w:t>－</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3" w:hRule="atLeast"/>
          <w:jc w:val="center"/>
        </w:trPr>
        <w:tc>
          <w:tcPr>
            <w:tcW w:w="2675" w:type="dxa"/>
            <w:tcBorders>
              <w:left w:val="single" w:color="auto" w:sz="6" w:space="0"/>
              <w:bottom w:val="nil"/>
            </w:tcBorders>
            <w:noWrap w:val="0"/>
            <w:vAlign w:val="center"/>
          </w:tcPr>
          <w:p>
            <w:pPr>
              <w:autoSpaceDE w:val="0"/>
              <w:autoSpaceDN w:val="0"/>
              <w:textAlignment w:val="bottom"/>
              <w:rPr>
                <w:rFonts w:ascii="宋体"/>
                <w:sz w:val="18"/>
              </w:rPr>
            </w:pPr>
            <w:r>
              <w:rPr>
                <w:rFonts w:hint="eastAsia" w:ascii="宋体"/>
                <w:sz w:val="18"/>
              </w:rPr>
              <w:t>粘韧性</w:t>
            </w:r>
            <w:r>
              <w:rPr>
                <w:rFonts w:ascii="宋体"/>
                <w:sz w:val="18"/>
              </w:rPr>
              <w:t xml:space="preserve">  </w:t>
            </w:r>
            <w:r>
              <w:rPr>
                <w:rFonts w:hint="eastAsia" w:ascii="宋体"/>
                <w:sz w:val="18"/>
              </w:rPr>
              <w:t xml:space="preserve">      </w:t>
            </w:r>
            <w:r>
              <w:rPr>
                <w:rFonts w:ascii="宋体"/>
                <w:sz w:val="18"/>
              </w:rPr>
              <w:t>不小于</w:t>
            </w:r>
          </w:p>
        </w:tc>
        <w:tc>
          <w:tcPr>
            <w:tcW w:w="1106" w:type="dxa"/>
            <w:noWrap w:val="0"/>
            <w:vAlign w:val="top"/>
          </w:tcPr>
          <w:p>
            <w:pPr>
              <w:autoSpaceDE w:val="0"/>
              <w:autoSpaceDN w:val="0"/>
              <w:jc w:val="center"/>
              <w:textAlignment w:val="bottom"/>
              <w:rPr>
                <w:rFonts w:hint="eastAsia" w:ascii="宋体"/>
                <w:sz w:val="15"/>
              </w:rPr>
            </w:pPr>
            <w:r>
              <w:rPr>
                <w:rFonts w:ascii="宋体"/>
                <w:sz w:val="15"/>
              </w:rPr>
              <w:t>N</w:t>
            </w:r>
            <w:r>
              <w:rPr>
                <w:rFonts w:hint="eastAsia" w:ascii="宋体"/>
                <w:sz w:val="15"/>
              </w:rPr>
              <w:t>·</w:t>
            </w:r>
            <w:r>
              <w:rPr>
                <w:rFonts w:ascii="宋体"/>
                <w:sz w:val="15"/>
              </w:rPr>
              <w:t>m</w:t>
            </w:r>
          </w:p>
        </w:tc>
        <w:tc>
          <w:tcPr>
            <w:tcW w:w="1987" w:type="dxa"/>
            <w:noWrap w:val="0"/>
            <w:vAlign w:val="center"/>
          </w:tcPr>
          <w:p>
            <w:pPr>
              <w:autoSpaceDE w:val="0"/>
              <w:autoSpaceDN w:val="0"/>
              <w:jc w:val="center"/>
              <w:textAlignment w:val="bottom"/>
              <w:rPr>
                <w:rFonts w:ascii="宋体"/>
                <w:sz w:val="18"/>
              </w:rPr>
            </w:pPr>
            <w:r>
              <w:rPr>
                <w:rFonts w:ascii="宋体"/>
                <w:sz w:val="18"/>
              </w:rPr>
              <w:t>5</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3" w:hRule="atLeast"/>
          <w:jc w:val="center"/>
        </w:trPr>
        <w:tc>
          <w:tcPr>
            <w:tcW w:w="2675" w:type="dxa"/>
            <w:tcBorders>
              <w:left w:val="single" w:color="auto" w:sz="6" w:space="0"/>
              <w:bottom w:val="nil"/>
            </w:tcBorders>
            <w:noWrap w:val="0"/>
            <w:vAlign w:val="center"/>
          </w:tcPr>
          <w:p>
            <w:pPr>
              <w:autoSpaceDE w:val="0"/>
              <w:autoSpaceDN w:val="0"/>
              <w:textAlignment w:val="bottom"/>
              <w:rPr>
                <w:rFonts w:hint="eastAsia" w:ascii="宋体"/>
                <w:sz w:val="18"/>
              </w:rPr>
            </w:pPr>
            <w:r>
              <w:rPr>
                <w:rFonts w:hint="eastAsia" w:ascii="宋体"/>
                <w:sz w:val="18"/>
              </w:rPr>
              <w:t xml:space="preserve">韧性        </w:t>
            </w:r>
            <w:r>
              <w:rPr>
                <w:rFonts w:ascii="宋体"/>
                <w:sz w:val="18"/>
              </w:rPr>
              <w:t xml:space="preserve"> 不小于</w:t>
            </w:r>
          </w:p>
        </w:tc>
        <w:tc>
          <w:tcPr>
            <w:tcW w:w="1106" w:type="dxa"/>
            <w:noWrap w:val="0"/>
            <w:vAlign w:val="top"/>
          </w:tcPr>
          <w:p>
            <w:pPr>
              <w:autoSpaceDE w:val="0"/>
              <w:autoSpaceDN w:val="0"/>
              <w:jc w:val="center"/>
              <w:textAlignment w:val="bottom"/>
              <w:rPr>
                <w:rFonts w:hint="eastAsia" w:ascii="宋体"/>
                <w:sz w:val="15"/>
              </w:rPr>
            </w:pPr>
            <w:r>
              <w:rPr>
                <w:rFonts w:ascii="宋体"/>
                <w:sz w:val="15"/>
              </w:rPr>
              <w:t>N</w:t>
            </w:r>
            <w:r>
              <w:rPr>
                <w:rFonts w:hint="eastAsia" w:ascii="宋体"/>
                <w:sz w:val="15"/>
              </w:rPr>
              <w:t>·</w:t>
            </w:r>
            <w:r>
              <w:rPr>
                <w:rFonts w:ascii="宋体"/>
                <w:sz w:val="15"/>
              </w:rPr>
              <w:t>m</w:t>
            </w:r>
            <w:r>
              <w:rPr>
                <w:rFonts w:hint="eastAsia" w:ascii="宋体"/>
                <w:sz w:val="15"/>
              </w:rPr>
              <w:t xml:space="preserve">   </w:t>
            </w:r>
          </w:p>
        </w:tc>
        <w:tc>
          <w:tcPr>
            <w:tcW w:w="1987" w:type="dxa"/>
            <w:noWrap w:val="0"/>
            <w:vAlign w:val="center"/>
          </w:tcPr>
          <w:p>
            <w:pPr>
              <w:autoSpaceDE w:val="0"/>
              <w:autoSpaceDN w:val="0"/>
              <w:jc w:val="center"/>
              <w:textAlignment w:val="bottom"/>
              <w:rPr>
                <w:rFonts w:ascii="宋体"/>
                <w:sz w:val="18"/>
              </w:rPr>
            </w:pPr>
            <w:r>
              <w:rPr>
                <w:rFonts w:ascii="宋体"/>
                <w:sz w:val="18"/>
              </w:rPr>
              <w:t>2.5</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8" w:hRule="atLeast"/>
          <w:jc w:val="center"/>
        </w:trPr>
        <w:tc>
          <w:tcPr>
            <w:tcW w:w="2675" w:type="dxa"/>
            <w:tcBorders>
              <w:left w:val="single" w:color="auto" w:sz="6" w:space="0"/>
              <w:bottom w:val="nil"/>
            </w:tcBorders>
            <w:noWrap w:val="0"/>
            <w:vAlign w:val="center"/>
          </w:tcPr>
          <w:p>
            <w:pPr>
              <w:autoSpaceDE w:val="0"/>
              <w:autoSpaceDN w:val="0"/>
              <w:textAlignment w:val="bottom"/>
              <w:rPr>
                <w:rFonts w:hint="eastAsia" w:ascii="宋体"/>
                <w:sz w:val="18"/>
              </w:rPr>
            </w:pPr>
            <w:r>
              <w:rPr>
                <w:rFonts w:hint="eastAsia" w:ascii="宋体"/>
                <w:sz w:val="18"/>
              </w:rPr>
              <w:t>离析,48h软化点差,不大于</w:t>
            </w:r>
          </w:p>
        </w:tc>
        <w:tc>
          <w:tcPr>
            <w:tcW w:w="1106" w:type="dxa"/>
            <w:noWrap w:val="0"/>
            <w:vAlign w:val="center"/>
          </w:tcPr>
          <w:p>
            <w:pPr>
              <w:autoSpaceDE w:val="0"/>
              <w:autoSpaceDN w:val="0"/>
              <w:jc w:val="center"/>
              <w:textAlignment w:val="bottom"/>
              <w:rPr>
                <w:rFonts w:ascii="宋体"/>
                <w:sz w:val="18"/>
              </w:rPr>
            </w:pPr>
            <w:r>
              <w:rPr>
                <w:rFonts w:hint="eastAsia" w:ascii="宋体"/>
                <w:sz w:val="18"/>
              </w:rPr>
              <w:t>℃</w:t>
            </w:r>
          </w:p>
        </w:tc>
        <w:tc>
          <w:tcPr>
            <w:tcW w:w="1987" w:type="dxa"/>
            <w:noWrap w:val="0"/>
            <w:vAlign w:val="center"/>
          </w:tcPr>
          <w:p>
            <w:pPr>
              <w:autoSpaceDE w:val="0"/>
              <w:autoSpaceDN w:val="0"/>
              <w:jc w:val="center"/>
              <w:textAlignment w:val="bottom"/>
              <w:rPr>
                <w:rFonts w:ascii="宋体"/>
                <w:sz w:val="18"/>
              </w:rPr>
            </w:pPr>
            <w:r>
              <w:rPr>
                <w:rFonts w:hint="eastAsia" w:ascii="宋体"/>
                <w:sz w:val="18"/>
              </w:rPr>
              <w:t>－</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0" w:hRule="atLeast"/>
          <w:jc w:val="center"/>
        </w:trPr>
        <w:tc>
          <w:tcPr>
            <w:tcW w:w="2675" w:type="dxa"/>
            <w:tcBorders>
              <w:top w:val="single" w:color="auto" w:sz="6" w:space="0"/>
              <w:left w:val="single" w:color="auto" w:sz="6" w:space="0"/>
              <w:bottom w:val="single" w:color="auto" w:sz="6" w:space="0"/>
            </w:tcBorders>
            <w:noWrap w:val="0"/>
            <w:vAlign w:val="center"/>
          </w:tcPr>
          <w:p>
            <w:pPr>
              <w:autoSpaceDE w:val="0"/>
              <w:autoSpaceDN w:val="0"/>
              <w:textAlignment w:val="bottom"/>
              <w:rPr>
                <w:rFonts w:hint="eastAsia" w:ascii="宋体"/>
                <w:sz w:val="18"/>
              </w:rPr>
            </w:pPr>
            <w:r>
              <w:rPr>
                <w:rFonts w:ascii="宋体"/>
                <w:sz w:val="18"/>
              </w:rPr>
              <w:t xml:space="preserve">  </w:t>
            </w:r>
            <w:r>
              <w:rPr>
                <w:rFonts w:hint="eastAsia" w:ascii="宋体"/>
                <w:sz w:val="18"/>
              </w:rPr>
              <w:t>质量变化</w:t>
            </w:r>
            <w:r>
              <w:rPr>
                <w:rFonts w:ascii="宋体"/>
                <w:sz w:val="18"/>
              </w:rPr>
              <w:t xml:space="preserve">   </w:t>
            </w:r>
            <w:r>
              <w:rPr>
                <w:rFonts w:hint="eastAsia" w:ascii="宋体"/>
                <w:sz w:val="18"/>
              </w:rPr>
              <w:t>不大于</w:t>
            </w:r>
          </w:p>
        </w:tc>
        <w:tc>
          <w:tcPr>
            <w:tcW w:w="1106" w:type="dxa"/>
            <w:tcBorders>
              <w:right w:val="nil"/>
            </w:tcBorders>
            <w:noWrap w:val="0"/>
            <w:vAlign w:val="center"/>
          </w:tcPr>
          <w:p>
            <w:pPr>
              <w:autoSpaceDE w:val="0"/>
              <w:autoSpaceDN w:val="0"/>
              <w:jc w:val="center"/>
              <w:textAlignment w:val="bottom"/>
              <w:rPr>
                <w:rFonts w:ascii="宋体"/>
                <w:sz w:val="18"/>
              </w:rPr>
            </w:pPr>
            <w:r>
              <w:rPr>
                <w:rFonts w:hint="eastAsia" w:ascii="宋体"/>
                <w:sz w:val="18"/>
              </w:rPr>
              <w:t>％</w:t>
            </w:r>
          </w:p>
        </w:tc>
        <w:tc>
          <w:tcPr>
            <w:tcW w:w="1987" w:type="dxa"/>
            <w:tcBorders>
              <w:top w:val="single" w:color="auto" w:sz="4" w:space="0"/>
              <w:bottom w:val="single" w:color="auto" w:sz="4" w:space="0"/>
              <w:right w:val="single" w:color="auto" w:sz="6" w:space="0"/>
            </w:tcBorders>
            <w:noWrap w:val="0"/>
            <w:vAlign w:val="center"/>
          </w:tcPr>
          <w:p>
            <w:pPr>
              <w:jc w:val="center"/>
              <w:rPr>
                <w:rFonts w:hint="default" w:ascii="宋体" w:eastAsia="宋体"/>
                <w:sz w:val="18"/>
                <w:lang w:val="en-US" w:eastAsia="zh-CN"/>
              </w:rPr>
            </w:pPr>
            <w:r>
              <w:rPr>
                <w:rFonts w:hint="eastAsia" w:ascii="宋体"/>
                <w:sz w:val="18"/>
                <w:lang w:val="en-US" w:eastAsia="zh-CN"/>
              </w:rPr>
              <w:t>1.0</w:t>
            </w:r>
          </w:p>
        </w:tc>
        <w:tc>
          <w:tcPr>
            <w:tcW w:w="2250" w:type="dxa"/>
            <w:tcBorders>
              <w:top w:val="single" w:color="auto" w:sz="4" w:space="0"/>
              <w:bottom w:val="single" w:color="auto" w:sz="4" w:space="0"/>
              <w:right w:val="single" w:color="auto" w:sz="6" w:space="0"/>
            </w:tcBorders>
            <w:noWrap w:val="0"/>
            <w:vAlign w:val="center"/>
          </w:tcPr>
          <w:p>
            <w:pPr>
              <w:jc w:val="center"/>
              <w:rPr>
                <w:rFonts w:hint="eastAsia" w:ascii="宋体"/>
                <w:sz w:val="18"/>
              </w:rPr>
            </w:pPr>
            <w:r>
              <w:rPr>
                <w:rFonts w:hint="eastAsia" w:ascii="宋体"/>
                <w:sz w:val="18"/>
              </w:rPr>
              <w:t>T 0610或T 0609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8" w:hRule="atLeast"/>
          <w:jc w:val="center"/>
        </w:trPr>
        <w:tc>
          <w:tcPr>
            <w:tcW w:w="2675" w:type="dxa"/>
            <w:tcBorders>
              <w:top w:val="single" w:color="auto" w:sz="6" w:space="0"/>
              <w:left w:val="single" w:color="auto" w:sz="6" w:space="0"/>
              <w:bottom w:val="single" w:color="auto" w:sz="6" w:space="0"/>
            </w:tcBorders>
            <w:noWrap w:val="0"/>
            <w:vAlign w:val="center"/>
          </w:tcPr>
          <w:p>
            <w:pPr>
              <w:autoSpaceDE w:val="0"/>
              <w:autoSpaceDN w:val="0"/>
              <w:textAlignment w:val="bottom"/>
              <w:rPr>
                <w:rFonts w:ascii="宋体"/>
                <w:sz w:val="18"/>
              </w:rPr>
            </w:pPr>
            <w:r>
              <w:rPr>
                <w:rFonts w:hint="eastAsia" w:ascii="宋体"/>
                <w:sz w:val="18"/>
              </w:rPr>
              <w:t xml:space="preserve">  针入度比</w:t>
            </w:r>
            <w:r>
              <w:rPr>
                <w:rFonts w:ascii="宋体"/>
                <w:sz w:val="18"/>
              </w:rPr>
              <w:t>25</w:t>
            </w:r>
            <w:r>
              <w:rPr>
                <w:rFonts w:hint="eastAsia" w:ascii="宋体"/>
                <w:sz w:val="18"/>
              </w:rPr>
              <w:t>℃</w:t>
            </w:r>
            <w:r>
              <w:rPr>
                <w:rFonts w:ascii="宋体"/>
                <w:sz w:val="18"/>
              </w:rPr>
              <w:t>不小于</w:t>
            </w:r>
          </w:p>
        </w:tc>
        <w:tc>
          <w:tcPr>
            <w:tcW w:w="1106" w:type="dxa"/>
            <w:noWrap w:val="0"/>
            <w:vAlign w:val="top"/>
          </w:tcPr>
          <w:p>
            <w:pPr>
              <w:autoSpaceDE w:val="0"/>
              <w:autoSpaceDN w:val="0"/>
              <w:jc w:val="center"/>
              <w:textAlignment w:val="bottom"/>
              <w:rPr>
                <w:rFonts w:ascii="宋体"/>
                <w:sz w:val="18"/>
              </w:rPr>
            </w:pPr>
            <w:r>
              <w:rPr>
                <w:rFonts w:hint="eastAsia" w:ascii="宋体"/>
                <w:sz w:val="18"/>
              </w:rPr>
              <w:t>％</w:t>
            </w:r>
          </w:p>
        </w:tc>
        <w:tc>
          <w:tcPr>
            <w:tcW w:w="1987" w:type="dxa"/>
            <w:noWrap w:val="0"/>
            <w:vAlign w:val="center"/>
          </w:tcPr>
          <w:p>
            <w:pPr>
              <w:autoSpaceDE w:val="0"/>
              <w:autoSpaceDN w:val="0"/>
              <w:jc w:val="center"/>
              <w:textAlignment w:val="bottom"/>
              <w:rPr>
                <w:rFonts w:ascii="宋体"/>
                <w:sz w:val="18"/>
              </w:rPr>
            </w:pPr>
            <w:r>
              <w:rPr>
                <w:rFonts w:ascii="宋体"/>
                <w:sz w:val="18"/>
              </w:rPr>
              <w:t>50</w:t>
            </w:r>
          </w:p>
        </w:tc>
        <w:tc>
          <w:tcPr>
            <w:tcW w:w="2250" w:type="dxa"/>
            <w:tcBorders>
              <w:top w:val="single" w:color="auto" w:sz="4" w:space="0"/>
              <w:bottom w:val="single" w:color="auto" w:sz="4" w:space="0"/>
              <w:right w:val="single" w:color="auto" w:sz="6" w:space="0"/>
            </w:tcBorders>
            <w:noWrap w:val="0"/>
            <w:vAlign w:val="center"/>
          </w:tcPr>
          <w:p>
            <w:pPr>
              <w:jc w:val="center"/>
              <w:rPr>
                <w:rFonts w:hint="eastAsia" w:ascii="宋体"/>
                <w:sz w:val="18"/>
              </w:rPr>
            </w:pPr>
            <w:r>
              <w:rPr>
                <w:rFonts w:hint="eastAsia" w:ascii="宋体"/>
                <w:sz w:val="18"/>
              </w:rPr>
              <w:t>T 0604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2675" w:type="dxa"/>
            <w:tcBorders>
              <w:top w:val="single" w:color="auto" w:sz="6" w:space="0"/>
              <w:left w:val="single" w:color="auto" w:sz="6" w:space="0"/>
              <w:bottom w:val="single" w:color="auto" w:sz="6" w:space="0"/>
            </w:tcBorders>
            <w:noWrap w:val="0"/>
            <w:vAlign w:val="center"/>
          </w:tcPr>
          <w:p>
            <w:pPr>
              <w:autoSpaceDE w:val="0"/>
              <w:autoSpaceDN w:val="0"/>
              <w:textAlignment w:val="bottom"/>
              <w:rPr>
                <w:rFonts w:ascii="宋体"/>
                <w:sz w:val="18"/>
              </w:rPr>
            </w:pPr>
            <w:r>
              <w:rPr>
                <w:rFonts w:ascii="宋体"/>
                <w:sz w:val="18"/>
              </w:rPr>
              <w:t xml:space="preserve">  </w:t>
            </w:r>
            <w:r>
              <w:rPr>
                <w:rFonts w:hint="eastAsia" w:ascii="宋体"/>
                <w:sz w:val="18"/>
              </w:rPr>
              <w:t>延度</w:t>
            </w:r>
            <w:r>
              <w:rPr>
                <w:rFonts w:ascii="宋体"/>
                <w:sz w:val="18"/>
              </w:rPr>
              <w:t xml:space="preserve"> 5</w:t>
            </w:r>
            <w:r>
              <w:rPr>
                <w:rFonts w:hint="eastAsia" w:ascii="宋体"/>
                <w:sz w:val="18"/>
              </w:rPr>
              <w:t>℃</w:t>
            </w:r>
            <w:r>
              <w:rPr>
                <w:rFonts w:ascii="宋体"/>
                <w:sz w:val="18"/>
              </w:rPr>
              <w:t xml:space="preserve"> </w:t>
            </w:r>
            <w:r>
              <w:rPr>
                <w:rFonts w:hint="eastAsia" w:ascii="宋体"/>
                <w:sz w:val="18"/>
              </w:rPr>
              <w:t xml:space="preserve">  </w:t>
            </w:r>
            <w:r>
              <w:rPr>
                <w:rFonts w:ascii="宋体"/>
                <w:sz w:val="18"/>
              </w:rPr>
              <w:t xml:space="preserve"> 不小于</w:t>
            </w:r>
          </w:p>
        </w:tc>
        <w:tc>
          <w:tcPr>
            <w:tcW w:w="1106" w:type="dxa"/>
            <w:noWrap w:val="0"/>
            <w:vAlign w:val="top"/>
          </w:tcPr>
          <w:p>
            <w:pPr>
              <w:autoSpaceDE w:val="0"/>
              <w:autoSpaceDN w:val="0"/>
              <w:jc w:val="center"/>
              <w:textAlignment w:val="bottom"/>
              <w:rPr>
                <w:rFonts w:ascii="宋体"/>
                <w:sz w:val="18"/>
              </w:rPr>
            </w:pPr>
            <w:r>
              <w:rPr>
                <w:rFonts w:ascii="宋体"/>
                <w:sz w:val="18"/>
              </w:rPr>
              <w:t>cm</w:t>
            </w:r>
          </w:p>
        </w:tc>
        <w:tc>
          <w:tcPr>
            <w:tcW w:w="1987" w:type="dxa"/>
            <w:noWrap w:val="0"/>
            <w:vAlign w:val="center"/>
          </w:tcPr>
          <w:p>
            <w:pPr>
              <w:autoSpaceDE w:val="0"/>
              <w:autoSpaceDN w:val="0"/>
              <w:jc w:val="center"/>
              <w:textAlignment w:val="bottom"/>
              <w:rPr>
                <w:rFonts w:ascii="宋体"/>
                <w:sz w:val="18"/>
              </w:rPr>
            </w:pPr>
            <w:r>
              <w:rPr>
                <w:rFonts w:ascii="宋体"/>
                <w:sz w:val="18"/>
              </w:rPr>
              <w:t>30</w:t>
            </w:r>
          </w:p>
        </w:tc>
        <w:tc>
          <w:tcPr>
            <w:tcW w:w="2250" w:type="dxa"/>
            <w:tcBorders>
              <w:right w:val="single" w:color="auto" w:sz="6" w:space="0"/>
            </w:tcBorders>
            <w:noWrap w:val="0"/>
            <w:vAlign w:val="center"/>
          </w:tcPr>
          <w:p>
            <w:pPr>
              <w:autoSpaceDE w:val="0"/>
              <w:autoSpaceDN w:val="0"/>
              <w:jc w:val="center"/>
              <w:textAlignment w:val="bottom"/>
              <w:rPr>
                <w:rFonts w:hint="eastAsia" w:ascii="宋体"/>
                <w:sz w:val="18"/>
              </w:rPr>
            </w:pPr>
            <w:r>
              <w:rPr>
                <w:rFonts w:hint="eastAsia" w:ascii="宋体"/>
                <w:sz w:val="18"/>
              </w:rPr>
              <w:t>T 0605</w:t>
            </w:r>
          </w:p>
        </w:tc>
      </w:tr>
    </w:tbl>
    <w:p>
      <w:pPr>
        <w:rPr>
          <w:rFonts w:hint="eastAsia"/>
          <w:lang w:val="en-US" w:eastAsia="zh-CN"/>
        </w:rPr>
      </w:pPr>
    </w:p>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（二）</w:t>
      </w:r>
      <w:r>
        <w:rPr>
          <w:rFonts w:hint="eastAsia" w:ascii="仿宋_GB2312" w:hAnsi="宋体" w:eastAsia="仿宋_GB2312" w:cs="Times New Roman"/>
          <w:sz w:val="24"/>
          <w:szCs w:val="24"/>
          <w:highlight w:val="none"/>
          <w:lang w:val="en-US" w:eastAsia="zh-CN" w:bidi="ar-SA"/>
        </w:rPr>
        <w:t>*</w:t>
      </w:r>
      <w:r>
        <w:rPr>
          <w:rFonts w:hint="eastAsia" w:ascii="仿宋_GB2312" w:hAnsi="宋体" w:eastAsia="仿宋_GB2312" w:cs="Times New Roman"/>
          <w:color w:val="auto"/>
          <w:kern w:val="2"/>
          <w:sz w:val="24"/>
          <w:szCs w:val="24"/>
          <w:highlight w:val="none"/>
          <w:lang w:val="en-US" w:eastAsia="zh-CN" w:bidi="ar-SA"/>
        </w:rPr>
        <w:t>灌封胶</w:t>
      </w:r>
    </w:p>
    <w:p>
      <w:pPr>
        <w:spacing w:line="440" w:lineRule="exact"/>
        <w:ind w:firstLine="410" w:firstLineChars="171"/>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密封胶是在高分子改性沥青的基础上加入橡胶粉等多种辅助改性剂、添加剂，在特定的工艺条件下复合而成的热熔型改性沥青灌缝材料。主要用于沥青路面的裂缝处理、桥梁的接缝处理等，适用范围广泛，系列产品覆盖海拔3500米以上区域。</w:t>
      </w:r>
    </w:p>
    <w:p>
      <w:pPr>
        <w:spacing w:line="440" w:lineRule="exact"/>
        <w:ind w:firstLine="410" w:firstLineChars="171"/>
      </w:pPr>
      <w:r>
        <w:rPr>
          <w:rFonts w:hint="eastAsia" w:ascii="仿宋_GB2312" w:hAnsi="宋体" w:eastAsia="仿宋_GB2312" w:cs="Times New Roman"/>
          <w:color w:val="auto"/>
          <w:kern w:val="2"/>
          <w:sz w:val="24"/>
          <w:szCs w:val="24"/>
          <w:highlight w:val="none"/>
          <w:lang w:val="en-US" w:eastAsia="zh-CN" w:bidi="ar-SA"/>
        </w:rPr>
        <w:t>具体指标要求如下：</w:t>
      </w:r>
    </w:p>
    <w:tbl>
      <w:tblPr>
        <w:tblStyle w:val="24"/>
        <w:tblpPr w:leftFromText="180" w:rightFromText="180" w:vertAnchor="text" w:horzAnchor="page" w:tblpX="1381" w:tblpY="434"/>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243"/>
        <w:gridCol w:w="1284"/>
        <w:gridCol w:w="898"/>
        <w:gridCol w:w="1463"/>
        <w:gridCol w:w="1223"/>
        <w:gridCol w:w="2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灌封胶</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吨</w:t>
            </w:r>
          </w:p>
        </w:tc>
        <w:tc>
          <w:tcPr>
            <w:tcW w:w="146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 xml:space="preserve">80 </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8"/>
                <w:szCs w:val="28"/>
                <w:u w:val="none"/>
              </w:rPr>
            </w:pPr>
          </w:p>
        </w:tc>
        <w:tc>
          <w:tcPr>
            <w:tcW w:w="2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87" w:type="dxa"/>
            <w:vMerge w:val="restart"/>
            <w:tcBorders>
              <w:top w:val="single" w:color="000000" w:sz="4" w:space="0"/>
              <w:left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000000"/>
                <w:sz w:val="28"/>
                <w:szCs w:val="28"/>
                <w:u w:val="none"/>
                <w:lang w:val="en-US" w:eastAsia="zh-CN"/>
              </w:rPr>
            </w:pPr>
            <w:r>
              <w:rPr>
                <w:rFonts w:hint="eastAsia" w:ascii="宋体" w:hAnsi="宋体" w:eastAsia="宋体" w:cs="宋体"/>
                <w:i w:val="0"/>
                <w:iCs w:val="0"/>
                <w:color w:val="000000"/>
                <w:kern w:val="0"/>
                <w:sz w:val="22"/>
                <w:szCs w:val="22"/>
                <w:u w:val="none"/>
                <w:lang w:val="en-US" w:eastAsia="zh-CN" w:bidi="ar"/>
              </w:rPr>
              <w:t>灌封胶技术参数</w:t>
            </w:r>
          </w:p>
        </w:tc>
        <w:tc>
          <w:tcPr>
            <w:tcW w:w="252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技术指标</w:t>
            </w:r>
          </w:p>
        </w:tc>
        <w:tc>
          <w:tcPr>
            <w:tcW w:w="23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行业标准</w:t>
            </w:r>
          </w:p>
        </w:tc>
        <w:tc>
          <w:tcPr>
            <w:tcW w:w="362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87" w:type="dxa"/>
            <w:vMerge w:val="continue"/>
            <w:tcBorders>
              <w:left w:val="single" w:color="000000" w:sz="4" w:space="0"/>
              <w:right w:val="single" w:color="000000" w:sz="4" w:space="0"/>
            </w:tcBorders>
            <w:shd w:val="clear" w:color="auto" w:fill="auto"/>
            <w:vAlign w:val="center"/>
          </w:tcPr>
          <w:p>
            <w:pPr>
              <w:keepNext/>
              <w:keepLines w:val="0"/>
              <w:pageBreakBefore w:val="0"/>
              <w:kinsoku/>
              <w:wordWrap/>
              <w:overflowPunct/>
              <w:topLinePunct w:val="0"/>
              <w:autoSpaceDE/>
              <w:autoSpaceDN/>
              <w:bidi w:val="0"/>
              <w:adjustRightInd/>
              <w:snapToGrid/>
              <w:jc w:val="center"/>
            </w:pPr>
          </w:p>
        </w:tc>
        <w:tc>
          <w:tcPr>
            <w:tcW w:w="252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pPr>
            <w:r>
              <w:rPr>
                <w:rFonts w:hint="eastAsia" w:ascii="宋体" w:hAnsi="宋体" w:eastAsia="宋体" w:cs="宋体"/>
                <w:i w:val="0"/>
                <w:iCs w:val="0"/>
                <w:color w:val="000000"/>
                <w:kern w:val="0"/>
                <w:sz w:val="22"/>
                <w:szCs w:val="22"/>
                <w:u w:val="none"/>
                <w:lang w:val="en-US" w:eastAsia="zh-CN" w:bidi="ar"/>
              </w:rPr>
              <w:t>锥入度</w:t>
            </w:r>
          </w:p>
        </w:tc>
        <w:tc>
          <w:tcPr>
            <w:tcW w:w="23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pPr>
            <w:r>
              <w:rPr>
                <w:rFonts w:hint="eastAsia" w:ascii="宋体" w:hAnsi="宋体" w:eastAsia="宋体" w:cs="宋体"/>
                <w:i w:val="0"/>
                <w:iCs w:val="0"/>
                <w:color w:val="000000"/>
                <w:kern w:val="0"/>
                <w:sz w:val="22"/>
                <w:szCs w:val="22"/>
                <w:u w:val="none"/>
                <w:lang w:val="en-US" w:eastAsia="zh-CN" w:bidi="ar"/>
              </w:rPr>
              <w:t>70-110</w:t>
            </w:r>
          </w:p>
        </w:tc>
        <w:tc>
          <w:tcPr>
            <w:tcW w:w="362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0.1mm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87" w:type="dxa"/>
            <w:vMerge w:val="continue"/>
            <w:tcBorders>
              <w:left w:val="single" w:color="000000" w:sz="4" w:space="0"/>
              <w:right w:val="single" w:color="000000" w:sz="4" w:space="0"/>
            </w:tcBorders>
            <w:shd w:val="clear" w:color="auto" w:fill="auto"/>
            <w:vAlign w:val="center"/>
          </w:tcPr>
          <w:p>
            <w:pPr>
              <w:keepNext/>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8"/>
                <w:szCs w:val="28"/>
                <w:u w:val="none"/>
              </w:rPr>
            </w:pPr>
          </w:p>
        </w:tc>
        <w:tc>
          <w:tcPr>
            <w:tcW w:w="252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软化点</w:t>
            </w:r>
          </w:p>
        </w:tc>
        <w:tc>
          <w:tcPr>
            <w:tcW w:w="23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≥80</w:t>
            </w:r>
          </w:p>
        </w:tc>
        <w:tc>
          <w:tcPr>
            <w:tcW w:w="362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87" w:type="dxa"/>
            <w:vMerge w:val="continue"/>
            <w:tcBorders>
              <w:left w:val="single" w:color="000000" w:sz="4" w:space="0"/>
              <w:right w:val="single" w:color="000000" w:sz="4" w:space="0"/>
            </w:tcBorders>
            <w:shd w:val="clear" w:color="auto" w:fill="auto"/>
            <w:vAlign w:val="center"/>
          </w:tcPr>
          <w:p>
            <w:pPr>
              <w:keepNext/>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8"/>
                <w:szCs w:val="28"/>
                <w:u w:val="none"/>
              </w:rPr>
            </w:pPr>
          </w:p>
        </w:tc>
        <w:tc>
          <w:tcPr>
            <w:tcW w:w="252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流动值</w:t>
            </w:r>
          </w:p>
        </w:tc>
        <w:tc>
          <w:tcPr>
            <w:tcW w:w="23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≤5</w:t>
            </w:r>
          </w:p>
        </w:tc>
        <w:tc>
          <w:tcPr>
            <w:tcW w:w="362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87" w:type="dxa"/>
            <w:vMerge w:val="continue"/>
            <w:tcBorders>
              <w:left w:val="single" w:color="000000" w:sz="4" w:space="0"/>
              <w:bottom w:val="single" w:color="000000" w:sz="4" w:space="0"/>
              <w:right w:val="single" w:color="000000" w:sz="4" w:space="0"/>
            </w:tcBorders>
            <w:shd w:val="clear" w:color="auto" w:fill="auto"/>
            <w:vAlign w:val="center"/>
          </w:tcPr>
          <w:p>
            <w:pPr>
              <w:keepNext/>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8"/>
                <w:szCs w:val="28"/>
                <w:u w:val="none"/>
              </w:rPr>
            </w:pPr>
          </w:p>
        </w:tc>
        <w:tc>
          <w:tcPr>
            <w:tcW w:w="252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弹性恢复值</w:t>
            </w:r>
          </w:p>
        </w:tc>
        <w:tc>
          <w:tcPr>
            <w:tcW w:w="23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30-70</w:t>
            </w:r>
          </w:p>
        </w:tc>
        <w:tc>
          <w:tcPr>
            <w:tcW w:w="362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w:t>
            </w:r>
          </w:p>
        </w:tc>
      </w:tr>
    </w:tbl>
    <w:p>
      <w:pPr>
        <w:pStyle w:val="3"/>
        <w:keepNext/>
        <w:keepLines/>
        <w:widowControl w:val="0"/>
        <w:numPr>
          <w:ilvl w:val="0"/>
          <w:numId w:val="0"/>
        </w:numPr>
        <w:spacing w:line="400" w:lineRule="exact"/>
        <w:jc w:val="both"/>
        <w:outlineLvl w:val="1"/>
        <w:rPr>
          <w:rFonts w:hint="eastAsia"/>
          <w:lang w:val="en-US" w:eastAsia="zh-CN"/>
        </w:rPr>
      </w:pPr>
      <w:bookmarkStart w:id="61" w:name="_Toc75443041"/>
    </w:p>
    <w:p>
      <w:pPr>
        <w:keepNext/>
        <w:keepLines w:val="0"/>
        <w:pageBreakBefore w:val="0"/>
        <w:numPr>
          <w:ilvl w:val="0"/>
          <w:numId w:val="4"/>
        </w:numPr>
        <w:kinsoku/>
        <w:wordWrap/>
        <w:overflowPunct/>
        <w:topLinePunct w:val="0"/>
        <w:autoSpaceDE/>
        <w:autoSpaceDN/>
        <w:bidi w:val="0"/>
        <w:adjustRightInd/>
        <w:snapToGrid/>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w:t>
      </w:r>
      <w:r>
        <w:rPr>
          <w:rFonts w:hint="eastAsia" w:ascii="仿宋_GB2312" w:hAnsi="宋体" w:eastAsia="仿宋_GB2312" w:cs="Times New Roman"/>
          <w:color w:val="auto"/>
          <w:kern w:val="2"/>
          <w:sz w:val="24"/>
          <w:szCs w:val="24"/>
          <w:highlight w:val="none"/>
          <w:lang w:val="en-US" w:eastAsia="zh-CN" w:bidi="ar-SA"/>
        </w:rPr>
        <w:t>冷补料</w:t>
      </w:r>
    </w:p>
    <w:p>
      <w:pPr>
        <w:keepNext/>
        <w:keepLines w:val="0"/>
        <w:pageBreakBefore w:val="0"/>
        <w:numPr>
          <w:ilvl w:val="0"/>
          <w:numId w:val="0"/>
        </w:numPr>
        <w:kinsoku/>
        <w:wordWrap/>
        <w:overflowPunct/>
        <w:topLinePunct w:val="0"/>
        <w:autoSpaceDE/>
        <w:autoSpaceDN/>
        <w:bidi w:val="0"/>
        <w:adjustRightInd/>
        <w:snapToGrid/>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适用于任何天气和环境下补修各种类型的道路面层及路面破损修复。</w:t>
      </w:r>
    </w:p>
    <w:p>
      <w:pPr>
        <w:pStyle w:val="3"/>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具体技术指标见下表：</w:t>
      </w:r>
    </w:p>
    <w:tbl>
      <w:tblPr>
        <w:tblStyle w:val="24"/>
        <w:tblW w:w="793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180"/>
        <w:gridCol w:w="951"/>
        <w:gridCol w:w="2341"/>
        <w:gridCol w:w="1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3180"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技术指标</w:t>
            </w:r>
          </w:p>
        </w:tc>
        <w:tc>
          <w:tcPr>
            <w:tcW w:w="95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单位</w:t>
            </w:r>
          </w:p>
        </w:tc>
        <w:tc>
          <w:tcPr>
            <w:tcW w:w="2341" w:type="dxa"/>
            <w:noWrap w:val="0"/>
            <w:vAlign w:val="center"/>
          </w:tcPr>
          <w:p>
            <w:pPr>
              <w:spacing w:line="240" w:lineRule="auto"/>
              <w:ind w:left="0" w:leftChars="0" w:firstLine="0" w:firstLineChars="0"/>
              <w:jc w:val="center"/>
              <w:rPr>
                <w:rFonts w:ascii="仿宋" w:hAnsi="仿宋" w:eastAsia="仿宋"/>
                <w:szCs w:val="21"/>
              </w:rPr>
            </w:pPr>
          </w:p>
        </w:tc>
        <w:tc>
          <w:tcPr>
            <w:tcW w:w="1462"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3180"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动稳定度</w:t>
            </w:r>
          </w:p>
        </w:tc>
        <w:tc>
          <w:tcPr>
            <w:tcW w:w="95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次/mm</w:t>
            </w:r>
          </w:p>
        </w:tc>
        <w:tc>
          <w:tcPr>
            <w:tcW w:w="234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≥2400</w:t>
            </w:r>
          </w:p>
        </w:tc>
        <w:tc>
          <w:tcPr>
            <w:tcW w:w="1462"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必做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3180"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残留稳定度</w:t>
            </w:r>
          </w:p>
        </w:tc>
        <w:tc>
          <w:tcPr>
            <w:tcW w:w="95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w:t>
            </w:r>
          </w:p>
        </w:tc>
        <w:tc>
          <w:tcPr>
            <w:tcW w:w="234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≥80</w:t>
            </w:r>
          </w:p>
        </w:tc>
        <w:tc>
          <w:tcPr>
            <w:tcW w:w="1462"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必做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3180"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冻融劈裂比TSR（-18℃）</w:t>
            </w:r>
          </w:p>
        </w:tc>
        <w:tc>
          <w:tcPr>
            <w:tcW w:w="95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w:t>
            </w:r>
          </w:p>
        </w:tc>
        <w:tc>
          <w:tcPr>
            <w:tcW w:w="234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≥75</w:t>
            </w:r>
          </w:p>
        </w:tc>
        <w:tc>
          <w:tcPr>
            <w:tcW w:w="1462"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必做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3180"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低温弯曲破坏应变</w:t>
            </w:r>
          </w:p>
        </w:tc>
        <w:tc>
          <w:tcPr>
            <w:tcW w:w="951" w:type="dxa"/>
            <w:noWrap w:val="0"/>
            <w:vAlign w:val="center"/>
          </w:tcPr>
          <w:p>
            <w:pPr>
              <w:spacing w:line="240" w:lineRule="auto"/>
              <w:ind w:left="0" w:leftChars="0" w:firstLine="0" w:firstLineChars="0"/>
              <w:jc w:val="center"/>
              <w:rPr>
                <w:rFonts w:ascii="仿宋" w:hAnsi="仿宋" w:eastAsia="仿宋"/>
                <w:szCs w:val="21"/>
              </w:rPr>
            </w:pPr>
            <w:r>
              <w:rPr>
                <w:rFonts w:hint="eastAsia" w:ascii="宋体" w:hAnsi="宋体" w:cs="宋体"/>
                <w:szCs w:val="21"/>
              </w:rPr>
              <w:t>µ</w:t>
            </w:r>
            <w:r>
              <w:rPr>
                <w:rFonts w:hint="eastAsia" w:ascii="仿宋" w:hAnsi="仿宋" w:eastAsia="仿宋"/>
                <w:szCs w:val="21"/>
              </w:rPr>
              <w:t>ε</w:t>
            </w:r>
          </w:p>
        </w:tc>
        <w:tc>
          <w:tcPr>
            <w:tcW w:w="234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≥2800</w:t>
            </w:r>
          </w:p>
        </w:tc>
        <w:tc>
          <w:tcPr>
            <w:tcW w:w="1462"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必做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3180"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24次冻融循环飞散损失差</w:t>
            </w:r>
          </w:p>
        </w:tc>
        <w:tc>
          <w:tcPr>
            <w:tcW w:w="95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w:t>
            </w:r>
          </w:p>
        </w:tc>
        <w:tc>
          <w:tcPr>
            <w:tcW w:w="234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w:t>
            </w:r>
          </w:p>
        </w:tc>
        <w:tc>
          <w:tcPr>
            <w:tcW w:w="1462"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建议做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3180"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短期老化后0℃蠕变速率 P</w:t>
            </w:r>
            <w:r>
              <w:rPr>
                <w:rFonts w:hint="eastAsia" w:ascii="仿宋" w:hAnsi="仿宋" w:eastAsia="仿宋"/>
                <w:szCs w:val="21"/>
                <w:vertAlign w:val="subscript"/>
              </w:rPr>
              <w:t>0</w:t>
            </w:r>
            <w:r>
              <w:rPr>
                <w:rFonts w:hint="eastAsia" w:ascii="仿宋" w:hAnsi="仿宋" w:eastAsia="仿宋"/>
                <w:szCs w:val="21"/>
              </w:rPr>
              <w:t>=0.1P</w:t>
            </w:r>
          </w:p>
        </w:tc>
        <w:tc>
          <w:tcPr>
            <w:tcW w:w="95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1/s/Mpa</w:t>
            </w:r>
          </w:p>
        </w:tc>
        <w:tc>
          <w:tcPr>
            <w:tcW w:w="2341"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w:t>
            </w:r>
          </w:p>
        </w:tc>
        <w:tc>
          <w:tcPr>
            <w:tcW w:w="1462" w:type="dxa"/>
            <w:noWrap w:val="0"/>
            <w:vAlign w:val="center"/>
          </w:tcPr>
          <w:p>
            <w:pPr>
              <w:spacing w:line="240" w:lineRule="auto"/>
              <w:ind w:left="0" w:leftChars="0" w:firstLine="0" w:firstLineChars="0"/>
              <w:jc w:val="center"/>
              <w:rPr>
                <w:rFonts w:ascii="仿宋" w:hAnsi="仿宋" w:eastAsia="仿宋"/>
                <w:szCs w:val="21"/>
              </w:rPr>
            </w:pPr>
            <w:r>
              <w:rPr>
                <w:rFonts w:hint="eastAsia" w:ascii="仿宋" w:hAnsi="仿宋" w:eastAsia="仿宋"/>
                <w:szCs w:val="21"/>
              </w:rPr>
              <w:t>有条件的做</w:t>
            </w:r>
          </w:p>
        </w:tc>
      </w:tr>
    </w:tbl>
    <w:p>
      <w:pPr>
        <w:rPr>
          <w:rFonts w:hint="eastAsia"/>
          <w:lang w:val="en-US" w:eastAsia="zh-CN"/>
        </w:rPr>
      </w:pPr>
    </w:p>
    <w:p>
      <w:pPr>
        <w:rPr>
          <w:rFonts w:hint="eastAsia" w:eastAsia="宋体"/>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pStyle w:val="2"/>
              <w:tabs>
                <w:tab w:val="left" w:pos="3321"/>
              </w:tabs>
              <w:spacing w:line="400" w:lineRule="exact"/>
              <w:jc w:val="left"/>
              <w:outlineLvl w:val="0"/>
              <w:rPr>
                <w:rFonts w:hint="eastAsia" w:eastAsia="宋体"/>
                <w:vertAlign w:val="baseline"/>
                <w:lang w:eastAsia="zh-CN"/>
              </w:rPr>
            </w:pPr>
            <w:r>
              <w:rPr>
                <w:rFonts w:hint="eastAsia"/>
                <w:vertAlign w:val="baseline"/>
                <w:lang w:eastAsia="zh-CN"/>
              </w:rPr>
              <w:tab/>
            </w:r>
            <w:r>
              <w:rPr>
                <w:rFonts w:hint="eastAsia" w:ascii="宋体" w:hAnsi="宋体" w:eastAsia="宋体" w:cs="宋体"/>
                <w:b/>
                <w:bCs/>
                <w:i w:val="0"/>
                <w:iCs w:val="0"/>
                <w:color w:val="000000"/>
                <w:kern w:val="0"/>
                <w:sz w:val="22"/>
                <w:szCs w:val="22"/>
                <w:u w:val="none"/>
                <w:lang w:val="en-US" w:eastAsia="zh-CN" w:bidi="ar"/>
              </w:rPr>
              <w:t>第二标段：</w:t>
            </w:r>
            <w:r>
              <w:rPr>
                <w:rFonts w:hint="eastAsia" w:ascii="仿宋_GB2312" w:hAnsi="宋体" w:eastAsia="仿宋_GB2312" w:cs="Times New Roman"/>
                <w:sz w:val="24"/>
                <w:szCs w:val="24"/>
                <w:highlight w:val="none"/>
                <w:lang w:val="en-US" w:eastAsia="zh-CN" w:bidi="ar-SA"/>
              </w:rPr>
              <w:t>*</w:t>
            </w:r>
            <w:r>
              <w:rPr>
                <w:rFonts w:hint="eastAsia" w:ascii="宋体" w:hAnsi="宋体" w:eastAsia="宋体" w:cs="宋体"/>
                <w:b/>
                <w:bCs/>
                <w:i w:val="0"/>
                <w:iCs w:val="0"/>
                <w:color w:val="000000"/>
                <w:kern w:val="0"/>
                <w:sz w:val="22"/>
                <w:szCs w:val="22"/>
                <w:u w:val="none"/>
                <w:lang w:val="en-US" w:eastAsia="zh-CN" w:bidi="ar"/>
              </w:rPr>
              <w:t>抢险保通材料采购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ZB-200装配式钢架桥</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套</w:t>
            </w:r>
          </w:p>
        </w:tc>
        <w:tc>
          <w:tcPr>
            <w:tcW w:w="16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一套为39.6米的双排单层ZB-200装配式钢架桥</w:t>
            </w:r>
          </w:p>
        </w:tc>
        <w:tc>
          <w:tcPr>
            <w:tcW w:w="16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数量和单价按照公路局批复确定（（含运费、装卸费；不含工具、导梁和模型）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2"/>
              <w:spacing w:line="400" w:lineRule="exact"/>
              <w:jc w:val="center"/>
              <w:outlineLvl w:val="0"/>
              <w:rPr>
                <w:rFonts w:hint="eastAsia"/>
                <w:vertAlign w:val="baseline"/>
              </w:rPr>
            </w:pPr>
          </w:p>
        </w:tc>
        <w:tc>
          <w:tcPr>
            <w:tcW w:w="1660" w:type="dxa"/>
          </w:tcPr>
          <w:p>
            <w:pPr>
              <w:pStyle w:val="2"/>
              <w:spacing w:line="400" w:lineRule="exact"/>
              <w:jc w:val="center"/>
              <w:outlineLvl w:val="0"/>
              <w:rPr>
                <w:rFonts w:hint="eastAsia"/>
                <w:vertAlign w:val="baseline"/>
              </w:rPr>
            </w:pPr>
          </w:p>
        </w:tc>
        <w:tc>
          <w:tcPr>
            <w:tcW w:w="1660" w:type="dxa"/>
          </w:tcPr>
          <w:p>
            <w:pPr>
              <w:pStyle w:val="2"/>
              <w:spacing w:line="400" w:lineRule="exact"/>
              <w:jc w:val="center"/>
              <w:outlineLvl w:val="0"/>
              <w:rPr>
                <w:rFonts w:hint="eastAsia"/>
                <w:vertAlign w:val="baseline"/>
              </w:rPr>
            </w:pPr>
          </w:p>
        </w:tc>
        <w:tc>
          <w:tcPr>
            <w:tcW w:w="1660" w:type="dxa"/>
          </w:tcPr>
          <w:p>
            <w:pPr>
              <w:pStyle w:val="2"/>
              <w:spacing w:line="400" w:lineRule="exact"/>
              <w:jc w:val="center"/>
              <w:outlineLvl w:val="0"/>
              <w:rPr>
                <w:rFonts w:hint="eastAsia"/>
                <w:vertAlign w:val="baseline"/>
              </w:rPr>
            </w:pPr>
          </w:p>
        </w:tc>
        <w:tc>
          <w:tcPr>
            <w:tcW w:w="1661" w:type="dxa"/>
          </w:tcPr>
          <w:p>
            <w:pPr>
              <w:pStyle w:val="2"/>
              <w:spacing w:line="400" w:lineRule="exact"/>
              <w:jc w:val="center"/>
              <w:outlineLvl w:val="0"/>
              <w:rPr>
                <w:rFonts w:hint="eastAsia"/>
                <w:vertAlign w:val="baseline"/>
              </w:rPr>
            </w:pPr>
          </w:p>
        </w:tc>
        <w:tc>
          <w:tcPr>
            <w:tcW w:w="1661" w:type="dxa"/>
          </w:tcPr>
          <w:p>
            <w:pPr>
              <w:pStyle w:val="2"/>
              <w:spacing w:line="400" w:lineRule="exact"/>
              <w:jc w:val="center"/>
              <w:outlineLvl w:val="0"/>
              <w:rPr>
                <w:rFonts w:hint="eastAsia"/>
                <w:vertAlign w:val="baseline"/>
              </w:rPr>
            </w:pPr>
          </w:p>
        </w:tc>
      </w:tr>
    </w:tbl>
    <w:p>
      <w:pPr>
        <w:pStyle w:val="2"/>
        <w:spacing w:line="400" w:lineRule="exact"/>
        <w:jc w:val="center"/>
        <w:outlineLvl w:val="0"/>
        <w:rPr>
          <w:rFonts w:hint="eastAsia"/>
        </w:rPr>
      </w:pPr>
    </w:p>
    <w:p>
      <w:pPr>
        <w:pStyle w:val="2"/>
        <w:spacing w:line="400" w:lineRule="exact"/>
        <w:jc w:val="center"/>
        <w:outlineLvl w:val="0"/>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p>
      <w:pPr>
        <w:pStyle w:val="3"/>
        <w:rPr>
          <w:rFonts w:hint="eastAsia"/>
        </w:rPr>
      </w:pPr>
    </w:p>
    <w:p>
      <w:pPr>
        <w:pStyle w:val="2"/>
        <w:spacing w:line="400" w:lineRule="exact"/>
        <w:jc w:val="center"/>
        <w:outlineLvl w:val="0"/>
        <w:rPr>
          <w:rFonts w:hint="eastAsia"/>
        </w:rPr>
      </w:pPr>
    </w:p>
    <w:p>
      <w:pPr>
        <w:pStyle w:val="2"/>
        <w:spacing w:line="400" w:lineRule="exact"/>
        <w:jc w:val="both"/>
        <w:outlineLvl w:val="0"/>
        <w:rPr>
          <w:rFonts w:hint="eastAsia"/>
        </w:rPr>
      </w:pPr>
    </w:p>
    <w:p>
      <w:pPr>
        <w:rPr>
          <w:rFonts w:hint="eastAsia"/>
        </w:rPr>
      </w:pPr>
    </w:p>
    <w:p>
      <w:pPr>
        <w:pStyle w:val="2"/>
        <w:spacing w:line="400" w:lineRule="exact"/>
        <w:jc w:val="center"/>
        <w:outlineLvl w:val="0"/>
        <w:rPr>
          <w:rFonts w:hint="eastAsia"/>
        </w:rPr>
      </w:pPr>
      <w:r>
        <w:rPr>
          <w:rFonts w:hint="eastAsia"/>
        </w:rPr>
        <w:t>第6章评标方式和标准</w:t>
      </w:r>
      <w:bookmarkEnd w:id="61"/>
    </w:p>
    <w:p>
      <w:pPr>
        <w:spacing w:line="400" w:lineRule="exact"/>
        <w:ind w:firstLine="480" w:firstLineChars="200"/>
        <w:rPr>
          <w:rFonts w:ascii="仿宋" w:hAnsi="仿宋" w:eastAsia="仿宋" w:cs="Times New Roman"/>
          <w:sz w:val="24"/>
          <w:szCs w:val="24"/>
          <w:highlight w:val="none"/>
          <w:lang w:bidi="ar-SA"/>
        </w:rPr>
      </w:pPr>
    </w:p>
    <w:p>
      <w:pPr>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6.1</w:t>
      </w:r>
      <w:r>
        <w:rPr>
          <w:rFonts w:hint="eastAsia" w:ascii="宋体" w:hAnsi="宋体" w:eastAsia="宋体" w:cs="宋体"/>
          <w:color w:val="auto"/>
          <w:sz w:val="32"/>
          <w:szCs w:val="32"/>
          <w:highlight w:val="none"/>
        </w:rPr>
        <w:t xml:space="preserve"> 资格审查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bookmarkStart w:id="62" w:name="_Toc15275"/>
      <w:r>
        <w:rPr>
          <w:rFonts w:hint="eastAsia" w:ascii="仿宋_GB2312" w:hAnsi="宋体" w:eastAsia="仿宋_GB2312" w:cs="Times New Roman"/>
          <w:b/>
          <w:bCs/>
          <w:color w:val="auto"/>
          <w:kern w:val="2"/>
          <w:sz w:val="24"/>
          <w:szCs w:val="24"/>
          <w:highlight w:val="none"/>
          <w:lang w:val="en-US" w:eastAsia="zh-CN" w:bidi="ar-SA"/>
        </w:rPr>
        <w:t>一、资格审查前附表</w:t>
      </w:r>
      <w:bookmarkEnd w:id="62"/>
    </w:p>
    <w:tbl>
      <w:tblPr>
        <w:tblStyle w:val="24"/>
        <w:tblW w:w="4857" w:type="pc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815"/>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pct"/>
            <w:vMerge w:val="restar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资格评标审准</w:t>
            </w:r>
          </w:p>
        </w:tc>
        <w:tc>
          <w:tcPr>
            <w:tcW w:w="938"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营业执照</w:t>
            </w:r>
          </w:p>
        </w:tc>
        <w:tc>
          <w:tcPr>
            <w:tcW w:w="3466"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具有独立承担民事责任的能力，具有法人或者其他组织的营业执照等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pct"/>
            <w:vMerge w:val="continue"/>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p>
        </w:tc>
        <w:tc>
          <w:tcPr>
            <w:tcW w:w="938"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财务状况</w:t>
            </w:r>
          </w:p>
        </w:tc>
        <w:tc>
          <w:tcPr>
            <w:tcW w:w="3466"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具有良好的商业信誉和健全的财务会计制度，提供近三年（2018-2020或2019-2021年度）经会计师事务所审计的财务报告（新成立企业从成立当年开始提供）。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95" w:type="pct"/>
            <w:vMerge w:val="continue"/>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p>
        </w:tc>
        <w:tc>
          <w:tcPr>
            <w:tcW w:w="938"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合同履行能力</w:t>
            </w:r>
          </w:p>
        </w:tc>
        <w:tc>
          <w:tcPr>
            <w:tcW w:w="3466"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具有履行合同所必需的设备和专业技术能力，提供承诺函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95" w:type="pct"/>
            <w:vMerge w:val="continue"/>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p>
        </w:tc>
        <w:tc>
          <w:tcPr>
            <w:tcW w:w="938"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纳税和社保证明</w:t>
            </w:r>
          </w:p>
        </w:tc>
        <w:tc>
          <w:tcPr>
            <w:tcW w:w="3466"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具有依法缴纳税收和社会保障资金的良好记录，提供近三个月供应商税收缴纳和社保缴纳证明材料；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95" w:type="pct"/>
            <w:vMerge w:val="continue"/>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p>
        </w:tc>
        <w:tc>
          <w:tcPr>
            <w:tcW w:w="938"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声明</w:t>
            </w:r>
          </w:p>
        </w:tc>
        <w:tc>
          <w:tcPr>
            <w:tcW w:w="3466"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参加政府采购前三年内在经营活动中没有重大违法记录，未被列入经营异常名录或者严重违法企业名单，提供书面声明（格式自拟）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95" w:type="pct"/>
            <w:vMerge w:val="continue"/>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p>
        </w:tc>
        <w:tc>
          <w:tcPr>
            <w:tcW w:w="938" w:type="pct"/>
            <w:vMerge w:val="restar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法律、法规要求的其他条件</w:t>
            </w:r>
          </w:p>
        </w:tc>
        <w:tc>
          <w:tcPr>
            <w:tcW w:w="3466"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法律、法规要求的其他条件（提供声明）。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95" w:type="pct"/>
            <w:vMerge w:val="continue"/>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p>
        </w:tc>
        <w:tc>
          <w:tcPr>
            <w:tcW w:w="938" w:type="pct"/>
            <w:vMerge w:val="continue"/>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p>
        </w:tc>
        <w:tc>
          <w:tcPr>
            <w:tcW w:w="3466"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符合《中华人民共和国政府采购法实施条例》第十八条规定的条件，提供书面声明（格式自拟）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95" w:type="pct"/>
            <w:vMerge w:val="continue"/>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p>
        </w:tc>
        <w:tc>
          <w:tcPr>
            <w:tcW w:w="938" w:type="pct"/>
            <w:noWrap w:val="0"/>
            <w:vAlign w:val="center"/>
          </w:tcPr>
          <w:p>
            <w:pPr>
              <w:spacing w:line="400" w:lineRule="exact"/>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信用要求</w:t>
            </w:r>
          </w:p>
        </w:tc>
        <w:tc>
          <w:tcPr>
            <w:tcW w:w="3466" w:type="pct"/>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未被“信用中国”网站（www.creditchina.gov.cn）列入失信被执行人、 重大税收违法案件当事人名单，未被中国政府采购网（www.ccgp.gov.cn）列入政府采购严重违法失信行为记录名单、被财政部门禁止参加政府采购活动（处罚决定规定的时间和地域范围内）的投标人禁止参加本项目的投标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000" w:type="pct"/>
            <w:gridSpan w:val="3"/>
            <w:noWrap w:val="0"/>
            <w:vAlign w:val="center"/>
          </w:tcPr>
          <w:p>
            <w:pPr>
              <w:spacing w:line="400" w:lineRule="exact"/>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以上资格评审标准中要求的所有证明文件供应商均须提供清晰的复印件。如有供应商提供的证明文件不清晰无法辨认的，</w:t>
            </w:r>
            <w:r>
              <w:rPr>
                <w:rFonts w:hint="eastAsia" w:ascii="仿宋_GB2312" w:hAnsi="宋体" w:eastAsia="仿宋_GB2312" w:cs="Times New Roman"/>
                <w:sz w:val="24"/>
                <w:szCs w:val="24"/>
                <w:highlight w:val="none"/>
                <w:lang w:bidi="ar-SA"/>
              </w:rPr>
              <w:t>采购代理机构</w:t>
            </w:r>
            <w:r>
              <w:rPr>
                <w:rFonts w:hint="eastAsia" w:ascii="仿宋_GB2312" w:hAnsi="宋体" w:eastAsia="仿宋_GB2312" w:cs="Times New Roman"/>
                <w:sz w:val="24"/>
                <w:szCs w:val="24"/>
                <w:highlight w:val="none"/>
                <w:lang w:val="en-US" w:eastAsia="zh-CN" w:bidi="ar-SA"/>
              </w:rPr>
              <w:t>或</w:t>
            </w:r>
            <w:r>
              <w:rPr>
                <w:rFonts w:hint="eastAsia" w:ascii="仿宋_GB2312" w:hAnsi="宋体" w:eastAsia="仿宋_GB2312" w:cs="Times New Roman"/>
                <w:sz w:val="24"/>
                <w:szCs w:val="24"/>
                <w:highlight w:val="none"/>
                <w:lang w:bidi="ar-SA"/>
              </w:rPr>
              <w:t>采购人</w:t>
            </w:r>
            <w:r>
              <w:rPr>
                <w:rFonts w:hint="eastAsia" w:ascii="仿宋_GB2312" w:hAnsi="宋体" w:eastAsia="仿宋_GB2312" w:cs="Times New Roman"/>
                <w:color w:val="auto"/>
                <w:kern w:val="2"/>
                <w:sz w:val="24"/>
                <w:szCs w:val="24"/>
                <w:highlight w:val="none"/>
                <w:lang w:val="en-US" w:eastAsia="zh-CN" w:bidi="ar-SA"/>
              </w:rPr>
              <w:t>可要求供应商提供原件，供应商无法提供原件的，相应审查项将不予通过。资格评审不通过的投标文件，</w:t>
            </w:r>
            <w:r>
              <w:rPr>
                <w:rFonts w:hint="eastAsia" w:ascii="仿宋_GB2312" w:hAnsi="宋体" w:eastAsia="仿宋_GB2312" w:cs="Times New Roman"/>
                <w:sz w:val="24"/>
                <w:szCs w:val="24"/>
                <w:highlight w:val="none"/>
                <w:lang w:bidi="ar-SA"/>
              </w:rPr>
              <w:t>采购代理机构</w:t>
            </w:r>
            <w:r>
              <w:rPr>
                <w:rFonts w:hint="eastAsia" w:ascii="仿宋_GB2312" w:hAnsi="宋体" w:eastAsia="仿宋_GB2312" w:cs="Times New Roman"/>
                <w:sz w:val="24"/>
                <w:szCs w:val="24"/>
                <w:highlight w:val="none"/>
                <w:lang w:val="en-US" w:eastAsia="zh-CN" w:bidi="ar-SA"/>
              </w:rPr>
              <w:t>或</w:t>
            </w:r>
            <w:r>
              <w:rPr>
                <w:rFonts w:hint="eastAsia" w:ascii="仿宋_GB2312" w:hAnsi="宋体" w:eastAsia="仿宋_GB2312" w:cs="Times New Roman"/>
                <w:sz w:val="24"/>
                <w:szCs w:val="24"/>
                <w:highlight w:val="none"/>
                <w:lang w:bidi="ar-SA"/>
              </w:rPr>
              <w:t>采购人</w:t>
            </w:r>
            <w:r>
              <w:rPr>
                <w:rFonts w:hint="eastAsia" w:ascii="仿宋_GB2312" w:hAnsi="宋体" w:eastAsia="仿宋_GB2312" w:cs="Times New Roman"/>
                <w:color w:val="auto"/>
                <w:kern w:val="2"/>
                <w:sz w:val="24"/>
                <w:szCs w:val="24"/>
                <w:highlight w:val="none"/>
                <w:lang w:val="en-US" w:eastAsia="zh-CN" w:bidi="ar-SA"/>
              </w:rPr>
              <w:t>有权做无效投标处理，不得进入下一步评标程序。</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bookmarkStart w:id="63" w:name="_Toc14804531"/>
      <w:bookmarkStart w:id="64" w:name="_Toc25831924"/>
      <w:bookmarkStart w:id="65" w:name="_Toc28998"/>
      <w:bookmarkStart w:id="66" w:name="_Toc346"/>
      <w:r>
        <w:rPr>
          <w:rFonts w:hint="eastAsia" w:ascii="仿宋_GB2312" w:hAnsi="宋体" w:eastAsia="仿宋_GB2312" w:cs="Times New Roman"/>
          <w:b/>
          <w:bCs/>
          <w:color w:val="auto"/>
          <w:kern w:val="2"/>
          <w:sz w:val="24"/>
          <w:szCs w:val="24"/>
          <w:highlight w:val="none"/>
          <w:lang w:val="en-US" w:eastAsia="zh-CN" w:bidi="ar-SA"/>
        </w:rPr>
        <w:t>二、资格评审程序及</w:t>
      </w:r>
      <w:bookmarkEnd w:id="63"/>
      <w:bookmarkEnd w:id="64"/>
      <w:r>
        <w:rPr>
          <w:rFonts w:hint="eastAsia" w:ascii="仿宋_GB2312" w:hAnsi="宋体" w:eastAsia="仿宋_GB2312" w:cs="Times New Roman"/>
          <w:b/>
          <w:bCs/>
          <w:color w:val="auto"/>
          <w:kern w:val="2"/>
          <w:sz w:val="24"/>
          <w:szCs w:val="24"/>
          <w:highlight w:val="none"/>
          <w:lang w:val="en-US" w:eastAsia="zh-CN" w:bidi="ar-SA"/>
        </w:rPr>
        <w:t>标准</w:t>
      </w:r>
      <w:bookmarkEnd w:id="65"/>
      <w:bookmarkEnd w:id="66"/>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1.本资格审查办法是以《中华人民共和国政府采购法》、《政府采购货物和服务招标投标管理办法》（财政部令第87号）和本项目采购文件的有关规定为基础制定。</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2.由采购代理机构或采购人依法对供应商的资格进行审查。合格供应商不足3家的，不得进入下一步评标程序。</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3.资格审查标准</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3.1 满足《中华人民共和国政府采购法》第二十二条规定及《中华人民共和国政府采购法实施条例》第十八条规定。</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3.2 本项目将执行在政府采购活动中查询及使用信用记录的规定，具体要求为：</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3.2.1 信用信息查询截止时间：同投标截止时间；</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3.2.2 查询渠道：“信用中国”网站（www.creditchina.gov.cn）和中国政府采购网（</w:t>
      </w:r>
      <w:r>
        <w:rPr>
          <w:rFonts w:hint="eastAsia" w:ascii="仿宋_GB2312" w:hAnsi="宋体" w:eastAsia="仿宋_GB2312" w:cs="Times New Roman"/>
          <w:sz w:val="24"/>
          <w:szCs w:val="24"/>
          <w:highlight w:val="none"/>
          <w:lang w:val="en-US" w:eastAsia="zh-CN" w:bidi="ar-SA"/>
        </w:rPr>
        <w:fldChar w:fldCharType="begin"/>
      </w:r>
      <w:r>
        <w:rPr>
          <w:rFonts w:hint="eastAsia" w:ascii="仿宋_GB2312" w:hAnsi="宋体" w:eastAsia="仿宋_GB2312" w:cs="Times New Roman"/>
          <w:sz w:val="24"/>
          <w:szCs w:val="24"/>
          <w:highlight w:val="none"/>
          <w:lang w:val="en-US" w:eastAsia="zh-CN" w:bidi="ar-SA"/>
        </w:rPr>
        <w:instrText xml:space="preserve"> HYPERLINK "http://www.ccgp.gov.cn" </w:instrText>
      </w:r>
      <w:r>
        <w:rPr>
          <w:rFonts w:hint="eastAsia" w:ascii="仿宋_GB2312" w:hAnsi="宋体" w:eastAsia="仿宋_GB2312" w:cs="Times New Roman"/>
          <w:sz w:val="24"/>
          <w:szCs w:val="24"/>
          <w:highlight w:val="none"/>
          <w:lang w:val="en-US" w:eastAsia="zh-CN" w:bidi="ar-SA"/>
        </w:rPr>
        <w:fldChar w:fldCharType="separate"/>
      </w:r>
      <w:r>
        <w:rPr>
          <w:rFonts w:hint="eastAsia" w:ascii="仿宋_GB2312" w:hAnsi="宋体" w:eastAsia="仿宋_GB2312" w:cs="Times New Roman"/>
          <w:sz w:val="24"/>
          <w:szCs w:val="24"/>
          <w:highlight w:val="none"/>
          <w:lang w:val="en-US" w:eastAsia="zh-CN" w:bidi="ar-SA"/>
        </w:rPr>
        <w:t>www.ccgp.gov.cn</w:t>
      </w:r>
      <w:r>
        <w:rPr>
          <w:rFonts w:hint="eastAsia" w:ascii="仿宋_GB2312" w:hAnsi="宋体" w:eastAsia="仿宋_GB2312" w:cs="Times New Roman"/>
          <w:sz w:val="24"/>
          <w:szCs w:val="24"/>
          <w:highlight w:val="none"/>
          <w:lang w:val="en-US" w:eastAsia="zh-CN" w:bidi="ar-SA"/>
        </w:rPr>
        <w:fldChar w:fldCharType="end"/>
      </w:r>
      <w:r>
        <w:rPr>
          <w:rFonts w:hint="eastAsia" w:ascii="仿宋_GB2312" w:hAnsi="宋体" w:eastAsia="仿宋_GB2312" w:cs="Times New Roman"/>
          <w:sz w:val="24"/>
          <w:szCs w:val="24"/>
          <w:highlight w:val="none"/>
          <w:lang w:val="en-US" w:eastAsia="zh-CN" w:bidi="ar-SA"/>
        </w:rPr>
        <w:t>）等；</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3.2.3 信用信息查询记录和证据留存方式：经查询存在不良信用记录的潜在供应商的查询结果网页截图作为查询记录和证据，与其他采购文件一并保存；</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3.2.4 信用信息的使用规则：本采购项目的供应商信用信息查询截止时含供应商资格要求所述不良信用记录的，投标无效。</w:t>
      </w:r>
    </w:p>
    <w:p>
      <w:pPr>
        <w:spacing w:line="400" w:lineRule="exact"/>
        <w:ind w:firstLine="480" w:firstLineChars="200"/>
        <w:rPr>
          <w:rFonts w:hint="eastAsia" w:ascii="仿宋_GB2312" w:hAnsi="宋体" w:eastAsia="仿宋_GB2312" w:cs="Times New Roman"/>
          <w:sz w:val="24"/>
          <w:szCs w:val="24"/>
          <w:highlight w:val="none"/>
          <w:lang w:val="en-US" w:eastAsia="zh-CN" w:bidi="ar-SA"/>
        </w:rPr>
        <w:sectPr>
          <w:pgSz w:w="11906" w:h="16838"/>
          <w:pgMar w:top="1440" w:right="1080" w:bottom="1440" w:left="1080" w:header="851" w:footer="737" w:gutter="0"/>
          <w:pgNumType w:fmt="decimal"/>
          <w:cols w:space="720" w:num="1"/>
          <w:docGrid w:linePitch="312" w:charSpace="0"/>
        </w:sectPr>
      </w:pPr>
    </w:p>
    <w:p>
      <w:pPr>
        <w:pStyle w:val="2"/>
        <w:spacing w:line="360" w:lineRule="auto"/>
        <w:jc w:val="center"/>
        <w:rPr>
          <w:rFonts w:hint="eastAsia" w:ascii="仿宋_GB2312" w:hAnsi="宋体" w:eastAsia="仿宋_GB2312" w:cs="Times New Roman"/>
          <w:b/>
          <w:bCs/>
          <w:color w:val="auto"/>
          <w:kern w:val="2"/>
          <w:sz w:val="36"/>
          <w:szCs w:val="36"/>
          <w:highlight w:val="none"/>
          <w:lang w:val="en-US" w:eastAsia="zh-CN" w:bidi="ar-SA"/>
        </w:rPr>
      </w:pPr>
      <w:bookmarkStart w:id="67" w:name="_Toc49019240"/>
      <w:bookmarkStart w:id="68" w:name="_Toc47416201"/>
      <w:bookmarkStart w:id="69" w:name="_Toc453587174"/>
      <w:bookmarkStart w:id="70" w:name="_Toc47415947"/>
      <w:bookmarkStart w:id="71" w:name="_Toc683"/>
      <w:bookmarkStart w:id="72" w:name="_Toc26694"/>
      <w:r>
        <w:rPr>
          <w:rFonts w:hint="eastAsia" w:ascii="仿宋_GB2312" w:hAnsi="宋体" w:eastAsia="仿宋_GB2312" w:cs="Times New Roman"/>
          <w:b/>
          <w:bCs/>
          <w:color w:val="auto"/>
          <w:kern w:val="2"/>
          <w:sz w:val="36"/>
          <w:szCs w:val="36"/>
          <w:highlight w:val="none"/>
          <w:lang w:val="en-US" w:eastAsia="zh-CN" w:bidi="ar-SA"/>
        </w:rPr>
        <w:t>6.2  评标标准</w:t>
      </w:r>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bookmarkStart w:id="73" w:name="_Toc322683141"/>
      <w:bookmarkStart w:id="74" w:name="_Toc453490056"/>
      <w:bookmarkStart w:id="75" w:name="_Toc19530"/>
      <w:bookmarkStart w:id="76" w:name="_Toc453587175"/>
      <w:bookmarkStart w:id="77" w:name="_Toc399161810"/>
      <w:bookmarkStart w:id="78" w:name="_Toc29652"/>
      <w:bookmarkStart w:id="79" w:name="_Toc12952310"/>
      <w:r>
        <w:rPr>
          <w:rFonts w:hint="eastAsia" w:ascii="仿宋_GB2312" w:hAnsi="宋体" w:eastAsia="仿宋_GB2312" w:cs="Times New Roman"/>
          <w:b/>
          <w:bCs/>
          <w:color w:val="auto"/>
          <w:kern w:val="2"/>
          <w:sz w:val="24"/>
          <w:szCs w:val="24"/>
          <w:highlight w:val="none"/>
          <w:lang w:val="en-US" w:eastAsia="zh-CN" w:bidi="ar-SA"/>
        </w:rPr>
        <w:t>一、评标办法前附表</w:t>
      </w:r>
      <w:bookmarkEnd w:id="73"/>
      <w:bookmarkEnd w:id="74"/>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1.符合性审查表：</w:t>
      </w:r>
    </w:p>
    <w:tbl>
      <w:tblPr>
        <w:tblStyle w:val="24"/>
        <w:tblW w:w="9487"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163"/>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条款号</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评审因素</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符合性审查标准</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供应商名称</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投标文件签字盖章</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采购文件要求签章盖章处有法定代表人或其委托代理人签字或加盖单位公章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投标文件格式</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符合“投标文件格式”的实质性要求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企业助廉守法承诺书</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是否按要求填写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报价唯一</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每种货物只能有一个有效报价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技术标准</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满足第5章货物技术规格、参数与要求，不予许负偏离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合同履行期限</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是否符合采购文件要求的期限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投标有效期</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是否符合采购文件要求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投标保证金</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是否按采购文件要求提交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串通投标情况</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是否存在与其他供应商串通投标的情形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其他要求</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是否符合采购文件规定的其他实质性要求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注：上述有一条未通过，视为符合性审查不通过，不再参与详细评审。</w:t>
            </w:r>
          </w:p>
        </w:tc>
      </w:tr>
    </w:tbl>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仿宋_GB2312" w:hAnsi="宋体" w:eastAsia="仿宋_GB2312" w:cs="Times New Roman"/>
          <w:sz w:val="24"/>
          <w:szCs w:val="24"/>
          <w:highlight w:val="none"/>
          <w:lang w:val="en-US" w:eastAsia="zh-CN" w:bidi="ar-SA"/>
        </w:rPr>
      </w:pPr>
      <w:bookmarkStart w:id="80" w:name="_Toc14804534"/>
      <w:bookmarkStart w:id="81" w:name="_Toc25831927"/>
      <w:bookmarkStart w:id="82" w:name="_Toc1215"/>
      <w:r>
        <w:rPr>
          <w:rFonts w:hint="eastAsia" w:ascii="仿宋_GB2312" w:hAnsi="宋体" w:eastAsia="仿宋_GB2312" w:cs="Times New Roman"/>
          <w:sz w:val="24"/>
          <w:szCs w:val="24"/>
          <w:highlight w:val="none"/>
          <w:lang w:val="en-US" w:eastAsia="zh-CN" w:bidi="ar-SA"/>
        </w:rPr>
        <w:t>2.详细评审：</w:t>
      </w:r>
    </w:p>
    <w:tbl>
      <w:tblPr>
        <w:tblStyle w:val="24"/>
        <w:tblW w:w="9462"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188"/>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条款号</w:t>
            </w:r>
          </w:p>
        </w:tc>
        <w:tc>
          <w:tcPr>
            <w:tcW w:w="21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因素</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920" w:firstLineChars="80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最低评标价法</w:t>
            </w:r>
          </w:p>
        </w:tc>
        <w:tc>
          <w:tcPr>
            <w:tcW w:w="21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投标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报价</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投标文件满足采购文件全部实质性要求，除了算数修正和落实政府采购政策需进行的价格扣除外，不对供应商的投标价格进行任何调整。评标结果按修正和扣除后的投标报价由低到高顺序排序。</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备注：为避免恶意低价竞争，评标委员会认为供应商的报价明显低于其他通过符合性审查供应商的报价，有可能影响产品质量或者不能诚信履约的，应当要求其在评标现场合理的时间内提供书面说明，并提交相关证明材料；供应商不能证明其报价合理性的，评标委员会议应当将其作为无效投标处理。</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bookmarkStart w:id="83" w:name="_Toc21466"/>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二、评标</w:t>
      </w:r>
      <w:bookmarkEnd w:id="80"/>
      <w:bookmarkEnd w:id="81"/>
      <w:bookmarkEnd w:id="82"/>
      <w:r>
        <w:rPr>
          <w:rFonts w:hint="eastAsia" w:ascii="仿宋_GB2312" w:hAnsi="宋体" w:eastAsia="仿宋_GB2312" w:cs="Times New Roman"/>
          <w:b/>
          <w:bCs/>
          <w:color w:val="auto"/>
          <w:kern w:val="2"/>
          <w:sz w:val="24"/>
          <w:szCs w:val="24"/>
          <w:highlight w:val="none"/>
          <w:lang w:val="en-US" w:eastAsia="zh-CN" w:bidi="ar-SA"/>
        </w:rPr>
        <w:t>原则及法律依据</w:t>
      </w:r>
      <w:bookmarkEnd w:id="83"/>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1.为保证本项目招标评标工作顺利进行，依据公平、公正、科学、择优的原则，特制定本评标标准。</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本评标办法是以《中华人民共和国政府采购法》、《政府采购货物和服务招标投标管理办法》（财政部令第87号）、《评标委员会和评标方法暂行规定》(国家计委和经贸委等七部委2001年第12号令)和本项目采购文件的有关规定为基础制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bookmarkStart w:id="84" w:name="_Toc26491"/>
      <w:bookmarkStart w:id="85" w:name="_Toc26757"/>
      <w:r>
        <w:rPr>
          <w:rFonts w:hint="eastAsia" w:ascii="仿宋_GB2312" w:hAnsi="宋体" w:eastAsia="仿宋_GB2312" w:cs="Times New Roman"/>
          <w:b/>
          <w:bCs/>
          <w:color w:val="auto"/>
          <w:kern w:val="2"/>
          <w:sz w:val="24"/>
          <w:szCs w:val="24"/>
          <w:highlight w:val="none"/>
          <w:lang w:val="en-US" w:eastAsia="zh-CN" w:bidi="ar-SA"/>
        </w:rPr>
        <w:t>三、评标</w:t>
      </w:r>
      <w:bookmarkEnd w:id="84"/>
      <w:r>
        <w:rPr>
          <w:rFonts w:hint="eastAsia" w:ascii="仿宋_GB2312" w:hAnsi="宋体" w:eastAsia="仿宋_GB2312" w:cs="Times New Roman"/>
          <w:b/>
          <w:bCs/>
          <w:color w:val="auto"/>
          <w:kern w:val="2"/>
          <w:sz w:val="24"/>
          <w:szCs w:val="24"/>
          <w:highlight w:val="none"/>
          <w:lang w:val="en-US" w:eastAsia="zh-CN" w:bidi="ar-SA"/>
        </w:rPr>
        <w:t>程序及评标办法</w:t>
      </w:r>
      <w:bookmarkEnd w:id="85"/>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1.（代理机构）作为采购代理机构负责组织本次招标评标工作，与采购人共同研究和决定招标评标的有关事宜。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 xml:space="preserve">2.评标委员会  </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2.1 评标委员会成员由西藏自治区公共资源交易综合专家库中随机抽取专家共4人及采购人代表1人组成，设评委主任1名，负责组织评标工作，确定中标候选人及其推荐顺序。如果评标委员会成员对审议事项存有不同意见，以评标委员会成员三分之二以上多数的意见为准，如仍然无法达成一致，审议事项应在重新评审后，以评标委员会成员简单多数的意见为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3.评标工作程序</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1）初步评审（资格审查、符合性审查）；</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2）详细评审；</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3）澄清（如果需要）；</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4）汇总评审结果；</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5）确定推荐中标候选人；</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6）完成评标报告。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4.无效投标的界定</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投标文件有下述情形之一的（包括有一项重大偏差），评标委员会有权做无效投标处理：</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4.1 逾期送达的；</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4.2 没有按照采购文件要求提供投标保证金；</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4.3 未加盖供应商鲜章的；</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4.4 无法人代表或授权委托人签字的；</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4.5 投标文件附有采购人不能接受的条件；</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4.6 供应商采取相互串标，排挤其他供应商的不公平竞争，损害采购人或其他供应商的合法权益的；</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4.7 供应商以行贿手段谋取中标或者以其他弄虚作假方式投标，违反招标纪律的。</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4.8投标文件载明的招标项目的合同履行期限超过采购文件规定的期限；</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4.9供应商针对同一服务（货物）递交两份或多份内容不同的投标文件，未书面声明哪一个有效的；</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4.10供应商在一份投标文件中，对同一服务（货物）报有两个或多个报价的；</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4.11属于采购文件规定的其他投标无效情形。</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5.评标内容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5.1符合性审查</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评标委员会将按符合性审查表中要求对投标文件进行符合性审查，有1项不合格者，将被视为符合性审查不合格。未通过符合性审查的投标将视为无效投标。</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评标专家组将确定每一供应商是否对采购文件的要求作出了实质性的响应，而没有重大偏离。实质性响应的投标是指投标符合采购文件的所有条款、条件和规定且没有重大偏离或保留。重大偏离或保留是指影响到采购文件规定的供货范围、质量和性能，或限制了采购人的权力和供应商的义务，而纠正这些偏离将影响到其它提交实质性响应投标的供应商的公平竞争地位。</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评标委员会判断投标文件的响应性仅基于投标文件本身而不靠外部证据。</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评标委员会有权拒绝被确定为非实质性响应的投标，供应商不能通过修正或撤销不符之处而使其投标成为实质性响应的投标。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5.2细微偏差处理</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5.2.1 细微偏差是指投标文件实质性响应采购文件要求，但在个别地方存在漏项或者提供了不完整的技术信息和数据等情况，并且补正这些遗漏或者不完整不会对其他供应商造成不公平的结果。</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5.2.2 对在个别地方存在遗漏但补正这些遗漏或者不完整不会对其他供应商造成不公平的结果的投标，将按同包次供应商中最高价格进行补齐，对其他细微偏差，评标委员会将酌情进行扣分处理。</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5.2.3 若《开标一览表》中的报价与投标文件中的报价不符，则以《开标一览表》的报价为准。算术错误将按以下方法更正：如果总价与数量乘单价的积而得到的总数有出入，以单价为准，但单价金额小数点有明显错误的除外；若文字大写表示的数据与数字表示的有差别，则以文字大写表示的数据为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5.3详细评审：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5.3.1评标方法：最低评标价法</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 xml:space="preserve">5.3.1.1为避免恶意低价竞争，评标委员会认为供应商的报价明显低于其他通过符合性审查供应商的报价，有可能影响产品质量或者不能诚信履约的，应当要求其在评标现场合理的时间内提供书面说明，并提交相关证明材料；供应商不能证明其报价合理性的，评标委员会议应当将其作为无效投标处理。 </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 xml:space="preserve"> 5.3.1.2小型和微型企业按财库【2020】46号《政府采购促进中小企业发展管理办法》第九条相关规定给予6%的扣除。监狱企业按财库【2014】68号相关规定给予6%的扣除，监狱企业参加本次招标活动的，应当提供由省级以上监狱管理局、戒毒管理局(含新疆生产建设兵团)出具的属于监狱企业的证明文件。残疾人福利企业按财库【2017】141号相关规定给予6%的扣除。</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5.3.2 本项目优先采购或强制采购节能产品、环境标志产品按《关于调整优化节能产品、环境标志产品政府采购执行机制的通知》（财库[2019]9号）执行。供应商提供的产品属于政府采购节能产品、环境标志产品品目清单的，应当提供国家确定的认证机构出具的、处于有效期之内的节能产品、环境标志产品认证证书。</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5.3.3本项目将对列入财政部、国家发展改革委公布的《政府采购自主创新产品目录》且在有效期内的投标产品给予政策性因素优先采购，未列入该期清单的产品，不属于政府优先采购的产品范围，不得享受政策性因素优先采购；供应商须提供《最新期政府采购自主创新产品目录》中投标产品所在清单页并加盖供应商鲜章，作为证明材料，未按要求提供证明材料或证明材料与中国政府采购网www.ccgp.gov.cn下载的清单不符合的评标委员会将不予认可。由多个产品集成的项目（子包），必须所有产品符合上述要求才能享受优先采购。供应商须在投标文件格式中指定位置单独列出符合以上要求的本项目产品清单并附证明材料，否则不得享受优先采购。</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5.3.4本项目涉及的进口产品将优先采购向我国企业转让技术、与我国企业签订消化吸收再创新方案的供应商的进口产品。</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5.4 澄清</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5.4.1 为有助于投标文件的审查、评价和比较，评标委员会可要求供应商对采购文件的商务、报价和技术等方面的任何不明确的内容做进一步澄清或对存在的细微偏差予以补正。但不得寻求、提出、允许或接受对价格及实质性内容进行更改。在澄清过程中不得向供应商提出不符合采购文件的要求。</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5.4.2 评标委员会对所有需要澄清或补正的问题，应以书面形式向供应商进行澄清或补正。澄清或补正结果汇总纳入评标报告。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5.5 评审结果排名</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5.5.1最低评标价法：除了算数修正和落实政府采购政策需进行的价格扣除外，不对供应商的投标价格进行任何调整。评标结果按修正和扣除后的投标报价由低到高顺序排序。</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扣除后的投标报价相同时，按投标报价由低至高排序；</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按前款不能区分的，上一年度净资产高的供应商优先；</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按前款不能区分的，优先采购节能产品、环境标志产品；</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按前款不能区分的，以投标文件递交时间在前的优先。</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5.5.2全体评委对上述排序推荐结果签字确认。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6.确定推荐的中标候选人</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6.1 投标文件满足采购文件全部实质性要求且能够最大限度地满足采购文件中规定的各项标准。</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6.2 采购人根据评标报告选定中标人：采购人确定排名第一的中标候选人为中标人，但排名第一的中标候选人自动放弃中标或因不可抗力提出不能履行合同时，采购人可以确定排名第二的中标候选人为中标人或重新招标，排名第二的中标候选人因上述同样原因不能签订的，采购人可以确定排名第三的中标候选人为中标人或重新招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7.完成评标报告</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7.1 评标委员会按财政部令第87号的规定编制评标报告，对于需要向中标候选人进一步澄清、说明、补正的事宜应纳入评标报告，并由评标委员会全体成员签字确认。</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7.2 评标报告由评标委员会全体成员签字。对评标结论持有异议的评标委员会成员可以书面方式阐述其不同意见和理由。评标委员会成员拒绝在评标报告上签字且不陈述其不同意见和理由的，视为同意评标报告。评标委员会应当对此作出书面说明并记录在案。</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7.3 向采购人提交书面评标报告后，评标委员会即告解散。评标过程中使用的文件、表格以及其他资料应当即时归还采购人。</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7.4 在确定中标人之前，采购人不得与供应商就投标价格、投标方案等实质性内容进行谈判。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cs="Times New Roman"/>
          <w:b/>
          <w:bCs/>
          <w:color w:val="auto"/>
          <w:kern w:val="2"/>
          <w:sz w:val="24"/>
          <w:szCs w:val="24"/>
          <w:highlight w:val="none"/>
          <w:lang w:val="en-US" w:eastAsia="zh-CN" w:bidi="ar-SA"/>
        </w:rPr>
      </w:pPr>
      <w:r>
        <w:rPr>
          <w:rFonts w:hint="eastAsia" w:ascii="仿宋_GB2312" w:hAnsi="宋体" w:eastAsia="仿宋_GB2312" w:cs="Times New Roman"/>
          <w:b/>
          <w:bCs/>
          <w:color w:val="auto"/>
          <w:kern w:val="2"/>
          <w:sz w:val="24"/>
          <w:szCs w:val="24"/>
          <w:highlight w:val="none"/>
          <w:lang w:val="en-US" w:eastAsia="zh-CN" w:bidi="ar-SA"/>
        </w:rPr>
        <w:t>8.评标工作纪律与保密要求：</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8.1 评标工作应严格按照评标程序和评标细则，遵循公平、公正、科学、择优的原则进行。</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8.2 评标委员会成员有下列情形之一的，应当主动提出回避。</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1）供应商或者供应商主要负责人的近亲属；</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2）项目主管部门或者行政监督部门的人员；</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3）与供应商有经济利益关系，可能影响对投标公正评审的；</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4）曾因在招标、评标以及其他与招标投标有关活动中从事违法行为而受过行政或刑事处罚的。</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8.3 公开开标后，直至宣布授予合同为止，评标人员必须严格遵守保密规定，凡属于审查、澄清、评价的有关资料以及授予合同有关的信息，都不应向供应商或与该评标过程无关的其他人员泄漏。</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8.4 供应商在投标文件的审查、澄清、评标和比较以及授予合同决定的过程中，对有关人员施加影响的任何企图和行为，都可能导致供应商的投标无效。</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hint="eastAsia" w:ascii="仿宋_GB2312" w:hAnsi="宋体" w:eastAsia="仿宋_GB2312" w:cs="Times New Roman"/>
          <w:sz w:val="24"/>
          <w:szCs w:val="24"/>
          <w:highlight w:val="none"/>
          <w:lang w:val="en-US" w:eastAsia="zh-CN" w:bidi="ar-SA"/>
        </w:rPr>
        <w:t>8.5 投标文件正本保留在采购人处。评标工作结束后，与评标工作有关的所有资料包括投标文件、评标资料、评标办法等由采购人存档。</w:t>
      </w:r>
    </w:p>
    <w:p>
      <w:pPr>
        <w:spacing w:line="400" w:lineRule="exact"/>
        <w:jc w:val="center"/>
        <w:rPr>
          <w:rFonts w:ascii="仿宋_GB2312" w:hAnsi="宋体" w:eastAsia="仿宋_GB2312" w:cs="Times New Roman"/>
          <w:b/>
          <w:bCs/>
          <w:sz w:val="32"/>
          <w:highlight w:val="none"/>
          <w:lang w:bidi="ar-SA"/>
        </w:rPr>
      </w:pPr>
    </w:p>
    <w:p>
      <w:pPr>
        <w:spacing w:line="400" w:lineRule="exact"/>
        <w:rPr>
          <w:rFonts w:ascii="仿宋_GB2312" w:hAnsi="宋体" w:eastAsia="仿宋_GB2312" w:cs="Times New Roman"/>
          <w:sz w:val="24"/>
          <w:szCs w:val="24"/>
          <w:highlight w:val="none"/>
          <w:lang w:bidi="ar-SA"/>
        </w:rPr>
      </w:pPr>
      <w:r>
        <w:rPr>
          <w:highlight w:val="none"/>
          <w:lang w:bidi="ar-SA"/>
        </w:rPr>
        <w:br w:type="page"/>
      </w:r>
      <w:r>
        <w:rPr>
          <w:rFonts w:ascii="仿宋_GB2312" w:hAnsi="宋体" w:eastAsia="仿宋_GB2312" w:cs="Times New Roman"/>
          <w:sz w:val="24"/>
          <w:szCs w:val="24"/>
          <w:highlight w:val="none"/>
          <w:lang w:bidi="ar-SA"/>
        </w:rPr>
        <w:tab/>
      </w:r>
      <w:r>
        <w:rPr>
          <w:rFonts w:ascii="仿宋_GB2312" w:hAnsi="宋体" w:eastAsia="仿宋_GB2312" w:cs="Times New Roman"/>
          <w:sz w:val="24"/>
          <w:szCs w:val="24"/>
          <w:highlight w:val="none"/>
          <w:lang w:bidi="ar-SA"/>
        </w:rPr>
        <w:tab/>
      </w:r>
    </w:p>
    <w:p>
      <w:pPr>
        <w:jc w:val="center"/>
        <w:rPr>
          <w:rFonts w:ascii="新宋体" w:hAnsi="新宋体" w:eastAsia="新宋体"/>
          <w:b/>
          <w:bCs/>
          <w:sz w:val="60"/>
          <w:szCs w:val="60"/>
          <w:highlight w:val="none"/>
        </w:rPr>
      </w:pPr>
    </w:p>
    <w:p>
      <w:pPr>
        <w:jc w:val="center"/>
        <w:rPr>
          <w:rFonts w:ascii="新宋体" w:hAnsi="新宋体" w:eastAsia="新宋体"/>
          <w:b/>
          <w:bCs/>
          <w:sz w:val="60"/>
          <w:szCs w:val="60"/>
          <w:highlight w:val="none"/>
        </w:rPr>
      </w:pPr>
    </w:p>
    <w:p>
      <w:pPr>
        <w:jc w:val="center"/>
        <w:rPr>
          <w:rFonts w:ascii="新宋体" w:hAnsi="新宋体" w:eastAsia="新宋体"/>
          <w:b/>
          <w:bCs/>
          <w:sz w:val="60"/>
          <w:szCs w:val="60"/>
          <w:highlight w:val="none"/>
        </w:rPr>
      </w:pPr>
    </w:p>
    <w:p>
      <w:pPr>
        <w:jc w:val="center"/>
        <w:rPr>
          <w:rFonts w:ascii="新宋体" w:hAnsi="新宋体" w:eastAsia="新宋体"/>
          <w:b/>
          <w:bCs/>
          <w:sz w:val="60"/>
          <w:szCs w:val="60"/>
          <w:highlight w:val="none"/>
        </w:rPr>
      </w:pPr>
    </w:p>
    <w:p>
      <w:pPr>
        <w:jc w:val="center"/>
        <w:rPr>
          <w:rFonts w:ascii="新宋体" w:hAnsi="新宋体" w:eastAsia="新宋体"/>
          <w:b/>
          <w:bCs/>
          <w:sz w:val="60"/>
          <w:szCs w:val="60"/>
          <w:highlight w:val="none"/>
        </w:rPr>
      </w:pPr>
      <w:r>
        <w:rPr>
          <w:rFonts w:hint="eastAsia" w:ascii="新宋体" w:hAnsi="新宋体" w:eastAsia="新宋体"/>
          <w:b/>
          <w:bCs/>
          <w:sz w:val="60"/>
          <w:szCs w:val="60"/>
          <w:highlight w:val="none"/>
        </w:rPr>
        <w:t>政府采购公开招标文件</w:t>
      </w:r>
    </w:p>
    <w:p>
      <w:pPr>
        <w:jc w:val="center"/>
        <w:rPr>
          <w:rFonts w:ascii="新宋体" w:hAnsi="新宋体" w:eastAsia="新宋体"/>
          <w:b/>
          <w:bCs/>
          <w:sz w:val="60"/>
          <w:szCs w:val="60"/>
          <w:highlight w:val="none"/>
        </w:rPr>
      </w:pPr>
    </w:p>
    <w:p>
      <w:pPr>
        <w:jc w:val="center"/>
        <w:rPr>
          <w:rFonts w:ascii="新宋体" w:hAnsi="新宋体" w:eastAsia="新宋体"/>
          <w:b/>
          <w:bCs/>
          <w:sz w:val="60"/>
          <w:szCs w:val="60"/>
          <w:highlight w:val="none"/>
        </w:rPr>
      </w:pPr>
      <w:r>
        <w:rPr>
          <w:rFonts w:hint="eastAsia" w:ascii="新宋体" w:hAnsi="新宋体" w:eastAsia="新宋体"/>
          <w:b/>
          <w:bCs/>
          <w:sz w:val="60"/>
          <w:szCs w:val="60"/>
          <w:highlight w:val="none"/>
        </w:rPr>
        <w:t>第三册</w:t>
      </w:r>
    </w:p>
    <w:p>
      <w:pPr>
        <w:jc w:val="center"/>
        <w:rPr>
          <w:rFonts w:ascii="新宋体" w:hAnsi="新宋体" w:eastAsia="新宋体"/>
          <w:b/>
          <w:bCs/>
          <w:sz w:val="60"/>
          <w:szCs w:val="60"/>
          <w:highlight w:val="none"/>
        </w:rPr>
      </w:pPr>
    </w:p>
    <w:p>
      <w:pPr>
        <w:jc w:val="center"/>
        <w:rPr>
          <w:rFonts w:ascii="新宋体" w:hAnsi="新宋体" w:eastAsia="新宋体"/>
          <w:b/>
          <w:bCs/>
          <w:sz w:val="60"/>
          <w:szCs w:val="60"/>
          <w:highlight w:val="none"/>
        </w:rPr>
      </w:pPr>
    </w:p>
    <w:p>
      <w:pPr>
        <w:widowControl/>
        <w:jc w:val="lef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br w:type="page"/>
      </w:r>
    </w:p>
    <w:p>
      <w:pPr>
        <w:pStyle w:val="2"/>
        <w:rPr>
          <w:highlight w:val="none"/>
          <w:lang w:bidi="ar-SA"/>
        </w:rPr>
      </w:pPr>
      <w:bookmarkStart w:id="86" w:name="_Toc75443044"/>
      <w:r>
        <w:rPr>
          <w:rFonts w:hint="eastAsia"/>
          <w:highlight w:val="none"/>
          <w:lang w:bidi="ar-SA"/>
        </w:rPr>
        <w:t>第</w:t>
      </w:r>
      <w:r>
        <w:rPr>
          <w:highlight w:val="none"/>
          <w:lang w:bidi="ar-SA"/>
        </w:rPr>
        <w:t>7</w:t>
      </w:r>
      <w:r>
        <w:rPr>
          <w:rFonts w:hint="eastAsia"/>
          <w:highlight w:val="none"/>
          <w:lang w:bidi="ar-SA"/>
        </w:rPr>
        <w:t>章政府采购合同</w:t>
      </w:r>
      <w:bookmarkEnd w:id="86"/>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合同编号：</w:t>
      </w:r>
    </w:p>
    <w:p>
      <w:pPr>
        <w:spacing w:line="400" w:lineRule="exact"/>
        <w:rPr>
          <w:rFonts w:ascii="楷体" w:hAnsi="楷体" w:eastAsia="楷体" w:cs="Times New Roman"/>
          <w:sz w:val="28"/>
          <w:szCs w:val="28"/>
          <w:highlight w:val="none"/>
          <w:lang w:bidi="ar-SA"/>
        </w:rPr>
      </w:pPr>
    </w:p>
    <w:p>
      <w:pPr>
        <w:spacing w:line="400" w:lineRule="exact"/>
        <w:rPr>
          <w:rFonts w:ascii="楷体" w:hAnsi="楷体" w:eastAsia="楷体" w:cs="Times New Roman"/>
          <w:sz w:val="28"/>
          <w:szCs w:val="28"/>
          <w:highlight w:val="none"/>
          <w:lang w:bidi="ar-SA"/>
        </w:rPr>
      </w:pPr>
    </w:p>
    <w:p>
      <w:pPr>
        <w:spacing w:line="400" w:lineRule="exact"/>
        <w:rPr>
          <w:rFonts w:ascii="楷体" w:hAnsi="楷体" w:eastAsia="楷体" w:cs="Times New Roman"/>
          <w:sz w:val="28"/>
          <w:szCs w:val="28"/>
          <w:highlight w:val="none"/>
          <w:lang w:bidi="ar-SA"/>
        </w:rPr>
      </w:pPr>
    </w:p>
    <w:p>
      <w:pPr>
        <w:spacing w:line="400" w:lineRule="exact"/>
        <w:jc w:val="center"/>
        <w:rPr>
          <w:rFonts w:ascii="楷体" w:hAnsi="楷体" w:eastAsia="楷体" w:cs="Times New Roman"/>
          <w:b/>
          <w:bCs/>
          <w:sz w:val="44"/>
          <w:szCs w:val="44"/>
          <w:highlight w:val="none"/>
          <w:lang w:bidi="ar-SA"/>
        </w:rPr>
      </w:pPr>
    </w:p>
    <w:p>
      <w:pPr>
        <w:spacing w:line="400" w:lineRule="exact"/>
        <w:jc w:val="center"/>
        <w:rPr>
          <w:rFonts w:ascii="楷体" w:hAnsi="楷体" w:eastAsia="楷体" w:cs="Times New Roman"/>
          <w:b/>
          <w:bCs/>
          <w:sz w:val="44"/>
          <w:szCs w:val="44"/>
          <w:highlight w:val="none"/>
          <w:lang w:bidi="ar-SA"/>
        </w:rPr>
      </w:pPr>
    </w:p>
    <w:p>
      <w:pPr>
        <w:spacing w:line="400" w:lineRule="exact"/>
        <w:jc w:val="center"/>
        <w:rPr>
          <w:rFonts w:ascii="楷体" w:hAnsi="楷体" w:eastAsia="楷体" w:cs="Times New Roman"/>
          <w:b/>
          <w:bCs/>
          <w:sz w:val="44"/>
          <w:szCs w:val="44"/>
          <w:highlight w:val="none"/>
          <w:lang w:bidi="ar-SA"/>
        </w:rPr>
      </w:pPr>
      <w:r>
        <w:rPr>
          <w:rFonts w:hint="eastAsia" w:ascii="楷体" w:hAnsi="楷体" w:eastAsia="楷体" w:cs="Times New Roman"/>
          <w:b/>
          <w:bCs/>
          <w:sz w:val="44"/>
          <w:szCs w:val="44"/>
          <w:highlight w:val="none"/>
          <w:lang w:bidi="ar-SA"/>
        </w:rPr>
        <w:t>政府采购合同参考范本</w:t>
      </w:r>
    </w:p>
    <w:p>
      <w:pPr>
        <w:spacing w:line="400" w:lineRule="exact"/>
        <w:jc w:val="center"/>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pStyle w:val="3"/>
        <w:rPr>
          <w:highlight w:val="none"/>
          <w:lang w:bidi="ar-SA"/>
        </w:rPr>
      </w:pPr>
      <w:bookmarkStart w:id="87" w:name="_Toc75443045"/>
      <w:bookmarkStart w:id="88" w:name="_Toc49590161"/>
      <w:r>
        <w:rPr>
          <w:rFonts w:hint="eastAsia"/>
          <w:highlight w:val="none"/>
          <w:lang w:bidi="ar-SA"/>
        </w:rPr>
        <w:t>第一部分合同书</w:t>
      </w:r>
      <w:bookmarkEnd w:id="87"/>
      <w:bookmarkEnd w:id="88"/>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p>
      <w:pPr>
        <w:spacing w:line="400" w:lineRule="exact"/>
        <w:rPr>
          <w:rFonts w:ascii="仿宋_GB2312" w:hAnsi="宋体" w:eastAsia="仿宋_GB2312" w:cs="Times New Roman"/>
          <w:sz w:val="24"/>
          <w:szCs w:val="24"/>
          <w:highlight w:val="none"/>
          <w:lang w:bidi="ar-SA"/>
        </w:rPr>
      </w:pPr>
    </w:p>
    <w:tbl>
      <w:tblPr>
        <w:tblStyle w:val="24"/>
        <w:tblW w:w="0" w:type="auto"/>
        <w:jc w:val="center"/>
        <w:tblLayout w:type="autofit"/>
        <w:tblCellMar>
          <w:top w:w="0" w:type="dxa"/>
          <w:left w:w="108" w:type="dxa"/>
          <w:bottom w:w="0" w:type="dxa"/>
          <w:right w:w="108" w:type="dxa"/>
        </w:tblCellMar>
      </w:tblPr>
      <w:tblGrid>
        <w:gridCol w:w="1392"/>
        <w:gridCol w:w="570"/>
        <w:gridCol w:w="4420"/>
      </w:tblGrid>
      <w:tr>
        <w:tblPrEx>
          <w:tblCellMar>
            <w:top w:w="0" w:type="dxa"/>
            <w:left w:w="108" w:type="dxa"/>
            <w:bottom w:w="0" w:type="dxa"/>
            <w:right w:w="108" w:type="dxa"/>
          </w:tblCellMar>
        </w:tblPrEx>
        <w:trPr>
          <w:trHeight w:val="750" w:hRule="atLeast"/>
          <w:jc w:val="center"/>
        </w:trPr>
        <w:tc>
          <w:tcPr>
            <w:tcW w:w="1392"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项目名称</w:t>
            </w:r>
          </w:p>
        </w:tc>
        <w:tc>
          <w:tcPr>
            <w:tcW w:w="570" w:type="dxa"/>
            <w:vAlign w:val="bottom"/>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420" w:type="dxa"/>
            <w:tcBorders>
              <w:bottom w:val="single" w:color="auto" w:sz="4" w:space="0"/>
            </w:tcBorders>
            <w:vAlign w:val="bottom"/>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717" w:hRule="atLeast"/>
          <w:jc w:val="center"/>
        </w:trPr>
        <w:tc>
          <w:tcPr>
            <w:tcW w:w="1392"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甲方</w:t>
            </w:r>
          </w:p>
        </w:tc>
        <w:tc>
          <w:tcPr>
            <w:tcW w:w="570" w:type="dxa"/>
            <w:vAlign w:val="bottom"/>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420" w:type="dxa"/>
            <w:tcBorders>
              <w:top w:val="single" w:color="auto" w:sz="4" w:space="0"/>
              <w:bottom w:val="single" w:color="auto" w:sz="4" w:space="0"/>
            </w:tcBorders>
            <w:vAlign w:val="bottom"/>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717" w:hRule="atLeast"/>
          <w:jc w:val="center"/>
        </w:trPr>
        <w:tc>
          <w:tcPr>
            <w:tcW w:w="1392"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乙方</w:t>
            </w:r>
          </w:p>
        </w:tc>
        <w:tc>
          <w:tcPr>
            <w:tcW w:w="570" w:type="dxa"/>
            <w:vAlign w:val="bottom"/>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420" w:type="dxa"/>
            <w:tcBorders>
              <w:top w:val="single" w:color="auto" w:sz="4" w:space="0"/>
              <w:bottom w:val="single" w:color="auto" w:sz="4" w:space="0"/>
            </w:tcBorders>
            <w:vAlign w:val="bottom"/>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717" w:hRule="atLeast"/>
          <w:jc w:val="center"/>
        </w:trPr>
        <w:tc>
          <w:tcPr>
            <w:tcW w:w="1392"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签订地</w:t>
            </w:r>
          </w:p>
        </w:tc>
        <w:tc>
          <w:tcPr>
            <w:tcW w:w="570" w:type="dxa"/>
            <w:vAlign w:val="bottom"/>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420" w:type="dxa"/>
            <w:tcBorders>
              <w:top w:val="single" w:color="auto" w:sz="4" w:space="0"/>
              <w:bottom w:val="single" w:color="auto" w:sz="4" w:space="0"/>
            </w:tcBorders>
            <w:vAlign w:val="bottom"/>
          </w:tcPr>
          <w:p>
            <w:pPr>
              <w:spacing w:line="400" w:lineRule="exact"/>
              <w:rPr>
                <w:rFonts w:ascii="仿宋_GB2312" w:hAnsi="宋体" w:eastAsia="仿宋_GB2312" w:cs="Times New Roman"/>
                <w:sz w:val="24"/>
                <w:szCs w:val="24"/>
                <w:highlight w:val="none"/>
                <w:lang w:bidi="ar-SA"/>
              </w:rPr>
            </w:pPr>
          </w:p>
        </w:tc>
      </w:tr>
      <w:tr>
        <w:tblPrEx>
          <w:tblCellMar>
            <w:top w:w="0" w:type="dxa"/>
            <w:left w:w="108" w:type="dxa"/>
            <w:bottom w:w="0" w:type="dxa"/>
            <w:right w:w="108" w:type="dxa"/>
          </w:tblCellMar>
        </w:tblPrEx>
        <w:trPr>
          <w:trHeight w:val="717" w:hRule="atLeast"/>
          <w:jc w:val="center"/>
        </w:trPr>
        <w:tc>
          <w:tcPr>
            <w:tcW w:w="1392" w:type="dxa"/>
            <w:vAlign w:val="bottom"/>
          </w:tcPr>
          <w:p>
            <w:pPr>
              <w:spacing w:line="400" w:lineRule="exact"/>
              <w:jc w:val="distribute"/>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签订日期</w:t>
            </w:r>
          </w:p>
        </w:tc>
        <w:tc>
          <w:tcPr>
            <w:tcW w:w="570" w:type="dxa"/>
            <w:vAlign w:val="bottom"/>
          </w:tcPr>
          <w:p>
            <w:pPr>
              <w:spacing w:line="400" w:lineRule="exact"/>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w:t>
            </w:r>
          </w:p>
        </w:tc>
        <w:tc>
          <w:tcPr>
            <w:tcW w:w="4420" w:type="dxa"/>
            <w:tcBorders>
              <w:top w:val="single" w:color="auto" w:sz="4" w:space="0"/>
              <w:bottom w:val="single" w:color="auto" w:sz="4" w:space="0"/>
            </w:tcBorders>
            <w:vAlign w:val="bottom"/>
          </w:tcPr>
          <w:p>
            <w:pPr>
              <w:spacing w:line="400" w:lineRule="exact"/>
              <w:rPr>
                <w:rFonts w:ascii="仿宋_GB2312" w:hAnsi="宋体" w:eastAsia="仿宋_GB2312" w:cs="Times New Roman"/>
                <w:sz w:val="24"/>
                <w:szCs w:val="24"/>
                <w:highlight w:val="none"/>
                <w:lang w:bidi="ar-SA"/>
              </w:rPr>
            </w:pPr>
          </w:p>
        </w:tc>
      </w:tr>
    </w:tbl>
    <w:p>
      <w:pPr>
        <w:spacing w:line="400" w:lineRule="exact"/>
        <w:rPr>
          <w:rFonts w:ascii="仿宋_GB2312" w:hAnsi="宋体" w:eastAsia="仿宋_GB2312" w:cs="Times New Roman"/>
          <w:sz w:val="24"/>
          <w:szCs w:val="24"/>
          <w:highlight w:val="none"/>
          <w:lang w:bidi="ar-SA"/>
        </w:rPr>
      </w:pPr>
    </w:p>
    <w:p>
      <w:pPr>
        <w:widowControl/>
        <w:jc w:val="lef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br w:type="page"/>
      </w:r>
    </w:p>
    <w:p>
      <w:pPr>
        <w:widowControl/>
        <w:spacing w:line="240" w:lineRule="auto"/>
        <w:ind w:firstLine="0" w:firstLineChars="0"/>
        <w:jc w:val="lef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年月日，</w:t>
      </w:r>
      <w:r>
        <w:rPr>
          <w:rFonts w:hint="eastAsia" w:ascii="仿宋_GB2312" w:hAnsi="宋体" w:eastAsia="仿宋_GB2312" w:cs="Times New Roman"/>
          <w:sz w:val="24"/>
          <w:szCs w:val="24"/>
          <w:highlight w:val="none"/>
          <w:u w:val="single"/>
          <w:lang w:bidi="ar-SA"/>
        </w:rPr>
        <w:t>（采购人名称）</w:t>
      </w:r>
      <w:r>
        <w:rPr>
          <w:rFonts w:hint="eastAsia" w:ascii="仿宋_GB2312" w:hAnsi="宋体" w:eastAsia="仿宋_GB2312" w:cs="Times New Roman"/>
          <w:sz w:val="24"/>
          <w:szCs w:val="24"/>
          <w:highlight w:val="none"/>
          <w:lang w:bidi="ar-SA"/>
        </w:rPr>
        <w:t>以</w:t>
      </w:r>
      <w:r>
        <w:rPr>
          <w:rFonts w:hint="eastAsia" w:ascii="仿宋_GB2312" w:hAnsi="宋体" w:eastAsia="仿宋_GB2312" w:cs="Times New Roman"/>
          <w:sz w:val="24"/>
          <w:szCs w:val="24"/>
          <w:highlight w:val="none"/>
          <w:u w:val="single"/>
          <w:lang w:bidi="ar-SA"/>
        </w:rPr>
        <w:t>（政府采购方式）</w:t>
      </w:r>
      <w:r>
        <w:rPr>
          <w:rFonts w:hint="eastAsia" w:ascii="仿宋_GB2312" w:hAnsi="宋体" w:eastAsia="仿宋_GB2312" w:cs="Times New Roman"/>
          <w:sz w:val="24"/>
          <w:szCs w:val="24"/>
          <w:highlight w:val="none"/>
          <w:lang w:bidi="ar-SA"/>
        </w:rPr>
        <w:t>对</w:t>
      </w:r>
      <w:r>
        <w:rPr>
          <w:rFonts w:hint="eastAsia" w:ascii="仿宋_GB2312" w:hAnsi="宋体" w:eastAsia="仿宋_GB2312" w:cs="Times New Roman"/>
          <w:sz w:val="24"/>
          <w:szCs w:val="24"/>
          <w:highlight w:val="none"/>
          <w:u w:val="single"/>
          <w:lang w:bidi="ar-SA"/>
        </w:rPr>
        <w:t>（同前页项目名称）</w:t>
      </w:r>
      <w:r>
        <w:rPr>
          <w:rFonts w:hint="eastAsia" w:ascii="仿宋_GB2312" w:hAnsi="宋体" w:eastAsia="仿宋_GB2312" w:cs="Times New Roman"/>
          <w:sz w:val="24"/>
          <w:szCs w:val="24"/>
          <w:highlight w:val="none"/>
          <w:lang w:bidi="ar-SA"/>
        </w:rPr>
        <w:t>项目进行了采购。经</w:t>
      </w:r>
      <w:r>
        <w:rPr>
          <w:rFonts w:hint="eastAsia" w:ascii="仿宋_GB2312" w:hAnsi="宋体" w:eastAsia="仿宋_GB2312" w:cs="Times New Roman"/>
          <w:sz w:val="24"/>
          <w:szCs w:val="24"/>
          <w:highlight w:val="none"/>
          <w:u w:val="single"/>
          <w:lang w:bidi="ar-SA"/>
        </w:rPr>
        <w:t>（相关评定主体名称）</w:t>
      </w:r>
      <w:r>
        <w:rPr>
          <w:rFonts w:hint="eastAsia" w:ascii="仿宋_GB2312" w:hAnsi="宋体" w:eastAsia="仿宋_GB2312" w:cs="Times New Roman"/>
          <w:sz w:val="24"/>
          <w:szCs w:val="24"/>
          <w:highlight w:val="none"/>
          <w:lang w:bidi="ar-SA"/>
        </w:rPr>
        <w:t>评定，</w:t>
      </w:r>
      <w:r>
        <w:rPr>
          <w:rFonts w:hint="eastAsia" w:ascii="仿宋_GB2312" w:hAnsi="宋体" w:eastAsia="仿宋_GB2312" w:cs="Times New Roman"/>
          <w:sz w:val="24"/>
          <w:szCs w:val="24"/>
          <w:highlight w:val="none"/>
          <w:u w:val="single"/>
          <w:lang w:bidi="ar-SA"/>
        </w:rPr>
        <w:t>（中标供应商名称）</w:t>
      </w:r>
      <w:r>
        <w:rPr>
          <w:rFonts w:hint="eastAsia" w:ascii="仿宋_GB2312" w:hAnsi="宋体" w:eastAsia="仿宋_GB2312" w:cs="Times New Roman"/>
          <w:sz w:val="24"/>
          <w:szCs w:val="24"/>
          <w:highlight w:val="none"/>
          <w:lang w:bidi="ar-SA"/>
        </w:rPr>
        <w:t>为该项目中标供应商。现于中标通知书发出之日起三十日内，按照采购文件确定的事项签订本合同。</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根据《中华人民共和国合同法》、《中华人民共和国政府采购法》等相关法律法规之规定，按照平等、自愿、公平和诚实信用的原则，经</w:t>
      </w:r>
      <w:r>
        <w:rPr>
          <w:rFonts w:hint="eastAsia" w:ascii="仿宋_GB2312" w:hAnsi="宋体" w:eastAsia="仿宋_GB2312" w:cs="Times New Roman"/>
          <w:sz w:val="24"/>
          <w:szCs w:val="24"/>
          <w:highlight w:val="none"/>
          <w:u w:val="single"/>
          <w:lang w:bidi="ar-SA"/>
        </w:rPr>
        <w:t>（采购人名称）</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以下简称：甲方</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和</w:t>
      </w:r>
      <w:r>
        <w:rPr>
          <w:rFonts w:hint="eastAsia" w:ascii="仿宋_GB2312" w:hAnsi="宋体" w:eastAsia="仿宋_GB2312" w:cs="Times New Roman"/>
          <w:sz w:val="24"/>
          <w:szCs w:val="24"/>
          <w:highlight w:val="none"/>
          <w:u w:val="single"/>
          <w:lang w:bidi="ar-SA"/>
        </w:rPr>
        <w:t>（中标供应商名称）</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bidi="ar-SA"/>
        </w:rPr>
        <w:t>以下简称：乙方</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协商一致，约定以下合同条款，以兹共同遵守、全面履行。</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1.1 </w:t>
      </w:r>
      <w:r>
        <w:rPr>
          <w:rFonts w:hint="eastAsia" w:ascii="仿宋_GB2312" w:hAnsi="宋体" w:eastAsia="仿宋_GB2312" w:cs="Times New Roman"/>
          <w:b/>
          <w:bCs/>
          <w:sz w:val="24"/>
          <w:szCs w:val="24"/>
          <w:highlight w:val="none"/>
          <w:lang w:bidi="ar-SA"/>
        </w:rPr>
        <w:t>合同组成部分</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1.1.1 </w:t>
      </w:r>
      <w:r>
        <w:rPr>
          <w:rFonts w:hint="eastAsia" w:ascii="仿宋_GB2312" w:hAnsi="宋体" w:eastAsia="仿宋_GB2312" w:cs="Times New Roman"/>
          <w:sz w:val="24"/>
          <w:szCs w:val="24"/>
          <w:highlight w:val="none"/>
          <w:lang w:bidi="ar-SA"/>
        </w:rPr>
        <w:t>本合同及其补充合同、变更协议；</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1.1.2 </w:t>
      </w:r>
      <w:r>
        <w:rPr>
          <w:rFonts w:hint="eastAsia" w:ascii="仿宋_GB2312" w:hAnsi="宋体" w:eastAsia="仿宋_GB2312" w:cs="Times New Roman"/>
          <w:sz w:val="24"/>
          <w:szCs w:val="24"/>
          <w:highlight w:val="none"/>
          <w:lang w:bidi="ar-SA"/>
        </w:rPr>
        <w:t>中标通知书；</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1.1.3 </w:t>
      </w:r>
      <w:r>
        <w:rPr>
          <w:rFonts w:hint="eastAsia" w:ascii="仿宋_GB2312" w:hAnsi="宋体" w:eastAsia="仿宋_GB2312" w:cs="Times New Roman"/>
          <w:sz w:val="24"/>
          <w:szCs w:val="24"/>
          <w:highlight w:val="none"/>
          <w:lang w:bidi="ar-SA"/>
        </w:rPr>
        <w:t>投标文件（含澄清或者说明文件）；</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1.1.4 </w:t>
      </w:r>
      <w:r>
        <w:rPr>
          <w:rFonts w:hint="eastAsia" w:ascii="仿宋_GB2312" w:hAnsi="宋体" w:eastAsia="仿宋_GB2312" w:cs="Times New Roman"/>
          <w:sz w:val="24"/>
          <w:szCs w:val="24"/>
          <w:highlight w:val="none"/>
          <w:lang w:bidi="ar-SA"/>
        </w:rPr>
        <w:t>招标文件（含澄清或者修改文件）；</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1.1.5 </w:t>
      </w:r>
      <w:r>
        <w:rPr>
          <w:rFonts w:hint="eastAsia" w:ascii="仿宋_GB2312" w:hAnsi="宋体" w:eastAsia="仿宋_GB2312" w:cs="Times New Roman"/>
          <w:sz w:val="24"/>
          <w:szCs w:val="24"/>
          <w:highlight w:val="none"/>
          <w:lang w:bidi="ar-SA"/>
        </w:rPr>
        <w:t>其他相关采购文件。</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1.2 </w:t>
      </w:r>
      <w:r>
        <w:rPr>
          <w:rFonts w:hint="eastAsia" w:ascii="仿宋_GB2312" w:hAnsi="宋体" w:eastAsia="仿宋_GB2312" w:cs="Times New Roman"/>
          <w:b/>
          <w:bCs/>
          <w:sz w:val="24"/>
          <w:szCs w:val="24"/>
          <w:highlight w:val="none"/>
          <w:lang w:bidi="ar-SA"/>
        </w:rPr>
        <w:t>货物（服务）</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1.2.1 </w:t>
      </w:r>
      <w:r>
        <w:rPr>
          <w:rFonts w:hint="eastAsia" w:ascii="仿宋_GB2312" w:hAnsi="宋体" w:eastAsia="仿宋_GB2312" w:cs="Times New Roman"/>
          <w:sz w:val="24"/>
          <w:szCs w:val="24"/>
          <w:highlight w:val="none"/>
          <w:lang w:bidi="ar-SA"/>
        </w:rPr>
        <w:t>货物（服务）名称：；</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1.2.2 </w:t>
      </w:r>
      <w:r>
        <w:rPr>
          <w:rFonts w:hint="eastAsia" w:ascii="仿宋_GB2312" w:hAnsi="宋体" w:eastAsia="仿宋_GB2312" w:cs="Times New Roman"/>
          <w:sz w:val="24"/>
          <w:szCs w:val="24"/>
          <w:highlight w:val="none"/>
          <w:lang w:bidi="ar-SA"/>
        </w:rPr>
        <w:t>货物（服务）数量：；</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1.2.3 </w:t>
      </w:r>
      <w:r>
        <w:rPr>
          <w:rFonts w:hint="eastAsia" w:ascii="仿宋_GB2312" w:hAnsi="宋体" w:eastAsia="仿宋_GB2312" w:cs="Times New Roman"/>
          <w:sz w:val="24"/>
          <w:szCs w:val="24"/>
          <w:highlight w:val="none"/>
          <w:lang w:bidi="ar-SA"/>
        </w:rPr>
        <w:t>货物（服务）质量：。</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1.3 </w:t>
      </w:r>
      <w:r>
        <w:rPr>
          <w:rFonts w:hint="eastAsia" w:ascii="仿宋_GB2312" w:hAnsi="宋体" w:eastAsia="仿宋_GB2312" w:cs="Times New Roman"/>
          <w:b/>
          <w:bCs/>
          <w:sz w:val="24"/>
          <w:szCs w:val="24"/>
          <w:highlight w:val="none"/>
          <w:lang w:bidi="ar-SA"/>
        </w:rPr>
        <w:t>价款</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本合同总价为：￥元（大写：元人民币）。</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7"/>
              <w:spacing w:line="560" w:lineRule="exact"/>
              <w:jc w:val="center"/>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序号</w:t>
            </w:r>
          </w:p>
        </w:tc>
        <w:tc>
          <w:tcPr>
            <w:tcW w:w="340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分项名称</w:t>
            </w:r>
          </w:p>
        </w:tc>
        <w:tc>
          <w:tcPr>
            <w:tcW w:w="2552" w:type="dxa"/>
            <w:vAlign w:val="center"/>
          </w:tcPr>
          <w:p>
            <w:pPr>
              <w:pStyle w:val="37"/>
              <w:spacing w:line="560" w:lineRule="exact"/>
              <w:jc w:val="center"/>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c>
          <w:tcPr>
            <w:tcW w:w="340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c>
          <w:tcPr>
            <w:tcW w:w="255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c>
          <w:tcPr>
            <w:tcW w:w="340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c>
          <w:tcPr>
            <w:tcW w:w="255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c>
          <w:tcPr>
            <w:tcW w:w="340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c>
          <w:tcPr>
            <w:tcW w:w="255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c>
          <w:tcPr>
            <w:tcW w:w="340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c>
          <w:tcPr>
            <w:tcW w:w="255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7"/>
              <w:spacing w:line="560" w:lineRule="exact"/>
              <w:ind w:firstLine="200"/>
              <w:jc w:val="center"/>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总价</w:t>
            </w:r>
          </w:p>
        </w:tc>
        <w:tc>
          <w:tcPr>
            <w:tcW w:w="2552" w:type="dxa"/>
            <w:vAlign w:val="center"/>
          </w:tcPr>
          <w:p>
            <w:pPr>
              <w:pStyle w:val="37"/>
              <w:spacing w:line="560" w:lineRule="exact"/>
              <w:ind w:firstLine="200"/>
              <w:jc w:val="center"/>
              <w:rPr>
                <w:rFonts w:ascii="仿宋_GB2312" w:hAnsi="宋体" w:eastAsia="仿宋_GB2312" w:cs="Times New Roman"/>
                <w:sz w:val="24"/>
                <w:szCs w:val="24"/>
                <w:highlight w:val="none"/>
                <w:lang w:bidi="ar-SA"/>
              </w:rPr>
            </w:pPr>
          </w:p>
        </w:tc>
      </w:tr>
    </w:tbl>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1.4 </w:t>
      </w:r>
      <w:r>
        <w:rPr>
          <w:rFonts w:hint="eastAsia" w:ascii="仿宋_GB2312" w:hAnsi="宋体" w:eastAsia="仿宋_GB2312" w:cs="Times New Roman"/>
          <w:b/>
          <w:bCs/>
          <w:sz w:val="24"/>
          <w:szCs w:val="24"/>
          <w:highlight w:val="none"/>
          <w:lang w:bidi="ar-SA"/>
        </w:rPr>
        <w:t>付款方式和发票开具方式</w:t>
      </w:r>
    </w:p>
    <w:p>
      <w:pPr>
        <w:spacing w:line="400" w:lineRule="exact"/>
        <w:ind w:firstLine="480" w:firstLineChars="200"/>
        <w:rPr>
          <w:rFonts w:hint="eastAsia" w:ascii="仿宋_GB2312" w:hAnsi="宋体" w:eastAsia="仿宋_GB2312" w:cs="Times New Roman"/>
          <w:sz w:val="24"/>
          <w:szCs w:val="24"/>
          <w:highlight w:val="none"/>
          <w:lang w:val="en-US" w:eastAsia="zh-CN" w:bidi="ar-SA"/>
        </w:rPr>
      </w:pPr>
      <w:r>
        <w:rPr>
          <w:rFonts w:ascii="仿宋_GB2312" w:hAnsi="宋体" w:eastAsia="仿宋_GB2312" w:cs="Times New Roman"/>
          <w:sz w:val="24"/>
          <w:szCs w:val="24"/>
          <w:highlight w:val="none"/>
          <w:lang w:bidi="ar-SA"/>
        </w:rPr>
        <w:t xml:space="preserve">1.4.1 </w:t>
      </w:r>
      <w:r>
        <w:rPr>
          <w:rFonts w:hint="eastAsia" w:ascii="仿宋_GB2312" w:hAnsi="宋体" w:eastAsia="仿宋_GB2312" w:cs="Times New Roman"/>
          <w:sz w:val="24"/>
          <w:szCs w:val="24"/>
          <w:highlight w:val="none"/>
          <w:lang w:bidi="ar-SA"/>
        </w:rPr>
        <w:t>付款方式：付款方式：</w:t>
      </w:r>
      <w:r>
        <w:rPr>
          <w:rFonts w:hint="eastAsia" w:ascii="仿宋_GB2312" w:hAnsi="宋体" w:eastAsia="仿宋_GB2312" w:cs="Times New Roman"/>
          <w:sz w:val="24"/>
          <w:szCs w:val="24"/>
          <w:highlight w:val="none"/>
          <w:u w:val="single"/>
          <w:lang w:eastAsia="zh-CN" w:bidi="ar-SA"/>
        </w:rPr>
        <w:t>合同生效后付合同价的</w:t>
      </w:r>
      <w:r>
        <w:rPr>
          <w:rFonts w:hint="eastAsia" w:ascii="仿宋_GB2312" w:hAnsi="宋体" w:eastAsia="仿宋_GB2312" w:cs="Times New Roman"/>
          <w:sz w:val="24"/>
          <w:szCs w:val="24"/>
          <w:highlight w:val="none"/>
          <w:u w:val="single"/>
          <w:lang w:val="en-US" w:eastAsia="zh-CN" w:bidi="ar-SA"/>
        </w:rPr>
        <w:t>30%作为预付款，材料验收合格后付70%。</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1.4.2 </w:t>
      </w:r>
      <w:r>
        <w:rPr>
          <w:rFonts w:hint="eastAsia" w:ascii="仿宋_GB2312" w:hAnsi="宋体" w:eastAsia="仿宋_GB2312" w:cs="Times New Roman"/>
          <w:sz w:val="24"/>
          <w:szCs w:val="24"/>
          <w:highlight w:val="none"/>
          <w:lang w:bidi="ar-SA"/>
        </w:rPr>
        <w:t>发票开具方式：</w:t>
      </w:r>
      <w:r>
        <w:rPr>
          <w:rFonts w:hint="eastAsia" w:ascii="仿宋_GB2312" w:hAnsi="宋体" w:eastAsia="仿宋_GB2312" w:cs="Times New Roman"/>
          <w:sz w:val="24"/>
          <w:szCs w:val="24"/>
          <w:highlight w:val="none"/>
          <w:lang w:eastAsia="zh-CN" w:bidi="ar-SA"/>
        </w:rPr>
        <w:t>合同价</w:t>
      </w:r>
      <w:r>
        <w:rPr>
          <w:rFonts w:hint="eastAsia" w:ascii="仿宋_GB2312" w:hAnsi="宋体" w:eastAsia="仿宋_GB2312" w:cs="Times New Roman"/>
          <w:sz w:val="24"/>
          <w:szCs w:val="24"/>
          <w:highlight w:val="none"/>
          <w:lang w:val="en-US" w:eastAsia="zh-CN" w:bidi="ar-SA"/>
        </w:rPr>
        <w:t>100%金额的</w:t>
      </w:r>
      <w:r>
        <w:rPr>
          <w:rFonts w:hint="eastAsia" w:ascii="仿宋_GB2312" w:hAnsi="宋体" w:eastAsia="仿宋_GB2312" w:cs="Times New Roman"/>
          <w:color w:val="auto"/>
          <w:kern w:val="2"/>
          <w:sz w:val="24"/>
          <w:szCs w:val="24"/>
          <w:highlight w:val="none"/>
          <w:lang w:val="en-US" w:eastAsia="zh-CN" w:bidi="ar-SA"/>
        </w:rPr>
        <w:t>增值税发票正本一份。</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1.5 </w:t>
      </w:r>
      <w:r>
        <w:rPr>
          <w:rFonts w:hint="eastAsia" w:ascii="仿宋_GB2312" w:hAnsi="宋体" w:eastAsia="仿宋_GB2312" w:cs="Times New Roman"/>
          <w:sz w:val="24"/>
          <w:szCs w:val="24"/>
          <w:highlight w:val="none"/>
          <w:lang w:bidi="ar-SA"/>
        </w:rPr>
        <w:t>货物（服务）交付期限、地点和方式</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1.5.1 </w:t>
      </w:r>
      <w:r>
        <w:rPr>
          <w:rFonts w:hint="eastAsia" w:ascii="仿宋_GB2312" w:hAnsi="宋体" w:eastAsia="仿宋_GB2312" w:cs="Times New Roman"/>
          <w:sz w:val="24"/>
          <w:szCs w:val="24"/>
          <w:highlight w:val="none"/>
          <w:lang w:bidi="ar-SA"/>
        </w:rPr>
        <w:t>交付期限：</w:t>
      </w:r>
      <w:r>
        <w:rPr>
          <w:rFonts w:hint="eastAsia" w:ascii="仿宋_GB2312" w:hAnsi="宋体" w:eastAsia="仿宋_GB2312" w:cs="Times New Roman"/>
          <w:sz w:val="24"/>
          <w:szCs w:val="24"/>
          <w:highlight w:val="none"/>
          <w:u w:val="single"/>
          <w:lang w:bidi="ar-SA"/>
        </w:rPr>
        <w:t>　</w:t>
      </w:r>
      <w:r>
        <w:rPr>
          <w:rFonts w:hint="eastAsia" w:ascii="仿宋_GB2312" w:hAnsi="宋体" w:eastAsia="仿宋_GB2312" w:cs="Times New Roman"/>
          <w:sz w:val="24"/>
          <w:szCs w:val="24"/>
          <w:highlight w:val="none"/>
          <w:u w:val="single"/>
          <w:lang w:eastAsia="zh-CN" w:bidi="ar-SA"/>
        </w:rPr>
        <w:t>合同签订后的</w:t>
      </w:r>
      <w:r>
        <w:rPr>
          <w:rFonts w:hint="eastAsia" w:ascii="仿宋_GB2312" w:hAnsi="宋体" w:eastAsia="仿宋_GB2312" w:cs="Times New Roman"/>
          <w:sz w:val="24"/>
          <w:szCs w:val="24"/>
          <w:highlight w:val="none"/>
          <w:u w:val="single"/>
          <w:lang w:val="en-US" w:eastAsia="zh-CN" w:bidi="ar-SA"/>
        </w:rPr>
        <w:t>28日内</w:t>
      </w:r>
      <w:r>
        <w:rPr>
          <w:rFonts w:hint="eastAsia" w:ascii="仿宋_GB2312" w:hAnsi="宋体" w:eastAsia="仿宋_GB2312" w:cs="Times New Roman"/>
          <w:sz w:val="24"/>
          <w:szCs w:val="24"/>
          <w:highlight w:val="none"/>
          <w:u w:val="single"/>
          <w:lang w:bidi="ar-SA"/>
        </w:rPr>
        <w:t>　</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1.5.2 </w:t>
      </w:r>
      <w:r>
        <w:rPr>
          <w:rFonts w:hint="eastAsia" w:ascii="仿宋_GB2312" w:hAnsi="宋体" w:eastAsia="仿宋_GB2312" w:cs="Times New Roman"/>
          <w:sz w:val="24"/>
          <w:szCs w:val="24"/>
          <w:highlight w:val="none"/>
          <w:lang w:bidi="ar-SA"/>
        </w:rPr>
        <w:t>交付地点：</w:t>
      </w:r>
      <w:r>
        <w:rPr>
          <w:rFonts w:hint="eastAsia" w:ascii="仿宋_GB2312" w:hAnsi="宋体" w:eastAsia="仿宋_GB2312" w:cs="Times New Roman"/>
          <w:sz w:val="24"/>
          <w:szCs w:val="24"/>
          <w:highlight w:val="none"/>
          <w:u w:val="single"/>
          <w:lang w:eastAsia="zh-CN" w:bidi="ar-SA"/>
        </w:rPr>
        <w:t>采购人需求</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lang w:bidi="ar-SA"/>
        </w:rPr>
      </w:pPr>
      <w:r>
        <w:rPr>
          <w:rFonts w:ascii="仿宋_GB2312" w:hAnsi="宋体" w:eastAsia="仿宋_GB2312" w:cs="Times New Roman"/>
          <w:sz w:val="24"/>
          <w:szCs w:val="24"/>
          <w:highlight w:val="none"/>
          <w:lang w:bidi="ar-SA"/>
        </w:rPr>
        <w:t xml:space="preserve">1.5.3 </w:t>
      </w:r>
      <w:r>
        <w:rPr>
          <w:rFonts w:hint="eastAsia" w:ascii="仿宋_GB2312" w:hAnsi="宋体" w:eastAsia="仿宋_GB2312" w:cs="Times New Roman"/>
          <w:sz w:val="24"/>
          <w:szCs w:val="24"/>
          <w:highlight w:val="none"/>
          <w:lang w:bidi="ar-SA"/>
        </w:rPr>
        <w:t>交付方式：</w:t>
      </w:r>
      <w:r>
        <w:rPr>
          <w:rFonts w:hint="eastAsia" w:ascii="仿宋_GB2312" w:hAnsi="宋体" w:eastAsia="仿宋_GB2312" w:cs="Times New Roman"/>
          <w:sz w:val="24"/>
          <w:szCs w:val="24"/>
          <w:highlight w:val="none"/>
          <w:u w:val="single"/>
          <w:lang w:bidi="ar-SA"/>
        </w:rPr>
        <w:t>　</w:t>
      </w:r>
      <w:r>
        <w:rPr>
          <w:rFonts w:hint="eastAsia" w:ascii="仿宋_GB2312" w:hAnsi="宋体" w:eastAsia="仿宋_GB2312" w:cs="Times New Roman"/>
          <w:sz w:val="24"/>
          <w:szCs w:val="24"/>
          <w:highlight w:val="none"/>
          <w:u w:val="single"/>
          <w:lang w:eastAsia="zh-CN" w:bidi="ar-SA"/>
        </w:rPr>
        <w:t>银行转账</w:t>
      </w:r>
      <w:r>
        <w:rPr>
          <w:rFonts w:hint="eastAsia" w:ascii="仿宋_GB2312" w:hAnsi="宋体" w:eastAsia="仿宋_GB2312" w:cs="Times New Roman"/>
          <w:sz w:val="24"/>
          <w:szCs w:val="24"/>
          <w:highlight w:val="none"/>
          <w:u w:val="single"/>
          <w:lang w:val="en-US" w:eastAsia="zh-CN" w:bidi="ar-SA"/>
        </w:rPr>
        <w:t xml:space="preserve">         </w:t>
      </w:r>
      <w:r>
        <w:rPr>
          <w:rFonts w:hint="eastAsia" w:ascii="仿宋_GB2312" w:hAnsi="宋体" w:eastAsia="仿宋_GB2312" w:cs="Times New Roman"/>
          <w:sz w:val="24"/>
          <w:szCs w:val="24"/>
          <w:highlight w:val="none"/>
          <w:u w:val="single"/>
          <w:lang w:bidi="ar-SA"/>
        </w:rPr>
        <w:t>　　</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1.6 </w:t>
      </w:r>
      <w:r>
        <w:rPr>
          <w:rFonts w:hint="eastAsia" w:ascii="仿宋_GB2312" w:hAnsi="宋体" w:eastAsia="仿宋_GB2312" w:cs="Times New Roman"/>
          <w:b/>
          <w:bCs/>
          <w:sz w:val="24"/>
          <w:szCs w:val="24"/>
          <w:highlight w:val="none"/>
          <w:lang w:bidi="ar-SA"/>
        </w:rPr>
        <w:t>违约责任</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1.6.1 </w:t>
      </w:r>
      <w:r>
        <w:rPr>
          <w:rFonts w:hint="eastAsia" w:ascii="仿宋_GB2312" w:hAnsi="宋体" w:eastAsia="仿宋_GB2312" w:cs="Times New Roman"/>
          <w:sz w:val="24"/>
          <w:szCs w:val="24"/>
          <w:highlight w:val="none"/>
          <w:lang w:bidi="ar-SA"/>
        </w:rPr>
        <w:t>除不可抗力外，如果乙方没有按照本合同约定的期限、地点和方式交付货物（服务），那么甲方可要求乙方支付违约金，违约金按每迟延交付货物（服务）一日的应交付而未交付货物（服务）价格的</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计算，最高限额为本合同总价的</w:t>
      </w:r>
      <w:r>
        <w:rPr>
          <w:rFonts w:hint="eastAsia" w:ascii="仿宋_GB2312" w:hAnsi="宋体" w:eastAsia="仿宋_GB2312" w:cs="Times New Roman"/>
          <w:sz w:val="24"/>
          <w:szCs w:val="24"/>
          <w:highlight w:val="none"/>
          <w:lang w:val="en-US" w:eastAsia="zh-CN" w:bidi="ar-SA"/>
        </w:rPr>
        <w:t xml:space="preserve"> </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；迟延交付货物（服务）的违约金计算数额达到前述最高限额之日起，甲方有权在要求乙方支付违约金的同时，书面通知乙方解除本合同；</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1.6.2 </w:t>
      </w:r>
      <w:r>
        <w:rPr>
          <w:rFonts w:hint="eastAsia" w:ascii="仿宋_GB2312" w:hAnsi="宋体" w:eastAsia="仿宋_GB2312" w:cs="Times New Roman"/>
          <w:sz w:val="24"/>
          <w:szCs w:val="24"/>
          <w:highlight w:val="none"/>
          <w:lang w:bidi="ar-SA"/>
        </w:rPr>
        <w:t>除不可抗力外，如果甲方没有按照本合同约定的付款方式付款，那么乙方可要求甲方支付违约金，违约金按每迟延付款一日的应付而未付款的</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bidi="ar-SA"/>
        </w:rPr>
        <w:t>计算，最高限额为本合同总价的</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val="en-US" w:eastAsia="zh-CN" w:bidi="ar-SA"/>
        </w:rPr>
        <w:t xml:space="preserve"> </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；迟延付款的违约金计算数额达到前述最高限额之日起，乙方有权在要求甲方支付违约金的同时，书面通知甲方解除本合同；</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1.6.3 </w:t>
      </w:r>
      <w:r>
        <w:rPr>
          <w:rFonts w:hint="eastAsia" w:ascii="仿宋_GB2312" w:hAnsi="宋体" w:eastAsia="仿宋_GB2312" w:cs="Times New Roman"/>
          <w:sz w:val="24"/>
          <w:szCs w:val="24"/>
          <w:highlight w:val="none"/>
          <w:lang w:bidi="ar-S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1.6.4 </w:t>
      </w:r>
      <w:r>
        <w:rPr>
          <w:rFonts w:hint="eastAsia" w:ascii="仿宋_GB2312" w:hAnsi="宋体" w:eastAsia="仿宋_GB2312" w:cs="Times New Roman"/>
          <w:sz w:val="24"/>
          <w:szCs w:val="24"/>
          <w:highlight w:val="none"/>
          <w:lang w:bidi="ar-S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1.6.5 </w:t>
      </w:r>
      <w:r>
        <w:rPr>
          <w:rFonts w:hint="eastAsia" w:ascii="仿宋_GB2312" w:hAnsi="宋体" w:eastAsia="仿宋_GB2312" w:cs="Times New Roman"/>
          <w:sz w:val="24"/>
          <w:szCs w:val="24"/>
          <w:highlight w:val="none"/>
          <w:lang w:bidi="ar-S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1.6.6 </w:t>
      </w:r>
      <w:r>
        <w:rPr>
          <w:rFonts w:hint="eastAsia" w:ascii="仿宋_GB2312" w:hAnsi="宋体" w:eastAsia="仿宋_GB2312" w:cs="Times New Roman"/>
          <w:sz w:val="24"/>
          <w:szCs w:val="24"/>
          <w:highlight w:val="none"/>
          <w:lang w:bidi="ar-SA"/>
        </w:rPr>
        <w:t>如果出现政府采购监督管理部门在处理投诉事项期间，书面通知甲方暂停采购活动的情形，或者询问或质疑事项可能影响中标结果的，导致甲方中止履行合同的情形，均不视为甲方违约。</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1.7 </w:t>
      </w:r>
      <w:r>
        <w:rPr>
          <w:rFonts w:hint="eastAsia" w:ascii="仿宋_GB2312" w:hAnsi="宋体" w:eastAsia="仿宋_GB2312" w:cs="Times New Roman"/>
          <w:b/>
          <w:bCs/>
          <w:sz w:val="24"/>
          <w:szCs w:val="24"/>
          <w:highlight w:val="none"/>
          <w:lang w:bidi="ar-SA"/>
        </w:rPr>
        <w:t>合同争议的解决</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本合同履行过程中发生的任何争议，双方当事人均可通过和解或者调解解决；不愿和解、调解或者和解、调解不成的，可以选择下列第种方式解决：</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1.7.1 </w:t>
      </w:r>
      <w:r>
        <w:rPr>
          <w:rFonts w:hint="eastAsia" w:ascii="仿宋_GB2312" w:hAnsi="宋体" w:eastAsia="仿宋_GB2312" w:cs="Times New Roman"/>
          <w:sz w:val="24"/>
          <w:szCs w:val="24"/>
          <w:highlight w:val="none"/>
          <w:lang w:bidi="ar-SA"/>
        </w:rPr>
        <w:t>将争议提交仲裁委员会依申请仲裁时其现行有效的仲裁规则裁决；</w:t>
      </w:r>
    </w:p>
    <w:p>
      <w:pPr>
        <w:spacing w:line="400" w:lineRule="exac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1.7.2 </w:t>
      </w:r>
      <w:r>
        <w:rPr>
          <w:rFonts w:hint="eastAsia" w:ascii="仿宋_GB2312" w:hAnsi="宋体" w:eastAsia="仿宋_GB2312" w:cs="Times New Roman"/>
          <w:sz w:val="24"/>
          <w:szCs w:val="24"/>
          <w:highlight w:val="none"/>
          <w:lang w:bidi="ar-SA"/>
        </w:rPr>
        <w:t>向</w:t>
      </w:r>
      <w:r>
        <w:rPr>
          <w:rFonts w:hint="eastAsia" w:ascii="仿宋_GB2312" w:hAnsi="宋体" w:eastAsia="仿宋_GB2312" w:cs="Times New Roman"/>
          <w:sz w:val="24"/>
          <w:szCs w:val="24"/>
          <w:highlight w:val="none"/>
          <w:u w:val="single"/>
          <w:lang w:bidi="ar-SA"/>
        </w:rPr>
        <w:t>（被告住所地、合同履行地、合同签订地、原告住所地、标的物所在地等与争议有实际联系的地点中选出的人民法院名称）</w:t>
      </w:r>
      <w:r>
        <w:rPr>
          <w:rFonts w:hint="eastAsia" w:ascii="仿宋_GB2312" w:hAnsi="宋体" w:eastAsia="仿宋_GB2312" w:cs="Times New Roman"/>
          <w:sz w:val="24"/>
          <w:szCs w:val="24"/>
          <w:highlight w:val="none"/>
          <w:lang w:bidi="ar-SA"/>
        </w:rPr>
        <w:t>人民法院起诉。</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1.8 </w:t>
      </w:r>
      <w:r>
        <w:rPr>
          <w:rFonts w:hint="eastAsia" w:ascii="仿宋_GB2312" w:hAnsi="宋体" w:eastAsia="仿宋_GB2312" w:cs="Times New Roman"/>
          <w:b/>
          <w:bCs/>
          <w:sz w:val="24"/>
          <w:szCs w:val="24"/>
          <w:highlight w:val="none"/>
          <w:lang w:bidi="ar-SA"/>
        </w:rPr>
        <w:t>合同生效</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本合同自双方当事人盖章或者签字时生效。</w:t>
      </w:r>
    </w:p>
    <w:p>
      <w:pPr>
        <w:spacing w:line="400" w:lineRule="exact"/>
        <w:rPr>
          <w:rFonts w:ascii="仿宋_GB2312" w:hAnsi="宋体" w:eastAsia="仿宋_GB2312" w:cs="Times New Roman"/>
          <w:sz w:val="24"/>
          <w:szCs w:val="24"/>
          <w:highlight w:val="none"/>
          <w:lang w:bidi="ar-SA"/>
        </w:rPr>
      </w:pP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甲方：乙方：</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统一社会信用代码：统一社会信用代码或身份证号码：</w:t>
      </w:r>
    </w:p>
    <w:p>
      <w:pPr>
        <w:spacing w:line="600" w:lineRule="exact"/>
        <w:rPr>
          <w:rFonts w:ascii="仿宋_GB2312" w:hAnsi="宋体" w:eastAsia="仿宋_GB2312" w:cs="Times New Roman"/>
          <w:sz w:val="24"/>
          <w:szCs w:val="24"/>
          <w:highlight w:val="none"/>
          <w:lang w:bidi="ar-SA"/>
        </w:rPr>
      </w:pP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住所：住所：</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法定代表人或法定代表人</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授权代表（签字）：或授权代表（签字）</w:t>
      </w:r>
      <w:r>
        <w:rPr>
          <w:rFonts w:ascii="仿宋_GB2312" w:hAnsi="宋体" w:eastAsia="仿宋_GB2312" w:cs="Times New Roman"/>
          <w:sz w:val="24"/>
          <w:szCs w:val="24"/>
          <w:highlight w:val="none"/>
          <w:lang w:bidi="ar-SA"/>
        </w:rPr>
        <w:t xml:space="preserve">: </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联系人：联系人：</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约定送达地址：约定送达地址：</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邮政编码：邮政编码：</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电话</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bidi="ar-SA"/>
        </w:rPr>
        <w:t>电话</w:t>
      </w:r>
      <w:r>
        <w:rPr>
          <w:rFonts w:ascii="仿宋_GB2312" w:hAnsi="宋体" w:eastAsia="仿宋_GB2312" w:cs="Times New Roman"/>
          <w:sz w:val="24"/>
          <w:szCs w:val="24"/>
          <w:highlight w:val="none"/>
          <w:lang w:bidi="ar-SA"/>
        </w:rPr>
        <w:t xml:space="preserve">: </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传真</w:t>
      </w:r>
      <w:r>
        <w:rPr>
          <w:rFonts w:ascii="仿宋_GB2312" w:hAnsi="宋体" w:eastAsia="仿宋_GB2312" w:cs="Times New Roman"/>
          <w:sz w:val="24"/>
          <w:szCs w:val="24"/>
          <w:highlight w:val="none"/>
          <w:lang w:bidi="ar-SA"/>
        </w:rPr>
        <w:t xml:space="preserve">:                                    </w:t>
      </w:r>
      <w:r>
        <w:rPr>
          <w:rFonts w:hint="eastAsia" w:ascii="仿宋_GB2312" w:hAnsi="宋体" w:eastAsia="仿宋_GB2312" w:cs="Times New Roman"/>
          <w:sz w:val="24"/>
          <w:szCs w:val="24"/>
          <w:highlight w:val="none"/>
          <w:lang w:bidi="ar-SA"/>
        </w:rPr>
        <w:t>传真</w:t>
      </w:r>
      <w:r>
        <w:rPr>
          <w:rFonts w:ascii="仿宋_GB2312" w:hAnsi="宋体" w:eastAsia="仿宋_GB2312" w:cs="Times New Roman"/>
          <w:sz w:val="24"/>
          <w:szCs w:val="24"/>
          <w:highlight w:val="none"/>
          <w:lang w:bidi="ar-SA"/>
        </w:rPr>
        <w:t>:</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电子邮箱：电子邮箱：</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开户银行：开户银行：</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开户名称：开户名称：</w:t>
      </w:r>
    </w:p>
    <w:p>
      <w:pPr>
        <w:spacing w:line="600" w:lineRule="exact"/>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开户账号：开户账号：</w:t>
      </w:r>
    </w:p>
    <w:p>
      <w:pPr>
        <w:widowControl/>
        <w:jc w:val="lef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br w:type="page"/>
      </w:r>
    </w:p>
    <w:p>
      <w:pPr>
        <w:pStyle w:val="3"/>
        <w:rPr>
          <w:highlight w:val="none"/>
          <w:lang w:bidi="ar-SA"/>
        </w:rPr>
      </w:pPr>
      <w:bookmarkStart w:id="89" w:name="_Toc49590162"/>
      <w:bookmarkStart w:id="90" w:name="_Toc75443046"/>
      <w:r>
        <w:rPr>
          <w:rFonts w:hint="eastAsia"/>
          <w:highlight w:val="none"/>
          <w:lang w:bidi="ar-SA"/>
        </w:rPr>
        <w:t>第二部分合同一般条款</w:t>
      </w:r>
      <w:bookmarkEnd w:id="89"/>
      <w:bookmarkEnd w:id="90"/>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 </w:t>
      </w:r>
      <w:r>
        <w:rPr>
          <w:rFonts w:hint="eastAsia" w:ascii="仿宋_GB2312" w:hAnsi="宋体" w:eastAsia="仿宋_GB2312" w:cs="Times New Roman"/>
          <w:b/>
          <w:bCs/>
          <w:sz w:val="24"/>
          <w:szCs w:val="24"/>
          <w:highlight w:val="none"/>
          <w:lang w:bidi="ar-SA"/>
        </w:rPr>
        <w:t>定义</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本合同中的下列词语应按以下内容进行解释：</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2.1.1 </w:t>
      </w:r>
      <w:r>
        <w:rPr>
          <w:rFonts w:hint="eastAsia" w:ascii="仿宋_GB2312" w:hAnsi="宋体" w:eastAsia="仿宋_GB2312" w:cs="Times New Roman"/>
          <w:sz w:val="24"/>
          <w:szCs w:val="24"/>
          <w:highlight w:val="none"/>
          <w:lang w:bidi="ar-SA"/>
        </w:rPr>
        <w:t>“合同”系指采购人和中标供应商签订的载明双方当事人所达成的协议，并包括所有的附件、附录和构成合同的其他文件。</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2.1.2 </w:t>
      </w:r>
      <w:r>
        <w:rPr>
          <w:rFonts w:hint="eastAsia" w:ascii="仿宋_GB2312" w:hAnsi="宋体" w:eastAsia="仿宋_GB2312" w:cs="Times New Roman"/>
          <w:sz w:val="24"/>
          <w:szCs w:val="24"/>
          <w:highlight w:val="none"/>
          <w:lang w:bidi="ar-SA"/>
        </w:rPr>
        <w:t>“合同价”系指根据合同约定，中标供应商在完全履行合同义务后，采购人应支付给中标供应商的价格。</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2.1.3 </w:t>
      </w:r>
      <w:r>
        <w:rPr>
          <w:rFonts w:hint="eastAsia" w:ascii="仿宋_GB2312" w:hAnsi="宋体" w:eastAsia="仿宋_GB2312" w:cs="Times New Roman"/>
          <w:sz w:val="24"/>
          <w:szCs w:val="24"/>
          <w:highlight w:val="none"/>
          <w:lang w:bidi="ar-SA"/>
        </w:rPr>
        <w:t>“货物”系指中标供应商根据合同约定应向采购人交付的一切各种形态和种类的物品，包括原材料、燃料、设备、机械、仪表、备件、计算机软件、产品等，并包括工具、手册等其他相关资料。</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2.1.4 </w:t>
      </w:r>
      <w:r>
        <w:rPr>
          <w:rFonts w:hint="eastAsia" w:ascii="仿宋_GB2312" w:hAnsi="宋体" w:eastAsia="仿宋_GB2312" w:cs="Times New Roman"/>
          <w:sz w:val="24"/>
          <w:szCs w:val="24"/>
          <w:highlight w:val="none"/>
          <w:lang w:bidi="ar-SA"/>
        </w:rPr>
        <w:t>“甲方”系指与中标供应商签署合同的采购人；采购人委托采购代理机构代表其与乙方签订合同的，采购人的授权委托书作为合同附件。</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2.1.5 </w:t>
      </w:r>
      <w:r>
        <w:rPr>
          <w:rFonts w:hint="eastAsia" w:ascii="仿宋_GB2312" w:hAnsi="宋体" w:eastAsia="仿宋_GB2312" w:cs="Times New Roman"/>
          <w:sz w:val="24"/>
          <w:szCs w:val="24"/>
          <w:highlight w:val="none"/>
          <w:lang w:bidi="ar-SA"/>
        </w:rPr>
        <w:t>“乙方”系指根据合同约定交付货物（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2.1.6 </w:t>
      </w:r>
      <w:r>
        <w:rPr>
          <w:rFonts w:hint="eastAsia" w:ascii="仿宋_GB2312" w:hAnsi="宋体" w:eastAsia="仿宋_GB2312" w:cs="Times New Roman"/>
          <w:sz w:val="24"/>
          <w:szCs w:val="24"/>
          <w:highlight w:val="none"/>
          <w:lang w:bidi="ar-SA"/>
        </w:rPr>
        <w:t>“现场”系指合同约定货物将要运至或者安装的地点。</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2.2 </w:t>
      </w:r>
      <w:r>
        <w:rPr>
          <w:rFonts w:hint="eastAsia" w:ascii="仿宋_GB2312" w:hAnsi="宋体" w:eastAsia="仿宋_GB2312" w:cs="Times New Roman"/>
          <w:b/>
          <w:bCs/>
          <w:sz w:val="24"/>
          <w:szCs w:val="24"/>
          <w:highlight w:val="none"/>
          <w:lang w:bidi="ar-SA"/>
        </w:rPr>
        <w:t>技术规范</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货物（服务）所应遵守的技术规范应与采购文件规定的技术规范和技术规范附件</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如果有的话</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及其技术规范偏差表</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如果被甲方接受的话</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相一致；如果采购文件中没有技术规范的相应说明，那么应以国家有关部门最新颁布的相应标准和规范为准。</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2.3 </w:t>
      </w:r>
      <w:r>
        <w:rPr>
          <w:rFonts w:hint="eastAsia" w:ascii="仿宋_GB2312" w:hAnsi="宋体" w:eastAsia="仿宋_GB2312" w:cs="Times New Roman"/>
          <w:b/>
          <w:bCs/>
          <w:sz w:val="24"/>
          <w:szCs w:val="24"/>
          <w:highlight w:val="none"/>
          <w:lang w:bidi="ar-SA"/>
        </w:rPr>
        <w:t>知识产权</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2.3.1 </w:t>
      </w:r>
      <w:r>
        <w:rPr>
          <w:rFonts w:hint="eastAsia" w:ascii="仿宋_GB2312" w:hAnsi="宋体" w:eastAsia="仿宋_GB2312" w:cs="Times New Roman"/>
          <w:sz w:val="24"/>
          <w:szCs w:val="24"/>
          <w:highlight w:val="none"/>
          <w:lang w:bidi="ar-SA"/>
        </w:rPr>
        <w:t>乙方应保证甲方在使用该货物（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2.3.2</w:t>
      </w:r>
      <w:r>
        <w:rPr>
          <w:rFonts w:hint="eastAsia" w:ascii="仿宋_GB2312" w:hAnsi="宋体" w:eastAsia="仿宋_GB2312" w:cs="Times New Roman"/>
          <w:sz w:val="24"/>
          <w:szCs w:val="24"/>
          <w:highlight w:val="none"/>
          <w:lang w:bidi="ar-SA"/>
        </w:rPr>
        <w:t>具有知识产权的计算机软件等货物（服务）的知识产权归属，详见合同专用条款。</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2.4 </w:t>
      </w:r>
      <w:r>
        <w:rPr>
          <w:rFonts w:hint="eastAsia" w:ascii="仿宋_GB2312" w:hAnsi="宋体" w:eastAsia="仿宋_GB2312" w:cs="Times New Roman"/>
          <w:b/>
          <w:bCs/>
          <w:sz w:val="24"/>
          <w:szCs w:val="24"/>
          <w:highlight w:val="none"/>
          <w:lang w:bidi="ar-SA"/>
        </w:rPr>
        <w:t>包装和装运</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2.4.1</w:t>
      </w:r>
      <w:r>
        <w:rPr>
          <w:rFonts w:hint="eastAsia" w:ascii="仿宋_GB2312" w:hAnsi="宋体" w:eastAsia="仿宋_GB2312" w:cs="Times New Roman"/>
          <w:sz w:val="24"/>
          <w:szCs w:val="24"/>
          <w:highlight w:val="none"/>
          <w:lang w:bidi="ar-SA"/>
        </w:rPr>
        <w:t>除合同专用条款另有约定外</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乙方交付的全部货物</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2.4.2 </w:t>
      </w:r>
      <w:r>
        <w:rPr>
          <w:rFonts w:hint="eastAsia" w:ascii="仿宋_GB2312" w:hAnsi="宋体" w:eastAsia="仿宋_GB2312" w:cs="Times New Roman"/>
          <w:sz w:val="24"/>
          <w:szCs w:val="24"/>
          <w:highlight w:val="none"/>
          <w:lang w:bidi="ar-SA"/>
        </w:rPr>
        <w:t>装运货物的要求和通知，详见合同专用条款。</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2.5 </w:t>
      </w:r>
      <w:r>
        <w:rPr>
          <w:rFonts w:hint="eastAsia" w:ascii="仿宋_GB2312" w:hAnsi="宋体" w:eastAsia="仿宋_GB2312" w:cs="Times New Roman"/>
          <w:b/>
          <w:bCs/>
          <w:sz w:val="24"/>
          <w:szCs w:val="24"/>
          <w:highlight w:val="none"/>
          <w:lang w:bidi="ar-SA"/>
        </w:rPr>
        <w:t>履约检查和问题反馈</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2.5.1</w:t>
      </w:r>
      <w:r>
        <w:rPr>
          <w:rFonts w:hint="eastAsia" w:ascii="仿宋_GB2312" w:hAnsi="宋体" w:eastAsia="仿宋_GB2312" w:cs="Times New Roman"/>
          <w:sz w:val="24"/>
          <w:szCs w:val="24"/>
          <w:highlight w:val="none"/>
          <w:lang w:bidi="ar-SA"/>
        </w:rPr>
        <w:t>甲方有权在其认为必要时，对乙方是否能够按照合同约定交付货物（服务）进行履约检查，以确保乙方所交付的货物（服务）能够依约满足甲方之项目需求，但不得因履约检查妨碍乙方的正常工作，乙方应予积极配合；</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2.5.2 </w:t>
      </w:r>
      <w:r>
        <w:rPr>
          <w:rFonts w:hint="eastAsia" w:ascii="仿宋_GB2312" w:hAnsi="宋体" w:eastAsia="仿宋_GB2312" w:cs="Times New Roman"/>
          <w:sz w:val="24"/>
          <w:szCs w:val="24"/>
          <w:highlight w:val="none"/>
          <w:lang w:bidi="ar-SA"/>
        </w:rPr>
        <w:t>合同履行期间，甲方有权将履行过程中出现的问题反馈给乙方，双方当事人应以书面形式约定需要完善和改进的内容。</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2.6 </w:t>
      </w:r>
      <w:r>
        <w:rPr>
          <w:rFonts w:hint="eastAsia" w:ascii="仿宋_GB2312" w:hAnsi="宋体" w:eastAsia="仿宋_GB2312" w:cs="Times New Roman"/>
          <w:b/>
          <w:bCs/>
          <w:sz w:val="24"/>
          <w:szCs w:val="24"/>
          <w:highlight w:val="none"/>
          <w:lang w:bidi="ar-SA"/>
        </w:rPr>
        <w:t>结算方式和付款条件</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详见合同专用条款。</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2.7 </w:t>
      </w:r>
      <w:r>
        <w:rPr>
          <w:rFonts w:hint="eastAsia" w:ascii="仿宋_GB2312" w:hAnsi="宋体" w:eastAsia="仿宋_GB2312" w:cs="Times New Roman"/>
          <w:b/>
          <w:bCs/>
          <w:sz w:val="24"/>
          <w:szCs w:val="24"/>
          <w:highlight w:val="none"/>
          <w:lang w:bidi="ar-SA"/>
        </w:rPr>
        <w:t>技术资料和保密义务</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2.7.1 </w:t>
      </w:r>
      <w:r>
        <w:rPr>
          <w:rFonts w:hint="eastAsia" w:ascii="仿宋_GB2312" w:hAnsi="宋体" w:eastAsia="仿宋_GB2312" w:cs="Times New Roman"/>
          <w:sz w:val="24"/>
          <w:szCs w:val="24"/>
          <w:highlight w:val="none"/>
          <w:lang w:bidi="ar-SA"/>
        </w:rPr>
        <w:t>乙方有权依据合同约定和项目需要，向甲方了解有关情况，调阅有关资料等，甲方应予积极配合；</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2.7.2 </w:t>
      </w:r>
      <w:r>
        <w:rPr>
          <w:rFonts w:hint="eastAsia" w:ascii="仿宋_GB2312" w:hAnsi="宋体" w:eastAsia="仿宋_GB2312" w:cs="Times New Roman"/>
          <w:sz w:val="24"/>
          <w:szCs w:val="24"/>
          <w:highlight w:val="none"/>
          <w:lang w:bidi="ar-SA"/>
        </w:rPr>
        <w:t>乙方有义务妥善保管和保护由甲方提供的前款信息和资料等；</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2.7.3 </w:t>
      </w:r>
      <w:r>
        <w:rPr>
          <w:rFonts w:hint="eastAsia" w:ascii="仿宋_GB2312" w:hAnsi="宋体" w:eastAsia="仿宋_GB2312" w:cs="Times New Roman"/>
          <w:sz w:val="24"/>
          <w:szCs w:val="24"/>
          <w:highlight w:val="none"/>
          <w:lang w:bidi="ar-S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2.8 </w:t>
      </w:r>
      <w:r>
        <w:rPr>
          <w:rFonts w:hint="eastAsia" w:ascii="仿宋_GB2312" w:hAnsi="宋体" w:eastAsia="仿宋_GB2312" w:cs="Times New Roman"/>
          <w:b/>
          <w:bCs/>
          <w:sz w:val="24"/>
          <w:szCs w:val="24"/>
          <w:highlight w:val="none"/>
          <w:lang w:bidi="ar-SA"/>
        </w:rPr>
        <w:t>质量保证</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2.8.1 </w:t>
      </w:r>
      <w:r>
        <w:rPr>
          <w:rFonts w:hint="eastAsia" w:ascii="仿宋_GB2312" w:hAnsi="宋体" w:eastAsia="仿宋_GB2312" w:cs="Times New Roman"/>
          <w:sz w:val="24"/>
          <w:szCs w:val="24"/>
          <w:highlight w:val="none"/>
          <w:lang w:bidi="ar-SA"/>
        </w:rPr>
        <w:t>乙方应建立和完善履行合同的内部质量保证体系，并提供相关内部规章制度给甲方，以便甲方进行监督检查；</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2.8.2 </w:t>
      </w:r>
      <w:r>
        <w:rPr>
          <w:rFonts w:hint="eastAsia" w:ascii="仿宋_GB2312" w:hAnsi="宋体" w:eastAsia="仿宋_GB2312" w:cs="Times New Roman"/>
          <w:sz w:val="24"/>
          <w:szCs w:val="24"/>
          <w:highlight w:val="none"/>
          <w:lang w:bidi="ar-SA"/>
        </w:rPr>
        <w:t>乙方应保证履行合同的人员数量和素质、软件和硬件设备的配置、场地、环境和设施等满足全面履行合同的要求，并应接受甲方的监督检查。</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2.9 </w:t>
      </w:r>
      <w:r>
        <w:rPr>
          <w:rFonts w:hint="eastAsia" w:ascii="仿宋_GB2312" w:hAnsi="宋体" w:eastAsia="仿宋_GB2312" w:cs="Times New Roman"/>
          <w:b/>
          <w:bCs/>
          <w:sz w:val="24"/>
          <w:szCs w:val="24"/>
          <w:highlight w:val="none"/>
          <w:lang w:bidi="ar-SA"/>
        </w:rPr>
        <w:t>货物（服务）的风险负担</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货物或者在途货物或者交付给第一承运人后的货物毁损、灭失的风险负担详见合同专用条款。</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2.10 </w:t>
      </w:r>
      <w:r>
        <w:rPr>
          <w:rFonts w:hint="eastAsia" w:ascii="仿宋_GB2312" w:hAnsi="宋体" w:eastAsia="仿宋_GB2312" w:cs="Times New Roman"/>
          <w:b/>
          <w:bCs/>
          <w:sz w:val="24"/>
          <w:szCs w:val="24"/>
          <w:highlight w:val="none"/>
          <w:lang w:bidi="ar-SA"/>
        </w:rPr>
        <w:t>延迟交货</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在合同履行过程中，如果乙方遇到不能按时交付货物（服务）的情况，应及时以书面形式将不能按时交付货物（服务）的理由、预期延误时间通知甲方；甲方收到乙方通知后，认为其理由正当的，可以书面形式酌情同意乙方可以延长交货的具体时间。</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2.11 </w:t>
      </w:r>
      <w:r>
        <w:rPr>
          <w:rFonts w:hint="eastAsia" w:ascii="仿宋_GB2312" w:hAnsi="宋体" w:eastAsia="仿宋_GB2312" w:cs="Times New Roman"/>
          <w:b/>
          <w:bCs/>
          <w:sz w:val="24"/>
          <w:szCs w:val="24"/>
          <w:highlight w:val="none"/>
          <w:lang w:bidi="ar-SA"/>
        </w:rPr>
        <w:t>合同变更</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2.11.1</w:t>
      </w:r>
      <w:r>
        <w:rPr>
          <w:rFonts w:hint="eastAsia" w:ascii="仿宋_GB2312" w:hAnsi="宋体" w:eastAsia="仿宋_GB2312" w:cs="Times New Roman"/>
          <w:sz w:val="24"/>
          <w:szCs w:val="24"/>
          <w:highlight w:val="none"/>
          <w:lang w:bidi="ar-SA"/>
        </w:rPr>
        <w:t>双方当事人协商一致，可以签订书面补充合同的形式变更合同，但不得违背采购文件确定的事项，且如果系追加与合同标的相同的货物（服务）的，那么所有补充合同的采购金额不得超过原合同价的</w:t>
      </w:r>
      <w:r>
        <w:rPr>
          <w:rFonts w:ascii="仿宋_GB2312" w:hAnsi="宋体" w:eastAsia="仿宋_GB2312" w:cs="Times New Roman"/>
          <w:sz w:val="24"/>
          <w:szCs w:val="24"/>
          <w:highlight w:val="none"/>
          <w:lang w:bidi="ar-SA"/>
        </w:rPr>
        <w:t>10%</w:t>
      </w:r>
      <w:r>
        <w:rPr>
          <w:rFonts w:hint="eastAsia" w:ascii="仿宋_GB2312" w:hAnsi="宋体" w:eastAsia="仿宋_GB2312" w:cs="Times New Roman"/>
          <w:sz w:val="24"/>
          <w:szCs w:val="24"/>
          <w:highlight w:val="none"/>
          <w:lang w:bidi="ar-SA"/>
        </w:rPr>
        <w:t>；</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2.11.2 </w:t>
      </w:r>
      <w:r>
        <w:rPr>
          <w:rFonts w:hint="eastAsia" w:ascii="仿宋_GB2312" w:hAnsi="宋体" w:eastAsia="仿宋_GB2312" w:cs="Times New Roman"/>
          <w:sz w:val="24"/>
          <w:szCs w:val="24"/>
          <w:highlight w:val="none"/>
          <w:lang w:bidi="ar-SA"/>
        </w:rPr>
        <w:t>合同继续履行将损害国家利益和社会公共利益的，双方当事人应当以书面形式变更合同。有过错的一方应当承担赔偿责任，双方当事人都有过错的，各自承担相应的责任。</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2.12 </w:t>
      </w:r>
      <w:r>
        <w:rPr>
          <w:rFonts w:hint="eastAsia" w:ascii="仿宋_GB2312" w:hAnsi="宋体" w:eastAsia="仿宋_GB2312" w:cs="Times New Roman"/>
          <w:b/>
          <w:bCs/>
          <w:sz w:val="24"/>
          <w:szCs w:val="24"/>
          <w:highlight w:val="none"/>
          <w:lang w:bidi="ar-SA"/>
        </w:rPr>
        <w:t>合同转让和分包</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2.13 </w:t>
      </w:r>
      <w:r>
        <w:rPr>
          <w:rFonts w:hint="eastAsia" w:ascii="仿宋_GB2312" w:hAnsi="宋体" w:eastAsia="仿宋_GB2312" w:cs="Times New Roman"/>
          <w:b/>
          <w:bCs/>
          <w:sz w:val="24"/>
          <w:szCs w:val="24"/>
          <w:highlight w:val="none"/>
          <w:lang w:bidi="ar-SA"/>
        </w:rPr>
        <w:t>不可抗力</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2.13.1</w:t>
      </w:r>
      <w:r>
        <w:rPr>
          <w:rFonts w:hint="eastAsia" w:ascii="仿宋_GB2312" w:hAnsi="宋体" w:eastAsia="仿宋_GB2312" w:cs="Times New Roman"/>
          <w:sz w:val="24"/>
          <w:szCs w:val="24"/>
          <w:highlight w:val="none"/>
          <w:lang w:bidi="ar-SA"/>
        </w:rPr>
        <w:t>如果任何一方遭遇法律规定的不可抗力，致使合同履行受阻时，履行合同的期限应予延长，延长的期限应相当于不可抗力所影响的时间；</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2.13.2 </w:t>
      </w:r>
      <w:r>
        <w:rPr>
          <w:rFonts w:hint="eastAsia" w:ascii="仿宋_GB2312" w:hAnsi="宋体" w:eastAsia="仿宋_GB2312" w:cs="Times New Roman"/>
          <w:sz w:val="24"/>
          <w:szCs w:val="24"/>
          <w:highlight w:val="none"/>
          <w:lang w:bidi="ar-SA"/>
        </w:rPr>
        <w:t>因不可抗力致使不能实现合同目的的，当事人可以解除合同；</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2.13.3 </w:t>
      </w:r>
      <w:r>
        <w:rPr>
          <w:rFonts w:hint="eastAsia" w:ascii="仿宋_GB2312" w:hAnsi="宋体" w:eastAsia="仿宋_GB2312" w:cs="Times New Roman"/>
          <w:sz w:val="24"/>
          <w:szCs w:val="24"/>
          <w:highlight w:val="none"/>
          <w:lang w:bidi="ar-SA"/>
        </w:rPr>
        <w:t>因不可抗力致使合同有变更必要的，双方当事人应在合同专用条款约定时间内以书面形式变更合同；</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2.13.4</w:t>
      </w:r>
      <w:r>
        <w:rPr>
          <w:rFonts w:hint="eastAsia" w:ascii="仿宋_GB2312" w:hAnsi="宋体" w:eastAsia="仿宋_GB2312" w:cs="Times New Roman"/>
          <w:sz w:val="24"/>
          <w:szCs w:val="24"/>
          <w:highlight w:val="none"/>
          <w:lang w:bidi="ar-SA"/>
        </w:rPr>
        <w:t>受不可抗力影响的一方在不可抗力发生后，应在合同专用条款约定时间内以书面形式通知对方当事人，并在合同专用条款约定时间内，将有关部门出具的证明文件送达对方当事人。</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2.14 </w:t>
      </w:r>
      <w:r>
        <w:rPr>
          <w:rFonts w:hint="eastAsia" w:ascii="仿宋_GB2312" w:hAnsi="宋体" w:eastAsia="仿宋_GB2312" w:cs="Times New Roman"/>
          <w:b/>
          <w:bCs/>
          <w:sz w:val="24"/>
          <w:szCs w:val="24"/>
          <w:highlight w:val="none"/>
          <w:lang w:bidi="ar-SA"/>
        </w:rPr>
        <w:t>税费</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与合同有关的一切税费，均按照中华人民共和国法律的相关规定。</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2.15 </w:t>
      </w:r>
      <w:r>
        <w:rPr>
          <w:rFonts w:hint="eastAsia" w:ascii="仿宋_GB2312" w:hAnsi="宋体" w:eastAsia="仿宋_GB2312" w:cs="Times New Roman"/>
          <w:b/>
          <w:bCs/>
          <w:sz w:val="24"/>
          <w:szCs w:val="24"/>
          <w:highlight w:val="none"/>
          <w:lang w:bidi="ar-SA"/>
        </w:rPr>
        <w:t>乙方破产</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2.16 </w:t>
      </w:r>
      <w:r>
        <w:rPr>
          <w:rFonts w:hint="eastAsia" w:ascii="仿宋_GB2312" w:hAnsi="宋体" w:eastAsia="仿宋_GB2312" w:cs="Times New Roman"/>
          <w:b/>
          <w:bCs/>
          <w:sz w:val="24"/>
          <w:szCs w:val="24"/>
          <w:highlight w:val="none"/>
          <w:lang w:bidi="ar-SA"/>
        </w:rPr>
        <w:t>合同中止、终止</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2.16.1 </w:t>
      </w:r>
      <w:r>
        <w:rPr>
          <w:rFonts w:hint="eastAsia" w:ascii="仿宋_GB2312" w:hAnsi="宋体" w:eastAsia="仿宋_GB2312" w:cs="Times New Roman"/>
          <w:sz w:val="24"/>
          <w:szCs w:val="24"/>
          <w:highlight w:val="none"/>
          <w:lang w:bidi="ar-SA"/>
        </w:rPr>
        <w:t>双方当事人不得擅自中止或者终止合同；</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2.16.2</w:t>
      </w:r>
      <w:r>
        <w:rPr>
          <w:rFonts w:hint="eastAsia" w:ascii="仿宋_GB2312" w:hAnsi="宋体" w:eastAsia="仿宋_GB2312" w:cs="Times New Roman"/>
          <w:sz w:val="24"/>
          <w:szCs w:val="24"/>
          <w:highlight w:val="none"/>
          <w:lang w:bidi="ar-SA"/>
        </w:rPr>
        <w:t>合同继续履行将损害国家利益和社会公共利益的，双方当事人应当中止或者终止合同。有过错的一方应当承担赔偿责任，双方当事人都有过错的，各自承担相应的责任。</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2.17 </w:t>
      </w:r>
      <w:r>
        <w:rPr>
          <w:rFonts w:hint="eastAsia" w:ascii="仿宋_GB2312" w:hAnsi="宋体" w:eastAsia="仿宋_GB2312" w:cs="Times New Roman"/>
          <w:b/>
          <w:bCs/>
          <w:sz w:val="24"/>
          <w:szCs w:val="24"/>
          <w:highlight w:val="none"/>
          <w:lang w:bidi="ar-SA"/>
        </w:rPr>
        <w:t>检验和验收</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2.17.1</w:t>
      </w:r>
      <w:r>
        <w:rPr>
          <w:rFonts w:hint="eastAsia" w:ascii="仿宋_GB2312" w:hAnsi="宋体" w:eastAsia="仿宋_GB2312" w:cs="Times New Roman"/>
          <w:sz w:val="24"/>
          <w:szCs w:val="24"/>
          <w:highlight w:val="none"/>
          <w:lang w:bidi="ar-SA"/>
        </w:rPr>
        <w:t>货物（服务）交付前，乙方应对货物（服务）的质量、数量、服务等方面进行详细、全面的检验，并向甲方出具证明货物（服务）符合合同约定的文件；货物（服务）交付时，乙方在合同专用条款约定时间内组织验收，并可依法邀请相关方参加，验收应出具验收书。</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2.17.2</w:t>
      </w:r>
      <w:r>
        <w:rPr>
          <w:rFonts w:hint="eastAsia" w:ascii="仿宋_GB2312" w:hAnsi="宋体" w:eastAsia="仿宋_GB2312" w:cs="Times New Roman"/>
          <w:sz w:val="24"/>
          <w:szCs w:val="24"/>
          <w:highlight w:val="none"/>
          <w:lang w:bidi="ar-SA"/>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2.17.3 </w:t>
      </w:r>
      <w:r>
        <w:rPr>
          <w:rFonts w:hint="eastAsia" w:ascii="仿宋_GB2312" w:hAnsi="宋体" w:eastAsia="仿宋_GB2312" w:cs="Times New Roman"/>
          <w:sz w:val="24"/>
          <w:szCs w:val="24"/>
          <w:highlight w:val="none"/>
          <w:lang w:bidi="ar-SA"/>
        </w:rPr>
        <w:t>检验和验收标准、程序等具体内容以及前述验收书的效力详见合同专用条款。</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2.18 </w:t>
      </w:r>
      <w:r>
        <w:rPr>
          <w:rFonts w:hint="eastAsia" w:ascii="仿宋_GB2312" w:hAnsi="宋体" w:eastAsia="仿宋_GB2312" w:cs="Times New Roman"/>
          <w:b/>
          <w:bCs/>
          <w:sz w:val="24"/>
          <w:szCs w:val="24"/>
          <w:highlight w:val="none"/>
          <w:lang w:bidi="ar-SA"/>
        </w:rPr>
        <w:t>通知和送达</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2.18.1 </w:t>
      </w:r>
      <w:r>
        <w:rPr>
          <w:rFonts w:hint="eastAsia" w:ascii="仿宋_GB2312" w:hAnsi="宋体" w:eastAsia="仿宋_GB2312" w:cs="Times New Roman"/>
          <w:sz w:val="24"/>
          <w:szCs w:val="24"/>
          <w:highlight w:val="none"/>
          <w:lang w:bidi="ar-SA"/>
        </w:rPr>
        <w:t>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2.18.2</w:t>
      </w:r>
      <w:r>
        <w:rPr>
          <w:rFonts w:hint="eastAsia" w:ascii="仿宋_GB2312" w:hAnsi="宋体" w:eastAsia="仿宋_GB2312" w:cs="Times New Roman"/>
          <w:sz w:val="24"/>
          <w:szCs w:val="24"/>
          <w:highlight w:val="none"/>
          <w:lang w:bidi="ar-SA"/>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2.19 </w:t>
      </w:r>
      <w:r>
        <w:rPr>
          <w:rFonts w:hint="eastAsia" w:ascii="仿宋_GB2312" w:hAnsi="宋体" w:eastAsia="仿宋_GB2312" w:cs="Times New Roman"/>
          <w:b/>
          <w:bCs/>
          <w:sz w:val="24"/>
          <w:szCs w:val="24"/>
          <w:highlight w:val="none"/>
          <w:lang w:bidi="ar-SA"/>
        </w:rPr>
        <w:t>计量单位</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除技术规范中另有规定外</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合同的计量单位均使用国家法定计量单位。</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2.20 </w:t>
      </w:r>
      <w:r>
        <w:rPr>
          <w:rFonts w:hint="eastAsia" w:ascii="仿宋_GB2312" w:hAnsi="宋体" w:eastAsia="仿宋_GB2312" w:cs="Times New Roman"/>
          <w:b/>
          <w:bCs/>
          <w:sz w:val="24"/>
          <w:szCs w:val="24"/>
          <w:highlight w:val="none"/>
          <w:lang w:bidi="ar-SA"/>
        </w:rPr>
        <w:t>合同使用的文字和适用的法律</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2.20.1 </w:t>
      </w:r>
      <w:r>
        <w:rPr>
          <w:rFonts w:hint="eastAsia" w:ascii="仿宋_GB2312" w:hAnsi="宋体" w:eastAsia="仿宋_GB2312" w:cs="Times New Roman"/>
          <w:sz w:val="24"/>
          <w:szCs w:val="24"/>
          <w:highlight w:val="none"/>
          <w:lang w:bidi="ar-SA"/>
        </w:rPr>
        <w:t>合同使用汉语书就、变更和解释；</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2.20.2 </w:t>
      </w:r>
      <w:r>
        <w:rPr>
          <w:rFonts w:hint="eastAsia" w:ascii="仿宋_GB2312" w:hAnsi="宋体" w:eastAsia="仿宋_GB2312" w:cs="Times New Roman"/>
          <w:sz w:val="24"/>
          <w:szCs w:val="24"/>
          <w:highlight w:val="none"/>
          <w:lang w:bidi="ar-SA"/>
        </w:rPr>
        <w:t>合同适用中华人民共和国法律。</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2.21 </w:t>
      </w:r>
      <w:r>
        <w:rPr>
          <w:rFonts w:hint="eastAsia" w:ascii="仿宋_GB2312" w:hAnsi="宋体" w:eastAsia="仿宋_GB2312" w:cs="Times New Roman"/>
          <w:b/>
          <w:bCs/>
          <w:sz w:val="24"/>
          <w:szCs w:val="24"/>
          <w:highlight w:val="none"/>
          <w:lang w:bidi="ar-SA"/>
        </w:rPr>
        <w:t>履约保证金</w:t>
      </w:r>
    </w:p>
    <w:p>
      <w:pPr>
        <w:spacing w:line="400" w:lineRule="exact"/>
        <w:ind w:firstLine="480" w:firstLineChars="200"/>
        <w:rPr>
          <w:rFonts w:ascii="仿宋_GB2312" w:hAnsi="宋体" w:eastAsia="仿宋_GB2312" w:cs="Times New Roman"/>
          <w:b/>
          <w:bCs/>
          <w:sz w:val="24"/>
          <w:szCs w:val="24"/>
          <w:highlight w:val="none"/>
          <w:lang w:bidi="ar-SA"/>
        </w:rPr>
      </w:pPr>
      <w:r>
        <w:rPr>
          <w:rFonts w:ascii="仿宋_GB2312" w:hAnsi="宋体" w:eastAsia="仿宋_GB2312" w:cs="Times New Roman"/>
          <w:sz w:val="24"/>
          <w:szCs w:val="24"/>
          <w:highlight w:val="none"/>
          <w:lang w:bidi="ar-SA"/>
        </w:rPr>
        <w:t xml:space="preserve">2.21.1 </w:t>
      </w:r>
      <w:r>
        <w:rPr>
          <w:rFonts w:hint="eastAsia" w:ascii="仿宋_GB2312" w:hAnsi="宋体" w:eastAsia="仿宋_GB2312" w:cs="Times New Roman"/>
          <w:sz w:val="24"/>
          <w:szCs w:val="24"/>
          <w:highlight w:val="none"/>
          <w:lang w:bidi="ar-SA"/>
        </w:rPr>
        <w:t>采购文件要求乙方提交履约保证金的，乙方应按合同专用条款约定的方式，以支票、汇票、本票或者金融机构、担保机构出具的保函等非现金形式，提交合同价</w:t>
      </w:r>
      <w:r>
        <w:rPr>
          <w:rFonts w:hint="eastAsia" w:ascii="仿宋_GB2312" w:hAnsi="宋体" w:eastAsia="仿宋_GB2312" w:cs="Times New Roman"/>
          <w:sz w:val="24"/>
          <w:szCs w:val="24"/>
          <w:highlight w:val="none"/>
          <w:lang w:val="en-US" w:eastAsia="zh-CN" w:bidi="ar-SA"/>
        </w:rPr>
        <w:t>5</w:t>
      </w:r>
      <w:r>
        <w:rPr>
          <w:rFonts w:ascii="仿宋_GB2312" w:hAnsi="宋体" w:eastAsia="仿宋_GB2312" w:cs="Times New Roman"/>
          <w:sz w:val="24"/>
          <w:szCs w:val="24"/>
          <w:highlight w:val="none"/>
          <w:lang w:bidi="ar-SA"/>
        </w:rPr>
        <w:t>%</w:t>
      </w:r>
      <w:r>
        <w:rPr>
          <w:rFonts w:hint="eastAsia" w:ascii="仿宋_GB2312" w:hAnsi="宋体" w:eastAsia="仿宋_GB2312" w:cs="Times New Roman"/>
          <w:sz w:val="24"/>
          <w:szCs w:val="24"/>
          <w:highlight w:val="none"/>
          <w:lang w:bidi="ar-SA"/>
        </w:rPr>
        <w:t>的履约保证金；</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2.21.2  </w:t>
      </w:r>
      <w:r>
        <w:rPr>
          <w:rFonts w:hint="eastAsia" w:ascii="仿宋_GB2312" w:hAnsi="宋体" w:eastAsia="仿宋_GB2312" w:cs="Times New Roman"/>
          <w:sz w:val="24"/>
          <w:szCs w:val="24"/>
          <w:highlight w:val="none"/>
          <w:lang w:bidi="ar-SA"/>
        </w:rPr>
        <w:t>履约保证金在合同专用条款约定期间内或者货物（服务）质量保证期内不予退还或者应完全有效，前述约定期间届满或者货物（服务）质量保证期届满之日起个工作日内，甲方应将履约保证金退还乙方；</w:t>
      </w:r>
    </w:p>
    <w:p>
      <w:pPr>
        <w:spacing w:line="400" w:lineRule="exact"/>
        <w:ind w:firstLine="480" w:firstLineChars="200"/>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t xml:space="preserve">2.21.3 </w:t>
      </w:r>
      <w:r>
        <w:rPr>
          <w:rFonts w:hint="eastAsia" w:ascii="仿宋_GB2312" w:hAnsi="宋体" w:eastAsia="仿宋_GB2312" w:cs="Times New Roman"/>
          <w:sz w:val="24"/>
          <w:szCs w:val="24"/>
          <w:highlight w:val="none"/>
          <w:lang w:bidi="ar-S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00" w:lineRule="exact"/>
        <w:ind w:firstLine="482" w:firstLineChars="200"/>
        <w:rPr>
          <w:rFonts w:ascii="仿宋_GB2312" w:hAnsi="宋体" w:eastAsia="仿宋_GB2312" w:cs="Times New Roman"/>
          <w:b/>
          <w:bCs/>
          <w:sz w:val="24"/>
          <w:szCs w:val="24"/>
          <w:highlight w:val="none"/>
          <w:lang w:bidi="ar-SA"/>
        </w:rPr>
      </w:pPr>
      <w:r>
        <w:rPr>
          <w:rFonts w:ascii="仿宋_GB2312" w:hAnsi="宋体" w:eastAsia="仿宋_GB2312" w:cs="Times New Roman"/>
          <w:b/>
          <w:bCs/>
          <w:sz w:val="24"/>
          <w:szCs w:val="24"/>
          <w:highlight w:val="none"/>
          <w:lang w:bidi="ar-SA"/>
        </w:rPr>
        <w:t xml:space="preserve">2.22 </w:t>
      </w:r>
      <w:r>
        <w:rPr>
          <w:rFonts w:hint="eastAsia" w:ascii="仿宋_GB2312" w:hAnsi="宋体" w:eastAsia="仿宋_GB2312" w:cs="Times New Roman"/>
          <w:b/>
          <w:bCs/>
          <w:sz w:val="24"/>
          <w:szCs w:val="24"/>
          <w:highlight w:val="none"/>
          <w:lang w:bidi="ar-SA"/>
        </w:rPr>
        <w:t>合同份数</w:t>
      </w:r>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合同份数按合同专用条款规定，每份均具有同等法律效力。</w:t>
      </w:r>
    </w:p>
    <w:p>
      <w:pPr>
        <w:widowControl/>
        <w:jc w:val="left"/>
        <w:rPr>
          <w:rFonts w:ascii="仿宋_GB2312" w:hAnsi="宋体" w:eastAsia="仿宋_GB2312" w:cs="Times New Roman"/>
          <w:sz w:val="24"/>
          <w:szCs w:val="24"/>
          <w:highlight w:val="none"/>
          <w:lang w:bidi="ar-SA"/>
        </w:rPr>
      </w:pPr>
      <w:r>
        <w:rPr>
          <w:rFonts w:ascii="仿宋_GB2312" w:hAnsi="宋体" w:eastAsia="仿宋_GB2312" w:cs="Times New Roman"/>
          <w:sz w:val="24"/>
          <w:szCs w:val="24"/>
          <w:highlight w:val="none"/>
          <w:lang w:bidi="ar-SA"/>
        </w:rPr>
        <w:br w:type="page"/>
      </w:r>
    </w:p>
    <w:p>
      <w:pPr>
        <w:pStyle w:val="3"/>
        <w:rPr>
          <w:highlight w:val="none"/>
          <w:lang w:bidi="ar-SA"/>
        </w:rPr>
      </w:pPr>
      <w:bookmarkStart w:id="91" w:name="_Toc49590163"/>
      <w:bookmarkStart w:id="92" w:name="_Toc75443047"/>
      <w:r>
        <w:rPr>
          <w:rFonts w:hint="eastAsia"/>
          <w:highlight w:val="none"/>
          <w:lang w:bidi="ar-SA"/>
        </w:rPr>
        <w:t>第三部分合同专用条款</w:t>
      </w:r>
      <w:bookmarkEnd w:id="91"/>
      <w:bookmarkEnd w:id="92"/>
    </w:p>
    <w:p>
      <w:pPr>
        <w:spacing w:line="400" w:lineRule="exact"/>
        <w:ind w:firstLine="480" w:firstLineChars="200"/>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条款号</w:t>
            </w: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r>
              <w:rPr>
                <w:rFonts w:hint="eastAsia" w:ascii="仿宋_GB2312" w:hAnsi="宋体" w:eastAsia="仿宋_GB2312" w:cs="Times New Roman"/>
                <w:sz w:val="24"/>
                <w:szCs w:val="24"/>
                <w:highlight w:val="none"/>
                <w:lang w:bidi="ar-SA"/>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4"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_GB2312" w:hAnsi="宋体" w:eastAsia="仿宋_GB2312" w:cs="Times New Roman"/>
                <w:sz w:val="24"/>
                <w:szCs w:val="24"/>
                <w:highlight w:val="none"/>
                <w:lang w:bidi="ar-SA"/>
              </w:rPr>
            </w:pPr>
          </w:p>
        </w:tc>
        <w:tc>
          <w:tcPr>
            <w:tcW w:w="7633" w:type="dxa"/>
            <w:vAlign w:val="center"/>
          </w:tcPr>
          <w:p>
            <w:pPr>
              <w:spacing w:line="560" w:lineRule="exact"/>
              <w:jc w:val="center"/>
              <w:rPr>
                <w:rFonts w:ascii="仿宋_GB2312" w:hAnsi="宋体" w:eastAsia="仿宋_GB2312" w:cs="Times New Roman"/>
                <w:sz w:val="24"/>
                <w:szCs w:val="24"/>
                <w:highlight w:val="none"/>
                <w:lang w:bidi="ar-SA"/>
              </w:rPr>
            </w:pPr>
          </w:p>
        </w:tc>
      </w:tr>
    </w:tbl>
    <w:p>
      <w:pPr>
        <w:spacing w:line="400" w:lineRule="exact"/>
        <w:rPr>
          <w:rFonts w:ascii="仿宋_GB2312" w:hAnsi="宋体" w:eastAsia="仿宋_GB2312" w:cs="Times New Roman"/>
          <w:sz w:val="24"/>
          <w:szCs w:val="24"/>
          <w:highlight w:val="none"/>
          <w:lang w:bidi="ar-SA"/>
        </w:rPr>
      </w:pPr>
    </w:p>
    <w:sectPr>
      <w:pgSz w:w="11906" w:h="16838"/>
      <w:pgMar w:top="1440" w:right="1080" w:bottom="1440" w:left="108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2" w:line="206" w:lineRule="auto"/>
      <w:ind w:firstLine="3820"/>
      <w:rPr>
        <w:rFonts w:ascii="宋体" w:hAnsi="宋体" w:eastAsia="宋体" w:cs="宋体"/>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rPr>
        <w:rFonts w:ascii="楷体" w:hAnsi="楷体" w:eastAsia="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7CCDC"/>
    <w:multiLevelType w:val="singleLevel"/>
    <w:tmpl w:val="F337CCDC"/>
    <w:lvl w:ilvl="0" w:tentative="0">
      <w:start w:val="8"/>
      <w:numFmt w:val="decimal"/>
      <w:lvlText w:val="%1."/>
      <w:lvlJc w:val="left"/>
      <w:pPr>
        <w:tabs>
          <w:tab w:val="left" w:pos="312"/>
        </w:tabs>
      </w:pPr>
    </w:lvl>
  </w:abstractNum>
  <w:abstractNum w:abstractNumId="1">
    <w:nsid w:val="2BA0051D"/>
    <w:multiLevelType w:val="singleLevel"/>
    <w:tmpl w:val="2BA0051D"/>
    <w:lvl w:ilvl="0" w:tentative="0">
      <w:start w:val="15"/>
      <w:numFmt w:val="decimal"/>
      <w:lvlText w:val="%1."/>
      <w:lvlJc w:val="left"/>
      <w:pPr>
        <w:tabs>
          <w:tab w:val="left" w:pos="312"/>
        </w:tabs>
      </w:pPr>
    </w:lvl>
  </w:abstractNum>
  <w:abstractNum w:abstractNumId="2">
    <w:nsid w:val="34975405"/>
    <w:multiLevelType w:val="singleLevel"/>
    <w:tmpl w:val="34975405"/>
    <w:lvl w:ilvl="0" w:tentative="0">
      <w:start w:val="3"/>
      <w:numFmt w:val="chineseCounting"/>
      <w:suff w:val="nothing"/>
      <w:lvlText w:val="（%1）"/>
      <w:lvlJc w:val="left"/>
      <w:rPr>
        <w:rFonts w:hint="eastAsia"/>
      </w:rPr>
    </w:lvl>
  </w:abstractNum>
  <w:abstractNum w:abstractNumId="3">
    <w:nsid w:val="416A1516"/>
    <w:multiLevelType w:val="singleLevel"/>
    <w:tmpl w:val="416A1516"/>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jg4NDI5OGZmOWNiZjEwZTgzYTQ2OTkyOGZjZTQifQ=="/>
  </w:docVars>
  <w:rsids>
    <w:rsidRoot w:val="003B7B18"/>
    <w:rsid w:val="000341A0"/>
    <w:rsid w:val="00034C30"/>
    <w:rsid w:val="00040184"/>
    <w:rsid w:val="00040B83"/>
    <w:rsid w:val="00042BC5"/>
    <w:rsid w:val="00063F5F"/>
    <w:rsid w:val="00065502"/>
    <w:rsid w:val="00070ADD"/>
    <w:rsid w:val="00072D57"/>
    <w:rsid w:val="00077B08"/>
    <w:rsid w:val="000847D2"/>
    <w:rsid w:val="00086FFB"/>
    <w:rsid w:val="00087DA0"/>
    <w:rsid w:val="0009614D"/>
    <w:rsid w:val="000A5511"/>
    <w:rsid w:val="000B1ADE"/>
    <w:rsid w:val="000D6616"/>
    <w:rsid w:val="000E2348"/>
    <w:rsid w:val="000E7BD1"/>
    <w:rsid w:val="00104E48"/>
    <w:rsid w:val="001056E5"/>
    <w:rsid w:val="00106EC8"/>
    <w:rsid w:val="00107582"/>
    <w:rsid w:val="001167E8"/>
    <w:rsid w:val="00117CFF"/>
    <w:rsid w:val="0014710C"/>
    <w:rsid w:val="00163EE0"/>
    <w:rsid w:val="001744CB"/>
    <w:rsid w:val="00180600"/>
    <w:rsid w:val="00190D0D"/>
    <w:rsid w:val="00191A37"/>
    <w:rsid w:val="001953B0"/>
    <w:rsid w:val="00196F5F"/>
    <w:rsid w:val="001974D8"/>
    <w:rsid w:val="001A19BE"/>
    <w:rsid w:val="001C0D51"/>
    <w:rsid w:val="001C5F55"/>
    <w:rsid w:val="001D19A8"/>
    <w:rsid w:val="001D2F36"/>
    <w:rsid w:val="001E0F8E"/>
    <w:rsid w:val="001E6CFC"/>
    <w:rsid w:val="001F09A3"/>
    <w:rsid w:val="00201262"/>
    <w:rsid w:val="0020540E"/>
    <w:rsid w:val="00212EA9"/>
    <w:rsid w:val="0021428B"/>
    <w:rsid w:val="00216405"/>
    <w:rsid w:val="0022268C"/>
    <w:rsid w:val="00230157"/>
    <w:rsid w:val="00235198"/>
    <w:rsid w:val="00235498"/>
    <w:rsid w:val="0024412D"/>
    <w:rsid w:val="00264120"/>
    <w:rsid w:val="00274442"/>
    <w:rsid w:val="002919D1"/>
    <w:rsid w:val="002A09C6"/>
    <w:rsid w:val="002A15AB"/>
    <w:rsid w:val="002A1D0C"/>
    <w:rsid w:val="002A311F"/>
    <w:rsid w:val="002A38E8"/>
    <w:rsid w:val="002A3EB0"/>
    <w:rsid w:val="002A4E13"/>
    <w:rsid w:val="002A53CF"/>
    <w:rsid w:val="002A5A5D"/>
    <w:rsid w:val="002A5C74"/>
    <w:rsid w:val="002F3241"/>
    <w:rsid w:val="00301D8C"/>
    <w:rsid w:val="003055AA"/>
    <w:rsid w:val="003166CD"/>
    <w:rsid w:val="0033221A"/>
    <w:rsid w:val="003333FD"/>
    <w:rsid w:val="00334B99"/>
    <w:rsid w:val="00335140"/>
    <w:rsid w:val="00345699"/>
    <w:rsid w:val="00351969"/>
    <w:rsid w:val="00351AF9"/>
    <w:rsid w:val="003557AD"/>
    <w:rsid w:val="00356C5A"/>
    <w:rsid w:val="00373EB9"/>
    <w:rsid w:val="00377C05"/>
    <w:rsid w:val="003925C9"/>
    <w:rsid w:val="00396F95"/>
    <w:rsid w:val="003A60C1"/>
    <w:rsid w:val="003B010F"/>
    <w:rsid w:val="003B7B18"/>
    <w:rsid w:val="003C03BD"/>
    <w:rsid w:val="003C1150"/>
    <w:rsid w:val="003E1E94"/>
    <w:rsid w:val="003E3119"/>
    <w:rsid w:val="003F2A15"/>
    <w:rsid w:val="003F756F"/>
    <w:rsid w:val="003F7CE2"/>
    <w:rsid w:val="00400C69"/>
    <w:rsid w:val="004058D6"/>
    <w:rsid w:val="00407C86"/>
    <w:rsid w:val="00412E6A"/>
    <w:rsid w:val="0043488D"/>
    <w:rsid w:val="004454EB"/>
    <w:rsid w:val="00446519"/>
    <w:rsid w:val="00450223"/>
    <w:rsid w:val="0047770A"/>
    <w:rsid w:val="00482C58"/>
    <w:rsid w:val="00496A78"/>
    <w:rsid w:val="004B5383"/>
    <w:rsid w:val="004C4607"/>
    <w:rsid w:val="004D1B7F"/>
    <w:rsid w:val="004D39E1"/>
    <w:rsid w:val="004E552A"/>
    <w:rsid w:val="004F0F2B"/>
    <w:rsid w:val="004F260B"/>
    <w:rsid w:val="00504290"/>
    <w:rsid w:val="00505E5A"/>
    <w:rsid w:val="00510361"/>
    <w:rsid w:val="00510E45"/>
    <w:rsid w:val="00510FE8"/>
    <w:rsid w:val="00512B82"/>
    <w:rsid w:val="00520C0D"/>
    <w:rsid w:val="00535957"/>
    <w:rsid w:val="0053715C"/>
    <w:rsid w:val="005468C5"/>
    <w:rsid w:val="00547035"/>
    <w:rsid w:val="00562B95"/>
    <w:rsid w:val="00565002"/>
    <w:rsid w:val="00566A4D"/>
    <w:rsid w:val="005A4733"/>
    <w:rsid w:val="005B1591"/>
    <w:rsid w:val="005C16D8"/>
    <w:rsid w:val="005E3462"/>
    <w:rsid w:val="005E4F1F"/>
    <w:rsid w:val="005F21AE"/>
    <w:rsid w:val="00605BB0"/>
    <w:rsid w:val="00612A8F"/>
    <w:rsid w:val="00626BC7"/>
    <w:rsid w:val="00631B21"/>
    <w:rsid w:val="00631D07"/>
    <w:rsid w:val="006350C9"/>
    <w:rsid w:val="00642B05"/>
    <w:rsid w:val="00650103"/>
    <w:rsid w:val="006542B2"/>
    <w:rsid w:val="0065664F"/>
    <w:rsid w:val="006603B3"/>
    <w:rsid w:val="00661FCD"/>
    <w:rsid w:val="00663103"/>
    <w:rsid w:val="0067249F"/>
    <w:rsid w:val="00682638"/>
    <w:rsid w:val="00692C5B"/>
    <w:rsid w:val="00693422"/>
    <w:rsid w:val="006B08B0"/>
    <w:rsid w:val="006B5B62"/>
    <w:rsid w:val="006C49A7"/>
    <w:rsid w:val="006D29F8"/>
    <w:rsid w:val="006D35FD"/>
    <w:rsid w:val="006D42F2"/>
    <w:rsid w:val="006D73C9"/>
    <w:rsid w:val="006E05C2"/>
    <w:rsid w:val="006F24F8"/>
    <w:rsid w:val="006F5D3D"/>
    <w:rsid w:val="00703373"/>
    <w:rsid w:val="00703E8C"/>
    <w:rsid w:val="00711EDD"/>
    <w:rsid w:val="0071440B"/>
    <w:rsid w:val="0072235E"/>
    <w:rsid w:val="00732CD4"/>
    <w:rsid w:val="00733C27"/>
    <w:rsid w:val="007360AB"/>
    <w:rsid w:val="00744FB1"/>
    <w:rsid w:val="00774A60"/>
    <w:rsid w:val="00775073"/>
    <w:rsid w:val="00790B64"/>
    <w:rsid w:val="00791217"/>
    <w:rsid w:val="00794912"/>
    <w:rsid w:val="00795742"/>
    <w:rsid w:val="007A5604"/>
    <w:rsid w:val="007B3681"/>
    <w:rsid w:val="007B3CA9"/>
    <w:rsid w:val="007B76CA"/>
    <w:rsid w:val="007C484C"/>
    <w:rsid w:val="007D4407"/>
    <w:rsid w:val="007D4572"/>
    <w:rsid w:val="007F6EFE"/>
    <w:rsid w:val="00801761"/>
    <w:rsid w:val="00802F84"/>
    <w:rsid w:val="00805D4A"/>
    <w:rsid w:val="00817A54"/>
    <w:rsid w:val="0082015C"/>
    <w:rsid w:val="00822AAB"/>
    <w:rsid w:val="00824E84"/>
    <w:rsid w:val="0083373F"/>
    <w:rsid w:val="008442A8"/>
    <w:rsid w:val="008520FF"/>
    <w:rsid w:val="00860C69"/>
    <w:rsid w:val="0086479C"/>
    <w:rsid w:val="00872E3D"/>
    <w:rsid w:val="008914AE"/>
    <w:rsid w:val="008A509B"/>
    <w:rsid w:val="008B31FB"/>
    <w:rsid w:val="008B7CDE"/>
    <w:rsid w:val="008C2D44"/>
    <w:rsid w:val="008C7F35"/>
    <w:rsid w:val="008D3F46"/>
    <w:rsid w:val="008E6F7F"/>
    <w:rsid w:val="008E74A0"/>
    <w:rsid w:val="008F1A50"/>
    <w:rsid w:val="008F6827"/>
    <w:rsid w:val="008F6B2B"/>
    <w:rsid w:val="00911289"/>
    <w:rsid w:val="00913DB8"/>
    <w:rsid w:val="009142AB"/>
    <w:rsid w:val="00921E41"/>
    <w:rsid w:val="00942277"/>
    <w:rsid w:val="00946C17"/>
    <w:rsid w:val="009473D0"/>
    <w:rsid w:val="00954619"/>
    <w:rsid w:val="00966B40"/>
    <w:rsid w:val="009702B2"/>
    <w:rsid w:val="00995ACA"/>
    <w:rsid w:val="0099628E"/>
    <w:rsid w:val="009A542E"/>
    <w:rsid w:val="009B103F"/>
    <w:rsid w:val="009B2A47"/>
    <w:rsid w:val="009B6CB4"/>
    <w:rsid w:val="009C469E"/>
    <w:rsid w:val="009C6890"/>
    <w:rsid w:val="009E0935"/>
    <w:rsid w:val="009F19A6"/>
    <w:rsid w:val="009F23C5"/>
    <w:rsid w:val="009F38CF"/>
    <w:rsid w:val="00A00DB7"/>
    <w:rsid w:val="00A02FB1"/>
    <w:rsid w:val="00A22104"/>
    <w:rsid w:val="00A314B4"/>
    <w:rsid w:val="00A348F2"/>
    <w:rsid w:val="00A42660"/>
    <w:rsid w:val="00A51236"/>
    <w:rsid w:val="00A52776"/>
    <w:rsid w:val="00A52F64"/>
    <w:rsid w:val="00A575AF"/>
    <w:rsid w:val="00A842B1"/>
    <w:rsid w:val="00A849EE"/>
    <w:rsid w:val="00A84BE4"/>
    <w:rsid w:val="00A8769D"/>
    <w:rsid w:val="00A9184D"/>
    <w:rsid w:val="00AB2C8D"/>
    <w:rsid w:val="00AB445E"/>
    <w:rsid w:val="00AC04EE"/>
    <w:rsid w:val="00AC156B"/>
    <w:rsid w:val="00AD43CF"/>
    <w:rsid w:val="00AD4D5A"/>
    <w:rsid w:val="00AE0B87"/>
    <w:rsid w:val="00AF4ECC"/>
    <w:rsid w:val="00B02BD3"/>
    <w:rsid w:val="00B043C9"/>
    <w:rsid w:val="00B04D03"/>
    <w:rsid w:val="00B158C1"/>
    <w:rsid w:val="00B20677"/>
    <w:rsid w:val="00B2570E"/>
    <w:rsid w:val="00B322D0"/>
    <w:rsid w:val="00B34DBC"/>
    <w:rsid w:val="00B50A97"/>
    <w:rsid w:val="00B65BE9"/>
    <w:rsid w:val="00B664D6"/>
    <w:rsid w:val="00B732A8"/>
    <w:rsid w:val="00B74ED2"/>
    <w:rsid w:val="00B77ED5"/>
    <w:rsid w:val="00B86EC8"/>
    <w:rsid w:val="00B879F3"/>
    <w:rsid w:val="00B87C14"/>
    <w:rsid w:val="00BA7606"/>
    <w:rsid w:val="00BC1E3A"/>
    <w:rsid w:val="00BD0BA0"/>
    <w:rsid w:val="00BD4DBF"/>
    <w:rsid w:val="00BD62C1"/>
    <w:rsid w:val="00BD71CF"/>
    <w:rsid w:val="00C008C8"/>
    <w:rsid w:val="00C04F5D"/>
    <w:rsid w:val="00C1359D"/>
    <w:rsid w:val="00C161FB"/>
    <w:rsid w:val="00C2593F"/>
    <w:rsid w:val="00C356DE"/>
    <w:rsid w:val="00C3783C"/>
    <w:rsid w:val="00C42F79"/>
    <w:rsid w:val="00C45E82"/>
    <w:rsid w:val="00C52738"/>
    <w:rsid w:val="00C65595"/>
    <w:rsid w:val="00C74F9D"/>
    <w:rsid w:val="00C80C3A"/>
    <w:rsid w:val="00C84150"/>
    <w:rsid w:val="00C9120C"/>
    <w:rsid w:val="00C930E4"/>
    <w:rsid w:val="00CA10AE"/>
    <w:rsid w:val="00CB3735"/>
    <w:rsid w:val="00CC132E"/>
    <w:rsid w:val="00CD25F0"/>
    <w:rsid w:val="00CD471E"/>
    <w:rsid w:val="00CE3BBC"/>
    <w:rsid w:val="00CF4A77"/>
    <w:rsid w:val="00CF53C6"/>
    <w:rsid w:val="00D1109A"/>
    <w:rsid w:val="00D279F1"/>
    <w:rsid w:val="00D36943"/>
    <w:rsid w:val="00D43D4D"/>
    <w:rsid w:val="00D72B65"/>
    <w:rsid w:val="00D7383F"/>
    <w:rsid w:val="00D7774C"/>
    <w:rsid w:val="00D91422"/>
    <w:rsid w:val="00D91FD6"/>
    <w:rsid w:val="00DB2BEB"/>
    <w:rsid w:val="00DB58B9"/>
    <w:rsid w:val="00DB650C"/>
    <w:rsid w:val="00DB6D99"/>
    <w:rsid w:val="00DC16C8"/>
    <w:rsid w:val="00DC73BB"/>
    <w:rsid w:val="00DD4002"/>
    <w:rsid w:val="00DD7A45"/>
    <w:rsid w:val="00DF1649"/>
    <w:rsid w:val="00DF2A07"/>
    <w:rsid w:val="00DF79C8"/>
    <w:rsid w:val="00E0104E"/>
    <w:rsid w:val="00E03B0C"/>
    <w:rsid w:val="00E04EB1"/>
    <w:rsid w:val="00E05B68"/>
    <w:rsid w:val="00E120D8"/>
    <w:rsid w:val="00E13ABB"/>
    <w:rsid w:val="00E17433"/>
    <w:rsid w:val="00E211E0"/>
    <w:rsid w:val="00E21E74"/>
    <w:rsid w:val="00E3220F"/>
    <w:rsid w:val="00E326C4"/>
    <w:rsid w:val="00E5357A"/>
    <w:rsid w:val="00E54B7B"/>
    <w:rsid w:val="00E6020D"/>
    <w:rsid w:val="00E651E5"/>
    <w:rsid w:val="00E66ADE"/>
    <w:rsid w:val="00E66E21"/>
    <w:rsid w:val="00E8691A"/>
    <w:rsid w:val="00E8793F"/>
    <w:rsid w:val="00E925D6"/>
    <w:rsid w:val="00E94011"/>
    <w:rsid w:val="00E974A7"/>
    <w:rsid w:val="00EA3AB2"/>
    <w:rsid w:val="00EA71ED"/>
    <w:rsid w:val="00EC7A08"/>
    <w:rsid w:val="00ED2EC3"/>
    <w:rsid w:val="00ED5173"/>
    <w:rsid w:val="00EE0998"/>
    <w:rsid w:val="00EE4098"/>
    <w:rsid w:val="00EE68A1"/>
    <w:rsid w:val="00EF572F"/>
    <w:rsid w:val="00F0741D"/>
    <w:rsid w:val="00F07B92"/>
    <w:rsid w:val="00F12AD2"/>
    <w:rsid w:val="00F239B5"/>
    <w:rsid w:val="00F31416"/>
    <w:rsid w:val="00F37FCE"/>
    <w:rsid w:val="00F456C7"/>
    <w:rsid w:val="00F457C9"/>
    <w:rsid w:val="00F4726F"/>
    <w:rsid w:val="00F52844"/>
    <w:rsid w:val="00F56A48"/>
    <w:rsid w:val="00F57908"/>
    <w:rsid w:val="00F70EAD"/>
    <w:rsid w:val="00F76069"/>
    <w:rsid w:val="00F83D28"/>
    <w:rsid w:val="00FA41E0"/>
    <w:rsid w:val="00FA5147"/>
    <w:rsid w:val="00FB1B0B"/>
    <w:rsid w:val="00FB6B9E"/>
    <w:rsid w:val="00FC36E2"/>
    <w:rsid w:val="00FC3796"/>
    <w:rsid w:val="00FC3D0C"/>
    <w:rsid w:val="00FC4682"/>
    <w:rsid w:val="00FD41A2"/>
    <w:rsid w:val="00FF0066"/>
    <w:rsid w:val="014C4DA3"/>
    <w:rsid w:val="014F6641"/>
    <w:rsid w:val="01513954"/>
    <w:rsid w:val="0158049C"/>
    <w:rsid w:val="017A6803"/>
    <w:rsid w:val="01CD536C"/>
    <w:rsid w:val="01EF5587"/>
    <w:rsid w:val="02247ACE"/>
    <w:rsid w:val="02347E1D"/>
    <w:rsid w:val="029C3B08"/>
    <w:rsid w:val="02DD0AFB"/>
    <w:rsid w:val="03305B64"/>
    <w:rsid w:val="03AF2762"/>
    <w:rsid w:val="03CB0B96"/>
    <w:rsid w:val="03D177E1"/>
    <w:rsid w:val="0436130D"/>
    <w:rsid w:val="046047F5"/>
    <w:rsid w:val="057A7447"/>
    <w:rsid w:val="05DF061A"/>
    <w:rsid w:val="060A2B37"/>
    <w:rsid w:val="066A0F99"/>
    <w:rsid w:val="06B2760A"/>
    <w:rsid w:val="06C4538F"/>
    <w:rsid w:val="07BB53AE"/>
    <w:rsid w:val="09102B5A"/>
    <w:rsid w:val="096934E9"/>
    <w:rsid w:val="09957E5C"/>
    <w:rsid w:val="0A0C05B1"/>
    <w:rsid w:val="0A1F2AFA"/>
    <w:rsid w:val="0B50723E"/>
    <w:rsid w:val="0BF40511"/>
    <w:rsid w:val="0C6A2581"/>
    <w:rsid w:val="0D0F62E5"/>
    <w:rsid w:val="0D3116F8"/>
    <w:rsid w:val="0E46479E"/>
    <w:rsid w:val="0E5E1D45"/>
    <w:rsid w:val="0EA24E9A"/>
    <w:rsid w:val="0EAA135B"/>
    <w:rsid w:val="0EE26D46"/>
    <w:rsid w:val="0F32598E"/>
    <w:rsid w:val="0F380715"/>
    <w:rsid w:val="0F931C7E"/>
    <w:rsid w:val="106B25F5"/>
    <w:rsid w:val="1086709D"/>
    <w:rsid w:val="10EE20E4"/>
    <w:rsid w:val="112E6273"/>
    <w:rsid w:val="11316DEC"/>
    <w:rsid w:val="11A16A45"/>
    <w:rsid w:val="12366D88"/>
    <w:rsid w:val="124F5DD4"/>
    <w:rsid w:val="12582611"/>
    <w:rsid w:val="126513FE"/>
    <w:rsid w:val="12914536"/>
    <w:rsid w:val="129B6213"/>
    <w:rsid w:val="12A075CC"/>
    <w:rsid w:val="12B34BC9"/>
    <w:rsid w:val="12E26F6A"/>
    <w:rsid w:val="13101617"/>
    <w:rsid w:val="13C47336"/>
    <w:rsid w:val="13FA068E"/>
    <w:rsid w:val="14072DAB"/>
    <w:rsid w:val="14295373"/>
    <w:rsid w:val="14431319"/>
    <w:rsid w:val="144954C7"/>
    <w:rsid w:val="149A59CD"/>
    <w:rsid w:val="151D2886"/>
    <w:rsid w:val="15F2600A"/>
    <w:rsid w:val="15FC27D5"/>
    <w:rsid w:val="15FD5AA9"/>
    <w:rsid w:val="16116587"/>
    <w:rsid w:val="163D4862"/>
    <w:rsid w:val="164353D7"/>
    <w:rsid w:val="1645429E"/>
    <w:rsid w:val="16907088"/>
    <w:rsid w:val="16CA38F1"/>
    <w:rsid w:val="16FD2DDE"/>
    <w:rsid w:val="18130B49"/>
    <w:rsid w:val="183A72AB"/>
    <w:rsid w:val="188B5D59"/>
    <w:rsid w:val="190B0C48"/>
    <w:rsid w:val="191C2558"/>
    <w:rsid w:val="19403784"/>
    <w:rsid w:val="194F4FD8"/>
    <w:rsid w:val="19632558"/>
    <w:rsid w:val="196A4097"/>
    <w:rsid w:val="199D17F3"/>
    <w:rsid w:val="19EF772F"/>
    <w:rsid w:val="1A391910"/>
    <w:rsid w:val="1A3A17E5"/>
    <w:rsid w:val="1B8A3286"/>
    <w:rsid w:val="1B99660A"/>
    <w:rsid w:val="1BFB1448"/>
    <w:rsid w:val="1C632C53"/>
    <w:rsid w:val="1CFB3913"/>
    <w:rsid w:val="1D3A5FA0"/>
    <w:rsid w:val="1DA91171"/>
    <w:rsid w:val="1E2F7A3E"/>
    <w:rsid w:val="1E3173A3"/>
    <w:rsid w:val="1EEC5184"/>
    <w:rsid w:val="1F1018F5"/>
    <w:rsid w:val="1F2C5C67"/>
    <w:rsid w:val="1F550E6F"/>
    <w:rsid w:val="1F9D0023"/>
    <w:rsid w:val="20182121"/>
    <w:rsid w:val="207B1DBD"/>
    <w:rsid w:val="20CD7422"/>
    <w:rsid w:val="2149670E"/>
    <w:rsid w:val="216F76EA"/>
    <w:rsid w:val="21B04A82"/>
    <w:rsid w:val="21ED1832"/>
    <w:rsid w:val="22F0322A"/>
    <w:rsid w:val="235430BD"/>
    <w:rsid w:val="23D44D98"/>
    <w:rsid w:val="24A010E1"/>
    <w:rsid w:val="24CE6AE7"/>
    <w:rsid w:val="25D9583E"/>
    <w:rsid w:val="25FD17ED"/>
    <w:rsid w:val="26DD6079"/>
    <w:rsid w:val="270B57DD"/>
    <w:rsid w:val="271433BD"/>
    <w:rsid w:val="275A0DA3"/>
    <w:rsid w:val="2789545B"/>
    <w:rsid w:val="287A5B9A"/>
    <w:rsid w:val="287F00DC"/>
    <w:rsid w:val="28DC43AF"/>
    <w:rsid w:val="28E9787B"/>
    <w:rsid w:val="29180FB0"/>
    <w:rsid w:val="29535A5A"/>
    <w:rsid w:val="295924B0"/>
    <w:rsid w:val="296C799C"/>
    <w:rsid w:val="2A284374"/>
    <w:rsid w:val="2A2E7487"/>
    <w:rsid w:val="2AA82584"/>
    <w:rsid w:val="2B560123"/>
    <w:rsid w:val="2B9E5140"/>
    <w:rsid w:val="2BA27ADE"/>
    <w:rsid w:val="2BD63337"/>
    <w:rsid w:val="2BEB2C70"/>
    <w:rsid w:val="2C165F57"/>
    <w:rsid w:val="2C637962"/>
    <w:rsid w:val="2CA0459C"/>
    <w:rsid w:val="2CBC7DDC"/>
    <w:rsid w:val="2CF5796E"/>
    <w:rsid w:val="2D596EE7"/>
    <w:rsid w:val="2D7C3B62"/>
    <w:rsid w:val="2D916455"/>
    <w:rsid w:val="2DFA1553"/>
    <w:rsid w:val="2E3D2CA5"/>
    <w:rsid w:val="2F506637"/>
    <w:rsid w:val="2F6379A6"/>
    <w:rsid w:val="305337C0"/>
    <w:rsid w:val="30C84796"/>
    <w:rsid w:val="31A83080"/>
    <w:rsid w:val="32CF5A0B"/>
    <w:rsid w:val="32E97DF4"/>
    <w:rsid w:val="336A4CB3"/>
    <w:rsid w:val="338F4B48"/>
    <w:rsid w:val="33923FE8"/>
    <w:rsid w:val="33D60012"/>
    <w:rsid w:val="342F648F"/>
    <w:rsid w:val="3446667C"/>
    <w:rsid w:val="346C2A8B"/>
    <w:rsid w:val="34750AB5"/>
    <w:rsid w:val="34D92F01"/>
    <w:rsid w:val="351C000D"/>
    <w:rsid w:val="35F107FD"/>
    <w:rsid w:val="360D2619"/>
    <w:rsid w:val="3623361D"/>
    <w:rsid w:val="363C023B"/>
    <w:rsid w:val="365E53B1"/>
    <w:rsid w:val="36655284"/>
    <w:rsid w:val="36C13DB6"/>
    <w:rsid w:val="36C30B3F"/>
    <w:rsid w:val="37255A40"/>
    <w:rsid w:val="372700B2"/>
    <w:rsid w:val="373530DA"/>
    <w:rsid w:val="377E5EF3"/>
    <w:rsid w:val="37986788"/>
    <w:rsid w:val="37CD3932"/>
    <w:rsid w:val="381B353D"/>
    <w:rsid w:val="38437C3D"/>
    <w:rsid w:val="385828C1"/>
    <w:rsid w:val="38FF20BA"/>
    <w:rsid w:val="3977659B"/>
    <w:rsid w:val="39F21441"/>
    <w:rsid w:val="3A2D6818"/>
    <w:rsid w:val="3A346AB0"/>
    <w:rsid w:val="3A3E06F2"/>
    <w:rsid w:val="3A41259E"/>
    <w:rsid w:val="3A4D389F"/>
    <w:rsid w:val="3A642EE6"/>
    <w:rsid w:val="3A836F0B"/>
    <w:rsid w:val="3A8D477A"/>
    <w:rsid w:val="3B9F56F4"/>
    <w:rsid w:val="3C45245E"/>
    <w:rsid w:val="3C6E403E"/>
    <w:rsid w:val="3C803326"/>
    <w:rsid w:val="3C80538A"/>
    <w:rsid w:val="3CA70D9A"/>
    <w:rsid w:val="3CF43398"/>
    <w:rsid w:val="3D22018A"/>
    <w:rsid w:val="3DC70D32"/>
    <w:rsid w:val="3DF633C5"/>
    <w:rsid w:val="3E864749"/>
    <w:rsid w:val="3E9C3F6D"/>
    <w:rsid w:val="3F70289E"/>
    <w:rsid w:val="3F7A1252"/>
    <w:rsid w:val="4021533D"/>
    <w:rsid w:val="406A34A1"/>
    <w:rsid w:val="412753D5"/>
    <w:rsid w:val="4135511C"/>
    <w:rsid w:val="41573D58"/>
    <w:rsid w:val="418F5EC5"/>
    <w:rsid w:val="41F7617D"/>
    <w:rsid w:val="423B30C3"/>
    <w:rsid w:val="42CA197C"/>
    <w:rsid w:val="42D12D91"/>
    <w:rsid w:val="42FE4B0C"/>
    <w:rsid w:val="43324E9F"/>
    <w:rsid w:val="433A1A7E"/>
    <w:rsid w:val="434626F9"/>
    <w:rsid w:val="4379487C"/>
    <w:rsid w:val="43E86E2B"/>
    <w:rsid w:val="44000AFA"/>
    <w:rsid w:val="445E66A4"/>
    <w:rsid w:val="44816692"/>
    <w:rsid w:val="44B738AE"/>
    <w:rsid w:val="457323DD"/>
    <w:rsid w:val="466A2F71"/>
    <w:rsid w:val="467C684E"/>
    <w:rsid w:val="468C48C7"/>
    <w:rsid w:val="469D3974"/>
    <w:rsid w:val="46BC1650"/>
    <w:rsid w:val="47811F51"/>
    <w:rsid w:val="47A60658"/>
    <w:rsid w:val="47C51647"/>
    <w:rsid w:val="483024AA"/>
    <w:rsid w:val="483D26A9"/>
    <w:rsid w:val="48782132"/>
    <w:rsid w:val="48AA2AB5"/>
    <w:rsid w:val="48B3143C"/>
    <w:rsid w:val="48E640D2"/>
    <w:rsid w:val="496D4E99"/>
    <w:rsid w:val="49EF25CD"/>
    <w:rsid w:val="4A1B48DF"/>
    <w:rsid w:val="4AC46D25"/>
    <w:rsid w:val="4ACE0047"/>
    <w:rsid w:val="4AD60806"/>
    <w:rsid w:val="4AF15640"/>
    <w:rsid w:val="4B03749E"/>
    <w:rsid w:val="4C9A7D78"/>
    <w:rsid w:val="4DB16C6C"/>
    <w:rsid w:val="4E3D2983"/>
    <w:rsid w:val="4E813FBD"/>
    <w:rsid w:val="4E843A53"/>
    <w:rsid w:val="4EB404D7"/>
    <w:rsid w:val="4ECB6ACA"/>
    <w:rsid w:val="4F2A7373"/>
    <w:rsid w:val="4F491D46"/>
    <w:rsid w:val="4FD911CB"/>
    <w:rsid w:val="50AC430F"/>
    <w:rsid w:val="511D1D02"/>
    <w:rsid w:val="512027DB"/>
    <w:rsid w:val="51485F6D"/>
    <w:rsid w:val="517145AD"/>
    <w:rsid w:val="518F3560"/>
    <w:rsid w:val="519D1D79"/>
    <w:rsid w:val="51A4340C"/>
    <w:rsid w:val="52B0193D"/>
    <w:rsid w:val="52DF1E84"/>
    <w:rsid w:val="53927122"/>
    <w:rsid w:val="53AF1317"/>
    <w:rsid w:val="53BC2C8F"/>
    <w:rsid w:val="53ED049E"/>
    <w:rsid w:val="53FA3171"/>
    <w:rsid w:val="54624EB9"/>
    <w:rsid w:val="54C85ADF"/>
    <w:rsid w:val="54EC71A7"/>
    <w:rsid w:val="55280A1F"/>
    <w:rsid w:val="55562C6F"/>
    <w:rsid w:val="5599108C"/>
    <w:rsid w:val="55B4528B"/>
    <w:rsid w:val="563D1711"/>
    <w:rsid w:val="57D10E3A"/>
    <w:rsid w:val="58265EAF"/>
    <w:rsid w:val="592818CF"/>
    <w:rsid w:val="598636BD"/>
    <w:rsid w:val="59F446C0"/>
    <w:rsid w:val="59F635E0"/>
    <w:rsid w:val="5AE33BC8"/>
    <w:rsid w:val="5B1F08BA"/>
    <w:rsid w:val="5B6634E0"/>
    <w:rsid w:val="5BF02883"/>
    <w:rsid w:val="5BFF4CBE"/>
    <w:rsid w:val="5C763BF7"/>
    <w:rsid w:val="5C9A2E58"/>
    <w:rsid w:val="5D284EF1"/>
    <w:rsid w:val="5D2D265C"/>
    <w:rsid w:val="5D4D6A70"/>
    <w:rsid w:val="5DD01B3C"/>
    <w:rsid w:val="5DEC2FA0"/>
    <w:rsid w:val="5E156013"/>
    <w:rsid w:val="5E1B2DBC"/>
    <w:rsid w:val="5E4328AA"/>
    <w:rsid w:val="5EA131B6"/>
    <w:rsid w:val="5EBD5B0D"/>
    <w:rsid w:val="5F233124"/>
    <w:rsid w:val="5F3A1B75"/>
    <w:rsid w:val="5F5D1F24"/>
    <w:rsid w:val="5F5E1037"/>
    <w:rsid w:val="5F824661"/>
    <w:rsid w:val="5FC52828"/>
    <w:rsid w:val="60011A2A"/>
    <w:rsid w:val="60145ABA"/>
    <w:rsid w:val="60445E8F"/>
    <w:rsid w:val="608D2518"/>
    <w:rsid w:val="609E0729"/>
    <w:rsid w:val="60CA2D7F"/>
    <w:rsid w:val="60D6609F"/>
    <w:rsid w:val="611A27B7"/>
    <w:rsid w:val="61347CD3"/>
    <w:rsid w:val="6159568E"/>
    <w:rsid w:val="619E7E05"/>
    <w:rsid w:val="625647C0"/>
    <w:rsid w:val="626E563A"/>
    <w:rsid w:val="62B0491B"/>
    <w:rsid w:val="62D76A39"/>
    <w:rsid w:val="63350368"/>
    <w:rsid w:val="637C31BE"/>
    <w:rsid w:val="641E657E"/>
    <w:rsid w:val="645015A9"/>
    <w:rsid w:val="64A85D5C"/>
    <w:rsid w:val="65200BA4"/>
    <w:rsid w:val="65231F1D"/>
    <w:rsid w:val="65240823"/>
    <w:rsid w:val="65273CE0"/>
    <w:rsid w:val="6535464F"/>
    <w:rsid w:val="655E5BB3"/>
    <w:rsid w:val="65B65064"/>
    <w:rsid w:val="65CD7FF5"/>
    <w:rsid w:val="660D5E2C"/>
    <w:rsid w:val="66BD3B89"/>
    <w:rsid w:val="6784541A"/>
    <w:rsid w:val="67AF5A11"/>
    <w:rsid w:val="680601AA"/>
    <w:rsid w:val="68597819"/>
    <w:rsid w:val="68CA70A8"/>
    <w:rsid w:val="68CD2DF1"/>
    <w:rsid w:val="69221585"/>
    <w:rsid w:val="69867649"/>
    <w:rsid w:val="69A03C4D"/>
    <w:rsid w:val="69C266CE"/>
    <w:rsid w:val="6A1730CA"/>
    <w:rsid w:val="6A5F216E"/>
    <w:rsid w:val="6A6944E7"/>
    <w:rsid w:val="6AC87FE6"/>
    <w:rsid w:val="6B125AD1"/>
    <w:rsid w:val="6B220128"/>
    <w:rsid w:val="6B466745"/>
    <w:rsid w:val="6BCC3834"/>
    <w:rsid w:val="6BCE4446"/>
    <w:rsid w:val="6C051378"/>
    <w:rsid w:val="6C2C51E9"/>
    <w:rsid w:val="6C7C5634"/>
    <w:rsid w:val="6C950E4F"/>
    <w:rsid w:val="6CE07597"/>
    <w:rsid w:val="6D8A20BF"/>
    <w:rsid w:val="6E080427"/>
    <w:rsid w:val="6E0A419F"/>
    <w:rsid w:val="6E103CBF"/>
    <w:rsid w:val="6E17462F"/>
    <w:rsid w:val="6EE3336E"/>
    <w:rsid w:val="6EEE056D"/>
    <w:rsid w:val="6F9C7C23"/>
    <w:rsid w:val="6FA25DFE"/>
    <w:rsid w:val="6FD13BA9"/>
    <w:rsid w:val="6FEA072C"/>
    <w:rsid w:val="6FF330B2"/>
    <w:rsid w:val="70497201"/>
    <w:rsid w:val="705469A0"/>
    <w:rsid w:val="70E16101"/>
    <w:rsid w:val="71DC5E53"/>
    <w:rsid w:val="720D5704"/>
    <w:rsid w:val="72850298"/>
    <w:rsid w:val="729A01E8"/>
    <w:rsid w:val="72BC20E7"/>
    <w:rsid w:val="72EB0A43"/>
    <w:rsid w:val="73532145"/>
    <w:rsid w:val="737A1DC7"/>
    <w:rsid w:val="73E641AE"/>
    <w:rsid w:val="74C01A5C"/>
    <w:rsid w:val="74E4574A"/>
    <w:rsid w:val="74FB2A94"/>
    <w:rsid w:val="7521074C"/>
    <w:rsid w:val="753F5076"/>
    <w:rsid w:val="75756B1C"/>
    <w:rsid w:val="75AE64F2"/>
    <w:rsid w:val="76481D09"/>
    <w:rsid w:val="76C9109B"/>
    <w:rsid w:val="78504F87"/>
    <w:rsid w:val="79FE3F6F"/>
    <w:rsid w:val="7A613399"/>
    <w:rsid w:val="7A9231A9"/>
    <w:rsid w:val="7AB524E8"/>
    <w:rsid w:val="7C711DE3"/>
    <w:rsid w:val="7CA13F21"/>
    <w:rsid w:val="7CBE4E6F"/>
    <w:rsid w:val="7CE30DC6"/>
    <w:rsid w:val="7D02742F"/>
    <w:rsid w:val="7D8902E1"/>
    <w:rsid w:val="7DEC35D6"/>
    <w:rsid w:val="7DF96F7F"/>
    <w:rsid w:val="7E4B0C75"/>
    <w:rsid w:val="7E4E1E86"/>
    <w:rsid w:val="7E633349"/>
    <w:rsid w:val="7E6D0D72"/>
    <w:rsid w:val="7EE92621"/>
    <w:rsid w:val="FD5F10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Microsoft Himalaya"/>
      <w:kern w:val="2"/>
      <w:sz w:val="21"/>
      <w:szCs w:val="32"/>
      <w:lang w:val="en-US" w:eastAsia="zh-CN" w:bidi="bo-CN"/>
    </w:rPr>
  </w:style>
  <w:style w:type="paragraph" w:styleId="2">
    <w:name w:val="heading 1"/>
    <w:basedOn w:val="1"/>
    <w:next w:val="1"/>
    <w:link w:val="29"/>
    <w:qFormat/>
    <w:uiPriority w:val="99"/>
    <w:pPr>
      <w:keepNext/>
      <w:keepLines/>
      <w:spacing w:before="340" w:after="330" w:line="576" w:lineRule="exact"/>
      <w:jc w:val="center"/>
      <w:outlineLvl w:val="0"/>
    </w:pPr>
    <w:rPr>
      <w:b/>
      <w:bCs/>
      <w:kern w:val="44"/>
      <w:sz w:val="32"/>
      <w:szCs w:val="64"/>
    </w:rPr>
  </w:style>
  <w:style w:type="paragraph" w:styleId="3">
    <w:name w:val="heading 2"/>
    <w:basedOn w:val="1"/>
    <w:next w:val="1"/>
    <w:link w:val="30"/>
    <w:qFormat/>
    <w:uiPriority w:val="99"/>
    <w:pPr>
      <w:keepNext/>
      <w:keepLines/>
      <w:spacing w:line="400" w:lineRule="exact"/>
      <w:jc w:val="center"/>
      <w:outlineLvl w:val="1"/>
    </w:pPr>
    <w:rPr>
      <w:rFonts w:ascii="Cambria" w:hAnsi="Cambria" w:eastAsia="黑体"/>
      <w:b/>
      <w:bCs/>
      <w:sz w:val="30"/>
      <w:szCs w:val="46"/>
    </w:rPr>
  </w:style>
  <w:style w:type="paragraph" w:styleId="4">
    <w:name w:val="heading 3"/>
    <w:basedOn w:val="1"/>
    <w:next w:val="1"/>
    <w:link w:val="31"/>
    <w:qFormat/>
    <w:uiPriority w:val="99"/>
    <w:pPr>
      <w:keepNext/>
      <w:keepLines/>
      <w:spacing w:line="400" w:lineRule="exact"/>
      <w:ind w:firstLine="200" w:firstLineChars="200"/>
      <w:outlineLvl w:val="2"/>
    </w:pPr>
    <w:rPr>
      <w:rFonts w:eastAsia="楷体_GB2312"/>
      <w:b/>
      <w:bCs/>
      <w:sz w:val="24"/>
      <w:szCs w:val="46"/>
    </w:rPr>
  </w:style>
  <w:style w:type="paragraph" w:styleId="5">
    <w:name w:val="heading 4"/>
    <w:basedOn w:val="1"/>
    <w:next w:val="1"/>
    <w:link w:val="32"/>
    <w:qFormat/>
    <w:uiPriority w:val="99"/>
    <w:pPr>
      <w:keepNext/>
      <w:keepLines/>
      <w:spacing w:after="100" w:line="377" w:lineRule="auto"/>
      <w:jc w:val="center"/>
      <w:outlineLvl w:val="3"/>
    </w:pPr>
    <w:rPr>
      <w:rFonts w:ascii="Cambria" w:hAnsi="Cambria" w:eastAsia="仿宋_GB2312"/>
      <w:b/>
      <w:bCs/>
      <w:sz w:val="28"/>
      <w:szCs w:val="4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99"/>
    <w:pPr>
      <w:ind w:left="1260"/>
      <w:jc w:val="left"/>
    </w:pPr>
    <w:rPr>
      <w:sz w:val="18"/>
      <w:szCs w:val="18"/>
    </w:rPr>
  </w:style>
  <w:style w:type="paragraph" w:styleId="7">
    <w:name w:val="annotation text"/>
    <w:basedOn w:val="1"/>
    <w:semiHidden/>
    <w:unhideWhenUsed/>
    <w:qFormat/>
    <w:uiPriority w:val="99"/>
    <w:pPr>
      <w:jc w:val="left"/>
    </w:pPr>
  </w:style>
  <w:style w:type="paragraph" w:styleId="8">
    <w:name w:val="Body Text 3"/>
    <w:basedOn w:val="1"/>
    <w:qFormat/>
    <w:uiPriority w:val="0"/>
    <w:pPr>
      <w:jc w:val="both"/>
    </w:pPr>
    <w:rPr>
      <w:rFonts w:ascii="宋体" w:eastAsia="宋体"/>
      <w:color w:val="auto"/>
      <w:szCs w:val="20"/>
    </w:rPr>
  </w:style>
  <w:style w:type="paragraph" w:styleId="9">
    <w:name w:val="Body Text"/>
    <w:basedOn w:val="1"/>
    <w:next w:val="1"/>
    <w:qFormat/>
    <w:uiPriority w:val="0"/>
    <w:pPr>
      <w:spacing w:line="360" w:lineRule="auto"/>
    </w:pPr>
    <w:rPr>
      <w:szCs w:val="20"/>
    </w:rPr>
  </w:style>
  <w:style w:type="paragraph" w:styleId="10">
    <w:name w:val="Body Text Indent"/>
    <w:basedOn w:val="1"/>
    <w:link w:val="41"/>
    <w:qFormat/>
    <w:uiPriority w:val="99"/>
    <w:pPr>
      <w:spacing w:line="200" w:lineRule="exact"/>
      <w:ind w:firstLine="301"/>
    </w:pPr>
    <w:rPr>
      <w:rFonts w:ascii="宋体" w:hAnsi="Courier New" w:cs="Arial Unicode MS"/>
      <w:spacing w:val="-4"/>
      <w:sz w:val="18"/>
      <w:szCs w:val="20"/>
    </w:rPr>
  </w:style>
  <w:style w:type="paragraph" w:styleId="11">
    <w:name w:val="toc 5"/>
    <w:basedOn w:val="1"/>
    <w:next w:val="1"/>
    <w:qFormat/>
    <w:uiPriority w:val="99"/>
    <w:pPr>
      <w:ind w:left="840"/>
      <w:jc w:val="left"/>
    </w:pPr>
    <w:rPr>
      <w:sz w:val="18"/>
      <w:szCs w:val="18"/>
    </w:rPr>
  </w:style>
  <w:style w:type="paragraph" w:styleId="12">
    <w:name w:val="toc 3"/>
    <w:basedOn w:val="1"/>
    <w:next w:val="1"/>
    <w:qFormat/>
    <w:uiPriority w:val="39"/>
    <w:pPr>
      <w:ind w:left="420"/>
      <w:jc w:val="left"/>
    </w:pPr>
    <w:rPr>
      <w:i/>
      <w:iCs/>
      <w:sz w:val="20"/>
      <w:szCs w:val="20"/>
    </w:rPr>
  </w:style>
  <w:style w:type="paragraph" w:styleId="13">
    <w:name w:val="Plain Text"/>
    <w:basedOn w:val="1"/>
    <w:link w:val="33"/>
    <w:qFormat/>
    <w:uiPriority w:val="99"/>
    <w:rPr>
      <w:rFonts w:ascii="宋体" w:hAnsi="Courier New" w:cs="Times New Roman"/>
      <w:kern w:val="0"/>
      <w:sz w:val="20"/>
      <w:szCs w:val="20"/>
      <w:lang w:bidi="ar-SA"/>
    </w:rPr>
  </w:style>
  <w:style w:type="paragraph" w:styleId="14">
    <w:name w:val="toc 8"/>
    <w:basedOn w:val="1"/>
    <w:next w:val="1"/>
    <w:qFormat/>
    <w:uiPriority w:val="99"/>
    <w:pPr>
      <w:ind w:left="1470"/>
      <w:jc w:val="left"/>
    </w:pPr>
    <w:rPr>
      <w:sz w:val="18"/>
      <w:szCs w:val="18"/>
    </w:rPr>
  </w:style>
  <w:style w:type="paragraph" w:styleId="15">
    <w:name w:val="Balloon Text"/>
    <w:basedOn w:val="1"/>
    <w:link w:val="38"/>
    <w:semiHidden/>
    <w:qFormat/>
    <w:uiPriority w:val="99"/>
    <w:rPr>
      <w:sz w:val="18"/>
      <w:szCs w:val="26"/>
    </w:rPr>
  </w:style>
  <w:style w:type="paragraph" w:styleId="16">
    <w:name w:val="footer"/>
    <w:basedOn w:val="1"/>
    <w:link w:val="34"/>
    <w:qFormat/>
    <w:uiPriority w:val="99"/>
    <w:pPr>
      <w:tabs>
        <w:tab w:val="center" w:pos="4153"/>
        <w:tab w:val="right" w:pos="8306"/>
      </w:tabs>
      <w:snapToGrid w:val="0"/>
      <w:jc w:val="left"/>
    </w:pPr>
    <w:rPr>
      <w:sz w:val="18"/>
      <w:szCs w:val="26"/>
    </w:rPr>
  </w:style>
  <w:style w:type="paragraph" w:styleId="17">
    <w:name w:val="header"/>
    <w:basedOn w:val="1"/>
    <w:link w:val="35"/>
    <w:semiHidden/>
    <w:qFormat/>
    <w:uiPriority w:val="99"/>
    <w:pPr>
      <w:pBdr>
        <w:bottom w:val="single" w:color="auto" w:sz="6" w:space="1"/>
      </w:pBdr>
      <w:tabs>
        <w:tab w:val="center" w:pos="4153"/>
        <w:tab w:val="right" w:pos="8306"/>
      </w:tabs>
      <w:snapToGrid w:val="0"/>
      <w:jc w:val="center"/>
    </w:pPr>
    <w:rPr>
      <w:sz w:val="18"/>
      <w:szCs w:val="26"/>
    </w:rPr>
  </w:style>
  <w:style w:type="paragraph" w:styleId="18">
    <w:name w:val="toc 1"/>
    <w:basedOn w:val="1"/>
    <w:next w:val="1"/>
    <w:qFormat/>
    <w:uiPriority w:val="39"/>
    <w:pPr>
      <w:spacing w:before="120" w:after="120"/>
      <w:jc w:val="left"/>
    </w:pPr>
    <w:rPr>
      <w:b/>
      <w:bCs/>
      <w:caps/>
      <w:sz w:val="20"/>
      <w:szCs w:val="20"/>
    </w:rPr>
  </w:style>
  <w:style w:type="paragraph" w:styleId="19">
    <w:name w:val="toc 4"/>
    <w:basedOn w:val="1"/>
    <w:next w:val="1"/>
    <w:qFormat/>
    <w:uiPriority w:val="39"/>
    <w:pPr>
      <w:ind w:left="630"/>
      <w:jc w:val="left"/>
    </w:pPr>
    <w:rPr>
      <w:sz w:val="18"/>
      <w:szCs w:val="18"/>
    </w:rPr>
  </w:style>
  <w:style w:type="paragraph" w:styleId="20">
    <w:name w:val="toc 6"/>
    <w:basedOn w:val="1"/>
    <w:next w:val="1"/>
    <w:qFormat/>
    <w:uiPriority w:val="99"/>
    <w:pPr>
      <w:ind w:left="1050"/>
      <w:jc w:val="left"/>
    </w:pPr>
    <w:rPr>
      <w:sz w:val="18"/>
      <w:szCs w:val="18"/>
    </w:rPr>
  </w:style>
  <w:style w:type="paragraph" w:styleId="21">
    <w:name w:val="toc 2"/>
    <w:basedOn w:val="1"/>
    <w:next w:val="1"/>
    <w:qFormat/>
    <w:uiPriority w:val="39"/>
    <w:pPr>
      <w:ind w:left="210"/>
      <w:jc w:val="left"/>
    </w:pPr>
    <w:rPr>
      <w:smallCaps/>
      <w:sz w:val="20"/>
      <w:szCs w:val="20"/>
    </w:rPr>
  </w:style>
  <w:style w:type="paragraph" w:styleId="22">
    <w:name w:val="toc 9"/>
    <w:basedOn w:val="1"/>
    <w:next w:val="1"/>
    <w:qFormat/>
    <w:uiPriority w:val="99"/>
    <w:pPr>
      <w:ind w:left="1680"/>
      <w:jc w:val="left"/>
    </w:pPr>
    <w:rPr>
      <w:sz w:val="18"/>
      <w:szCs w:val="18"/>
    </w:rPr>
  </w:style>
  <w:style w:type="paragraph" w:styleId="2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FollowedHyperlink"/>
    <w:semiHidden/>
    <w:qFormat/>
    <w:uiPriority w:val="99"/>
    <w:rPr>
      <w:rFonts w:cs="Times New Roman"/>
      <w:color w:val="954F72"/>
      <w:u w:val="single"/>
    </w:rPr>
  </w:style>
  <w:style w:type="character" w:styleId="28">
    <w:name w:val="Hyperlink"/>
    <w:qFormat/>
    <w:uiPriority w:val="99"/>
    <w:rPr>
      <w:rFonts w:cs="Times New Roman"/>
      <w:color w:val="0000FF"/>
      <w:u w:val="single"/>
    </w:rPr>
  </w:style>
  <w:style w:type="character" w:customStyle="1" w:styleId="29">
    <w:name w:val="标题 1 Char"/>
    <w:link w:val="2"/>
    <w:qFormat/>
    <w:locked/>
    <w:uiPriority w:val="99"/>
    <w:rPr>
      <w:rFonts w:cs="Times New Roman"/>
      <w:b/>
      <w:bCs/>
      <w:kern w:val="44"/>
      <w:sz w:val="64"/>
      <w:szCs w:val="64"/>
    </w:rPr>
  </w:style>
  <w:style w:type="character" w:customStyle="1" w:styleId="30">
    <w:name w:val="标题 2 Char"/>
    <w:link w:val="3"/>
    <w:qFormat/>
    <w:locked/>
    <w:uiPriority w:val="99"/>
    <w:rPr>
      <w:rFonts w:ascii="Cambria" w:hAnsi="Cambria" w:eastAsia="黑体" w:cs="Microsoft Himalaya"/>
      <w:b/>
      <w:bCs/>
      <w:sz w:val="46"/>
      <w:szCs w:val="46"/>
    </w:rPr>
  </w:style>
  <w:style w:type="character" w:customStyle="1" w:styleId="31">
    <w:name w:val="标题 3 Char"/>
    <w:link w:val="4"/>
    <w:qFormat/>
    <w:locked/>
    <w:uiPriority w:val="99"/>
    <w:rPr>
      <w:rFonts w:eastAsia="楷体_GB2312" w:cs="Times New Roman"/>
      <w:b/>
      <w:bCs/>
      <w:sz w:val="46"/>
      <w:szCs w:val="46"/>
    </w:rPr>
  </w:style>
  <w:style w:type="character" w:customStyle="1" w:styleId="32">
    <w:name w:val="标题 4 Char"/>
    <w:link w:val="5"/>
    <w:qFormat/>
    <w:locked/>
    <w:uiPriority w:val="99"/>
    <w:rPr>
      <w:rFonts w:ascii="Cambria" w:hAnsi="Cambria" w:eastAsia="仿宋_GB2312" w:cs="Microsoft Himalaya"/>
      <w:b/>
      <w:bCs/>
      <w:sz w:val="40"/>
      <w:szCs w:val="40"/>
    </w:rPr>
  </w:style>
  <w:style w:type="character" w:customStyle="1" w:styleId="33">
    <w:name w:val="纯文本 Char"/>
    <w:link w:val="13"/>
    <w:qFormat/>
    <w:locked/>
    <w:uiPriority w:val="99"/>
    <w:rPr>
      <w:rFonts w:ascii="宋体" w:hAnsi="Courier New"/>
    </w:rPr>
  </w:style>
  <w:style w:type="character" w:customStyle="1" w:styleId="34">
    <w:name w:val="页脚 Char"/>
    <w:link w:val="16"/>
    <w:qFormat/>
    <w:locked/>
    <w:uiPriority w:val="99"/>
    <w:rPr>
      <w:rFonts w:cs="Times New Roman"/>
      <w:sz w:val="26"/>
      <w:szCs w:val="26"/>
    </w:rPr>
  </w:style>
  <w:style w:type="character" w:customStyle="1" w:styleId="35">
    <w:name w:val="页眉 Char"/>
    <w:link w:val="17"/>
    <w:semiHidden/>
    <w:qFormat/>
    <w:locked/>
    <w:uiPriority w:val="99"/>
    <w:rPr>
      <w:rFonts w:cs="Times New Roman"/>
      <w:sz w:val="26"/>
      <w:szCs w:val="26"/>
    </w:rPr>
  </w:style>
  <w:style w:type="character" w:customStyle="1" w:styleId="36">
    <w:name w:val="纯文本 Char1"/>
    <w:link w:val="37"/>
    <w:qFormat/>
    <w:locked/>
    <w:uiPriority w:val="99"/>
    <w:rPr>
      <w:rFonts w:ascii="宋体" w:hAnsi="Courier New" w:eastAsia="宋体" w:cs="Courier New"/>
      <w:sz w:val="30"/>
      <w:szCs w:val="30"/>
    </w:rPr>
  </w:style>
  <w:style w:type="paragraph" w:customStyle="1" w:styleId="37">
    <w:name w:val="纯文本1"/>
    <w:basedOn w:val="1"/>
    <w:link w:val="36"/>
    <w:qFormat/>
    <w:uiPriority w:val="99"/>
    <w:rPr>
      <w:rFonts w:ascii="宋体" w:hAnsi="Courier New" w:cs="Courier New"/>
      <w:szCs w:val="30"/>
    </w:rPr>
  </w:style>
  <w:style w:type="character" w:customStyle="1" w:styleId="38">
    <w:name w:val="批注框文本 Char"/>
    <w:link w:val="15"/>
    <w:semiHidden/>
    <w:qFormat/>
    <w:locked/>
    <w:uiPriority w:val="99"/>
    <w:rPr>
      <w:rFonts w:cs="Times New Roman"/>
      <w:kern w:val="2"/>
      <w:sz w:val="26"/>
      <w:szCs w:val="26"/>
    </w:rPr>
  </w:style>
  <w:style w:type="character" w:customStyle="1" w:styleId="39">
    <w:name w:val="Body Text Indent Char"/>
    <w:qFormat/>
    <w:locked/>
    <w:uiPriority w:val="99"/>
    <w:rPr>
      <w:rFonts w:ascii="宋体" w:hAnsi="Courier New" w:eastAsia="宋体"/>
      <w:spacing w:val="-4"/>
      <w:kern w:val="2"/>
      <w:sz w:val="18"/>
    </w:rPr>
  </w:style>
  <w:style w:type="character" w:customStyle="1" w:styleId="40">
    <w:name w:val="Body Text Indent Char1"/>
    <w:semiHidden/>
    <w:qFormat/>
    <w:uiPriority w:val="99"/>
    <w:rPr>
      <w:szCs w:val="32"/>
      <w:lang w:bidi="bo-CN"/>
    </w:rPr>
  </w:style>
  <w:style w:type="character" w:customStyle="1" w:styleId="41">
    <w:name w:val="正文文本缩进 Char"/>
    <w:link w:val="10"/>
    <w:semiHidden/>
    <w:qFormat/>
    <w:locked/>
    <w:uiPriority w:val="99"/>
    <w:rPr>
      <w:rFonts w:cs="Times New Roman"/>
      <w:kern w:val="2"/>
      <w:sz w:val="32"/>
      <w:szCs w:val="32"/>
    </w:rPr>
  </w:style>
  <w:style w:type="paragraph" w:styleId="42">
    <w:name w:val="List Paragraph"/>
    <w:basedOn w:val="1"/>
    <w:qFormat/>
    <w:uiPriority w:val="99"/>
    <w:pPr>
      <w:ind w:firstLine="420" w:firstLineChars="200"/>
    </w:pPr>
    <w:rPr>
      <w:rFonts w:cs="Times New Roman"/>
      <w:szCs w:val="22"/>
      <w:lang w:bidi="ar-SA"/>
    </w:rPr>
  </w:style>
  <w:style w:type="paragraph" w:customStyle="1" w:styleId="43">
    <w:name w:val="纯文本2"/>
    <w:basedOn w:val="1"/>
    <w:qFormat/>
    <w:uiPriority w:val="99"/>
    <w:rPr>
      <w:rFonts w:ascii="宋体" w:hAnsi="Courier New" w:cs="Arial Unicode MS"/>
      <w:kern w:val="0"/>
      <w:sz w:val="20"/>
      <w:szCs w:val="20"/>
    </w:rPr>
  </w:style>
  <w:style w:type="paragraph" w:customStyle="1" w:styleId="44">
    <w:name w:val="Table Paragraph"/>
    <w:basedOn w:val="1"/>
    <w:qFormat/>
    <w:uiPriority w:val="99"/>
    <w:pPr>
      <w:jc w:val="left"/>
    </w:pPr>
    <w:rPr>
      <w:rFonts w:ascii="宋体" w:hAnsi="宋体" w:cs="宋体"/>
      <w:kern w:val="0"/>
      <w:sz w:val="22"/>
      <w:lang w:eastAsia="en-US"/>
    </w:rPr>
  </w:style>
  <w:style w:type="paragraph" w:customStyle="1" w:styleId="45">
    <w:name w:val="正文1"/>
    <w:basedOn w:val="1"/>
    <w:qFormat/>
    <w:uiPriority w:val="99"/>
    <w:pPr>
      <w:spacing w:line="480" w:lineRule="exact"/>
      <w:ind w:firstLine="480" w:firstLineChars="200"/>
    </w:pPr>
    <w:rPr>
      <w:rFonts w:ascii="宋体" w:hAnsi="Tahoma" w:cs="Times New Roman"/>
      <w:sz w:val="24"/>
      <w:szCs w:val="28"/>
      <w:lang w:bidi="ar-SA"/>
    </w:rPr>
  </w:style>
  <w:style w:type="paragraph" w:customStyle="1" w:styleId="46">
    <w:name w:val="font5"/>
    <w:basedOn w:val="1"/>
    <w:qFormat/>
    <w:uiPriority w:val="99"/>
    <w:pPr>
      <w:widowControl/>
      <w:spacing w:before="100" w:beforeAutospacing="1" w:after="100" w:afterAutospacing="1"/>
      <w:jc w:val="left"/>
    </w:pPr>
    <w:rPr>
      <w:rFonts w:ascii="等线" w:hAnsi="宋体" w:eastAsia="等线" w:cs="宋体"/>
      <w:kern w:val="0"/>
      <w:sz w:val="18"/>
      <w:szCs w:val="18"/>
    </w:rPr>
  </w:style>
  <w:style w:type="paragraph" w:customStyle="1" w:styleId="47">
    <w:name w:val="xl73"/>
    <w:basedOn w:val="1"/>
    <w:qFormat/>
    <w:uiPriority w:val="99"/>
    <w:pPr>
      <w:widowControl/>
      <w:spacing w:before="100" w:beforeAutospacing="1" w:after="100" w:afterAutospacing="1"/>
      <w:jc w:val="left"/>
    </w:pPr>
    <w:rPr>
      <w:rFonts w:ascii="仿宋" w:hAnsi="仿宋" w:eastAsia="仿宋" w:cs="宋体"/>
      <w:b/>
      <w:bCs/>
      <w:kern w:val="0"/>
      <w:sz w:val="16"/>
      <w:szCs w:val="16"/>
    </w:rPr>
  </w:style>
  <w:style w:type="paragraph" w:customStyle="1" w:styleId="48">
    <w:name w:val="xl74"/>
    <w:basedOn w:val="1"/>
    <w:qFormat/>
    <w:uiPriority w:val="99"/>
    <w:pPr>
      <w:widowControl/>
      <w:spacing w:before="100" w:beforeAutospacing="1" w:after="100" w:afterAutospacing="1"/>
      <w:jc w:val="center"/>
    </w:pPr>
    <w:rPr>
      <w:rFonts w:ascii="仿宋" w:hAnsi="仿宋" w:eastAsia="仿宋" w:cs="宋体"/>
      <w:kern w:val="0"/>
      <w:sz w:val="16"/>
      <w:szCs w:val="16"/>
    </w:rPr>
  </w:style>
  <w:style w:type="paragraph" w:customStyle="1" w:styleId="49">
    <w:name w:val="xl75"/>
    <w:basedOn w:val="1"/>
    <w:qFormat/>
    <w:uiPriority w:val="99"/>
    <w:pPr>
      <w:widowControl/>
      <w:spacing w:before="100" w:beforeAutospacing="1" w:after="100" w:afterAutospacing="1"/>
      <w:jc w:val="center"/>
    </w:pPr>
    <w:rPr>
      <w:rFonts w:ascii="仿宋" w:hAnsi="仿宋" w:eastAsia="仿宋" w:cs="宋体"/>
      <w:kern w:val="0"/>
      <w:sz w:val="16"/>
      <w:szCs w:val="16"/>
    </w:rPr>
  </w:style>
  <w:style w:type="paragraph" w:customStyle="1" w:styleId="50">
    <w:name w:val="xl76"/>
    <w:basedOn w:val="1"/>
    <w:qFormat/>
    <w:uiPriority w:val="99"/>
    <w:pPr>
      <w:widowControl/>
      <w:spacing w:before="100" w:beforeAutospacing="1" w:after="100" w:afterAutospacing="1"/>
      <w:jc w:val="left"/>
    </w:pPr>
    <w:rPr>
      <w:rFonts w:ascii="仿宋" w:hAnsi="仿宋" w:eastAsia="仿宋" w:cs="宋体"/>
      <w:kern w:val="0"/>
      <w:sz w:val="16"/>
      <w:szCs w:val="16"/>
    </w:rPr>
  </w:style>
  <w:style w:type="paragraph" w:customStyle="1" w:styleId="5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52">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53">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b/>
      <w:bCs/>
      <w:kern w:val="0"/>
      <w:sz w:val="16"/>
      <w:szCs w:val="16"/>
    </w:rPr>
  </w:style>
  <w:style w:type="paragraph" w:customStyle="1" w:styleId="5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b/>
      <w:bCs/>
      <w:kern w:val="0"/>
      <w:sz w:val="16"/>
      <w:szCs w:val="16"/>
    </w:rPr>
  </w:style>
  <w:style w:type="paragraph" w:customStyle="1" w:styleId="55">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16"/>
      <w:szCs w:val="16"/>
    </w:rPr>
  </w:style>
  <w:style w:type="paragraph" w:customStyle="1" w:styleId="5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6"/>
      <w:szCs w:val="16"/>
    </w:rPr>
  </w:style>
  <w:style w:type="paragraph" w:customStyle="1" w:styleId="57">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5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5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b/>
      <w:bCs/>
      <w:kern w:val="0"/>
      <w:sz w:val="16"/>
      <w:szCs w:val="16"/>
    </w:rPr>
  </w:style>
  <w:style w:type="paragraph" w:customStyle="1" w:styleId="60">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6"/>
      <w:szCs w:val="16"/>
    </w:rPr>
  </w:style>
  <w:style w:type="paragraph" w:customStyle="1" w:styleId="6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62">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63">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64">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6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i/>
      <w:iCs/>
      <w:kern w:val="0"/>
      <w:sz w:val="16"/>
      <w:szCs w:val="16"/>
    </w:rPr>
  </w:style>
  <w:style w:type="paragraph" w:customStyle="1" w:styleId="66">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6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6"/>
      <w:szCs w:val="16"/>
    </w:rPr>
  </w:style>
  <w:style w:type="paragraph" w:customStyle="1" w:styleId="68">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6"/>
      <w:szCs w:val="16"/>
    </w:rPr>
  </w:style>
  <w:style w:type="paragraph" w:customStyle="1" w:styleId="6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70">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71">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72">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73">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74">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7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76">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77">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6"/>
      <w:szCs w:val="16"/>
    </w:rPr>
  </w:style>
  <w:style w:type="paragraph" w:customStyle="1" w:styleId="78">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79">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80">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16"/>
      <w:szCs w:val="16"/>
    </w:rPr>
  </w:style>
  <w:style w:type="paragraph" w:customStyle="1" w:styleId="81">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8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83">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8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 w:hAnsi="仿宋" w:eastAsia="仿宋" w:cs="宋体"/>
      <w:b/>
      <w:bCs/>
      <w:kern w:val="0"/>
      <w:sz w:val="16"/>
      <w:szCs w:val="16"/>
    </w:rPr>
  </w:style>
  <w:style w:type="paragraph" w:customStyle="1" w:styleId="8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6"/>
      <w:szCs w:val="16"/>
    </w:rPr>
  </w:style>
  <w:style w:type="paragraph" w:customStyle="1" w:styleId="86">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8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88">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89">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9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91">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16"/>
      <w:szCs w:val="16"/>
    </w:rPr>
  </w:style>
  <w:style w:type="paragraph" w:customStyle="1" w:styleId="92">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93">
    <w:name w:val="xl119"/>
    <w:basedOn w:val="1"/>
    <w:qFormat/>
    <w:uiPriority w:val="99"/>
    <w:pPr>
      <w:widowControl/>
      <w:spacing w:before="100" w:beforeAutospacing="1" w:after="100" w:afterAutospacing="1"/>
      <w:jc w:val="center"/>
    </w:pPr>
    <w:rPr>
      <w:rFonts w:ascii="仿宋" w:hAnsi="仿宋" w:eastAsia="仿宋" w:cs="宋体"/>
      <w:kern w:val="0"/>
      <w:sz w:val="16"/>
      <w:szCs w:val="16"/>
    </w:rPr>
  </w:style>
  <w:style w:type="paragraph" w:customStyle="1" w:styleId="94">
    <w:name w:val="方案-二级"/>
    <w:basedOn w:val="1"/>
    <w:next w:val="1"/>
    <w:link w:val="95"/>
    <w:qFormat/>
    <w:uiPriority w:val="99"/>
    <w:pPr>
      <w:keepNext/>
      <w:keepLines/>
      <w:spacing w:before="340" w:after="330" w:line="360" w:lineRule="auto"/>
      <w:outlineLvl w:val="0"/>
    </w:pPr>
    <w:rPr>
      <w:rFonts w:eastAsia="黑体"/>
      <w:b/>
      <w:bCs/>
      <w:kern w:val="44"/>
      <w:sz w:val="30"/>
      <w:szCs w:val="44"/>
      <w:lang w:bidi="ar-SA"/>
    </w:rPr>
  </w:style>
  <w:style w:type="character" w:customStyle="1" w:styleId="95">
    <w:name w:val="方案-二级 字符"/>
    <w:link w:val="94"/>
    <w:qFormat/>
    <w:locked/>
    <w:uiPriority w:val="99"/>
    <w:rPr>
      <w:rFonts w:ascii="Calibri" w:hAnsi="Calibri" w:eastAsia="黑体" w:cs="Microsoft Himalaya"/>
      <w:b/>
      <w:bCs/>
      <w:kern w:val="44"/>
      <w:sz w:val="44"/>
      <w:szCs w:val="44"/>
      <w:lang w:val="en-US" w:eastAsia="zh-CN" w:bidi="ar-SA"/>
    </w:rPr>
  </w:style>
  <w:style w:type="character" w:customStyle="1" w:styleId="96">
    <w:name w:val="item-name"/>
    <w:qFormat/>
    <w:uiPriority w:val="99"/>
    <w:rPr>
      <w:rFonts w:cs="Times New Roman"/>
    </w:rPr>
  </w:style>
  <w:style w:type="character" w:customStyle="1" w:styleId="97">
    <w:name w:val="item-name1"/>
    <w:qFormat/>
    <w:uiPriority w:val="99"/>
    <w:rPr>
      <w:rFonts w:cs="Times New Roman"/>
    </w:rPr>
  </w:style>
  <w:style w:type="character" w:customStyle="1" w:styleId="98">
    <w:name w:val="item-name2"/>
    <w:qFormat/>
    <w:uiPriority w:val="99"/>
    <w:rPr>
      <w:rFonts w:ascii="宋体" w:hAnsi="宋体" w:eastAsia="宋体" w:cs="宋体"/>
      <w:color w:val="438BD3"/>
      <w:sz w:val="18"/>
      <w:szCs w:val="18"/>
      <w:u w:val="none"/>
    </w:rPr>
  </w:style>
  <w:style w:type="paragraph" w:customStyle="1" w:styleId="99">
    <w:name w:val="Body text|1"/>
    <w:basedOn w:val="1"/>
    <w:qFormat/>
    <w:uiPriority w:val="0"/>
    <w:pPr>
      <w:spacing w:line="434" w:lineRule="auto"/>
      <w:ind w:firstLine="400"/>
    </w:pPr>
    <w:rPr>
      <w:rFonts w:ascii="宋体" w:hAnsi="宋体" w:eastAsia="宋体" w:cs="宋体"/>
      <w:sz w:val="20"/>
      <w:szCs w:val="20"/>
      <w:lang w:val="zh-TW" w:eastAsia="zh-TW" w:bidi="zh-TW"/>
    </w:rPr>
  </w:style>
  <w:style w:type="paragraph" w:customStyle="1" w:styleId="100">
    <w:name w:val="Other|1"/>
    <w:basedOn w:val="1"/>
    <w:qFormat/>
    <w:uiPriority w:val="0"/>
    <w:rPr>
      <w:rFonts w:ascii="宋体" w:hAnsi="宋体" w:eastAsia="宋体" w:cs="宋体"/>
      <w:sz w:val="20"/>
      <w:szCs w:val="20"/>
      <w:lang w:val="zh-TW" w:eastAsia="zh-TW" w:bidi="zh-TW"/>
    </w:rPr>
  </w:style>
  <w:style w:type="paragraph" w:customStyle="1" w:styleId="101">
    <w:name w:val="Body text|2"/>
    <w:basedOn w:val="1"/>
    <w:qFormat/>
    <w:uiPriority w:val="0"/>
    <w:rPr>
      <w:rFonts w:ascii="宋体" w:hAnsi="宋体" w:eastAsia="宋体" w:cs="宋体"/>
      <w:b/>
      <w:bCs/>
      <w:lang w:val="zh-TW" w:eastAsia="zh-TW" w:bidi="zh-TW"/>
    </w:rPr>
  </w:style>
  <w:style w:type="paragraph" w:customStyle="1" w:styleId="102">
    <w:name w:val="Header or footer|1"/>
    <w:basedOn w:val="1"/>
    <w:qFormat/>
    <w:uiPriority w:val="0"/>
    <w:rPr>
      <w:sz w:val="18"/>
      <w:szCs w:val="18"/>
      <w:lang w:val="zh-TW" w:eastAsia="zh-TW" w:bidi="zh-TW"/>
    </w:rPr>
  </w:style>
  <w:style w:type="character" w:customStyle="1" w:styleId="103">
    <w:name w:val="prev"/>
    <w:basedOn w:val="26"/>
    <w:qFormat/>
    <w:uiPriority w:val="0"/>
    <w:rPr>
      <w:rFonts w:ascii="微软雅黑" w:hAnsi="微软雅黑" w:eastAsia="微软雅黑" w:cs="微软雅黑"/>
      <w:sz w:val="21"/>
      <w:szCs w:val="21"/>
    </w:rPr>
  </w:style>
  <w:style w:type="character" w:customStyle="1" w:styleId="104">
    <w:name w:val="prev1"/>
    <w:basedOn w:val="26"/>
    <w:qFormat/>
    <w:uiPriority w:val="0"/>
    <w:rPr>
      <w:color w:val="888888"/>
    </w:rPr>
  </w:style>
  <w:style w:type="character" w:customStyle="1" w:styleId="105">
    <w:name w:val="gjfg"/>
    <w:basedOn w:val="26"/>
    <w:qFormat/>
    <w:uiPriority w:val="0"/>
    <w:rPr>
      <w:color w:val="BA2636"/>
      <w:u w:val="single"/>
    </w:rPr>
  </w:style>
  <w:style w:type="character" w:customStyle="1" w:styleId="106">
    <w:name w:val="cfdate"/>
    <w:basedOn w:val="26"/>
    <w:qFormat/>
    <w:uiPriority w:val="0"/>
    <w:rPr>
      <w:color w:val="333333"/>
      <w:sz w:val="18"/>
      <w:szCs w:val="18"/>
    </w:rPr>
  </w:style>
  <w:style w:type="character" w:customStyle="1" w:styleId="107">
    <w:name w:val="redfilefwwh"/>
    <w:basedOn w:val="26"/>
    <w:qFormat/>
    <w:uiPriority w:val="0"/>
    <w:rPr>
      <w:color w:val="BA2636"/>
      <w:sz w:val="18"/>
      <w:szCs w:val="18"/>
    </w:rPr>
  </w:style>
  <w:style w:type="character" w:customStyle="1" w:styleId="108">
    <w:name w:val="qxdate"/>
    <w:basedOn w:val="26"/>
    <w:qFormat/>
    <w:uiPriority w:val="0"/>
    <w:rPr>
      <w:color w:val="333333"/>
      <w:sz w:val="18"/>
      <w:szCs w:val="18"/>
    </w:rPr>
  </w:style>
  <w:style w:type="character" w:customStyle="1" w:styleId="109">
    <w:name w:val="displayarti"/>
    <w:basedOn w:val="26"/>
    <w:qFormat/>
    <w:uiPriority w:val="0"/>
    <w:rPr>
      <w:color w:val="FFFFFF"/>
      <w:shd w:val="clear" w:fill="A00000"/>
    </w:rPr>
  </w:style>
  <w:style w:type="character" w:customStyle="1" w:styleId="110">
    <w:name w:val="redfilenumber"/>
    <w:basedOn w:val="26"/>
    <w:qFormat/>
    <w:uiPriority w:val="0"/>
    <w:rPr>
      <w:color w:val="BA2636"/>
      <w:sz w:val="18"/>
      <w:szCs w:val="18"/>
    </w:rPr>
  </w:style>
  <w:style w:type="character" w:customStyle="1" w:styleId="111">
    <w:name w:val="next2"/>
    <w:basedOn w:val="26"/>
    <w:qFormat/>
    <w:uiPriority w:val="0"/>
    <w:rPr>
      <w:rFonts w:hint="eastAsia" w:ascii="微软雅黑" w:hAnsi="微软雅黑" w:eastAsia="微软雅黑" w:cs="微软雅黑"/>
      <w:sz w:val="21"/>
      <w:szCs w:val="21"/>
    </w:rPr>
  </w:style>
  <w:style w:type="character" w:customStyle="1" w:styleId="112">
    <w:name w:val="next3"/>
    <w:basedOn w:val="26"/>
    <w:qFormat/>
    <w:uiPriority w:val="0"/>
    <w:rPr>
      <w:color w:val="888888"/>
    </w:rPr>
  </w:style>
  <w:style w:type="character" w:customStyle="1" w:styleId="113">
    <w:name w:val="prev2"/>
    <w:basedOn w:val="26"/>
    <w:qFormat/>
    <w:uiPriority w:val="0"/>
    <w:rPr>
      <w:rFonts w:hint="eastAsia" w:ascii="微软雅黑" w:hAnsi="微软雅黑" w:eastAsia="微软雅黑" w:cs="微软雅黑"/>
      <w:sz w:val="21"/>
      <w:szCs w:val="21"/>
    </w:rPr>
  </w:style>
  <w:style w:type="character" w:customStyle="1" w:styleId="114">
    <w:name w:val="prev3"/>
    <w:basedOn w:val="26"/>
    <w:qFormat/>
    <w:uiPriority w:val="0"/>
    <w:rPr>
      <w:color w:val="888888"/>
    </w:rPr>
  </w:style>
  <w:style w:type="character" w:customStyle="1" w:styleId="115">
    <w:name w:val="next"/>
    <w:basedOn w:val="26"/>
    <w:qFormat/>
    <w:uiPriority w:val="0"/>
    <w:rPr>
      <w:rFonts w:hint="eastAsia" w:ascii="微软雅黑" w:hAnsi="微软雅黑" w:eastAsia="微软雅黑" w:cs="微软雅黑"/>
      <w:sz w:val="21"/>
      <w:szCs w:val="21"/>
    </w:rPr>
  </w:style>
  <w:style w:type="character" w:customStyle="1" w:styleId="116">
    <w:name w:val="next1"/>
    <w:basedOn w:val="26"/>
    <w:qFormat/>
    <w:uiPriority w:val="0"/>
    <w:rPr>
      <w:color w:val="888888"/>
    </w:rPr>
  </w:style>
  <w:style w:type="paragraph" w:customStyle="1" w:styleId="11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8">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119">
    <w:name w:val="正文缩进6格"/>
    <w:basedOn w:val="120"/>
    <w:qFormat/>
    <w:uiPriority w:val="0"/>
    <w:pPr>
      <w:ind w:left="1758" w:leftChars="854"/>
    </w:pPr>
  </w:style>
  <w:style w:type="paragraph" w:customStyle="1" w:styleId="120">
    <w:name w:val="正文缩进4格"/>
    <w:basedOn w:val="118"/>
    <w:qFormat/>
    <w:uiPriority w:val="0"/>
    <w:pPr>
      <w:spacing w:line="420" w:lineRule="atLeast"/>
      <w:ind w:firstLine="420" w:firstLineChars="0"/>
    </w:pPr>
    <w:rPr>
      <w:rFonts w:ascii="宋体" w:eastAsia="宋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74</Pages>
  <Words>37089</Words>
  <Characters>39379</Characters>
  <Lines>60</Lines>
  <Paragraphs>61</Paragraphs>
  <TotalTime>21</TotalTime>
  <ScaleCrop>false</ScaleCrop>
  <LinksUpToDate>false</LinksUpToDate>
  <CharactersWithSpaces>40763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2021-06-18T11:55:00Z</dcterms:created>
  <dc:creator>政府采购中心</dc:creator>
  <cp:lastModifiedBy>河北中机西藏分公司</cp:lastModifiedBy>
  <cp:lastPrinted>2022-05-23T16:23:00Z</cp:lastPrinted>
  <dcterms:modified xsi:type="dcterms:W3CDTF">2022-06-10T11:53:21Z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88DA60B9573646B69EAE3502D1174E8A</vt:lpwstr>
  </property>
</Properties>
</file>