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647"/>
        </w:tabs>
        <w:spacing w:line="360" w:lineRule="auto"/>
        <w:ind w:right="55" w:firstLine="640" w:firstLineChars="200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西乡街道网格综合管理中心采购2022年工作制服一批中标公告</w:t>
      </w:r>
    </w:p>
    <w:p>
      <w:pPr>
        <w:tabs>
          <w:tab w:val="right" w:pos="8647"/>
        </w:tabs>
        <w:spacing w:line="360" w:lineRule="auto"/>
        <w:ind w:right="55" w:firstLine="562" w:firstLineChars="200"/>
        <w:jc w:val="both"/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</w:pPr>
    </w:p>
    <w:p>
      <w:pPr>
        <w:tabs>
          <w:tab w:val="right" w:pos="8647"/>
        </w:tabs>
        <w:spacing w:line="360" w:lineRule="auto"/>
        <w:ind w:right="55" w:firstLine="560" w:firstLineChars="200"/>
        <w:jc w:val="both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广州高新工程顾问有限公司受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深圳市宝安区西乡街道网格综合管理中心</w:t>
      </w:r>
      <w:r>
        <w:rPr>
          <w:rFonts w:hint="eastAsia" w:ascii="宋体" w:hAnsi="宋体" w:eastAsia="宋体" w:cs="宋体"/>
          <w:kern w:val="0"/>
          <w:sz w:val="28"/>
          <w:szCs w:val="28"/>
        </w:rPr>
        <w:t>的委托，就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西乡街道网格综合管理中心采购2022年工作制服一批</w:t>
      </w:r>
      <w:r>
        <w:rPr>
          <w:rFonts w:hint="eastAsia" w:ascii="宋体" w:hAnsi="宋体" w:eastAsia="宋体" w:cs="宋体"/>
          <w:kern w:val="0"/>
          <w:sz w:val="28"/>
          <w:szCs w:val="28"/>
        </w:rPr>
        <w:t>(项目编号：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GXZX-20220408BAGK</w:t>
      </w:r>
      <w:r>
        <w:rPr>
          <w:rFonts w:hint="eastAsia" w:ascii="宋体" w:hAnsi="宋体" w:eastAsia="宋体" w:cs="宋体"/>
          <w:kern w:val="0"/>
          <w:sz w:val="28"/>
          <w:szCs w:val="28"/>
        </w:rPr>
        <w:t>）进行公开招标，现已完成评审。本项目实行“评标和定标实行分离制度”，评标方法采用“综合评分法”，定标方法采用“自定法”。经采购人确定，现将项目评审的相关情况及结果公示如下：</w:t>
      </w:r>
    </w:p>
    <w:p>
      <w:pPr>
        <w:widowControl/>
        <w:adjustRightInd w:val="0"/>
        <w:snapToGrid w:val="0"/>
        <w:spacing w:before="100" w:beforeAutospacing="1" w:afterAutospacing="1" w:line="360" w:lineRule="auto"/>
        <w:ind w:firstLine="560" w:firstLineChars="200"/>
        <w:jc w:val="both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一、投标供应商及其报价</w:t>
      </w:r>
      <w:bookmarkStart w:id="0" w:name="_GoBack"/>
      <w:bookmarkEnd w:id="0"/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049"/>
        <w:gridCol w:w="1049"/>
        <w:gridCol w:w="468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shd w:val="clear" w:color="auto" w:fill="C7DAF1" w:themeFill="text2" w:themeFillTint="32"/>
          </w:tcPr>
          <w:p>
            <w:pPr>
              <w:widowControl/>
              <w:adjustRightInd w:val="0"/>
              <w:snapToGrid w:val="0"/>
              <w:spacing w:line="2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包号</w:t>
            </w:r>
          </w:p>
        </w:tc>
        <w:tc>
          <w:tcPr>
            <w:tcW w:w="1049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2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4685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25" w:lineRule="atLeast"/>
              <w:ind w:firstLine="420" w:firstLineChars="2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投标供应商</w:t>
            </w:r>
          </w:p>
        </w:tc>
        <w:tc>
          <w:tcPr>
            <w:tcW w:w="1717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2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报价(元)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1" w:hRule="atLeast"/>
          <w:jc w:val="center"/>
        </w:trPr>
        <w:tc>
          <w:tcPr>
            <w:tcW w:w="10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6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深圳市比牌服装有限公司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758870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6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深圳市百思特实业有限公司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790060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6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深圳市馨仪玥实业有限公司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657850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深圳市盛裕服饰有限公司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780130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深圳市东方龙服饰有限公司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758830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</w:tr>
    </w:tbl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投标供应商资格性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/符合性</w:t>
      </w:r>
      <w:r>
        <w:rPr>
          <w:rFonts w:ascii="宋体" w:hAnsi="宋体" w:eastAsia="宋体" w:cs="宋体"/>
          <w:kern w:val="0"/>
          <w:sz w:val="28"/>
          <w:szCs w:val="28"/>
        </w:rPr>
        <w:t>审查情况</w:t>
      </w:r>
    </w:p>
    <w:tbl>
      <w:tblPr>
        <w:tblStyle w:val="6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049"/>
        <w:gridCol w:w="1049"/>
        <w:gridCol w:w="3356"/>
        <w:gridCol w:w="1479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shd w:val="clear" w:color="auto" w:fill="C7DAF1" w:themeFill="text2" w:themeFillTint="32"/>
          </w:tcPr>
          <w:p>
            <w:pPr>
              <w:widowControl/>
              <w:adjustRightInd w:val="0"/>
              <w:snapToGrid w:val="0"/>
              <w:spacing w:line="2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包号</w:t>
            </w:r>
          </w:p>
        </w:tc>
        <w:tc>
          <w:tcPr>
            <w:tcW w:w="1049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2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356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25" w:lineRule="atLeast"/>
              <w:ind w:firstLine="420" w:firstLineChars="2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投标供应商</w:t>
            </w:r>
          </w:p>
        </w:tc>
        <w:tc>
          <w:tcPr>
            <w:tcW w:w="1479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资格性审查情况</w:t>
            </w:r>
          </w:p>
        </w:tc>
        <w:tc>
          <w:tcPr>
            <w:tcW w:w="1576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性审查情况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1" w:hRule="atLeast"/>
          <w:jc w:val="center"/>
        </w:trPr>
        <w:tc>
          <w:tcPr>
            <w:tcW w:w="10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深圳市比牌服装有限公司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深圳市百思特实业有限公司</w:t>
            </w:r>
          </w:p>
        </w:tc>
        <w:tc>
          <w:tcPr>
            <w:tcW w:w="1479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76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深圳市馨仪玥实业有限公司</w:t>
            </w:r>
          </w:p>
        </w:tc>
        <w:tc>
          <w:tcPr>
            <w:tcW w:w="1479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76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深圳市盛裕服饰有限公司</w:t>
            </w:r>
          </w:p>
        </w:tc>
        <w:tc>
          <w:tcPr>
            <w:tcW w:w="1479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76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4" w:hRule="atLeast"/>
          <w:jc w:val="center"/>
        </w:trPr>
        <w:tc>
          <w:tcPr>
            <w:tcW w:w="1049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深圳市东方龙服饰有限公司</w:t>
            </w:r>
          </w:p>
        </w:tc>
        <w:tc>
          <w:tcPr>
            <w:tcW w:w="1479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576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pStyle w:val="2"/>
        <w:numPr>
          <w:numId w:val="0"/>
        </w:numPr>
      </w:pPr>
    </w:p>
    <w:p>
      <w:pPr>
        <w:widowControl/>
        <w:adjustRightInd w:val="0"/>
        <w:snapToGrid w:val="0"/>
        <w:spacing w:before="100" w:beforeAutospacing="1" w:afterAutospacing="1" w:line="360" w:lineRule="auto"/>
        <w:ind w:firstLine="42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如需查询各投标供应商资格文件，请到我司查询。</w:t>
      </w:r>
    </w:p>
    <w:p>
      <w:pPr>
        <w:widowControl/>
        <w:adjustRightInd w:val="0"/>
        <w:snapToGrid w:val="0"/>
        <w:spacing w:before="100" w:beforeAutospacing="1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三、候选中标（成交）供应商</w:t>
      </w:r>
    </w:p>
    <w:tbl>
      <w:tblPr>
        <w:tblStyle w:val="6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040"/>
        <w:gridCol w:w="1040"/>
        <w:gridCol w:w="6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92" w:hRule="atLeast"/>
          <w:jc w:val="center"/>
        </w:trPr>
        <w:tc>
          <w:tcPr>
            <w:tcW w:w="1040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包号</w:t>
            </w:r>
          </w:p>
        </w:tc>
        <w:tc>
          <w:tcPr>
            <w:tcW w:w="1040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346" w:type="dxa"/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候选中标（成交）供应商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0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3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深圳市东方龙服饰有限公司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3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深圳市比牌服装有限公司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3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深圳市百思特实业有限公司</w:t>
            </w:r>
          </w:p>
        </w:tc>
      </w:tr>
    </w:tbl>
    <w:p>
      <w:pPr>
        <w:widowControl/>
        <w:adjustRightInd w:val="0"/>
        <w:snapToGrid w:val="0"/>
        <w:spacing w:before="100" w:beforeAutospacing="1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四、中标（成交）供应商</w:t>
      </w:r>
    </w:p>
    <w:tbl>
      <w:tblPr>
        <w:tblStyle w:val="6"/>
        <w:tblW w:w="8426" w:type="dxa"/>
        <w:jc w:val="center"/>
        <w:tblBorders>
          <w:top w:val="outset" w:color="AAAAAA" w:sz="6" w:space="0"/>
          <w:left w:val="outset" w:color="AAAAAA" w:sz="6" w:space="0"/>
          <w:bottom w:val="outset" w:color="AAAAAA" w:sz="6" w:space="0"/>
          <w:right w:val="outset" w:color="AAAAAA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037"/>
        <w:gridCol w:w="2465"/>
        <w:gridCol w:w="2654"/>
        <w:gridCol w:w="2270"/>
      </w:tblGrid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4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包号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中标（成交）供应商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中标金额（元）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44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深圳市百思特实业有限公司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 深圳市龙岗区布吉街道木棉湾社区育苗路6号木棉湾金谷园309 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790060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</w:tr>
    </w:tbl>
    <w:p>
      <w:pPr>
        <w:widowControl/>
        <w:adjustRightInd w:val="0"/>
        <w:snapToGrid w:val="0"/>
        <w:spacing w:before="100" w:beforeAutospacing="1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五、中标标的情况  </w:t>
      </w:r>
    </w:p>
    <w:tbl>
      <w:tblPr>
        <w:tblStyle w:val="6"/>
        <w:tblW w:w="8382" w:type="dxa"/>
        <w:jc w:val="center"/>
        <w:tblBorders>
          <w:top w:val="outset" w:color="AAAAAA" w:sz="6" w:space="0"/>
          <w:left w:val="outset" w:color="AAAAAA" w:sz="6" w:space="0"/>
          <w:bottom w:val="outset" w:color="AAAAAA" w:sz="6" w:space="0"/>
          <w:right w:val="outset" w:color="AAAAAA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42"/>
        <w:gridCol w:w="1812"/>
        <w:gridCol w:w="1050"/>
        <w:gridCol w:w="2916"/>
        <w:gridCol w:w="2062"/>
      </w:tblGrid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4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项目要求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总价（元）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西乡街道网格综合管理中心采购2022年工作制服一批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详见招标文件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签订合同且量体完成后50个工作日内，所有服装到达采购方指定地点，并完成服装的试穿、调整和验收工作。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790060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</w:tr>
    </w:tbl>
    <w:p>
      <w:pPr>
        <w:widowControl/>
        <w:adjustRightInd w:val="0"/>
        <w:snapToGrid w:val="0"/>
        <w:spacing w:before="100" w:beforeAutospacing="1" w:afterAutospacing="1" w:line="360" w:lineRule="auto"/>
        <w:ind w:firstLine="495" w:firstLineChars="177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六、采购单位及政府采购代理机构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1、采购单位及联系方式：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采购单位：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深圳市宝安区西乡街道网格综合管理中心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地址：深圳市宝安区宝民二路108号 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邓工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联系方式：0755-27913239     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2、政府采购代理机构及联系方式： 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政府采购代理机构：广州高新工程顾问有限公司     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地址：深圳市福田区泰然九路天地源盛唐大厦东座1403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联系人：郑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工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联系方式：0755-88918228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说明：上述中标公告公示三日。各有关当事人对中标（成交）结果有异议的，可以在中标（成交）公告公布之日起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个工作日内以书面形式向招标采购代理机构提出质疑，逾期将依法不予受理。 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广州高新工程顾问有限公司</w:t>
      </w:r>
    </w:p>
    <w:p>
      <w:pPr>
        <w:widowControl/>
        <w:adjustRightInd w:val="0"/>
        <w:snapToGrid w:val="0"/>
        <w:spacing w:before="100" w:beforeAutospacing="1" w:afterAutospacing="1" w:line="360" w:lineRule="auto"/>
        <w:ind w:right="360"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rPr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3A31B"/>
    <w:multiLevelType w:val="singleLevel"/>
    <w:tmpl w:val="AC23A3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ODI3ZDg3NjU4NzQ3NjJjMDhkZGY2ODVkYzI0NTAifQ=="/>
  </w:docVars>
  <w:rsids>
    <w:rsidRoot w:val="00811C9A"/>
    <w:rsid w:val="000349CF"/>
    <w:rsid w:val="00050A00"/>
    <w:rsid w:val="00055BDF"/>
    <w:rsid w:val="000632E7"/>
    <w:rsid w:val="000A72D8"/>
    <w:rsid w:val="000C4769"/>
    <w:rsid w:val="000F2904"/>
    <w:rsid w:val="001208C1"/>
    <w:rsid w:val="00183BBD"/>
    <w:rsid w:val="001C23D2"/>
    <w:rsid w:val="001E176F"/>
    <w:rsid w:val="00256C41"/>
    <w:rsid w:val="002826A7"/>
    <w:rsid w:val="002937F7"/>
    <w:rsid w:val="002A59AA"/>
    <w:rsid w:val="002A59E6"/>
    <w:rsid w:val="002D575A"/>
    <w:rsid w:val="002E6B77"/>
    <w:rsid w:val="00326E33"/>
    <w:rsid w:val="00327265"/>
    <w:rsid w:val="00384CD4"/>
    <w:rsid w:val="0048668F"/>
    <w:rsid w:val="004E5DD1"/>
    <w:rsid w:val="0052231B"/>
    <w:rsid w:val="0052498A"/>
    <w:rsid w:val="00566A67"/>
    <w:rsid w:val="006044F5"/>
    <w:rsid w:val="00622DB7"/>
    <w:rsid w:val="006C5709"/>
    <w:rsid w:val="006F0977"/>
    <w:rsid w:val="006F2DCE"/>
    <w:rsid w:val="007759C9"/>
    <w:rsid w:val="007A2EDB"/>
    <w:rsid w:val="007B6873"/>
    <w:rsid w:val="007C41DC"/>
    <w:rsid w:val="007D151D"/>
    <w:rsid w:val="007F35A8"/>
    <w:rsid w:val="00811C9A"/>
    <w:rsid w:val="00826A67"/>
    <w:rsid w:val="00832ED0"/>
    <w:rsid w:val="00844917"/>
    <w:rsid w:val="00856754"/>
    <w:rsid w:val="0089057D"/>
    <w:rsid w:val="008C70EE"/>
    <w:rsid w:val="008D39A0"/>
    <w:rsid w:val="008D4310"/>
    <w:rsid w:val="00936414"/>
    <w:rsid w:val="00957996"/>
    <w:rsid w:val="00A479E1"/>
    <w:rsid w:val="00A51DD2"/>
    <w:rsid w:val="00A76A09"/>
    <w:rsid w:val="00A87E3D"/>
    <w:rsid w:val="00AF0860"/>
    <w:rsid w:val="00B03182"/>
    <w:rsid w:val="00B621BF"/>
    <w:rsid w:val="00B7705B"/>
    <w:rsid w:val="00BB06E4"/>
    <w:rsid w:val="00BD1392"/>
    <w:rsid w:val="00BF37D5"/>
    <w:rsid w:val="00C2618F"/>
    <w:rsid w:val="00C33069"/>
    <w:rsid w:val="00C41B00"/>
    <w:rsid w:val="00C46793"/>
    <w:rsid w:val="00C703BA"/>
    <w:rsid w:val="00C96165"/>
    <w:rsid w:val="00CC6C11"/>
    <w:rsid w:val="00CD7683"/>
    <w:rsid w:val="00CF193B"/>
    <w:rsid w:val="00CF1F7E"/>
    <w:rsid w:val="00D5141A"/>
    <w:rsid w:val="00D61AEA"/>
    <w:rsid w:val="00D631A0"/>
    <w:rsid w:val="00D727AC"/>
    <w:rsid w:val="00DA3995"/>
    <w:rsid w:val="00E00029"/>
    <w:rsid w:val="00E3094C"/>
    <w:rsid w:val="00EE7950"/>
    <w:rsid w:val="00F51AFA"/>
    <w:rsid w:val="00F74D41"/>
    <w:rsid w:val="00F94901"/>
    <w:rsid w:val="00FD2740"/>
    <w:rsid w:val="013D585A"/>
    <w:rsid w:val="01424CF6"/>
    <w:rsid w:val="014954B1"/>
    <w:rsid w:val="01B57B07"/>
    <w:rsid w:val="02060AE2"/>
    <w:rsid w:val="024B3B45"/>
    <w:rsid w:val="02F1547D"/>
    <w:rsid w:val="03193ADC"/>
    <w:rsid w:val="03394E60"/>
    <w:rsid w:val="0377630A"/>
    <w:rsid w:val="0386155B"/>
    <w:rsid w:val="03E33FDD"/>
    <w:rsid w:val="04346FE4"/>
    <w:rsid w:val="048E615F"/>
    <w:rsid w:val="04EC5DE0"/>
    <w:rsid w:val="04EE0BBF"/>
    <w:rsid w:val="0505402C"/>
    <w:rsid w:val="05C10989"/>
    <w:rsid w:val="05F95534"/>
    <w:rsid w:val="061C4CC3"/>
    <w:rsid w:val="06440B5E"/>
    <w:rsid w:val="064C7640"/>
    <w:rsid w:val="06670FAF"/>
    <w:rsid w:val="068D4C70"/>
    <w:rsid w:val="069D749F"/>
    <w:rsid w:val="06C87BCE"/>
    <w:rsid w:val="06D32EB2"/>
    <w:rsid w:val="06FD7D58"/>
    <w:rsid w:val="070E23C0"/>
    <w:rsid w:val="070F14A6"/>
    <w:rsid w:val="075C1989"/>
    <w:rsid w:val="076F3140"/>
    <w:rsid w:val="078423C3"/>
    <w:rsid w:val="07A13D79"/>
    <w:rsid w:val="07BD6C61"/>
    <w:rsid w:val="07D20EB3"/>
    <w:rsid w:val="07DA14CC"/>
    <w:rsid w:val="07E65A42"/>
    <w:rsid w:val="087E2C7D"/>
    <w:rsid w:val="08B477F7"/>
    <w:rsid w:val="08D33BDA"/>
    <w:rsid w:val="08D958CD"/>
    <w:rsid w:val="08DC4C8E"/>
    <w:rsid w:val="093F78D5"/>
    <w:rsid w:val="09A07D6F"/>
    <w:rsid w:val="09AA11F0"/>
    <w:rsid w:val="09EE089B"/>
    <w:rsid w:val="09F859AE"/>
    <w:rsid w:val="09FD02E3"/>
    <w:rsid w:val="0A0432C8"/>
    <w:rsid w:val="0A321EB2"/>
    <w:rsid w:val="0A587B5A"/>
    <w:rsid w:val="0B2321D5"/>
    <w:rsid w:val="0B4A4272"/>
    <w:rsid w:val="0BBB4510"/>
    <w:rsid w:val="0CC31E89"/>
    <w:rsid w:val="0CE3188E"/>
    <w:rsid w:val="0D123C90"/>
    <w:rsid w:val="0D5E06A7"/>
    <w:rsid w:val="0F3422EE"/>
    <w:rsid w:val="0FEB635D"/>
    <w:rsid w:val="10412674"/>
    <w:rsid w:val="10673BB8"/>
    <w:rsid w:val="109E3759"/>
    <w:rsid w:val="116E4CD6"/>
    <w:rsid w:val="11A97885"/>
    <w:rsid w:val="11AE0771"/>
    <w:rsid w:val="11CB5478"/>
    <w:rsid w:val="12303F5B"/>
    <w:rsid w:val="12685AC3"/>
    <w:rsid w:val="12D91B6C"/>
    <w:rsid w:val="132B5B03"/>
    <w:rsid w:val="13596731"/>
    <w:rsid w:val="138B13BD"/>
    <w:rsid w:val="143E3623"/>
    <w:rsid w:val="146E593E"/>
    <w:rsid w:val="14E530ED"/>
    <w:rsid w:val="1534265B"/>
    <w:rsid w:val="154B620E"/>
    <w:rsid w:val="15D82D26"/>
    <w:rsid w:val="162811CB"/>
    <w:rsid w:val="164D5CAF"/>
    <w:rsid w:val="169409EC"/>
    <w:rsid w:val="1737587B"/>
    <w:rsid w:val="180145AE"/>
    <w:rsid w:val="18233A12"/>
    <w:rsid w:val="182E3C51"/>
    <w:rsid w:val="19351154"/>
    <w:rsid w:val="19463A56"/>
    <w:rsid w:val="19541438"/>
    <w:rsid w:val="19DB544C"/>
    <w:rsid w:val="1A07407D"/>
    <w:rsid w:val="1A0D78EF"/>
    <w:rsid w:val="1A146A41"/>
    <w:rsid w:val="1A3321FF"/>
    <w:rsid w:val="1A8771AD"/>
    <w:rsid w:val="1AA164A1"/>
    <w:rsid w:val="1AB843B0"/>
    <w:rsid w:val="1B2A34B3"/>
    <w:rsid w:val="1B5C3903"/>
    <w:rsid w:val="1BA12EFB"/>
    <w:rsid w:val="1BC64A84"/>
    <w:rsid w:val="1BF27577"/>
    <w:rsid w:val="1C141B55"/>
    <w:rsid w:val="1C496205"/>
    <w:rsid w:val="1C4C11B6"/>
    <w:rsid w:val="1CCF3F83"/>
    <w:rsid w:val="1D5E1539"/>
    <w:rsid w:val="1E51666C"/>
    <w:rsid w:val="1EA47966"/>
    <w:rsid w:val="1EAB3800"/>
    <w:rsid w:val="1EF15C52"/>
    <w:rsid w:val="1F246271"/>
    <w:rsid w:val="20F575B3"/>
    <w:rsid w:val="21433605"/>
    <w:rsid w:val="2220003F"/>
    <w:rsid w:val="22AA4C2D"/>
    <w:rsid w:val="23633761"/>
    <w:rsid w:val="23BE20BF"/>
    <w:rsid w:val="23DD0A83"/>
    <w:rsid w:val="246758CC"/>
    <w:rsid w:val="24DD54FA"/>
    <w:rsid w:val="24E45E5F"/>
    <w:rsid w:val="25182B2E"/>
    <w:rsid w:val="25663774"/>
    <w:rsid w:val="26B65C20"/>
    <w:rsid w:val="26D629BC"/>
    <w:rsid w:val="27216666"/>
    <w:rsid w:val="27246B12"/>
    <w:rsid w:val="27301CF7"/>
    <w:rsid w:val="27466AB5"/>
    <w:rsid w:val="27D87D03"/>
    <w:rsid w:val="27FA66AB"/>
    <w:rsid w:val="28036771"/>
    <w:rsid w:val="282E5A71"/>
    <w:rsid w:val="289A18BA"/>
    <w:rsid w:val="299D5D6D"/>
    <w:rsid w:val="29AE547F"/>
    <w:rsid w:val="29C47235"/>
    <w:rsid w:val="29C478F5"/>
    <w:rsid w:val="2AAE6CDA"/>
    <w:rsid w:val="2B1D0063"/>
    <w:rsid w:val="2B931636"/>
    <w:rsid w:val="2BB34C32"/>
    <w:rsid w:val="2BEB492B"/>
    <w:rsid w:val="2C647948"/>
    <w:rsid w:val="2C7935E8"/>
    <w:rsid w:val="2C8C2595"/>
    <w:rsid w:val="2D813B59"/>
    <w:rsid w:val="2D855FA4"/>
    <w:rsid w:val="2DD25426"/>
    <w:rsid w:val="2DE11601"/>
    <w:rsid w:val="2DF1322D"/>
    <w:rsid w:val="2E073C7C"/>
    <w:rsid w:val="2E0D52D1"/>
    <w:rsid w:val="2E4376E1"/>
    <w:rsid w:val="2EB220BA"/>
    <w:rsid w:val="2F143498"/>
    <w:rsid w:val="2F986F3D"/>
    <w:rsid w:val="30377D56"/>
    <w:rsid w:val="304114B2"/>
    <w:rsid w:val="304144BF"/>
    <w:rsid w:val="30622004"/>
    <w:rsid w:val="30A11A52"/>
    <w:rsid w:val="3119263B"/>
    <w:rsid w:val="31720C42"/>
    <w:rsid w:val="31E94E6F"/>
    <w:rsid w:val="328B587A"/>
    <w:rsid w:val="330566C3"/>
    <w:rsid w:val="33DB132D"/>
    <w:rsid w:val="33E00FA6"/>
    <w:rsid w:val="342E1F62"/>
    <w:rsid w:val="3542624F"/>
    <w:rsid w:val="35DC5F44"/>
    <w:rsid w:val="35F15381"/>
    <w:rsid w:val="36B04144"/>
    <w:rsid w:val="37302E84"/>
    <w:rsid w:val="375775A4"/>
    <w:rsid w:val="379B459A"/>
    <w:rsid w:val="38186911"/>
    <w:rsid w:val="385B4FCF"/>
    <w:rsid w:val="38C81697"/>
    <w:rsid w:val="391B59A5"/>
    <w:rsid w:val="397228F1"/>
    <w:rsid w:val="397E0282"/>
    <w:rsid w:val="39BF59CB"/>
    <w:rsid w:val="39CD11DD"/>
    <w:rsid w:val="3A3E755D"/>
    <w:rsid w:val="3A3F1BBE"/>
    <w:rsid w:val="3A506AE4"/>
    <w:rsid w:val="3A89664A"/>
    <w:rsid w:val="3A8C48EF"/>
    <w:rsid w:val="3A942176"/>
    <w:rsid w:val="3A9438D7"/>
    <w:rsid w:val="3AEB0C72"/>
    <w:rsid w:val="3B3867A3"/>
    <w:rsid w:val="3B8B46F6"/>
    <w:rsid w:val="3BEA43ED"/>
    <w:rsid w:val="3C0A2308"/>
    <w:rsid w:val="3C9B2A1F"/>
    <w:rsid w:val="3CB423FF"/>
    <w:rsid w:val="3CC760BF"/>
    <w:rsid w:val="3CE615E4"/>
    <w:rsid w:val="3D1B00A9"/>
    <w:rsid w:val="3D1F4BD8"/>
    <w:rsid w:val="3D656E53"/>
    <w:rsid w:val="3E5511FA"/>
    <w:rsid w:val="3E803D89"/>
    <w:rsid w:val="3E993639"/>
    <w:rsid w:val="3EBB0AEF"/>
    <w:rsid w:val="3F6F5236"/>
    <w:rsid w:val="3FEB33DB"/>
    <w:rsid w:val="40E025BF"/>
    <w:rsid w:val="40FA606A"/>
    <w:rsid w:val="415F599E"/>
    <w:rsid w:val="41610C9F"/>
    <w:rsid w:val="4201299C"/>
    <w:rsid w:val="42082675"/>
    <w:rsid w:val="42156CC1"/>
    <w:rsid w:val="42292642"/>
    <w:rsid w:val="4266096D"/>
    <w:rsid w:val="427970D3"/>
    <w:rsid w:val="42A3068A"/>
    <w:rsid w:val="43594681"/>
    <w:rsid w:val="43EE716E"/>
    <w:rsid w:val="44077E8B"/>
    <w:rsid w:val="44416B49"/>
    <w:rsid w:val="44C4030C"/>
    <w:rsid w:val="44D36CD8"/>
    <w:rsid w:val="44DC547F"/>
    <w:rsid w:val="45A50EFF"/>
    <w:rsid w:val="45D90A54"/>
    <w:rsid w:val="45DB2592"/>
    <w:rsid w:val="46BA571D"/>
    <w:rsid w:val="46DC6690"/>
    <w:rsid w:val="476F5E1C"/>
    <w:rsid w:val="478A02E4"/>
    <w:rsid w:val="47D51571"/>
    <w:rsid w:val="489B5B9C"/>
    <w:rsid w:val="48BF6F02"/>
    <w:rsid w:val="49EB57A7"/>
    <w:rsid w:val="4A8B0A44"/>
    <w:rsid w:val="4B180E1F"/>
    <w:rsid w:val="4BCE0B2F"/>
    <w:rsid w:val="4BDF2B56"/>
    <w:rsid w:val="4D15001C"/>
    <w:rsid w:val="4D150662"/>
    <w:rsid w:val="4D1541B1"/>
    <w:rsid w:val="4D330FDD"/>
    <w:rsid w:val="4D6C5548"/>
    <w:rsid w:val="4D9A5D98"/>
    <w:rsid w:val="4DD93538"/>
    <w:rsid w:val="4DEC4F73"/>
    <w:rsid w:val="4E57626D"/>
    <w:rsid w:val="4E5A4171"/>
    <w:rsid w:val="4E706C91"/>
    <w:rsid w:val="4E8A3409"/>
    <w:rsid w:val="4F4641AC"/>
    <w:rsid w:val="4F995EAD"/>
    <w:rsid w:val="4FD36BB8"/>
    <w:rsid w:val="4FF85D8C"/>
    <w:rsid w:val="501720CC"/>
    <w:rsid w:val="503E4445"/>
    <w:rsid w:val="50523925"/>
    <w:rsid w:val="5054798F"/>
    <w:rsid w:val="510B6A18"/>
    <w:rsid w:val="51A06A8C"/>
    <w:rsid w:val="52116885"/>
    <w:rsid w:val="52CA101E"/>
    <w:rsid w:val="52E9026E"/>
    <w:rsid w:val="52F705CE"/>
    <w:rsid w:val="53287EFB"/>
    <w:rsid w:val="5336666D"/>
    <w:rsid w:val="536D7854"/>
    <w:rsid w:val="53742698"/>
    <w:rsid w:val="538E503E"/>
    <w:rsid w:val="539D6EBD"/>
    <w:rsid w:val="54F96809"/>
    <w:rsid w:val="55E34FC2"/>
    <w:rsid w:val="578E3A25"/>
    <w:rsid w:val="57B461D3"/>
    <w:rsid w:val="57C81BC8"/>
    <w:rsid w:val="57F71A51"/>
    <w:rsid w:val="58020FE4"/>
    <w:rsid w:val="58031A9F"/>
    <w:rsid w:val="5868127B"/>
    <w:rsid w:val="58DD50ED"/>
    <w:rsid w:val="590E124E"/>
    <w:rsid w:val="595152DE"/>
    <w:rsid w:val="595875E9"/>
    <w:rsid w:val="595C7D7E"/>
    <w:rsid w:val="59BD4303"/>
    <w:rsid w:val="59E53C03"/>
    <w:rsid w:val="5A82428E"/>
    <w:rsid w:val="5B515B42"/>
    <w:rsid w:val="5B78499A"/>
    <w:rsid w:val="5B7C5950"/>
    <w:rsid w:val="5BAA2B97"/>
    <w:rsid w:val="5BC92C3D"/>
    <w:rsid w:val="5BEE0B2D"/>
    <w:rsid w:val="5C6C4B79"/>
    <w:rsid w:val="5C7C3804"/>
    <w:rsid w:val="5CE2626B"/>
    <w:rsid w:val="5CEF6BED"/>
    <w:rsid w:val="5D417113"/>
    <w:rsid w:val="5DCA7E3A"/>
    <w:rsid w:val="5FA8398F"/>
    <w:rsid w:val="5FDE28B2"/>
    <w:rsid w:val="5FE167AD"/>
    <w:rsid w:val="60B73196"/>
    <w:rsid w:val="60BC6CD7"/>
    <w:rsid w:val="6103693A"/>
    <w:rsid w:val="61B20BCF"/>
    <w:rsid w:val="61CA4820"/>
    <w:rsid w:val="62035F2D"/>
    <w:rsid w:val="62D82237"/>
    <w:rsid w:val="630B0F03"/>
    <w:rsid w:val="632E6AFF"/>
    <w:rsid w:val="63914D3F"/>
    <w:rsid w:val="654625D2"/>
    <w:rsid w:val="65BE20D9"/>
    <w:rsid w:val="65CF5BB0"/>
    <w:rsid w:val="66585E0B"/>
    <w:rsid w:val="66A072BE"/>
    <w:rsid w:val="66B20E1C"/>
    <w:rsid w:val="66BE7EDA"/>
    <w:rsid w:val="66CD1165"/>
    <w:rsid w:val="66D10C20"/>
    <w:rsid w:val="681C6E93"/>
    <w:rsid w:val="6870642D"/>
    <w:rsid w:val="68D80507"/>
    <w:rsid w:val="690C6C60"/>
    <w:rsid w:val="699F7D21"/>
    <w:rsid w:val="69B1380F"/>
    <w:rsid w:val="6A08705E"/>
    <w:rsid w:val="6A2472C6"/>
    <w:rsid w:val="6A8B0D30"/>
    <w:rsid w:val="6AFE2B3D"/>
    <w:rsid w:val="6B594627"/>
    <w:rsid w:val="6BA312A3"/>
    <w:rsid w:val="6BAE28B2"/>
    <w:rsid w:val="6C99473F"/>
    <w:rsid w:val="6E49116B"/>
    <w:rsid w:val="6E6147FF"/>
    <w:rsid w:val="6E962B41"/>
    <w:rsid w:val="6EE97349"/>
    <w:rsid w:val="6FA93E4D"/>
    <w:rsid w:val="713A51E7"/>
    <w:rsid w:val="721E4129"/>
    <w:rsid w:val="72B270D9"/>
    <w:rsid w:val="72B974DC"/>
    <w:rsid w:val="73320DA0"/>
    <w:rsid w:val="738E2D20"/>
    <w:rsid w:val="73AD648B"/>
    <w:rsid w:val="73B12859"/>
    <w:rsid w:val="73C930DD"/>
    <w:rsid w:val="742C6951"/>
    <w:rsid w:val="74990FE3"/>
    <w:rsid w:val="74A768D6"/>
    <w:rsid w:val="74CC1E5B"/>
    <w:rsid w:val="75071B2A"/>
    <w:rsid w:val="75186F53"/>
    <w:rsid w:val="759D00C9"/>
    <w:rsid w:val="75B55338"/>
    <w:rsid w:val="75DE715D"/>
    <w:rsid w:val="76267524"/>
    <w:rsid w:val="76554E2A"/>
    <w:rsid w:val="765B3B74"/>
    <w:rsid w:val="766D5849"/>
    <w:rsid w:val="773C253F"/>
    <w:rsid w:val="77B16C05"/>
    <w:rsid w:val="78771DFF"/>
    <w:rsid w:val="787A69E7"/>
    <w:rsid w:val="79260E30"/>
    <w:rsid w:val="7A223A61"/>
    <w:rsid w:val="7A2D5ABC"/>
    <w:rsid w:val="7A401CDD"/>
    <w:rsid w:val="7A452F8F"/>
    <w:rsid w:val="7A73286F"/>
    <w:rsid w:val="7AFC5A96"/>
    <w:rsid w:val="7B166D50"/>
    <w:rsid w:val="7B4D2711"/>
    <w:rsid w:val="7B6B21B4"/>
    <w:rsid w:val="7BC14DEA"/>
    <w:rsid w:val="7BF94A15"/>
    <w:rsid w:val="7C056600"/>
    <w:rsid w:val="7C2178F9"/>
    <w:rsid w:val="7C222078"/>
    <w:rsid w:val="7D106F94"/>
    <w:rsid w:val="7D12622E"/>
    <w:rsid w:val="7D8E1BD2"/>
    <w:rsid w:val="7DBB3AC2"/>
    <w:rsid w:val="7DEE6ADF"/>
    <w:rsid w:val="7E605F0A"/>
    <w:rsid w:val="7E9401E1"/>
    <w:rsid w:val="7EE85E70"/>
    <w:rsid w:val="7F3B0249"/>
    <w:rsid w:val="7F607462"/>
    <w:rsid w:val="7F631610"/>
    <w:rsid w:val="7F6C4CBA"/>
    <w:rsid w:val="7FC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pacing w:afterLines="0" w:line="360" w:lineRule="auto"/>
    </w:pPr>
    <w:rPr>
      <w:rFonts w:cs="Arial"/>
      <w:bCs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ydx"/>
    <w:basedOn w:val="7"/>
    <w:qFormat/>
    <w:uiPriority w:val="0"/>
    <w:rPr>
      <w:shd w:val="clear" w:fill="CC6600"/>
    </w:rPr>
  </w:style>
  <w:style w:type="character" w:customStyle="1" w:styleId="15">
    <w:name w:val="zcjy"/>
    <w:basedOn w:val="7"/>
    <w:qFormat/>
    <w:uiPriority w:val="0"/>
    <w:rPr>
      <w:shd w:val="clear" w:fill="266EB4"/>
    </w:rPr>
  </w:style>
  <w:style w:type="character" w:customStyle="1" w:styleId="16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7"/>
    <w:qFormat/>
    <w:uiPriority w:val="0"/>
  </w:style>
  <w:style w:type="paragraph" w:customStyle="1" w:styleId="18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3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正文_0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153</Words>
  <Characters>876</Characters>
  <Lines>7</Lines>
  <Paragraphs>2</Paragraphs>
  <TotalTime>4</TotalTime>
  <ScaleCrop>false</ScaleCrop>
  <LinksUpToDate>false</LinksUpToDate>
  <CharactersWithSpaces>1027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2018-06-22T07:52:00Z</dcterms:created>
  <dc:creator>LENOVO</dc:creator>
  <cp:lastModifiedBy>高星</cp:lastModifiedBy>
  <dcterms:modified xsi:type="dcterms:W3CDTF">2022-07-06T11:16:17Z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FD1ADBF7732D46EEA9D57A24D517167F</vt:lpwstr>
  </property>
</Properties>
</file>