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outlineLvl w:val="0"/>
        <w:rPr>
          <w:rFonts w:ascii="宋体" w:hAnsi="宋体" w:cs="宋体"/>
          <w:color w:val="auto"/>
          <w:sz w:val="24"/>
          <w:highlight w:val="none"/>
        </w:rPr>
      </w:pPr>
      <w:bookmarkStart w:id="1" w:name="_GoBack"/>
      <w:bookmarkEnd w:id="1"/>
      <w:bookmarkStart w:id="0" w:name="_Toc22966"/>
      <w:r>
        <w:rPr>
          <w:rFonts w:hint="eastAsia" w:ascii="宋体" w:hAnsi="宋体" w:cs="宋体"/>
          <w:b/>
          <w:color w:val="auto"/>
          <w:sz w:val="48"/>
          <w:szCs w:val="48"/>
          <w:highlight w:val="none"/>
        </w:rPr>
        <w:t xml:space="preserve">  项目要求</w:t>
      </w:r>
      <w:bookmarkEnd w:id="0"/>
    </w:p>
    <w:p>
      <w:pPr>
        <w:numPr>
          <w:ilvl w:val="0"/>
          <w:numId w:val="0"/>
        </w:numPr>
        <w:shd w:val="clear"/>
        <w:spacing w:after="161" w:afterLines="50" w:line="480" w:lineRule="exact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一、项目概况</w:t>
      </w:r>
    </w:p>
    <w:p>
      <w:pPr>
        <w:shd w:val="clear"/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1、项目名称：</w:t>
      </w:r>
      <w:r>
        <w:rPr>
          <w:rFonts w:hint="eastAsia"/>
          <w:sz w:val="24"/>
          <w:szCs w:val="24"/>
          <w:lang w:eastAsia="zh-CN"/>
        </w:rPr>
        <w:t>三亚市公安局交通警察支队采购安保及食堂后勤人员劳务服务项目</w:t>
      </w:r>
    </w:p>
    <w:p>
      <w:pPr>
        <w:shd w:val="clear"/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2、项目编号：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HNYS-2022-021</w:t>
      </w:r>
    </w:p>
    <w:p>
      <w:pPr>
        <w:shd w:val="clear"/>
        <w:spacing w:line="48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3、项目预算：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1576673.60</w:t>
      </w:r>
      <w:r>
        <w:rPr>
          <w:rFonts w:hint="eastAsia" w:ascii="宋体" w:hAnsi="宋体" w:cs="宋体"/>
          <w:color w:val="auto"/>
          <w:sz w:val="24"/>
          <w:highlight w:val="none"/>
        </w:rPr>
        <w:t>元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/年</w:t>
      </w:r>
    </w:p>
    <w:p>
      <w:pPr>
        <w:shd w:val="clear"/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服务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期：三年，合同一年一签</w:t>
      </w:r>
    </w:p>
    <w:p>
      <w:pPr>
        <w:shd w:val="clear"/>
        <w:spacing w:line="48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、资金来源：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政府投资</w:t>
      </w:r>
    </w:p>
    <w:p>
      <w:pPr>
        <w:shd w:val="clear"/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、付款方式：根据双方签订的政府采购合同约定执行</w:t>
      </w:r>
    </w:p>
    <w:p>
      <w:pPr>
        <w:shd w:val="clear"/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>、验收标准：中标供应商与采购人应严格按照《财政部关于进一步加强政府采购需求和履约验收管理的指导意见》（财库〔2016〕205 号）文件及相关法律法规要求与合同约定相关条款进行验收。</w:t>
      </w:r>
    </w:p>
    <w:p>
      <w:pPr>
        <w:shd w:val="clear"/>
        <w:spacing w:line="48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8、服务地点：采购人指定地点。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、服务内容和范围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（一）安全保卫服务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1.服务范围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（1）治安防范及秩序维护；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（2）设备设施的安全保卫；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（3）突发事件的应对及处置；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（4）重大活动的安全警戒与秩序维护；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（5）疫情常态化防控；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（6）完成交办的其他任务。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2.执行标准及要求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（1）治安防范及秩序维护</w:t>
      </w:r>
    </w:p>
    <w:p>
      <w:pPr>
        <w:keepNext w:val="0"/>
        <w:keepLines w:val="0"/>
        <w:widowControl/>
        <w:suppressLineNumbers w:val="0"/>
        <w:spacing w:line="360" w:lineRule="auto"/>
        <w:ind w:firstLine="241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1）门卫（值班）安保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a.门卫（值班）实行 24 小时值班制。工作日工作时间实行门卫保安立岗制，工作日非工作时间、非工作日实行值班值守制。保持值班电话畅通，做好相关记录。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b.负责人员进出管理。工作日非工作时间、非工作日对进出人员按要求进行查验，做好《外来人员进出登记》，外来车辆登记。上述时段未经采购人同意或未按采购人规定履行相关查验、登记制度，禁止人员进入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c.负责物品进出管理。对物品进出进行审验，严防危险物品进入。实行物品分类登记，按要求填写《大宗物品进出登记表》。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d.负责快递、包裹、信件、邮件、报刊、杂志等安全检查和收发，按要求填写《邮件快递签收登记表》。分发、领取快递、包裹。信件、邮件、报刊、杂志应及时分发。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e.负责大楼前后、门厅、地下室、停车区域、楼前道路的秩序维护及车辆有序停放，保持通道畅通。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f.负责为办事群众提供必要的咨询引领和排队秩序维护，疏导劝解群访人员。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j.工作时间禁止快递、外卖、广告推销人员进入大楼。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h.杜绝宠物进入大楼，对衣冠不整人员进行纠正劝离。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i.对进入大楼的各类维修人员进行查验，未经采购人同意不得进入。维修人员应佩戴工作牌，特殊情况需保安人员全程陪同。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j.负责职工活动室钥匙保管及做好使用人登记工作。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k.完成采购人交办的临时性工作。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2）办公区域安保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a.工作日保安人员负责办公楼办公区域 24 小时值守巡查，维护正常的工作秩序，及时报告、处置各类突发事件。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b.工作日非工作时段，做好巡查值守，严禁非工作人员进入办公区域。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c.负责制止和规劝办公区域内抽烟、乱扔烟头、乱丢垃圾、随地吐痰、大声喧哗等不文明行为，保持办公区域安静、整洁、规范、有序。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d.负责突发事件人员应急疏散、安全撤离现场人员。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3）巡逻安保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a.24 小时巡查工作制。负责办公楼及周边区域的安全巡查和公共秩序的维护。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b.按照采购人要求设置楼宇巡更点位，按巡更要求巡查，每周上报巡更记录。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c.负责工作日时段的按巡更点位巡查，工作日非工作时段 08：00——次日 20：00 每 2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小时巡更点位巡查 1 次。工作日每 2 小时巡查 1 次。发现异常情况，应及时报告、处置。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d.负责每日对大楼安全的巡查，发现缺失、损坏或不能正常使用等情况，报告、处置，做好相关记录。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e.负责工作日后巡查，关闭水电、门窗及清点滞留人员、加班人员，做好《清场巡查记录》。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（2）突发事件的应对和处置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1）突发事件的分类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可能发生的突发事件，主要有火灾、突发群体性事件、暴力伤害、地震、停电、交通事故、盗窃、洪涝、恐怖袭击等。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2）编制应急处理预案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a.《人员密集场所疏散应急处置预案》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b.《盗窃事件的应急处理预案》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c.《打架斗殴事件的应急处理预案》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d.《抢劫事件的应急处理预案》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e.《凶杀案件的应急处理预案》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f.《交通事故的应急处理预案》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g.《火灾的应急处理预案》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h.《给排水系统险情的应急处理预案》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i.《电梯事故应急处理预案》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j.《停电应急处理预案》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k.《用电安全异常情况应急处理预案》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l.《消防安全应急处理预案》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m.《防汛应急处置预案》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n.《疫情防控应急处置预案》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3）突发事件的处置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a.突发事件第一时间通知采购人并按《应急处理预案》处置,全力配合有关部门保护工作人员人身安全，尽量减少财产损失。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b.排查和消除风险隐患，进行风险隐患登记和现状评估，制订整改措施并落实。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c.每年分类别组织防火、防汛、疫情防控各 1 次应急培训和演练，确保全员熟悉掌握操作相关设施设备，全部安保人员熟练掌握各类安全知识。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（3）重大活动的安全警戒与秩序维护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1）重大活动的范围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指在办公楼内举行的重要会议及大型活动。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2）安全警戒与秩序维护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a.编制《重大活动的安全警戒与秩序维护应急预案》，配合采购人指定专人负责现场指挥。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b.根据活动规模及秩序维护的要求，临时增派、增加安保人员。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c.根据现场情况，合理设置警戒线、隔离带，及时疏导人群，维持秩序。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d.突发事件，第一时间报告采购人，并配合采购人进行处置。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（二）食堂后勤管理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1.服务管理范围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（1）供餐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（2）食堂的卫生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2.服务标准及要求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成交供应商派遣厨房工作人员试用期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1个月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，经采购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所有人员投票，基本满意以上人数达到投票人数的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90%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（含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90%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）以上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方可留用继续服务，基本满意以上人数未达到投票人数的90%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（含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90%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以上则更换厨师及服务员。</w:t>
      </w:r>
    </w:p>
    <w:p>
      <w:pPr>
        <w:autoSpaceDE/>
        <w:autoSpaceDN/>
        <w:adjustRightInd w:val="0"/>
        <w:snapToGrid w:val="0"/>
        <w:spacing w:line="540" w:lineRule="exact"/>
        <w:ind w:right="-199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②负责采购单位工作期间、节假日加班期间用餐及会务、接待用餐，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餐标按采购单位要求执行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供应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早、中、晚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加强成本核算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科学制定菜谱，营养搭配合理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菜品新鲜可口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花样不断翻新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，保证每周菜品不重复。</w:t>
      </w:r>
    </w:p>
    <w:p>
      <w:pPr>
        <w:autoSpaceDE/>
        <w:autoSpaceDN/>
        <w:adjustRightInd w:val="0"/>
        <w:snapToGrid w:val="0"/>
        <w:spacing w:line="540" w:lineRule="exact"/>
        <w:ind w:right="-199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厨师负责制定每周食谱，交采购单位审核后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按照研定食谱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执行，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根据每天的就餐人数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及标准负责提供次日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食品采购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的品种及数量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，由采购人负责采购，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厨师及采购单位负责人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验货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并共同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签字确认。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④厨师负责验收采购的食品食材质量，杜绝使用不合格的食材；负责食品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加工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安全，杜绝制作不合格食品。因食品食材质量问题或厨师制作不合格食品导致采购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就餐人员食品中毒由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承担全部经济和法律责任。</w:t>
      </w:r>
    </w:p>
    <w:p>
      <w:pPr>
        <w:numPr>
          <w:ilvl w:val="0"/>
          <w:numId w:val="0"/>
        </w:numPr>
        <w:spacing w:line="5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⑤完成职工就餐打卡，分餐，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做好食堂环境卫生，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随时保持食堂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就餐厅及操作间干净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整洁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会务或接待用餐导致就餐人数增加，需要临时增加厨师或服务人员，成交供应商必须按照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及时增加厨师或服务人员。</w:t>
      </w:r>
    </w:p>
    <w:p>
      <w:pPr>
        <w:numPr>
          <w:ilvl w:val="0"/>
          <w:numId w:val="0"/>
        </w:numPr>
        <w:autoSpaceDE/>
        <w:autoSpaceDN/>
        <w:adjustRightInd/>
        <w:spacing w:line="540" w:lineRule="exact"/>
        <w:ind w:firstLine="480" w:firstLineChars="200"/>
        <w:jc w:val="left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爱护设施设备，不得故意损坏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食材加工过程中合理利用，不得故意浪费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丢弃，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由此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造成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的损失由成交供应商负责赔偿并更换当事人员，累计出现三次以上故意损坏厨房设备、浪费丢弃食品食材采购人有权终止有效期内下年度服务合同。</w:t>
      </w:r>
    </w:p>
    <w:p>
      <w:pPr>
        <w:spacing w:line="540" w:lineRule="exact"/>
        <w:ind w:firstLine="600" w:firstLineChars="2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成交供应商派遣的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工作人员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不得私自复制和泄露甲方单位人员、车辆等所有信息，不得私自带走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单位的所有物品，由此造成的损失由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赔偿并承担相应的法律责任。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成交供应商派遣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工作人员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的日常管理教育、安全责任、劳务关系、劳资责任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厨师专业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技术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培训等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由成交供应商负责。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在工作过程中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时刻注意安全，杜绝违规操作，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在日常工作中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违规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操作造成自己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他人人身伤害或死亡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责任事故由乙方自行承担赔偿责任。</w:t>
      </w:r>
    </w:p>
    <w:p>
      <w:pPr>
        <w:tabs>
          <w:tab w:val="left" w:pos="540"/>
        </w:tabs>
        <w:spacing w:line="54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、安保和食堂后勤服务人员构成及要求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（1）服务人员配置要求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59"/>
        <w:gridCol w:w="2160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90" w:type="dxa"/>
            <w:noWrap w:val="0"/>
            <w:vAlign w:val="center"/>
          </w:tcPr>
          <w:p>
            <w:pPr>
              <w:pStyle w:val="7"/>
              <w:spacing w:before="75"/>
              <w:ind w:firstLine="240" w:firstLineChars="100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岗位名称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spacing w:before="75"/>
              <w:ind w:left="88" w:leftChars="0" w:right="187" w:rightChars="0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spacing w:before="75"/>
              <w:ind w:left="107" w:leftChars="0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工作内容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7"/>
              <w:spacing w:before="75"/>
              <w:ind w:left="107" w:leftChars="0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noWrap w:val="0"/>
            <w:vAlign w:val="center"/>
          </w:tcPr>
          <w:p>
            <w:pPr>
              <w:pStyle w:val="7"/>
              <w:spacing w:before="196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保安队长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spacing w:before="210"/>
              <w:ind w:left="8" w:leftChars="0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spacing w:before="196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全面工作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7"/>
              <w:spacing w:before="196"/>
              <w:ind w:right="-29" w:rightChars="0"/>
              <w:jc w:val="center"/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</w:rPr>
              <w:t>男性，年龄 60 周岁（含）以下，身体健康，体检合格，反应敏捷，吃苦耐劳，初中及以上文化，无违法犯罪记录，能胜任保安</w:t>
            </w:r>
            <w:r>
              <w:rPr>
                <w:rFonts w:hint="eastAsia" w:cs="宋体"/>
                <w:b w:val="0"/>
                <w:bCs/>
                <w:spacing w:val="-3"/>
                <w:sz w:val="24"/>
                <w:szCs w:val="24"/>
                <w:vertAlign w:val="baseline"/>
                <w:lang w:val="en-US" w:eastAsia="zh-CN"/>
              </w:rPr>
              <w:t>队长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保安班长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ind w:firstLine="234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3"/>
                <w:sz w:val="24"/>
                <w:szCs w:val="24"/>
                <w:vertAlign w:val="baseline"/>
                <w:lang w:val="en-US" w:eastAsia="zh-CN"/>
              </w:rPr>
              <w:t>2名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spacing w:before="169"/>
              <w:jc w:val="center"/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  <w:lang w:val="en-US" w:eastAsia="zh-CN"/>
              </w:rPr>
              <w:t>负责保安队员培训，队伍管理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7"/>
              <w:spacing w:before="6" w:line="310" w:lineRule="atLeast"/>
              <w:ind w:left="107" w:leftChars="0" w:right="96" w:rightChars="0"/>
              <w:jc w:val="center"/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</w:rPr>
              <w:t>男性，年龄 60 周岁（含）以下，身体健康，体检合格，反应敏捷，吃苦耐劳，初中及以上文化，无违法犯罪记录，能胜任保安</w:t>
            </w:r>
            <w:r>
              <w:rPr>
                <w:rFonts w:hint="eastAsia" w:cs="宋体"/>
                <w:b w:val="0"/>
                <w:bCs/>
                <w:spacing w:val="-3"/>
                <w:sz w:val="24"/>
                <w:szCs w:val="24"/>
                <w:vertAlign w:val="baseline"/>
                <w:lang w:val="en-US" w:eastAsia="zh-CN"/>
              </w:rPr>
              <w:t>班长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zh-CN"/>
              </w:rPr>
              <w:t>保安队员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ind w:firstLine="468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ind w:firstLine="234" w:firstLineChars="100"/>
              <w:jc w:val="both"/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spacing w:before="16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负责安保工作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7"/>
              <w:spacing w:before="6" w:line="310" w:lineRule="atLeast"/>
              <w:ind w:left="107" w:leftChars="0" w:right="96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</w:rPr>
              <w:t>男性，年龄 60 周岁（含）以下，身体健康，体检合格，反应敏捷，吃苦耐劳，初中及以上文化，无违法犯罪记录，能胜任保安工作。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厨房管理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spacing w:before="1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pStyle w:val="7"/>
              <w:ind w:left="8" w:leftChars="0"/>
              <w:jc w:val="center"/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spacing w:line="242" w:lineRule="auto"/>
              <w:ind w:right="96" w:rightChars="0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负责厨房管理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7"/>
              <w:spacing w:before="2" w:line="242" w:lineRule="auto"/>
              <w:ind w:left="107" w:right="96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身体健康，持有有资质医院出具的合格有效的健康证明，未患有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职业病鉴定委员会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鉴定的职业病、传染病等，具备从事相关餐饮服务的身体条件。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厨师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spacing w:before="81" w:line="242" w:lineRule="auto"/>
              <w:ind w:left="107" w:leftChars="0" w:right="-29" w:rightChars="0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负责用餐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身体健康，持有有资质医院出具的合格有效的健康证明，未患有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职业病鉴定委员会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鉴定的职业病、传染病等，具备从事相关餐饮服务的身体条件。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点心师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spacing w:before="81" w:line="242" w:lineRule="auto"/>
              <w:ind w:left="107" w:leftChars="0" w:right="-29" w:rightChars="0"/>
              <w:jc w:val="center"/>
              <w:rPr>
                <w:rFonts w:hint="default" w:ascii="宋体" w:hAnsi="宋体" w:eastAsia="宋体" w:cs="宋体"/>
                <w:b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负责食堂点心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身体健康，持有有资质医院出具的合格有效的健康证明，未患有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职业病鉴定委员会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鉴定的职业病、传染病等，具备从事相关餐饮服务的身体条件。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杂工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spacing w:before="81" w:line="242" w:lineRule="auto"/>
              <w:ind w:left="107" w:leftChars="0" w:right="-29" w:rightChars="0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负责食堂后勤服务等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身体健康，持有有资质医院出具的合格有效的健康证明，未患有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职业病鉴定委员会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鉴定的职业病、传染病等，具备从事相关餐饮服务的身体条件。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90" w:type="dxa"/>
            <w:noWrap w:val="0"/>
            <w:vAlign w:val="center"/>
          </w:tcPr>
          <w:p>
            <w:pPr>
              <w:pStyle w:val="7"/>
              <w:spacing w:before="189"/>
              <w:ind w:left="107" w:leftChars="0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计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spacing w:before="205"/>
              <w:ind w:left="88" w:leftChars="0" w:right="80" w:rightChars="0"/>
              <w:jc w:val="center"/>
              <w:rPr>
                <w:rFonts w:hint="default" w:ascii="宋体" w:hAnsi="宋体" w:eastAsia="宋体" w:cs="宋体"/>
                <w:b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bCs/>
                <w:spacing w:val="-3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471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  <w:vertAlign w:val="baseline"/>
              </w:rPr>
            </w:pPr>
          </w:p>
        </w:tc>
      </w:tr>
    </w:tbl>
    <w:p>
      <w:pPr>
        <w:pStyle w:val="3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（2）人员其他要求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①承诺成交后，在合同生效之日起 10 日内提供安保及食堂服务人员的体检报告；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②承诺按《劳动法》有关规定签订用工合同，为安保及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食堂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服务人员按标准购买养老、医疗、工伤、失业、生育五类保险及意外伤害保险，人员工资标准不得低于三亚市的最低工资标准；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③供应商承诺对其服务人员在工作期间的疾病和人身安全、安全责任事故、劳务纠纷等负责，采购人对此不承担任何的责任和义务；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④从业人员接受过相关专业技能的培训；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⑤管理服务人员着装统一、规范，佩戴标识，文明用语，举止端庄，服务主动、热情。 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⑥保安人员须男性，具有紧急处理事情的能力，同时具有保密等方面的良好职业素养。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所有人员要求身体健康，品行端正。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⑦本项目所有服务人员只能在本项目服务，不得从事本项目以外的其他服务。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、项目相关履约能力要求: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1.成交供应商不得将项目分包或转包给任何单位和个人。否则采购人有权即刻终止合同，并要求成交供应商赔偿相应损失。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2.因本项目工作所需的服务人员的吃、住、行及通讯等费用由成交供应商负责。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3.处理特殊事件和紧急、突发事件时，采购人对成交供应商的工作人员有直接指挥权，成交供应商无条件配合。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4.成交供应商因维修维护等事项需要采购人配合时，应事先与采购人取得联系沟通，采购人应提供方便和配合，如事先不与采购人取得联系沟通造成物业损害时，成交供应商应承担赔偿及相关责任。 </w:t>
      </w:r>
    </w:p>
    <w:p>
      <w:pPr>
        <w:spacing w:line="360" w:lineRule="auto"/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服务质量考核评估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1、本项目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采购人有权聘请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第三方评估机构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进行评估。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2、评估考核以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是否按要求提供服务及项目完成的质量为标准，由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按年根据完成质量进行评估。评估考核时，由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制定评估考核方案，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根据服务内容配合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开展评估考核工作。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采购人根据每年年末考核情况决定是否续约。</w:t>
      </w:r>
    </w:p>
    <w:p>
      <w:pPr>
        <w:numPr>
          <w:ilvl w:val="0"/>
          <w:numId w:val="0"/>
        </w:numPr>
        <w:shd w:val="clear"/>
        <w:spacing w:after="161" w:afterLines="50" w:line="360" w:lineRule="auto"/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报价方式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、本项目的报价方式采用“暂定价+管理服务费”组成的总价方式进行报价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2、其中，暂定价为采购人拟定的人员工资、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五险、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高温补贴费、体检费、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加班费、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年终奖金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意外险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、服装费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等，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即派遣单位须向派遣人员发放及为派遣人员缴纳的费用，费用总额为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1544273.60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元/年，报价时投标人不得改变暂定价，且须在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文件《分项报价表》中“暂定价，含人员工资、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社保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、高温补贴费、体检费、年终奖金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意外险等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”单价一栏填写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1544273.60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元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/年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 否则，将可能导致投标无效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3、管理服务费由投标人自行报价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4、总报价不得超过本项目的采购预算。</w:t>
      </w:r>
    </w:p>
    <w:p>
      <w:pPr>
        <w:numPr>
          <w:ilvl w:val="0"/>
          <w:numId w:val="0"/>
        </w:numPr>
        <w:shd w:val="clear"/>
        <w:spacing w:after="161" w:afterLines="50" w:line="480" w:lineRule="exact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七、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其他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4"/>
          <w:highlight w:val="none"/>
        </w:rPr>
        <w:t>本项目预算金额为</w:t>
      </w:r>
      <w:r>
        <w:rPr>
          <w:rFonts w:hint="eastAsia" w:ascii="宋体" w:hAnsi="宋体" w:cs="宋体"/>
          <w:sz w:val="24"/>
          <w:szCs w:val="22"/>
          <w:lang w:val="en-US" w:eastAsia="zh-CN"/>
        </w:rPr>
        <w:t>1576673.60</w:t>
      </w:r>
      <w:r>
        <w:rPr>
          <w:rFonts w:hint="eastAsia" w:ascii="宋体" w:hAnsi="宋体" w:cs="宋体"/>
          <w:color w:val="auto"/>
          <w:sz w:val="24"/>
          <w:highlight w:val="none"/>
        </w:rPr>
        <w:t>元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/年</w:t>
      </w:r>
      <w:r>
        <w:rPr>
          <w:rFonts w:hint="eastAsia" w:ascii="宋体" w:hAnsi="宋体" w:cs="宋体"/>
          <w:color w:val="auto"/>
          <w:sz w:val="24"/>
          <w:highlight w:val="none"/>
        </w:rPr>
        <w:t>，最高限价为</w:t>
      </w:r>
      <w:r>
        <w:rPr>
          <w:rFonts w:hint="eastAsia" w:ascii="宋体" w:hAnsi="宋体" w:cs="宋体"/>
          <w:sz w:val="24"/>
          <w:szCs w:val="22"/>
          <w:lang w:val="en-US" w:eastAsia="zh-CN"/>
        </w:rPr>
        <w:t>1576673.60</w:t>
      </w:r>
      <w:r>
        <w:rPr>
          <w:rFonts w:hint="eastAsia" w:ascii="宋体" w:hAnsi="宋体" w:cs="宋体"/>
          <w:color w:val="auto"/>
          <w:sz w:val="24"/>
          <w:highlight w:val="none"/>
        </w:rPr>
        <w:t>元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/年</w:t>
      </w:r>
      <w:r>
        <w:rPr>
          <w:rFonts w:hint="eastAsia" w:ascii="宋体" w:hAnsi="宋体" w:cs="宋体"/>
          <w:color w:val="auto"/>
          <w:sz w:val="24"/>
          <w:highlight w:val="none"/>
        </w:rPr>
        <w:t>，超出采购预算金额的投标，按无效投标处理。</w:t>
      </w:r>
    </w:p>
    <w:p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、凡涉及磋商文件的补充说明和修改，均以采购代理机构在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中国</w:t>
      </w:r>
      <w:r>
        <w:rPr>
          <w:rFonts w:hint="eastAsia" w:ascii="宋体" w:hAnsi="宋体" w:cs="宋体"/>
          <w:color w:val="auto"/>
          <w:sz w:val="24"/>
          <w:highlight w:val="none"/>
        </w:rPr>
        <w:t>政府采购网发布的公告为准。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TE5ZDZjMzViNzFmODlhNzA0MGI2OWM3MjA2YjUifQ=="/>
  </w:docVars>
  <w:rsids>
    <w:rsidRoot w:val="34700342"/>
    <w:rsid w:val="347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cs="宋体"/>
      <w:sz w:val="18"/>
      <w:szCs w:val="18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2022-07-07T08:31:00Z</dcterms:created>
  <dc:creator>陈贺-CH</dc:creator>
  <cp:lastModifiedBy>陈贺-CH</cp:lastModifiedBy>
  <dcterms:modified xsi:type="dcterms:W3CDTF">2022-07-07T08:31:48Z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C19025E1934C46CD8CD3B26E7D94A853</vt:lpwstr>
  </property>
</Properties>
</file>