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90" w:lineRule="atLeast"/>
        <w:jc w:val="center"/>
        <w:rPr>
          <w:rFonts w:hint="default" w:ascii="宋体" w:eastAsia="宋体"/>
          <w:b/>
          <w:sz w:val="30"/>
          <w:szCs w:val="30"/>
          <w:lang w:val="en-US" w:eastAsia="zh-CN"/>
        </w:rPr>
      </w:pPr>
      <w:bookmarkStart w:id="0" w:name="_Toc31026"/>
      <w:r>
        <w:rPr>
          <w:rFonts w:hint="eastAsia" w:ascii="宋体"/>
          <w:b/>
          <w:sz w:val="30"/>
          <w:szCs w:val="30"/>
        </w:rPr>
        <w:t>采购编号：</w:t>
      </w:r>
      <w:r>
        <w:rPr>
          <w:rFonts w:hint="eastAsia" w:ascii="宋体"/>
          <w:b/>
          <w:sz w:val="30"/>
          <w:szCs w:val="30"/>
          <w:highlight w:val="none"/>
          <w:lang w:val="en-US" w:eastAsia="zh-CN"/>
        </w:rPr>
        <w:t>HXTCCG202206002</w:t>
      </w:r>
    </w:p>
    <w:p>
      <w:pPr>
        <w:shd w:val="clear" w:color="auto" w:fill="FFFFFF"/>
        <w:spacing w:line="390" w:lineRule="atLeast"/>
        <w:jc w:val="center"/>
        <w:rPr>
          <w:rFonts w:hint="default" w:ascii="宋体" w:eastAsia="宋体"/>
          <w:b/>
          <w:sz w:val="30"/>
          <w:szCs w:val="30"/>
          <w:lang w:val="en-US" w:eastAsia="zh-CN"/>
        </w:rPr>
      </w:pPr>
      <w:r>
        <w:rPr>
          <w:rFonts w:hint="eastAsia" w:ascii="宋体"/>
          <w:b/>
          <w:sz w:val="30"/>
          <w:szCs w:val="30"/>
          <w:lang w:val="en-US" w:eastAsia="zh-CN"/>
        </w:rPr>
        <w:t xml:space="preserve"> </w:t>
      </w:r>
    </w:p>
    <w:p>
      <w:pPr>
        <w:jc w:val="center"/>
        <w:rPr>
          <w:rFonts w:hint="eastAsia" w:ascii="宋体"/>
          <w:b/>
          <w:sz w:val="52"/>
          <w:szCs w:val="52"/>
        </w:rPr>
      </w:pPr>
      <w:r>
        <w:rPr>
          <w:rFonts w:hint="eastAsia" w:ascii="宋体"/>
          <w:b/>
          <w:sz w:val="40"/>
          <w:szCs w:val="40"/>
          <w:lang w:eastAsia="zh-CN"/>
        </w:rPr>
        <w:t>四川天府新区万安幼儿园灯具采购项目</w:t>
      </w:r>
    </w:p>
    <w:p>
      <w:pPr>
        <w:jc w:val="center"/>
        <w:rPr>
          <w:rFonts w:hint="eastAsia" w:ascii="宋体"/>
          <w:b/>
          <w:sz w:val="52"/>
          <w:szCs w:val="52"/>
        </w:rPr>
      </w:pPr>
    </w:p>
    <w:p>
      <w:pPr>
        <w:jc w:val="center"/>
        <w:rPr>
          <w:rFonts w:ascii="宋体"/>
          <w:b/>
          <w:sz w:val="72"/>
          <w:szCs w:val="72"/>
        </w:rPr>
      </w:pPr>
      <w:r>
        <w:rPr>
          <w:rFonts w:hint="eastAsia" w:ascii="宋体"/>
          <w:b/>
          <w:sz w:val="72"/>
          <w:szCs w:val="72"/>
        </w:rPr>
        <w:t>竞</w:t>
      </w:r>
    </w:p>
    <w:p>
      <w:pPr>
        <w:jc w:val="center"/>
        <w:rPr>
          <w:rFonts w:ascii="宋体"/>
          <w:b/>
          <w:sz w:val="72"/>
          <w:szCs w:val="72"/>
        </w:rPr>
      </w:pPr>
      <w:r>
        <w:rPr>
          <w:rFonts w:hint="eastAsia" w:ascii="宋体"/>
          <w:b/>
          <w:sz w:val="72"/>
          <w:szCs w:val="72"/>
        </w:rPr>
        <w:t>争</w:t>
      </w:r>
    </w:p>
    <w:p>
      <w:pPr>
        <w:jc w:val="center"/>
        <w:rPr>
          <w:rFonts w:ascii="宋体"/>
          <w:b/>
          <w:sz w:val="72"/>
          <w:szCs w:val="72"/>
        </w:rPr>
      </w:pPr>
      <w:r>
        <w:rPr>
          <w:rFonts w:hint="eastAsia" w:ascii="宋体"/>
          <w:b/>
          <w:sz w:val="72"/>
          <w:szCs w:val="72"/>
        </w:rPr>
        <w:t>性</w:t>
      </w:r>
    </w:p>
    <w:p>
      <w:pPr>
        <w:jc w:val="center"/>
        <w:rPr>
          <w:rFonts w:ascii="宋体"/>
          <w:b/>
          <w:sz w:val="72"/>
          <w:szCs w:val="72"/>
        </w:rPr>
      </w:pPr>
      <w:r>
        <w:rPr>
          <w:rFonts w:hint="eastAsia" w:ascii="宋体"/>
          <w:b/>
          <w:sz w:val="72"/>
          <w:szCs w:val="72"/>
        </w:rPr>
        <w:t>磋</w:t>
      </w:r>
    </w:p>
    <w:p>
      <w:pPr>
        <w:jc w:val="center"/>
        <w:rPr>
          <w:b/>
          <w:sz w:val="72"/>
          <w:szCs w:val="72"/>
        </w:rPr>
      </w:pPr>
      <w:r>
        <w:rPr>
          <w:rFonts w:hint="eastAsia" w:ascii="宋体"/>
          <w:b/>
          <w:sz w:val="72"/>
          <w:szCs w:val="72"/>
        </w:rPr>
        <w:t>商</w:t>
      </w:r>
    </w:p>
    <w:p>
      <w:pPr>
        <w:tabs>
          <w:tab w:val="center" w:pos="4848"/>
          <w:tab w:val="left" w:pos="7680"/>
        </w:tabs>
        <w:jc w:val="center"/>
        <w:rPr>
          <w:b/>
          <w:sz w:val="72"/>
          <w:szCs w:val="72"/>
        </w:rPr>
      </w:pPr>
      <w:r>
        <w:rPr>
          <w:rFonts w:hint="eastAsia"/>
          <w:b/>
          <w:sz w:val="72"/>
          <w:szCs w:val="72"/>
        </w:rPr>
        <w:t>文</w:t>
      </w:r>
    </w:p>
    <w:p>
      <w:pPr>
        <w:jc w:val="center"/>
        <w:rPr>
          <w:rFonts w:hint="eastAsia"/>
          <w:b/>
          <w:sz w:val="72"/>
          <w:szCs w:val="72"/>
        </w:rPr>
      </w:pPr>
      <w:r>
        <w:rPr>
          <w:rFonts w:hint="eastAsia"/>
          <w:b/>
          <w:sz w:val="72"/>
          <w:szCs w:val="72"/>
        </w:rPr>
        <w:t>件</w:t>
      </w:r>
    </w:p>
    <w:p>
      <w:pPr>
        <w:jc w:val="center"/>
      </w:pPr>
    </w:p>
    <w:p>
      <w:pPr>
        <w:jc w:val="center"/>
      </w:pPr>
    </w:p>
    <w:p>
      <w:pPr>
        <w:pStyle w:val="2"/>
      </w:pPr>
    </w:p>
    <w:p>
      <w:pPr>
        <w:spacing w:line="360" w:lineRule="auto"/>
        <w:jc w:val="center"/>
        <w:rPr>
          <w:rFonts w:hint="eastAsia"/>
          <w:b/>
          <w:sz w:val="32"/>
          <w:szCs w:val="32"/>
        </w:rPr>
      </w:pPr>
      <w:r>
        <w:rPr>
          <w:rFonts w:hint="eastAsia"/>
          <w:b/>
          <w:sz w:val="32"/>
          <w:szCs w:val="32"/>
        </w:rPr>
        <w:t>中国·四川（</w:t>
      </w:r>
      <w:r>
        <w:rPr>
          <w:rFonts w:hint="eastAsia"/>
          <w:b/>
          <w:sz w:val="32"/>
          <w:szCs w:val="32"/>
          <w:lang w:val="en-US" w:eastAsia="zh-CN"/>
        </w:rPr>
        <w:t>双流区</w:t>
      </w:r>
      <w:r>
        <w:rPr>
          <w:rFonts w:hint="eastAsia"/>
          <w:b/>
          <w:sz w:val="32"/>
          <w:szCs w:val="32"/>
        </w:rPr>
        <w:t>）</w:t>
      </w:r>
    </w:p>
    <w:p>
      <w:pPr>
        <w:spacing w:line="360" w:lineRule="auto"/>
        <w:jc w:val="center"/>
        <w:rPr>
          <w:rFonts w:hint="eastAsia" w:ascii="宋体" w:eastAsia="宋体"/>
          <w:b/>
          <w:sz w:val="32"/>
          <w:szCs w:val="32"/>
          <w:lang w:eastAsia="zh-CN"/>
        </w:rPr>
      </w:pPr>
      <w:bookmarkStart w:id="1" w:name="_Hlk83564432"/>
      <w:r>
        <w:rPr>
          <w:rFonts w:hint="eastAsia" w:ascii="宋体"/>
          <w:b/>
          <w:sz w:val="32"/>
          <w:szCs w:val="32"/>
        </w:rPr>
        <w:t>采购人：</w:t>
      </w:r>
      <w:r>
        <w:rPr>
          <w:rFonts w:hint="eastAsia" w:ascii="宋体"/>
          <w:b/>
          <w:sz w:val="32"/>
          <w:szCs w:val="32"/>
          <w:lang w:eastAsia="zh-CN"/>
        </w:rPr>
        <w:t>四川天府新区万安幼儿园</w:t>
      </w:r>
    </w:p>
    <w:bookmarkEnd w:id="1"/>
    <w:p>
      <w:pPr>
        <w:spacing w:line="360" w:lineRule="auto"/>
        <w:jc w:val="center"/>
        <w:rPr>
          <w:rFonts w:hint="eastAsia" w:ascii="宋体" w:eastAsia="宋体"/>
          <w:b/>
          <w:sz w:val="32"/>
          <w:szCs w:val="32"/>
          <w:lang w:eastAsia="zh-CN"/>
        </w:rPr>
      </w:pPr>
      <w:r>
        <w:rPr>
          <w:rFonts w:hint="eastAsia" w:ascii="宋体"/>
          <w:b/>
          <w:sz w:val="32"/>
          <w:szCs w:val="32"/>
        </w:rPr>
        <w:t>采购代理机构：</w:t>
      </w:r>
      <w:r>
        <w:rPr>
          <w:rFonts w:hint="eastAsia" w:ascii="宋体"/>
          <w:b/>
          <w:sz w:val="32"/>
          <w:szCs w:val="32"/>
          <w:lang w:eastAsia="zh-CN"/>
        </w:rPr>
        <w:t>华信天成工程管理有限公司</w:t>
      </w:r>
    </w:p>
    <w:p>
      <w:pPr>
        <w:pStyle w:val="4"/>
        <w:keepNext w:val="0"/>
        <w:keepLines w:val="0"/>
        <w:spacing w:line="360" w:lineRule="exact"/>
        <w:jc w:val="center"/>
        <w:rPr>
          <w:rFonts w:hint="eastAsia" w:ascii="宋体" w:hAnsi="宋体" w:eastAsia="宋体" w:cs="宋体"/>
          <w:bCs w:val="0"/>
          <w:sz w:val="24"/>
          <w:szCs w:val="24"/>
        </w:rPr>
      </w:pP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lang w:val="zh-CN"/>
        </w:rPr>
        <w:t>年</w:t>
      </w:r>
      <w:r>
        <w:rPr>
          <w:rFonts w:hint="eastAsia" w:ascii="宋体" w:hAnsi="宋体" w:eastAsia="宋体" w:cs="宋体"/>
          <w:lang w:val="en-US" w:eastAsia="zh-CN"/>
        </w:rPr>
        <w:t>06</w:t>
      </w:r>
      <w:r>
        <w:rPr>
          <w:rFonts w:hint="eastAsia" w:ascii="宋体" w:hAnsi="宋体" w:eastAsia="宋体" w:cs="宋体"/>
          <w:lang w:val="zh-CN"/>
        </w:rPr>
        <w:t>月</w:t>
      </w:r>
    </w:p>
    <w:p>
      <w:pPr>
        <w:jc w:val="left"/>
        <w:rPr>
          <w:rFonts w:hint="eastAsia" w:ascii="宋体" w:hAnsi="宋体" w:eastAsia="宋体" w:cs="宋体"/>
          <w:bCs w:val="0"/>
          <w:color w:val="auto"/>
          <w:sz w:val="44"/>
          <w:szCs w:val="40"/>
          <w:highlight w:val="none"/>
        </w:rPr>
      </w:pPr>
    </w:p>
    <w:p>
      <w:pPr>
        <w:pStyle w:val="4"/>
        <w:keepNext w:val="0"/>
        <w:keepLines w:val="0"/>
        <w:spacing w:line="360" w:lineRule="auto"/>
        <w:jc w:val="center"/>
        <w:rPr>
          <w:rFonts w:ascii="宋体" w:hAnsi="宋体" w:eastAsia="宋体" w:cs="宋体"/>
          <w:color w:val="auto"/>
          <w:highlight w:val="none"/>
        </w:rPr>
      </w:pPr>
      <w:r>
        <w:rPr>
          <w:rFonts w:hint="eastAsia" w:ascii="宋体" w:hAnsi="宋体" w:eastAsia="宋体" w:cs="宋体"/>
          <w:bCs w:val="0"/>
          <w:color w:val="auto"/>
          <w:sz w:val="44"/>
          <w:szCs w:val="40"/>
          <w:highlight w:val="none"/>
        </w:rPr>
        <w:t>目  录</w:t>
      </w:r>
      <w:bookmarkEnd w:id="0"/>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p>
    <w:p>
      <w:pPr>
        <w:pStyle w:val="22"/>
        <w:tabs>
          <w:tab w:val="right" w:leader="dot" w:pos="8306"/>
        </w:tabs>
        <w:spacing w:line="600" w:lineRule="auto"/>
        <w:ind w:left="0" w:leftChars="0"/>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"_Toc2872" </w:instrText>
      </w:r>
      <w:r>
        <w:rPr>
          <w:color w:val="auto"/>
          <w:highlight w:val="none"/>
        </w:rPr>
        <w:fldChar w:fldCharType="separate"/>
      </w:r>
      <w:r>
        <w:rPr>
          <w:rFonts w:hint="eastAsia" w:ascii="宋体" w:hAnsi="宋体" w:cs="宋体"/>
          <w:color w:val="auto"/>
          <w:sz w:val="24"/>
          <w:szCs w:val="32"/>
          <w:highlight w:val="none"/>
        </w:rPr>
        <w:t>第一章  磋商邀请</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_Toc2872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3</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2"/>
        <w:tabs>
          <w:tab w:val="right" w:leader="dot" w:pos="8306"/>
        </w:tabs>
        <w:spacing w:line="600" w:lineRule="auto"/>
        <w:ind w:left="0" w:leftChars="0"/>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"_Toc17850" </w:instrText>
      </w:r>
      <w:r>
        <w:rPr>
          <w:color w:val="auto"/>
          <w:highlight w:val="none"/>
        </w:rPr>
        <w:fldChar w:fldCharType="separate"/>
      </w:r>
      <w:r>
        <w:rPr>
          <w:rFonts w:hint="eastAsia" w:ascii="宋体" w:hAnsi="宋体" w:cs="宋体"/>
          <w:color w:val="auto"/>
          <w:sz w:val="24"/>
          <w:szCs w:val="32"/>
          <w:highlight w:val="none"/>
        </w:rPr>
        <w:t>第二章  磋商须知</w:t>
      </w:r>
      <w:r>
        <w:rPr>
          <w:rFonts w:hint="eastAsia" w:ascii="宋体" w:hAnsi="宋体" w:cs="宋体"/>
          <w:color w:val="auto"/>
          <w:sz w:val="24"/>
          <w:szCs w:val="32"/>
          <w:highlight w:val="none"/>
        </w:rPr>
        <w:tab/>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fldChar w:fldCharType="end"/>
      </w:r>
    </w:p>
    <w:p>
      <w:pPr>
        <w:pStyle w:val="22"/>
        <w:tabs>
          <w:tab w:val="right" w:leader="dot" w:pos="8306"/>
        </w:tabs>
        <w:spacing w:line="600" w:lineRule="auto"/>
        <w:ind w:left="0" w:leftChars="0"/>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"_Toc12072" </w:instrText>
      </w:r>
      <w:r>
        <w:rPr>
          <w:color w:val="auto"/>
          <w:highlight w:val="none"/>
        </w:rPr>
        <w:fldChar w:fldCharType="separate"/>
      </w:r>
      <w:r>
        <w:rPr>
          <w:rFonts w:hint="eastAsia" w:ascii="宋体" w:hAnsi="宋体" w:cs="宋体"/>
          <w:color w:val="auto"/>
          <w:sz w:val="24"/>
          <w:szCs w:val="32"/>
          <w:highlight w:val="none"/>
        </w:rPr>
        <w:t>第三章  供应商资格条件要求</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_Toc12072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25</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2"/>
        <w:tabs>
          <w:tab w:val="right" w:leader="dot" w:pos="8306"/>
        </w:tabs>
        <w:spacing w:line="600" w:lineRule="auto"/>
        <w:ind w:left="0" w:leftChars="0"/>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"_Toc15457" </w:instrText>
      </w:r>
      <w:r>
        <w:rPr>
          <w:color w:val="auto"/>
          <w:highlight w:val="none"/>
        </w:rPr>
        <w:fldChar w:fldCharType="separate"/>
      </w:r>
      <w:r>
        <w:rPr>
          <w:rFonts w:hint="eastAsia" w:ascii="宋体" w:hAnsi="宋体" w:cs="宋体"/>
          <w:color w:val="auto"/>
          <w:sz w:val="24"/>
          <w:szCs w:val="32"/>
          <w:highlight w:val="none"/>
        </w:rPr>
        <w:t>第四章  供应商资格证明材料</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_Toc15457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26</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2"/>
        <w:tabs>
          <w:tab w:val="right" w:leader="dot" w:pos="8306"/>
        </w:tabs>
        <w:spacing w:line="600" w:lineRule="auto"/>
        <w:ind w:left="0" w:leftChars="0"/>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"_Toc29688" </w:instrText>
      </w:r>
      <w:r>
        <w:rPr>
          <w:color w:val="auto"/>
          <w:highlight w:val="none"/>
        </w:rPr>
        <w:fldChar w:fldCharType="separate"/>
      </w:r>
      <w:r>
        <w:rPr>
          <w:rFonts w:hint="eastAsia" w:ascii="宋体" w:hAnsi="宋体" w:cs="宋体"/>
          <w:color w:val="auto"/>
          <w:sz w:val="24"/>
          <w:szCs w:val="32"/>
          <w:highlight w:val="none"/>
        </w:rPr>
        <w:t>第五章  采购项目技术、服务、政府采购合同内容条款及其他商务要求</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_Toc29688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28</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2"/>
        <w:tabs>
          <w:tab w:val="right" w:leader="dot" w:pos="8306"/>
        </w:tabs>
        <w:spacing w:line="600" w:lineRule="auto"/>
        <w:ind w:left="0" w:leftChars="0"/>
        <w:rPr>
          <w:rFonts w:hint="eastAsia" w:ascii="宋体" w:hAnsi="宋体" w:eastAsia="宋体" w:cs="宋体"/>
          <w:color w:val="auto"/>
          <w:sz w:val="24"/>
          <w:szCs w:val="32"/>
          <w:highlight w:val="none"/>
          <w:lang w:val="en-US" w:eastAsia="zh-CN"/>
        </w:rPr>
      </w:pPr>
      <w:r>
        <w:rPr>
          <w:color w:val="auto"/>
          <w:highlight w:val="none"/>
        </w:rPr>
        <w:fldChar w:fldCharType="begin"/>
      </w:r>
      <w:r>
        <w:rPr>
          <w:color w:val="auto"/>
          <w:highlight w:val="none"/>
        </w:rPr>
        <w:instrText xml:space="preserve"> HYPERLINK \l "_Toc25527" </w:instrText>
      </w:r>
      <w:r>
        <w:rPr>
          <w:color w:val="auto"/>
          <w:highlight w:val="none"/>
        </w:rPr>
        <w:fldChar w:fldCharType="separate"/>
      </w:r>
      <w:r>
        <w:rPr>
          <w:rFonts w:hint="eastAsia" w:ascii="宋体" w:hAnsi="宋体" w:cs="宋体"/>
          <w:color w:val="auto"/>
          <w:sz w:val="24"/>
          <w:szCs w:val="32"/>
          <w:highlight w:val="none"/>
        </w:rPr>
        <w:t>第六章  响应文件格式</w:t>
      </w:r>
      <w:r>
        <w:rPr>
          <w:rFonts w:hint="eastAsia" w:ascii="宋体" w:hAnsi="宋体" w:cs="宋体"/>
          <w:color w:val="auto"/>
          <w:sz w:val="24"/>
          <w:szCs w:val="32"/>
          <w:highlight w:val="none"/>
        </w:rPr>
        <w:tab/>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val="en-US" w:eastAsia="zh-CN"/>
        </w:rPr>
        <w:t>4</w:t>
      </w:r>
    </w:p>
    <w:p>
      <w:pPr>
        <w:pStyle w:val="22"/>
        <w:tabs>
          <w:tab w:val="right" w:leader="dot" w:pos="8306"/>
        </w:tabs>
        <w:spacing w:line="600" w:lineRule="auto"/>
        <w:ind w:left="0" w:leftChars="0"/>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"_Toc18158" </w:instrText>
      </w:r>
      <w:r>
        <w:rPr>
          <w:color w:val="auto"/>
          <w:highlight w:val="none"/>
        </w:rPr>
        <w:fldChar w:fldCharType="separate"/>
      </w:r>
      <w:r>
        <w:rPr>
          <w:rFonts w:hint="eastAsia" w:ascii="宋体" w:hAnsi="宋体" w:cs="宋体"/>
          <w:color w:val="auto"/>
          <w:sz w:val="24"/>
          <w:szCs w:val="32"/>
          <w:highlight w:val="none"/>
        </w:rPr>
        <w:t>第七章  评审方法</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_Toc18158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51</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2"/>
        <w:tabs>
          <w:tab w:val="right" w:leader="dot" w:pos="8306"/>
        </w:tabs>
        <w:spacing w:line="600" w:lineRule="auto"/>
        <w:ind w:left="0" w:leftChars="0"/>
        <w:rPr>
          <w:rFonts w:hint="default" w:ascii="宋体" w:hAnsi="宋体" w:eastAsia="宋体" w:cs="宋体"/>
          <w:color w:val="auto"/>
          <w:sz w:val="24"/>
          <w:szCs w:val="32"/>
          <w:highlight w:val="none"/>
          <w:lang w:val="en-US" w:eastAsia="zh-CN"/>
        </w:rPr>
      </w:pPr>
      <w:r>
        <w:rPr>
          <w:color w:val="auto"/>
          <w:highlight w:val="none"/>
        </w:rPr>
        <w:fldChar w:fldCharType="begin"/>
      </w:r>
      <w:r>
        <w:rPr>
          <w:color w:val="auto"/>
          <w:highlight w:val="none"/>
        </w:rPr>
        <w:instrText xml:space="preserve"> HYPERLINK \l "_Toc32258" </w:instrText>
      </w:r>
      <w:r>
        <w:rPr>
          <w:color w:val="auto"/>
          <w:highlight w:val="none"/>
        </w:rPr>
        <w:fldChar w:fldCharType="separate"/>
      </w:r>
      <w:r>
        <w:rPr>
          <w:rFonts w:hint="eastAsia" w:ascii="宋体" w:hAnsi="宋体" w:cs="宋体"/>
          <w:color w:val="auto"/>
          <w:sz w:val="24"/>
          <w:szCs w:val="32"/>
          <w:highlight w:val="none"/>
        </w:rPr>
        <w:t>第八章  政府采购合同</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val="en-US" w:eastAsia="zh-CN"/>
        </w:rPr>
        <w:t>68</w:t>
      </w:r>
    </w:p>
    <w:p>
      <w:pPr>
        <w:pStyle w:val="22"/>
        <w:tabs>
          <w:tab w:val="right" w:leader="dot" w:pos="8306"/>
        </w:tabs>
        <w:spacing w:line="600" w:lineRule="auto"/>
        <w:ind w:left="0" w:leftChars="0"/>
        <w:rPr>
          <w:rFonts w:hint="default" w:ascii="宋体" w:hAnsi="宋体" w:cs="宋体"/>
          <w:color w:val="auto"/>
          <w:sz w:val="24"/>
          <w:szCs w:val="32"/>
          <w:highlight w:val="none"/>
          <w:lang w:val="en-US" w:eastAsia="zh-CN"/>
        </w:rPr>
      </w:pPr>
      <w:r>
        <w:rPr>
          <w:rFonts w:hint="eastAsia" w:ascii="宋体" w:hAnsi="宋体" w:cs="宋体"/>
          <w:color w:val="auto"/>
          <w:highlight w:val="none"/>
        </w:rPr>
        <w:fldChar w:fldCharType="end"/>
      </w:r>
    </w:p>
    <w:p>
      <w:pPr>
        <w:rPr>
          <w:rFonts w:ascii="宋体" w:hAnsi="宋体" w:cs="宋体"/>
          <w:color w:val="auto"/>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p>
    <w:p>
      <w:pPr>
        <w:pStyle w:val="4"/>
        <w:keepNext w:val="0"/>
        <w:keepLines w:val="0"/>
        <w:spacing w:line="360" w:lineRule="auto"/>
        <w:rPr>
          <w:rFonts w:ascii="宋体" w:hAnsi="宋体" w:eastAsia="宋体" w:cs="宋体"/>
          <w:bCs w:val="0"/>
          <w:color w:val="auto"/>
          <w:sz w:val="36"/>
          <w:highlight w:val="none"/>
        </w:rPr>
        <w:sectPr>
          <w:footerReference r:id="rId5" w:type="first"/>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3"/>
        <w:jc w:val="center"/>
        <w:outlineLvl w:val="0"/>
        <w:rPr>
          <w:rFonts w:ascii="宋体" w:hAnsi="宋体" w:eastAsia="宋体" w:cs="宋体"/>
          <w:color w:val="auto"/>
          <w:highlight w:val="none"/>
        </w:rPr>
      </w:pPr>
      <w:bookmarkStart w:id="2" w:name="_Toc2872"/>
      <w:r>
        <w:rPr>
          <w:rFonts w:hint="eastAsia" w:ascii="宋体" w:hAnsi="宋体" w:eastAsia="宋体" w:cs="宋体"/>
          <w:color w:val="auto"/>
          <w:highlight w:val="none"/>
        </w:rPr>
        <w:t>第一章  磋商邀请</w:t>
      </w:r>
      <w:bookmarkEnd w:id="2"/>
    </w:p>
    <w:p>
      <w:pPr>
        <w:spacing w:line="360" w:lineRule="auto"/>
        <w:ind w:firstLine="482" w:firstLineChars="200"/>
        <w:jc w:val="left"/>
        <w:rPr>
          <w:rStyle w:val="31"/>
          <w:rFonts w:hint="eastAsia" w:ascii="宋体" w:hAnsi="宋体" w:eastAsia="宋体" w:cs="宋体"/>
          <w:b/>
          <w:bCs/>
          <w:i w:val="0"/>
          <w:iCs w:val="0"/>
          <w:caps w:val="0"/>
          <w:color w:val="auto"/>
          <w:spacing w:val="0"/>
          <w:sz w:val="24"/>
          <w:szCs w:val="24"/>
          <w:highlight w:val="none"/>
          <w:shd w:val="clear" w:fill="FFFFFF"/>
        </w:rPr>
      </w:pPr>
      <w:bookmarkStart w:id="3" w:name="_Toc17850"/>
      <w:bookmarkStart w:id="4" w:name="_Toc213397009"/>
      <w:bookmarkStart w:id="5" w:name="_Toc213396759"/>
      <w:bookmarkStart w:id="6" w:name="_Toc213396945"/>
      <w:bookmarkStart w:id="7" w:name="_Toc213496267"/>
      <w:bookmarkStart w:id="8" w:name="_Toc217446031"/>
      <w:r>
        <w:rPr>
          <w:rFonts w:hint="eastAsia" w:ascii="宋体" w:hAnsi="宋体" w:cs="宋体"/>
          <w:b/>
          <w:bCs/>
          <w:color w:val="auto"/>
          <w:sz w:val="24"/>
          <w:szCs w:val="28"/>
          <w:highlight w:val="none"/>
          <w:u w:val="single"/>
          <w:lang w:eastAsia="zh-CN"/>
        </w:rPr>
        <w:t>华信天成工程管理有限公司</w:t>
      </w:r>
      <w:r>
        <w:rPr>
          <w:rFonts w:hint="eastAsia" w:ascii="宋体" w:hAnsi="宋体" w:cs="宋体"/>
          <w:b/>
          <w:bCs/>
          <w:color w:val="auto"/>
          <w:sz w:val="24"/>
          <w:szCs w:val="28"/>
          <w:highlight w:val="none"/>
          <w:u w:val="single"/>
        </w:rPr>
        <w:t>（采购代理机构）</w:t>
      </w:r>
      <w:r>
        <w:rPr>
          <w:rFonts w:hint="eastAsia" w:ascii="宋体" w:hAnsi="宋体" w:cs="宋体"/>
          <w:color w:val="auto"/>
          <w:sz w:val="24"/>
          <w:szCs w:val="28"/>
          <w:highlight w:val="none"/>
        </w:rPr>
        <w:t>受</w:t>
      </w:r>
      <w:r>
        <w:rPr>
          <w:rFonts w:hint="eastAsia" w:ascii="宋体" w:hAnsi="宋体" w:cs="宋体"/>
          <w:b/>
          <w:bCs/>
          <w:color w:val="auto"/>
          <w:sz w:val="24"/>
          <w:szCs w:val="28"/>
          <w:highlight w:val="none"/>
          <w:u w:val="single"/>
          <w:lang w:eastAsia="zh-CN"/>
        </w:rPr>
        <w:t>四川天府新区万安幼儿园</w:t>
      </w:r>
      <w:r>
        <w:rPr>
          <w:rFonts w:hint="eastAsia" w:ascii="宋体" w:hAnsi="宋体" w:cs="宋体"/>
          <w:b/>
          <w:bCs/>
          <w:color w:val="auto"/>
          <w:sz w:val="24"/>
          <w:szCs w:val="28"/>
          <w:highlight w:val="none"/>
          <w:u w:val="single"/>
        </w:rPr>
        <w:t>(采购人)</w:t>
      </w:r>
      <w:r>
        <w:rPr>
          <w:rFonts w:hint="eastAsia" w:ascii="宋体" w:hAnsi="宋体" w:cs="宋体"/>
          <w:color w:val="auto"/>
          <w:sz w:val="24"/>
          <w:szCs w:val="28"/>
          <w:highlight w:val="none"/>
        </w:rPr>
        <w:t>委托，拟对</w:t>
      </w:r>
      <w:r>
        <w:rPr>
          <w:rFonts w:hint="eastAsia" w:ascii="宋体" w:hAnsi="宋体" w:cs="宋体"/>
          <w:b/>
          <w:bCs/>
          <w:color w:val="auto"/>
          <w:sz w:val="24"/>
          <w:szCs w:val="28"/>
          <w:highlight w:val="none"/>
          <w:u w:val="single"/>
          <w:lang w:eastAsia="zh-CN"/>
        </w:rPr>
        <w:t>四川天府新区万安幼儿园灯具采购项目</w:t>
      </w:r>
      <w:r>
        <w:rPr>
          <w:rFonts w:hint="eastAsia" w:ascii="宋体" w:hAnsi="宋体" w:cs="宋体"/>
          <w:color w:val="auto"/>
          <w:sz w:val="24"/>
          <w:szCs w:val="28"/>
          <w:highlight w:val="none"/>
        </w:rPr>
        <w:t>采用</w:t>
      </w:r>
      <w:r>
        <w:rPr>
          <w:rFonts w:hint="eastAsia" w:ascii="宋体" w:hAnsi="宋体" w:cs="宋体"/>
          <w:b/>
          <w:bCs/>
          <w:color w:val="auto"/>
          <w:sz w:val="24"/>
          <w:szCs w:val="28"/>
          <w:highlight w:val="none"/>
          <w:u w:val="single"/>
        </w:rPr>
        <w:t>竞争性磋商</w:t>
      </w:r>
      <w:r>
        <w:rPr>
          <w:rFonts w:hint="eastAsia" w:ascii="宋体" w:hAnsi="宋体" w:cs="宋体"/>
          <w:color w:val="auto"/>
          <w:sz w:val="24"/>
          <w:szCs w:val="28"/>
          <w:highlight w:val="none"/>
        </w:rPr>
        <w:t>方式进行采购，特邀请符合本次采购要求的供应商参加本项目的竞争性磋商。</w:t>
      </w:r>
    </w:p>
    <w:p>
      <w:pPr>
        <w:spacing w:line="440" w:lineRule="exact"/>
        <w:ind w:firstLine="482"/>
        <w:rPr>
          <w:rFonts w:cs="宋体"/>
          <w:b/>
          <w:color w:val="000000"/>
          <w:sz w:val="24"/>
          <w:szCs w:val="24"/>
        </w:rPr>
      </w:pPr>
      <w:r>
        <w:rPr>
          <w:rFonts w:hint="eastAsia" w:cs="宋体"/>
          <w:b/>
          <w:color w:val="000000"/>
          <w:sz w:val="24"/>
          <w:szCs w:val="24"/>
        </w:rPr>
        <w:t>一、采购项目基本情况</w:t>
      </w:r>
    </w:p>
    <w:p>
      <w:pPr>
        <w:spacing w:line="440" w:lineRule="exact"/>
        <w:ind w:firstLine="480"/>
        <w:rPr>
          <w:rFonts w:hint="default" w:cs="宋体"/>
          <w:color w:val="000000"/>
          <w:sz w:val="24"/>
          <w:szCs w:val="24"/>
          <w:highlight w:val="none"/>
          <w:lang w:val="en-US" w:eastAsia="zh-CN"/>
        </w:rPr>
      </w:pPr>
      <w:r>
        <w:rPr>
          <w:rFonts w:hint="eastAsia" w:cs="宋体"/>
          <w:color w:val="000000"/>
          <w:sz w:val="24"/>
          <w:szCs w:val="24"/>
        </w:rPr>
        <w:t>1.项目编号：</w:t>
      </w:r>
      <w:r>
        <w:rPr>
          <w:rFonts w:hint="eastAsia" w:cs="宋体"/>
          <w:color w:val="000000"/>
          <w:sz w:val="24"/>
          <w:szCs w:val="24"/>
          <w:highlight w:val="none"/>
          <w:lang w:val="en-US" w:eastAsia="zh-CN"/>
        </w:rPr>
        <w:t>HXTCCG202206002</w:t>
      </w:r>
    </w:p>
    <w:p>
      <w:pPr>
        <w:spacing w:line="440" w:lineRule="exact"/>
        <w:ind w:firstLine="480"/>
        <w:rPr>
          <w:rFonts w:hint="eastAsia" w:eastAsia="宋体" w:cs="宋体"/>
          <w:color w:val="000000"/>
          <w:sz w:val="24"/>
          <w:szCs w:val="24"/>
          <w:highlight w:val="none"/>
          <w:lang w:eastAsia="zh-CN"/>
        </w:rPr>
      </w:pPr>
      <w:r>
        <w:rPr>
          <w:rFonts w:hint="eastAsia" w:cs="宋体"/>
          <w:color w:val="000000"/>
          <w:sz w:val="24"/>
          <w:szCs w:val="24"/>
          <w:highlight w:val="none"/>
        </w:rPr>
        <w:t>2.采购项目名称：</w:t>
      </w:r>
      <w:r>
        <w:rPr>
          <w:rFonts w:hint="eastAsia" w:cs="宋体"/>
          <w:color w:val="000000"/>
          <w:sz w:val="24"/>
          <w:szCs w:val="24"/>
          <w:highlight w:val="none"/>
          <w:lang w:eastAsia="zh-CN"/>
        </w:rPr>
        <w:t>四川天府新区万安幼儿园灯具采购项目</w:t>
      </w:r>
    </w:p>
    <w:p>
      <w:pPr>
        <w:spacing w:line="440" w:lineRule="exact"/>
        <w:ind w:firstLine="480"/>
        <w:rPr>
          <w:rFonts w:cs="宋体"/>
          <w:color w:val="000000"/>
          <w:sz w:val="24"/>
          <w:szCs w:val="24"/>
          <w:highlight w:val="none"/>
        </w:rPr>
      </w:pPr>
      <w:r>
        <w:rPr>
          <w:rFonts w:hint="eastAsia" w:cs="宋体"/>
          <w:color w:val="000000"/>
          <w:sz w:val="24"/>
          <w:szCs w:val="24"/>
          <w:highlight w:val="none"/>
        </w:rPr>
        <w:t>3.采购人：</w:t>
      </w:r>
      <w:r>
        <w:rPr>
          <w:rFonts w:hint="eastAsia" w:cs="宋体"/>
          <w:color w:val="000000"/>
          <w:sz w:val="24"/>
          <w:szCs w:val="24"/>
          <w:highlight w:val="none"/>
          <w:lang w:eastAsia="zh-CN"/>
        </w:rPr>
        <w:t>四川天府新区万安幼儿园</w:t>
      </w:r>
    </w:p>
    <w:p>
      <w:pPr>
        <w:spacing w:line="440" w:lineRule="exact"/>
        <w:ind w:firstLine="480"/>
        <w:rPr>
          <w:rFonts w:hint="eastAsia" w:hAnsi="Calibri" w:eastAsia="宋体"/>
          <w:sz w:val="24"/>
          <w:szCs w:val="24"/>
          <w:highlight w:val="none"/>
          <w:lang w:eastAsia="zh-CN"/>
        </w:rPr>
      </w:pPr>
      <w:r>
        <w:rPr>
          <w:rFonts w:hint="eastAsia" w:cs="宋体"/>
          <w:color w:val="000000"/>
          <w:sz w:val="24"/>
          <w:szCs w:val="24"/>
          <w:highlight w:val="none"/>
        </w:rPr>
        <w:t>4.采购代理机构：</w:t>
      </w:r>
      <w:r>
        <w:rPr>
          <w:rFonts w:hint="eastAsia" w:cs="宋体"/>
          <w:color w:val="000000"/>
          <w:sz w:val="24"/>
          <w:szCs w:val="24"/>
          <w:highlight w:val="none"/>
          <w:lang w:eastAsia="zh-CN"/>
        </w:rPr>
        <w:t>华信天成工程管理有限公司</w:t>
      </w:r>
    </w:p>
    <w:p>
      <w:pPr>
        <w:spacing w:line="440" w:lineRule="exact"/>
        <w:ind w:firstLine="482"/>
        <w:rPr>
          <w:rFonts w:cs="宋体"/>
          <w:color w:val="000000"/>
          <w:sz w:val="24"/>
          <w:szCs w:val="24"/>
          <w:highlight w:val="none"/>
        </w:rPr>
      </w:pPr>
      <w:r>
        <w:rPr>
          <w:rFonts w:hint="eastAsia" w:cs="宋体"/>
          <w:b/>
          <w:color w:val="000000"/>
          <w:sz w:val="24"/>
          <w:szCs w:val="24"/>
          <w:highlight w:val="none"/>
        </w:rPr>
        <w:t>二</w:t>
      </w:r>
      <w:r>
        <w:rPr>
          <w:rFonts w:hint="eastAsia" w:cs="宋体"/>
          <w:b/>
          <w:bCs/>
          <w:color w:val="000000"/>
          <w:sz w:val="24"/>
          <w:szCs w:val="24"/>
          <w:highlight w:val="none"/>
        </w:rPr>
        <w:t>、</w:t>
      </w:r>
      <w:r>
        <w:rPr>
          <w:rFonts w:hint="eastAsia" w:cs="宋体"/>
          <w:b/>
          <w:color w:val="000000"/>
          <w:sz w:val="24"/>
          <w:szCs w:val="24"/>
          <w:highlight w:val="none"/>
        </w:rPr>
        <w:t>采购项目简介：</w:t>
      </w:r>
    </w:p>
    <w:p>
      <w:pPr>
        <w:spacing w:line="440" w:lineRule="exact"/>
        <w:ind w:firstLine="480"/>
        <w:rPr>
          <w:rFonts w:hint="default" w:eastAsia="宋体" w:cs="宋体"/>
          <w:color w:val="000000"/>
          <w:sz w:val="24"/>
          <w:szCs w:val="24"/>
          <w:highlight w:val="none"/>
          <w:lang w:val="en-US" w:eastAsia="zh-CN"/>
        </w:rPr>
      </w:pPr>
      <w:r>
        <w:rPr>
          <w:rFonts w:hint="eastAsia" w:cs="宋体"/>
          <w:color w:val="000000"/>
          <w:sz w:val="24"/>
          <w:szCs w:val="24"/>
          <w:highlight w:val="none"/>
        </w:rPr>
        <w:t>本项目分为1个包，服务要求详见第五章内容</w:t>
      </w:r>
      <w:r>
        <w:rPr>
          <w:rFonts w:hint="eastAsia" w:cs="宋体"/>
          <w:color w:val="000000"/>
          <w:sz w:val="24"/>
          <w:szCs w:val="24"/>
          <w:highlight w:val="none"/>
          <w:lang w:eastAsia="zh-CN"/>
        </w:rPr>
        <w:t>；</w:t>
      </w:r>
      <w:r>
        <w:rPr>
          <w:rFonts w:hint="eastAsia" w:cs="宋体"/>
          <w:color w:val="000000"/>
          <w:sz w:val="24"/>
          <w:szCs w:val="24"/>
          <w:highlight w:val="none"/>
          <w:lang w:val="en-US" w:eastAsia="zh-CN"/>
        </w:rPr>
        <w:t>本项目为非政府采购项目。</w:t>
      </w:r>
    </w:p>
    <w:p>
      <w:pPr>
        <w:spacing w:after="120" w:line="440" w:lineRule="exact"/>
        <w:ind w:firstLine="482"/>
        <w:rPr>
          <w:rFonts w:cs="宋体"/>
          <w:b/>
          <w:bCs/>
          <w:color w:val="000000"/>
          <w:sz w:val="24"/>
          <w:szCs w:val="24"/>
          <w:highlight w:val="none"/>
        </w:rPr>
      </w:pPr>
      <w:r>
        <w:rPr>
          <w:rFonts w:hint="eastAsia" w:cs="宋体"/>
          <w:b/>
          <w:bCs/>
          <w:color w:val="000000"/>
          <w:sz w:val="24"/>
          <w:szCs w:val="24"/>
          <w:highlight w:val="none"/>
        </w:rPr>
        <w:t>三、供应商邀请方式</w:t>
      </w:r>
    </w:p>
    <w:p>
      <w:pPr>
        <w:spacing w:after="120" w:line="440" w:lineRule="exact"/>
        <w:ind w:firstLine="480"/>
        <w:rPr>
          <w:rFonts w:cs="宋体"/>
          <w:bCs/>
          <w:color w:val="000000"/>
          <w:sz w:val="24"/>
          <w:szCs w:val="24"/>
          <w:highlight w:val="none"/>
        </w:rPr>
      </w:pPr>
      <w:r>
        <w:rPr>
          <w:rFonts w:hint="eastAsia" w:cs="宋体"/>
          <w:bCs/>
          <w:color w:val="000000"/>
          <w:sz w:val="24"/>
          <w:szCs w:val="24"/>
          <w:highlight w:val="none"/>
        </w:rPr>
        <w:t>公告方式：本次竞争性磋商邀请在</w:t>
      </w:r>
      <w:r>
        <w:rPr>
          <w:rFonts w:hint="eastAsia" w:cs="宋体"/>
          <w:bCs/>
          <w:color w:val="000000"/>
          <w:sz w:val="24"/>
          <w:szCs w:val="24"/>
          <w:highlight w:val="none"/>
          <w:u w:val="single"/>
        </w:rPr>
        <w:t>中国政府采购网（</w:t>
      </w:r>
      <w:r>
        <w:rPr>
          <w:rFonts w:cs="宋体"/>
          <w:bCs/>
          <w:color w:val="000000"/>
          <w:sz w:val="24"/>
          <w:szCs w:val="24"/>
          <w:highlight w:val="none"/>
          <w:u w:val="single"/>
        </w:rPr>
        <w:t>http://www.ccgp.gov.cn/</w:t>
      </w:r>
      <w:r>
        <w:rPr>
          <w:rFonts w:hint="eastAsia" w:cs="宋体"/>
          <w:bCs/>
          <w:color w:val="000000"/>
          <w:sz w:val="24"/>
          <w:szCs w:val="24"/>
          <w:highlight w:val="none"/>
          <w:u w:val="single"/>
        </w:rPr>
        <w:t>）</w:t>
      </w:r>
      <w:r>
        <w:rPr>
          <w:rFonts w:hint="eastAsia" w:cs="宋体"/>
          <w:bCs/>
          <w:color w:val="000000"/>
          <w:sz w:val="24"/>
          <w:szCs w:val="24"/>
          <w:highlight w:val="none"/>
        </w:rPr>
        <w:t>上以公告形式发布。</w:t>
      </w:r>
    </w:p>
    <w:p>
      <w:pPr>
        <w:spacing w:after="120" w:line="440" w:lineRule="exact"/>
        <w:ind w:firstLine="482"/>
        <w:rPr>
          <w:rFonts w:cs="宋体"/>
          <w:b/>
          <w:bCs/>
          <w:color w:val="000000"/>
          <w:sz w:val="24"/>
          <w:szCs w:val="24"/>
          <w:highlight w:val="none"/>
        </w:rPr>
      </w:pPr>
      <w:r>
        <w:rPr>
          <w:rFonts w:hint="eastAsia" w:cs="宋体"/>
          <w:b/>
          <w:bCs/>
          <w:color w:val="000000"/>
          <w:sz w:val="24"/>
          <w:szCs w:val="24"/>
          <w:highlight w:val="none"/>
        </w:rPr>
        <w:t>四、供应商参加本次政府采购活动应具备下列条件</w:t>
      </w:r>
    </w:p>
    <w:p>
      <w:pPr>
        <w:tabs>
          <w:tab w:val="left" w:pos="900"/>
        </w:tabs>
        <w:spacing w:line="360" w:lineRule="auto"/>
        <w:ind w:firstLine="480"/>
        <w:rPr>
          <w:rFonts w:cs="宋体"/>
          <w:bCs/>
          <w:sz w:val="24"/>
          <w:szCs w:val="24"/>
          <w:highlight w:val="none"/>
        </w:rPr>
      </w:pPr>
      <w:r>
        <w:rPr>
          <w:rFonts w:hint="eastAsia" w:cs="宋体"/>
          <w:bCs/>
          <w:sz w:val="24"/>
          <w:szCs w:val="24"/>
          <w:highlight w:val="none"/>
        </w:rPr>
        <w:t>1.具备独立的承担民事责任能力；</w:t>
      </w:r>
    </w:p>
    <w:p>
      <w:pPr>
        <w:tabs>
          <w:tab w:val="left" w:pos="900"/>
        </w:tabs>
        <w:spacing w:line="360" w:lineRule="auto"/>
        <w:ind w:firstLine="480"/>
        <w:rPr>
          <w:rFonts w:cs="宋体"/>
          <w:bCs/>
          <w:sz w:val="24"/>
          <w:szCs w:val="24"/>
          <w:highlight w:val="none"/>
        </w:rPr>
      </w:pPr>
      <w:r>
        <w:rPr>
          <w:rFonts w:hint="eastAsia" w:cs="宋体"/>
          <w:bCs/>
          <w:sz w:val="24"/>
          <w:szCs w:val="24"/>
          <w:highlight w:val="none"/>
        </w:rPr>
        <w:t>2.具有良好的商业信誉和健全的财务会计制度；</w:t>
      </w:r>
    </w:p>
    <w:p>
      <w:pPr>
        <w:tabs>
          <w:tab w:val="left" w:pos="900"/>
        </w:tabs>
        <w:spacing w:line="360" w:lineRule="auto"/>
        <w:ind w:firstLine="480"/>
        <w:rPr>
          <w:rFonts w:cs="宋体"/>
          <w:bCs/>
          <w:sz w:val="24"/>
          <w:szCs w:val="24"/>
          <w:highlight w:val="none"/>
        </w:rPr>
      </w:pPr>
      <w:r>
        <w:rPr>
          <w:rFonts w:hint="eastAsia" w:cs="宋体"/>
          <w:bCs/>
          <w:sz w:val="24"/>
          <w:szCs w:val="24"/>
          <w:highlight w:val="none"/>
        </w:rPr>
        <w:t>3.具有依法缴纳税收和社会保障资金的良好记录；</w:t>
      </w:r>
    </w:p>
    <w:p>
      <w:pPr>
        <w:spacing w:line="360" w:lineRule="auto"/>
        <w:ind w:firstLine="480"/>
        <w:rPr>
          <w:rFonts w:cs="宋体"/>
          <w:bCs/>
          <w:sz w:val="24"/>
          <w:szCs w:val="24"/>
          <w:highlight w:val="none"/>
        </w:rPr>
      </w:pPr>
      <w:r>
        <w:rPr>
          <w:rFonts w:hint="eastAsia" w:cs="宋体"/>
          <w:bCs/>
          <w:sz w:val="24"/>
          <w:szCs w:val="24"/>
          <w:highlight w:val="none"/>
        </w:rPr>
        <w:t>4.具有履行合同所必须的设备和专业技术能力；</w:t>
      </w:r>
    </w:p>
    <w:p>
      <w:pPr>
        <w:tabs>
          <w:tab w:val="left" w:pos="900"/>
        </w:tabs>
        <w:spacing w:line="360" w:lineRule="auto"/>
        <w:ind w:firstLine="480"/>
        <w:rPr>
          <w:rFonts w:cs="宋体"/>
          <w:bCs/>
          <w:sz w:val="24"/>
          <w:szCs w:val="24"/>
          <w:highlight w:val="none"/>
        </w:rPr>
      </w:pPr>
      <w:r>
        <w:rPr>
          <w:rFonts w:hint="eastAsia" w:cs="宋体"/>
          <w:bCs/>
          <w:sz w:val="24"/>
          <w:szCs w:val="24"/>
          <w:highlight w:val="none"/>
        </w:rPr>
        <w:t>5.参加本次政府采购活动前三年内，在经营活动中没有重大违法记录；</w:t>
      </w:r>
    </w:p>
    <w:p>
      <w:pPr>
        <w:tabs>
          <w:tab w:val="left" w:pos="900"/>
        </w:tabs>
        <w:spacing w:line="360" w:lineRule="auto"/>
        <w:ind w:firstLine="480"/>
        <w:rPr>
          <w:rFonts w:cs="宋体"/>
          <w:sz w:val="24"/>
          <w:szCs w:val="24"/>
          <w:highlight w:val="none"/>
        </w:rPr>
      </w:pPr>
      <w:r>
        <w:rPr>
          <w:rFonts w:hint="eastAsia" w:cs="宋体"/>
          <w:sz w:val="24"/>
          <w:szCs w:val="24"/>
          <w:highlight w:val="none"/>
        </w:rPr>
        <w:t>6.本项目不接受联合体响应；</w:t>
      </w:r>
    </w:p>
    <w:p>
      <w:pPr>
        <w:tabs>
          <w:tab w:val="left" w:pos="900"/>
        </w:tabs>
        <w:spacing w:line="360" w:lineRule="auto"/>
        <w:ind w:firstLine="480"/>
        <w:rPr>
          <w:rFonts w:cs="宋体"/>
          <w:sz w:val="24"/>
          <w:szCs w:val="24"/>
          <w:highlight w:val="none"/>
        </w:rPr>
      </w:pPr>
      <w:r>
        <w:rPr>
          <w:rFonts w:hint="eastAsia" w:hAnsi="Calibri" w:cs="宋体"/>
          <w:sz w:val="24"/>
          <w:szCs w:val="24"/>
          <w:highlight w:val="none"/>
        </w:rPr>
        <w:t>7.</w:t>
      </w:r>
      <w:r>
        <w:rPr>
          <w:rFonts w:hint="eastAsia" w:cs="宋体"/>
          <w:sz w:val="24"/>
          <w:szCs w:val="24"/>
          <w:highlight w:val="none"/>
        </w:rPr>
        <w:t>法律、行政法规规定的其他条件。</w:t>
      </w:r>
    </w:p>
    <w:p>
      <w:pPr>
        <w:spacing w:line="440" w:lineRule="exact"/>
        <w:ind w:firstLine="482"/>
        <w:rPr>
          <w:rFonts w:cs="宋体"/>
          <w:b/>
          <w:color w:val="000000"/>
          <w:sz w:val="24"/>
          <w:szCs w:val="24"/>
          <w:highlight w:val="none"/>
        </w:rPr>
      </w:pPr>
      <w:r>
        <w:rPr>
          <w:rFonts w:hint="eastAsia" w:cs="宋体"/>
          <w:b/>
          <w:color w:val="000000"/>
          <w:sz w:val="24"/>
          <w:szCs w:val="24"/>
          <w:highlight w:val="none"/>
        </w:rPr>
        <w:t>五、禁止参加本次采购活动的供应商</w:t>
      </w:r>
    </w:p>
    <w:p>
      <w:pPr>
        <w:spacing w:line="440" w:lineRule="exact"/>
        <w:ind w:firstLine="480"/>
        <w:rPr>
          <w:rFonts w:cs="宋体"/>
          <w:color w:val="000000"/>
          <w:sz w:val="24"/>
          <w:szCs w:val="24"/>
          <w:highlight w:val="none"/>
        </w:rPr>
      </w:pPr>
      <w:r>
        <w:rPr>
          <w:rFonts w:hint="eastAsia" w:cs="宋体"/>
          <w:color w:val="000000"/>
          <w:sz w:val="24"/>
          <w:szCs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w:t>
      </w:r>
      <w:r>
        <w:rPr>
          <w:rFonts w:hint="eastAsia" w:cs="宋体"/>
          <w:sz w:val="24"/>
          <w:szCs w:val="24"/>
          <w:highlight w:val="none"/>
        </w:rPr>
        <w:t>拒绝列入</w:t>
      </w:r>
      <w:r>
        <w:rPr>
          <w:rFonts w:hint="eastAsia" w:cs="宋体"/>
          <w:color w:val="000000"/>
          <w:sz w:val="24"/>
          <w:szCs w:val="24"/>
          <w:highlight w:val="none"/>
        </w:rPr>
        <w:t>失信被执行人名单、重大税收违法案件当事人名单、政府采购严重违法失信行为记录名单中的供应商报名参加本项目的采购活动。</w:t>
      </w:r>
    </w:p>
    <w:p>
      <w:pPr>
        <w:spacing w:line="440" w:lineRule="exact"/>
        <w:ind w:firstLine="480"/>
        <w:rPr>
          <w:rFonts w:cs="宋体"/>
          <w:color w:val="000000"/>
          <w:sz w:val="24"/>
          <w:szCs w:val="24"/>
          <w:highlight w:val="none"/>
        </w:rPr>
      </w:pPr>
      <w:r>
        <w:rPr>
          <w:rFonts w:hint="eastAsia" w:cs="宋体"/>
          <w:color w:val="000000"/>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2"/>
        <w:rPr>
          <w:rFonts w:cs="宋体"/>
          <w:b/>
          <w:color w:val="000000"/>
          <w:sz w:val="24"/>
          <w:szCs w:val="24"/>
          <w:highlight w:val="none"/>
        </w:rPr>
      </w:pPr>
      <w:r>
        <w:rPr>
          <w:rFonts w:hint="eastAsia" w:cs="宋体"/>
          <w:b/>
          <w:color w:val="000000"/>
          <w:sz w:val="24"/>
          <w:szCs w:val="24"/>
          <w:highlight w:val="none"/>
        </w:rPr>
        <w:t>六、磋商文件获取方式、时间、地点</w:t>
      </w:r>
    </w:p>
    <w:p>
      <w:pPr>
        <w:spacing w:line="440" w:lineRule="exact"/>
        <w:ind w:firstLine="480"/>
        <w:rPr>
          <w:rFonts w:cs="宋体"/>
          <w:color w:val="000000"/>
          <w:sz w:val="24"/>
          <w:szCs w:val="24"/>
          <w:highlight w:val="none"/>
        </w:rPr>
      </w:pPr>
      <w:r>
        <w:rPr>
          <w:rFonts w:hint="eastAsia" w:cs="宋体"/>
          <w:color w:val="000000" w:themeColor="text1"/>
          <w:sz w:val="24"/>
          <w:szCs w:val="24"/>
          <w:highlight w:val="none"/>
          <w14:textFill>
            <w14:solidFill>
              <w14:schemeClr w14:val="tx1"/>
            </w14:solidFill>
          </w14:textFill>
        </w:rPr>
        <w:t>磋商文件自</w:t>
      </w:r>
      <w:r>
        <w:rPr>
          <w:rFonts w:hint="eastAsia" w:cs="宋体"/>
          <w:color w:val="000000" w:themeColor="text1"/>
          <w:sz w:val="24"/>
          <w:szCs w:val="24"/>
          <w:highlight w:val="none"/>
          <w:u w:val="single"/>
          <w:lang w:eastAsia="zh-CN"/>
          <w14:textFill>
            <w14:solidFill>
              <w14:schemeClr w14:val="tx1"/>
            </w14:solidFill>
          </w14:textFill>
        </w:rPr>
        <w:t>2022</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lang w:val="en-US" w:eastAsia="zh-CN"/>
          <w14:textFill>
            <w14:solidFill>
              <w14:schemeClr w14:val="tx1"/>
            </w14:solidFill>
          </w14:textFill>
        </w:rPr>
        <w:t>06</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 xml:space="preserve"> 27 </w:t>
      </w:r>
      <w:r>
        <w:rPr>
          <w:rFonts w:hint="eastAsia" w:cs="宋体"/>
          <w:color w:val="000000" w:themeColor="text1"/>
          <w:sz w:val="24"/>
          <w:szCs w:val="24"/>
          <w:highlight w:val="none"/>
          <w14:textFill>
            <w14:solidFill>
              <w14:schemeClr w14:val="tx1"/>
            </w14:solidFill>
          </w14:textFill>
        </w:rPr>
        <w:t>日至</w:t>
      </w:r>
      <w:r>
        <w:rPr>
          <w:rFonts w:hint="eastAsia" w:cs="宋体"/>
          <w:color w:val="000000" w:themeColor="text1"/>
          <w:sz w:val="24"/>
          <w:szCs w:val="24"/>
          <w:highlight w:val="none"/>
          <w:u w:val="single"/>
          <w:lang w:eastAsia="zh-CN"/>
          <w14:textFill>
            <w14:solidFill>
              <w14:schemeClr w14:val="tx1"/>
            </w14:solidFill>
          </w14:textFill>
        </w:rPr>
        <w:t>2022</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lang w:val="en-US" w:eastAsia="zh-CN"/>
          <w14:textFill>
            <w14:solidFill>
              <w14:schemeClr w14:val="tx1"/>
            </w14:solidFill>
          </w14:textFill>
        </w:rPr>
        <w:t>07</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 xml:space="preserve"> 01 </w:t>
      </w:r>
      <w:r>
        <w:rPr>
          <w:rFonts w:hint="eastAsia" w:cs="宋体"/>
          <w:color w:val="000000" w:themeColor="text1"/>
          <w:sz w:val="24"/>
          <w:szCs w:val="24"/>
          <w:highlight w:val="none"/>
          <w14:textFill>
            <w14:solidFill>
              <w14:schemeClr w14:val="tx1"/>
            </w14:solidFill>
          </w14:textFill>
        </w:rPr>
        <w:t>日（北京时间，法定节假日除外），每日09:00- 17:00通过网上（远程）办理报名。</w:t>
      </w:r>
    </w:p>
    <w:p>
      <w:pPr>
        <w:spacing w:line="440" w:lineRule="exact"/>
        <w:ind w:firstLine="480"/>
        <w:rPr>
          <w:rFonts w:cs="宋体"/>
          <w:color w:val="000000"/>
          <w:sz w:val="24"/>
          <w:szCs w:val="24"/>
          <w:highlight w:val="none"/>
        </w:rPr>
      </w:pPr>
      <w:r>
        <w:rPr>
          <w:rFonts w:hint="eastAsia" w:cs="宋体"/>
          <w:color w:val="000000"/>
          <w:sz w:val="24"/>
          <w:szCs w:val="24"/>
          <w:highlight w:val="none"/>
        </w:rPr>
        <w:t>本项目网上(远程)办理：供应商提供单位介绍信（需体现项目名称、单位名称、经办人姓名、经办人手机号、单位座机、电子邮箱）及经办人身份证复印件加盖鲜章，将扫描件发</w:t>
      </w:r>
      <w:r>
        <w:rPr>
          <w:rFonts w:hint="eastAsia" w:cs="宋体"/>
          <w:color w:val="000000"/>
          <w:sz w:val="24"/>
          <w:szCs w:val="24"/>
          <w:highlight w:val="none"/>
        </w:rPr>
        <w:t>送至</w:t>
      </w:r>
      <w:r>
        <w:rPr>
          <w:rFonts w:hint="eastAsia" w:cs="宋体"/>
          <w:color w:val="000000"/>
          <w:sz w:val="24"/>
          <w:szCs w:val="24"/>
          <w:highlight w:val="none"/>
          <w:lang w:val="en-US" w:eastAsia="zh-CN"/>
        </w:rPr>
        <w:t>412210516</w:t>
      </w:r>
      <w:r>
        <w:rPr>
          <w:rFonts w:hint="eastAsia" w:cs="宋体"/>
          <w:color w:val="000000"/>
          <w:sz w:val="24"/>
          <w:szCs w:val="24"/>
          <w:highlight w:val="none"/>
          <w:lang w:eastAsia="zh-CN"/>
        </w:rPr>
        <w:t>@qq.com</w:t>
      </w:r>
      <w:r>
        <w:rPr>
          <w:rFonts w:hint="eastAsia" w:cs="宋体"/>
          <w:color w:val="000000"/>
          <w:sz w:val="24"/>
          <w:szCs w:val="24"/>
          <w:highlight w:val="none"/>
        </w:rPr>
        <w:t>。报</w:t>
      </w:r>
      <w:r>
        <w:rPr>
          <w:rFonts w:hint="eastAsia" w:cs="宋体"/>
          <w:color w:val="auto"/>
          <w:sz w:val="24"/>
          <w:szCs w:val="24"/>
          <w:highlight w:val="none"/>
        </w:rPr>
        <w:t>名咨询电话：</w:t>
      </w:r>
      <w:r>
        <w:rPr>
          <w:rFonts w:hint="eastAsia" w:ascii="宋体" w:hAnsi="宋体" w:cs="宋体"/>
          <w:color w:val="auto"/>
          <w:sz w:val="24"/>
          <w:szCs w:val="24"/>
          <w:highlight w:val="none"/>
          <w:lang w:val="en-US" w:eastAsia="zh-CN"/>
        </w:rPr>
        <w:t>13540644281</w:t>
      </w:r>
      <w:r>
        <w:rPr>
          <w:rFonts w:hint="eastAsia" w:cs="宋体"/>
          <w:color w:val="auto"/>
          <w:sz w:val="24"/>
          <w:szCs w:val="24"/>
          <w:highlight w:val="none"/>
        </w:rPr>
        <w:t xml:space="preserve"> </w:t>
      </w:r>
      <w:r>
        <w:rPr>
          <w:rFonts w:hint="eastAsia" w:cs="宋体"/>
          <w:color w:val="auto"/>
          <w:sz w:val="24"/>
          <w:szCs w:val="24"/>
          <w:highlight w:val="none"/>
          <w:lang w:val="en-US" w:eastAsia="zh-CN"/>
        </w:rPr>
        <w:t>吴</w:t>
      </w:r>
      <w:r>
        <w:rPr>
          <w:rFonts w:hint="eastAsia" w:cs="宋体"/>
          <w:color w:val="000000"/>
          <w:sz w:val="24"/>
          <w:szCs w:val="24"/>
          <w:highlight w:val="none"/>
          <w:lang w:val="en-US" w:eastAsia="zh-CN"/>
        </w:rPr>
        <w:t>女士</w:t>
      </w:r>
      <w:r>
        <w:rPr>
          <w:rFonts w:hint="eastAsia" w:cs="宋体"/>
          <w:color w:val="000000"/>
          <w:sz w:val="24"/>
          <w:szCs w:val="24"/>
          <w:highlight w:val="none"/>
        </w:rPr>
        <w:t>。</w:t>
      </w:r>
    </w:p>
    <w:p>
      <w:pPr>
        <w:spacing w:line="440" w:lineRule="exact"/>
        <w:ind w:firstLine="480"/>
        <w:rPr>
          <w:rFonts w:cs="宋体"/>
          <w:color w:val="000000"/>
          <w:sz w:val="24"/>
          <w:szCs w:val="24"/>
          <w:highlight w:val="none"/>
        </w:rPr>
      </w:pPr>
      <w:r>
        <w:rPr>
          <w:rFonts w:hint="eastAsia" w:cs="宋体"/>
          <w:color w:val="000000"/>
          <w:sz w:val="24"/>
          <w:szCs w:val="24"/>
          <w:highlight w:val="none"/>
        </w:rPr>
        <w:t>本项目磋商文件</w:t>
      </w:r>
      <w:r>
        <w:rPr>
          <w:rFonts w:hint="eastAsia" w:cs="宋体"/>
          <w:color w:val="000000"/>
          <w:sz w:val="24"/>
          <w:szCs w:val="24"/>
          <w:highlight w:val="none"/>
        </w:rPr>
        <w:t>售价300元（磋商文件售后不退,磋商资格不能转让）,支付账号信息待收到报名资料且审核无误后通过邮件方式发送至报名邮箱。</w:t>
      </w:r>
    </w:p>
    <w:p>
      <w:pPr>
        <w:spacing w:line="440" w:lineRule="exact"/>
        <w:ind w:firstLine="480"/>
        <w:rPr>
          <w:rFonts w:cs="宋体"/>
          <w:color w:val="000000"/>
          <w:sz w:val="24"/>
          <w:szCs w:val="24"/>
          <w:highlight w:val="none"/>
        </w:rPr>
      </w:pPr>
      <w:r>
        <w:rPr>
          <w:rFonts w:hint="eastAsia" w:cs="宋体"/>
          <w:color w:val="000000"/>
          <w:sz w:val="24"/>
          <w:szCs w:val="24"/>
          <w:highlight w:val="none"/>
        </w:rPr>
        <w:t>注：供应商获取竞争性磋商文件时须如实认真填写项目信息及供应商信息；若因供应商提供的错误信息，对其造成影响的，由供应商自行承担相关责任。</w:t>
      </w:r>
    </w:p>
    <w:p>
      <w:pPr>
        <w:spacing w:after="120" w:line="440" w:lineRule="exact"/>
        <w:ind w:firstLine="482"/>
        <w:rPr>
          <w:rFonts w:cs="宋体"/>
          <w:color w:val="000000"/>
          <w:sz w:val="24"/>
          <w:szCs w:val="24"/>
        </w:rPr>
      </w:pPr>
      <w:r>
        <w:rPr>
          <w:rFonts w:hint="eastAsia" w:cs="宋体"/>
          <w:b/>
          <w:color w:val="000000"/>
          <w:sz w:val="24"/>
          <w:szCs w:val="24"/>
          <w:highlight w:val="none"/>
        </w:rPr>
        <w:t>七、递交响应文件截止时间：</w:t>
      </w:r>
      <w:r>
        <w:rPr>
          <w:rFonts w:hint="eastAsia" w:cs="宋体"/>
          <w:bCs/>
          <w:color w:val="000000"/>
          <w:sz w:val="24"/>
          <w:szCs w:val="24"/>
          <w:highlight w:val="none"/>
          <w:u w:val="single"/>
          <w:lang w:eastAsia="zh-CN"/>
        </w:rPr>
        <w:t>2022</w:t>
      </w:r>
      <w:r>
        <w:rPr>
          <w:rFonts w:hint="eastAsia" w:cs="宋体"/>
          <w:bCs/>
          <w:color w:val="000000"/>
          <w:sz w:val="24"/>
          <w:szCs w:val="24"/>
          <w:highlight w:val="none"/>
        </w:rPr>
        <w:t>年</w:t>
      </w:r>
      <w:r>
        <w:rPr>
          <w:rFonts w:hint="eastAsia" w:cs="宋体"/>
          <w:bCs/>
          <w:color w:val="000000"/>
          <w:sz w:val="24"/>
          <w:szCs w:val="24"/>
          <w:highlight w:val="none"/>
          <w:u w:val="single"/>
        </w:rPr>
        <w:t xml:space="preserve"> </w:t>
      </w:r>
      <w:r>
        <w:rPr>
          <w:rFonts w:hint="eastAsia" w:cs="宋体"/>
          <w:bCs/>
          <w:color w:val="000000"/>
          <w:sz w:val="24"/>
          <w:szCs w:val="24"/>
          <w:highlight w:val="none"/>
          <w:u w:val="single"/>
          <w:lang w:val="en-US" w:eastAsia="zh-CN"/>
        </w:rPr>
        <w:t>07</w:t>
      </w:r>
      <w:r>
        <w:rPr>
          <w:rFonts w:hint="eastAsia" w:cs="宋体"/>
          <w:bCs/>
          <w:color w:val="000000"/>
          <w:sz w:val="24"/>
          <w:szCs w:val="24"/>
          <w:highlight w:val="none"/>
          <w:u w:val="single"/>
        </w:rPr>
        <w:t xml:space="preserve"> </w:t>
      </w:r>
      <w:r>
        <w:rPr>
          <w:rFonts w:hint="eastAsia" w:cs="宋体"/>
          <w:bCs/>
          <w:color w:val="000000"/>
          <w:sz w:val="24"/>
          <w:szCs w:val="24"/>
          <w:highlight w:val="none"/>
        </w:rPr>
        <w:t>月</w:t>
      </w:r>
      <w:r>
        <w:rPr>
          <w:rFonts w:hint="eastAsia" w:cs="宋体"/>
          <w:bCs/>
          <w:color w:val="000000"/>
          <w:sz w:val="24"/>
          <w:szCs w:val="24"/>
          <w:highlight w:val="none"/>
          <w:u w:val="single"/>
          <w:lang w:val="en-US" w:eastAsia="zh-CN"/>
        </w:rPr>
        <w:t xml:space="preserve"> 07</w:t>
      </w:r>
      <w:r>
        <w:rPr>
          <w:rFonts w:hint="eastAsia" w:cs="宋体"/>
          <w:bCs/>
          <w:color w:val="000000"/>
          <w:sz w:val="24"/>
          <w:szCs w:val="24"/>
          <w:highlight w:val="none"/>
          <w:u w:val="single"/>
        </w:rPr>
        <w:t xml:space="preserve"> </w:t>
      </w:r>
      <w:r>
        <w:rPr>
          <w:rFonts w:hint="eastAsia" w:cs="宋体"/>
          <w:bCs/>
          <w:color w:val="000000"/>
          <w:sz w:val="24"/>
          <w:szCs w:val="24"/>
          <w:highlight w:val="none"/>
        </w:rPr>
        <w:t>日</w:t>
      </w:r>
      <w:r>
        <w:rPr>
          <w:rFonts w:hint="eastAsia" w:cs="宋体"/>
          <w:bCs/>
          <w:color w:val="000000"/>
          <w:sz w:val="24"/>
          <w:szCs w:val="24"/>
          <w:highlight w:val="none"/>
          <w:u w:val="single"/>
        </w:rPr>
        <w:t xml:space="preserve"> </w:t>
      </w:r>
      <w:r>
        <w:rPr>
          <w:rFonts w:hint="eastAsia" w:cs="宋体"/>
          <w:bCs/>
          <w:color w:val="000000"/>
          <w:sz w:val="24"/>
          <w:szCs w:val="24"/>
          <w:highlight w:val="none"/>
          <w:u w:val="single"/>
          <w:lang w:val="en-US" w:eastAsia="zh-CN"/>
        </w:rPr>
        <w:t xml:space="preserve">10 </w:t>
      </w:r>
      <w:r>
        <w:rPr>
          <w:rFonts w:hint="eastAsia" w:cs="宋体"/>
          <w:bCs/>
          <w:color w:val="000000"/>
          <w:sz w:val="24"/>
          <w:szCs w:val="24"/>
          <w:highlight w:val="none"/>
        </w:rPr>
        <w:t>时</w:t>
      </w:r>
      <w:r>
        <w:rPr>
          <w:rFonts w:hint="eastAsia" w:cs="宋体"/>
          <w:bCs/>
          <w:color w:val="000000"/>
          <w:sz w:val="24"/>
          <w:szCs w:val="24"/>
          <w:highlight w:val="none"/>
          <w:u w:val="single"/>
          <w:lang w:val="en-US" w:eastAsia="zh-CN"/>
        </w:rPr>
        <w:t>0</w:t>
      </w:r>
      <w:r>
        <w:rPr>
          <w:rFonts w:hint="eastAsia" w:cs="宋体"/>
          <w:bCs/>
          <w:color w:val="000000"/>
          <w:sz w:val="24"/>
          <w:szCs w:val="24"/>
          <w:highlight w:val="none"/>
          <w:u w:val="single"/>
        </w:rPr>
        <w:t>0</w:t>
      </w:r>
      <w:r>
        <w:rPr>
          <w:rFonts w:hint="eastAsia" w:cs="宋体"/>
          <w:bCs/>
          <w:color w:val="000000"/>
          <w:sz w:val="24"/>
          <w:szCs w:val="24"/>
          <w:highlight w:val="none"/>
        </w:rPr>
        <w:t>分</w:t>
      </w:r>
      <w:r>
        <w:rPr>
          <w:rFonts w:hint="eastAsia" w:cs="宋体"/>
          <w:bCs/>
          <w:color w:val="000000"/>
          <w:sz w:val="24"/>
          <w:szCs w:val="24"/>
        </w:rPr>
        <w:t xml:space="preserve"> </w:t>
      </w:r>
      <w:r>
        <w:rPr>
          <w:rFonts w:hint="eastAsia" w:cs="宋体"/>
          <w:color w:val="000000"/>
          <w:sz w:val="24"/>
          <w:szCs w:val="24"/>
        </w:rPr>
        <w:t>（北京时间）。</w:t>
      </w:r>
    </w:p>
    <w:p>
      <w:pPr>
        <w:spacing w:after="120" w:line="440" w:lineRule="exact"/>
        <w:ind w:firstLine="482"/>
        <w:rPr>
          <w:rFonts w:cs="宋体"/>
          <w:color w:val="000000"/>
          <w:sz w:val="24"/>
          <w:szCs w:val="24"/>
        </w:rPr>
      </w:pPr>
      <w:r>
        <w:rPr>
          <w:rFonts w:hint="eastAsia" w:cs="宋体"/>
          <w:b/>
          <w:color w:val="000000"/>
          <w:sz w:val="24"/>
          <w:szCs w:val="24"/>
        </w:rPr>
        <w:t>八、递交响应文件地点：</w:t>
      </w:r>
      <w:r>
        <w:rPr>
          <w:rFonts w:hint="eastAsia" w:cs="宋体"/>
          <w:sz w:val="24"/>
          <w:szCs w:val="24"/>
        </w:rPr>
        <w:t>响应文件必须在递交响应文件截止时间前送达磋商地点。逾期送达、密封和标注错误的响应文件，</w:t>
      </w:r>
      <w:r>
        <w:rPr>
          <w:rFonts w:hint="eastAsia" w:cs="宋体"/>
          <w:color w:val="000000"/>
          <w:sz w:val="24"/>
          <w:szCs w:val="24"/>
        </w:rPr>
        <w:t>采购代理机构</w:t>
      </w:r>
      <w:r>
        <w:rPr>
          <w:rFonts w:hint="eastAsia" w:cs="宋体"/>
          <w:sz w:val="24"/>
          <w:szCs w:val="24"/>
        </w:rPr>
        <w:t>恕不接收。本次采购不接收邮寄的响应文件。</w:t>
      </w:r>
    </w:p>
    <w:p>
      <w:pPr>
        <w:spacing w:after="120" w:line="440" w:lineRule="exact"/>
        <w:ind w:firstLine="482"/>
        <w:rPr>
          <w:rFonts w:cs="宋体"/>
          <w:color w:val="000000"/>
          <w:sz w:val="24"/>
          <w:szCs w:val="24"/>
        </w:rPr>
      </w:pPr>
      <w:r>
        <w:rPr>
          <w:rFonts w:hint="eastAsia" w:cs="宋体"/>
          <w:b/>
          <w:color w:val="000000"/>
          <w:sz w:val="24"/>
          <w:szCs w:val="24"/>
        </w:rPr>
        <w:t>九、响应文件开启时间：</w:t>
      </w:r>
      <w:r>
        <w:rPr>
          <w:rFonts w:hint="eastAsia" w:cs="宋体"/>
          <w:bCs/>
          <w:color w:val="000000"/>
          <w:sz w:val="24"/>
          <w:szCs w:val="24"/>
          <w:u w:val="single"/>
          <w:lang w:eastAsia="zh-CN"/>
        </w:rPr>
        <w:t>2022</w:t>
      </w:r>
      <w:r>
        <w:rPr>
          <w:rFonts w:hint="eastAsia" w:cs="宋体"/>
          <w:bCs/>
          <w:color w:val="000000"/>
          <w:sz w:val="24"/>
          <w:szCs w:val="24"/>
        </w:rPr>
        <w:t>年</w:t>
      </w:r>
      <w:r>
        <w:rPr>
          <w:rFonts w:hint="eastAsia" w:cs="宋体"/>
          <w:bCs/>
          <w:color w:val="000000"/>
          <w:sz w:val="24"/>
          <w:szCs w:val="24"/>
          <w:u w:val="single"/>
        </w:rPr>
        <w:t xml:space="preserve"> </w:t>
      </w:r>
      <w:r>
        <w:rPr>
          <w:rFonts w:hint="eastAsia" w:cs="宋体"/>
          <w:bCs/>
          <w:color w:val="000000"/>
          <w:sz w:val="24"/>
          <w:szCs w:val="24"/>
          <w:u w:val="single"/>
          <w:lang w:val="en-US" w:eastAsia="zh-CN"/>
        </w:rPr>
        <w:t>07</w:t>
      </w:r>
      <w:r>
        <w:rPr>
          <w:rFonts w:hint="eastAsia" w:cs="宋体"/>
          <w:bCs/>
          <w:color w:val="000000"/>
          <w:sz w:val="24"/>
          <w:szCs w:val="24"/>
        </w:rPr>
        <w:t>月</w:t>
      </w:r>
      <w:r>
        <w:rPr>
          <w:rFonts w:hint="eastAsia" w:cs="宋体"/>
          <w:bCs/>
          <w:color w:val="000000"/>
          <w:sz w:val="24"/>
          <w:szCs w:val="24"/>
          <w:u w:val="single"/>
        </w:rPr>
        <w:t xml:space="preserve"> </w:t>
      </w:r>
      <w:r>
        <w:rPr>
          <w:rFonts w:hint="eastAsia" w:cs="宋体"/>
          <w:bCs/>
          <w:color w:val="000000"/>
          <w:sz w:val="24"/>
          <w:szCs w:val="24"/>
          <w:u w:val="single"/>
          <w:lang w:val="en-US" w:eastAsia="zh-CN"/>
        </w:rPr>
        <w:t xml:space="preserve">07 </w:t>
      </w:r>
      <w:r>
        <w:rPr>
          <w:rFonts w:hint="eastAsia" w:cs="宋体"/>
          <w:bCs/>
          <w:color w:val="000000"/>
          <w:sz w:val="24"/>
          <w:szCs w:val="24"/>
        </w:rPr>
        <w:t>日</w:t>
      </w:r>
      <w:r>
        <w:rPr>
          <w:rFonts w:hint="eastAsia" w:cs="宋体"/>
          <w:bCs/>
          <w:color w:val="000000"/>
          <w:sz w:val="24"/>
          <w:szCs w:val="24"/>
          <w:u w:val="single"/>
        </w:rPr>
        <w:t xml:space="preserve"> </w:t>
      </w:r>
      <w:r>
        <w:rPr>
          <w:rFonts w:hint="eastAsia" w:cs="宋体"/>
          <w:bCs/>
          <w:color w:val="000000"/>
          <w:sz w:val="24"/>
          <w:szCs w:val="24"/>
          <w:u w:val="single"/>
          <w:lang w:val="en-US" w:eastAsia="zh-CN"/>
        </w:rPr>
        <w:t>10</w:t>
      </w:r>
      <w:r>
        <w:rPr>
          <w:rFonts w:hint="eastAsia" w:cs="宋体"/>
          <w:bCs/>
          <w:color w:val="000000"/>
          <w:sz w:val="24"/>
          <w:szCs w:val="24"/>
        </w:rPr>
        <w:t>时</w:t>
      </w:r>
      <w:r>
        <w:rPr>
          <w:rFonts w:hint="eastAsia" w:cs="宋体"/>
          <w:bCs/>
          <w:color w:val="000000"/>
          <w:sz w:val="24"/>
          <w:szCs w:val="24"/>
          <w:u w:val="single"/>
          <w:lang w:val="en-US" w:eastAsia="zh-CN"/>
        </w:rPr>
        <w:t>00</w:t>
      </w:r>
      <w:r>
        <w:rPr>
          <w:rFonts w:hint="eastAsia" w:cs="宋体"/>
          <w:bCs/>
          <w:color w:val="000000"/>
          <w:sz w:val="24"/>
          <w:szCs w:val="24"/>
        </w:rPr>
        <w:t>分</w:t>
      </w:r>
      <w:r>
        <w:rPr>
          <w:rFonts w:hint="eastAsia" w:cs="宋体"/>
          <w:color w:val="000000"/>
          <w:sz w:val="24"/>
          <w:szCs w:val="24"/>
        </w:rPr>
        <w:t>（北京时间）在磋商地点开启。</w:t>
      </w:r>
    </w:p>
    <w:p>
      <w:pPr>
        <w:spacing w:line="440" w:lineRule="exact"/>
        <w:ind w:firstLine="489" w:firstLineChars="203"/>
        <w:rPr>
          <w:rFonts w:cs="宋体"/>
          <w:color w:val="000000"/>
          <w:sz w:val="24"/>
          <w:szCs w:val="24"/>
        </w:rPr>
      </w:pPr>
      <w:r>
        <w:rPr>
          <w:rFonts w:hint="eastAsia" w:cs="宋体"/>
          <w:b/>
          <w:color w:val="000000"/>
          <w:sz w:val="24"/>
          <w:szCs w:val="24"/>
        </w:rPr>
        <w:t>十、磋商地点</w:t>
      </w:r>
      <w:r>
        <w:rPr>
          <w:rFonts w:hint="eastAsia" w:cs="宋体"/>
          <w:bCs/>
          <w:color w:val="000000"/>
          <w:sz w:val="24"/>
          <w:szCs w:val="24"/>
        </w:rPr>
        <w:t>：</w:t>
      </w:r>
      <w:r>
        <w:rPr>
          <w:rFonts w:hint="eastAsia" w:cs="宋体"/>
          <w:bCs/>
          <w:color w:val="000000"/>
          <w:sz w:val="24"/>
          <w:szCs w:val="24"/>
          <w:u w:val="single"/>
        </w:rPr>
        <w:t xml:space="preserve"> </w:t>
      </w:r>
      <w:r>
        <w:rPr>
          <w:rFonts w:hint="eastAsia" w:cs="宋体"/>
          <w:bCs/>
          <w:color w:val="000000"/>
          <w:sz w:val="24"/>
          <w:szCs w:val="24"/>
          <w:u w:val="single"/>
          <w:lang w:eastAsia="zh-CN"/>
        </w:rPr>
        <w:t>成都市武侯区吉泰五路118号天合凯旋广场3栋3204</w:t>
      </w:r>
      <w:r>
        <w:rPr>
          <w:rFonts w:hint="eastAsia" w:cs="宋体"/>
          <w:color w:val="000000"/>
          <w:sz w:val="24"/>
          <w:szCs w:val="24"/>
        </w:rPr>
        <w:t>。</w:t>
      </w:r>
    </w:p>
    <w:p>
      <w:pPr>
        <w:spacing w:line="440" w:lineRule="exact"/>
        <w:ind w:firstLine="482"/>
        <w:rPr>
          <w:rFonts w:cs="宋体"/>
          <w:b/>
          <w:color w:val="000000"/>
          <w:sz w:val="24"/>
          <w:szCs w:val="24"/>
        </w:rPr>
      </w:pPr>
      <w:r>
        <w:rPr>
          <w:rFonts w:hint="eastAsia" w:hAnsi="Calibri"/>
          <w:b/>
          <w:color w:val="000000"/>
          <w:sz w:val="24"/>
          <w:szCs w:val="24"/>
        </w:rPr>
        <w:t>十一、</w:t>
      </w:r>
      <w:r>
        <w:rPr>
          <w:rFonts w:hint="eastAsia" w:cs="宋体"/>
          <w:b/>
          <w:color w:val="000000"/>
          <w:sz w:val="24"/>
          <w:szCs w:val="24"/>
        </w:rPr>
        <w:t>联系方式</w:t>
      </w:r>
    </w:p>
    <w:p>
      <w:pPr>
        <w:spacing w:line="440" w:lineRule="exact"/>
        <w:ind w:firstLine="501" w:firstLineChars="208"/>
        <w:rPr>
          <w:rFonts w:hint="eastAsia" w:eastAsia="宋体" w:cs="宋体"/>
          <w:b/>
          <w:bCs/>
          <w:color w:val="000000"/>
          <w:sz w:val="24"/>
          <w:szCs w:val="24"/>
          <w:lang w:eastAsia="zh-CN"/>
        </w:rPr>
      </w:pPr>
      <w:r>
        <w:rPr>
          <w:rFonts w:hint="eastAsia" w:cs="宋体"/>
          <w:b/>
          <w:color w:val="000000"/>
          <w:sz w:val="24"/>
          <w:szCs w:val="24"/>
        </w:rPr>
        <w:t>采购人：</w:t>
      </w:r>
      <w:r>
        <w:rPr>
          <w:rFonts w:hint="eastAsia" w:cs="宋体"/>
          <w:b/>
          <w:bCs/>
          <w:color w:val="000000"/>
          <w:sz w:val="24"/>
          <w:szCs w:val="24"/>
        </w:rPr>
        <w:t xml:space="preserve"> </w:t>
      </w:r>
      <w:r>
        <w:rPr>
          <w:rFonts w:hint="eastAsia" w:cs="宋体"/>
          <w:b/>
          <w:bCs/>
          <w:color w:val="000000"/>
          <w:sz w:val="24"/>
          <w:szCs w:val="24"/>
          <w:lang w:eastAsia="zh-CN"/>
        </w:rPr>
        <w:t>四川天府新区万安幼儿园</w:t>
      </w:r>
    </w:p>
    <w:p>
      <w:pPr>
        <w:spacing w:line="440" w:lineRule="exact"/>
        <w:ind w:firstLine="499" w:firstLineChars="208"/>
        <w:rPr>
          <w:rFonts w:hint="default" w:cs="宋体"/>
          <w:bCs/>
          <w:color w:val="000000"/>
          <w:sz w:val="24"/>
          <w:szCs w:val="24"/>
          <w:lang w:val="en-US" w:eastAsia="zh-CN"/>
        </w:rPr>
      </w:pPr>
      <w:r>
        <w:rPr>
          <w:rFonts w:hint="eastAsia" w:cs="宋体"/>
          <w:color w:val="000000"/>
          <w:sz w:val="24"/>
          <w:szCs w:val="24"/>
        </w:rPr>
        <w:t>通讯地址</w:t>
      </w:r>
      <w:r>
        <w:rPr>
          <w:rFonts w:hint="eastAsia" w:cs="宋体"/>
          <w:bCs/>
          <w:color w:val="000000"/>
          <w:sz w:val="24"/>
          <w:szCs w:val="24"/>
        </w:rPr>
        <w:t>：成都市</w:t>
      </w:r>
      <w:r>
        <w:rPr>
          <w:rFonts w:hint="eastAsia" w:cs="宋体"/>
          <w:bCs/>
          <w:color w:val="000000"/>
          <w:sz w:val="24"/>
          <w:szCs w:val="24"/>
          <w:lang w:val="en-US" w:eastAsia="zh-CN"/>
        </w:rPr>
        <w:t>双流区东安路一段27号</w:t>
      </w:r>
    </w:p>
    <w:p>
      <w:pPr>
        <w:spacing w:line="440" w:lineRule="exact"/>
        <w:ind w:firstLine="499" w:firstLineChars="208"/>
        <w:rPr>
          <w:rFonts w:hint="default" w:cs="宋体"/>
          <w:bCs/>
          <w:color w:val="000000"/>
          <w:sz w:val="24"/>
          <w:szCs w:val="24"/>
          <w:lang w:val="en-US" w:eastAsia="zh-CN"/>
        </w:rPr>
      </w:pPr>
      <w:r>
        <w:rPr>
          <w:rFonts w:hint="eastAsia" w:cs="宋体"/>
          <w:bCs/>
          <w:color w:val="000000"/>
          <w:sz w:val="24"/>
          <w:szCs w:val="24"/>
        </w:rPr>
        <w:t>联 系 人：</w:t>
      </w:r>
      <w:r>
        <w:rPr>
          <w:rFonts w:hint="eastAsia" w:cs="宋体"/>
          <w:bCs/>
          <w:color w:val="000000"/>
          <w:sz w:val="24"/>
          <w:szCs w:val="24"/>
          <w:lang w:val="en-US" w:eastAsia="zh-CN"/>
        </w:rPr>
        <w:t>肖女士</w:t>
      </w:r>
    </w:p>
    <w:p>
      <w:pPr>
        <w:spacing w:line="440" w:lineRule="exact"/>
        <w:ind w:firstLine="499" w:firstLineChars="208"/>
        <w:rPr>
          <w:rFonts w:hint="default" w:cs="宋体"/>
          <w:bCs/>
          <w:color w:val="000000"/>
          <w:sz w:val="24"/>
          <w:szCs w:val="24"/>
          <w:lang w:val="en-US" w:eastAsia="zh-CN"/>
        </w:rPr>
      </w:pPr>
      <w:r>
        <w:rPr>
          <w:rFonts w:hint="eastAsia" w:cs="宋体"/>
          <w:bCs/>
          <w:color w:val="000000"/>
          <w:sz w:val="24"/>
          <w:szCs w:val="24"/>
        </w:rPr>
        <w:t>联系电话：028-</w:t>
      </w:r>
      <w:r>
        <w:rPr>
          <w:rFonts w:hint="eastAsia" w:cs="宋体"/>
          <w:bCs/>
          <w:color w:val="000000"/>
          <w:sz w:val="24"/>
          <w:szCs w:val="24"/>
          <w:lang w:val="en-US" w:eastAsia="zh-CN"/>
        </w:rPr>
        <w:t>85695252</w:t>
      </w:r>
    </w:p>
    <w:p>
      <w:pPr>
        <w:pStyle w:val="75"/>
        <w:rPr>
          <w:rFonts w:hint="eastAsia" w:ascii="Times New Roman" w:hAnsi="Times New Roman" w:eastAsia="宋体" w:cs="宋体"/>
          <w:b/>
          <w:color w:val="000000"/>
          <w:kern w:val="2"/>
          <w:sz w:val="24"/>
          <w:szCs w:val="24"/>
          <w:lang w:val="zh-CN" w:eastAsia="zh-CN" w:bidi="ar-SA"/>
        </w:rPr>
      </w:pPr>
    </w:p>
    <w:p>
      <w:pPr>
        <w:pStyle w:val="75"/>
        <w:rPr>
          <w:rFonts w:hint="eastAsia" w:ascii="宋体" w:hAnsi="宋体" w:cs="宋体"/>
          <w:color w:val="auto"/>
          <w:sz w:val="24"/>
          <w:szCs w:val="24"/>
          <w:highlight w:val="none"/>
          <w:lang w:val="zh-CN"/>
        </w:rPr>
      </w:pPr>
      <w:r>
        <w:rPr>
          <w:rFonts w:hint="eastAsia" w:ascii="Times New Roman" w:hAnsi="Times New Roman" w:eastAsia="宋体" w:cs="宋体"/>
          <w:b/>
          <w:color w:val="000000"/>
          <w:kern w:val="2"/>
          <w:sz w:val="24"/>
          <w:szCs w:val="24"/>
          <w:lang w:val="zh-CN" w:eastAsia="zh-CN" w:bidi="ar-SA"/>
        </w:rPr>
        <w:t>代理机构</w:t>
      </w:r>
      <w:r>
        <w:rPr>
          <w:rFonts w:hint="eastAsia" w:eastAsia="宋体" w:cs="宋体"/>
          <w:b/>
          <w:color w:val="000000"/>
          <w:kern w:val="2"/>
          <w:sz w:val="24"/>
          <w:szCs w:val="24"/>
          <w:lang w:val="zh-CN" w:eastAsia="zh-CN" w:bidi="ar-SA"/>
        </w:rPr>
        <w:t>：</w:t>
      </w:r>
      <w:r>
        <w:rPr>
          <w:rFonts w:hint="eastAsia" w:ascii="宋体" w:hAnsi="宋体" w:cs="宋体"/>
          <w:color w:val="auto"/>
          <w:sz w:val="24"/>
          <w:szCs w:val="24"/>
          <w:highlight w:val="none"/>
          <w:lang w:val="zh-CN"/>
        </w:rPr>
        <w:t>华信天成工程管理有限公司</w:t>
      </w:r>
    </w:p>
    <w:p>
      <w:pPr>
        <w:pStyle w:val="75"/>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地址：成都市武侯区吉泰五路118号天合凯旋广场3栋3204</w:t>
      </w:r>
    </w:p>
    <w:p>
      <w:pPr>
        <w:pStyle w:val="75"/>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项目联系人：</w:t>
      </w:r>
      <w:r>
        <w:rPr>
          <w:rFonts w:hint="eastAsia" w:ascii="宋体" w:hAnsi="宋体" w:cs="宋体"/>
          <w:color w:val="auto"/>
          <w:sz w:val="24"/>
          <w:szCs w:val="24"/>
          <w:highlight w:val="none"/>
          <w:lang w:val="en-US" w:eastAsia="zh-CN"/>
        </w:rPr>
        <w:t>吴女士</w:t>
      </w:r>
    </w:p>
    <w:p>
      <w:pPr>
        <w:pStyle w:val="75"/>
        <w:ind w:firstLine="48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联系电话</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13540644281</w:t>
      </w:r>
    </w:p>
    <w:p>
      <w:pPr>
        <w:rPr>
          <w:rFonts w:ascii="宋体" w:hAnsi="宋体" w:cs="宋体"/>
          <w:color w:val="auto"/>
          <w:highlight w:val="none"/>
        </w:rPr>
      </w:pPr>
      <w:r>
        <w:rPr>
          <w:rFonts w:hint="eastAsia" w:ascii="宋体" w:hAnsi="宋体" w:cs="宋体"/>
          <w:color w:val="auto"/>
          <w:highlight w:val="none"/>
        </w:rPr>
        <w:br w:type="page"/>
      </w:r>
    </w:p>
    <w:p>
      <w:pPr>
        <w:pStyle w:val="3"/>
        <w:keepNext w:val="0"/>
        <w:keepLines w:val="0"/>
        <w:numPr>
          <w:ilvl w:val="-1"/>
          <w:numId w:val="0"/>
        </w:numPr>
        <w:spacing w:line="360" w:lineRule="auto"/>
        <w:jc w:val="center"/>
        <w:outlineLvl w:val="0"/>
        <w:rPr>
          <w:rFonts w:ascii="宋体" w:hAnsi="宋体" w:eastAsia="宋体" w:cs="宋体"/>
          <w:color w:val="auto"/>
          <w:highlight w:val="none"/>
        </w:rPr>
      </w:pPr>
      <w:r>
        <w:rPr>
          <w:rFonts w:hint="eastAsia" w:ascii="宋体" w:hAnsi="宋体" w:cs="宋体"/>
          <w:color w:val="auto"/>
          <w:highlight w:val="none"/>
          <w:lang w:eastAsia="zh-CN"/>
        </w:rPr>
        <w:t>第二章</w:t>
      </w:r>
      <w:r>
        <w:rPr>
          <w:rFonts w:hint="eastAsia" w:ascii="宋体" w:hAnsi="宋体" w:eastAsia="宋体" w:cs="宋体"/>
          <w:color w:val="auto"/>
          <w:highlight w:val="none"/>
        </w:rPr>
        <w:t xml:space="preserve"> 磋商须知</w:t>
      </w:r>
      <w:bookmarkEnd w:id="3"/>
      <w:bookmarkEnd w:id="4"/>
      <w:bookmarkEnd w:id="5"/>
      <w:bookmarkEnd w:id="6"/>
      <w:bookmarkEnd w:id="7"/>
      <w:bookmarkEnd w:id="8"/>
    </w:p>
    <w:p>
      <w:pPr>
        <w:pStyle w:val="4"/>
        <w:keepNext w:val="0"/>
        <w:keepLines w:val="0"/>
        <w:spacing w:line="360" w:lineRule="auto"/>
        <w:jc w:val="center"/>
        <w:rPr>
          <w:rFonts w:ascii="宋体" w:hAnsi="宋体" w:eastAsia="宋体" w:cs="宋体"/>
          <w:color w:val="auto"/>
          <w:highlight w:val="none"/>
        </w:rPr>
      </w:pPr>
      <w:r>
        <w:rPr>
          <w:rFonts w:hint="eastAsia" w:ascii="宋体" w:hAnsi="宋体" w:eastAsia="宋体" w:cs="宋体"/>
          <w:color w:val="auto"/>
          <w:sz w:val="28"/>
          <w:szCs w:val="28"/>
          <w:highlight w:val="none"/>
        </w:rPr>
        <w:t>一、供应商须知附表</w:t>
      </w:r>
    </w:p>
    <w:tbl>
      <w:tblPr>
        <w:tblStyle w:val="28"/>
        <w:tblW w:w="1018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6"/>
        <w:gridCol w:w="710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1" w:hRule="atLeast"/>
          <w:tblHeader/>
          <w:jc w:val="center"/>
        </w:trPr>
        <w:tc>
          <w:tcPr>
            <w:tcW w:w="838" w:type="dxa"/>
            <w:vAlign w:val="center"/>
          </w:tcPr>
          <w:p>
            <w:pPr>
              <w:pStyle w:val="67"/>
              <w:spacing w:line="360" w:lineRule="auto"/>
              <w:ind w:left="9"/>
              <w:jc w:val="center"/>
              <w:rPr>
                <w:color w:val="auto"/>
                <w:kern w:val="2"/>
                <w:highlight w:val="none"/>
              </w:rPr>
            </w:pPr>
            <w:bookmarkStart w:id="9" w:name="_Toc22751"/>
            <w:r>
              <w:rPr>
                <w:rFonts w:hint="eastAsia"/>
                <w:color w:val="auto"/>
                <w:kern w:val="2"/>
                <w:highlight w:val="none"/>
              </w:rPr>
              <w:t>序号</w:t>
            </w:r>
          </w:p>
        </w:tc>
        <w:tc>
          <w:tcPr>
            <w:tcW w:w="2236" w:type="dxa"/>
            <w:vAlign w:val="center"/>
          </w:tcPr>
          <w:p>
            <w:pPr>
              <w:pStyle w:val="67"/>
              <w:spacing w:line="360" w:lineRule="auto"/>
              <w:ind w:left="38"/>
              <w:jc w:val="center"/>
              <w:rPr>
                <w:color w:val="auto"/>
                <w:kern w:val="2"/>
                <w:highlight w:val="none"/>
              </w:rPr>
            </w:pPr>
            <w:r>
              <w:rPr>
                <w:rFonts w:hint="eastAsia"/>
                <w:color w:val="auto"/>
                <w:kern w:val="2"/>
                <w:highlight w:val="none"/>
              </w:rPr>
              <w:t>条款名称</w:t>
            </w:r>
          </w:p>
        </w:tc>
        <w:tc>
          <w:tcPr>
            <w:tcW w:w="7109" w:type="dxa"/>
            <w:vAlign w:val="center"/>
          </w:tcPr>
          <w:p>
            <w:pPr>
              <w:pStyle w:val="67"/>
              <w:spacing w:line="360" w:lineRule="auto"/>
              <w:jc w:val="center"/>
              <w:rPr>
                <w:color w:val="auto"/>
                <w:kern w:val="2"/>
                <w:highlight w:val="none"/>
              </w:rPr>
            </w:pPr>
            <w:r>
              <w:rPr>
                <w:rFonts w:hint="eastAsia"/>
                <w:color w:val="auto"/>
                <w:kern w:val="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98" w:hRule="atLeast"/>
          <w:jc w:val="center"/>
        </w:trPr>
        <w:tc>
          <w:tcPr>
            <w:tcW w:w="838" w:type="dxa"/>
            <w:vAlign w:val="center"/>
          </w:tcPr>
          <w:p>
            <w:pPr>
              <w:pStyle w:val="67"/>
              <w:spacing w:line="360" w:lineRule="auto"/>
              <w:ind w:right="230"/>
              <w:jc w:val="center"/>
              <w:rPr>
                <w:color w:val="auto"/>
                <w:kern w:val="2"/>
                <w:highlight w:val="none"/>
              </w:rPr>
            </w:pPr>
            <w:r>
              <w:rPr>
                <w:rFonts w:hint="eastAsia"/>
                <w:color w:val="auto"/>
                <w:kern w:val="2"/>
                <w:highlight w:val="none"/>
              </w:rPr>
              <w:t xml:space="preserve">  1</w:t>
            </w:r>
          </w:p>
        </w:tc>
        <w:tc>
          <w:tcPr>
            <w:tcW w:w="2236" w:type="dxa"/>
            <w:vAlign w:val="center"/>
          </w:tcPr>
          <w:p>
            <w:pPr>
              <w:pStyle w:val="67"/>
              <w:spacing w:line="360" w:lineRule="auto"/>
              <w:ind w:left="38"/>
              <w:jc w:val="center"/>
              <w:rPr>
                <w:color w:val="auto"/>
                <w:kern w:val="2"/>
                <w:highlight w:val="none"/>
              </w:rPr>
            </w:pPr>
            <w:r>
              <w:rPr>
                <w:rFonts w:hint="eastAsia"/>
                <w:color w:val="auto"/>
                <w:kern w:val="2"/>
                <w:highlight w:val="none"/>
              </w:rPr>
              <w:t>采购预算价</w:t>
            </w:r>
          </w:p>
          <w:p>
            <w:pPr>
              <w:pStyle w:val="67"/>
              <w:spacing w:line="360" w:lineRule="auto"/>
              <w:jc w:val="center"/>
              <w:rPr>
                <w:color w:val="auto"/>
                <w:kern w:val="2"/>
                <w:highlight w:val="none"/>
              </w:rPr>
            </w:pPr>
            <w:r>
              <w:rPr>
                <w:rFonts w:hint="eastAsia"/>
                <w:color w:val="auto"/>
                <w:highlight w:val="none"/>
              </w:rPr>
              <w:t>（实质性要求）</w:t>
            </w:r>
          </w:p>
        </w:tc>
        <w:tc>
          <w:tcPr>
            <w:tcW w:w="7109" w:type="dxa"/>
            <w:vAlign w:val="center"/>
          </w:tcPr>
          <w:p>
            <w:pPr>
              <w:numPr>
                <w:ilvl w:val="0"/>
                <w:numId w:val="2"/>
              </w:numPr>
              <w:snapToGrid w:val="0"/>
              <w:spacing w:line="360" w:lineRule="auto"/>
              <w:ind w:right="31" w:rightChars="15"/>
              <w:jc w:val="left"/>
              <w:rPr>
                <w:rFonts w:ascii="宋体" w:hAnsi="宋体" w:cs="宋体"/>
                <w:b/>
                <w:bCs/>
                <w:color w:val="auto"/>
                <w:sz w:val="24"/>
                <w:highlight w:val="none"/>
              </w:rPr>
            </w:pPr>
            <w:r>
              <w:rPr>
                <w:rFonts w:hint="eastAsia" w:ascii="宋体" w:hAnsi="宋体" w:cs="宋体"/>
                <w:b/>
                <w:bCs/>
                <w:color w:val="auto"/>
                <w:sz w:val="24"/>
                <w:highlight w:val="none"/>
                <w:lang w:val="zh-CN"/>
              </w:rPr>
              <w:t>本项目</w:t>
            </w:r>
            <w:r>
              <w:rPr>
                <w:rFonts w:hint="eastAsia" w:ascii="宋体" w:hAnsi="宋体" w:cs="宋体"/>
                <w:b/>
                <w:bCs/>
                <w:color w:val="auto"/>
                <w:sz w:val="24"/>
                <w:highlight w:val="none"/>
              </w:rPr>
              <w:t>预算金额：</w:t>
            </w:r>
            <w:r>
              <w:rPr>
                <w:rFonts w:hint="eastAsia" w:ascii="宋体" w:hAnsi="宋体" w:cs="宋体"/>
                <w:b/>
                <w:bCs/>
                <w:color w:val="auto"/>
                <w:sz w:val="24"/>
                <w:szCs w:val="24"/>
                <w:highlight w:val="none"/>
                <w:u w:val="single"/>
                <w:lang w:val="en-US" w:eastAsia="zh-CN"/>
              </w:rPr>
              <w:t>157800</w:t>
            </w:r>
            <w:r>
              <w:rPr>
                <w:rFonts w:hint="eastAsia" w:ascii="宋体" w:hAnsi="宋体" w:cs="宋体"/>
                <w:b/>
                <w:bCs/>
                <w:color w:val="auto"/>
                <w:sz w:val="24"/>
                <w:highlight w:val="none"/>
                <w:u w:val="single"/>
              </w:rPr>
              <w:t>元</w:t>
            </w:r>
            <w:r>
              <w:rPr>
                <w:rFonts w:hint="eastAsia" w:ascii="宋体" w:hAnsi="宋体" w:cs="宋体"/>
                <w:b/>
                <w:bCs/>
                <w:color w:val="auto"/>
                <w:sz w:val="24"/>
                <w:highlight w:val="none"/>
              </w:rPr>
              <w:t>。</w:t>
            </w:r>
          </w:p>
          <w:p>
            <w:pPr>
              <w:snapToGrid w:val="0"/>
              <w:spacing w:line="360" w:lineRule="auto"/>
              <w:ind w:right="31" w:rightChars="15"/>
              <w:jc w:val="left"/>
              <w:rPr>
                <w:rFonts w:ascii="宋体" w:hAnsi="宋体" w:cs="宋体"/>
                <w:color w:val="auto"/>
                <w:sz w:val="24"/>
                <w:highlight w:val="none"/>
              </w:rPr>
            </w:pPr>
            <w:r>
              <w:rPr>
                <w:rFonts w:hint="eastAsia" w:ascii="宋体" w:hAnsi="宋体" w:cs="宋体"/>
                <w:color w:val="auto"/>
                <w:sz w:val="24"/>
                <w:highlight w:val="none"/>
              </w:rPr>
              <w:t>供应商应在填报磋商报价之前，已经仔细阅读了本竞争性磋商文件的所有有关章节以及审查了所有相关资料，已确保本次政府采购项目的所有采购服务范围内的各种价格风险均已包含在磋商报价内。</w:t>
            </w:r>
          </w:p>
          <w:p>
            <w:pPr>
              <w:snapToGrid w:val="0"/>
              <w:spacing w:line="360" w:lineRule="auto"/>
              <w:ind w:right="31" w:rightChars="15"/>
              <w:jc w:val="left"/>
              <w:rPr>
                <w:color w:val="auto"/>
                <w:highlight w:val="none"/>
              </w:rPr>
            </w:pPr>
            <w:r>
              <w:rPr>
                <w:rFonts w:hint="eastAsia" w:ascii="宋体" w:hAnsi="宋体" w:cs="宋体"/>
                <w:color w:val="auto"/>
                <w:sz w:val="24"/>
                <w:highlight w:val="none"/>
              </w:rPr>
              <w:t>2、超过采购预算的投标为无效响应。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1" w:hRule="atLeast"/>
          <w:jc w:val="center"/>
        </w:trPr>
        <w:tc>
          <w:tcPr>
            <w:tcW w:w="838" w:type="dxa"/>
            <w:vAlign w:val="center"/>
          </w:tcPr>
          <w:p>
            <w:pPr>
              <w:pStyle w:val="67"/>
              <w:spacing w:line="360" w:lineRule="auto"/>
              <w:ind w:right="230"/>
              <w:jc w:val="center"/>
              <w:rPr>
                <w:color w:val="auto"/>
                <w:kern w:val="2"/>
                <w:highlight w:val="none"/>
              </w:rPr>
            </w:pPr>
            <w:r>
              <w:rPr>
                <w:rFonts w:hint="eastAsia"/>
                <w:color w:val="auto"/>
                <w:kern w:val="2"/>
                <w:highlight w:val="none"/>
              </w:rPr>
              <w:t>2</w:t>
            </w:r>
          </w:p>
        </w:tc>
        <w:tc>
          <w:tcPr>
            <w:tcW w:w="2236" w:type="dxa"/>
            <w:vAlign w:val="center"/>
          </w:tcPr>
          <w:p>
            <w:pPr>
              <w:pStyle w:val="67"/>
              <w:spacing w:line="360" w:lineRule="auto"/>
              <w:jc w:val="center"/>
              <w:rPr>
                <w:color w:val="auto"/>
                <w:kern w:val="2"/>
                <w:highlight w:val="none"/>
              </w:rPr>
            </w:pPr>
            <w:r>
              <w:rPr>
                <w:rFonts w:hint="eastAsia"/>
                <w:color w:val="auto"/>
                <w:kern w:val="2"/>
                <w:highlight w:val="none"/>
              </w:rPr>
              <w:t>最高限价</w:t>
            </w:r>
          </w:p>
          <w:p>
            <w:pPr>
              <w:pStyle w:val="67"/>
              <w:spacing w:line="360" w:lineRule="auto"/>
              <w:jc w:val="center"/>
              <w:rPr>
                <w:color w:val="auto"/>
                <w:highlight w:val="none"/>
              </w:rPr>
            </w:pPr>
            <w:r>
              <w:rPr>
                <w:rFonts w:hint="eastAsia"/>
                <w:color w:val="auto"/>
                <w:highlight w:val="none"/>
              </w:rPr>
              <w:t>（实质性要求）</w:t>
            </w:r>
          </w:p>
        </w:tc>
        <w:tc>
          <w:tcPr>
            <w:tcW w:w="7109" w:type="dxa"/>
            <w:vAlign w:val="center"/>
          </w:tcPr>
          <w:p>
            <w:pPr>
              <w:pStyle w:val="67"/>
              <w:numPr>
                <w:ilvl w:val="0"/>
                <w:numId w:val="3"/>
              </w:numPr>
              <w:spacing w:line="360" w:lineRule="auto"/>
              <w:rPr>
                <w:rFonts w:hint="eastAsia"/>
                <w:bCs/>
                <w:color w:val="auto"/>
                <w:highlight w:val="none"/>
              </w:rPr>
            </w:pPr>
            <w:r>
              <w:rPr>
                <w:rFonts w:hint="eastAsia"/>
                <w:b/>
                <w:color w:val="auto"/>
                <w:highlight w:val="none"/>
              </w:rPr>
              <w:t>最</w:t>
            </w:r>
            <w:r>
              <w:rPr>
                <w:rFonts w:hint="eastAsia"/>
                <w:b/>
                <w:bCs/>
                <w:color w:val="auto"/>
                <w:kern w:val="2"/>
                <w:highlight w:val="none"/>
              </w:rPr>
              <w:t>高限价为：</w:t>
            </w:r>
            <w:r>
              <w:rPr>
                <w:rFonts w:hint="eastAsia" w:ascii="宋体" w:hAnsi="宋体" w:cs="宋体"/>
                <w:b/>
                <w:bCs/>
                <w:color w:val="auto"/>
                <w:sz w:val="24"/>
                <w:szCs w:val="24"/>
                <w:highlight w:val="none"/>
                <w:u w:val="single"/>
                <w:lang w:val="en-US" w:eastAsia="zh-CN"/>
              </w:rPr>
              <w:t>157800</w:t>
            </w:r>
            <w:r>
              <w:rPr>
                <w:rFonts w:hint="eastAsia" w:ascii="宋体" w:hAnsi="宋体" w:cs="宋体"/>
                <w:b/>
                <w:bCs/>
                <w:color w:val="auto"/>
                <w:sz w:val="24"/>
                <w:highlight w:val="none"/>
                <w:u w:val="single"/>
              </w:rPr>
              <w:t>元</w:t>
            </w:r>
            <w:r>
              <w:rPr>
                <w:rFonts w:hint="eastAsia" w:cs="宋体"/>
                <w:b/>
                <w:bCs/>
                <w:color w:val="auto"/>
                <w:sz w:val="24"/>
                <w:highlight w:val="none"/>
                <w:u w:val="none"/>
                <w:lang w:val="en-US" w:eastAsia="zh-CN"/>
              </w:rPr>
              <w:t>。</w:t>
            </w:r>
            <w:r>
              <w:rPr>
                <w:rFonts w:hint="eastAsia" w:ascii="宋体" w:hAnsi="宋体" w:eastAsia="宋体" w:cs="宋体"/>
                <w:bCs/>
                <w:color w:val="auto"/>
                <w:sz w:val="24"/>
                <w:highlight w:val="none"/>
                <w:lang w:val="en-US" w:eastAsia="zh-CN"/>
              </w:rPr>
              <w:t>（报价</w:t>
            </w:r>
            <w:r>
              <w:rPr>
                <w:rFonts w:hint="eastAsia" w:ascii="宋体" w:hAnsi="宋体" w:eastAsia="宋体" w:cs="宋体"/>
                <w:bCs/>
                <w:color w:val="auto"/>
                <w:sz w:val="24"/>
                <w:highlight w:val="none"/>
                <w:lang w:eastAsia="zh-CN"/>
              </w:rPr>
              <w:t>应包含供应商人工费、机具费、管理费、</w:t>
            </w:r>
            <w:r>
              <w:rPr>
                <w:rFonts w:hint="eastAsia" w:cs="宋体"/>
                <w:bCs/>
                <w:color w:val="auto"/>
                <w:sz w:val="24"/>
                <w:highlight w:val="none"/>
                <w:lang w:eastAsia="zh-CN"/>
              </w:rPr>
              <w:t>维修</w:t>
            </w:r>
            <w:r>
              <w:rPr>
                <w:rFonts w:hint="eastAsia" w:ascii="宋体" w:hAnsi="宋体" w:eastAsia="宋体" w:cs="宋体"/>
                <w:bCs/>
                <w:color w:val="auto"/>
                <w:sz w:val="24"/>
                <w:highlight w:val="none"/>
                <w:lang w:eastAsia="zh-CN"/>
              </w:rPr>
              <w:t>维护费、利润、税金以及本项目所包含的所有责任和风险等全部费用）</w:t>
            </w:r>
            <w:r>
              <w:rPr>
                <w:rFonts w:hint="eastAsia" w:cs="宋体"/>
                <w:bCs/>
                <w:color w:val="auto"/>
                <w:sz w:val="24"/>
                <w:highlight w:val="none"/>
                <w:lang w:eastAsia="zh-CN"/>
              </w:rPr>
              <w:t>。</w:t>
            </w:r>
          </w:p>
          <w:p>
            <w:pPr>
              <w:pStyle w:val="67"/>
              <w:numPr>
                <w:ilvl w:val="0"/>
                <w:numId w:val="3"/>
              </w:numPr>
              <w:spacing w:line="360" w:lineRule="auto"/>
              <w:rPr>
                <w:bCs/>
                <w:color w:val="auto"/>
                <w:highlight w:val="none"/>
              </w:rPr>
            </w:pPr>
            <w:r>
              <w:rPr>
                <w:rFonts w:hint="eastAsia"/>
                <w:bCs/>
                <w:color w:val="auto"/>
                <w:highlight w:val="none"/>
              </w:rPr>
              <w:t>超过最高限价的报价为</w:t>
            </w:r>
            <w:r>
              <w:rPr>
                <w:rFonts w:hint="eastAsia"/>
                <w:color w:val="auto"/>
                <w:highlight w:val="none"/>
              </w:rPr>
              <w:t>无效响应</w:t>
            </w:r>
            <w:r>
              <w:rPr>
                <w:rFonts w:hint="eastAsia"/>
                <w:bCs/>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5" w:hRule="atLeast"/>
          <w:jc w:val="center"/>
        </w:trPr>
        <w:tc>
          <w:tcPr>
            <w:tcW w:w="838" w:type="dxa"/>
            <w:vAlign w:val="center"/>
          </w:tcPr>
          <w:p>
            <w:pPr>
              <w:pStyle w:val="67"/>
              <w:spacing w:line="360" w:lineRule="auto"/>
              <w:ind w:right="230"/>
              <w:jc w:val="center"/>
              <w:rPr>
                <w:color w:val="auto"/>
                <w:kern w:val="2"/>
                <w:highlight w:val="none"/>
              </w:rPr>
            </w:pPr>
            <w:r>
              <w:rPr>
                <w:rFonts w:hint="eastAsia"/>
                <w:color w:val="auto"/>
                <w:kern w:val="2"/>
                <w:highlight w:val="none"/>
              </w:rPr>
              <w:t xml:space="preserve">  2</w:t>
            </w:r>
          </w:p>
        </w:tc>
        <w:tc>
          <w:tcPr>
            <w:tcW w:w="2236" w:type="dxa"/>
            <w:vAlign w:val="center"/>
          </w:tcPr>
          <w:p>
            <w:pPr>
              <w:pStyle w:val="67"/>
              <w:spacing w:line="360" w:lineRule="auto"/>
              <w:ind w:left="38"/>
              <w:jc w:val="center"/>
              <w:rPr>
                <w:color w:val="auto"/>
                <w:kern w:val="2"/>
                <w:highlight w:val="none"/>
              </w:rPr>
            </w:pPr>
            <w:r>
              <w:rPr>
                <w:rFonts w:hint="eastAsia"/>
                <w:color w:val="auto"/>
                <w:kern w:val="2"/>
                <w:highlight w:val="none"/>
              </w:rPr>
              <w:t>低于成本价不正当</w:t>
            </w:r>
          </w:p>
          <w:p>
            <w:pPr>
              <w:pStyle w:val="67"/>
              <w:spacing w:line="360" w:lineRule="auto"/>
              <w:ind w:left="38"/>
              <w:jc w:val="center"/>
              <w:rPr>
                <w:color w:val="auto"/>
                <w:kern w:val="2"/>
                <w:highlight w:val="none"/>
              </w:rPr>
            </w:pPr>
            <w:r>
              <w:rPr>
                <w:rFonts w:hint="eastAsia"/>
                <w:color w:val="auto"/>
                <w:kern w:val="2"/>
                <w:highlight w:val="none"/>
              </w:rPr>
              <w:t>竞争预防措施</w:t>
            </w:r>
          </w:p>
          <w:p>
            <w:pPr>
              <w:pStyle w:val="67"/>
              <w:spacing w:line="360" w:lineRule="auto"/>
              <w:ind w:left="38"/>
              <w:jc w:val="center"/>
              <w:rPr>
                <w:color w:val="auto"/>
                <w:kern w:val="2"/>
                <w:highlight w:val="none"/>
              </w:rPr>
            </w:pPr>
            <w:r>
              <w:rPr>
                <w:rFonts w:hint="eastAsia"/>
                <w:color w:val="auto"/>
                <w:highlight w:val="none"/>
              </w:rPr>
              <w:t>（实质性要求）</w:t>
            </w:r>
          </w:p>
        </w:tc>
        <w:tc>
          <w:tcPr>
            <w:tcW w:w="7109" w:type="dxa"/>
            <w:vAlign w:val="center"/>
          </w:tcPr>
          <w:p>
            <w:pPr>
              <w:snapToGrid w:val="0"/>
              <w:spacing w:line="360" w:lineRule="auto"/>
              <w:ind w:right="31" w:rightChars="15"/>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1.在评审过程中，供应商报价低于</w:t>
            </w:r>
            <w:r>
              <w:rPr>
                <w:rFonts w:hint="eastAsia" w:ascii="宋体" w:hAnsi="宋体" w:eastAsia="宋体" w:cs="宋体"/>
                <w:color w:val="auto"/>
                <w:sz w:val="24"/>
                <w:highlight w:val="none"/>
              </w:rPr>
              <w:t>成本</w:t>
            </w:r>
            <w:r>
              <w:rPr>
                <w:rFonts w:hint="eastAsia" w:ascii="宋体" w:hAnsi="宋体" w:eastAsia="宋体" w:cs="宋体"/>
                <w:color w:val="auto"/>
                <w:sz w:val="24"/>
                <w:highlight w:val="none"/>
                <w:lang w:val="zh-CN"/>
              </w:rPr>
              <w:t>，有可能影响产品质量或者不能诚信履约的，磋商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napToGrid w:val="0"/>
              <w:spacing w:line="360" w:lineRule="auto"/>
              <w:ind w:right="31" w:rightChars="15"/>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2.供应商书面说明应当签字确认或者加盖公章，否则无效。书面说明的签字确认，由其法定代表人或者其授权代表签字确认。</w:t>
            </w:r>
          </w:p>
          <w:p>
            <w:pPr>
              <w:snapToGrid w:val="0"/>
              <w:spacing w:line="360" w:lineRule="auto"/>
              <w:ind w:right="31" w:rightChars="15"/>
              <w:jc w:val="left"/>
              <w:rPr>
                <w:color w:val="auto"/>
                <w:kern w:val="2"/>
                <w:highlight w:val="none"/>
              </w:rPr>
            </w:pPr>
            <w:r>
              <w:rPr>
                <w:rFonts w:hint="eastAsia" w:ascii="宋体" w:hAnsi="宋体" w:eastAsia="宋体" w:cs="宋体"/>
                <w:color w:val="auto"/>
                <w:sz w:val="24"/>
                <w:highlight w:val="none"/>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7"/>
              <w:spacing w:line="360" w:lineRule="auto"/>
              <w:ind w:right="230"/>
              <w:jc w:val="center"/>
              <w:rPr>
                <w:color w:val="auto"/>
                <w:highlight w:val="none"/>
                <w:lang w:val="zh-CN"/>
              </w:rPr>
            </w:pPr>
            <w:r>
              <w:rPr>
                <w:rFonts w:hint="eastAsia"/>
                <w:color w:val="auto"/>
                <w:highlight w:val="none"/>
              </w:rPr>
              <w:t xml:space="preserve">  </w:t>
            </w:r>
            <w:r>
              <w:rPr>
                <w:rFonts w:hint="eastAsia"/>
                <w:color w:val="auto"/>
                <w:highlight w:val="none"/>
                <w:lang w:val="zh-CN"/>
              </w:rPr>
              <w:t>3</w:t>
            </w:r>
          </w:p>
        </w:tc>
        <w:tc>
          <w:tcPr>
            <w:tcW w:w="2236" w:type="dxa"/>
            <w:vAlign w:val="center"/>
          </w:tcPr>
          <w:p>
            <w:pPr>
              <w:pStyle w:val="67"/>
              <w:spacing w:line="360" w:lineRule="auto"/>
              <w:jc w:val="center"/>
              <w:rPr>
                <w:color w:val="auto"/>
                <w:kern w:val="2"/>
                <w:highlight w:val="none"/>
              </w:rPr>
            </w:pPr>
            <w:r>
              <w:rPr>
                <w:rFonts w:hint="eastAsia"/>
                <w:color w:val="auto"/>
                <w:kern w:val="2"/>
                <w:highlight w:val="none"/>
              </w:rPr>
              <w:t>小微企业（监狱企业、残疾人福利性单位视同小微企业）价格扣除</w:t>
            </w:r>
          </w:p>
        </w:tc>
        <w:tc>
          <w:tcPr>
            <w:tcW w:w="7109" w:type="dxa"/>
            <w:vAlign w:val="center"/>
          </w:tcPr>
          <w:p>
            <w:pPr>
              <w:widowControl/>
              <w:spacing w:line="480" w:lineRule="auto"/>
              <w:ind w:firstLine="0" w:firstLineChars="0"/>
              <w:jc w:val="left"/>
              <w:rPr>
                <w:rFonts w:hint="default" w:ascii="宋体" w:eastAsia="宋体"/>
                <w:color w:val="auto"/>
                <w:kern w:val="0"/>
                <w:sz w:val="24"/>
                <w:highlight w:val="none"/>
                <w:lang w:val="en-US" w:eastAsia="zh-CN"/>
              </w:rPr>
            </w:pPr>
            <w:r>
              <w:rPr>
                <w:rFonts w:hint="eastAsia" w:ascii="宋体"/>
                <w:color w:val="auto"/>
                <w:kern w:val="0"/>
                <w:sz w:val="24"/>
                <w:highlight w:val="none"/>
              </w:rPr>
              <w:t>1、根据《政府采购促进中小企业发展管理办法》（财库[2020]46号）、《关于政府采购支持监狱企业发展有关问题的通知》（财库[2014]68号）、《三部门联合发布关于促进残疾人就业政府采购政策的通知》（财库[2017]141号）的规定，</w:t>
            </w:r>
            <w:r>
              <w:rPr>
                <w:rFonts w:hint="eastAsia" w:ascii="宋体"/>
                <w:b/>
                <w:bCs/>
                <w:color w:val="auto"/>
                <w:kern w:val="0"/>
                <w:sz w:val="24"/>
                <w:highlight w:val="none"/>
              </w:rPr>
              <w:t>对小型和微型企业、监狱企业及残疾人福利性单位的价格给予10%的价格扣除，用扣除后的价格参与评标。</w:t>
            </w:r>
          </w:p>
          <w:p>
            <w:pPr>
              <w:widowControl/>
              <w:spacing w:line="480" w:lineRule="auto"/>
              <w:ind w:firstLine="0" w:firstLineChars="0"/>
              <w:jc w:val="left"/>
              <w:rPr>
                <w:rFonts w:hint="eastAsia" w:ascii="宋体"/>
                <w:color w:val="auto"/>
                <w:kern w:val="0"/>
                <w:sz w:val="24"/>
                <w:highlight w:val="none"/>
              </w:rPr>
            </w:pPr>
            <w:r>
              <w:rPr>
                <w:rFonts w:hint="eastAsia" w:ascii="宋体"/>
                <w:color w:val="auto"/>
                <w:kern w:val="0"/>
                <w:sz w:val="24"/>
                <w:highlight w:val="none"/>
              </w:rPr>
              <w:t>2、提供财库〔2020〕46号文件中所述《中小企业声明函》原件或省级及以上监狱管理局、戒毒管理局（含新疆生产建设兵团）出具的属于监狱企业的证明文件复印件或财库〔2017〕141号文件中所述《残疾人福利性单位声明函》原件。</w:t>
            </w:r>
          </w:p>
          <w:p>
            <w:pPr>
              <w:widowControl/>
              <w:spacing w:line="480" w:lineRule="auto"/>
              <w:ind w:firstLine="0" w:firstLineChars="0"/>
              <w:jc w:val="left"/>
              <w:rPr>
                <w:b/>
                <w:bCs/>
                <w:color w:val="auto"/>
                <w:highlight w:val="none"/>
              </w:rPr>
            </w:pPr>
            <w:r>
              <w:rPr>
                <w:rFonts w:hint="eastAsia" w:ascii="宋体"/>
                <w:b/>
                <w:color w:val="auto"/>
                <w:kern w:val="0"/>
                <w:sz w:val="24"/>
                <w:highlight w:val="none"/>
              </w:rPr>
              <w:t>注：《中小企业声明函》或《残疾人福利性单位声明函》①须按照磋商文件中所附格式文件填写，除相应格式注中明确规定可不填写的内容外，其他内容均应填写完整；②加盖供应商公章。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7"/>
              <w:spacing w:line="360" w:lineRule="auto"/>
              <w:ind w:right="230"/>
              <w:jc w:val="center"/>
              <w:rPr>
                <w:color w:val="auto"/>
                <w:highlight w:val="none"/>
              </w:rPr>
            </w:pPr>
            <w:r>
              <w:rPr>
                <w:rFonts w:hint="eastAsia"/>
                <w:color w:val="auto"/>
                <w:highlight w:val="none"/>
              </w:rPr>
              <w:t xml:space="preserve">  4</w:t>
            </w:r>
          </w:p>
        </w:tc>
        <w:tc>
          <w:tcPr>
            <w:tcW w:w="223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关于执行《政府采购竞争性磋商采购方式管理暂行办法》财库〔2014〕214号文件及财库〔2015〕124号的要求</w:t>
            </w:r>
          </w:p>
        </w:tc>
        <w:tc>
          <w:tcPr>
            <w:tcW w:w="7109" w:type="dxa"/>
            <w:vAlign w:val="center"/>
          </w:tcPr>
          <w:p>
            <w:pPr>
              <w:pStyle w:val="71"/>
              <w:snapToGrid w:val="0"/>
              <w:spacing w:line="336" w:lineRule="auto"/>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1、根据该办法第三条：符合下列情形的项目，可以采用竞争性磋商方式开展采购：(四)市场竞争不充分的科研项目，以及需要扶持的科技成果转化项目；符合本办法第三条第四项情形的，提交最后报价的供应商可以为2家；</w:t>
            </w:r>
          </w:p>
          <w:p>
            <w:pPr>
              <w:pStyle w:val="71"/>
              <w:snapToGrid w:val="0"/>
              <w:spacing w:line="336" w:lineRule="auto"/>
              <w:ind w:firstLine="0"/>
              <w:jc w:val="left"/>
              <w:rPr>
                <w:rFonts w:ascii="宋体" w:hAnsi="宋体" w:cs="宋体"/>
                <w:b/>
                <w:bCs/>
                <w:color w:val="auto"/>
                <w:sz w:val="24"/>
                <w:highlight w:val="none"/>
                <w:lang w:val="zh-CN"/>
              </w:rPr>
            </w:pPr>
            <w:r>
              <w:rPr>
                <w:rFonts w:hint="eastAsia" w:ascii="宋体" w:hAnsi="宋体" w:cs="宋体"/>
                <w:color w:val="auto"/>
                <w:sz w:val="24"/>
                <w:szCs w:val="24"/>
                <w:highlight w:val="none"/>
              </w:rPr>
              <w:t>2、依据财库〔2015〕124号的要求，采用竞争性磋商采购方式采购的政府购买服务项目（含政府和社会资本合作项目），在采购过程中符合要求的供应商（社会资本）只有2家的，竞争性磋商采购活动可以继续进行。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7"/>
              <w:spacing w:line="360" w:lineRule="auto"/>
              <w:ind w:right="230"/>
              <w:jc w:val="center"/>
              <w:rPr>
                <w:color w:val="auto"/>
                <w:highlight w:val="none"/>
              </w:rPr>
            </w:pPr>
            <w:r>
              <w:rPr>
                <w:rFonts w:hint="eastAsia"/>
                <w:color w:val="auto"/>
                <w:highlight w:val="none"/>
              </w:rPr>
              <w:t xml:space="preserve">  5</w:t>
            </w:r>
          </w:p>
        </w:tc>
        <w:tc>
          <w:tcPr>
            <w:tcW w:w="2236" w:type="dxa"/>
            <w:vAlign w:val="center"/>
          </w:tcPr>
          <w:p>
            <w:pPr>
              <w:pStyle w:val="67"/>
              <w:spacing w:line="360" w:lineRule="auto"/>
              <w:jc w:val="center"/>
              <w:rPr>
                <w:color w:val="auto"/>
                <w:highlight w:val="none"/>
              </w:rPr>
            </w:pPr>
            <w:r>
              <w:rPr>
                <w:rFonts w:hint="eastAsia"/>
                <w:color w:val="auto"/>
                <w:highlight w:val="none"/>
              </w:rPr>
              <w:t>节能产品或者政府采购环境标志产品或者无线局域网产品</w:t>
            </w:r>
          </w:p>
          <w:p>
            <w:pPr>
              <w:pStyle w:val="67"/>
              <w:spacing w:line="360" w:lineRule="auto"/>
              <w:jc w:val="center"/>
              <w:rPr>
                <w:color w:val="auto"/>
                <w:highlight w:val="none"/>
              </w:rPr>
            </w:pPr>
          </w:p>
        </w:tc>
        <w:tc>
          <w:tcPr>
            <w:tcW w:w="7109" w:type="dxa"/>
            <w:vAlign w:val="center"/>
          </w:tcPr>
          <w:p>
            <w:pPr>
              <w:spacing w:after="0" w:line="340" w:lineRule="exact"/>
              <w:ind w:right="105" w:rightChars="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一、节能、环保产品政府采购政策：</w:t>
            </w:r>
          </w:p>
          <w:p>
            <w:pPr>
              <w:spacing w:after="0" w:line="340" w:lineRule="exact"/>
              <w:ind w:right="105" w:rightChars="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after="0" w:line="340" w:lineRule="exact"/>
              <w:ind w:right="105" w:rightChars="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本项目采购的产品属于品目清单强制采购范围的，供应商应按上述要求提供产品认证证书复印件并加盖供应商单位公章，否则投标无效。（实质性要求）</w:t>
            </w:r>
          </w:p>
          <w:p>
            <w:pPr>
              <w:spacing w:after="0" w:line="340" w:lineRule="exact"/>
              <w:ind w:right="105" w:rightChars="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本项目采购的产品属于品目清单优先采购范围的，按照第七章《综合评分明细表》的规则进行加分。</w:t>
            </w:r>
          </w:p>
          <w:p>
            <w:pPr>
              <w:spacing w:after="0" w:line="340" w:lineRule="exact"/>
              <w:ind w:right="105" w:rightChars="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注：对政府采购节能产品、环境标志产品实施品目清单管理。财政部、发展改革委、生态环境部等部门确定实施政府优先采购和强制采购的产品类别，以品目清单的形式发布并适时调整。</w:t>
            </w:r>
          </w:p>
          <w:p>
            <w:pPr>
              <w:spacing w:after="0" w:line="340" w:lineRule="exact"/>
              <w:ind w:right="105" w:rightChars="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二、无线局域网产品政府采购政策：</w:t>
            </w:r>
          </w:p>
          <w:p>
            <w:pPr>
              <w:pStyle w:val="67"/>
              <w:spacing w:line="360" w:lineRule="auto"/>
              <w:rPr>
                <w:color w:val="auto"/>
                <w:highlight w:val="none"/>
                <w:lang w:val="zh-CN"/>
              </w:rPr>
            </w:pPr>
            <w:r>
              <w:rPr>
                <w:rFonts w:hint="eastAsia" w:ascii="宋体" w:hAnsi="宋体" w:eastAsia="宋体"/>
                <w:color w:val="auto"/>
                <w:szCs w:val="24"/>
                <w:highlight w:val="none"/>
                <w:lang w:val="zh-CN"/>
              </w:rPr>
              <w:t>本项目采购的产品属于中国政府采购网公布的《无线局域网认证产品政府采购清单》的，按照第七章《综合评分明细表》的规则进行加分。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838" w:type="dxa"/>
            <w:vAlign w:val="center"/>
          </w:tcPr>
          <w:p>
            <w:pPr>
              <w:pStyle w:val="67"/>
              <w:spacing w:line="360" w:lineRule="auto"/>
              <w:ind w:right="230"/>
              <w:jc w:val="center"/>
              <w:rPr>
                <w:color w:val="auto"/>
                <w:highlight w:val="none"/>
              </w:rPr>
            </w:pPr>
            <w:r>
              <w:rPr>
                <w:rFonts w:hint="eastAsia"/>
                <w:color w:val="auto"/>
                <w:highlight w:val="none"/>
              </w:rPr>
              <w:t xml:space="preserve">  6</w:t>
            </w:r>
          </w:p>
        </w:tc>
        <w:tc>
          <w:tcPr>
            <w:tcW w:w="2236" w:type="dxa"/>
            <w:vAlign w:val="center"/>
          </w:tcPr>
          <w:p>
            <w:pPr>
              <w:pStyle w:val="67"/>
              <w:spacing w:line="360" w:lineRule="auto"/>
              <w:jc w:val="center"/>
              <w:rPr>
                <w:color w:val="auto"/>
                <w:highlight w:val="none"/>
              </w:rPr>
            </w:pPr>
            <w:r>
              <w:rPr>
                <w:rFonts w:hint="eastAsia"/>
                <w:color w:val="auto"/>
                <w:highlight w:val="none"/>
              </w:rPr>
              <w:t>扶持不发达地区和少数民族地区</w:t>
            </w:r>
          </w:p>
        </w:tc>
        <w:tc>
          <w:tcPr>
            <w:tcW w:w="7109" w:type="dxa"/>
            <w:vAlign w:val="center"/>
          </w:tcPr>
          <w:p>
            <w:pPr>
              <w:pStyle w:val="67"/>
              <w:spacing w:line="360" w:lineRule="auto"/>
              <w:rPr>
                <w:color w:val="auto"/>
                <w:highlight w:val="none"/>
                <w:lang w:val="zh-CN"/>
              </w:rPr>
            </w:pPr>
            <w:r>
              <w:rPr>
                <w:rFonts w:hint="eastAsia"/>
                <w:color w:val="auto"/>
                <w:highlight w:val="none"/>
                <w:lang w:val="zh-CN"/>
              </w:rPr>
              <w:t>符合扶持不发达地区和少数民族地区政策条件的，根据《</w:t>
            </w:r>
            <w:r>
              <w:rPr>
                <w:rFonts w:hint="eastAsia"/>
                <w:color w:val="auto"/>
                <w:highlight w:val="none"/>
                <w:lang w:val="en-US" w:eastAsia="zh-CN"/>
              </w:rPr>
              <w:t>中华人民共和国政府采购法</w:t>
            </w:r>
            <w:r>
              <w:rPr>
                <w:rFonts w:hint="eastAsia"/>
                <w:color w:val="auto"/>
                <w:highlight w:val="none"/>
                <w:lang w:val="zh-CN"/>
              </w:rPr>
              <w:t>》的规定，对不发达地区和少数民族地区的供应商产品及服务实行优先采购。</w:t>
            </w:r>
          </w:p>
          <w:p>
            <w:pPr>
              <w:pStyle w:val="67"/>
              <w:spacing w:line="360" w:lineRule="auto"/>
              <w:rPr>
                <w:color w:val="auto"/>
                <w:highlight w:val="none"/>
                <w:lang w:val="zh-CN"/>
              </w:rPr>
            </w:pPr>
            <w:r>
              <w:rPr>
                <w:rFonts w:hint="eastAsia"/>
                <w:b/>
                <w:bCs/>
                <w:color w:val="auto"/>
                <w:highlight w:val="none"/>
                <w:lang w:val="zh-CN"/>
              </w:rPr>
              <w:t>注：评审得分相同的，按照最后报价由低到高的顺序推荐；评审得分且最后报价相同的，按照技术指标优劣顺序推荐。评审得分且最后报价且技术指标分项得分均相同的，若存在注册地在少数民族地区或不发达地区的供应商，优先选择该供应商，若不存在，成交候选供应商并列。（不发达地区或少数民族地区的供应商需提供属于不发达地区或少数民族地区企业的相关证明材料，或供应商注册地为少数民族地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vAlign w:val="center"/>
          </w:tcPr>
          <w:p>
            <w:pPr>
              <w:pStyle w:val="67"/>
              <w:spacing w:before="72" w:after="72" w:line="360" w:lineRule="auto"/>
              <w:ind w:right="264"/>
              <w:jc w:val="center"/>
              <w:rPr>
                <w:color w:val="auto"/>
                <w:highlight w:val="none"/>
              </w:rPr>
            </w:pPr>
            <w:r>
              <w:rPr>
                <w:rFonts w:hint="eastAsia"/>
                <w:color w:val="auto"/>
                <w:kern w:val="2"/>
                <w:highlight w:val="none"/>
              </w:rPr>
              <w:t xml:space="preserve">  7</w:t>
            </w:r>
          </w:p>
        </w:tc>
        <w:tc>
          <w:tcPr>
            <w:tcW w:w="2236" w:type="dxa"/>
            <w:vAlign w:val="center"/>
          </w:tcPr>
          <w:p>
            <w:pPr>
              <w:pStyle w:val="67"/>
              <w:jc w:val="center"/>
              <w:rPr>
                <w:color w:val="auto"/>
                <w:highlight w:val="none"/>
              </w:rPr>
            </w:pPr>
            <w:r>
              <w:rPr>
                <w:rFonts w:hint="eastAsia"/>
                <w:color w:val="auto"/>
                <w:kern w:val="2"/>
                <w:highlight w:val="none"/>
                <w:lang w:val="zh-CN"/>
              </w:rPr>
              <w:t>本项目所属行业</w:t>
            </w:r>
          </w:p>
        </w:tc>
        <w:tc>
          <w:tcPr>
            <w:tcW w:w="7109" w:type="dxa"/>
            <w:vAlign w:val="center"/>
          </w:tcPr>
          <w:p>
            <w:pPr>
              <w:pStyle w:val="67"/>
              <w:widowControl/>
              <w:spacing w:before="156" w:beforeLines="50" w:after="156" w:afterLines="50"/>
              <w:ind w:right="99" w:rightChars="47"/>
              <w:rPr>
                <w:rFonts w:hint="eastAsia" w:eastAsia="宋体"/>
                <w:color w:val="auto"/>
                <w:kern w:val="2"/>
                <w:highlight w:val="none"/>
                <w:lang w:eastAsia="zh-CN"/>
              </w:rPr>
            </w:pPr>
            <w:r>
              <w:rPr>
                <w:rFonts w:hint="eastAsia"/>
                <w:color w:val="auto"/>
                <w:kern w:val="2"/>
                <w:highlight w:val="none"/>
              </w:rPr>
              <w:t>本项目所属行业：</w:t>
            </w:r>
            <w:r>
              <w:rPr>
                <w:rFonts w:hint="eastAsia"/>
                <w:b/>
                <w:bCs/>
                <w:color w:val="auto"/>
                <w:kern w:val="2"/>
                <w:highlight w:val="none"/>
                <w:u w:val="single"/>
                <w:lang w:val="en-US" w:eastAsia="zh-CN"/>
              </w:rPr>
              <w:t>工</w:t>
            </w:r>
            <w:r>
              <w:rPr>
                <w:rFonts w:hint="eastAsia"/>
                <w:b/>
                <w:bCs/>
                <w:color w:val="auto"/>
                <w:kern w:val="2"/>
                <w:highlight w:val="none"/>
                <w:u w:val="single"/>
              </w:rPr>
              <w:t>业</w:t>
            </w:r>
          </w:p>
          <w:p>
            <w:pPr>
              <w:pStyle w:val="67"/>
              <w:spacing w:before="156" w:beforeLines="50" w:after="156" w:afterLines="50"/>
              <w:ind w:firstLine="482" w:firstLineChars="200"/>
              <w:rPr>
                <w:rFonts w:hint="eastAsia" w:eastAsia="宋体"/>
                <w:b/>
                <w:bCs/>
                <w:color w:val="auto"/>
                <w:highlight w:val="none"/>
                <w:lang w:eastAsia="zh-CN"/>
              </w:rPr>
            </w:pPr>
            <w:r>
              <w:rPr>
                <w:rFonts w:hint="eastAsia"/>
                <w:b/>
                <w:bCs/>
                <w:color w:val="auto"/>
                <w:kern w:val="2"/>
                <w:highlight w:val="none"/>
              </w:rPr>
              <w:t>注：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9" w:hRule="atLeast"/>
          <w:jc w:val="center"/>
        </w:trPr>
        <w:tc>
          <w:tcPr>
            <w:tcW w:w="838" w:type="dxa"/>
            <w:vAlign w:val="center"/>
          </w:tcPr>
          <w:p>
            <w:pPr>
              <w:pStyle w:val="67"/>
              <w:spacing w:line="360" w:lineRule="auto"/>
              <w:ind w:right="230"/>
              <w:jc w:val="center"/>
              <w:rPr>
                <w:color w:val="auto"/>
                <w:highlight w:val="none"/>
              </w:rPr>
            </w:pPr>
            <w:r>
              <w:rPr>
                <w:rFonts w:hint="eastAsia"/>
                <w:color w:val="auto"/>
                <w:kern w:val="2"/>
                <w:highlight w:val="none"/>
              </w:rPr>
              <w:t xml:space="preserve">  8</w:t>
            </w:r>
          </w:p>
        </w:tc>
        <w:tc>
          <w:tcPr>
            <w:tcW w:w="2236" w:type="dxa"/>
            <w:vAlign w:val="center"/>
          </w:tcPr>
          <w:p>
            <w:pPr>
              <w:spacing w:line="360" w:lineRule="auto"/>
              <w:ind w:left="105" w:leftChars="50" w:right="105" w:rightChars="50"/>
              <w:jc w:val="center"/>
              <w:rPr>
                <w:color w:val="auto"/>
                <w:highlight w:val="none"/>
              </w:rPr>
            </w:pPr>
            <w:r>
              <w:rPr>
                <w:rFonts w:hint="eastAsia" w:ascii="宋体" w:hAnsi="宋体" w:cs="宋体"/>
                <w:color w:val="auto"/>
                <w:kern w:val="0"/>
                <w:sz w:val="24"/>
                <w:highlight w:val="none"/>
              </w:rPr>
              <w:t>评审情况公告</w:t>
            </w:r>
          </w:p>
        </w:tc>
        <w:tc>
          <w:tcPr>
            <w:tcW w:w="7109" w:type="dxa"/>
            <w:vAlign w:val="center"/>
          </w:tcPr>
          <w:p>
            <w:pPr>
              <w:widowControl/>
              <w:spacing w:line="360" w:lineRule="auto"/>
              <w:jc w:val="left"/>
              <w:rPr>
                <w:b/>
                <w:bCs/>
                <w:color w:val="auto"/>
                <w:highlight w:val="none"/>
              </w:rPr>
            </w:pPr>
            <w:r>
              <w:rPr>
                <w:rFonts w:hint="eastAsia" w:ascii="宋体" w:hAnsi="宋体" w:cs="宋体"/>
                <w:color w:val="auto"/>
                <w:kern w:val="0"/>
                <w:sz w:val="24"/>
                <w:highlight w:val="none"/>
                <w:lang w:eastAsia="zh-CN"/>
              </w:rPr>
              <w:t>评标结果将在中国政府采购网上公告。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4" w:hRule="atLeast"/>
          <w:jc w:val="center"/>
        </w:trPr>
        <w:tc>
          <w:tcPr>
            <w:tcW w:w="838" w:type="dxa"/>
            <w:vAlign w:val="center"/>
          </w:tcPr>
          <w:p>
            <w:pPr>
              <w:pStyle w:val="67"/>
              <w:spacing w:line="360" w:lineRule="auto"/>
              <w:ind w:right="230"/>
              <w:jc w:val="center"/>
              <w:rPr>
                <w:color w:val="auto"/>
                <w:kern w:val="2"/>
                <w:highlight w:val="none"/>
              </w:rPr>
            </w:pPr>
            <w:r>
              <w:rPr>
                <w:rFonts w:hint="eastAsia"/>
                <w:color w:val="auto"/>
                <w:kern w:val="2"/>
                <w:highlight w:val="none"/>
              </w:rPr>
              <w:t xml:space="preserve">  9</w:t>
            </w:r>
          </w:p>
        </w:tc>
        <w:tc>
          <w:tcPr>
            <w:tcW w:w="2236" w:type="dxa"/>
            <w:vAlign w:val="center"/>
          </w:tcPr>
          <w:p>
            <w:pPr>
              <w:pStyle w:val="67"/>
              <w:spacing w:line="360" w:lineRule="auto"/>
              <w:ind w:left="96"/>
              <w:jc w:val="center"/>
              <w:rPr>
                <w:rFonts w:ascii="宋体" w:hAnsi="宋体" w:cs="宋体"/>
                <w:color w:val="auto"/>
                <w:sz w:val="24"/>
                <w:highlight w:val="none"/>
              </w:rPr>
            </w:pPr>
            <w:r>
              <w:rPr>
                <w:rFonts w:hint="eastAsia"/>
                <w:color w:val="auto"/>
                <w:highlight w:val="none"/>
                <w:lang w:val="zh-CN"/>
              </w:rPr>
              <w:t>磋商保证金</w:t>
            </w:r>
          </w:p>
        </w:tc>
        <w:tc>
          <w:tcPr>
            <w:tcW w:w="7109" w:type="dxa"/>
            <w:vAlign w:val="center"/>
          </w:tcPr>
          <w:p>
            <w:pPr>
              <w:pStyle w:val="67"/>
              <w:spacing w:line="360" w:lineRule="auto"/>
              <w:rPr>
                <w:rFonts w:hint="eastAsia" w:ascii="宋体" w:hAnsi="宋体" w:eastAsia="宋体" w:cs="宋体"/>
                <w:color w:val="auto"/>
                <w:sz w:val="24"/>
                <w:highlight w:val="none"/>
                <w:lang w:eastAsia="zh-CN"/>
              </w:rPr>
            </w:pPr>
            <w:r>
              <w:rPr>
                <w:rFonts w:hint="eastAsia"/>
                <w:color w:val="auto"/>
                <w:highlight w:val="none"/>
                <w:lang w:val="zh-CN"/>
              </w:rPr>
              <w:t>本项目不收取</w:t>
            </w:r>
            <w:r>
              <w:rPr>
                <w:rFonts w:hint="eastAsia"/>
                <w:color w:val="auto"/>
                <w:highlight w:val="none"/>
              </w:rPr>
              <w:t>磋商</w:t>
            </w:r>
            <w:r>
              <w:rPr>
                <w:rFonts w:hint="eastAsia"/>
                <w:color w:val="auto"/>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38" w:type="dxa"/>
            <w:vAlign w:val="center"/>
          </w:tcPr>
          <w:p>
            <w:pPr>
              <w:pStyle w:val="67"/>
              <w:spacing w:line="360" w:lineRule="auto"/>
              <w:ind w:right="264" w:firstLine="240" w:firstLineChars="100"/>
              <w:jc w:val="center"/>
              <w:rPr>
                <w:color w:val="auto"/>
                <w:kern w:val="2"/>
                <w:highlight w:val="none"/>
              </w:rPr>
            </w:pPr>
            <w:r>
              <w:rPr>
                <w:rFonts w:hint="eastAsia"/>
                <w:color w:val="auto"/>
                <w:kern w:val="2"/>
                <w:highlight w:val="none"/>
              </w:rPr>
              <w:t>10</w:t>
            </w:r>
          </w:p>
        </w:tc>
        <w:tc>
          <w:tcPr>
            <w:tcW w:w="2236" w:type="dxa"/>
            <w:vAlign w:val="center"/>
          </w:tcPr>
          <w:p>
            <w:pPr>
              <w:pStyle w:val="67"/>
              <w:spacing w:line="360" w:lineRule="auto"/>
              <w:jc w:val="center"/>
              <w:rPr>
                <w:color w:val="auto"/>
                <w:highlight w:val="none"/>
                <w:lang w:val="zh-CN"/>
              </w:rPr>
            </w:pPr>
            <w:r>
              <w:rPr>
                <w:rFonts w:hint="eastAsia"/>
                <w:color w:val="auto"/>
                <w:highlight w:val="none"/>
                <w:lang w:val="zh-CN"/>
              </w:rPr>
              <w:t>履约保证金</w:t>
            </w:r>
          </w:p>
        </w:tc>
        <w:tc>
          <w:tcPr>
            <w:tcW w:w="7109" w:type="dxa"/>
            <w:vAlign w:val="center"/>
          </w:tcPr>
          <w:p>
            <w:pPr>
              <w:pStyle w:val="67"/>
              <w:spacing w:line="360" w:lineRule="auto"/>
              <w:ind w:left="65" w:leftChars="31"/>
              <w:rPr>
                <w:color w:val="auto"/>
                <w:highlight w:val="none"/>
                <w:lang w:val="zh-CN"/>
              </w:rPr>
            </w:pPr>
            <w:r>
              <w:rPr>
                <w:rFonts w:hint="eastAsia"/>
                <w:color w:val="auto"/>
                <w:highlight w:val="none"/>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vAlign w:val="center"/>
          </w:tcPr>
          <w:p>
            <w:pPr>
              <w:pStyle w:val="67"/>
              <w:spacing w:line="360" w:lineRule="auto"/>
              <w:ind w:right="264"/>
              <w:jc w:val="center"/>
              <w:rPr>
                <w:color w:val="auto"/>
                <w:kern w:val="2"/>
                <w:highlight w:val="none"/>
              </w:rPr>
            </w:pPr>
            <w:r>
              <w:rPr>
                <w:rFonts w:hint="eastAsia"/>
                <w:color w:val="auto"/>
                <w:kern w:val="2"/>
                <w:highlight w:val="none"/>
              </w:rPr>
              <w:t xml:space="preserve">  11</w:t>
            </w:r>
          </w:p>
        </w:tc>
        <w:tc>
          <w:tcPr>
            <w:tcW w:w="2236" w:type="dxa"/>
            <w:tcBorders>
              <w:top w:val="single" w:color="auto" w:sz="4" w:space="0"/>
              <w:bottom w:val="single" w:color="auto" w:sz="4" w:space="0"/>
            </w:tcBorders>
            <w:vAlign w:val="center"/>
          </w:tcPr>
          <w:p>
            <w:pPr>
              <w:pStyle w:val="67"/>
              <w:spacing w:line="360" w:lineRule="auto"/>
              <w:jc w:val="center"/>
              <w:rPr>
                <w:color w:val="auto"/>
                <w:highlight w:val="none"/>
                <w:lang w:val="zh-CN"/>
              </w:rPr>
            </w:pPr>
            <w:r>
              <w:rPr>
                <w:rFonts w:hint="eastAsia"/>
                <w:color w:val="auto"/>
                <w:kern w:val="2"/>
                <w:highlight w:val="none"/>
              </w:rPr>
              <w:t>竞争性磋商文件咨询</w:t>
            </w:r>
          </w:p>
        </w:tc>
        <w:tc>
          <w:tcPr>
            <w:tcW w:w="7109" w:type="dxa"/>
            <w:tcBorders>
              <w:top w:val="single" w:color="auto" w:sz="4" w:space="0"/>
              <w:bottom w:val="single" w:color="auto" w:sz="4" w:space="0"/>
            </w:tcBorders>
            <w:vAlign w:val="center"/>
          </w:tcPr>
          <w:p>
            <w:pPr>
              <w:spacing w:line="360" w:lineRule="auto"/>
              <w:ind w:right="105" w:rightChars="50"/>
              <w:jc w:val="left"/>
              <w:rPr>
                <w:color w:val="auto"/>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吴女士</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13540644281</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8" w:hRule="atLeast"/>
          <w:jc w:val="center"/>
        </w:trPr>
        <w:tc>
          <w:tcPr>
            <w:tcW w:w="838" w:type="dxa"/>
            <w:tcBorders>
              <w:top w:val="single" w:color="auto" w:sz="4" w:space="0"/>
              <w:bottom w:val="single" w:color="auto" w:sz="4" w:space="0"/>
            </w:tcBorders>
            <w:vAlign w:val="center"/>
          </w:tcPr>
          <w:p>
            <w:pPr>
              <w:pStyle w:val="67"/>
              <w:spacing w:before="72" w:after="72" w:line="360" w:lineRule="auto"/>
              <w:ind w:right="264"/>
              <w:jc w:val="center"/>
              <w:rPr>
                <w:color w:val="auto"/>
                <w:kern w:val="2"/>
                <w:highlight w:val="none"/>
              </w:rPr>
            </w:pPr>
            <w:r>
              <w:rPr>
                <w:rFonts w:hint="eastAsia"/>
                <w:color w:val="auto"/>
                <w:kern w:val="2"/>
                <w:highlight w:val="none"/>
              </w:rPr>
              <w:t xml:space="preserve">  12</w:t>
            </w:r>
          </w:p>
        </w:tc>
        <w:tc>
          <w:tcPr>
            <w:tcW w:w="2236" w:type="dxa"/>
            <w:tcBorders>
              <w:top w:val="single" w:color="auto" w:sz="4" w:space="0"/>
              <w:bottom w:val="single" w:color="auto" w:sz="4" w:space="0"/>
            </w:tcBorders>
            <w:vAlign w:val="center"/>
          </w:tcPr>
          <w:p>
            <w:pPr>
              <w:pStyle w:val="67"/>
              <w:spacing w:line="360" w:lineRule="auto"/>
              <w:jc w:val="center"/>
              <w:rPr>
                <w:color w:val="auto"/>
                <w:kern w:val="2"/>
                <w:highlight w:val="none"/>
              </w:rPr>
            </w:pPr>
            <w:r>
              <w:rPr>
                <w:rFonts w:hint="eastAsia"/>
                <w:color w:val="auto"/>
                <w:kern w:val="2"/>
                <w:highlight w:val="none"/>
              </w:rPr>
              <w:t>开标、评审工作咨询</w:t>
            </w:r>
          </w:p>
        </w:tc>
        <w:tc>
          <w:tcPr>
            <w:tcW w:w="7109" w:type="dxa"/>
            <w:tcBorders>
              <w:top w:val="single" w:color="auto" w:sz="4" w:space="0"/>
              <w:bottom w:val="single" w:color="auto" w:sz="4" w:space="0"/>
            </w:tcBorders>
            <w:vAlign w:val="center"/>
          </w:tcPr>
          <w:p>
            <w:pPr>
              <w:spacing w:line="360" w:lineRule="auto"/>
              <w:ind w:right="105" w:rightChars="50"/>
              <w:jc w:val="left"/>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吴女士</w:t>
            </w: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13540644281</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9" w:hRule="atLeast"/>
          <w:jc w:val="center"/>
        </w:trPr>
        <w:tc>
          <w:tcPr>
            <w:tcW w:w="838" w:type="dxa"/>
            <w:tcBorders>
              <w:top w:val="single" w:color="auto" w:sz="4" w:space="0"/>
              <w:bottom w:val="single" w:color="auto" w:sz="4" w:space="0"/>
            </w:tcBorders>
            <w:vAlign w:val="center"/>
          </w:tcPr>
          <w:p>
            <w:pPr>
              <w:pStyle w:val="67"/>
              <w:spacing w:line="360" w:lineRule="auto"/>
              <w:ind w:right="264"/>
              <w:jc w:val="center"/>
              <w:rPr>
                <w:color w:val="auto"/>
                <w:kern w:val="2"/>
                <w:highlight w:val="none"/>
              </w:rPr>
            </w:pPr>
            <w:r>
              <w:rPr>
                <w:rFonts w:hint="eastAsia"/>
                <w:color w:val="auto"/>
                <w:kern w:val="2"/>
                <w:highlight w:val="none"/>
              </w:rPr>
              <w:t xml:space="preserve">  13</w:t>
            </w:r>
          </w:p>
        </w:tc>
        <w:tc>
          <w:tcPr>
            <w:tcW w:w="2236" w:type="dxa"/>
            <w:tcBorders>
              <w:top w:val="single" w:color="auto" w:sz="4" w:space="0"/>
            </w:tcBorders>
            <w:vAlign w:val="center"/>
          </w:tcPr>
          <w:p>
            <w:pPr>
              <w:spacing w:line="360" w:lineRule="auto"/>
              <w:ind w:left="105" w:leftChars="50" w:right="105" w:rightChars="50"/>
              <w:jc w:val="center"/>
              <w:rPr>
                <w:color w:val="auto"/>
                <w:kern w:val="2"/>
                <w:highlight w:val="none"/>
              </w:rPr>
            </w:pPr>
            <w:r>
              <w:rPr>
                <w:rFonts w:hint="eastAsia" w:ascii="宋体" w:hAnsi="宋体" w:cs="宋体"/>
                <w:color w:val="auto"/>
                <w:sz w:val="24"/>
                <w:highlight w:val="none"/>
              </w:rPr>
              <w:t>成交通知书领取</w:t>
            </w:r>
          </w:p>
        </w:tc>
        <w:tc>
          <w:tcPr>
            <w:tcW w:w="7109" w:type="dxa"/>
            <w:tcBorders>
              <w:top w:val="single" w:color="auto" w:sz="4" w:space="0"/>
            </w:tcBorders>
            <w:vAlign w:val="center"/>
          </w:tcPr>
          <w:p>
            <w:pPr>
              <w:tabs>
                <w:tab w:val="left" w:pos="7665"/>
              </w:tabs>
              <w:spacing w:line="360" w:lineRule="auto"/>
              <w:jc w:val="left"/>
              <w:rPr>
                <w:rFonts w:ascii="宋体" w:hAnsi="宋体" w:cs="宋体"/>
                <w:color w:val="auto"/>
                <w:sz w:val="24"/>
                <w:highlight w:val="none"/>
              </w:rPr>
            </w:pPr>
            <w:r>
              <w:rPr>
                <w:rFonts w:hint="eastAsia" w:ascii="宋体" w:hAnsi="宋体" w:cs="宋体"/>
                <w:color w:val="auto"/>
                <w:sz w:val="24"/>
                <w:highlight w:val="none"/>
              </w:rPr>
              <w:t>成交公告在</w:t>
            </w:r>
            <w:r>
              <w:rPr>
                <w:rFonts w:hint="eastAsia" w:ascii="宋体" w:hAnsi="宋体" w:cs="宋体"/>
                <w:color w:val="auto"/>
                <w:sz w:val="24"/>
                <w:highlight w:val="none"/>
                <w:lang w:eastAsia="zh-CN"/>
              </w:rPr>
              <w:t>中国政府采购网</w:t>
            </w:r>
            <w:r>
              <w:rPr>
                <w:rFonts w:hint="eastAsia" w:ascii="宋体" w:hAnsi="宋体" w:cs="宋体"/>
                <w:color w:val="auto"/>
                <w:sz w:val="24"/>
                <w:highlight w:val="none"/>
              </w:rPr>
              <w:t>上公告后，请成交供应商凭有效身份证明证件到</w:t>
            </w:r>
            <w:r>
              <w:rPr>
                <w:rFonts w:hint="eastAsia" w:ascii="宋体" w:hAnsi="宋体" w:cs="宋体"/>
                <w:color w:val="auto"/>
                <w:sz w:val="24"/>
                <w:highlight w:val="none"/>
                <w:lang w:val="zh-CN"/>
              </w:rPr>
              <w:t>采购代理机构</w:t>
            </w:r>
            <w:r>
              <w:rPr>
                <w:rFonts w:hint="eastAsia" w:ascii="宋体" w:hAnsi="宋体" w:cs="宋体"/>
                <w:color w:val="auto"/>
                <w:sz w:val="24"/>
                <w:highlight w:val="none"/>
              </w:rPr>
              <w:t>领取成交通知书。</w:t>
            </w:r>
          </w:p>
          <w:p>
            <w:pP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联系人：</w:t>
            </w:r>
            <w:r>
              <w:rPr>
                <w:rFonts w:hint="eastAsia" w:ascii="宋体" w:hAnsi="宋体" w:cs="宋体"/>
                <w:color w:val="auto"/>
                <w:sz w:val="24"/>
                <w:highlight w:val="none"/>
                <w:lang w:eastAsia="zh-CN"/>
              </w:rPr>
              <w:t>吴女士</w:t>
            </w:r>
            <w:r>
              <w:rPr>
                <w:rFonts w:hint="eastAsia" w:ascii="宋体" w:hAnsi="宋体" w:cs="宋体"/>
                <w:color w:val="auto"/>
                <w:sz w:val="24"/>
                <w:highlight w:val="none"/>
                <w:lang w:val="zh-CN"/>
              </w:rPr>
              <w:t>。</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CN"/>
              </w:rPr>
              <w:t>联系电话：13540644281</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67"/>
              <w:spacing w:line="360" w:lineRule="auto"/>
              <w:ind w:right="264"/>
              <w:jc w:val="center"/>
              <w:rPr>
                <w:color w:val="auto"/>
                <w:kern w:val="2"/>
                <w:highlight w:val="none"/>
              </w:rPr>
            </w:pPr>
            <w:r>
              <w:rPr>
                <w:rFonts w:hint="eastAsia"/>
                <w:color w:val="auto"/>
                <w:kern w:val="2"/>
                <w:highlight w:val="none"/>
              </w:rPr>
              <w:t xml:space="preserve">  14</w:t>
            </w:r>
          </w:p>
        </w:tc>
        <w:tc>
          <w:tcPr>
            <w:tcW w:w="2236" w:type="dxa"/>
            <w:tcBorders>
              <w:top w:val="single" w:color="auto" w:sz="4" w:space="0"/>
            </w:tcBorders>
            <w:vAlign w:val="center"/>
          </w:tcPr>
          <w:p>
            <w:pPr>
              <w:pStyle w:val="67"/>
              <w:spacing w:line="360" w:lineRule="auto"/>
              <w:jc w:val="center"/>
              <w:rPr>
                <w:rFonts w:ascii="宋体" w:hAnsi="宋体" w:cs="宋体"/>
                <w:color w:val="auto"/>
                <w:sz w:val="24"/>
                <w:highlight w:val="none"/>
              </w:rPr>
            </w:pPr>
            <w:r>
              <w:rPr>
                <w:rFonts w:hint="eastAsia"/>
                <w:color w:val="auto"/>
                <w:kern w:val="2"/>
                <w:highlight w:val="none"/>
              </w:rPr>
              <w:t>供应商询问</w:t>
            </w:r>
          </w:p>
        </w:tc>
        <w:tc>
          <w:tcPr>
            <w:tcW w:w="7109" w:type="dxa"/>
            <w:tcBorders>
              <w:top w:val="single" w:color="auto" w:sz="4" w:space="0"/>
            </w:tcBorders>
            <w:vAlign w:val="center"/>
          </w:tcPr>
          <w:p>
            <w:pP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根据委托代理协议约定，供应商询问由</w:t>
            </w:r>
            <w:r>
              <w:rPr>
                <w:rFonts w:hint="eastAsia" w:ascii="宋体" w:hAnsi="宋体" w:cs="宋体"/>
                <w:color w:val="auto"/>
                <w:sz w:val="24"/>
                <w:highlight w:val="none"/>
                <w:lang w:val="zh-CN"/>
              </w:rPr>
              <w:t>采购代理机构负责答复。</w:t>
            </w:r>
          </w:p>
          <w:p>
            <w:pP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联系人：</w:t>
            </w:r>
            <w:r>
              <w:rPr>
                <w:rFonts w:hint="eastAsia" w:ascii="宋体" w:hAnsi="宋体" w:cs="宋体"/>
                <w:color w:val="auto"/>
                <w:sz w:val="24"/>
                <w:highlight w:val="none"/>
                <w:lang w:eastAsia="zh-CN"/>
              </w:rPr>
              <w:t>吴女士</w:t>
            </w:r>
            <w:r>
              <w:rPr>
                <w:rFonts w:hint="eastAsia" w:ascii="宋体" w:hAnsi="宋体" w:cs="宋体"/>
                <w:color w:val="auto"/>
                <w:sz w:val="24"/>
                <w:highlight w:val="none"/>
              </w:rPr>
              <w:t>。</w:t>
            </w:r>
          </w:p>
          <w:p>
            <w:pP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联系电话：13540644281</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5" w:hRule="atLeast"/>
          <w:jc w:val="center"/>
        </w:trPr>
        <w:tc>
          <w:tcPr>
            <w:tcW w:w="838" w:type="dxa"/>
            <w:tcBorders>
              <w:top w:val="single" w:color="auto" w:sz="4" w:space="0"/>
            </w:tcBorders>
            <w:vAlign w:val="center"/>
          </w:tcPr>
          <w:p>
            <w:pPr>
              <w:pStyle w:val="67"/>
              <w:spacing w:line="360" w:lineRule="auto"/>
              <w:ind w:right="264"/>
              <w:jc w:val="center"/>
              <w:rPr>
                <w:color w:val="auto"/>
                <w:kern w:val="2"/>
                <w:highlight w:val="none"/>
              </w:rPr>
            </w:pPr>
            <w:r>
              <w:rPr>
                <w:rFonts w:hint="eastAsia"/>
                <w:color w:val="auto"/>
                <w:kern w:val="2"/>
                <w:highlight w:val="none"/>
              </w:rPr>
              <w:t xml:space="preserve">  15</w:t>
            </w:r>
          </w:p>
        </w:tc>
        <w:tc>
          <w:tcPr>
            <w:tcW w:w="2236" w:type="dxa"/>
            <w:vAlign w:val="center"/>
          </w:tcPr>
          <w:p>
            <w:pPr>
              <w:pStyle w:val="67"/>
              <w:spacing w:line="360" w:lineRule="auto"/>
              <w:jc w:val="center"/>
              <w:rPr>
                <w:color w:val="auto"/>
                <w:kern w:val="2"/>
                <w:highlight w:val="none"/>
              </w:rPr>
            </w:pPr>
            <w:r>
              <w:rPr>
                <w:rFonts w:hint="eastAsia"/>
                <w:color w:val="auto"/>
                <w:kern w:val="2"/>
                <w:highlight w:val="none"/>
              </w:rPr>
              <w:t>供应商质疑</w:t>
            </w:r>
          </w:p>
        </w:tc>
        <w:tc>
          <w:tcPr>
            <w:tcW w:w="7109" w:type="dxa"/>
            <w:vAlign w:val="center"/>
          </w:tcPr>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lang w:val="zh-CN"/>
              </w:rPr>
              <w:t>根据委托代理协议约定，对于磋商文件(磋商文件技术条款和除政府采购法第二十二条之外的其他资格条件、专业商务要求)的质疑由采购人负责答复，</w:t>
            </w:r>
            <w:r>
              <w:rPr>
                <w:rFonts w:hint="eastAsia" w:ascii="宋体" w:hAnsi="宋体" w:cs="宋体"/>
                <w:color w:val="auto"/>
                <w:sz w:val="24"/>
                <w:highlight w:val="none"/>
                <w:lang w:val="en-US" w:eastAsia="zh-CN"/>
              </w:rPr>
              <w:t>对磋商文件其他内容的质疑由采购代理机构负责答复</w:t>
            </w:r>
            <w:r>
              <w:rPr>
                <w:rFonts w:hint="eastAsia" w:ascii="宋体" w:hAnsi="宋体" w:cs="宋体"/>
                <w:color w:val="auto"/>
                <w:kern w:val="0"/>
                <w:sz w:val="24"/>
                <w:highlight w:val="none"/>
                <w:lang w:val="zh-CN"/>
              </w:rPr>
              <w:t>。</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供应商认为采购文件、采购过程、成交结果使自己的权益受到损害的，可以在知道或者应知权益受到损害之日起7个工作日内，提出质疑。且供应商应当在法定质疑期内一次性提出针对同一采购程序环节的质疑。</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1、受理质疑方式：书面方式</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2、供应商提出质疑应当提交质疑函和必要的证明材料。质疑函应当包括下列内容：</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2.1供应商的姓名或者名称、地址、邮编、联系人及联系电话；</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2.2质疑项目的名称、编号；</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2.3具体、明确的质疑事项和与质疑事项相关的请求；</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2.4事实依据；</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2.5必要的法律依据；</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2.6提出质疑的日期。</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供应商为自然人的，质疑函应当由本人签字；供应商为法人或者其他组织的，质疑函应当由法定代表人、主要负责人，或者其授权代表签字或者盖章，并加盖公章。</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3、受理部门：华信天成工程管理有限公司</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lang w:val="zh-CN"/>
              </w:rPr>
              <w:t>部</w:t>
            </w:r>
          </w:p>
          <w:p>
            <w:pPr>
              <w:tabs>
                <w:tab w:val="left" w:pos="7665"/>
              </w:tabs>
              <w:snapToGrid w:val="0"/>
              <w:spacing w:line="48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zh-CN"/>
              </w:rPr>
              <w:t>4、联系人：</w:t>
            </w:r>
            <w:r>
              <w:rPr>
                <w:rFonts w:hint="eastAsia" w:ascii="宋体" w:hAnsi="宋体" w:cs="宋体"/>
                <w:color w:val="auto"/>
                <w:sz w:val="24"/>
                <w:highlight w:val="none"/>
                <w:lang w:val="en-US" w:eastAsia="zh-CN"/>
              </w:rPr>
              <w:t>吴女士</w:t>
            </w:r>
          </w:p>
          <w:p>
            <w:pPr>
              <w:tabs>
                <w:tab w:val="left" w:pos="7665"/>
              </w:tabs>
              <w:snapToGrid w:val="0"/>
              <w:spacing w:line="48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5、联系电话：</w:t>
            </w:r>
            <w:r>
              <w:rPr>
                <w:rFonts w:hint="eastAsia" w:ascii="宋体" w:hAnsi="宋体" w:cs="宋体"/>
                <w:color w:val="auto"/>
                <w:sz w:val="24"/>
                <w:highlight w:val="none"/>
                <w:lang w:val="en-US" w:eastAsia="zh-CN"/>
              </w:rPr>
              <w:t>13540644281</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6、地址：成都市武侯区吉泰五路118号天合凯旋广场3栋3204。</w:t>
            </w:r>
          </w:p>
          <w:p>
            <w:pPr>
              <w:tabs>
                <w:tab w:val="left" w:pos="7665"/>
              </w:tabs>
              <w:snapToGrid w:val="0"/>
              <w:spacing w:line="48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7、邮编：</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w:t>
            </w:r>
          </w:p>
          <w:p>
            <w:pPr>
              <w:spacing w:line="360" w:lineRule="auto"/>
              <w:ind w:right="105" w:rightChars="50"/>
              <w:jc w:val="left"/>
              <w:rPr>
                <w:rFonts w:ascii="宋体" w:hAnsi="宋体" w:cs="宋体"/>
                <w:color w:val="auto"/>
                <w:sz w:val="24"/>
                <w:highlight w:val="none"/>
              </w:rPr>
            </w:pPr>
            <w:r>
              <w:rPr>
                <w:rFonts w:hint="eastAsia" w:ascii="宋体" w:hAnsi="宋体" w:cs="宋体"/>
                <w:color w:val="auto"/>
                <w:kern w:val="0"/>
                <w:sz w:val="24"/>
                <w:highlight w:val="none"/>
                <w:lang w:val="zh-CN"/>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0" w:hRule="atLeast"/>
          <w:jc w:val="center"/>
        </w:trPr>
        <w:tc>
          <w:tcPr>
            <w:tcW w:w="838" w:type="dxa"/>
            <w:vAlign w:val="center"/>
          </w:tcPr>
          <w:p>
            <w:pPr>
              <w:spacing w:line="360" w:lineRule="auto"/>
              <w:jc w:val="center"/>
              <w:rPr>
                <w:rFonts w:ascii="宋体" w:hAnsi="宋体" w:cs="宋体"/>
                <w:color w:val="auto"/>
                <w:highlight w:val="none"/>
              </w:rPr>
            </w:pPr>
            <w:r>
              <w:rPr>
                <w:rFonts w:hint="eastAsia" w:ascii="宋体" w:hAnsi="宋体" w:cs="宋体"/>
                <w:color w:val="auto"/>
                <w:sz w:val="24"/>
                <w:highlight w:val="none"/>
              </w:rPr>
              <w:t>16</w:t>
            </w:r>
          </w:p>
        </w:tc>
        <w:tc>
          <w:tcPr>
            <w:tcW w:w="2236" w:type="dxa"/>
            <w:vAlign w:val="center"/>
          </w:tcPr>
          <w:p>
            <w:pPr>
              <w:pStyle w:val="67"/>
              <w:spacing w:line="360" w:lineRule="auto"/>
              <w:jc w:val="center"/>
              <w:rPr>
                <w:color w:val="auto"/>
                <w:kern w:val="2"/>
                <w:highlight w:val="none"/>
              </w:rPr>
            </w:pPr>
            <w:r>
              <w:rPr>
                <w:rFonts w:hint="eastAsia"/>
                <w:color w:val="auto"/>
                <w:kern w:val="2"/>
                <w:highlight w:val="none"/>
              </w:rPr>
              <w:t>供应商投诉</w:t>
            </w:r>
          </w:p>
        </w:tc>
        <w:tc>
          <w:tcPr>
            <w:tcW w:w="7109" w:type="dxa"/>
            <w:vAlign w:val="center"/>
          </w:tcPr>
          <w:p>
            <w:pPr>
              <w:pStyle w:val="38"/>
              <w:spacing w:line="360" w:lineRule="auto"/>
              <w:rPr>
                <w:rFonts w:hAnsi="宋体"/>
                <w:color w:val="auto"/>
                <w:highlight w:val="none"/>
                <w:lang w:val="zh-CN"/>
              </w:rPr>
            </w:pPr>
            <w:r>
              <w:rPr>
                <w:rFonts w:hint="eastAsia" w:hAnsi="宋体"/>
                <w:color w:val="auto"/>
                <w:highlight w:val="none"/>
                <w:lang w:val="zh-CN"/>
              </w:rPr>
              <w:t>投诉受理单位：本项目同级财政部门，即双流区财政局。</w:t>
            </w:r>
          </w:p>
          <w:p>
            <w:pPr>
              <w:pStyle w:val="38"/>
              <w:spacing w:line="360" w:lineRule="auto"/>
              <w:rPr>
                <w:rFonts w:hAnsi="宋体"/>
                <w:color w:val="auto"/>
                <w:highlight w:val="none"/>
                <w:lang w:val="zh-CN"/>
              </w:rPr>
            </w:pPr>
            <w:r>
              <w:rPr>
                <w:rFonts w:hint="eastAsia" w:hAnsi="宋体"/>
                <w:color w:val="auto"/>
                <w:highlight w:val="none"/>
                <w:lang w:val="zh-CN"/>
              </w:rPr>
              <w:t>地址：成都市双流区东升街道电视塔路二段36号</w:t>
            </w:r>
          </w:p>
          <w:p>
            <w:pPr>
              <w:pStyle w:val="38"/>
              <w:spacing w:line="360" w:lineRule="auto"/>
              <w:rPr>
                <w:rFonts w:hint="eastAsia" w:eastAsia="宋体"/>
                <w:lang w:val="en-US" w:eastAsia="zh-CN"/>
              </w:rPr>
            </w:pPr>
            <w:r>
              <w:rPr>
                <w:rFonts w:hint="eastAsia" w:hAnsi="宋体"/>
                <w:color w:val="auto"/>
                <w:highlight w:val="none"/>
                <w:lang w:val="zh-CN"/>
              </w:rPr>
              <w:t>投诉电话：028-8580472</w:t>
            </w:r>
            <w:r>
              <w:rPr>
                <w:rFonts w:hint="eastAsia" w:hAnsi="宋体"/>
                <w:color w:val="auto"/>
                <w:highlight w:val="none"/>
                <w:lang w:val="en-US" w:eastAsia="zh-CN"/>
              </w:rPr>
              <w:t>6</w:t>
            </w:r>
          </w:p>
          <w:p>
            <w:pPr>
              <w:pStyle w:val="38"/>
              <w:spacing w:line="360" w:lineRule="auto"/>
              <w:rPr>
                <w:rFonts w:ascii="宋体" w:hAnsi="宋体" w:cs="宋体"/>
                <w:color w:val="auto"/>
                <w:sz w:val="24"/>
                <w:highlight w:val="none"/>
              </w:rPr>
            </w:pPr>
            <w:r>
              <w:rPr>
                <w:rFonts w:hint="eastAsia" w:hAnsi="宋体"/>
                <w:color w:val="auto"/>
                <w:highlight w:val="none"/>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7" w:hRule="atLeast"/>
          <w:jc w:val="center"/>
        </w:trPr>
        <w:tc>
          <w:tcPr>
            <w:tcW w:w="838" w:type="dxa"/>
            <w:vAlign w:val="center"/>
          </w:tcPr>
          <w:p>
            <w:pPr>
              <w:spacing w:line="360" w:lineRule="auto"/>
              <w:jc w:val="center"/>
              <w:rPr>
                <w:rFonts w:ascii="宋体" w:hAnsi="宋体" w:cs="宋体"/>
                <w:color w:val="auto"/>
                <w:highlight w:val="none"/>
              </w:rPr>
            </w:pPr>
            <w:r>
              <w:rPr>
                <w:rFonts w:hint="eastAsia" w:ascii="宋体" w:hAnsi="宋体" w:cs="宋体"/>
                <w:color w:val="auto"/>
                <w:sz w:val="24"/>
                <w:highlight w:val="none"/>
              </w:rPr>
              <w:t>17</w:t>
            </w:r>
          </w:p>
        </w:tc>
        <w:tc>
          <w:tcPr>
            <w:tcW w:w="2236"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政府采购合同</w:t>
            </w:r>
          </w:p>
          <w:p>
            <w:pPr>
              <w:spacing w:line="360" w:lineRule="auto"/>
              <w:ind w:firstLine="120" w:firstLineChars="50"/>
              <w:jc w:val="center"/>
              <w:rPr>
                <w:color w:val="auto"/>
                <w:kern w:val="2"/>
                <w:highlight w:val="none"/>
              </w:rPr>
            </w:pPr>
            <w:r>
              <w:rPr>
                <w:rFonts w:hint="eastAsia" w:ascii="宋体" w:hAnsi="宋体" w:cs="宋体"/>
                <w:color w:val="auto"/>
                <w:sz w:val="24"/>
                <w:highlight w:val="none"/>
              </w:rPr>
              <w:t>公告备案</w:t>
            </w:r>
          </w:p>
        </w:tc>
        <w:tc>
          <w:tcPr>
            <w:tcW w:w="7109" w:type="dxa"/>
            <w:tcBorders>
              <w:left w:val="single" w:color="auto" w:sz="4" w:space="0"/>
            </w:tcBorders>
            <w:vAlign w:val="center"/>
          </w:tcPr>
          <w:p>
            <w:pPr>
              <w:spacing w:line="360" w:lineRule="auto"/>
              <w:jc w:val="left"/>
              <w:rPr>
                <w:rFonts w:hAnsi="宋体"/>
                <w:color w:val="auto"/>
                <w:highlight w:val="none"/>
              </w:rPr>
            </w:pPr>
            <w:r>
              <w:rPr>
                <w:rFonts w:hint="eastAsia" w:ascii="宋体" w:hAnsi="宋体" w:cs="宋体"/>
                <w:color w:val="auto"/>
                <w:sz w:val="24"/>
                <w:highlight w:val="none"/>
              </w:rPr>
              <w:t>政府采购合同签订之日起2个工作日内，政府采购合同将在</w:t>
            </w:r>
            <w:r>
              <w:rPr>
                <w:rFonts w:hint="eastAsia" w:ascii="宋体" w:hAnsi="宋体" w:cs="宋体"/>
                <w:color w:val="auto"/>
                <w:sz w:val="24"/>
                <w:highlight w:val="none"/>
                <w:lang w:eastAsia="zh-CN"/>
              </w:rPr>
              <w:t>中国政府采购网</w:t>
            </w:r>
            <w:r>
              <w:rPr>
                <w:rFonts w:hint="eastAsia" w:ascii="宋体" w:hAnsi="宋体" w:cs="宋体"/>
                <w:color w:val="auto"/>
                <w:sz w:val="24"/>
                <w:highlight w:val="none"/>
              </w:rPr>
              <w:t>公告；政府采购合同签订之日起7个工作日内，政府采购合同将向本采购项目同级财政部门，</w:t>
            </w:r>
            <w:r>
              <w:rPr>
                <w:rFonts w:hint="eastAsia" w:ascii="宋体" w:hAnsi="宋体" w:cs="宋体"/>
                <w:color w:val="auto"/>
                <w:sz w:val="24"/>
                <w:highlight w:val="none"/>
                <w:lang w:val="zh-CN"/>
              </w:rPr>
              <w:t>双流区财政局</w:t>
            </w:r>
            <w:r>
              <w:rPr>
                <w:rFonts w:hint="eastAsia" w:ascii="宋体" w:hAnsi="宋体" w:cs="宋体"/>
                <w:color w:val="auto"/>
                <w:sz w:val="24"/>
                <w:highlight w:val="none"/>
              </w:rPr>
              <w:t>备案</w:t>
            </w:r>
            <w:r>
              <w:rPr>
                <w:rFonts w:hint="eastAsia" w:ascii="宋体" w:hAnsi="宋体" w:cs="宋体"/>
                <w:color w:val="auto"/>
                <w:sz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2236" w:type="dxa"/>
            <w:tcBorders>
              <w:right w:val="single" w:color="auto" w:sz="4" w:space="0"/>
            </w:tcBorders>
            <w:vAlign w:val="center"/>
          </w:tcPr>
          <w:p>
            <w:pPr>
              <w:pStyle w:val="67"/>
              <w:spacing w:line="360" w:lineRule="auto"/>
              <w:ind w:left="96"/>
              <w:jc w:val="center"/>
              <w:rPr>
                <w:rFonts w:ascii="宋体" w:hAnsi="宋体" w:cs="宋体"/>
                <w:color w:val="auto"/>
                <w:sz w:val="24"/>
                <w:highlight w:val="none"/>
              </w:rPr>
            </w:pPr>
            <w:r>
              <w:rPr>
                <w:rFonts w:hint="eastAsia"/>
                <w:color w:val="auto"/>
                <w:highlight w:val="none"/>
                <w:lang w:val="zh-CN"/>
              </w:rPr>
              <w:t>代理服务费</w:t>
            </w:r>
          </w:p>
        </w:tc>
        <w:tc>
          <w:tcPr>
            <w:tcW w:w="7109" w:type="dxa"/>
            <w:tcBorders>
              <w:left w:val="single" w:color="auto" w:sz="4" w:space="0"/>
            </w:tcBorders>
            <w:vAlign w:val="center"/>
          </w:tcPr>
          <w:p>
            <w:pPr>
              <w:tabs>
                <w:tab w:val="left" w:pos="7665"/>
              </w:tabs>
              <w:snapToGrid w:val="0"/>
              <w:spacing w:line="360" w:lineRule="auto"/>
              <w:ind w:firstLine="480" w:firstLineChars="200"/>
              <w:rPr>
                <w:rFonts w:hint="eastAsia" w:ascii="宋体" w:hAnsi="宋体" w:cs="Arial"/>
                <w:color w:val="auto"/>
                <w:kern w:val="0"/>
                <w:sz w:val="24"/>
                <w:highlight w:val="none"/>
                <w:lang w:val="zh-CN"/>
              </w:rPr>
            </w:pPr>
            <w:r>
              <w:rPr>
                <w:rFonts w:hint="eastAsia" w:ascii="宋体" w:hAnsi="宋体" w:cs="Arial"/>
                <w:color w:val="auto"/>
                <w:kern w:val="0"/>
                <w:sz w:val="24"/>
                <w:highlight w:val="none"/>
              </w:rPr>
              <w:t>中标人</w:t>
            </w:r>
            <w:r>
              <w:rPr>
                <w:rFonts w:hint="eastAsia" w:ascii="宋体" w:hAnsi="宋体" w:cs="Arial"/>
                <w:color w:val="auto"/>
                <w:kern w:val="0"/>
                <w:sz w:val="24"/>
                <w:highlight w:val="none"/>
                <w:lang w:val="zh-CN"/>
              </w:rPr>
              <w:t>在领取</w:t>
            </w:r>
            <w:r>
              <w:rPr>
                <w:rFonts w:hint="eastAsia" w:ascii="宋体" w:hAnsi="宋体" w:cs="Arial"/>
                <w:color w:val="auto"/>
                <w:kern w:val="0"/>
                <w:sz w:val="24"/>
                <w:highlight w:val="none"/>
                <w:lang w:val="en-US" w:eastAsia="zh-CN"/>
              </w:rPr>
              <w:t>成交</w:t>
            </w:r>
            <w:r>
              <w:rPr>
                <w:rFonts w:hint="eastAsia" w:ascii="宋体" w:hAnsi="宋体" w:cs="Arial"/>
                <w:color w:val="auto"/>
                <w:kern w:val="0"/>
                <w:sz w:val="24"/>
                <w:highlight w:val="none"/>
                <w:lang w:val="zh-CN"/>
              </w:rPr>
              <w:t>通知书前支付给</w:t>
            </w:r>
            <w:r>
              <w:rPr>
                <w:rFonts w:hint="eastAsia" w:ascii="宋体" w:hAnsi="宋体" w:cs="Arial"/>
                <w:color w:val="auto"/>
                <w:kern w:val="0"/>
                <w:sz w:val="24"/>
                <w:highlight w:val="none"/>
                <w:lang w:val="en-US" w:eastAsia="zh-CN"/>
              </w:rPr>
              <w:t>采购</w:t>
            </w:r>
            <w:r>
              <w:rPr>
                <w:rFonts w:hint="eastAsia" w:ascii="宋体" w:hAnsi="宋体" w:cs="Arial"/>
                <w:color w:val="auto"/>
                <w:kern w:val="0"/>
                <w:sz w:val="24"/>
                <w:highlight w:val="none"/>
                <w:lang w:val="zh-CN"/>
              </w:rPr>
              <w:t>代理机构。</w:t>
            </w:r>
          </w:p>
          <w:p>
            <w:pPr>
              <w:tabs>
                <w:tab w:val="left" w:pos="7665"/>
              </w:tabs>
              <w:snapToGrid w:val="0"/>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招标代理费</w:t>
            </w: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5000元</w:t>
            </w:r>
            <w:r>
              <w:rPr>
                <w:rFonts w:hint="eastAsia" w:ascii="宋体" w:hAnsi="宋体" w:cs="Arial"/>
                <w:color w:val="auto"/>
                <w:kern w:val="0"/>
                <w:sz w:val="24"/>
                <w:highlight w:val="none"/>
              </w:rPr>
              <w:t>，在</w:t>
            </w:r>
            <w:r>
              <w:rPr>
                <w:rFonts w:hint="eastAsia" w:ascii="宋体" w:hAnsi="宋体" w:cs="Arial"/>
                <w:color w:val="auto"/>
                <w:kern w:val="0"/>
                <w:sz w:val="24"/>
                <w:highlight w:val="none"/>
                <w:lang w:val="en-US" w:eastAsia="zh-CN"/>
              </w:rPr>
              <w:t>领取成交</w:t>
            </w:r>
            <w:r>
              <w:rPr>
                <w:rFonts w:hint="eastAsia" w:ascii="宋体" w:hAnsi="宋体" w:cs="Arial"/>
                <w:color w:val="auto"/>
                <w:kern w:val="0"/>
                <w:sz w:val="24"/>
                <w:highlight w:val="none"/>
              </w:rPr>
              <w:t>通知书</w:t>
            </w:r>
            <w:r>
              <w:rPr>
                <w:rFonts w:hint="eastAsia" w:ascii="宋体" w:hAnsi="宋体" w:cs="Arial"/>
                <w:color w:val="auto"/>
                <w:kern w:val="0"/>
                <w:sz w:val="24"/>
                <w:highlight w:val="none"/>
                <w:lang w:val="en-US" w:eastAsia="zh-CN"/>
              </w:rPr>
              <w:t>时</w:t>
            </w:r>
            <w:r>
              <w:rPr>
                <w:rFonts w:hint="eastAsia" w:ascii="宋体" w:hAnsi="宋体" w:cs="Arial"/>
                <w:color w:val="auto"/>
                <w:kern w:val="0"/>
                <w:sz w:val="24"/>
                <w:highlight w:val="none"/>
              </w:rPr>
              <w:t>由</w:t>
            </w:r>
            <w:r>
              <w:rPr>
                <w:rFonts w:hint="eastAsia" w:ascii="宋体" w:hAnsi="宋体" w:cs="Arial"/>
                <w:color w:val="auto"/>
                <w:kern w:val="0"/>
                <w:sz w:val="24"/>
                <w:highlight w:val="none"/>
                <w:lang w:val="en-US" w:eastAsia="zh-CN"/>
              </w:rPr>
              <w:t>成交供应商</w:t>
            </w:r>
            <w:r>
              <w:rPr>
                <w:rFonts w:hint="eastAsia" w:ascii="宋体" w:hAnsi="宋体" w:cs="Arial"/>
                <w:color w:val="auto"/>
                <w:kern w:val="0"/>
                <w:sz w:val="24"/>
                <w:highlight w:val="none"/>
              </w:rPr>
              <w:t>一次性支付给采购代理机构。</w:t>
            </w:r>
          </w:p>
          <w:p>
            <w:pPr>
              <w:tabs>
                <w:tab w:val="left" w:pos="7665"/>
              </w:tabs>
              <w:snapToGrid w:val="0"/>
              <w:spacing w:line="360" w:lineRule="auto"/>
              <w:ind w:firstLine="480" w:firstLineChars="200"/>
              <w:rPr>
                <w:rFonts w:hint="eastAsia" w:ascii="宋体" w:hAnsi="宋体" w:cs="Arial"/>
                <w:color w:val="auto"/>
                <w:kern w:val="0"/>
                <w:sz w:val="24"/>
                <w:highlight w:val="none"/>
                <w:lang w:val="zh-CN"/>
              </w:rPr>
            </w:pPr>
            <w:r>
              <w:rPr>
                <w:rFonts w:hint="eastAsia" w:ascii="宋体" w:hAnsi="宋体" w:cs="Arial"/>
                <w:color w:val="auto"/>
                <w:kern w:val="0"/>
                <w:sz w:val="24"/>
                <w:highlight w:val="none"/>
                <w:lang w:val="zh-CN"/>
              </w:rPr>
              <w:t>方式：以银行转账、</w:t>
            </w:r>
            <w:r>
              <w:rPr>
                <w:rFonts w:hint="eastAsia" w:ascii="宋体" w:hAnsi="宋体" w:cs="Arial"/>
                <w:color w:val="auto"/>
                <w:kern w:val="0"/>
                <w:sz w:val="24"/>
                <w:highlight w:val="none"/>
                <w:lang w:val="en-US" w:eastAsia="zh-CN"/>
              </w:rPr>
              <w:t>现金</w:t>
            </w:r>
            <w:r>
              <w:rPr>
                <w:rFonts w:hint="eastAsia" w:ascii="宋体" w:hAnsi="宋体" w:cs="Arial"/>
                <w:color w:val="auto"/>
                <w:kern w:val="0"/>
                <w:sz w:val="24"/>
                <w:highlight w:val="none"/>
                <w:lang w:val="zh-CN"/>
              </w:rPr>
              <w:t>或电汇方式交纳。</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Arial"/>
                <w:color w:val="auto"/>
                <w:kern w:val="0"/>
                <w:sz w:val="24"/>
                <w:highlight w:val="none"/>
                <w:lang w:val="zh-CN"/>
              </w:rPr>
              <w:t>收款单位：华信天成工程管理有限公司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2236" w:type="dxa"/>
            <w:tcBorders>
              <w:right w:val="single" w:color="auto" w:sz="4" w:space="0"/>
            </w:tcBorders>
            <w:vAlign w:val="center"/>
          </w:tcPr>
          <w:p>
            <w:pPr>
              <w:spacing w:line="360" w:lineRule="auto"/>
              <w:jc w:val="center"/>
              <w:rPr>
                <w:color w:val="auto"/>
                <w:highlight w:val="none"/>
              </w:rPr>
            </w:pPr>
            <w:r>
              <w:rPr>
                <w:rFonts w:hint="eastAsia" w:ascii="宋体" w:hAnsi="宋体" w:cs="宋体"/>
                <w:color w:val="auto"/>
                <w:sz w:val="24"/>
                <w:highlight w:val="none"/>
              </w:rPr>
              <w:t>答疑会和现场考察</w:t>
            </w:r>
          </w:p>
        </w:tc>
        <w:tc>
          <w:tcPr>
            <w:tcW w:w="7109" w:type="dxa"/>
            <w:tcBorders>
              <w:left w:val="single" w:color="auto" w:sz="4" w:space="0"/>
            </w:tcBorders>
            <w:vAlign w:val="center"/>
          </w:tcPr>
          <w:p>
            <w:pPr>
              <w:spacing w:line="360" w:lineRule="auto"/>
              <w:jc w:val="left"/>
              <w:rPr>
                <w:color w:val="auto"/>
                <w:highlight w:val="none"/>
              </w:rPr>
            </w:pPr>
            <w:r>
              <w:rPr>
                <w:rFonts w:hint="eastAsia" w:ascii="宋体" w:hAnsi="宋体" w:cs="宋体"/>
                <w:color w:val="auto"/>
                <w:sz w:val="24"/>
                <w:highlight w:val="none"/>
              </w:rPr>
              <w:t>本次政府采购项目不组织现场踏勘。如供应商自行现场踏勘，将承担现场考察的责任和风险，勘察现场的费用由供应商自行承担。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259"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2236" w:type="dxa"/>
            <w:tcBorders>
              <w:right w:val="single" w:color="auto" w:sz="4" w:space="0"/>
            </w:tcBorders>
            <w:vAlign w:val="center"/>
          </w:tcPr>
          <w:p>
            <w:pPr>
              <w:spacing w:line="360" w:lineRule="auto"/>
              <w:jc w:val="center"/>
              <w:rPr>
                <w:lang w:val="zh-CN"/>
              </w:rPr>
            </w:pPr>
            <w:r>
              <w:rPr>
                <w:rFonts w:hint="eastAsia" w:ascii="宋体" w:hAnsi="宋体" w:cs="宋体"/>
                <w:color w:val="auto"/>
                <w:sz w:val="24"/>
                <w:highlight w:val="none"/>
                <w:lang w:val="en-US" w:eastAsia="zh-CN"/>
              </w:rPr>
              <w:t>是否专门面向中小企业采购</w:t>
            </w:r>
          </w:p>
          <w:p>
            <w:pPr>
              <w:pStyle w:val="2"/>
              <w:jc w:val="center"/>
              <w:rPr>
                <w:lang w:val="zh-CN"/>
              </w:rPr>
            </w:pPr>
          </w:p>
        </w:tc>
        <w:tc>
          <w:tcPr>
            <w:tcW w:w="7109" w:type="dxa"/>
            <w:tcBorders>
              <w:left w:val="single" w:color="auto" w:sz="4" w:space="0"/>
            </w:tcBorders>
            <w:vAlign w:val="center"/>
          </w:tcPr>
          <w:p>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4"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2236"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充分、公平竞争保障措施</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(实质性要求)</w:t>
            </w:r>
          </w:p>
        </w:tc>
        <w:tc>
          <w:tcPr>
            <w:tcW w:w="7109" w:type="dxa"/>
            <w:tcBorders>
              <w:lef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1.根据《关于在政府采购活动中查询及使用信用记录有关问题的通知》(财库〔2016〕125号)等文件要求，采购代理机构将通过“信用中国”网站 (www.creditchina.gov.cn)、“中国政府采购网”网站(www.ccgp.gov.cn) 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2.利害关系供应商处理。单位负责人为同一人或者存在直接控股、管理关系的不同供应商不得参加同一合同项下的政府采购活动。</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4.利害关系代理人处理。2家以上的供应商不得在同一合同项下的采购项目中，同时委托同一个自然人、同一家庭的人员、同一单位的人员作为其代理人，否则，其响应文件作为无效处理。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5.供应商实际控制人或者中高级管理人员，同时是采购代理机构工作人员，不得参与本项目政府采购活动。</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6.同一母公司的两家以上的子公司只能组成联合体参加本项目同一合同项下的采购活动，不得以不同供应商身份同时参加本项目同一合同项下的采购活动。</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7.供应商与采购代理机构存在关联关系，或者是采购代理机构的母公司或子公司，不得参加本项目政府采购活动。</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8.回避。政府采购活动中，采购人员及相关人员与供应商有下列利害关系之一的，应当回避：</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(1)参加采购活动前3年内与供应商存在劳动关系；</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(2)参加采购活动前3年内担任供应商的董事、监事；</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(3)参加采购活动前3年内是供应商的控股股东或者实际控制人；</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(4)与供应商的法定代表人/单位负责人或者负责人有夫妻、直系血亲、三代以内旁系血亲或者近姻亲关系；</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(5)与供应商有其他可能影响政府采购活动公平、公正进行的关系。</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7"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22</w:t>
            </w:r>
          </w:p>
        </w:tc>
        <w:tc>
          <w:tcPr>
            <w:tcW w:w="2236"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竞争性磋商费用</w:t>
            </w:r>
          </w:p>
        </w:tc>
        <w:tc>
          <w:tcPr>
            <w:tcW w:w="7109" w:type="dxa"/>
            <w:tcBorders>
              <w:lef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无论竞争性磋商的结果如何，供应商自行承担所有与参加竞争性磋商有关的全部费用。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w:t>
            </w:r>
          </w:p>
        </w:tc>
        <w:tc>
          <w:tcPr>
            <w:tcW w:w="2236"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建议品牌或者供应商</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(如涉及)</w:t>
            </w:r>
          </w:p>
        </w:tc>
        <w:tc>
          <w:tcPr>
            <w:tcW w:w="7109" w:type="dxa"/>
            <w:tcBorders>
              <w:lef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2236"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强制认证产品</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(如涉及)</w:t>
            </w:r>
          </w:p>
        </w:tc>
        <w:tc>
          <w:tcPr>
            <w:tcW w:w="7109" w:type="dxa"/>
            <w:tcBorders>
              <w:lef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1.如涉及CCC认证产品的CCC认证证书在响应文件中可不提供，成交供应商应在成交通知书发出之日起30日内提供至采购人，未提供或不能提供的视为放弃成交。采购人将另行确定成交供应商或重新组织磋商。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2.如涉及政府强制采购节能产品参加磋商的须提供该产品最新一期的强制采购节能产品清单所在页截图证明(详见中国政府采购网)。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2" w:hRule="atLeast"/>
          <w:jc w:val="center"/>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25</w:t>
            </w:r>
          </w:p>
        </w:tc>
        <w:tc>
          <w:tcPr>
            <w:tcW w:w="2236" w:type="dxa"/>
            <w:tcBorders>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7109" w:type="dxa"/>
            <w:tcBorders>
              <w:left w:val="single" w:color="auto" w:sz="4" w:space="0"/>
            </w:tcBorders>
            <w:vAlign w:val="center"/>
          </w:tcPr>
          <w:p>
            <w:pPr>
              <w:numPr>
                <w:ilvl w:val="0"/>
                <w:numId w:val="4"/>
              </w:numPr>
              <w:spacing w:line="360" w:lineRule="auto"/>
              <w:jc w:val="left"/>
              <w:rPr>
                <w:rFonts w:hint="default"/>
                <w:color w:val="auto"/>
                <w:highlight w:val="none"/>
                <w:lang w:val="en-US" w:eastAsia="zh-CN"/>
              </w:rPr>
            </w:pPr>
            <w:r>
              <w:rPr>
                <w:rFonts w:hint="eastAsia"/>
                <w:color w:val="auto"/>
                <w:highlight w:val="none"/>
              </w:rPr>
              <w:t>若竞争性磋商文件中其他内容与磋商须知表内容不一致的，以磋商须知表为准。</w:t>
            </w:r>
          </w:p>
          <w:p>
            <w:pPr>
              <w:pStyle w:val="38"/>
              <w:rPr>
                <w:rFonts w:ascii="宋体" w:hAnsi="宋体" w:cs="宋体"/>
                <w:color w:val="auto"/>
                <w:sz w:val="24"/>
                <w:highlight w:val="none"/>
              </w:rPr>
            </w:pPr>
            <w:r>
              <w:rPr>
                <w:rFonts w:hint="eastAsia"/>
                <w:color w:val="auto"/>
                <w:highlight w:val="none"/>
                <w:lang w:val="en-US" w:eastAsia="zh-CN"/>
              </w:rPr>
              <w:t>2、各投标单位在投标时只需报统一下浮比例，无需递交清单。</w:t>
            </w:r>
          </w:p>
        </w:tc>
      </w:tr>
      <w:bookmarkEnd w:id="9"/>
    </w:tbl>
    <w:p>
      <w:pPr>
        <w:pStyle w:val="4"/>
        <w:keepNext w:val="0"/>
        <w:keepLines w:val="0"/>
        <w:spacing w:before="0" w:after="0" w:line="360" w:lineRule="auto"/>
        <w:jc w:val="center"/>
        <w:rPr>
          <w:rFonts w:ascii="宋体" w:hAnsi="宋体" w:eastAsia="宋体" w:cs="宋体"/>
          <w:bCs w:val="0"/>
          <w:color w:val="auto"/>
          <w:highlight w:val="none"/>
        </w:rPr>
      </w:pPr>
      <w:bookmarkStart w:id="10" w:name="_Toc31970"/>
      <w:r>
        <w:rPr>
          <w:rFonts w:hint="eastAsia" w:ascii="宋体" w:hAnsi="宋体" w:eastAsia="宋体" w:cs="宋体"/>
          <w:bCs w:val="0"/>
          <w:color w:val="auto"/>
          <w:highlight w:val="none"/>
        </w:rPr>
        <w:t>二、总  则</w:t>
      </w:r>
      <w:bookmarkEnd w:id="10"/>
      <w:bookmarkStart w:id="11" w:name="_Toc183582205"/>
      <w:bookmarkStart w:id="12" w:name="_Toc183682342"/>
      <w:bookmarkStart w:id="13" w:name="_Toc217446034"/>
    </w:p>
    <w:p>
      <w:pPr>
        <w:pStyle w:val="5"/>
        <w:keepNext w:val="0"/>
        <w:keepLines w:val="0"/>
        <w:spacing w:before="0" w:after="0" w:line="360" w:lineRule="auto"/>
        <w:rPr>
          <w:rFonts w:ascii="宋体" w:hAnsi="宋体" w:eastAsia="宋体" w:cs="宋体"/>
          <w:color w:val="auto"/>
          <w:sz w:val="24"/>
          <w:highlight w:val="none"/>
        </w:rPr>
      </w:pPr>
      <w:bookmarkStart w:id="14" w:name="_Toc18488"/>
      <w:r>
        <w:rPr>
          <w:rFonts w:hint="eastAsia" w:ascii="宋体" w:hAnsi="宋体" w:eastAsia="宋体" w:cs="宋体"/>
          <w:color w:val="auto"/>
          <w:sz w:val="24"/>
          <w:highlight w:val="none"/>
        </w:rPr>
        <w:t>1.</w:t>
      </w:r>
      <w:bookmarkEnd w:id="11"/>
      <w:bookmarkEnd w:id="12"/>
      <w:r>
        <w:rPr>
          <w:rFonts w:hint="eastAsia" w:ascii="宋体" w:hAnsi="宋体" w:eastAsia="宋体" w:cs="宋体"/>
          <w:color w:val="auto"/>
          <w:sz w:val="24"/>
          <w:szCs w:val="24"/>
          <w:highlight w:val="none"/>
        </w:rPr>
        <w:t>适用范围</w:t>
      </w:r>
      <w:bookmarkEnd w:id="13"/>
      <w:bookmarkEnd w:id="14"/>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本磋商文件仅适用于本次磋商所叙述的</w:t>
      </w:r>
      <w:r>
        <w:rPr>
          <w:rFonts w:hint="eastAsia" w:ascii="宋体" w:hAnsi="宋体" w:cs="宋体"/>
          <w:color w:val="auto"/>
          <w:sz w:val="24"/>
          <w:highlight w:val="none"/>
          <w:u w:val="single"/>
        </w:rPr>
        <w:t>服务</w:t>
      </w:r>
      <w:r>
        <w:rPr>
          <w:rFonts w:hint="eastAsia" w:ascii="宋体" w:hAnsi="宋体" w:cs="宋体"/>
          <w:color w:val="auto"/>
          <w:sz w:val="24"/>
          <w:highlight w:val="none"/>
        </w:rPr>
        <w:t>采购。</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本磋商文件的解释权归采购人和采购代理机构所有。</w:t>
      </w:r>
    </w:p>
    <w:p>
      <w:pPr>
        <w:pStyle w:val="5"/>
        <w:keepNext w:val="0"/>
        <w:keepLines w:val="0"/>
        <w:spacing w:before="0" w:after="0" w:line="360" w:lineRule="auto"/>
        <w:rPr>
          <w:rFonts w:ascii="宋体" w:hAnsi="宋体" w:cs="宋体"/>
          <w:color w:val="auto"/>
          <w:sz w:val="24"/>
          <w:highlight w:val="none"/>
        </w:rPr>
      </w:pPr>
      <w:bookmarkStart w:id="15" w:name="_Toc217446035"/>
      <w:bookmarkStart w:id="16" w:name="_Toc183682343"/>
      <w:bookmarkStart w:id="17" w:name="_Toc183582206"/>
      <w:bookmarkStart w:id="18" w:name="_Toc4358"/>
      <w:r>
        <w:rPr>
          <w:rFonts w:hint="eastAsia" w:ascii="宋体" w:hAnsi="宋体" w:cs="宋体"/>
          <w:color w:val="auto"/>
          <w:sz w:val="24"/>
          <w:highlight w:val="none"/>
        </w:rPr>
        <w:t>2.</w:t>
      </w:r>
      <w:bookmarkEnd w:id="15"/>
      <w:bookmarkEnd w:id="16"/>
      <w:bookmarkEnd w:id="17"/>
      <w:r>
        <w:rPr>
          <w:rFonts w:hint="eastAsia" w:ascii="宋体" w:hAnsi="宋体" w:cs="宋体"/>
          <w:color w:val="auto"/>
          <w:sz w:val="24"/>
          <w:highlight w:val="none"/>
        </w:rPr>
        <w:t>采购主体</w:t>
      </w:r>
      <w:bookmarkEnd w:id="18"/>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2.1本次磋商的采购人是</w:t>
      </w:r>
      <w:r>
        <w:rPr>
          <w:rFonts w:hint="eastAsia" w:ascii="宋体" w:hAnsi="宋体" w:cs="宋体"/>
          <w:b/>
          <w:bCs/>
          <w:color w:val="auto"/>
          <w:sz w:val="24"/>
          <w:highlight w:val="none"/>
          <w:u w:val="single"/>
          <w:lang w:eastAsia="zh-CN"/>
        </w:rPr>
        <w:t>四川天府新区万安幼儿园</w:t>
      </w:r>
      <w:r>
        <w:rPr>
          <w:rFonts w:hint="eastAsia" w:ascii="宋体" w:hAnsi="宋体" w:cs="宋体"/>
          <w:color w:val="auto"/>
          <w:sz w:val="24"/>
          <w:highlight w:val="none"/>
        </w:rPr>
        <w:t>。</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2.2本次磋商的采购代理机构是</w:t>
      </w:r>
      <w:r>
        <w:rPr>
          <w:rFonts w:hint="eastAsia" w:ascii="宋体" w:hAnsi="宋体" w:cs="宋体"/>
          <w:b/>
          <w:bCs/>
          <w:color w:val="auto"/>
          <w:sz w:val="24"/>
          <w:highlight w:val="none"/>
          <w:u w:val="single"/>
          <w:lang w:eastAsia="zh-CN"/>
        </w:rPr>
        <w:t>华信天成工程管理有限公司</w:t>
      </w:r>
      <w:r>
        <w:rPr>
          <w:rFonts w:hint="eastAsia" w:ascii="宋体" w:hAnsi="宋体" w:cs="宋体"/>
          <w:color w:val="auto"/>
          <w:sz w:val="24"/>
          <w:highlight w:val="none"/>
        </w:rPr>
        <w:t>。</w:t>
      </w:r>
    </w:p>
    <w:p>
      <w:pPr>
        <w:pStyle w:val="5"/>
        <w:keepNext w:val="0"/>
        <w:keepLines w:val="0"/>
        <w:spacing w:before="0" w:after="0" w:line="360" w:lineRule="auto"/>
        <w:rPr>
          <w:rFonts w:ascii="宋体" w:hAnsi="宋体" w:cs="宋体"/>
          <w:color w:val="auto"/>
          <w:sz w:val="24"/>
          <w:highlight w:val="none"/>
        </w:rPr>
      </w:pPr>
      <w:bookmarkStart w:id="19" w:name="_Toc217390843"/>
      <w:bookmarkStart w:id="20" w:name="_Toc217446036"/>
      <w:bookmarkStart w:id="21" w:name="_Toc183682344"/>
      <w:bookmarkStart w:id="22" w:name="_Toc183582207"/>
      <w:bookmarkStart w:id="23" w:name="_Toc856"/>
      <w:r>
        <w:rPr>
          <w:rFonts w:hint="eastAsia" w:ascii="宋体" w:hAnsi="宋体" w:cs="宋体"/>
          <w:color w:val="auto"/>
          <w:sz w:val="24"/>
          <w:highlight w:val="none"/>
        </w:rPr>
        <w:t>3.合格</w:t>
      </w:r>
      <w:bookmarkEnd w:id="19"/>
      <w:bookmarkEnd w:id="20"/>
      <w:bookmarkEnd w:id="21"/>
      <w:bookmarkEnd w:id="22"/>
      <w:r>
        <w:rPr>
          <w:rFonts w:hint="eastAsia" w:ascii="宋体" w:hAnsi="宋体" w:cs="宋体"/>
          <w:color w:val="auto"/>
          <w:sz w:val="24"/>
          <w:highlight w:val="none"/>
        </w:rPr>
        <w:t>供应商（实质性要求）</w:t>
      </w:r>
      <w:bookmarkEnd w:id="23"/>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合格供应商应具备以下条件：</w:t>
      </w:r>
    </w:p>
    <w:p>
      <w:pPr>
        <w:tabs>
          <w:tab w:val="left" w:pos="7665"/>
        </w:tabs>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3.1 具备法律法规和本采购文件规定的资格条件</w:t>
      </w:r>
      <w:r>
        <w:rPr>
          <w:rFonts w:hint="eastAsia" w:ascii="宋体" w:hAnsi="宋体" w:cs="宋体"/>
          <w:color w:val="auto"/>
          <w:spacing w:val="-4"/>
          <w:sz w:val="24"/>
          <w:highlight w:val="none"/>
        </w:rPr>
        <w:t>；</w:t>
      </w:r>
    </w:p>
    <w:p>
      <w:pPr>
        <w:tabs>
          <w:tab w:val="left" w:pos="7665"/>
        </w:tabs>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3.2 不属于禁止参加本项目采购活动的供应商；</w:t>
      </w:r>
    </w:p>
    <w:p>
      <w:pPr>
        <w:tabs>
          <w:tab w:val="left" w:pos="7665"/>
        </w:tabs>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3.3 按照规定</w:t>
      </w:r>
      <w:r>
        <w:rPr>
          <w:rFonts w:hint="eastAsia" w:ascii="宋体" w:hAnsi="宋体" w:cs="宋体"/>
          <w:color w:val="auto"/>
          <w:sz w:val="24"/>
          <w:highlight w:val="none"/>
        </w:rPr>
        <w:t>获取了磋商文件，属于实质性参加政府采购活动的供应商。</w:t>
      </w:r>
      <w:bookmarkStart w:id="24" w:name="_Toc183682345"/>
      <w:bookmarkStart w:id="25" w:name="_Toc183582208"/>
      <w:bookmarkStart w:id="26" w:name="_Toc217446037"/>
    </w:p>
    <w:p>
      <w:pPr>
        <w:pStyle w:val="5"/>
        <w:keepNext w:val="0"/>
        <w:keepLines w:val="0"/>
        <w:spacing w:before="0" w:after="0" w:line="360" w:lineRule="auto"/>
        <w:rPr>
          <w:rFonts w:ascii="宋体" w:hAnsi="宋体" w:cs="宋体"/>
          <w:color w:val="auto"/>
          <w:sz w:val="24"/>
          <w:highlight w:val="none"/>
        </w:rPr>
      </w:pPr>
      <w:bookmarkStart w:id="27" w:name="_Toc7841"/>
      <w:r>
        <w:rPr>
          <w:rFonts w:hint="eastAsia" w:ascii="宋体" w:hAnsi="宋体" w:cs="宋体"/>
          <w:color w:val="auto"/>
          <w:sz w:val="24"/>
          <w:highlight w:val="none"/>
        </w:rPr>
        <w:t>4.磋商费用</w:t>
      </w:r>
      <w:bookmarkEnd w:id="24"/>
      <w:bookmarkEnd w:id="25"/>
      <w:bookmarkEnd w:id="26"/>
      <w:bookmarkEnd w:id="27"/>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供应商应自行承担参加磋商活动的全部费用。</w:t>
      </w:r>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5.充分、公平竞争保障措施（实质性要求）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5.1利害关系</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总公司、分公司不能以不同的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身份同时参加投标。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不得参加同一合同项下的政府采购活动。采购项目实行资格预审的，单位负责人为同一人或者存在直接控股、管理关系的不同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可以参加资格预审，但只能选择其中一家符合条件的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参加后续的政府采购活动。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5.2前期参与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处理。为采购项目提供整体设计、规范编制或者项目管理、监理、检测等服务的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，不得再参加该采购项目的其他采购活动。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为采购人、采购代理机构在确定采购需求、编制招标文件过程中提供咨询论证，其提供的咨询论证意见成为招标文件中规定的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资格条件、技术服务商务要求、评标因素和标准、政府采购合同等实质性内容条款的，视同为采购项目提供规范编制。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 利害关系代理人处理。2家以上的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不得在同一合同项下的采购项目中，同时委托同一个自然人、同一家庭的人员、同一单位的人员作为其代理人，否则，其投标文件作为无效处理。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 防范和处理不正当竞争行为。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5.4.1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川财采[2016]53号）第三十一条等规定提供相关证明材料，证明其报价的合理性，无法证明其报价合理性的，其投标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5.4.2报价是否低于成本价</w:t>
      </w:r>
      <w:r>
        <w:rPr>
          <w:rFonts w:hint="eastAsia" w:ascii="宋体" w:hAnsi="宋体" w:cs="宋体"/>
          <w:color w:val="auto"/>
          <w:sz w:val="24"/>
          <w:highlight w:val="none"/>
          <w:lang w:val="en-US" w:eastAsia="zh-CN"/>
        </w:rPr>
        <w:t>按照须知前附表相关要求执行</w:t>
      </w:r>
      <w:r>
        <w:rPr>
          <w:rFonts w:hint="eastAsia" w:ascii="宋体" w:hAnsi="宋体" w:cs="宋体"/>
          <w:color w:val="auto"/>
          <w:sz w:val="24"/>
          <w:highlight w:val="none"/>
        </w:rPr>
        <w:t>。</w:t>
      </w:r>
    </w:p>
    <w:p>
      <w:pPr>
        <w:pStyle w:val="7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5.4.3供应商存在无偿或者低于成本价报价的，除本次的</w:t>
      </w:r>
      <w:r>
        <w:rPr>
          <w:rFonts w:hint="eastAsia" w:hAnsi="宋体" w:cs="宋体"/>
          <w:color w:val="auto"/>
          <w:sz w:val="24"/>
          <w:szCs w:val="24"/>
          <w:highlight w:val="none"/>
          <w:lang w:val="en-US" w:eastAsia="zh-CN"/>
        </w:rPr>
        <w:t>响应</w:t>
      </w:r>
      <w:r>
        <w:rPr>
          <w:rFonts w:hint="eastAsia" w:hAnsi="宋体" w:cs="宋体"/>
          <w:color w:val="auto"/>
          <w:sz w:val="24"/>
          <w:szCs w:val="24"/>
          <w:highlight w:val="none"/>
        </w:rPr>
        <w:t>文件按照无效</w:t>
      </w:r>
      <w:r>
        <w:rPr>
          <w:rFonts w:hint="eastAsia" w:hAnsi="宋体" w:cs="宋体"/>
          <w:color w:val="auto"/>
          <w:sz w:val="24"/>
          <w:szCs w:val="24"/>
          <w:highlight w:val="none"/>
          <w:lang w:val="en-US" w:eastAsia="zh-CN"/>
        </w:rPr>
        <w:t>响应</w:t>
      </w:r>
      <w:r>
        <w:rPr>
          <w:rFonts w:hint="eastAsia" w:hAnsi="宋体" w:cs="宋体"/>
          <w:color w:val="auto"/>
          <w:sz w:val="24"/>
          <w:szCs w:val="24"/>
          <w:highlight w:val="none"/>
        </w:rPr>
        <w:t>处理和不确定为中标、成交供应商外，还按照《中华人民共和国政府采购法》、四川省财政厅《关于防范和惩处政府采购中不正当竞争行为的通知》（川财采【2017】63号）等相关法律法规进行处罚。</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5.5供应商实际控制人或者中高级管理人员，同时是采购代理机构工作人员，不得参与本项目政府采购活动。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5.7回避。政府采购活动中，采购人员及相关人员与供应商有下列利害关系之一的，应当回避：</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（1）参加采购活动前3年内与供应商存在劳动关系；</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（2）参加采购活动前3年内担任供应商的董事、监事；</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（3）参加采购活动前3年内是供应商的控股股东或者实际控制人；</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（4）与供应商的法定代表人/单位负责人或者负责人有夫妻、直系血亲、三代以内旁系血亲或者近姻亲关系；</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（5）与供应商有其他可能影响政府采购活动公平、公正进行的关系。</w:t>
      </w:r>
    </w:p>
    <w:p>
      <w:pPr>
        <w:pStyle w:val="77"/>
        <w:spacing w:line="360" w:lineRule="auto"/>
        <w:ind w:left="1" w:firstLine="480" w:firstLineChars="200"/>
        <w:rPr>
          <w:rFonts w:hAnsi="宋体" w:cs="宋体"/>
          <w:color w:val="auto"/>
          <w:sz w:val="24"/>
          <w:highlight w:val="none"/>
        </w:rPr>
      </w:pPr>
      <w:r>
        <w:rPr>
          <w:rFonts w:hint="eastAsia" w:hAnsi="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77"/>
        <w:spacing w:line="360" w:lineRule="auto"/>
        <w:ind w:left="1" w:firstLine="480" w:firstLineChars="200"/>
        <w:rPr>
          <w:rFonts w:hAnsi="宋体" w:cs="宋体"/>
          <w:b/>
          <w:color w:val="auto"/>
          <w:sz w:val="24"/>
          <w:highlight w:val="none"/>
        </w:rPr>
      </w:pPr>
      <w:r>
        <w:rPr>
          <w:rFonts w:hint="eastAsia" w:hAnsi="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6.联合体竞争性磋商（实质性要求）</w:t>
      </w:r>
    </w:p>
    <w:p>
      <w:pPr>
        <w:pStyle w:val="77"/>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本项目不接受联合体参与采购活动。</w:t>
      </w:r>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7.磋商保证金</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本项目不收取磋商保证金。</w:t>
      </w:r>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8.响应文件有效期（实质性要求）</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9.知识产权（实质性要求）</w:t>
      </w:r>
    </w:p>
    <w:p>
      <w:pPr>
        <w:pStyle w:val="1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9.1 </w:t>
      </w:r>
      <w:r>
        <w:rPr>
          <w:rFonts w:hint="eastAsia" w:ascii="宋体" w:hAnsi="宋体" w:cs="宋体"/>
          <w:color w:val="auto"/>
          <w:sz w:val="24"/>
          <w:highlight w:val="none"/>
        </w:rPr>
        <w:t>供应商</w:t>
      </w:r>
      <w:r>
        <w:rPr>
          <w:rFonts w:hint="eastAsia" w:ascii="宋体" w:hAnsi="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auto"/>
          <w:sz w:val="24"/>
          <w:highlight w:val="none"/>
        </w:rPr>
        <w:t>供应商</w:t>
      </w:r>
      <w:r>
        <w:rPr>
          <w:rFonts w:hint="eastAsia" w:ascii="宋体" w:hAnsi="宋体" w:cs="宋体"/>
          <w:color w:val="auto"/>
          <w:sz w:val="24"/>
          <w:szCs w:val="24"/>
          <w:highlight w:val="none"/>
        </w:rPr>
        <w:t>承担所有相关责任。</w:t>
      </w:r>
    </w:p>
    <w:p>
      <w:pPr>
        <w:pStyle w:val="1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 除非磋商文件特别规定，采购人享有本项目实施过程中产生的知识成果及知识产权。</w:t>
      </w:r>
    </w:p>
    <w:p>
      <w:pPr>
        <w:spacing w:line="360" w:lineRule="auto"/>
        <w:ind w:firstLine="480" w:firstLineChars="200"/>
        <w:rPr>
          <w:rFonts w:ascii="宋体" w:hAnsi="宋体" w:cs="宋体"/>
          <w:color w:val="auto"/>
          <w:sz w:val="32"/>
          <w:szCs w:val="32"/>
          <w:highlight w:val="none"/>
        </w:rPr>
      </w:pPr>
      <w:r>
        <w:rPr>
          <w:rFonts w:hint="eastAsia" w:ascii="宋体" w:hAnsi="宋体" w:cs="宋体"/>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 xml:space="preserve">9.4 如采用供应商所不拥有的知识产权，则在报价中必须包括合法获取该知识产权的相关费用。 </w:t>
      </w:r>
      <w:bookmarkStart w:id="28" w:name="_Toc183682346"/>
      <w:bookmarkStart w:id="29" w:name="_Toc77400779"/>
      <w:bookmarkStart w:id="30" w:name="_Toc217446038"/>
      <w:bookmarkStart w:id="31" w:name="_Toc89075875"/>
      <w:bookmarkStart w:id="32" w:name="_Toc183582209"/>
    </w:p>
    <w:p>
      <w:pPr>
        <w:pStyle w:val="4"/>
        <w:keepNext w:val="0"/>
        <w:keepLines w:val="0"/>
        <w:spacing w:before="0" w:after="0" w:line="360" w:lineRule="auto"/>
        <w:jc w:val="center"/>
        <w:rPr>
          <w:rFonts w:ascii="宋体" w:hAnsi="宋体" w:eastAsia="宋体" w:cs="宋体"/>
          <w:color w:val="auto"/>
          <w:sz w:val="24"/>
          <w:highlight w:val="none"/>
        </w:rPr>
      </w:pPr>
      <w:bookmarkStart w:id="33" w:name="_Toc11453"/>
      <w:r>
        <w:rPr>
          <w:rFonts w:hint="eastAsia" w:ascii="宋体" w:hAnsi="宋体" w:eastAsia="宋体" w:cs="宋体"/>
          <w:bCs w:val="0"/>
          <w:color w:val="auto"/>
          <w:highlight w:val="none"/>
        </w:rPr>
        <w:t>三、磋商文件</w:t>
      </w:r>
      <w:bookmarkEnd w:id="28"/>
      <w:bookmarkEnd w:id="29"/>
      <w:bookmarkEnd w:id="30"/>
      <w:bookmarkEnd w:id="31"/>
      <w:bookmarkEnd w:id="32"/>
      <w:bookmarkEnd w:id="33"/>
      <w:bookmarkStart w:id="34" w:name="_Toc183682347"/>
      <w:bookmarkStart w:id="35" w:name="_Toc217446039"/>
      <w:bookmarkStart w:id="36" w:name="_Toc183582210"/>
    </w:p>
    <w:p>
      <w:pPr>
        <w:pStyle w:val="5"/>
        <w:keepNext w:val="0"/>
        <w:keepLines w:val="0"/>
        <w:spacing w:before="0" w:after="0" w:line="360" w:lineRule="auto"/>
        <w:rPr>
          <w:rFonts w:ascii="宋体" w:hAnsi="宋体" w:cs="宋体"/>
          <w:color w:val="auto"/>
          <w:sz w:val="24"/>
          <w:highlight w:val="none"/>
        </w:rPr>
      </w:pPr>
      <w:bookmarkStart w:id="37" w:name="_Toc32374"/>
      <w:r>
        <w:rPr>
          <w:rFonts w:hint="eastAsia" w:ascii="宋体" w:hAnsi="宋体" w:cs="宋体"/>
          <w:color w:val="auto"/>
          <w:sz w:val="24"/>
          <w:highlight w:val="none"/>
        </w:rPr>
        <w:t>10．磋商文件的构成</w:t>
      </w:r>
      <w:bookmarkEnd w:id="34"/>
      <w:bookmarkEnd w:id="35"/>
      <w:bookmarkEnd w:id="36"/>
      <w:r>
        <w:rPr>
          <w:rFonts w:hint="eastAsia" w:ascii="宋体" w:hAnsi="宋体" w:cs="宋体"/>
          <w:color w:val="auto"/>
          <w:sz w:val="24"/>
          <w:highlight w:val="none"/>
        </w:rPr>
        <w:t>（实质性要求）</w:t>
      </w:r>
      <w:bookmarkEnd w:id="37"/>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b/>
          <w:bCs/>
          <w:color w:val="auto"/>
          <w:sz w:val="24"/>
          <w:highlight w:val="none"/>
        </w:rPr>
        <w:t>.</w:t>
      </w:r>
      <w:r>
        <w:rPr>
          <w:rFonts w:hint="eastAsia" w:ascii="宋体" w:hAnsi="宋体" w:cs="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b/>
          <w:bCs/>
          <w:color w:val="auto"/>
          <w:sz w:val="24"/>
          <w:highlight w:val="none"/>
        </w:rPr>
        <w:t>.</w:t>
      </w:r>
      <w:r>
        <w:rPr>
          <w:rFonts w:hint="eastAsia" w:ascii="宋体" w:hAnsi="宋体" w:cs="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38" w:name="_Toc183582211"/>
      <w:bookmarkStart w:id="39" w:name="_Toc183682348"/>
      <w:bookmarkStart w:id="40" w:name="_Toc217446040"/>
    </w:p>
    <w:p>
      <w:pPr>
        <w:pStyle w:val="5"/>
        <w:keepNext w:val="0"/>
        <w:keepLines w:val="0"/>
        <w:spacing w:before="0" w:after="0" w:line="360" w:lineRule="auto"/>
        <w:rPr>
          <w:rFonts w:ascii="宋体" w:hAnsi="宋体" w:cs="宋体"/>
          <w:color w:val="auto"/>
          <w:sz w:val="24"/>
          <w:highlight w:val="none"/>
        </w:rPr>
      </w:pPr>
      <w:bookmarkStart w:id="41" w:name="_Toc339"/>
      <w:r>
        <w:rPr>
          <w:rFonts w:hint="eastAsia" w:ascii="宋体" w:hAnsi="宋体" w:cs="宋体"/>
          <w:color w:val="auto"/>
          <w:sz w:val="24"/>
          <w:highlight w:val="none"/>
        </w:rPr>
        <w:t>11. 磋商文件的澄清</w:t>
      </w:r>
      <w:bookmarkEnd w:id="38"/>
      <w:bookmarkEnd w:id="39"/>
      <w:r>
        <w:rPr>
          <w:rFonts w:hint="eastAsia" w:ascii="宋体" w:hAnsi="宋体" w:cs="宋体"/>
          <w:color w:val="auto"/>
          <w:sz w:val="24"/>
          <w:highlight w:val="none"/>
        </w:rPr>
        <w:t>和修改</w:t>
      </w:r>
      <w:bookmarkEnd w:id="40"/>
      <w:bookmarkEnd w:id="41"/>
    </w:p>
    <w:p>
      <w:pPr>
        <w:tabs>
          <w:tab w:val="left" w:pos="7665"/>
        </w:tabs>
        <w:spacing w:line="360" w:lineRule="auto"/>
        <w:ind w:firstLine="480" w:firstLineChars="200"/>
        <w:rPr>
          <w:rFonts w:hAnsi="宋体"/>
          <w:color w:val="auto"/>
          <w:highlight w:val="none"/>
        </w:rPr>
      </w:pPr>
      <w:r>
        <w:rPr>
          <w:rFonts w:hint="eastAsia" w:ascii="宋体" w:hAns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5"/>
        <w:keepNext w:val="0"/>
        <w:keepLines w:val="0"/>
        <w:spacing w:before="0" w:after="0" w:line="360" w:lineRule="auto"/>
        <w:rPr>
          <w:rFonts w:ascii="宋体" w:hAnsi="宋体" w:cs="宋体"/>
          <w:color w:val="auto"/>
          <w:sz w:val="24"/>
          <w:highlight w:val="none"/>
        </w:rPr>
      </w:pPr>
      <w:bookmarkStart w:id="42" w:name="_Toc3090"/>
      <w:bookmarkStart w:id="43" w:name="_Toc217446041"/>
      <w:bookmarkStart w:id="44" w:name="_Toc208848971"/>
      <w:r>
        <w:rPr>
          <w:rFonts w:hint="eastAsia" w:ascii="宋体" w:hAnsi="宋体" w:cs="宋体"/>
          <w:color w:val="auto"/>
          <w:sz w:val="24"/>
          <w:highlight w:val="none"/>
        </w:rPr>
        <w:t>12. 答疑会和现场考察</w:t>
      </w:r>
      <w:bookmarkEnd w:id="42"/>
      <w:bookmarkEnd w:id="43"/>
      <w:bookmarkEnd w:id="4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auto"/>
          <w:highlight w:val="none"/>
        </w:rPr>
      </w:pPr>
      <w:r>
        <w:rPr>
          <w:rFonts w:hint="eastAsia" w:ascii="宋体" w:hAnsi="宋体" w:cs="宋体"/>
          <w:color w:val="auto"/>
          <w:sz w:val="24"/>
          <w:highlight w:val="none"/>
        </w:rPr>
        <w:t>12.3 供应商考察现场或者参加答疑会所发生的一切费用由供应商自己承担。</w:t>
      </w:r>
      <w:bookmarkStart w:id="45" w:name="_Toc183682351"/>
      <w:bookmarkStart w:id="46" w:name="_Toc77400780"/>
      <w:bookmarkStart w:id="47" w:name="_Toc183582214"/>
      <w:bookmarkStart w:id="48" w:name="_Toc89075876"/>
      <w:bookmarkStart w:id="49" w:name="_Toc217446042"/>
    </w:p>
    <w:p>
      <w:pPr>
        <w:pStyle w:val="4"/>
        <w:keepNext w:val="0"/>
        <w:keepLines w:val="0"/>
        <w:spacing w:before="0" w:after="0" w:line="360" w:lineRule="auto"/>
        <w:jc w:val="center"/>
        <w:rPr>
          <w:rFonts w:ascii="宋体" w:hAnsi="宋体" w:eastAsia="宋体" w:cs="宋体"/>
          <w:color w:val="auto"/>
          <w:highlight w:val="none"/>
        </w:rPr>
      </w:pPr>
      <w:bookmarkStart w:id="50" w:name="_Toc32639"/>
      <w:r>
        <w:rPr>
          <w:rFonts w:hint="eastAsia" w:ascii="宋体" w:hAnsi="宋体" w:eastAsia="宋体" w:cs="宋体"/>
          <w:bCs w:val="0"/>
          <w:color w:val="auto"/>
          <w:highlight w:val="none"/>
        </w:rPr>
        <w:t>四、响应文件</w:t>
      </w:r>
      <w:bookmarkEnd w:id="45"/>
      <w:bookmarkEnd w:id="46"/>
      <w:bookmarkEnd w:id="47"/>
      <w:bookmarkEnd w:id="48"/>
      <w:bookmarkEnd w:id="49"/>
      <w:bookmarkEnd w:id="50"/>
    </w:p>
    <w:p>
      <w:pPr>
        <w:pStyle w:val="5"/>
        <w:keepNext w:val="0"/>
        <w:keepLines w:val="0"/>
        <w:spacing w:before="0" w:after="0" w:line="360" w:lineRule="auto"/>
        <w:rPr>
          <w:rFonts w:ascii="宋体" w:hAnsi="宋体" w:cs="宋体"/>
          <w:color w:val="auto"/>
          <w:sz w:val="24"/>
          <w:highlight w:val="none"/>
        </w:rPr>
      </w:pPr>
      <w:bookmarkStart w:id="51" w:name="_Toc16684"/>
      <w:bookmarkStart w:id="52" w:name="_Toc183582215"/>
      <w:bookmarkStart w:id="53" w:name="_Toc217446043"/>
      <w:bookmarkStart w:id="54" w:name="_Toc183682352"/>
      <w:r>
        <w:rPr>
          <w:rFonts w:hint="eastAsia" w:ascii="宋体" w:hAnsi="宋体" w:cs="宋体"/>
          <w:color w:val="auto"/>
          <w:sz w:val="24"/>
          <w:highlight w:val="none"/>
        </w:rPr>
        <w:t>13.响应文件的组成（实质性要求）</w:t>
      </w:r>
      <w:bookmarkEnd w:id="51"/>
    </w:p>
    <w:p>
      <w:pPr>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5"/>
        <w:keepNext w:val="0"/>
        <w:keepLines w:val="0"/>
        <w:spacing w:before="0" w:after="0" w:line="360" w:lineRule="auto"/>
        <w:rPr>
          <w:rFonts w:ascii="宋体" w:hAnsi="宋体" w:cs="宋体"/>
          <w:color w:val="auto"/>
          <w:sz w:val="24"/>
          <w:highlight w:val="none"/>
        </w:rPr>
      </w:pPr>
      <w:bookmarkStart w:id="55" w:name="_Toc25463"/>
      <w:r>
        <w:rPr>
          <w:rFonts w:hint="eastAsia" w:ascii="宋体" w:hAnsi="宋体" w:cs="宋体"/>
          <w:color w:val="auto"/>
          <w:sz w:val="24"/>
          <w:highlight w:val="none"/>
        </w:rPr>
        <w:t>14.响应文件的语言</w:t>
      </w:r>
      <w:bookmarkEnd w:id="52"/>
      <w:bookmarkEnd w:id="53"/>
      <w:bookmarkEnd w:id="54"/>
      <w:r>
        <w:rPr>
          <w:rFonts w:hint="eastAsia" w:ascii="宋体" w:hAnsi="宋体" w:cs="宋体"/>
          <w:color w:val="auto"/>
          <w:sz w:val="24"/>
          <w:highlight w:val="none"/>
        </w:rPr>
        <w:t>（实质性要求）</w:t>
      </w:r>
      <w:bookmarkEnd w:id="5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单位负责人为外籍人士的，法定代表人/单位负责人的签字和护照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翻译的中文资料与外文资料如果出现差异和矛盾，以中文为准。但不能故意错误翻译，否则，供应商的响应文件将作为无效处理。</w:t>
      </w:r>
      <w:bookmarkStart w:id="56" w:name="_Toc217446044"/>
      <w:bookmarkStart w:id="57" w:name="_Toc183582216"/>
      <w:bookmarkStart w:id="58" w:name="_Toc183682353"/>
    </w:p>
    <w:p>
      <w:pPr>
        <w:pStyle w:val="5"/>
        <w:keepNext w:val="0"/>
        <w:keepLines w:val="0"/>
        <w:spacing w:before="0" w:after="0" w:line="360" w:lineRule="auto"/>
        <w:rPr>
          <w:rFonts w:ascii="宋体" w:hAnsi="宋体" w:cs="宋体"/>
          <w:color w:val="auto"/>
          <w:sz w:val="24"/>
          <w:highlight w:val="none"/>
        </w:rPr>
      </w:pPr>
      <w:bookmarkStart w:id="59" w:name="_Toc21779"/>
      <w:r>
        <w:rPr>
          <w:rFonts w:hint="eastAsia" w:ascii="宋体" w:hAnsi="宋体" w:cs="宋体"/>
          <w:color w:val="auto"/>
          <w:sz w:val="24"/>
          <w:highlight w:val="none"/>
        </w:rPr>
        <w:t>15．计量单位</w:t>
      </w:r>
      <w:bookmarkEnd w:id="56"/>
      <w:bookmarkEnd w:id="57"/>
      <w:bookmarkEnd w:id="58"/>
      <w:r>
        <w:rPr>
          <w:rFonts w:hint="eastAsia" w:ascii="宋体" w:hAnsi="宋体" w:cs="宋体"/>
          <w:color w:val="auto"/>
          <w:sz w:val="24"/>
          <w:highlight w:val="none"/>
        </w:rPr>
        <w:t>（实质性要求）</w:t>
      </w:r>
      <w:bookmarkEnd w:id="59"/>
    </w:p>
    <w:p>
      <w:pPr>
        <w:spacing w:line="360" w:lineRule="auto"/>
        <w:ind w:firstLine="470" w:firstLineChars="196"/>
        <w:rPr>
          <w:rFonts w:ascii="宋体" w:hAnsi="宋体" w:cs="宋体"/>
          <w:b/>
          <w:bCs/>
          <w:color w:val="auto"/>
          <w:sz w:val="24"/>
          <w:highlight w:val="none"/>
        </w:rPr>
      </w:pPr>
      <w:r>
        <w:rPr>
          <w:rFonts w:hint="eastAsia" w:ascii="宋体" w:hAnsi="宋体" w:cs="宋体"/>
          <w:color w:val="auto"/>
          <w:sz w:val="24"/>
          <w:highlight w:val="none"/>
        </w:rPr>
        <w:t>除磋商文件中另有规定外，本次采购项目所有合同项下的报价均采用国家法定的计量单位。</w:t>
      </w:r>
      <w:bookmarkStart w:id="60" w:name="_Toc217446045"/>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16. 报价货币（实质性要求）</w:t>
      </w:r>
    </w:p>
    <w:p>
      <w:pPr>
        <w:spacing w:line="360" w:lineRule="auto"/>
        <w:ind w:firstLine="468" w:firstLineChars="195"/>
        <w:rPr>
          <w:rFonts w:ascii="宋体" w:hAnsi="宋体" w:cs="宋体"/>
          <w:bCs/>
          <w:color w:val="auto"/>
          <w:sz w:val="24"/>
          <w:highlight w:val="none"/>
        </w:rPr>
      </w:pPr>
      <w:r>
        <w:rPr>
          <w:rFonts w:hint="eastAsia" w:ascii="宋体" w:hAnsi="宋体" w:cs="宋体"/>
          <w:bCs/>
          <w:color w:val="auto"/>
          <w:sz w:val="24"/>
          <w:highlight w:val="none"/>
        </w:rPr>
        <w:t>本次磋商项目的</w:t>
      </w:r>
      <w:r>
        <w:rPr>
          <w:rFonts w:hint="eastAsia" w:ascii="宋体" w:hAnsi="宋体" w:cs="宋体"/>
          <w:color w:val="auto"/>
          <w:sz w:val="24"/>
          <w:highlight w:val="none"/>
        </w:rPr>
        <w:t>报价货币为</w:t>
      </w:r>
      <w:r>
        <w:rPr>
          <w:rFonts w:hint="eastAsia" w:ascii="宋体" w:hAnsi="宋体" w:cs="宋体"/>
          <w:bCs/>
          <w:color w:val="auto"/>
          <w:sz w:val="24"/>
          <w:highlight w:val="none"/>
        </w:rPr>
        <w:t>人民币，报价以磋商文件规定为准。</w:t>
      </w:r>
    </w:p>
    <w:bookmarkEnd w:id="60"/>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17.响应文件格式</w:t>
      </w:r>
    </w:p>
    <w:p>
      <w:pPr>
        <w:spacing w:line="360" w:lineRule="auto"/>
        <w:ind w:left="2" w:leftChars="1" w:firstLine="480" w:firstLineChars="200"/>
        <w:rPr>
          <w:rFonts w:ascii="宋体" w:hAnsi="宋体" w:cs="宋体"/>
          <w:bCs/>
          <w:color w:val="auto"/>
          <w:sz w:val="24"/>
          <w:highlight w:val="none"/>
        </w:rPr>
      </w:pPr>
      <w:r>
        <w:rPr>
          <w:rFonts w:hint="eastAsia" w:ascii="宋体" w:hAnsi="宋体" w:cs="宋体"/>
          <w:bCs/>
          <w:color w:val="auto"/>
          <w:sz w:val="24"/>
          <w:highlight w:val="none"/>
        </w:rPr>
        <w:t>17.1 供应商应执行磋商文件第六章的规定要求。</w:t>
      </w:r>
    </w:p>
    <w:p>
      <w:pPr>
        <w:spacing w:line="360" w:lineRule="auto"/>
        <w:ind w:left="2" w:leftChars="1" w:firstLine="480" w:firstLineChars="200"/>
        <w:rPr>
          <w:color w:val="auto"/>
          <w:highlight w:val="none"/>
        </w:rPr>
      </w:pPr>
      <w:r>
        <w:rPr>
          <w:rFonts w:hint="eastAsia" w:ascii="宋体" w:hAnsi="宋体" w:cs="宋体"/>
          <w:color w:val="auto"/>
          <w:sz w:val="24"/>
          <w:highlight w:val="none"/>
        </w:rPr>
        <w:t>17.2 对于没有格式要求的磋商文件由供应商自行编写。</w:t>
      </w:r>
    </w:p>
    <w:p>
      <w:pPr>
        <w:pStyle w:val="5"/>
        <w:keepNext w:val="0"/>
        <w:keepLines w:val="0"/>
        <w:spacing w:before="0" w:after="0" w:line="360" w:lineRule="auto"/>
        <w:rPr>
          <w:rFonts w:ascii="宋体" w:hAnsi="宋体" w:cs="宋体"/>
          <w:color w:val="auto"/>
          <w:sz w:val="24"/>
          <w:highlight w:val="none"/>
        </w:rPr>
      </w:pPr>
      <w:bookmarkStart w:id="61" w:name="_Toc183582224"/>
      <w:bookmarkStart w:id="62" w:name="_Toc183682361"/>
      <w:bookmarkStart w:id="63" w:name="_Toc217446051"/>
      <w:r>
        <w:rPr>
          <w:rFonts w:hint="eastAsia" w:ascii="宋体" w:hAnsi="宋体" w:cs="宋体"/>
          <w:color w:val="auto"/>
          <w:sz w:val="24"/>
          <w:highlight w:val="none"/>
        </w:rPr>
        <w:t>18.响应文件的编制和签署</w:t>
      </w:r>
    </w:p>
    <w:p>
      <w:pPr>
        <w:spacing w:line="360" w:lineRule="auto"/>
        <w:ind w:firstLine="468" w:firstLineChars="195"/>
        <w:rPr>
          <w:rFonts w:ascii="宋体" w:hAnsi="宋体" w:cs="宋体"/>
          <w:bCs/>
          <w:color w:val="auto"/>
          <w:sz w:val="24"/>
          <w:highlight w:val="none"/>
        </w:rPr>
      </w:pPr>
      <w:r>
        <w:rPr>
          <w:rFonts w:hint="eastAsia" w:ascii="宋体" w:hAnsi="宋体" w:cs="宋体"/>
          <w:color w:val="auto"/>
          <w:sz w:val="24"/>
          <w:highlight w:val="none"/>
        </w:rPr>
        <w:t>18.1 资格性响应文件正本壹份副本贰份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电子文档壹份</w:t>
      </w:r>
      <w:r>
        <w:rPr>
          <w:rFonts w:hint="eastAsia" w:ascii="宋体" w:hAnsi="宋体" w:cs="宋体"/>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color w:val="auto"/>
          <w:sz w:val="24"/>
          <w:highlight w:val="none"/>
        </w:rPr>
      </w:pPr>
      <w:r>
        <w:rPr>
          <w:rFonts w:hint="eastAsia" w:ascii="宋体" w:hAnsi="宋体" w:cs="宋体"/>
          <w:bCs/>
          <w:color w:val="auto"/>
          <w:sz w:val="24"/>
          <w:highlight w:val="none"/>
        </w:rPr>
        <w:t>18.2 其他响应文件正本壹份副本贰份</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电子文档壹份</w:t>
      </w:r>
      <w:r>
        <w:rPr>
          <w:rFonts w:hint="eastAsia" w:ascii="宋体" w:hAnsi="宋体" w:cs="宋体"/>
          <w:bCs/>
          <w:color w:val="auto"/>
          <w:sz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61"/>
    <w:bookmarkEnd w:id="62"/>
    <w:bookmarkEnd w:id="63"/>
    <w:p>
      <w:pPr>
        <w:spacing w:line="360" w:lineRule="auto"/>
        <w:ind w:firstLine="468" w:firstLineChars="195"/>
        <w:rPr>
          <w:rFonts w:ascii="宋体" w:hAnsi="宋体" w:cs="宋体"/>
          <w:bCs/>
          <w:color w:val="auto"/>
          <w:sz w:val="24"/>
          <w:highlight w:val="none"/>
        </w:rPr>
      </w:pPr>
      <w:r>
        <w:rPr>
          <w:rFonts w:hint="eastAsia" w:ascii="宋体" w:hAnsi="宋体" w:cs="宋体"/>
          <w:bCs/>
          <w:color w:val="auto"/>
          <w:sz w:val="24"/>
          <w:highlight w:val="none"/>
        </w:rPr>
        <w:t>18.3 响应文件正本和副本均需在规定签章处签字和盖章。响应文件副本可采用正本的复印件，电子文档采用U盘或光盘制作。</w:t>
      </w:r>
    </w:p>
    <w:p>
      <w:pPr>
        <w:spacing w:line="360" w:lineRule="auto"/>
        <w:ind w:firstLine="468" w:firstLineChars="195"/>
        <w:rPr>
          <w:rFonts w:ascii="宋体" w:hAnsi="宋体" w:cs="宋体"/>
          <w:bCs/>
          <w:color w:val="auto"/>
          <w:sz w:val="24"/>
          <w:highlight w:val="none"/>
        </w:rPr>
      </w:pPr>
      <w:r>
        <w:rPr>
          <w:rFonts w:hint="eastAsia" w:ascii="宋体" w:hAnsi="宋体" w:cs="宋体"/>
          <w:bCs/>
          <w:color w:val="auto"/>
          <w:sz w:val="24"/>
          <w:highlight w:val="none"/>
        </w:rPr>
        <w:t>18.4响应文件的打印和书写应清楚工整，任何行间插字、涂改或增删，必须由供应商的法定代表人</w:t>
      </w:r>
      <w:r>
        <w:rPr>
          <w:rFonts w:hint="eastAsia" w:ascii="宋体" w:hAnsi="宋体" w:cs="宋体"/>
          <w:color w:val="auto"/>
          <w:sz w:val="24"/>
          <w:highlight w:val="none"/>
        </w:rPr>
        <w:t>/单位负责人</w:t>
      </w:r>
      <w:r>
        <w:rPr>
          <w:rFonts w:hint="eastAsia" w:ascii="宋体" w:hAnsi="宋体" w:cs="宋体"/>
          <w:bCs/>
          <w:color w:val="auto"/>
          <w:sz w:val="24"/>
          <w:highlight w:val="none"/>
        </w:rPr>
        <w:t>或其授权代表签字并盖供应商公章。</w:t>
      </w:r>
    </w:p>
    <w:p>
      <w:pPr>
        <w:spacing w:line="360" w:lineRule="auto"/>
        <w:ind w:firstLine="468" w:firstLineChars="195"/>
        <w:rPr>
          <w:rFonts w:ascii="宋体" w:hAnsi="宋体" w:cs="宋体"/>
          <w:bCs/>
          <w:color w:val="auto"/>
          <w:sz w:val="24"/>
          <w:highlight w:val="none"/>
        </w:rPr>
      </w:pPr>
      <w:r>
        <w:rPr>
          <w:rFonts w:hint="eastAsia" w:ascii="宋体" w:hAnsi="宋体" w:cs="宋体"/>
          <w:bCs/>
          <w:color w:val="auto"/>
          <w:sz w:val="24"/>
          <w:highlight w:val="none"/>
        </w:rPr>
        <w:t>18.5</w:t>
      </w:r>
      <w:r>
        <w:rPr>
          <w:rFonts w:hint="eastAsia" w:ascii="宋体" w:hAnsi="宋体" w:cs="宋体"/>
          <w:b/>
          <w:color w:val="auto"/>
          <w:sz w:val="24"/>
          <w:highlight w:val="none"/>
        </w:rPr>
        <w:t>（实质性要求）</w:t>
      </w:r>
      <w:r>
        <w:rPr>
          <w:rFonts w:hint="eastAsia" w:ascii="宋体" w:hAnsi="宋体" w:cs="宋体"/>
          <w:bCs/>
          <w:color w:val="auto"/>
          <w:sz w:val="24"/>
          <w:highlight w:val="none"/>
        </w:rPr>
        <w:t>响应文件应由供应商法定代表人</w:t>
      </w:r>
      <w:r>
        <w:rPr>
          <w:rFonts w:hint="eastAsia" w:ascii="宋体" w:hAnsi="宋体" w:cs="宋体"/>
          <w:color w:val="auto"/>
          <w:sz w:val="24"/>
          <w:highlight w:val="none"/>
        </w:rPr>
        <w:t>/单位负责人</w:t>
      </w:r>
      <w:r>
        <w:rPr>
          <w:rFonts w:hint="eastAsia" w:ascii="宋体" w:hAnsi="宋体" w:cs="宋体"/>
          <w:bCs/>
          <w:color w:val="auto"/>
          <w:sz w:val="24"/>
          <w:highlight w:val="none"/>
        </w:rPr>
        <w:t>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color w:val="auto"/>
          <w:sz w:val="24"/>
          <w:highlight w:val="none"/>
        </w:rPr>
      </w:pPr>
      <w:r>
        <w:rPr>
          <w:rFonts w:hint="eastAsia" w:ascii="宋体" w:hAnsi="宋体" w:cs="宋体"/>
          <w:bCs/>
          <w:color w:val="auto"/>
          <w:sz w:val="24"/>
          <w:highlight w:val="none"/>
        </w:rPr>
        <w:t>18.6响应文件正本和副本需要逐页编目编码。</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18.8</w:t>
      </w:r>
      <w:r>
        <w:rPr>
          <w:rFonts w:hint="eastAsia" w:ascii="宋体" w:hAnsi="宋体" w:cs="宋体"/>
          <w:b/>
          <w:color w:val="auto"/>
          <w:sz w:val="24"/>
          <w:highlight w:val="none"/>
        </w:rPr>
        <w:t>（实质性要求）</w:t>
      </w:r>
      <w:r>
        <w:rPr>
          <w:rFonts w:hint="eastAsia" w:ascii="宋体" w:hAnsi="宋体" w:cs="宋体"/>
          <w:color w:val="auto"/>
          <w:sz w:val="24"/>
          <w:highlight w:val="none"/>
        </w:rPr>
        <w:t>响应文件应根据磋商文件的要求制作，签署、盖章。</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18.9响应文件统一用A4幅面纸印制，除另有规定外。</w:t>
      </w:r>
    </w:p>
    <w:p>
      <w:pPr>
        <w:pStyle w:val="5"/>
        <w:keepNext w:val="0"/>
        <w:keepLines w:val="0"/>
        <w:spacing w:before="0" w:after="0" w:line="360" w:lineRule="auto"/>
        <w:rPr>
          <w:rFonts w:ascii="宋体" w:hAnsi="宋体" w:cs="宋体"/>
          <w:color w:val="auto"/>
          <w:sz w:val="24"/>
          <w:highlight w:val="none"/>
        </w:rPr>
      </w:pPr>
      <w:bookmarkStart w:id="64" w:name="_Toc183582226"/>
      <w:bookmarkStart w:id="65" w:name="_Toc183682363"/>
      <w:bookmarkStart w:id="66" w:name="_Toc217446053"/>
      <w:bookmarkStart w:id="67" w:name="_Toc89075877"/>
      <w:bookmarkStart w:id="68" w:name="_Toc77400781"/>
      <w:r>
        <w:rPr>
          <w:rFonts w:hint="eastAsia" w:ascii="宋体" w:hAnsi="宋体" w:cs="宋体"/>
          <w:color w:val="auto"/>
          <w:sz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19.3 所有外层密封袋的封口处应粘贴牢固。</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19.4 未按以上要求进行密封和标注的响应文件，采购人、采购代理机构将拒收或者在时间允许的范围内，要求修改完善后接收。</w:t>
      </w:r>
    </w:p>
    <w:p>
      <w:pPr>
        <w:pStyle w:val="5"/>
        <w:keepNext w:val="0"/>
        <w:keepLines w:val="0"/>
        <w:spacing w:before="0" w:after="0" w:line="360" w:lineRule="auto"/>
        <w:rPr>
          <w:rFonts w:ascii="宋体" w:hAnsi="宋体" w:cs="宋体"/>
          <w:color w:val="auto"/>
          <w:sz w:val="24"/>
          <w:highlight w:val="none"/>
        </w:rPr>
      </w:pPr>
      <w:r>
        <w:rPr>
          <w:rFonts w:hint="eastAsia" w:ascii="宋体" w:hAnsi="宋体" w:cs="宋体"/>
          <w:color w:val="auto"/>
          <w:sz w:val="24"/>
          <w:highlight w:val="none"/>
        </w:rPr>
        <w:t>20.响应文件的递交</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20.4 本次采购不接收邮寄的响应文件。</w:t>
      </w:r>
    </w:p>
    <w:bookmarkEnd w:id="64"/>
    <w:bookmarkEnd w:id="65"/>
    <w:bookmarkEnd w:id="66"/>
    <w:bookmarkEnd w:id="67"/>
    <w:bookmarkEnd w:id="68"/>
    <w:p>
      <w:pPr>
        <w:pStyle w:val="5"/>
        <w:keepNext w:val="0"/>
        <w:keepLines w:val="0"/>
        <w:spacing w:before="0" w:after="0" w:line="360" w:lineRule="auto"/>
        <w:rPr>
          <w:rFonts w:ascii="宋体" w:hAnsi="宋体" w:cs="宋体"/>
          <w:color w:val="auto"/>
          <w:sz w:val="24"/>
          <w:highlight w:val="none"/>
        </w:rPr>
      </w:pPr>
      <w:bookmarkStart w:id="69" w:name="_Toc183682365"/>
      <w:bookmarkStart w:id="70" w:name="_Toc217446055"/>
      <w:bookmarkStart w:id="71" w:name="_Toc183582228"/>
      <w:r>
        <w:rPr>
          <w:rFonts w:hint="eastAsia" w:ascii="宋体" w:hAnsi="宋体" w:cs="宋体"/>
          <w:color w:val="auto"/>
          <w:sz w:val="24"/>
          <w:highlight w:val="none"/>
        </w:rPr>
        <w:t>21.响应文件的修改和撤回（补充、修改响应文件的密封和标注按照本章“19.响应文件的密封和标注”规定处理）</w:t>
      </w:r>
    </w:p>
    <w:p>
      <w:pPr>
        <w:pStyle w:val="9"/>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21.2供应商对响应文件修改的书面材料或撤回的通知应该按规定进行编写、密封、标注和递送，并注明“修改响应文件”字样。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21.3响应文件中报价如果出现下列不一致的，可按以下原则进行修改：</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kern w:val="0"/>
          <w:sz w:val="24"/>
          <w:highlight w:val="none"/>
        </w:rPr>
        <w:t>大写金额和小写金额不一致的，以大写金额为准</w:t>
      </w:r>
      <w:r>
        <w:rPr>
          <w:rFonts w:hint="eastAsia" w:ascii="宋体" w:hAnsi="宋体" w:cs="宋体"/>
          <w:color w:val="auto"/>
          <w:sz w:val="24"/>
          <w:highlight w:val="none"/>
        </w:rPr>
        <w:t>，但大写金额文字存在错误的，应当先对大写金额的文字错误进行澄清、说明或者更正，再行修正。</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s="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s="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s="宋体"/>
          <w:color w:val="auto"/>
          <w:sz w:val="24"/>
          <w:highlight w:val="none"/>
        </w:rPr>
        <w:t>文字错误进行澄清、说明或者更正，再行修正。</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（三）单价金额小数点</w:t>
      </w:r>
      <w:r>
        <w:rPr>
          <w:rFonts w:hint="eastAsia" w:ascii="宋体" w:hAnsi="宋体" w:cs="宋体"/>
          <w:color w:val="auto"/>
          <w:kern w:val="0"/>
          <w:sz w:val="24"/>
          <w:highlight w:val="none"/>
        </w:rPr>
        <w:t>或者百分比有明显错位的</w:t>
      </w:r>
      <w:r>
        <w:rPr>
          <w:rFonts w:hint="eastAsia" w:ascii="宋体" w:hAnsi="宋体" w:cs="宋体"/>
          <w:color w:val="auto"/>
          <w:sz w:val="24"/>
          <w:highlight w:val="none"/>
        </w:rPr>
        <w:t>，以总价为准，修正单价。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21.4供应商对其提交的响应文件的真实性、合法性承担法律责任。</w:t>
      </w:r>
      <w:bookmarkEnd w:id="69"/>
      <w:bookmarkEnd w:id="70"/>
      <w:bookmarkEnd w:id="71"/>
    </w:p>
    <w:p>
      <w:pPr>
        <w:pStyle w:val="4"/>
        <w:keepNext w:val="0"/>
        <w:keepLines w:val="0"/>
        <w:spacing w:line="360" w:lineRule="auto"/>
        <w:jc w:val="center"/>
        <w:rPr>
          <w:rFonts w:ascii="宋体" w:hAnsi="宋体" w:eastAsia="宋体" w:cs="宋体"/>
          <w:color w:val="auto"/>
          <w:highlight w:val="none"/>
        </w:rPr>
      </w:pPr>
      <w:bookmarkStart w:id="72" w:name="_Toc2936"/>
      <w:bookmarkStart w:id="73" w:name="_Toc77400782"/>
      <w:bookmarkStart w:id="74" w:name="_Toc183682368"/>
      <w:bookmarkStart w:id="75" w:name="_Toc183582231"/>
      <w:bookmarkStart w:id="76" w:name="_Toc89075878"/>
      <w:bookmarkStart w:id="77" w:name="_Toc217446056"/>
      <w:r>
        <w:rPr>
          <w:rFonts w:hint="eastAsia" w:ascii="宋体" w:hAnsi="宋体" w:eastAsia="宋体" w:cs="宋体"/>
          <w:color w:val="auto"/>
          <w:highlight w:val="none"/>
        </w:rPr>
        <w:t>五、评审</w:t>
      </w:r>
      <w:bookmarkEnd w:id="72"/>
    </w:p>
    <w:p>
      <w:pPr>
        <w:pStyle w:val="5"/>
        <w:keepNext w:val="0"/>
        <w:keepLines w:val="0"/>
        <w:spacing w:line="360" w:lineRule="auto"/>
        <w:rPr>
          <w:rFonts w:ascii="宋体" w:hAnsi="宋体" w:eastAsia="宋体" w:cs="宋体"/>
          <w:color w:val="auto"/>
          <w:highlight w:val="none"/>
        </w:rPr>
      </w:pPr>
      <w:bookmarkStart w:id="78" w:name="_Toc18577"/>
      <w:r>
        <w:rPr>
          <w:rFonts w:hint="eastAsia" w:ascii="宋体" w:hAnsi="宋体" w:eastAsia="宋体" w:cs="宋体"/>
          <w:color w:val="auto"/>
          <w:sz w:val="24"/>
          <w:highlight w:val="none"/>
        </w:rPr>
        <w:t>22.</w:t>
      </w:r>
      <w:r>
        <w:rPr>
          <w:rFonts w:hint="eastAsia" w:ascii="宋体" w:hAnsi="宋体" w:eastAsia="宋体" w:cs="宋体"/>
          <w:b w:val="0"/>
          <w:color w:val="auto"/>
          <w:sz w:val="24"/>
          <w:szCs w:val="24"/>
          <w:highlight w:val="none"/>
        </w:rPr>
        <w:t>磋商小组的组建及其评审工作按照有关法律制度和本文件第七章的规定进行。</w:t>
      </w:r>
      <w:bookmarkEnd w:id="78"/>
    </w:p>
    <w:p>
      <w:pPr>
        <w:pStyle w:val="4"/>
        <w:keepNext w:val="0"/>
        <w:keepLines w:val="0"/>
        <w:spacing w:line="360" w:lineRule="auto"/>
        <w:jc w:val="center"/>
        <w:rPr>
          <w:rFonts w:ascii="宋体" w:hAnsi="宋体" w:eastAsia="宋体" w:cs="宋体"/>
          <w:color w:val="auto"/>
          <w:highlight w:val="none"/>
        </w:rPr>
      </w:pPr>
      <w:bookmarkStart w:id="79" w:name="_Toc10906"/>
      <w:r>
        <w:rPr>
          <w:rFonts w:hint="eastAsia" w:ascii="宋体" w:hAnsi="宋体" w:eastAsia="宋体" w:cs="宋体"/>
          <w:color w:val="auto"/>
          <w:highlight w:val="none"/>
        </w:rPr>
        <w:t>六、成交事项</w:t>
      </w:r>
      <w:bookmarkEnd w:id="79"/>
    </w:p>
    <w:p>
      <w:pPr>
        <w:pStyle w:val="5"/>
        <w:keepNext w:val="0"/>
        <w:keepLines w:val="0"/>
        <w:spacing w:after="0" w:line="360" w:lineRule="auto"/>
        <w:rPr>
          <w:rFonts w:ascii="宋体" w:hAnsi="宋体" w:eastAsia="宋体" w:cs="宋体"/>
          <w:color w:val="auto"/>
          <w:sz w:val="24"/>
          <w:szCs w:val="24"/>
          <w:highlight w:val="none"/>
        </w:rPr>
      </w:pPr>
      <w:bookmarkStart w:id="80" w:name="_Toc18928"/>
      <w:r>
        <w:rPr>
          <w:rFonts w:hint="eastAsia" w:ascii="宋体" w:hAnsi="宋体" w:eastAsia="宋体" w:cs="宋体"/>
          <w:color w:val="auto"/>
          <w:sz w:val="24"/>
          <w:szCs w:val="24"/>
          <w:highlight w:val="none"/>
        </w:rPr>
        <w:t>23.确定成交供应商</w:t>
      </w:r>
      <w:bookmarkEnd w:id="80"/>
    </w:p>
    <w:p>
      <w:pPr>
        <w:spacing w:line="360" w:lineRule="auto"/>
        <w:ind w:firstLine="480"/>
        <w:rPr>
          <w:rFonts w:ascii="宋体" w:hAnsi="宋体" w:cs="宋体"/>
          <w:color w:val="auto"/>
          <w:kern w:val="0"/>
          <w:sz w:val="24"/>
          <w:highlight w:val="none"/>
        </w:rPr>
      </w:pPr>
      <w:bookmarkStart w:id="81" w:name="_Toc10064"/>
      <w:r>
        <w:rPr>
          <w:rFonts w:hint="eastAsia" w:ascii="宋体" w:hAnsi="宋体" w:cs="宋体"/>
          <w:color w:val="auto"/>
          <w:kern w:val="0"/>
          <w:sz w:val="24"/>
          <w:highlight w:val="none"/>
        </w:rPr>
        <w:t>采购人将按磋商小组推荐的成交候选供应商顺序确定成交供应商。</w:t>
      </w:r>
      <w:bookmarkEnd w:id="81"/>
    </w:p>
    <w:p>
      <w:pPr>
        <w:spacing w:line="360" w:lineRule="auto"/>
        <w:ind w:firstLine="480"/>
        <w:rPr>
          <w:rFonts w:ascii="宋体" w:hAnsi="宋体" w:cs="宋体"/>
          <w:color w:val="auto"/>
          <w:kern w:val="0"/>
          <w:sz w:val="24"/>
          <w:highlight w:val="none"/>
        </w:rPr>
      </w:pPr>
      <w:bookmarkStart w:id="82" w:name="_Toc31224"/>
      <w:r>
        <w:rPr>
          <w:rFonts w:hint="eastAsia" w:ascii="宋体" w:hAnsi="宋体" w:cs="宋体"/>
          <w:color w:val="auto"/>
          <w:kern w:val="0"/>
          <w:sz w:val="24"/>
          <w:highlight w:val="none"/>
        </w:rPr>
        <w:t>23.1采购代理机构自评审结束后2个工作日内将磋商报告及有关资料送交采购人确定成交供应商。</w:t>
      </w:r>
      <w:bookmarkEnd w:id="82"/>
    </w:p>
    <w:p>
      <w:pPr>
        <w:spacing w:line="360" w:lineRule="auto"/>
        <w:ind w:firstLine="480"/>
        <w:rPr>
          <w:rFonts w:ascii="宋体" w:hAnsi="宋体" w:cs="宋体"/>
          <w:color w:val="auto"/>
          <w:kern w:val="0"/>
          <w:sz w:val="24"/>
          <w:highlight w:val="none"/>
        </w:rPr>
      </w:pPr>
      <w:bookmarkStart w:id="83" w:name="_Toc10966"/>
      <w:r>
        <w:rPr>
          <w:rFonts w:hint="eastAsia" w:ascii="宋体" w:hAnsi="宋体" w:cs="宋体"/>
          <w:color w:val="auto"/>
          <w:kern w:val="0"/>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83"/>
    </w:p>
    <w:p>
      <w:pPr>
        <w:spacing w:line="360" w:lineRule="auto"/>
        <w:ind w:firstLine="480"/>
        <w:rPr>
          <w:rFonts w:ascii="宋体" w:hAnsi="宋体" w:cs="宋体"/>
          <w:color w:val="auto"/>
          <w:kern w:val="0"/>
          <w:sz w:val="24"/>
          <w:highlight w:val="none"/>
        </w:rPr>
      </w:pPr>
      <w:bookmarkStart w:id="84" w:name="_Toc8745"/>
      <w:r>
        <w:rPr>
          <w:rFonts w:hint="eastAsia" w:ascii="宋体" w:hAnsi="宋体" w:cs="宋体"/>
          <w:color w:val="auto"/>
          <w:kern w:val="0"/>
          <w:sz w:val="24"/>
          <w:highlight w:val="none"/>
        </w:rPr>
        <w:t>23.3采购人确定成交供应商过程中，发现成交候选供应商有下列情形之一的，应当不予确定其为成交供应商：</w:t>
      </w:r>
      <w:bookmarkEnd w:id="84"/>
    </w:p>
    <w:p>
      <w:pPr>
        <w:spacing w:line="360" w:lineRule="auto"/>
        <w:ind w:firstLine="480"/>
        <w:rPr>
          <w:rFonts w:ascii="宋体" w:hAnsi="宋体" w:cs="宋体"/>
          <w:color w:val="auto"/>
          <w:kern w:val="0"/>
          <w:sz w:val="24"/>
          <w:highlight w:val="none"/>
        </w:rPr>
      </w:pPr>
      <w:bookmarkStart w:id="85" w:name="_Toc20761"/>
      <w:r>
        <w:rPr>
          <w:rFonts w:hint="eastAsia" w:ascii="宋体" w:hAnsi="宋体" w:cs="宋体"/>
          <w:color w:val="auto"/>
          <w:kern w:val="0"/>
          <w:sz w:val="24"/>
          <w:highlight w:val="none"/>
        </w:rPr>
        <w:t>（1）发现成交候选供应商存在禁止参加本项目采购活动的违法行为的；</w:t>
      </w:r>
      <w:bookmarkEnd w:id="85"/>
    </w:p>
    <w:p>
      <w:pPr>
        <w:spacing w:line="360" w:lineRule="auto"/>
        <w:ind w:firstLine="480"/>
        <w:rPr>
          <w:rFonts w:ascii="宋体" w:hAnsi="宋体" w:cs="宋体"/>
          <w:color w:val="auto"/>
          <w:kern w:val="0"/>
          <w:sz w:val="24"/>
          <w:highlight w:val="none"/>
        </w:rPr>
      </w:pPr>
      <w:bookmarkStart w:id="86" w:name="_Toc11647"/>
      <w:r>
        <w:rPr>
          <w:rFonts w:hint="eastAsia" w:ascii="宋体" w:hAnsi="宋体" w:cs="宋体"/>
          <w:color w:val="auto"/>
          <w:kern w:val="0"/>
          <w:sz w:val="24"/>
          <w:highlight w:val="none"/>
        </w:rPr>
        <w:t>（2）成交候选供应商因不可抗力，不能继续参加政府采购活动；</w:t>
      </w:r>
      <w:bookmarkEnd w:id="86"/>
    </w:p>
    <w:p>
      <w:pPr>
        <w:spacing w:line="360" w:lineRule="auto"/>
        <w:ind w:firstLine="480"/>
        <w:rPr>
          <w:rFonts w:ascii="宋体" w:hAnsi="宋体" w:cs="宋体"/>
          <w:color w:val="auto"/>
          <w:kern w:val="0"/>
          <w:sz w:val="24"/>
          <w:highlight w:val="none"/>
        </w:rPr>
      </w:pPr>
      <w:bookmarkStart w:id="87" w:name="_Toc9439"/>
      <w:r>
        <w:rPr>
          <w:rFonts w:hint="eastAsia" w:ascii="宋体" w:hAnsi="宋体" w:cs="宋体"/>
          <w:color w:val="auto"/>
          <w:kern w:val="0"/>
          <w:sz w:val="24"/>
          <w:highlight w:val="none"/>
        </w:rPr>
        <w:t>（3）成交候选供应商无偿赠与或者低于成本价竞争；</w:t>
      </w:r>
      <w:bookmarkEnd w:id="87"/>
    </w:p>
    <w:p>
      <w:pPr>
        <w:spacing w:line="360" w:lineRule="auto"/>
        <w:ind w:firstLine="480"/>
        <w:rPr>
          <w:rFonts w:ascii="宋体" w:hAnsi="宋体" w:cs="宋体"/>
          <w:color w:val="auto"/>
          <w:kern w:val="0"/>
          <w:sz w:val="24"/>
          <w:highlight w:val="none"/>
        </w:rPr>
      </w:pPr>
      <w:bookmarkStart w:id="88" w:name="_Toc118"/>
      <w:r>
        <w:rPr>
          <w:rFonts w:hint="eastAsia" w:ascii="宋体" w:hAnsi="宋体" w:cs="宋体"/>
          <w:color w:val="auto"/>
          <w:kern w:val="0"/>
          <w:sz w:val="24"/>
          <w:highlight w:val="none"/>
        </w:rPr>
        <w:t>（4）成交候选供应商提供虚假材料；</w:t>
      </w:r>
      <w:bookmarkEnd w:id="88"/>
    </w:p>
    <w:p>
      <w:pPr>
        <w:spacing w:line="360" w:lineRule="auto"/>
        <w:ind w:firstLine="480"/>
        <w:rPr>
          <w:rFonts w:ascii="宋体" w:hAnsi="宋体" w:cs="宋体"/>
          <w:color w:val="auto"/>
          <w:kern w:val="0"/>
          <w:sz w:val="24"/>
          <w:highlight w:val="none"/>
        </w:rPr>
      </w:pPr>
      <w:bookmarkStart w:id="89" w:name="_Toc12860"/>
      <w:r>
        <w:rPr>
          <w:rFonts w:hint="eastAsia" w:ascii="宋体" w:hAnsi="宋体" w:cs="宋体"/>
          <w:color w:val="auto"/>
          <w:kern w:val="0"/>
          <w:sz w:val="24"/>
          <w:highlight w:val="none"/>
        </w:rPr>
        <w:t>（5）成交候选供应商恶意串通。</w:t>
      </w:r>
      <w:bookmarkEnd w:id="89"/>
    </w:p>
    <w:p>
      <w:pPr>
        <w:spacing w:line="360" w:lineRule="auto"/>
        <w:ind w:firstLine="480"/>
        <w:rPr>
          <w:rFonts w:ascii="宋体" w:hAnsi="宋体" w:cs="宋体"/>
          <w:color w:val="auto"/>
          <w:kern w:val="0"/>
          <w:sz w:val="24"/>
          <w:highlight w:val="none"/>
        </w:rPr>
      </w:pPr>
      <w:bookmarkStart w:id="90" w:name="_Toc29238"/>
      <w:r>
        <w:rPr>
          <w:rFonts w:hint="eastAsia" w:ascii="宋体" w:hAnsi="宋体" w:cs="宋体"/>
          <w:color w:val="auto"/>
          <w:kern w:val="0"/>
          <w:sz w:val="24"/>
          <w:highlight w:val="none"/>
        </w:rPr>
        <w:t>成交候选供应商有本条情形之一的，采购人可以确定后一位成交候选供应商为成交供应商，依次类推。无法确定成交供应商的，应当重新组织采购。</w:t>
      </w:r>
      <w:bookmarkEnd w:id="90"/>
    </w:p>
    <w:p>
      <w:pPr>
        <w:pStyle w:val="5"/>
        <w:keepNext w:val="0"/>
        <w:keepLines w:val="0"/>
        <w:spacing w:before="0" w:after="0" w:line="360" w:lineRule="auto"/>
        <w:rPr>
          <w:rFonts w:ascii="宋体" w:hAnsi="宋体" w:eastAsia="宋体" w:cs="宋体"/>
          <w:color w:val="auto"/>
          <w:sz w:val="24"/>
          <w:szCs w:val="24"/>
          <w:highlight w:val="none"/>
        </w:rPr>
      </w:pPr>
      <w:bookmarkStart w:id="91" w:name="_Toc2451"/>
      <w:r>
        <w:rPr>
          <w:rFonts w:hint="eastAsia" w:ascii="宋体" w:hAnsi="宋体" w:eastAsia="宋体" w:cs="宋体"/>
          <w:color w:val="auto"/>
          <w:sz w:val="24"/>
          <w:szCs w:val="24"/>
          <w:highlight w:val="none"/>
        </w:rPr>
        <w:t>24.供应商存在行贿犯罪</w:t>
      </w:r>
      <w:bookmarkEnd w:id="91"/>
      <w:r>
        <w:rPr>
          <w:rFonts w:hint="eastAsia" w:ascii="宋体" w:hAnsi="宋体" w:eastAsia="宋体" w:cs="宋体"/>
          <w:color w:val="auto"/>
          <w:sz w:val="24"/>
          <w:szCs w:val="24"/>
          <w:highlight w:val="none"/>
        </w:rPr>
        <w:t>记录的</w:t>
      </w:r>
    </w:p>
    <w:p>
      <w:pPr>
        <w:spacing w:line="360" w:lineRule="auto"/>
        <w:ind w:firstLine="480"/>
        <w:rPr>
          <w:rFonts w:ascii="宋体" w:hAnsi="宋体" w:cs="宋体"/>
          <w:color w:val="auto"/>
          <w:kern w:val="0"/>
          <w:sz w:val="24"/>
          <w:highlight w:val="none"/>
        </w:rPr>
      </w:pPr>
      <w:bookmarkStart w:id="92" w:name="_Toc23940"/>
      <w:r>
        <w:rPr>
          <w:rFonts w:hint="eastAsia" w:ascii="宋体" w:hAnsi="宋体" w:cs="宋体"/>
          <w:color w:val="auto"/>
          <w:kern w:val="0"/>
          <w:sz w:val="24"/>
          <w:highlight w:val="none"/>
        </w:rPr>
        <w:t>成交候选供应商单位及其现任法定代表人/单位负责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92"/>
    </w:p>
    <w:p>
      <w:pPr>
        <w:pStyle w:val="5"/>
        <w:keepNext w:val="0"/>
        <w:keepLines w:val="0"/>
        <w:spacing w:before="0" w:after="0" w:line="360" w:lineRule="auto"/>
        <w:rPr>
          <w:rFonts w:ascii="宋体" w:hAnsi="宋体" w:eastAsia="宋体" w:cs="宋体"/>
          <w:color w:val="auto"/>
          <w:sz w:val="24"/>
          <w:szCs w:val="24"/>
          <w:highlight w:val="none"/>
        </w:rPr>
      </w:pPr>
      <w:bookmarkStart w:id="93" w:name="_Toc7123"/>
      <w:r>
        <w:rPr>
          <w:rFonts w:hint="eastAsia" w:ascii="宋体" w:hAnsi="宋体" w:eastAsia="宋体" w:cs="宋体"/>
          <w:color w:val="auto"/>
          <w:sz w:val="24"/>
          <w:szCs w:val="24"/>
          <w:highlight w:val="none"/>
        </w:rPr>
        <w:t>25.成交结果</w:t>
      </w:r>
      <w:bookmarkEnd w:id="93"/>
    </w:p>
    <w:p>
      <w:pPr>
        <w:spacing w:line="360" w:lineRule="auto"/>
        <w:ind w:firstLine="480" w:firstLineChars="200"/>
        <w:rPr>
          <w:rFonts w:ascii="宋体" w:hAnsi="宋体" w:cs="宋体"/>
          <w:bCs/>
          <w:color w:val="auto"/>
          <w:sz w:val="24"/>
          <w:highlight w:val="none"/>
        </w:rPr>
      </w:pPr>
      <w:bookmarkStart w:id="94" w:name="_Toc30483"/>
      <w:r>
        <w:rPr>
          <w:rFonts w:hint="eastAsia" w:ascii="宋体" w:hAnsi="宋体" w:cs="宋体"/>
          <w:bCs/>
          <w:color w:val="auto"/>
          <w:sz w:val="24"/>
          <w:highlight w:val="none"/>
        </w:rPr>
        <w:t>25.1采购人确定成交供应商后，将及时书面通知采购代理机构，发出成交通知书并发布成交结果公告。</w:t>
      </w:r>
      <w:bookmarkEnd w:id="94"/>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25.2成交供应商应当及时领取成交通知书。本项目需要交纳履约保证金的，成交供应商应当及时向采购人交纳。</w:t>
      </w:r>
    </w:p>
    <w:p>
      <w:pPr>
        <w:pStyle w:val="5"/>
        <w:keepNext w:val="0"/>
        <w:keepLines w:val="0"/>
        <w:spacing w:before="0" w:after="0" w:line="360" w:lineRule="auto"/>
        <w:rPr>
          <w:rFonts w:ascii="宋体" w:hAnsi="宋体" w:eastAsia="宋体" w:cs="宋体"/>
          <w:color w:val="auto"/>
          <w:sz w:val="24"/>
          <w:szCs w:val="24"/>
          <w:highlight w:val="none"/>
        </w:rPr>
      </w:pPr>
      <w:bookmarkStart w:id="95" w:name="_Toc27257"/>
      <w:r>
        <w:rPr>
          <w:rFonts w:hint="eastAsia" w:ascii="宋体" w:hAnsi="宋体" w:eastAsia="宋体" w:cs="宋体"/>
          <w:color w:val="auto"/>
          <w:sz w:val="24"/>
          <w:szCs w:val="24"/>
          <w:highlight w:val="none"/>
        </w:rPr>
        <w:t>26.成交通知书</w:t>
      </w:r>
      <w:bookmarkEnd w:id="95"/>
    </w:p>
    <w:p>
      <w:pPr>
        <w:spacing w:line="360" w:lineRule="auto"/>
        <w:ind w:firstLine="480" w:firstLineChars="200"/>
        <w:rPr>
          <w:rFonts w:ascii="宋体" w:hAnsi="宋体" w:cs="宋体"/>
          <w:bCs/>
          <w:color w:val="auto"/>
          <w:sz w:val="24"/>
          <w:highlight w:val="none"/>
        </w:rPr>
      </w:pPr>
      <w:bookmarkStart w:id="96" w:name="_Toc27078"/>
      <w:r>
        <w:rPr>
          <w:rFonts w:hint="eastAsia" w:ascii="宋体" w:hAnsi="宋体" w:cs="宋体"/>
          <w:bCs/>
          <w:color w:val="auto"/>
          <w:sz w:val="24"/>
          <w:highlight w:val="none"/>
        </w:rPr>
        <w:t>26.1成交通知书为签订政府采购合同的依据之一，是合同的有效组成部分。</w:t>
      </w:r>
      <w:bookmarkEnd w:id="96"/>
    </w:p>
    <w:p>
      <w:pPr>
        <w:spacing w:line="360" w:lineRule="auto"/>
        <w:ind w:firstLine="480" w:firstLineChars="200"/>
        <w:rPr>
          <w:rFonts w:ascii="宋体" w:hAnsi="宋体" w:cs="宋体"/>
          <w:bCs/>
          <w:color w:val="auto"/>
          <w:sz w:val="24"/>
          <w:highlight w:val="none"/>
        </w:rPr>
      </w:pPr>
      <w:bookmarkStart w:id="97" w:name="_Toc25746"/>
      <w:r>
        <w:rPr>
          <w:rFonts w:hint="eastAsia" w:ascii="宋体" w:hAnsi="宋体" w:cs="宋体"/>
          <w:bCs/>
          <w:color w:val="auto"/>
          <w:sz w:val="24"/>
          <w:highlight w:val="none"/>
        </w:rPr>
        <w:t>26.2成交通知书对采购人和成交供应商均具有法律效力。成交通知书发出后，采购人无正当理由改变成交结果，或者成交供应商无正当理由放弃成交的，将承担相应的法律责任。</w:t>
      </w:r>
      <w:bookmarkEnd w:id="97"/>
    </w:p>
    <w:p>
      <w:pPr>
        <w:spacing w:line="360" w:lineRule="auto"/>
        <w:ind w:firstLine="480" w:firstLineChars="200"/>
        <w:rPr>
          <w:rFonts w:ascii="宋体" w:hAnsi="宋体" w:cs="宋体"/>
          <w:bCs/>
          <w:color w:val="auto"/>
          <w:sz w:val="24"/>
          <w:highlight w:val="none"/>
        </w:rPr>
      </w:pPr>
      <w:bookmarkStart w:id="98" w:name="_Toc14985"/>
      <w:r>
        <w:rPr>
          <w:rFonts w:hint="eastAsia" w:ascii="宋体" w:hAnsi="宋体" w:cs="宋体"/>
          <w:bCs/>
          <w:color w:val="auto"/>
          <w:sz w:val="24"/>
          <w:highlight w:val="none"/>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bookmarkEnd w:id="98"/>
    </w:p>
    <w:p>
      <w:pPr>
        <w:pStyle w:val="4"/>
        <w:keepNext w:val="0"/>
        <w:keepLines w:val="0"/>
        <w:spacing w:line="360" w:lineRule="auto"/>
        <w:jc w:val="center"/>
        <w:rPr>
          <w:rFonts w:ascii="宋体" w:hAnsi="宋体" w:eastAsia="宋体" w:cs="宋体"/>
          <w:color w:val="auto"/>
          <w:sz w:val="24"/>
          <w:szCs w:val="24"/>
          <w:highlight w:val="none"/>
        </w:rPr>
      </w:pPr>
      <w:bookmarkStart w:id="99" w:name="_Toc5183"/>
      <w:r>
        <w:rPr>
          <w:rFonts w:hint="eastAsia" w:ascii="宋体" w:hAnsi="宋体" w:eastAsia="宋体" w:cs="宋体"/>
          <w:color w:val="auto"/>
          <w:highlight w:val="none"/>
        </w:rPr>
        <w:t>七、合同事项</w:t>
      </w:r>
      <w:bookmarkEnd w:id="99"/>
    </w:p>
    <w:p>
      <w:pPr>
        <w:pStyle w:val="4"/>
        <w:keepNext w:val="0"/>
        <w:keepLines w:val="0"/>
        <w:spacing w:before="0" w:after="0" w:line="360" w:lineRule="auto"/>
        <w:rPr>
          <w:rFonts w:ascii="宋体" w:hAnsi="宋体" w:eastAsia="宋体" w:cs="宋体"/>
          <w:color w:val="auto"/>
          <w:sz w:val="24"/>
          <w:szCs w:val="24"/>
          <w:highlight w:val="none"/>
        </w:rPr>
      </w:pPr>
      <w:bookmarkStart w:id="100" w:name="_Toc101338364"/>
      <w:bookmarkStart w:id="101" w:name="_Toc101250646"/>
      <w:bookmarkStart w:id="102" w:name="_Toc209847069"/>
      <w:bookmarkStart w:id="103" w:name="_Toc430773927"/>
      <w:bookmarkStart w:id="104" w:name="_Toc101174151"/>
      <w:bookmarkStart w:id="105" w:name="_Toc10296"/>
      <w:r>
        <w:rPr>
          <w:rFonts w:hint="eastAsia" w:ascii="宋体" w:hAnsi="宋体" w:eastAsia="宋体" w:cs="宋体"/>
          <w:color w:val="auto"/>
          <w:sz w:val="24"/>
          <w:szCs w:val="24"/>
          <w:highlight w:val="none"/>
        </w:rPr>
        <w:t>27.签订合同</w:t>
      </w:r>
      <w:bookmarkEnd w:id="100"/>
      <w:bookmarkEnd w:id="101"/>
      <w:bookmarkEnd w:id="102"/>
      <w:bookmarkEnd w:id="103"/>
      <w:bookmarkEnd w:id="104"/>
      <w:bookmarkEnd w:id="10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27.5竞争性磋商文件、成交供应商提交的响应文件、磋商中的最后报价、成交供应商承诺书、成交通知书等均称为有法律约束力的合同组成内容。</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28.合同分包（实质性要求）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28.3 根据《政府采购促进中小企业发展管理办法》（财库[2020]46号）规定的政策获取政府采购合同后，小型、微型企业不得分包或转包给大型、中型企业，中型企业不得分包或转包给大型企业。</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29.合同转包（实质性要求）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成交供应商转包的，视同拒绝履行政府采购合同义务，将依法追究法律责任。</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30.补充合同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本项目不收取履约保证金。</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32.合同公告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采购人应当自政府采购合同签订（双方当事人均已签字盖章）之日起2个工作日内，将政府采购合同在</w:t>
      </w:r>
      <w:r>
        <w:rPr>
          <w:rFonts w:hint="eastAsia" w:ascii="宋体" w:hAnsi="宋体" w:cs="宋体"/>
          <w:color w:val="auto"/>
          <w:sz w:val="24"/>
          <w:highlight w:val="none"/>
          <w:lang w:eastAsia="zh-CN"/>
        </w:rPr>
        <w:t>中国政府采购网</w:t>
      </w:r>
      <w:r>
        <w:rPr>
          <w:rFonts w:hint="eastAsia" w:ascii="宋体" w:hAnsi="宋体" w:cs="宋体"/>
          <w:color w:val="auto"/>
          <w:sz w:val="24"/>
          <w:highlight w:val="none"/>
        </w:rPr>
        <w:t>上公告，但政府采购合同中涉及国家秘密、商业秘密的内容除外。</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33.合同备案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采购人应当将政府采购合同副本自签订（双方当事人均已签字盖章）之日起七个工作日内通过</w:t>
      </w:r>
      <w:r>
        <w:rPr>
          <w:rFonts w:hint="eastAsia" w:ascii="宋体" w:hAnsi="宋体" w:cs="宋体"/>
          <w:color w:val="auto"/>
          <w:sz w:val="24"/>
          <w:highlight w:val="none"/>
          <w:lang w:eastAsia="zh-CN"/>
        </w:rPr>
        <w:t>中国政府采购网</w:t>
      </w:r>
      <w:r>
        <w:rPr>
          <w:rFonts w:hint="eastAsia" w:ascii="宋体" w:hAnsi="宋体" w:cs="宋体"/>
          <w:color w:val="auto"/>
          <w:sz w:val="24"/>
          <w:highlight w:val="none"/>
        </w:rPr>
        <w:t>报同级财政部门备案。</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34.履行合同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在合同履行过程中，如发生合同纠纷，合同双方应按照《中华人民共和国民法典》的有关规定进行处理。</w:t>
      </w:r>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35.验收标准</w:t>
      </w:r>
    </w:p>
    <w:p>
      <w:pPr>
        <w:spacing w:line="360" w:lineRule="auto"/>
        <w:ind w:firstLine="480" w:firstLineChars="200"/>
        <w:rPr>
          <w:rFonts w:ascii="宋体" w:hAnsi="宋体" w:cs="宋体"/>
          <w:color w:val="auto"/>
          <w:sz w:val="24"/>
          <w:highlight w:val="none"/>
        </w:rPr>
      </w:pPr>
      <w:bookmarkStart w:id="106" w:name="_Toc11563"/>
      <w:r>
        <w:rPr>
          <w:rFonts w:hint="eastAsia" w:ascii="宋体" w:hAnsi="宋体" w:cs="宋体"/>
          <w:color w:val="auto"/>
          <w:sz w:val="24"/>
          <w:highlight w:val="none"/>
        </w:rPr>
        <w:t>35.1本项目采购人及其委托的采购代理机构将参照《政府采购需求管理办法》</w:t>
      </w:r>
      <w:r>
        <w:rPr>
          <w:rFonts w:hint="eastAsia" w:ascii="宋体" w:hAnsi="宋体" w:cs="宋体"/>
          <w:color w:val="auto"/>
          <w:sz w:val="24"/>
          <w:highlight w:val="none"/>
          <w:lang w:eastAsia="zh-CN"/>
        </w:rPr>
        <w:t>（</w:t>
      </w:r>
      <w:r>
        <w:rPr>
          <w:rFonts w:hint="eastAsia" w:ascii="宋体" w:hAnsi="宋体" w:cs="宋体"/>
          <w:color w:val="auto"/>
          <w:sz w:val="24"/>
          <w:highlight w:val="none"/>
        </w:rPr>
        <w:t>财库〔2021〕22号</w:t>
      </w:r>
      <w:r>
        <w:rPr>
          <w:rFonts w:hint="eastAsia" w:ascii="宋体" w:hAnsi="宋体" w:cs="宋体"/>
          <w:color w:val="auto"/>
          <w:sz w:val="24"/>
          <w:highlight w:val="none"/>
          <w:lang w:eastAsia="zh-CN"/>
        </w:rPr>
        <w:t>）</w:t>
      </w:r>
      <w:r>
        <w:rPr>
          <w:rFonts w:hint="eastAsia" w:ascii="宋体" w:hAnsi="宋体" w:cs="宋体"/>
          <w:color w:val="auto"/>
          <w:sz w:val="24"/>
          <w:highlight w:val="none"/>
        </w:rPr>
        <w:t>和《财政部关于进一步加强政府采购需求和履约验收管理的指导意见》(财库〔2016〕205号)以及主管部门的相关要求的标准、方法和内容进行验收。</w:t>
      </w:r>
    </w:p>
    <w:p>
      <w:pPr>
        <w:tabs>
          <w:tab w:val="left" w:pos="0"/>
        </w:tabs>
        <w:spacing w:line="360" w:lineRule="auto"/>
        <w:ind w:firstLine="480" w:firstLineChars="200"/>
        <w:jc w:val="left"/>
        <w:rPr>
          <w:rFonts w:ascii="宋体" w:hAnsi="宋体" w:cs="宋体"/>
          <w:b/>
          <w:bCs/>
          <w:color w:val="auto"/>
          <w:sz w:val="28"/>
          <w:szCs w:val="28"/>
          <w:highlight w:val="none"/>
        </w:rPr>
      </w:pPr>
      <w:r>
        <w:rPr>
          <w:rFonts w:hint="eastAsia" w:ascii="宋体" w:hAnsi="宋体" w:cs="宋体"/>
          <w:color w:val="auto"/>
          <w:sz w:val="24"/>
          <w:highlight w:val="none"/>
        </w:rPr>
        <w:t>35.2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rPr>
          <w:color w:val="auto"/>
          <w:highlight w:val="none"/>
        </w:rPr>
      </w:pPr>
    </w:p>
    <w:p>
      <w:pPr>
        <w:pStyle w:val="4"/>
        <w:keepNext w:val="0"/>
        <w:keepLines w:val="0"/>
        <w:spacing w:before="0" w:after="0" w:line="360" w:lineRule="auto"/>
        <w:jc w:val="center"/>
        <w:rPr>
          <w:rFonts w:ascii="宋体" w:hAnsi="宋体" w:eastAsia="宋体" w:cs="宋体"/>
          <w:color w:val="auto"/>
          <w:sz w:val="24"/>
          <w:highlight w:val="none"/>
        </w:rPr>
      </w:pPr>
      <w:r>
        <w:rPr>
          <w:rFonts w:hint="eastAsia" w:ascii="宋体" w:hAnsi="宋体" w:eastAsia="宋体" w:cs="宋体"/>
          <w:color w:val="auto"/>
          <w:highlight w:val="none"/>
        </w:rPr>
        <w:t>八、磋商纪律要求</w:t>
      </w:r>
      <w:bookmarkEnd w:id="106"/>
    </w:p>
    <w:p>
      <w:pPr>
        <w:pStyle w:val="5"/>
        <w:keepNext w:val="0"/>
        <w:keepLines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36.供应商不得具有的情形</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供应商参加本项目磋商不得有下列情形：</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（1）提供虚假材料谋取成交；</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（2）采取不正当手段诋毁、排挤其他供应商；</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（3）与采购人、采购代理机构、或其他供应商恶意串通；</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（5）在磋商过程中与采购人、采购代理机构进行协商；</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（6）成交后无正当理由拒不与采购人签订政府采购合同；</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（7）未按照磋商文件确定的事项签订政府采购合同；</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（9）提供假冒伪劣产品；</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tabs>
          <w:tab w:val="left" w:pos="851"/>
        </w:tabs>
        <w:spacing w:line="360" w:lineRule="auto"/>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供应商有上述情形的，按照规定追究法律责任，具备（1）-（10）条情形之一的，同时将取消被确认为成交供应商的资格或者认定成交无效。</w:t>
      </w:r>
    </w:p>
    <w:p>
      <w:pPr>
        <w:pStyle w:val="4"/>
        <w:keepNext w:val="0"/>
        <w:keepLines w:val="0"/>
        <w:spacing w:before="0"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九、询问、质疑和投诉</w:t>
      </w:r>
    </w:p>
    <w:p>
      <w:pPr>
        <w:tabs>
          <w:tab w:val="left" w:pos="851"/>
        </w:tabs>
        <w:spacing w:line="360" w:lineRule="auto"/>
        <w:ind w:firstLine="495"/>
        <w:rPr>
          <w:rFonts w:ascii="宋体" w:hAnsi="宋体" w:cs="宋体"/>
          <w:color w:val="auto"/>
          <w:sz w:val="24"/>
          <w:highlight w:val="none"/>
        </w:rPr>
      </w:pPr>
      <w:r>
        <w:rPr>
          <w:rFonts w:hint="eastAsia" w:ascii="宋体" w:hAnsi="宋体" w:cs="宋体"/>
          <w:b/>
          <w:bCs/>
          <w:color w:val="auto"/>
          <w:sz w:val="24"/>
          <w:highlight w:val="none"/>
        </w:rPr>
        <w:t>37.</w:t>
      </w:r>
      <w:r>
        <w:rPr>
          <w:rFonts w:hint="eastAsia" w:ascii="宋体" w:hAnsi="宋体" w:cs="宋体"/>
          <w:color w:val="auto"/>
          <w:sz w:val="24"/>
          <w:highlight w:val="none"/>
        </w:rPr>
        <w:t>询问、质疑、投诉的接收和处理严格按照《中华人民共和国政府采购法》、《中华人民共和国政府采购法实施条例》、《政府采购竞争性磋商采购方式管理暂行办法》、《中华人民共和国财政部令第94号--政府采购质疑和投诉办法》等有关规定办理（详细规定请在</w:t>
      </w:r>
      <w:r>
        <w:rPr>
          <w:rFonts w:hint="eastAsia" w:ascii="宋体" w:hAnsi="宋体" w:cs="宋体"/>
          <w:color w:val="auto"/>
          <w:sz w:val="24"/>
          <w:highlight w:val="none"/>
          <w:lang w:eastAsia="zh-CN"/>
        </w:rPr>
        <w:t>中国政府采购网</w:t>
      </w:r>
      <w:r>
        <w:rPr>
          <w:rFonts w:hint="eastAsia" w:ascii="宋体" w:hAnsi="宋体" w:cs="宋体"/>
          <w:color w:val="auto"/>
          <w:sz w:val="24"/>
          <w:highlight w:val="none"/>
        </w:rPr>
        <w:t>政策法规模块查询）。</w:t>
      </w:r>
      <w:bookmarkStart w:id="107" w:name="_Toc12072"/>
    </w:p>
    <w:p>
      <w:pPr>
        <w:rPr>
          <w:rFonts w:ascii="宋体" w:hAnsi="宋体" w:cs="宋体"/>
          <w:color w:val="auto"/>
          <w:highlight w:val="none"/>
        </w:rPr>
      </w:pPr>
      <w:r>
        <w:rPr>
          <w:rFonts w:hint="eastAsia" w:ascii="宋体" w:hAnsi="宋体" w:cs="宋体"/>
          <w:color w:val="auto"/>
          <w:highlight w:val="none"/>
        </w:rPr>
        <w:br w:type="page"/>
      </w:r>
    </w:p>
    <w:p>
      <w:pPr>
        <w:pStyle w:val="3"/>
        <w:jc w:val="center"/>
        <w:outlineLvl w:val="0"/>
        <w:rPr>
          <w:rFonts w:ascii="宋体" w:hAnsi="宋体" w:eastAsia="宋体" w:cs="宋体"/>
          <w:color w:val="auto"/>
          <w:highlight w:val="none"/>
        </w:rPr>
      </w:pPr>
      <w:r>
        <w:rPr>
          <w:rFonts w:hint="eastAsia" w:ascii="宋体" w:hAnsi="宋体" w:eastAsia="宋体" w:cs="宋体"/>
          <w:color w:val="auto"/>
          <w:highlight w:val="none"/>
        </w:rPr>
        <w:t>第三章  供应商资格条件要求</w:t>
      </w:r>
      <w:bookmarkEnd w:id="107"/>
    </w:p>
    <w:p>
      <w:pPr>
        <w:pStyle w:val="75"/>
        <w:ind w:firstLine="0" w:firstLineChars="0"/>
        <w:rPr>
          <w:rFonts w:ascii="宋体" w:hAnsi="宋体" w:cs="宋体"/>
          <w:b/>
          <w:bCs/>
          <w:color w:val="auto"/>
          <w:sz w:val="24"/>
          <w:highlight w:val="none"/>
        </w:rPr>
      </w:pPr>
      <w:r>
        <w:rPr>
          <w:rFonts w:hint="eastAsia" w:ascii="宋体" w:hAnsi="宋体" w:cs="宋体"/>
          <w:b/>
          <w:bCs/>
          <w:color w:val="auto"/>
          <w:sz w:val="24"/>
          <w:highlight w:val="none"/>
        </w:rPr>
        <w:t xml:space="preserve">（一）供应商的申请资格条件： </w:t>
      </w:r>
      <w:r>
        <w:rPr>
          <w:rFonts w:ascii="宋体" w:hAnsi="宋体" w:cs="宋体"/>
          <w:b/>
          <w:bCs/>
          <w:color w:val="auto"/>
          <w:sz w:val="24"/>
          <w:highlight w:val="none"/>
        </w:rPr>
        <w:t xml:space="preserve"> </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lang w:val="zh-CN"/>
        </w:rPr>
        <w:t>1.具有独立承担民事责任的能力；</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lang w:val="zh-CN"/>
        </w:rPr>
        <w:t>2.具有良好的商业信誉和健全的财务会计制度；</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lang w:val="zh-CN"/>
        </w:rPr>
        <w:t>3.具有履行合同所必需的设备和专业技术能力；</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lang w:val="zh-CN"/>
        </w:rPr>
        <w:t>4.具有依法缴纳税收和社会保障资金的良好记录；</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lang w:val="zh-CN"/>
        </w:rPr>
        <w:t>5.参加此项采购活动前三年内，在经营活动中没有重大违法记录；</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lang w:val="zh-CN"/>
        </w:rPr>
        <w:t>6.法律、行政法规规定的其他条件。</w:t>
      </w:r>
    </w:p>
    <w:p>
      <w:pPr>
        <w:pStyle w:val="75"/>
        <w:ind w:firstLine="480"/>
        <w:rPr>
          <w:rFonts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供应商及其现任法定代表人</w:t>
      </w:r>
      <w:r>
        <w:rPr>
          <w:rFonts w:hint="eastAsia" w:ascii="宋体" w:hAnsi="宋体" w:cs="宋体"/>
          <w:color w:val="auto"/>
          <w:sz w:val="24"/>
          <w:highlight w:val="none"/>
        </w:rPr>
        <w:t>/单位负责人</w:t>
      </w:r>
      <w:r>
        <w:rPr>
          <w:rFonts w:hint="eastAsia" w:ascii="宋体" w:hAnsi="宋体" w:cs="宋体"/>
          <w:color w:val="auto"/>
          <w:sz w:val="24"/>
          <w:highlight w:val="none"/>
          <w:lang w:val="zh-CN"/>
        </w:rPr>
        <w:t>、主要负责人在参加本项目政府采购活动前三年无行贿犯罪记录。</w:t>
      </w:r>
    </w:p>
    <w:p>
      <w:pPr>
        <w:pStyle w:val="75"/>
        <w:ind w:firstLine="600" w:firstLineChars="250"/>
        <w:rPr>
          <w:rFonts w:ascii="宋体" w:hAnsi="宋体" w:cs="宋体"/>
          <w:color w:val="auto"/>
          <w:sz w:val="24"/>
          <w:highlight w:val="none"/>
          <w:lang w:val="zh-CN"/>
        </w:rPr>
      </w:pPr>
      <w:r>
        <w:rPr>
          <w:rFonts w:hint="eastAsia" w:ascii="宋体" w:hAnsi="宋体" w:cs="宋体"/>
          <w:color w:val="auto"/>
          <w:sz w:val="24"/>
          <w:highlight w:val="none"/>
        </w:rPr>
        <w:t>8.</w:t>
      </w:r>
      <w:r>
        <w:rPr>
          <w:rFonts w:hint="eastAsia" w:ascii="宋体" w:hAnsi="宋体" w:cs="宋体"/>
          <w:color w:val="auto"/>
          <w:sz w:val="24"/>
          <w:highlight w:val="none"/>
          <w:lang w:val="zh-CN"/>
        </w:rPr>
        <w:t>供应商须提供“截至投标截止日未被列入失信被执行人、重大税收违法案件当事人名单、政府采购严重违法失信行为记录名单的承诺函”。</w:t>
      </w:r>
    </w:p>
    <w:p>
      <w:pPr>
        <w:pStyle w:val="75"/>
        <w:ind w:firstLine="602" w:firstLineChars="250"/>
        <w:rPr>
          <w:rFonts w:ascii="宋体" w:hAnsi="宋体" w:cs="宋体"/>
          <w:color w:val="auto"/>
          <w:sz w:val="24"/>
          <w:highlight w:val="none"/>
          <w:lang w:val="zh-CN"/>
        </w:rPr>
      </w:pPr>
      <w:r>
        <w:rPr>
          <w:rFonts w:hint="eastAsia" w:ascii="宋体" w:hAnsi="宋体" w:cs="宋体"/>
          <w:b/>
          <w:bCs/>
          <w:color w:val="auto"/>
          <w:sz w:val="24"/>
          <w:highlight w:val="none"/>
        </w:rPr>
        <w:t>注：采购人或采购代理机构将于本项目投标截止日在‘信用中国’网站、 ‘中国政府采购网’网站等渠道对供应商进行信用记录查询，并将查询记录存档。凡被列入失信被执行人、重大税收违法案件当事人名单、政府采购严重违法失信行为记录名单的，视为存在不良信用记录，</w:t>
      </w:r>
      <w:r>
        <w:rPr>
          <w:rFonts w:hint="eastAsia" w:ascii="宋体" w:hAnsi="宋体" w:cs="宋体"/>
          <w:b/>
          <w:bCs/>
          <w:color w:val="auto"/>
          <w:sz w:val="24"/>
          <w:highlight w:val="none"/>
          <w:lang w:eastAsia="zh-CN"/>
        </w:rPr>
        <w:t>其响应文件按无效处理</w:t>
      </w:r>
      <w:r>
        <w:rPr>
          <w:rFonts w:hint="eastAsia" w:ascii="宋体" w:hAnsi="宋体" w:cs="宋体"/>
          <w:b/>
          <w:bCs/>
          <w:color w:val="auto"/>
          <w:sz w:val="24"/>
          <w:highlight w:val="none"/>
        </w:rPr>
        <w:t>。</w:t>
      </w:r>
    </w:p>
    <w:p>
      <w:pPr>
        <w:tabs>
          <w:tab w:val="left" w:pos="7665"/>
        </w:tabs>
        <w:spacing w:line="400" w:lineRule="exact"/>
        <w:rPr>
          <w:rFonts w:hint="eastAsia" w:ascii="仿宋" w:hAnsi="仿宋" w:eastAsia="宋体" w:cs="宋体"/>
          <w:color w:val="auto"/>
          <w:sz w:val="24"/>
          <w:highlight w:val="none"/>
          <w:lang w:val="en-US" w:eastAsia="zh-CN"/>
        </w:rPr>
      </w:pPr>
      <w:r>
        <w:rPr>
          <w:rFonts w:hint="eastAsia" w:ascii="宋体" w:hAnsi="宋体" w:cs="宋体"/>
          <w:b/>
          <w:color w:val="auto"/>
          <w:sz w:val="24"/>
          <w:highlight w:val="none"/>
        </w:rPr>
        <w:t>（二）落实政府采购政策需满足的资格要求：</w:t>
      </w:r>
      <w:r>
        <w:rPr>
          <w:rFonts w:hint="eastAsia" w:ascii="宋体" w:hAnsi="宋体" w:cs="宋体"/>
          <w:b/>
          <w:color w:val="auto"/>
          <w:sz w:val="24"/>
          <w:highlight w:val="none"/>
          <w:lang w:val="en-US" w:eastAsia="zh-CN"/>
        </w:rPr>
        <w:t>无</w:t>
      </w:r>
    </w:p>
    <w:p>
      <w:pPr>
        <w:pStyle w:val="75"/>
        <w:ind w:firstLine="0" w:firstLineChars="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（三）本项目的特定资格要求：</w:t>
      </w:r>
      <w:r>
        <w:rPr>
          <w:rFonts w:hint="eastAsia" w:ascii="宋体" w:hAnsi="宋体" w:cs="宋体"/>
          <w:color w:val="auto"/>
          <w:sz w:val="24"/>
          <w:szCs w:val="24"/>
          <w:highlight w:val="none"/>
          <w:lang w:val="en-US" w:eastAsia="zh-CN"/>
        </w:rPr>
        <w:t>无</w:t>
      </w:r>
      <w:r>
        <w:rPr>
          <w:rFonts w:hint="eastAsia" w:ascii="宋体" w:hAnsi="宋体" w:cs="宋体"/>
          <w:b w:val="0"/>
          <w:color w:val="auto"/>
          <w:sz w:val="24"/>
          <w:highlight w:val="none"/>
          <w:u w:val="none"/>
          <w:lang w:val="zh-CN" w:eastAsia="zh-CN"/>
        </w:rPr>
        <w:t>。</w:t>
      </w:r>
    </w:p>
    <w:p>
      <w:pPr>
        <w:pStyle w:val="75"/>
        <w:ind w:firstLine="0" w:firstLineChars="0"/>
        <w:rPr>
          <w:rFonts w:ascii="宋体" w:hAnsi="宋体" w:cs="宋体"/>
          <w:b/>
          <w:bCs/>
          <w:color w:val="auto"/>
          <w:sz w:val="24"/>
          <w:highlight w:val="none"/>
        </w:rPr>
      </w:pPr>
      <w:r>
        <w:rPr>
          <w:rFonts w:hint="eastAsia" w:ascii="宋体" w:hAnsi="宋体" w:cs="宋体"/>
          <w:b/>
          <w:bCs/>
          <w:color w:val="auto"/>
          <w:sz w:val="24"/>
          <w:highlight w:val="none"/>
        </w:rPr>
        <w:t>（四）本项目不接受联合体参与采购活动。</w:t>
      </w:r>
    </w:p>
    <w:p>
      <w:pPr>
        <w:spacing w:line="360" w:lineRule="auto"/>
        <w:ind w:firstLine="482" w:firstLineChars="200"/>
        <w:rPr>
          <w:rFonts w:ascii="宋体" w:hAnsi="宋体" w:cs="宋体"/>
          <w:b/>
          <w:bCs/>
          <w:color w:val="auto"/>
          <w:sz w:val="24"/>
          <w:szCs w:val="32"/>
          <w:highlight w:val="none"/>
        </w:rPr>
      </w:pP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注：本项目确定供应商重大违法记录中较大数额罚款的金额标准是指：供应商因违法经营受到刑事处罚或者责令停产停业、吊销许可证或者执照、较大数额罚款等行政处罚，其中“较大数额罚款”认定为200 万元以上的罚款，法律、行政法规以及国务院有关部门明确规定相关领域“较大数额罚款”标准高于200万元的，从其规定。</w:t>
      </w:r>
    </w:p>
    <w:p>
      <w:pPr>
        <w:spacing w:line="360" w:lineRule="auto"/>
        <w:rPr>
          <w:b/>
          <w:bCs/>
          <w:color w:val="auto"/>
          <w:sz w:val="24"/>
          <w:highlight w:val="none"/>
        </w:rPr>
      </w:pPr>
    </w:p>
    <w:p>
      <w:pPr>
        <w:pStyle w:val="3"/>
        <w:jc w:val="center"/>
        <w:outlineLvl w:val="0"/>
        <w:rPr>
          <w:rStyle w:val="41"/>
          <w:rFonts w:ascii="宋体" w:hAnsi="宋体" w:eastAsia="宋体" w:cs="宋体"/>
          <w:b/>
          <w:bCs/>
          <w:color w:val="auto"/>
          <w:highlight w:val="none"/>
        </w:rPr>
      </w:pPr>
      <w:bookmarkStart w:id="108" w:name="_Toc15457"/>
      <w:r>
        <w:rPr>
          <w:rStyle w:val="41"/>
          <w:rFonts w:hint="eastAsia" w:ascii="宋体" w:hAnsi="宋体" w:eastAsia="宋体" w:cs="宋体"/>
          <w:b/>
          <w:bCs/>
          <w:color w:val="auto"/>
          <w:highlight w:val="none"/>
        </w:rPr>
        <w:br w:type="page"/>
      </w:r>
      <w:r>
        <w:rPr>
          <w:rStyle w:val="30"/>
          <w:rFonts w:hint="eastAsia" w:ascii="宋体" w:hAnsi="宋体" w:eastAsia="宋体" w:cs="宋体"/>
          <w:b/>
          <w:bCs/>
          <w:color w:val="auto"/>
          <w:highlight w:val="none"/>
        </w:rPr>
        <w:t>第四章 供应商资格证明材料</w:t>
      </w:r>
      <w:bookmarkEnd w:id="108"/>
    </w:p>
    <w:p>
      <w:pPr>
        <w:spacing w:line="360" w:lineRule="auto"/>
        <w:rPr>
          <w:rFonts w:ascii="宋体" w:hAnsi="宋体" w:cs="宋体"/>
          <w:b/>
          <w:bCs/>
          <w:color w:val="auto"/>
          <w:sz w:val="24"/>
          <w:highlight w:val="none"/>
        </w:rPr>
      </w:pPr>
      <w:bookmarkStart w:id="109" w:name="_Toc19522"/>
      <w:bookmarkStart w:id="110" w:name="_Toc18870"/>
      <w:bookmarkStart w:id="111" w:name="_Toc18969"/>
      <w:r>
        <w:rPr>
          <w:rFonts w:hint="eastAsia" w:ascii="宋体" w:hAnsi="宋体" w:cs="宋体"/>
          <w:b/>
          <w:bCs/>
          <w:color w:val="auto"/>
          <w:sz w:val="24"/>
          <w:highlight w:val="none"/>
        </w:rPr>
        <w:t>（一）供应商应当提供的资质性及其他类似效力要求的相关证明材料</w:t>
      </w:r>
      <w:bookmarkEnd w:id="109"/>
      <w:bookmarkEnd w:id="110"/>
      <w:bookmarkEnd w:id="111"/>
      <w:r>
        <w:rPr>
          <w:rFonts w:hint="eastAsia" w:ascii="宋体" w:hAnsi="宋体" w:cs="宋体"/>
          <w:b/>
          <w:bCs/>
          <w:color w:val="auto"/>
          <w:sz w:val="24"/>
          <w:highlight w:val="none"/>
        </w:rPr>
        <w:t>：</w:t>
      </w:r>
    </w:p>
    <w:p>
      <w:pPr>
        <w:numPr>
          <w:ilvl w:val="0"/>
          <w:numId w:val="5"/>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具有独立承担民事责任的能力：</w:t>
      </w:r>
    </w:p>
    <w:p>
      <w:pPr>
        <w:spacing w:line="360" w:lineRule="auto"/>
        <w:ind w:firstLine="480" w:firstLineChars="200"/>
        <w:rPr>
          <w:color w:val="auto"/>
          <w:highlight w:val="none"/>
        </w:rPr>
      </w:pPr>
      <w:r>
        <w:rPr>
          <w:rFonts w:hint="eastAsia" w:ascii="宋体" w:hAnsi="宋体" w:cs="宋体"/>
          <w:color w:val="auto"/>
          <w:sz w:val="24"/>
          <w:highlight w:val="none"/>
          <w:lang w:val="zh-CN"/>
        </w:rPr>
        <w:t>企业提供营业执照副本复印件，事业单位提供事业单位法人证书复印件，其他组织提供营业执照等证明文件复印件，自然人提供身份证明复印件</w:t>
      </w:r>
      <w:r>
        <w:rPr>
          <w:rFonts w:hint="eastAsia" w:ascii="宋体" w:hAnsi="宋体" w:cs="宋体"/>
          <w:color w:val="auto"/>
          <w:sz w:val="24"/>
          <w:highlight w:val="none"/>
        </w:rPr>
        <w:t>加盖公章。</w:t>
      </w:r>
    </w:p>
    <w:p>
      <w:pPr>
        <w:pStyle w:val="16"/>
        <w:ind w:firstLine="482" w:firstLineChars="200"/>
        <w:rPr>
          <w:color w:val="auto"/>
          <w:highlight w:val="none"/>
        </w:rPr>
      </w:pPr>
      <w:r>
        <w:rPr>
          <w:rFonts w:hint="eastAsia" w:ascii="宋体" w:hAnsi="宋体" w:cs="宋体"/>
          <w:b/>
          <w:bCs/>
          <w:color w:val="auto"/>
          <w:sz w:val="24"/>
          <w:highlight w:val="none"/>
        </w:rPr>
        <w:t>注：以上具有同等的效力，提供任一项均可。</w:t>
      </w:r>
    </w:p>
    <w:p>
      <w:pPr>
        <w:numPr>
          <w:ilvl w:val="0"/>
          <w:numId w:val="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①企业提供</w:t>
      </w:r>
      <w:r>
        <w:rPr>
          <w:rFonts w:hint="eastAsia" w:ascii="宋体" w:hAnsi="宋体" w:cs="宋体"/>
          <w:color w:val="auto"/>
          <w:sz w:val="24"/>
          <w:highlight w:val="none"/>
        </w:rPr>
        <w:t>2020</w:t>
      </w:r>
      <w:r>
        <w:rPr>
          <w:rFonts w:hint="eastAsia" w:ascii="宋体" w:hAnsi="宋体" w:cs="宋体"/>
          <w:color w:val="auto"/>
          <w:sz w:val="24"/>
          <w:highlight w:val="none"/>
          <w:lang w:val="zh-CN"/>
        </w:rPr>
        <w:t>年度或</w:t>
      </w:r>
      <w:r>
        <w:rPr>
          <w:rFonts w:hint="eastAsia" w:ascii="宋体" w:hAnsi="宋体" w:cs="宋体"/>
          <w:color w:val="auto"/>
          <w:sz w:val="24"/>
          <w:highlight w:val="none"/>
        </w:rPr>
        <w:t>2021年度</w:t>
      </w:r>
      <w:r>
        <w:rPr>
          <w:rFonts w:hint="eastAsia" w:ascii="宋体" w:hAnsi="宋体" w:cs="宋体"/>
          <w:color w:val="auto"/>
          <w:sz w:val="24"/>
          <w:highlight w:val="none"/>
          <w:lang w:val="zh-CN"/>
        </w:rPr>
        <w:t>经过会计师事务所审计的有效财务报告复印件（至少包含“三表一附注”：即资产负债表、利润表、现金流量表及其附注）。</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②提供基本开户银行出具的资信证明</w:t>
      </w:r>
      <w:r>
        <w:rPr>
          <w:rFonts w:hint="eastAsia" w:ascii="宋体" w:hAnsi="宋体" w:cs="宋体"/>
          <w:color w:val="auto"/>
          <w:sz w:val="24"/>
          <w:highlight w:val="none"/>
        </w:rPr>
        <w:t>。</w:t>
      </w:r>
    </w:p>
    <w:p>
      <w:pPr>
        <w:pStyle w:val="16"/>
        <w:ind w:firstLine="480" w:firstLineChars="200"/>
        <w:rPr>
          <w:color w:val="auto"/>
          <w:highlight w:val="none"/>
        </w:rPr>
      </w:pPr>
      <w:r>
        <w:rPr>
          <w:rFonts w:hint="eastAsia" w:ascii="宋体" w:hAnsi="宋体" w:cs="宋体"/>
          <w:color w:val="auto"/>
          <w:sz w:val="24"/>
          <w:highlight w:val="none"/>
        </w:rPr>
        <w:t>③具有良好的商业信誉和健全的财务会计制度的承诺函。</w:t>
      </w:r>
    </w:p>
    <w:p>
      <w:pPr>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rPr>
        <w:t>注：以上①②③项具有同等的效力，提供任一项均可。</w:t>
      </w:r>
    </w:p>
    <w:p>
      <w:pPr>
        <w:numPr>
          <w:ilvl w:val="0"/>
          <w:numId w:val="6"/>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提供具有履行合同所必需的设备和专业技术能力的承诺函【原件】或其他证明材料【复印件】。</w:t>
      </w:r>
    </w:p>
    <w:p>
      <w:pPr>
        <w:numPr>
          <w:ilvl w:val="0"/>
          <w:numId w:val="6"/>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提供具有依法缴纳税收和社会保障资金的良好记录：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（1）供应商提供2021年1月1日以后任意一个月的缴纳税收的银行电子回单或者税务部门出具的纳税证明或完税证明【复印件】或提供承诺函【原件】。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（2）供应商提供社保部门出具的2021年1月1日以后任意一个月社保缴纳的证明材料（注：1.缴纳的银行电子回单或以社保部门出具的为准；2.复印件）或提供承诺函【原件】。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5.提供参加此项采购活动前三年内，在经营活动中没有重大违法记录承诺函【原件】。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6.提供具备《中华人民共和国政府采购法》第二十二条规定条件的承诺函【原件】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7.供应商应提供供应商及其现任法定代表人/单位负责人、主要负责人在参加本项目政府采购活动前三年无行贿犯罪记录的承诺函【原件】；（成立不足三年的，从成立之日起计算）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8.须提供“截至投标截止日未被列入失信被执行人、重大税收违法案件当事人名单、政府采购严重违法失信行为记录名单”的承诺函【原件】。</w:t>
      </w:r>
    </w:p>
    <w:p>
      <w:pPr>
        <w:spacing w:line="360" w:lineRule="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（二）落实政府采购政策需满足的资格要求：</w:t>
      </w:r>
      <w:r>
        <w:rPr>
          <w:rFonts w:hint="eastAsia" w:ascii="宋体" w:hAnsi="宋体" w:cs="宋体"/>
          <w:b/>
          <w:bCs/>
          <w:color w:val="auto"/>
          <w:sz w:val="24"/>
          <w:highlight w:val="none"/>
          <w:lang w:val="en-US" w:eastAsia="zh-CN"/>
        </w:rPr>
        <w:t>无</w:t>
      </w:r>
    </w:p>
    <w:p>
      <w:pPr>
        <w:spacing w:line="360" w:lineRule="auto"/>
        <w:rPr>
          <w:rFonts w:hint="eastAsia" w:ascii="宋体" w:hAnsi="宋体" w:eastAsia="宋体" w:cs="宋体"/>
          <w:bCs w:val="0"/>
          <w:color w:val="auto"/>
          <w:sz w:val="24"/>
          <w:highlight w:val="none"/>
          <w:lang w:val="zh-CN" w:eastAsia="zh-CN"/>
        </w:rPr>
      </w:pPr>
      <w:r>
        <w:rPr>
          <w:rFonts w:hint="eastAsia" w:ascii="宋体" w:hAnsi="宋体" w:cs="宋体"/>
          <w:b/>
          <w:bCs/>
          <w:color w:val="auto"/>
          <w:sz w:val="24"/>
          <w:highlight w:val="none"/>
        </w:rPr>
        <w:t>（三）本项目的特定资格要求应当提供的相关证明材料：</w:t>
      </w:r>
      <w:r>
        <w:rPr>
          <w:rFonts w:hint="eastAsia" w:ascii="宋体" w:hAnsi="宋体" w:cs="宋体"/>
          <w:b/>
          <w:bCs/>
          <w:color w:val="auto"/>
          <w:sz w:val="24"/>
          <w:highlight w:val="none"/>
          <w:lang w:val="en-US" w:eastAsia="zh-CN"/>
        </w:rPr>
        <w:t>无</w:t>
      </w:r>
      <w:r>
        <w:rPr>
          <w:rFonts w:hint="eastAsia" w:ascii="宋体" w:hAnsi="宋体" w:cs="宋体"/>
          <w:bCs w:val="0"/>
          <w:color w:val="auto"/>
          <w:sz w:val="24"/>
          <w:highlight w:val="none"/>
          <w:lang w:val="zh-CN" w:eastAsia="zh-CN"/>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（四）供应商应当提供的资质性及其他类似效力要求的相关证明材料</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①授权代表参加磋商时，需提供法定代表人签名和单位加盖公章的授权委托书</w:t>
      </w:r>
      <w:r>
        <w:rPr>
          <w:rFonts w:hint="eastAsia" w:ascii="宋体" w:hAnsi="宋体" w:cs="宋体"/>
          <w:color w:val="auto"/>
          <w:sz w:val="24"/>
          <w:highlight w:val="none"/>
        </w:rPr>
        <w:t>【原件】</w:t>
      </w:r>
      <w:r>
        <w:rPr>
          <w:rFonts w:hint="eastAsia" w:ascii="宋体" w:hAnsi="宋体" w:cs="宋体"/>
          <w:b/>
          <w:bCs/>
          <w:color w:val="auto"/>
          <w:sz w:val="24"/>
          <w:highlight w:val="none"/>
        </w:rPr>
        <w:t>（附法定代表人/单位负责人和被授权人身份证复印件正反面）；②法定代表人/单位负责人亲自参与磋商时只需提供</w:t>
      </w:r>
      <w:r>
        <w:rPr>
          <w:rFonts w:hint="eastAsia" w:ascii="宋体" w:hAnsi="宋体" w:cs="宋体"/>
          <w:b/>
          <w:bCs/>
          <w:color w:val="auto"/>
          <w:sz w:val="24"/>
          <w:highlight w:val="none"/>
          <w:lang w:val="zh-CN"/>
        </w:rPr>
        <w:t>法定代表人/单位负责人证明书原件</w:t>
      </w:r>
      <w:r>
        <w:rPr>
          <w:rFonts w:hint="eastAsia" w:ascii="宋体" w:hAnsi="宋体" w:cs="宋体"/>
          <w:b/>
          <w:bCs/>
          <w:color w:val="auto"/>
          <w:sz w:val="24"/>
          <w:highlight w:val="none"/>
        </w:rPr>
        <w:t>。</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注：1、其他类似效力要求的相关证明材料，要求对应表格要求。</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3、供应商应对其所提供的资格证明材料来源的合法性、真实性承担法律责任。以上材料均须加盖公章。</w:t>
      </w: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pStyle w:val="75"/>
        <w:ind w:firstLine="0" w:firstLineChars="0"/>
        <w:rPr>
          <w:rFonts w:ascii="宋体" w:hAnsi="宋体" w:cs="宋体"/>
          <w:b/>
          <w:color w:val="auto"/>
          <w:sz w:val="24"/>
          <w:highlight w:val="none"/>
        </w:rPr>
      </w:pPr>
    </w:p>
    <w:p>
      <w:pPr>
        <w:rPr>
          <w:rFonts w:ascii="宋体" w:hAnsi="宋体" w:cs="宋体"/>
          <w:color w:val="auto"/>
          <w:highlight w:val="none"/>
        </w:rPr>
      </w:pPr>
      <w:bookmarkStart w:id="112" w:name="_Toc29688"/>
      <w:r>
        <w:rPr>
          <w:rFonts w:hint="eastAsia" w:ascii="宋体" w:hAnsi="宋体" w:cs="宋体"/>
          <w:color w:val="auto"/>
          <w:highlight w:val="none"/>
        </w:rPr>
        <w:br w:type="page"/>
      </w:r>
    </w:p>
    <w:p>
      <w:pPr>
        <w:pStyle w:val="3"/>
        <w:numPr>
          <w:ilvl w:val="0"/>
          <w:numId w:val="7"/>
        </w:numPr>
        <w:jc w:val="center"/>
        <w:rPr>
          <w:color w:val="auto"/>
          <w:highlight w:val="none"/>
        </w:rPr>
      </w:pPr>
      <w:r>
        <w:rPr>
          <w:rFonts w:hint="eastAsia"/>
          <w:color w:val="auto"/>
          <w:highlight w:val="none"/>
          <w:lang w:val="en-US" w:eastAsia="zh-CN"/>
        </w:rPr>
        <w:t xml:space="preserve"> </w:t>
      </w:r>
      <w:r>
        <w:rPr>
          <w:rFonts w:hint="eastAsia"/>
          <w:color w:val="auto"/>
          <w:highlight w:val="none"/>
        </w:rPr>
        <w:t>采购项目技术、服务、政府采购合同内容条款及其他商务要求</w:t>
      </w:r>
      <w:bookmarkEnd w:id="112"/>
    </w:p>
    <w:bookmarkEnd w:id="73"/>
    <w:bookmarkEnd w:id="74"/>
    <w:bookmarkEnd w:id="75"/>
    <w:bookmarkEnd w:id="76"/>
    <w:bookmarkEnd w:id="77"/>
    <w:p>
      <w:pPr>
        <w:tabs>
          <w:tab w:val="left" w:pos="312"/>
        </w:tabs>
        <w:spacing w:line="360" w:lineRule="auto"/>
        <w:ind w:firstLine="480" w:firstLineChars="200"/>
        <w:outlineLvl w:val="1"/>
        <w:rPr>
          <w:rFonts w:hint="default" w:ascii="宋体" w:hAnsi="宋体" w:eastAsia="宋体" w:cs="宋体"/>
          <w:bCs/>
          <w:color w:val="auto"/>
          <w:sz w:val="24"/>
          <w:szCs w:val="24"/>
          <w:highlight w:val="none"/>
          <w:lang w:val="en-US" w:eastAsia="zh-CN"/>
        </w:rPr>
      </w:pPr>
      <w:bookmarkStart w:id="113" w:name="_Toc25527"/>
      <w:bookmarkStart w:id="114" w:name="_Toc217446057"/>
      <w:bookmarkStart w:id="115" w:name="_Toc183582232"/>
      <w:bookmarkStart w:id="116" w:name="_Toc183682369"/>
      <w:r>
        <w:rPr>
          <w:rFonts w:hint="eastAsia" w:ascii="宋体" w:hAnsi="宋体" w:eastAsia="宋体" w:cs="宋体"/>
          <w:bCs/>
          <w:color w:val="auto"/>
          <w:sz w:val="24"/>
          <w:szCs w:val="24"/>
          <w:highlight w:val="none"/>
        </w:rPr>
        <w:t>一、</w:t>
      </w:r>
      <w:r>
        <w:rPr>
          <w:rFonts w:hint="eastAsia" w:ascii="宋体" w:hAnsi="宋体" w:cs="宋体"/>
          <w:bCs/>
          <w:color w:val="auto"/>
          <w:sz w:val="24"/>
          <w:szCs w:val="24"/>
          <w:highlight w:val="none"/>
          <w:lang w:val="en-US" w:eastAsia="zh-CN"/>
        </w:rPr>
        <w:t>项目概述</w:t>
      </w:r>
    </w:p>
    <w:p>
      <w:pPr>
        <w:tabs>
          <w:tab w:val="left" w:pos="312"/>
        </w:tabs>
        <w:adjustRightInd/>
        <w:snapToGrid/>
        <w:spacing w:line="360" w:lineRule="auto"/>
        <w:ind w:firstLine="480" w:firstLineChars="200"/>
        <w:outlineLvl w:val="1"/>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本项目为成都天府新区万安幼儿园家具采购招选一名合格供应商。</w:t>
      </w:r>
    </w:p>
    <w:p>
      <w:pPr>
        <w:tabs>
          <w:tab w:val="left" w:pos="312"/>
        </w:tabs>
        <w:adjustRightInd/>
        <w:snapToGrid/>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二、</w:t>
      </w:r>
      <w:r>
        <w:rPr>
          <w:rFonts w:hint="eastAsia" w:ascii="宋体" w:hAnsi="宋体" w:eastAsia="宋体" w:cs="宋体"/>
          <w:bCs/>
          <w:color w:val="auto"/>
          <w:sz w:val="24"/>
          <w:highlight w:val="none"/>
        </w:rPr>
        <w:t xml:space="preserve"> 商务要求</w:t>
      </w:r>
    </w:p>
    <w:p>
      <w:pPr>
        <w:tabs>
          <w:tab w:val="left" w:pos="31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送货</w:t>
      </w:r>
      <w:r>
        <w:rPr>
          <w:rFonts w:hint="eastAsia" w:ascii="宋体" w:hAnsi="宋体" w:eastAsia="宋体" w:cs="宋体"/>
          <w:bCs/>
          <w:color w:val="auto"/>
          <w:sz w:val="24"/>
          <w:highlight w:val="none"/>
        </w:rPr>
        <w:t>期</w:t>
      </w:r>
      <w:r>
        <w:rPr>
          <w:rFonts w:hint="eastAsia" w:ascii="宋体" w:hAnsi="宋体" w:cs="宋体"/>
          <w:bCs/>
          <w:color w:val="auto"/>
          <w:sz w:val="24"/>
          <w:highlight w:val="none"/>
          <w:lang w:val="en-US" w:eastAsia="zh-CN"/>
        </w:rPr>
        <w:t>限</w:t>
      </w:r>
      <w:r>
        <w:rPr>
          <w:rFonts w:hint="eastAsia" w:ascii="宋体" w:hAnsi="宋体" w:eastAsia="宋体" w:cs="宋体"/>
          <w:bCs/>
          <w:color w:val="auto"/>
          <w:sz w:val="24"/>
          <w:highlight w:val="none"/>
        </w:rPr>
        <w:t>及地点</w:t>
      </w:r>
    </w:p>
    <w:p>
      <w:pPr>
        <w:tabs>
          <w:tab w:val="left" w:pos="312"/>
        </w:tabs>
        <w:spacing w:line="360" w:lineRule="auto"/>
        <w:ind w:firstLine="480" w:firstLineChars="200"/>
        <w:outlineLvl w:val="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1.1 送货期限：合同签订后30日送货安装完成。</w:t>
      </w:r>
    </w:p>
    <w:p>
      <w:pPr>
        <w:tabs>
          <w:tab w:val="left" w:pos="31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1.2 </w:t>
      </w:r>
      <w:r>
        <w:rPr>
          <w:rFonts w:hint="eastAsia" w:ascii="宋体" w:hAnsi="宋体" w:eastAsia="宋体" w:cs="宋体"/>
          <w:bCs/>
          <w:color w:val="auto"/>
          <w:sz w:val="24"/>
          <w:highlight w:val="none"/>
          <w:lang w:val="en-US" w:eastAsia="zh-CN"/>
        </w:rPr>
        <w:t>服务</w:t>
      </w:r>
      <w:r>
        <w:rPr>
          <w:rFonts w:hint="eastAsia" w:ascii="宋体" w:hAnsi="宋体" w:eastAsia="宋体" w:cs="宋体"/>
          <w:bCs/>
          <w:color w:val="auto"/>
          <w:sz w:val="24"/>
          <w:highlight w:val="none"/>
        </w:rPr>
        <w:t xml:space="preserve">地点: </w:t>
      </w:r>
      <w:r>
        <w:rPr>
          <w:rFonts w:hint="eastAsia" w:ascii="宋体" w:hAnsi="宋体" w:cs="宋体"/>
          <w:bCs/>
          <w:color w:val="auto"/>
          <w:sz w:val="24"/>
          <w:szCs w:val="24"/>
          <w:highlight w:val="none"/>
          <w:lang w:val="en-US" w:eastAsia="zh-CN"/>
        </w:rPr>
        <w:t>成都天府新区万安幼儿园</w:t>
      </w:r>
    </w:p>
    <w:p>
      <w:pPr>
        <w:tabs>
          <w:tab w:val="left" w:pos="31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*2．付款方法和条件：</w:t>
      </w:r>
    </w:p>
    <w:p>
      <w:pPr>
        <w:tabs>
          <w:tab w:val="left" w:pos="31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供货完成后，经采购人验收合格一次性支付。</w:t>
      </w:r>
      <w:r>
        <w:rPr>
          <w:rFonts w:hint="eastAsia" w:ascii="宋体" w:hAnsi="宋体" w:eastAsia="宋体" w:cs="宋体"/>
          <w:bCs/>
          <w:color w:val="auto"/>
          <w:sz w:val="24"/>
          <w:highlight w:val="none"/>
        </w:rPr>
        <w:t>甲方每次付款前，乙方应提供合法有效的发票，否则甲方有权拒绝付款，并对此不需承担任何违约责任。</w:t>
      </w:r>
    </w:p>
    <w:p>
      <w:pPr>
        <w:pStyle w:val="2"/>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*3.验收要求：</w:t>
      </w:r>
    </w:p>
    <w:p>
      <w:pPr>
        <w:tabs>
          <w:tab w:val="left" w:pos="312"/>
        </w:tabs>
        <w:adjustRightInd/>
        <w:snapToGrid/>
        <w:spacing w:line="360" w:lineRule="auto"/>
        <w:ind w:firstLine="480" w:firstLineChars="200"/>
        <w:outlineLvl w:val="1"/>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采购单位按所签订的合同验收标准对中标单位进行验收，且严格按照《财政部关于进一步加强政府采购需求和履约验收管理的指导意见》(财库〔2016〕205号)的要求进行验收。</w:t>
      </w:r>
    </w:p>
    <w:p>
      <w:pPr>
        <w:numPr>
          <w:ilvl w:val="0"/>
          <w:numId w:val="8"/>
        </w:numPr>
        <w:tabs>
          <w:tab w:val="left" w:pos="312"/>
        </w:tabs>
        <w:adjustRightInd/>
        <w:snapToGrid/>
        <w:spacing w:line="360" w:lineRule="auto"/>
        <w:ind w:firstLine="480" w:firstLineChars="200"/>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技术、服务要求</w:t>
      </w:r>
    </w:p>
    <w:p>
      <w:pPr>
        <w:tabs>
          <w:tab w:val="left" w:pos="312"/>
        </w:tabs>
        <w:adjustRightInd/>
        <w:snapToGrid/>
        <w:spacing w:line="360" w:lineRule="auto"/>
        <w:ind w:firstLine="480" w:firstLineChars="200"/>
        <w:outlineLvl w:val="1"/>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(一）技术参数要求</w:t>
      </w:r>
    </w:p>
    <w:tbl>
      <w:tblPr>
        <w:tblStyle w:val="28"/>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74"/>
        <w:gridCol w:w="6005"/>
        <w:gridCol w:w="81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6" w:type="dxa"/>
            <w:noWrap w:val="0"/>
            <w:vAlign w:val="center"/>
          </w:tcPr>
          <w:p>
            <w:pPr>
              <w:spacing w:after="0" w:line="240" w:lineRule="auto"/>
              <w:jc w:val="center"/>
              <w:rPr>
                <w:rFonts w:cs="宋体"/>
                <w:kern w:val="0"/>
                <w:sz w:val="24"/>
              </w:rPr>
            </w:pPr>
            <w:r>
              <w:rPr>
                <w:rFonts w:cs="宋体"/>
                <w:kern w:val="0"/>
                <w:sz w:val="24"/>
              </w:rPr>
              <w:t>序号</w:t>
            </w:r>
          </w:p>
        </w:tc>
        <w:tc>
          <w:tcPr>
            <w:tcW w:w="774" w:type="dxa"/>
            <w:noWrap w:val="0"/>
            <w:vAlign w:val="center"/>
          </w:tcPr>
          <w:p>
            <w:pPr>
              <w:spacing w:after="0" w:line="240" w:lineRule="auto"/>
              <w:jc w:val="center"/>
              <w:rPr>
                <w:rFonts w:cs="宋体"/>
                <w:kern w:val="0"/>
                <w:sz w:val="24"/>
              </w:rPr>
            </w:pPr>
            <w:r>
              <w:rPr>
                <w:rFonts w:cs="宋体"/>
                <w:kern w:val="0"/>
                <w:sz w:val="24"/>
              </w:rPr>
              <w:t>产品名称</w:t>
            </w:r>
          </w:p>
        </w:tc>
        <w:tc>
          <w:tcPr>
            <w:tcW w:w="6005" w:type="dxa"/>
            <w:noWrap w:val="0"/>
            <w:vAlign w:val="center"/>
          </w:tcPr>
          <w:p>
            <w:pPr>
              <w:spacing w:after="0" w:line="240" w:lineRule="auto"/>
              <w:jc w:val="center"/>
              <w:rPr>
                <w:rFonts w:cs="宋体"/>
                <w:kern w:val="0"/>
                <w:sz w:val="24"/>
              </w:rPr>
            </w:pPr>
            <w:r>
              <w:rPr>
                <w:rFonts w:cs="宋体"/>
                <w:kern w:val="0"/>
                <w:sz w:val="24"/>
              </w:rPr>
              <w:t>技术参数及要求</w:t>
            </w:r>
          </w:p>
        </w:tc>
        <w:tc>
          <w:tcPr>
            <w:tcW w:w="811" w:type="dxa"/>
            <w:noWrap w:val="0"/>
            <w:vAlign w:val="center"/>
          </w:tcPr>
          <w:p>
            <w:pPr>
              <w:spacing w:after="0" w:line="240" w:lineRule="auto"/>
              <w:jc w:val="center"/>
              <w:rPr>
                <w:rFonts w:cs="宋体"/>
                <w:kern w:val="0"/>
                <w:sz w:val="24"/>
              </w:rPr>
            </w:pPr>
            <w:r>
              <w:rPr>
                <w:rFonts w:cs="宋体"/>
                <w:kern w:val="0"/>
                <w:sz w:val="24"/>
              </w:rPr>
              <w:t>数量</w:t>
            </w:r>
          </w:p>
        </w:tc>
        <w:tc>
          <w:tcPr>
            <w:tcW w:w="728" w:type="dxa"/>
            <w:noWrap w:val="0"/>
            <w:vAlign w:val="center"/>
          </w:tcPr>
          <w:p>
            <w:pPr>
              <w:spacing w:after="0" w:line="240" w:lineRule="auto"/>
              <w:jc w:val="center"/>
              <w:rPr>
                <w:rFonts w:cs="宋体"/>
                <w:kern w:val="0"/>
                <w:sz w:val="24"/>
              </w:rPr>
            </w:pPr>
            <w:r>
              <w:rPr>
                <w:rFonts w:cs="宋体"/>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556" w:type="dxa"/>
            <w:noWrap w:val="0"/>
            <w:vAlign w:val="center"/>
          </w:tcPr>
          <w:p>
            <w:pPr>
              <w:spacing w:after="0" w:line="240" w:lineRule="auto"/>
              <w:jc w:val="center"/>
              <w:rPr>
                <w:rFonts w:cs="宋体"/>
                <w:kern w:val="0"/>
                <w:sz w:val="24"/>
              </w:rPr>
            </w:pPr>
            <w:r>
              <w:rPr>
                <w:rFonts w:cs="宋体"/>
                <w:kern w:val="0"/>
                <w:sz w:val="24"/>
              </w:rPr>
              <w:t>1</w:t>
            </w:r>
          </w:p>
        </w:tc>
        <w:tc>
          <w:tcPr>
            <w:tcW w:w="774" w:type="dxa"/>
            <w:noWrap w:val="0"/>
            <w:vAlign w:val="center"/>
          </w:tcPr>
          <w:p>
            <w:pPr>
              <w:spacing w:after="0" w:line="240" w:lineRule="auto"/>
              <w:jc w:val="center"/>
              <w:rPr>
                <w:rFonts w:cs="宋体"/>
                <w:kern w:val="0"/>
                <w:sz w:val="24"/>
              </w:rPr>
            </w:pPr>
            <w:r>
              <w:rPr>
                <w:rFonts w:cs="宋体"/>
                <w:kern w:val="0"/>
                <w:sz w:val="24"/>
              </w:rPr>
              <w:t>LED教室灯</w:t>
            </w:r>
          </w:p>
        </w:tc>
        <w:tc>
          <w:tcPr>
            <w:tcW w:w="6005" w:type="dxa"/>
            <w:noWrap w:val="0"/>
            <w:vAlign w:val="top"/>
          </w:tcPr>
          <w:p>
            <w:pPr>
              <w:spacing w:after="0" w:line="240" w:lineRule="auto"/>
              <w:rPr>
                <w:rFonts w:cs="宋体"/>
                <w:kern w:val="0"/>
                <w:sz w:val="24"/>
              </w:rPr>
            </w:pPr>
            <w:r>
              <w:rPr>
                <w:rFonts w:hint="eastAsia" w:hAnsi="宋体" w:cs="宋体"/>
                <w:kern w:val="0"/>
                <w:sz w:val="24"/>
                <w:lang w:eastAsia="zh-CN"/>
              </w:rPr>
              <w:t>▲</w:t>
            </w:r>
            <w:r>
              <w:rPr>
                <w:rFonts w:cs="宋体"/>
                <w:kern w:val="0"/>
                <w:sz w:val="24"/>
              </w:rPr>
              <w:t>1、LED教室灯教室维持平均照度≥300（lx)，统一眩光值UGR≤16，均匀度U0≥0.7。</w:t>
            </w:r>
          </w:p>
          <w:p>
            <w:pPr>
              <w:spacing w:after="0" w:line="240" w:lineRule="auto"/>
              <w:rPr>
                <w:rFonts w:cs="宋体"/>
                <w:kern w:val="0"/>
                <w:sz w:val="24"/>
              </w:rPr>
            </w:pPr>
            <w:r>
              <w:rPr>
                <w:rFonts w:hint="eastAsia" w:hAnsi="宋体" w:cs="宋体"/>
                <w:kern w:val="0"/>
                <w:sz w:val="24"/>
                <w:lang w:eastAsia="zh-CN"/>
              </w:rPr>
              <w:t>▲</w:t>
            </w:r>
            <w:r>
              <w:rPr>
                <w:rFonts w:cs="宋体"/>
                <w:kern w:val="0"/>
                <w:sz w:val="24"/>
              </w:rPr>
              <w:t>2、LED教室灯功率36±5W，功率因数≥0.90，光通量≥3200LM，光效≥90LM/W。</w:t>
            </w:r>
          </w:p>
          <w:p>
            <w:pPr>
              <w:spacing w:after="0" w:line="240" w:lineRule="auto"/>
              <w:rPr>
                <w:rFonts w:cs="宋体"/>
                <w:kern w:val="0"/>
                <w:sz w:val="24"/>
              </w:rPr>
            </w:pPr>
            <w:r>
              <w:rPr>
                <w:rFonts w:cs="宋体"/>
                <w:kern w:val="0"/>
                <w:sz w:val="24"/>
              </w:rPr>
              <w:t>3、LED教室灯色温在5000±200K区间。</w:t>
            </w:r>
          </w:p>
          <w:p>
            <w:pPr>
              <w:spacing w:after="0" w:line="240" w:lineRule="auto"/>
              <w:rPr>
                <w:rFonts w:cs="宋体"/>
                <w:kern w:val="0"/>
                <w:sz w:val="24"/>
              </w:rPr>
            </w:pPr>
            <w:r>
              <w:rPr>
                <w:rFonts w:cs="宋体"/>
                <w:kern w:val="0"/>
                <w:sz w:val="24"/>
              </w:rPr>
              <w:t>4、LED教室灯显色指数≥90，特殊显色指数R9≥70。</w:t>
            </w:r>
          </w:p>
          <w:p>
            <w:pPr>
              <w:spacing w:after="0" w:line="240" w:lineRule="auto"/>
              <w:rPr>
                <w:rFonts w:cs="宋体"/>
                <w:kern w:val="0"/>
                <w:sz w:val="24"/>
              </w:rPr>
            </w:pPr>
            <w:r>
              <w:rPr>
                <w:rFonts w:hint="eastAsia" w:hAnsi="宋体" w:cs="宋体"/>
                <w:kern w:val="0"/>
                <w:sz w:val="24"/>
                <w:lang w:eastAsia="zh-CN"/>
              </w:rPr>
              <w:t>▲</w:t>
            </w:r>
            <w:r>
              <w:rPr>
                <w:rFonts w:cs="宋体"/>
                <w:kern w:val="0"/>
                <w:sz w:val="24"/>
              </w:rPr>
              <w:t>5、LED教室灯的光生物危害应符合GB7000.1-2015要求，教室灯光生物安全检测为“无危险类”，视网膜蓝光危害级别应根据GB7000.1-2015中要求的标准评估为RG0（无限制）。</w:t>
            </w:r>
          </w:p>
          <w:p>
            <w:pPr>
              <w:spacing w:after="0" w:line="240" w:lineRule="auto"/>
              <w:rPr>
                <w:rFonts w:cs="等线"/>
                <w:kern w:val="0"/>
                <w:sz w:val="24"/>
              </w:rPr>
            </w:pPr>
            <w:r>
              <w:rPr>
                <w:rFonts w:cs="宋体"/>
                <w:kern w:val="0"/>
                <w:sz w:val="24"/>
              </w:rPr>
              <w:t>6</w:t>
            </w:r>
            <w:r>
              <w:rPr>
                <w:rFonts w:hint="eastAsia" w:cs="宋体"/>
                <w:kern w:val="0"/>
                <w:sz w:val="24"/>
                <w:lang w:eastAsia="zh-CN"/>
              </w:rPr>
              <w:t>、</w:t>
            </w:r>
            <w:r>
              <w:rPr>
                <w:rFonts w:cs="等线"/>
                <w:kern w:val="0"/>
                <w:sz w:val="24"/>
              </w:rPr>
              <w:t>频闪和闪烁：在额定电压下工作时，教室灯光输出波形的波动深度限值不应高于IEEE std 1789-2015中“无显著影响”水平对应的要求。</w:t>
            </w:r>
          </w:p>
          <w:p>
            <w:pPr>
              <w:spacing w:line="240" w:lineRule="auto"/>
              <w:rPr>
                <w:rFonts w:cs="仿宋"/>
                <w:sz w:val="24"/>
              </w:rPr>
            </w:pPr>
            <w:r>
              <w:rPr>
                <w:rFonts w:cs="仿宋"/>
                <w:sz w:val="24"/>
              </w:rPr>
              <w:t>7、LED教室灯光通维持寿命根据GB/T 33720-2017《LED照明产品光通量衰减加速试验方法》（或GB/T 33721-2017《LED灯具可靠性试验方法》）检测满足预估寿命不小于可宣称（或声称）50000小时的要求。</w:t>
            </w:r>
          </w:p>
          <w:p>
            <w:pPr>
              <w:spacing w:line="240" w:lineRule="auto"/>
              <w:rPr>
                <w:rFonts w:cs="仿宋"/>
                <w:sz w:val="24"/>
              </w:rPr>
            </w:pPr>
            <w:r>
              <w:rPr>
                <w:rFonts w:hint="eastAsia" w:hAnsi="宋体" w:cs="宋体"/>
                <w:kern w:val="0"/>
                <w:sz w:val="24"/>
                <w:lang w:eastAsia="zh-CN"/>
              </w:rPr>
              <w:t>▲</w:t>
            </w:r>
            <w:r>
              <w:rPr>
                <w:rFonts w:cs="仿宋"/>
                <w:sz w:val="24"/>
              </w:rPr>
              <w:t>8、LED教室灯密封防尘满足IP42或以上等级要求。</w:t>
            </w:r>
          </w:p>
          <w:p>
            <w:pPr>
              <w:spacing w:after="0" w:line="240" w:lineRule="auto"/>
              <w:rPr>
                <w:rFonts w:cs="等线"/>
                <w:kern w:val="0"/>
                <w:sz w:val="24"/>
              </w:rPr>
            </w:pPr>
          </w:p>
          <w:p>
            <w:pPr>
              <w:spacing w:after="0" w:line="240" w:lineRule="auto"/>
              <w:rPr>
                <w:rFonts w:cs="宋体"/>
                <w:kern w:val="0"/>
                <w:sz w:val="24"/>
              </w:rPr>
            </w:pPr>
            <w:r>
              <w:rPr>
                <w:kern w:val="0"/>
                <w:sz w:val="24"/>
              </w:rPr>
              <w:t>9、LED教室灯应为一体式灯具。LED教室灯应采用</w:t>
            </w:r>
            <w:r>
              <w:rPr>
                <w:rFonts w:cs="仿宋"/>
                <w:kern w:val="0"/>
                <w:sz w:val="24"/>
              </w:rPr>
              <w:t>镀铬</w:t>
            </w:r>
            <w:r>
              <w:rPr>
                <w:kern w:val="0"/>
                <w:sz w:val="24"/>
              </w:rPr>
              <w:t>格栅防眩光处理，格栅网面内侧应有防尘板（膜）,</w:t>
            </w:r>
            <w:r>
              <w:rPr>
                <w:rFonts w:cs="宋体"/>
                <w:kern w:val="0"/>
                <w:sz w:val="24"/>
                <w:lang w:bidi="ar"/>
              </w:rPr>
              <w:t xml:space="preserve"> </w:t>
            </w:r>
            <w:r>
              <w:rPr>
                <w:rFonts w:cs="仿宋"/>
                <w:sz w:val="24"/>
              </w:rPr>
              <w:t>灯具的壳体应采用≥0.04mm铝型材等轻型、坚固金属材料，并经喷涂或者镀锌处理，具备防锈功能。</w:t>
            </w:r>
            <w:r>
              <w:rPr>
                <w:kern w:val="0"/>
                <w:sz w:val="24"/>
              </w:rPr>
              <w:t>。需提供相关证明材料（如所投产品说明书、所投产品的彩页资料或厂家出具的技术说明等）以及实物照片加盖</w:t>
            </w:r>
            <w:r>
              <w:rPr>
                <w:rFonts w:hint="eastAsia"/>
                <w:kern w:val="0"/>
                <w:sz w:val="24"/>
                <w:lang w:eastAsia="zh-CN"/>
              </w:rPr>
              <w:t>供应商</w:t>
            </w:r>
            <w:r>
              <w:rPr>
                <w:kern w:val="0"/>
                <w:sz w:val="24"/>
              </w:rPr>
              <w:t>公章。</w:t>
            </w:r>
          </w:p>
          <w:p>
            <w:pPr>
              <w:spacing w:after="0" w:line="240" w:lineRule="auto"/>
              <w:rPr>
                <w:rFonts w:cs="宋体"/>
                <w:kern w:val="0"/>
                <w:sz w:val="24"/>
                <w:lang w:bidi="ar"/>
              </w:rPr>
            </w:pPr>
            <w:r>
              <w:rPr>
                <w:rFonts w:hint="eastAsia" w:hAnsi="宋体" w:cs="宋体"/>
                <w:kern w:val="0"/>
                <w:sz w:val="24"/>
                <w:lang w:eastAsia="zh-CN"/>
              </w:rPr>
              <w:t>▲</w:t>
            </w:r>
            <w:r>
              <w:rPr>
                <w:rFonts w:cs="宋体"/>
                <w:kern w:val="0"/>
                <w:sz w:val="24"/>
              </w:rPr>
              <w:t>10.</w:t>
            </w:r>
            <w:r>
              <w:rPr>
                <w:rFonts w:cs="宋体"/>
                <w:kern w:val="0"/>
                <w:sz w:val="24"/>
                <w:lang w:bidi="ar"/>
              </w:rPr>
              <w:t xml:space="preserve"> LED教室灯应实现背部透光，提高教室照明舒适度和空间感。</w:t>
            </w:r>
          </w:p>
          <w:p>
            <w:pPr>
              <w:spacing w:after="0" w:line="240" w:lineRule="auto"/>
              <w:rPr>
                <w:rFonts w:cs="宋体"/>
                <w:color w:val="333333"/>
                <w:kern w:val="0"/>
                <w:sz w:val="24"/>
                <w:lang w:bidi="ar"/>
              </w:rPr>
            </w:pPr>
            <w:r>
              <w:rPr>
                <w:rFonts w:hint="eastAsia" w:hAnsi="宋体" w:cs="宋体"/>
                <w:kern w:val="0"/>
                <w:sz w:val="24"/>
                <w:lang w:eastAsia="zh-CN"/>
              </w:rPr>
              <w:t>▲</w:t>
            </w:r>
            <w:r>
              <w:rPr>
                <w:rFonts w:cs="宋体"/>
                <w:kern w:val="0"/>
                <w:sz w:val="24"/>
              </w:rPr>
              <w:t>11.</w:t>
            </w:r>
            <w:r>
              <w:rPr>
                <w:rFonts w:cs="宋体"/>
                <w:color w:val="333333"/>
                <w:kern w:val="0"/>
                <w:sz w:val="24"/>
                <w:lang w:bidi="ar"/>
              </w:rPr>
              <w:t xml:space="preserve"> LED教室灯通过开关试验以30S 开，30S 关为一个循环周期，开关寿命≥25000次循环，产品无明显损坏，试验后光通维持率&gt;98%。</w:t>
            </w:r>
          </w:p>
          <w:p>
            <w:pPr>
              <w:spacing w:after="0" w:line="240" w:lineRule="auto"/>
              <w:rPr>
                <w:rFonts w:cs="宋体"/>
                <w:kern w:val="0"/>
                <w:sz w:val="24"/>
              </w:rPr>
            </w:pPr>
            <w:r>
              <w:rPr>
                <w:rFonts w:cs="宋体"/>
                <w:kern w:val="0"/>
                <w:sz w:val="24"/>
              </w:rPr>
              <w:t>备注：1</w:t>
            </w:r>
            <w:r>
              <w:rPr>
                <w:rFonts w:hint="eastAsia" w:cs="宋体"/>
                <w:kern w:val="0"/>
                <w:sz w:val="24"/>
              </w:rPr>
              <w:t>-</w:t>
            </w:r>
            <w:r>
              <w:rPr>
                <w:rFonts w:cs="宋体"/>
                <w:kern w:val="0"/>
                <w:sz w:val="24"/>
              </w:rPr>
              <w:t>11</w:t>
            </w:r>
            <w:r>
              <w:rPr>
                <w:rFonts w:hint="eastAsia" w:cs="宋体"/>
                <w:kern w:val="0"/>
                <w:sz w:val="24"/>
              </w:rPr>
              <w:t>项均</w:t>
            </w:r>
            <w:r>
              <w:rPr>
                <w:rFonts w:cs="宋体"/>
                <w:kern w:val="0"/>
                <w:sz w:val="24"/>
              </w:rPr>
              <w:t>需提供第三方检测机构出具的带CMA及CNAS标志的检测报告复印件。</w:t>
            </w:r>
          </w:p>
          <w:p>
            <w:pPr>
              <w:spacing w:after="0" w:line="240" w:lineRule="auto"/>
              <w:rPr>
                <w:rFonts w:cs="宋体"/>
                <w:kern w:val="0"/>
                <w:sz w:val="24"/>
              </w:rPr>
            </w:pPr>
          </w:p>
        </w:tc>
        <w:tc>
          <w:tcPr>
            <w:tcW w:w="811" w:type="dxa"/>
            <w:noWrap w:val="0"/>
            <w:vAlign w:val="center"/>
          </w:tcPr>
          <w:p>
            <w:pPr>
              <w:spacing w:after="0" w:line="240" w:lineRule="auto"/>
              <w:jc w:val="center"/>
              <w:rPr>
                <w:rFonts w:cs="宋体"/>
                <w:kern w:val="0"/>
                <w:sz w:val="24"/>
              </w:rPr>
            </w:pPr>
            <w:r>
              <w:rPr>
                <w:rFonts w:ascii="宋体" w:hAnsi="宋体" w:cs="宋体"/>
                <w:sz w:val="24"/>
              </w:rPr>
              <w:t>276</w:t>
            </w:r>
          </w:p>
        </w:tc>
        <w:tc>
          <w:tcPr>
            <w:tcW w:w="728" w:type="dxa"/>
            <w:noWrap w:val="0"/>
            <w:vAlign w:val="center"/>
          </w:tcPr>
          <w:p>
            <w:pPr>
              <w:spacing w:after="0" w:line="240" w:lineRule="auto"/>
              <w:jc w:val="center"/>
              <w:rPr>
                <w:rFonts w:cs="宋体"/>
                <w:kern w:val="0"/>
                <w:sz w:val="24"/>
              </w:rPr>
            </w:pPr>
            <w:r>
              <w:rPr>
                <w:rFonts w:hint="eastAsia" w:cs="宋体"/>
                <w:kern w:val="0"/>
                <w:sz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noWrap w:val="0"/>
            <w:vAlign w:val="center"/>
          </w:tcPr>
          <w:p>
            <w:pPr>
              <w:spacing w:after="0" w:line="240" w:lineRule="auto"/>
              <w:jc w:val="center"/>
              <w:rPr>
                <w:rFonts w:cs="宋体"/>
                <w:kern w:val="0"/>
                <w:sz w:val="24"/>
              </w:rPr>
            </w:pPr>
            <w:r>
              <w:rPr>
                <w:rFonts w:cs="宋体"/>
                <w:kern w:val="0"/>
                <w:sz w:val="24"/>
              </w:rPr>
              <w:t>2</w:t>
            </w:r>
          </w:p>
        </w:tc>
        <w:tc>
          <w:tcPr>
            <w:tcW w:w="774" w:type="dxa"/>
            <w:noWrap w:val="0"/>
            <w:vAlign w:val="center"/>
          </w:tcPr>
          <w:p>
            <w:pPr>
              <w:spacing w:after="0" w:line="240" w:lineRule="auto"/>
              <w:jc w:val="center"/>
              <w:rPr>
                <w:rFonts w:cs="宋体"/>
                <w:kern w:val="0"/>
                <w:sz w:val="24"/>
              </w:rPr>
            </w:pPr>
            <w:r>
              <w:rPr>
                <w:rFonts w:cs="宋体"/>
                <w:kern w:val="0"/>
                <w:sz w:val="24"/>
              </w:rPr>
              <w:t>紫外线杀菌灯</w:t>
            </w:r>
          </w:p>
        </w:tc>
        <w:tc>
          <w:tcPr>
            <w:tcW w:w="6005" w:type="dxa"/>
            <w:noWrap w:val="0"/>
            <w:vAlign w:val="top"/>
          </w:tcPr>
          <w:p>
            <w:pPr>
              <w:widowControl/>
              <w:spacing w:line="240" w:lineRule="auto"/>
              <w:textAlignment w:val="center"/>
              <w:rPr>
                <w:rFonts w:cs="宋体"/>
                <w:kern w:val="0"/>
                <w:sz w:val="24"/>
              </w:rPr>
            </w:pPr>
            <w:r>
              <w:rPr>
                <w:rFonts w:cs="宋体"/>
                <w:kern w:val="0"/>
                <w:sz w:val="24"/>
              </w:rPr>
              <w:t>1.提供的产品必须是有卫生许可证的企业生产的。</w:t>
            </w:r>
          </w:p>
          <w:p>
            <w:pPr>
              <w:widowControl/>
              <w:spacing w:line="240" w:lineRule="auto"/>
              <w:textAlignment w:val="center"/>
              <w:rPr>
                <w:rFonts w:cs="宋体"/>
                <w:kern w:val="0"/>
                <w:sz w:val="24"/>
              </w:rPr>
            </w:pPr>
            <w:r>
              <w:rPr>
                <w:rFonts w:hint="eastAsia" w:hAnsi="宋体" w:cs="宋体"/>
                <w:kern w:val="0"/>
                <w:sz w:val="24"/>
                <w:lang w:eastAsia="zh-CN"/>
              </w:rPr>
              <w:t>▲</w:t>
            </w:r>
            <w:r>
              <w:rPr>
                <w:rFonts w:cs="宋体"/>
                <w:kern w:val="0"/>
                <w:sz w:val="24"/>
              </w:rPr>
              <w:t>2.产品符合《紫外杀菌灯》GB19258-2012。提供带有CMA标志的第三方检测机构出具的检测报告复印件。</w:t>
            </w:r>
          </w:p>
        </w:tc>
        <w:tc>
          <w:tcPr>
            <w:tcW w:w="811" w:type="dxa"/>
            <w:noWrap w:val="0"/>
            <w:vAlign w:val="center"/>
          </w:tcPr>
          <w:p>
            <w:pPr>
              <w:spacing w:after="0" w:line="240" w:lineRule="auto"/>
              <w:jc w:val="center"/>
              <w:rPr>
                <w:rFonts w:cs="宋体"/>
                <w:kern w:val="0"/>
                <w:sz w:val="24"/>
              </w:rPr>
            </w:pPr>
            <w:r>
              <w:rPr>
                <w:rFonts w:ascii="宋体" w:hAnsi="宋体" w:cs="宋体"/>
                <w:sz w:val="24"/>
              </w:rPr>
              <w:t>168</w:t>
            </w:r>
          </w:p>
        </w:tc>
        <w:tc>
          <w:tcPr>
            <w:tcW w:w="728" w:type="dxa"/>
            <w:noWrap w:val="0"/>
            <w:vAlign w:val="center"/>
          </w:tcPr>
          <w:p>
            <w:pPr>
              <w:spacing w:after="0" w:line="240" w:lineRule="auto"/>
              <w:jc w:val="center"/>
              <w:rPr>
                <w:rFonts w:cs="宋体"/>
                <w:kern w:val="0"/>
                <w:sz w:val="24"/>
              </w:rPr>
            </w:pPr>
            <w:r>
              <w:rPr>
                <w:rFonts w:hint="eastAsia" w:cs="宋体"/>
                <w:kern w:val="0"/>
                <w:sz w:val="24"/>
              </w:rPr>
              <w:t>盏</w:t>
            </w:r>
          </w:p>
        </w:tc>
      </w:tr>
    </w:tbl>
    <w:p>
      <w:pPr>
        <w:tabs>
          <w:tab w:val="left" w:pos="312"/>
        </w:tabs>
        <w:spacing w:line="360" w:lineRule="auto"/>
        <w:ind w:firstLine="482" w:firstLineChars="200"/>
        <w:outlineLvl w:val="1"/>
        <w:rPr>
          <w:rFonts w:hint="eastAsia" w:ascii="宋体" w:hAnsi="宋体" w:eastAsia="宋体" w:cs="宋体"/>
          <w:bCs/>
          <w:color w:val="auto"/>
          <w:sz w:val="24"/>
          <w:szCs w:val="24"/>
          <w:highlight w:val="none"/>
        </w:rPr>
      </w:pPr>
      <w:r>
        <w:rPr>
          <w:rFonts w:hint="eastAsia" w:ascii="宋体" w:hAnsi="宋体" w:cs="宋体"/>
          <w:b/>
          <w:bCs/>
          <w:color w:val="auto"/>
          <w:sz w:val="24"/>
          <w:highlight w:val="none"/>
          <w:lang w:val="en-US" w:eastAsia="zh-CN"/>
        </w:rPr>
        <w:t>*</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安装要求</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1、根据现场安装，遵循国家安全标准。</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2、每间教室安装灯光，电线开关等按照现场要求，遵循国家安全标准。</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3、供应商在安装前需对每个同类教室进行教室光照系统设计及施工设计并提交采购人进行审核，审核通过后方可进行安装施工</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4、安装时不得影响学校的正常教学秩序。</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设计要求</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1、供应商需根据标准教室进行设计</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2、设计方案需满足国家相关标准并根据教学需要对教室光环境进行设计</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3、设计图至少包含：</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（1）线路图</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（2）教室照明设计侧视图</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（3）教室照明设计俯视图</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（4）效果图</w:t>
      </w:r>
    </w:p>
    <w:p>
      <w:pPr>
        <w:tabs>
          <w:tab w:val="left" w:pos="312"/>
        </w:tabs>
        <w:spacing w:line="360" w:lineRule="auto"/>
        <w:ind w:firstLine="480" w:firstLineChars="200"/>
        <w:outlineLvl w:val="1"/>
        <w:rPr>
          <w:rFonts w:hint="eastAsia" w:ascii="宋体" w:hAnsi="宋体" w:eastAsia="宋体" w:cs="宋体"/>
          <w:bCs/>
          <w:color w:val="auto"/>
          <w:sz w:val="24"/>
          <w:szCs w:val="24"/>
          <w:highlight w:val="none"/>
        </w:rPr>
      </w:pPr>
    </w:p>
    <w:p>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注：</w:t>
      </w:r>
      <w:r>
        <w:rPr>
          <w:rFonts w:hint="eastAsia" w:ascii="宋体" w:hAnsi="宋体" w:cs="宋体"/>
          <w:b/>
          <w:bCs/>
          <w:color w:val="auto"/>
          <w:sz w:val="24"/>
          <w:highlight w:val="none"/>
          <w:lang w:val="en-US" w:eastAsia="zh-CN"/>
        </w:rPr>
        <w:t>1、以上带*的为实质性要求，不允许负偏离。</w:t>
      </w:r>
    </w:p>
    <w:p>
      <w:pPr>
        <w:spacing w:line="360" w:lineRule="auto"/>
        <w:ind w:firstLine="482" w:firstLineChars="200"/>
        <w:rPr>
          <w:rFonts w:hint="eastAsia" w:eastAsia="宋体"/>
          <w:lang w:val="en-US" w:eastAsia="zh-CN"/>
        </w:rPr>
      </w:pPr>
      <w:r>
        <w:rPr>
          <w:rFonts w:hint="eastAsia" w:ascii="宋体" w:hAnsi="宋体" w:cs="宋体"/>
          <w:b/>
          <w:bCs/>
          <w:color w:val="auto"/>
          <w:sz w:val="24"/>
          <w:highlight w:val="none"/>
          <w:lang w:val="en-US" w:eastAsia="zh-CN"/>
        </w:rPr>
        <w:t>2、带“▲”技术参数或无标识参数为可竞争参数，供应商可根据自身产品情况进行正负偏离，提供相关佐证材料，该偏离参与综合评分,不满足作扣分处理。</w:t>
      </w:r>
    </w:p>
    <w:p>
      <w:pPr>
        <w:pStyle w:val="2"/>
        <w:rPr>
          <w:rFonts w:hint="eastAsia"/>
        </w:rPr>
        <w:sectPr>
          <w:headerReference r:id="rId6" w:type="default"/>
          <w:footerReference r:id="rId7" w:type="default"/>
          <w:pgSz w:w="11906" w:h="16838"/>
          <w:pgMar w:top="1440" w:right="1417" w:bottom="1440" w:left="1417" w:header="851" w:footer="992" w:gutter="0"/>
          <w:cols w:space="720" w:num="1"/>
          <w:docGrid w:type="lines" w:linePitch="312" w:charSpace="0"/>
        </w:sectPr>
      </w:pPr>
    </w:p>
    <w:p>
      <w:pPr>
        <w:pStyle w:val="3"/>
        <w:jc w:val="center"/>
        <w:rPr>
          <w:color w:val="auto"/>
          <w:highlight w:val="none"/>
          <w:lang w:val="zh-CN"/>
        </w:rPr>
      </w:pPr>
      <w:r>
        <w:rPr>
          <w:rFonts w:hint="eastAsia"/>
          <w:color w:val="auto"/>
          <w:highlight w:val="none"/>
        </w:rPr>
        <w:t>第六章  响应文件格式</w:t>
      </w:r>
      <w:bookmarkEnd w:id="113"/>
    </w:p>
    <w:p>
      <w:pPr>
        <w:pStyle w:val="38"/>
        <w:spacing w:line="360" w:lineRule="auto"/>
        <w:ind w:firstLine="480" w:firstLineChars="200"/>
        <w:rPr>
          <w:rFonts w:hAnsi="宋体"/>
          <w:color w:val="auto"/>
          <w:highlight w:val="none"/>
          <w:lang w:val="zh-CN"/>
        </w:rPr>
      </w:pPr>
      <w:r>
        <w:rPr>
          <w:rFonts w:hint="eastAsia" w:hAnsi="宋体"/>
          <w:color w:val="auto"/>
          <w:highlight w:val="none"/>
          <w:lang w:val="zh-CN"/>
        </w:rPr>
        <w:t>一、本章所制响应文件格式，除格式中明确将该格式作为实质性要求的，一律不具有强制性。</w:t>
      </w:r>
    </w:p>
    <w:p>
      <w:pPr>
        <w:pStyle w:val="38"/>
        <w:spacing w:line="360" w:lineRule="auto"/>
        <w:rPr>
          <w:rFonts w:hAnsi="宋体"/>
          <w:color w:val="auto"/>
          <w:highlight w:val="none"/>
          <w:lang w:val="zh-CN"/>
        </w:rPr>
      </w:pPr>
      <w:r>
        <w:rPr>
          <w:rFonts w:hint="eastAsia" w:hAnsi="宋体"/>
          <w:color w:val="auto"/>
          <w:highlight w:val="none"/>
          <w:lang w:val="zh-CN"/>
        </w:rPr>
        <w:t xml:space="preserve">    二、本章所制响应文件格式有关表格中的备注栏，由供应商根据自身响应情况作解释性说明，不作为必填项。</w:t>
      </w:r>
    </w:p>
    <w:p>
      <w:pPr>
        <w:pStyle w:val="38"/>
        <w:spacing w:line="360" w:lineRule="auto"/>
        <w:ind w:firstLine="480" w:firstLineChars="200"/>
        <w:rPr>
          <w:rFonts w:hAnsi="宋体"/>
          <w:color w:val="auto"/>
          <w:highlight w:val="none"/>
          <w:lang w:val="zh-CN"/>
        </w:rPr>
      </w:pPr>
      <w:r>
        <w:rPr>
          <w:rFonts w:hint="eastAsia" w:hAnsi="宋体"/>
          <w:color w:val="auto"/>
          <w:highlight w:val="none"/>
          <w:lang w:val="zh-CN"/>
        </w:rPr>
        <w:t>三、本章所制响应文件格式中需要填写的相关内容事项，可能会与本采购项目无关，在不改变响应文件原义、不影响本项目采购需求的情况下，供应商可以不予填写，但应当注明。</w:t>
      </w: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spacing w:line="360" w:lineRule="auto"/>
        <w:jc w:val="center"/>
        <w:outlineLvl w:val="1"/>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第一部分  资格性响应文件(格式)</w:t>
      </w: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一、法定代表人/单位负责人授权书</w:t>
      </w: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华信天成工程管理有限公司</w:t>
      </w:r>
      <w:r>
        <w:rPr>
          <w:rFonts w:hint="eastAsia" w:ascii="宋体" w:hAnsi="宋体" w:cs="宋体"/>
          <w:color w:val="auto"/>
          <w:sz w:val="24"/>
          <w:highlight w:val="none"/>
        </w:rPr>
        <w:t>：</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本授权声明：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none"/>
        </w:rPr>
        <w:t>磋商供应商名称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none"/>
        </w:rPr>
        <w:t>法定代表人/单位负责人姓名、职务</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none"/>
        </w:rPr>
        <w:t>被授权人姓名、职务、身份证号码</w:t>
      </w:r>
      <w:r>
        <w:rPr>
          <w:rFonts w:hint="eastAsia" w:ascii="宋体" w:hAnsi="宋体" w:cs="宋体"/>
          <w:color w:val="auto"/>
          <w:sz w:val="24"/>
          <w:highlight w:val="none"/>
        </w:rPr>
        <w:t>)为我方参加“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none"/>
        </w:rPr>
        <w:t>项目名称</w:t>
      </w:r>
      <w:r>
        <w:rPr>
          <w:rFonts w:hint="eastAsia" w:ascii="宋体" w:hAnsi="宋体" w:cs="宋体"/>
          <w:color w:val="auto"/>
          <w:sz w:val="24"/>
          <w:highlight w:val="none"/>
        </w:rPr>
        <w:t>）”磋商活动的合法代表，以我方名义全权处理该项目有关磋商、签订合同以及执行合同等一切事宜。</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特此声明。</w:t>
      </w:r>
    </w:p>
    <w:p>
      <w:pPr>
        <w:spacing w:line="360" w:lineRule="auto"/>
        <w:rPr>
          <w:rFonts w:ascii="宋体" w:hAnsi="宋体" w:cs="宋体"/>
          <w:color w:val="auto"/>
          <w:sz w:val="24"/>
          <w:highlight w:val="none"/>
        </w:rPr>
      </w:pPr>
      <w:r>
        <w:rPr>
          <w:rFonts w:hint="eastAsia" w:ascii="宋体" w:hAnsi="宋体" w:cs="宋体"/>
          <w:color w:val="auto"/>
          <w:sz w:val="24"/>
          <w:highlight w:val="none"/>
        </w:rPr>
        <w:t>附：法定代表人/单位负责人和被授权人身份证复印件正反面</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法定代表人/单位负责人签字（</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授权代表签字（</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 (加盖公章)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t>注：法定代表人/单位负责人不亲自参加磋商，而授权代表参加磋商的适用。</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38"/>
        <w:spacing w:line="360" w:lineRule="auto"/>
        <w:rPr>
          <w:rFonts w:hAnsi="宋体"/>
          <w:color w:val="auto"/>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二、法定代表人/单位负责人证明书</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本人系（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）的法定代表人/单位负责人。就参加你单位组织的</w:t>
      </w:r>
      <w:r>
        <w:rPr>
          <w:rFonts w:hint="eastAsia" w:ascii="宋体" w:hAnsi="宋体" w:cs="宋体"/>
          <w:color w:val="auto"/>
          <w:sz w:val="24"/>
          <w:highlight w:val="none"/>
          <w:u w:val="single"/>
        </w:rPr>
        <w:t>“              项目(        项目编号    )”</w:t>
      </w:r>
      <w:r>
        <w:rPr>
          <w:rFonts w:hint="eastAsia" w:ascii="宋体" w:hAnsi="宋体" w:cs="宋体"/>
          <w:color w:val="auto"/>
          <w:sz w:val="24"/>
          <w:highlight w:val="none"/>
        </w:rPr>
        <w:t>的磋商活动、并参与项目的磋商、签订合同以及执行合同等一切事宜。</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附：法定代表人/单位负责人身份证复印件正反面</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color w:val="auto"/>
          <w:highlight w:val="none"/>
        </w:rPr>
      </w:pPr>
    </w:p>
    <w:p>
      <w:pPr>
        <w:pStyle w:val="38"/>
        <w:spacing w:line="360" w:lineRule="auto"/>
        <w:rPr>
          <w:rFonts w:hAnsi="宋体"/>
          <w:color w:val="auto"/>
          <w:highlight w:val="none"/>
        </w:rPr>
      </w:pPr>
    </w:p>
    <w:p>
      <w:pPr>
        <w:numPr>
          <w:ilvl w:val="0"/>
          <w:numId w:val="9"/>
        </w:num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承诺函</w:t>
      </w: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华信天成工程管理有限公司</w:t>
      </w:r>
      <w:r>
        <w:rPr>
          <w:rFonts w:hint="eastAsia" w:ascii="宋体" w:hAnsi="宋体" w:cs="宋体"/>
          <w:color w:val="auto"/>
          <w:sz w:val="24"/>
          <w:highlight w:val="none"/>
        </w:rPr>
        <w:t>：</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我公司作为</w:t>
      </w:r>
      <w:r>
        <w:rPr>
          <w:rFonts w:hint="eastAsia" w:ascii="宋体" w:hAnsi="宋体" w:cs="宋体"/>
          <w:color w:val="auto"/>
          <w:sz w:val="24"/>
          <w:highlight w:val="none"/>
          <w:u w:val="single"/>
        </w:rPr>
        <w:t xml:space="preserve">  项目名称（项目编号） </w:t>
      </w:r>
      <w:r>
        <w:rPr>
          <w:rFonts w:hint="eastAsia" w:ascii="宋体" w:hAnsi="宋体" w:cs="宋体"/>
          <w:color w:val="auto"/>
          <w:sz w:val="24"/>
          <w:highlight w:val="none"/>
        </w:rPr>
        <w:t>的磋商供应商，根据采购文件要求，现郑重承诺如下：</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一、具备《中华人民共和国政府采购法》第二十二条第一款和本项目规定的条件：</w:t>
      </w:r>
    </w:p>
    <w:p>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rPr>
          <w:rFonts w:ascii="宋体" w:hAnsi="宋体" w:cs="宋体"/>
          <w:color w:val="auto"/>
          <w:sz w:val="24"/>
          <w:highlight w:val="none"/>
        </w:rPr>
      </w:pPr>
      <w:r>
        <w:rPr>
          <w:rFonts w:hint="eastAsia" w:ascii="宋体" w:hAnsi="宋体" w:cs="宋体"/>
          <w:color w:val="auto"/>
          <w:sz w:val="24"/>
          <w:highlight w:val="none"/>
        </w:rPr>
        <w:t>二、完全接受和满足本项目采购文件中规定的实质性要求，如对采购文件有异议，已经在磋商截止时间届满前依法进行维权救济，不存在对采购文件有异议的同时又参加磋商以求侥幸成交或者为实现其他非法目的的行为。</w:t>
      </w:r>
    </w:p>
    <w:p>
      <w:pPr>
        <w:spacing w:line="360" w:lineRule="auto"/>
        <w:rPr>
          <w:rFonts w:ascii="宋体" w:hAnsi="宋体" w:cs="宋体"/>
          <w:color w:val="auto"/>
          <w:sz w:val="24"/>
          <w:highlight w:val="none"/>
        </w:rPr>
      </w:pPr>
      <w:r>
        <w:rPr>
          <w:rFonts w:hint="eastAsia" w:ascii="宋体" w:hAnsi="宋体" w:cs="宋体"/>
          <w:color w:val="auto"/>
          <w:sz w:val="24"/>
          <w:highlight w:val="none"/>
        </w:rPr>
        <w:t>三、参加本次招标采购活动，不存在与单位负责人为同一人或者存在直接控股、管理关系的其他供应商参与同一合同项下的政府采购活动的行为；</w:t>
      </w:r>
    </w:p>
    <w:p>
      <w:pPr>
        <w:spacing w:line="360" w:lineRule="auto"/>
        <w:rPr>
          <w:rFonts w:ascii="宋体" w:hAnsi="宋体" w:cs="宋体"/>
          <w:color w:val="auto"/>
          <w:sz w:val="24"/>
          <w:highlight w:val="none"/>
        </w:rPr>
      </w:pPr>
      <w:r>
        <w:rPr>
          <w:rFonts w:hint="eastAsia" w:ascii="宋体" w:hAnsi="宋体" w:cs="宋体"/>
          <w:color w:val="auto"/>
          <w:sz w:val="24"/>
          <w:highlight w:val="none"/>
        </w:rPr>
        <w:t>四、参加本次招标采购活动，不存在和其他供应商在同一合同项下的采购项目中，同时委托同一个自然人、同一家庭的人员、同一单位的人员作为代理人的行为；</w:t>
      </w:r>
    </w:p>
    <w:p>
      <w:pPr>
        <w:spacing w:line="360" w:lineRule="auto"/>
        <w:rPr>
          <w:rFonts w:ascii="宋体" w:hAnsi="宋体" w:cs="宋体"/>
          <w:color w:val="auto"/>
          <w:sz w:val="24"/>
          <w:highlight w:val="none"/>
        </w:rPr>
      </w:pPr>
      <w:r>
        <w:rPr>
          <w:rFonts w:hint="eastAsia" w:ascii="宋体" w:hAnsi="宋体" w:cs="宋体"/>
          <w:color w:val="auto"/>
          <w:sz w:val="24"/>
          <w:highlight w:val="none"/>
        </w:rPr>
        <w:t>五、参加本次招标采购活动前本单位未对本次采购项目提供过整体设计、规范编制或者项目管理、监理、检测等服务；</w:t>
      </w:r>
    </w:p>
    <w:p>
      <w:pPr>
        <w:spacing w:line="360" w:lineRule="auto"/>
        <w:rPr>
          <w:rFonts w:ascii="宋体" w:hAnsi="宋体" w:cs="宋体"/>
          <w:color w:val="auto"/>
          <w:sz w:val="24"/>
          <w:highlight w:val="none"/>
        </w:rPr>
      </w:pPr>
      <w:r>
        <w:rPr>
          <w:rFonts w:hint="eastAsia" w:ascii="宋体" w:hAnsi="宋体" w:cs="宋体"/>
          <w:color w:val="auto"/>
          <w:sz w:val="24"/>
          <w:highlight w:val="none"/>
        </w:rPr>
        <w:t>六、响应文件中提供的能够给予我公司带来优惠、好处的任何材料资料和服务、商务等响应承诺情况都是真实的、有效的、合法的。</w:t>
      </w:r>
    </w:p>
    <w:p>
      <w:pPr>
        <w:spacing w:line="360" w:lineRule="auto"/>
        <w:rPr>
          <w:rFonts w:ascii="宋体" w:hAnsi="宋体" w:cs="宋体"/>
          <w:color w:val="auto"/>
          <w:sz w:val="24"/>
          <w:highlight w:val="none"/>
        </w:rPr>
      </w:pPr>
      <w:bookmarkStart w:id="117" w:name="_Toc22808"/>
      <w:r>
        <w:rPr>
          <w:rFonts w:hint="eastAsia" w:ascii="宋体" w:hAnsi="宋体" w:cs="宋体"/>
          <w:color w:val="auto"/>
          <w:sz w:val="24"/>
          <w:highlight w:val="none"/>
        </w:rPr>
        <w:t>七、我单位</w:t>
      </w: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承诺截至磋商截止日未被列入失信被执行人、重大税收违法案件当事人名单、政府采购严重违法失信行为记录名单。</w:t>
      </w:r>
      <w:bookmarkEnd w:id="117"/>
    </w:p>
    <w:p>
      <w:pPr>
        <w:spacing w:line="360" w:lineRule="auto"/>
        <w:rPr>
          <w:rFonts w:ascii="宋体" w:hAnsi="宋体" w:cs="宋体"/>
          <w:color w:val="auto"/>
          <w:sz w:val="24"/>
          <w:highlight w:val="none"/>
        </w:rPr>
      </w:pPr>
      <w:bookmarkStart w:id="118" w:name="_Toc17674"/>
      <w:r>
        <w:rPr>
          <w:rFonts w:hint="eastAsia" w:ascii="宋体" w:hAnsi="宋体" w:cs="宋体"/>
          <w:color w:val="auto"/>
          <w:sz w:val="24"/>
          <w:highlight w:val="none"/>
        </w:rPr>
        <w:t>八、我单位</w:t>
      </w: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（法定代表人/单位负责人）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主要负责人）</w:t>
      </w:r>
      <w:r>
        <w:rPr>
          <w:rFonts w:hint="eastAsia" w:ascii="宋体" w:hAnsi="宋体" w:cs="宋体"/>
          <w:color w:val="auto"/>
          <w:sz w:val="24"/>
          <w:highlight w:val="none"/>
        </w:rPr>
        <w:t>在参加本项目政府采购活动前三年内没有行贿犯罪记录。</w:t>
      </w:r>
      <w:bookmarkEnd w:id="118"/>
    </w:p>
    <w:p>
      <w:pPr>
        <w:spacing w:line="360" w:lineRule="auto"/>
        <w:rPr>
          <w:rFonts w:ascii="宋体" w:hAnsi="宋体" w:cs="宋体"/>
          <w:color w:val="auto"/>
          <w:sz w:val="24"/>
          <w:highlight w:val="none"/>
        </w:rPr>
      </w:pPr>
      <w:r>
        <w:rPr>
          <w:rFonts w:hint="eastAsia" w:ascii="宋体" w:hAnsi="宋体" w:cs="宋体"/>
          <w:color w:val="auto"/>
          <w:sz w:val="24"/>
          <w:highlight w:val="none"/>
        </w:rPr>
        <w:t>九、我单位承诺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本公司对上述承诺的内容事项真实性负责。如经查实上述承诺的内容事项存在虚假，我公司愿意接受以提供虚假材料谋取成交追究法律责任。</w:t>
      </w:r>
    </w:p>
    <w:p>
      <w:pPr>
        <w:pStyle w:val="38"/>
        <w:spacing w:line="360" w:lineRule="auto"/>
        <w:ind w:firstLine="480"/>
        <w:rPr>
          <w:rFonts w:hAnsi="宋体"/>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spacing w:line="360" w:lineRule="auto"/>
        <w:rPr>
          <w:rFonts w:ascii="宋体" w:hAnsi="宋体" w:cs="宋体"/>
          <w:color w:val="auto"/>
          <w:sz w:val="24"/>
          <w:highlight w:val="none"/>
        </w:rPr>
      </w:pPr>
    </w:p>
    <w:p>
      <w:pPr>
        <w:pStyle w:val="75"/>
        <w:ind w:firstLine="0" w:firstLineChars="0"/>
        <w:jc w:val="center"/>
        <w:outlineLvl w:val="2"/>
        <w:rPr>
          <w:rFonts w:ascii="宋体" w:hAnsi="宋体" w:cs="宋体"/>
          <w:b/>
          <w:color w:val="auto"/>
          <w:sz w:val="24"/>
          <w:highlight w:val="none"/>
        </w:rPr>
      </w:pPr>
      <w:r>
        <w:rPr>
          <w:rFonts w:hint="eastAsia" w:ascii="宋体" w:hAnsi="宋体" w:cs="宋体"/>
          <w:b/>
          <w:bCs/>
          <w:color w:val="auto"/>
          <w:kern w:val="0"/>
          <w:sz w:val="24"/>
          <w:highlight w:val="none"/>
        </w:rPr>
        <w:br w:type="page"/>
      </w:r>
      <w:bookmarkStart w:id="119" w:name="_Toc30801"/>
      <w:bookmarkStart w:id="120" w:name="_Toc468700787"/>
      <w:bookmarkStart w:id="121" w:name="_Toc489015429"/>
      <w:r>
        <w:rPr>
          <w:rFonts w:hint="eastAsia" w:ascii="宋体" w:hAnsi="宋体" w:cs="宋体"/>
          <w:b/>
          <w:color w:val="auto"/>
          <w:sz w:val="24"/>
          <w:highlight w:val="none"/>
        </w:rPr>
        <w:t>四、中小企业声明函</w:t>
      </w:r>
      <w:bookmarkEnd w:id="119"/>
      <w:bookmarkEnd w:id="120"/>
      <w:bookmarkEnd w:id="121"/>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本公司郑重声明，根据《政府采购促进中小企业发展管理办法》（财库[2020]46号）的规定，本公司参加</w:t>
      </w:r>
      <w:r>
        <w:rPr>
          <w:rFonts w:hint="eastAsia" w:ascii="宋体" w:hAnsi="宋体" w:cs="宋体"/>
          <w:color w:val="auto"/>
          <w:sz w:val="24"/>
          <w:highlight w:val="none"/>
          <w:u w:val="single"/>
        </w:rPr>
        <w:t xml:space="preserve"> （单位名称）的（项目名称）采购活动，</w:t>
      </w:r>
      <w:r>
        <w:rPr>
          <w:rFonts w:hint="eastAsia" w:ascii="宋体" w:hAnsi="宋体" w:cs="宋体"/>
          <w:color w:val="auto"/>
          <w:sz w:val="24"/>
          <w:highlight w:val="none"/>
        </w:rPr>
        <w:t>服务全部由符合政策要求的中小企业承接。相关企业的具体情况如下：</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b/>
          <w:bCs/>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b/>
          <w:bCs/>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520" w:lineRule="exact"/>
        <w:rPr>
          <w:rFonts w:ascii="宋体" w:hAnsi="宋体" w:cs="宋体"/>
          <w:color w:val="auto"/>
          <w:sz w:val="24"/>
          <w:highlight w:val="none"/>
        </w:rPr>
      </w:pPr>
      <w:r>
        <w:rPr>
          <w:rFonts w:hint="eastAsia" w:ascii="宋体" w:hAnsi="宋体" w:cs="宋体"/>
          <w:color w:val="auto"/>
          <w:sz w:val="24"/>
          <w:highlight w:val="none"/>
        </w:rPr>
        <w:t> </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pPr>
        <w:widowControl/>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磋商日期：</w:t>
      </w:r>
      <w:r>
        <w:rPr>
          <w:rFonts w:hint="eastAsia" w:ascii="宋体" w:hAnsi="宋体" w:cs="宋体"/>
          <w:color w:val="auto"/>
          <w:sz w:val="24"/>
          <w:highlight w:val="none"/>
          <w:u w:val="single"/>
        </w:rPr>
        <w:t xml:space="preserve">         </w:t>
      </w: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rPr>
          <w:b/>
          <w:bCs/>
          <w:color w:val="auto"/>
          <w:highlight w:val="none"/>
        </w:rPr>
      </w:pPr>
      <w:r>
        <w:rPr>
          <w:rFonts w:hint="eastAsia"/>
          <w:b/>
          <w:bCs/>
          <w:color w:val="auto"/>
          <w:highlight w:val="none"/>
        </w:rPr>
        <w:t>注：从业人员、营业收入、资产总额填报上一年度数据，无上一年度数据的新成立企业可不填报。</w:t>
      </w:r>
    </w:p>
    <w:p>
      <w:pPr>
        <w:rPr>
          <w:rFonts w:ascii="宋体" w:hAnsi="宋体" w:cs="宋体"/>
          <w:color w:val="auto"/>
          <w:kern w:val="0"/>
          <w:sz w:val="24"/>
          <w:highlight w:val="none"/>
        </w:rPr>
      </w:pPr>
    </w:p>
    <w:p>
      <w:pPr>
        <w:rPr>
          <w:color w:val="auto"/>
          <w:highlight w:val="none"/>
        </w:rPr>
      </w:pPr>
    </w:p>
    <w:p>
      <w:pPr>
        <w:rPr>
          <w:color w:val="auto"/>
          <w:highlight w:val="none"/>
        </w:rPr>
      </w:pPr>
    </w:p>
    <w:p>
      <w:pPr>
        <w:pStyle w:val="68"/>
        <w:rPr>
          <w:rFonts w:cs="宋体"/>
          <w:color w:val="auto"/>
          <w:highlight w:val="none"/>
        </w:rPr>
      </w:pPr>
    </w:p>
    <w:p>
      <w:pPr>
        <w:pStyle w:val="68"/>
        <w:rPr>
          <w:rFonts w:cs="宋体"/>
          <w:color w:val="auto"/>
          <w:highlight w:val="none"/>
        </w:rPr>
      </w:pPr>
    </w:p>
    <w:p>
      <w:pPr>
        <w:pStyle w:val="68"/>
        <w:rPr>
          <w:rFonts w:cs="宋体"/>
          <w:color w:val="auto"/>
          <w:highlight w:val="none"/>
        </w:rPr>
      </w:pPr>
    </w:p>
    <w:p>
      <w:pPr>
        <w:pStyle w:val="68"/>
        <w:rPr>
          <w:rFonts w:cs="宋体"/>
          <w:color w:val="auto"/>
          <w:highlight w:val="none"/>
        </w:rPr>
      </w:pPr>
    </w:p>
    <w:p>
      <w:pPr>
        <w:rPr>
          <w:rFonts w:ascii="宋体" w:hAnsi="宋体" w:cs="宋体"/>
          <w:color w:val="auto"/>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jc w:val="center"/>
        <w:outlineLvl w:val="2"/>
        <w:rPr>
          <w:color w:val="auto"/>
          <w:highlight w:val="none"/>
          <w:lang w:val="zh-CN"/>
        </w:rPr>
      </w:pPr>
      <w:bookmarkStart w:id="122" w:name="_Toc482023488"/>
      <w:bookmarkStart w:id="123" w:name="_Toc18558"/>
      <w:bookmarkStart w:id="124" w:name="_Toc489015431"/>
      <w:r>
        <w:rPr>
          <w:rFonts w:hint="eastAsia" w:ascii="宋体" w:hAnsi="宋体" w:cs="宋体"/>
          <w:color w:val="auto"/>
          <w:sz w:val="24"/>
          <w:highlight w:val="none"/>
        </w:rPr>
        <w:br w:type="page"/>
      </w:r>
      <w:r>
        <w:rPr>
          <w:rFonts w:hint="eastAsia" w:ascii="宋体" w:hAnsi="宋体" w:cs="宋体"/>
          <w:b/>
          <w:bCs/>
          <w:color w:val="auto"/>
          <w:kern w:val="0"/>
          <w:sz w:val="24"/>
          <w:highlight w:val="none"/>
        </w:rPr>
        <w:t>五</w:t>
      </w:r>
      <w:r>
        <w:rPr>
          <w:rFonts w:hint="eastAsia" w:ascii="宋体" w:hAnsi="宋体" w:cs="宋体"/>
          <w:b/>
          <w:bCs/>
          <w:color w:val="auto"/>
          <w:kern w:val="0"/>
          <w:sz w:val="24"/>
          <w:highlight w:val="none"/>
          <w:lang w:val="zh-CN"/>
        </w:rPr>
        <w:t>、监狱企业证明材料</w:t>
      </w:r>
      <w:bookmarkEnd w:id="122"/>
      <w:bookmarkEnd w:id="123"/>
      <w:bookmarkEnd w:id="124"/>
    </w:p>
    <w:p>
      <w:pPr>
        <w:spacing w:line="360" w:lineRule="auto"/>
        <w:ind w:firstLine="630" w:firstLineChars="250"/>
        <w:rPr>
          <w:rFonts w:ascii="宋体" w:hAnsi="宋体" w:cs="宋体"/>
          <w:color w:val="auto"/>
          <w:spacing w:val="6"/>
          <w:sz w:val="24"/>
          <w:highlight w:val="none"/>
        </w:rPr>
      </w:pPr>
    </w:p>
    <w:p>
      <w:pPr>
        <w:spacing w:line="360" w:lineRule="auto"/>
        <w:ind w:firstLine="630" w:firstLineChars="250"/>
        <w:rPr>
          <w:rFonts w:ascii="宋体" w:hAnsi="宋体" w:cs="宋体"/>
          <w:color w:val="auto"/>
          <w:spacing w:val="6"/>
          <w:sz w:val="24"/>
          <w:highlight w:val="none"/>
        </w:rPr>
      </w:pPr>
      <w:r>
        <w:rPr>
          <w:rFonts w:hint="eastAsia" w:ascii="宋体" w:hAnsi="宋体" w:cs="宋体"/>
          <w:color w:val="auto"/>
          <w:spacing w:val="6"/>
          <w:sz w:val="24"/>
          <w:highlight w:val="none"/>
        </w:rPr>
        <w:t>由供应商提供由省级以上监狱管理局、戒毒管理局（含新疆生产建设兵团）出具的属于监狱企业的证明文件。</w:t>
      </w:r>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color w:val="auto"/>
          <w:spacing w:val="6"/>
          <w:sz w:val="24"/>
          <w:highlight w:val="none"/>
        </w:rPr>
      </w:pPr>
    </w:p>
    <w:p>
      <w:pPr>
        <w:rPr>
          <w:rFonts w:ascii="宋体" w:hAnsi="宋体" w:cs="宋体"/>
          <w:color w:val="auto"/>
          <w:sz w:val="24"/>
          <w:highlight w:val="none"/>
        </w:rPr>
      </w:pPr>
      <w:r>
        <w:rPr>
          <w:rFonts w:hint="eastAsia" w:ascii="宋体" w:hAnsi="宋体" w:cs="宋体"/>
          <w:b/>
          <w:bCs/>
          <w:color w:val="auto"/>
          <w:sz w:val="24"/>
          <w:highlight w:val="none"/>
        </w:rPr>
        <w:t>注：（1）供应商属于监狱企业单位则提供，不属于监狱企业不需要提供；</w:t>
      </w:r>
    </w:p>
    <w:p>
      <w:pPr>
        <w:spacing w:line="360" w:lineRule="auto"/>
        <w:rPr>
          <w:rFonts w:ascii="宋体" w:hAnsi="宋体" w:cs="宋体"/>
          <w:color w:val="auto"/>
          <w:spacing w:val="6"/>
          <w:sz w:val="24"/>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pStyle w:val="38"/>
        <w:spacing w:line="360" w:lineRule="auto"/>
        <w:rPr>
          <w:rFonts w:hAnsi="宋体"/>
          <w:color w:val="auto"/>
          <w:spacing w:val="6"/>
          <w:highlight w:val="none"/>
        </w:rPr>
      </w:pPr>
    </w:p>
    <w:p>
      <w:pPr>
        <w:spacing w:line="360" w:lineRule="auto"/>
        <w:jc w:val="center"/>
        <w:rPr>
          <w:rFonts w:ascii="宋体" w:hAnsi="宋体" w:cs="宋体"/>
          <w:b/>
          <w:color w:val="auto"/>
          <w:spacing w:val="6"/>
          <w:sz w:val="24"/>
          <w:highlight w:val="none"/>
        </w:rPr>
      </w:pPr>
      <w:bookmarkStart w:id="125" w:name="OLE_LINK13"/>
      <w:bookmarkStart w:id="126" w:name="OLE_LINK14"/>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六、残疾人福利性单位声明函</w:t>
      </w:r>
    </w:p>
    <w:bookmarkEnd w:id="125"/>
    <w:bookmarkEnd w:id="126"/>
    <w:p>
      <w:pPr>
        <w:spacing w:line="360" w:lineRule="auto"/>
        <w:rPr>
          <w:rFonts w:ascii="宋体" w:hAnsi="宋体" w:cs="宋体"/>
          <w:b/>
          <w:color w:val="auto"/>
          <w:spacing w:val="6"/>
          <w:sz w:val="24"/>
          <w:highlight w:val="none"/>
        </w:rPr>
      </w:pP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s="宋体"/>
          <w:color w:val="auto"/>
          <w:spacing w:val="6"/>
          <w:sz w:val="24"/>
          <w:highlight w:val="none"/>
        </w:rPr>
      </w:pPr>
    </w:p>
    <w:p>
      <w:pPr>
        <w:spacing w:line="360" w:lineRule="auto"/>
        <w:ind w:firstLine="504" w:firstLineChars="200"/>
        <w:rPr>
          <w:rFonts w:ascii="宋体" w:hAnsi="宋体" w:cs="宋体"/>
          <w:color w:val="auto"/>
          <w:spacing w:val="6"/>
          <w:sz w:val="24"/>
          <w:highlight w:val="none"/>
        </w:rPr>
      </w:pPr>
    </w:p>
    <w:p>
      <w:pPr>
        <w:tabs>
          <w:tab w:val="left" w:pos="4860"/>
        </w:tabs>
        <w:spacing w:line="360" w:lineRule="auto"/>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360" w:lineRule="auto"/>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w:t>
      </w:r>
    </w:p>
    <w:p>
      <w:pPr>
        <w:pStyle w:val="26"/>
        <w:ind w:firstLine="0" w:firstLineChars="0"/>
        <w:rPr>
          <w:rFonts w:ascii="宋体" w:hAnsi="宋体" w:cs="宋体"/>
          <w:color w:val="auto"/>
          <w:highlight w:val="none"/>
          <w:lang w:val="zh-CN"/>
        </w:rPr>
      </w:pPr>
    </w:p>
    <w:p>
      <w:pPr>
        <w:spacing w:line="360" w:lineRule="auto"/>
        <w:jc w:val="left"/>
        <w:rPr>
          <w:rFonts w:ascii="宋体" w:hAnsi="宋体" w:cs="宋体"/>
          <w:b/>
          <w:bCs/>
          <w:color w:val="auto"/>
          <w:kern w:val="0"/>
          <w:sz w:val="24"/>
          <w:highlight w:val="none"/>
        </w:rPr>
      </w:pPr>
      <w:r>
        <w:rPr>
          <w:rFonts w:hint="eastAsia" w:ascii="宋体" w:hAnsi="宋体" w:cs="宋体"/>
          <w:b/>
          <w:bCs/>
          <w:color w:val="auto"/>
          <w:sz w:val="24"/>
          <w:szCs w:val="32"/>
          <w:highlight w:val="none"/>
        </w:rPr>
        <w:t>注：供应商属于残疾人福利性单位则提供，不属于残疾人福利性单位不需要提供；</w:t>
      </w:r>
    </w:p>
    <w:p>
      <w:pPr>
        <w:pStyle w:val="75"/>
        <w:ind w:firstLine="0" w:firstLineChars="0"/>
        <w:rPr>
          <w:rFonts w:ascii="宋体" w:hAnsi="宋体" w:cs="宋体"/>
          <w:b/>
          <w:bCs/>
          <w:color w:val="auto"/>
          <w:kern w:val="0"/>
          <w:sz w:val="24"/>
          <w:highlight w:val="none"/>
        </w:rPr>
      </w:pPr>
    </w:p>
    <w:p>
      <w:pPr>
        <w:spacing w:line="360" w:lineRule="auto"/>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rPr>
          <w:rFonts w:ascii="宋体" w:hAnsi="宋体" w:cs="宋体"/>
          <w:b/>
          <w:bCs/>
          <w:color w:val="auto"/>
          <w:sz w:val="24"/>
          <w:highlight w:val="none"/>
        </w:rPr>
      </w:pPr>
    </w:p>
    <w:p>
      <w:pPr>
        <w:pStyle w:val="38"/>
        <w:rPr>
          <w:rFonts w:hAnsi="宋体"/>
          <w:b/>
          <w:bCs/>
          <w:color w:val="auto"/>
          <w:highlight w:val="none"/>
        </w:rPr>
      </w:pPr>
    </w:p>
    <w:p>
      <w:pPr>
        <w:pStyle w:val="38"/>
        <w:rPr>
          <w:rFonts w:hAnsi="宋体"/>
          <w:b/>
          <w:bCs/>
          <w:color w:val="auto"/>
          <w:highlight w:val="none"/>
        </w:rPr>
      </w:pPr>
    </w:p>
    <w:p/>
    <w:p>
      <w:pPr>
        <w:pStyle w:val="2"/>
      </w:pPr>
    </w:p>
    <w:p>
      <w:pPr>
        <w:rPr>
          <w:rFonts w:ascii="宋体" w:hAnsi="宋体" w:cs="宋体"/>
          <w:b/>
          <w:bCs/>
          <w:color w:val="auto"/>
          <w:sz w:val="24"/>
          <w:highlight w:val="none"/>
        </w:rPr>
      </w:pPr>
    </w:p>
    <w:p>
      <w:pPr>
        <w:pStyle w:val="38"/>
        <w:rPr>
          <w:color w:val="auto"/>
          <w:highlight w:val="none"/>
        </w:rPr>
      </w:pPr>
    </w:p>
    <w:p>
      <w:pPr>
        <w:spacing w:line="360" w:lineRule="auto"/>
        <w:jc w:val="center"/>
        <w:outlineLvl w:val="1"/>
        <w:rPr>
          <w:rFonts w:ascii="宋体" w:hAnsi="宋体" w:cs="宋体"/>
          <w:b/>
          <w:bCs/>
          <w:color w:val="auto"/>
          <w:sz w:val="24"/>
          <w:highlight w:val="none"/>
        </w:rPr>
      </w:pPr>
      <w:r>
        <w:rPr>
          <w:rFonts w:hint="eastAsia" w:ascii="宋体" w:hAnsi="宋体" w:cs="宋体"/>
          <w:b/>
          <w:bCs/>
          <w:color w:val="auto"/>
          <w:sz w:val="24"/>
          <w:highlight w:val="none"/>
        </w:rPr>
        <w:t>第二部分 其他响应文件（格式）</w:t>
      </w: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一、磋商函</w:t>
      </w:r>
    </w:p>
    <w:p>
      <w:pPr>
        <w:spacing w:line="480" w:lineRule="auto"/>
        <w:rPr>
          <w:rFonts w:ascii="宋体" w:hAnsi="宋体" w:cs="宋体"/>
          <w:color w:val="auto"/>
          <w:sz w:val="24"/>
          <w:highlight w:val="none"/>
        </w:rPr>
      </w:pP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我方全面研究了“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”项目磋商文件</w:t>
      </w:r>
      <w:r>
        <w:rPr>
          <w:rFonts w:hint="eastAsia" w:ascii="宋体" w:hAnsi="宋体" w:cs="宋体"/>
          <w:color w:val="auto"/>
          <w:sz w:val="24"/>
          <w:highlight w:val="none"/>
          <w:u w:val="single"/>
        </w:rPr>
        <w:t>(    项目编号     )</w:t>
      </w:r>
      <w:r>
        <w:rPr>
          <w:rFonts w:hint="eastAsia" w:ascii="宋体" w:hAnsi="宋体" w:cs="宋体"/>
          <w:color w:val="auto"/>
          <w:sz w:val="24"/>
          <w:highlight w:val="none"/>
        </w:rPr>
        <w:t>，决定参加贵单位组织的本项目磋商。我方授权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(姓名、职务)代表我方</w:t>
      </w:r>
      <w:r>
        <w:rPr>
          <w:rFonts w:hint="eastAsia" w:ascii="宋体" w:hAnsi="宋体" w:cs="宋体"/>
          <w:color w:val="auto"/>
          <w:sz w:val="24"/>
          <w:highlight w:val="none"/>
          <w:u w:val="single"/>
        </w:rPr>
        <w:t xml:space="preserve">    (磋商单位的名称)   </w:t>
      </w:r>
      <w:r>
        <w:rPr>
          <w:rFonts w:hint="eastAsia" w:ascii="宋体" w:hAnsi="宋体" w:cs="宋体"/>
          <w:color w:val="auto"/>
          <w:sz w:val="24"/>
          <w:highlight w:val="none"/>
        </w:rPr>
        <w:t>全权处理本项目磋商的有关事宜。</w:t>
      </w:r>
    </w:p>
    <w:p>
      <w:pPr>
        <w:spacing w:line="480" w:lineRule="auto"/>
        <w:rPr>
          <w:rFonts w:ascii="宋体" w:hAnsi="宋体" w:cs="宋体"/>
          <w:color w:val="auto"/>
          <w:sz w:val="24"/>
          <w:highlight w:val="none"/>
        </w:rPr>
      </w:pPr>
      <w:r>
        <w:rPr>
          <w:rFonts w:hint="eastAsia" w:ascii="宋体" w:hAnsi="宋体" w:cs="宋体"/>
          <w:color w:val="auto"/>
          <w:sz w:val="24"/>
          <w:highlight w:val="none"/>
        </w:rPr>
        <w:t>1、我方自愿按照磋商文件规定的各项要求向采购人提供所需服务。</w:t>
      </w:r>
    </w:p>
    <w:p>
      <w:pPr>
        <w:spacing w:line="480" w:lineRule="auto"/>
        <w:rPr>
          <w:rFonts w:ascii="宋体" w:hAnsi="宋体" w:cs="宋体"/>
          <w:color w:val="auto"/>
          <w:sz w:val="24"/>
          <w:highlight w:val="none"/>
        </w:rPr>
      </w:pPr>
      <w:r>
        <w:rPr>
          <w:rFonts w:hint="eastAsia" w:ascii="宋体" w:hAnsi="宋体" w:cs="宋体"/>
          <w:color w:val="auto"/>
          <w:sz w:val="24"/>
          <w:highlight w:val="none"/>
        </w:rPr>
        <w:t>2、一旦我方成交，我方保证于合同签字生效后将严格履行合同规定的责任和义务。</w:t>
      </w:r>
    </w:p>
    <w:p>
      <w:pPr>
        <w:spacing w:line="480" w:lineRule="auto"/>
        <w:rPr>
          <w:rFonts w:ascii="宋体" w:hAnsi="宋体" w:cs="宋体"/>
          <w:color w:val="auto"/>
          <w:sz w:val="24"/>
          <w:highlight w:val="none"/>
        </w:rPr>
      </w:pPr>
      <w:r>
        <w:rPr>
          <w:rFonts w:hint="eastAsia" w:ascii="宋体" w:hAnsi="宋体" w:cs="宋体"/>
          <w:color w:val="auto"/>
          <w:sz w:val="24"/>
          <w:highlight w:val="none"/>
        </w:rPr>
        <w:t>3、我方为本项目提交的资格性响应文件、其他响应文件、正本1份，副本2份，电子文档U盘（或光盘）1份。</w:t>
      </w:r>
    </w:p>
    <w:p>
      <w:pPr>
        <w:spacing w:line="480" w:lineRule="auto"/>
        <w:rPr>
          <w:rFonts w:ascii="宋体" w:hAnsi="宋体" w:cs="宋体"/>
          <w:color w:val="auto"/>
          <w:sz w:val="24"/>
          <w:highlight w:val="none"/>
        </w:rPr>
      </w:pPr>
      <w:r>
        <w:rPr>
          <w:rFonts w:hint="eastAsia" w:ascii="宋体" w:hAnsi="宋体" w:cs="宋体"/>
          <w:color w:val="auto"/>
          <w:sz w:val="24"/>
          <w:highlight w:val="none"/>
        </w:rPr>
        <w:t>4、我方承诺，响应文件有效期为递交磋商响应文件截止之日起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w:t>
      </w:r>
    </w:p>
    <w:p>
      <w:pPr>
        <w:spacing w:line="480" w:lineRule="auto"/>
        <w:rPr>
          <w:rFonts w:ascii="宋体" w:hAnsi="宋体" w:cs="宋体"/>
          <w:color w:val="auto"/>
          <w:sz w:val="24"/>
          <w:highlight w:val="none"/>
        </w:rPr>
      </w:pPr>
      <w:r>
        <w:rPr>
          <w:rFonts w:hint="eastAsia" w:ascii="宋体" w:hAnsi="宋体" w:cs="宋体"/>
          <w:color w:val="auto"/>
          <w:sz w:val="24"/>
          <w:highlight w:val="none"/>
        </w:rPr>
        <w:t>5、我方愿意提供贵单位可能另外要求的，与磋商有关的文件资料，并保证我方已提供和将要提供的文件资料是真实、准确的。</w:t>
      </w:r>
    </w:p>
    <w:p>
      <w:pPr>
        <w:spacing w:line="480" w:lineRule="auto"/>
        <w:rPr>
          <w:rFonts w:ascii="宋体" w:hAnsi="宋体" w:cs="宋体"/>
          <w:color w:val="auto"/>
          <w:sz w:val="24"/>
          <w:highlight w:val="none"/>
        </w:rPr>
      </w:pPr>
      <w:r>
        <w:rPr>
          <w:rFonts w:hint="eastAsia" w:ascii="宋体" w:hAnsi="宋体" w:cs="宋体"/>
          <w:color w:val="auto"/>
          <w:sz w:val="24"/>
          <w:highlight w:val="none"/>
        </w:rPr>
        <w:t>6、我们完全理解贵方不一定要接受最低报价的报价。</w:t>
      </w:r>
    </w:p>
    <w:p>
      <w:pPr>
        <w:pStyle w:val="38"/>
        <w:spacing w:line="480" w:lineRule="auto"/>
        <w:rPr>
          <w:rFonts w:hAnsi="宋体"/>
          <w:color w:val="auto"/>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48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480" w:lineRule="auto"/>
        <w:rPr>
          <w:rFonts w:ascii="宋体" w:hAnsi="宋体" w:cs="宋体"/>
          <w:color w:val="auto"/>
          <w:sz w:val="24"/>
          <w:highlight w:val="none"/>
        </w:rPr>
      </w:pPr>
      <w:r>
        <w:rPr>
          <w:rFonts w:hint="eastAsia" w:ascii="宋体" w:hAnsi="宋体" w:cs="宋体"/>
          <w:color w:val="auto"/>
          <w:sz w:val="24"/>
          <w:highlight w:val="none"/>
        </w:rPr>
        <w:t>通讯地址：</w:t>
      </w:r>
    </w:p>
    <w:p>
      <w:pPr>
        <w:spacing w:line="48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480" w:lineRule="auto"/>
        <w:rPr>
          <w:rFonts w:ascii="宋体" w:hAnsi="宋体" w:cs="宋体"/>
          <w:color w:val="auto"/>
          <w:sz w:val="24"/>
          <w:highlight w:val="none"/>
        </w:rPr>
      </w:pPr>
      <w:r>
        <w:rPr>
          <w:rFonts w:hint="eastAsia" w:ascii="宋体" w:hAnsi="宋体" w:cs="宋体"/>
          <w:color w:val="auto"/>
          <w:sz w:val="24"/>
          <w:highlight w:val="none"/>
        </w:rPr>
        <w:t>联系电话：</w:t>
      </w:r>
    </w:p>
    <w:p>
      <w:pPr>
        <w:spacing w:line="480" w:lineRule="auto"/>
        <w:rPr>
          <w:rFonts w:ascii="宋体" w:hAnsi="宋体" w:cs="宋体"/>
          <w:b/>
          <w:color w:val="auto"/>
          <w:sz w:val="24"/>
          <w:highlight w:val="none"/>
        </w:rPr>
      </w:pPr>
      <w:r>
        <w:rPr>
          <w:rFonts w:hint="eastAsia" w:ascii="宋体" w:hAnsi="宋体" w:cs="宋体"/>
          <w:color w:val="auto"/>
          <w:sz w:val="24"/>
          <w:highlight w:val="none"/>
        </w:rPr>
        <w:t>磋商日期：</w:t>
      </w: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2"/>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二、承诺函</w:t>
      </w:r>
    </w:p>
    <w:p>
      <w:pPr>
        <w:spacing w:line="360" w:lineRule="auto"/>
        <w:rPr>
          <w:color w:val="auto"/>
          <w:sz w:val="24"/>
          <w:highlight w:val="none"/>
        </w:rPr>
      </w:pPr>
      <w:bookmarkStart w:id="127" w:name="_Toc1864"/>
      <w:bookmarkStart w:id="128" w:name="_Toc6322"/>
      <w:bookmarkStart w:id="129" w:name="_Toc2852"/>
      <w:bookmarkStart w:id="130" w:name="_Toc17562"/>
      <w:r>
        <w:rPr>
          <w:rFonts w:hint="eastAsia"/>
          <w:color w:val="auto"/>
          <w:sz w:val="24"/>
          <w:highlight w:val="none"/>
        </w:rPr>
        <w:t>XXXX（采购代理机构名称）：</w:t>
      </w:r>
      <w:bookmarkEnd w:id="127"/>
      <w:bookmarkEnd w:id="128"/>
      <w:bookmarkEnd w:id="129"/>
      <w:bookmarkEnd w:id="130"/>
    </w:p>
    <w:p>
      <w:pPr>
        <w:spacing w:line="360" w:lineRule="auto"/>
        <w:ind w:firstLine="480" w:firstLineChars="200"/>
        <w:rPr>
          <w:color w:val="auto"/>
          <w:sz w:val="24"/>
          <w:highlight w:val="none"/>
        </w:rPr>
      </w:pPr>
      <w:bookmarkStart w:id="131" w:name="_Toc9090"/>
      <w:bookmarkStart w:id="132" w:name="_Toc4118"/>
      <w:bookmarkStart w:id="133" w:name="_Toc22380"/>
      <w:bookmarkStart w:id="134" w:name="_Toc31402"/>
      <w:r>
        <w:rPr>
          <w:rFonts w:hint="eastAsia"/>
          <w:color w:val="auto"/>
          <w:sz w:val="24"/>
          <w:highlight w:val="none"/>
        </w:rPr>
        <w:t>我方作为</w:t>
      </w:r>
      <w:r>
        <w:rPr>
          <w:rFonts w:hint="eastAsia"/>
          <w:color w:val="auto"/>
          <w:sz w:val="24"/>
          <w:highlight w:val="none"/>
          <w:u w:val="single"/>
        </w:rPr>
        <w:t xml:space="preserve">    （项目名称）    </w:t>
      </w:r>
      <w:r>
        <w:rPr>
          <w:rFonts w:hint="eastAsia"/>
          <w:color w:val="auto"/>
          <w:sz w:val="24"/>
          <w:highlight w:val="none"/>
        </w:rPr>
        <w:t>的供应商，根据磋商文件要求，现郑重承诺如下：</w:t>
      </w:r>
      <w:bookmarkEnd w:id="131"/>
      <w:bookmarkEnd w:id="132"/>
      <w:bookmarkEnd w:id="133"/>
      <w:bookmarkEnd w:id="134"/>
    </w:p>
    <w:p>
      <w:pPr>
        <w:spacing w:line="360" w:lineRule="auto"/>
        <w:ind w:firstLine="480" w:firstLineChars="200"/>
        <w:rPr>
          <w:color w:val="auto"/>
          <w:sz w:val="24"/>
          <w:highlight w:val="none"/>
        </w:rPr>
      </w:pPr>
      <w:bookmarkStart w:id="135" w:name="_Toc23320"/>
      <w:bookmarkStart w:id="136" w:name="_Toc7019"/>
      <w:bookmarkStart w:id="137" w:name="_Toc23643"/>
      <w:bookmarkStart w:id="138" w:name="_Toc29368"/>
      <w:r>
        <w:rPr>
          <w:rFonts w:hint="eastAsia"/>
          <w:color w:val="auto"/>
          <w:sz w:val="24"/>
          <w:highlight w:val="none"/>
        </w:rPr>
        <w:t>一、我方已认真阅读并接受本项目磋商文件第二章的全部实质性要求，如对磋商文件有异议，已依法进行维权救济，不存在对磋商文件有异议的同时又参加投标以求侥幸中标或者为实现其他非法目的的行为。</w:t>
      </w:r>
      <w:bookmarkEnd w:id="135"/>
      <w:bookmarkEnd w:id="136"/>
      <w:bookmarkEnd w:id="137"/>
      <w:bookmarkEnd w:id="138"/>
    </w:p>
    <w:p>
      <w:pPr>
        <w:spacing w:line="360" w:lineRule="auto"/>
        <w:ind w:firstLine="480" w:firstLineChars="200"/>
        <w:rPr>
          <w:color w:val="auto"/>
          <w:sz w:val="24"/>
          <w:highlight w:val="none"/>
        </w:rPr>
      </w:pPr>
      <w:bookmarkStart w:id="139" w:name="_Toc4892"/>
      <w:bookmarkStart w:id="140" w:name="_Toc20573"/>
      <w:bookmarkStart w:id="141" w:name="_Toc12089"/>
      <w:bookmarkStart w:id="142" w:name="_Toc12941"/>
      <w:r>
        <w:rPr>
          <w:rFonts w:hint="eastAsia"/>
          <w:color w:val="auto"/>
          <w:sz w:val="24"/>
          <w:highlight w:val="none"/>
        </w:rPr>
        <w:t>二、参加本次采购活动，不存在与单位负责人为同一人或者存在直接控股、管理关系的其他供应商参与同一合同项下的政府采购活动的行为。</w:t>
      </w:r>
      <w:bookmarkEnd w:id="139"/>
      <w:bookmarkEnd w:id="140"/>
      <w:bookmarkEnd w:id="141"/>
      <w:bookmarkEnd w:id="142"/>
    </w:p>
    <w:p>
      <w:pPr>
        <w:spacing w:line="360" w:lineRule="auto"/>
        <w:ind w:firstLine="480" w:firstLineChars="200"/>
        <w:rPr>
          <w:color w:val="auto"/>
          <w:sz w:val="24"/>
          <w:highlight w:val="none"/>
        </w:rPr>
      </w:pPr>
      <w:bookmarkStart w:id="143" w:name="_Toc8987"/>
      <w:bookmarkStart w:id="144" w:name="_Toc31847"/>
      <w:bookmarkStart w:id="145" w:name="_Toc12533"/>
      <w:bookmarkStart w:id="146" w:name="_Toc26985"/>
      <w:r>
        <w:rPr>
          <w:rFonts w:hint="eastAsia"/>
          <w:color w:val="auto"/>
          <w:sz w:val="24"/>
          <w:highlight w:val="none"/>
        </w:rPr>
        <w:t>三、为采购项目提供整体设计、规范编制或者项目管理、监理、检测等服务的供应商，不得再参加该采购项目的其他采购活动，我方承诺不属于此类禁止参加本项目的供应商。</w:t>
      </w:r>
      <w:bookmarkEnd w:id="143"/>
      <w:bookmarkEnd w:id="144"/>
      <w:bookmarkEnd w:id="145"/>
      <w:bookmarkEnd w:id="146"/>
    </w:p>
    <w:p>
      <w:pPr>
        <w:spacing w:line="360" w:lineRule="auto"/>
        <w:ind w:firstLine="480" w:firstLineChars="200"/>
        <w:rPr>
          <w:color w:val="auto"/>
          <w:sz w:val="24"/>
          <w:highlight w:val="none"/>
        </w:rPr>
      </w:pPr>
      <w:bookmarkStart w:id="147" w:name="_Toc7983"/>
      <w:bookmarkStart w:id="148" w:name="_Toc20557"/>
      <w:bookmarkStart w:id="149" w:name="_Toc26779"/>
      <w:bookmarkStart w:id="150" w:name="_Toc5078"/>
      <w:r>
        <w:rPr>
          <w:rFonts w:hint="eastAsia"/>
          <w:color w:val="auto"/>
          <w:sz w:val="24"/>
          <w:highlight w:val="none"/>
        </w:rPr>
        <w:t>四、参加本次采购活动，不存在和其他供应商在同一合同项下的采购项目中，同时委托同一个自然人、同一家庭的人员、同一单位的人员作为代理人的行为。</w:t>
      </w:r>
      <w:bookmarkEnd w:id="147"/>
      <w:bookmarkEnd w:id="148"/>
      <w:bookmarkEnd w:id="149"/>
      <w:bookmarkEnd w:id="150"/>
    </w:p>
    <w:p>
      <w:pPr>
        <w:spacing w:line="360" w:lineRule="auto"/>
        <w:ind w:firstLine="480" w:firstLineChars="200"/>
        <w:rPr>
          <w:color w:val="auto"/>
          <w:sz w:val="24"/>
          <w:highlight w:val="none"/>
        </w:rPr>
      </w:pPr>
      <w:bookmarkStart w:id="151" w:name="_Toc28701"/>
      <w:bookmarkStart w:id="152" w:name="_Toc8251"/>
      <w:bookmarkStart w:id="153" w:name="_Toc17655"/>
      <w:bookmarkStart w:id="154" w:name="_Toc6845"/>
      <w:r>
        <w:rPr>
          <w:rFonts w:hint="eastAsia"/>
          <w:color w:val="auto"/>
          <w:sz w:val="24"/>
          <w:highlight w:val="none"/>
        </w:rPr>
        <w:t>五、</w:t>
      </w:r>
      <w:bookmarkEnd w:id="151"/>
      <w:bookmarkEnd w:id="152"/>
      <w:bookmarkEnd w:id="153"/>
      <w:bookmarkEnd w:id="154"/>
      <w:bookmarkStart w:id="155" w:name="_Toc16494"/>
      <w:bookmarkStart w:id="156" w:name="_Toc23832"/>
      <w:bookmarkStart w:id="157" w:name="_Toc3486"/>
      <w:bookmarkStart w:id="158" w:name="_Toc11854"/>
      <w:r>
        <w:rPr>
          <w:rFonts w:hint="eastAsia"/>
          <w:color w:val="auto"/>
          <w:sz w:val="24"/>
          <w:highlight w:val="none"/>
        </w:rPr>
        <w:t>响应文件中提供的能够给予我方带来优惠、好处的任何材料资料和技术、服务、商务、响应产品等响应承诺情况都是真实的、有效的、合法的。</w:t>
      </w:r>
      <w:bookmarkEnd w:id="155"/>
      <w:bookmarkEnd w:id="156"/>
      <w:bookmarkEnd w:id="157"/>
      <w:bookmarkEnd w:id="158"/>
    </w:p>
    <w:p>
      <w:pPr>
        <w:spacing w:line="360" w:lineRule="auto"/>
        <w:ind w:firstLine="480" w:firstLineChars="200"/>
        <w:rPr>
          <w:color w:val="auto"/>
          <w:sz w:val="24"/>
          <w:highlight w:val="none"/>
        </w:rPr>
      </w:pPr>
      <w:bookmarkStart w:id="159" w:name="_Toc12790"/>
      <w:bookmarkStart w:id="160" w:name="_Toc21164"/>
      <w:bookmarkStart w:id="161" w:name="_Toc1863"/>
      <w:bookmarkStart w:id="162" w:name="_Toc4039"/>
      <w:r>
        <w:rPr>
          <w:rFonts w:hint="eastAsia"/>
          <w:color w:val="auto"/>
          <w:sz w:val="24"/>
          <w:highlight w:val="none"/>
        </w:rPr>
        <w:t>六、如本项目评审过程中需要提供样品，则我方提供的样品即为中标后将要提供的中标产品，我方对提供样品的性能和质量负责，因样品存在缺陷或者不符合磋商文件要求导致未能中标的，我方愿意承担相应不利后果。</w:t>
      </w:r>
      <w:bookmarkEnd w:id="159"/>
      <w:bookmarkEnd w:id="160"/>
      <w:bookmarkEnd w:id="161"/>
      <w:bookmarkEnd w:id="162"/>
    </w:p>
    <w:p>
      <w:pPr>
        <w:spacing w:line="360" w:lineRule="auto"/>
        <w:ind w:firstLine="480" w:firstLineChars="200"/>
        <w:rPr>
          <w:color w:val="auto"/>
          <w:sz w:val="24"/>
          <w:highlight w:val="none"/>
        </w:rPr>
      </w:pPr>
      <w:bookmarkStart w:id="163" w:name="_Toc11498"/>
      <w:bookmarkStart w:id="164" w:name="_Toc24676"/>
      <w:bookmarkStart w:id="165" w:name="_Toc5786"/>
      <w:bookmarkStart w:id="166" w:name="_Toc24461"/>
      <w:r>
        <w:rPr>
          <w:rFonts w:hint="eastAsia"/>
          <w:color w:val="auto"/>
          <w:sz w:val="24"/>
          <w:highlight w:val="none"/>
        </w:rPr>
        <w:t>七、国家或行业主管部门对采购产品的技术标准、质量标准和资格资质条件等有强制性规定的，我方承诺符合其要求。</w:t>
      </w:r>
      <w:bookmarkEnd w:id="163"/>
      <w:bookmarkEnd w:id="164"/>
      <w:bookmarkEnd w:id="165"/>
      <w:bookmarkEnd w:id="166"/>
    </w:p>
    <w:p>
      <w:pPr>
        <w:spacing w:line="360" w:lineRule="auto"/>
        <w:ind w:firstLine="480" w:firstLineChars="200"/>
        <w:rPr>
          <w:color w:val="auto"/>
          <w:sz w:val="24"/>
          <w:highlight w:val="none"/>
        </w:rPr>
      </w:pPr>
      <w:bookmarkStart w:id="167" w:name="_Toc16682"/>
      <w:bookmarkStart w:id="168" w:name="_Toc15253"/>
      <w:bookmarkStart w:id="169" w:name="_Toc18056"/>
      <w:bookmarkStart w:id="170" w:name="_Toc29429"/>
      <w:r>
        <w:rPr>
          <w:rFonts w:hint="eastAsia"/>
          <w:color w:val="auto"/>
          <w:sz w:val="24"/>
          <w:highlight w:val="none"/>
        </w:rPr>
        <w:t>八、参加本次采购活动，我方完全同意磋商文件第二章关于“</w:t>
      </w:r>
      <w:r>
        <w:rPr>
          <w:rFonts w:hint="eastAsia"/>
          <w:color w:val="auto"/>
          <w:sz w:val="24"/>
          <w:highlight w:val="none"/>
          <w:lang w:eastAsia="zh-CN"/>
        </w:rPr>
        <w:t>磋商</w:t>
      </w:r>
      <w:r>
        <w:rPr>
          <w:rFonts w:hint="eastAsia"/>
          <w:color w:val="auto"/>
          <w:sz w:val="24"/>
          <w:highlight w:val="none"/>
        </w:rPr>
        <w:t>费用”、“合同分包”、“合同转包”、“履约保证金”等的实质性要求，并承诺严格按照磋商文件要求履行。</w:t>
      </w:r>
      <w:bookmarkEnd w:id="167"/>
      <w:bookmarkEnd w:id="168"/>
      <w:bookmarkEnd w:id="169"/>
      <w:bookmarkEnd w:id="170"/>
    </w:p>
    <w:p>
      <w:pPr>
        <w:spacing w:line="360" w:lineRule="auto"/>
        <w:ind w:firstLine="480" w:firstLineChars="200"/>
        <w:rPr>
          <w:color w:val="auto"/>
          <w:sz w:val="24"/>
          <w:highlight w:val="none"/>
        </w:rPr>
      </w:pPr>
      <w:bookmarkStart w:id="171" w:name="_Toc27831"/>
      <w:bookmarkStart w:id="172" w:name="_Toc3984"/>
      <w:bookmarkStart w:id="173" w:name="_Toc3182"/>
      <w:bookmarkStart w:id="174" w:name="_Toc8046"/>
      <w:r>
        <w:rPr>
          <w:rFonts w:hint="eastAsia"/>
          <w:color w:val="auto"/>
          <w:sz w:val="24"/>
          <w:highlight w:val="none"/>
        </w:rPr>
        <w:t>九、</w:t>
      </w:r>
      <w:bookmarkEnd w:id="171"/>
      <w:bookmarkEnd w:id="172"/>
      <w:bookmarkEnd w:id="173"/>
      <w:bookmarkEnd w:id="174"/>
      <w:bookmarkStart w:id="175" w:name="_Toc2433"/>
      <w:bookmarkStart w:id="176" w:name="_Toc1833"/>
      <w:bookmarkStart w:id="177" w:name="_Toc28939"/>
      <w:bookmarkStart w:id="178" w:name="_Toc22670"/>
      <w:r>
        <w:rPr>
          <w:rFonts w:hint="eastAsia"/>
          <w:color w:val="auto"/>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bookmarkEnd w:id="175"/>
      <w:bookmarkEnd w:id="176"/>
      <w:bookmarkEnd w:id="177"/>
      <w:bookmarkEnd w:id="178"/>
    </w:p>
    <w:p>
      <w:pPr>
        <w:spacing w:line="360" w:lineRule="auto"/>
        <w:ind w:firstLine="480" w:firstLineChars="200"/>
        <w:rPr>
          <w:color w:val="auto"/>
          <w:sz w:val="24"/>
          <w:highlight w:val="none"/>
        </w:rPr>
      </w:pPr>
      <w:bookmarkStart w:id="179" w:name="_Toc25825"/>
      <w:bookmarkStart w:id="180" w:name="_Toc5289"/>
      <w:bookmarkStart w:id="181" w:name="_Toc17841"/>
      <w:bookmarkStart w:id="182" w:name="_Toc31136"/>
      <w:r>
        <w:rPr>
          <w:rFonts w:hint="eastAsia"/>
          <w:color w:val="auto"/>
          <w:sz w:val="24"/>
          <w:highlight w:val="none"/>
        </w:rPr>
        <w:t>我方对上述承诺的内容事项真实性负责。如经查实上述承诺的内容事项存在虚假，我方愿意接受以提供虚假材料谋取中标追究法律责任。</w:t>
      </w:r>
      <w:bookmarkEnd w:id="179"/>
      <w:bookmarkEnd w:id="180"/>
      <w:bookmarkEnd w:id="181"/>
      <w:bookmarkEnd w:id="182"/>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bookmarkStart w:id="183" w:name="_Toc28831"/>
      <w:bookmarkStart w:id="184" w:name="_Toc2159"/>
      <w:bookmarkStart w:id="185" w:name="_Toc26560"/>
      <w:bookmarkStart w:id="186" w:name="_Toc14308"/>
      <w:r>
        <w:rPr>
          <w:rFonts w:hint="eastAsia"/>
          <w:color w:val="auto"/>
          <w:sz w:val="24"/>
          <w:highlight w:val="none"/>
        </w:rPr>
        <w:t>供应商名称：XXXX（单位公章）。</w:t>
      </w:r>
      <w:bookmarkEnd w:id="183"/>
      <w:bookmarkEnd w:id="184"/>
      <w:bookmarkEnd w:id="185"/>
      <w:bookmarkEnd w:id="186"/>
    </w:p>
    <w:p>
      <w:pPr>
        <w:spacing w:line="360" w:lineRule="auto"/>
        <w:ind w:firstLine="480" w:firstLineChars="200"/>
        <w:rPr>
          <w:color w:val="auto"/>
          <w:sz w:val="24"/>
          <w:highlight w:val="none"/>
        </w:rPr>
      </w:pPr>
      <w:bookmarkStart w:id="187" w:name="_Toc5819"/>
      <w:bookmarkStart w:id="188" w:name="_Toc13646"/>
      <w:bookmarkStart w:id="189" w:name="_Toc16037"/>
      <w:bookmarkStart w:id="190" w:name="_Toc27674"/>
      <w:r>
        <w:rPr>
          <w:rFonts w:hint="eastAsia"/>
          <w:color w:val="auto"/>
          <w:sz w:val="24"/>
          <w:highlight w:val="none"/>
        </w:rPr>
        <w:t>法定代表人/单位负责人或授权代表（签字或加盖个人名章）：XXXX。</w:t>
      </w:r>
      <w:bookmarkEnd w:id="187"/>
      <w:bookmarkEnd w:id="188"/>
      <w:bookmarkEnd w:id="189"/>
      <w:bookmarkEnd w:id="190"/>
    </w:p>
    <w:p>
      <w:pPr>
        <w:spacing w:line="360" w:lineRule="auto"/>
        <w:ind w:firstLine="480" w:firstLineChars="200"/>
        <w:rPr>
          <w:color w:val="auto"/>
          <w:sz w:val="24"/>
          <w:highlight w:val="none"/>
        </w:rPr>
      </w:pPr>
      <w:r>
        <w:rPr>
          <w:rFonts w:hint="eastAsia"/>
          <w:color w:val="auto"/>
          <w:sz w:val="24"/>
          <w:highlight w:val="none"/>
        </w:rPr>
        <w:t>磋商日期：XXXX。</w:t>
      </w:r>
    </w:p>
    <w:p>
      <w:pPr>
        <w:spacing w:line="360" w:lineRule="auto"/>
        <w:ind w:firstLine="480" w:firstLineChars="200"/>
        <w:rPr>
          <w:color w:val="auto"/>
          <w:sz w:val="24"/>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rPr>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ind w:firstLine="480" w:firstLineChars="200"/>
        <w:rPr>
          <w:rFonts w:hAnsi="宋体"/>
          <w:color w:val="auto"/>
          <w:highlight w:val="none"/>
        </w:rPr>
      </w:pPr>
    </w:p>
    <w:p>
      <w:pPr>
        <w:pStyle w:val="38"/>
        <w:rPr>
          <w:rFonts w:hAnsi="宋体"/>
          <w:color w:val="auto"/>
          <w:highlight w:val="none"/>
        </w:rPr>
      </w:pPr>
    </w:p>
    <w:p>
      <w:pPr>
        <w:spacing w:line="24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三、供应商基本情况表</w:t>
      </w:r>
    </w:p>
    <w:tbl>
      <w:tblPr>
        <w:tblStyle w:val="28"/>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338"/>
        <w:gridCol w:w="1141"/>
        <w:gridCol w:w="1229"/>
        <w:gridCol w:w="246"/>
        <w:gridCol w:w="1533"/>
        <w:gridCol w:w="131"/>
        <w:gridCol w:w="11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供应商名称</w:t>
            </w:r>
          </w:p>
        </w:tc>
        <w:tc>
          <w:tcPr>
            <w:tcW w:w="8134" w:type="dxa"/>
            <w:gridSpan w:val="8"/>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708" w:type="dxa"/>
            <w:gridSpan w:val="3"/>
            <w:vAlign w:val="center"/>
          </w:tcPr>
          <w:p>
            <w:pPr>
              <w:spacing w:line="360" w:lineRule="auto"/>
              <w:jc w:val="center"/>
              <w:rPr>
                <w:rFonts w:ascii="宋体" w:hAnsi="宋体" w:cs="宋体"/>
                <w:color w:val="auto"/>
                <w:sz w:val="24"/>
                <w:highlight w:val="none"/>
              </w:rPr>
            </w:pPr>
          </w:p>
        </w:tc>
        <w:tc>
          <w:tcPr>
            <w:tcW w:w="1779"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2647"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81"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13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70" w:type="dxa"/>
            <w:gridSpan w:val="2"/>
            <w:vAlign w:val="center"/>
          </w:tcPr>
          <w:p>
            <w:pPr>
              <w:spacing w:line="360" w:lineRule="auto"/>
              <w:jc w:val="center"/>
              <w:rPr>
                <w:rFonts w:ascii="宋体" w:hAnsi="宋体" w:cs="宋体"/>
                <w:color w:val="auto"/>
                <w:sz w:val="24"/>
                <w:highlight w:val="none"/>
              </w:rPr>
            </w:pPr>
          </w:p>
        </w:tc>
        <w:tc>
          <w:tcPr>
            <w:tcW w:w="1779"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电话</w:t>
            </w:r>
          </w:p>
        </w:tc>
        <w:tc>
          <w:tcPr>
            <w:tcW w:w="2647"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1" w:type="dxa"/>
            <w:vMerge w:val="continue"/>
            <w:vAlign w:val="center"/>
          </w:tcPr>
          <w:p>
            <w:pPr>
              <w:spacing w:line="360" w:lineRule="auto"/>
              <w:jc w:val="center"/>
              <w:rPr>
                <w:rFonts w:ascii="宋体" w:hAnsi="宋体" w:cs="宋体"/>
                <w:color w:val="auto"/>
                <w:sz w:val="24"/>
                <w:highlight w:val="none"/>
              </w:rPr>
            </w:pPr>
          </w:p>
        </w:tc>
        <w:tc>
          <w:tcPr>
            <w:tcW w:w="13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传真</w:t>
            </w:r>
          </w:p>
        </w:tc>
        <w:tc>
          <w:tcPr>
            <w:tcW w:w="2370" w:type="dxa"/>
            <w:gridSpan w:val="2"/>
            <w:vAlign w:val="center"/>
          </w:tcPr>
          <w:p>
            <w:pPr>
              <w:spacing w:line="360" w:lineRule="auto"/>
              <w:jc w:val="center"/>
              <w:rPr>
                <w:rFonts w:ascii="宋体" w:hAnsi="宋体" w:cs="宋体"/>
                <w:color w:val="auto"/>
                <w:sz w:val="24"/>
                <w:highlight w:val="none"/>
              </w:rPr>
            </w:pPr>
          </w:p>
        </w:tc>
        <w:tc>
          <w:tcPr>
            <w:tcW w:w="1779"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网址</w:t>
            </w:r>
          </w:p>
        </w:tc>
        <w:tc>
          <w:tcPr>
            <w:tcW w:w="2647"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组织结构</w:t>
            </w:r>
          </w:p>
        </w:tc>
        <w:tc>
          <w:tcPr>
            <w:tcW w:w="8134" w:type="dxa"/>
            <w:gridSpan w:val="8"/>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法定代表人/单位负责人（或其他组织主要负责人）</w:t>
            </w:r>
          </w:p>
        </w:tc>
        <w:tc>
          <w:tcPr>
            <w:tcW w:w="13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141" w:type="dxa"/>
            <w:vAlign w:val="center"/>
          </w:tcPr>
          <w:p>
            <w:pPr>
              <w:spacing w:line="360" w:lineRule="auto"/>
              <w:jc w:val="center"/>
              <w:rPr>
                <w:rFonts w:ascii="宋体" w:hAnsi="宋体" w:cs="宋体"/>
                <w:color w:val="auto"/>
                <w:sz w:val="24"/>
                <w:highlight w:val="none"/>
              </w:rPr>
            </w:pPr>
          </w:p>
        </w:tc>
        <w:tc>
          <w:tcPr>
            <w:tcW w:w="1475"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533" w:type="dxa"/>
            <w:vAlign w:val="center"/>
          </w:tcPr>
          <w:p>
            <w:pPr>
              <w:spacing w:line="360" w:lineRule="auto"/>
              <w:jc w:val="center"/>
              <w:rPr>
                <w:rFonts w:ascii="宋体" w:hAnsi="宋体" w:cs="宋体"/>
                <w:color w:val="auto"/>
                <w:sz w:val="24"/>
                <w:highlight w:val="none"/>
              </w:rPr>
            </w:pPr>
          </w:p>
        </w:tc>
        <w:tc>
          <w:tcPr>
            <w:tcW w:w="1239"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电话</w:t>
            </w:r>
          </w:p>
        </w:tc>
        <w:tc>
          <w:tcPr>
            <w:tcW w:w="140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3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141" w:type="dxa"/>
            <w:vAlign w:val="center"/>
          </w:tcPr>
          <w:p>
            <w:pPr>
              <w:spacing w:line="360" w:lineRule="auto"/>
              <w:jc w:val="center"/>
              <w:rPr>
                <w:rFonts w:ascii="宋体" w:hAnsi="宋体" w:cs="宋体"/>
                <w:color w:val="auto"/>
                <w:sz w:val="24"/>
                <w:highlight w:val="none"/>
              </w:rPr>
            </w:pPr>
          </w:p>
        </w:tc>
        <w:tc>
          <w:tcPr>
            <w:tcW w:w="1475"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533" w:type="dxa"/>
            <w:vAlign w:val="center"/>
          </w:tcPr>
          <w:p>
            <w:pPr>
              <w:spacing w:line="360" w:lineRule="auto"/>
              <w:jc w:val="center"/>
              <w:rPr>
                <w:rFonts w:ascii="宋体" w:hAnsi="宋体" w:cs="宋体"/>
                <w:color w:val="auto"/>
                <w:sz w:val="24"/>
                <w:highlight w:val="none"/>
              </w:rPr>
            </w:pPr>
          </w:p>
        </w:tc>
        <w:tc>
          <w:tcPr>
            <w:tcW w:w="1239"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电话</w:t>
            </w:r>
          </w:p>
        </w:tc>
        <w:tc>
          <w:tcPr>
            <w:tcW w:w="140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2479" w:type="dxa"/>
            <w:gridSpan w:val="2"/>
            <w:vAlign w:val="center"/>
          </w:tcPr>
          <w:p>
            <w:pPr>
              <w:spacing w:line="360" w:lineRule="auto"/>
              <w:jc w:val="center"/>
              <w:rPr>
                <w:rFonts w:ascii="宋体" w:hAnsi="宋体" w:cs="宋体"/>
                <w:color w:val="auto"/>
                <w:sz w:val="24"/>
                <w:highlight w:val="none"/>
              </w:rPr>
            </w:pPr>
          </w:p>
        </w:tc>
        <w:tc>
          <w:tcPr>
            <w:tcW w:w="5655" w:type="dxa"/>
            <w:gridSpan w:val="6"/>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2479" w:type="dxa"/>
            <w:gridSpan w:val="2"/>
            <w:vAlign w:val="center"/>
          </w:tcPr>
          <w:p>
            <w:pPr>
              <w:spacing w:line="360" w:lineRule="auto"/>
              <w:jc w:val="center"/>
              <w:rPr>
                <w:rFonts w:ascii="宋体" w:hAnsi="宋体" w:cs="宋体"/>
                <w:color w:val="auto"/>
                <w:sz w:val="24"/>
                <w:highlight w:val="none"/>
              </w:rPr>
            </w:pPr>
          </w:p>
        </w:tc>
        <w:tc>
          <w:tcPr>
            <w:tcW w:w="1229"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其中</w:t>
            </w:r>
          </w:p>
        </w:tc>
        <w:tc>
          <w:tcPr>
            <w:tcW w:w="1910"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2516"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营业执照号</w:t>
            </w:r>
          </w:p>
        </w:tc>
        <w:tc>
          <w:tcPr>
            <w:tcW w:w="2479" w:type="dxa"/>
            <w:gridSpan w:val="2"/>
            <w:vAlign w:val="center"/>
          </w:tcPr>
          <w:p>
            <w:pPr>
              <w:spacing w:line="360" w:lineRule="auto"/>
              <w:jc w:val="center"/>
              <w:rPr>
                <w:rFonts w:ascii="宋体" w:hAnsi="宋体" w:cs="宋体"/>
                <w:color w:val="auto"/>
                <w:sz w:val="24"/>
                <w:highlight w:val="none"/>
              </w:rPr>
            </w:pPr>
          </w:p>
        </w:tc>
        <w:tc>
          <w:tcPr>
            <w:tcW w:w="1229" w:type="dxa"/>
            <w:vMerge w:val="continue"/>
            <w:vAlign w:val="center"/>
          </w:tcPr>
          <w:p>
            <w:pPr>
              <w:spacing w:line="360" w:lineRule="auto"/>
              <w:jc w:val="center"/>
              <w:rPr>
                <w:rFonts w:ascii="宋体" w:hAnsi="宋体" w:cs="宋体"/>
                <w:color w:val="auto"/>
                <w:sz w:val="24"/>
                <w:highlight w:val="none"/>
              </w:rPr>
            </w:pPr>
          </w:p>
        </w:tc>
        <w:tc>
          <w:tcPr>
            <w:tcW w:w="1910"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高级职称人员</w:t>
            </w:r>
          </w:p>
        </w:tc>
        <w:tc>
          <w:tcPr>
            <w:tcW w:w="2516"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2479" w:type="dxa"/>
            <w:gridSpan w:val="2"/>
            <w:vAlign w:val="center"/>
          </w:tcPr>
          <w:p>
            <w:pPr>
              <w:spacing w:line="360" w:lineRule="auto"/>
              <w:jc w:val="center"/>
              <w:rPr>
                <w:rFonts w:ascii="宋体" w:hAnsi="宋体" w:cs="宋体"/>
                <w:color w:val="auto"/>
                <w:sz w:val="24"/>
                <w:highlight w:val="none"/>
              </w:rPr>
            </w:pPr>
          </w:p>
        </w:tc>
        <w:tc>
          <w:tcPr>
            <w:tcW w:w="1229" w:type="dxa"/>
            <w:vMerge w:val="continue"/>
            <w:vAlign w:val="center"/>
          </w:tcPr>
          <w:p>
            <w:pPr>
              <w:spacing w:line="360" w:lineRule="auto"/>
              <w:jc w:val="center"/>
              <w:rPr>
                <w:rFonts w:ascii="宋体" w:hAnsi="宋体" w:cs="宋体"/>
                <w:color w:val="auto"/>
                <w:sz w:val="24"/>
                <w:highlight w:val="none"/>
              </w:rPr>
            </w:pPr>
          </w:p>
        </w:tc>
        <w:tc>
          <w:tcPr>
            <w:tcW w:w="1910"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中级职称人员</w:t>
            </w:r>
          </w:p>
        </w:tc>
        <w:tc>
          <w:tcPr>
            <w:tcW w:w="2516"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开户银行</w:t>
            </w:r>
          </w:p>
        </w:tc>
        <w:tc>
          <w:tcPr>
            <w:tcW w:w="2479" w:type="dxa"/>
            <w:gridSpan w:val="2"/>
            <w:vAlign w:val="center"/>
          </w:tcPr>
          <w:p>
            <w:pPr>
              <w:spacing w:line="360" w:lineRule="auto"/>
              <w:jc w:val="center"/>
              <w:rPr>
                <w:rFonts w:ascii="宋体" w:hAnsi="宋体" w:cs="宋体"/>
                <w:color w:val="auto"/>
                <w:sz w:val="24"/>
                <w:highlight w:val="none"/>
              </w:rPr>
            </w:pPr>
          </w:p>
        </w:tc>
        <w:tc>
          <w:tcPr>
            <w:tcW w:w="1229" w:type="dxa"/>
            <w:vMerge w:val="continue"/>
            <w:vAlign w:val="center"/>
          </w:tcPr>
          <w:p>
            <w:pPr>
              <w:spacing w:line="360" w:lineRule="auto"/>
              <w:jc w:val="center"/>
              <w:rPr>
                <w:rFonts w:ascii="宋体" w:hAnsi="宋体" w:cs="宋体"/>
                <w:color w:val="auto"/>
                <w:sz w:val="24"/>
                <w:highlight w:val="none"/>
              </w:rPr>
            </w:pPr>
          </w:p>
        </w:tc>
        <w:tc>
          <w:tcPr>
            <w:tcW w:w="1910"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初级职称人员</w:t>
            </w:r>
          </w:p>
        </w:tc>
        <w:tc>
          <w:tcPr>
            <w:tcW w:w="2516"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账号</w:t>
            </w:r>
          </w:p>
        </w:tc>
        <w:tc>
          <w:tcPr>
            <w:tcW w:w="2479" w:type="dxa"/>
            <w:gridSpan w:val="2"/>
            <w:vAlign w:val="center"/>
          </w:tcPr>
          <w:p>
            <w:pPr>
              <w:spacing w:line="360" w:lineRule="auto"/>
              <w:jc w:val="center"/>
              <w:rPr>
                <w:rFonts w:ascii="宋体" w:hAnsi="宋体" w:cs="宋体"/>
                <w:color w:val="auto"/>
                <w:sz w:val="24"/>
                <w:highlight w:val="none"/>
              </w:rPr>
            </w:pPr>
          </w:p>
        </w:tc>
        <w:tc>
          <w:tcPr>
            <w:tcW w:w="1229" w:type="dxa"/>
            <w:vMerge w:val="continue"/>
            <w:vAlign w:val="center"/>
          </w:tcPr>
          <w:p>
            <w:pPr>
              <w:spacing w:line="360" w:lineRule="auto"/>
              <w:jc w:val="center"/>
              <w:rPr>
                <w:rFonts w:ascii="宋体" w:hAnsi="宋体" w:cs="宋体"/>
                <w:color w:val="auto"/>
                <w:sz w:val="24"/>
                <w:highlight w:val="none"/>
              </w:rPr>
            </w:pPr>
          </w:p>
        </w:tc>
        <w:tc>
          <w:tcPr>
            <w:tcW w:w="1910"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技工</w:t>
            </w:r>
          </w:p>
        </w:tc>
        <w:tc>
          <w:tcPr>
            <w:tcW w:w="2516"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8134" w:type="dxa"/>
            <w:gridSpan w:val="8"/>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8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8134" w:type="dxa"/>
            <w:gridSpan w:val="8"/>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pStyle w:val="26"/>
        <w:ind w:firstLine="210"/>
        <w:rPr>
          <w:rFonts w:ascii="宋体" w:hAnsi="宋体" w:cs="宋体"/>
          <w:color w:val="auto"/>
          <w:highlight w:val="none"/>
        </w:rPr>
      </w:pPr>
    </w:p>
    <w:p>
      <w:pPr>
        <w:pStyle w:val="26"/>
        <w:ind w:firstLine="0" w:firstLineChars="0"/>
        <w:rPr>
          <w:rFonts w:ascii="宋体" w:hAnsi="宋体" w:cs="宋体"/>
          <w:color w:val="auto"/>
          <w:highlight w:val="none"/>
        </w:rPr>
      </w:pPr>
    </w:p>
    <w:p>
      <w:pPr>
        <w:spacing w:line="360" w:lineRule="auto"/>
        <w:rPr>
          <w:rFonts w:ascii="宋体" w:hAnsi="宋体" w:cs="宋体"/>
          <w:b/>
          <w:bCs/>
          <w:color w:val="auto"/>
          <w:sz w:val="24"/>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四、商务应答表</w:t>
      </w:r>
    </w:p>
    <w:p>
      <w:pPr>
        <w:spacing w:line="360" w:lineRule="auto"/>
        <w:rPr>
          <w:rFonts w:ascii="宋体" w:hAnsi="宋体" w:cs="宋体"/>
          <w:color w:val="auto"/>
          <w:highlight w:val="none"/>
        </w:rPr>
      </w:pPr>
      <w:r>
        <w:rPr>
          <w:rFonts w:hint="eastAsia" w:ascii="宋体" w:hAnsi="宋体" w:cs="宋体"/>
          <w:color w:val="auto"/>
          <w:sz w:val="24"/>
          <w:highlight w:val="none"/>
        </w:rPr>
        <w:t xml:space="preserve">项目名称：                                 </w:t>
      </w:r>
    </w:p>
    <w:tbl>
      <w:tblPr>
        <w:tblStyle w:val="28"/>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251"/>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77" w:type="dxa"/>
            <w:vAlign w:val="center"/>
          </w:tcPr>
          <w:p>
            <w:pPr>
              <w:widowControl/>
              <w:spacing w:line="360" w:lineRule="auto"/>
              <w:jc w:val="center"/>
              <w:outlineLvl w:val="1"/>
              <w:rPr>
                <w:rFonts w:ascii="宋体" w:hAnsi="宋体" w:cs="宋体"/>
                <w:color w:val="auto"/>
                <w:sz w:val="24"/>
                <w:highlight w:val="none"/>
              </w:rPr>
            </w:pPr>
            <w:bookmarkStart w:id="191" w:name="_Toc705"/>
            <w:bookmarkStart w:id="192" w:name="_Toc3872"/>
            <w:bookmarkStart w:id="193" w:name="OLE_LINK4"/>
            <w:r>
              <w:rPr>
                <w:rFonts w:hint="eastAsia" w:ascii="宋体" w:hAnsi="宋体" w:cs="宋体"/>
                <w:color w:val="auto"/>
                <w:sz w:val="24"/>
                <w:highlight w:val="none"/>
              </w:rPr>
              <w:t>序号</w:t>
            </w:r>
            <w:bookmarkEnd w:id="191"/>
            <w:bookmarkEnd w:id="192"/>
          </w:p>
        </w:tc>
        <w:tc>
          <w:tcPr>
            <w:tcW w:w="4251" w:type="dxa"/>
            <w:vAlign w:val="center"/>
          </w:tcPr>
          <w:p>
            <w:pPr>
              <w:widowControl/>
              <w:spacing w:line="360" w:lineRule="auto"/>
              <w:jc w:val="center"/>
              <w:outlineLvl w:val="1"/>
              <w:rPr>
                <w:rFonts w:ascii="宋体" w:hAnsi="宋体" w:cs="宋体"/>
                <w:color w:val="auto"/>
                <w:sz w:val="24"/>
                <w:highlight w:val="none"/>
              </w:rPr>
            </w:pPr>
            <w:bookmarkStart w:id="194" w:name="_Toc20186"/>
            <w:bookmarkStart w:id="195" w:name="_Toc28812"/>
            <w:r>
              <w:rPr>
                <w:rFonts w:hint="eastAsia" w:ascii="宋体" w:hAnsi="宋体" w:cs="宋体"/>
                <w:color w:val="auto"/>
                <w:sz w:val="24"/>
                <w:highlight w:val="none"/>
              </w:rPr>
              <w:t>竞争性磋商文件要求</w:t>
            </w:r>
            <w:bookmarkEnd w:id="194"/>
            <w:bookmarkEnd w:id="195"/>
          </w:p>
        </w:tc>
        <w:tc>
          <w:tcPr>
            <w:tcW w:w="3871" w:type="dxa"/>
            <w:vAlign w:val="center"/>
          </w:tcPr>
          <w:p>
            <w:pPr>
              <w:widowControl/>
              <w:spacing w:line="360" w:lineRule="auto"/>
              <w:jc w:val="center"/>
              <w:outlineLvl w:val="1"/>
              <w:rPr>
                <w:rFonts w:ascii="宋体" w:hAnsi="宋体" w:cs="宋体"/>
                <w:color w:val="auto"/>
                <w:sz w:val="24"/>
                <w:highlight w:val="none"/>
              </w:rPr>
            </w:pPr>
            <w:bookmarkStart w:id="196" w:name="_Toc5026"/>
            <w:bookmarkStart w:id="197" w:name="_Toc4337"/>
            <w:r>
              <w:rPr>
                <w:rFonts w:hint="eastAsia" w:ascii="宋体" w:hAnsi="宋体" w:cs="宋体"/>
                <w:color w:val="auto"/>
                <w:sz w:val="24"/>
                <w:highlight w:val="none"/>
              </w:rPr>
              <w:t>响应文件</w:t>
            </w:r>
            <w:bookmarkEnd w:id="196"/>
            <w:r>
              <w:rPr>
                <w:rFonts w:hint="eastAsia" w:ascii="宋体" w:hAnsi="宋体" w:cs="宋体"/>
                <w:color w:val="auto"/>
                <w:sz w:val="24"/>
                <w:highlight w:val="none"/>
              </w:rPr>
              <w:t>响应说明</w:t>
            </w:r>
            <w:bookmarkEnd w:id="1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77" w:type="dxa"/>
          </w:tcPr>
          <w:p>
            <w:pPr>
              <w:widowControl/>
              <w:spacing w:line="360" w:lineRule="auto"/>
              <w:ind w:firstLine="470" w:firstLineChars="196"/>
              <w:jc w:val="center"/>
              <w:outlineLvl w:val="1"/>
              <w:rPr>
                <w:rFonts w:ascii="宋体" w:hAnsi="宋体" w:cs="宋体"/>
                <w:color w:val="auto"/>
                <w:sz w:val="24"/>
                <w:highlight w:val="none"/>
              </w:rPr>
            </w:pPr>
          </w:p>
        </w:tc>
        <w:tc>
          <w:tcPr>
            <w:tcW w:w="4251" w:type="dxa"/>
          </w:tcPr>
          <w:p>
            <w:pPr>
              <w:widowControl/>
              <w:spacing w:line="360" w:lineRule="auto"/>
              <w:ind w:firstLine="470" w:firstLineChars="196"/>
              <w:jc w:val="center"/>
              <w:outlineLvl w:val="1"/>
              <w:rPr>
                <w:rFonts w:ascii="宋体" w:hAnsi="宋体" w:cs="宋体"/>
                <w:color w:val="auto"/>
                <w:sz w:val="24"/>
                <w:highlight w:val="none"/>
              </w:rPr>
            </w:pPr>
          </w:p>
        </w:tc>
        <w:tc>
          <w:tcPr>
            <w:tcW w:w="3871" w:type="dxa"/>
          </w:tcPr>
          <w:p>
            <w:pPr>
              <w:widowControl/>
              <w:spacing w:line="360" w:lineRule="auto"/>
              <w:ind w:firstLine="470" w:firstLineChars="196"/>
              <w:jc w:val="center"/>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77" w:type="dxa"/>
          </w:tcPr>
          <w:p>
            <w:pPr>
              <w:widowControl/>
              <w:spacing w:line="360" w:lineRule="auto"/>
              <w:ind w:firstLine="470" w:firstLineChars="196"/>
              <w:jc w:val="center"/>
              <w:outlineLvl w:val="1"/>
              <w:rPr>
                <w:rFonts w:ascii="宋体" w:hAnsi="宋体" w:cs="宋体"/>
                <w:color w:val="auto"/>
                <w:sz w:val="24"/>
                <w:highlight w:val="none"/>
              </w:rPr>
            </w:pPr>
          </w:p>
        </w:tc>
        <w:tc>
          <w:tcPr>
            <w:tcW w:w="4251" w:type="dxa"/>
          </w:tcPr>
          <w:p>
            <w:pPr>
              <w:widowControl/>
              <w:spacing w:line="360" w:lineRule="auto"/>
              <w:ind w:firstLine="470" w:firstLineChars="196"/>
              <w:jc w:val="center"/>
              <w:outlineLvl w:val="1"/>
              <w:rPr>
                <w:rFonts w:ascii="宋体" w:hAnsi="宋体" w:cs="宋体"/>
                <w:color w:val="auto"/>
                <w:sz w:val="24"/>
                <w:highlight w:val="none"/>
              </w:rPr>
            </w:pPr>
          </w:p>
        </w:tc>
        <w:tc>
          <w:tcPr>
            <w:tcW w:w="3871" w:type="dxa"/>
          </w:tcPr>
          <w:p>
            <w:pPr>
              <w:widowControl/>
              <w:spacing w:line="360" w:lineRule="auto"/>
              <w:ind w:firstLine="470" w:firstLineChars="196"/>
              <w:jc w:val="center"/>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77" w:type="dxa"/>
          </w:tcPr>
          <w:p>
            <w:pPr>
              <w:widowControl/>
              <w:spacing w:line="360" w:lineRule="auto"/>
              <w:ind w:firstLine="470" w:firstLineChars="196"/>
              <w:jc w:val="center"/>
              <w:outlineLvl w:val="1"/>
              <w:rPr>
                <w:rFonts w:ascii="宋体" w:hAnsi="宋体" w:cs="宋体"/>
                <w:color w:val="auto"/>
                <w:sz w:val="24"/>
                <w:highlight w:val="none"/>
              </w:rPr>
            </w:pPr>
          </w:p>
        </w:tc>
        <w:tc>
          <w:tcPr>
            <w:tcW w:w="4251" w:type="dxa"/>
          </w:tcPr>
          <w:p>
            <w:pPr>
              <w:widowControl/>
              <w:spacing w:line="360" w:lineRule="auto"/>
              <w:ind w:firstLine="470" w:firstLineChars="196"/>
              <w:jc w:val="center"/>
              <w:outlineLvl w:val="1"/>
              <w:rPr>
                <w:rFonts w:ascii="宋体" w:hAnsi="宋体" w:cs="宋体"/>
                <w:color w:val="auto"/>
                <w:sz w:val="24"/>
                <w:highlight w:val="none"/>
              </w:rPr>
            </w:pPr>
          </w:p>
        </w:tc>
        <w:tc>
          <w:tcPr>
            <w:tcW w:w="3871" w:type="dxa"/>
          </w:tcPr>
          <w:p>
            <w:pPr>
              <w:widowControl/>
              <w:spacing w:line="360" w:lineRule="auto"/>
              <w:ind w:firstLine="470" w:firstLineChars="196"/>
              <w:jc w:val="center"/>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77" w:type="dxa"/>
          </w:tcPr>
          <w:p>
            <w:pPr>
              <w:widowControl/>
              <w:spacing w:line="360" w:lineRule="auto"/>
              <w:ind w:firstLine="470" w:firstLineChars="196"/>
              <w:jc w:val="center"/>
              <w:outlineLvl w:val="1"/>
              <w:rPr>
                <w:rFonts w:ascii="宋体" w:hAnsi="宋体" w:cs="宋体"/>
                <w:color w:val="auto"/>
                <w:sz w:val="24"/>
                <w:highlight w:val="none"/>
              </w:rPr>
            </w:pPr>
          </w:p>
        </w:tc>
        <w:tc>
          <w:tcPr>
            <w:tcW w:w="4251" w:type="dxa"/>
          </w:tcPr>
          <w:p>
            <w:pPr>
              <w:widowControl/>
              <w:spacing w:line="360" w:lineRule="auto"/>
              <w:ind w:firstLine="470" w:firstLineChars="196"/>
              <w:jc w:val="center"/>
              <w:outlineLvl w:val="1"/>
              <w:rPr>
                <w:rFonts w:ascii="宋体" w:hAnsi="宋体" w:cs="宋体"/>
                <w:color w:val="auto"/>
                <w:sz w:val="24"/>
                <w:highlight w:val="none"/>
              </w:rPr>
            </w:pPr>
          </w:p>
        </w:tc>
        <w:tc>
          <w:tcPr>
            <w:tcW w:w="3871" w:type="dxa"/>
          </w:tcPr>
          <w:p>
            <w:pPr>
              <w:widowControl/>
              <w:spacing w:line="360" w:lineRule="auto"/>
              <w:ind w:firstLine="470" w:firstLineChars="196"/>
              <w:jc w:val="center"/>
              <w:outlineLvl w:val="1"/>
              <w:rPr>
                <w:rFonts w:ascii="宋体" w:hAnsi="宋体" w:cs="宋体"/>
                <w:color w:val="auto"/>
                <w:sz w:val="24"/>
                <w:highlight w:val="none"/>
              </w:rPr>
            </w:pPr>
          </w:p>
        </w:tc>
      </w:tr>
      <w:bookmarkEnd w:id="193"/>
    </w:tbl>
    <w:p>
      <w:pPr>
        <w:spacing w:line="360" w:lineRule="auto"/>
        <w:rPr>
          <w:color w:val="auto"/>
          <w:sz w:val="24"/>
          <w:highlight w:val="none"/>
        </w:rPr>
      </w:pPr>
      <w:bookmarkStart w:id="198" w:name="_Toc5816"/>
      <w:bookmarkStart w:id="199" w:name="_Toc25070"/>
    </w:p>
    <w:p>
      <w:pPr>
        <w:spacing w:line="360" w:lineRule="auto"/>
        <w:rPr>
          <w:color w:val="auto"/>
          <w:sz w:val="24"/>
          <w:highlight w:val="none"/>
        </w:rPr>
      </w:pPr>
      <w:r>
        <w:rPr>
          <w:rFonts w:hint="eastAsia"/>
          <w:color w:val="auto"/>
          <w:sz w:val="24"/>
          <w:highlight w:val="none"/>
        </w:rPr>
        <w:t>注：1. 供应商</w:t>
      </w:r>
      <w:r>
        <w:rPr>
          <w:rFonts w:hint="eastAsia"/>
          <w:color w:val="auto"/>
          <w:sz w:val="24"/>
          <w:highlight w:val="none"/>
          <w:lang w:eastAsia="zh-CN"/>
        </w:rPr>
        <w:t>应当将</w:t>
      </w:r>
      <w:r>
        <w:rPr>
          <w:rFonts w:hint="eastAsia"/>
          <w:color w:val="auto"/>
          <w:sz w:val="24"/>
          <w:highlight w:val="none"/>
        </w:rPr>
        <w:t>招标文件“第五章</w:t>
      </w:r>
      <w:r>
        <w:rPr>
          <w:color w:val="auto"/>
          <w:sz w:val="24"/>
          <w:highlight w:val="none"/>
        </w:rPr>
        <w:t xml:space="preserve"> </w:t>
      </w:r>
      <w:r>
        <w:rPr>
          <w:rFonts w:hint="eastAsia"/>
          <w:color w:val="auto"/>
          <w:sz w:val="24"/>
          <w:highlight w:val="none"/>
        </w:rPr>
        <w:t>采购项目技术、服务及其他商务要求”中商务要求相关内容列入此表。</w:t>
      </w:r>
    </w:p>
    <w:p>
      <w:pPr>
        <w:spacing w:line="360" w:lineRule="auto"/>
        <w:rPr>
          <w:color w:val="auto"/>
          <w:sz w:val="24"/>
          <w:highlight w:val="none"/>
        </w:rPr>
      </w:pPr>
      <w:r>
        <w:rPr>
          <w:rFonts w:hint="eastAsia"/>
          <w:color w:val="auto"/>
          <w:sz w:val="24"/>
          <w:highlight w:val="none"/>
        </w:rPr>
        <w:t>2．按照磋商项目商务要求的顺序逐条对应填写。</w:t>
      </w:r>
    </w:p>
    <w:bookmarkEnd w:id="198"/>
    <w:bookmarkEnd w:id="199"/>
    <w:p>
      <w:pPr>
        <w:spacing w:line="360" w:lineRule="auto"/>
        <w:rPr>
          <w:rFonts w:ascii="宋体" w:hAnsi="宋体" w:cs="宋体"/>
          <w:color w:val="auto"/>
          <w:sz w:val="24"/>
          <w:highlight w:val="none"/>
        </w:rPr>
      </w:pPr>
    </w:p>
    <w:p>
      <w:pPr>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pStyle w:val="26"/>
        <w:ind w:firstLine="210"/>
        <w:rPr>
          <w:rFonts w:ascii="宋体" w:hAnsi="宋体" w:cs="宋体"/>
          <w:color w:val="auto"/>
          <w:highlight w:val="none"/>
        </w:rPr>
      </w:pPr>
    </w:p>
    <w:p>
      <w:pPr>
        <w:spacing w:line="360" w:lineRule="auto"/>
        <w:rPr>
          <w:rFonts w:ascii="宋体" w:hAnsi="宋体" w:cs="宋体"/>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五、</w:t>
      </w:r>
      <w:r>
        <w:rPr>
          <w:rFonts w:hint="eastAsia" w:ascii="宋体" w:hAnsi="宋体" w:cs="宋体"/>
          <w:b/>
          <w:bCs/>
          <w:color w:val="auto"/>
          <w:sz w:val="24"/>
          <w:highlight w:val="none"/>
          <w:lang w:val="en-US" w:eastAsia="zh-CN"/>
        </w:rPr>
        <w:t>技术</w:t>
      </w:r>
      <w:r>
        <w:rPr>
          <w:rFonts w:hint="eastAsia" w:ascii="宋体" w:hAnsi="宋体" w:cs="宋体"/>
          <w:b/>
          <w:bCs/>
          <w:color w:val="auto"/>
          <w:sz w:val="24"/>
          <w:highlight w:val="none"/>
        </w:rPr>
        <w:t>服务要求偏离表</w:t>
      </w:r>
    </w:p>
    <w:p>
      <w:pPr>
        <w:spacing w:line="360" w:lineRule="auto"/>
        <w:rPr>
          <w:rFonts w:ascii="宋体" w:hAnsi="宋体" w:cs="宋体"/>
          <w:color w:val="auto"/>
          <w:highlight w:val="none"/>
        </w:rPr>
      </w:pPr>
      <w:r>
        <w:rPr>
          <w:rFonts w:hint="eastAsia" w:ascii="宋体" w:hAnsi="宋体" w:cs="宋体"/>
          <w:color w:val="auto"/>
          <w:sz w:val="24"/>
          <w:highlight w:val="none"/>
        </w:rPr>
        <w:t xml:space="preserve">项目名称：                                               </w:t>
      </w:r>
    </w:p>
    <w:tbl>
      <w:tblPr>
        <w:tblStyle w:val="2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000"/>
        <w:gridCol w:w="2867"/>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0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竞争性磋商文件要求</w:t>
            </w:r>
          </w:p>
        </w:tc>
        <w:tc>
          <w:tcPr>
            <w:tcW w:w="286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响应文件响应说明</w:t>
            </w:r>
          </w:p>
        </w:tc>
        <w:tc>
          <w:tcPr>
            <w:tcW w:w="26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auto"/>
                <w:sz w:val="24"/>
                <w:highlight w:val="none"/>
              </w:rPr>
            </w:pPr>
          </w:p>
        </w:tc>
        <w:tc>
          <w:tcPr>
            <w:tcW w:w="3000" w:type="dxa"/>
          </w:tcPr>
          <w:p>
            <w:pPr>
              <w:spacing w:line="360" w:lineRule="auto"/>
              <w:rPr>
                <w:rFonts w:ascii="宋体" w:hAnsi="宋体" w:cs="宋体"/>
                <w:color w:val="auto"/>
                <w:sz w:val="24"/>
                <w:highlight w:val="none"/>
              </w:rPr>
            </w:pPr>
          </w:p>
        </w:tc>
        <w:tc>
          <w:tcPr>
            <w:tcW w:w="2867" w:type="dxa"/>
          </w:tcPr>
          <w:p>
            <w:pPr>
              <w:spacing w:line="360" w:lineRule="auto"/>
              <w:rPr>
                <w:rFonts w:ascii="宋体" w:hAnsi="宋体" w:cs="宋体"/>
                <w:color w:val="auto"/>
                <w:sz w:val="24"/>
                <w:highlight w:val="none"/>
              </w:rPr>
            </w:pPr>
          </w:p>
        </w:tc>
        <w:tc>
          <w:tcPr>
            <w:tcW w:w="26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auto"/>
                <w:sz w:val="24"/>
                <w:highlight w:val="none"/>
              </w:rPr>
            </w:pPr>
          </w:p>
        </w:tc>
        <w:tc>
          <w:tcPr>
            <w:tcW w:w="3000" w:type="dxa"/>
          </w:tcPr>
          <w:p>
            <w:pPr>
              <w:spacing w:line="360" w:lineRule="auto"/>
              <w:rPr>
                <w:rFonts w:ascii="宋体" w:hAnsi="宋体" w:cs="宋体"/>
                <w:color w:val="auto"/>
                <w:sz w:val="24"/>
                <w:highlight w:val="none"/>
              </w:rPr>
            </w:pPr>
          </w:p>
        </w:tc>
        <w:tc>
          <w:tcPr>
            <w:tcW w:w="2867" w:type="dxa"/>
          </w:tcPr>
          <w:p>
            <w:pPr>
              <w:spacing w:line="360" w:lineRule="auto"/>
              <w:rPr>
                <w:rFonts w:ascii="宋体" w:hAnsi="宋体" w:cs="宋体"/>
                <w:color w:val="auto"/>
                <w:sz w:val="24"/>
                <w:highlight w:val="none"/>
              </w:rPr>
            </w:pPr>
          </w:p>
        </w:tc>
        <w:tc>
          <w:tcPr>
            <w:tcW w:w="26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auto"/>
                <w:sz w:val="24"/>
                <w:highlight w:val="none"/>
              </w:rPr>
            </w:pPr>
          </w:p>
        </w:tc>
        <w:tc>
          <w:tcPr>
            <w:tcW w:w="3000" w:type="dxa"/>
          </w:tcPr>
          <w:p>
            <w:pPr>
              <w:spacing w:line="360" w:lineRule="auto"/>
              <w:rPr>
                <w:rFonts w:ascii="宋体" w:hAnsi="宋体" w:cs="宋体"/>
                <w:color w:val="auto"/>
                <w:sz w:val="24"/>
                <w:highlight w:val="none"/>
              </w:rPr>
            </w:pPr>
          </w:p>
        </w:tc>
        <w:tc>
          <w:tcPr>
            <w:tcW w:w="2867" w:type="dxa"/>
          </w:tcPr>
          <w:p>
            <w:pPr>
              <w:spacing w:line="360" w:lineRule="auto"/>
              <w:rPr>
                <w:rFonts w:ascii="宋体" w:hAnsi="宋体" w:cs="宋体"/>
                <w:color w:val="auto"/>
                <w:sz w:val="24"/>
                <w:highlight w:val="none"/>
              </w:rPr>
            </w:pPr>
          </w:p>
        </w:tc>
        <w:tc>
          <w:tcPr>
            <w:tcW w:w="26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auto"/>
                <w:sz w:val="24"/>
                <w:highlight w:val="none"/>
              </w:rPr>
            </w:pPr>
          </w:p>
        </w:tc>
        <w:tc>
          <w:tcPr>
            <w:tcW w:w="3000" w:type="dxa"/>
          </w:tcPr>
          <w:p>
            <w:pPr>
              <w:spacing w:line="360" w:lineRule="auto"/>
              <w:rPr>
                <w:rFonts w:ascii="宋体" w:hAnsi="宋体" w:cs="宋体"/>
                <w:color w:val="auto"/>
                <w:sz w:val="24"/>
                <w:highlight w:val="none"/>
              </w:rPr>
            </w:pPr>
          </w:p>
        </w:tc>
        <w:tc>
          <w:tcPr>
            <w:tcW w:w="2867" w:type="dxa"/>
          </w:tcPr>
          <w:p>
            <w:pPr>
              <w:spacing w:line="360" w:lineRule="auto"/>
              <w:rPr>
                <w:rFonts w:ascii="宋体" w:hAnsi="宋体" w:cs="宋体"/>
                <w:color w:val="auto"/>
                <w:sz w:val="24"/>
                <w:highlight w:val="none"/>
              </w:rPr>
            </w:pPr>
          </w:p>
        </w:tc>
        <w:tc>
          <w:tcPr>
            <w:tcW w:w="2645" w:type="dxa"/>
          </w:tcPr>
          <w:p>
            <w:pPr>
              <w:spacing w:line="360" w:lineRule="auto"/>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供应商必须据实填写，不得虚假应答，否则将取消其报价或成交资格。本表只填写响应文件中与磋商文件有偏离（包括正偏离和负偏离）的内容，响应文件中服务响应与磋商文件要求完全一致的，不用在此表中列出。未明确偏离的条款，视为默认接受，供应商不得籍未作应答而拒不接受。</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pStyle w:val="26"/>
        <w:ind w:firstLine="210"/>
        <w:rPr>
          <w:rFonts w:ascii="宋体" w:hAnsi="宋体" w:cs="宋体"/>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rFonts w:ascii="宋体" w:hAnsi="宋体" w:cs="宋体"/>
          <w:color w:val="auto"/>
          <w:sz w:val="24"/>
          <w:highlight w:val="none"/>
        </w:rPr>
      </w:pPr>
    </w:p>
    <w:p>
      <w:pPr>
        <w:rPr>
          <w:color w:val="auto"/>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六、项目服务方案</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注：由供应商自行编写（格式不限）。</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pStyle w:val="26"/>
        <w:ind w:firstLine="210"/>
        <w:rPr>
          <w:rFonts w:ascii="宋体" w:hAnsi="宋体" w:cs="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pStyle w:val="38"/>
        <w:rPr>
          <w:rFonts w:hAnsi="宋体"/>
          <w:color w:val="auto"/>
          <w:highlight w:val="none"/>
        </w:rPr>
      </w:pPr>
    </w:p>
    <w:p>
      <w:pPr>
        <w:rPr>
          <w:rFonts w:ascii="宋体" w:hAnsi="宋体" w:cs="宋体"/>
          <w:color w:val="auto"/>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七、项目管理、服务人员情况表</w:t>
      </w:r>
    </w:p>
    <w:p>
      <w:pPr>
        <w:spacing w:line="360" w:lineRule="auto"/>
        <w:ind w:firstLine="720" w:firstLineChars="300"/>
        <w:rPr>
          <w:rFonts w:ascii="宋体" w:hAnsi="宋体" w:cs="宋体"/>
          <w:color w:val="auto"/>
          <w:highlight w:val="none"/>
        </w:rPr>
      </w:pPr>
      <w:r>
        <w:rPr>
          <w:rFonts w:hint="eastAsia" w:ascii="宋体" w:hAnsi="宋体" w:cs="宋体"/>
          <w:color w:val="auto"/>
          <w:sz w:val="24"/>
          <w:highlight w:val="none"/>
        </w:rPr>
        <w:t>项目编号：                          本表后须附资格证明(附复印件)</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40"/>
        <w:gridCol w:w="1040"/>
        <w:gridCol w:w="1040"/>
        <w:gridCol w:w="1040"/>
        <w:gridCol w:w="1040"/>
        <w:gridCol w:w="1040"/>
        <w:gridCol w:w="10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常住地</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级别</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证号</w:t>
            </w:r>
          </w:p>
        </w:tc>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管</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理</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员</w:t>
            </w:r>
          </w:p>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术</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员</w:t>
            </w:r>
          </w:p>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0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他</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员</w:t>
            </w:r>
          </w:p>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c>
          <w:tcPr>
            <w:tcW w:w="1040"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pStyle w:val="2"/>
        <w:rPr>
          <w:rFonts w:ascii="宋体" w:hAnsi="宋体" w:cs="宋体"/>
          <w:color w:val="auto"/>
          <w:sz w:val="24"/>
          <w:highlight w:val="none"/>
        </w:rPr>
      </w:pPr>
    </w:p>
    <w:p>
      <w:pPr>
        <w:pStyle w:val="26"/>
        <w:ind w:firstLine="210"/>
        <w:rPr>
          <w:rFonts w:ascii="宋体" w:hAnsi="宋体" w:cs="宋体"/>
          <w:color w:val="auto"/>
          <w:highlight w:val="none"/>
        </w:rPr>
      </w:pPr>
    </w:p>
    <w:p>
      <w:pPr>
        <w:pStyle w:val="26"/>
        <w:ind w:firstLine="210"/>
        <w:rPr>
          <w:rFonts w:ascii="宋体" w:hAnsi="宋体" w:cs="宋体"/>
          <w:color w:val="auto"/>
          <w:highlight w:val="none"/>
        </w:rPr>
      </w:pPr>
    </w:p>
    <w:p>
      <w:pPr>
        <w:pStyle w:val="26"/>
        <w:ind w:firstLine="210"/>
        <w:rPr>
          <w:rFonts w:ascii="宋体" w:hAnsi="宋体" w:cs="宋体"/>
          <w:color w:val="auto"/>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八、供应商类似项目业绩一览表</w:t>
      </w:r>
    </w:p>
    <w:p>
      <w:pPr>
        <w:spacing w:line="360" w:lineRule="auto"/>
        <w:rPr>
          <w:rFonts w:ascii="宋体" w:hAnsi="宋体" w:cs="宋体"/>
          <w:color w:val="auto"/>
          <w:highlight w:val="none"/>
        </w:rPr>
      </w:pPr>
      <w:r>
        <w:rPr>
          <w:rFonts w:hint="eastAsia" w:ascii="宋体" w:hAnsi="宋体" w:cs="宋体"/>
          <w:color w:val="auto"/>
          <w:sz w:val="24"/>
          <w:highlight w:val="none"/>
        </w:rPr>
        <w:t xml:space="preserve">项目编号：                             </w:t>
      </w:r>
    </w:p>
    <w:tbl>
      <w:tblPr>
        <w:tblStyle w:val="2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604"/>
        <w:gridCol w:w="1576"/>
        <w:gridCol w:w="1600"/>
        <w:gridCol w:w="162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年份</w:t>
            </w:r>
          </w:p>
        </w:tc>
        <w:tc>
          <w:tcPr>
            <w:tcW w:w="160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用户名称</w:t>
            </w:r>
          </w:p>
        </w:tc>
        <w:tc>
          <w:tcPr>
            <w:tcW w:w="15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60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执行时间</w:t>
            </w:r>
          </w:p>
        </w:tc>
        <w:tc>
          <w:tcPr>
            <w:tcW w:w="16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合同金额</w:t>
            </w:r>
          </w:p>
        </w:tc>
        <w:tc>
          <w:tcPr>
            <w:tcW w:w="152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2" w:type="dxa"/>
            <w:vAlign w:val="center"/>
          </w:tcPr>
          <w:p>
            <w:pPr>
              <w:spacing w:line="360" w:lineRule="auto"/>
              <w:jc w:val="center"/>
              <w:rPr>
                <w:rFonts w:ascii="宋体" w:hAnsi="宋体" w:cs="宋体"/>
                <w:color w:val="auto"/>
                <w:sz w:val="24"/>
                <w:highlight w:val="none"/>
              </w:rPr>
            </w:pPr>
          </w:p>
        </w:tc>
        <w:tc>
          <w:tcPr>
            <w:tcW w:w="1604" w:type="dxa"/>
            <w:vAlign w:val="center"/>
          </w:tcPr>
          <w:p>
            <w:pPr>
              <w:spacing w:line="360" w:lineRule="auto"/>
              <w:jc w:val="center"/>
              <w:rPr>
                <w:rFonts w:ascii="宋体" w:hAnsi="宋体" w:cs="宋体"/>
                <w:color w:val="auto"/>
                <w:sz w:val="24"/>
                <w:highlight w:val="none"/>
              </w:rPr>
            </w:pPr>
          </w:p>
        </w:tc>
        <w:tc>
          <w:tcPr>
            <w:tcW w:w="1576" w:type="dxa"/>
            <w:vAlign w:val="center"/>
          </w:tcPr>
          <w:p>
            <w:pPr>
              <w:spacing w:line="360" w:lineRule="auto"/>
              <w:jc w:val="center"/>
              <w:rPr>
                <w:rFonts w:ascii="宋体" w:hAnsi="宋体" w:cs="宋体"/>
                <w:color w:val="auto"/>
                <w:sz w:val="24"/>
                <w:highlight w:val="none"/>
              </w:rPr>
            </w:pPr>
          </w:p>
        </w:tc>
        <w:tc>
          <w:tcPr>
            <w:tcW w:w="1600" w:type="dxa"/>
            <w:vAlign w:val="center"/>
          </w:tcPr>
          <w:p>
            <w:pPr>
              <w:spacing w:line="360" w:lineRule="auto"/>
              <w:jc w:val="center"/>
              <w:rPr>
                <w:rFonts w:ascii="宋体" w:hAnsi="宋体" w:cs="宋体"/>
                <w:color w:val="auto"/>
                <w:sz w:val="24"/>
                <w:highlight w:val="none"/>
              </w:rPr>
            </w:pPr>
          </w:p>
        </w:tc>
        <w:tc>
          <w:tcPr>
            <w:tcW w:w="1620" w:type="dxa"/>
            <w:vAlign w:val="center"/>
          </w:tcPr>
          <w:p>
            <w:pPr>
              <w:spacing w:line="360" w:lineRule="auto"/>
              <w:jc w:val="center"/>
              <w:rPr>
                <w:rFonts w:ascii="宋体" w:hAnsi="宋体" w:cs="宋体"/>
                <w:color w:val="auto"/>
                <w:sz w:val="24"/>
                <w:highlight w:val="none"/>
              </w:rPr>
            </w:pPr>
          </w:p>
        </w:tc>
        <w:tc>
          <w:tcPr>
            <w:tcW w:w="1524"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注：供应商（仅限于供应商以自身名义实施的）以上业绩需提供有关书面证明材料复印件。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法定代表人/单位负责人或授权代表（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磋商日期:</w:t>
      </w:r>
    </w:p>
    <w:p>
      <w:pPr>
        <w:pStyle w:val="26"/>
        <w:ind w:firstLine="0" w:firstLineChars="0"/>
        <w:rPr>
          <w:rFonts w:ascii="宋体" w:hAnsi="宋体" w:cs="宋体"/>
          <w:color w:val="auto"/>
          <w:sz w:val="24"/>
          <w:highlight w:val="none"/>
        </w:rPr>
      </w:pPr>
    </w:p>
    <w:p>
      <w:pPr>
        <w:rPr>
          <w:color w:val="auto"/>
          <w:highlight w:val="none"/>
        </w:rPr>
      </w:pPr>
    </w:p>
    <w:p>
      <w:pPr>
        <w:rPr>
          <w:color w:val="auto"/>
          <w:highlight w:val="none"/>
        </w:rPr>
        <w:sectPr>
          <w:pgSz w:w="11906" w:h="16838"/>
          <w:pgMar w:top="1440" w:right="1406" w:bottom="1440" w:left="1293" w:header="851" w:footer="992" w:gutter="0"/>
          <w:cols w:space="720" w:num="1"/>
          <w:docGrid w:type="lines" w:linePitch="312" w:charSpace="0"/>
        </w:sectPr>
      </w:pPr>
    </w:p>
    <w:p>
      <w:pPr>
        <w:spacing w:line="360" w:lineRule="auto"/>
        <w:jc w:val="center"/>
        <w:outlineLvl w:val="2"/>
        <w:rPr>
          <w:rFonts w:ascii="宋体" w:hAnsi="宋体" w:cs="宋体"/>
          <w:b/>
          <w:bCs/>
          <w:color w:val="auto"/>
          <w:sz w:val="24"/>
          <w:highlight w:val="none"/>
        </w:rPr>
      </w:pPr>
      <w:bookmarkStart w:id="200" w:name="_Toc10559"/>
      <w:bookmarkStart w:id="201" w:name="_Toc489015433"/>
      <w:bookmarkStart w:id="202" w:name="_Toc27578"/>
      <w:bookmarkStart w:id="203" w:name="_Toc1522"/>
      <w:r>
        <w:rPr>
          <w:rFonts w:hint="eastAsia" w:ascii="宋体" w:hAnsi="宋体" w:cs="宋体"/>
          <w:b/>
          <w:bCs/>
          <w:color w:val="auto"/>
          <w:sz w:val="24"/>
          <w:highlight w:val="none"/>
        </w:rPr>
        <w:t>九、其他供应商认为需要提供的文件和资料</w:t>
      </w:r>
      <w:bookmarkEnd w:id="200"/>
      <w:bookmarkEnd w:id="201"/>
      <w:bookmarkEnd w:id="202"/>
      <w:bookmarkEnd w:id="203"/>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b/>
          <w:color w:val="auto"/>
          <w:kern w:val="0"/>
          <w:sz w:val="32"/>
          <w:szCs w:val="28"/>
          <w:highlight w:val="none"/>
        </w:rPr>
      </w:pPr>
    </w:p>
    <w:p>
      <w:pPr>
        <w:spacing w:line="360" w:lineRule="auto"/>
        <w:jc w:val="center"/>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（具体内容由各供应商自拟）</w:t>
      </w:r>
    </w:p>
    <w:p>
      <w:pPr>
        <w:spacing w:line="360" w:lineRule="auto"/>
        <w:rPr>
          <w:rFonts w:ascii="宋体" w:hAnsi="宋体" w:cs="宋体"/>
          <w:color w:val="auto"/>
          <w:sz w:val="24"/>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pStyle w:val="38"/>
        <w:spacing w:line="360" w:lineRule="auto"/>
        <w:rPr>
          <w:rFonts w:hAnsi="宋体"/>
          <w:color w:val="auto"/>
          <w:highlight w:val="none"/>
        </w:rPr>
      </w:pPr>
    </w:p>
    <w:p>
      <w:pPr>
        <w:spacing w:line="360" w:lineRule="auto"/>
        <w:jc w:val="center"/>
        <w:outlineLvl w:val="2"/>
        <w:rPr>
          <w:rFonts w:ascii="宋体" w:hAnsi="宋体" w:cs="宋体"/>
          <w:b/>
          <w:bCs/>
          <w:color w:val="auto"/>
          <w:sz w:val="24"/>
          <w:highlight w:val="none"/>
        </w:rPr>
      </w:pPr>
      <w:r>
        <w:rPr>
          <w:rFonts w:hint="eastAsia" w:ascii="宋体" w:hAnsi="宋体" w:cs="宋体"/>
          <w:b/>
          <w:bCs/>
          <w:color w:val="auto"/>
          <w:sz w:val="24"/>
          <w:highlight w:val="none"/>
        </w:rPr>
        <w:t>十、报价一览表（装订在其他响应文件中）</w:t>
      </w:r>
    </w:p>
    <w:p>
      <w:pPr>
        <w:pStyle w:val="38"/>
        <w:rPr>
          <w:rFonts w:hAnsi="宋体"/>
          <w:color w:val="auto"/>
          <w:highlight w:val="none"/>
        </w:rPr>
      </w:pPr>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8" w:type="dxa"/>
            <w:vAlign w:val="center"/>
          </w:tcPr>
          <w:p>
            <w:pPr>
              <w:jc w:val="center"/>
              <w:rPr>
                <w:rFonts w:ascii="宋体" w:hAnsi="宋体" w:cs="宋体"/>
                <w:b/>
                <w:bCs/>
                <w:caps/>
                <w:snapToGrid w:val="0"/>
                <w:color w:val="auto"/>
                <w:sz w:val="24"/>
                <w:highlight w:val="none"/>
              </w:rPr>
            </w:pPr>
            <w:r>
              <w:rPr>
                <w:rFonts w:hint="eastAsia" w:ascii="宋体" w:hAnsi="宋体" w:cs="宋体"/>
                <w:snapToGrid w:val="0"/>
                <w:color w:val="auto"/>
                <w:sz w:val="24"/>
                <w:highlight w:val="none"/>
              </w:rPr>
              <w:t>项目名称</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68" w:type="dxa"/>
            <w:vAlign w:val="center"/>
          </w:tcPr>
          <w:p>
            <w:pPr>
              <w:jc w:val="center"/>
              <w:rPr>
                <w:rFonts w:ascii="宋体" w:hAnsi="宋体" w:cs="宋体"/>
                <w:snapToGrid w:val="0"/>
                <w:color w:val="auto"/>
                <w:sz w:val="24"/>
                <w:highlight w:val="none"/>
              </w:rPr>
            </w:pPr>
            <w:r>
              <w:rPr>
                <w:rFonts w:hint="eastAsia" w:ascii="宋体" w:hAnsi="宋体" w:cs="宋体"/>
                <w:snapToGrid w:val="0"/>
                <w:color w:val="auto"/>
                <w:sz w:val="24"/>
                <w:highlight w:val="none"/>
              </w:rPr>
              <w:t>项目编号</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68" w:type="dxa"/>
            <w:vAlign w:val="center"/>
          </w:tcPr>
          <w:p>
            <w:pPr>
              <w:jc w:val="center"/>
              <w:rPr>
                <w:rFonts w:ascii="宋体" w:hAnsi="宋体" w:cs="宋体"/>
                <w:b/>
                <w:bCs/>
                <w:snapToGrid w:val="0"/>
                <w:color w:val="auto"/>
                <w:sz w:val="24"/>
                <w:highlight w:val="none"/>
              </w:rPr>
            </w:pPr>
            <w:r>
              <w:rPr>
                <w:rFonts w:hint="eastAsia" w:ascii="宋体" w:hAnsi="宋体" w:cs="宋体"/>
                <w:color w:val="auto"/>
                <w:sz w:val="24"/>
                <w:highlight w:val="none"/>
              </w:rPr>
              <w:t>磋商供应商名称</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968" w:type="dxa"/>
            <w:vAlign w:val="center"/>
          </w:tcPr>
          <w:p>
            <w:pPr>
              <w:jc w:val="center"/>
              <w:rPr>
                <w:rFonts w:hint="eastAsia" w:ascii="宋体" w:hAnsi="宋体" w:eastAsia="宋体" w:cs="宋体"/>
                <w:snapToGrid w:val="0"/>
                <w:color w:val="auto"/>
                <w:sz w:val="24"/>
                <w:highlight w:val="none"/>
                <w:lang w:eastAsia="zh-CN"/>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次报价</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68" w:type="dxa"/>
            <w:vAlign w:val="center"/>
          </w:tcPr>
          <w:p>
            <w:pPr>
              <w:jc w:val="center"/>
              <w:rPr>
                <w:rFonts w:hint="eastAsia"/>
                <w:lang w:val="en-US" w:eastAsia="zh-CN"/>
              </w:rPr>
            </w:pPr>
            <w:r>
              <w:rPr>
                <w:rFonts w:hint="eastAsia"/>
                <w:lang w:val="en-US" w:eastAsia="zh-CN"/>
              </w:rPr>
              <w:t>备注</w:t>
            </w:r>
          </w:p>
        </w:tc>
        <w:tc>
          <w:tcPr>
            <w:tcW w:w="7131" w:type="dxa"/>
            <w:vAlign w:val="center"/>
          </w:tcPr>
          <w:p>
            <w:pPr>
              <w:spacing w:line="360" w:lineRule="auto"/>
              <w:ind w:right="31" w:rightChars="15" w:firstLine="480" w:firstLineChars="200"/>
              <w:rPr>
                <w:rFonts w:ascii="宋体" w:hAnsi="宋体" w:cs="宋体"/>
                <w:snapToGrid w:val="0"/>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bCs/>
          <w:color w:val="auto"/>
          <w:sz w:val="24"/>
          <w:highlight w:val="none"/>
        </w:rPr>
        <w:t>）：</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pStyle w:val="8"/>
        <w:rPr>
          <w:rFonts w:ascii="宋体" w:cs="宋体"/>
          <w:color w:val="auto"/>
          <w:highlight w:val="none"/>
        </w:rPr>
      </w:pPr>
    </w:p>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w:t>
      </w:r>
    </w:p>
    <w:p>
      <w:pPr>
        <w:numPr>
          <w:ilvl w:val="0"/>
          <w:numId w:val="10"/>
        </w:num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此表如多页，每一页都须加盖供应商公章，并装订在其他响应文件中。</w:t>
      </w:r>
    </w:p>
    <w:p>
      <w:pPr>
        <w:pStyle w:val="2"/>
        <w:numPr>
          <w:ilvl w:val="0"/>
          <w:numId w:val="10"/>
        </w:numPr>
        <w:spacing w:after="0" w:line="360" w:lineRule="auto"/>
        <w:rPr>
          <w:b/>
          <w:bCs/>
          <w:color w:val="auto"/>
          <w:highlight w:val="none"/>
        </w:rPr>
      </w:pPr>
      <w:r>
        <w:rPr>
          <w:rFonts w:hint="eastAsia" w:ascii="宋体" w:hAnsi="宋体" w:cs="宋体"/>
          <w:b/>
          <w:bCs/>
          <w:color w:val="auto"/>
          <w:sz w:val="24"/>
          <w:highlight w:val="none"/>
        </w:rPr>
        <w:t>“分项报价明细表”各分项报价总计应当与“第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次报价表”报价总计相等。</w:t>
      </w:r>
    </w:p>
    <w:p>
      <w:pPr>
        <w:pStyle w:val="38"/>
        <w:spacing w:line="360" w:lineRule="auto"/>
        <w:rPr>
          <w:rFonts w:hAnsi="宋体"/>
          <w:b/>
          <w:bCs/>
          <w:color w:val="auto"/>
          <w:highlight w:val="none"/>
        </w:rPr>
      </w:pPr>
    </w:p>
    <w:p>
      <w:pPr>
        <w:pStyle w:val="38"/>
        <w:spacing w:line="360" w:lineRule="auto"/>
        <w:rPr>
          <w:rFonts w:hAnsi="宋体"/>
          <w:b/>
          <w:bCs/>
          <w:color w:val="auto"/>
          <w:highlight w:val="none"/>
        </w:rPr>
      </w:pPr>
    </w:p>
    <w:p>
      <w:pPr>
        <w:rPr>
          <w:rFonts w:hAnsi="宋体"/>
          <w:b/>
          <w:bCs/>
          <w:color w:val="auto"/>
          <w:highlight w:val="none"/>
        </w:rPr>
      </w:pPr>
    </w:p>
    <w:p>
      <w:pPr>
        <w:rPr>
          <w:rFonts w:ascii="宋体" w:hAnsi="宋体" w:cs="宋体"/>
          <w:b/>
          <w:bCs/>
          <w:color w:val="auto"/>
          <w:sz w:val="24"/>
          <w:highlight w:val="none"/>
        </w:rPr>
      </w:pPr>
      <w:bookmarkStart w:id="204" w:name="_Toc10644"/>
      <w:r>
        <w:rPr>
          <w:color w:val="auto"/>
          <w:highlight w:val="none"/>
        </w:rPr>
        <w:br w:type="page"/>
      </w:r>
      <w:bookmarkEnd w:id="204"/>
      <w:r>
        <w:rPr>
          <w:rFonts w:hint="eastAsia"/>
          <w:color w:val="auto"/>
          <w:highlight w:val="none"/>
          <w:lang w:val="en-US" w:eastAsia="zh-CN"/>
        </w:rPr>
        <w:t xml:space="preserve">                   </w:t>
      </w:r>
      <w:r>
        <w:rPr>
          <w:rFonts w:hint="eastAsia" w:ascii="宋体" w:hAnsi="宋体" w:cs="宋体"/>
          <w:b/>
          <w:bCs/>
          <w:color w:val="auto"/>
          <w:sz w:val="24"/>
          <w:highlight w:val="none"/>
        </w:rPr>
        <w:t>十一、最终报价表（现场报价）</w:t>
      </w:r>
    </w:p>
    <w:p>
      <w:pPr>
        <w:pStyle w:val="38"/>
        <w:rPr>
          <w:rFonts w:hAnsi="宋体"/>
          <w:color w:val="auto"/>
          <w:highlight w:val="none"/>
        </w:rPr>
      </w:pPr>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8" w:type="dxa"/>
            <w:vAlign w:val="center"/>
          </w:tcPr>
          <w:p>
            <w:pPr>
              <w:jc w:val="center"/>
              <w:rPr>
                <w:rFonts w:ascii="宋体" w:hAnsi="宋体" w:cs="宋体"/>
                <w:b/>
                <w:bCs/>
                <w:caps/>
                <w:snapToGrid w:val="0"/>
                <w:color w:val="auto"/>
                <w:sz w:val="24"/>
                <w:highlight w:val="none"/>
              </w:rPr>
            </w:pPr>
            <w:r>
              <w:rPr>
                <w:rFonts w:hint="eastAsia" w:ascii="宋体" w:hAnsi="宋体" w:cs="宋体"/>
                <w:snapToGrid w:val="0"/>
                <w:color w:val="auto"/>
                <w:sz w:val="24"/>
                <w:highlight w:val="none"/>
              </w:rPr>
              <w:t>项目名称</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68" w:type="dxa"/>
            <w:vAlign w:val="center"/>
          </w:tcPr>
          <w:p>
            <w:pPr>
              <w:jc w:val="center"/>
              <w:rPr>
                <w:rFonts w:ascii="宋体" w:hAnsi="宋体" w:cs="宋体"/>
                <w:snapToGrid w:val="0"/>
                <w:color w:val="auto"/>
                <w:sz w:val="24"/>
                <w:highlight w:val="none"/>
              </w:rPr>
            </w:pPr>
            <w:r>
              <w:rPr>
                <w:rFonts w:hint="eastAsia" w:ascii="宋体" w:hAnsi="宋体" w:cs="宋体"/>
                <w:snapToGrid w:val="0"/>
                <w:color w:val="auto"/>
                <w:sz w:val="24"/>
                <w:highlight w:val="none"/>
              </w:rPr>
              <w:t>项目编号</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68" w:type="dxa"/>
            <w:vAlign w:val="center"/>
          </w:tcPr>
          <w:p>
            <w:pPr>
              <w:jc w:val="center"/>
              <w:rPr>
                <w:rFonts w:ascii="宋体" w:hAnsi="宋体" w:cs="宋体"/>
                <w:b/>
                <w:bCs/>
                <w:snapToGrid w:val="0"/>
                <w:color w:val="auto"/>
                <w:sz w:val="24"/>
                <w:highlight w:val="none"/>
              </w:rPr>
            </w:pPr>
            <w:r>
              <w:rPr>
                <w:rFonts w:hint="eastAsia" w:ascii="宋体" w:hAnsi="宋体" w:cs="宋体"/>
                <w:color w:val="auto"/>
                <w:sz w:val="24"/>
                <w:highlight w:val="none"/>
              </w:rPr>
              <w:t>磋商供应商名称</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968" w:type="dxa"/>
            <w:vAlign w:val="center"/>
          </w:tcPr>
          <w:p>
            <w:pPr>
              <w:jc w:val="center"/>
              <w:rPr>
                <w:rFonts w:hint="eastAsia" w:ascii="宋体" w:hAnsi="宋体" w:eastAsia="宋体" w:cs="宋体"/>
                <w:snapToGrid w:val="0"/>
                <w:color w:val="auto"/>
                <w:sz w:val="24"/>
                <w:highlight w:val="none"/>
                <w:lang w:eastAsia="zh-CN"/>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次报价</w:t>
            </w:r>
          </w:p>
        </w:tc>
        <w:tc>
          <w:tcPr>
            <w:tcW w:w="7131" w:type="dxa"/>
            <w:vAlign w:val="center"/>
          </w:tcPr>
          <w:p>
            <w:pPr>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968" w:type="dxa"/>
            <w:vAlign w:val="center"/>
          </w:tcPr>
          <w:p>
            <w:pPr>
              <w:jc w:val="center"/>
              <w:rPr>
                <w:rFonts w:hint="eastAsia" w:ascii="宋体" w:hAnsi="宋体" w:eastAsia="宋体" w:cs="宋体"/>
                <w:snapToGrid w:val="0"/>
                <w:color w:val="auto"/>
                <w:sz w:val="24"/>
                <w:highlight w:val="none"/>
                <w:lang w:eastAsia="zh-CN"/>
              </w:rPr>
            </w:pPr>
            <w:r>
              <w:rPr>
                <w:rFonts w:hint="eastAsia"/>
                <w:sz w:val="24"/>
              </w:rPr>
              <w:t>服务期限</w:t>
            </w:r>
          </w:p>
        </w:tc>
        <w:tc>
          <w:tcPr>
            <w:tcW w:w="7131" w:type="dxa"/>
            <w:vAlign w:val="center"/>
          </w:tcPr>
          <w:p>
            <w:pPr>
              <w:spacing w:line="360" w:lineRule="auto"/>
              <w:ind w:right="31" w:rightChars="15" w:firstLine="480" w:firstLineChars="200"/>
              <w:jc w:val="center"/>
              <w:rPr>
                <w:rFonts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68" w:type="dxa"/>
            <w:vAlign w:val="center"/>
          </w:tcPr>
          <w:p>
            <w:pPr>
              <w:jc w:val="center"/>
              <w:rPr>
                <w:rFonts w:hint="eastAsia"/>
                <w:lang w:val="en-US" w:eastAsia="zh-CN"/>
              </w:rPr>
            </w:pPr>
            <w:r>
              <w:rPr>
                <w:rFonts w:hint="eastAsia"/>
                <w:lang w:val="en-US" w:eastAsia="zh-CN"/>
              </w:rPr>
              <w:t>备注</w:t>
            </w:r>
          </w:p>
        </w:tc>
        <w:tc>
          <w:tcPr>
            <w:tcW w:w="7131" w:type="dxa"/>
            <w:vAlign w:val="center"/>
          </w:tcPr>
          <w:p>
            <w:pPr>
              <w:spacing w:line="360" w:lineRule="auto"/>
              <w:ind w:right="31" w:rightChars="15" w:firstLine="480" w:firstLineChars="200"/>
              <w:rPr>
                <w:rFonts w:ascii="宋体" w:hAnsi="宋体" w:cs="宋体"/>
                <w:snapToGrid w:val="0"/>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bCs/>
          <w:color w:val="auto"/>
          <w:sz w:val="24"/>
          <w:highlight w:val="none"/>
        </w:rPr>
        <w:t>）：</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pStyle w:val="8"/>
        <w:rPr>
          <w:rFonts w:ascii="宋体" w:cs="宋体"/>
          <w:color w:val="auto"/>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w:t>
      </w:r>
    </w:p>
    <w:p>
      <w:pPr>
        <w:numPr>
          <w:ilvl w:val="0"/>
          <w:numId w:val="11"/>
        </w:num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此表</w:t>
      </w:r>
      <w:r>
        <w:rPr>
          <w:rFonts w:hint="eastAsia" w:ascii="宋体" w:hAnsi="宋体" w:cs="宋体"/>
          <w:b/>
          <w:bCs/>
          <w:color w:val="auto"/>
          <w:sz w:val="24"/>
          <w:szCs w:val="32"/>
          <w:highlight w:val="none"/>
          <w:lang w:eastAsia="zh-CN"/>
        </w:rPr>
        <w:t>若为</w:t>
      </w:r>
      <w:r>
        <w:rPr>
          <w:rFonts w:hint="eastAsia" w:ascii="宋体" w:hAnsi="宋体" w:cs="宋体"/>
          <w:b/>
          <w:bCs/>
          <w:color w:val="auto"/>
          <w:sz w:val="24"/>
          <w:szCs w:val="32"/>
          <w:highlight w:val="none"/>
        </w:rPr>
        <w:t>多页，</w:t>
      </w:r>
      <w:r>
        <w:rPr>
          <w:rFonts w:hint="eastAsia" w:ascii="宋体" w:hAnsi="宋体" w:cs="宋体"/>
          <w:b/>
          <w:bCs/>
          <w:color w:val="auto"/>
          <w:sz w:val="24"/>
          <w:szCs w:val="32"/>
          <w:highlight w:val="none"/>
          <w:lang w:eastAsia="zh-CN"/>
        </w:rPr>
        <w:t>则</w:t>
      </w:r>
      <w:r>
        <w:rPr>
          <w:rFonts w:hint="eastAsia" w:ascii="宋体" w:hAnsi="宋体" w:cs="宋体"/>
          <w:b/>
          <w:bCs/>
          <w:color w:val="auto"/>
          <w:sz w:val="24"/>
          <w:szCs w:val="32"/>
          <w:highlight w:val="none"/>
        </w:rPr>
        <w:t>每页都须加盖供应商公章，并持未填写的模板带至现场根据实际需要填写（现场填写）后密封。</w:t>
      </w:r>
    </w:p>
    <w:p>
      <w:pPr>
        <w:pStyle w:val="2"/>
        <w:spacing w:after="0" w:line="360" w:lineRule="auto"/>
        <w:rPr>
          <w:rFonts w:ascii="宋体" w:hAnsi="宋体" w:cs="宋体"/>
          <w:b/>
          <w:bCs/>
          <w:color w:val="auto"/>
          <w:sz w:val="24"/>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szCs w:val="32"/>
          <w:highlight w:val="none"/>
        </w:rPr>
        <w:t>供应商可</w:t>
      </w:r>
      <w:r>
        <w:rPr>
          <w:rFonts w:hint="eastAsia" w:ascii="宋体" w:hAnsi="宋体" w:cs="宋体"/>
          <w:b/>
          <w:bCs/>
          <w:color w:val="auto"/>
          <w:sz w:val="24"/>
          <w:szCs w:val="32"/>
          <w:highlight w:val="none"/>
          <w:lang w:eastAsia="zh-CN"/>
        </w:rPr>
        <w:t>自备多份此表</w:t>
      </w:r>
      <w:r>
        <w:rPr>
          <w:rFonts w:hint="eastAsia" w:ascii="宋体" w:hAnsi="宋体" w:cs="宋体"/>
          <w:b/>
          <w:bCs/>
          <w:color w:val="auto"/>
          <w:sz w:val="24"/>
          <w:szCs w:val="32"/>
          <w:highlight w:val="none"/>
        </w:rPr>
        <w:t>带至现场。</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3</w:t>
      </w:r>
      <w:r>
        <w:rPr>
          <w:rFonts w:hint="eastAsia" w:ascii="宋体" w:hAnsi="宋体" w:cs="宋体"/>
          <w:b/>
          <w:bCs/>
          <w:color w:val="auto"/>
          <w:sz w:val="24"/>
          <w:szCs w:val="32"/>
          <w:highlight w:val="none"/>
        </w:rPr>
        <w:t>、最终报价不得高于首轮报价，否则作无效磋商处理。</w:t>
      </w:r>
    </w:p>
    <w:p>
      <w:pPr>
        <w:pStyle w:val="26"/>
        <w:ind w:firstLine="210"/>
        <w:rPr>
          <w:rFonts w:ascii="宋体" w:hAnsi="宋体" w:cs="宋体"/>
          <w:color w:val="auto"/>
          <w:highlight w:val="none"/>
        </w:rPr>
      </w:pPr>
    </w:p>
    <w:p>
      <w:pPr>
        <w:ind w:firstLine="1260" w:firstLineChars="600"/>
        <w:rPr>
          <w:rFonts w:hint="eastAsia" w:ascii="宋体" w:hAnsi="宋体" w:cs="宋体"/>
          <w:color w:val="auto"/>
          <w:highlight w:val="none"/>
        </w:rPr>
      </w:pPr>
      <w:r>
        <w:rPr>
          <w:rFonts w:hint="eastAsia" w:ascii="宋体" w:hAnsi="宋体" w:cs="宋体"/>
          <w:color w:val="auto"/>
          <w:highlight w:val="none"/>
        </w:rPr>
        <w:br w:type="page"/>
      </w:r>
    </w:p>
    <w:p>
      <w:pPr>
        <w:spacing w:line="360" w:lineRule="auto"/>
        <w:rPr>
          <w:rFonts w:ascii="宋体" w:hAnsi="宋体" w:cs="宋体"/>
          <w:color w:val="auto"/>
          <w:sz w:val="24"/>
          <w:highlight w:val="none"/>
        </w:rPr>
        <w:sectPr>
          <w:headerReference r:id="rId8" w:type="default"/>
          <w:footerReference r:id="rId9" w:type="default"/>
          <w:footerReference r:id="rId10" w:type="even"/>
          <w:pgSz w:w="11850" w:h="16783"/>
          <w:pgMar w:top="1440" w:right="1800" w:bottom="1440" w:left="1800" w:header="851" w:footer="992" w:gutter="0"/>
          <w:cols w:space="720" w:num="1"/>
          <w:docGrid w:type="lines" w:linePitch="312" w:charSpace="0"/>
        </w:sectPr>
      </w:pPr>
    </w:p>
    <w:p>
      <w:pPr>
        <w:pStyle w:val="3"/>
        <w:jc w:val="center"/>
        <w:rPr>
          <w:rFonts w:hint="eastAsia"/>
          <w:color w:val="auto"/>
          <w:highlight w:val="none"/>
        </w:rPr>
      </w:pPr>
      <w:bookmarkStart w:id="205" w:name="_Toc18158"/>
      <w:r>
        <w:rPr>
          <w:rFonts w:hint="eastAsia"/>
          <w:color w:val="auto"/>
          <w:highlight w:val="none"/>
        </w:rPr>
        <w:t>第七章  评审方法</w:t>
      </w:r>
      <w:bookmarkEnd w:id="205"/>
      <w:bookmarkStart w:id="206" w:name="_Toc101250640"/>
      <w:bookmarkStart w:id="207" w:name="_Toc101174146"/>
      <w:bookmarkStart w:id="208" w:name="_Toc209847065"/>
      <w:bookmarkStart w:id="209" w:name="_Toc101338358"/>
      <w:bookmarkStart w:id="210" w:name="_Toc430773924"/>
    </w:p>
    <w:p>
      <w:pPr>
        <w:spacing w:line="360" w:lineRule="auto"/>
        <w:outlineLvl w:val="1"/>
        <w:rPr>
          <w:color w:val="auto"/>
          <w:sz w:val="24"/>
          <w:highlight w:val="none"/>
        </w:rPr>
      </w:pPr>
      <w:bookmarkStart w:id="211" w:name="_Toc9736"/>
      <w:r>
        <w:rPr>
          <w:rFonts w:hint="eastAsia"/>
          <w:b/>
          <w:bCs/>
          <w:color w:val="auto"/>
          <w:sz w:val="24"/>
          <w:highlight w:val="none"/>
        </w:rPr>
        <w:t>1.总则</w:t>
      </w:r>
      <w:bookmarkEnd w:id="211"/>
    </w:p>
    <w:p>
      <w:pPr>
        <w:spacing w:line="360" w:lineRule="auto"/>
        <w:ind w:firstLine="480" w:firstLineChars="200"/>
        <w:rPr>
          <w:color w:val="auto"/>
          <w:sz w:val="24"/>
          <w:highlight w:val="none"/>
        </w:rPr>
      </w:pPr>
      <w:bookmarkStart w:id="212" w:name="_Toc14411"/>
      <w:r>
        <w:rPr>
          <w:rFonts w:hint="eastAsia"/>
          <w:color w:val="auto"/>
          <w:sz w:val="24"/>
          <w:highlight w:val="none"/>
        </w:rPr>
        <w:t>1.1 根据《中华人民共和国政府采购法》、《中华人民共和国政府采购法实施条例》、《政府采购竞争性磋商采购方式管理暂行办法》等法律制度，结合本采购项目特点制定本磋商方法。</w:t>
      </w:r>
      <w:bookmarkEnd w:id="212"/>
    </w:p>
    <w:p>
      <w:pPr>
        <w:spacing w:line="360" w:lineRule="auto"/>
        <w:ind w:firstLine="480" w:firstLineChars="200"/>
        <w:rPr>
          <w:color w:val="auto"/>
          <w:sz w:val="24"/>
          <w:highlight w:val="none"/>
        </w:rPr>
      </w:pPr>
      <w:bookmarkStart w:id="213" w:name="_Toc11709"/>
      <w:r>
        <w:rPr>
          <w:rFonts w:hint="eastAsia"/>
          <w:color w:val="auto"/>
          <w:sz w:val="24"/>
          <w:highlight w:val="none"/>
        </w:rPr>
        <w:t>1.2 磋商工作由采购代理机构负责组织，具体磋商由采购代理机构依法组建的磋商小组负责。</w:t>
      </w:r>
      <w:bookmarkEnd w:id="213"/>
    </w:p>
    <w:p>
      <w:pPr>
        <w:spacing w:line="360" w:lineRule="auto"/>
        <w:ind w:firstLine="480" w:firstLineChars="200"/>
        <w:rPr>
          <w:color w:val="auto"/>
          <w:sz w:val="24"/>
          <w:highlight w:val="none"/>
        </w:rPr>
      </w:pPr>
      <w:bookmarkStart w:id="214" w:name="_Toc22506"/>
      <w:r>
        <w:rPr>
          <w:rFonts w:hint="eastAsia"/>
          <w:color w:val="auto"/>
          <w:sz w:val="24"/>
          <w:highlight w:val="none"/>
        </w:rPr>
        <w:t>1.3 磋商工作应遵循公平、公正、科学及择优的原则，并以相同的磋商程序和标准对待所有的供应商。</w:t>
      </w:r>
      <w:bookmarkEnd w:id="214"/>
    </w:p>
    <w:p>
      <w:pPr>
        <w:spacing w:line="360" w:lineRule="auto"/>
        <w:ind w:firstLine="480" w:firstLineChars="200"/>
        <w:rPr>
          <w:color w:val="auto"/>
          <w:sz w:val="24"/>
          <w:highlight w:val="none"/>
        </w:rPr>
      </w:pPr>
      <w:bookmarkStart w:id="215" w:name="_Toc19533"/>
      <w:r>
        <w:rPr>
          <w:rFonts w:hint="eastAsia"/>
          <w:color w:val="auto"/>
          <w:sz w:val="24"/>
          <w:highlight w:val="none"/>
        </w:rPr>
        <w:t>1.4 磋商小组按照磋商文件规定的磋商程序、评分方法和标准进行评审，并独立履行下列职责：</w:t>
      </w:r>
      <w:bookmarkEnd w:id="215"/>
    </w:p>
    <w:p>
      <w:pPr>
        <w:spacing w:line="360" w:lineRule="auto"/>
        <w:ind w:firstLine="480" w:firstLineChars="200"/>
        <w:rPr>
          <w:color w:val="auto"/>
          <w:sz w:val="24"/>
          <w:highlight w:val="none"/>
        </w:rPr>
      </w:pPr>
      <w:bookmarkStart w:id="216" w:name="_Toc7955"/>
      <w:r>
        <w:rPr>
          <w:rFonts w:hint="eastAsia"/>
          <w:color w:val="auto"/>
          <w:sz w:val="24"/>
          <w:highlight w:val="none"/>
        </w:rPr>
        <w:t>（一）熟悉和理解磋商文件，确定磋商文件内容是否违反国家有关强制性规定或者磋商文件存在歧义、重大缺陷，根据需要书面要求采购人、采购代理机构对磋商文件作出解释；</w:t>
      </w:r>
      <w:bookmarkEnd w:id="216"/>
    </w:p>
    <w:p>
      <w:pPr>
        <w:spacing w:line="360" w:lineRule="auto"/>
        <w:ind w:firstLine="480" w:firstLineChars="200"/>
        <w:rPr>
          <w:color w:val="auto"/>
          <w:sz w:val="24"/>
          <w:highlight w:val="none"/>
        </w:rPr>
      </w:pPr>
      <w:bookmarkStart w:id="217" w:name="_Toc15582"/>
      <w:r>
        <w:rPr>
          <w:rFonts w:hint="eastAsia"/>
          <w:color w:val="auto"/>
          <w:sz w:val="24"/>
          <w:highlight w:val="none"/>
        </w:rPr>
        <w:t>（二）审查供应商响应文件是否满足磋商文件要求，并作出公正评价；</w:t>
      </w:r>
      <w:bookmarkEnd w:id="217"/>
    </w:p>
    <w:p>
      <w:pPr>
        <w:spacing w:line="360" w:lineRule="auto"/>
        <w:ind w:firstLine="480" w:firstLineChars="200"/>
        <w:rPr>
          <w:color w:val="auto"/>
          <w:sz w:val="24"/>
          <w:highlight w:val="none"/>
        </w:rPr>
      </w:pPr>
      <w:bookmarkStart w:id="218" w:name="_Toc28501"/>
      <w:r>
        <w:rPr>
          <w:rFonts w:hint="eastAsia"/>
          <w:color w:val="auto"/>
          <w:sz w:val="24"/>
          <w:highlight w:val="none"/>
        </w:rPr>
        <w:t>（三）根据需要要求供应商对响应文件中含义不明确、同类问题表述不一致或者有明显文字和计算错误的内容等作出必要的澄清、说明或者更正；</w:t>
      </w:r>
      <w:bookmarkEnd w:id="218"/>
    </w:p>
    <w:p>
      <w:pPr>
        <w:spacing w:line="360" w:lineRule="auto"/>
        <w:ind w:firstLine="480" w:firstLineChars="200"/>
        <w:rPr>
          <w:color w:val="auto"/>
          <w:sz w:val="24"/>
          <w:highlight w:val="none"/>
        </w:rPr>
      </w:pPr>
      <w:bookmarkStart w:id="219" w:name="_Toc2523"/>
      <w:r>
        <w:rPr>
          <w:rFonts w:hint="eastAsia"/>
          <w:color w:val="auto"/>
          <w:sz w:val="24"/>
          <w:highlight w:val="none"/>
        </w:rPr>
        <w:t>（四）推荐成交供应商，或者受采购人委托确定成交供应商；</w:t>
      </w:r>
      <w:bookmarkEnd w:id="219"/>
    </w:p>
    <w:p>
      <w:pPr>
        <w:spacing w:line="360" w:lineRule="auto"/>
        <w:ind w:firstLine="480" w:firstLineChars="200"/>
        <w:rPr>
          <w:color w:val="auto"/>
          <w:sz w:val="24"/>
          <w:highlight w:val="none"/>
        </w:rPr>
      </w:pPr>
      <w:bookmarkStart w:id="220" w:name="_Toc25652"/>
      <w:r>
        <w:rPr>
          <w:rFonts w:hint="eastAsia"/>
          <w:color w:val="auto"/>
          <w:sz w:val="24"/>
          <w:highlight w:val="none"/>
        </w:rPr>
        <w:t>（五）起草评审报告并进行签署；</w:t>
      </w:r>
      <w:bookmarkEnd w:id="220"/>
    </w:p>
    <w:p>
      <w:pPr>
        <w:spacing w:line="360" w:lineRule="auto"/>
        <w:ind w:firstLine="480" w:firstLineChars="200"/>
        <w:rPr>
          <w:color w:val="auto"/>
          <w:sz w:val="24"/>
          <w:highlight w:val="none"/>
        </w:rPr>
      </w:pPr>
      <w:bookmarkStart w:id="221" w:name="_Toc22615"/>
      <w:r>
        <w:rPr>
          <w:rFonts w:hint="eastAsia"/>
          <w:color w:val="auto"/>
          <w:sz w:val="24"/>
          <w:highlight w:val="none"/>
        </w:rPr>
        <w:t>（六）采购代理机构、财政部门或者其他监督部门报告非法干预评审工作的行为；</w:t>
      </w:r>
      <w:bookmarkEnd w:id="221"/>
    </w:p>
    <w:p>
      <w:pPr>
        <w:spacing w:line="360" w:lineRule="auto"/>
        <w:ind w:firstLine="480" w:firstLineChars="200"/>
        <w:rPr>
          <w:color w:val="auto"/>
          <w:sz w:val="24"/>
          <w:highlight w:val="none"/>
        </w:rPr>
      </w:pPr>
      <w:bookmarkStart w:id="222" w:name="_Toc12182"/>
      <w:r>
        <w:rPr>
          <w:rFonts w:hint="eastAsia"/>
          <w:color w:val="auto"/>
          <w:sz w:val="24"/>
          <w:highlight w:val="none"/>
        </w:rPr>
        <w:t>（七）法律、法规和规章规定的其他职责。</w:t>
      </w:r>
      <w:bookmarkEnd w:id="222"/>
    </w:p>
    <w:p>
      <w:pPr>
        <w:spacing w:line="360" w:lineRule="auto"/>
        <w:ind w:firstLine="480" w:firstLineChars="200"/>
        <w:rPr>
          <w:color w:val="auto"/>
          <w:sz w:val="24"/>
          <w:highlight w:val="none"/>
        </w:rPr>
      </w:pPr>
      <w:bookmarkStart w:id="223" w:name="_Toc5970"/>
      <w:r>
        <w:rPr>
          <w:rFonts w:hint="eastAsia"/>
          <w:color w:val="auto"/>
          <w:sz w:val="24"/>
          <w:highlight w:val="none"/>
        </w:rPr>
        <w:t>1.5 （实质性要求）磋商过程独立、保密。供应商非法干预磋商过程的，其响应文件作无效处理。</w:t>
      </w:r>
      <w:bookmarkEnd w:id="223"/>
    </w:p>
    <w:p>
      <w:pPr>
        <w:spacing w:line="360" w:lineRule="auto"/>
        <w:outlineLvl w:val="1"/>
        <w:rPr>
          <w:b/>
          <w:bCs/>
          <w:color w:val="auto"/>
          <w:sz w:val="24"/>
          <w:highlight w:val="none"/>
        </w:rPr>
      </w:pPr>
      <w:bookmarkStart w:id="224" w:name="_Toc15969"/>
      <w:r>
        <w:rPr>
          <w:rFonts w:hint="eastAsia"/>
          <w:b/>
          <w:bCs/>
          <w:color w:val="auto"/>
          <w:sz w:val="24"/>
          <w:highlight w:val="none"/>
        </w:rPr>
        <w:t>2.磋商程序</w:t>
      </w:r>
      <w:bookmarkEnd w:id="224"/>
    </w:p>
    <w:p>
      <w:pPr>
        <w:spacing w:line="360" w:lineRule="auto"/>
        <w:ind w:firstLine="480" w:firstLineChars="200"/>
        <w:rPr>
          <w:color w:val="auto"/>
          <w:sz w:val="24"/>
          <w:highlight w:val="none"/>
        </w:rPr>
      </w:pPr>
      <w:bookmarkStart w:id="225" w:name="_Toc31326"/>
      <w:r>
        <w:rPr>
          <w:rFonts w:hint="eastAsia"/>
          <w:color w:val="auto"/>
          <w:sz w:val="24"/>
          <w:highlight w:val="none"/>
        </w:rPr>
        <w:t>2.1审查磋商文件和停止评审。</w:t>
      </w:r>
      <w:bookmarkEnd w:id="225"/>
    </w:p>
    <w:p>
      <w:pPr>
        <w:spacing w:line="360" w:lineRule="auto"/>
        <w:ind w:firstLine="480" w:firstLineChars="200"/>
        <w:rPr>
          <w:color w:val="auto"/>
          <w:sz w:val="24"/>
          <w:highlight w:val="none"/>
        </w:rPr>
      </w:pPr>
      <w:bookmarkStart w:id="226" w:name="_Toc3867"/>
      <w:r>
        <w:rPr>
          <w:rFonts w:hint="eastAsia"/>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226"/>
    </w:p>
    <w:p>
      <w:pPr>
        <w:spacing w:line="360" w:lineRule="auto"/>
        <w:ind w:firstLine="480" w:firstLineChars="200"/>
        <w:rPr>
          <w:color w:val="auto"/>
          <w:sz w:val="24"/>
          <w:highlight w:val="none"/>
        </w:rPr>
      </w:pPr>
      <w:bookmarkStart w:id="227" w:name="_Toc8760"/>
      <w:r>
        <w:rPr>
          <w:rFonts w:hint="eastAsia"/>
          <w:color w:val="auto"/>
          <w:sz w:val="24"/>
          <w:highlight w:val="none"/>
        </w:rPr>
        <w:t>2.1.2 本磋商文件有下列情形之一的，磋商小组应当停止评审：</w:t>
      </w:r>
      <w:bookmarkEnd w:id="227"/>
    </w:p>
    <w:p>
      <w:pPr>
        <w:spacing w:line="360" w:lineRule="auto"/>
        <w:ind w:firstLine="480" w:firstLineChars="200"/>
        <w:rPr>
          <w:color w:val="auto"/>
          <w:sz w:val="24"/>
          <w:highlight w:val="none"/>
        </w:rPr>
      </w:pPr>
      <w:bookmarkStart w:id="228" w:name="_Toc12951"/>
      <w:r>
        <w:rPr>
          <w:rFonts w:hint="eastAsia"/>
          <w:color w:val="auto"/>
          <w:sz w:val="24"/>
          <w:highlight w:val="none"/>
        </w:rPr>
        <w:t>（1）磋商文件的规定存在歧义、重大缺陷的；</w:t>
      </w:r>
      <w:bookmarkEnd w:id="228"/>
    </w:p>
    <w:p>
      <w:pPr>
        <w:spacing w:line="360" w:lineRule="auto"/>
        <w:ind w:firstLine="480" w:firstLineChars="200"/>
        <w:rPr>
          <w:color w:val="auto"/>
          <w:sz w:val="24"/>
          <w:highlight w:val="none"/>
        </w:rPr>
      </w:pPr>
      <w:bookmarkStart w:id="229" w:name="_Toc11082"/>
      <w:r>
        <w:rPr>
          <w:rFonts w:hint="eastAsia"/>
          <w:color w:val="auto"/>
          <w:sz w:val="24"/>
          <w:highlight w:val="none"/>
        </w:rPr>
        <w:t>（2）磋商文件明显以不合理条件对供应商实行差别待遇或者歧视待遇的；</w:t>
      </w:r>
      <w:bookmarkEnd w:id="229"/>
    </w:p>
    <w:p>
      <w:pPr>
        <w:spacing w:line="360" w:lineRule="auto"/>
        <w:ind w:firstLine="480" w:firstLineChars="200"/>
        <w:rPr>
          <w:color w:val="auto"/>
          <w:sz w:val="24"/>
          <w:highlight w:val="none"/>
        </w:rPr>
      </w:pPr>
      <w:bookmarkStart w:id="230" w:name="_Toc28397"/>
      <w:r>
        <w:rPr>
          <w:rFonts w:hint="eastAsia"/>
          <w:color w:val="auto"/>
          <w:sz w:val="24"/>
          <w:highlight w:val="none"/>
        </w:rPr>
        <w:t>（3）采购项目属于国家规定的优先、强制采购范围，但是磋商文件未依法体现优先、强制采购相关规定的；</w:t>
      </w:r>
      <w:bookmarkEnd w:id="230"/>
    </w:p>
    <w:p>
      <w:pPr>
        <w:spacing w:line="360" w:lineRule="auto"/>
        <w:ind w:firstLine="480" w:firstLineChars="200"/>
        <w:rPr>
          <w:color w:val="auto"/>
          <w:sz w:val="24"/>
          <w:highlight w:val="none"/>
        </w:rPr>
      </w:pPr>
      <w:bookmarkStart w:id="231" w:name="_Toc22845"/>
      <w:r>
        <w:rPr>
          <w:rFonts w:hint="eastAsia"/>
          <w:color w:val="auto"/>
          <w:sz w:val="24"/>
          <w:highlight w:val="none"/>
        </w:rPr>
        <w:t>（4）采购项目属于政府采购促进中小企业发展的范围，但是磋商文件未依法体现促进中小企业发展相关规定的；</w:t>
      </w:r>
      <w:bookmarkEnd w:id="231"/>
    </w:p>
    <w:p>
      <w:pPr>
        <w:spacing w:line="360" w:lineRule="auto"/>
        <w:ind w:firstLine="480" w:firstLineChars="200"/>
        <w:rPr>
          <w:color w:val="auto"/>
          <w:sz w:val="24"/>
          <w:highlight w:val="none"/>
        </w:rPr>
      </w:pPr>
      <w:bookmarkStart w:id="232" w:name="_Toc32594"/>
      <w:r>
        <w:rPr>
          <w:rFonts w:hint="eastAsia"/>
          <w:color w:val="auto"/>
          <w:sz w:val="24"/>
          <w:highlight w:val="none"/>
        </w:rPr>
        <w:t>（5）磋商文件将供应商的资格条件列为评分因素的；</w:t>
      </w:r>
      <w:bookmarkEnd w:id="232"/>
    </w:p>
    <w:p>
      <w:pPr>
        <w:spacing w:line="360" w:lineRule="auto"/>
        <w:ind w:firstLine="480" w:firstLineChars="200"/>
        <w:rPr>
          <w:color w:val="auto"/>
          <w:sz w:val="24"/>
          <w:highlight w:val="none"/>
        </w:rPr>
      </w:pPr>
      <w:bookmarkStart w:id="233" w:name="_Toc4088"/>
      <w:r>
        <w:rPr>
          <w:rFonts w:hint="eastAsia"/>
          <w:color w:val="auto"/>
          <w:sz w:val="24"/>
          <w:highlight w:val="none"/>
        </w:rPr>
        <w:t>（6）磋商文件载明的成交原则不合法的；</w:t>
      </w:r>
      <w:bookmarkEnd w:id="233"/>
    </w:p>
    <w:p>
      <w:pPr>
        <w:spacing w:line="360" w:lineRule="auto"/>
        <w:ind w:firstLine="480" w:firstLineChars="200"/>
        <w:rPr>
          <w:color w:val="auto"/>
          <w:sz w:val="24"/>
          <w:highlight w:val="none"/>
        </w:rPr>
      </w:pPr>
      <w:bookmarkStart w:id="234" w:name="_Toc32648"/>
      <w:r>
        <w:rPr>
          <w:rFonts w:hint="eastAsia"/>
          <w:color w:val="auto"/>
          <w:sz w:val="24"/>
          <w:highlight w:val="none"/>
        </w:rPr>
        <w:t>（7）磋商文件有违反国家其他有关强制性规定的情形。</w:t>
      </w:r>
      <w:bookmarkEnd w:id="234"/>
    </w:p>
    <w:p>
      <w:pPr>
        <w:spacing w:line="360" w:lineRule="auto"/>
        <w:ind w:firstLine="480" w:firstLineChars="200"/>
        <w:rPr>
          <w:color w:val="auto"/>
          <w:sz w:val="24"/>
          <w:highlight w:val="none"/>
        </w:rPr>
      </w:pPr>
      <w:bookmarkStart w:id="235" w:name="_Toc3523"/>
      <w:r>
        <w:rPr>
          <w:rFonts w:hint="eastAsia"/>
          <w:color w:val="auto"/>
          <w:sz w:val="24"/>
          <w:highlight w:val="none"/>
        </w:rPr>
        <w:t>2.1.3 出现本条2.1.2规定应当停止评审情形的，磋商小组应当向采购人书面说明情况。除本条规定的情形外，磋商小组不得以任何方式和理由停止评审。</w:t>
      </w:r>
      <w:bookmarkEnd w:id="235"/>
    </w:p>
    <w:p>
      <w:pPr>
        <w:spacing w:line="360" w:lineRule="auto"/>
        <w:ind w:firstLine="480" w:firstLineChars="200"/>
        <w:rPr>
          <w:color w:val="auto"/>
          <w:sz w:val="24"/>
          <w:highlight w:val="none"/>
        </w:rPr>
      </w:pPr>
      <w:bookmarkStart w:id="236" w:name="_Toc18432"/>
      <w:r>
        <w:rPr>
          <w:rFonts w:hint="eastAsia"/>
          <w:color w:val="auto"/>
          <w:sz w:val="24"/>
          <w:highlight w:val="none"/>
        </w:rPr>
        <w:t>2.2资格性审查。</w:t>
      </w:r>
      <w:bookmarkEnd w:id="236"/>
    </w:p>
    <w:p>
      <w:pPr>
        <w:spacing w:line="360" w:lineRule="auto"/>
        <w:ind w:firstLine="480" w:firstLineChars="200"/>
        <w:rPr>
          <w:color w:val="auto"/>
          <w:sz w:val="24"/>
          <w:highlight w:val="none"/>
        </w:rPr>
      </w:pPr>
      <w:bookmarkStart w:id="237" w:name="_Toc14189"/>
      <w:r>
        <w:rPr>
          <w:rFonts w:hint="eastAsia"/>
          <w:color w:val="auto"/>
          <w:sz w:val="24"/>
          <w:highlight w:val="none"/>
        </w:rPr>
        <w:t>2.2.1本项目需要磋商小组进行资格性检查。</w:t>
      </w:r>
      <w:bookmarkEnd w:id="237"/>
    </w:p>
    <w:p>
      <w:pPr>
        <w:spacing w:line="360" w:lineRule="auto"/>
        <w:ind w:firstLine="480" w:firstLineChars="200"/>
        <w:rPr>
          <w:color w:val="auto"/>
          <w:sz w:val="24"/>
          <w:highlight w:val="none"/>
        </w:rPr>
      </w:pPr>
      <w:bookmarkStart w:id="238" w:name="_Toc26601"/>
      <w:r>
        <w:rPr>
          <w:rFonts w:hint="eastAsia"/>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bookmarkEnd w:id="238"/>
    </w:p>
    <w:p>
      <w:pPr>
        <w:spacing w:line="360" w:lineRule="auto"/>
        <w:ind w:firstLine="480" w:firstLineChars="200"/>
        <w:rPr>
          <w:color w:val="auto"/>
          <w:sz w:val="24"/>
          <w:highlight w:val="none"/>
        </w:rPr>
      </w:pPr>
      <w:bookmarkStart w:id="239" w:name="_Toc3741"/>
      <w:r>
        <w:rPr>
          <w:rFonts w:hint="eastAsia"/>
          <w:color w:val="auto"/>
          <w:sz w:val="24"/>
          <w:highlight w:val="none"/>
        </w:rPr>
        <w:t>2.2.2资格性审查结束后，磋商小组应当出具资格性审查报告，没有通过资格审查的供应商，磋商小组应当在资格审查报告中说明原因。</w:t>
      </w:r>
      <w:bookmarkEnd w:id="239"/>
    </w:p>
    <w:p>
      <w:pPr>
        <w:spacing w:line="360" w:lineRule="auto"/>
        <w:ind w:firstLine="480" w:firstLineChars="200"/>
        <w:rPr>
          <w:color w:val="auto"/>
          <w:sz w:val="24"/>
          <w:highlight w:val="none"/>
        </w:rPr>
      </w:pPr>
      <w:bookmarkStart w:id="240" w:name="_Toc5302"/>
      <w:r>
        <w:rPr>
          <w:rFonts w:hint="eastAsia"/>
          <w:color w:val="auto"/>
          <w:sz w:val="24"/>
          <w:highlight w:val="none"/>
        </w:rPr>
        <w:t>2.2.3磋商小组应依据磋商文件规定的实质性要求，对符合资格的响应文件进行有效性、完整性和响应程度审查，以确定参加磋商的供应商名单。</w:t>
      </w:r>
      <w:bookmarkEnd w:id="240"/>
    </w:p>
    <w:p>
      <w:pPr>
        <w:spacing w:line="360" w:lineRule="auto"/>
        <w:ind w:firstLine="480" w:firstLineChars="200"/>
        <w:rPr>
          <w:color w:val="auto"/>
          <w:sz w:val="24"/>
          <w:highlight w:val="none"/>
        </w:rPr>
      </w:pPr>
      <w:bookmarkStart w:id="241" w:name="_Toc27580"/>
      <w:r>
        <w:rPr>
          <w:rFonts w:hint="eastAsia"/>
          <w:color w:val="auto"/>
          <w:sz w:val="24"/>
          <w:highlight w:val="none"/>
        </w:rPr>
        <w:t>2.2.4采购人或者采购代理机构宣布未通过资格性审查的供应商名单时，应当告知供应商未通过审查的原因。</w:t>
      </w:r>
      <w:bookmarkEnd w:id="241"/>
    </w:p>
    <w:p>
      <w:pPr>
        <w:spacing w:line="360" w:lineRule="auto"/>
        <w:ind w:firstLine="480" w:firstLineChars="200"/>
        <w:rPr>
          <w:color w:val="auto"/>
          <w:sz w:val="24"/>
          <w:highlight w:val="none"/>
        </w:rPr>
      </w:pPr>
      <w:bookmarkStart w:id="242" w:name="_Toc25320"/>
      <w:r>
        <w:rPr>
          <w:rFonts w:hint="eastAsia"/>
          <w:color w:val="auto"/>
          <w:sz w:val="24"/>
          <w:highlight w:val="none"/>
        </w:rPr>
        <w:t>2.3 通过资格性审查的供应商不足3家的，终止本次采购活动，并发布终止采购活动公告。</w:t>
      </w:r>
      <w:bookmarkEnd w:id="242"/>
    </w:p>
    <w:p>
      <w:pPr>
        <w:spacing w:line="360" w:lineRule="auto"/>
        <w:ind w:firstLine="480" w:firstLineChars="200"/>
        <w:rPr>
          <w:color w:val="auto"/>
          <w:sz w:val="24"/>
          <w:highlight w:val="none"/>
        </w:rPr>
      </w:pPr>
      <w:bookmarkStart w:id="243" w:name="_Toc8215"/>
      <w:r>
        <w:rPr>
          <w:rFonts w:hint="eastAsia"/>
          <w:color w:val="auto"/>
          <w:sz w:val="24"/>
          <w:highlight w:val="none"/>
        </w:rPr>
        <w:t>2.4磋商。</w:t>
      </w:r>
      <w:bookmarkEnd w:id="243"/>
    </w:p>
    <w:p>
      <w:pPr>
        <w:spacing w:line="360" w:lineRule="auto"/>
        <w:ind w:firstLine="480" w:firstLineChars="200"/>
        <w:rPr>
          <w:color w:val="auto"/>
          <w:sz w:val="24"/>
          <w:highlight w:val="none"/>
        </w:rPr>
      </w:pPr>
      <w:bookmarkStart w:id="244" w:name="_Toc31266"/>
      <w:r>
        <w:rPr>
          <w:rFonts w:hint="eastAsia"/>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244"/>
    </w:p>
    <w:p>
      <w:pPr>
        <w:spacing w:line="360" w:lineRule="auto"/>
        <w:ind w:firstLine="480" w:firstLineChars="200"/>
        <w:rPr>
          <w:color w:val="auto"/>
          <w:sz w:val="24"/>
          <w:highlight w:val="none"/>
        </w:rPr>
      </w:pPr>
      <w:bookmarkStart w:id="245" w:name="_Toc2602"/>
      <w:r>
        <w:rPr>
          <w:rFonts w:hint="eastAsia"/>
          <w:color w:val="auto"/>
          <w:sz w:val="24"/>
          <w:highlight w:val="none"/>
        </w:rPr>
        <w:t>2.4.2每轮磋商开始前，磋商小组应根据磋商文件的规定，并结合各供应商的响应文件拟定磋商内容。</w:t>
      </w:r>
      <w:bookmarkEnd w:id="245"/>
    </w:p>
    <w:p>
      <w:pPr>
        <w:spacing w:line="360" w:lineRule="auto"/>
        <w:ind w:firstLine="480" w:firstLineChars="200"/>
        <w:rPr>
          <w:color w:val="auto"/>
          <w:sz w:val="24"/>
          <w:highlight w:val="none"/>
        </w:rPr>
      </w:pPr>
      <w:bookmarkStart w:id="246" w:name="_Toc18120"/>
      <w:r>
        <w:rPr>
          <w:rFonts w:hint="eastAsia"/>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bookmarkEnd w:id="246"/>
    </w:p>
    <w:p>
      <w:pPr>
        <w:spacing w:line="360" w:lineRule="auto"/>
        <w:ind w:firstLine="480" w:firstLineChars="200"/>
        <w:rPr>
          <w:color w:val="auto"/>
          <w:sz w:val="24"/>
          <w:highlight w:val="none"/>
        </w:rPr>
      </w:pPr>
      <w:bookmarkStart w:id="247" w:name="_Toc13623"/>
      <w:r>
        <w:rPr>
          <w:rFonts w:hint="eastAsia"/>
          <w:color w:val="auto"/>
          <w:sz w:val="24"/>
          <w:highlight w:val="none"/>
        </w:rPr>
        <w:t>2.4.4对磋商文件作出的实质性变动是磋商文件的有效组成部分，磋商小组应当及时以书面形式同时通知所有参加磋商的供应商。</w:t>
      </w:r>
      <w:bookmarkEnd w:id="247"/>
    </w:p>
    <w:p>
      <w:pPr>
        <w:spacing w:line="360" w:lineRule="auto"/>
        <w:ind w:firstLine="480" w:firstLineChars="200"/>
        <w:rPr>
          <w:color w:val="auto"/>
          <w:sz w:val="24"/>
          <w:highlight w:val="none"/>
        </w:rPr>
      </w:pPr>
      <w:bookmarkStart w:id="248" w:name="_Toc32193"/>
      <w:r>
        <w:rPr>
          <w:rFonts w:hint="eastAsia"/>
          <w:color w:val="auto"/>
          <w:sz w:val="24"/>
          <w:highlight w:val="none"/>
        </w:rPr>
        <w:t>2.4.5磋商过程中，磋商文件变动的，供应商应当按照磋商文件的变动情况和磋商小组的要求重新提交响应文件，并由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48"/>
    </w:p>
    <w:p>
      <w:pPr>
        <w:spacing w:line="360" w:lineRule="auto"/>
        <w:ind w:firstLine="480" w:firstLineChars="200"/>
        <w:rPr>
          <w:color w:val="auto"/>
          <w:sz w:val="24"/>
          <w:highlight w:val="none"/>
        </w:rPr>
      </w:pPr>
      <w:bookmarkStart w:id="249" w:name="_Toc9873"/>
      <w:r>
        <w:rPr>
          <w:rFonts w:hint="eastAsia"/>
          <w:color w:val="auto"/>
          <w:sz w:val="24"/>
          <w:highlight w:val="none"/>
        </w:rPr>
        <w:t>2.4.6磋商过程中，磋商的任何一方不得透露与磋商有关的其他供应商的技术资料、价格和其他信息。</w:t>
      </w:r>
      <w:bookmarkEnd w:id="249"/>
    </w:p>
    <w:p>
      <w:pPr>
        <w:spacing w:line="360" w:lineRule="auto"/>
        <w:ind w:firstLine="480" w:firstLineChars="200"/>
        <w:rPr>
          <w:color w:val="auto"/>
          <w:sz w:val="24"/>
          <w:highlight w:val="none"/>
        </w:rPr>
      </w:pPr>
      <w:bookmarkStart w:id="250" w:name="_Toc11021"/>
      <w:r>
        <w:rPr>
          <w:rFonts w:hint="eastAsia"/>
          <w:color w:val="auto"/>
          <w:sz w:val="24"/>
          <w:highlight w:val="none"/>
        </w:rPr>
        <w:t>2.4.7磋商过程中，磋商小组发现或者知晓供应商存在违法、违纪行为的，磋商小组应当将该供应商响应文件作无效处理，不允许其提交最后报价。</w:t>
      </w:r>
      <w:bookmarkEnd w:id="250"/>
    </w:p>
    <w:p>
      <w:pPr>
        <w:spacing w:line="360" w:lineRule="auto"/>
        <w:ind w:firstLine="480" w:firstLineChars="200"/>
        <w:rPr>
          <w:color w:val="auto"/>
          <w:sz w:val="24"/>
          <w:highlight w:val="none"/>
        </w:rPr>
      </w:pPr>
      <w:bookmarkStart w:id="251" w:name="_Toc20035"/>
      <w:r>
        <w:rPr>
          <w:rFonts w:hint="eastAsia"/>
          <w:color w:val="auto"/>
          <w:sz w:val="24"/>
          <w:highlight w:val="none"/>
        </w:rPr>
        <w:t>2.4.8磋商完成后，磋商小组应出具磋商情况记录表，磋商情况记录表需包含磋商内容、磋商意见、实质性变动内容等。</w:t>
      </w:r>
      <w:bookmarkEnd w:id="251"/>
      <w:r>
        <w:rPr>
          <w:rFonts w:hint="eastAsia"/>
          <w:color w:val="auto"/>
          <w:sz w:val="24"/>
          <w:highlight w:val="none"/>
        </w:rPr>
        <w:t xml:space="preserve">   </w:t>
      </w:r>
    </w:p>
    <w:p>
      <w:pPr>
        <w:spacing w:line="360" w:lineRule="auto"/>
        <w:ind w:firstLine="480" w:firstLineChars="200"/>
        <w:rPr>
          <w:color w:val="auto"/>
          <w:sz w:val="24"/>
          <w:highlight w:val="none"/>
        </w:rPr>
      </w:pPr>
      <w:r>
        <w:rPr>
          <w:rFonts w:hint="eastAsia"/>
          <w:color w:val="auto"/>
          <w:sz w:val="24"/>
          <w:highlight w:val="none"/>
        </w:rPr>
        <w:t>2.5最后报价。</w:t>
      </w:r>
    </w:p>
    <w:p>
      <w:pPr>
        <w:spacing w:line="360" w:lineRule="auto"/>
        <w:ind w:firstLine="480" w:firstLineChars="200"/>
        <w:rPr>
          <w:color w:val="auto"/>
          <w:sz w:val="24"/>
          <w:highlight w:val="none"/>
        </w:rPr>
      </w:pPr>
      <w:r>
        <w:rPr>
          <w:rFonts w:hint="eastAsia"/>
          <w:color w:val="auto"/>
          <w:sz w:val="24"/>
          <w:highlight w:val="none"/>
        </w:rPr>
        <w:t>2.5.1磋商文件能够详细列明采购标的的技术、服务要求的，磋商结束后，磋商小组应当要求所有实质性响应的供应商在规定时间内提交最后报价，提交最后报价的供应商不得少于2家。最后报价是供应商响应文件的有效组成部分。</w:t>
      </w:r>
    </w:p>
    <w:p>
      <w:pPr>
        <w:spacing w:line="360" w:lineRule="auto"/>
        <w:ind w:firstLine="480" w:firstLineChars="200"/>
        <w:rPr>
          <w:color w:val="auto"/>
          <w:sz w:val="24"/>
          <w:highlight w:val="none"/>
        </w:rPr>
      </w:pPr>
      <w:r>
        <w:rPr>
          <w:rFonts w:hint="eastAsia"/>
          <w:color w:val="auto"/>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color w:val="auto"/>
          <w:sz w:val="24"/>
          <w:highlight w:val="none"/>
        </w:rPr>
      </w:pPr>
      <w:r>
        <w:rPr>
          <w:rFonts w:hint="eastAsia"/>
          <w:color w:val="auto"/>
          <w:sz w:val="24"/>
          <w:highlight w:val="none"/>
        </w:rPr>
        <w:t>2.5.3供应商最后报价应当由法定代表人/单位负责人或其授权代表签字确认或加盖公章。最后报价是供应商响应文件的有效组成部分。</w:t>
      </w:r>
    </w:p>
    <w:p>
      <w:pPr>
        <w:spacing w:line="360" w:lineRule="auto"/>
        <w:ind w:firstLine="480" w:firstLineChars="200"/>
        <w:rPr>
          <w:color w:val="auto"/>
          <w:sz w:val="24"/>
          <w:highlight w:val="none"/>
        </w:rPr>
      </w:pPr>
      <w:r>
        <w:rPr>
          <w:rFonts w:hint="eastAsia"/>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color w:val="auto"/>
          <w:sz w:val="24"/>
          <w:highlight w:val="none"/>
        </w:rPr>
      </w:pPr>
      <w:r>
        <w:rPr>
          <w:rFonts w:hint="eastAsia"/>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color w:val="auto"/>
          <w:sz w:val="24"/>
          <w:highlight w:val="none"/>
        </w:rPr>
      </w:pPr>
      <w:r>
        <w:rPr>
          <w:rFonts w:hint="eastAsia"/>
          <w:color w:val="auto"/>
          <w:sz w:val="24"/>
          <w:highlight w:val="none"/>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color w:val="auto"/>
          <w:sz w:val="24"/>
          <w:highlight w:val="none"/>
        </w:rPr>
      </w:pPr>
      <w:r>
        <w:rPr>
          <w:rFonts w:hint="eastAsia"/>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color w:val="auto"/>
          <w:sz w:val="24"/>
          <w:highlight w:val="none"/>
        </w:rPr>
      </w:pPr>
      <w:r>
        <w:rPr>
          <w:rFonts w:hint="eastAsia"/>
          <w:color w:val="auto"/>
          <w:sz w:val="24"/>
          <w:highlight w:val="none"/>
        </w:rPr>
        <w:t>2.9采购组织单位现场复核评审结果。</w:t>
      </w:r>
    </w:p>
    <w:p>
      <w:pPr>
        <w:spacing w:line="360" w:lineRule="auto"/>
        <w:ind w:firstLine="480" w:firstLineChars="200"/>
        <w:rPr>
          <w:color w:val="auto"/>
          <w:sz w:val="24"/>
          <w:highlight w:val="none"/>
        </w:rPr>
      </w:pPr>
      <w:r>
        <w:rPr>
          <w:rFonts w:hint="eastAsia"/>
          <w:color w:val="auto"/>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color w:val="auto"/>
          <w:sz w:val="24"/>
          <w:highlight w:val="none"/>
        </w:rPr>
      </w:pPr>
      <w:r>
        <w:rPr>
          <w:rFonts w:hint="eastAsia"/>
          <w:color w:val="auto"/>
          <w:sz w:val="24"/>
          <w:highlight w:val="none"/>
        </w:rPr>
        <w:t>（1）资格性审查认定错误的；</w:t>
      </w:r>
    </w:p>
    <w:p>
      <w:pPr>
        <w:spacing w:line="360" w:lineRule="auto"/>
        <w:ind w:firstLine="480" w:firstLineChars="200"/>
        <w:rPr>
          <w:color w:val="auto"/>
          <w:sz w:val="24"/>
          <w:highlight w:val="none"/>
        </w:rPr>
      </w:pPr>
      <w:r>
        <w:rPr>
          <w:rFonts w:hint="eastAsia"/>
          <w:color w:val="auto"/>
          <w:sz w:val="24"/>
          <w:highlight w:val="none"/>
        </w:rPr>
        <w:t>（2）分值汇总计算错误的；</w:t>
      </w:r>
    </w:p>
    <w:p>
      <w:pPr>
        <w:spacing w:line="360" w:lineRule="auto"/>
        <w:ind w:firstLine="480" w:firstLineChars="200"/>
        <w:rPr>
          <w:color w:val="auto"/>
          <w:sz w:val="24"/>
          <w:highlight w:val="none"/>
        </w:rPr>
      </w:pPr>
      <w:r>
        <w:rPr>
          <w:rFonts w:hint="eastAsia"/>
          <w:color w:val="auto"/>
          <w:sz w:val="24"/>
          <w:highlight w:val="none"/>
        </w:rPr>
        <w:t>（3）分项评分超出评分标准范围的；</w:t>
      </w:r>
    </w:p>
    <w:p>
      <w:pPr>
        <w:spacing w:line="360" w:lineRule="auto"/>
        <w:ind w:firstLine="480" w:firstLineChars="200"/>
        <w:rPr>
          <w:color w:val="auto"/>
          <w:sz w:val="24"/>
          <w:highlight w:val="none"/>
        </w:rPr>
      </w:pPr>
      <w:r>
        <w:rPr>
          <w:rFonts w:hint="eastAsia"/>
          <w:color w:val="auto"/>
          <w:sz w:val="24"/>
          <w:highlight w:val="none"/>
        </w:rPr>
        <w:t>（4）客观评分不一致的。</w:t>
      </w:r>
    </w:p>
    <w:p>
      <w:pPr>
        <w:spacing w:line="360" w:lineRule="auto"/>
        <w:ind w:firstLine="480" w:firstLineChars="200"/>
        <w:rPr>
          <w:color w:val="auto"/>
          <w:sz w:val="24"/>
          <w:highlight w:val="none"/>
        </w:rPr>
      </w:pPr>
      <w:r>
        <w:rPr>
          <w:rFonts w:hint="eastAsia"/>
          <w:color w:val="auto"/>
          <w:sz w:val="24"/>
          <w:highlight w:val="none"/>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spacing w:line="360" w:lineRule="auto"/>
        <w:ind w:firstLine="480" w:firstLineChars="200"/>
        <w:rPr>
          <w:color w:val="auto"/>
          <w:sz w:val="24"/>
          <w:highlight w:val="none"/>
        </w:rPr>
      </w:pPr>
      <w:r>
        <w:rPr>
          <w:rFonts w:hint="eastAsia"/>
          <w:color w:val="auto"/>
          <w:sz w:val="24"/>
          <w:highlight w:val="none"/>
        </w:rPr>
        <w:t>采购代理机构复核过程中，磋商小组成员不得离开评审现场。</w:t>
      </w:r>
    </w:p>
    <w:p>
      <w:pPr>
        <w:spacing w:line="360" w:lineRule="auto"/>
        <w:ind w:firstLine="480" w:firstLineChars="200"/>
        <w:rPr>
          <w:color w:val="auto"/>
          <w:sz w:val="24"/>
          <w:highlight w:val="none"/>
        </w:rPr>
      </w:pPr>
      <w:r>
        <w:rPr>
          <w:rFonts w:hint="eastAsia"/>
          <w:color w:val="auto"/>
          <w:sz w:val="24"/>
          <w:highlight w:val="none"/>
        </w:rPr>
        <w:t>2.9.2有下列情形之一的，不得现场修改评审结果：</w:t>
      </w:r>
    </w:p>
    <w:p>
      <w:pPr>
        <w:spacing w:line="360" w:lineRule="auto"/>
        <w:ind w:firstLine="480" w:firstLineChars="200"/>
        <w:rPr>
          <w:color w:val="auto"/>
          <w:sz w:val="24"/>
          <w:highlight w:val="none"/>
        </w:rPr>
      </w:pPr>
      <w:r>
        <w:rPr>
          <w:rFonts w:hint="eastAsia"/>
          <w:color w:val="auto"/>
          <w:sz w:val="24"/>
          <w:highlight w:val="none"/>
        </w:rPr>
        <w:t>（1）磋商小组已经出具磋商报告并且离开评审现场的；</w:t>
      </w:r>
    </w:p>
    <w:p>
      <w:pPr>
        <w:spacing w:line="360" w:lineRule="auto"/>
        <w:ind w:firstLine="480" w:firstLineChars="200"/>
        <w:rPr>
          <w:color w:val="auto"/>
          <w:sz w:val="24"/>
          <w:highlight w:val="none"/>
        </w:rPr>
      </w:pPr>
      <w:r>
        <w:rPr>
          <w:rFonts w:hint="eastAsia"/>
          <w:color w:val="auto"/>
          <w:sz w:val="24"/>
          <w:highlight w:val="none"/>
        </w:rPr>
        <w:t>（2）采购代理机构现场复核时，复核工作人员数量不足的；</w:t>
      </w:r>
    </w:p>
    <w:p>
      <w:pPr>
        <w:spacing w:line="360" w:lineRule="auto"/>
        <w:ind w:firstLine="480" w:firstLineChars="200"/>
        <w:rPr>
          <w:color w:val="auto"/>
          <w:sz w:val="24"/>
          <w:highlight w:val="none"/>
        </w:rPr>
      </w:pPr>
      <w:r>
        <w:rPr>
          <w:rFonts w:hint="eastAsia"/>
          <w:color w:val="auto"/>
          <w:sz w:val="24"/>
          <w:highlight w:val="none"/>
        </w:rPr>
        <w:t>（3）采购代理机构现场复核时，没有采购监督人员现场监督的；</w:t>
      </w:r>
    </w:p>
    <w:p>
      <w:pPr>
        <w:spacing w:line="360" w:lineRule="auto"/>
        <w:ind w:firstLine="480" w:firstLineChars="200"/>
        <w:rPr>
          <w:color w:val="auto"/>
          <w:sz w:val="24"/>
          <w:highlight w:val="none"/>
        </w:rPr>
      </w:pPr>
      <w:r>
        <w:rPr>
          <w:rFonts w:hint="eastAsia"/>
          <w:color w:val="auto"/>
          <w:sz w:val="24"/>
          <w:highlight w:val="none"/>
        </w:rPr>
        <w:t>（4）采购代理机构现场复核内容超出规定范围的；</w:t>
      </w:r>
    </w:p>
    <w:p>
      <w:pPr>
        <w:spacing w:line="360" w:lineRule="auto"/>
        <w:ind w:firstLine="480" w:firstLineChars="200"/>
        <w:rPr>
          <w:color w:val="auto"/>
          <w:sz w:val="24"/>
          <w:highlight w:val="none"/>
        </w:rPr>
      </w:pPr>
      <w:r>
        <w:rPr>
          <w:rFonts w:hint="eastAsia"/>
          <w:color w:val="auto"/>
          <w:sz w:val="24"/>
          <w:highlight w:val="none"/>
        </w:rPr>
        <w:t>（5）采购代理机构未提供书面建议的。</w:t>
      </w:r>
    </w:p>
    <w:p>
      <w:pPr>
        <w:spacing w:line="360" w:lineRule="auto"/>
        <w:ind w:firstLine="480" w:firstLineChars="200"/>
        <w:rPr>
          <w:color w:val="auto"/>
          <w:sz w:val="24"/>
          <w:highlight w:val="none"/>
        </w:rPr>
      </w:pPr>
      <w:r>
        <w:rPr>
          <w:rFonts w:hint="eastAsia"/>
          <w:color w:val="auto"/>
          <w:sz w:val="24"/>
          <w:highlight w:val="none"/>
        </w:rPr>
        <w:t>2.10编写磋商报告。磋商小组推荐成交候选供应商后，应向采购代理机构出具磋商报告。磋商报告应当包括以下主要内容：</w:t>
      </w:r>
    </w:p>
    <w:p>
      <w:pPr>
        <w:spacing w:line="360" w:lineRule="auto"/>
        <w:ind w:firstLine="480" w:firstLineChars="200"/>
        <w:rPr>
          <w:color w:val="auto"/>
          <w:sz w:val="24"/>
          <w:highlight w:val="none"/>
        </w:rPr>
      </w:pPr>
      <w:r>
        <w:rPr>
          <w:rFonts w:hint="eastAsia"/>
          <w:color w:val="auto"/>
          <w:sz w:val="24"/>
          <w:highlight w:val="none"/>
        </w:rPr>
        <w:t>（1）邀请供应商参加采购活动的具体方式和相关情况；</w:t>
      </w:r>
    </w:p>
    <w:p>
      <w:pPr>
        <w:spacing w:line="360" w:lineRule="auto"/>
        <w:ind w:firstLine="480" w:firstLineChars="200"/>
        <w:rPr>
          <w:color w:val="auto"/>
          <w:sz w:val="24"/>
          <w:highlight w:val="none"/>
        </w:rPr>
      </w:pPr>
      <w:r>
        <w:rPr>
          <w:rFonts w:hint="eastAsia"/>
          <w:color w:val="auto"/>
          <w:sz w:val="24"/>
          <w:highlight w:val="none"/>
        </w:rPr>
        <w:t>（2）响应文件开启日期和地点；</w:t>
      </w:r>
    </w:p>
    <w:p>
      <w:pPr>
        <w:spacing w:line="360" w:lineRule="auto"/>
        <w:ind w:firstLine="480" w:firstLineChars="200"/>
        <w:rPr>
          <w:color w:val="auto"/>
          <w:sz w:val="24"/>
          <w:highlight w:val="none"/>
        </w:rPr>
      </w:pPr>
      <w:r>
        <w:rPr>
          <w:rFonts w:hint="eastAsia"/>
          <w:color w:val="auto"/>
          <w:sz w:val="24"/>
          <w:highlight w:val="none"/>
        </w:rPr>
        <w:t>（3）获取磋商文件的供应商名单和磋商小组成员名单；</w:t>
      </w:r>
    </w:p>
    <w:p>
      <w:pPr>
        <w:spacing w:line="360" w:lineRule="auto"/>
        <w:ind w:firstLine="480" w:firstLineChars="200"/>
        <w:rPr>
          <w:color w:val="auto"/>
          <w:sz w:val="24"/>
          <w:highlight w:val="none"/>
        </w:rPr>
      </w:pPr>
      <w:r>
        <w:rPr>
          <w:rFonts w:hint="eastAsia"/>
          <w:color w:val="auto"/>
          <w:sz w:val="24"/>
          <w:highlight w:val="none"/>
        </w:rPr>
        <w:t>（4）评审情况记录和说明，包括对供应商的资格审查情况、供应商响应文件审查情况、磋商情况、报价情况等；</w:t>
      </w:r>
    </w:p>
    <w:p>
      <w:pPr>
        <w:spacing w:line="360" w:lineRule="auto"/>
        <w:ind w:firstLine="480" w:firstLineChars="200"/>
        <w:rPr>
          <w:color w:val="auto"/>
          <w:sz w:val="24"/>
          <w:highlight w:val="none"/>
        </w:rPr>
      </w:pPr>
      <w:r>
        <w:rPr>
          <w:rFonts w:hint="eastAsia"/>
          <w:color w:val="auto"/>
          <w:sz w:val="24"/>
          <w:highlight w:val="none"/>
        </w:rPr>
        <w:t>（5）提出的成交候选供应商的排序名单及理由。</w:t>
      </w:r>
    </w:p>
    <w:p>
      <w:pPr>
        <w:spacing w:line="360" w:lineRule="auto"/>
        <w:ind w:firstLine="480" w:firstLineChars="200"/>
        <w:rPr>
          <w:color w:val="auto"/>
          <w:sz w:val="24"/>
          <w:highlight w:val="none"/>
        </w:rPr>
      </w:pPr>
      <w:r>
        <w:rPr>
          <w:rFonts w:hint="eastAsia"/>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color w:val="auto"/>
          <w:sz w:val="24"/>
          <w:highlight w:val="none"/>
        </w:rPr>
      </w:pPr>
      <w:r>
        <w:rPr>
          <w:rFonts w:hint="eastAsia"/>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color w:val="auto"/>
          <w:sz w:val="24"/>
          <w:highlight w:val="none"/>
        </w:rPr>
      </w:pPr>
      <w:r>
        <w:rPr>
          <w:rFonts w:hint="eastAsia"/>
          <w:color w:val="auto"/>
          <w:sz w:val="24"/>
          <w:highlight w:val="none"/>
        </w:rPr>
        <w:t>2.12供应商澄清、说明</w:t>
      </w:r>
    </w:p>
    <w:p>
      <w:pPr>
        <w:spacing w:line="360" w:lineRule="auto"/>
        <w:ind w:firstLine="480" w:firstLineChars="200"/>
        <w:rPr>
          <w:color w:val="auto"/>
          <w:sz w:val="24"/>
          <w:highlight w:val="none"/>
        </w:rPr>
      </w:pPr>
      <w:r>
        <w:rPr>
          <w:rFonts w:hint="eastAsia"/>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color w:val="auto"/>
          <w:sz w:val="24"/>
          <w:highlight w:val="none"/>
        </w:rPr>
      </w:pPr>
      <w:r>
        <w:rPr>
          <w:rFonts w:hint="eastAsia"/>
          <w:color w:val="auto"/>
          <w:sz w:val="24"/>
          <w:highlight w:val="none"/>
        </w:rPr>
        <w:t>2.12.2磋商小组要求供应商澄清、说明或者更正响应文件应当以书面形式作出。供应商的澄清、说明或者更正应当由法定代表人/单位负责人或其授权代表签字或者加盖公章。</w:t>
      </w:r>
    </w:p>
    <w:p>
      <w:pPr>
        <w:spacing w:line="360" w:lineRule="auto"/>
        <w:ind w:firstLine="480" w:firstLineChars="200"/>
        <w:rPr>
          <w:color w:val="auto"/>
          <w:sz w:val="24"/>
          <w:highlight w:val="none"/>
        </w:rPr>
      </w:pPr>
      <w:r>
        <w:rPr>
          <w:rFonts w:hint="eastAsia"/>
          <w:color w:val="auto"/>
          <w:sz w:val="24"/>
          <w:highlight w:val="none"/>
        </w:rPr>
        <w:t>2.13终止磋商采购活动。</w:t>
      </w:r>
    </w:p>
    <w:p>
      <w:pPr>
        <w:spacing w:line="360" w:lineRule="auto"/>
        <w:ind w:firstLine="480" w:firstLineChars="200"/>
        <w:rPr>
          <w:color w:val="auto"/>
          <w:sz w:val="24"/>
          <w:highlight w:val="none"/>
        </w:rPr>
      </w:pPr>
      <w:r>
        <w:rPr>
          <w:rFonts w:hint="eastAsia"/>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color w:val="auto"/>
          <w:sz w:val="24"/>
          <w:highlight w:val="none"/>
        </w:rPr>
      </w:pPr>
      <w:r>
        <w:rPr>
          <w:rFonts w:hint="eastAsia"/>
          <w:color w:val="auto"/>
          <w:sz w:val="24"/>
          <w:highlight w:val="none"/>
        </w:rPr>
        <w:t>（1）因情况变化，不再符合规定的竞争性磋商采购方式适用情形的；</w:t>
      </w:r>
    </w:p>
    <w:p>
      <w:pPr>
        <w:spacing w:line="360" w:lineRule="auto"/>
        <w:ind w:firstLine="480" w:firstLineChars="200"/>
        <w:rPr>
          <w:color w:val="auto"/>
          <w:sz w:val="24"/>
          <w:highlight w:val="none"/>
        </w:rPr>
      </w:pPr>
      <w:r>
        <w:rPr>
          <w:rFonts w:hint="eastAsia"/>
          <w:color w:val="auto"/>
          <w:sz w:val="24"/>
          <w:highlight w:val="none"/>
        </w:rPr>
        <w:t>（2）出现影响采购公正的违法、违规行为的；</w:t>
      </w:r>
    </w:p>
    <w:p>
      <w:pPr>
        <w:spacing w:line="360" w:lineRule="auto"/>
        <w:ind w:firstLine="480" w:firstLineChars="200"/>
        <w:rPr>
          <w:color w:val="auto"/>
          <w:sz w:val="24"/>
          <w:highlight w:val="none"/>
        </w:rPr>
      </w:pPr>
      <w:r>
        <w:rPr>
          <w:rFonts w:hint="eastAsia"/>
          <w:color w:val="auto"/>
          <w:sz w:val="24"/>
          <w:highlight w:val="none"/>
        </w:rPr>
        <w:t>（3）在采购过程中符合要求的供应商或者报价未超过采购预算的供应商不足2家的。</w:t>
      </w:r>
    </w:p>
    <w:p>
      <w:pPr>
        <w:spacing w:line="360" w:lineRule="auto"/>
        <w:outlineLvl w:val="1"/>
        <w:rPr>
          <w:b/>
          <w:bCs/>
          <w:color w:val="auto"/>
          <w:sz w:val="24"/>
          <w:highlight w:val="none"/>
        </w:rPr>
      </w:pPr>
      <w:r>
        <w:rPr>
          <w:rFonts w:hint="eastAsia"/>
          <w:b/>
          <w:bCs/>
          <w:color w:val="auto"/>
          <w:sz w:val="24"/>
          <w:highlight w:val="none"/>
        </w:rPr>
        <w:t>3.综合评分</w:t>
      </w:r>
    </w:p>
    <w:p>
      <w:pPr>
        <w:spacing w:line="360" w:lineRule="auto"/>
        <w:ind w:firstLine="480" w:firstLineChars="200"/>
        <w:rPr>
          <w:color w:val="auto"/>
          <w:sz w:val="24"/>
          <w:highlight w:val="none"/>
        </w:rPr>
      </w:pPr>
      <w:r>
        <w:rPr>
          <w:rFonts w:hint="eastAsia"/>
          <w:color w:val="auto"/>
          <w:sz w:val="24"/>
          <w:highlight w:val="none"/>
        </w:rPr>
        <w:t>3.1本次综合评分的因素是：详见3.3综合评分明细表。</w:t>
      </w:r>
    </w:p>
    <w:p>
      <w:pPr>
        <w:spacing w:line="360" w:lineRule="auto"/>
        <w:ind w:firstLine="480" w:firstLineChars="200"/>
        <w:rPr>
          <w:rFonts w:hAnsi="宋体"/>
          <w:color w:val="auto"/>
          <w:highlight w:val="none"/>
        </w:rPr>
      </w:pPr>
      <w:r>
        <w:rPr>
          <w:rFonts w:hint="eastAsia"/>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2"/>
        <w:tabs>
          <w:tab w:val="left" w:pos="600"/>
        </w:tabs>
        <w:spacing w:line="360" w:lineRule="auto"/>
        <w:ind w:firstLine="240" w:firstLineChars="1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3.3综合评分明细表</w:t>
      </w:r>
    </w:p>
    <w:tbl>
      <w:tblPr>
        <w:tblStyle w:val="28"/>
        <w:tblW w:w="994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57"/>
        <w:gridCol w:w="1522"/>
        <w:gridCol w:w="5241"/>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09" w:type="dxa"/>
            <w:noWrap w:val="0"/>
            <w:vAlign w:val="center"/>
          </w:tcPr>
          <w:p>
            <w:pPr>
              <w:jc w:val="center"/>
              <w:rPr>
                <w:rFonts w:cs="宋体"/>
                <w:sz w:val="24"/>
              </w:rPr>
            </w:pPr>
            <w:r>
              <w:rPr>
                <w:rFonts w:cs="宋体"/>
                <w:sz w:val="24"/>
              </w:rPr>
              <w:t>序号</w:t>
            </w:r>
          </w:p>
        </w:tc>
        <w:tc>
          <w:tcPr>
            <w:tcW w:w="1157" w:type="dxa"/>
            <w:noWrap w:val="0"/>
            <w:vAlign w:val="center"/>
          </w:tcPr>
          <w:p>
            <w:pPr>
              <w:jc w:val="center"/>
              <w:rPr>
                <w:rFonts w:cs="宋体"/>
                <w:sz w:val="24"/>
              </w:rPr>
            </w:pPr>
            <w:r>
              <w:rPr>
                <w:rFonts w:cs="宋体"/>
                <w:sz w:val="24"/>
              </w:rPr>
              <w:t>评分</w:t>
            </w:r>
          </w:p>
          <w:p>
            <w:pPr>
              <w:jc w:val="center"/>
              <w:rPr>
                <w:rFonts w:cs="宋体"/>
                <w:sz w:val="24"/>
              </w:rPr>
            </w:pPr>
            <w:r>
              <w:rPr>
                <w:rFonts w:cs="宋体"/>
                <w:sz w:val="24"/>
              </w:rPr>
              <w:t>因素及</w:t>
            </w:r>
          </w:p>
          <w:p>
            <w:pPr>
              <w:jc w:val="center"/>
              <w:rPr>
                <w:rFonts w:cs="宋体"/>
                <w:sz w:val="24"/>
              </w:rPr>
            </w:pPr>
            <w:r>
              <w:rPr>
                <w:rFonts w:cs="宋体"/>
                <w:sz w:val="24"/>
              </w:rPr>
              <w:t>权重</w:t>
            </w:r>
          </w:p>
        </w:tc>
        <w:tc>
          <w:tcPr>
            <w:tcW w:w="1522" w:type="dxa"/>
            <w:noWrap w:val="0"/>
            <w:vAlign w:val="center"/>
          </w:tcPr>
          <w:p>
            <w:pPr>
              <w:jc w:val="center"/>
              <w:rPr>
                <w:rFonts w:cs="宋体"/>
                <w:sz w:val="24"/>
              </w:rPr>
            </w:pPr>
            <w:r>
              <w:rPr>
                <w:rFonts w:cs="宋体"/>
                <w:sz w:val="24"/>
              </w:rPr>
              <w:t>分值</w:t>
            </w:r>
          </w:p>
        </w:tc>
        <w:tc>
          <w:tcPr>
            <w:tcW w:w="5241" w:type="dxa"/>
            <w:noWrap w:val="0"/>
            <w:vAlign w:val="center"/>
          </w:tcPr>
          <w:p>
            <w:pPr>
              <w:jc w:val="center"/>
              <w:rPr>
                <w:rFonts w:cs="宋体"/>
                <w:sz w:val="24"/>
              </w:rPr>
            </w:pPr>
            <w:r>
              <w:rPr>
                <w:rFonts w:cs="宋体"/>
                <w:sz w:val="24"/>
              </w:rPr>
              <w:t>评分标准</w:t>
            </w:r>
          </w:p>
        </w:tc>
        <w:tc>
          <w:tcPr>
            <w:tcW w:w="1315" w:type="dxa"/>
            <w:noWrap w:val="0"/>
            <w:vAlign w:val="center"/>
          </w:tcPr>
          <w:p>
            <w:pPr>
              <w:jc w:val="center"/>
              <w:rPr>
                <w:rFonts w:cs="宋体"/>
                <w:sz w:val="24"/>
              </w:rPr>
            </w:pPr>
            <w:r>
              <w:rPr>
                <w:rFonts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9" w:type="dxa"/>
            <w:noWrap w:val="0"/>
            <w:vAlign w:val="center"/>
          </w:tcPr>
          <w:p>
            <w:pPr>
              <w:jc w:val="center"/>
              <w:rPr>
                <w:rFonts w:cs="宋体"/>
                <w:sz w:val="24"/>
              </w:rPr>
            </w:pPr>
            <w:r>
              <w:rPr>
                <w:rFonts w:cs="宋体"/>
                <w:sz w:val="24"/>
              </w:rPr>
              <w:t>1</w:t>
            </w:r>
          </w:p>
        </w:tc>
        <w:tc>
          <w:tcPr>
            <w:tcW w:w="1157" w:type="dxa"/>
            <w:noWrap w:val="0"/>
            <w:vAlign w:val="center"/>
          </w:tcPr>
          <w:p>
            <w:pPr>
              <w:jc w:val="center"/>
              <w:rPr>
                <w:rFonts w:cs="宋体"/>
                <w:sz w:val="24"/>
              </w:rPr>
            </w:pPr>
            <w:r>
              <w:rPr>
                <w:rFonts w:cs="宋体"/>
                <w:sz w:val="24"/>
              </w:rPr>
              <w:t>报价30%</w:t>
            </w:r>
          </w:p>
        </w:tc>
        <w:tc>
          <w:tcPr>
            <w:tcW w:w="1522" w:type="dxa"/>
            <w:noWrap w:val="0"/>
            <w:vAlign w:val="center"/>
          </w:tcPr>
          <w:p>
            <w:pPr>
              <w:jc w:val="center"/>
              <w:rPr>
                <w:rFonts w:cs="宋体"/>
                <w:sz w:val="24"/>
              </w:rPr>
            </w:pPr>
            <w:r>
              <w:rPr>
                <w:rFonts w:cs="宋体"/>
                <w:sz w:val="24"/>
              </w:rPr>
              <w:t>报价30分</w:t>
            </w:r>
          </w:p>
        </w:tc>
        <w:tc>
          <w:tcPr>
            <w:tcW w:w="5241" w:type="dxa"/>
            <w:noWrap w:val="0"/>
            <w:vAlign w:val="center"/>
          </w:tcPr>
          <w:p>
            <w:pPr>
              <w:pStyle w:val="2"/>
              <w:ind w:firstLine="240" w:firstLineChars="100"/>
              <w:rPr>
                <w:rFonts w:cs="宋体"/>
                <w:sz w:val="24"/>
              </w:rPr>
            </w:pPr>
            <w:r>
              <w:rPr>
                <w:rFonts w:cs="宋体"/>
                <w:sz w:val="24"/>
              </w:rPr>
              <w:t>以本次有效的最低投标报价为基准价，其价格分为满分30分.投标报价得分=(投标基准价／投标报价)*30%*100。</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709" w:type="dxa"/>
            <w:noWrap w:val="0"/>
            <w:vAlign w:val="center"/>
          </w:tcPr>
          <w:p>
            <w:pPr>
              <w:jc w:val="center"/>
              <w:rPr>
                <w:rFonts w:cs="宋体"/>
                <w:sz w:val="24"/>
              </w:rPr>
            </w:pPr>
            <w:r>
              <w:rPr>
                <w:rFonts w:cs="宋体"/>
                <w:sz w:val="24"/>
              </w:rPr>
              <w:t>2</w:t>
            </w:r>
          </w:p>
        </w:tc>
        <w:tc>
          <w:tcPr>
            <w:tcW w:w="1157" w:type="dxa"/>
            <w:noWrap w:val="0"/>
            <w:vAlign w:val="center"/>
          </w:tcPr>
          <w:p>
            <w:pPr>
              <w:jc w:val="center"/>
              <w:rPr>
                <w:rFonts w:cs="宋体"/>
                <w:sz w:val="24"/>
              </w:rPr>
            </w:pPr>
            <w:r>
              <w:rPr>
                <w:rFonts w:cs="宋体"/>
                <w:sz w:val="24"/>
              </w:rPr>
              <w:t>技术参数20%</w:t>
            </w:r>
          </w:p>
        </w:tc>
        <w:tc>
          <w:tcPr>
            <w:tcW w:w="1522" w:type="dxa"/>
            <w:noWrap w:val="0"/>
            <w:vAlign w:val="center"/>
          </w:tcPr>
          <w:p>
            <w:pPr>
              <w:jc w:val="center"/>
              <w:rPr>
                <w:rFonts w:cs="宋体"/>
                <w:sz w:val="24"/>
              </w:rPr>
            </w:pPr>
            <w:r>
              <w:rPr>
                <w:rFonts w:cs="宋体"/>
                <w:sz w:val="24"/>
              </w:rPr>
              <w:t>技术参数</w:t>
            </w:r>
          </w:p>
          <w:p>
            <w:pPr>
              <w:jc w:val="center"/>
              <w:rPr>
                <w:rFonts w:cs="宋体"/>
                <w:sz w:val="24"/>
              </w:rPr>
            </w:pPr>
            <w:r>
              <w:rPr>
                <w:rFonts w:cs="宋体"/>
                <w:sz w:val="24"/>
              </w:rPr>
              <w:t>20分</w:t>
            </w:r>
          </w:p>
        </w:tc>
        <w:tc>
          <w:tcPr>
            <w:tcW w:w="5241" w:type="dxa"/>
            <w:noWrap w:val="0"/>
            <w:vAlign w:val="center"/>
          </w:tcPr>
          <w:p>
            <w:pPr>
              <w:pStyle w:val="2"/>
              <w:ind w:firstLine="240" w:firstLineChars="100"/>
              <w:rPr>
                <w:rFonts w:cs="宋体"/>
                <w:sz w:val="24"/>
              </w:rPr>
            </w:pPr>
            <w:r>
              <w:rPr>
                <w:rFonts w:cs="宋体"/>
                <w:sz w:val="24"/>
              </w:rPr>
              <w:t>完全满足招标文件中（技术参数要求）的得20分，带“</w:t>
            </w:r>
            <w:r>
              <w:rPr>
                <w:rFonts w:hint="eastAsia" w:hAnsi="宋体" w:cs="宋体"/>
                <w:sz w:val="24"/>
                <w:lang w:eastAsia="zh-CN"/>
              </w:rPr>
              <w:t>▲</w:t>
            </w:r>
            <w:r>
              <w:rPr>
                <w:rFonts w:cs="宋体"/>
                <w:sz w:val="24"/>
              </w:rPr>
              <w:t>”项要求参数共计7项，每项得2分；非“</w:t>
            </w:r>
            <w:r>
              <w:rPr>
                <w:rFonts w:hint="eastAsia" w:hAnsi="宋体" w:cs="宋体"/>
                <w:sz w:val="24"/>
                <w:lang w:eastAsia="zh-CN"/>
              </w:rPr>
              <w:t>▲</w:t>
            </w:r>
            <w:r>
              <w:rPr>
                <w:rFonts w:cs="宋体"/>
                <w:sz w:val="24"/>
              </w:rPr>
              <w:t>”项的共计6项，每项得1分。低于要求的扣除相应的分数，直到扣完为止。注：按照招标文件（技术参数要求）中要求提供证明材料，未提供证明材料视为不满足参数要求。</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9" w:type="dxa"/>
            <w:noWrap w:val="0"/>
            <w:vAlign w:val="center"/>
          </w:tcPr>
          <w:p>
            <w:pPr>
              <w:jc w:val="center"/>
              <w:rPr>
                <w:rFonts w:cs="宋体"/>
                <w:sz w:val="24"/>
              </w:rPr>
            </w:pPr>
            <w:r>
              <w:rPr>
                <w:rFonts w:cs="宋体"/>
                <w:sz w:val="24"/>
              </w:rPr>
              <w:t>3</w:t>
            </w:r>
          </w:p>
        </w:tc>
        <w:tc>
          <w:tcPr>
            <w:tcW w:w="1157" w:type="dxa"/>
            <w:noWrap w:val="0"/>
            <w:vAlign w:val="center"/>
          </w:tcPr>
          <w:p>
            <w:pPr>
              <w:jc w:val="center"/>
              <w:rPr>
                <w:rFonts w:cs="宋体"/>
                <w:sz w:val="24"/>
              </w:rPr>
            </w:pPr>
            <w:r>
              <w:rPr>
                <w:rFonts w:cs="宋体"/>
                <w:sz w:val="24"/>
              </w:rPr>
              <w:t>产品实力5%</w:t>
            </w:r>
          </w:p>
        </w:tc>
        <w:tc>
          <w:tcPr>
            <w:tcW w:w="1522" w:type="dxa"/>
            <w:noWrap w:val="0"/>
            <w:vAlign w:val="center"/>
          </w:tcPr>
          <w:p>
            <w:pPr>
              <w:jc w:val="center"/>
              <w:rPr>
                <w:rFonts w:hint="default" w:eastAsia="宋体" w:cs="宋体"/>
                <w:sz w:val="24"/>
                <w:lang w:val="en-US" w:eastAsia="zh-CN"/>
              </w:rPr>
            </w:pPr>
            <w:r>
              <w:rPr>
                <w:rFonts w:cs="宋体"/>
                <w:sz w:val="24"/>
              </w:rPr>
              <w:t>产品实力</w:t>
            </w:r>
            <w:r>
              <w:rPr>
                <w:rFonts w:hint="eastAsia" w:cs="宋体"/>
                <w:sz w:val="24"/>
                <w:lang w:val="en-US" w:eastAsia="zh-CN"/>
              </w:rPr>
              <w:t>5分</w:t>
            </w:r>
          </w:p>
        </w:tc>
        <w:tc>
          <w:tcPr>
            <w:tcW w:w="5241" w:type="dxa"/>
            <w:noWrap w:val="0"/>
            <w:vAlign w:val="center"/>
          </w:tcPr>
          <w:p>
            <w:pPr>
              <w:pStyle w:val="2"/>
              <w:numPr>
                <w:ilvl w:val="0"/>
                <w:numId w:val="12"/>
              </w:numPr>
              <w:ind w:firstLine="240" w:firstLineChars="100"/>
              <w:rPr>
                <w:rFonts w:cs="宋体"/>
                <w:color w:val="333333"/>
                <w:sz w:val="24"/>
                <w:lang w:bidi="ar"/>
              </w:rPr>
            </w:pPr>
            <w:r>
              <w:rPr>
                <w:rFonts w:cs="宋体"/>
                <w:color w:val="333333"/>
                <w:sz w:val="24"/>
                <w:lang w:bidi="ar"/>
              </w:rPr>
              <w:t>教室护眼灯具IP等级，IP44得1分， IP45及以上得2分，最高得2分。</w:t>
            </w:r>
          </w:p>
          <w:p>
            <w:pPr>
              <w:pStyle w:val="2"/>
              <w:numPr>
                <w:ilvl w:val="0"/>
                <w:numId w:val="12"/>
              </w:numPr>
              <w:ind w:left="0" w:leftChars="0" w:firstLine="240" w:firstLineChars="100"/>
              <w:rPr>
                <w:rFonts w:cs="仿宋"/>
                <w:sz w:val="24"/>
              </w:rPr>
            </w:pPr>
            <w:r>
              <w:rPr>
                <w:rFonts w:cs="宋体"/>
                <w:color w:val="333333"/>
                <w:sz w:val="24"/>
                <w:lang w:bidi="ar"/>
              </w:rPr>
              <w:t>提供已经安装的项目的同一份检验报告，功率密度≤4.5</w:t>
            </w:r>
            <w:r>
              <w:rPr>
                <w:rFonts w:cs="宋体"/>
                <w:sz w:val="24"/>
              </w:rPr>
              <w:t xml:space="preserve"> W/㎡</w:t>
            </w:r>
            <w:r>
              <w:rPr>
                <w:rFonts w:cs="仿宋"/>
                <w:sz w:val="24"/>
              </w:rPr>
              <w:t>，眩光值 (UGR)≤12同时满足的得2分，满足一项的得一分，最高得2分。</w:t>
            </w:r>
          </w:p>
          <w:p>
            <w:pPr>
              <w:pStyle w:val="2"/>
              <w:numPr>
                <w:ilvl w:val="0"/>
                <w:numId w:val="12"/>
              </w:numPr>
              <w:ind w:left="0" w:leftChars="0" w:firstLine="240" w:firstLineChars="100"/>
              <w:rPr>
                <w:rFonts w:cs="宋体"/>
                <w:sz w:val="24"/>
              </w:rPr>
            </w:pPr>
            <w:r>
              <w:rPr>
                <w:rFonts w:cs="宋体"/>
                <w:color w:val="333333"/>
                <w:sz w:val="24"/>
                <w:lang w:bidi="ar"/>
              </w:rPr>
              <w:t>光效≥100LM/W以上的得1分。备注：需提供第三方检测机构出具的带CMA及CNAS标志的检测报告复印件。</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9" w:type="dxa"/>
            <w:noWrap w:val="0"/>
            <w:vAlign w:val="center"/>
          </w:tcPr>
          <w:p>
            <w:pPr>
              <w:jc w:val="center"/>
              <w:rPr>
                <w:rFonts w:cs="宋体"/>
                <w:sz w:val="24"/>
              </w:rPr>
            </w:pPr>
            <w:r>
              <w:rPr>
                <w:rFonts w:cs="宋体"/>
                <w:sz w:val="24"/>
              </w:rPr>
              <w:t>3</w:t>
            </w:r>
          </w:p>
        </w:tc>
        <w:tc>
          <w:tcPr>
            <w:tcW w:w="1157" w:type="dxa"/>
            <w:noWrap w:val="0"/>
            <w:vAlign w:val="center"/>
          </w:tcPr>
          <w:p>
            <w:pPr>
              <w:jc w:val="center"/>
              <w:rPr>
                <w:rFonts w:cs="宋体"/>
                <w:sz w:val="24"/>
              </w:rPr>
            </w:pPr>
            <w:r>
              <w:rPr>
                <w:rFonts w:cs="宋体"/>
                <w:sz w:val="24"/>
              </w:rPr>
              <w:t>履约能力</w:t>
            </w:r>
            <w:r>
              <w:rPr>
                <w:rFonts w:hint="eastAsia" w:cs="宋体"/>
                <w:sz w:val="24"/>
                <w:lang w:val="en-US" w:eastAsia="zh-CN"/>
              </w:rPr>
              <w:t>8</w:t>
            </w:r>
            <w:r>
              <w:rPr>
                <w:rFonts w:cs="宋体"/>
                <w:sz w:val="24"/>
              </w:rPr>
              <w:t>%</w:t>
            </w:r>
          </w:p>
        </w:tc>
        <w:tc>
          <w:tcPr>
            <w:tcW w:w="1522" w:type="dxa"/>
            <w:noWrap w:val="0"/>
            <w:vAlign w:val="center"/>
          </w:tcPr>
          <w:p>
            <w:pPr>
              <w:jc w:val="center"/>
              <w:rPr>
                <w:rFonts w:cs="宋体"/>
                <w:sz w:val="24"/>
              </w:rPr>
            </w:pPr>
            <w:r>
              <w:rPr>
                <w:rFonts w:cs="宋体"/>
                <w:sz w:val="24"/>
              </w:rPr>
              <w:t>业绩</w:t>
            </w:r>
            <w:r>
              <w:rPr>
                <w:rFonts w:hint="eastAsia" w:cs="宋体"/>
                <w:sz w:val="24"/>
                <w:lang w:val="en-US" w:eastAsia="zh-CN"/>
              </w:rPr>
              <w:t>8</w:t>
            </w:r>
            <w:r>
              <w:rPr>
                <w:rFonts w:cs="宋体"/>
                <w:sz w:val="24"/>
              </w:rPr>
              <w:t>分</w:t>
            </w:r>
          </w:p>
        </w:tc>
        <w:tc>
          <w:tcPr>
            <w:tcW w:w="5241" w:type="dxa"/>
            <w:noWrap w:val="0"/>
            <w:vAlign w:val="center"/>
          </w:tcPr>
          <w:p>
            <w:pPr>
              <w:pStyle w:val="2"/>
              <w:ind w:firstLine="240" w:firstLineChars="100"/>
              <w:rPr>
                <w:rFonts w:cs="宋体"/>
                <w:sz w:val="24"/>
              </w:rPr>
            </w:pPr>
            <w:r>
              <w:rPr>
                <w:rFonts w:cs="宋体"/>
                <w:sz w:val="24"/>
              </w:rPr>
              <w:t>1</w:t>
            </w:r>
            <w:r>
              <w:rPr>
                <w:rFonts w:hint="eastAsia" w:cs="宋体"/>
                <w:sz w:val="24"/>
                <w:lang w:eastAsia="zh-CN"/>
              </w:rPr>
              <w:t>、</w:t>
            </w:r>
            <w:r>
              <w:rPr>
                <w:rFonts w:cs="宋体"/>
                <w:sz w:val="24"/>
              </w:rPr>
              <w:t>2018年1月1日至投标截止之日</w:t>
            </w:r>
            <w:r>
              <w:rPr>
                <w:rFonts w:hint="eastAsia" w:cs="宋体"/>
                <w:sz w:val="24"/>
                <w:lang w:eastAsia="zh-CN"/>
              </w:rPr>
              <w:t>供应商</w:t>
            </w:r>
            <w:r>
              <w:rPr>
                <w:rFonts w:cs="宋体"/>
                <w:sz w:val="24"/>
              </w:rPr>
              <w:t>或所投产品制造商已完成一个教室光环境改造类似业绩的得</w:t>
            </w:r>
            <w:r>
              <w:rPr>
                <w:rFonts w:hint="eastAsia" w:cs="宋体"/>
                <w:sz w:val="24"/>
                <w:lang w:val="en-US" w:eastAsia="zh-CN"/>
              </w:rPr>
              <w:t>2</w:t>
            </w:r>
            <w:r>
              <w:rPr>
                <w:rFonts w:cs="宋体"/>
                <w:sz w:val="24"/>
              </w:rPr>
              <w:t>分，最多得</w:t>
            </w:r>
            <w:r>
              <w:rPr>
                <w:rFonts w:hint="eastAsia" w:cs="宋体"/>
                <w:sz w:val="24"/>
                <w:lang w:val="en-US" w:eastAsia="zh-CN"/>
              </w:rPr>
              <w:t>6</w:t>
            </w:r>
            <w:r>
              <w:rPr>
                <w:rFonts w:cs="宋体"/>
                <w:sz w:val="24"/>
              </w:rPr>
              <w:t>分。</w:t>
            </w:r>
          </w:p>
          <w:p>
            <w:pPr>
              <w:ind w:firstLine="240" w:firstLineChars="100"/>
              <w:rPr>
                <w:sz w:val="24"/>
              </w:rPr>
            </w:pPr>
            <w:r>
              <w:rPr>
                <w:sz w:val="24"/>
              </w:rPr>
              <w:t>2</w:t>
            </w:r>
            <w:r>
              <w:rPr>
                <w:rFonts w:hint="eastAsia"/>
                <w:sz w:val="24"/>
                <w:lang w:eastAsia="zh-CN"/>
              </w:rPr>
              <w:t>、</w:t>
            </w:r>
            <w:r>
              <w:rPr>
                <w:rFonts w:cs="宋体"/>
                <w:sz w:val="24"/>
              </w:rPr>
              <w:t>2018年1月1日至投标截止之日</w:t>
            </w:r>
            <w:r>
              <w:rPr>
                <w:rFonts w:hint="eastAsia" w:cs="宋体"/>
                <w:sz w:val="24"/>
                <w:lang w:eastAsia="zh-CN"/>
              </w:rPr>
              <w:t>供应商</w:t>
            </w:r>
            <w:r>
              <w:rPr>
                <w:rFonts w:cs="宋体"/>
                <w:sz w:val="24"/>
              </w:rPr>
              <w:t>或所投产品制造商</w:t>
            </w:r>
            <w:r>
              <w:rPr>
                <w:sz w:val="24"/>
              </w:rPr>
              <w:t>提供一个教室环境项目改造业绩的</w:t>
            </w:r>
            <w:r>
              <w:rPr>
                <w:rFonts w:cs="仿宋"/>
                <w:sz w:val="24"/>
              </w:rPr>
              <w:t>眩光值 (UGR)≤12</w:t>
            </w:r>
            <w:r>
              <w:rPr>
                <w:sz w:val="24"/>
              </w:rPr>
              <w:t>得2分。最多得2分。</w:t>
            </w:r>
          </w:p>
          <w:p>
            <w:pPr>
              <w:pStyle w:val="2"/>
              <w:ind w:firstLine="240" w:firstLineChars="100"/>
              <w:rPr>
                <w:rFonts w:cs="宋体"/>
                <w:sz w:val="24"/>
              </w:rPr>
            </w:pPr>
            <w:r>
              <w:rPr>
                <w:rFonts w:cs="宋体"/>
                <w:sz w:val="24"/>
              </w:rPr>
              <w:t>注：提供合同复印件</w:t>
            </w:r>
            <w:r>
              <w:rPr>
                <w:rFonts w:hint="eastAsia" w:cs="宋体"/>
                <w:sz w:val="24"/>
              </w:rPr>
              <w:t>或者</w:t>
            </w:r>
            <w:r>
              <w:rPr>
                <w:rFonts w:cs="宋体"/>
                <w:sz w:val="24"/>
              </w:rPr>
              <w:t>改造后的光环境检测报告加盖</w:t>
            </w:r>
            <w:r>
              <w:rPr>
                <w:rFonts w:hint="eastAsia" w:cs="宋体"/>
                <w:sz w:val="24"/>
                <w:lang w:eastAsia="zh-CN"/>
              </w:rPr>
              <w:t>供应商</w:t>
            </w:r>
            <w:r>
              <w:rPr>
                <w:rFonts w:cs="宋体"/>
                <w:sz w:val="24"/>
              </w:rPr>
              <w:t>公章。</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dxa"/>
            <w:vMerge w:val="restart"/>
            <w:noWrap w:val="0"/>
            <w:vAlign w:val="center"/>
          </w:tcPr>
          <w:p>
            <w:pPr>
              <w:jc w:val="center"/>
              <w:rPr>
                <w:rFonts w:cs="宋体"/>
                <w:sz w:val="24"/>
              </w:rPr>
            </w:pPr>
          </w:p>
          <w:p>
            <w:pPr>
              <w:jc w:val="center"/>
              <w:rPr>
                <w:rFonts w:cs="宋体"/>
                <w:sz w:val="24"/>
              </w:rPr>
            </w:pPr>
            <w:r>
              <w:rPr>
                <w:rFonts w:cs="宋体"/>
                <w:sz w:val="24"/>
              </w:rPr>
              <w:t>4</w:t>
            </w:r>
          </w:p>
        </w:tc>
        <w:tc>
          <w:tcPr>
            <w:tcW w:w="1157" w:type="dxa"/>
            <w:vMerge w:val="restart"/>
            <w:noWrap w:val="0"/>
            <w:vAlign w:val="center"/>
          </w:tcPr>
          <w:p>
            <w:pPr>
              <w:widowControl/>
              <w:spacing w:line="400" w:lineRule="exact"/>
              <w:ind w:firstLine="28"/>
              <w:jc w:val="center"/>
              <w:rPr>
                <w:rFonts w:cs="宋体"/>
                <w:sz w:val="24"/>
              </w:rPr>
            </w:pPr>
            <w:r>
              <w:rPr>
                <w:rFonts w:cs="宋体"/>
                <w:sz w:val="24"/>
              </w:rPr>
              <w:t>服务方案3</w:t>
            </w:r>
            <w:r>
              <w:rPr>
                <w:rFonts w:hint="eastAsia" w:cs="宋体"/>
                <w:sz w:val="24"/>
                <w:lang w:val="en-US" w:eastAsia="zh-CN"/>
              </w:rPr>
              <w:t>6</w:t>
            </w:r>
            <w:r>
              <w:rPr>
                <w:rFonts w:cs="宋体"/>
                <w:sz w:val="24"/>
              </w:rPr>
              <w:t>%</w:t>
            </w:r>
          </w:p>
        </w:tc>
        <w:tc>
          <w:tcPr>
            <w:tcW w:w="1522" w:type="dxa"/>
            <w:noWrap w:val="0"/>
            <w:vAlign w:val="center"/>
          </w:tcPr>
          <w:p>
            <w:pPr>
              <w:jc w:val="center"/>
              <w:rPr>
                <w:rFonts w:cs="宋体"/>
                <w:sz w:val="24"/>
              </w:rPr>
            </w:pPr>
            <w:r>
              <w:rPr>
                <w:rFonts w:cs="宋体"/>
                <w:sz w:val="24"/>
              </w:rPr>
              <w:t>设计方案</w:t>
            </w:r>
          </w:p>
          <w:p>
            <w:pPr>
              <w:jc w:val="center"/>
              <w:rPr>
                <w:rFonts w:cs="宋体"/>
                <w:sz w:val="24"/>
              </w:rPr>
            </w:pPr>
            <w:r>
              <w:rPr>
                <w:rFonts w:cs="宋体"/>
                <w:sz w:val="24"/>
              </w:rPr>
              <w:t>16分</w:t>
            </w:r>
          </w:p>
        </w:tc>
        <w:tc>
          <w:tcPr>
            <w:tcW w:w="5241" w:type="dxa"/>
            <w:noWrap w:val="0"/>
            <w:vAlign w:val="center"/>
          </w:tcPr>
          <w:p>
            <w:pPr>
              <w:ind w:firstLine="240" w:firstLineChars="100"/>
              <w:jc w:val="left"/>
              <w:rPr>
                <w:rFonts w:cs="宋体"/>
                <w:sz w:val="24"/>
              </w:rPr>
            </w:pPr>
            <w:r>
              <w:rPr>
                <w:rFonts w:hint="eastAsia" w:cs="宋体"/>
                <w:sz w:val="24"/>
                <w:lang w:eastAsia="zh-CN"/>
              </w:rPr>
              <w:t>供应商</w:t>
            </w:r>
            <w:r>
              <w:rPr>
                <w:rFonts w:cs="宋体"/>
                <w:sz w:val="24"/>
              </w:rPr>
              <w:t>根据本项目的采购需求、技术标准及要求编制普通教室、吊顶功能室专业照明设计方案含设计说明：①设计依据、②3D效果及点照度图、③</w:t>
            </w:r>
            <w:r>
              <w:rPr>
                <w:rFonts w:hint="eastAsia" w:cs="宋体"/>
                <w:sz w:val="24"/>
                <w:lang w:val="en-US" w:eastAsia="zh-CN"/>
              </w:rPr>
              <w:t>俯视图、侧视图、</w:t>
            </w:r>
            <w:bookmarkStart w:id="280" w:name="_GoBack"/>
            <w:bookmarkEnd w:id="280"/>
            <w:r>
              <w:rPr>
                <w:rFonts w:hint="eastAsia" w:ascii="宋体" w:hAnsi="宋体" w:eastAsia="宋体" w:cs="宋体"/>
                <w:sz w:val="24"/>
                <w:lang w:val="en-US" w:eastAsia="zh-CN"/>
              </w:rPr>
              <w:t>④</w:t>
            </w:r>
            <w:r>
              <w:rPr>
                <w:rFonts w:cs="宋体"/>
                <w:sz w:val="24"/>
              </w:rPr>
              <w:t>不同吊顶设计方案，完全满足采购需求、内容完善、针对性强得16分，每有一项内容缺失的扣4分，每有一项内容描述不完善、针对性不强的扣2分，本项最高得16分。</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center"/>
          </w:tcPr>
          <w:p>
            <w:pPr>
              <w:jc w:val="center"/>
              <w:rPr>
                <w:rFonts w:cs="宋体"/>
                <w:sz w:val="24"/>
              </w:rPr>
            </w:pPr>
          </w:p>
        </w:tc>
        <w:tc>
          <w:tcPr>
            <w:tcW w:w="1157" w:type="dxa"/>
            <w:vMerge w:val="continue"/>
            <w:noWrap w:val="0"/>
            <w:vAlign w:val="center"/>
          </w:tcPr>
          <w:p>
            <w:pPr>
              <w:widowControl/>
              <w:spacing w:line="400" w:lineRule="exact"/>
              <w:ind w:firstLine="28"/>
              <w:jc w:val="center"/>
              <w:rPr>
                <w:rFonts w:cs="宋体"/>
                <w:sz w:val="24"/>
              </w:rPr>
            </w:pPr>
          </w:p>
        </w:tc>
        <w:tc>
          <w:tcPr>
            <w:tcW w:w="1522" w:type="dxa"/>
            <w:noWrap w:val="0"/>
            <w:vAlign w:val="center"/>
          </w:tcPr>
          <w:p>
            <w:pPr>
              <w:jc w:val="center"/>
              <w:rPr>
                <w:rFonts w:cs="宋体"/>
                <w:sz w:val="24"/>
              </w:rPr>
            </w:pPr>
            <w:r>
              <w:rPr>
                <w:rFonts w:cs="宋体"/>
                <w:sz w:val="24"/>
              </w:rPr>
              <w:t>安装方案</w:t>
            </w:r>
          </w:p>
          <w:p>
            <w:pPr>
              <w:jc w:val="center"/>
              <w:rPr>
                <w:rFonts w:cs="宋体"/>
                <w:sz w:val="24"/>
              </w:rPr>
            </w:pPr>
            <w:r>
              <w:rPr>
                <w:rFonts w:hint="eastAsia" w:cs="宋体"/>
                <w:sz w:val="24"/>
                <w:lang w:val="en-US" w:eastAsia="zh-CN"/>
              </w:rPr>
              <w:t>12</w:t>
            </w:r>
            <w:r>
              <w:rPr>
                <w:rFonts w:cs="宋体"/>
                <w:sz w:val="24"/>
              </w:rPr>
              <w:t>分</w:t>
            </w:r>
          </w:p>
        </w:tc>
        <w:tc>
          <w:tcPr>
            <w:tcW w:w="5241" w:type="dxa"/>
            <w:noWrap w:val="0"/>
            <w:vAlign w:val="center"/>
          </w:tcPr>
          <w:p>
            <w:pPr>
              <w:ind w:firstLine="240" w:firstLineChars="100"/>
              <w:jc w:val="left"/>
              <w:rPr>
                <w:rFonts w:cs="宋体"/>
                <w:sz w:val="24"/>
              </w:rPr>
            </w:pPr>
            <w:r>
              <w:rPr>
                <w:rFonts w:hint="eastAsia" w:cs="宋体"/>
                <w:sz w:val="24"/>
                <w:lang w:eastAsia="zh-CN"/>
              </w:rPr>
              <w:t>供应商</w:t>
            </w:r>
            <w:r>
              <w:rPr>
                <w:rFonts w:cs="宋体"/>
                <w:sz w:val="24"/>
              </w:rPr>
              <w:t>根据本项目的采购需求、技术标准及要求编制安装方案：对①总体要求、②安装技术方案、③项目验收及检测方案、④质量控制措施、⑤安全管理方案、⑥应急方案进行详细阐述，内容完善、有针对性得</w:t>
            </w:r>
            <w:r>
              <w:rPr>
                <w:rFonts w:hint="eastAsia" w:cs="宋体"/>
                <w:sz w:val="24"/>
                <w:lang w:val="en-US" w:eastAsia="zh-CN"/>
              </w:rPr>
              <w:t>12</w:t>
            </w:r>
            <w:r>
              <w:rPr>
                <w:rFonts w:cs="宋体"/>
                <w:sz w:val="24"/>
              </w:rPr>
              <w:t>分，每有一项内容缺失的扣</w:t>
            </w:r>
            <w:r>
              <w:rPr>
                <w:rFonts w:hint="eastAsia" w:cs="宋体"/>
                <w:sz w:val="24"/>
                <w:lang w:val="en-US" w:eastAsia="zh-CN"/>
              </w:rPr>
              <w:t>2</w:t>
            </w:r>
            <w:r>
              <w:rPr>
                <w:rFonts w:cs="宋体"/>
                <w:sz w:val="24"/>
              </w:rPr>
              <w:t>分，每有一项内容描述不完善、针对性不强的扣</w:t>
            </w:r>
            <w:r>
              <w:rPr>
                <w:rFonts w:hint="eastAsia" w:cs="宋体"/>
                <w:sz w:val="24"/>
                <w:lang w:val="en-US" w:eastAsia="zh-CN"/>
              </w:rPr>
              <w:t>1</w:t>
            </w:r>
            <w:r>
              <w:rPr>
                <w:rFonts w:cs="宋体"/>
                <w:sz w:val="24"/>
              </w:rPr>
              <w:t>分，本项最高得</w:t>
            </w:r>
            <w:r>
              <w:rPr>
                <w:rFonts w:hint="eastAsia" w:cs="宋体"/>
                <w:sz w:val="24"/>
                <w:lang w:val="en-US" w:eastAsia="zh-CN"/>
              </w:rPr>
              <w:t>12</w:t>
            </w:r>
            <w:r>
              <w:rPr>
                <w:rFonts w:cs="宋体"/>
                <w:sz w:val="24"/>
              </w:rPr>
              <w:t>分。</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center"/>
          </w:tcPr>
          <w:p>
            <w:pPr>
              <w:jc w:val="center"/>
              <w:rPr>
                <w:rFonts w:cs="宋体"/>
                <w:sz w:val="24"/>
              </w:rPr>
            </w:pPr>
          </w:p>
        </w:tc>
        <w:tc>
          <w:tcPr>
            <w:tcW w:w="1157" w:type="dxa"/>
            <w:vMerge w:val="continue"/>
            <w:noWrap w:val="0"/>
            <w:vAlign w:val="center"/>
          </w:tcPr>
          <w:p>
            <w:pPr>
              <w:widowControl/>
              <w:spacing w:line="400" w:lineRule="exact"/>
              <w:ind w:firstLine="28"/>
              <w:jc w:val="center"/>
              <w:rPr>
                <w:rFonts w:cs="宋体"/>
                <w:sz w:val="24"/>
              </w:rPr>
            </w:pPr>
          </w:p>
        </w:tc>
        <w:tc>
          <w:tcPr>
            <w:tcW w:w="1522" w:type="dxa"/>
            <w:noWrap w:val="0"/>
            <w:vAlign w:val="center"/>
          </w:tcPr>
          <w:p>
            <w:pPr>
              <w:jc w:val="center"/>
              <w:rPr>
                <w:rFonts w:hint="eastAsia" w:eastAsia="宋体" w:cs="宋体"/>
                <w:sz w:val="24"/>
                <w:lang w:eastAsia="zh-CN"/>
              </w:rPr>
            </w:pPr>
            <w:r>
              <w:rPr>
                <w:rFonts w:cs="宋体"/>
                <w:sz w:val="24"/>
              </w:rPr>
              <w:t>售后服务方案</w:t>
            </w:r>
            <w:r>
              <w:rPr>
                <w:rFonts w:hint="eastAsia" w:cs="宋体"/>
                <w:sz w:val="24"/>
                <w:lang w:val="en-US" w:eastAsia="zh-CN"/>
              </w:rPr>
              <w:t>8</w:t>
            </w:r>
          </w:p>
        </w:tc>
        <w:tc>
          <w:tcPr>
            <w:tcW w:w="5241" w:type="dxa"/>
            <w:noWrap w:val="0"/>
            <w:vAlign w:val="center"/>
          </w:tcPr>
          <w:p>
            <w:pPr>
              <w:ind w:firstLine="240" w:firstLineChars="100"/>
              <w:jc w:val="left"/>
              <w:rPr>
                <w:rFonts w:cs="宋体"/>
                <w:sz w:val="24"/>
              </w:rPr>
            </w:pPr>
            <w:r>
              <w:rPr>
                <w:rFonts w:hint="eastAsia" w:cs="宋体"/>
                <w:sz w:val="24"/>
                <w:lang w:eastAsia="zh-CN"/>
              </w:rPr>
              <w:t>供应商</w:t>
            </w:r>
            <w:r>
              <w:rPr>
                <w:rFonts w:cs="宋体"/>
                <w:sz w:val="24"/>
              </w:rPr>
              <w:t>根据本项目的采购需求、技术标准及要求编制售后服务方案：对①售后服务流程、②售后服务人员安排、③售后服务承诺、④有利于本项目售后服务实施的建议进行详细阐述，内容完善、有针对性得</w:t>
            </w:r>
            <w:r>
              <w:rPr>
                <w:rFonts w:hint="eastAsia" w:cs="宋体"/>
                <w:sz w:val="24"/>
                <w:lang w:val="en-US" w:eastAsia="zh-CN"/>
              </w:rPr>
              <w:t>8</w:t>
            </w:r>
            <w:r>
              <w:rPr>
                <w:rFonts w:cs="宋体"/>
                <w:sz w:val="24"/>
              </w:rPr>
              <w:t>分，每有一项内容缺失的扣2分，每有一项内容描述不完善、针对性不强的扣1分，本项最高得</w:t>
            </w:r>
            <w:r>
              <w:rPr>
                <w:rFonts w:hint="eastAsia" w:cs="宋体"/>
                <w:sz w:val="24"/>
                <w:lang w:val="en-US" w:eastAsia="zh-CN"/>
              </w:rPr>
              <w:t>8</w:t>
            </w:r>
            <w:r>
              <w:rPr>
                <w:rFonts w:cs="宋体"/>
                <w:sz w:val="24"/>
              </w:rPr>
              <w:t>分。</w:t>
            </w:r>
          </w:p>
        </w:tc>
        <w:tc>
          <w:tcPr>
            <w:tcW w:w="1315" w:type="dxa"/>
            <w:noWrap w:val="0"/>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jc w:val="center"/>
              <w:rPr>
                <w:rFonts w:cs="宋体"/>
                <w:sz w:val="24"/>
              </w:rPr>
            </w:pPr>
            <w:r>
              <w:rPr>
                <w:rFonts w:cs="宋体"/>
                <w:sz w:val="24"/>
              </w:rPr>
              <w:t>5</w:t>
            </w:r>
          </w:p>
        </w:tc>
        <w:tc>
          <w:tcPr>
            <w:tcW w:w="1157" w:type="dxa"/>
            <w:noWrap w:val="0"/>
            <w:vAlign w:val="center"/>
          </w:tcPr>
          <w:p>
            <w:pPr>
              <w:widowControl/>
              <w:spacing w:line="400" w:lineRule="exact"/>
              <w:ind w:firstLine="28"/>
              <w:jc w:val="center"/>
              <w:rPr>
                <w:rFonts w:cs="宋体"/>
                <w:sz w:val="24"/>
              </w:rPr>
            </w:pPr>
            <w:r>
              <w:rPr>
                <w:rFonts w:cs="宋体"/>
                <w:sz w:val="24"/>
              </w:rPr>
              <w:t>节能、环境标志产品1%</w:t>
            </w:r>
          </w:p>
        </w:tc>
        <w:tc>
          <w:tcPr>
            <w:tcW w:w="1522" w:type="dxa"/>
            <w:noWrap w:val="0"/>
            <w:vAlign w:val="center"/>
          </w:tcPr>
          <w:p>
            <w:pPr>
              <w:jc w:val="center"/>
              <w:rPr>
                <w:rFonts w:cs="宋体"/>
                <w:sz w:val="24"/>
              </w:rPr>
            </w:pPr>
            <w:r>
              <w:rPr>
                <w:rFonts w:cs="宋体"/>
                <w:sz w:val="24"/>
              </w:rPr>
              <w:t>节能、环境标志产品1分</w:t>
            </w:r>
          </w:p>
        </w:tc>
        <w:tc>
          <w:tcPr>
            <w:tcW w:w="5241" w:type="dxa"/>
            <w:noWrap w:val="0"/>
            <w:vAlign w:val="center"/>
          </w:tcPr>
          <w:p>
            <w:pPr>
              <w:ind w:firstLine="240" w:firstLineChars="100"/>
              <w:jc w:val="left"/>
              <w:rPr>
                <w:rFonts w:cs="宋体"/>
                <w:sz w:val="24"/>
              </w:rPr>
            </w:pPr>
            <w:r>
              <w:rPr>
                <w:rFonts w:cs="宋体"/>
                <w:sz w:val="24"/>
              </w:rPr>
              <w:t>投标产品中属于国家优先采购范围的，则每有一项为政府采购节能产品或者环境标志产品、无线局域网产品的得 0.5分，非政府采购节能、环境标志产品、无线局域网产品的不得分。本项最多得1分。</w:t>
            </w:r>
          </w:p>
          <w:p>
            <w:pPr>
              <w:ind w:firstLine="240" w:firstLineChars="100"/>
              <w:jc w:val="left"/>
              <w:rPr>
                <w:rFonts w:cs="宋体"/>
                <w:sz w:val="24"/>
              </w:rPr>
            </w:pPr>
            <w:r>
              <w:rPr>
                <w:rFonts w:cs="宋体"/>
                <w:sz w:val="24"/>
              </w:rPr>
              <w:t>注：按照《关于调整优化节能产品、环境标志产品政府采购执行机制的通知》（财库〔2019〕9 号）、《关于印发环境标志产品政府采购品目清单的通知》财库〔2019〕18号、《关于印发节能产品政府采购品目清单的通知》财库〔2019〕19号的规定，属于政府优先采购的品目清单范围的，</w:t>
            </w:r>
            <w:r>
              <w:rPr>
                <w:rFonts w:hint="eastAsia" w:cs="宋体"/>
                <w:sz w:val="24"/>
                <w:lang w:eastAsia="zh-CN"/>
              </w:rPr>
              <w:t>供应商</w:t>
            </w:r>
            <w:r>
              <w:rPr>
                <w:rFonts w:cs="宋体"/>
                <w:sz w:val="24"/>
              </w:rPr>
              <w:t>应当在文件中提供国家确定的认证机构的认证结果信息发布平台公布的该产品认证信息截图或者打印资料，或者在有效期内的认证证书复印件并加盖供</w:t>
            </w:r>
            <w:r>
              <w:rPr>
                <w:rFonts w:hint="eastAsia" w:cs="宋体"/>
                <w:sz w:val="24"/>
                <w:lang w:eastAsia="zh-CN"/>
              </w:rPr>
              <w:t>供应商</w:t>
            </w:r>
            <w:r>
              <w:rPr>
                <w:rFonts w:cs="宋体"/>
                <w:sz w:val="24"/>
              </w:rPr>
              <w:t>公章。</w:t>
            </w:r>
          </w:p>
        </w:tc>
        <w:tc>
          <w:tcPr>
            <w:tcW w:w="1315" w:type="dxa"/>
            <w:noWrap w:val="0"/>
            <w:vAlign w:val="center"/>
          </w:tcPr>
          <w:p>
            <w:pPr>
              <w:jc w:val="center"/>
              <w:rPr>
                <w:rFonts w:cs="宋体"/>
                <w:sz w:val="24"/>
              </w:rPr>
            </w:pPr>
          </w:p>
        </w:tc>
      </w:tr>
    </w:tbl>
    <w:p>
      <w:pPr>
        <w:spacing w:line="360" w:lineRule="auto"/>
        <w:rPr>
          <w:rFonts w:ascii="宋体" w:hAnsi="宋体" w:cs="宋体"/>
          <w:b/>
          <w:color w:val="auto"/>
          <w:sz w:val="24"/>
          <w:highlight w:val="none"/>
        </w:rPr>
      </w:pPr>
      <w:r>
        <w:rPr>
          <w:rFonts w:hint="eastAsia" w:ascii="宋体" w:hAnsi="宋体" w:cs="宋体"/>
          <w:b/>
          <w:bCs/>
          <w:color w:val="auto"/>
          <w:sz w:val="24"/>
          <w:highlight w:val="none"/>
        </w:rPr>
        <w:t>注：本表中要求提供各类证明材料，均需加盖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单位公章，否则将不认可该项材料的有效性。评分的取值按四舍五入法，保留小数点后两位。</w:t>
      </w:r>
      <w:bookmarkEnd w:id="206"/>
      <w:bookmarkEnd w:id="207"/>
      <w:bookmarkEnd w:id="208"/>
      <w:bookmarkEnd w:id="209"/>
    </w:p>
    <w:p>
      <w:pPr>
        <w:tabs>
          <w:tab w:val="left" w:pos="851"/>
        </w:tabs>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4.磋商纪律及注意事项</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4.3对各供应商的商业秘密，磋商小组成员应予以保密，不得泄露给其他供应商。</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 磋商小组独立评判，推荐成交候选人，并写出书面报告。</w:t>
      </w:r>
    </w:p>
    <w:p>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 磋商小组可根据需要对供应商进行实地考察。</w:t>
      </w:r>
    </w:p>
    <w:p>
      <w:pPr>
        <w:tabs>
          <w:tab w:val="left" w:pos="7665"/>
        </w:tabs>
        <w:spacing w:line="360" w:lineRule="auto"/>
        <w:ind w:firstLine="482" w:firstLineChars="200"/>
        <w:outlineLvl w:val="1"/>
        <w:rPr>
          <w:rFonts w:ascii="宋体" w:hAnsi="宋体" w:cs="宋体"/>
          <w:b/>
          <w:color w:val="auto"/>
          <w:sz w:val="24"/>
          <w:highlight w:val="none"/>
        </w:rPr>
      </w:pPr>
      <w:r>
        <w:rPr>
          <w:rFonts w:hint="eastAsia" w:ascii="宋体" w:hAnsi="宋体" w:cs="宋体"/>
          <w:b/>
          <w:bCs/>
          <w:color w:val="auto"/>
          <w:sz w:val="24"/>
          <w:highlight w:val="none"/>
        </w:rPr>
        <w:t>5.</w:t>
      </w:r>
      <w:bookmarkEnd w:id="210"/>
      <w:r>
        <w:rPr>
          <w:rFonts w:hint="eastAsia" w:ascii="宋体" w:hAnsi="宋体" w:cs="宋体"/>
          <w:b/>
          <w:color w:val="auto"/>
          <w:sz w:val="24"/>
          <w:highlight w:val="none"/>
        </w:rPr>
        <w:t>磋商小组在政府采购活动中承担以下义务</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（一）遵守评审工作纪律；</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（六）及时向财政、监察等部门举报在评审过程中受到非法干预的情况；</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（七）配合答复处理供应商的询问、质疑和投诉等事项；</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（八）法律、法规和规章规定的其他义务。</w:t>
      </w:r>
    </w:p>
    <w:p>
      <w:pPr>
        <w:tabs>
          <w:tab w:val="left" w:pos="7665"/>
        </w:tabs>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6.评审专家在政府采购活动中应当遵守以下工作纪律</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（二）评审前，应当将通讯工具或者相关电子设备交由采购代理机构统一保管；</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（六）评审现场服从采购代理机构工作人员的管理，接受现场监督人员的合法监督；</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（七）遵守有关廉洁自律规定，不得私下接触供应商，不得收受供应商及有关业务单位和个人的财物或好处，不得接受采购代理机构的请托。</w:t>
      </w:r>
    </w:p>
    <w:p>
      <w:pPr>
        <w:pStyle w:val="38"/>
        <w:rPr>
          <w:rFonts w:hAnsi="宋体"/>
          <w:color w:val="auto"/>
          <w:highlight w:val="none"/>
        </w:rPr>
      </w:pPr>
    </w:p>
    <w:p>
      <w:pPr>
        <w:pStyle w:val="3"/>
        <w:jc w:val="center"/>
        <w:rPr>
          <w:rFonts w:hint="eastAsia"/>
          <w:color w:val="auto"/>
          <w:highlight w:val="none"/>
        </w:rPr>
        <w:sectPr>
          <w:footerReference r:id="rId11" w:type="default"/>
          <w:pgSz w:w="11850" w:h="16783"/>
          <w:pgMar w:top="1440" w:right="1800" w:bottom="1440" w:left="1800" w:header="851" w:footer="992" w:gutter="0"/>
          <w:cols w:space="720" w:num="1"/>
          <w:docGrid w:type="lines" w:linePitch="312" w:charSpace="0"/>
        </w:sectPr>
      </w:pPr>
      <w:bookmarkStart w:id="252" w:name="_Toc32258"/>
    </w:p>
    <w:p>
      <w:pPr>
        <w:pStyle w:val="3"/>
        <w:jc w:val="center"/>
        <w:rPr>
          <w:rFonts w:hint="eastAsia"/>
          <w:color w:val="auto"/>
          <w:highlight w:val="none"/>
        </w:rPr>
      </w:pPr>
      <w:r>
        <w:rPr>
          <w:rFonts w:hint="eastAsia"/>
          <w:color w:val="auto"/>
          <w:highlight w:val="none"/>
        </w:rPr>
        <w:t>第八章  政府采购合同</w:t>
      </w:r>
      <w:bookmarkEnd w:id="114"/>
      <w:bookmarkEnd w:id="115"/>
      <w:bookmarkEnd w:id="116"/>
      <w:bookmarkEnd w:id="252"/>
      <w:bookmarkStart w:id="253" w:name="_Hlt101846155"/>
      <w:bookmarkEnd w:id="253"/>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合同编号：XXXX。</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签订地点：XXXX。</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采购人（甲方）：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供应商（乙方）：                                                                     </w:t>
      </w:r>
    </w:p>
    <w:p>
      <w:pPr>
        <w:spacing w:line="440" w:lineRule="exact"/>
        <w:rPr>
          <w:rFonts w:hint="eastAsia" w:ascii="宋体" w:hAnsi="宋体" w:eastAsia="宋体" w:cs="宋体"/>
          <w:sz w:val="24"/>
          <w:szCs w:val="24"/>
        </w:rPr>
      </w:pP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合同法》及XXXX采购项目（项目编号：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54" w:name="_Toc6625"/>
      <w:bookmarkStart w:id="255" w:name="_Toc217446107"/>
      <w:r>
        <w:rPr>
          <w:rFonts w:hint="eastAsia" w:ascii="宋体" w:hAnsi="宋体" w:eastAsia="宋体" w:cs="宋体"/>
          <w:sz w:val="24"/>
          <w:szCs w:val="24"/>
        </w:rPr>
        <w:t>一、合同货物</w:t>
      </w:r>
      <w:bookmarkEnd w:id="254"/>
      <w:bookmarkEnd w:id="255"/>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086"/>
        <w:gridCol w:w="735"/>
        <w:gridCol w:w="925"/>
        <w:gridCol w:w="1111"/>
        <w:gridCol w:w="1219"/>
        <w:gridCol w:w="1296"/>
        <w:gridCol w:w="1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货物品名</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单价</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总价</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随机</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配件</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 </w:t>
            </w:r>
          </w:p>
        </w:tc>
      </w:tr>
    </w:tbl>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56" w:name="_Toc217446108"/>
      <w:bookmarkStart w:id="257" w:name="_Toc32679"/>
      <w:bookmarkStart w:id="258" w:name="_Toc10058"/>
      <w:r>
        <w:rPr>
          <w:rFonts w:hint="eastAsia" w:ascii="宋体" w:hAnsi="宋体" w:eastAsia="宋体" w:cs="宋体"/>
          <w:sz w:val="24"/>
          <w:szCs w:val="24"/>
        </w:rPr>
        <w:t>二、合同总价</w:t>
      </w:r>
      <w:bookmarkEnd w:id="256"/>
      <w:bookmarkEnd w:id="257"/>
      <w:bookmarkEnd w:id="258"/>
    </w:p>
    <w:p>
      <w:pPr>
        <w:pStyle w:val="9"/>
        <w:spacing w:line="440" w:lineRule="exact"/>
        <w:ind w:firstLineChars="175"/>
        <w:jc w:val="left"/>
        <w:rPr>
          <w:rFonts w:hint="eastAsia" w:ascii="宋体" w:hAnsi="宋体" w:eastAsia="宋体" w:cs="宋体"/>
          <w:sz w:val="24"/>
        </w:rPr>
      </w:pPr>
      <w:r>
        <w:rPr>
          <w:rFonts w:hint="eastAsia" w:ascii="宋体" w:hAnsi="宋体" w:eastAsia="宋体" w:cs="宋体"/>
          <w:sz w:val="24"/>
        </w:rPr>
        <w:t>合同总价为人民币大写：</w:t>
      </w:r>
      <w:r>
        <w:rPr>
          <w:rFonts w:hint="eastAsia" w:ascii="宋体" w:hAnsi="宋体" w:eastAsia="宋体" w:cs="宋体"/>
          <w:sz w:val="24"/>
          <w:u w:val="single"/>
        </w:rPr>
        <w:t xml:space="preserve">                </w:t>
      </w:r>
      <w:r>
        <w:rPr>
          <w:rFonts w:hint="eastAsia" w:ascii="宋体" w:hAnsi="宋体" w:eastAsia="宋体" w:cs="宋体"/>
          <w:sz w:val="24"/>
        </w:rPr>
        <w:t>元，即RMB￥</w:t>
      </w:r>
      <w:r>
        <w:rPr>
          <w:rFonts w:hint="eastAsia" w:ascii="宋体" w:hAnsi="宋体" w:eastAsia="宋体" w:cs="宋体"/>
          <w:sz w:val="24"/>
          <w:u w:val="single"/>
        </w:rPr>
        <w:t xml:space="preserve">        </w:t>
      </w:r>
      <w:r>
        <w:rPr>
          <w:rFonts w:hint="eastAsia"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59" w:name="_Toc22064"/>
      <w:bookmarkStart w:id="260" w:name="_Toc217446109"/>
      <w:bookmarkStart w:id="261" w:name="_Toc19859"/>
      <w:r>
        <w:rPr>
          <w:rFonts w:hint="eastAsia" w:ascii="宋体" w:hAnsi="宋体" w:eastAsia="宋体" w:cs="宋体"/>
          <w:sz w:val="24"/>
          <w:szCs w:val="24"/>
        </w:rPr>
        <w:t>三、质量要求</w:t>
      </w:r>
      <w:bookmarkEnd w:id="259"/>
      <w:bookmarkEnd w:id="260"/>
      <w:bookmarkEnd w:id="261"/>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1、乙方须提供全新的货物（含零部件、配件等），表面无划伤、无碰撞痕迹，且权属清楚，不得侵害他人的知识产权。</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2、货物必须符合或优于国家（行业）</w:t>
      </w:r>
      <w:r>
        <w:rPr>
          <w:rFonts w:hint="eastAsia" w:ascii="宋体" w:hAnsi="宋体" w:eastAsia="宋体" w:cs="宋体"/>
          <w:sz w:val="24"/>
          <w:szCs w:val="24"/>
          <w:u w:val="single"/>
        </w:rPr>
        <w:t xml:space="preserve">          </w:t>
      </w:r>
      <w:r>
        <w:rPr>
          <w:rFonts w:hint="eastAsia" w:ascii="宋体" w:hAnsi="宋体" w:eastAsia="宋体" w:cs="宋体"/>
          <w:sz w:val="24"/>
          <w:szCs w:val="24"/>
        </w:rPr>
        <w:t>标准，以及本项目招标文件的质量要求和技术指标与出厂标准。</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3、乙方须在本合同签订之日起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日内送交货物成品样品给甲方确认，在甲方出具样品确认书并封存成品样品外观尺寸后，乙方才能按样生产，并以此样品作为验收样品；每台货物上均应有产品质量检验合格标志。</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4、货物制造质量出现问题，乙方应负责三包（包修、包换、包退），费用由乙方负担，甲方有权到乙方生产场地检查货物质量和生产进度。</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5、货到现场后由于甲方保管不当造成的质量问题，乙方亦应负责修理，但费用由甲方负担。</w:t>
      </w:r>
    </w:p>
    <w:p>
      <w:pPr>
        <w:pStyle w:val="83"/>
        <w:spacing w:line="440" w:lineRule="exact"/>
        <w:ind w:firstLine="48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6、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供应商承担。</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62" w:name="_Toc31432"/>
      <w:bookmarkStart w:id="263" w:name="_Toc217446110"/>
      <w:bookmarkStart w:id="264" w:name="_Toc32024"/>
      <w:r>
        <w:rPr>
          <w:rFonts w:hint="eastAsia" w:ascii="宋体" w:hAnsi="宋体" w:eastAsia="宋体" w:cs="宋体"/>
          <w:sz w:val="24"/>
          <w:szCs w:val="24"/>
        </w:rPr>
        <w:t>四、交货及验收</w:t>
      </w:r>
      <w:bookmarkEnd w:id="262"/>
      <w:bookmarkEnd w:id="263"/>
      <w:bookmarkEnd w:id="264"/>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乙方交货期限为合同签订生效后的XX日内，在合同签订生效之日起XX天内交货到甲方指定地点，随即完成安装调试验收合格交付使用(如由于采购人的原因造成合同延迟签订或验收的，时间顺延)。交货验收时须提供产品质检部门从同类产品中抽样检查合格的检测报告。</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2、验收由甲方组织，乙方配合进行：</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 货物在乙方通知安装调试完毕后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日内初步验收。初步验收合格后，进入</w:t>
      </w:r>
      <w:r>
        <w:rPr>
          <w:rFonts w:hint="eastAsia" w:ascii="宋体" w:hAnsi="宋体" w:eastAsia="宋体" w:cs="宋体"/>
          <w:sz w:val="24"/>
          <w:szCs w:val="24"/>
          <w:u w:val="single"/>
        </w:rPr>
        <w:t xml:space="preserve">    </w:t>
      </w:r>
      <w:r>
        <w:rPr>
          <w:rFonts w:hint="eastAsia" w:ascii="宋体" w:hAnsi="宋体" w:eastAsia="宋体" w:cs="宋体"/>
          <w:sz w:val="24"/>
          <w:szCs w:val="24"/>
        </w:rPr>
        <w:t>试用期；试用期间发生重大质量问题，修复后试用相应顺延；试用期结束后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日内完成最终验收；</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(4) 如质量验收合格，双方签署质量验收报告。</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3、货物安装完成后</w:t>
      </w:r>
      <w:r>
        <w:rPr>
          <w:rFonts w:hint="eastAsia" w:ascii="宋体" w:hAnsi="宋体" w:eastAsia="宋体" w:cs="宋体"/>
          <w:sz w:val="24"/>
          <w:szCs w:val="24"/>
          <w:u w:val="single"/>
        </w:rPr>
        <w:t xml:space="preserve">     </w:t>
      </w:r>
      <w:r>
        <w:rPr>
          <w:rFonts w:hint="eastAsia" w:ascii="宋体" w:hAnsi="宋体" w:eastAsia="宋体" w:cs="宋体"/>
          <w:sz w:val="24"/>
          <w:szCs w:val="24"/>
        </w:rPr>
        <w:t>日内，甲方无故不进行验收工作并已使用货物的，视同已安装调试完成并验收合格。</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5、如货物经乙方</w:t>
      </w:r>
      <w:r>
        <w:rPr>
          <w:rFonts w:hint="eastAsia" w:ascii="宋体" w:hAnsi="宋体" w:eastAsia="宋体" w:cs="宋体"/>
          <w:sz w:val="24"/>
          <w:szCs w:val="24"/>
          <w:u w:val="single"/>
        </w:rPr>
        <w:t xml:space="preserve">   </w:t>
      </w:r>
      <w:r>
        <w:rPr>
          <w:rFonts w:hint="eastAsia" w:ascii="宋体" w:hAnsi="宋体" w:eastAsia="宋体" w:cs="宋体"/>
          <w:sz w:val="24"/>
          <w:szCs w:val="24"/>
        </w:rPr>
        <w:t>次维修仍不能达到合同约定的质量标准，甲方有权退货，并视作乙方不能交付货物而须支付违约赔偿金给甲方，甲方还可依法追究乙方的违约责任。 </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6、其他未尽事宜应严格按照《财政部关于进一步加强政府采购需求和履约验收管理的指导意见》(财库〔2016〕205 号)的要求进行。</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65" w:name="_Toc1158"/>
      <w:bookmarkStart w:id="266" w:name="_Toc12337"/>
      <w:bookmarkStart w:id="267" w:name="_Toc217446111"/>
      <w:r>
        <w:rPr>
          <w:rFonts w:hint="eastAsia" w:ascii="宋体" w:hAnsi="宋体" w:eastAsia="宋体" w:cs="宋体"/>
          <w:sz w:val="24"/>
          <w:szCs w:val="24"/>
        </w:rPr>
        <w:t>五、付款方式</w:t>
      </w:r>
      <w:bookmarkEnd w:id="265"/>
      <w:bookmarkEnd w:id="266"/>
      <w:bookmarkEnd w:id="267"/>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（一）适用于无预付款采购项目</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1、全部货物安装调试完毕并验收合格之日起，甲方接到乙方通知与票据凭证资料以后的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日内，按照财政性资金支付有关规定，向乙方支付合同价款￥</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2、履约保证金退还：在货物验收合格满</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日内，递交结算凭证资料给银行并由其向乙方支付价款￥</w:t>
      </w:r>
      <w:r>
        <w:rPr>
          <w:rFonts w:hint="eastAsia" w:ascii="宋体" w:hAnsi="宋体" w:eastAsia="宋体" w:cs="宋体"/>
          <w:sz w:val="24"/>
          <w:szCs w:val="24"/>
          <w:u w:val="single"/>
        </w:rPr>
        <w:t xml:space="preserve">      </w:t>
      </w:r>
      <w:r>
        <w:rPr>
          <w:rFonts w:hint="eastAsia" w:ascii="宋体" w:hAnsi="宋体" w:eastAsia="宋体" w:cs="宋体"/>
          <w:sz w:val="24"/>
          <w:szCs w:val="24"/>
        </w:rPr>
        <w:t>元， 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元整；乙方履约不合格的，履约保证金不予退还。</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3、乙方须向甲方出具合法有效完整的完税发票及凭证资料进行支付结算。</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（二）适用于有预付款采购项目（预付款建议不超过政府采购合同金额的30%）</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1、甲方在本合同签订生效之日起接到乙方通知和票据凭证资料以及乙方交给甲方的合同履约保证金（按合同总价的百分之  计算款额￥</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日内支付合同金额百分之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的价款；</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2、全部货物安装调试完毕并验收合格之日起，甲方接到乙方通知与票据凭证资料以后的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日内，提交支付凭证资料给</w:t>
      </w:r>
      <w:r>
        <w:rPr>
          <w:rFonts w:hint="eastAsia" w:ascii="宋体" w:hAnsi="宋体" w:eastAsia="宋体" w:cs="宋体"/>
          <w:sz w:val="24"/>
          <w:szCs w:val="24"/>
          <w:u w:val="single"/>
        </w:rPr>
        <w:t xml:space="preserve">       </w:t>
      </w:r>
      <w:r>
        <w:rPr>
          <w:rFonts w:hint="eastAsia" w:ascii="宋体" w:hAnsi="宋体" w:eastAsia="宋体" w:cs="宋体"/>
          <w:sz w:val="24"/>
          <w:szCs w:val="24"/>
        </w:rPr>
        <w:t>财政国库支付执行机构办理财政国库支付手续，并由其向乙方核拨合同总价的百分之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款项：￥</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3、履约保证金退还：在货物验收合格满</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日内，递交结算凭证资料给银行并由其向乙方支付价款￥</w:t>
      </w:r>
      <w:r>
        <w:rPr>
          <w:rFonts w:hint="eastAsia" w:ascii="宋体" w:hAnsi="宋体" w:eastAsia="宋体" w:cs="宋体"/>
          <w:sz w:val="24"/>
          <w:szCs w:val="24"/>
          <w:u w:val="single"/>
        </w:rPr>
        <w:t xml:space="preserve">      </w:t>
      </w:r>
      <w:r>
        <w:rPr>
          <w:rFonts w:hint="eastAsia" w:ascii="宋体" w:hAnsi="宋体" w:eastAsia="宋体" w:cs="宋体"/>
          <w:sz w:val="24"/>
          <w:szCs w:val="24"/>
        </w:rPr>
        <w:t>元， 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元整；乙方履约不合格的，履约保证金不予退还。</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4、乙方须向甲方出具合法有效完整的完税发票及凭证资料进行支付结算。</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68" w:name="_Toc4875"/>
      <w:bookmarkStart w:id="269" w:name="_Toc217446112"/>
      <w:bookmarkStart w:id="270" w:name="_Toc29950"/>
      <w:r>
        <w:rPr>
          <w:rFonts w:hint="eastAsia" w:ascii="宋体" w:hAnsi="宋体" w:eastAsia="宋体" w:cs="宋体"/>
          <w:sz w:val="24"/>
          <w:szCs w:val="24"/>
        </w:rPr>
        <w:t>六、售后服务</w:t>
      </w:r>
      <w:bookmarkEnd w:id="268"/>
      <w:bookmarkEnd w:id="269"/>
      <w:bookmarkEnd w:id="270"/>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1、质保期为验收合格后XX年，质保期内出现质量问题，乙方在接到通知后</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小时内响应到场，</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小时内完成维修或更换，并承担修理调换的费用；如货物经乙方</w:t>
      </w:r>
      <w:r>
        <w:rPr>
          <w:rFonts w:hint="eastAsia" w:ascii="宋体" w:hAnsi="宋体" w:eastAsia="宋体" w:cs="宋体"/>
          <w:sz w:val="24"/>
          <w:szCs w:val="24"/>
          <w:u w:val="single"/>
        </w:rPr>
        <w:t xml:space="preserve">   </w:t>
      </w:r>
      <w:r>
        <w:rPr>
          <w:rFonts w:hint="eastAsia" w:ascii="宋体" w:hAnsi="宋体" w:eastAsia="宋体" w:cs="宋体"/>
          <w:sz w:val="24"/>
          <w:szCs w:val="24"/>
        </w:rPr>
        <w:t>次维修仍不能达到本合同约定的质量标准，视作乙方未能按时交货，甲方有权退货并追究乙方的违约责任。货到现场后由于甲方保管不当造成的问题，乙方亦应负责修复，但费用由甲方负担。</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2、乙方须指派专人负责与甲方联系售后服务事宜。 </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71" w:name="_Toc217446113"/>
      <w:bookmarkStart w:id="272" w:name="_Toc29356"/>
      <w:bookmarkStart w:id="273" w:name="_Toc24003"/>
      <w:r>
        <w:rPr>
          <w:rFonts w:hint="eastAsia" w:ascii="宋体" w:hAnsi="宋体" w:eastAsia="宋体" w:cs="宋体"/>
          <w:sz w:val="24"/>
          <w:szCs w:val="24"/>
        </w:rPr>
        <w:t>七、违约责任</w:t>
      </w:r>
      <w:bookmarkEnd w:id="271"/>
      <w:bookmarkEnd w:id="272"/>
      <w:bookmarkEnd w:id="273"/>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1、甲方违约责任</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 甲方无正当理由拒收货物的，甲方应偿付合同总价百分之  的违约金；</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 甲方逾期支付货款的，除应及时付足货款外，应向乙方偿付欠款总额万分之</w:t>
      </w:r>
      <w:r>
        <w:rPr>
          <w:rFonts w:hint="eastAsia" w:ascii="宋体" w:hAnsi="宋体" w:eastAsia="宋体" w:cs="宋体"/>
          <w:sz w:val="24"/>
          <w:szCs w:val="24"/>
          <w:u w:val="single"/>
        </w:rPr>
        <w:t xml:space="preserve">   </w:t>
      </w:r>
      <w:r>
        <w:rPr>
          <w:rFonts w:hint="eastAsia" w:ascii="宋体" w:hAnsi="宋体" w:eastAsia="宋体" w:cs="宋体"/>
          <w:sz w:val="24"/>
          <w:szCs w:val="24"/>
        </w:rPr>
        <w:t>/天的违约金；逾期付款超过</w:t>
      </w:r>
      <w:r>
        <w:rPr>
          <w:rFonts w:hint="eastAsia" w:ascii="宋体" w:hAnsi="宋体" w:eastAsia="宋体" w:cs="宋体"/>
          <w:sz w:val="24"/>
          <w:szCs w:val="24"/>
          <w:u w:val="single"/>
        </w:rPr>
        <w:t xml:space="preserve">  </w:t>
      </w:r>
      <w:r>
        <w:rPr>
          <w:rFonts w:hint="eastAsia" w:ascii="宋体" w:hAnsi="宋体" w:eastAsia="宋体" w:cs="宋体"/>
          <w:sz w:val="24"/>
          <w:szCs w:val="24"/>
        </w:rPr>
        <w:t>天的，乙方有权终止合同；</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2、乙方违约责任</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（1）乙方交付的货物质量不符合合同规定的，乙方应向甲方支付合同总价的百分之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的违约金，并须在合同规定的交货时间内更换合格的货物给甲方，否则，视作乙方不能交付货物而违约，按本条本款下述第“（2）”项规定由乙方偿付违约赔偿金给甲方。</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（2）乙方不能交付货物或逾期交付货物而违约的，除应及时交足货物外，应向甲方偿付逾期交货部分货款总额的万分之</w:t>
      </w:r>
      <w:r>
        <w:rPr>
          <w:rFonts w:hint="eastAsia" w:ascii="宋体" w:hAnsi="宋体" w:eastAsia="宋体" w:cs="宋体"/>
          <w:sz w:val="24"/>
          <w:szCs w:val="24"/>
          <w:u w:val="single"/>
        </w:rPr>
        <w:t xml:space="preserve">   </w:t>
      </w:r>
      <w:r>
        <w:rPr>
          <w:rFonts w:hint="eastAsia" w:ascii="宋体" w:hAnsi="宋体" w:eastAsia="宋体" w:cs="宋体"/>
          <w:sz w:val="24"/>
          <w:szCs w:val="24"/>
        </w:rPr>
        <w:t>/天的违约金；逾期交货超过XX天，甲方有权终止合同，乙方则应按合同总价的百分之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的款额向甲方偿付赔偿金，并须全额退还甲方已经付给乙方的货款及其利息。</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z w:val="24"/>
          <w:szCs w:val="24"/>
          <w:u w:val="single"/>
        </w:rPr>
        <w:t xml:space="preserve">   </w:t>
      </w:r>
      <w:r>
        <w:rPr>
          <w:rFonts w:hint="eastAsia" w:ascii="宋体" w:hAnsi="宋体" w:eastAsia="宋体" w:cs="宋体"/>
          <w:sz w:val="24"/>
          <w:szCs w:val="24"/>
        </w:rPr>
        <w:t>天内无条件更换合格的货物，如逾期不能更换合格的货物，甲方有权终止本合同，乙方应另付合同总价的百分之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的赔偿金给甲方。</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向甲方支付违约金并赔偿因此给甲方造成的一切损失。</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（5）乙方偿付的违约金不足以弥补甲方损失的，还应按甲方损失尚未弥补的部分，支付赔偿金给甲方。</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74" w:name="_Toc217446114"/>
      <w:bookmarkStart w:id="275" w:name="_Toc18155"/>
      <w:bookmarkStart w:id="276" w:name="_Toc18842"/>
      <w:r>
        <w:rPr>
          <w:rFonts w:hint="eastAsia" w:ascii="宋体" w:hAnsi="宋体" w:eastAsia="宋体" w:cs="宋体"/>
          <w:sz w:val="24"/>
          <w:szCs w:val="24"/>
        </w:rPr>
        <w:t>八、争议解决办法</w:t>
      </w:r>
      <w:bookmarkEnd w:id="274"/>
      <w:bookmarkEnd w:id="275"/>
      <w:bookmarkEnd w:id="276"/>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pStyle w:val="83"/>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2、合同履行期间,若双方发生争议，可协商或由有关部门调解解决，协商或调解不成的，由当事人依法维护其合法权益。</w:t>
      </w:r>
    </w:p>
    <w:p>
      <w:pPr>
        <w:pStyle w:val="4"/>
        <w:numPr>
          <w:ilvl w:val="0"/>
          <w:numId w:val="0"/>
        </w:numPr>
        <w:tabs>
          <w:tab w:val="left" w:pos="720"/>
        </w:tabs>
        <w:spacing w:before="0" w:after="0" w:line="440" w:lineRule="exact"/>
        <w:ind w:leftChars="200"/>
        <w:jc w:val="left"/>
        <w:outlineLvl w:val="0"/>
        <w:rPr>
          <w:rFonts w:hint="eastAsia" w:ascii="宋体" w:hAnsi="宋体" w:eastAsia="宋体" w:cs="宋体"/>
          <w:sz w:val="24"/>
          <w:szCs w:val="24"/>
        </w:rPr>
      </w:pPr>
      <w:bookmarkStart w:id="277" w:name="_Toc3510"/>
      <w:bookmarkStart w:id="278" w:name="_Toc217446115"/>
      <w:bookmarkStart w:id="279" w:name="_Toc21902"/>
      <w:r>
        <w:rPr>
          <w:rFonts w:hint="eastAsia" w:ascii="宋体" w:hAnsi="宋体" w:eastAsia="宋体" w:cs="宋体"/>
          <w:sz w:val="24"/>
          <w:szCs w:val="24"/>
        </w:rPr>
        <w:t>九、其他</w:t>
      </w:r>
      <w:bookmarkEnd w:id="277"/>
      <w:bookmarkEnd w:id="278"/>
      <w:bookmarkEnd w:id="279"/>
    </w:p>
    <w:p>
      <w:pPr>
        <w:pStyle w:val="83"/>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1、如有未尽事宜，由双方依法订立补充合同。</w:t>
      </w:r>
    </w:p>
    <w:p>
      <w:pPr>
        <w:pStyle w:val="83"/>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2、本合同一式六份，自双方签章之日起生效。甲方三份，乙方、管理部门、采购代理机构各一份。</w:t>
      </w:r>
    </w:p>
    <w:p>
      <w:pPr>
        <w:spacing w:line="440" w:lineRule="exact"/>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                             账号：</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签约日期：XX年XX月XX日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签约日期：XX年XX月XX日</w:t>
      </w:r>
    </w:p>
    <w:p>
      <w:pPr>
        <w:spacing w:line="400" w:lineRule="exact"/>
        <w:ind w:firstLine="482" w:firstLineChars="200"/>
        <w:rPr>
          <w:rFonts w:hint="eastAsia" w:ascii="宋体" w:hAnsi="宋体" w:eastAsia="宋体" w:cs="宋体"/>
          <w:b/>
          <w:bCs/>
          <w:sz w:val="24"/>
          <w:szCs w:val="24"/>
        </w:rPr>
      </w:pP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注：合同条款可根据采购人及</w:t>
      </w:r>
      <w:r>
        <w:rPr>
          <w:rFonts w:hint="eastAsia" w:ascii="宋体" w:hAnsi="宋体" w:eastAsia="宋体" w:cs="宋体"/>
          <w:b/>
          <w:bCs/>
          <w:sz w:val="24"/>
          <w:szCs w:val="24"/>
          <w:lang w:eastAsia="zh-CN"/>
        </w:rPr>
        <w:t>成交供应商</w:t>
      </w:r>
      <w:r>
        <w:rPr>
          <w:rFonts w:hint="eastAsia" w:ascii="宋体" w:hAnsi="宋体" w:eastAsia="宋体" w:cs="宋体"/>
          <w:b/>
          <w:bCs/>
          <w:sz w:val="24"/>
          <w:szCs w:val="24"/>
        </w:rPr>
        <w:t>签订合同时的实际情况进行修改调整。</w:t>
      </w:r>
    </w:p>
    <w:p>
      <w:pPr>
        <w:pStyle w:val="2"/>
        <w:rPr>
          <w:rFonts w:hint="default"/>
          <w:lang w:val="en-US" w:eastAsia="zh-CN"/>
        </w:rPr>
      </w:pPr>
    </w:p>
    <w:sectPr>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E27ABA-32DA-4586-AE43-BE8C366A288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30D7B5-440D-43E0-9A2E-324E66803375}"/>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5A75C045-5DBA-4E58-B3EF-15185DF1F852}"/>
  </w:font>
  <w:font w:name="方正仿宋">
    <w:altName w:val="仿宋"/>
    <w:panose1 w:val="00000000000000000000"/>
    <w:charset w:val="86"/>
    <w:family w:val="script"/>
    <w:pitch w:val="default"/>
    <w:sig w:usb0="00000000" w:usb1="00000000" w:usb2="0000001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Medium">
    <w:altName w:val="Segoe Print"/>
    <w:panose1 w:val="00000000000000000000"/>
    <w:charset w:val="00"/>
    <w:family w:val="auto"/>
    <w:pitch w:val="default"/>
    <w:sig w:usb0="00000000" w:usb1="00000000" w:usb2="00000000" w:usb3="00000000" w:csb0="00000000" w:csb1="00000000"/>
  </w:font>
  <w:font w:name="Beba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4" w:fontKey="{C678AC88-91BA-41DC-9946-154161E698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U5BDvCAQAAjwMAAA4AAAAAAAAAAQAgAAAAHgEAAGRycy9lMm9Eb2MueG1sUEsF&#10;BgAAAAAGAAYAWQEAAFIFA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FkOcIBAACO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2LkjhuceLnnz/Ov/6cf38n&#10;11mfPkCNafcBE9Pwzg+4NbMf0JlpDyra/EVCBOMIdbqoK4dERH60Wq5WFYYExuYL4rOH5yFCei+9&#10;JdloaMTxFVX58SOkMXVOydWcv9PGlBEa948DMbOH5d7HHrOVht0wEdr59oR8epx8Qx0uOiXmg0Nh&#10;sb80G3E2dpORa0C4PSQsXPrJqCPUVAzHVBhNK5X34PG9ZD38Rp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xxZDnCAQAAjgMAAA4AAAAAAAAAAQAgAAAAHgEAAGRycy9lMm9Eb2MueG1sUEsF&#10;BgAAAAAGAAYAWQEAAFIFA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sMLcMBAACP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xS4rjFiV++f7v8+HX5+ZWs&#10;XmWB+gA15t0FzEzDWz/g2sx+QGfmPaho8xcZEYyjvOervHJIRORH69V6XWFIYGy+ID57eB4ipHfS&#10;W5KNhkacX5GVnz5AGlPnlFzN+VttTJmhcX85EDN7WO597DFbadgPE6G9b8/Ip8fRN9ThplNi3jtU&#10;Nm/JbMTZ2E9GrgHhzTFh4dJPRh2hpmI4p8Jo2qm8CH/eS9bDf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OuwwtwwEAAI8DAAAOAAAAAAAAAAEAIAAAAB4BAABkcnMvZTJvRG9jLnhtbFBL&#10;BQYAAAAABgAGAFkBAABTBQ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YkfMQBAACP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LK+zQH2AGvPuA2am4a0fcG1mP6Az8x5UtPmLjAjGUd7TRV45JCLyo9VytaowJDA2XxCfPTwPEdI7&#10;6S3JRkMjzq/Iyo8fII2pc0qu5vydNqbM0Lh/HIiZPSz3PvaYrTTshonQzrcn5NPj6BvqcNMpMe8d&#10;Kpu3ZDbibOwmI9eAcHtIWLj0k1FHqKkYzqkwmnYqL8Lf95L18B9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VYkfMQBAACPAwAADgAAAAAAAAABACAAAAAeAQAAZHJzL2Uyb0RvYy54bWxQ&#10;SwUGAAAAAAYABgBZAQAAVA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2"/>
      </w:rPr>
    </w:pPr>
    <w:r>
      <w:fldChar w:fldCharType="begin"/>
    </w:r>
    <w:r>
      <w:rPr>
        <w:rStyle w:val="32"/>
      </w:rPr>
      <w:instrText xml:space="preserve">PAGE  </w:instrText>
    </w:r>
    <w:r>
      <w:fldChar w:fldCharType="end"/>
    </w:r>
  </w:p>
  <w:p>
    <w:pPr>
      <w:pStyle w:val="1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ShGcQBAACP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vKXHc4sTPP76ff/4+//pG&#10;lm+yQH2AGvPuA2am4a0fcG1mP6Az8x5UtPmLjAjGUd7TRV45JCLyo9VytaowJDA2XxCfPTwPEdI7&#10;6S3JRkMjzq/Iyo8fII2pc0qu5vydNqbM0Lh/HIiZPSz3PvaYrTTshonQzrcn5NPj6BvqcNMpMe8d&#10;Kpu3ZDbibOwmI9eAcHtIWLj0k1FHqKkYzqkwmnYqL8Lf95L18B9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IShGcQBAACPAwAADgAAAAAAAAABACAAAAAeAQAAZHJzL2Uyb0RvYy54bWxQ&#10;SwUGAAAAAAYABgBZAQAAVA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61ADF"/>
    <w:multiLevelType w:val="singleLevel"/>
    <w:tmpl w:val="86261ADF"/>
    <w:lvl w:ilvl="0" w:tentative="0">
      <w:start w:val="1"/>
      <w:numFmt w:val="decimal"/>
      <w:suff w:val="nothing"/>
      <w:lvlText w:val="%1、"/>
      <w:lvlJc w:val="left"/>
    </w:lvl>
  </w:abstractNum>
  <w:abstractNum w:abstractNumId="1">
    <w:nsid w:val="86BC5507"/>
    <w:multiLevelType w:val="singleLevel"/>
    <w:tmpl w:val="86BC5507"/>
    <w:lvl w:ilvl="0" w:tentative="0">
      <w:start w:val="1"/>
      <w:numFmt w:val="decimal"/>
      <w:suff w:val="nothing"/>
      <w:lvlText w:val="%1、"/>
      <w:lvlJc w:val="left"/>
    </w:lvl>
  </w:abstractNum>
  <w:abstractNum w:abstractNumId="2">
    <w:nsid w:val="8F50F211"/>
    <w:multiLevelType w:val="singleLevel"/>
    <w:tmpl w:val="8F50F211"/>
    <w:lvl w:ilvl="0" w:tentative="0">
      <w:start w:val="1"/>
      <w:numFmt w:val="decimal"/>
      <w:suff w:val="nothing"/>
      <w:lvlText w:val="%1、"/>
      <w:lvlJc w:val="left"/>
    </w:lvl>
  </w:abstractNum>
  <w:abstractNum w:abstractNumId="3">
    <w:nsid w:val="9B881197"/>
    <w:multiLevelType w:val="singleLevel"/>
    <w:tmpl w:val="9B881197"/>
    <w:lvl w:ilvl="0" w:tentative="0">
      <w:start w:val="3"/>
      <w:numFmt w:val="chineseCounting"/>
      <w:suff w:val="nothing"/>
      <w:lvlText w:val="%1、"/>
      <w:lvlJc w:val="left"/>
      <w:rPr>
        <w:rFonts w:hint="eastAsia"/>
      </w:rPr>
    </w:lvl>
  </w:abstractNum>
  <w:abstractNum w:abstractNumId="4">
    <w:nsid w:val="9FE0EF4F"/>
    <w:multiLevelType w:val="singleLevel"/>
    <w:tmpl w:val="9FE0EF4F"/>
    <w:lvl w:ilvl="0" w:tentative="0">
      <w:start w:val="1"/>
      <w:numFmt w:val="decimal"/>
      <w:suff w:val="nothing"/>
      <w:lvlText w:val="%1．"/>
      <w:lvlJc w:val="left"/>
      <w:pPr>
        <w:ind w:left="0" w:firstLine="400"/>
      </w:pPr>
      <w:rPr>
        <w:rFonts w:hint="default"/>
      </w:rPr>
    </w:lvl>
  </w:abstractNum>
  <w:abstractNum w:abstractNumId="5">
    <w:nsid w:val="C258D847"/>
    <w:multiLevelType w:val="singleLevel"/>
    <w:tmpl w:val="C258D847"/>
    <w:lvl w:ilvl="0" w:tentative="0">
      <w:start w:val="5"/>
      <w:numFmt w:val="chineseCounting"/>
      <w:suff w:val="space"/>
      <w:lvlText w:val="第%1章"/>
      <w:lvlJc w:val="left"/>
      <w:rPr>
        <w:rFonts w:hint="eastAsia"/>
      </w:rPr>
    </w:lvl>
  </w:abstractNum>
  <w:abstractNum w:abstractNumId="6">
    <w:nsid w:val="D96783D1"/>
    <w:multiLevelType w:val="singleLevel"/>
    <w:tmpl w:val="D96783D1"/>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0D8CE0F"/>
    <w:multiLevelType w:val="singleLevel"/>
    <w:tmpl w:val="50D8CE0F"/>
    <w:lvl w:ilvl="0" w:tentative="0">
      <w:start w:val="1"/>
      <w:numFmt w:val="decimal"/>
      <w:suff w:val="nothing"/>
      <w:lvlText w:val="%1、"/>
      <w:lvlJc w:val="left"/>
    </w:lvl>
  </w:abstractNum>
  <w:abstractNum w:abstractNumId="9">
    <w:nsid w:val="59795758"/>
    <w:multiLevelType w:val="singleLevel"/>
    <w:tmpl w:val="59795758"/>
    <w:lvl w:ilvl="0" w:tentative="0">
      <w:start w:val="3"/>
      <w:numFmt w:val="chineseCounting"/>
      <w:suff w:val="nothing"/>
      <w:lvlText w:val="%1、"/>
      <w:lvlJc w:val="left"/>
    </w:lvl>
  </w:abstractNum>
  <w:abstractNum w:abstractNumId="10">
    <w:nsid w:val="61A25A77"/>
    <w:multiLevelType w:val="singleLevel"/>
    <w:tmpl w:val="61A25A77"/>
    <w:lvl w:ilvl="0" w:tentative="0">
      <w:start w:val="3"/>
      <w:numFmt w:val="decimal"/>
      <w:lvlText w:val="%1."/>
      <w:lvlJc w:val="left"/>
      <w:pPr>
        <w:tabs>
          <w:tab w:val="left" w:pos="312"/>
        </w:tabs>
      </w:pPr>
    </w:lvl>
  </w:abstractNum>
  <w:abstractNum w:abstractNumId="11">
    <w:nsid w:val="691812EF"/>
    <w:multiLevelType w:val="singleLevel"/>
    <w:tmpl w:val="691812EF"/>
    <w:lvl w:ilvl="0" w:tentative="0">
      <w:start w:val="1"/>
      <w:numFmt w:val="decimal"/>
      <w:suff w:val="nothing"/>
      <w:lvlText w:val="%1、"/>
      <w:lvlJc w:val="left"/>
    </w:lvl>
  </w:abstractNum>
  <w:num w:numId="1">
    <w:abstractNumId w:val="7"/>
  </w:num>
  <w:num w:numId="2">
    <w:abstractNumId w:val="8"/>
  </w:num>
  <w:num w:numId="3">
    <w:abstractNumId w:val="2"/>
  </w:num>
  <w:num w:numId="4">
    <w:abstractNumId w:val="1"/>
  </w:num>
  <w:num w:numId="5">
    <w:abstractNumId w:val="4"/>
  </w:num>
  <w:num w:numId="6">
    <w:abstractNumId w:val="10"/>
  </w:num>
  <w:num w:numId="7">
    <w:abstractNumId w:val="5"/>
  </w:num>
  <w:num w:numId="8">
    <w:abstractNumId w:val="3"/>
  </w:num>
  <w:num w:numId="9">
    <w:abstractNumId w:val="9"/>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DM1ZTliMWI3NjhhZTU5NjhiYzhmMDIzMGU4M2QifQ=="/>
  </w:docVars>
  <w:rsids>
    <w:rsidRoot w:val="007C12CC"/>
    <w:rsid w:val="00001660"/>
    <w:rsid w:val="00004B89"/>
    <w:rsid w:val="00006556"/>
    <w:rsid w:val="00013385"/>
    <w:rsid w:val="0001438F"/>
    <w:rsid w:val="00014483"/>
    <w:rsid w:val="00015AD4"/>
    <w:rsid w:val="00017173"/>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6B7"/>
    <w:rsid w:val="000408C4"/>
    <w:rsid w:val="00041FE4"/>
    <w:rsid w:val="000451F8"/>
    <w:rsid w:val="000462B4"/>
    <w:rsid w:val="00046697"/>
    <w:rsid w:val="0004677D"/>
    <w:rsid w:val="00047873"/>
    <w:rsid w:val="00047E57"/>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650"/>
    <w:rsid w:val="00092B4C"/>
    <w:rsid w:val="000932AA"/>
    <w:rsid w:val="00093ABA"/>
    <w:rsid w:val="000958DC"/>
    <w:rsid w:val="000962B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E0A69"/>
    <w:rsid w:val="000E583C"/>
    <w:rsid w:val="000E6476"/>
    <w:rsid w:val="000E6CD7"/>
    <w:rsid w:val="000F422B"/>
    <w:rsid w:val="000F45A9"/>
    <w:rsid w:val="000F491F"/>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1425"/>
    <w:rsid w:val="0012276E"/>
    <w:rsid w:val="0012282C"/>
    <w:rsid w:val="001239E7"/>
    <w:rsid w:val="00123E53"/>
    <w:rsid w:val="00123FC0"/>
    <w:rsid w:val="00126265"/>
    <w:rsid w:val="0012664D"/>
    <w:rsid w:val="00126D87"/>
    <w:rsid w:val="00131F14"/>
    <w:rsid w:val="001329EB"/>
    <w:rsid w:val="001345C8"/>
    <w:rsid w:val="0013590F"/>
    <w:rsid w:val="00136485"/>
    <w:rsid w:val="00136D53"/>
    <w:rsid w:val="001408B1"/>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4D72"/>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020"/>
    <w:rsid w:val="001B4B2D"/>
    <w:rsid w:val="001C2CAE"/>
    <w:rsid w:val="001C40AB"/>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1FB4"/>
    <w:rsid w:val="001F2E29"/>
    <w:rsid w:val="001F492D"/>
    <w:rsid w:val="001F64F5"/>
    <w:rsid w:val="001F79FC"/>
    <w:rsid w:val="001F7DBD"/>
    <w:rsid w:val="0020224B"/>
    <w:rsid w:val="00203068"/>
    <w:rsid w:val="00205336"/>
    <w:rsid w:val="00205493"/>
    <w:rsid w:val="00206D18"/>
    <w:rsid w:val="0021013C"/>
    <w:rsid w:val="002120D0"/>
    <w:rsid w:val="002125E6"/>
    <w:rsid w:val="00215638"/>
    <w:rsid w:val="0021668E"/>
    <w:rsid w:val="00220283"/>
    <w:rsid w:val="002237AB"/>
    <w:rsid w:val="00224333"/>
    <w:rsid w:val="00224CDC"/>
    <w:rsid w:val="002270B2"/>
    <w:rsid w:val="00230304"/>
    <w:rsid w:val="00230D10"/>
    <w:rsid w:val="002320BC"/>
    <w:rsid w:val="002332EA"/>
    <w:rsid w:val="002342C9"/>
    <w:rsid w:val="00234F25"/>
    <w:rsid w:val="0024059F"/>
    <w:rsid w:val="00241AF6"/>
    <w:rsid w:val="00242277"/>
    <w:rsid w:val="00244015"/>
    <w:rsid w:val="00244B87"/>
    <w:rsid w:val="0024529B"/>
    <w:rsid w:val="00245E6C"/>
    <w:rsid w:val="002470DA"/>
    <w:rsid w:val="0025006F"/>
    <w:rsid w:val="00250692"/>
    <w:rsid w:val="002509D0"/>
    <w:rsid w:val="002510B3"/>
    <w:rsid w:val="00252DDB"/>
    <w:rsid w:val="0025359C"/>
    <w:rsid w:val="002554B2"/>
    <w:rsid w:val="00255D4B"/>
    <w:rsid w:val="00262239"/>
    <w:rsid w:val="00262A61"/>
    <w:rsid w:val="00263B9A"/>
    <w:rsid w:val="00265F18"/>
    <w:rsid w:val="002665C5"/>
    <w:rsid w:val="002703E3"/>
    <w:rsid w:val="00272326"/>
    <w:rsid w:val="0027252A"/>
    <w:rsid w:val="00277B58"/>
    <w:rsid w:val="00280D8F"/>
    <w:rsid w:val="00281347"/>
    <w:rsid w:val="002857AA"/>
    <w:rsid w:val="00286859"/>
    <w:rsid w:val="0029048E"/>
    <w:rsid w:val="00290AEB"/>
    <w:rsid w:val="00291539"/>
    <w:rsid w:val="00292632"/>
    <w:rsid w:val="00294EBC"/>
    <w:rsid w:val="0029626C"/>
    <w:rsid w:val="00297B8B"/>
    <w:rsid w:val="002A0B7A"/>
    <w:rsid w:val="002A0C3D"/>
    <w:rsid w:val="002A0C82"/>
    <w:rsid w:val="002A1E56"/>
    <w:rsid w:val="002A4317"/>
    <w:rsid w:val="002A70EE"/>
    <w:rsid w:val="002A7D03"/>
    <w:rsid w:val="002B067F"/>
    <w:rsid w:val="002B06DF"/>
    <w:rsid w:val="002B23F1"/>
    <w:rsid w:val="002B3263"/>
    <w:rsid w:val="002B3FE9"/>
    <w:rsid w:val="002B4920"/>
    <w:rsid w:val="002B5EB0"/>
    <w:rsid w:val="002B6D25"/>
    <w:rsid w:val="002B7D1D"/>
    <w:rsid w:val="002C0169"/>
    <w:rsid w:val="002C0185"/>
    <w:rsid w:val="002C0964"/>
    <w:rsid w:val="002C177E"/>
    <w:rsid w:val="002C2154"/>
    <w:rsid w:val="002C3905"/>
    <w:rsid w:val="002C67ED"/>
    <w:rsid w:val="002C7DDE"/>
    <w:rsid w:val="002D14CC"/>
    <w:rsid w:val="002D23E6"/>
    <w:rsid w:val="002D2A3C"/>
    <w:rsid w:val="002D44CE"/>
    <w:rsid w:val="002D5D7E"/>
    <w:rsid w:val="002D6435"/>
    <w:rsid w:val="002D73AE"/>
    <w:rsid w:val="002E1456"/>
    <w:rsid w:val="002E2016"/>
    <w:rsid w:val="002E372F"/>
    <w:rsid w:val="002E38A1"/>
    <w:rsid w:val="002E52BD"/>
    <w:rsid w:val="002E53EC"/>
    <w:rsid w:val="002E7B45"/>
    <w:rsid w:val="002F0D48"/>
    <w:rsid w:val="002F3919"/>
    <w:rsid w:val="002F5A38"/>
    <w:rsid w:val="002F797B"/>
    <w:rsid w:val="00302602"/>
    <w:rsid w:val="0030262F"/>
    <w:rsid w:val="00303AE2"/>
    <w:rsid w:val="00303C8B"/>
    <w:rsid w:val="00306772"/>
    <w:rsid w:val="00306A59"/>
    <w:rsid w:val="00306EED"/>
    <w:rsid w:val="00306F89"/>
    <w:rsid w:val="00311669"/>
    <w:rsid w:val="0031253B"/>
    <w:rsid w:val="00314009"/>
    <w:rsid w:val="0031518A"/>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35C"/>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E358D"/>
    <w:rsid w:val="003E35F5"/>
    <w:rsid w:val="003E44CB"/>
    <w:rsid w:val="003E7E42"/>
    <w:rsid w:val="003F2938"/>
    <w:rsid w:val="003F4247"/>
    <w:rsid w:val="003F4F88"/>
    <w:rsid w:val="003F7462"/>
    <w:rsid w:val="00400273"/>
    <w:rsid w:val="00400415"/>
    <w:rsid w:val="00400F8F"/>
    <w:rsid w:val="00401075"/>
    <w:rsid w:val="00403397"/>
    <w:rsid w:val="00404202"/>
    <w:rsid w:val="0040516A"/>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22F2"/>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3CCA"/>
    <w:rsid w:val="00484A3D"/>
    <w:rsid w:val="0048581D"/>
    <w:rsid w:val="004859C3"/>
    <w:rsid w:val="00485EDF"/>
    <w:rsid w:val="004872AE"/>
    <w:rsid w:val="00490A1F"/>
    <w:rsid w:val="004924E2"/>
    <w:rsid w:val="0049282E"/>
    <w:rsid w:val="00493C1D"/>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2BB"/>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A58"/>
    <w:rsid w:val="004E7C5E"/>
    <w:rsid w:val="004F053A"/>
    <w:rsid w:val="004F2BA1"/>
    <w:rsid w:val="004F6389"/>
    <w:rsid w:val="004F6640"/>
    <w:rsid w:val="004F6D0A"/>
    <w:rsid w:val="00500450"/>
    <w:rsid w:val="005023EE"/>
    <w:rsid w:val="00503CA8"/>
    <w:rsid w:val="0051137A"/>
    <w:rsid w:val="00511759"/>
    <w:rsid w:val="00512F35"/>
    <w:rsid w:val="00513120"/>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2E9"/>
    <w:rsid w:val="00555666"/>
    <w:rsid w:val="005557AE"/>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5A0"/>
    <w:rsid w:val="00583ED8"/>
    <w:rsid w:val="00585C10"/>
    <w:rsid w:val="00585D18"/>
    <w:rsid w:val="00586DE8"/>
    <w:rsid w:val="005873E6"/>
    <w:rsid w:val="005876D8"/>
    <w:rsid w:val="00590091"/>
    <w:rsid w:val="00591013"/>
    <w:rsid w:val="0059168E"/>
    <w:rsid w:val="00591E80"/>
    <w:rsid w:val="0059553F"/>
    <w:rsid w:val="00595B7E"/>
    <w:rsid w:val="005A5500"/>
    <w:rsid w:val="005A6B6C"/>
    <w:rsid w:val="005B0EA2"/>
    <w:rsid w:val="005B3818"/>
    <w:rsid w:val="005B4B72"/>
    <w:rsid w:val="005B52B1"/>
    <w:rsid w:val="005B5AEB"/>
    <w:rsid w:val="005C08FA"/>
    <w:rsid w:val="005C10F2"/>
    <w:rsid w:val="005C3E17"/>
    <w:rsid w:val="005C42F9"/>
    <w:rsid w:val="005D1258"/>
    <w:rsid w:val="005D3DE5"/>
    <w:rsid w:val="005D691C"/>
    <w:rsid w:val="005D72BC"/>
    <w:rsid w:val="005D7BAC"/>
    <w:rsid w:val="005E0927"/>
    <w:rsid w:val="005E0EB8"/>
    <w:rsid w:val="005E1042"/>
    <w:rsid w:val="005E290B"/>
    <w:rsid w:val="005E3940"/>
    <w:rsid w:val="005E61DB"/>
    <w:rsid w:val="005F038E"/>
    <w:rsid w:val="005F28F4"/>
    <w:rsid w:val="005F39AC"/>
    <w:rsid w:val="005F61B5"/>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0B6"/>
    <w:rsid w:val="006733AC"/>
    <w:rsid w:val="0067344A"/>
    <w:rsid w:val="006738C0"/>
    <w:rsid w:val="006747D0"/>
    <w:rsid w:val="00676BDE"/>
    <w:rsid w:val="00676E30"/>
    <w:rsid w:val="00677EB4"/>
    <w:rsid w:val="006808FF"/>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E7E49"/>
    <w:rsid w:val="006F19FC"/>
    <w:rsid w:val="006F6CDE"/>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69B3"/>
    <w:rsid w:val="00757287"/>
    <w:rsid w:val="00757D3C"/>
    <w:rsid w:val="007604E9"/>
    <w:rsid w:val="00761A04"/>
    <w:rsid w:val="00762466"/>
    <w:rsid w:val="00763F24"/>
    <w:rsid w:val="00764146"/>
    <w:rsid w:val="007646F7"/>
    <w:rsid w:val="00764BF3"/>
    <w:rsid w:val="00765011"/>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96279"/>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086"/>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349C"/>
    <w:rsid w:val="00835E74"/>
    <w:rsid w:val="008373DB"/>
    <w:rsid w:val="00840B26"/>
    <w:rsid w:val="00840D1C"/>
    <w:rsid w:val="00841CA6"/>
    <w:rsid w:val="00843A50"/>
    <w:rsid w:val="00843C8D"/>
    <w:rsid w:val="00844361"/>
    <w:rsid w:val="00844DF9"/>
    <w:rsid w:val="00845524"/>
    <w:rsid w:val="00847236"/>
    <w:rsid w:val="008510BC"/>
    <w:rsid w:val="00851335"/>
    <w:rsid w:val="00851D92"/>
    <w:rsid w:val="00852BC0"/>
    <w:rsid w:val="00852E08"/>
    <w:rsid w:val="00855B24"/>
    <w:rsid w:val="00855EDC"/>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1C3"/>
    <w:rsid w:val="008A0B92"/>
    <w:rsid w:val="008A1079"/>
    <w:rsid w:val="008A1875"/>
    <w:rsid w:val="008A3B23"/>
    <w:rsid w:val="008A3E63"/>
    <w:rsid w:val="008A4078"/>
    <w:rsid w:val="008A51A9"/>
    <w:rsid w:val="008A7D2F"/>
    <w:rsid w:val="008B0085"/>
    <w:rsid w:val="008B2B51"/>
    <w:rsid w:val="008B346E"/>
    <w:rsid w:val="008B4E2A"/>
    <w:rsid w:val="008B5136"/>
    <w:rsid w:val="008B68FD"/>
    <w:rsid w:val="008C2E09"/>
    <w:rsid w:val="008C32D0"/>
    <w:rsid w:val="008C3677"/>
    <w:rsid w:val="008C3970"/>
    <w:rsid w:val="008C48F8"/>
    <w:rsid w:val="008D27C1"/>
    <w:rsid w:val="008D3C61"/>
    <w:rsid w:val="008D46C0"/>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4D87"/>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62F0"/>
    <w:rsid w:val="0093790A"/>
    <w:rsid w:val="009417EE"/>
    <w:rsid w:val="00945A9B"/>
    <w:rsid w:val="00951C0F"/>
    <w:rsid w:val="00952286"/>
    <w:rsid w:val="00954A78"/>
    <w:rsid w:val="009618EC"/>
    <w:rsid w:val="00961BBD"/>
    <w:rsid w:val="0096295D"/>
    <w:rsid w:val="00964479"/>
    <w:rsid w:val="00966E0E"/>
    <w:rsid w:val="0097195D"/>
    <w:rsid w:val="009721A4"/>
    <w:rsid w:val="00972975"/>
    <w:rsid w:val="00973FEF"/>
    <w:rsid w:val="009752EE"/>
    <w:rsid w:val="00977F1D"/>
    <w:rsid w:val="009801C4"/>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559C"/>
    <w:rsid w:val="009A636B"/>
    <w:rsid w:val="009A6CC8"/>
    <w:rsid w:val="009A7416"/>
    <w:rsid w:val="009B520F"/>
    <w:rsid w:val="009B6998"/>
    <w:rsid w:val="009C0517"/>
    <w:rsid w:val="009C17E0"/>
    <w:rsid w:val="009C21A8"/>
    <w:rsid w:val="009C58FC"/>
    <w:rsid w:val="009D004A"/>
    <w:rsid w:val="009D0197"/>
    <w:rsid w:val="009D19AE"/>
    <w:rsid w:val="009D1FA3"/>
    <w:rsid w:val="009D2805"/>
    <w:rsid w:val="009D3609"/>
    <w:rsid w:val="009D43EF"/>
    <w:rsid w:val="009D7994"/>
    <w:rsid w:val="009E1712"/>
    <w:rsid w:val="009E3963"/>
    <w:rsid w:val="009E46B1"/>
    <w:rsid w:val="009E7AD9"/>
    <w:rsid w:val="009F1FFE"/>
    <w:rsid w:val="009F31B2"/>
    <w:rsid w:val="009F5C6E"/>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56AE"/>
    <w:rsid w:val="00A46291"/>
    <w:rsid w:val="00A46D08"/>
    <w:rsid w:val="00A47CB3"/>
    <w:rsid w:val="00A51A79"/>
    <w:rsid w:val="00A53021"/>
    <w:rsid w:val="00A53A2C"/>
    <w:rsid w:val="00A55909"/>
    <w:rsid w:val="00A56417"/>
    <w:rsid w:val="00A57448"/>
    <w:rsid w:val="00A65E47"/>
    <w:rsid w:val="00A66011"/>
    <w:rsid w:val="00A664D0"/>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1B93"/>
    <w:rsid w:val="00AA23BA"/>
    <w:rsid w:val="00AA2E6B"/>
    <w:rsid w:val="00AA3470"/>
    <w:rsid w:val="00AA4870"/>
    <w:rsid w:val="00AA4A6D"/>
    <w:rsid w:val="00AA7784"/>
    <w:rsid w:val="00AB11E7"/>
    <w:rsid w:val="00AB55D0"/>
    <w:rsid w:val="00AB56FB"/>
    <w:rsid w:val="00AB60F8"/>
    <w:rsid w:val="00AB6EB6"/>
    <w:rsid w:val="00AC19BD"/>
    <w:rsid w:val="00AC2D2E"/>
    <w:rsid w:val="00AC301A"/>
    <w:rsid w:val="00AC3246"/>
    <w:rsid w:val="00AC3317"/>
    <w:rsid w:val="00AC35D7"/>
    <w:rsid w:val="00AC611F"/>
    <w:rsid w:val="00AC6B73"/>
    <w:rsid w:val="00AC6D2C"/>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C5E"/>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6967"/>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276"/>
    <w:rsid w:val="00BB767C"/>
    <w:rsid w:val="00BC045F"/>
    <w:rsid w:val="00BC12CD"/>
    <w:rsid w:val="00BC144C"/>
    <w:rsid w:val="00BC1890"/>
    <w:rsid w:val="00BC229A"/>
    <w:rsid w:val="00BC5C4C"/>
    <w:rsid w:val="00BC6B83"/>
    <w:rsid w:val="00BC6DAD"/>
    <w:rsid w:val="00BD1145"/>
    <w:rsid w:val="00BD1E02"/>
    <w:rsid w:val="00BD2189"/>
    <w:rsid w:val="00BD2936"/>
    <w:rsid w:val="00BD40F4"/>
    <w:rsid w:val="00BD5772"/>
    <w:rsid w:val="00BD7565"/>
    <w:rsid w:val="00BE174B"/>
    <w:rsid w:val="00BE2A3D"/>
    <w:rsid w:val="00BE3611"/>
    <w:rsid w:val="00BE4504"/>
    <w:rsid w:val="00BE5099"/>
    <w:rsid w:val="00BE53FC"/>
    <w:rsid w:val="00BE573A"/>
    <w:rsid w:val="00BE63C9"/>
    <w:rsid w:val="00BE79E6"/>
    <w:rsid w:val="00BF2A99"/>
    <w:rsid w:val="00BF2B76"/>
    <w:rsid w:val="00BF303D"/>
    <w:rsid w:val="00BF3D62"/>
    <w:rsid w:val="00BF3FF4"/>
    <w:rsid w:val="00BF5678"/>
    <w:rsid w:val="00BF59CC"/>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2259"/>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04D"/>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A74DA"/>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01EF"/>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013"/>
    <w:rsid w:val="00D33025"/>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0EF"/>
    <w:rsid w:val="00DA53CC"/>
    <w:rsid w:val="00DA5FB5"/>
    <w:rsid w:val="00DB307A"/>
    <w:rsid w:val="00DB441E"/>
    <w:rsid w:val="00DB4DA3"/>
    <w:rsid w:val="00DC1D5F"/>
    <w:rsid w:val="00DC1FAD"/>
    <w:rsid w:val="00DC20F9"/>
    <w:rsid w:val="00DC46F4"/>
    <w:rsid w:val="00DC56ED"/>
    <w:rsid w:val="00DC7F24"/>
    <w:rsid w:val="00DD08E7"/>
    <w:rsid w:val="00DD52DE"/>
    <w:rsid w:val="00DD7107"/>
    <w:rsid w:val="00DE1BE7"/>
    <w:rsid w:val="00DE28C4"/>
    <w:rsid w:val="00DE29A8"/>
    <w:rsid w:val="00DE4225"/>
    <w:rsid w:val="00DE6006"/>
    <w:rsid w:val="00DE7A57"/>
    <w:rsid w:val="00DE7C1A"/>
    <w:rsid w:val="00DF1747"/>
    <w:rsid w:val="00DF43EA"/>
    <w:rsid w:val="00DF5015"/>
    <w:rsid w:val="00DF52BC"/>
    <w:rsid w:val="00DF5FB1"/>
    <w:rsid w:val="00DF7393"/>
    <w:rsid w:val="00DF781B"/>
    <w:rsid w:val="00E009F3"/>
    <w:rsid w:val="00E00DDC"/>
    <w:rsid w:val="00E01FA7"/>
    <w:rsid w:val="00E0274F"/>
    <w:rsid w:val="00E0372C"/>
    <w:rsid w:val="00E0432C"/>
    <w:rsid w:val="00E048E5"/>
    <w:rsid w:val="00E061F3"/>
    <w:rsid w:val="00E07B26"/>
    <w:rsid w:val="00E07F21"/>
    <w:rsid w:val="00E13FB6"/>
    <w:rsid w:val="00E1487A"/>
    <w:rsid w:val="00E16DAB"/>
    <w:rsid w:val="00E2006D"/>
    <w:rsid w:val="00E22756"/>
    <w:rsid w:val="00E255E9"/>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871"/>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385B"/>
    <w:rsid w:val="00EA7E56"/>
    <w:rsid w:val="00EB021E"/>
    <w:rsid w:val="00EB05ED"/>
    <w:rsid w:val="00EB0C4B"/>
    <w:rsid w:val="00EB0DC4"/>
    <w:rsid w:val="00EB0E52"/>
    <w:rsid w:val="00EB1F77"/>
    <w:rsid w:val="00EB2956"/>
    <w:rsid w:val="00EB506E"/>
    <w:rsid w:val="00EB64F2"/>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20F"/>
    <w:rsid w:val="00EF33E9"/>
    <w:rsid w:val="00EF36DF"/>
    <w:rsid w:val="00EF65C0"/>
    <w:rsid w:val="00EF7534"/>
    <w:rsid w:val="00EF7867"/>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0A7C"/>
    <w:rsid w:val="00F313E2"/>
    <w:rsid w:val="00F32B6C"/>
    <w:rsid w:val="00F361E3"/>
    <w:rsid w:val="00F401C9"/>
    <w:rsid w:val="00F407D9"/>
    <w:rsid w:val="00F41844"/>
    <w:rsid w:val="00F41E24"/>
    <w:rsid w:val="00F45A66"/>
    <w:rsid w:val="00F47A5A"/>
    <w:rsid w:val="00F504AD"/>
    <w:rsid w:val="00F51460"/>
    <w:rsid w:val="00F521E1"/>
    <w:rsid w:val="00F54EDC"/>
    <w:rsid w:val="00F60526"/>
    <w:rsid w:val="00F6130E"/>
    <w:rsid w:val="00F61EE2"/>
    <w:rsid w:val="00F625E4"/>
    <w:rsid w:val="00F65C61"/>
    <w:rsid w:val="00F66421"/>
    <w:rsid w:val="00F67759"/>
    <w:rsid w:val="00F72551"/>
    <w:rsid w:val="00F72B0B"/>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7D4368"/>
    <w:rsid w:val="01813682"/>
    <w:rsid w:val="01914598"/>
    <w:rsid w:val="01945F0D"/>
    <w:rsid w:val="01946A33"/>
    <w:rsid w:val="01AD5116"/>
    <w:rsid w:val="01E455E0"/>
    <w:rsid w:val="02137FBF"/>
    <w:rsid w:val="02166F99"/>
    <w:rsid w:val="02295A44"/>
    <w:rsid w:val="0246768E"/>
    <w:rsid w:val="02A24F36"/>
    <w:rsid w:val="02A5104D"/>
    <w:rsid w:val="02B908B4"/>
    <w:rsid w:val="02BB4615"/>
    <w:rsid w:val="02F137D4"/>
    <w:rsid w:val="03000DCA"/>
    <w:rsid w:val="03312716"/>
    <w:rsid w:val="035615FF"/>
    <w:rsid w:val="0365125B"/>
    <w:rsid w:val="036A0EBF"/>
    <w:rsid w:val="0378619C"/>
    <w:rsid w:val="039A11BD"/>
    <w:rsid w:val="03A34CCF"/>
    <w:rsid w:val="03B53620"/>
    <w:rsid w:val="03D71A27"/>
    <w:rsid w:val="04B32967"/>
    <w:rsid w:val="05107A50"/>
    <w:rsid w:val="051C3731"/>
    <w:rsid w:val="053C5534"/>
    <w:rsid w:val="05503CDB"/>
    <w:rsid w:val="05573774"/>
    <w:rsid w:val="056A79D6"/>
    <w:rsid w:val="056C1C01"/>
    <w:rsid w:val="05854303"/>
    <w:rsid w:val="05C76B61"/>
    <w:rsid w:val="05E30C72"/>
    <w:rsid w:val="05E5780D"/>
    <w:rsid w:val="05E941D8"/>
    <w:rsid w:val="0608085D"/>
    <w:rsid w:val="060954A3"/>
    <w:rsid w:val="06253B9A"/>
    <w:rsid w:val="062B283F"/>
    <w:rsid w:val="062D198C"/>
    <w:rsid w:val="064D60BA"/>
    <w:rsid w:val="06592D04"/>
    <w:rsid w:val="067D7810"/>
    <w:rsid w:val="06D5614F"/>
    <w:rsid w:val="06F9436E"/>
    <w:rsid w:val="07181283"/>
    <w:rsid w:val="071E3E2A"/>
    <w:rsid w:val="07222102"/>
    <w:rsid w:val="076B1286"/>
    <w:rsid w:val="07744C75"/>
    <w:rsid w:val="07A41CE0"/>
    <w:rsid w:val="07BA3BEA"/>
    <w:rsid w:val="07BF40AC"/>
    <w:rsid w:val="07D13C23"/>
    <w:rsid w:val="07E17917"/>
    <w:rsid w:val="081636D9"/>
    <w:rsid w:val="0822404C"/>
    <w:rsid w:val="08362309"/>
    <w:rsid w:val="088B63E0"/>
    <w:rsid w:val="08AE4AE7"/>
    <w:rsid w:val="08EC2E04"/>
    <w:rsid w:val="08F37C57"/>
    <w:rsid w:val="09016473"/>
    <w:rsid w:val="09181E6A"/>
    <w:rsid w:val="098A335F"/>
    <w:rsid w:val="09DE73A0"/>
    <w:rsid w:val="0A2211FC"/>
    <w:rsid w:val="0A404077"/>
    <w:rsid w:val="0A46563E"/>
    <w:rsid w:val="0A604AF9"/>
    <w:rsid w:val="0A736EEB"/>
    <w:rsid w:val="0A832561"/>
    <w:rsid w:val="0A874D1D"/>
    <w:rsid w:val="0B0232EE"/>
    <w:rsid w:val="0B0B5171"/>
    <w:rsid w:val="0B1825C1"/>
    <w:rsid w:val="0B220922"/>
    <w:rsid w:val="0B2922D0"/>
    <w:rsid w:val="0B3B522E"/>
    <w:rsid w:val="0B7F78E1"/>
    <w:rsid w:val="0BA92F1D"/>
    <w:rsid w:val="0BB023D2"/>
    <w:rsid w:val="0BCE4B75"/>
    <w:rsid w:val="0BE110CD"/>
    <w:rsid w:val="0BE35FE6"/>
    <w:rsid w:val="0C297755"/>
    <w:rsid w:val="0C2F2532"/>
    <w:rsid w:val="0C473029"/>
    <w:rsid w:val="0C4806B4"/>
    <w:rsid w:val="0C501B2C"/>
    <w:rsid w:val="0C514BFB"/>
    <w:rsid w:val="0CB95C8B"/>
    <w:rsid w:val="0CD7540B"/>
    <w:rsid w:val="0CE575A6"/>
    <w:rsid w:val="0D2131A7"/>
    <w:rsid w:val="0D37538B"/>
    <w:rsid w:val="0D396B6B"/>
    <w:rsid w:val="0D4B1FC3"/>
    <w:rsid w:val="0D5A1E42"/>
    <w:rsid w:val="0D6018AF"/>
    <w:rsid w:val="0D677898"/>
    <w:rsid w:val="0D8C499D"/>
    <w:rsid w:val="0D903AB6"/>
    <w:rsid w:val="0D985D5F"/>
    <w:rsid w:val="0DB216C8"/>
    <w:rsid w:val="0DBB6769"/>
    <w:rsid w:val="0DC7755F"/>
    <w:rsid w:val="0E6C0F63"/>
    <w:rsid w:val="0E7C27A8"/>
    <w:rsid w:val="0EA90FB5"/>
    <w:rsid w:val="0ED4462A"/>
    <w:rsid w:val="0F0F15E9"/>
    <w:rsid w:val="0F2509E1"/>
    <w:rsid w:val="0F3A00E9"/>
    <w:rsid w:val="0F4946D0"/>
    <w:rsid w:val="0F6058F5"/>
    <w:rsid w:val="0F7711BE"/>
    <w:rsid w:val="0F8129C4"/>
    <w:rsid w:val="0FAF6D92"/>
    <w:rsid w:val="0FB25786"/>
    <w:rsid w:val="0FB926FE"/>
    <w:rsid w:val="0FBB10EB"/>
    <w:rsid w:val="0FD904D1"/>
    <w:rsid w:val="10093E37"/>
    <w:rsid w:val="102E6181"/>
    <w:rsid w:val="105109E6"/>
    <w:rsid w:val="1067169F"/>
    <w:rsid w:val="1067240A"/>
    <w:rsid w:val="10A13BD5"/>
    <w:rsid w:val="10A73DA4"/>
    <w:rsid w:val="10AF35D4"/>
    <w:rsid w:val="10D325C8"/>
    <w:rsid w:val="10EB2BD9"/>
    <w:rsid w:val="10F02CAD"/>
    <w:rsid w:val="10F20792"/>
    <w:rsid w:val="10F307E9"/>
    <w:rsid w:val="10FD21E3"/>
    <w:rsid w:val="110D47A5"/>
    <w:rsid w:val="11103B1F"/>
    <w:rsid w:val="113413B0"/>
    <w:rsid w:val="11525227"/>
    <w:rsid w:val="115F43F4"/>
    <w:rsid w:val="11850CAC"/>
    <w:rsid w:val="11A73DD3"/>
    <w:rsid w:val="11B30526"/>
    <w:rsid w:val="11C01F83"/>
    <w:rsid w:val="11C600A5"/>
    <w:rsid w:val="11DA7E41"/>
    <w:rsid w:val="11E45E13"/>
    <w:rsid w:val="121764F7"/>
    <w:rsid w:val="12256DEA"/>
    <w:rsid w:val="12595F3E"/>
    <w:rsid w:val="12970375"/>
    <w:rsid w:val="12AF3C98"/>
    <w:rsid w:val="12B64A20"/>
    <w:rsid w:val="12B767CB"/>
    <w:rsid w:val="12D14B85"/>
    <w:rsid w:val="12E2445A"/>
    <w:rsid w:val="130F279B"/>
    <w:rsid w:val="13197CD1"/>
    <w:rsid w:val="131B632D"/>
    <w:rsid w:val="13241D62"/>
    <w:rsid w:val="13313E49"/>
    <w:rsid w:val="13651CEC"/>
    <w:rsid w:val="136C253A"/>
    <w:rsid w:val="13720901"/>
    <w:rsid w:val="137F4E7B"/>
    <w:rsid w:val="13A42136"/>
    <w:rsid w:val="13EC7FA0"/>
    <w:rsid w:val="14244D98"/>
    <w:rsid w:val="143A728D"/>
    <w:rsid w:val="14441F2C"/>
    <w:rsid w:val="147B751F"/>
    <w:rsid w:val="14A300CE"/>
    <w:rsid w:val="14BB0E48"/>
    <w:rsid w:val="14E64CFF"/>
    <w:rsid w:val="14FA57F5"/>
    <w:rsid w:val="15033247"/>
    <w:rsid w:val="15040B08"/>
    <w:rsid w:val="15101B33"/>
    <w:rsid w:val="1525798D"/>
    <w:rsid w:val="15376753"/>
    <w:rsid w:val="153E6F2B"/>
    <w:rsid w:val="15455939"/>
    <w:rsid w:val="1552397E"/>
    <w:rsid w:val="15633A2F"/>
    <w:rsid w:val="1573230E"/>
    <w:rsid w:val="15CA18B2"/>
    <w:rsid w:val="15D83A93"/>
    <w:rsid w:val="15E73A99"/>
    <w:rsid w:val="15F4486A"/>
    <w:rsid w:val="15FB74FE"/>
    <w:rsid w:val="160079CA"/>
    <w:rsid w:val="16013F82"/>
    <w:rsid w:val="160C28FB"/>
    <w:rsid w:val="161C2B3E"/>
    <w:rsid w:val="163862ED"/>
    <w:rsid w:val="16811F84"/>
    <w:rsid w:val="169802DE"/>
    <w:rsid w:val="169B1705"/>
    <w:rsid w:val="169E17A5"/>
    <w:rsid w:val="16A9098C"/>
    <w:rsid w:val="16AC1FE9"/>
    <w:rsid w:val="16B63F71"/>
    <w:rsid w:val="16C4089B"/>
    <w:rsid w:val="16DF1879"/>
    <w:rsid w:val="16F35E12"/>
    <w:rsid w:val="171750B3"/>
    <w:rsid w:val="17296213"/>
    <w:rsid w:val="17383BCC"/>
    <w:rsid w:val="17563F8E"/>
    <w:rsid w:val="177057E9"/>
    <w:rsid w:val="179B51F0"/>
    <w:rsid w:val="17D10556"/>
    <w:rsid w:val="17DF76F8"/>
    <w:rsid w:val="183D216F"/>
    <w:rsid w:val="18650639"/>
    <w:rsid w:val="18860BB9"/>
    <w:rsid w:val="18863C52"/>
    <w:rsid w:val="18BD46B9"/>
    <w:rsid w:val="18C91426"/>
    <w:rsid w:val="18FE4776"/>
    <w:rsid w:val="192047A8"/>
    <w:rsid w:val="195E2DFC"/>
    <w:rsid w:val="1992366E"/>
    <w:rsid w:val="19A20524"/>
    <w:rsid w:val="19A64A85"/>
    <w:rsid w:val="19CE70B4"/>
    <w:rsid w:val="19DC38F9"/>
    <w:rsid w:val="1A080F10"/>
    <w:rsid w:val="1A1D1757"/>
    <w:rsid w:val="1A4A0292"/>
    <w:rsid w:val="1A847BF2"/>
    <w:rsid w:val="1A8B53CF"/>
    <w:rsid w:val="1A941AAF"/>
    <w:rsid w:val="1A9B3CAC"/>
    <w:rsid w:val="1AA3651D"/>
    <w:rsid w:val="1AEC0189"/>
    <w:rsid w:val="1B2A6942"/>
    <w:rsid w:val="1B3E21AC"/>
    <w:rsid w:val="1B463B17"/>
    <w:rsid w:val="1B5C7889"/>
    <w:rsid w:val="1B666430"/>
    <w:rsid w:val="1BBE779D"/>
    <w:rsid w:val="1BC21F64"/>
    <w:rsid w:val="1BCA02A6"/>
    <w:rsid w:val="1BE92077"/>
    <w:rsid w:val="1BF26A1D"/>
    <w:rsid w:val="1C017BCE"/>
    <w:rsid w:val="1C297B0C"/>
    <w:rsid w:val="1C5823F6"/>
    <w:rsid w:val="1CA75489"/>
    <w:rsid w:val="1CC954EC"/>
    <w:rsid w:val="1CE36B90"/>
    <w:rsid w:val="1CF12C49"/>
    <w:rsid w:val="1CF95239"/>
    <w:rsid w:val="1D082E0D"/>
    <w:rsid w:val="1D157C7A"/>
    <w:rsid w:val="1D2E3157"/>
    <w:rsid w:val="1D994A74"/>
    <w:rsid w:val="1D9B4032"/>
    <w:rsid w:val="1DFE7FAA"/>
    <w:rsid w:val="1E075A0A"/>
    <w:rsid w:val="1E3C5D98"/>
    <w:rsid w:val="1E733517"/>
    <w:rsid w:val="1E74516F"/>
    <w:rsid w:val="1E7758AA"/>
    <w:rsid w:val="1E957916"/>
    <w:rsid w:val="1ED35CC8"/>
    <w:rsid w:val="1EEB33A2"/>
    <w:rsid w:val="1EF940F9"/>
    <w:rsid w:val="1F0862C8"/>
    <w:rsid w:val="1F0D30A3"/>
    <w:rsid w:val="1F1E66D8"/>
    <w:rsid w:val="1F31074C"/>
    <w:rsid w:val="1F3C68A4"/>
    <w:rsid w:val="1F5943A9"/>
    <w:rsid w:val="1F613BBB"/>
    <w:rsid w:val="1F650E57"/>
    <w:rsid w:val="1F6632E3"/>
    <w:rsid w:val="1F717A08"/>
    <w:rsid w:val="1F7D3D77"/>
    <w:rsid w:val="1F9339BD"/>
    <w:rsid w:val="1FA97E1F"/>
    <w:rsid w:val="1FED6F81"/>
    <w:rsid w:val="20105A13"/>
    <w:rsid w:val="205D00B4"/>
    <w:rsid w:val="206A62CB"/>
    <w:rsid w:val="2085139A"/>
    <w:rsid w:val="20965616"/>
    <w:rsid w:val="20A3661E"/>
    <w:rsid w:val="20DA0E7B"/>
    <w:rsid w:val="20F348BE"/>
    <w:rsid w:val="20F756A8"/>
    <w:rsid w:val="20FD203C"/>
    <w:rsid w:val="21064F1B"/>
    <w:rsid w:val="2111004A"/>
    <w:rsid w:val="21215C9A"/>
    <w:rsid w:val="21326348"/>
    <w:rsid w:val="215316A9"/>
    <w:rsid w:val="216B2F6A"/>
    <w:rsid w:val="21733676"/>
    <w:rsid w:val="218C4752"/>
    <w:rsid w:val="21B172AA"/>
    <w:rsid w:val="21C038E5"/>
    <w:rsid w:val="21C24974"/>
    <w:rsid w:val="21F255AE"/>
    <w:rsid w:val="222A3A1D"/>
    <w:rsid w:val="22344E83"/>
    <w:rsid w:val="22380440"/>
    <w:rsid w:val="22550F5A"/>
    <w:rsid w:val="226E020D"/>
    <w:rsid w:val="228B154E"/>
    <w:rsid w:val="22C14EFA"/>
    <w:rsid w:val="22D57153"/>
    <w:rsid w:val="22F6610F"/>
    <w:rsid w:val="22F9490D"/>
    <w:rsid w:val="234B50E3"/>
    <w:rsid w:val="23543B9D"/>
    <w:rsid w:val="23647489"/>
    <w:rsid w:val="236E6DB2"/>
    <w:rsid w:val="238857BB"/>
    <w:rsid w:val="238A312E"/>
    <w:rsid w:val="238F4A93"/>
    <w:rsid w:val="23983F1E"/>
    <w:rsid w:val="239D2E0B"/>
    <w:rsid w:val="23B3630F"/>
    <w:rsid w:val="23C21CC6"/>
    <w:rsid w:val="23CC48C0"/>
    <w:rsid w:val="240F082C"/>
    <w:rsid w:val="24115591"/>
    <w:rsid w:val="2412498B"/>
    <w:rsid w:val="24127AB1"/>
    <w:rsid w:val="241B04F6"/>
    <w:rsid w:val="245F0C9E"/>
    <w:rsid w:val="24B07F63"/>
    <w:rsid w:val="24BF3E8B"/>
    <w:rsid w:val="24C7508A"/>
    <w:rsid w:val="24DF66ED"/>
    <w:rsid w:val="24F56189"/>
    <w:rsid w:val="2507100E"/>
    <w:rsid w:val="254B1FF4"/>
    <w:rsid w:val="255D78D9"/>
    <w:rsid w:val="25622FA4"/>
    <w:rsid w:val="25683AEC"/>
    <w:rsid w:val="25701CBF"/>
    <w:rsid w:val="25707940"/>
    <w:rsid w:val="25BA5CBE"/>
    <w:rsid w:val="25D2677D"/>
    <w:rsid w:val="25E96B58"/>
    <w:rsid w:val="261175C9"/>
    <w:rsid w:val="26176E7E"/>
    <w:rsid w:val="2621027A"/>
    <w:rsid w:val="26801B44"/>
    <w:rsid w:val="2694304E"/>
    <w:rsid w:val="269F36B2"/>
    <w:rsid w:val="26B35A7D"/>
    <w:rsid w:val="26C13F50"/>
    <w:rsid w:val="26C80F60"/>
    <w:rsid w:val="26D67FC2"/>
    <w:rsid w:val="27026407"/>
    <w:rsid w:val="272E4DF2"/>
    <w:rsid w:val="274310F8"/>
    <w:rsid w:val="277821C1"/>
    <w:rsid w:val="278513C5"/>
    <w:rsid w:val="27921E9E"/>
    <w:rsid w:val="27B30DDE"/>
    <w:rsid w:val="280D3C24"/>
    <w:rsid w:val="28187061"/>
    <w:rsid w:val="281F2EF5"/>
    <w:rsid w:val="28411E01"/>
    <w:rsid w:val="284561AD"/>
    <w:rsid w:val="28482F5D"/>
    <w:rsid w:val="285B3500"/>
    <w:rsid w:val="287F6F5C"/>
    <w:rsid w:val="28A071A4"/>
    <w:rsid w:val="28CC71B6"/>
    <w:rsid w:val="28D53FEE"/>
    <w:rsid w:val="28F52FB5"/>
    <w:rsid w:val="29150F7D"/>
    <w:rsid w:val="2932284F"/>
    <w:rsid w:val="296B121F"/>
    <w:rsid w:val="296E5A11"/>
    <w:rsid w:val="29AD5297"/>
    <w:rsid w:val="29BD6562"/>
    <w:rsid w:val="29BD7A6E"/>
    <w:rsid w:val="29E55F44"/>
    <w:rsid w:val="29EB475B"/>
    <w:rsid w:val="2A063491"/>
    <w:rsid w:val="2A7D240B"/>
    <w:rsid w:val="2A890A25"/>
    <w:rsid w:val="2A9955B3"/>
    <w:rsid w:val="2A9B30C0"/>
    <w:rsid w:val="2AAD3FF1"/>
    <w:rsid w:val="2AAF1545"/>
    <w:rsid w:val="2AC64860"/>
    <w:rsid w:val="2AEE7A53"/>
    <w:rsid w:val="2B212381"/>
    <w:rsid w:val="2B467BAD"/>
    <w:rsid w:val="2B496BF1"/>
    <w:rsid w:val="2B4D6250"/>
    <w:rsid w:val="2B5234B6"/>
    <w:rsid w:val="2B572DCE"/>
    <w:rsid w:val="2B8E638B"/>
    <w:rsid w:val="2B92096C"/>
    <w:rsid w:val="2B9D0947"/>
    <w:rsid w:val="2BA51BCF"/>
    <w:rsid w:val="2BB9081C"/>
    <w:rsid w:val="2BB96CF1"/>
    <w:rsid w:val="2BF2410E"/>
    <w:rsid w:val="2C636B26"/>
    <w:rsid w:val="2C6A598D"/>
    <w:rsid w:val="2C7F23E9"/>
    <w:rsid w:val="2C8A7054"/>
    <w:rsid w:val="2C923702"/>
    <w:rsid w:val="2C9C1D8E"/>
    <w:rsid w:val="2CD61049"/>
    <w:rsid w:val="2CE85D3C"/>
    <w:rsid w:val="2D077227"/>
    <w:rsid w:val="2D331A8F"/>
    <w:rsid w:val="2D52535E"/>
    <w:rsid w:val="2D5865B8"/>
    <w:rsid w:val="2D614E83"/>
    <w:rsid w:val="2D97032C"/>
    <w:rsid w:val="2DA34585"/>
    <w:rsid w:val="2DEC045F"/>
    <w:rsid w:val="2E2A34C6"/>
    <w:rsid w:val="2E3B56D4"/>
    <w:rsid w:val="2E400F3C"/>
    <w:rsid w:val="2E5107EB"/>
    <w:rsid w:val="2E647D44"/>
    <w:rsid w:val="2E6837A8"/>
    <w:rsid w:val="2E8E50B1"/>
    <w:rsid w:val="2EA62E8E"/>
    <w:rsid w:val="2EAF428D"/>
    <w:rsid w:val="2EC216B4"/>
    <w:rsid w:val="2EE2775D"/>
    <w:rsid w:val="2EF361A4"/>
    <w:rsid w:val="2F185226"/>
    <w:rsid w:val="2F25585B"/>
    <w:rsid w:val="2F2B3E6C"/>
    <w:rsid w:val="2F3358CE"/>
    <w:rsid w:val="2F3C229A"/>
    <w:rsid w:val="2F4A6121"/>
    <w:rsid w:val="2F4C6088"/>
    <w:rsid w:val="2F64439E"/>
    <w:rsid w:val="2F7F185E"/>
    <w:rsid w:val="2F9A6806"/>
    <w:rsid w:val="2F9A74C7"/>
    <w:rsid w:val="2FB019E9"/>
    <w:rsid w:val="2FC05914"/>
    <w:rsid w:val="2FDC6090"/>
    <w:rsid w:val="2FF54A82"/>
    <w:rsid w:val="30015080"/>
    <w:rsid w:val="300246FB"/>
    <w:rsid w:val="30042259"/>
    <w:rsid w:val="30086C65"/>
    <w:rsid w:val="300C7CDD"/>
    <w:rsid w:val="304A39DE"/>
    <w:rsid w:val="305675E7"/>
    <w:rsid w:val="30733591"/>
    <w:rsid w:val="307A0735"/>
    <w:rsid w:val="307C61AB"/>
    <w:rsid w:val="309A7A3E"/>
    <w:rsid w:val="30EB3836"/>
    <w:rsid w:val="310B0FA0"/>
    <w:rsid w:val="3112200A"/>
    <w:rsid w:val="31286079"/>
    <w:rsid w:val="316047DF"/>
    <w:rsid w:val="31942964"/>
    <w:rsid w:val="31BE7FEB"/>
    <w:rsid w:val="31C51E84"/>
    <w:rsid w:val="31CD6F8B"/>
    <w:rsid w:val="31E17BC6"/>
    <w:rsid w:val="32164C4A"/>
    <w:rsid w:val="322314F4"/>
    <w:rsid w:val="3223357F"/>
    <w:rsid w:val="326C6D93"/>
    <w:rsid w:val="32931FC9"/>
    <w:rsid w:val="32961437"/>
    <w:rsid w:val="329E7D50"/>
    <w:rsid w:val="32B1627B"/>
    <w:rsid w:val="33256D65"/>
    <w:rsid w:val="33325FD8"/>
    <w:rsid w:val="333A6BDB"/>
    <w:rsid w:val="3343167D"/>
    <w:rsid w:val="33437BE8"/>
    <w:rsid w:val="334B3F6D"/>
    <w:rsid w:val="334C45AC"/>
    <w:rsid w:val="337E3FFB"/>
    <w:rsid w:val="339E68B4"/>
    <w:rsid w:val="33B636DE"/>
    <w:rsid w:val="33B8008B"/>
    <w:rsid w:val="33ED5276"/>
    <w:rsid w:val="34174731"/>
    <w:rsid w:val="342316E7"/>
    <w:rsid w:val="345756FA"/>
    <w:rsid w:val="347723BE"/>
    <w:rsid w:val="34862962"/>
    <w:rsid w:val="348C67DA"/>
    <w:rsid w:val="34A87069"/>
    <w:rsid w:val="34AB4C4F"/>
    <w:rsid w:val="34CA23CA"/>
    <w:rsid w:val="34CC52D7"/>
    <w:rsid w:val="34FE11F5"/>
    <w:rsid w:val="35020CF9"/>
    <w:rsid w:val="350318A9"/>
    <w:rsid w:val="35056489"/>
    <w:rsid w:val="3518676F"/>
    <w:rsid w:val="352D6AB4"/>
    <w:rsid w:val="35330C9E"/>
    <w:rsid w:val="354D5B85"/>
    <w:rsid w:val="35560910"/>
    <w:rsid w:val="35665EFF"/>
    <w:rsid w:val="358427FC"/>
    <w:rsid w:val="35C34396"/>
    <w:rsid w:val="35C95316"/>
    <w:rsid w:val="35DB36F0"/>
    <w:rsid w:val="36575EF3"/>
    <w:rsid w:val="366137B9"/>
    <w:rsid w:val="36AA658F"/>
    <w:rsid w:val="36D46E38"/>
    <w:rsid w:val="36F2329E"/>
    <w:rsid w:val="370428D3"/>
    <w:rsid w:val="37127981"/>
    <w:rsid w:val="37426E40"/>
    <w:rsid w:val="37450315"/>
    <w:rsid w:val="375132DB"/>
    <w:rsid w:val="37624337"/>
    <w:rsid w:val="37625BDD"/>
    <w:rsid w:val="37632FA4"/>
    <w:rsid w:val="37742EFC"/>
    <w:rsid w:val="3775113E"/>
    <w:rsid w:val="37910CA7"/>
    <w:rsid w:val="3795046C"/>
    <w:rsid w:val="37A81DBB"/>
    <w:rsid w:val="37AA49EC"/>
    <w:rsid w:val="37AF0717"/>
    <w:rsid w:val="37BC32F9"/>
    <w:rsid w:val="37C2533F"/>
    <w:rsid w:val="37FC04AB"/>
    <w:rsid w:val="380D6141"/>
    <w:rsid w:val="383020BA"/>
    <w:rsid w:val="386418F5"/>
    <w:rsid w:val="386468CE"/>
    <w:rsid w:val="38760C47"/>
    <w:rsid w:val="38915912"/>
    <w:rsid w:val="389E3223"/>
    <w:rsid w:val="38AE17A3"/>
    <w:rsid w:val="38D82F06"/>
    <w:rsid w:val="39520077"/>
    <w:rsid w:val="396A3AC2"/>
    <w:rsid w:val="397E0A07"/>
    <w:rsid w:val="399929EF"/>
    <w:rsid w:val="39B83EF6"/>
    <w:rsid w:val="39D13637"/>
    <w:rsid w:val="39D56C72"/>
    <w:rsid w:val="39D72754"/>
    <w:rsid w:val="39EC0472"/>
    <w:rsid w:val="39F64CD0"/>
    <w:rsid w:val="3A1C1D24"/>
    <w:rsid w:val="3A612CCC"/>
    <w:rsid w:val="3A7633E7"/>
    <w:rsid w:val="3AAE2954"/>
    <w:rsid w:val="3AB755C2"/>
    <w:rsid w:val="3ABF68D3"/>
    <w:rsid w:val="3ACB5733"/>
    <w:rsid w:val="3B023801"/>
    <w:rsid w:val="3B0E03F8"/>
    <w:rsid w:val="3B351E28"/>
    <w:rsid w:val="3B3A73AB"/>
    <w:rsid w:val="3B5953EB"/>
    <w:rsid w:val="3B647D4A"/>
    <w:rsid w:val="3B684142"/>
    <w:rsid w:val="3B6C7053"/>
    <w:rsid w:val="3B8510A4"/>
    <w:rsid w:val="3B9027BA"/>
    <w:rsid w:val="3B9D5C20"/>
    <w:rsid w:val="3BBF214F"/>
    <w:rsid w:val="3BC5787D"/>
    <w:rsid w:val="3BE23DE8"/>
    <w:rsid w:val="3C113874"/>
    <w:rsid w:val="3C333E11"/>
    <w:rsid w:val="3C3E149F"/>
    <w:rsid w:val="3C7A163B"/>
    <w:rsid w:val="3C7A740B"/>
    <w:rsid w:val="3C941268"/>
    <w:rsid w:val="3C952DC1"/>
    <w:rsid w:val="3CAC2238"/>
    <w:rsid w:val="3CB95DCE"/>
    <w:rsid w:val="3CCD6091"/>
    <w:rsid w:val="3CD42EAE"/>
    <w:rsid w:val="3CE229E5"/>
    <w:rsid w:val="3D216F51"/>
    <w:rsid w:val="3D7645F3"/>
    <w:rsid w:val="3DBA3E7C"/>
    <w:rsid w:val="3DFE0568"/>
    <w:rsid w:val="3E096FA9"/>
    <w:rsid w:val="3E0D3D62"/>
    <w:rsid w:val="3E491420"/>
    <w:rsid w:val="3E4A3542"/>
    <w:rsid w:val="3E7569E0"/>
    <w:rsid w:val="3E897AB1"/>
    <w:rsid w:val="3EB2119A"/>
    <w:rsid w:val="3EB43064"/>
    <w:rsid w:val="3EDE6D7A"/>
    <w:rsid w:val="3EEA36B8"/>
    <w:rsid w:val="3EFE1679"/>
    <w:rsid w:val="3F1F4FCE"/>
    <w:rsid w:val="3F223E95"/>
    <w:rsid w:val="3F39041A"/>
    <w:rsid w:val="3F475AA4"/>
    <w:rsid w:val="3F4B3E20"/>
    <w:rsid w:val="3F951464"/>
    <w:rsid w:val="3F970BF0"/>
    <w:rsid w:val="3FA55B11"/>
    <w:rsid w:val="3FAD5213"/>
    <w:rsid w:val="3FCF4E45"/>
    <w:rsid w:val="3FD13271"/>
    <w:rsid w:val="3FDE1482"/>
    <w:rsid w:val="3FE30210"/>
    <w:rsid w:val="3FFB4BBC"/>
    <w:rsid w:val="400150DF"/>
    <w:rsid w:val="406B5905"/>
    <w:rsid w:val="40714BA7"/>
    <w:rsid w:val="4099507F"/>
    <w:rsid w:val="40DA6FCE"/>
    <w:rsid w:val="40F9279D"/>
    <w:rsid w:val="4108518D"/>
    <w:rsid w:val="413F6795"/>
    <w:rsid w:val="415529A8"/>
    <w:rsid w:val="415A2C36"/>
    <w:rsid w:val="41FB0AEB"/>
    <w:rsid w:val="4207560F"/>
    <w:rsid w:val="421952FE"/>
    <w:rsid w:val="42562684"/>
    <w:rsid w:val="42A5142B"/>
    <w:rsid w:val="42D26646"/>
    <w:rsid w:val="42D7129A"/>
    <w:rsid w:val="42DA5CF4"/>
    <w:rsid w:val="42ED74D8"/>
    <w:rsid w:val="43106CD7"/>
    <w:rsid w:val="43170677"/>
    <w:rsid w:val="432C1A71"/>
    <w:rsid w:val="435E4BB5"/>
    <w:rsid w:val="43716DBC"/>
    <w:rsid w:val="43B94CEA"/>
    <w:rsid w:val="43CC0B69"/>
    <w:rsid w:val="43CF5F92"/>
    <w:rsid w:val="43DA6543"/>
    <w:rsid w:val="44173EC7"/>
    <w:rsid w:val="442809EC"/>
    <w:rsid w:val="444C50DE"/>
    <w:rsid w:val="44571534"/>
    <w:rsid w:val="44992107"/>
    <w:rsid w:val="44F75869"/>
    <w:rsid w:val="44FC53A7"/>
    <w:rsid w:val="450E314E"/>
    <w:rsid w:val="4516477F"/>
    <w:rsid w:val="453C3DB3"/>
    <w:rsid w:val="453C7A2C"/>
    <w:rsid w:val="45552589"/>
    <w:rsid w:val="45A028E3"/>
    <w:rsid w:val="45B41F42"/>
    <w:rsid w:val="45B8392C"/>
    <w:rsid w:val="460F176B"/>
    <w:rsid w:val="46143F72"/>
    <w:rsid w:val="463C57B2"/>
    <w:rsid w:val="464419BE"/>
    <w:rsid w:val="464C5D02"/>
    <w:rsid w:val="4666656A"/>
    <w:rsid w:val="46840182"/>
    <w:rsid w:val="46BD4EB8"/>
    <w:rsid w:val="46D859A1"/>
    <w:rsid w:val="46EB4DF8"/>
    <w:rsid w:val="470E5B5B"/>
    <w:rsid w:val="47347822"/>
    <w:rsid w:val="474940D5"/>
    <w:rsid w:val="47550C36"/>
    <w:rsid w:val="4755115C"/>
    <w:rsid w:val="476B1D80"/>
    <w:rsid w:val="47743CD8"/>
    <w:rsid w:val="477675C6"/>
    <w:rsid w:val="47A1734D"/>
    <w:rsid w:val="47B861A8"/>
    <w:rsid w:val="47D35855"/>
    <w:rsid w:val="48240F36"/>
    <w:rsid w:val="48542B41"/>
    <w:rsid w:val="4875142C"/>
    <w:rsid w:val="48C33D10"/>
    <w:rsid w:val="48C90640"/>
    <w:rsid w:val="48C9671E"/>
    <w:rsid w:val="49130BEC"/>
    <w:rsid w:val="49177011"/>
    <w:rsid w:val="4938555E"/>
    <w:rsid w:val="49456ECD"/>
    <w:rsid w:val="49566652"/>
    <w:rsid w:val="49873168"/>
    <w:rsid w:val="498C4B2D"/>
    <w:rsid w:val="49C64D64"/>
    <w:rsid w:val="49C845A0"/>
    <w:rsid w:val="49F05A71"/>
    <w:rsid w:val="4A16716B"/>
    <w:rsid w:val="4A1C2755"/>
    <w:rsid w:val="4A2665F0"/>
    <w:rsid w:val="4A37453B"/>
    <w:rsid w:val="4A3C5304"/>
    <w:rsid w:val="4A4B6E08"/>
    <w:rsid w:val="4A7F7EF5"/>
    <w:rsid w:val="4A9152B0"/>
    <w:rsid w:val="4AD11774"/>
    <w:rsid w:val="4AD75B47"/>
    <w:rsid w:val="4B042CC3"/>
    <w:rsid w:val="4B0A411F"/>
    <w:rsid w:val="4B0C3D2A"/>
    <w:rsid w:val="4B1269F2"/>
    <w:rsid w:val="4B146A14"/>
    <w:rsid w:val="4B231B0F"/>
    <w:rsid w:val="4B2D3399"/>
    <w:rsid w:val="4B4A1E61"/>
    <w:rsid w:val="4B842010"/>
    <w:rsid w:val="4B9B5D4A"/>
    <w:rsid w:val="4BD4335A"/>
    <w:rsid w:val="4BDE5EE3"/>
    <w:rsid w:val="4C017F30"/>
    <w:rsid w:val="4C20715B"/>
    <w:rsid w:val="4C214E9E"/>
    <w:rsid w:val="4C971CC6"/>
    <w:rsid w:val="4C9C27CE"/>
    <w:rsid w:val="4C9D26B8"/>
    <w:rsid w:val="4C9F5B11"/>
    <w:rsid w:val="4D5F38BE"/>
    <w:rsid w:val="4D93750E"/>
    <w:rsid w:val="4D975C62"/>
    <w:rsid w:val="4DC83992"/>
    <w:rsid w:val="4DCE64DC"/>
    <w:rsid w:val="4DD70FFB"/>
    <w:rsid w:val="4DE2784F"/>
    <w:rsid w:val="4E1464F3"/>
    <w:rsid w:val="4E784953"/>
    <w:rsid w:val="4EB41DDB"/>
    <w:rsid w:val="4ECF3F08"/>
    <w:rsid w:val="4EEC498B"/>
    <w:rsid w:val="4EED213E"/>
    <w:rsid w:val="4EFF657E"/>
    <w:rsid w:val="4F4D5382"/>
    <w:rsid w:val="4FAD3EDE"/>
    <w:rsid w:val="4FB86861"/>
    <w:rsid w:val="4FC71F04"/>
    <w:rsid w:val="4FD51626"/>
    <w:rsid w:val="4FE107C4"/>
    <w:rsid w:val="4FEE66EE"/>
    <w:rsid w:val="4FF508FB"/>
    <w:rsid w:val="50061B91"/>
    <w:rsid w:val="50270759"/>
    <w:rsid w:val="503405B8"/>
    <w:rsid w:val="50BA1C94"/>
    <w:rsid w:val="50D25EFB"/>
    <w:rsid w:val="510D4856"/>
    <w:rsid w:val="513B4853"/>
    <w:rsid w:val="514221E9"/>
    <w:rsid w:val="5165163A"/>
    <w:rsid w:val="516A7D47"/>
    <w:rsid w:val="517E08C1"/>
    <w:rsid w:val="51884A9F"/>
    <w:rsid w:val="518A559A"/>
    <w:rsid w:val="519A4D81"/>
    <w:rsid w:val="51A81580"/>
    <w:rsid w:val="51B744F2"/>
    <w:rsid w:val="51BF4CFB"/>
    <w:rsid w:val="51CA51A3"/>
    <w:rsid w:val="520C406F"/>
    <w:rsid w:val="521F2A93"/>
    <w:rsid w:val="52254B58"/>
    <w:rsid w:val="52316E46"/>
    <w:rsid w:val="52691F60"/>
    <w:rsid w:val="52A6224C"/>
    <w:rsid w:val="52DD554B"/>
    <w:rsid w:val="52EA30A1"/>
    <w:rsid w:val="52EE3F32"/>
    <w:rsid w:val="531E58E8"/>
    <w:rsid w:val="53285977"/>
    <w:rsid w:val="533158AB"/>
    <w:rsid w:val="5367649F"/>
    <w:rsid w:val="537C41E5"/>
    <w:rsid w:val="53A92F79"/>
    <w:rsid w:val="53D31329"/>
    <w:rsid w:val="54227C5E"/>
    <w:rsid w:val="54293EC2"/>
    <w:rsid w:val="543202D0"/>
    <w:rsid w:val="546E385E"/>
    <w:rsid w:val="546F0CA1"/>
    <w:rsid w:val="549127A3"/>
    <w:rsid w:val="549256BB"/>
    <w:rsid w:val="549C0F2F"/>
    <w:rsid w:val="54A72678"/>
    <w:rsid w:val="54B33688"/>
    <w:rsid w:val="54CD1A4C"/>
    <w:rsid w:val="54E25BC1"/>
    <w:rsid w:val="54E3283C"/>
    <w:rsid w:val="54F84F53"/>
    <w:rsid w:val="54FA08B4"/>
    <w:rsid w:val="5512068D"/>
    <w:rsid w:val="55195EBF"/>
    <w:rsid w:val="551F3584"/>
    <w:rsid w:val="55393464"/>
    <w:rsid w:val="555B40F6"/>
    <w:rsid w:val="5592035A"/>
    <w:rsid w:val="55A25F6F"/>
    <w:rsid w:val="55C56C91"/>
    <w:rsid w:val="55C6627E"/>
    <w:rsid w:val="55CB3FD2"/>
    <w:rsid w:val="55D76BF5"/>
    <w:rsid w:val="55D9664A"/>
    <w:rsid w:val="55DF1AA9"/>
    <w:rsid w:val="56255E36"/>
    <w:rsid w:val="562E0043"/>
    <w:rsid w:val="564156AD"/>
    <w:rsid w:val="566B5531"/>
    <w:rsid w:val="566F11AA"/>
    <w:rsid w:val="567F3A22"/>
    <w:rsid w:val="56CA6A0D"/>
    <w:rsid w:val="57087F99"/>
    <w:rsid w:val="571451E3"/>
    <w:rsid w:val="57463FD4"/>
    <w:rsid w:val="57474264"/>
    <w:rsid w:val="574D3BFE"/>
    <w:rsid w:val="57705612"/>
    <w:rsid w:val="577438B3"/>
    <w:rsid w:val="57766560"/>
    <w:rsid w:val="57A75A04"/>
    <w:rsid w:val="57D024EC"/>
    <w:rsid w:val="57D32355"/>
    <w:rsid w:val="581461FA"/>
    <w:rsid w:val="584F6259"/>
    <w:rsid w:val="58506052"/>
    <w:rsid w:val="586174CF"/>
    <w:rsid w:val="587F752D"/>
    <w:rsid w:val="58C73A59"/>
    <w:rsid w:val="5938549E"/>
    <w:rsid w:val="593B506D"/>
    <w:rsid w:val="59832EF6"/>
    <w:rsid w:val="59A5352D"/>
    <w:rsid w:val="59AA0ACD"/>
    <w:rsid w:val="59AC7AC3"/>
    <w:rsid w:val="59B0214D"/>
    <w:rsid w:val="59BE1DB0"/>
    <w:rsid w:val="59CC0D45"/>
    <w:rsid w:val="59CE54CA"/>
    <w:rsid w:val="59E55820"/>
    <w:rsid w:val="5A09483E"/>
    <w:rsid w:val="5A2661E6"/>
    <w:rsid w:val="5A2A5610"/>
    <w:rsid w:val="5A5A1089"/>
    <w:rsid w:val="5A6F1484"/>
    <w:rsid w:val="5ABF4624"/>
    <w:rsid w:val="5AE2129B"/>
    <w:rsid w:val="5AE468D4"/>
    <w:rsid w:val="5AF15C45"/>
    <w:rsid w:val="5B1A473F"/>
    <w:rsid w:val="5B2D7BFC"/>
    <w:rsid w:val="5B42795C"/>
    <w:rsid w:val="5B6E5EEE"/>
    <w:rsid w:val="5B821A48"/>
    <w:rsid w:val="5B881239"/>
    <w:rsid w:val="5B8B1199"/>
    <w:rsid w:val="5B9276BF"/>
    <w:rsid w:val="5BDA6F84"/>
    <w:rsid w:val="5BE62563"/>
    <w:rsid w:val="5BE921D0"/>
    <w:rsid w:val="5BEC43B1"/>
    <w:rsid w:val="5BEF35FC"/>
    <w:rsid w:val="5BFD5604"/>
    <w:rsid w:val="5C0A2F94"/>
    <w:rsid w:val="5C0B4C4D"/>
    <w:rsid w:val="5C0F3456"/>
    <w:rsid w:val="5C693330"/>
    <w:rsid w:val="5C855BE8"/>
    <w:rsid w:val="5C93605A"/>
    <w:rsid w:val="5CB82EA4"/>
    <w:rsid w:val="5CDB5111"/>
    <w:rsid w:val="5CF42225"/>
    <w:rsid w:val="5D3256CD"/>
    <w:rsid w:val="5D355E4C"/>
    <w:rsid w:val="5D4922D7"/>
    <w:rsid w:val="5D771D30"/>
    <w:rsid w:val="5D8F30A0"/>
    <w:rsid w:val="5D973100"/>
    <w:rsid w:val="5DD15290"/>
    <w:rsid w:val="5DE14844"/>
    <w:rsid w:val="5E477529"/>
    <w:rsid w:val="5E7C63AB"/>
    <w:rsid w:val="5EC77E5B"/>
    <w:rsid w:val="5F213BB4"/>
    <w:rsid w:val="5F232641"/>
    <w:rsid w:val="5F4E2E05"/>
    <w:rsid w:val="5F5F0B8D"/>
    <w:rsid w:val="5F711C89"/>
    <w:rsid w:val="5F7D7B67"/>
    <w:rsid w:val="5FAE1852"/>
    <w:rsid w:val="5FC31F32"/>
    <w:rsid w:val="5FD25352"/>
    <w:rsid w:val="5FD255E8"/>
    <w:rsid w:val="5FD75FCF"/>
    <w:rsid w:val="60141D45"/>
    <w:rsid w:val="6035762E"/>
    <w:rsid w:val="604A3AE8"/>
    <w:rsid w:val="605270D8"/>
    <w:rsid w:val="60681350"/>
    <w:rsid w:val="60A00656"/>
    <w:rsid w:val="60AE3960"/>
    <w:rsid w:val="60C12264"/>
    <w:rsid w:val="611356F0"/>
    <w:rsid w:val="615101E5"/>
    <w:rsid w:val="61805E33"/>
    <w:rsid w:val="61BF06D3"/>
    <w:rsid w:val="61C64CD9"/>
    <w:rsid w:val="61F8142E"/>
    <w:rsid w:val="61FC4B9F"/>
    <w:rsid w:val="620736E2"/>
    <w:rsid w:val="62130CAE"/>
    <w:rsid w:val="62293624"/>
    <w:rsid w:val="622A499A"/>
    <w:rsid w:val="624A7950"/>
    <w:rsid w:val="62514A93"/>
    <w:rsid w:val="625919BC"/>
    <w:rsid w:val="62621620"/>
    <w:rsid w:val="62724E61"/>
    <w:rsid w:val="627D1648"/>
    <w:rsid w:val="62962CA9"/>
    <w:rsid w:val="62F45369"/>
    <w:rsid w:val="62FC1956"/>
    <w:rsid w:val="63343EEA"/>
    <w:rsid w:val="633914DA"/>
    <w:rsid w:val="633A71B0"/>
    <w:rsid w:val="635C3B47"/>
    <w:rsid w:val="63656AFC"/>
    <w:rsid w:val="637056DA"/>
    <w:rsid w:val="63736F5F"/>
    <w:rsid w:val="63B3371A"/>
    <w:rsid w:val="63D27A91"/>
    <w:rsid w:val="63DB732D"/>
    <w:rsid w:val="64041887"/>
    <w:rsid w:val="643A3E9E"/>
    <w:rsid w:val="64463269"/>
    <w:rsid w:val="64513F33"/>
    <w:rsid w:val="645418F9"/>
    <w:rsid w:val="645B1598"/>
    <w:rsid w:val="645F1F90"/>
    <w:rsid w:val="64603181"/>
    <w:rsid w:val="6463608D"/>
    <w:rsid w:val="64826A80"/>
    <w:rsid w:val="64895DD4"/>
    <w:rsid w:val="64915EB2"/>
    <w:rsid w:val="649810AE"/>
    <w:rsid w:val="64A13A99"/>
    <w:rsid w:val="64A80B0E"/>
    <w:rsid w:val="64C265CB"/>
    <w:rsid w:val="64CC5155"/>
    <w:rsid w:val="64D01364"/>
    <w:rsid w:val="64F359C8"/>
    <w:rsid w:val="64F45CC6"/>
    <w:rsid w:val="652948F4"/>
    <w:rsid w:val="65492F86"/>
    <w:rsid w:val="655341F0"/>
    <w:rsid w:val="65544F6D"/>
    <w:rsid w:val="65A87FAF"/>
    <w:rsid w:val="65B52C94"/>
    <w:rsid w:val="65C92E4B"/>
    <w:rsid w:val="6609364A"/>
    <w:rsid w:val="6613635D"/>
    <w:rsid w:val="661846E1"/>
    <w:rsid w:val="66267FA3"/>
    <w:rsid w:val="6635713E"/>
    <w:rsid w:val="66447F07"/>
    <w:rsid w:val="6649349B"/>
    <w:rsid w:val="665713D8"/>
    <w:rsid w:val="66770196"/>
    <w:rsid w:val="669F4FD8"/>
    <w:rsid w:val="66B53434"/>
    <w:rsid w:val="66E856F1"/>
    <w:rsid w:val="67031DD1"/>
    <w:rsid w:val="6722241D"/>
    <w:rsid w:val="673646FA"/>
    <w:rsid w:val="673A6416"/>
    <w:rsid w:val="675712DB"/>
    <w:rsid w:val="678835EF"/>
    <w:rsid w:val="678E2859"/>
    <w:rsid w:val="67977A1A"/>
    <w:rsid w:val="67A40223"/>
    <w:rsid w:val="67A83E6D"/>
    <w:rsid w:val="67F65FED"/>
    <w:rsid w:val="67FB1C20"/>
    <w:rsid w:val="681B430C"/>
    <w:rsid w:val="68281E23"/>
    <w:rsid w:val="68706475"/>
    <w:rsid w:val="68A62CBA"/>
    <w:rsid w:val="68AB509F"/>
    <w:rsid w:val="68BD6F8F"/>
    <w:rsid w:val="68D863A1"/>
    <w:rsid w:val="68E1670B"/>
    <w:rsid w:val="68F72A58"/>
    <w:rsid w:val="69037F81"/>
    <w:rsid w:val="690E414E"/>
    <w:rsid w:val="69174FD7"/>
    <w:rsid w:val="69273182"/>
    <w:rsid w:val="6938333C"/>
    <w:rsid w:val="693E6D8C"/>
    <w:rsid w:val="693F1738"/>
    <w:rsid w:val="69461F71"/>
    <w:rsid w:val="698A048D"/>
    <w:rsid w:val="69B0699A"/>
    <w:rsid w:val="69BC0E96"/>
    <w:rsid w:val="69C2118F"/>
    <w:rsid w:val="69D078F7"/>
    <w:rsid w:val="6A06533F"/>
    <w:rsid w:val="6A51241A"/>
    <w:rsid w:val="6A5C4E20"/>
    <w:rsid w:val="6A6A1B77"/>
    <w:rsid w:val="6A6C5F70"/>
    <w:rsid w:val="6A885221"/>
    <w:rsid w:val="6A910F4F"/>
    <w:rsid w:val="6A9A6878"/>
    <w:rsid w:val="6AB047B3"/>
    <w:rsid w:val="6AC31419"/>
    <w:rsid w:val="6ACE2BF0"/>
    <w:rsid w:val="6AD6534A"/>
    <w:rsid w:val="6ADD60F3"/>
    <w:rsid w:val="6AE173BB"/>
    <w:rsid w:val="6AE86424"/>
    <w:rsid w:val="6B0D149E"/>
    <w:rsid w:val="6B1349A4"/>
    <w:rsid w:val="6B300EF0"/>
    <w:rsid w:val="6B4247ED"/>
    <w:rsid w:val="6B451A0C"/>
    <w:rsid w:val="6B4627A5"/>
    <w:rsid w:val="6B5F37EC"/>
    <w:rsid w:val="6B785B3D"/>
    <w:rsid w:val="6B7C458F"/>
    <w:rsid w:val="6B8403DD"/>
    <w:rsid w:val="6B9042EB"/>
    <w:rsid w:val="6BCA3FD0"/>
    <w:rsid w:val="6BD36970"/>
    <w:rsid w:val="6BE102D0"/>
    <w:rsid w:val="6BF71B94"/>
    <w:rsid w:val="6C190DAD"/>
    <w:rsid w:val="6C2E4F91"/>
    <w:rsid w:val="6C4309A9"/>
    <w:rsid w:val="6C65085D"/>
    <w:rsid w:val="6C6818BD"/>
    <w:rsid w:val="6C700183"/>
    <w:rsid w:val="6C705B03"/>
    <w:rsid w:val="6C8450BF"/>
    <w:rsid w:val="6C871509"/>
    <w:rsid w:val="6CDB520D"/>
    <w:rsid w:val="6D1E6B74"/>
    <w:rsid w:val="6D275E90"/>
    <w:rsid w:val="6D5B6C1D"/>
    <w:rsid w:val="6D654FA0"/>
    <w:rsid w:val="6D9A25EB"/>
    <w:rsid w:val="6DC138BE"/>
    <w:rsid w:val="6DC21EAC"/>
    <w:rsid w:val="6DDF207F"/>
    <w:rsid w:val="6DEB7B40"/>
    <w:rsid w:val="6E4641D2"/>
    <w:rsid w:val="6E5D5E40"/>
    <w:rsid w:val="6E6F33D3"/>
    <w:rsid w:val="6E8329A2"/>
    <w:rsid w:val="6E8977BA"/>
    <w:rsid w:val="6E974E15"/>
    <w:rsid w:val="6E9C32F9"/>
    <w:rsid w:val="6E9C37F3"/>
    <w:rsid w:val="6EAA3D90"/>
    <w:rsid w:val="6EAD24A6"/>
    <w:rsid w:val="6EBC36EB"/>
    <w:rsid w:val="6EBC5FB9"/>
    <w:rsid w:val="6EBE76B8"/>
    <w:rsid w:val="6EDF7346"/>
    <w:rsid w:val="6EE14146"/>
    <w:rsid w:val="6EF379F1"/>
    <w:rsid w:val="6EF5256B"/>
    <w:rsid w:val="6F04499A"/>
    <w:rsid w:val="6F455F9D"/>
    <w:rsid w:val="6F4F6AA3"/>
    <w:rsid w:val="6F5172AB"/>
    <w:rsid w:val="6F5B46CA"/>
    <w:rsid w:val="6F607BC9"/>
    <w:rsid w:val="6F9D6F71"/>
    <w:rsid w:val="6FD43C5F"/>
    <w:rsid w:val="6FEE7404"/>
    <w:rsid w:val="700369C0"/>
    <w:rsid w:val="70096EC8"/>
    <w:rsid w:val="700B17BD"/>
    <w:rsid w:val="702C2AF3"/>
    <w:rsid w:val="7085135D"/>
    <w:rsid w:val="70871327"/>
    <w:rsid w:val="70B34A3D"/>
    <w:rsid w:val="70B60963"/>
    <w:rsid w:val="70B62197"/>
    <w:rsid w:val="70D32F6E"/>
    <w:rsid w:val="70E10B12"/>
    <w:rsid w:val="70F33624"/>
    <w:rsid w:val="71007D30"/>
    <w:rsid w:val="71070572"/>
    <w:rsid w:val="711019F0"/>
    <w:rsid w:val="71146BDD"/>
    <w:rsid w:val="713C6128"/>
    <w:rsid w:val="71661719"/>
    <w:rsid w:val="71772887"/>
    <w:rsid w:val="71780344"/>
    <w:rsid w:val="7197218B"/>
    <w:rsid w:val="71A3324E"/>
    <w:rsid w:val="71DC3008"/>
    <w:rsid w:val="71E75E2D"/>
    <w:rsid w:val="72235CA9"/>
    <w:rsid w:val="72502070"/>
    <w:rsid w:val="72656DD3"/>
    <w:rsid w:val="726D5BC5"/>
    <w:rsid w:val="727E0C6F"/>
    <w:rsid w:val="729D3834"/>
    <w:rsid w:val="72D16458"/>
    <w:rsid w:val="72DD2263"/>
    <w:rsid w:val="73023D59"/>
    <w:rsid w:val="73150018"/>
    <w:rsid w:val="732B1AD2"/>
    <w:rsid w:val="733F0D8F"/>
    <w:rsid w:val="738552C4"/>
    <w:rsid w:val="73BE570A"/>
    <w:rsid w:val="73C072E4"/>
    <w:rsid w:val="73DD61D4"/>
    <w:rsid w:val="73E35A02"/>
    <w:rsid w:val="74250B2B"/>
    <w:rsid w:val="742626EE"/>
    <w:rsid w:val="742C4788"/>
    <w:rsid w:val="744E224E"/>
    <w:rsid w:val="74597C2E"/>
    <w:rsid w:val="748A7722"/>
    <w:rsid w:val="74B06065"/>
    <w:rsid w:val="74E36E25"/>
    <w:rsid w:val="75007B1F"/>
    <w:rsid w:val="751A708E"/>
    <w:rsid w:val="755C79D6"/>
    <w:rsid w:val="75635D25"/>
    <w:rsid w:val="756845CD"/>
    <w:rsid w:val="756C3081"/>
    <w:rsid w:val="75706041"/>
    <w:rsid w:val="75711A6A"/>
    <w:rsid w:val="75CA4F73"/>
    <w:rsid w:val="75F35E7C"/>
    <w:rsid w:val="75F532DE"/>
    <w:rsid w:val="76240F46"/>
    <w:rsid w:val="76571277"/>
    <w:rsid w:val="76631A62"/>
    <w:rsid w:val="7675111D"/>
    <w:rsid w:val="768D257E"/>
    <w:rsid w:val="76AE13E1"/>
    <w:rsid w:val="76BA143A"/>
    <w:rsid w:val="76CC764E"/>
    <w:rsid w:val="76D850A0"/>
    <w:rsid w:val="76FC06CD"/>
    <w:rsid w:val="77010E09"/>
    <w:rsid w:val="77344FDC"/>
    <w:rsid w:val="7739709A"/>
    <w:rsid w:val="777208E7"/>
    <w:rsid w:val="777A429F"/>
    <w:rsid w:val="77D568A6"/>
    <w:rsid w:val="77E418BC"/>
    <w:rsid w:val="782A180D"/>
    <w:rsid w:val="78630D1F"/>
    <w:rsid w:val="787A3F90"/>
    <w:rsid w:val="78862114"/>
    <w:rsid w:val="78B10039"/>
    <w:rsid w:val="78B10414"/>
    <w:rsid w:val="78FC2038"/>
    <w:rsid w:val="79057FBC"/>
    <w:rsid w:val="793858F2"/>
    <w:rsid w:val="79463A58"/>
    <w:rsid w:val="796706F8"/>
    <w:rsid w:val="797B2A39"/>
    <w:rsid w:val="79833485"/>
    <w:rsid w:val="7987219A"/>
    <w:rsid w:val="79986B03"/>
    <w:rsid w:val="79CE38C9"/>
    <w:rsid w:val="79E9735F"/>
    <w:rsid w:val="79FE48E4"/>
    <w:rsid w:val="7A296769"/>
    <w:rsid w:val="7A3C7B91"/>
    <w:rsid w:val="7A5B6A67"/>
    <w:rsid w:val="7A7259C5"/>
    <w:rsid w:val="7A7B0E2A"/>
    <w:rsid w:val="7A8416EF"/>
    <w:rsid w:val="7A997C4B"/>
    <w:rsid w:val="7AA34A09"/>
    <w:rsid w:val="7AD604F6"/>
    <w:rsid w:val="7AEE7323"/>
    <w:rsid w:val="7AFD5FDC"/>
    <w:rsid w:val="7B1E510C"/>
    <w:rsid w:val="7B2230AC"/>
    <w:rsid w:val="7B6B491E"/>
    <w:rsid w:val="7B6C1BD3"/>
    <w:rsid w:val="7B6E248F"/>
    <w:rsid w:val="7B9417AA"/>
    <w:rsid w:val="7B9559F0"/>
    <w:rsid w:val="7B9D1432"/>
    <w:rsid w:val="7BD16ACF"/>
    <w:rsid w:val="7BFD5343"/>
    <w:rsid w:val="7C00055F"/>
    <w:rsid w:val="7C365DE1"/>
    <w:rsid w:val="7C4B6F3D"/>
    <w:rsid w:val="7C80044E"/>
    <w:rsid w:val="7C8E5650"/>
    <w:rsid w:val="7C9B019A"/>
    <w:rsid w:val="7CAC7093"/>
    <w:rsid w:val="7CCC66F0"/>
    <w:rsid w:val="7CDB7057"/>
    <w:rsid w:val="7CE74579"/>
    <w:rsid w:val="7CF0724E"/>
    <w:rsid w:val="7D0E4BEE"/>
    <w:rsid w:val="7D1D63E9"/>
    <w:rsid w:val="7D2C081A"/>
    <w:rsid w:val="7D4F51BD"/>
    <w:rsid w:val="7D625FD1"/>
    <w:rsid w:val="7D740A5A"/>
    <w:rsid w:val="7D7D5F63"/>
    <w:rsid w:val="7D8555F0"/>
    <w:rsid w:val="7D902913"/>
    <w:rsid w:val="7DA65036"/>
    <w:rsid w:val="7DBF36EF"/>
    <w:rsid w:val="7DC14EB7"/>
    <w:rsid w:val="7DC23DF4"/>
    <w:rsid w:val="7DCE664D"/>
    <w:rsid w:val="7DD015E4"/>
    <w:rsid w:val="7DD42C84"/>
    <w:rsid w:val="7E040B7A"/>
    <w:rsid w:val="7E202291"/>
    <w:rsid w:val="7E2E6471"/>
    <w:rsid w:val="7E460D4B"/>
    <w:rsid w:val="7E690B9D"/>
    <w:rsid w:val="7E6B67E8"/>
    <w:rsid w:val="7E740E33"/>
    <w:rsid w:val="7E7F0644"/>
    <w:rsid w:val="7E845E2E"/>
    <w:rsid w:val="7E9275E4"/>
    <w:rsid w:val="7EBE700C"/>
    <w:rsid w:val="7EDA196C"/>
    <w:rsid w:val="7EFB3DBC"/>
    <w:rsid w:val="7F015D9E"/>
    <w:rsid w:val="7F0215EE"/>
    <w:rsid w:val="7F1C4F25"/>
    <w:rsid w:val="7F286B7B"/>
    <w:rsid w:val="7F677401"/>
    <w:rsid w:val="7F8C0647"/>
    <w:rsid w:val="7FBB475D"/>
    <w:rsid w:val="7FBF09C3"/>
    <w:rsid w:val="7FC1530E"/>
    <w:rsid w:val="7FCE4C47"/>
    <w:rsid w:val="7FE96180"/>
    <w:rsid w:val="7FF5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8">
    <w:name w:val="index 8"/>
    <w:basedOn w:val="1"/>
    <w:next w:val="1"/>
    <w:qFormat/>
    <w:uiPriority w:val="0"/>
    <w:pPr>
      <w:spacing w:line="276" w:lineRule="auto"/>
      <w:jc w:val="left"/>
    </w:pPr>
    <w:rPr>
      <w:rFonts w:hAnsi="宋体"/>
      <w:color w:val="FF0000"/>
      <w:szCs w:val="21"/>
    </w:rPr>
  </w:style>
  <w:style w:type="paragraph" w:styleId="9">
    <w:name w:val="Normal Indent"/>
    <w:basedOn w:val="1"/>
    <w:link w:val="43"/>
    <w:qFormat/>
    <w:uiPriority w:val="0"/>
    <w:pPr>
      <w:ind w:firstLine="420" w:firstLineChars="200"/>
    </w:pPr>
  </w:style>
  <w:style w:type="paragraph" w:styleId="10">
    <w:name w:val="annotation text"/>
    <w:basedOn w:val="1"/>
    <w:link w:val="44"/>
    <w:qFormat/>
    <w:uiPriority w:val="0"/>
    <w:pPr>
      <w:jc w:val="left"/>
    </w:pPr>
    <w:rPr>
      <w:sz w:val="18"/>
      <w:szCs w:val="20"/>
    </w:rPr>
  </w:style>
  <w:style w:type="paragraph" w:styleId="11">
    <w:name w:val="Body Text 3"/>
    <w:basedOn w:val="1"/>
    <w:qFormat/>
    <w:uiPriority w:val="0"/>
    <w:pPr>
      <w:spacing w:after="120"/>
    </w:pPr>
    <w:rPr>
      <w:sz w:val="16"/>
      <w:szCs w:val="16"/>
    </w:rPr>
  </w:style>
  <w:style w:type="paragraph" w:styleId="12">
    <w:name w:val="Body Text Indent"/>
    <w:basedOn w:val="1"/>
    <w:link w:val="45"/>
    <w:qFormat/>
    <w:uiPriority w:val="0"/>
    <w:pPr>
      <w:ind w:firstLine="630"/>
    </w:pPr>
    <w:rPr>
      <w:sz w:val="32"/>
      <w:szCs w:val="20"/>
    </w:rPr>
  </w:style>
  <w:style w:type="paragraph" w:styleId="13">
    <w:name w:val="toc 3"/>
    <w:basedOn w:val="1"/>
    <w:next w:val="1"/>
    <w:qFormat/>
    <w:uiPriority w:val="0"/>
    <w:pPr>
      <w:ind w:left="840" w:leftChars="400"/>
    </w:pPr>
  </w:style>
  <w:style w:type="paragraph" w:styleId="14">
    <w:name w:val="Plain Text"/>
    <w:basedOn w:val="1"/>
    <w:link w:val="46"/>
    <w:qFormat/>
    <w:uiPriority w:val="0"/>
    <w:pPr>
      <w:autoSpaceDE w:val="0"/>
      <w:autoSpaceDN w:val="0"/>
      <w:adjustRightInd w:val="0"/>
    </w:pPr>
    <w:rPr>
      <w:rFonts w:ascii="宋体" w:hAnsi="Tms Rmn"/>
      <w:kern w:val="0"/>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next w:val="1"/>
    <w:semiHidden/>
    <w:qFormat/>
    <w:uiPriority w:val="0"/>
    <w:rPr>
      <w:sz w:val="18"/>
      <w:szCs w:val="18"/>
    </w:rPr>
  </w:style>
  <w:style w:type="paragraph" w:styleId="17">
    <w:name w:val="footer"/>
    <w:basedOn w:val="1"/>
    <w:link w:val="47"/>
    <w:qFormat/>
    <w:uiPriority w:val="99"/>
    <w:pPr>
      <w:tabs>
        <w:tab w:val="center" w:pos="4153"/>
        <w:tab w:val="right" w:pos="8306"/>
      </w:tabs>
      <w:snapToGrid w:val="0"/>
      <w:jc w:val="left"/>
    </w:pPr>
    <w:rPr>
      <w:sz w:val="18"/>
      <w:szCs w:val="20"/>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sz w:val="18"/>
      <w:szCs w:val="20"/>
    </w:rPr>
  </w:style>
  <w:style w:type="paragraph" w:styleId="1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0">
    <w:name w:val="footnote text"/>
    <w:basedOn w:val="1"/>
    <w:qFormat/>
    <w:uiPriority w:val="0"/>
    <w:pPr>
      <w:snapToGrid w:val="0"/>
      <w:jc w:val="left"/>
    </w:pPr>
    <w:rPr>
      <w:sz w:val="18"/>
    </w:rPr>
  </w:style>
  <w:style w:type="paragraph" w:styleId="21">
    <w:name w:val="Body Text Indent 3"/>
    <w:basedOn w:val="1"/>
    <w:link w:val="49"/>
    <w:qFormat/>
    <w:uiPriority w:val="0"/>
    <w:pPr>
      <w:spacing w:after="120"/>
      <w:ind w:left="420" w:leftChars="200"/>
    </w:pPr>
    <w:rPr>
      <w:sz w:val="16"/>
      <w:szCs w:val="16"/>
    </w:rPr>
  </w:style>
  <w:style w:type="paragraph" w:styleId="22">
    <w:name w:val="toc 2"/>
    <w:basedOn w:val="1"/>
    <w:next w:val="1"/>
    <w:qFormat/>
    <w:uiPriority w:val="0"/>
    <w:pPr>
      <w:ind w:left="420" w:leftChars="200"/>
    </w:pPr>
  </w:style>
  <w:style w:type="paragraph" w:styleId="23">
    <w:name w:val="Body Text 2"/>
    <w:basedOn w:val="1"/>
    <w:qFormat/>
    <w:uiPriority w:val="0"/>
    <w:rPr>
      <w:rFonts w:ascii="宋体" w:hAnsi="宋体"/>
      <w:b/>
      <w:sz w:val="24"/>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5">
    <w:name w:val="annotation subject"/>
    <w:basedOn w:val="10"/>
    <w:next w:val="10"/>
    <w:link w:val="50"/>
    <w:qFormat/>
    <w:uiPriority w:val="0"/>
    <w:rPr>
      <w:b/>
      <w:bCs/>
      <w:sz w:val="21"/>
      <w:szCs w:val="24"/>
    </w:rPr>
  </w:style>
  <w:style w:type="paragraph" w:styleId="26">
    <w:name w:val="Body Text First Indent"/>
    <w:basedOn w:val="2"/>
    <w:unhideWhenUsed/>
    <w:qFormat/>
    <w:uiPriority w:val="0"/>
    <w:pPr>
      <w:ind w:firstLine="420" w:firstLineChars="100"/>
    </w:pPr>
  </w:style>
  <w:style w:type="paragraph" w:styleId="27">
    <w:name w:val="Body Text First Indent 2"/>
    <w:basedOn w:val="12"/>
    <w:qFormat/>
    <w:uiPriority w:val="0"/>
    <w:pPr>
      <w:ind w:firstLine="20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FollowedHyperlink"/>
    <w:qFormat/>
    <w:uiPriority w:val="0"/>
    <w:rPr>
      <w:color w:val="000000"/>
      <w:sz w:val="18"/>
      <w:szCs w:val="18"/>
      <w:u w:val="none"/>
    </w:rPr>
  </w:style>
  <w:style w:type="character" w:styleId="34">
    <w:name w:val="Hyperlink"/>
    <w:qFormat/>
    <w:uiPriority w:val="0"/>
    <w:rPr>
      <w:color w:val="000000"/>
      <w:sz w:val="18"/>
      <w:szCs w:val="18"/>
      <w:u w:val="none"/>
    </w:rPr>
  </w:style>
  <w:style w:type="character" w:styleId="35">
    <w:name w:val="annotation reference"/>
    <w:qFormat/>
    <w:uiPriority w:val="0"/>
    <w:rPr>
      <w:sz w:val="21"/>
      <w:szCs w:val="21"/>
    </w:rPr>
  </w:style>
  <w:style w:type="character" w:styleId="36">
    <w:name w:val="footnote reference"/>
    <w:qFormat/>
    <w:uiPriority w:val="0"/>
    <w:rPr>
      <w:vertAlign w:val="superscript"/>
    </w:rPr>
  </w:style>
  <w:style w:type="paragraph" w:customStyle="1" w:styleId="37">
    <w:name w:val="正文1"/>
    <w:qFormat/>
    <w:uiPriority w:val="0"/>
    <w:pPr>
      <w:widowControl w:val="0"/>
      <w:adjustRightInd w:val="0"/>
      <w:spacing w:after="160" w:line="312" w:lineRule="atLeast"/>
      <w:jc w:val="both"/>
      <w:textAlignment w:val="baseline"/>
    </w:pPr>
    <w:rPr>
      <w:rFonts w:ascii="宋体" w:hAnsi="Times New Roman" w:eastAsia="宋体" w:cs="Times New Roman"/>
      <w:sz w:val="34"/>
      <w:szCs w:val="22"/>
      <w:lang w:val="en-US" w:eastAsia="zh-CN" w:bidi="ar-SA"/>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标题 5（有编号）（绿盟科技）"/>
    <w:basedOn w:val="1"/>
    <w:next w:val="4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标题 2 字符"/>
    <w:link w:val="4"/>
    <w:qFormat/>
    <w:uiPriority w:val="0"/>
    <w:rPr>
      <w:rFonts w:ascii="Arial" w:hAnsi="Arial" w:eastAsia="黑体"/>
      <w:b/>
      <w:bCs/>
      <w:sz w:val="32"/>
      <w:szCs w:val="32"/>
    </w:rPr>
  </w:style>
  <w:style w:type="character" w:customStyle="1" w:styleId="42">
    <w:name w:val="标题 3 字符"/>
    <w:link w:val="5"/>
    <w:qFormat/>
    <w:uiPriority w:val="0"/>
    <w:rPr>
      <w:b/>
      <w:bCs/>
      <w:sz w:val="32"/>
      <w:szCs w:val="32"/>
    </w:rPr>
  </w:style>
  <w:style w:type="character" w:customStyle="1" w:styleId="43">
    <w:name w:val="正文缩进 字符"/>
    <w:link w:val="9"/>
    <w:qFormat/>
    <w:uiPriority w:val="0"/>
    <w:rPr>
      <w:rFonts w:eastAsia="宋体"/>
      <w:kern w:val="2"/>
      <w:sz w:val="21"/>
      <w:szCs w:val="24"/>
      <w:lang w:val="en-US" w:eastAsia="zh-CN" w:bidi="ar-SA"/>
    </w:rPr>
  </w:style>
  <w:style w:type="character" w:customStyle="1" w:styleId="44">
    <w:name w:val="批注文字 字符"/>
    <w:link w:val="10"/>
    <w:qFormat/>
    <w:uiPriority w:val="0"/>
    <w:rPr>
      <w:kern w:val="2"/>
      <w:sz w:val="18"/>
      <w:lang w:bidi="ar-SA"/>
    </w:rPr>
  </w:style>
  <w:style w:type="character" w:customStyle="1" w:styleId="45">
    <w:name w:val="正文文本缩进 字符"/>
    <w:link w:val="12"/>
    <w:qFormat/>
    <w:uiPriority w:val="0"/>
    <w:rPr>
      <w:rFonts w:eastAsia="宋体"/>
      <w:kern w:val="2"/>
      <w:sz w:val="32"/>
      <w:lang w:val="en-US" w:eastAsia="zh-CN" w:bidi="ar-SA"/>
    </w:rPr>
  </w:style>
  <w:style w:type="character" w:customStyle="1" w:styleId="46">
    <w:name w:val="纯文本 字符"/>
    <w:link w:val="14"/>
    <w:unhideWhenUsed/>
    <w:qFormat/>
    <w:uiPriority w:val="0"/>
    <w:rPr>
      <w:rFonts w:ascii="宋体" w:hAnsi="Tms Rmn" w:eastAsia="宋体"/>
      <w:sz w:val="21"/>
      <w:lang w:val="en-US" w:eastAsia="zh-CN" w:bidi="ar-SA"/>
    </w:rPr>
  </w:style>
  <w:style w:type="character" w:customStyle="1" w:styleId="47">
    <w:name w:val="页脚 字符"/>
    <w:link w:val="17"/>
    <w:qFormat/>
    <w:uiPriority w:val="99"/>
    <w:rPr>
      <w:rFonts w:eastAsia="宋体"/>
      <w:kern w:val="2"/>
      <w:sz w:val="18"/>
      <w:lang w:val="en-US" w:eastAsia="zh-CN" w:bidi="ar-SA"/>
    </w:rPr>
  </w:style>
  <w:style w:type="character" w:customStyle="1" w:styleId="48">
    <w:name w:val="页眉 字符"/>
    <w:link w:val="18"/>
    <w:qFormat/>
    <w:uiPriority w:val="0"/>
    <w:rPr>
      <w:rFonts w:eastAsia="宋体"/>
      <w:kern w:val="2"/>
      <w:sz w:val="18"/>
      <w:lang w:val="en-US" w:eastAsia="zh-CN" w:bidi="ar-SA"/>
    </w:rPr>
  </w:style>
  <w:style w:type="character" w:customStyle="1" w:styleId="49">
    <w:name w:val="正文文本缩进 3 字符"/>
    <w:link w:val="21"/>
    <w:qFormat/>
    <w:uiPriority w:val="0"/>
    <w:rPr>
      <w:kern w:val="2"/>
      <w:sz w:val="16"/>
      <w:szCs w:val="16"/>
    </w:rPr>
  </w:style>
  <w:style w:type="character" w:customStyle="1" w:styleId="50">
    <w:name w:val="批注主题 字符"/>
    <w:link w:val="25"/>
    <w:qFormat/>
    <w:uiPriority w:val="0"/>
    <w:rPr>
      <w:b/>
      <w:bCs/>
      <w:kern w:val="2"/>
      <w:sz w:val="21"/>
      <w:szCs w:val="24"/>
      <w:lang w:bidi="ar-SA"/>
    </w:rPr>
  </w:style>
  <w:style w:type="character" w:customStyle="1" w:styleId="51">
    <w:name w:val="jbox-icon-success"/>
    <w:qFormat/>
    <w:uiPriority w:val="0"/>
  </w:style>
  <w:style w:type="character" w:customStyle="1" w:styleId="52">
    <w:name w:val="jbox-icon-question"/>
    <w:qFormat/>
    <w:uiPriority w:val="0"/>
  </w:style>
  <w:style w:type="character" w:customStyle="1" w:styleId="53">
    <w:name w:val="GW-正文 Char"/>
    <w:link w:val="54"/>
    <w:qFormat/>
    <w:uiPriority w:val="0"/>
    <w:rPr>
      <w:rFonts w:eastAsia="仿宋_GB2312"/>
      <w:kern w:val="2"/>
      <w:sz w:val="24"/>
      <w:szCs w:val="24"/>
      <w:lang w:val="en-US" w:eastAsia="zh-CN" w:bidi="ar-SA"/>
    </w:rPr>
  </w:style>
  <w:style w:type="paragraph" w:customStyle="1" w:styleId="54">
    <w:name w:val="GW-正文"/>
    <w:basedOn w:val="1"/>
    <w:link w:val="53"/>
    <w:qFormat/>
    <w:uiPriority w:val="0"/>
    <w:pPr>
      <w:spacing w:line="360" w:lineRule="auto"/>
      <w:ind w:firstLine="200" w:firstLineChars="200"/>
    </w:pPr>
    <w:rPr>
      <w:rFonts w:eastAsia="仿宋_GB2312"/>
      <w:sz w:val="24"/>
    </w:rPr>
  </w:style>
  <w:style w:type="character" w:customStyle="1" w:styleId="55">
    <w:name w:val="jbox-icon-warning"/>
    <w:qFormat/>
    <w:uiPriority w:val="0"/>
  </w:style>
  <w:style w:type="character" w:customStyle="1" w:styleId="56">
    <w:name w:val="jbox-icon-error"/>
    <w:qFormat/>
    <w:uiPriority w:val="0"/>
  </w:style>
  <w:style w:type="character" w:customStyle="1" w:styleId="57">
    <w:name w:val="批注文字 Char1"/>
    <w:qFormat/>
    <w:uiPriority w:val="0"/>
    <w:rPr>
      <w:kern w:val="2"/>
      <w:sz w:val="18"/>
      <w:lang w:bidi="ar-SA"/>
    </w:rPr>
  </w:style>
  <w:style w:type="character" w:customStyle="1" w:styleId="58">
    <w:name w:val="jbox-icon-loading"/>
    <w:qFormat/>
    <w:uiPriority w:val="0"/>
  </w:style>
  <w:style w:type="character" w:customStyle="1" w:styleId="59">
    <w:name w:val="Char Char9"/>
    <w:qFormat/>
    <w:uiPriority w:val="0"/>
    <w:rPr>
      <w:kern w:val="2"/>
      <w:sz w:val="21"/>
    </w:rPr>
  </w:style>
  <w:style w:type="character" w:customStyle="1" w:styleId="60">
    <w:name w:val="（符号）邀请函中一、"/>
    <w:qFormat/>
    <w:uiPriority w:val="0"/>
    <w:rPr>
      <w:rFonts w:ascii="黑体" w:hAnsi="黑体" w:eastAsia="黑体"/>
      <w:b/>
      <w:bCs/>
      <w:sz w:val="24"/>
    </w:rPr>
  </w:style>
  <w:style w:type="character" w:customStyle="1" w:styleId="61">
    <w:name w:val="jbox-icon-none"/>
    <w:qFormat/>
    <w:uiPriority w:val="0"/>
    <w:rPr>
      <w:vanish/>
    </w:rPr>
  </w:style>
  <w:style w:type="character" w:customStyle="1" w:styleId="62">
    <w:name w:val="jbox-icon"/>
    <w:qFormat/>
    <w:uiPriority w:val="0"/>
  </w:style>
  <w:style w:type="character" w:customStyle="1" w:styleId="63">
    <w:name w:val="jbox-icon-info"/>
    <w:qFormat/>
    <w:uiPriority w:val="0"/>
  </w:style>
  <w:style w:type="character" w:customStyle="1" w:styleId="64">
    <w:name w:val="列表段落 字符"/>
    <w:link w:val="65"/>
    <w:qFormat/>
    <w:uiPriority w:val="0"/>
    <w:rPr>
      <w:rFonts w:eastAsia="宋体"/>
      <w:kern w:val="2"/>
      <w:sz w:val="21"/>
      <w:szCs w:val="24"/>
      <w:lang w:val="en-US" w:eastAsia="zh-CN" w:bidi="ar-SA"/>
    </w:rPr>
  </w:style>
  <w:style w:type="paragraph" w:styleId="65">
    <w:name w:val="List Paragraph"/>
    <w:basedOn w:val="1"/>
    <w:link w:val="64"/>
    <w:qFormat/>
    <w:uiPriority w:val="0"/>
    <w:pPr>
      <w:ind w:firstLine="420" w:firstLineChars="200"/>
    </w:pPr>
  </w:style>
  <w:style w:type="paragraph" w:customStyle="1" w:styleId="66">
    <w:name w:val="表格"/>
    <w:basedOn w:val="1"/>
    <w:qFormat/>
    <w:uiPriority w:val="0"/>
    <w:pPr>
      <w:spacing w:line="400" w:lineRule="exact"/>
    </w:pPr>
    <w:rPr>
      <w:sz w:val="24"/>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样式  + 首行缩进:  2 字符"/>
    <w:basedOn w:val="1"/>
    <w:qFormat/>
    <w:uiPriority w:val="99"/>
    <w:pPr>
      <w:adjustRightInd w:val="0"/>
      <w:spacing w:line="360" w:lineRule="auto"/>
      <w:ind w:firstLine="524" w:firstLineChars="200"/>
    </w:pPr>
    <w:rPr>
      <w:rFonts w:ascii="宋体" w:hAnsi="宋体"/>
      <w:spacing w:val="11"/>
      <w:kern w:val="0"/>
      <w:sz w:val="24"/>
    </w:rPr>
  </w:style>
  <w:style w:type="paragraph" w:customStyle="1" w:styleId="69">
    <w:name w:val="_Style 2"/>
    <w:basedOn w:val="1"/>
    <w:qFormat/>
    <w:uiPriority w:val="0"/>
    <w:pPr>
      <w:ind w:firstLine="420" w:firstLineChars="200"/>
    </w:pPr>
    <w:rPr>
      <w:rFonts w:ascii="Calibri" w:hAnsi="Calibri" w:eastAsia="方正仿宋"/>
      <w:sz w:val="32"/>
      <w:szCs w:val="32"/>
    </w:rPr>
  </w:style>
  <w:style w:type="paragraph" w:customStyle="1" w:styleId="70">
    <w:name w:val="列出段落11"/>
    <w:basedOn w:val="1"/>
    <w:qFormat/>
    <w:uiPriority w:val="0"/>
    <w:pPr>
      <w:ind w:firstLine="420" w:firstLineChars="200"/>
    </w:pPr>
    <w:rPr>
      <w:rFonts w:ascii="Calibri" w:hAnsi="Calibri"/>
      <w:szCs w:val="22"/>
    </w:rPr>
  </w:style>
  <w:style w:type="paragraph" w:customStyle="1" w:styleId="71">
    <w:name w:val="List Paragraph1"/>
    <w:basedOn w:val="1"/>
    <w:qFormat/>
    <w:uiPriority w:val="99"/>
    <w:pPr>
      <w:ind w:firstLine="420"/>
    </w:pPr>
    <w:rPr>
      <w:szCs w:val="20"/>
    </w:rPr>
  </w:style>
  <w:style w:type="paragraph" w:customStyle="1" w:styleId="72">
    <w:name w:val="列出段落1"/>
    <w:basedOn w:val="1"/>
    <w:qFormat/>
    <w:uiPriority w:val="99"/>
    <w:pPr>
      <w:ind w:firstLine="420"/>
    </w:pPr>
    <w:rPr>
      <w:szCs w:val="20"/>
    </w:rPr>
  </w:style>
  <w:style w:type="paragraph" w:customStyle="1" w:styleId="73">
    <w:name w:val="图名称"/>
    <w:basedOn w:val="1"/>
    <w:qFormat/>
    <w:uiPriority w:val="0"/>
    <w:pPr>
      <w:spacing w:after="156" w:afterLines="50"/>
      <w:jc w:val="center"/>
    </w:pPr>
    <w:rPr>
      <w:szCs w:val="21"/>
    </w:rPr>
  </w:style>
  <w:style w:type="paragraph" w:customStyle="1" w:styleId="74">
    <w:name w:val="_Style 70"/>
    <w:basedOn w:val="1"/>
    <w:next w:val="1"/>
    <w:qFormat/>
    <w:uiPriority w:val="0"/>
    <w:pPr>
      <w:pBdr>
        <w:top w:val="single" w:color="auto" w:sz="6" w:space="1"/>
      </w:pBdr>
      <w:jc w:val="center"/>
    </w:pPr>
    <w:rPr>
      <w:rFonts w:ascii="Arial"/>
      <w:vanish/>
      <w:sz w:val="16"/>
    </w:rPr>
  </w:style>
  <w:style w:type="paragraph" w:customStyle="1" w:styleId="75">
    <w:name w:val="正文首行缩进两字符"/>
    <w:basedOn w:val="1"/>
    <w:qFormat/>
    <w:uiPriority w:val="0"/>
    <w:pPr>
      <w:spacing w:line="360" w:lineRule="auto"/>
      <w:ind w:firstLine="200" w:firstLineChars="200"/>
    </w:pPr>
  </w:style>
  <w:style w:type="paragraph" w:customStyle="1" w:styleId="76">
    <w:name w:val="_Style 72"/>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Table Paragraph"/>
    <w:basedOn w:val="1"/>
    <w:qFormat/>
    <w:uiPriority w:val="1"/>
    <w:rPr>
      <w:rFonts w:ascii="仿宋" w:hAnsi="仿宋" w:eastAsia="仿宋" w:cs="仿宋"/>
      <w:lang w:val="zh-CN" w:bidi="zh-CN"/>
    </w:rPr>
  </w:style>
  <w:style w:type="paragraph" w:customStyle="1" w:styleId="79">
    <w:name w:val="Char Char Char Char Char Char Char Char Char Char Char Char Char Char1 Char Char Char Char"/>
    <w:basedOn w:val="1"/>
    <w:qFormat/>
    <w:uiPriority w:val="0"/>
    <w:rPr>
      <w:szCs w:val="21"/>
    </w:rPr>
  </w:style>
  <w:style w:type="paragraph" w:customStyle="1" w:styleId="80">
    <w:name w:val="01、普通正文"/>
    <w:basedOn w:val="1"/>
    <w:qFormat/>
    <w:uiPriority w:val="0"/>
    <w:pPr>
      <w:tabs>
        <w:tab w:val="left" w:pos="0"/>
      </w:tabs>
      <w:wordWrap w:val="0"/>
      <w:topLinePunct/>
      <w:adjustRightInd w:val="0"/>
      <w:snapToGrid w:val="0"/>
      <w:spacing w:line="440" w:lineRule="exact"/>
      <w:jc w:val="left"/>
    </w:pPr>
    <w:rPr>
      <w:rFonts w:ascii="宋体" w:hAnsi="宋体"/>
      <w:snapToGrid w:val="0"/>
      <w:sz w:val="24"/>
    </w:rPr>
  </w:style>
  <w:style w:type="paragraph" w:customStyle="1" w:styleId="81">
    <w:name w:val="_Style 77"/>
    <w:basedOn w:val="1"/>
    <w:next w:val="1"/>
    <w:qFormat/>
    <w:uiPriority w:val="0"/>
    <w:pPr>
      <w:pBdr>
        <w:bottom w:val="single" w:color="auto" w:sz="6" w:space="1"/>
      </w:pBdr>
      <w:jc w:val="center"/>
    </w:pPr>
    <w:rPr>
      <w:rFonts w:ascii="Arial"/>
      <w:vanish/>
      <w:sz w:val="16"/>
    </w:rPr>
  </w:style>
  <w:style w:type="paragraph" w:customStyle="1" w:styleId="82">
    <w:name w:val="02、首行缩进2字符正文"/>
    <w:basedOn w:val="1"/>
    <w:qFormat/>
    <w:uiPriority w:val="0"/>
    <w:pPr>
      <w:tabs>
        <w:tab w:val="left" w:pos="0"/>
      </w:tabs>
      <w:wordWrap w:val="0"/>
      <w:topLinePunct/>
      <w:adjustRightInd w:val="0"/>
      <w:snapToGrid w:val="0"/>
      <w:spacing w:line="440" w:lineRule="exact"/>
      <w:ind w:firstLine="480" w:firstLineChars="200"/>
      <w:jc w:val="left"/>
    </w:pPr>
    <w:rPr>
      <w:rFonts w:ascii="宋体" w:hAnsi="宋体"/>
      <w:sz w:val="24"/>
    </w:rPr>
  </w:style>
  <w:style w:type="paragraph" w:customStyle="1" w:styleId="83">
    <w:name w:val="样式 首行缩进:  2 字符"/>
    <w:basedOn w:val="1"/>
    <w:qFormat/>
    <w:uiPriority w:val="0"/>
    <w:pPr>
      <w:spacing w:line="400" w:lineRule="exact"/>
      <w:ind w:firstLine="200" w:firstLineChars="200"/>
    </w:pPr>
    <w:rPr>
      <w:rFonts w:cs="宋体"/>
      <w:sz w:val="24"/>
    </w:rPr>
  </w:style>
  <w:style w:type="paragraph" w:customStyle="1" w:styleId="84">
    <w:name w:val="13、表格内居中正文"/>
    <w:basedOn w:val="1"/>
    <w:qFormat/>
    <w:uiPriority w:val="0"/>
    <w:pPr>
      <w:tabs>
        <w:tab w:val="left" w:pos="0"/>
      </w:tabs>
      <w:wordWrap w:val="0"/>
      <w:topLinePunct/>
      <w:spacing w:line="360" w:lineRule="exact"/>
      <w:jc w:val="center"/>
    </w:pPr>
  </w:style>
  <w:style w:type="paragraph" w:customStyle="1" w:styleId="85">
    <w:name w:val="p16"/>
    <w:basedOn w:val="1"/>
    <w:qFormat/>
    <w:uiPriority w:val="0"/>
    <w:pPr>
      <w:widowControl/>
      <w:ind w:firstLine="420"/>
    </w:pPr>
    <w:rPr>
      <w:rFonts w:ascii="Times New Roman" w:hAnsi="Times New Roman"/>
      <w:kern w:val="0"/>
      <w:sz w:val="24"/>
      <w:szCs w:val="20"/>
    </w:rPr>
  </w:style>
  <w:style w:type="character" w:customStyle="1" w:styleId="86">
    <w:name w:val="hover12"/>
    <w:basedOn w:val="30"/>
    <w:qFormat/>
    <w:uiPriority w:val="0"/>
    <w:rPr>
      <w:color w:val="FFFFFF"/>
    </w:rPr>
  </w:style>
  <w:style w:type="character" w:customStyle="1" w:styleId="87">
    <w:name w:val="hover13"/>
    <w:basedOn w:val="30"/>
    <w:qFormat/>
    <w:uiPriority w:val="0"/>
    <w:rPr>
      <w:color w:val="2461B1"/>
    </w:rPr>
  </w:style>
  <w:style w:type="character" w:customStyle="1" w:styleId="88">
    <w:name w:val="hover14"/>
    <w:basedOn w:val="30"/>
    <w:qFormat/>
    <w:uiPriority w:val="0"/>
    <w:rPr>
      <w:color w:val="2461B1"/>
    </w:rPr>
  </w:style>
  <w:style w:type="character" w:customStyle="1" w:styleId="89">
    <w:name w:val="nth-of-type(1)"/>
    <w:basedOn w:val="30"/>
    <w:qFormat/>
    <w:uiPriority w:val="0"/>
  </w:style>
  <w:style w:type="character" w:customStyle="1" w:styleId="90">
    <w:name w:val="nth-of-type(1)1"/>
    <w:basedOn w:val="30"/>
    <w:qFormat/>
    <w:uiPriority w:val="0"/>
  </w:style>
  <w:style w:type="character" w:customStyle="1" w:styleId="91">
    <w:name w:val="nth-of-type(1)2"/>
    <w:basedOn w:val="30"/>
    <w:qFormat/>
    <w:uiPriority w:val="0"/>
  </w:style>
  <w:style w:type="character" w:customStyle="1" w:styleId="92">
    <w:name w:val="nth-of-type(1)3"/>
    <w:basedOn w:val="30"/>
    <w:qFormat/>
    <w:uiPriority w:val="0"/>
  </w:style>
  <w:style w:type="character" w:customStyle="1" w:styleId="93">
    <w:name w:val="nth-of-type(1)4"/>
    <w:basedOn w:val="30"/>
    <w:qFormat/>
    <w:uiPriority w:val="0"/>
    <w:rPr>
      <w:rFonts w:ascii="SourceHanSansCN-Regular" w:hAnsi="SourceHanSansCN-Regular" w:eastAsia="SourceHanSansCN-Regular" w:cs="SourceHanSansCN-Regular"/>
      <w:color w:val="FB560A"/>
      <w:sz w:val="16"/>
      <w:szCs w:val="16"/>
    </w:rPr>
  </w:style>
  <w:style w:type="character" w:customStyle="1" w:styleId="94">
    <w:name w:val="nth-of-type(1)5"/>
    <w:basedOn w:val="30"/>
    <w:qFormat/>
    <w:uiPriority w:val="0"/>
  </w:style>
  <w:style w:type="character" w:customStyle="1" w:styleId="95">
    <w:name w:val="nth-of-type(1)6"/>
    <w:basedOn w:val="30"/>
    <w:qFormat/>
    <w:uiPriority w:val="0"/>
  </w:style>
  <w:style w:type="character" w:customStyle="1" w:styleId="96">
    <w:name w:val="nth-of-type(1)7"/>
    <w:basedOn w:val="30"/>
    <w:qFormat/>
    <w:uiPriority w:val="0"/>
  </w:style>
  <w:style w:type="character" w:customStyle="1" w:styleId="97">
    <w:name w:val="nth-of-type(1)8"/>
    <w:basedOn w:val="30"/>
    <w:qFormat/>
    <w:uiPriority w:val="0"/>
    <w:rPr>
      <w:color w:val="555555"/>
    </w:rPr>
  </w:style>
  <w:style w:type="character" w:customStyle="1" w:styleId="98">
    <w:name w:val="nth-of-type(1)9"/>
    <w:basedOn w:val="30"/>
    <w:qFormat/>
    <w:uiPriority w:val="0"/>
    <w:rPr>
      <w:sz w:val="16"/>
      <w:szCs w:val="16"/>
    </w:rPr>
  </w:style>
  <w:style w:type="character" w:customStyle="1" w:styleId="99">
    <w:name w:val="nth-of-type(1)10"/>
    <w:basedOn w:val="30"/>
    <w:qFormat/>
    <w:uiPriority w:val="0"/>
  </w:style>
  <w:style w:type="character" w:customStyle="1" w:styleId="100">
    <w:name w:val="nth-of-type(1)11"/>
    <w:basedOn w:val="30"/>
    <w:qFormat/>
    <w:uiPriority w:val="0"/>
  </w:style>
  <w:style w:type="character" w:customStyle="1" w:styleId="101">
    <w:name w:val="nth-of-type(1)12"/>
    <w:basedOn w:val="30"/>
    <w:qFormat/>
    <w:uiPriority w:val="0"/>
  </w:style>
  <w:style w:type="character" w:customStyle="1" w:styleId="102">
    <w:name w:val="nth-of-type(1)13"/>
    <w:basedOn w:val="30"/>
    <w:qFormat/>
    <w:uiPriority w:val="0"/>
    <w:rPr>
      <w:sz w:val="16"/>
      <w:szCs w:val="16"/>
    </w:rPr>
  </w:style>
  <w:style w:type="character" w:customStyle="1" w:styleId="103">
    <w:name w:val="nth-of-type(1)14"/>
    <w:basedOn w:val="30"/>
    <w:qFormat/>
    <w:uiPriority w:val="0"/>
  </w:style>
  <w:style w:type="character" w:customStyle="1" w:styleId="104">
    <w:name w:val="nth-child(2)"/>
    <w:basedOn w:val="30"/>
    <w:qFormat/>
    <w:uiPriority w:val="0"/>
    <w:rPr>
      <w:rFonts w:ascii="PingFangSC-Medium" w:hAnsi="PingFangSC-Medium" w:eastAsia="PingFangSC-Medium" w:cs="PingFangSC-Medium"/>
      <w:color w:val="9EA1B4"/>
      <w:sz w:val="21"/>
      <w:szCs w:val="21"/>
    </w:rPr>
  </w:style>
  <w:style w:type="character" w:customStyle="1" w:styleId="105">
    <w:name w:val="nth-of-type(3)1"/>
    <w:basedOn w:val="30"/>
    <w:qFormat/>
    <w:uiPriority w:val="0"/>
  </w:style>
  <w:style w:type="character" w:customStyle="1" w:styleId="106">
    <w:name w:val="nth-of-type(3)2"/>
    <w:basedOn w:val="30"/>
    <w:qFormat/>
    <w:uiPriority w:val="0"/>
  </w:style>
  <w:style w:type="character" w:customStyle="1" w:styleId="107">
    <w:name w:val="nth-of-type(3)3"/>
    <w:basedOn w:val="30"/>
    <w:qFormat/>
    <w:uiPriority w:val="0"/>
  </w:style>
  <w:style w:type="character" w:customStyle="1" w:styleId="108">
    <w:name w:val="nth-of-type(3)4"/>
    <w:basedOn w:val="30"/>
    <w:qFormat/>
    <w:uiPriority w:val="0"/>
  </w:style>
  <w:style w:type="character" w:customStyle="1" w:styleId="109">
    <w:name w:val="nth-of-type(3)5"/>
    <w:basedOn w:val="30"/>
    <w:qFormat/>
    <w:uiPriority w:val="0"/>
    <w:rPr>
      <w:sz w:val="16"/>
      <w:szCs w:val="16"/>
    </w:rPr>
  </w:style>
  <w:style w:type="character" w:customStyle="1" w:styleId="110">
    <w:name w:val="nth-of-type(3)6"/>
    <w:basedOn w:val="30"/>
    <w:qFormat/>
    <w:uiPriority w:val="0"/>
  </w:style>
  <w:style w:type="character" w:customStyle="1" w:styleId="111">
    <w:name w:val="nth-of-type(3)7"/>
    <w:basedOn w:val="30"/>
    <w:qFormat/>
    <w:uiPriority w:val="0"/>
  </w:style>
  <w:style w:type="character" w:customStyle="1" w:styleId="112">
    <w:name w:val="nth-of-type(3)8"/>
    <w:basedOn w:val="30"/>
    <w:qFormat/>
    <w:uiPriority w:val="0"/>
  </w:style>
  <w:style w:type="character" w:customStyle="1" w:styleId="113">
    <w:name w:val="nth-of-type(3)9"/>
    <w:basedOn w:val="30"/>
    <w:qFormat/>
    <w:uiPriority w:val="0"/>
    <w:rPr>
      <w:sz w:val="16"/>
      <w:szCs w:val="16"/>
    </w:rPr>
  </w:style>
  <w:style w:type="character" w:customStyle="1" w:styleId="114">
    <w:name w:val="nth-of-type(3)10"/>
    <w:basedOn w:val="30"/>
    <w:qFormat/>
    <w:uiPriority w:val="0"/>
  </w:style>
  <w:style w:type="character" w:customStyle="1" w:styleId="115">
    <w:name w:val="nth-of-type(2)"/>
    <w:basedOn w:val="30"/>
    <w:qFormat/>
    <w:uiPriority w:val="0"/>
    <w:rPr>
      <w:rFonts w:hint="default" w:ascii="SourceHanSansCN-Regular" w:hAnsi="SourceHanSansCN-Regular" w:eastAsia="SourceHanSansCN-Regular" w:cs="SourceHanSansCN-Regular"/>
      <w:color w:val="FB560A"/>
      <w:sz w:val="16"/>
      <w:szCs w:val="16"/>
    </w:rPr>
  </w:style>
  <w:style w:type="character" w:customStyle="1" w:styleId="116">
    <w:name w:val="nth-of-type(2)1"/>
    <w:basedOn w:val="30"/>
    <w:qFormat/>
    <w:uiPriority w:val="0"/>
  </w:style>
  <w:style w:type="character" w:customStyle="1" w:styleId="117">
    <w:name w:val="nth-of-type(2)2"/>
    <w:basedOn w:val="30"/>
    <w:qFormat/>
    <w:uiPriority w:val="0"/>
  </w:style>
  <w:style w:type="character" w:customStyle="1" w:styleId="118">
    <w:name w:val="nth-of-type(2)3"/>
    <w:basedOn w:val="30"/>
    <w:qFormat/>
    <w:uiPriority w:val="0"/>
  </w:style>
  <w:style w:type="character" w:customStyle="1" w:styleId="119">
    <w:name w:val="nth-of-type(2)4"/>
    <w:basedOn w:val="30"/>
    <w:qFormat/>
    <w:uiPriority w:val="0"/>
  </w:style>
  <w:style w:type="character" w:customStyle="1" w:styleId="120">
    <w:name w:val="nth-of-type(2)5"/>
    <w:basedOn w:val="30"/>
    <w:qFormat/>
    <w:uiPriority w:val="0"/>
    <w:rPr>
      <w:color w:val="666666"/>
    </w:rPr>
  </w:style>
  <w:style w:type="character" w:customStyle="1" w:styleId="121">
    <w:name w:val="nth-of-type(2)6"/>
    <w:basedOn w:val="30"/>
    <w:qFormat/>
    <w:uiPriority w:val="0"/>
    <w:rPr>
      <w:sz w:val="16"/>
      <w:szCs w:val="16"/>
    </w:rPr>
  </w:style>
  <w:style w:type="character" w:customStyle="1" w:styleId="122">
    <w:name w:val="nth-of-type(2)7"/>
    <w:basedOn w:val="30"/>
    <w:qFormat/>
    <w:uiPriority w:val="0"/>
  </w:style>
  <w:style w:type="character" w:customStyle="1" w:styleId="123">
    <w:name w:val="nth-of-type(2)8"/>
    <w:basedOn w:val="30"/>
    <w:qFormat/>
    <w:uiPriority w:val="0"/>
  </w:style>
  <w:style w:type="character" w:customStyle="1" w:styleId="124">
    <w:name w:val="nth-of-type(2)9"/>
    <w:basedOn w:val="30"/>
    <w:qFormat/>
    <w:uiPriority w:val="0"/>
  </w:style>
  <w:style w:type="character" w:customStyle="1" w:styleId="125">
    <w:name w:val="nth-of-type(2)10"/>
    <w:basedOn w:val="30"/>
    <w:qFormat/>
    <w:uiPriority w:val="0"/>
    <w:rPr>
      <w:sz w:val="16"/>
      <w:szCs w:val="16"/>
    </w:rPr>
  </w:style>
  <w:style w:type="character" w:customStyle="1" w:styleId="126">
    <w:name w:val="nth-of-type(2)11"/>
    <w:basedOn w:val="30"/>
    <w:qFormat/>
    <w:uiPriority w:val="0"/>
  </w:style>
  <w:style w:type="character" w:customStyle="1" w:styleId="127">
    <w:name w:val="nth-of-type(5)"/>
    <w:basedOn w:val="30"/>
    <w:qFormat/>
    <w:uiPriority w:val="0"/>
  </w:style>
  <w:style w:type="character" w:customStyle="1" w:styleId="128">
    <w:name w:val="nth-of-type(5)1"/>
    <w:basedOn w:val="30"/>
    <w:qFormat/>
    <w:uiPriority w:val="0"/>
    <w:rPr>
      <w:sz w:val="16"/>
      <w:szCs w:val="16"/>
    </w:rPr>
  </w:style>
  <w:style w:type="character" w:customStyle="1" w:styleId="129">
    <w:name w:val="nth-of-type(5)2"/>
    <w:basedOn w:val="30"/>
    <w:qFormat/>
    <w:uiPriority w:val="0"/>
  </w:style>
  <w:style w:type="character" w:customStyle="1" w:styleId="130">
    <w:name w:val="nth-of-type(5)3"/>
    <w:basedOn w:val="30"/>
    <w:qFormat/>
    <w:uiPriority w:val="0"/>
  </w:style>
  <w:style w:type="character" w:customStyle="1" w:styleId="131">
    <w:name w:val="nth-of-type(5)4"/>
    <w:basedOn w:val="30"/>
    <w:qFormat/>
    <w:uiPriority w:val="0"/>
  </w:style>
  <w:style w:type="character" w:customStyle="1" w:styleId="132">
    <w:name w:val="nth-of-type(5)5"/>
    <w:basedOn w:val="30"/>
    <w:qFormat/>
    <w:uiPriority w:val="0"/>
    <w:rPr>
      <w:sz w:val="16"/>
      <w:szCs w:val="16"/>
    </w:rPr>
  </w:style>
  <w:style w:type="character" w:customStyle="1" w:styleId="133">
    <w:name w:val="nth-of-type(5)6"/>
    <w:basedOn w:val="30"/>
    <w:qFormat/>
    <w:uiPriority w:val="0"/>
  </w:style>
  <w:style w:type="character" w:customStyle="1" w:styleId="134">
    <w:name w:val="nth-of-type(6)"/>
    <w:basedOn w:val="30"/>
    <w:qFormat/>
    <w:uiPriority w:val="0"/>
  </w:style>
  <w:style w:type="character" w:customStyle="1" w:styleId="135">
    <w:name w:val="nth-of-type(6)1"/>
    <w:basedOn w:val="30"/>
    <w:qFormat/>
    <w:uiPriority w:val="0"/>
  </w:style>
  <w:style w:type="character" w:customStyle="1" w:styleId="136">
    <w:name w:val="nth-of-type(6)2"/>
    <w:basedOn w:val="30"/>
    <w:qFormat/>
    <w:uiPriority w:val="0"/>
  </w:style>
  <w:style w:type="character" w:customStyle="1" w:styleId="137">
    <w:name w:val="nth-of-type(6)3"/>
    <w:basedOn w:val="30"/>
    <w:qFormat/>
    <w:uiPriority w:val="0"/>
  </w:style>
  <w:style w:type="character" w:customStyle="1" w:styleId="138">
    <w:name w:val="nth-of-type(6)4"/>
    <w:basedOn w:val="30"/>
    <w:qFormat/>
    <w:uiPriority w:val="0"/>
  </w:style>
  <w:style w:type="character" w:customStyle="1" w:styleId="139">
    <w:name w:val="nth-of-type(4)"/>
    <w:basedOn w:val="30"/>
    <w:qFormat/>
    <w:uiPriority w:val="0"/>
  </w:style>
  <w:style w:type="character" w:customStyle="1" w:styleId="140">
    <w:name w:val="nth-of-type(4)1"/>
    <w:basedOn w:val="30"/>
    <w:qFormat/>
    <w:uiPriority w:val="0"/>
    <w:rPr>
      <w:sz w:val="16"/>
      <w:szCs w:val="16"/>
    </w:rPr>
  </w:style>
  <w:style w:type="character" w:customStyle="1" w:styleId="141">
    <w:name w:val="nth-of-type(4)2"/>
    <w:basedOn w:val="30"/>
    <w:qFormat/>
    <w:uiPriority w:val="0"/>
  </w:style>
  <w:style w:type="character" w:customStyle="1" w:styleId="142">
    <w:name w:val="nth-of-type(4)3"/>
    <w:basedOn w:val="30"/>
    <w:qFormat/>
    <w:uiPriority w:val="0"/>
  </w:style>
  <w:style w:type="character" w:customStyle="1" w:styleId="143">
    <w:name w:val="nth-of-type(4)4"/>
    <w:basedOn w:val="30"/>
    <w:qFormat/>
    <w:uiPriority w:val="0"/>
  </w:style>
  <w:style w:type="character" w:customStyle="1" w:styleId="144">
    <w:name w:val="nth-of-type(4)5"/>
    <w:basedOn w:val="30"/>
    <w:qFormat/>
    <w:uiPriority w:val="0"/>
    <w:rPr>
      <w:sz w:val="16"/>
      <w:szCs w:val="16"/>
    </w:rPr>
  </w:style>
  <w:style w:type="character" w:customStyle="1" w:styleId="145">
    <w:name w:val="nth-of-type(4)6"/>
    <w:basedOn w:val="30"/>
    <w:qFormat/>
    <w:uiPriority w:val="0"/>
  </w:style>
  <w:style w:type="character" w:customStyle="1" w:styleId="146">
    <w:name w:val="nth-of-type(7)"/>
    <w:basedOn w:val="30"/>
    <w:qFormat/>
    <w:uiPriority w:val="0"/>
  </w:style>
  <w:style w:type="character" w:customStyle="1" w:styleId="147">
    <w:name w:val="nth-of-type(7)1"/>
    <w:basedOn w:val="30"/>
    <w:qFormat/>
    <w:uiPriority w:val="0"/>
  </w:style>
  <w:style w:type="character" w:customStyle="1" w:styleId="148">
    <w:name w:val="nth-of-type(7)2"/>
    <w:basedOn w:val="30"/>
    <w:qFormat/>
    <w:uiPriority w:val="0"/>
  </w:style>
  <w:style w:type="character" w:customStyle="1" w:styleId="149">
    <w:name w:val="nth-of-type(8)"/>
    <w:basedOn w:val="30"/>
    <w:qFormat/>
    <w:uiPriority w:val="0"/>
  </w:style>
  <w:style w:type="character" w:customStyle="1" w:styleId="150">
    <w:name w:val="nth-of-type(9)"/>
    <w:basedOn w:val="30"/>
    <w:qFormat/>
    <w:uiPriority w:val="0"/>
  </w:style>
  <w:style w:type="character" w:customStyle="1" w:styleId="151">
    <w:name w:val="titleshow"/>
    <w:basedOn w:val="30"/>
    <w:qFormat/>
    <w:uiPriority w:val="0"/>
    <w:rPr>
      <w:color w:val="3E464C"/>
    </w:rPr>
  </w:style>
  <w:style w:type="character" w:customStyle="1" w:styleId="152">
    <w:name w:val="nth-child(1)"/>
    <w:basedOn w:val="30"/>
    <w:qFormat/>
    <w:uiPriority w:val="0"/>
    <w:rPr>
      <w:rFonts w:ascii="Bebas" w:hAnsi="Bebas" w:eastAsia="Bebas" w:cs="Bebas"/>
      <w:color w:val="9EA1B4"/>
      <w:sz w:val="36"/>
      <w:szCs w:val="36"/>
    </w:rPr>
  </w:style>
  <w:style w:type="character" w:customStyle="1" w:styleId="153">
    <w:name w:val="time4"/>
    <w:basedOn w:val="30"/>
    <w:qFormat/>
    <w:uiPriority w:val="0"/>
  </w:style>
  <w:style w:type="character" w:customStyle="1" w:styleId="154">
    <w:name w:val="layui-laypage-curr"/>
    <w:basedOn w:val="30"/>
    <w:qFormat/>
    <w:uiPriority w:val="0"/>
  </w:style>
  <w:style w:type="character" w:customStyle="1" w:styleId="155">
    <w:name w:val="lineshow"/>
    <w:basedOn w:val="30"/>
    <w:qFormat/>
    <w:uiPriority w:val="0"/>
  </w:style>
  <w:style w:type="character" w:customStyle="1" w:styleId="156">
    <w:name w:val="font2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64</Pages>
  <Words>32381</Words>
  <Characters>33692</Characters>
  <Lines>272</Lines>
  <Paragraphs>76</Paragraphs>
  <TotalTime>5</TotalTime>
  <ScaleCrop>false</ScaleCrop>
  <LinksUpToDate>false</LinksUpToDate>
  <CharactersWithSpaces>34992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2021-06-28T14:09:00Z</dcterms:created>
  <dc:creator>林传雨</dc:creator>
  <cp:lastModifiedBy>ZD</cp:lastModifiedBy>
  <cp:lastPrinted>2022-04-24T03:39:00Z</cp:lastPrinted>
  <dcterms:modified xsi:type="dcterms:W3CDTF">2022-06-24T09:36:20Z</dcterms:modified>
  <dc:title>四川建茂同方工程项目管理有限公司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6C5A6AB47D854CDD8734BE88DE602EF8</vt:lpwstr>
  </property>
  <property fmtid="{D5CDD505-2E9C-101B-9397-08002B2CF9AE}" pid="4" name="commondata">
    <vt:lpwstr>eyJoZGlkIjoiMmMzNTNlNGRhNDY1ZDEzZTBlMDhkOWU4M2E1MDM5NGQifQ==</vt:lpwstr>
  </property>
</Properties>
</file>