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720" w:lineRule="auto"/>
        <w:jc w:val="center"/>
        <w:outlineLvl w:val="0"/>
        <w:rPr>
          <w:rFonts w:hint="eastAsia" w:ascii="宋体" w:hAnsi="宋体"/>
          <w:b/>
          <w:bCs/>
          <w:color w:val="0C0C0C"/>
          <w:sz w:val="44"/>
          <w:szCs w:val="44"/>
        </w:rPr>
      </w:pPr>
      <w:bookmarkStart w:id="1" w:name="_GoBack"/>
      <w:bookmarkStart w:id="0" w:name="_Toc25795"/>
      <w:r>
        <w:rPr>
          <w:rFonts w:hint="eastAsia" w:ascii="宋体" w:hAnsi="宋体"/>
          <w:b/>
          <w:bCs/>
          <w:color w:val="0C0C0C"/>
          <w:sz w:val="44"/>
          <w:szCs w:val="44"/>
        </w:rPr>
        <w:t>用户需求书</w:t>
      </w:r>
      <w:bookmarkEnd w:id="0"/>
    </w:p>
    <w:bookmarkEnd w:id="1"/>
    <w:p>
      <w:pPr>
        <w:pStyle w:val="3"/>
        <w:rPr>
          <w:rFonts w:hint="eastAsia"/>
          <w:color w:val="0C0C0C"/>
        </w:rPr>
      </w:pPr>
    </w:p>
    <w:p>
      <w:pPr>
        <w:spacing w:line="360" w:lineRule="auto"/>
        <w:rPr>
          <w:rFonts w:ascii="宋体" w:hAnsi="宋体"/>
          <w:bCs/>
          <w:color w:val="0C0C0C"/>
        </w:rPr>
      </w:pPr>
      <w:r>
        <w:rPr>
          <w:rFonts w:ascii="宋体" w:hAnsi="宋体"/>
          <w:bCs/>
          <w:color w:val="0C0C0C"/>
        </w:rPr>
        <w:t>项目名称：</w:t>
      </w:r>
      <w:r>
        <w:rPr>
          <w:rFonts w:hint="eastAsia" w:ascii="宋体" w:hAnsi="宋体"/>
          <w:bCs/>
          <w:color w:val="0C0C0C"/>
        </w:rPr>
        <w:t>文昌市农村小型集中供水工程取水许可水资源论证项目</w:t>
      </w:r>
    </w:p>
    <w:p>
      <w:pPr>
        <w:spacing w:line="360" w:lineRule="auto"/>
        <w:rPr>
          <w:rFonts w:ascii="宋体" w:hAnsi="宋体"/>
          <w:bCs/>
          <w:color w:val="0C0C0C"/>
        </w:rPr>
      </w:pPr>
      <w:r>
        <w:rPr>
          <w:rFonts w:ascii="宋体" w:hAnsi="宋体"/>
          <w:bCs/>
          <w:color w:val="0C0C0C"/>
        </w:rPr>
        <w:t>项目单位：</w:t>
      </w:r>
      <w:r>
        <w:rPr>
          <w:rFonts w:hint="eastAsia" w:ascii="宋体" w:hAnsi="宋体"/>
          <w:bCs/>
          <w:color w:val="0C0C0C"/>
        </w:rPr>
        <w:t>文昌市水务局</w:t>
      </w:r>
    </w:p>
    <w:p>
      <w:pPr>
        <w:spacing w:line="360" w:lineRule="auto"/>
        <w:rPr>
          <w:rFonts w:ascii="宋体" w:hAnsi="宋体"/>
          <w:bCs/>
          <w:color w:val="0C0C0C"/>
        </w:rPr>
      </w:pPr>
      <w:r>
        <w:rPr>
          <w:rFonts w:ascii="宋体" w:hAnsi="宋体"/>
          <w:bCs/>
          <w:color w:val="0C0C0C"/>
        </w:rPr>
        <w:t>采购方式：竞争性磋商</w:t>
      </w:r>
    </w:p>
    <w:p>
      <w:pPr>
        <w:spacing w:line="360" w:lineRule="auto"/>
        <w:rPr>
          <w:rFonts w:ascii="宋体" w:hAnsi="宋体"/>
          <w:bCs/>
          <w:color w:val="0C0C0C"/>
        </w:rPr>
      </w:pPr>
      <w:r>
        <w:rPr>
          <w:rFonts w:ascii="宋体" w:hAnsi="宋体"/>
          <w:bCs/>
          <w:color w:val="0C0C0C"/>
        </w:rPr>
        <w:t>采购金额：</w:t>
      </w:r>
      <w:r>
        <w:rPr>
          <w:rFonts w:hint="eastAsia" w:ascii="宋体" w:hAnsi="宋体"/>
          <w:bCs/>
          <w:color w:val="0C0C0C"/>
        </w:rPr>
        <w:t>100.5</w:t>
      </w:r>
      <w:r>
        <w:rPr>
          <w:rFonts w:ascii="宋体" w:hAnsi="宋体"/>
          <w:bCs/>
          <w:color w:val="0C0C0C"/>
        </w:rPr>
        <w:t>万元</w:t>
      </w:r>
    </w:p>
    <w:p>
      <w:pPr>
        <w:spacing w:line="360" w:lineRule="auto"/>
        <w:rPr>
          <w:rFonts w:ascii="宋体" w:hAnsi="宋体"/>
          <w:bCs/>
          <w:color w:val="0C0C0C"/>
        </w:rPr>
      </w:pPr>
      <w:r>
        <w:rPr>
          <w:rFonts w:ascii="宋体" w:hAnsi="宋体"/>
          <w:bCs/>
          <w:color w:val="0C0C0C"/>
        </w:rPr>
        <w:t>资金来源：财政资金</w:t>
      </w:r>
    </w:p>
    <w:p>
      <w:pPr>
        <w:spacing w:line="360" w:lineRule="auto"/>
        <w:rPr>
          <w:rFonts w:ascii="宋体" w:hAnsi="宋体"/>
          <w:bCs/>
          <w:color w:val="0C0C0C"/>
        </w:rPr>
      </w:pPr>
      <w:r>
        <w:rPr>
          <w:rFonts w:ascii="宋体" w:hAnsi="宋体"/>
          <w:bCs/>
          <w:color w:val="0C0C0C"/>
        </w:rPr>
        <w:t xml:space="preserve">服务期限：签订合同之日起 </w:t>
      </w:r>
      <w:r>
        <w:rPr>
          <w:rFonts w:hint="eastAsia" w:ascii="宋体" w:hAnsi="宋体"/>
          <w:bCs/>
          <w:color w:val="0C0C0C"/>
        </w:rPr>
        <w:t>45天</w:t>
      </w:r>
      <w:r>
        <w:rPr>
          <w:rFonts w:ascii="宋体" w:hAnsi="宋体"/>
          <w:bCs/>
          <w:color w:val="0C0C0C"/>
        </w:rPr>
        <w:t>内完成</w:t>
      </w:r>
    </w:p>
    <w:p>
      <w:pPr>
        <w:spacing w:line="360" w:lineRule="auto"/>
        <w:rPr>
          <w:rFonts w:ascii="宋体" w:hAnsi="宋体"/>
          <w:bCs/>
          <w:color w:val="0C0C0C"/>
        </w:rPr>
      </w:pPr>
      <w:r>
        <w:rPr>
          <w:rFonts w:hint="eastAsia" w:ascii="宋体" w:hAnsi="宋体"/>
          <w:bCs/>
          <w:color w:val="0C0C0C"/>
        </w:rPr>
        <w:t>文昌市农村小型集中供水工程取水许可水资源论证项目</w:t>
      </w:r>
    </w:p>
    <w:p>
      <w:pPr>
        <w:spacing w:line="360" w:lineRule="auto"/>
        <w:ind w:firstLine="424" w:firstLineChars="202"/>
        <w:rPr>
          <w:rFonts w:ascii="宋体" w:hAnsi="宋体"/>
          <w:bCs/>
          <w:color w:val="0C0C0C"/>
        </w:rPr>
      </w:pPr>
      <w:r>
        <w:rPr>
          <w:rFonts w:ascii="宋体" w:hAnsi="宋体"/>
          <w:bCs/>
          <w:color w:val="0C0C0C"/>
        </w:rPr>
        <w:t>为进一步做好取用水管理专项整治行动整改提升工作，全面规范和加强取用水管理，根据</w:t>
      </w:r>
      <w:r>
        <w:rPr>
          <w:rFonts w:hint="eastAsia" w:ascii="宋体" w:hAnsi="宋体"/>
          <w:bCs/>
          <w:color w:val="0C0C0C"/>
        </w:rPr>
        <w:t>《水利部关于印发取用水管理专项整治行动方案的通知》和</w:t>
      </w:r>
      <w:r>
        <w:rPr>
          <w:rFonts w:ascii="宋体" w:hAnsi="宋体"/>
          <w:bCs/>
          <w:color w:val="0C0C0C"/>
        </w:rPr>
        <w:t>《海南省水务厅关于</w:t>
      </w:r>
      <w:r>
        <w:rPr>
          <w:rFonts w:hint="eastAsia" w:ascii="宋体" w:hAnsi="宋体"/>
          <w:bCs/>
          <w:color w:val="0C0C0C"/>
        </w:rPr>
        <w:t>开展农村供水工程取水许可整改发证工作的通知</w:t>
      </w:r>
      <w:r>
        <w:rPr>
          <w:rFonts w:ascii="宋体" w:hAnsi="宋体"/>
          <w:bCs/>
          <w:color w:val="0C0C0C"/>
        </w:rPr>
        <w:t>》</w:t>
      </w:r>
      <w:r>
        <w:rPr>
          <w:rFonts w:hint="eastAsia" w:ascii="宋体" w:hAnsi="宋体"/>
          <w:bCs/>
          <w:color w:val="0C0C0C"/>
        </w:rPr>
        <w:t>文件</w:t>
      </w:r>
      <w:r>
        <w:rPr>
          <w:rFonts w:ascii="宋体" w:hAnsi="宋体"/>
          <w:bCs/>
          <w:color w:val="0C0C0C"/>
        </w:rPr>
        <w:t>要求</w:t>
      </w:r>
      <w:r>
        <w:rPr>
          <w:rFonts w:hint="eastAsia" w:ascii="宋体" w:hAnsi="宋体"/>
          <w:bCs/>
          <w:color w:val="0C0C0C"/>
        </w:rPr>
        <w:t>，整改完善文昌市完成核查登记、由财政资金建设的农村小型集中供水工程的取水许可证，结合文昌市实际，</w:t>
      </w:r>
      <w:r>
        <w:rPr>
          <w:rFonts w:ascii="宋体" w:hAnsi="宋体"/>
          <w:bCs/>
          <w:color w:val="0C0C0C"/>
        </w:rPr>
        <w:t>制定本方案</w:t>
      </w:r>
      <w:r>
        <w:rPr>
          <w:rFonts w:hint="eastAsia" w:ascii="宋体" w:hAnsi="宋体"/>
          <w:bCs/>
          <w:color w:val="0C0C0C"/>
        </w:rPr>
        <w:t>。</w:t>
      </w:r>
    </w:p>
    <w:p>
      <w:pPr>
        <w:pStyle w:val="7"/>
        <w:widowControl/>
        <w:spacing w:line="360" w:lineRule="auto"/>
        <w:rPr>
          <w:rStyle w:val="8"/>
          <w:b/>
          <w:szCs w:val="28"/>
        </w:rPr>
      </w:pPr>
      <w:r>
        <w:rPr>
          <w:rStyle w:val="8"/>
          <w:b/>
          <w:szCs w:val="28"/>
        </w:rPr>
        <w:t>一、指导思想</w:t>
      </w:r>
    </w:p>
    <w:p>
      <w:pPr>
        <w:pStyle w:val="7"/>
        <w:widowControl/>
        <w:spacing w:line="360" w:lineRule="auto"/>
        <w:rPr>
          <w:rStyle w:val="8"/>
          <w:szCs w:val="28"/>
        </w:rPr>
      </w:pPr>
      <w:r>
        <w:rPr>
          <w:rStyle w:val="8"/>
          <w:szCs w:val="28"/>
        </w:rPr>
        <w:t>贯彻落实中央“十六字”治水思路、水利部党组关于水利改革发展总基调以及《中华人民共和国水法》《取水许可和水资源费征收管理条例》等法律法规，牢固树立并自觉践行“绿水青山就是金山银山”的新发展理念，以高度的政治自觉抓好中央环境保护督察反馈意见整改，着力解决突出环境问题，落实“把水资源作为最大的刚性约束”要求，落实最严格水资源管理制度，通过依法开展专项整治行动，推动地下水资源管理法律法规和制度落实，维护良好的地下水及水库水源资源管理秩序，为海南自由贸易港建设和龙华经济社会高质量发展提供水资源支撑和保障。</w:t>
      </w:r>
    </w:p>
    <w:p>
      <w:pPr>
        <w:pStyle w:val="7"/>
        <w:widowControl/>
        <w:spacing w:line="360" w:lineRule="auto"/>
        <w:rPr>
          <w:rStyle w:val="8"/>
          <w:b/>
          <w:szCs w:val="28"/>
        </w:rPr>
      </w:pPr>
      <w:r>
        <w:rPr>
          <w:rStyle w:val="8"/>
          <w:rFonts w:hint="eastAsia"/>
          <w:b/>
          <w:szCs w:val="28"/>
        </w:rPr>
        <w:t>二、</w:t>
      </w:r>
      <w:r>
        <w:rPr>
          <w:rStyle w:val="8"/>
          <w:b/>
          <w:szCs w:val="28"/>
        </w:rPr>
        <w:t>采购内容和标准</w:t>
      </w:r>
    </w:p>
    <w:p>
      <w:pPr>
        <w:pStyle w:val="7"/>
        <w:widowControl/>
        <w:spacing w:line="360" w:lineRule="auto"/>
        <w:rPr>
          <w:rStyle w:val="8"/>
        </w:rPr>
      </w:pPr>
      <w:r>
        <w:rPr>
          <w:rStyle w:val="8"/>
          <w:rFonts w:hint="eastAsia"/>
          <w:szCs w:val="28"/>
        </w:rPr>
        <w:t>文昌市农村小型集中供水工程取水许可水资源论证项目</w:t>
      </w:r>
      <w:r>
        <w:rPr>
          <w:rStyle w:val="8"/>
          <w:szCs w:val="28"/>
        </w:rPr>
        <w:t>，</w:t>
      </w:r>
      <w:r>
        <w:rPr>
          <w:rStyle w:val="8"/>
          <w:rFonts w:hint="eastAsia"/>
          <w:szCs w:val="28"/>
        </w:rPr>
        <w:t>约</w:t>
      </w:r>
      <w:r>
        <w:rPr>
          <w:rStyle w:val="8"/>
          <w:szCs w:val="28"/>
        </w:rPr>
        <w:t>有地下水取水</w:t>
      </w:r>
      <w:r>
        <w:rPr>
          <w:rStyle w:val="8"/>
          <w:rFonts w:hint="eastAsia"/>
          <w:szCs w:val="28"/>
        </w:rPr>
        <w:t>工程150</w:t>
      </w:r>
      <w:r>
        <w:rPr>
          <w:rStyle w:val="8"/>
          <w:szCs w:val="28"/>
        </w:rPr>
        <w:t>宗，采购人根据</w:t>
      </w:r>
      <w:r>
        <w:rPr>
          <w:rStyle w:val="8"/>
          <w:rFonts w:hint="eastAsia"/>
          <w:szCs w:val="28"/>
        </w:rPr>
        <w:t>文昌市水务局提供的项目清单进行现场勘查复核，</w:t>
      </w:r>
      <w:r>
        <w:rPr>
          <w:rStyle w:val="8"/>
          <w:rFonts w:hint="eastAsia"/>
        </w:rPr>
        <w:t>按照不重不漏、准确可靠的要求全面完成核查登记任务，最终项目总数以发放取水许可证的清单为准。</w:t>
      </w:r>
    </w:p>
    <w:p>
      <w:pPr>
        <w:pStyle w:val="7"/>
        <w:widowControl/>
        <w:spacing w:line="360" w:lineRule="auto"/>
        <w:rPr>
          <w:rStyle w:val="8"/>
          <w:szCs w:val="28"/>
        </w:rPr>
      </w:pPr>
      <w:r>
        <w:rPr>
          <w:rStyle w:val="8"/>
          <w:rFonts w:hint="eastAsia"/>
          <w:szCs w:val="28"/>
        </w:rPr>
        <w:t>文昌市农村小型集中供水工程取水许可整改</w:t>
      </w:r>
      <w:r>
        <w:rPr>
          <w:rStyle w:val="8"/>
          <w:szCs w:val="28"/>
        </w:rPr>
        <w:t>项目由中标方完成。中标方需组织专业人员进行</w:t>
      </w:r>
      <w:r>
        <w:rPr>
          <w:rStyle w:val="8"/>
          <w:rFonts w:hint="eastAsia"/>
          <w:szCs w:val="28"/>
        </w:rPr>
        <w:t>核查及</w:t>
      </w:r>
      <w:r>
        <w:rPr>
          <w:rStyle w:val="8"/>
          <w:szCs w:val="28"/>
        </w:rPr>
        <w:t>监测，根据</w:t>
      </w:r>
      <w:r>
        <w:rPr>
          <w:rStyle w:val="8"/>
          <w:rFonts w:hint="eastAsia"/>
          <w:szCs w:val="28"/>
        </w:rPr>
        <w:t>本次文昌市农村小型集中供水工程整改</w:t>
      </w:r>
      <w:r>
        <w:rPr>
          <w:rStyle w:val="8"/>
          <w:szCs w:val="28"/>
        </w:rPr>
        <w:t>的实际情况编制的《</w:t>
      </w:r>
      <w:r>
        <w:rPr>
          <w:rStyle w:val="8"/>
          <w:rFonts w:hint="eastAsia"/>
          <w:szCs w:val="28"/>
        </w:rPr>
        <w:t>文昌市文昌市农村小型集中供水工程区域</w:t>
      </w:r>
      <w:r>
        <w:rPr>
          <w:rStyle w:val="8"/>
          <w:szCs w:val="28"/>
        </w:rPr>
        <w:t>水资源论证报告</w:t>
      </w:r>
      <w:r>
        <w:rPr>
          <w:rStyle w:val="8"/>
          <w:rFonts w:hint="eastAsia"/>
          <w:szCs w:val="28"/>
        </w:rPr>
        <w:t>书</w:t>
      </w:r>
      <w:r>
        <w:rPr>
          <w:rStyle w:val="8"/>
          <w:szCs w:val="28"/>
        </w:rPr>
        <w:t>》。</w:t>
      </w:r>
    </w:p>
    <w:p>
      <w:pPr>
        <w:pStyle w:val="7"/>
        <w:widowControl/>
        <w:spacing w:line="360" w:lineRule="auto"/>
        <w:rPr>
          <w:rStyle w:val="8"/>
          <w:b/>
          <w:szCs w:val="28"/>
        </w:rPr>
      </w:pPr>
      <w:r>
        <w:rPr>
          <w:rStyle w:val="8"/>
          <w:rFonts w:hint="eastAsia"/>
          <w:b/>
          <w:szCs w:val="28"/>
        </w:rPr>
        <w:t>三</w:t>
      </w:r>
      <w:r>
        <w:rPr>
          <w:rStyle w:val="8"/>
          <w:b/>
          <w:szCs w:val="28"/>
        </w:rPr>
        <w:t>、其他要求</w:t>
      </w:r>
    </w:p>
    <w:p>
      <w:pPr>
        <w:pStyle w:val="7"/>
        <w:widowControl/>
        <w:spacing w:line="360" w:lineRule="auto"/>
        <w:rPr>
          <w:rStyle w:val="8"/>
          <w:szCs w:val="28"/>
        </w:rPr>
      </w:pPr>
      <w:r>
        <w:rPr>
          <w:rStyle w:val="8"/>
          <w:szCs w:val="28"/>
        </w:rPr>
        <w:t>按照国家有关标准要求对水资源论证结果组织相关专家进行评审，需通过专家评审，中标人须派技术人员到评审地点现场答疑；</w:t>
      </w:r>
    </w:p>
    <w:p>
      <w:pPr>
        <w:pStyle w:val="7"/>
        <w:widowControl/>
        <w:spacing w:line="360" w:lineRule="auto"/>
        <w:rPr>
          <w:rStyle w:val="8"/>
          <w:szCs w:val="28"/>
        </w:rPr>
      </w:pPr>
      <w:r>
        <w:rPr>
          <w:rStyle w:val="8"/>
          <w:szCs w:val="28"/>
        </w:rPr>
        <w:t>中标人需协助采购人</w:t>
      </w:r>
      <w:r>
        <w:rPr>
          <w:rStyle w:val="8"/>
          <w:rFonts w:hint="eastAsia"/>
          <w:szCs w:val="28"/>
        </w:rPr>
        <w:t>直至取得取水许可证为止</w:t>
      </w:r>
      <w:r>
        <w:rPr>
          <w:rStyle w:val="8"/>
          <w:szCs w:val="28"/>
        </w:rPr>
        <w:t>。</w:t>
      </w:r>
    </w:p>
    <w:p>
      <w:pPr>
        <w:pStyle w:val="7"/>
        <w:widowControl/>
        <w:spacing w:line="360" w:lineRule="auto"/>
        <w:rPr>
          <w:rStyle w:val="8"/>
          <w:b/>
          <w:szCs w:val="28"/>
        </w:rPr>
      </w:pPr>
      <w:r>
        <w:rPr>
          <w:rStyle w:val="8"/>
          <w:rFonts w:hint="eastAsia"/>
          <w:b/>
          <w:szCs w:val="28"/>
        </w:rPr>
        <w:t>四、</w:t>
      </w:r>
      <w:r>
        <w:rPr>
          <w:rStyle w:val="8"/>
          <w:rFonts w:hint="eastAsia"/>
          <w:b/>
        </w:rPr>
        <w:t>本次费用包括外业调查、报告编制费、技术咨询费等三项费用</w:t>
      </w:r>
    </w:p>
    <w:p>
      <w:pPr>
        <w:pStyle w:val="7"/>
        <w:widowControl/>
        <w:spacing w:line="360" w:lineRule="auto"/>
        <w:rPr>
          <w:rStyle w:val="8"/>
          <w:b/>
        </w:rPr>
      </w:pPr>
      <w:r>
        <w:rPr>
          <w:rStyle w:val="8"/>
          <w:rFonts w:hint="eastAsia"/>
          <w:b/>
        </w:rPr>
        <w:t>五、需办理取水许可证清单（以实际发证为准，变化在±10个以内价格不变，超过±10个以上按投标单价进行核算）。</w:t>
      </w:r>
    </w:p>
    <w:tbl>
      <w:tblPr>
        <w:tblStyle w:val="5"/>
        <w:tblW w:w="9371" w:type="dxa"/>
        <w:tblInd w:w="-369" w:type="dxa"/>
        <w:tblLayout w:type="autofit"/>
        <w:tblCellMar>
          <w:top w:w="0" w:type="dxa"/>
          <w:left w:w="108" w:type="dxa"/>
          <w:bottom w:w="0" w:type="dxa"/>
          <w:right w:w="108" w:type="dxa"/>
        </w:tblCellMar>
      </w:tblPr>
      <w:tblGrid>
        <w:gridCol w:w="570"/>
        <w:gridCol w:w="2422"/>
        <w:gridCol w:w="1418"/>
        <w:gridCol w:w="1842"/>
        <w:gridCol w:w="3119"/>
      </w:tblGrid>
      <w:tr>
        <w:tblPrEx>
          <w:tblCellMar>
            <w:top w:w="0" w:type="dxa"/>
            <w:left w:w="108" w:type="dxa"/>
            <w:bottom w:w="0" w:type="dxa"/>
            <w:right w:w="108" w:type="dxa"/>
          </w:tblCellMar>
        </w:tblPrEx>
        <w:trPr>
          <w:trHeight w:val="270" w:hRule="atLeast"/>
        </w:trPr>
        <w:tc>
          <w:tcPr>
            <w:tcW w:w="570" w:type="dxa"/>
            <w:vMerge w:val="restart"/>
            <w:tcBorders>
              <w:top w:val="single" w:color="auto" w:sz="4" w:space="0"/>
              <w:left w:val="single" w:color="auto" w:sz="4" w:space="0"/>
              <w:bottom w:val="nil"/>
              <w:right w:val="nil"/>
            </w:tcBorders>
            <w:noWrap/>
            <w:vAlign w:val="center"/>
          </w:tcPr>
          <w:p>
            <w:pPr>
              <w:widowControl/>
              <w:jc w:val="center"/>
              <w:textAlignment w:val="center"/>
              <w:rPr>
                <w:rFonts w:hAnsi="宋体" w:cs="宋体"/>
                <w:color w:val="000000"/>
                <w:sz w:val="22"/>
              </w:rPr>
            </w:pPr>
            <w:r>
              <w:rPr>
                <w:rFonts w:hint="eastAsia" w:hAnsi="宋体" w:cs="宋体"/>
                <w:color w:val="000000"/>
                <w:sz w:val="22"/>
              </w:rPr>
              <w:t>序号</w:t>
            </w:r>
          </w:p>
        </w:tc>
        <w:tc>
          <w:tcPr>
            <w:tcW w:w="24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工程名称</w:t>
            </w:r>
          </w:p>
        </w:tc>
        <w:tc>
          <w:tcPr>
            <w:tcW w:w="637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供水范围</w:t>
            </w:r>
          </w:p>
        </w:tc>
      </w:tr>
      <w:tr>
        <w:tblPrEx>
          <w:tblCellMar>
            <w:top w:w="0" w:type="dxa"/>
            <w:left w:w="108" w:type="dxa"/>
            <w:bottom w:w="0" w:type="dxa"/>
            <w:right w:w="108" w:type="dxa"/>
          </w:tblCellMar>
        </w:tblPrEx>
        <w:trPr>
          <w:trHeight w:val="810" w:hRule="atLeast"/>
        </w:trPr>
        <w:tc>
          <w:tcPr>
            <w:tcW w:w="570" w:type="dxa"/>
            <w:vMerge w:val="continue"/>
            <w:tcBorders>
              <w:top w:val="nil"/>
              <w:left w:val="single" w:color="auto" w:sz="4" w:space="0"/>
              <w:bottom w:val="nil"/>
              <w:right w:val="nil"/>
            </w:tcBorders>
            <w:noWrap/>
            <w:vAlign w:val="center"/>
          </w:tcPr>
          <w:p>
            <w:pPr>
              <w:jc w:val="center"/>
              <w:rPr>
                <w:rFonts w:hAnsi="宋体" w:cs="宋体"/>
                <w:color w:val="000000"/>
                <w:sz w:val="22"/>
              </w:rPr>
            </w:pPr>
          </w:p>
        </w:tc>
        <w:tc>
          <w:tcPr>
            <w:tcW w:w="24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Ansi="宋体" w:cs="宋体"/>
                <w:color w:val="000000"/>
                <w:sz w:val="22"/>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乡镇名称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行政村</w:t>
            </w:r>
            <w:r>
              <w:rPr>
                <w:rFonts w:hint="eastAsia" w:hAnsi="宋体" w:cs="宋体"/>
                <w:color w:val="000000"/>
                <w:sz w:val="22"/>
              </w:rPr>
              <w:br w:type="textWrapping"/>
            </w:r>
            <w:r>
              <w:rPr>
                <w:rFonts w:hint="eastAsia" w:hAnsi="宋体" w:cs="宋体"/>
                <w:color w:val="000000"/>
                <w:sz w:val="22"/>
              </w:rPr>
              <w:t>名称</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自然村（或村小组）</w:t>
            </w:r>
            <w:r>
              <w:rPr>
                <w:rFonts w:hint="eastAsia" w:hAnsi="宋体" w:cs="宋体"/>
                <w:color w:val="000000"/>
                <w:sz w:val="22"/>
              </w:rPr>
              <w:br w:type="textWrapping"/>
            </w:r>
            <w:r>
              <w:rPr>
                <w:rFonts w:hint="eastAsia" w:hAnsi="宋体" w:cs="宋体"/>
                <w:color w:val="000000"/>
                <w:sz w:val="22"/>
              </w:rPr>
              <w:t>名称</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下山村青园洋村民小组集中供水井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文城镇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青园洋村民小组</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下山陈村饮水工程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文城镇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下山陈村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横山村饮水工程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会文镇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湖丰村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横山村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富春二村饮水工程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育英村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富春二村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枝山15队饮水工程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跃进村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枝山村15队</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多寻村10队饮水工程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跃进村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多寻村10队</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跃进十四队集中水塔饮水工程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跃进村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枝山村14队</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枝山12队饮水工程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跃进村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枝山村12队</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竹林墟饮水工程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养成村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竹林墟</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头坡二饮水工程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养成村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头坡二村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春花山饮水工程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加昌村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春花山村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才昌二村饮水工程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加昌村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才昌二村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上江饮水工程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新寨村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下寨村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甲花饮水工程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新寨村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新寨村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海棠园村饮水工程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加昌村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海棠园村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上截田饮水工程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上截田村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大头村饮水工程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大头村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福田饮水工程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福田村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大勇村饮水工程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大勇村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20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重兴三角庭</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重兴镇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地方国营文昌市三角庭农场</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地方国营文昌市三角庭农场</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21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红山村饮水工程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蓬莱镇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桃仁村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红山村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22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油塘头饮水工程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蓬莱镇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桃仁村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油塘头村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23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蓬莱镇石桥村饮水工程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蓬莱镇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石桥村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石桥村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24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佳白村饮水工程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蓬莱镇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群合村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佳白村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25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罗架村饮水工程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新林村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罗架村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26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上山村饮水工程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新林村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上山村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27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下孟村饮水工程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新林村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下孟、水迎</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28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鳌头林村饮水工程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群星村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鳌头林村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29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堆头八村饮水工程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堆头八村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30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堆头七村饮水工程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堆头七村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31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流坑一、二水塔</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群星村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流坑一、二</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32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东阁镇东阁村饮水工程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33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东阁镇宝新村饮水工程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宝新村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宝新村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34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东阁镇新群村饮水工程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新群村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新群村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35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东阁镇红星村饮水工程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红星村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红星村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36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东阁镇美柳村饮水工程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美柳村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美柳村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37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东阁镇凤山村学校路坑灌溉井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38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东阁镇凤山村罗匹坑灌溉井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39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东阁镇凤山村当头田坑抗旱水井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40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东阁镇凤山村新村坡灌溉井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41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东阁镇凤山村后山坑灌溉井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凤山二村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42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东阁镇凤山村敦泰坡抗旱水井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凤山二村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43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东阁镇凤山村排田坑灌溉井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凤山二村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44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东阁镇凤山村凤头办公室水井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凤山三村</w:t>
            </w:r>
          </w:p>
        </w:tc>
      </w:tr>
      <w:tr>
        <w:tblPrEx>
          <w:tblCellMar>
            <w:top w:w="0" w:type="dxa"/>
            <w:left w:w="108" w:type="dxa"/>
            <w:bottom w:w="0" w:type="dxa"/>
            <w:right w:w="108"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45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东阁镇凤山村委会凤头三村生活饮水井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凤山三村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46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东阁镇凤山村委会凤头二村集体水井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凤山二村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47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东阁镇凤山村委会凤头四村灌溉井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东阁镇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凤山四村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48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东郊镇清港村委会西春村供水井</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东郊镇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西春村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西春村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49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加美村委会加美村水塔</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文教镇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加美村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加美四、五、六、七队</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50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加美村委会石壁村水塔</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文教镇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加美村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石壁一、二、三队</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51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东路居居委会农村14队</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东路居</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农村十四队</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52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东路居居委会农村1队</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东路居</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农村1队</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53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胶厂2队饮水工程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东路居</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农村21队</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54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东路居居委会农村21队</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东路居</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农场2队</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55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农场2队饮水工程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东路居</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农场胶厂2队</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56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农场15、22队饮水工程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东路居</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农场15、22队</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57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农场10队饮水工程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东路居</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农场10队</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58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农场12队饮水工程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东路居</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农场12队</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59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农场13队饮水工程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东路居</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农场13队</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60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昌平村饮水工程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永丰村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昌平村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61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石马头村饮水工程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永丰村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石马头村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62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华南村饮水工程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华南村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63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大丰下村</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东路村</w:t>
            </w:r>
          </w:p>
        </w:tc>
        <w:tc>
          <w:tcPr>
            <w:tcW w:w="31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大丰下村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64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瓦灶坡饮水工程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东路镇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美德</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红湖、瓦灶坡</w:t>
            </w:r>
          </w:p>
        </w:tc>
      </w:tr>
      <w:tr>
        <w:tblPrEx>
          <w:tblCellMar>
            <w:top w:w="0" w:type="dxa"/>
            <w:left w:w="108" w:type="dxa"/>
            <w:bottom w:w="0" w:type="dxa"/>
            <w:right w:w="108" w:type="dxa"/>
          </w:tblCellMar>
        </w:tblPrEx>
        <w:trPr>
          <w:trHeight w:val="270" w:hRule="atLeast"/>
        </w:trPr>
        <w:tc>
          <w:tcPr>
            <w:tcW w:w="5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65</w:t>
            </w:r>
          </w:p>
        </w:tc>
        <w:tc>
          <w:tcPr>
            <w:tcW w:w="24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潭牛镇孔雀村饮水工程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潭牛镇</w:t>
            </w:r>
          </w:p>
        </w:tc>
        <w:tc>
          <w:tcPr>
            <w:tcW w:w="18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孔雀村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孔雀黄村</w:t>
            </w:r>
          </w:p>
        </w:tc>
      </w:tr>
      <w:tr>
        <w:tblPrEx>
          <w:tblCellMar>
            <w:top w:w="0" w:type="dxa"/>
            <w:left w:w="108" w:type="dxa"/>
            <w:bottom w:w="0" w:type="dxa"/>
            <w:right w:w="108" w:type="dxa"/>
          </w:tblCellMar>
        </w:tblPrEx>
        <w:trPr>
          <w:trHeight w:val="270"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2"/>
              </w:rPr>
            </w:pPr>
          </w:p>
        </w:tc>
        <w:tc>
          <w:tcPr>
            <w:tcW w:w="24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Ansi="宋体" w:cs="宋体"/>
                <w:color w:val="000000"/>
                <w:sz w:val="22"/>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潭牛镇</w:t>
            </w:r>
          </w:p>
        </w:tc>
        <w:tc>
          <w:tcPr>
            <w:tcW w:w="18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孔雀村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福头村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66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龙楼镇吉水村饮水工程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龙楼镇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吉水村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吉水村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67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后岭一村饮水工程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龙楼镇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山海村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后岭一村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68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后岭二村饮水工程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龙楼镇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山海村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后岭二村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69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山园一饮水工程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龙楼镇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山海</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山园一</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70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龙楼镇金星村饮水工程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龙楼镇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金星村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茂山二村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71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全美村饮水工程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龙楼镇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全美村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全美村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72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宝陵村十七队饮水工程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龙楼镇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宝陵村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宝陵十七队</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73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宝陵村十七队饮水工程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龙楼镇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宝陵村</w:t>
            </w:r>
          </w:p>
        </w:tc>
        <w:tc>
          <w:tcPr>
            <w:tcW w:w="31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居委会</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74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昌洒镇东群村饮水工程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东群村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东群村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75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昌洒镇凤元村饮水工程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凤元村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凤元村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76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昌洒镇昌洒村饮水工程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宝堆村</w:t>
            </w:r>
          </w:p>
        </w:tc>
        <w:tc>
          <w:tcPr>
            <w:tcW w:w="31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凤鸣二</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77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昌洒镇昌洒村饮水工程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宝堆村</w:t>
            </w:r>
          </w:p>
        </w:tc>
        <w:tc>
          <w:tcPr>
            <w:tcW w:w="31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凤鸣一</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78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昌洒镇昌洒村饮水工程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昌洒村</w:t>
            </w:r>
          </w:p>
        </w:tc>
        <w:tc>
          <w:tcPr>
            <w:tcW w:w="31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水铁村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79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昌洒镇庆龄村饮水工程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庆龄村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庆龄村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80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昌洒镇昌华村饮水工程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w:t>
            </w:r>
          </w:p>
        </w:tc>
        <w:tc>
          <w:tcPr>
            <w:tcW w:w="18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宝华村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西郊</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81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昌洒镇昌发村饮水工程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w:t>
            </w:r>
          </w:p>
        </w:tc>
        <w:tc>
          <w:tcPr>
            <w:tcW w:w="1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昌武</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82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昌洒镇昌新村饮水工程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昌发村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昌发村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83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昌洒镇昌茂村饮水工程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昌茂村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新室村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84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昌洒镇昌茂村饮水工程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昌茂村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林塘村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85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昌洒镇联成村饮水工程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昌洒镇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联成村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龙田村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86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白茅村饮水工程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五一村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白茅村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87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茗山中村饮水工程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五一村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茗山中村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88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科第村饮水工程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五一村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科第村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89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龙跃村饮水工程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五一村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龙跃村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90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厚粮村饮水工程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力群村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厚粮村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91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抱兰村饮水工程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力群村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抱蓝村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92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定堆上村饮水工程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力群村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定堆上村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93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定堆下村饮水工程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力群村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定堆下村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94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定海堆村饮水工程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力群村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定海堆村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95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连榜上下村饮水工程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力群村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连榜村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96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进德村饮水工程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进德村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97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德流村饮水工程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德流村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98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昌串北村饮水工程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昌串北</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99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昌串南村饮水工程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昌串南</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100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公坡镇新华村饮水工程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茂亭东、西村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101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公坡镇锦东村饮水工程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公坡镇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锦东村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龙虎山村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102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名园村集中井饮水工程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抱罗镇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名园村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名园村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103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牛山海村饮水工程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茂山村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牛山海村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104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仁山村饮水工程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大福村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仁山村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105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下界村饮水工程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大福村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下界村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106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南逢村饮水工程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明月村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南逢村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107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水高村饮水工程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大福村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水高村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108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翁田镇汪洋村饮水工程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汪洋村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抱元村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109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翁田镇堆头村饮水工程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堆头村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堆头村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110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翁田镇明月村饮水工程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明月村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上崀村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111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翁田镇大福村饮水工程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大福村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大福西村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112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翁田镇排崀村委会饮水工程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排崀村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下田村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113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翁田镇西村饮水工程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翁田镇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西村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西村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114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潭头村饮水工程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乐安村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潭头上、下村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115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上东山村饮水工程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湖山村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上东山</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116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上堆秩村饮水工程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湖清村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上堆秩</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117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恒产村饮水工程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下园村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恒产</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118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亚元村饮水工程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下园村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亚元</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119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门口坡村饮水工程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山雅村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门口坡</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120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富宅村饮水工程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山雅村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富宅</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121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枋山北饮水工程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排港村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枋山北</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122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东坡坑饮水工程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湖心村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东坡坑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123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白石坡饮水工程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湖心村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白石坡</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124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茂山坡饮水工程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湖大村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茂山坡村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125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才崀村饮水工程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湖大村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才崀村</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126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东云村饮水工程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花园村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东云一、二村、北坑、湴坑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127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花上村饮水工程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花园村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花上村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128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花下村饮水工程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花园村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花下、花中村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129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山雅村饮水工程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山雅村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山雅</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130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罗东村饮水工程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湖清村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罗东、罗先、罗中、罗吴、罗英</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131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南来坡饮水工程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园堆村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南来坡</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132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古湖村饮水工程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园堆村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古湖</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133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罗民仔村饮水工程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罗民村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罗名仔村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134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市头村饮水工程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罗民村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市头村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135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王兰南村饮水工程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南山村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王兰南北村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136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吕家村饮水工程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录家村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吕家村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137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南溪下村饮</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南溪下村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第三工作站</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138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第一工作站饮水工程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罗豆居</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第一工作站</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139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第二工作站饮水工程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罗豆居</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第二工作站</w:t>
            </w:r>
          </w:p>
        </w:tc>
      </w:tr>
      <w:tr>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140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锦山镇溪尾村饮水工程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锦山镇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溪尾村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溪尾村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141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东井村饮水工程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铺前镇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仕后村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东井村</w:t>
            </w:r>
          </w:p>
        </w:tc>
      </w:tr>
      <w:tr>
        <w:tblPrEx>
          <w:tblCellMar>
            <w:top w:w="0" w:type="dxa"/>
            <w:left w:w="108" w:type="dxa"/>
            <w:bottom w:w="0" w:type="dxa"/>
            <w:right w:w="108"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142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林梧村饮水工程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铺前镇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林梧村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中台三、田良中、林梧一、美仍、美仍仔</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143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东坡坡饮水工程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铺前镇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七岭村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东坡坡村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144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高峰饮水工程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铺前镇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七岭村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高峰村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145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新埠村饮水工程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铺前镇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七岭村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新埠村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146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新埠海饮水工程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铺前镇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七岭村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新埠海</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147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美柳村饮水工程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铺前镇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东坡村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美柳村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148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岭头村饮水工程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铺前镇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东坡村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岭头村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149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张九饮水工程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铺前镇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地太村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张九村</w:t>
            </w:r>
          </w:p>
        </w:tc>
      </w:tr>
      <w:tr>
        <w:tblPrEx>
          <w:tblCellMar>
            <w:top w:w="0" w:type="dxa"/>
            <w:left w:w="108" w:type="dxa"/>
            <w:bottom w:w="0" w:type="dxa"/>
            <w:right w:w="108"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rPr>
            </w:pPr>
            <w:r>
              <w:rPr>
                <w:rFonts w:hint="eastAsia" w:hAnsi="宋体" w:cs="宋体"/>
                <w:color w:val="000000"/>
                <w:sz w:val="22"/>
              </w:rPr>
              <w:t>150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地太饮水工程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铺前镇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地太村</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Ansi="宋体" w:cs="宋体"/>
                <w:color w:val="000000"/>
                <w:sz w:val="22"/>
              </w:rPr>
            </w:pPr>
            <w:r>
              <w:rPr>
                <w:rFonts w:hint="eastAsia" w:hAnsi="宋体" w:cs="宋体"/>
                <w:color w:val="000000"/>
                <w:sz w:val="22"/>
              </w:rPr>
              <w:t>地太村</w:t>
            </w:r>
          </w:p>
        </w:tc>
      </w:tr>
    </w:tbl>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zExOGQwNzkxZjU4ZmU2MWI2YTEzMWFmNjBkOTYifQ=="/>
  </w:docVars>
  <w:rsids>
    <w:rsidRoot w:val="3254187B"/>
    <w:rsid w:val="15500C20"/>
    <w:rsid w:val="3254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600" w:lineRule="exact"/>
      <w:jc w:val="center"/>
      <w:textAlignment w:val="baseline"/>
    </w:pPr>
    <w:rPr>
      <w:rFonts w:ascii="Calibri" w:hAnsi="Calibri" w:eastAsia="宋体" w:cs="Times New Roman"/>
      <w:bCs/>
      <w:kern w:val="44"/>
      <w:sz w:val="30"/>
      <w:szCs w:val="44"/>
      <w:lang w:val="en-US" w:eastAsia="zh-CN" w:bidi="ar-SA"/>
    </w:rPr>
  </w:style>
  <w:style w:type="paragraph" w:styleId="3">
    <w:name w:val="Normal Indent"/>
    <w:basedOn w:val="1"/>
    <w:next w:val="1"/>
    <w:unhideWhenUsed/>
    <w:qFormat/>
    <w:uiPriority w:val="99"/>
    <w:pPr>
      <w:ind w:firstLine="420"/>
    </w:pPr>
    <w:rPr>
      <w:szCs w:val="2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customStyle="1" w:styleId="7">
    <w:name w:val="NormalIndent"/>
    <w:basedOn w:val="1"/>
    <w:qFormat/>
    <w:uiPriority w:val="0"/>
    <w:pPr>
      <w:ind w:firstLine="420"/>
      <w:jc w:val="both"/>
      <w:textAlignment w:val="baseline"/>
    </w:pPr>
    <w:rPr>
      <w:rFonts w:ascii="Calibri" w:hAnsi="Calibri" w:eastAsia="宋体"/>
      <w:kern w:val="2"/>
      <w:sz w:val="21"/>
      <w:szCs w:val="20"/>
      <w:lang w:val="en-US" w:eastAsia="zh-CN" w:bidi="ar-SA"/>
    </w:rPr>
  </w:style>
  <w:style w:type="character" w:customStyle="1" w:styleId="8">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3868</Words>
  <Characters>4089</Characters>
  <Lines>0</Lines>
  <Paragraphs>0</Paragraphs>
  <TotalTime>0</TotalTime>
  <ScaleCrop>false</ScaleCrop>
  <LinksUpToDate>false</LinksUpToDate>
  <CharactersWithSpaces>4091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2022-07-07T10:20:00Z</dcterms:created>
  <dc:creator>WPS_1601797879</dc:creator>
  <cp:lastModifiedBy>WPS_1601797879</cp:lastModifiedBy>
  <dcterms:modified xsi:type="dcterms:W3CDTF">2022-07-07T10:20:32Z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13051693DF214C09A2D024798241F856</vt:lpwstr>
  </property>
</Properties>
</file>