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3C" w:rsidRDefault="00F30B98">
      <w:pPr>
        <w:pStyle w:val="ad"/>
        <w:rPr>
          <w:rFonts w:ascii="仿宋" w:eastAsia="仿宋" w:hAnsi="仿宋"/>
        </w:rPr>
      </w:pPr>
      <w:bookmarkStart w:id="0" w:name="_Toc89075878"/>
      <w:bookmarkStart w:id="1" w:name="_Toc77400782"/>
      <w:bookmarkStart w:id="2" w:name="_Toc183582231"/>
      <w:bookmarkStart w:id="3" w:name="_Toc217446056"/>
      <w:bookmarkStart w:id="4" w:name="_Toc183682368"/>
      <w:bookmarkStart w:id="5" w:name="_Toc17618"/>
      <w:r>
        <w:rPr>
          <w:rFonts w:ascii="仿宋" w:eastAsia="仿宋" w:hAnsi="仿宋" w:hint="eastAsia"/>
        </w:rPr>
        <w:t>第五章</w:t>
      </w:r>
      <w:r>
        <w:rPr>
          <w:rFonts w:ascii="仿宋" w:eastAsia="仿宋" w:hAnsi="仿宋" w:hint="eastAsia"/>
        </w:rPr>
        <w:t xml:space="preserve">  </w:t>
      </w:r>
      <w:r>
        <w:rPr>
          <w:rFonts w:ascii="仿宋" w:eastAsia="仿宋" w:hAnsi="仿宋" w:hint="eastAsia"/>
        </w:rPr>
        <w:t>采购项目技术、服务、政府采购合同内容条款及其他商务要求</w:t>
      </w:r>
      <w:bookmarkEnd w:id="5"/>
    </w:p>
    <w:p w:rsidR="00FF1C3C" w:rsidRDefault="00FF1C3C">
      <w:pPr>
        <w:pStyle w:val="GW-"/>
        <w:ind w:firstLine="480"/>
      </w:pPr>
    </w:p>
    <w:p w:rsidR="00FF1C3C" w:rsidRDefault="00F30B98">
      <w:pPr>
        <w:ind w:firstLineChars="200" w:firstLine="482"/>
        <w:rPr>
          <w:rFonts w:ascii="仿宋" w:eastAsia="仿宋" w:hAnsi="仿宋" w:cs="宋体"/>
          <w:b/>
          <w:bCs/>
          <w:kern w:val="0"/>
          <w:sz w:val="24"/>
        </w:rPr>
      </w:pPr>
      <w:bookmarkStart w:id="6" w:name="PO_默认文件内容_27"/>
      <w:r>
        <w:rPr>
          <w:rFonts w:ascii="仿宋" w:eastAsia="仿宋" w:hAnsi="仿宋" w:cs="宋体" w:hint="eastAsia"/>
          <w:b/>
          <w:bCs/>
          <w:kern w:val="0"/>
          <w:sz w:val="24"/>
        </w:rPr>
        <w:t>前提：</w:t>
      </w:r>
      <w:r>
        <w:rPr>
          <w:rFonts w:ascii="仿宋" w:eastAsia="仿宋" w:hAnsi="仿宋" w:cs="宋体"/>
          <w:b/>
          <w:bCs/>
          <w:kern w:val="0"/>
          <w:sz w:val="24"/>
        </w:rPr>
        <w:t>本章采购需求中标注</w:t>
      </w:r>
      <w:r>
        <w:rPr>
          <w:rFonts w:ascii="仿宋" w:eastAsia="仿宋" w:hAnsi="仿宋" w:cs="宋体"/>
          <w:b/>
          <w:bCs/>
          <w:kern w:val="0"/>
          <w:sz w:val="24"/>
        </w:rPr>
        <w:t>“*”</w:t>
      </w:r>
      <w:r>
        <w:rPr>
          <w:rFonts w:ascii="仿宋" w:eastAsia="仿宋" w:hAnsi="仿宋" w:cs="宋体"/>
          <w:b/>
          <w:bCs/>
          <w:kern w:val="0"/>
          <w:sz w:val="24"/>
        </w:rPr>
        <w:t>号的条款为本次磋商采购项目的实质性要求，供应商应全部满足</w:t>
      </w:r>
      <w:r>
        <w:rPr>
          <w:rFonts w:ascii="仿宋" w:eastAsia="仿宋" w:hAnsi="仿宋" w:cs="宋体" w:hint="eastAsia"/>
          <w:b/>
          <w:bCs/>
          <w:kern w:val="0"/>
          <w:sz w:val="24"/>
        </w:rPr>
        <w:t>。</w:t>
      </w:r>
    </w:p>
    <w:p w:rsidR="00FF1C3C" w:rsidRDefault="00F30B98">
      <w:pPr>
        <w:pStyle w:val="2"/>
        <w:spacing w:line="400" w:lineRule="exact"/>
        <w:ind w:left="236"/>
        <w:rPr>
          <w:rFonts w:ascii="仿宋" w:eastAsia="仿宋" w:hAnsi="仿宋"/>
          <w:sz w:val="24"/>
          <w:szCs w:val="24"/>
        </w:rPr>
      </w:pPr>
      <w:bookmarkStart w:id="7" w:name="_Toc31952"/>
      <w:r>
        <w:rPr>
          <w:rFonts w:ascii="仿宋" w:eastAsia="仿宋" w:hAnsi="仿宋" w:hint="eastAsia"/>
          <w:sz w:val="24"/>
          <w:szCs w:val="24"/>
        </w:rPr>
        <w:t>一、</w:t>
      </w:r>
      <w:r>
        <w:rPr>
          <w:rFonts w:ascii="仿宋" w:eastAsia="仿宋" w:hAnsi="仿宋" w:hint="eastAsia"/>
          <w:sz w:val="24"/>
          <w:szCs w:val="24"/>
        </w:rPr>
        <w:t>项目概述</w:t>
      </w:r>
      <w:bookmarkEnd w:id="7"/>
    </w:p>
    <w:p w:rsidR="00FF1C3C" w:rsidRDefault="00F30B98">
      <w:pPr>
        <w:pStyle w:val="a4"/>
        <w:spacing w:line="400" w:lineRule="exact"/>
        <w:ind w:firstLine="480"/>
        <w:rPr>
          <w:rFonts w:ascii="仿宋" w:eastAsia="仿宋" w:hAnsi="仿宋"/>
          <w:bCs/>
          <w:sz w:val="24"/>
        </w:rPr>
      </w:pPr>
      <w:r>
        <w:rPr>
          <w:rFonts w:ascii="仿宋" w:eastAsia="仿宋" w:hAnsi="仿宋" w:hint="eastAsia"/>
          <w:sz w:val="24"/>
        </w:rPr>
        <w:t>本项目共一个包，四川轻化工大学拟采购一家工程造价咨询单位对学校</w:t>
      </w:r>
      <w:r>
        <w:rPr>
          <w:rFonts w:ascii="仿宋" w:eastAsia="仿宋" w:hAnsi="仿宋" w:hint="eastAsia"/>
          <w:sz w:val="24"/>
        </w:rPr>
        <w:t>2022</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-2024</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月修缮工程提供造价咨询及零星维修项目结算审核服务。</w:t>
      </w:r>
    </w:p>
    <w:p w:rsidR="00FF1C3C" w:rsidRDefault="00F30B98">
      <w:pPr>
        <w:pStyle w:val="2"/>
        <w:spacing w:line="400" w:lineRule="exact"/>
        <w:ind w:left="236"/>
        <w:rPr>
          <w:rFonts w:ascii="仿宋" w:eastAsia="仿宋" w:hAnsi="仿宋"/>
          <w:sz w:val="24"/>
          <w:szCs w:val="24"/>
        </w:rPr>
      </w:pPr>
      <w:bookmarkStart w:id="8" w:name="_Toc2073"/>
      <w:r>
        <w:rPr>
          <w:rFonts w:ascii="仿宋" w:eastAsia="仿宋" w:hAnsi="仿宋" w:hint="eastAsia"/>
          <w:sz w:val="24"/>
          <w:szCs w:val="24"/>
        </w:rPr>
        <w:t>二、</w:t>
      </w:r>
      <w:r>
        <w:rPr>
          <w:rFonts w:ascii="仿宋" w:eastAsia="仿宋" w:hAnsi="仿宋" w:hint="eastAsia"/>
          <w:sz w:val="24"/>
          <w:szCs w:val="24"/>
        </w:rPr>
        <w:t>项目清单</w:t>
      </w:r>
      <w:bookmarkEnd w:id="8"/>
    </w:p>
    <w:tbl>
      <w:tblPr>
        <w:tblStyle w:val="af"/>
        <w:tblW w:w="5928" w:type="dxa"/>
        <w:jc w:val="center"/>
        <w:tblLook w:val="04A0" w:firstRow="1" w:lastRow="0" w:firstColumn="1" w:lastColumn="0" w:noHBand="0" w:noVBand="1"/>
      </w:tblPr>
      <w:tblGrid>
        <w:gridCol w:w="745"/>
        <w:gridCol w:w="2290"/>
        <w:gridCol w:w="2053"/>
        <w:gridCol w:w="840"/>
      </w:tblGrid>
      <w:tr w:rsidR="00FF1C3C">
        <w:trPr>
          <w:trHeight w:val="90"/>
          <w:jc w:val="center"/>
        </w:trPr>
        <w:tc>
          <w:tcPr>
            <w:tcW w:w="745"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包号</w:t>
            </w:r>
          </w:p>
        </w:tc>
        <w:tc>
          <w:tcPr>
            <w:tcW w:w="2290"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标的名称</w:t>
            </w:r>
          </w:p>
        </w:tc>
        <w:tc>
          <w:tcPr>
            <w:tcW w:w="2053"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所属行业</w:t>
            </w:r>
          </w:p>
        </w:tc>
        <w:tc>
          <w:tcPr>
            <w:tcW w:w="840"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数量</w:t>
            </w:r>
          </w:p>
        </w:tc>
      </w:tr>
      <w:tr w:rsidR="00FF1C3C">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01</w:t>
            </w:r>
            <w:r>
              <w:rPr>
                <w:rFonts w:ascii="仿宋" w:eastAsia="仿宋" w:hAnsi="仿宋" w:hint="eastAsia"/>
                <w:bCs/>
                <w:sz w:val="24"/>
              </w:rPr>
              <w:t>包</w:t>
            </w:r>
          </w:p>
        </w:tc>
        <w:tc>
          <w:tcPr>
            <w:tcW w:w="2290"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工程造价咨询服务</w:t>
            </w:r>
          </w:p>
        </w:tc>
        <w:tc>
          <w:tcPr>
            <w:tcW w:w="2053"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其他未列明行业</w:t>
            </w:r>
          </w:p>
        </w:tc>
        <w:tc>
          <w:tcPr>
            <w:tcW w:w="840" w:type="dxa"/>
            <w:tcBorders>
              <w:top w:val="single" w:sz="4" w:space="0" w:color="auto"/>
              <w:left w:val="single" w:sz="4" w:space="0" w:color="auto"/>
              <w:bottom w:val="single" w:sz="4" w:space="0" w:color="auto"/>
              <w:right w:val="single" w:sz="4" w:space="0" w:color="auto"/>
            </w:tcBorders>
            <w:vAlign w:val="center"/>
          </w:tcPr>
          <w:p w:rsidR="00FF1C3C" w:rsidRDefault="00F30B98">
            <w:pPr>
              <w:pStyle w:val="a4"/>
              <w:spacing w:line="400" w:lineRule="exact"/>
              <w:ind w:firstLineChars="0" w:firstLine="0"/>
              <w:jc w:val="center"/>
              <w:rPr>
                <w:rFonts w:ascii="仿宋" w:eastAsia="仿宋" w:hAnsi="仿宋"/>
                <w:bCs/>
                <w:sz w:val="24"/>
              </w:rPr>
            </w:pPr>
            <w:r>
              <w:rPr>
                <w:rFonts w:ascii="仿宋" w:eastAsia="仿宋" w:hAnsi="仿宋" w:hint="eastAsia"/>
                <w:bCs/>
                <w:sz w:val="24"/>
              </w:rPr>
              <w:t>1</w:t>
            </w:r>
            <w:r>
              <w:rPr>
                <w:rFonts w:ascii="仿宋" w:eastAsia="仿宋" w:hAnsi="仿宋" w:hint="eastAsia"/>
                <w:bCs/>
                <w:sz w:val="24"/>
              </w:rPr>
              <w:t>项</w:t>
            </w:r>
          </w:p>
        </w:tc>
      </w:tr>
    </w:tbl>
    <w:p w:rsidR="00FF1C3C" w:rsidRDefault="00FF1C3C">
      <w:pPr>
        <w:rPr>
          <w:rFonts w:ascii="仿宋" w:eastAsia="仿宋" w:hAnsi="仿宋"/>
        </w:rPr>
      </w:pPr>
    </w:p>
    <w:p w:rsidR="00FF1C3C" w:rsidRDefault="00F30B98">
      <w:pPr>
        <w:pStyle w:val="2"/>
        <w:spacing w:line="400" w:lineRule="exact"/>
        <w:ind w:firstLineChars="98" w:firstLine="236"/>
        <w:rPr>
          <w:rFonts w:ascii="仿宋" w:eastAsia="仿宋" w:hAnsi="仿宋"/>
          <w:sz w:val="24"/>
          <w:szCs w:val="24"/>
        </w:rPr>
      </w:pPr>
      <w:bookmarkStart w:id="9" w:name="_Toc29026"/>
      <w:r>
        <w:rPr>
          <w:rFonts w:ascii="仿宋" w:eastAsia="仿宋" w:hAnsi="仿宋" w:hint="eastAsia"/>
          <w:sz w:val="24"/>
          <w:szCs w:val="24"/>
        </w:rPr>
        <w:t>*</w:t>
      </w:r>
      <w:r>
        <w:rPr>
          <w:rFonts w:ascii="仿宋" w:eastAsia="仿宋" w:hAnsi="仿宋" w:hint="eastAsia"/>
          <w:sz w:val="24"/>
          <w:szCs w:val="24"/>
        </w:rPr>
        <w:t>三、商务</w:t>
      </w:r>
      <w:r>
        <w:rPr>
          <w:rFonts w:ascii="仿宋" w:eastAsia="仿宋" w:hAnsi="仿宋" w:hint="eastAsia"/>
          <w:sz w:val="24"/>
          <w:szCs w:val="24"/>
        </w:rPr>
        <w:t>要求</w:t>
      </w:r>
      <w:bookmarkEnd w:id="9"/>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（一）履约服务期限：自签订合同之日起两年或本项目采购预算金额使用完毕，任一条件达到时，合同自然终止；单次工程项目造价咨询服务履约时间以实际项目要求为准。</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（二）服务地点：四川轻化工大学各校区内或采购人指定地点。</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（三）报价要求：</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编制工程量清单和招标控制价：供应商参照《工程造价咨询服务收费标准》川价发（</w:t>
      </w:r>
      <w:r>
        <w:rPr>
          <w:rFonts w:ascii="仿宋" w:eastAsia="仿宋" w:hAnsi="仿宋" w:hint="eastAsia"/>
          <w:sz w:val="24"/>
        </w:rPr>
        <w:t>2008</w:t>
      </w:r>
      <w:r>
        <w:rPr>
          <w:rFonts w:ascii="仿宋" w:eastAsia="仿宋" w:hAnsi="仿宋" w:hint="eastAsia"/>
          <w:sz w:val="24"/>
        </w:rPr>
        <w:t>）</w:t>
      </w:r>
      <w:r>
        <w:rPr>
          <w:rFonts w:ascii="仿宋" w:eastAsia="仿宋" w:hAnsi="仿宋" w:hint="eastAsia"/>
          <w:sz w:val="24"/>
        </w:rPr>
        <w:t>141</w:t>
      </w:r>
      <w:r>
        <w:rPr>
          <w:rFonts w:ascii="仿宋" w:eastAsia="仿宋" w:hAnsi="仿宋" w:hint="eastAsia"/>
          <w:sz w:val="24"/>
        </w:rPr>
        <w:t>号文件中附件《四川省工程造价咨询服务收费标准》的“编制工程预算（招标控制价或标底）”此收费项目下浮后确定咨询费，本收费以单项工程为计算基础，凡单项收费金额低于人民币</w:t>
      </w:r>
      <w:r>
        <w:rPr>
          <w:rFonts w:ascii="仿宋" w:eastAsia="仿宋" w:hAnsi="仿宋" w:hint="eastAsia"/>
          <w:sz w:val="24"/>
        </w:rPr>
        <w:t>3000</w:t>
      </w:r>
      <w:r>
        <w:rPr>
          <w:rFonts w:ascii="仿宋" w:eastAsia="仿宋" w:hAnsi="仿宋" w:hint="eastAsia"/>
          <w:sz w:val="24"/>
        </w:rPr>
        <w:t>元，按</w:t>
      </w:r>
      <w:r>
        <w:rPr>
          <w:rFonts w:ascii="仿宋" w:eastAsia="仿宋" w:hAnsi="仿宋" w:hint="eastAsia"/>
          <w:sz w:val="24"/>
        </w:rPr>
        <w:t>3000</w:t>
      </w:r>
      <w:r>
        <w:rPr>
          <w:rFonts w:ascii="仿宋" w:eastAsia="仿宋" w:hAnsi="仿宋" w:hint="eastAsia"/>
          <w:sz w:val="24"/>
        </w:rPr>
        <w:t>元收取，该费用是供应商响应采购项目要求的全部工作内容的价格体现，包括但不限于人工劳务、设备投入、利润、风险、税金、招标代理服</w:t>
      </w:r>
      <w:r>
        <w:rPr>
          <w:rFonts w:ascii="仿宋" w:eastAsia="仿宋" w:hAnsi="仿宋" w:hint="eastAsia"/>
          <w:sz w:val="24"/>
        </w:rPr>
        <w:lastRenderedPageBreak/>
        <w:t>务等费用。供应商只允许有一个报价，并且在合同履行过程中是固定不变的，任何有选择或可调整的报价将不予接受，并按无效</w:t>
      </w:r>
      <w:r>
        <w:rPr>
          <w:rFonts w:ascii="仿宋" w:eastAsia="仿宋" w:hAnsi="仿宋" w:hint="eastAsia"/>
          <w:sz w:val="24"/>
        </w:rPr>
        <w:t>响应处理。</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工程结算审核：</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hint="eastAsia"/>
          <w:sz w:val="24"/>
        </w:rPr>
        <w:t>按月进行送审的零星维修项目</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）基本审核费</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采购人按月进行送审的零星维修项目供应商参照《工程造价咨询服务收费标准》川价发（</w:t>
      </w:r>
      <w:r>
        <w:rPr>
          <w:rFonts w:ascii="仿宋" w:eastAsia="仿宋" w:hAnsi="仿宋" w:hint="eastAsia"/>
          <w:sz w:val="24"/>
        </w:rPr>
        <w:t>2008</w:t>
      </w:r>
      <w:r>
        <w:rPr>
          <w:rFonts w:ascii="仿宋" w:eastAsia="仿宋" w:hAnsi="仿宋" w:hint="eastAsia"/>
          <w:sz w:val="24"/>
        </w:rPr>
        <w:t>）</w:t>
      </w:r>
      <w:r>
        <w:rPr>
          <w:rFonts w:ascii="仿宋" w:eastAsia="仿宋" w:hAnsi="仿宋" w:hint="eastAsia"/>
          <w:sz w:val="24"/>
        </w:rPr>
        <w:t>141</w:t>
      </w:r>
      <w:r>
        <w:rPr>
          <w:rFonts w:ascii="仿宋" w:eastAsia="仿宋" w:hAnsi="仿宋" w:hint="eastAsia"/>
          <w:sz w:val="24"/>
        </w:rPr>
        <w:t>号文件中附件《四川省工程造价咨询服务收费标准》的“审核竣工结算”此收费项目按实际送审金额计算且不执行说明中的第九点。按成交供应商最后报价（</w:t>
      </w:r>
      <w:r>
        <w:rPr>
          <w:rFonts w:ascii="仿宋" w:eastAsia="仿宋" w:hAnsi="仿宋" w:hint="eastAsia"/>
          <w:sz w:val="24"/>
        </w:rPr>
        <w:t>下浮率</w:t>
      </w:r>
      <w:r>
        <w:rPr>
          <w:rFonts w:ascii="仿宋" w:eastAsia="仿宋" w:hAnsi="仿宋" w:hint="eastAsia"/>
          <w:sz w:val="24"/>
        </w:rPr>
        <w:t>）确定咨询费。</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）审减效益费</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审减效益费率不得高于</w:t>
      </w:r>
      <w:r>
        <w:rPr>
          <w:rFonts w:ascii="仿宋" w:eastAsia="仿宋" w:hAnsi="仿宋" w:hint="eastAsia"/>
          <w:sz w:val="24"/>
        </w:rPr>
        <w:t>5%</w:t>
      </w:r>
      <w:r>
        <w:rPr>
          <w:rFonts w:ascii="仿宋" w:eastAsia="仿宋" w:hAnsi="仿宋" w:hint="eastAsia"/>
          <w:sz w:val="24"/>
        </w:rPr>
        <w:t>，否则视为无效报价。效益审减费按以下约定计取</w:t>
      </w:r>
      <w:r>
        <w:rPr>
          <w:rFonts w:ascii="仿宋" w:eastAsia="仿宋" w:hAnsi="仿宋" w:hint="eastAsia"/>
          <w:sz w:val="24"/>
        </w:rPr>
        <w:t>:</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审减效益费</w:t>
      </w:r>
      <w:r>
        <w:rPr>
          <w:rFonts w:ascii="仿宋" w:eastAsia="仿宋" w:hAnsi="仿宋" w:hint="eastAsia"/>
          <w:sz w:val="24"/>
        </w:rPr>
        <w:t>=</w:t>
      </w:r>
      <w:r>
        <w:rPr>
          <w:rFonts w:ascii="仿宋" w:eastAsia="仿宋" w:hAnsi="仿宋" w:hint="eastAsia"/>
          <w:sz w:val="24"/>
        </w:rPr>
        <w:t>结算审减金额</w:t>
      </w:r>
      <w:r>
        <w:rPr>
          <w:rFonts w:ascii="仿宋" w:eastAsia="仿宋" w:hAnsi="仿宋" w:hint="eastAsia"/>
          <w:sz w:val="24"/>
        </w:rPr>
        <w:t>*</w:t>
      </w:r>
      <w:r>
        <w:rPr>
          <w:rFonts w:ascii="仿宋" w:eastAsia="仿宋" w:hAnsi="仿宋" w:hint="eastAsia"/>
          <w:sz w:val="24"/>
        </w:rPr>
        <w:t>审减效益费率</w:t>
      </w:r>
      <w:r>
        <w:rPr>
          <w:rFonts w:ascii="仿宋" w:eastAsia="仿宋" w:hAnsi="仿宋" w:hint="eastAsia"/>
          <w:sz w:val="24"/>
        </w:rPr>
        <w:t>%</w:t>
      </w:r>
      <w:r>
        <w:rPr>
          <w:rFonts w:ascii="仿宋" w:eastAsia="仿宋" w:hAnsi="仿宋" w:hint="eastAsia"/>
          <w:sz w:val="24"/>
        </w:rPr>
        <w:t>（该费率不因任何原因调整）。按成交供应商最后报价（</w:t>
      </w:r>
      <w:r>
        <w:rPr>
          <w:rFonts w:ascii="仿宋" w:eastAsia="仿宋" w:hAnsi="仿宋" w:hint="eastAsia"/>
          <w:sz w:val="24"/>
        </w:rPr>
        <w:t>下浮率</w:t>
      </w:r>
      <w:r>
        <w:rPr>
          <w:rFonts w:ascii="仿宋" w:eastAsia="仿宋" w:hAnsi="仿宋" w:hint="eastAsia"/>
          <w:sz w:val="24"/>
        </w:rPr>
        <w:t>）确定咨询费。</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2.2</w:t>
      </w:r>
      <w:r>
        <w:rPr>
          <w:rFonts w:ascii="仿宋" w:eastAsia="仿宋" w:hAnsi="仿宋" w:hint="eastAsia"/>
          <w:sz w:val="24"/>
        </w:rPr>
        <w:t>单项（专项）</w:t>
      </w:r>
      <w:r>
        <w:rPr>
          <w:rFonts w:ascii="仿宋" w:eastAsia="仿宋" w:hAnsi="仿宋" w:hint="eastAsia"/>
          <w:sz w:val="24"/>
        </w:rPr>
        <w:t>5</w:t>
      </w:r>
      <w:r>
        <w:rPr>
          <w:rFonts w:ascii="仿宋" w:eastAsia="仿宋" w:hAnsi="仿宋" w:hint="eastAsia"/>
          <w:sz w:val="24"/>
        </w:rPr>
        <w:t>万以下的项目</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固定价格，涉及</w:t>
      </w:r>
      <w:r>
        <w:rPr>
          <w:rFonts w:ascii="仿宋" w:eastAsia="仿宋" w:hAnsi="仿宋" w:hint="eastAsia"/>
          <w:sz w:val="24"/>
        </w:rPr>
        <w:t>5</w:t>
      </w:r>
      <w:r>
        <w:rPr>
          <w:rFonts w:ascii="仿宋" w:eastAsia="仿宋" w:hAnsi="仿宋" w:hint="eastAsia"/>
          <w:sz w:val="24"/>
        </w:rPr>
        <w:t>万元以下的单项（专项）工程，以固定价格为</w:t>
      </w:r>
      <w:r>
        <w:rPr>
          <w:rFonts w:ascii="仿宋" w:eastAsia="仿宋" w:hAnsi="仿宋" w:hint="eastAsia"/>
          <w:sz w:val="24"/>
        </w:rPr>
        <w:t>1000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个为最高限价，按成交供应商最后报价确定咨询费。</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清标</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固定价格，以固定价格为</w:t>
      </w:r>
      <w:r>
        <w:rPr>
          <w:rFonts w:ascii="仿宋" w:eastAsia="仿宋" w:hAnsi="仿宋" w:hint="eastAsia"/>
          <w:sz w:val="24"/>
        </w:rPr>
        <w:t>1000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个为最高限价，按成交供应商最后报价确定咨询费。</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4.</w:t>
      </w:r>
      <w:r>
        <w:rPr>
          <w:rFonts w:ascii="仿宋" w:eastAsia="仿宋" w:hAnsi="仿宋" w:hint="eastAsia"/>
          <w:sz w:val="24"/>
        </w:rPr>
        <w:t>以上</w:t>
      </w:r>
      <w:r>
        <w:rPr>
          <w:rFonts w:ascii="仿宋" w:eastAsia="仿宋" w:hAnsi="仿宋" w:hint="eastAsia"/>
          <w:sz w:val="24"/>
        </w:rPr>
        <w:t>3</w:t>
      </w:r>
      <w:r>
        <w:rPr>
          <w:rFonts w:ascii="仿宋" w:eastAsia="仿宋" w:hAnsi="仿宋" w:hint="eastAsia"/>
          <w:sz w:val="24"/>
        </w:rPr>
        <w:t>点因委托人图纸版本或需求修改导致供应商再次调整咨询成果文件的，均不额外支付酬金，但提供咨询成果的时间在委托人同意的前提下可酌情顺延。</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5</w:t>
      </w:r>
      <w:r>
        <w:rPr>
          <w:rFonts w:ascii="仿宋" w:eastAsia="仿宋" w:hAnsi="仿宋" w:hint="eastAsia"/>
          <w:sz w:val="24"/>
        </w:rPr>
        <w:t>、合同形式为</w:t>
      </w:r>
      <w:r>
        <w:rPr>
          <w:rFonts w:ascii="仿宋" w:eastAsia="仿宋" w:hAnsi="仿宋" w:hint="eastAsia"/>
          <w:sz w:val="24"/>
        </w:rPr>
        <w:t>：总合同和单项合同构成。</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（四）付款方式：</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本项目无预付款、无进度款。单个维修项目咨询成果文件经采购人认可并收到相关付款凭证后，</w:t>
      </w:r>
      <w:r>
        <w:rPr>
          <w:rFonts w:ascii="仿宋" w:eastAsia="仿宋" w:hAnsi="仿宋" w:hint="eastAsia"/>
          <w:sz w:val="24"/>
        </w:rPr>
        <w:t xml:space="preserve"> 15</w:t>
      </w:r>
      <w:r>
        <w:rPr>
          <w:rFonts w:ascii="仿宋" w:eastAsia="仿宋" w:hAnsi="仿宋" w:hint="eastAsia"/>
          <w:sz w:val="24"/>
        </w:rPr>
        <w:t>个工作日内一次性支付至各维修项目工程造价咨询服务合同金额</w:t>
      </w:r>
      <w:r>
        <w:rPr>
          <w:rFonts w:ascii="仿宋" w:eastAsia="仿宋" w:hAnsi="仿宋" w:hint="eastAsia"/>
          <w:sz w:val="24"/>
        </w:rPr>
        <w:lastRenderedPageBreak/>
        <w:t>的</w:t>
      </w:r>
      <w:r>
        <w:rPr>
          <w:rFonts w:ascii="仿宋" w:eastAsia="仿宋" w:hAnsi="仿宋" w:hint="eastAsia"/>
          <w:sz w:val="24"/>
        </w:rPr>
        <w:t>100%</w:t>
      </w:r>
      <w:r>
        <w:rPr>
          <w:rFonts w:ascii="仿宋" w:eastAsia="仿宋" w:hAnsi="仿宋" w:hint="eastAsia"/>
          <w:sz w:val="24"/>
        </w:rPr>
        <w:t>。</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（五）验收标准</w:t>
      </w:r>
      <w:r>
        <w:rPr>
          <w:rFonts w:ascii="仿宋" w:eastAsia="仿宋" w:hAnsi="仿宋" w:hint="eastAsia"/>
          <w:sz w:val="24"/>
        </w:rPr>
        <w:t xml:space="preserve"> </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验收标准：按照国家有关规定、采购文件的服务要求和成交供应商的响应文件及承诺进行验收。</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（六）违约责任：</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1.</w:t>
      </w:r>
      <w:r>
        <w:rPr>
          <w:rFonts w:ascii="仿宋" w:eastAsia="仿宋" w:hAnsi="仿宋" w:hint="eastAsia"/>
          <w:sz w:val="24"/>
        </w:rPr>
        <w:t>供应商必须遵守采购合同并执行合同中的各项规定，保证采购合同的正常履行。</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hint="eastAsia"/>
          <w:sz w:val="24"/>
        </w:rPr>
        <w:t>造价咨询人提供的服务内容、服务成果须满足以上要求，若造价咨询人未达到以上要求，视为违约，造价咨询人累计违约</w:t>
      </w:r>
      <w:r>
        <w:rPr>
          <w:rFonts w:ascii="仿宋" w:eastAsia="仿宋" w:hAnsi="仿宋" w:hint="eastAsia"/>
          <w:sz w:val="24"/>
        </w:rPr>
        <w:t>次数达到</w:t>
      </w:r>
      <w:r>
        <w:rPr>
          <w:rFonts w:ascii="仿宋" w:eastAsia="仿宋" w:hAnsi="仿宋" w:hint="eastAsia"/>
          <w:sz w:val="24"/>
        </w:rPr>
        <w:t>3</w:t>
      </w:r>
      <w:r>
        <w:rPr>
          <w:rFonts w:ascii="仿宋" w:eastAsia="仿宋" w:hAnsi="仿宋" w:hint="eastAsia"/>
          <w:sz w:val="24"/>
        </w:rPr>
        <w:t>次或累计延迟交付工程造价咨询成果时间达到</w:t>
      </w:r>
      <w:r>
        <w:rPr>
          <w:rFonts w:ascii="仿宋" w:eastAsia="仿宋" w:hAnsi="仿宋" w:hint="eastAsia"/>
          <w:sz w:val="24"/>
        </w:rPr>
        <w:t>7</w:t>
      </w:r>
      <w:r>
        <w:rPr>
          <w:rFonts w:ascii="仿宋" w:eastAsia="仿宋" w:hAnsi="仿宋" w:hint="eastAsia"/>
          <w:sz w:val="24"/>
        </w:rPr>
        <w:t>天，采购人可中止造价咨询合同，不向其支付该次造价咨询费用。</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hint="eastAsia"/>
          <w:sz w:val="24"/>
        </w:rPr>
        <w:t>供应商应当遵守采购人的相关项目需求及相关技术要求及实质性条款，实施完成采购合同应当完全满足相关项目需求及相关技术要求及实质性条款，若供应商瑕疵履行采购合同，采购人有权向供应商要求赔偿合同总价款</w:t>
      </w:r>
      <w:r>
        <w:rPr>
          <w:rFonts w:ascii="仿宋" w:eastAsia="仿宋" w:hAnsi="仿宋" w:hint="eastAsia"/>
          <w:sz w:val="24"/>
        </w:rPr>
        <w:t>20%</w:t>
      </w:r>
      <w:r>
        <w:rPr>
          <w:rFonts w:ascii="仿宋" w:eastAsia="仿宋" w:hAnsi="仿宋" w:hint="eastAsia"/>
          <w:sz w:val="24"/>
        </w:rPr>
        <w:t>的违约金，若造成相关损失的，采购人有权要求供应商承担所有赔偿责任。</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4.</w:t>
      </w:r>
      <w:r>
        <w:rPr>
          <w:rFonts w:ascii="仿宋" w:eastAsia="仿宋" w:hAnsi="仿宋" w:hint="eastAsia"/>
          <w:sz w:val="24"/>
        </w:rPr>
        <w:t>如因供应商在结算审核过程中疏忽、失职、过错等故意或者过失原因给采购人造成损失或侵害，包括但不限于采购人本身的财产损失、由此而导</w:t>
      </w:r>
      <w:r>
        <w:rPr>
          <w:rFonts w:ascii="仿宋" w:eastAsia="仿宋" w:hAnsi="仿宋" w:hint="eastAsia"/>
          <w:sz w:val="24"/>
        </w:rPr>
        <w:t>致的采购人对任何第三方的法律责任等，供应商对此均应承担全部的赔偿责任，且采购人可中止造价咨询合同。</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5.</w:t>
      </w:r>
      <w:r>
        <w:rPr>
          <w:rFonts w:ascii="仿宋" w:eastAsia="仿宋" w:hAnsi="仿宋" w:hint="eastAsia"/>
          <w:sz w:val="24"/>
        </w:rPr>
        <w:t>有下列情形之一的，采购人可以解除合同：</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5.1</w:t>
      </w:r>
      <w:r>
        <w:rPr>
          <w:rFonts w:ascii="仿宋" w:eastAsia="仿宋" w:hAnsi="仿宋" w:hint="eastAsia"/>
          <w:sz w:val="24"/>
        </w:rPr>
        <w:t>相同口径下，在同一项目中，供应商提供的咨询成果文件中，工程量清单中项目特征描述错误的子目数量占工程量清单全部子目数量的比例大于</w:t>
      </w:r>
      <w:r>
        <w:rPr>
          <w:rFonts w:ascii="仿宋" w:eastAsia="仿宋" w:hAnsi="仿宋" w:hint="eastAsia"/>
          <w:sz w:val="24"/>
        </w:rPr>
        <w:t>3</w:t>
      </w:r>
      <w:r>
        <w:rPr>
          <w:rFonts w:ascii="仿宋" w:eastAsia="仿宋" w:hAnsi="仿宋" w:hint="eastAsia"/>
          <w:sz w:val="24"/>
        </w:rPr>
        <w:t>％的情况超过</w:t>
      </w:r>
      <w:r>
        <w:rPr>
          <w:rFonts w:ascii="仿宋" w:eastAsia="仿宋" w:hAnsi="仿宋" w:hint="eastAsia"/>
          <w:sz w:val="24"/>
        </w:rPr>
        <w:t>3</w:t>
      </w:r>
      <w:r>
        <w:rPr>
          <w:rFonts w:ascii="仿宋" w:eastAsia="仿宋" w:hAnsi="仿宋" w:hint="eastAsia"/>
          <w:sz w:val="24"/>
        </w:rPr>
        <w:t>次的。</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5.2</w:t>
      </w:r>
      <w:r>
        <w:rPr>
          <w:rFonts w:ascii="仿宋" w:eastAsia="仿宋" w:hAnsi="仿宋" w:hint="eastAsia"/>
          <w:sz w:val="24"/>
        </w:rPr>
        <w:t>相同口径下，供应商提供的招标控制价咨询成果文件中，综合误差率大于</w:t>
      </w:r>
      <w:r>
        <w:rPr>
          <w:rFonts w:ascii="仿宋" w:eastAsia="仿宋" w:hAnsi="仿宋" w:hint="eastAsia"/>
          <w:sz w:val="24"/>
        </w:rPr>
        <w:t>5%</w:t>
      </w:r>
      <w:r>
        <w:rPr>
          <w:rFonts w:ascii="仿宋" w:eastAsia="仿宋" w:hAnsi="仿宋" w:hint="eastAsia"/>
          <w:sz w:val="24"/>
        </w:rPr>
        <w:t>的情况超过</w:t>
      </w:r>
      <w:r>
        <w:rPr>
          <w:rFonts w:ascii="仿宋" w:eastAsia="仿宋" w:hAnsi="仿宋" w:hint="eastAsia"/>
          <w:sz w:val="24"/>
        </w:rPr>
        <w:t>3</w:t>
      </w:r>
      <w:r>
        <w:rPr>
          <w:rFonts w:ascii="仿宋" w:eastAsia="仿宋" w:hAnsi="仿宋" w:hint="eastAsia"/>
          <w:sz w:val="24"/>
        </w:rPr>
        <w:t>次的。</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5.3</w:t>
      </w:r>
      <w:r>
        <w:rPr>
          <w:rFonts w:ascii="仿宋" w:eastAsia="仿宋" w:hAnsi="仿宋" w:hint="eastAsia"/>
          <w:sz w:val="24"/>
        </w:rPr>
        <w:t>相同口径下，供应商提供的结算审核的同一成果文件中，综合误差率大于</w:t>
      </w:r>
      <w:r>
        <w:rPr>
          <w:rFonts w:ascii="仿宋" w:eastAsia="仿宋" w:hAnsi="仿宋" w:hint="eastAsia"/>
          <w:sz w:val="24"/>
        </w:rPr>
        <w:t>3</w:t>
      </w:r>
      <w:r>
        <w:rPr>
          <w:rFonts w:ascii="仿宋" w:eastAsia="仿宋" w:hAnsi="仿宋" w:hint="eastAsia"/>
          <w:sz w:val="24"/>
        </w:rPr>
        <w:t>％的情况超过</w:t>
      </w:r>
      <w:r>
        <w:rPr>
          <w:rFonts w:ascii="仿宋" w:eastAsia="仿宋" w:hAnsi="仿宋" w:hint="eastAsia"/>
          <w:sz w:val="24"/>
        </w:rPr>
        <w:t>3</w:t>
      </w:r>
      <w:r>
        <w:rPr>
          <w:rFonts w:ascii="仿宋" w:eastAsia="仿宋" w:hAnsi="仿宋" w:hint="eastAsia"/>
          <w:sz w:val="24"/>
        </w:rPr>
        <w:t>次的。</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5.4</w:t>
      </w:r>
      <w:r>
        <w:rPr>
          <w:rFonts w:ascii="仿宋" w:eastAsia="仿宋" w:hAnsi="仿宋" w:hint="eastAsia"/>
          <w:sz w:val="24"/>
        </w:rPr>
        <w:t>相同口径下，清标报告的定性应正确无误，清标</w:t>
      </w:r>
      <w:r>
        <w:rPr>
          <w:rFonts w:ascii="仿宋" w:eastAsia="仿宋" w:hAnsi="仿宋" w:hint="eastAsia"/>
          <w:sz w:val="24"/>
        </w:rPr>
        <w:lastRenderedPageBreak/>
        <w:t>报告的计算结果的综合误差率大于</w:t>
      </w:r>
      <w:r>
        <w:rPr>
          <w:rFonts w:ascii="仿宋" w:eastAsia="仿宋" w:hAnsi="仿宋" w:hint="eastAsia"/>
          <w:sz w:val="24"/>
        </w:rPr>
        <w:t>3</w:t>
      </w:r>
      <w:r>
        <w:rPr>
          <w:rFonts w:ascii="仿宋" w:eastAsia="仿宋" w:hAnsi="仿宋" w:hint="eastAsia"/>
          <w:sz w:val="24"/>
        </w:rPr>
        <w:t>％的情况超过</w:t>
      </w:r>
      <w:r>
        <w:rPr>
          <w:rFonts w:ascii="仿宋" w:eastAsia="仿宋" w:hAnsi="仿宋" w:hint="eastAsia"/>
          <w:sz w:val="24"/>
        </w:rPr>
        <w:t>3</w:t>
      </w:r>
      <w:r>
        <w:rPr>
          <w:rFonts w:ascii="仿宋" w:eastAsia="仿宋" w:hAnsi="仿宋" w:hint="eastAsia"/>
          <w:sz w:val="24"/>
        </w:rPr>
        <w:t>次的。</w:t>
      </w:r>
    </w:p>
    <w:p w:rsidR="00FF1C3C" w:rsidRDefault="00F30B98">
      <w:pPr>
        <w:pStyle w:val="a4"/>
        <w:numPr>
          <w:ilvl w:val="0"/>
          <w:numId w:val="1"/>
        </w:numPr>
        <w:spacing w:line="400" w:lineRule="exact"/>
        <w:ind w:firstLine="480"/>
        <w:rPr>
          <w:rFonts w:ascii="仿宋" w:eastAsia="仿宋" w:hAnsi="仿宋"/>
          <w:sz w:val="24"/>
        </w:rPr>
      </w:pPr>
      <w:r>
        <w:rPr>
          <w:rFonts w:ascii="仿宋" w:eastAsia="仿宋" w:hAnsi="仿宋" w:hint="eastAsia"/>
          <w:sz w:val="24"/>
        </w:rPr>
        <w:t>被取消资格的供应商，</w:t>
      </w:r>
      <w:r>
        <w:rPr>
          <w:rFonts w:ascii="仿宋" w:eastAsia="仿宋" w:hAnsi="仿宋" w:hint="eastAsia"/>
          <w:sz w:val="24"/>
        </w:rPr>
        <w:t xml:space="preserve">3 </w:t>
      </w:r>
      <w:r>
        <w:rPr>
          <w:rFonts w:ascii="仿宋" w:eastAsia="仿宋" w:hAnsi="仿宋" w:hint="eastAsia"/>
          <w:sz w:val="24"/>
        </w:rPr>
        <w:t>年内不得参加四川轻化工大学的相关服务供应商采购活动。</w:t>
      </w:r>
    </w:p>
    <w:p w:rsidR="00FF1C3C" w:rsidRDefault="00F30B98">
      <w:pPr>
        <w:pStyle w:val="a4"/>
        <w:numPr>
          <w:ilvl w:val="0"/>
          <w:numId w:val="2"/>
        </w:numPr>
        <w:spacing w:line="400" w:lineRule="exact"/>
        <w:ind w:firstLine="480"/>
        <w:rPr>
          <w:rFonts w:ascii="仿宋" w:eastAsia="仿宋" w:hAnsi="仿宋"/>
          <w:sz w:val="24"/>
        </w:rPr>
      </w:pPr>
      <w:r>
        <w:rPr>
          <w:rFonts w:ascii="仿宋" w:eastAsia="仿宋" w:hAnsi="仿宋" w:hint="eastAsia"/>
          <w:sz w:val="24"/>
        </w:rPr>
        <w:t>其他要求</w:t>
      </w:r>
      <w:r>
        <w:rPr>
          <w:rFonts w:ascii="仿宋" w:eastAsia="仿宋" w:hAnsi="仿宋" w:hint="eastAsia"/>
          <w:sz w:val="24"/>
        </w:rPr>
        <w:t>：</w:t>
      </w:r>
    </w:p>
    <w:p w:rsidR="00FF1C3C" w:rsidRDefault="00F30B98">
      <w:pPr>
        <w:pStyle w:val="a4"/>
        <w:spacing w:line="400" w:lineRule="exact"/>
        <w:ind w:firstLine="480"/>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成交供应商与四川轻化工大学审计处成交的审核单位、竣工造价审核单位不具有关联方关系。（提供单独的承诺函，格式自理）</w:t>
      </w:r>
    </w:p>
    <w:p w:rsidR="00FF1C3C" w:rsidRDefault="00FF1C3C">
      <w:pPr>
        <w:pStyle w:val="a4"/>
        <w:spacing w:line="400" w:lineRule="exact"/>
        <w:ind w:firstLineChars="0" w:firstLine="0"/>
        <w:rPr>
          <w:rFonts w:ascii="仿宋" w:eastAsia="仿宋" w:hAnsi="仿宋"/>
          <w:sz w:val="24"/>
        </w:rPr>
      </w:pPr>
    </w:p>
    <w:p w:rsidR="00FF1C3C" w:rsidRDefault="00F30B98">
      <w:pPr>
        <w:pStyle w:val="2"/>
        <w:spacing w:line="400" w:lineRule="exact"/>
        <w:ind w:firstLineChars="98" w:firstLine="236"/>
        <w:rPr>
          <w:rFonts w:ascii="仿宋" w:eastAsia="仿宋" w:hAnsi="仿宋"/>
          <w:sz w:val="24"/>
          <w:szCs w:val="24"/>
        </w:rPr>
      </w:pPr>
      <w:bookmarkStart w:id="10" w:name="_Toc25934"/>
      <w:r>
        <w:rPr>
          <w:rFonts w:ascii="仿宋" w:eastAsia="仿宋" w:hAnsi="仿宋" w:hint="eastAsia"/>
          <w:sz w:val="24"/>
          <w:szCs w:val="24"/>
        </w:rPr>
        <w:t>*</w:t>
      </w:r>
      <w:r>
        <w:rPr>
          <w:rFonts w:ascii="仿宋" w:eastAsia="仿宋" w:hAnsi="仿宋" w:hint="eastAsia"/>
          <w:sz w:val="24"/>
          <w:szCs w:val="24"/>
        </w:rPr>
        <w:t>四、技术服务</w:t>
      </w:r>
      <w:r>
        <w:rPr>
          <w:rFonts w:ascii="仿宋" w:eastAsia="仿宋" w:hAnsi="仿宋" w:hint="eastAsia"/>
          <w:sz w:val="24"/>
          <w:szCs w:val="24"/>
        </w:rPr>
        <w:t>要求</w:t>
      </w:r>
      <w:bookmarkEnd w:id="10"/>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（一）服务内容</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1.</w:t>
      </w:r>
      <w:r>
        <w:rPr>
          <w:rFonts w:ascii="仿宋" w:eastAsia="仿宋" w:hAnsi="仿宋" w:hint="eastAsia"/>
          <w:sz w:val="24"/>
        </w:rPr>
        <w:t>编制工程量清单和招标控制价；</w:t>
      </w:r>
      <w:r>
        <w:rPr>
          <w:rFonts w:ascii="仿宋" w:eastAsia="仿宋" w:hAnsi="仿宋" w:hint="eastAsia"/>
          <w:sz w:val="24"/>
        </w:rPr>
        <w:t xml:space="preserve"> </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1.1</w:t>
      </w:r>
      <w:r>
        <w:rPr>
          <w:rFonts w:ascii="仿宋" w:eastAsia="仿宋" w:hAnsi="仿宋" w:hint="eastAsia"/>
          <w:sz w:val="24"/>
        </w:rPr>
        <w:t>编制</w:t>
      </w:r>
      <w:r>
        <w:rPr>
          <w:rFonts w:ascii="仿宋" w:eastAsia="仿宋" w:hAnsi="仿宋" w:hint="eastAsia"/>
          <w:sz w:val="24"/>
        </w:rPr>
        <w:t>3</w:t>
      </w:r>
      <w:r>
        <w:rPr>
          <w:rFonts w:ascii="仿宋" w:eastAsia="仿宋" w:hAnsi="仿宋" w:hint="eastAsia"/>
          <w:sz w:val="24"/>
        </w:rPr>
        <w:t>万元以上的修缮工程工程量清单及招标控制价。</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1.2</w:t>
      </w:r>
      <w:r>
        <w:rPr>
          <w:rFonts w:ascii="仿宋" w:eastAsia="仿宋" w:hAnsi="仿宋" w:hint="eastAsia"/>
          <w:sz w:val="24"/>
        </w:rPr>
        <w:t>若有图纸按图纸编制，无图纸需进行现场踏勘并测算。</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2.</w:t>
      </w:r>
      <w:r>
        <w:rPr>
          <w:rFonts w:ascii="仿宋" w:eastAsia="仿宋" w:hAnsi="仿宋" w:hint="eastAsia"/>
          <w:sz w:val="24"/>
        </w:rPr>
        <w:t>工程结算</w:t>
      </w:r>
      <w:r>
        <w:rPr>
          <w:rFonts w:ascii="仿宋" w:eastAsia="仿宋" w:hAnsi="仿宋" w:hint="eastAsia"/>
          <w:sz w:val="24"/>
        </w:rPr>
        <w:t>审计</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 xml:space="preserve">2.1 </w:t>
      </w:r>
      <w:r>
        <w:rPr>
          <w:rFonts w:ascii="仿宋" w:eastAsia="仿宋" w:hAnsi="仿宋" w:hint="eastAsia"/>
          <w:sz w:val="24"/>
        </w:rPr>
        <w:t>五万以下的专项维修及零星维修。</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2.2</w:t>
      </w:r>
      <w:r>
        <w:rPr>
          <w:rFonts w:ascii="仿宋" w:eastAsia="仿宋" w:hAnsi="仿宋" w:hint="eastAsia"/>
          <w:sz w:val="24"/>
        </w:rPr>
        <w:t>审核过程中需进行现场复核方量。</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3.</w:t>
      </w:r>
      <w:r>
        <w:rPr>
          <w:rFonts w:ascii="仿宋" w:eastAsia="仿宋" w:hAnsi="仿宋" w:hint="eastAsia"/>
          <w:sz w:val="24"/>
        </w:rPr>
        <w:t>清标</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对采购人有需求的项目，依据采购文件要求及相关规范进行清标。</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注</w:t>
      </w:r>
      <w:r>
        <w:rPr>
          <w:rFonts w:ascii="仿宋" w:eastAsia="仿宋" w:hAnsi="仿宋" w:hint="eastAsia"/>
          <w:sz w:val="24"/>
        </w:rPr>
        <w:t>:</w:t>
      </w:r>
      <w:r>
        <w:rPr>
          <w:rFonts w:ascii="仿宋" w:eastAsia="仿宋" w:hAnsi="仿宋" w:hint="eastAsia"/>
          <w:sz w:val="24"/>
        </w:rPr>
        <w:t>成交供应商无权干涉采购人对工作任务的派遣，采购人可根据项目实际情况交由第三方实施。</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（二）造价咨询服务要求</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1.</w:t>
      </w:r>
      <w:r>
        <w:rPr>
          <w:rFonts w:ascii="仿宋" w:eastAsia="仿宋" w:hAnsi="仿宋" w:hint="eastAsia"/>
          <w:sz w:val="24"/>
        </w:rPr>
        <w:t>工程量清单及招标控制价</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1.1</w:t>
      </w:r>
      <w:r>
        <w:rPr>
          <w:rFonts w:ascii="仿宋" w:eastAsia="仿宋" w:hAnsi="仿宋" w:hint="eastAsia"/>
          <w:sz w:val="24"/>
        </w:rPr>
        <w:t>成果文件质量应满足《建设工程造价咨询成果文件质量标准》（</w:t>
      </w:r>
      <w:r>
        <w:rPr>
          <w:rFonts w:ascii="仿宋" w:eastAsia="仿宋" w:hAnsi="仿宋" w:hint="eastAsia"/>
          <w:sz w:val="24"/>
        </w:rPr>
        <w:t>CECA/GC 7</w:t>
      </w:r>
      <w:r>
        <w:rPr>
          <w:rFonts w:ascii="仿宋" w:eastAsia="仿宋" w:hAnsi="仿宋" w:hint="eastAsia"/>
          <w:sz w:val="24"/>
        </w:rPr>
        <w:t>）相关要求；</w:t>
      </w:r>
      <w:r>
        <w:rPr>
          <w:rFonts w:ascii="仿宋" w:eastAsia="仿宋" w:hAnsi="仿宋" w:hint="eastAsia"/>
          <w:sz w:val="24"/>
        </w:rPr>
        <w:t xml:space="preserve"> </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1.2</w:t>
      </w:r>
      <w:r>
        <w:rPr>
          <w:rFonts w:ascii="仿宋" w:eastAsia="仿宋" w:hAnsi="仿宋" w:hint="eastAsia"/>
          <w:sz w:val="24"/>
        </w:rPr>
        <w:t>造价咨询服务供应商需提交的成果文件</w:t>
      </w:r>
      <w:r>
        <w:rPr>
          <w:rFonts w:ascii="仿宋" w:eastAsia="仿宋" w:hAnsi="仿宋" w:hint="eastAsia"/>
          <w:sz w:val="24"/>
        </w:rPr>
        <w:t xml:space="preserve">  </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）《工程量清单》；</w:t>
      </w:r>
      <w:r>
        <w:rPr>
          <w:rFonts w:ascii="仿宋" w:eastAsia="仿宋" w:hAnsi="仿宋" w:hint="eastAsia"/>
          <w:sz w:val="24"/>
        </w:rPr>
        <w:t xml:space="preserve"> </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）《招标控制价》。</w:t>
      </w:r>
      <w:r>
        <w:rPr>
          <w:rFonts w:ascii="仿宋" w:eastAsia="仿宋" w:hAnsi="仿宋" w:hint="eastAsia"/>
          <w:sz w:val="24"/>
        </w:rPr>
        <w:t xml:space="preserve"> </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以上文件</w:t>
      </w:r>
      <w:r>
        <w:rPr>
          <w:rFonts w:ascii="仿宋" w:eastAsia="仿宋" w:hAnsi="仿宋" w:hint="eastAsia"/>
          <w:sz w:val="24"/>
        </w:rPr>
        <w:t xml:space="preserve">GCFX </w:t>
      </w:r>
      <w:r>
        <w:rPr>
          <w:rFonts w:ascii="仿宋" w:eastAsia="仿宋" w:hAnsi="仿宋" w:hint="eastAsia"/>
          <w:sz w:val="24"/>
        </w:rPr>
        <w:t>格式电子版一份、</w:t>
      </w:r>
      <w:r>
        <w:rPr>
          <w:rFonts w:ascii="仿宋" w:eastAsia="仿宋" w:hAnsi="仿宋" w:hint="eastAsia"/>
          <w:sz w:val="24"/>
        </w:rPr>
        <w:t xml:space="preserve">EXCEL </w:t>
      </w:r>
      <w:r>
        <w:rPr>
          <w:rFonts w:ascii="仿宋" w:eastAsia="仿宋" w:hAnsi="仿宋" w:hint="eastAsia"/>
          <w:sz w:val="24"/>
        </w:rPr>
        <w:t>电子版一份；</w:t>
      </w:r>
      <w:r>
        <w:rPr>
          <w:rFonts w:ascii="仿宋" w:eastAsia="仿宋" w:hAnsi="仿宋" w:hint="eastAsia"/>
          <w:sz w:val="24"/>
        </w:rPr>
        <w:lastRenderedPageBreak/>
        <w:t>纸质版四份。</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2.</w:t>
      </w:r>
      <w:r>
        <w:rPr>
          <w:rFonts w:ascii="仿宋" w:eastAsia="仿宋" w:hAnsi="仿宋" w:hint="eastAsia"/>
          <w:sz w:val="24"/>
        </w:rPr>
        <w:t>工程审核</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2.1</w:t>
      </w:r>
      <w:r>
        <w:rPr>
          <w:rFonts w:ascii="仿宋" w:eastAsia="仿宋" w:hAnsi="仿宋" w:hint="eastAsia"/>
          <w:sz w:val="24"/>
        </w:rPr>
        <w:t>竣工结算审查成果文件的编制方法、编制深度等应符合《建设项目工程结算编审规程》</w:t>
      </w:r>
      <w:r>
        <w:rPr>
          <w:rFonts w:ascii="仿宋" w:eastAsia="仿宋" w:hAnsi="仿宋" w:hint="eastAsia"/>
          <w:sz w:val="24"/>
        </w:rPr>
        <w:t>(CECA</w:t>
      </w:r>
      <w:r>
        <w:rPr>
          <w:rFonts w:ascii="仿宋" w:eastAsia="仿宋" w:hAnsi="仿宋" w:hint="eastAsia"/>
          <w:sz w:val="24"/>
        </w:rPr>
        <w:t>／</w:t>
      </w:r>
      <w:r>
        <w:rPr>
          <w:rFonts w:ascii="仿宋" w:eastAsia="仿宋" w:hAnsi="仿宋" w:hint="eastAsia"/>
          <w:sz w:val="24"/>
        </w:rPr>
        <w:t>GC 3)</w:t>
      </w:r>
      <w:r>
        <w:rPr>
          <w:rFonts w:ascii="仿宋" w:eastAsia="仿宋" w:hAnsi="仿宋" w:hint="eastAsia"/>
          <w:sz w:val="24"/>
        </w:rPr>
        <w:t>的有关规定。</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2.2</w:t>
      </w:r>
      <w:r>
        <w:rPr>
          <w:rFonts w:ascii="仿宋" w:eastAsia="仿宋" w:hAnsi="仿宋" w:hint="eastAsia"/>
          <w:sz w:val="24"/>
        </w:rPr>
        <w:t>造价咨询服务供应商需提交的成果文件</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）结算审核</w:t>
      </w:r>
      <w:r>
        <w:rPr>
          <w:rFonts w:ascii="仿宋" w:eastAsia="仿宋" w:hAnsi="仿宋" w:hint="eastAsia"/>
          <w:sz w:val="24"/>
        </w:rPr>
        <w:t xml:space="preserve">GCFX </w:t>
      </w:r>
      <w:r>
        <w:rPr>
          <w:rFonts w:ascii="仿宋" w:eastAsia="仿宋" w:hAnsi="仿宋" w:hint="eastAsia"/>
          <w:sz w:val="24"/>
        </w:rPr>
        <w:t>版、</w:t>
      </w:r>
      <w:r>
        <w:rPr>
          <w:rFonts w:ascii="仿宋" w:eastAsia="仿宋" w:hAnsi="仿宋" w:hint="eastAsia"/>
          <w:sz w:val="24"/>
        </w:rPr>
        <w:t>EXCE</w:t>
      </w:r>
      <w:r>
        <w:rPr>
          <w:rFonts w:ascii="仿宋" w:eastAsia="仿宋" w:hAnsi="仿宋" w:hint="eastAsia"/>
          <w:sz w:val="24"/>
        </w:rPr>
        <w:t>版、结算评审报告</w:t>
      </w:r>
      <w:r>
        <w:rPr>
          <w:rFonts w:ascii="仿宋" w:eastAsia="仿宋" w:hAnsi="仿宋" w:hint="eastAsia"/>
          <w:sz w:val="24"/>
        </w:rPr>
        <w:t>WORD</w:t>
      </w:r>
      <w:r>
        <w:rPr>
          <w:rFonts w:ascii="仿宋" w:eastAsia="仿宋" w:hAnsi="仿宋" w:hint="eastAsia"/>
          <w:sz w:val="24"/>
        </w:rPr>
        <w:t>电子版各一份。</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）结算审核</w:t>
      </w:r>
      <w:r>
        <w:rPr>
          <w:rFonts w:ascii="仿宋" w:eastAsia="仿宋" w:hAnsi="仿宋" w:hint="eastAsia"/>
          <w:sz w:val="24"/>
        </w:rPr>
        <w:t xml:space="preserve">GCFX </w:t>
      </w:r>
      <w:r>
        <w:rPr>
          <w:rFonts w:ascii="仿宋" w:eastAsia="仿宋" w:hAnsi="仿宋" w:hint="eastAsia"/>
          <w:sz w:val="24"/>
        </w:rPr>
        <w:t>版、</w:t>
      </w:r>
      <w:r>
        <w:rPr>
          <w:rFonts w:ascii="仿宋" w:eastAsia="仿宋" w:hAnsi="仿宋" w:hint="eastAsia"/>
          <w:sz w:val="24"/>
        </w:rPr>
        <w:t>EXCE</w:t>
      </w:r>
      <w:r>
        <w:rPr>
          <w:rFonts w:ascii="仿宋" w:eastAsia="仿宋" w:hAnsi="仿宋" w:hint="eastAsia"/>
          <w:sz w:val="24"/>
        </w:rPr>
        <w:t>版、结算评审报告</w:t>
      </w:r>
      <w:r>
        <w:rPr>
          <w:rFonts w:ascii="仿宋" w:eastAsia="仿宋" w:hAnsi="仿宋" w:hint="eastAsia"/>
          <w:sz w:val="24"/>
        </w:rPr>
        <w:t xml:space="preserve">WORD </w:t>
      </w:r>
      <w:r>
        <w:rPr>
          <w:rFonts w:ascii="仿宋" w:eastAsia="仿宋" w:hAnsi="仿宋" w:hint="eastAsia"/>
          <w:sz w:val="24"/>
        </w:rPr>
        <w:t>纸质版四份。</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3.</w:t>
      </w:r>
      <w:r>
        <w:rPr>
          <w:rFonts w:ascii="仿宋" w:eastAsia="仿宋" w:hAnsi="仿宋" w:hint="eastAsia"/>
          <w:sz w:val="24"/>
        </w:rPr>
        <w:t>清标</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3.1</w:t>
      </w:r>
      <w:r>
        <w:rPr>
          <w:rFonts w:ascii="仿宋" w:eastAsia="仿宋" w:hAnsi="仿宋" w:hint="eastAsia"/>
          <w:sz w:val="24"/>
        </w:rPr>
        <w:t>成果文件质量应满足</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）《建设工程造价咨询成果文件质量标准》（</w:t>
      </w:r>
      <w:r>
        <w:rPr>
          <w:rFonts w:ascii="仿宋" w:eastAsia="仿宋" w:hAnsi="仿宋" w:hint="eastAsia"/>
          <w:sz w:val="24"/>
        </w:rPr>
        <w:t>CECA/GC 7</w:t>
      </w:r>
      <w:r>
        <w:rPr>
          <w:rFonts w:ascii="仿宋" w:eastAsia="仿宋" w:hAnsi="仿宋" w:hint="eastAsia"/>
          <w:sz w:val="24"/>
        </w:rPr>
        <w:t>）等相关要求；</w:t>
      </w:r>
      <w:r>
        <w:rPr>
          <w:rFonts w:ascii="仿宋" w:eastAsia="仿宋" w:hAnsi="仿宋" w:hint="eastAsia"/>
          <w:sz w:val="24"/>
        </w:rPr>
        <w:t xml:space="preserve"> </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）按项目采购</w:t>
      </w:r>
      <w:r>
        <w:rPr>
          <w:rFonts w:ascii="仿宋" w:eastAsia="仿宋" w:hAnsi="仿宋" w:hint="eastAsia"/>
          <w:sz w:val="24"/>
        </w:rPr>
        <w:t>文件相关要求执行。</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3.2</w:t>
      </w:r>
      <w:r>
        <w:rPr>
          <w:rFonts w:ascii="仿宋" w:eastAsia="仿宋" w:hAnsi="仿宋" w:hint="eastAsia"/>
          <w:sz w:val="24"/>
        </w:rPr>
        <w:t>造价咨询服务供应商需提交的成果文件</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清标报告。（</w:t>
      </w:r>
      <w:r>
        <w:rPr>
          <w:rFonts w:ascii="仿宋" w:eastAsia="仿宋" w:hAnsi="仿宋" w:hint="eastAsia"/>
          <w:sz w:val="24"/>
        </w:rPr>
        <w:t xml:space="preserve">GCFX </w:t>
      </w:r>
      <w:r>
        <w:rPr>
          <w:rFonts w:ascii="仿宋" w:eastAsia="仿宋" w:hAnsi="仿宋" w:hint="eastAsia"/>
          <w:sz w:val="24"/>
        </w:rPr>
        <w:t>格式电子版、</w:t>
      </w:r>
      <w:r>
        <w:rPr>
          <w:rFonts w:ascii="仿宋" w:eastAsia="仿宋" w:hAnsi="仿宋" w:hint="eastAsia"/>
          <w:sz w:val="24"/>
        </w:rPr>
        <w:t>word</w:t>
      </w:r>
      <w:r>
        <w:rPr>
          <w:rFonts w:ascii="仿宋" w:eastAsia="仿宋" w:hAnsi="仿宋" w:hint="eastAsia"/>
          <w:sz w:val="24"/>
        </w:rPr>
        <w:t>电子版各一份，纸质版</w:t>
      </w:r>
      <w:r>
        <w:rPr>
          <w:rFonts w:ascii="仿宋" w:eastAsia="仿宋" w:hAnsi="仿宋" w:hint="eastAsia"/>
          <w:sz w:val="24"/>
        </w:rPr>
        <w:t>4</w:t>
      </w:r>
      <w:r>
        <w:rPr>
          <w:rFonts w:ascii="仿宋" w:eastAsia="仿宋" w:hAnsi="仿宋" w:hint="eastAsia"/>
          <w:sz w:val="24"/>
        </w:rPr>
        <w:t>份）</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（三）人员配置要求</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1</w:t>
      </w:r>
      <w:r>
        <w:rPr>
          <w:rFonts w:ascii="仿宋" w:eastAsia="仿宋" w:hAnsi="仿宋" w:hint="eastAsia"/>
          <w:sz w:val="24"/>
        </w:rPr>
        <w:t>．供应商为采购人项目提供工程造价咨询（编制工程量清单及招标控制价）及零星维修结算审核项目服务的人员均应具备相应专业工作经验。</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2</w:t>
      </w:r>
      <w:r>
        <w:rPr>
          <w:rFonts w:ascii="仿宋" w:eastAsia="仿宋" w:hAnsi="仿宋" w:hint="eastAsia"/>
          <w:sz w:val="24"/>
        </w:rPr>
        <w:t>．供应商应配置不少于由</w:t>
      </w:r>
      <w:r>
        <w:rPr>
          <w:rFonts w:ascii="仿宋" w:eastAsia="仿宋" w:hAnsi="仿宋" w:hint="eastAsia"/>
          <w:sz w:val="24"/>
        </w:rPr>
        <w:t>3</w:t>
      </w:r>
      <w:r>
        <w:rPr>
          <w:rFonts w:ascii="仿宋" w:eastAsia="仿宋" w:hAnsi="仿宋" w:hint="eastAsia"/>
          <w:sz w:val="24"/>
        </w:rPr>
        <w:t>人组建的技术服务团队为采购人提供服务且需具有相关专业（至少包含土木建筑工程、安装工程专业）的全国注册造价工程师执业资格证书的二级及以上造价工程师</w:t>
      </w:r>
      <w:r>
        <w:rPr>
          <w:rFonts w:ascii="仿宋" w:eastAsia="仿宋" w:hAnsi="仿宋" w:hint="eastAsia"/>
          <w:sz w:val="24"/>
        </w:rPr>
        <w:t>（</w:t>
      </w:r>
      <w:r>
        <w:rPr>
          <w:rFonts w:ascii="仿宋" w:eastAsia="仿宋" w:hAnsi="仿宋" w:hint="eastAsia"/>
          <w:sz w:val="24"/>
        </w:rPr>
        <w:t>提供人员清单和证书复印件</w:t>
      </w:r>
      <w:r>
        <w:rPr>
          <w:rFonts w:ascii="仿宋" w:eastAsia="仿宋" w:hAnsi="仿宋" w:hint="eastAsia"/>
          <w:sz w:val="24"/>
        </w:rPr>
        <w:t>）</w:t>
      </w:r>
      <w:r>
        <w:rPr>
          <w:rFonts w:ascii="仿宋" w:eastAsia="仿宋" w:hAnsi="仿宋" w:hint="eastAsia"/>
          <w:sz w:val="24"/>
        </w:rPr>
        <w:t>。</w:t>
      </w:r>
    </w:p>
    <w:p w:rsidR="00FF1C3C" w:rsidRDefault="00F30B98">
      <w:pPr>
        <w:pStyle w:val="a4"/>
        <w:spacing w:line="400" w:lineRule="exact"/>
        <w:ind w:firstLineChars="130" w:firstLine="312"/>
        <w:rPr>
          <w:rFonts w:ascii="仿宋" w:eastAsia="仿宋" w:hAnsi="仿宋"/>
          <w:sz w:val="24"/>
        </w:rPr>
      </w:pPr>
      <w:r>
        <w:rPr>
          <w:rFonts w:ascii="仿宋" w:eastAsia="仿宋" w:hAnsi="仿宋" w:hint="eastAsia"/>
          <w:sz w:val="24"/>
        </w:rPr>
        <w:t>3</w:t>
      </w:r>
      <w:r>
        <w:rPr>
          <w:rFonts w:ascii="仿宋" w:eastAsia="仿宋" w:hAnsi="仿宋" w:hint="eastAsia"/>
          <w:sz w:val="24"/>
        </w:rPr>
        <w:t>．如需踏勘现场或必要的方案讨</w:t>
      </w:r>
      <w:r>
        <w:rPr>
          <w:rFonts w:ascii="仿宋" w:eastAsia="仿宋" w:hAnsi="仿宋" w:hint="eastAsia"/>
          <w:sz w:val="24"/>
        </w:rPr>
        <w:t>论时，负责造价咨询项目或零星维修结算审核项目的专业造价咨询人员均须到项目现场或参加会议。</w:t>
      </w:r>
    </w:p>
    <w:bookmarkEnd w:id="6"/>
    <w:p w:rsidR="00FF1C3C" w:rsidRDefault="00FF1C3C">
      <w:pPr>
        <w:pStyle w:val="a4"/>
        <w:spacing w:line="400" w:lineRule="exact"/>
        <w:ind w:firstLineChars="0" w:firstLine="0"/>
        <w:rPr>
          <w:rFonts w:ascii="仿宋" w:eastAsia="仿宋" w:hAnsi="仿宋"/>
          <w:sz w:val="24"/>
        </w:rPr>
      </w:pPr>
    </w:p>
    <w:p w:rsidR="00FF1C3C" w:rsidRDefault="00FF1C3C">
      <w:pPr>
        <w:pStyle w:val="a4"/>
        <w:spacing w:line="400" w:lineRule="exact"/>
        <w:ind w:firstLineChars="0" w:firstLine="0"/>
        <w:rPr>
          <w:rFonts w:ascii="仿宋" w:eastAsia="仿宋" w:hAnsi="仿宋"/>
          <w:sz w:val="24"/>
        </w:rPr>
      </w:pPr>
    </w:p>
    <w:p w:rsidR="00FF1C3C" w:rsidRDefault="00F30B98" w:rsidP="00F30B98">
      <w:pPr>
        <w:pStyle w:val="ad"/>
        <w:jc w:val="both"/>
        <w:rPr>
          <w:rFonts w:ascii="仿宋_GB2312" w:eastAsia="仿宋_GB2312"/>
          <w:sz w:val="30"/>
          <w:szCs w:val="30"/>
        </w:rPr>
      </w:pPr>
      <w:bookmarkStart w:id="11" w:name="_GoBack"/>
      <w:bookmarkEnd w:id="0"/>
      <w:bookmarkEnd w:id="1"/>
      <w:bookmarkEnd w:id="2"/>
      <w:bookmarkEnd w:id="3"/>
      <w:bookmarkEnd w:id="4"/>
      <w:bookmarkEnd w:id="11"/>
      <w:r>
        <w:rPr>
          <w:rFonts w:ascii="仿宋_GB2312" w:eastAsia="仿宋_GB2312"/>
          <w:sz w:val="30"/>
          <w:szCs w:val="30"/>
        </w:rPr>
        <w:t xml:space="preserve"> </w:t>
      </w:r>
    </w:p>
    <w:p w:rsidR="00FF1C3C" w:rsidRDefault="00FF1C3C">
      <w:pPr>
        <w:rPr>
          <w:rFonts w:ascii="仿宋" w:eastAsia="仿宋" w:hAnsi="仿宋"/>
          <w:sz w:val="24"/>
        </w:rPr>
      </w:pPr>
    </w:p>
    <w:sectPr w:rsidR="00FF1C3C" w:rsidSect="00F30B98">
      <w:headerReference w:type="default" r:id="rId8"/>
      <w:footerReference w:type="default" r:id="rId9"/>
      <w:pgSz w:w="11907" w:h="16840"/>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30B98">
      <w:r>
        <w:separator/>
      </w:r>
    </w:p>
  </w:endnote>
  <w:endnote w:type="continuationSeparator" w:id="0">
    <w:p w:rsidR="00000000" w:rsidRDefault="00F3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3C" w:rsidRDefault="00F30B98">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F30B98">
      <w:rPr>
        <w:rFonts w:ascii="宋体" w:hAnsi="宋体"/>
        <w:noProof/>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30B98">
      <w:r>
        <w:separator/>
      </w:r>
    </w:p>
  </w:footnote>
  <w:footnote w:type="continuationSeparator" w:id="0">
    <w:p w:rsidR="00000000" w:rsidRDefault="00F3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3C" w:rsidRDefault="00FF1C3C">
    <w:pPr>
      <w:pStyle w:val="ab"/>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093E9"/>
    <w:multiLevelType w:val="singleLevel"/>
    <w:tmpl w:val="83E093E9"/>
    <w:lvl w:ilvl="0">
      <w:start w:val="7"/>
      <w:numFmt w:val="chineseCounting"/>
      <w:suff w:val="nothing"/>
      <w:lvlText w:val="（%1）"/>
      <w:lvlJc w:val="left"/>
      <w:rPr>
        <w:rFonts w:hint="eastAsia"/>
      </w:rPr>
    </w:lvl>
  </w:abstractNum>
  <w:abstractNum w:abstractNumId="1">
    <w:nsid w:val="1D825ABC"/>
    <w:multiLevelType w:val="singleLevel"/>
    <w:tmpl w:val="1D825ABC"/>
    <w:lvl w:ilvl="0">
      <w:start w:val="6"/>
      <w:numFmt w:val="decimal"/>
      <w:suff w:val="space"/>
      <w:lvlText w:val="%1."/>
      <w:lvlJc w:val="left"/>
    </w:lvl>
  </w:abstractNum>
  <w:abstractNum w:abstractNumId="2">
    <w:nsid w:val="2C991839"/>
    <w:multiLevelType w:val="multilevel"/>
    <w:tmpl w:val="2C9918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7D89C6"/>
    <w:multiLevelType w:val="singleLevel"/>
    <w:tmpl w:val="587D89C6"/>
    <w:lvl w:ilvl="0">
      <w:start w:val="1"/>
      <w:numFmt w:val="decimal"/>
      <w:suff w:val="nothing"/>
      <w:lvlText w:val="%1、"/>
      <w:lvlJc w:val="left"/>
    </w:lvl>
  </w:abstractNum>
  <w:abstractNum w:abstractNumId="4">
    <w:nsid w:val="58807131"/>
    <w:multiLevelType w:val="singleLevel"/>
    <w:tmpl w:val="58807131"/>
    <w:lvl w:ilvl="0">
      <w:start w:val="1"/>
      <w:numFmt w:val="decimal"/>
      <w:suff w:val="nothing"/>
      <w:lvlText w:val="%1、"/>
      <w:lvlJc w:val="left"/>
    </w:lvl>
  </w:abstractNum>
  <w:abstractNum w:abstractNumId="5">
    <w:nsid w:val="59C07086"/>
    <w:multiLevelType w:val="singleLevel"/>
    <w:tmpl w:val="59C07086"/>
    <w:lvl w:ilvl="0">
      <w:start w:val="1"/>
      <w:numFmt w:val="decimal"/>
      <w:suff w:val="nothing"/>
      <w:lvlText w:val="%1、"/>
      <w:lvlJc w:val="left"/>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4ZWE4OThiMzgxM2M5OTdmZDZlNGM3MTk5ZWFkMjkifQ=="/>
  </w:docVars>
  <w:rsids>
    <w:rsidRoot w:val="004963CF"/>
    <w:rsid w:val="000002C9"/>
    <w:rsid w:val="00007C75"/>
    <w:rsid w:val="0001125C"/>
    <w:rsid w:val="000118D6"/>
    <w:rsid w:val="00011D5F"/>
    <w:rsid w:val="00012430"/>
    <w:rsid w:val="00017777"/>
    <w:rsid w:val="00022D6C"/>
    <w:rsid w:val="00030C25"/>
    <w:rsid w:val="000352C0"/>
    <w:rsid w:val="000364CC"/>
    <w:rsid w:val="00036A7C"/>
    <w:rsid w:val="00040001"/>
    <w:rsid w:val="000406A7"/>
    <w:rsid w:val="00043956"/>
    <w:rsid w:val="00045D6D"/>
    <w:rsid w:val="00047C44"/>
    <w:rsid w:val="00052746"/>
    <w:rsid w:val="000531BE"/>
    <w:rsid w:val="00053F44"/>
    <w:rsid w:val="0005534D"/>
    <w:rsid w:val="00063229"/>
    <w:rsid w:val="0006685C"/>
    <w:rsid w:val="00076F73"/>
    <w:rsid w:val="000771C9"/>
    <w:rsid w:val="00081264"/>
    <w:rsid w:val="000841FB"/>
    <w:rsid w:val="00085618"/>
    <w:rsid w:val="00086BDF"/>
    <w:rsid w:val="00092486"/>
    <w:rsid w:val="000944EF"/>
    <w:rsid w:val="000A58A7"/>
    <w:rsid w:val="000A7A94"/>
    <w:rsid w:val="000B4FC9"/>
    <w:rsid w:val="000B7D6B"/>
    <w:rsid w:val="000C038E"/>
    <w:rsid w:val="000C0CFC"/>
    <w:rsid w:val="000C4C4B"/>
    <w:rsid w:val="000C5D33"/>
    <w:rsid w:val="000C65F1"/>
    <w:rsid w:val="000C6C20"/>
    <w:rsid w:val="000D0990"/>
    <w:rsid w:val="000D694B"/>
    <w:rsid w:val="000E1CC8"/>
    <w:rsid w:val="000E4FD4"/>
    <w:rsid w:val="000E69C1"/>
    <w:rsid w:val="000F1E9E"/>
    <w:rsid w:val="0010095E"/>
    <w:rsid w:val="001138C8"/>
    <w:rsid w:val="00116122"/>
    <w:rsid w:val="00123566"/>
    <w:rsid w:val="001244D9"/>
    <w:rsid w:val="00124EBB"/>
    <w:rsid w:val="00126D89"/>
    <w:rsid w:val="00130354"/>
    <w:rsid w:val="001335FB"/>
    <w:rsid w:val="0013428A"/>
    <w:rsid w:val="00135063"/>
    <w:rsid w:val="001350D9"/>
    <w:rsid w:val="00142C9E"/>
    <w:rsid w:val="0014448C"/>
    <w:rsid w:val="001446C7"/>
    <w:rsid w:val="00146917"/>
    <w:rsid w:val="001471C7"/>
    <w:rsid w:val="001508FD"/>
    <w:rsid w:val="00153C61"/>
    <w:rsid w:val="00154B00"/>
    <w:rsid w:val="001600FB"/>
    <w:rsid w:val="00160D5B"/>
    <w:rsid w:val="0016154C"/>
    <w:rsid w:val="00161605"/>
    <w:rsid w:val="00174D4E"/>
    <w:rsid w:val="001810E8"/>
    <w:rsid w:val="0018541B"/>
    <w:rsid w:val="0018628A"/>
    <w:rsid w:val="001A0A08"/>
    <w:rsid w:val="001A571E"/>
    <w:rsid w:val="001A644E"/>
    <w:rsid w:val="001A6824"/>
    <w:rsid w:val="001A7EA5"/>
    <w:rsid w:val="001B2AC9"/>
    <w:rsid w:val="001B5ED3"/>
    <w:rsid w:val="001C170E"/>
    <w:rsid w:val="001D1EC9"/>
    <w:rsid w:val="001D5780"/>
    <w:rsid w:val="001D5D0D"/>
    <w:rsid w:val="001D794D"/>
    <w:rsid w:val="001E13F0"/>
    <w:rsid w:val="001E379F"/>
    <w:rsid w:val="001E3951"/>
    <w:rsid w:val="001E5E14"/>
    <w:rsid w:val="001E67B6"/>
    <w:rsid w:val="001F11D9"/>
    <w:rsid w:val="001F50A2"/>
    <w:rsid w:val="002019AA"/>
    <w:rsid w:val="00204745"/>
    <w:rsid w:val="00205405"/>
    <w:rsid w:val="00211967"/>
    <w:rsid w:val="00211AD1"/>
    <w:rsid w:val="0021567A"/>
    <w:rsid w:val="00220240"/>
    <w:rsid w:val="0022086D"/>
    <w:rsid w:val="00222B1C"/>
    <w:rsid w:val="00222C48"/>
    <w:rsid w:val="00223618"/>
    <w:rsid w:val="00226BE6"/>
    <w:rsid w:val="00227602"/>
    <w:rsid w:val="00231731"/>
    <w:rsid w:val="00236F48"/>
    <w:rsid w:val="00237A02"/>
    <w:rsid w:val="00240851"/>
    <w:rsid w:val="00243EFE"/>
    <w:rsid w:val="002455E4"/>
    <w:rsid w:val="00245FA0"/>
    <w:rsid w:val="002501A9"/>
    <w:rsid w:val="00254363"/>
    <w:rsid w:val="00256368"/>
    <w:rsid w:val="002671F6"/>
    <w:rsid w:val="00270894"/>
    <w:rsid w:val="002760F4"/>
    <w:rsid w:val="002774C5"/>
    <w:rsid w:val="0028116F"/>
    <w:rsid w:val="002814C1"/>
    <w:rsid w:val="00287831"/>
    <w:rsid w:val="00290361"/>
    <w:rsid w:val="002919CE"/>
    <w:rsid w:val="00292480"/>
    <w:rsid w:val="00293A45"/>
    <w:rsid w:val="00297E22"/>
    <w:rsid w:val="002A145F"/>
    <w:rsid w:val="002A441A"/>
    <w:rsid w:val="002A4650"/>
    <w:rsid w:val="002A558A"/>
    <w:rsid w:val="002A5E1C"/>
    <w:rsid w:val="002A6582"/>
    <w:rsid w:val="002A6BF4"/>
    <w:rsid w:val="002A7625"/>
    <w:rsid w:val="002C1A5B"/>
    <w:rsid w:val="002C44EF"/>
    <w:rsid w:val="002C593F"/>
    <w:rsid w:val="002C6F21"/>
    <w:rsid w:val="002C7BED"/>
    <w:rsid w:val="002D3111"/>
    <w:rsid w:val="002E023A"/>
    <w:rsid w:val="002E0E72"/>
    <w:rsid w:val="002F00AA"/>
    <w:rsid w:val="002F452F"/>
    <w:rsid w:val="002F776E"/>
    <w:rsid w:val="003062EA"/>
    <w:rsid w:val="0031394A"/>
    <w:rsid w:val="0031567A"/>
    <w:rsid w:val="003203BB"/>
    <w:rsid w:val="00322CFC"/>
    <w:rsid w:val="00323E41"/>
    <w:rsid w:val="00326F53"/>
    <w:rsid w:val="00330D17"/>
    <w:rsid w:val="00336A50"/>
    <w:rsid w:val="003377C4"/>
    <w:rsid w:val="00346BEF"/>
    <w:rsid w:val="00346C9C"/>
    <w:rsid w:val="00347AC5"/>
    <w:rsid w:val="003503AB"/>
    <w:rsid w:val="00360E7D"/>
    <w:rsid w:val="00361AC2"/>
    <w:rsid w:val="00361DE9"/>
    <w:rsid w:val="00364CD9"/>
    <w:rsid w:val="0037623B"/>
    <w:rsid w:val="00380DE6"/>
    <w:rsid w:val="003819CC"/>
    <w:rsid w:val="0038481C"/>
    <w:rsid w:val="0039357D"/>
    <w:rsid w:val="003A6C5D"/>
    <w:rsid w:val="003B2F6B"/>
    <w:rsid w:val="003B72D5"/>
    <w:rsid w:val="003C0A79"/>
    <w:rsid w:val="003C11FC"/>
    <w:rsid w:val="003C218F"/>
    <w:rsid w:val="003C2CE4"/>
    <w:rsid w:val="003C36E0"/>
    <w:rsid w:val="003C46EC"/>
    <w:rsid w:val="003E38B0"/>
    <w:rsid w:val="003F06C5"/>
    <w:rsid w:val="003F0DA9"/>
    <w:rsid w:val="003F16C9"/>
    <w:rsid w:val="003F2556"/>
    <w:rsid w:val="0040095C"/>
    <w:rsid w:val="00404839"/>
    <w:rsid w:val="00404BE1"/>
    <w:rsid w:val="004061B6"/>
    <w:rsid w:val="004104D7"/>
    <w:rsid w:val="00411B02"/>
    <w:rsid w:val="00413395"/>
    <w:rsid w:val="00415B17"/>
    <w:rsid w:val="0041635D"/>
    <w:rsid w:val="004168FC"/>
    <w:rsid w:val="00417772"/>
    <w:rsid w:val="00425928"/>
    <w:rsid w:val="00430923"/>
    <w:rsid w:val="00430C54"/>
    <w:rsid w:val="00434105"/>
    <w:rsid w:val="004348E7"/>
    <w:rsid w:val="00435F34"/>
    <w:rsid w:val="00442298"/>
    <w:rsid w:val="00446790"/>
    <w:rsid w:val="00446D90"/>
    <w:rsid w:val="00447C68"/>
    <w:rsid w:val="004504D8"/>
    <w:rsid w:val="00452806"/>
    <w:rsid w:val="00453207"/>
    <w:rsid w:val="004535C0"/>
    <w:rsid w:val="00453C2E"/>
    <w:rsid w:val="00454CC8"/>
    <w:rsid w:val="00455C65"/>
    <w:rsid w:val="0046268A"/>
    <w:rsid w:val="004746FB"/>
    <w:rsid w:val="004751F7"/>
    <w:rsid w:val="0047791E"/>
    <w:rsid w:val="004853A0"/>
    <w:rsid w:val="0048587E"/>
    <w:rsid w:val="00490CD5"/>
    <w:rsid w:val="00493269"/>
    <w:rsid w:val="00495306"/>
    <w:rsid w:val="004963CF"/>
    <w:rsid w:val="00496969"/>
    <w:rsid w:val="004A1859"/>
    <w:rsid w:val="004B477A"/>
    <w:rsid w:val="004C1B6F"/>
    <w:rsid w:val="004C500B"/>
    <w:rsid w:val="004C67A5"/>
    <w:rsid w:val="004D1F9A"/>
    <w:rsid w:val="004D214A"/>
    <w:rsid w:val="004D292F"/>
    <w:rsid w:val="004D3E29"/>
    <w:rsid w:val="004D7027"/>
    <w:rsid w:val="004E1B07"/>
    <w:rsid w:val="004E3F87"/>
    <w:rsid w:val="004E502D"/>
    <w:rsid w:val="004E7AAC"/>
    <w:rsid w:val="004F12AD"/>
    <w:rsid w:val="004F24E3"/>
    <w:rsid w:val="004F481B"/>
    <w:rsid w:val="004F4FC9"/>
    <w:rsid w:val="00500ADA"/>
    <w:rsid w:val="00501CA9"/>
    <w:rsid w:val="005111EA"/>
    <w:rsid w:val="00511300"/>
    <w:rsid w:val="00527916"/>
    <w:rsid w:val="00535541"/>
    <w:rsid w:val="00535816"/>
    <w:rsid w:val="00540F5C"/>
    <w:rsid w:val="00541264"/>
    <w:rsid w:val="00541CC1"/>
    <w:rsid w:val="00553A2C"/>
    <w:rsid w:val="00561DEA"/>
    <w:rsid w:val="005650D8"/>
    <w:rsid w:val="00567DB2"/>
    <w:rsid w:val="005766C7"/>
    <w:rsid w:val="00580AA4"/>
    <w:rsid w:val="00582810"/>
    <w:rsid w:val="00584360"/>
    <w:rsid w:val="0058682C"/>
    <w:rsid w:val="00595ECE"/>
    <w:rsid w:val="00596438"/>
    <w:rsid w:val="005A0176"/>
    <w:rsid w:val="005A07C2"/>
    <w:rsid w:val="005A0B2F"/>
    <w:rsid w:val="005A278A"/>
    <w:rsid w:val="005A61B7"/>
    <w:rsid w:val="005A7033"/>
    <w:rsid w:val="005B0BF1"/>
    <w:rsid w:val="005B16CB"/>
    <w:rsid w:val="005B2269"/>
    <w:rsid w:val="005B2294"/>
    <w:rsid w:val="005B75E3"/>
    <w:rsid w:val="005C6DC1"/>
    <w:rsid w:val="005C6F2A"/>
    <w:rsid w:val="005D2EB1"/>
    <w:rsid w:val="005D35B0"/>
    <w:rsid w:val="005D5133"/>
    <w:rsid w:val="005E03A7"/>
    <w:rsid w:val="005E1006"/>
    <w:rsid w:val="005F4D50"/>
    <w:rsid w:val="00600CD6"/>
    <w:rsid w:val="00601054"/>
    <w:rsid w:val="006014DF"/>
    <w:rsid w:val="00604181"/>
    <w:rsid w:val="006078E3"/>
    <w:rsid w:val="00611C56"/>
    <w:rsid w:val="00616DD2"/>
    <w:rsid w:val="00616DE7"/>
    <w:rsid w:val="00622FB5"/>
    <w:rsid w:val="00652492"/>
    <w:rsid w:val="00652B05"/>
    <w:rsid w:val="006606D8"/>
    <w:rsid w:val="00663668"/>
    <w:rsid w:val="006662C3"/>
    <w:rsid w:val="00671509"/>
    <w:rsid w:val="00682608"/>
    <w:rsid w:val="0068472F"/>
    <w:rsid w:val="00684802"/>
    <w:rsid w:val="00684FAA"/>
    <w:rsid w:val="00684FDE"/>
    <w:rsid w:val="00685251"/>
    <w:rsid w:val="00687D99"/>
    <w:rsid w:val="00691902"/>
    <w:rsid w:val="00695FFE"/>
    <w:rsid w:val="006A0091"/>
    <w:rsid w:val="006A3C26"/>
    <w:rsid w:val="006B0936"/>
    <w:rsid w:val="006B36FD"/>
    <w:rsid w:val="006B668F"/>
    <w:rsid w:val="006B6F79"/>
    <w:rsid w:val="006B7FEC"/>
    <w:rsid w:val="006C1623"/>
    <w:rsid w:val="006C1DE7"/>
    <w:rsid w:val="006C2259"/>
    <w:rsid w:val="006D12BD"/>
    <w:rsid w:val="006D24FB"/>
    <w:rsid w:val="006D6289"/>
    <w:rsid w:val="006D6B40"/>
    <w:rsid w:val="006D75EE"/>
    <w:rsid w:val="006E0908"/>
    <w:rsid w:val="006E30CC"/>
    <w:rsid w:val="006E31E3"/>
    <w:rsid w:val="006E3CBC"/>
    <w:rsid w:val="006E6D02"/>
    <w:rsid w:val="006E7E45"/>
    <w:rsid w:val="006F2730"/>
    <w:rsid w:val="006F52E5"/>
    <w:rsid w:val="00702355"/>
    <w:rsid w:val="00702A7A"/>
    <w:rsid w:val="007035A1"/>
    <w:rsid w:val="00714AAF"/>
    <w:rsid w:val="007213C7"/>
    <w:rsid w:val="00725E1E"/>
    <w:rsid w:val="007263E6"/>
    <w:rsid w:val="007357EA"/>
    <w:rsid w:val="007374F2"/>
    <w:rsid w:val="007414BC"/>
    <w:rsid w:val="00741C7D"/>
    <w:rsid w:val="00744571"/>
    <w:rsid w:val="007467F8"/>
    <w:rsid w:val="00746CBE"/>
    <w:rsid w:val="00747346"/>
    <w:rsid w:val="007547FD"/>
    <w:rsid w:val="00755173"/>
    <w:rsid w:val="007557BF"/>
    <w:rsid w:val="00757506"/>
    <w:rsid w:val="007578F7"/>
    <w:rsid w:val="007632FD"/>
    <w:rsid w:val="00766A6A"/>
    <w:rsid w:val="00770A1D"/>
    <w:rsid w:val="00770F22"/>
    <w:rsid w:val="007725FB"/>
    <w:rsid w:val="0077446B"/>
    <w:rsid w:val="00774F0B"/>
    <w:rsid w:val="0077615C"/>
    <w:rsid w:val="007828AC"/>
    <w:rsid w:val="007905D3"/>
    <w:rsid w:val="00791DF1"/>
    <w:rsid w:val="00792255"/>
    <w:rsid w:val="00792C89"/>
    <w:rsid w:val="007947AB"/>
    <w:rsid w:val="00794DFC"/>
    <w:rsid w:val="00797F2B"/>
    <w:rsid w:val="007A0C01"/>
    <w:rsid w:val="007A63E9"/>
    <w:rsid w:val="007A6486"/>
    <w:rsid w:val="007A763B"/>
    <w:rsid w:val="007B2D1C"/>
    <w:rsid w:val="007B63C3"/>
    <w:rsid w:val="007C3A43"/>
    <w:rsid w:val="007D0242"/>
    <w:rsid w:val="007D1689"/>
    <w:rsid w:val="007D449D"/>
    <w:rsid w:val="007D64CD"/>
    <w:rsid w:val="007D7525"/>
    <w:rsid w:val="007E051E"/>
    <w:rsid w:val="007E0ABF"/>
    <w:rsid w:val="007E56F6"/>
    <w:rsid w:val="007E57D3"/>
    <w:rsid w:val="007E5DBE"/>
    <w:rsid w:val="007E7C4E"/>
    <w:rsid w:val="007F25B4"/>
    <w:rsid w:val="007F7AA9"/>
    <w:rsid w:val="008009C6"/>
    <w:rsid w:val="008077D1"/>
    <w:rsid w:val="0081346A"/>
    <w:rsid w:val="008159CA"/>
    <w:rsid w:val="0082370F"/>
    <w:rsid w:val="008238C6"/>
    <w:rsid w:val="00823E68"/>
    <w:rsid w:val="00825FAC"/>
    <w:rsid w:val="0082670C"/>
    <w:rsid w:val="00826DB4"/>
    <w:rsid w:val="0083070F"/>
    <w:rsid w:val="008307DA"/>
    <w:rsid w:val="00833138"/>
    <w:rsid w:val="008357E7"/>
    <w:rsid w:val="00835C63"/>
    <w:rsid w:val="008364B3"/>
    <w:rsid w:val="00842320"/>
    <w:rsid w:val="00844FBE"/>
    <w:rsid w:val="0084647B"/>
    <w:rsid w:val="0085191F"/>
    <w:rsid w:val="00861CCA"/>
    <w:rsid w:val="00863D26"/>
    <w:rsid w:val="00874059"/>
    <w:rsid w:val="00877140"/>
    <w:rsid w:val="00883451"/>
    <w:rsid w:val="00891060"/>
    <w:rsid w:val="00892A4E"/>
    <w:rsid w:val="008A4BCF"/>
    <w:rsid w:val="008B33AE"/>
    <w:rsid w:val="008B41CB"/>
    <w:rsid w:val="008B53A7"/>
    <w:rsid w:val="008B554F"/>
    <w:rsid w:val="008C424F"/>
    <w:rsid w:val="008C7D87"/>
    <w:rsid w:val="008D228F"/>
    <w:rsid w:val="008D3198"/>
    <w:rsid w:val="008D3268"/>
    <w:rsid w:val="008D7876"/>
    <w:rsid w:val="008E3D62"/>
    <w:rsid w:val="008E74D6"/>
    <w:rsid w:val="008E7601"/>
    <w:rsid w:val="008E7F9E"/>
    <w:rsid w:val="008F3D3E"/>
    <w:rsid w:val="009068AF"/>
    <w:rsid w:val="00906F56"/>
    <w:rsid w:val="0091570F"/>
    <w:rsid w:val="0091774A"/>
    <w:rsid w:val="00932F90"/>
    <w:rsid w:val="009422FF"/>
    <w:rsid w:val="00944620"/>
    <w:rsid w:val="009454C6"/>
    <w:rsid w:val="009467E8"/>
    <w:rsid w:val="00946A45"/>
    <w:rsid w:val="009474C6"/>
    <w:rsid w:val="00953DA9"/>
    <w:rsid w:val="00966CFD"/>
    <w:rsid w:val="009803D0"/>
    <w:rsid w:val="0098353B"/>
    <w:rsid w:val="00985E81"/>
    <w:rsid w:val="00987329"/>
    <w:rsid w:val="00993204"/>
    <w:rsid w:val="00993C92"/>
    <w:rsid w:val="0099724C"/>
    <w:rsid w:val="00997D15"/>
    <w:rsid w:val="009A1702"/>
    <w:rsid w:val="009A6CA0"/>
    <w:rsid w:val="009B0844"/>
    <w:rsid w:val="009B6B2D"/>
    <w:rsid w:val="009B73D0"/>
    <w:rsid w:val="009B77D4"/>
    <w:rsid w:val="009C27D2"/>
    <w:rsid w:val="009C37A2"/>
    <w:rsid w:val="009C433F"/>
    <w:rsid w:val="009C5C44"/>
    <w:rsid w:val="009C6F77"/>
    <w:rsid w:val="009D7596"/>
    <w:rsid w:val="009E136E"/>
    <w:rsid w:val="009E1905"/>
    <w:rsid w:val="009E1CF4"/>
    <w:rsid w:val="009E2CCC"/>
    <w:rsid w:val="009E5CCC"/>
    <w:rsid w:val="009E68C4"/>
    <w:rsid w:val="009F18E5"/>
    <w:rsid w:val="009F71A6"/>
    <w:rsid w:val="009F75FC"/>
    <w:rsid w:val="00A05865"/>
    <w:rsid w:val="00A07304"/>
    <w:rsid w:val="00A10735"/>
    <w:rsid w:val="00A10DAB"/>
    <w:rsid w:val="00A10DD8"/>
    <w:rsid w:val="00A117FA"/>
    <w:rsid w:val="00A17677"/>
    <w:rsid w:val="00A23670"/>
    <w:rsid w:val="00A33ECF"/>
    <w:rsid w:val="00A3657D"/>
    <w:rsid w:val="00A40B6E"/>
    <w:rsid w:val="00A44ED1"/>
    <w:rsid w:val="00A4620C"/>
    <w:rsid w:val="00A5027D"/>
    <w:rsid w:val="00A574CF"/>
    <w:rsid w:val="00A7220C"/>
    <w:rsid w:val="00A817D0"/>
    <w:rsid w:val="00A83690"/>
    <w:rsid w:val="00A85289"/>
    <w:rsid w:val="00A857D2"/>
    <w:rsid w:val="00A87014"/>
    <w:rsid w:val="00A962F5"/>
    <w:rsid w:val="00AA540C"/>
    <w:rsid w:val="00AA5F58"/>
    <w:rsid w:val="00AA6C6D"/>
    <w:rsid w:val="00AB30EC"/>
    <w:rsid w:val="00AC180A"/>
    <w:rsid w:val="00AC359A"/>
    <w:rsid w:val="00AC6BD9"/>
    <w:rsid w:val="00AD3B0A"/>
    <w:rsid w:val="00AD61E0"/>
    <w:rsid w:val="00AD7270"/>
    <w:rsid w:val="00AE3FF4"/>
    <w:rsid w:val="00AE415B"/>
    <w:rsid w:val="00AE483E"/>
    <w:rsid w:val="00AE4E4F"/>
    <w:rsid w:val="00AF0BC5"/>
    <w:rsid w:val="00AF13FA"/>
    <w:rsid w:val="00AF3432"/>
    <w:rsid w:val="00AF3B47"/>
    <w:rsid w:val="00B06473"/>
    <w:rsid w:val="00B0665F"/>
    <w:rsid w:val="00B07D19"/>
    <w:rsid w:val="00B1082B"/>
    <w:rsid w:val="00B12650"/>
    <w:rsid w:val="00B137B3"/>
    <w:rsid w:val="00B139DE"/>
    <w:rsid w:val="00B13FFE"/>
    <w:rsid w:val="00B14508"/>
    <w:rsid w:val="00B17E32"/>
    <w:rsid w:val="00B231E5"/>
    <w:rsid w:val="00B24A66"/>
    <w:rsid w:val="00B2578C"/>
    <w:rsid w:val="00B2689D"/>
    <w:rsid w:val="00B327FB"/>
    <w:rsid w:val="00B33320"/>
    <w:rsid w:val="00B35B4A"/>
    <w:rsid w:val="00B36C08"/>
    <w:rsid w:val="00B373D9"/>
    <w:rsid w:val="00B3786C"/>
    <w:rsid w:val="00B4138C"/>
    <w:rsid w:val="00B447B0"/>
    <w:rsid w:val="00B51A0A"/>
    <w:rsid w:val="00B5385C"/>
    <w:rsid w:val="00B56D6C"/>
    <w:rsid w:val="00B6360A"/>
    <w:rsid w:val="00B64820"/>
    <w:rsid w:val="00B64910"/>
    <w:rsid w:val="00B649E3"/>
    <w:rsid w:val="00B6648B"/>
    <w:rsid w:val="00B73BDF"/>
    <w:rsid w:val="00B749F2"/>
    <w:rsid w:val="00B75582"/>
    <w:rsid w:val="00B805A1"/>
    <w:rsid w:val="00B8178F"/>
    <w:rsid w:val="00B82540"/>
    <w:rsid w:val="00B86024"/>
    <w:rsid w:val="00B8697A"/>
    <w:rsid w:val="00B91232"/>
    <w:rsid w:val="00B91E16"/>
    <w:rsid w:val="00B941F6"/>
    <w:rsid w:val="00B97913"/>
    <w:rsid w:val="00BA2C86"/>
    <w:rsid w:val="00BA6619"/>
    <w:rsid w:val="00BB405C"/>
    <w:rsid w:val="00BB479E"/>
    <w:rsid w:val="00BB579E"/>
    <w:rsid w:val="00BB7CDA"/>
    <w:rsid w:val="00BB7DD0"/>
    <w:rsid w:val="00BC2CC4"/>
    <w:rsid w:val="00BD58EC"/>
    <w:rsid w:val="00BE19A2"/>
    <w:rsid w:val="00BE3F1D"/>
    <w:rsid w:val="00BF705F"/>
    <w:rsid w:val="00BF7963"/>
    <w:rsid w:val="00C04FF8"/>
    <w:rsid w:val="00C06AC4"/>
    <w:rsid w:val="00C06EDA"/>
    <w:rsid w:val="00C07ACE"/>
    <w:rsid w:val="00C10596"/>
    <w:rsid w:val="00C10F64"/>
    <w:rsid w:val="00C1258A"/>
    <w:rsid w:val="00C138CA"/>
    <w:rsid w:val="00C156C3"/>
    <w:rsid w:val="00C16397"/>
    <w:rsid w:val="00C16C57"/>
    <w:rsid w:val="00C1754E"/>
    <w:rsid w:val="00C223C7"/>
    <w:rsid w:val="00C252B7"/>
    <w:rsid w:val="00C30328"/>
    <w:rsid w:val="00C35647"/>
    <w:rsid w:val="00C40FE5"/>
    <w:rsid w:val="00C416CF"/>
    <w:rsid w:val="00C44333"/>
    <w:rsid w:val="00C5035D"/>
    <w:rsid w:val="00C50B1F"/>
    <w:rsid w:val="00C51F92"/>
    <w:rsid w:val="00C528A1"/>
    <w:rsid w:val="00C53947"/>
    <w:rsid w:val="00C5641B"/>
    <w:rsid w:val="00C566CD"/>
    <w:rsid w:val="00C60841"/>
    <w:rsid w:val="00C617C3"/>
    <w:rsid w:val="00C628C1"/>
    <w:rsid w:val="00C74535"/>
    <w:rsid w:val="00C835FF"/>
    <w:rsid w:val="00C84778"/>
    <w:rsid w:val="00C85B28"/>
    <w:rsid w:val="00C85CD1"/>
    <w:rsid w:val="00C91B32"/>
    <w:rsid w:val="00C94D70"/>
    <w:rsid w:val="00C969B0"/>
    <w:rsid w:val="00CA13F9"/>
    <w:rsid w:val="00CA3CC2"/>
    <w:rsid w:val="00CB21AA"/>
    <w:rsid w:val="00CB21F0"/>
    <w:rsid w:val="00CB5B0C"/>
    <w:rsid w:val="00CC0E9B"/>
    <w:rsid w:val="00CC16CE"/>
    <w:rsid w:val="00CC1C97"/>
    <w:rsid w:val="00CC2989"/>
    <w:rsid w:val="00CD0B8C"/>
    <w:rsid w:val="00CD613A"/>
    <w:rsid w:val="00CD7023"/>
    <w:rsid w:val="00CD7C84"/>
    <w:rsid w:val="00CE0062"/>
    <w:rsid w:val="00CE3141"/>
    <w:rsid w:val="00CE5B22"/>
    <w:rsid w:val="00D01FD6"/>
    <w:rsid w:val="00D02079"/>
    <w:rsid w:val="00D1018E"/>
    <w:rsid w:val="00D1492D"/>
    <w:rsid w:val="00D14B02"/>
    <w:rsid w:val="00D228A4"/>
    <w:rsid w:val="00D23343"/>
    <w:rsid w:val="00D24B29"/>
    <w:rsid w:val="00D26724"/>
    <w:rsid w:val="00D26901"/>
    <w:rsid w:val="00D272DF"/>
    <w:rsid w:val="00D278BB"/>
    <w:rsid w:val="00D3011E"/>
    <w:rsid w:val="00D35C0E"/>
    <w:rsid w:val="00D369CC"/>
    <w:rsid w:val="00D401E3"/>
    <w:rsid w:val="00D4599F"/>
    <w:rsid w:val="00D51BF2"/>
    <w:rsid w:val="00D52443"/>
    <w:rsid w:val="00D56921"/>
    <w:rsid w:val="00D6617F"/>
    <w:rsid w:val="00D72F76"/>
    <w:rsid w:val="00D735F8"/>
    <w:rsid w:val="00D76242"/>
    <w:rsid w:val="00D86EC8"/>
    <w:rsid w:val="00D91CC0"/>
    <w:rsid w:val="00D921D3"/>
    <w:rsid w:val="00D93E99"/>
    <w:rsid w:val="00D945C3"/>
    <w:rsid w:val="00D97F97"/>
    <w:rsid w:val="00DB29CF"/>
    <w:rsid w:val="00DC216D"/>
    <w:rsid w:val="00DC2CFD"/>
    <w:rsid w:val="00DC4CD5"/>
    <w:rsid w:val="00DC5E46"/>
    <w:rsid w:val="00DC6792"/>
    <w:rsid w:val="00DD08F7"/>
    <w:rsid w:val="00DE332C"/>
    <w:rsid w:val="00DE624E"/>
    <w:rsid w:val="00DF2C30"/>
    <w:rsid w:val="00DF4075"/>
    <w:rsid w:val="00DF73ED"/>
    <w:rsid w:val="00E00F1D"/>
    <w:rsid w:val="00E01ED9"/>
    <w:rsid w:val="00E06AF3"/>
    <w:rsid w:val="00E13C50"/>
    <w:rsid w:val="00E14258"/>
    <w:rsid w:val="00E14D9B"/>
    <w:rsid w:val="00E17142"/>
    <w:rsid w:val="00E202E8"/>
    <w:rsid w:val="00E3167C"/>
    <w:rsid w:val="00E343A4"/>
    <w:rsid w:val="00E34BE5"/>
    <w:rsid w:val="00E41114"/>
    <w:rsid w:val="00E41337"/>
    <w:rsid w:val="00E424D5"/>
    <w:rsid w:val="00E42C54"/>
    <w:rsid w:val="00E51901"/>
    <w:rsid w:val="00E57707"/>
    <w:rsid w:val="00E604F4"/>
    <w:rsid w:val="00E6096D"/>
    <w:rsid w:val="00E618E9"/>
    <w:rsid w:val="00E63386"/>
    <w:rsid w:val="00E64667"/>
    <w:rsid w:val="00E64947"/>
    <w:rsid w:val="00E650DC"/>
    <w:rsid w:val="00E65BD5"/>
    <w:rsid w:val="00E669A5"/>
    <w:rsid w:val="00E67E02"/>
    <w:rsid w:val="00E705B2"/>
    <w:rsid w:val="00E8228E"/>
    <w:rsid w:val="00E825AF"/>
    <w:rsid w:val="00E92E8E"/>
    <w:rsid w:val="00EA6550"/>
    <w:rsid w:val="00EB1515"/>
    <w:rsid w:val="00EB274C"/>
    <w:rsid w:val="00EB3617"/>
    <w:rsid w:val="00EC752A"/>
    <w:rsid w:val="00EC7AFE"/>
    <w:rsid w:val="00ED5AF6"/>
    <w:rsid w:val="00ED7B71"/>
    <w:rsid w:val="00EE5E27"/>
    <w:rsid w:val="00EF1B04"/>
    <w:rsid w:val="00EF36CF"/>
    <w:rsid w:val="00EF3703"/>
    <w:rsid w:val="00F038DD"/>
    <w:rsid w:val="00F119E5"/>
    <w:rsid w:val="00F15321"/>
    <w:rsid w:val="00F15B1D"/>
    <w:rsid w:val="00F22774"/>
    <w:rsid w:val="00F30B98"/>
    <w:rsid w:val="00F42626"/>
    <w:rsid w:val="00F43198"/>
    <w:rsid w:val="00F47CD9"/>
    <w:rsid w:val="00F47DE5"/>
    <w:rsid w:val="00F51347"/>
    <w:rsid w:val="00F52497"/>
    <w:rsid w:val="00F6146E"/>
    <w:rsid w:val="00F663DC"/>
    <w:rsid w:val="00F6728B"/>
    <w:rsid w:val="00F700F8"/>
    <w:rsid w:val="00F719AF"/>
    <w:rsid w:val="00F71A9D"/>
    <w:rsid w:val="00F83796"/>
    <w:rsid w:val="00F96D29"/>
    <w:rsid w:val="00FA0D57"/>
    <w:rsid w:val="00FA30E0"/>
    <w:rsid w:val="00FA63CD"/>
    <w:rsid w:val="00FA6A3E"/>
    <w:rsid w:val="00FA6DEF"/>
    <w:rsid w:val="00FB1668"/>
    <w:rsid w:val="00FB3D9D"/>
    <w:rsid w:val="00FB7783"/>
    <w:rsid w:val="00FD684A"/>
    <w:rsid w:val="00FD7818"/>
    <w:rsid w:val="00FE1E26"/>
    <w:rsid w:val="00FE22FF"/>
    <w:rsid w:val="00FF0A46"/>
    <w:rsid w:val="00FF1C3C"/>
    <w:rsid w:val="00FF263E"/>
    <w:rsid w:val="00FF30F8"/>
    <w:rsid w:val="00FF5184"/>
    <w:rsid w:val="05015D85"/>
    <w:rsid w:val="082B4267"/>
    <w:rsid w:val="08425D84"/>
    <w:rsid w:val="095837D1"/>
    <w:rsid w:val="0C06083B"/>
    <w:rsid w:val="0C3B1F34"/>
    <w:rsid w:val="0E4E4508"/>
    <w:rsid w:val="1BC05B5E"/>
    <w:rsid w:val="21153713"/>
    <w:rsid w:val="22286C0E"/>
    <w:rsid w:val="22F96DEE"/>
    <w:rsid w:val="23E5206A"/>
    <w:rsid w:val="2C783060"/>
    <w:rsid w:val="2D6128FB"/>
    <w:rsid w:val="2FF84291"/>
    <w:rsid w:val="31B8446C"/>
    <w:rsid w:val="326C67DD"/>
    <w:rsid w:val="334E0780"/>
    <w:rsid w:val="33CF3297"/>
    <w:rsid w:val="3FFE31A2"/>
    <w:rsid w:val="41BD5AC1"/>
    <w:rsid w:val="529F44D6"/>
    <w:rsid w:val="5463295C"/>
    <w:rsid w:val="5A8F5D2A"/>
    <w:rsid w:val="5FE90E7F"/>
    <w:rsid w:val="60A522EC"/>
    <w:rsid w:val="64F94F3F"/>
    <w:rsid w:val="66CB2EB8"/>
    <w:rsid w:val="681D48E0"/>
    <w:rsid w:val="6F87409D"/>
    <w:rsid w:val="706D12CD"/>
    <w:rsid w:val="707E0BC7"/>
    <w:rsid w:val="7A567F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F237-3019-4D5E-99B6-5D45740B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a4">
    <w:name w:val="Normal Indent"/>
    <w:basedOn w:val="a"/>
    <w:link w:val="Char0"/>
    <w:qFormat/>
    <w:pPr>
      <w:ind w:firstLineChars="200" w:firstLine="420"/>
    </w:pPr>
  </w:style>
  <w:style w:type="paragraph" w:styleId="a5">
    <w:name w:val="Document Map"/>
    <w:basedOn w:val="a"/>
    <w:link w:val="Char1"/>
    <w:qFormat/>
    <w:rPr>
      <w:rFonts w:ascii="宋体"/>
      <w:sz w:val="18"/>
      <w:szCs w:val="18"/>
    </w:rPr>
  </w:style>
  <w:style w:type="paragraph" w:styleId="a6">
    <w:name w:val="annotation text"/>
    <w:basedOn w:val="a"/>
    <w:link w:val="Char10"/>
    <w:qFormat/>
    <w:pPr>
      <w:jc w:val="left"/>
    </w:pPr>
    <w:rPr>
      <w:rFonts w:asciiTheme="minorHAnsi" w:eastAsiaTheme="minorEastAsia" w:hAnsiTheme="minorHAnsi" w:cstheme="minorBidi"/>
      <w:sz w:val="18"/>
      <w:szCs w:val="22"/>
    </w:rPr>
  </w:style>
  <w:style w:type="paragraph" w:styleId="a7">
    <w:name w:val="Body Text Indent"/>
    <w:basedOn w:val="a"/>
    <w:link w:val="Char2"/>
    <w:qFormat/>
    <w:pPr>
      <w:ind w:firstLine="630"/>
    </w:pPr>
    <w:rPr>
      <w:sz w:val="32"/>
      <w:szCs w:val="20"/>
    </w:rPr>
  </w:style>
  <w:style w:type="paragraph" w:styleId="30">
    <w:name w:val="toc 3"/>
    <w:basedOn w:val="a"/>
    <w:next w:val="a"/>
    <w:uiPriority w:val="39"/>
    <w:semiHidden/>
    <w:unhideWhenUsed/>
    <w:qFormat/>
    <w:pPr>
      <w:ind w:leftChars="400" w:left="840"/>
    </w:pPr>
  </w:style>
  <w:style w:type="paragraph" w:styleId="a8">
    <w:name w:val="Plain Text"/>
    <w:basedOn w:val="a"/>
    <w:link w:val="Char11"/>
    <w:qFormat/>
    <w:pPr>
      <w:autoSpaceDE w:val="0"/>
      <w:autoSpaceDN w:val="0"/>
      <w:adjustRightInd w:val="0"/>
    </w:pPr>
    <w:rPr>
      <w:rFonts w:ascii="宋体" w:hAnsi="Tms Rmn" w:cstheme="minorBidi"/>
      <w:szCs w:val="22"/>
    </w:rPr>
  </w:style>
  <w:style w:type="paragraph" w:styleId="20">
    <w:name w:val="Body Text Indent 2"/>
    <w:basedOn w:val="a"/>
    <w:link w:val="2Char0"/>
    <w:qFormat/>
    <w:pPr>
      <w:spacing w:after="120" w:line="480" w:lineRule="auto"/>
      <w:ind w:leftChars="200" w:left="420"/>
    </w:pPr>
  </w:style>
  <w:style w:type="paragraph" w:styleId="a9">
    <w:name w:val="Balloon Text"/>
    <w:basedOn w:val="a"/>
    <w:link w:val="Char3"/>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360" w:lineRule="auto"/>
    </w:pPr>
    <w:rPr>
      <w:rFonts w:eastAsia="微软雅黑"/>
      <w:sz w:val="24"/>
    </w:rPr>
  </w:style>
  <w:style w:type="paragraph" w:styleId="31">
    <w:name w:val="Body Text Indent 3"/>
    <w:basedOn w:val="a"/>
    <w:link w:val="3Char0"/>
    <w:qFormat/>
    <w:pPr>
      <w:spacing w:after="120"/>
      <w:ind w:leftChars="200" w:left="420"/>
    </w:pPr>
    <w:rPr>
      <w:sz w:val="16"/>
      <w:szCs w:val="16"/>
    </w:rPr>
  </w:style>
  <w:style w:type="paragraph" w:styleId="21">
    <w:name w:val="toc 2"/>
    <w:basedOn w:val="a"/>
    <w:next w:val="a"/>
    <w:uiPriority w:val="39"/>
    <w:semiHidden/>
    <w:unhideWhenUsed/>
    <w:qFormat/>
    <w:pPr>
      <w:ind w:leftChars="200" w:left="420"/>
    </w:pPr>
  </w:style>
  <w:style w:type="paragraph" w:styleId="ac">
    <w:name w:val="Normal (Web)"/>
    <w:basedOn w:val="a"/>
    <w:qFormat/>
    <w:pPr>
      <w:widowControl/>
      <w:spacing w:before="100" w:beforeAutospacing="1" w:after="100" w:afterAutospacing="1"/>
      <w:jc w:val="left"/>
    </w:pPr>
    <w:rPr>
      <w:rFonts w:ascii="宋体" w:hAnsi="宋体"/>
      <w:kern w:val="0"/>
      <w:sz w:val="18"/>
      <w:szCs w:val="18"/>
    </w:rPr>
  </w:style>
  <w:style w:type="paragraph" w:styleId="ad">
    <w:name w:val="Title"/>
    <w:basedOn w:val="a"/>
    <w:next w:val="a"/>
    <w:link w:val="Char6"/>
    <w:uiPriority w:val="10"/>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7"/>
    <w:qFormat/>
    <w:rPr>
      <w:b/>
      <w:bCs/>
      <w:sz w:val="21"/>
      <w:szCs w:val="24"/>
    </w:rPr>
  </w:style>
  <w:style w:type="table" w:styleId="af">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qFormat/>
  </w:style>
  <w:style w:type="character" w:styleId="af1">
    <w:name w:val="Hyperlink"/>
    <w:uiPriority w:val="99"/>
    <w:qFormat/>
    <w:rPr>
      <w:color w:val="0000FF"/>
      <w:u w:val="single"/>
    </w:rPr>
  </w:style>
  <w:style w:type="character" w:styleId="af2">
    <w:name w:val="annotation reference"/>
    <w:basedOn w:val="a1"/>
    <w:uiPriority w:val="99"/>
    <w:qFormat/>
    <w:rPr>
      <w:sz w:val="21"/>
      <w:szCs w:val="21"/>
    </w:rPr>
  </w:style>
  <w:style w:type="character" w:customStyle="1" w:styleId="Char5">
    <w:name w:val="页眉 Char"/>
    <w:basedOn w:val="a1"/>
    <w:link w:val="ab"/>
    <w:qFormat/>
    <w:rPr>
      <w:sz w:val="18"/>
      <w:szCs w:val="18"/>
    </w:rPr>
  </w:style>
  <w:style w:type="character" w:customStyle="1" w:styleId="Char4">
    <w:name w:val="页脚 Char"/>
    <w:basedOn w:val="a1"/>
    <w:link w:val="aa"/>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Char2">
    <w:name w:val="正文文本缩进 Char"/>
    <w:basedOn w:val="a1"/>
    <w:link w:val="a7"/>
    <w:qFormat/>
    <w:rPr>
      <w:rFonts w:ascii="Times New Roman" w:eastAsia="宋体" w:hAnsi="Times New Roman" w:cs="Times New Roman"/>
      <w:sz w:val="32"/>
      <w:szCs w:val="20"/>
    </w:rPr>
  </w:style>
  <w:style w:type="paragraph" w:customStyle="1" w:styleId="af3">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3Char0">
    <w:name w:val="正文文本缩进 3 Char"/>
    <w:basedOn w:val="a1"/>
    <w:link w:val="31"/>
    <w:qFormat/>
    <w:rPr>
      <w:rFonts w:ascii="Times New Roman" w:eastAsia="宋体" w:hAnsi="Times New Roman" w:cs="Times New Roman"/>
      <w:sz w:val="16"/>
      <w:szCs w:val="16"/>
    </w:rPr>
  </w:style>
  <w:style w:type="paragraph" w:customStyle="1" w:styleId="af4">
    <w:name w:val="样式"/>
    <w:qFormat/>
    <w:pPr>
      <w:widowControl w:val="0"/>
      <w:autoSpaceDE w:val="0"/>
      <w:autoSpaceDN w:val="0"/>
      <w:adjustRightInd w:val="0"/>
    </w:pPr>
    <w:rPr>
      <w:rFonts w:ascii="宋体" w:eastAsia="宋体" w:hAnsi="宋体" w:cs="宋体"/>
      <w:sz w:val="24"/>
      <w:szCs w:val="24"/>
    </w:rPr>
  </w:style>
  <w:style w:type="paragraph" w:customStyle="1" w:styleId="af5">
    <w:name w:val="表格"/>
    <w:basedOn w:val="a"/>
    <w:qFormat/>
    <w:pPr>
      <w:spacing w:line="400" w:lineRule="exact"/>
    </w:pPr>
    <w:rPr>
      <w:sz w:val="24"/>
    </w:rPr>
  </w:style>
  <w:style w:type="paragraph" w:customStyle="1" w:styleId="22">
    <w:name w:val="样式 首行缩进:  2 字符"/>
    <w:basedOn w:val="a"/>
    <w:qFormat/>
    <w:pPr>
      <w:spacing w:line="400" w:lineRule="exact"/>
      <w:ind w:firstLineChars="200" w:firstLine="200"/>
    </w:pPr>
    <w:rPr>
      <w:rFonts w:cs="宋体"/>
      <w:sz w:val="24"/>
    </w:rPr>
  </w:style>
  <w:style w:type="character" w:customStyle="1" w:styleId="af6">
    <w:name w:val="（符号）邀请函中一、"/>
    <w:basedOn w:val="a1"/>
    <w:qFormat/>
    <w:rPr>
      <w:rFonts w:ascii="黑体" w:eastAsia="黑体" w:hAnsi="黑体"/>
      <w:b/>
      <w:bCs/>
      <w:sz w:val="24"/>
    </w:rPr>
  </w:style>
  <w:style w:type="character" w:customStyle="1" w:styleId="Char3">
    <w:name w:val="批注框文本 Char"/>
    <w:basedOn w:val="a1"/>
    <w:link w:val="a9"/>
    <w:qFormat/>
    <w:rPr>
      <w:rFonts w:ascii="Times New Roman" w:eastAsia="宋体" w:hAnsi="Times New Roman" w:cs="Times New Roman"/>
      <w:sz w:val="18"/>
      <w:szCs w:val="18"/>
    </w:rPr>
  </w:style>
  <w:style w:type="character" w:customStyle="1" w:styleId="Char0">
    <w:name w:val="正文缩进 Char"/>
    <w:link w:val="a4"/>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8">
    <w:name w:val="批注文字 Char"/>
    <w:qFormat/>
    <w:rPr>
      <w:sz w:val="18"/>
    </w:rPr>
  </w:style>
  <w:style w:type="character" w:customStyle="1" w:styleId="Char10">
    <w:name w:val="批注文字 Char1"/>
    <w:basedOn w:val="a1"/>
    <w:link w:val="a6"/>
    <w:qFormat/>
    <w:rPr>
      <w:rFonts w:ascii="Times New Roman" w:eastAsia="宋体" w:hAnsi="Times New Roman" w:cs="Times New Roman"/>
      <w:szCs w:val="24"/>
    </w:rPr>
  </w:style>
  <w:style w:type="character" w:customStyle="1" w:styleId="Char9">
    <w:name w:val="纯文本 Char"/>
    <w:unhideWhenUsed/>
    <w:qFormat/>
    <w:rPr>
      <w:rFonts w:ascii="宋体" w:eastAsia="宋体" w:hAnsi="Tms Rmn"/>
    </w:rPr>
  </w:style>
  <w:style w:type="character" w:customStyle="1" w:styleId="Char11">
    <w:name w:val="纯文本 Char1"/>
    <w:basedOn w:val="a1"/>
    <w:link w:val="a8"/>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7">
    <w:name w:val="List Paragraph"/>
    <w:basedOn w:val="a"/>
    <w:link w:val="Chara"/>
    <w:qFormat/>
    <w:pPr>
      <w:ind w:firstLineChars="200" w:firstLine="420"/>
    </w:pPr>
  </w:style>
  <w:style w:type="character" w:customStyle="1" w:styleId="Chara">
    <w:name w:val="列出段落 Char"/>
    <w:link w:val="af7"/>
    <w:qFormat/>
    <w:rPr>
      <w:rFonts w:ascii="Times New Roman" w:eastAsia="宋体" w:hAnsi="Times New Roman" w:cs="Times New Roman"/>
      <w:szCs w:val="24"/>
    </w:rPr>
  </w:style>
  <w:style w:type="character" w:customStyle="1" w:styleId="Char7">
    <w:name w:val="批注主题 Char"/>
    <w:basedOn w:val="Char10"/>
    <w:link w:val="ae"/>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Char1">
    <w:name w:val="文档结构图 Char"/>
    <w:basedOn w:val="a1"/>
    <w:link w:val="a5"/>
    <w:qFormat/>
    <w:rPr>
      <w:rFonts w:ascii="宋体" w:eastAsia="宋体" w:hAnsi="Times New Roman" w:cs="Times New Roman"/>
      <w:sz w:val="18"/>
      <w:szCs w:val="18"/>
    </w:rPr>
  </w:style>
  <w:style w:type="character" w:customStyle="1" w:styleId="Char">
    <w:name w:val="正文文本 Char"/>
    <w:basedOn w:val="a1"/>
    <w:link w:val="a0"/>
    <w:qFormat/>
    <w:rPr>
      <w:rFonts w:ascii="Times New Roman" w:eastAsia="宋体" w:hAnsi="Times New Roman" w:cs="Times New Roman"/>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Char6">
    <w:name w:val="标题 Char"/>
    <w:basedOn w:val="a1"/>
    <w:link w:val="ad"/>
    <w:uiPriority w:val="10"/>
    <w:qFormat/>
    <w:rPr>
      <w:rFonts w:asciiTheme="majorHAnsi" w:eastAsia="宋体" w:hAnsiTheme="majorHAnsi" w:cstheme="majorBidi"/>
      <w:b/>
      <w:bCs/>
      <w:kern w:val="2"/>
      <w:sz w:val="32"/>
      <w:szCs w:val="32"/>
    </w:rPr>
  </w:style>
  <w:style w:type="paragraph" w:customStyle="1" w:styleId="af8">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character" w:customStyle="1" w:styleId="font91">
    <w:name w:val="font91"/>
    <w:qFormat/>
    <w:rPr>
      <w:rFonts w:ascii="宋体" w:eastAsia="宋体" w:hAnsi="宋体" w:cs="宋体" w:hint="eastAsia"/>
      <w:color w:val="FF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tyleName="APA" SelectedStyle="\APASixthEditionOfficeOnline.xsl"/>
</file>

<file path=customXml/itemProps1.xml><?xml version="1.0" encoding="utf-8"?>
<ds:datastoreItem xmlns:ds="http://schemas.openxmlformats.org/officeDocument/2006/customXml" ds:itemID="{08C5197F-AF5E-4367-84BA-13AB78FFA09F}">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vml"/>
    <ds:schemaRef ds:uri="urn:schemas-microsoft-com:office:word"/>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openxmlformats.org/officeDocument/2006/relationships"/>
    <ds:schemaRef ds:uri="http://schemas.microsoft.com/office/word/2010/wordml"/>
    <ds:schemaRef ds:uri="http://schemas.microsoft.com/office/word/2012/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2457</Characters>
  <Application>Microsoft Office Word</Application>
  <DocSecurity>4</DocSecurity>
  <Lines>20</Lines>
  <Paragraphs>5</Paragraphs>
  <ScaleCrop>false</ScaleCrop>
  <Company>Microsoft</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张鹏举</dc:creator>
  <cp:lastModifiedBy>匿名</cp:lastModifiedBy>
  <cp:revision>2</cp:revision>
  <dcterms:created xsi:type="dcterms:W3CDTF">2022-07-08T03:43:00Z</dcterms:created>
  <dcterms:modified xsi:type="dcterms:W3CDTF">2022-07-08T03:43:00Z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FBBE82F7D8FA4EFA927C3252F560E09A</vt:lpwstr>
  </property>
</Properties>
</file>