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61" w:line="343" w:lineRule="auto"/>
        <w:ind w:right="750" w:rightChars="0"/>
        <w:jc w:val="both"/>
        <w:rPr>
          <w:rFonts w:hint="eastAsia"/>
          <w:lang w:eastAsia="zh-CN"/>
        </w:rPr>
      </w:pPr>
      <w:r>
        <w:rPr>
          <w:rFonts w:hint="eastAsia" w:asciiTheme="majorEastAsia" w:hAnsiTheme="majorEastAsia" w:eastAsiaTheme="majorEastAsia" w:cstheme="majorEastAsia"/>
          <w:b/>
          <w:bCs/>
          <w:color w:val="000000"/>
          <w:sz w:val="28"/>
          <w:szCs w:val="28"/>
        </w:rPr>
        <w:t>江西智杰工程管理有限公司关于全南县</w:t>
      </w:r>
      <w:r>
        <w:rPr>
          <w:rFonts w:hint="eastAsia" w:asciiTheme="majorEastAsia" w:hAnsiTheme="majorEastAsia" w:eastAsiaTheme="majorEastAsia" w:cstheme="majorEastAsia"/>
          <w:b/>
          <w:bCs/>
          <w:color w:val="000000"/>
          <w:sz w:val="28"/>
          <w:szCs w:val="28"/>
          <w:lang w:eastAsia="zh-CN"/>
        </w:rPr>
        <w:t>残疾人联合会</w:t>
      </w:r>
      <w:r>
        <w:rPr>
          <w:rFonts w:hint="eastAsia"/>
          <w:b/>
          <w:sz w:val="32"/>
          <w:u w:val="none"/>
          <w:lang w:eastAsia="zh-CN"/>
        </w:rPr>
        <w:t>赣州市2022年困难重度残疾人家庭无障碍改造项目</w:t>
      </w:r>
      <w:r>
        <w:rPr>
          <w:rFonts w:hint="eastAsia" w:asciiTheme="majorEastAsia" w:hAnsiTheme="majorEastAsia" w:eastAsiaTheme="majorEastAsia" w:cstheme="majorEastAsia"/>
          <w:b/>
          <w:bCs/>
          <w:color w:val="000000"/>
          <w:sz w:val="28"/>
          <w:szCs w:val="28"/>
          <w:lang w:eastAsia="zh-CN"/>
        </w:rPr>
        <w:t>（项目编号：</w:t>
      </w:r>
      <w:r>
        <w:rPr>
          <w:rFonts w:hint="eastAsia" w:asciiTheme="majorEastAsia" w:hAnsiTheme="majorEastAsia" w:eastAsiaTheme="majorEastAsia" w:cstheme="majorEastAsia"/>
          <w:b/>
          <w:bCs/>
          <w:color w:val="000000"/>
          <w:sz w:val="28"/>
          <w:szCs w:val="28"/>
          <w:lang w:val="en-US" w:eastAsia="zh-CN"/>
        </w:rPr>
        <w:t>JXZJ2022-QN-AC001）</w:t>
      </w:r>
      <w:r>
        <w:rPr>
          <w:rFonts w:hint="eastAsia" w:asciiTheme="majorEastAsia" w:hAnsiTheme="majorEastAsia" w:eastAsiaTheme="majorEastAsia" w:cstheme="majorEastAsia"/>
          <w:b/>
          <w:bCs/>
          <w:color w:val="000000"/>
          <w:sz w:val="28"/>
          <w:szCs w:val="28"/>
          <w:lang w:eastAsia="zh-CN"/>
        </w:rPr>
        <w:t>竞争性磋商公告</w:t>
      </w:r>
    </w:p>
    <w:p>
      <w:pPr>
        <w:pStyle w:val="4"/>
        <w:spacing w:before="286" w:line="348" w:lineRule="auto"/>
        <w:ind w:right="431" w:firstLine="540"/>
        <w:jc w:val="both"/>
      </w:pPr>
      <w:r>
        <w:rPr>
          <w:rFonts w:hint="eastAsia"/>
          <w:lang w:eastAsia="zh-CN"/>
        </w:rPr>
        <w:t>江西智杰工程管理有限公司</w:t>
      </w:r>
      <w:r>
        <w:t>受</w:t>
      </w:r>
      <w:r>
        <w:rPr>
          <w:rFonts w:hint="eastAsia"/>
          <w:lang w:eastAsia="zh-CN"/>
        </w:rPr>
        <w:t>全南县</w:t>
      </w:r>
      <w:r>
        <w:t>残疾人联合会的委托，对</w:t>
      </w:r>
      <w:r>
        <w:rPr>
          <w:rFonts w:hint="eastAsia"/>
          <w:lang w:eastAsia="zh-CN"/>
        </w:rPr>
        <w:t>赣州市2022年困难重度残疾人家庭无障碍改造项目</w:t>
      </w:r>
      <w:r>
        <w:t>进行竞争性磋商采购。现欢迎国内符合资格条件的供应商前来响应。</w:t>
      </w:r>
    </w:p>
    <w:p>
      <w:pPr>
        <w:pStyle w:val="4"/>
        <w:spacing w:line="341" w:lineRule="exact"/>
        <w:rPr>
          <w:rFonts w:hint="eastAsia" w:eastAsia="宋体"/>
          <w:lang w:eastAsia="zh-CN"/>
        </w:rPr>
      </w:pPr>
      <w:r>
        <w:t>（一）项目编号：</w:t>
      </w:r>
      <w:r>
        <w:rPr>
          <w:rFonts w:hint="eastAsia"/>
          <w:lang w:eastAsia="zh-CN"/>
        </w:rPr>
        <w:t>JXZJ2022-QN-AC001</w:t>
      </w:r>
    </w:p>
    <w:p>
      <w:pPr>
        <w:pStyle w:val="4"/>
        <w:spacing w:before="156"/>
      </w:pPr>
      <w:r>
        <w:t>（二）采购方式：竞争性磋商</w:t>
      </w:r>
    </w:p>
    <w:p>
      <w:pPr>
        <w:pStyle w:val="4"/>
        <w:spacing w:before="153" w:after="23"/>
      </w:pPr>
      <w:r>
        <w:t>（三）采购内容：</w:t>
      </w:r>
    </w:p>
    <w:tbl>
      <w:tblPr>
        <w:tblStyle w:val="5"/>
        <w:tblpPr w:leftFromText="180" w:rightFromText="180" w:vertAnchor="text" w:horzAnchor="page" w:tblpX="1513" w:tblpY="60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1"/>
        <w:gridCol w:w="679"/>
        <w:gridCol w:w="956"/>
        <w:gridCol w:w="1515"/>
        <w:gridCol w:w="141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471" w:type="dxa"/>
            <w:vAlign w:val="center"/>
          </w:tcPr>
          <w:p>
            <w:pPr>
              <w:pStyle w:val="8"/>
              <w:jc w:val="both"/>
              <w:rPr>
                <w:b/>
                <w:sz w:val="24"/>
              </w:rPr>
            </w:pPr>
            <w:r>
              <w:rPr>
                <w:rFonts w:hint="eastAsia"/>
                <w:b/>
                <w:sz w:val="24"/>
                <w:lang w:eastAsia="zh-CN"/>
              </w:rPr>
              <w:t>　　　</w:t>
            </w:r>
            <w:r>
              <w:rPr>
                <w:b/>
                <w:sz w:val="24"/>
              </w:rPr>
              <w:t>项目名称</w:t>
            </w:r>
          </w:p>
        </w:tc>
        <w:tc>
          <w:tcPr>
            <w:tcW w:w="679" w:type="dxa"/>
            <w:vAlign w:val="center"/>
          </w:tcPr>
          <w:p>
            <w:pPr>
              <w:pStyle w:val="8"/>
              <w:ind w:right="227"/>
              <w:jc w:val="center"/>
              <w:rPr>
                <w:b/>
                <w:sz w:val="24"/>
              </w:rPr>
            </w:pPr>
            <w:r>
              <w:rPr>
                <w:rFonts w:hint="eastAsia"/>
                <w:b/>
                <w:sz w:val="24"/>
                <w:lang w:eastAsia="zh-CN"/>
              </w:rPr>
              <w:t>单　</w:t>
            </w:r>
            <w:r>
              <w:rPr>
                <w:b/>
                <w:sz w:val="24"/>
              </w:rPr>
              <w:t>位</w:t>
            </w:r>
          </w:p>
        </w:tc>
        <w:tc>
          <w:tcPr>
            <w:tcW w:w="956" w:type="dxa"/>
            <w:vAlign w:val="center"/>
          </w:tcPr>
          <w:p>
            <w:pPr>
              <w:pStyle w:val="8"/>
              <w:ind w:right="226"/>
              <w:jc w:val="center"/>
              <w:rPr>
                <w:b/>
                <w:sz w:val="24"/>
              </w:rPr>
            </w:pPr>
            <w:r>
              <w:rPr>
                <w:b/>
                <w:sz w:val="24"/>
              </w:rPr>
              <w:t>数量</w:t>
            </w:r>
          </w:p>
        </w:tc>
        <w:tc>
          <w:tcPr>
            <w:tcW w:w="1515" w:type="dxa"/>
            <w:vAlign w:val="center"/>
          </w:tcPr>
          <w:p>
            <w:pPr>
              <w:pStyle w:val="8"/>
              <w:ind w:left="0" w:leftChars="0" w:right="0" w:rightChars="0"/>
              <w:jc w:val="center"/>
              <w:rPr>
                <w:rFonts w:ascii="宋体" w:hAnsi="宋体" w:eastAsia="宋体" w:cs="宋体"/>
                <w:b/>
                <w:sz w:val="24"/>
                <w:szCs w:val="22"/>
                <w:lang w:val="zh-CN" w:eastAsia="zh-CN" w:bidi="zh-CN"/>
              </w:rPr>
            </w:pPr>
            <w:r>
              <w:rPr>
                <w:b/>
                <w:sz w:val="24"/>
              </w:rPr>
              <w:t>主要技术参数及要求</w:t>
            </w:r>
          </w:p>
        </w:tc>
        <w:tc>
          <w:tcPr>
            <w:tcW w:w="1410" w:type="dxa"/>
            <w:vAlign w:val="center"/>
          </w:tcPr>
          <w:p>
            <w:pPr>
              <w:pStyle w:val="8"/>
              <w:spacing w:before="113"/>
              <w:jc w:val="center"/>
              <w:rPr>
                <w:b/>
                <w:sz w:val="24"/>
              </w:rPr>
            </w:pPr>
            <w:r>
              <w:rPr>
                <w:b/>
                <w:sz w:val="24"/>
              </w:rPr>
              <w:t>预算单价</w:t>
            </w:r>
          </w:p>
          <w:p>
            <w:pPr>
              <w:pStyle w:val="8"/>
              <w:spacing w:before="132" w:line="306" w:lineRule="exact"/>
              <w:jc w:val="both"/>
              <w:rPr>
                <w:b/>
                <w:sz w:val="24"/>
              </w:rPr>
            </w:pPr>
            <w:r>
              <w:rPr>
                <w:rFonts w:hint="eastAsia"/>
                <w:b/>
                <w:sz w:val="24"/>
                <w:lang w:eastAsia="zh-CN"/>
              </w:rPr>
              <w:t>　　</w:t>
            </w:r>
            <w:r>
              <w:rPr>
                <w:b/>
                <w:sz w:val="24"/>
              </w:rPr>
              <w:t>（元）</w:t>
            </w:r>
          </w:p>
        </w:tc>
        <w:tc>
          <w:tcPr>
            <w:tcW w:w="2520" w:type="dxa"/>
            <w:vAlign w:val="center"/>
          </w:tcPr>
          <w:p>
            <w:pPr>
              <w:pStyle w:val="8"/>
              <w:spacing w:before="113"/>
              <w:jc w:val="center"/>
              <w:rPr>
                <w:b/>
                <w:sz w:val="24"/>
              </w:rPr>
            </w:pPr>
            <w:r>
              <w:rPr>
                <w:b/>
                <w:sz w:val="24"/>
              </w:rPr>
              <w:t>预算金额</w:t>
            </w:r>
          </w:p>
          <w:p>
            <w:pPr>
              <w:pStyle w:val="8"/>
              <w:spacing w:before="113"/>
              <w:jc w:val="center"/>
              <w:rPr>
                <w:b/>
                <w:sz w:val="24"/>
              </w:rPr>
            </w:pPr>
            <w:r>
              <w:rPr>
                <w:b/>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2471" w:type="dxa"/>
            <w:vAlign w:val="center"/>
          </w:tcPr>
          <w:p>
            <w:pPr>
              <w:pStyle w:val="8"/>
              <w:spacing w:before="158"/>
              <w:ind w:left="112" w:right="102"/>
              <w:jc w:val="center"/>
              <w:rPr>
                <w:rFonts w:hint="default"/>
                <w:sz w:val="24"/>
                <w:lang w:val="en-US"/>
              </w:rPr>
            </w:pPr>
            <w:r>
              <w:rPr>
                <w:rFonts w:hint="eastAsia"/>
                <w:sz w:val="24"/>
                <w:lang w:eastAsia="zh-CN"/>
              </w:rPr>
              <w:t>赣州市2022年困难重度残疾人家庭无障碍改造项目</w:t>
            </w:r>
            <w:r>
              <w:rPr>
                <w:rFonts w:hint="eastAsia"/>
                <w:sz w:val="24"/>
                <w:lang w:val="en-US" w:eastAsia="zh-CN"/>
              </w:rPr>
              <w:t>(国内服务)</w:t>
            </w:r>
          </w:p>
        </w:tc>
        <w:tc>
          <w:tcPr>
            <w:tcW w:w="679" w:type="dxa"/>
            <w:vAlign w:val="center"/>
          </w:tcPr>
          <w:p>
            <w:pPr>
              <w:pStyle w:val="8"/>
              <w:jc w:val="center"/>
              <w:rPr>
                <w:rFonts w:hint="eastAsia" w:eastAsia="宋体"/>
                <w:sz w:val="24"/>
                <w:lang w:eastAsia="zh-CN"/>
              </w:rPr>
            </w:pPr>
            <w:r>
              <w:rPr>
                <w:rFonts w:hint="eastAsia"/>
                <w:sz w:val="24"/>
                <w:lang w:eastAsia="zh-CN"/>
              </w:rPr>
              <w:t>户</w:t>
            </w:r>
          </w:p>
        </w:tc>
        <w:tc>
          <w:tcPr>
            <w:tcW w:w="956" w:type="dxa"/>
            <w:vAlign w:val="center"/>
          </w:tcPr>
          <w:p>
            <w:pPr>
              <w:pStyle w:val="8"/>
              <w:jc w:val="center"/>
              <w:rPr>
                <w:rFonts w:hint="default" w:eastAsia="宋体"/>
                <w:sz w:val="24"/>
                <w:lang w:val="en-US" w:eastAsia="zh-CN"/>
              </w:rPr>
            </w:pPr>
            <w:r>
              <w:rPr>
                <w:rFonts w:hint="eastAsia"/>
                <w:sz w:val="24"/>
                <w:lang w:val="en-US" w:eastAsia="zh-CN"/>
              </w:rPr>
              <w:t>70</w:t>
            </w:r>
          </w:p>
        </w:tc>
        <w:tc>
          <w:tcPr>
            <w:tcW w:w="1515" w:type="dxa"/>
            <w:vAlign w:val="center"/>
          </w:tcPr>
          <w:p>
            <w:pPr>
              <w:pStyle w:val="8"/>
              <w:spacing w:before="158"/>
              <w:ind w:left="0" w:leftChars="0" w:right="134" w:rightChars="0"/>
              <w:jc w:val="center"/>
              <w:rPr>
                <w:rFonts w:hint="eastAsia" w:ascii="宋体" w:hAnsi="宋体" w:eastAsia="宋体" w:cs="宋体"/>
                <w:sz w:val="24"/>
                <w:szCs w:val="22"/>
                <w:lang w:val="en-US" w:eastAsia="zh-CN" w:bidi="zh-CN"/>
              </w:rPr>
            </w:pPr>
            <w:r>
              <w:rPr>
                <w:sz w:val="24"/>
              </w:rPr>
              <w:t>详见采购项目需求</w:t>
            </w:r>
          </w:p>
        </w:tc>
        <w:tc>
          <w:tcPr>
            <w:tcW w:w="1410" w:type="dxa"/>
            <w:vAlign w:val="center"/>
          </w:tcPr>
          <w:p>
            <w:pPr>
              <w:pStyle w:val="8"/>
              <w:ind w:right="-140" w:rightChars="0"/>
              <w:jc w:val="center"/>
              <w:rPr>
                <w:rFonts w:hint="default" w:eastAsia="宋体"/>
                <w:sz w:val="24"/>
                <w:lang w:val="en-US" w:eastAsia="zh-CN"/>
              </w:rPr>
            </w:pPr>
            <w:r>
              <w:rPr>
                <w:rFonts w:hint="eastAsia"/>
                <w:sz w:val="24"/>
                <w:lang w:val="en-US" w:eastAsia="zh-CN"/>
              </w:rPr>
              <w:t>4000.00</w:t>
            </w:r>
          </w:p>
        </w:tc>
        <w:tc>
          <w:tcPr>
            <w:tcW w:w="2520" w:type="dxa"/>
            <w:vAlign w:val="center"/>
          </w:tcPr>
          <w:p>
            <w:pPr>
              <w:pStyle w:val="8"/>
              <w:jc w:val="center"/>
              <w:rPr>
                <w:rFonts w:hint="default"/>
                <w:sz w:val="24"/>
                <w:lang w:val="en-US" w:eastAsia="zh-CN"/>
              </w:rPr>
            </w:pPr>
            <w:r>
              <w:rPr>
                <w:rFonts w:hint="eastAsia"/>
                <w:sz w:val="24"/>
                <w:lang w:val="en-US" w:eastAsia="zh-CN"/>
              </w:rPr>
              <w:t>280000.00</w:t>
            </w:r>
          </w:p>
        </w:tc>
      </w:tr>
    </w:tbl>
    <w:p>
      <w:pPr>
        <w:pStyle w:val="4"/>
        <w:spacing w:before="153" w:after="23"/>
      </w:pPr>
    </w:p>
    <w:p>
      <w:pPr>
        <w:pStyle w:val="4"/>
        <w:spacing w:before="153" w:after="23"/>
      </w:pPr>
    </w:p>
    <w:p>
      <w:pPr>
        <w:pStyle w:val="4"/>
        <w:spacing w:before="153" w:after="23"/>
      </w:pPr>
    </w:p>
    <w:p>
      <w:pPr>
        <w:pStyle w:val="4"/>
        <w:spacing w:before="153" w:after="23"/>
      </w:pPr>
    </w:p>
    <w:tbl>
      <w:tblPr>
        <w:tblStyle w:val="6"/>
        <w:tblpPr w:leftFromText="180" w:rightFromText="180" w:vertAnchor="text" w:horzAnchor="page" w:tblpX="1603"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55" w:type="dxa"/>
            <w:vAlign w:val="center"/>
          </w:tcPr>
          <w:p>
            <w:pPr>
              <w:pStyle w:val="3"/>
              <w:tabs>
                <w:tab w:val="left" w:pos="2780"/>
              </w:tabs>
              <w:spacing w:before="131" w:after="22"/>
              <w:jc w:val="center"/>
              <w:rPr>
                <w:rFonts w:hint="eastAsia"/>
                <w:lang w:val="en-US" w:eastAsia="zh-CN"/>
              </w:rPr>
            </w:pPr>
          </w:p>
          <w:p>
            <w:pPr>
              <w:pStyle w:val="3"/>
              <w:tabs>
                <w:tab w:val="left" w:pos="2780"/>
              </w:tabs>
              <w:spacing w:before="131" w:after="22"/>
              <w:ind w:left="0" w:leftChars="0" w:firstLine="0" w:firstLineChars="0"/>
              <w:jc w:val="both"/>
              <w:rPr>
                <w:rFonts w:hint="eastAsia"/>
                <w:lang w:val="en-US" w:eastAsia="zh-CN"/>
              </w:rPr>
            </w:pPr>
            <w:r>
              <w:rPr>
                <w:rFonts w:hint="eastAsia"/>
                <w:lang w:val="en-US" w:eastAsia="zh-CN"/>
              </w:rPr>
              <w:t>　　　　　　　　　　　　合计总金额：贰拾捌万元整（￥280000）</w:t>
            </w:r>
          </w:p>
          <w:p>
            <w:pPr>
              <w:rPr>
                <w:rFonts w:hint="eastAsia"/>
                <w:lang w:val="en-US" w:eastAsia="zh-CN"/>
              </w:rPr>
            </w:pPr>
          </w:p>
          <w:p>
            <w:pPr>
              <w:rPr>
                <w:rFonts w:hint="eastAsia"/>
                <w:lang w:eastAsia="zh-CN"/>
              </w:rPr>
            </w:pPr>
          </w:p>
        </w:tc>
      </w:tr>
    </w:tbl>
    <w:p>
      <w:pPr>
        <w:pStyle w:val="4"/>
        <w:spacing w:before="153" w:after="23"/>
      </w:pPr>
    </w:p>
    <w:p>
      <w:pPr>
        <w:pStyle w:val="4"/>
        <w:spacing w:before="153" w:after="23"/>
      </w:pPr>
    </w:p>
    <w:p>
      <w:pPr>
        <w:pStyle w:val="4"/>
        <w:spacing w:before="6"/>
        <w:ind w:left="0"/>
        <w:rPr>
          <w:sz w:val="11"/>
        </w:rPr>
      </w:pPr>
    </w:p>
    <w:p>
      <w:pPr>
        <w:pStyle w:val="4"/>
        <w:spacing w:before="4"/>
      </w:pPr>
      <w:r>
        <w:t>（</w:t>
      </w:r>
      <w:r>
        <w:rPr>
          <w:rFonts w:hint="eastAsia"/>
          <w:lang w:val="en-US" w:eastAsia="zh-CN"/>
        </w:rPr>
        <w:t>(</w:t>
      </w:r>
      <w:r>
        <w:rPr>
          <w:rFonts w:hint="eastAsia"/>
          <w:lang w:eastAsia="zh-CN"/>
        </w:rPr>
        <w:t>四</w:t>
      </w:r>
      <w:r>
        <w:t>）本项目是否接受联合体参加磋商：不接受。</w:t>
      </w:r>
    </w:p>
    <w:p>
      <w:pPr>
        <w:pStyle w:val="4"/>
        <w:spacing w:before="11"/>
        <w:ind w:left="0"/>
        <w:rPr>
          <w:sz w:val="19"/>
        </w:rPr>
      </w:pPr>
    </w:p>
    <w:p>
      <w:pPr>
        <w:pStyle w:val="4"/>
        <w:numPr>
          <w:ilvl w:val="0"/>
          <w:numId w:val="1"/>
        </w:numPr>
        <w:spacing w:before="10"/>
        <w:ind w:left="0" w:leftChars="0" w:firstLine="0" w:firstLineChars="0"/>
      </w:pPr>
      <w:r>
        <w:t>申请人的资格要求：</w:t>
      </w:r>
    </w:p>
    <w:p>
      <w:pPr>
        <w:pStyle w:val="4"/>
        <w:numPr>
          <w:numId w:val="0"/>
        </w:numPr>
        <w:spacing w:before="10"/>
        <w:ind w:right="0" w:rightChars="0"/>
      </w:pPr>
      <w:r>
        <w:rPr>
          <w:rFonts w:hint="eastAsia"/>
          <w:lang w:eastAsia="zh-CN"/>
        </w:rPr>
        <w:t>　　</w:t>
      </w:r>
      <w:r>
        <w:rPr>
          <w:rFonts w:hint="eastAsia"/>
          <w:lang w:val="en-US" w:eastAsia="zh-CN"/>
        </w:rPr>
        <w:t>1</w:t>
      </w:r>
      <w:r>
        <w:t>、满足《中华人民共和国政府采购法》第二十二条规定：</w:t>
      </w:r>
    </w:p>
    <w:p>
      <w:pPr>
        <w:pStyle w:val="4"/>
      </w:pPr>
      <w:r>
        <w:t>1、具有独立承担民事责任的能力；</w:t>
      </w:r>
    </w:p>
    <w:p>
      <w:pPr>
        <w:pStyle w:val="4"/>
        <w:spacing w:before="11"/>
        <w:ind w:left="0"/>
        <w:rPr>
          <w:sz w:val="19"/>
        </w:rPr>
      </w:pPr>
    </w:p>
    <w:p>
      <w:pPr>
        <w:pStyle w:val="4"/>
      </w:pPr>
      <w:r>
        <w:t>2</w:t>
      </w:r>
      <w:r>
        <w:rPr>
          <w:spacing w:val="-3"/>
        </w:rPr>
        <w:t>、具有良好的商业信誉和健全的财务会计制度；</w:t>
      </w:r>
    </w:p>
    <w:p>
      <w:pPr>
        <w:pStyle w:val="4"/>
        <w:spacing w:before="10"/>
        <w:ind w:left="0"/>
        <w:rPr>
          <w:sz w:val="19"/>
        </w:rPr>
      </w:pPr>
    </w:p>
    <w:p>
      <w:pPr>
        <w:pStyle w:val="4"/>
      </w:pPr>
      <w:r>
        <w:t>3</w:t>
      </w:r>
      <w:r>
        <w:rPr>
          <w:spacing w:val="-3"/>
        </w:rPr>
        <w:t>、具有履行合同所必需的设备和专业技术能力；</w:t>
      </w:r>
    </w:p>
    <w:p>
      <w:pPr>
        <w:pStyle w:val="4"/>
        <w:spacing w:before="11"/>
        <w:ind w:left="0"/>
        <w:rPr>
          <w:sz w:val="19"/>
        </w:rPr>
      </w:pPr>
    </w:p>
    <w:p>
      <w:pPr>
        <w:pStyle w:val="4"/>
      </w:pPr>
      <w:r>
        <w:t>4</w:t>
      </w:r>
      <w:r>
        <w:rPr>
          <w:spacing w:val="-3"/>
        </w:rPr>
        <w:t>、有依法缴纳税收和社会保障资金的良好记录；</w:t>
      </w:r>
    </w:p>
    <w:p>
      <w:pPr>
        <w:pStyle w:val="4"/>
        <w:spacing w:before="11"/>
        <w:ind w:left="0"/>
        <w:rPr>
          <w:sz w:val="19"/>
        </w:rPr>
      </w:pPr>
    </w:p>
    <w:p>
      <w:pPr>
        <w:pStyle w:val="4"/>
      </w:pPr>
      <w:r>
        <w:t>5、参加政府采购活动前三年内，在经营活动中没有重大违法记录；</w:t>
      </w:r>
    </w:p>
    <w:p>
      <w:pPr>
        <w:pStyle w:val="4"/>
        <w:spacing w:before="11"/>
        <w:ind w:left="0"/>
        <w:rPr>
          <w:sz w:val="19"/>
        </w:rPr>
      </w:pPr>
    </w:p>
    <w:p>
      <w:pPr>
        <w:pStyle w:val="4"/>
      </w:pPr>
      <w:r>
        <w:t>6、法律、行政法规规定的其他条件。</w:t>
      </w:r>
    </w:p>
    <w:p>
      <w:pPr>
        <w:pStyle w:val="4"/>
        <w:spacing w:before="122"/>
        <w:ind w:left="930"/>
        <w:rPr>
          <w:color w:val="auto"/>
        </w:rPr>
      </w:pPr>
      <w:r>
        <w:rPr>
          <w:color w:val="auto"/>
        </w:rPr>
        <w:t>（六</w:t>
      </w:r>
      <w:r>
        <w:rPr>
          <w:color w:val="auto"/>
          <w:spacing w:val="-3"/>
        </w:rPr>
        <w:t>）获取采购文件：</w:t>
      </w:r>
      <w:r>
        <w:rPr>
          <w:color w:val="auto"/>
        </w:rPr>
        <w:t>202</w:t>
      </w:r>
      <w:r>
        <w:rPr>
          <w:rFonts w:hint="eastAsia"/>
          <w:color w:val="auto"/>
          <w:lang w:val="en-US" w:eastAsia="zh-CN"/>
        </w:rPr>
        <w:t>2</w:t>
      </w:r>
      <w:r>
        <w:rPr>
          <w:color w:val="auto"/>
          <w:spacing w:val="-45"/>
        </w:rPr>
        <w:t xml:space="preserve"> 年 </w:t>
      </w:r>
      <w:r>
        <w:rPr>
          <w:rFonts w:hint="eastAsia"/>
          <w:color w:val="auto"/>
          <w:spacing w:val="-45"/>
          <w:lang w:eastAsia="zh-CN"/>
        </w:rPr>
        <w:t>　</w:t>
      </w:r>
      <w:r>
        <w:rPr>
          <w:rFonts w:hint="eastAsia"/>
          <w:color w:val="auto"/>
          <w:lang w:val="en-US" w:eastAsia="zh-CN"/>
        </w:rPr>
        <w:t>7</w:t>
      </w:r>
      <w:r>
        <w:rPr>
          <w:color w:val="auto"/>
          <w:spacing w:val="-45"/>
        </w:rPr>
        <w:t xml:space="preserve"> 月 </w:t>
      </w:r>
      <w:r>
        <w:rPr>
          <w:rFonts w:hint="eastAsia"/>
          <w:color w:val="auto"/>
          <w:spacing w:val="-45"/>
          <w:lang w:val="en-US" w:eastAsia="zh-CN"/>
        </w:rPr>
        <w:t>11</w:t>
      </w:r>
      <w:r>
        <w:rPr>
          <w:color w:val="auto"/>
          <w:spacing w:val="-34"/>
        </w:rPr>
        <w:t xml:space="preserve"> 日至 </w:t>
      </w:r>
      <w:r>
        <w:rPr>
          <w:color w:val="auto"/>
        </w:rPr>
        <w:t>202</w:t>
      </w:r>
      <w:r>
        <w:rPr>
          <w:rFonts w:hint="eastAsia"/>
          <w:color w:val="auto"/>
          <w:lang w:val="en-US" w:eastAsia="zh-CN"/>
        </w:rPr>
        <w:t>2</w:t>
      </w:r>
      <w:r>
        <w:rPr>
          <w:color w:val="auto"/>
          <w:spacing w:val="-45"/>
        </w:rPr>
        <w:t>年</w:t>
      </w:r>
      <w:r>
        <w:rPr>
          <w:rFonts w:hint="eastAsia"/>
          <w:color w:val="auto"/>
          <w:spacing w:val="-45"/>
          <w:lang w:eastAsia="zh-CN"/>
        </w:rPr>
        <w:t>　</w:t>
      </w:r>
      <w:r>
        <w:rPr>
          <w:color w:val="auto"/>
          <w:spacing w:val="-45"/>
        </w:rPr>
        <w:t xml:space="preserve"> </w:t>
      </w:r>
      <w:r>
        <w:rPr>
          <w:rFonts w:hint="eastAsia"/>
          <w:color w:val="auto"/>
          <w:spacing w:val="-45"/>
          <w:lang w:val="en-US" w:eastAsia="zh-CN"/>
        </w:rPr>
        <w:t>7</w:t>
      </w:r>
      <w:r>
        <w:rPr>
          <w:color w:val="auto"/>
          <w:spacing w:val="-44"/>
        </w:rPr>
        <w:t xml:space="preserve"> 月 </w:t>
      </w:r>
      <w:r>
        <w:rPr>
          <w:rFonts w:hint="eastAsia"/>
          <w:color w:val="auto"/>
          <w:spacing w:val="-44"/>
          <w:lang w:val="en-US" w:eastAsia="zh-CN"/>
        </w:rPr>
        <w:t>15　</w:t>
      </w:r>
      <w:r>
        <w:rPr>
          <w:color w:val="auto"/>
          <w:spacing w:val="-34"/>
        </w:rPr>
        <w:t>日</w:t>
      </w:r>
      <w:r>
        <w:rPr>
          <w:color w:val="auto"/>
        </w:rPr>
        <w:t>（</w:t>
      </w:r>
      <w:r>
        <w:rPr>
          <w:color w:val="auto"/>
          <w:spacing w:val="-3"/>
        </w:rPr>
        <w:t>工作日内）</w:t>
      </w:r>
      <w:r>
        <w:rPr>
          <w:color w:val="auto"/>
        </w:rPr>
        <w:t>上午08∶30—12∶00</w:t>
      </w:r>
      <w:r>
        <w:rPr>
          <w:color w:val="auto"/>
          <w:spacing w:val="-13"/>
        </w:rPr>
        <w:t xml:space="preserve">， 下午 </w:t>
      </w:r>
      <w:r>
        <w:rPr>
          <w:color w:val="auto"/>
        </w:rPr>
        <w:t>14∶</w:t>
      </w:r>
      <w:r>
        <w:rPr>
          <w:rFonts w:hint="eastAsia"/>
          <w:color w:val="auto"/>
          <w:lang w:val="en-US" w:eastAsia="zh-CN"/>
        </w:rPr>
        <w:t>30</w:t>
      </w:r>
      <w:r>
        <w:rPr>
          <w:color w:val="auto"/>
        </w:rPr>
        <w:t>—17∶30（北京时间，法定节假日除外）</w:t>
      </w:r>
      <w:r>
        <w:rPr>
          <w:color w:val="auto"/>
          <w:spacing w:val="-3"/>
        </w:rPr>
        <w:t>，在</w:t>
      </w:r>
      <w:r>
        <w:rPr>
          <w:rFonts w:hint="eastAsia"/>
          <w:color w:val="auto"/>
          <w:spacing w:val="-3"/>
          <w:lang w:eastAsia="zh-CN"/>
        </w:rPr>
        <w:t>江西智杰工程管理有限公司免费领取</w:t>
      </w:r>
      <w:r>
        <w:rPr>
          <w:color w:val="auto"/>
        </w:rPr>
        <w:t>。</w:t>
      </w:r>
    </w:p>
    <w:p>
      <w:pPr>
        <w:pStyle w:val="4"/>
        <w:spacing w:before="122"/>
        <w:ind w:left="930"/>
        <w:rPr>
          <w:color w:val="auto"/>
        </w:rPr>
      </w:pPr>
      <w:r>
        <w:rPr>
          <w:rFonts w:hint="eastAsia"/>
          <w:color w:val="auto"/>
          <w:lang w:eastAsia="zh-CN"/>
        </w:rPr>
        <w:t>报名</w:t>
      </w:r>
      <w:r>
        <w:rPr>
          <w:color w:val="auto"/>
        </w:rPr>
        <w:t>方式：</w:t>
      </w:r>
    </w:p>
    <w:p>
      <w:pPr>
        <w:pStyle w:val="4"/>
        <w:numPr>
          <w:ilvl w:val="0"/>
          <w:numId w:val="2"/>
        </w:numPr>
        <w:spacing w:before="121" w:line="321" w:lineRule="auto"/>
        <w:ind w:left="371" w:right="870" w:rightChars="0" w:firstLine="559"/>
        <w:rPr>
          <w:color w:val="auto"/>
        </w:rPr>
      </w:pPr>
      <w:r>
        <w:rPr>
          <w:color w:val="auto"/>
        </w:rPr>
        <w:t>现场报名：需提交的资料</w:t>
      </w:r>
      <w:r>
        <w:rPr>
          <w:rFonts w:hint="eastAsia"/>
          <w:color w:val="auto"/>
          <w:lang w:eastAsia="zh-CN"/>
        </w:rPr>
        <w:t>，</w:t>
      </w:r>
      <w:r>
        <w:rPr>
          <w:color w:val="auto"/>
        </w:rPr>
        <w:t>营业执照复印件加盖公章、法定代表人授权书原件、本人身份证复印件加盖公章。</w:t>
      </w:r>
    </w:p>
    <w:p>
      <w:pPr>
        <w:pStyle w:val="4"/>
        <w:spacing w:before="47" w:line="321" w:lineRule="auto"/>
        <w:ind w:left="371" w:right="650" w:rightChars="0" w:firstLine="564"/>
        <w:jc w:val="both"/>
        <w:rPr>
          <w:rFonts w:hint="default"/>
          <w:b/>
          <w:bCs/>
          <w:color w:val="auto"/>
          <w:lang w:val="en-US"/>
        </w:rPr>
      </w:pPr>
      <w:r>
        <w:rPr>
          <w:color w:val="auto"/>
        </w:rPr>
        <w:t>2、线上报名：需将供</w:t>
      </w:r>
      <w:r>
        <w:rPr>
          <w:color w:val="auto"/>
          <w:spacing w:val="-9"/>
        </w:rPr>
        <w:t>应商名称、项目名称、项目编号、联系方式、等信息通过电子</w:t>
      </w:r>
      <w:r>
        <w:rPr>
          <w:color w:val="auto"/>
          <w:spacing w:val="-15"/>
        </w:rPr>
        <w:t>邮件发送至</w:t>
      </w:r>
      <w:r>
        <w:rPr>
          <w:rFonts w:hint="eastAsia"/>
          <w:b w:val="0"/>
          <w:bCs w:val="0"/>
          <w:color w:val="auto"/>
          <w:lang w:val="en-US" w:eastAsia="zh-CN"/>
        </w:rPr>
        <w:t>976565193</w:t>
      </w:r>
      <w:r>
        <w:rPr>
          <w:rFonts w:hint="eastAsia"/>
          <w:lang w:val="en-US" w:eastAsia="zh-CN"/>
        </w:rPr>
        <w:t>＠qq.com</w:t>
      </w:r>
      <w:r>
        <w:rPr>
          <w:color w:val="auto"/>
        </w:rPr>
        <w:t>邮箱</w:t>
      </w:r>
    </w:p>
    <w:p>
      <w:pPr>
        <w:pStyle w:val="4"/>
        <w:spacing w:line="348" w:lineRule="auto"/>
        <w:ind w:right="302"/>
      </w:pPr>
      <w:r>
        <w:rPr>
          <w:color w:val="auto"/>
        </w:rPr>
        <w:t>（</w:t>
      </w:r>
      <w:r>
        <w:rPr>
          <w:color w:val="auto"/>
          <w:spacing w:val="-3"/>
        </w:rPr>
        <w:t>七</w:t>
      </w:r>
      <w:r>
        <w:rPr>
          <w:color w:val="auto"/>
          <w:spacing w:val="-22"/>
        </w:rPr>
        <w:t>）</w:t>
      </w:r>
      <w:r>
        <w:rPr>
          <w:color w:val="auto"/>
          <w:spacing w:val="-4"/>
        </w:rPr>
        <w:t>响应截止时间和磋商时间：</w:t>
      </w:r>
      <w:r>
        <w:rPr>
          <w:color w:val="C00000"/>
          <w:spacing w:val="-6"/>
        </w:rPr>
        <w:t>202</w:t>
      </w:r>
      <w:r>
        <w:rPr>
          <w:rFonts w:hint="eastAsia"/>
          <w:color w:val="C00000"/>
          <w:spacing w:val="-6"/>
          <w:lang w:val="en-US" w:eastAsia="zh-CN"/>
        </w:rPr>
        <w:t>2</w:t>
      </w:r>
      <w:r>
        <w:rPr>
          <w:color w:val="C00000"/>
          <w:spacing w:val="-41"/>
        </w:rPr>
        <w:t xml:space="preserve"> 年 </w:t>
      </w:r>
      <w:r>
        <w:rPr>
          <w:rFonts w:hint="eastAsia"/>
          <w:color w:val="C00000"/>
          <w:lang w:val="en-US" w:eastAsia="zh-CN"/>
        </w:rPr>
        <w:t>7</w:t>
      </w:r>
      <w:r>
        <w:rPr>
          <w:color w:val="C00000"/>
          <w:spacing w:val="-41"/>
        </w:rPr>
        <w:t xml:space="preserve">月 </w:t>
      </w:r>
      <w:r>
        <w:rPr>
          <w:rFonts w:hint="eastAsia"/>
          <w:color w:val="C00000"/>
          <w:spacing w:val="-41"/>
          <w:lang w:val="en-US" w:eastAsia="zh-CN"/>
        </w:rPr>
        <w:t>19　</w:t>
      </w:r>
      <w:r>
        <w:rPr>
          <w:color w:val="C00000"/>
          <w:spacing w:val="-41"/>
        </w:rPr>
        <w:t xml:space="preserve">日 </w:t>
      </w:r>
      <w:r>
        <w:rPr>
          <w:color w:val="C00000"/>
          <w:spacing w:val="-6"/>
        </w:rPr>
        <w:t>1</w:t>
      </w:r>
      <w:r>
        <w:rPr>
          <w:rFonts w:hint="eastAsia"/>
          <w:color w:val="C00000"/>
          <w:spacing w:val="-6"/>
          <w:lang w:val="en-US" w:eastAsia="zh-CN"/>
        </w:rPr>
        <w:t>0</w:t>
      </w:r>
      <w:r>
        <w:rPr>
          <w:color w:val="C00000"/>
          <w:spacing w:val="-6"/>
        </w:rPr>
        <w:t>:00（</w:t>
      </w:r>
      <w:r>
        <w:rPr>
          <w:color w:val="C00000"/>
          <w:spacing w:val="-2"/>
        </w:rPr>
        <w:t>北京时间</w:t>
      </w:r>
      <w:r>
        <w:rPr>
          <w:color w:val="auto"/>
          <w:spacing w:val="-22"/>
        </w:rPr>
        <w:t>）</w:t>
      </w:r>
      <w:r>
        <w:rPr>
          <w:color w:val="auto"/>
          <w:spacing w:val="-6"/>
        </w:rPr>
        <w:t xml:space="preserve">。磋商地点： </w:t>
      </w:r>
      <w:r>
        <w:rPr>
          <w:rFonts w:hint="eastAsia"/>
          <w:color w:val="auto"/>
          <w:spacing w:val="-4"/>
          <w:lang w:eastAsia="zh-CN"/>
        </w:rPr>
        <w:t>江西智杰工程管理有限公司</w:t>
      </w:r>
      <w:r>
        <w:rPr>
          <w:color w:val="auto"/>
        </w:rPr>
        <w:t>（</w:t>
      </w:r>
      <w:r>
        <w:rPr>
          <w:rFonts w:hint="eastAsia"/>
          <w:color w:val="auto"/>
          <w:spacing w:val="5"/>
          <w:lang w:eastAsia="zh-CN"/>
        </w:rPr>
        <w:t>全南县新城(信安路)）</w:t>
      </w:r>
      <w:r>
        <w:rPr>
          <w:color w:val="auto"/>
          <w:spacing w:val="-9"/>
        </w:rPr>
        <w:t>。届时请各供应商的响应</w:t>
      </w:r>
      <w:r>
        <w:rPr>
          <w:spacing w:val="-9"/>
        </w:rPr>
        <w:t>代表携带响应文件及响应代表本人身</w:t>
      </w:r>
      <w:r>
        <w:rPr>
          <w:spacing w:val="-5"/>
        </w:rPr>
        <w:t>份证明原件出席开标会，签到时间以递交响应文件及响应代表本人身份证明原件时</w:t>
      </w:r>
      <w:r>
        <w:rPr>
          <w:spacing w:val="-4"/>
        </w:rPr>
        <w:t>间为准，逾期递交响应文件或响应代表本人身份证明原件或递交的响应文件不符合</w:t>
      </w:r>
      <w:r>
        <w:rPr>
          <w:spacing w:val="-3"/>
        </w:rPr>
        <w:t>规定将不予受理，作无效响应处理。</w:t>
      </w:r>
    </w:p>
    <w:p>
      <w:pPr>
        <w:pStyle w:val="4"/>
        <w:spacing w:before="93" w:line="345" w:lineRule="auto"/>
        <w:ind w:right="455"/>
        <w:rPr>
          <w:rFonts w:hint="eastAsia"/>
          <w:b w:val="0"/>
          <w:bCs w:val="0"/>
          <w:color w:val="auto"/>
          <w:spacing w:val="-6"/>
          <w:sz w:val="27"/>
          <w:lang w:eastAsia="zh-CN"/>
        </w:rPr>
      </w:pPr>
      <w:r>
        <w:rPr>
          <w:sz w:val="27"/>
        </w:rPr>
        <w:t>（</w:t>
      </w:r>
      <w:r>
        <w:rPr>
          <w:spacing w:val="-3"/>
          <w:sz w:val="27"/>
        </w:rPr>
        <w:t>八</w:t>
      </w:r>
      <w:r>
        <w:rPr>
          <w:spacing w:val="-15"/>
          <w:sz w:val="27"/>
        </w:rPr>
        <w:t>）</w:t>
      </w:r>
      <w:r>
        <w:rPr>
          <w:spacing w:val="-6"/>
          <w:sz w:val="27"/>
        </w:rPr>
        <w:t>响应保证金：本项目响应保证金金额人民币</w:t>
      </w:r>
      <w:r>
        <w:rPr>
          <w:rFonts w:hint="eastAsia"/>
          <w:spacing w:val="-6"/>
          <w:sz w:val="27"/>
          <w:lang w:eastAsia="zh-CN"/>
        </w:rPr>
        <w:t>：</w:t>
      </w:r>
      <w:r>
        <w:rPr>
          <w:rFonts w:hint="eastAsia"/>
          <w:b w:val="0"/>
          <w:bCs w:val="0"/>
          <w:color w:val="auto"/>
          <w:spacing w:val="-6"/>
          <w:sz w:val="27"/>
          <w:lang w:eastAsia="zh-CN"/>
        </w:rPr>
        <w:t>贰仟捌佰元整（￥2800.00 元），</w:t>
      </w:r>
      <w:r>
        <w:t xml:space="preserve">响应保证金由响应供应商自主选择以支票、汇票、本票或者金融机构、担保机构出具的保函及电汇等非现金形式提交。以电汇等非现金形式提交者，须在响应截止时间前到账，从响应供应商（不得以分支机构等其他名义转入（电汇））的基本账户转入（电汇）政府采购代理机构， </w:t>
      </w:r>
      <w:r>
        <w:rPr>
          <w:spacing w:val="-12"/>
        </w:rPr>
        <w:t>否则响应无效。以金融机构、担保机构出具的保函或以金融机构出具的支票、</w:t>
      </w:r>
      <w:r>
        <w:t>汇票、本票等非现金形式提交者，保函、支票、汇票、本票的原件在开标现场提交，否则响应无效。从响应供应商的基本账户转入（电汇）政府采购代</w:t>
      </w:r>
      <w:r>
        <w:rPr>
          <w:spacing w:val="-1"/>
        </w:rPr>
        <w:t>理机构</w:t>
      </w:r>
      <w:r>
        <w:rPr>
          <w:b/>
        </w:rPr>
        <w:t>（须注明项目编号及用途）</w:t>
      </w:r>
      <w:r>
        <w:rPr>
          <w:spacing w:val="-1"/>
        </w:rPr>
        <w:t>，否则响应无效。</w:t>
      </w:r>
    </w:p>
    <w:p>
      <w:pPr>
        <w:pStyle w:val="4"/>
        <w:spacing w:before="4" w:line="345" w:lineRule="auto"/>
        <w:ind w:left="0" w:leftChars="0" w:right="457" w:firstLine="0" w:firstLineChars="0"/>
      </w:pPr>
      <w:r>
        <w:rPr>
          <w:rFonts w:hint="eastAsia"/>
          <w:lang w:eastAsia="zh-CN"/>
        </w:rPr>
        <w:t>　　</w:t>
      </w:r>
      <w:bookmarkStart w:id="0" w:name="_GoBack"/>
      <w:bookmarkEnd w:id="0"/>
      <w:r>
        <w:t>（九）已购买磋商文件的供应商，在提交响应文件的截止时间一日前，未书面通知采购代理机构而放弃响应的，不得再参加该项目的采购活动。</w:t>
      </w:r>
    </w:p>
    <w:p>
      <w:pPr>
        <w:pStyle w:val="4"/>
        <w:spacing w:before="2" w:line="348" w:lineRule="auto"/>
        <w:ind w:right="457"/>
      </w:pPr>
      <w:r>
        <w:t>（十）采购代理服务费：本项目将向成交供应商收取采购代理服务费，具体收费标准详见磋商文件供应商须知。</w:t>
      </w:r>
    </w:p>
    <w:p>
      <w:pPr>
        <w:pStyle w:val="4"/>
        <w:spacing w:line="345" w:lineRule="auto"/>
        <w:ind w:right="457"/>
      </w:pPr>
      <w:r>
        <w:t>（十一）采购项目落实的政府采购政策：本项目采购将落实小微企业、监狱企业等政府采购政策，具体规定详见磋商文件响应须知。</w:t>
      </w:r>
    </w:p>
    <w:p>
      <w:pPr>
        <w:pStyle w:val="4"/>
        <w:spacing w:before="3"/>
      </w:pPr>
      <w:r>
        <w:t>（十二）联系方法：</w:t>
      </w:r>
    </w:p>
    <w:p>
      <w:pPr>
        <w:pStyle w:val="4"/>
        <w:spacing w:before="153" w:line="345" w:lineRule="auto"/>
        <w:ind w:right="4400" w:rightChars="0"/>
      </w:pPr>
      <w:r>
        <w:t>采购人：</w:t>
      </w:r>
      <w:r>
        <w:rPr>
          <w:rFonts w:hint="eastAsia"/>
          <w:lang w:eastAsia="zh-CN"/>
        </w:rPr>
        <w:t>全南县</w:t>
      </w:r>
      <w:r>
        <w:t>残疾人联合会</w:t>
      </w:r>
    </w:p>
    <w:p>
      <w:pPr>
        <w:pStyle w:val="4"/>
        <w:spacing w:before="153" w:line="345" w:lineRule="auto"/>
        <w:ind w:right="4400" w:rightChars="0"/>
      </w:pPr>
      <w:r>
        <w:t>地址：</w:t>
      </w:r>
      <w:r>
        <w:rPr>
          <w:rFonts w:hint="eastAsia"/>
          <w:lang w:eastAsia="zh-CN"/>
        </w:rPr>
        <w:t>全南县金龙大道18号</w:t>
      </w:r>
    </w:p>
    <w:p>
      <w:pPr>
        <w:pStyle w:val="4"/>
        <w:tabs>
          <w:tab w:val="left" w:pos="3917"/>
        </w:tabs>
        <w:spacing w:before="5" w:line="345" w:lineRule="auto"/>
        <w:ind w:right="4915"/>
      </w:pPr>
      <w:r>
        <w:t>电话：</w:t>
      </w:r>
      <w:r>
        <w:rPr>
          <w:rFonts w:hint="eastAsia"/>
        </w:rPr>
        <w:t>13767755869</w:t>
      </w:r>
      <w:r>
        <w:tab/>
      </w:r>
    </w:p>
    <w:p>
      <w:pPr>
        <w:pStyle w:val="4"/>
        <w:tabs>
          <w:tab w:val="left" w:pos="3917"/>
        </w:tabs>
        <w:spacing w:before="5" w:line="345" w:lineRule="auto"/>
        <w:ind w:right="4915"/>
        <w:rPr>
          <w:spacing w:val="-15"/>
        </w:rPr>
      </w:pPr>
      <w:r>
        <w:t>联</w:t>
      </w:r>
      <w:r>
        <w:rPr>
          <w:spacing w:val="-3"/>
        </w:rPr>
        <w:t>系</w:t>
      </w:r>
      <w:r>
        <w:t>人</w:t>
      </w:r>
      <w:r>
        <w:rPr>
          <w:spacing w:val="-3"/>
        </w:rPr>
        <w:t>：</w:t>
      </w:r>
      <w:r>
        <w:rPr>
          <w:rFonts w:hint="eastAsia"/>
          <w:spacing w:val="-3"/>
          <w:lang w:eastAsia="zh-CN"/>
        </w:rPr>
        <w:t>雷</w:t>
      </w:r>
      <w:r>
        <w:t>先</w:t>
      </w:r>
      <w:r>
        <w:rPr>
          <w:spacing w:val="-15"/>
        </w:rPr>
        <w:t>生</w:t>
      </w:r>
    </w:p>
    <w:p>
      <w:pPr>
        <w:pStyle w:val="4"/>
        <w:tabs>
          <w:tab w:val="left" w:pos="3917"/>
        </w:tabs>
        <w:spacing w:before="5" w:line="345" w:lineRule="auto"/>
        <w:ind w:right="166" w:rightChars="0"/>
        <w:rPr>
          <w:rFonts w:hint="eastAsia" w:eastAsia="宋体"/>
          <w:lang w:eastAsia="zh-CN"/>
        </w:rPr>
      </w:pPr>
      <w:r>
        <w:t>代理</w:t>
      </w:r>
      <w:r>
        <w:rPr>
          <w:spacing w:val="-3"/>
        </w:rPr>
        <w:t>机</w:t>
      </w:r>
      <w:r>
        <w:t>构:</w:t>
      </w:r>
      <w:r>
        <w:rPr>
          <w:rFonts w:hint="eastAsia"/>
          <w:spacing w:val="-3"/>
          <w:lang w:eastAsia="zh-CN"/>
        </w:rPr>
        <w:t>江西智杰工程管理有限公司</w:t>
      </w:r>
    </w:p>
    <w:p>
      <w:pPr>
        <w:pStyle w:val="4"/>
        <w:spacing w:before="153" w:line="345" w:lineRule="auto"/>
        <w:ind w:right="5280" w:rightChars="0"/>
        <w:rPr>
          <w:rFonts w:hint="eastAsia" w:ascii="宋体" w:hAnsi="宋体" w:eastAsia="宋体" w:cs="宋体"/>
        </w:rPr>
      </w:pPr>
      <w:r>
        <w:rPr>
          <w:rFonts w:hint="eastAsia" w:ascii="宋体" w:hAnsi="宋体" w:eastAsia="宋体" w:cs="宋体"/>
        </w:rPr>
        <w:t>地址：全南县新城(信安路)</w:t>
      </w:r>
    </w:p>
    <w:p>
      <w:pPr>
        <w:pStyle w:val="4"/>
        <w:spacing w:before="153" w:line="345" w:lineRule="auto"/>
        <w:ind w:right="6670"/>
        <w:rPr>
          <w:rFonts w:hint="eastAsia" w:ascii="宋体" w:hAnsi="宋体" w:eastAsia="宋体" w:cs="宋体"/>
        </w:rPr>
      </w:pPr>
      <w:r>
        <w:rPr>
          <w:rFonts w:hint="eastAsia" w:ascii="宋体" w:hAnsi="宋体" w:eastAsia="宋体" w:cs="宋体"/>
        </w:rPr>
        <w:t>电话：0797-2636978</w:t>
      </w:r>
    </w:p>
    <w:p>
      <w:pPr>
        <w:pStyle w:val="4"/>
        <w:spacing w:before="153" w:line="345" w:lineRule="auto"/>
        <w:ind w:right="4620" w:rightChars="0"/>
        <w:rPr>
          <w:rFonts w:hint="eastAsia" w:ascii="宋体" w:hAnsi="宋体" w:eastAsia="宋体" w:cs="宋体"/>
        </w:rPr>
      </w:pPr>
      <w:r>
        <w:rPr>
          <w:rFonts w:hint="eastAsia" w:ascii="宋体" w:hAnsi="宋体" w:eastAsia="宋体" w:cs="宋体"/>
        </w:rPr>
        <w:t>邮箱</w:t>
      </w:r>
      <w:r>
        <w:rPr>
          <w:rFonts w:hint="eastAsia" w:ascii="宋体" w:hAnsi="宋体" w:eastAsia="宋体" w:cs="宋体"/>
          <w:lang w:eastAsia="zh-CN"/>
        </w:rPr>
        <w:t>：</w:t>
      </w:r>
      <w:r>
        <w:rPr>
          <w:rFonts w:hint="eastAsia"/>
          <w:b w:val="0"/>
          <w:bCs w:val="0"/>
          <w:color w:val="auto"/>
          <w:lang w:val="en-US" w:eastAsia="zh-CN"/>
        </w:rPr>
        <w:t>976565193</w:t>
      </w:r>
      <w:r>
        <w:rPr>
          <w:rFonts w:hint="eastAsia"/>
          <w:lang w:val="en-US" w:eastAsia="zh-CN"/>
        </w:rPr>
        <w:t>＠qq.com</w:t>
      </w:r>
    </w:p>
    <w:p>
      <w:pPr>
        <w:pStyle w:val="4"/>
        <w:spacing w:before="153" w:line="345" w:lineRule="auto"/>
        <w:ind w:right="6670"/>
        <w:rPr>
          <w:rFonts w:hint="default" w:ascii="宋体" w:hAnsi="宋体" w:eastAsia="宋体" w:cs="宋体"/>
          <w:lang w:val="en-US" w:eastAsia="zh-CN"/>
        </w:rPr>
      </w:pPr>
      <w:r>
        <w:rPr>
          <w:rFonts w:hint="eastAsia" w:ascii="宋体" w:hAnsi="宋体" w:eastAsia="宋体" w:cs="宋体"/>
        </w:rPr>
        <w:t>联系人：</w:t>
      </w:r>
      <w:r>
        <w:rPr>
          <w:rFonts w:hint="eastAsia" w:cs="宋体"/>
          <w:lang w:val="en-US" w:eastAsia="zh-CN"/>
        </w:rPr>
        <w:t>陈运香</w:t>
      </w:r>
    </w:p>
    <w:p>
      <w:pPr>
        <w:pStyle w:val="4"/>
        <w:spacing w:line="345" w:lineRule="auto"/>
        <w:ind w:right="457"/>
        <w:rPr>
          <w:rFonts w:hint="eastAsia" w:ascii="宋体" w:hAnsi="宋体" w:eastAsia="宋体" w:cs="宋体"/>
        </w:rPr>
      </w:pPr>
      <w:r>
        <w:rPr>
          <w:rFonts w:hint="eastAsia" w:ascii="宋体" w:hAnsi="宋体" w:eastAsia="宋体" w:cs="宋体"/>
        </w:rPr>
        <w:t>开户行：江西银行股份有限公司赣州全南支行</w:t>
      </w:r>
    </w:p>
    <w:p>
      <w:pPr>
        <w:pStyle w:val="4"/>
        <w:spacing w:line="345" w:lineRule="auto"/>
        <w:ind w:right="457"/>
        <w:rPr>
          <w:rFonts w:hint="eastAsia" w:ascii="宋体" w:hAnsi="宋体" w:eastAsia="宋体" w:cs="宋体"/>
          <w:lang w:eastAsia="zh-CN"/>
        </w:rPr>
      </w:pPr>
      <w:r>
        <w:rPr>
          <w:rFonts w:hint="eastAsia" w:ascii="宋体" w:hAnsi="宋体" w:eastAsia="宋体" w:cs="宋体"/>
        </w:rPr>
        <w:t>户名：江西智杰工程管理有限</w:t>
      </w:r>
      <w:r>
        <w:rPr>
          <w:rFonts w:hint="eastAsia" w:ascii="宋体" w:hAnsi="宋体" w:eastAsia="宋体" w:cs="宋体"/>
          <w:lang w:eastAsia="zh-CN"/>
        </w:rPr>
        <w:t>公司　　　　　　　　</w:t>
      </w:r>
    </w:p>
    <w:p>
      <w:pPr>
        <w:pStyle w:val="4"/>
        <w:spacing w:before="153" w:line="345" w:lineRule="auto"/>
        <w:ind w:right="5720" w:rightChars="0"/>
      </w:pPr>
      <w:r>
        <w:rPr>
          <w:rFonts w:hint="eastAsia" w:ascii="宋体" w:hAnsi="宋体" w:eastAsia="宋体" w:cs="宋体"/>
        </w:rPr>
        <w:t>账号</w:t>
      </w:r>
      <w:r>
        <w:rPr>
          <w:rFonts w:hint="eastAsia" w:cs="宋体"/>
          <w:lang w:eastAsia="zh-CN"/>
        </w:rPr>
        <w:t>：</w:t>
      </w:r>
      <w:r>
        <w:rPr>
          <w:rFonts w:hint="eastAsia" w:ascii="宋体" w:hAnsi="宋体" w:eastAsia="宋体" w:cs="宋体"/>
        </w:rPr>
        <w:t>797900590200199</w:t>
      </w:r>
    </w:p>
    <w:sectPr>
      <w:footerReference r:id="rId5" w:type="default"/>
      <w:pgSz w:w="11906" w:h="16838"/>
      <w:pgMar w:top="1440" w:right="866" w:bottom="1440" w:left="9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9920605</wp:posOffset>
              </wp:positionV>
              <wp:extent cx="167005" cy="153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3670"/>
                      </a:xfrm>
                      <a:prstGeom prst="rect">
                        <a:avLst/>
                      </a:prstGeom>
                      <a:noFill/>
                      <a:ln>
                        <a:noFill/>
                      </a:ln>
                    </wps:spPr>
                    <wps:txbx>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81.15pt;height:12.1pt;width:13.15pt;mso-position-horizontal-relative:page;mso-position-vertical-relative:page;z-index:-251657216;mso-width-relative:page;mso-height-relative:page;" filled="f" stroked="f" coordsize="21600,21600" o:gfxdata="UEsDBAoAAAAAAIdO4kAAAAAAAAAAAAAAAAAEAAAAZHJzL1BLAwQUAAAACACHTuJAwbvfrtsAAAAN&#10;AQAADwAAAGRycy9kb3ducmV2LnhtbE2Py07DMBBF90j8gzVI7KjdQEIIcSqEYFUJkYYFSyeeJlbj&#10;cYjdB39fdwXLmXt050y5OtmRHXD2xpGE5UIAQ+qcNtRL+Gre73JgPijSanSEEn7Rw6q6vipVod2R&#10;ajxsQs9iCflCSRhCmArOfTegVX7hJqSYbd1sVYjj3HM9q2MstyNPhMi4VYbihUFN+Dpgt9vsrYSX&#10;b6rfzM9H+1lva9M0T4LW2U7K25uleAYW8BT+YLjoR3WoolPr9qQ9GyWkefIQ0RikWXIPLCKZyB+B&#10;tZdVnqXAq5L//6I6A1BLAwQUAAAACACHTuJAvLWrALgBAABxAwAADgAAAGRycy9lMm9Eb2MueG1s&#10;rVPBjtMwEL0j8Q+W7zTpol1Q1HQlVC1CQoC08AGuYzeWbI81dpv0B+APOHHhznf1Oxg7aReWyx64&#10;OOOZ8Zv3np3V7egsOyiMBnzLl4uaM+UldMbvWv7l892L15zFJHwnLHjV8qOK/Hb9/NlqCI26gh5s&#10;p5ARiI/NEFrepxSaqoqyV07EBQTlqagBnUi0xV3VoRgI3dnqqq5vqgGwCwhSxUjZzVTkMyI+BRC0&#10;NlJtQO6d8mlCRWVFIkmxNyHydWGrtZLpo9ZRJWZbTkpTWWkIxdu8VuuVaHYoQm/kTEE8hcIjTU4Y&#10;T0MvUBuRBNuj+QfKGYkQQaeFBFdNQoojpGJZP/LmvhdBFS1kdQwX0+P/g5UfDp+QmY5eAmdeOLrw&#10;0/dvpx+/Tj+/smW2Zwixoa77QH1pfANjbp3zkZJZ9ajR5S/pYVQnc48Xc9WYmMyHbl7V9TVnkkrL&#10;65e0yyjVw+GAMb1V4FgOWo50d8VScXgf09R6bsmzPNwZaykvGuv/ShBmzlSZ+cQwR2ncjjPtLXRH&#10;UmPfeXIyv4pzgOdgew72Ac2uJzpFc4Gkmyi851eTr/rPfRn8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u9+u2wAAAA0BAAAPAAAAAAAAAAEAIAAAACIAAABkcnMvZG93bnJldi54bWxQSwEC&#10;FAAUAAAACACHTuJAvLWrALgBAABxAwAADgAAAAAAAAABACAAAAAqAQAAZHJzL2Uyb0RvYy54bWxQ&#10;SwUGAAAAAAYABgBZAQAAVAUAAAAA&#10;">
              <v:fill on="f" focussize="0,0"/>
              <v:stroke on="f"/>
              <v:imagedata o:title=""/>
              <o:lock v:ext="edit" aspectratio="f"/>
              <v:textbox inset="0mm,0mm,0mm,0mm">
                <w:txbxContent>
                  <w:p>
                    <w:pPr>
                      <w:spacing w:before="14"/>
                      <w:ind w:left="40" w:right="0" w:firstLine="0"/>
                      <w:jc w:val="left"/>
                      <w:rPr>
                        <w:rFonts w:ascii="Times New Roman"/>
                        <w:sz w:val="18"/>
                      </w:rPr>
                    </w:pPr>
                    <w:r>
                      <w:fldChar w:fldCharType="begin"/>
                    </w:r>
                    <w:r>
                      <w:rPr>
                        <w:rFonts w:ascii="Times New Roman"/>
                        <w:sz w:val="18"/>
                      </w:rPr>
                      <w:instrText xml:space="preserve"> PAGE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437D"/>
    <w:multiLevelType w:val="singleLevel"/>
    <w:tmpl w:val="A401437D"/>
    <w:lvl w:ilvl="0" w:tentative="0">
      <w:start w:val="1"/>
      <w:numFmt w:val="decimal"/>
      <w:suff w:val="nothing"/>
      <w:lvlText w:val="%1、"/>
      <w:lvlJc w:val="left"/>
    </w:lvl>
  </w:abstractNum>
  <w:abstractNum w:abstractNumId="1">
    <w:nsid w:val="A78C74AF"/>
    <w:multiLevelType w:val="singleLevel"/>
    <w:tmpl w:val="A78C74AF"/>
    <w:lvl w:ilvl="0" w:tentative="0">
      <w:start w:val="5"/>
      <w:numFmt w:val="chineseCounting"/>
      <w:suff w:val="nothing"/>
      <w:lvlText w:val="（%1）"/>
      <w:lvlJc w:val="left"/>
      <w:pPr>
        <w:ind w:left="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mI4N2U2YWVkYjNjMDE4MTFiMzkwNTQ1NTU2YzEifQ=="/>
  </w:docVars>
  <w:rsids>
    <w:rsidRoot w:val="00000000"/>
    <w:rsid w:val="0345398C"/>
    <w:rsid w:val="0E3D30A6"/>
    <w:rsid w:val="1131366D"/>
    <w:rsid w:val="130D3C66"/>
    <w:rsid w:val="15877D00"/>
    <w:rsid w:val="1EFC3F09"/>
    <w:rsid w:val="2694227D"/>
    <w:rsid w:val="46A76FB3"/>
    <w:rsid w:val="58160494"/>
    <w:rsid w:val="727E6F0A"/>
    <w:rsid w:val="7BA2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5"/>
    <w:basedOn w:val="1"/>
    <w:next w:val="1"/>
    <w:qFormat/>
    <w:uiPriority w:val="1"/>
    <w:pPr>
      <w:ind w:left="1058"/>
      <w:outlineLvl w:val="5"/>
    </w:pPr>
    <w:rPr>
      <w:rFonts w:ascii="宋体" w:hAnsi="宋体" w:eastAsia="宋体" w:cs="宋体"/>
      <w:b/>
      <w:bCs/>
      <w:sz w:val="24"/>
      <w:szCs w:val="24"/>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kern w:val="2"/>
      <w:sz w:val="21"/>
      <w:szCs w:val="24"/>
    </w:rPr>
  </w:style>
  <w:style w:type="paragraph" w:styleId="4">
    <w:name w:val="Body Text"/>
    <w:basedOn w:val="1"/>
    <w:qFormat/>
    <w:uiPriority w:val="1"/>
    <w:pPr>
      <w:ind w:left="540"/>
    </w:pPr>
    <w:rPr>
      <w:rFonts w:ascii="宋体" w:hAnsi="宋体" w:eastAsia="宋体" w:cs="宋体"/>
      <w:sz w:val="27"/>
      <w:szCs w:val="27"/>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lang w:val="zh-CN" w:eastAsia="zh-CN" w:bidi="zh-CN"/>
    </w:rPr>
  </w:style>
  <w:style w:type="paragraph" w:styleId="9">
    <w:name w:val="List Paragraph"/>
    <w:basedOn w:val="1"/>
    <w:qFormat/>
    <w:uiPriority w:val="1"/>
    <w:pPr>
      <w:ind w:left="817" w:hanging="705"/>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1094</Words>
  <Characters>1247</Characters>
  <Lines>0</Lines>
  <Paragraphs>0</Paragraphs>
  <TotalTime>1</TotalTime>
  <ScaleCrop>false</ScaleCrop>
  <LinksUpToDate>false</LinksUpToDate>
  <CharactersWithSpaces>1293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ャ.　怪胎ぐ</cp:lastModifiedBy>
  <dcterms:modified xsi:type="dcterms:W3CDTF">2022-07-08T09:50:19Z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57E848F7E3254F78BA1238EB4A42D1CA</vt:lpwstr>
  </property>
</Properties>
</file>