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82" w:rsidRPr="000A6E82" w:rsidRDefault="000A6E82" w:rsidP="000A6E82">
      <w:pPr>
        <w:spacing w:line="360" w:lineRule="auto"/>
        <w:jc w:val="center"/>
        <w:rPr>
          <w:b/>
          <w:sz w:val="32"/>
          <w:szCs w:val="32"/>
        </w:rPr>
      </w:pPr>
      <w:r w:rsidRPr="000A6E82">
        <w:rPr>
          <w:rFonts w:hint="eastAsia"/>
          <w:b/>
          <w:sz w:val="32"/>
          <w:szCs w:val="32"/>
        </w:rPr>
        <w:t>吉林（中国—新加坡）食品区</w:t>
      </w:r>
      <w:r w:rsidRPr="000A6E82">
        <w:rPr>
          <w:b/>
          <w:sz w:val="32"/>
          <w:szCs w:val="32"/>
        </w:rPr>
        <w:t>2022</w:t>
      </w:r>
      <w:r w:rsidRPr="000A6E82">
        <w:rPr>
          <w:rFonts w:hint="eastAsia"/>
          <w:b/>
          <w:sz w:val="32"/>
          <w:szCs w:val="32"/>
        </w:rPr>
        <w:t>年岔路河镇高标准农田建设项目勘察设计</w:t>
      </w:r>
    </w:p>
    <w:p w:rsidR="000A6E82" w:rsidRPr="000A6E82" w:rsidRDefault="000A6E82" w:rsidP="000A6E82">
      <w:pPr>
        <w:spacing w:line="360" w:lineRule="auto"/>
        <w:jc w:val="center"/>
        <w:rPr>
          <w:b/>
          <w:sz w:val="32"/>
          <w:szCs w:val="32"/>
        </w:rPr>
      </w:pPr>
      <w:r w:rsidRPr="000A6E82">
        <w:rPr>
          <w:rFonts w:hint="eastAsia"/>
          <w:b/>
          <w:sz w:val="32"/>
          <w:szCs w:val="32"/>
        </w:rPr>
        <w:t>招标公告（资格后审）</w:t>
      </w:r>
    </w:p>
    <w:p w:rsidR="000A6E82" w:rsidRPr="000A6E82" w:rsidRDefault="000A6E82" w:rsidP="000A6E82">
      <w:pPr>
        <w:pStyle w:val="2"/>
        <w:spacing w:line="360" w:lineRule="auto"/>
        <w:rPr>
          <w:sz w:val="24"/>
        </w:rPr>
      </w:pP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0" w:name="_Toc107238738"/>
      <w:r w:rsidRPr="000A6E82">
        <w:rPr>
          <w:rFonts w:ascii="宋体" w:eastAsia="宋体" w:hAnsi="宋体" w:cs="宋体" w:hint="eastAsia"/>
          <w:b/>
          <w:sz w:val="24"/>
          <w:szCs w:val="24"/>
        </w:rPr>
        <w:t>一、招标条件</w:t>
      </w:r>
      <w:bookmarkEnd w:id="0"/>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本招标项目</w:t>
      </w:r>
      <w:r w:rsidRPr="000A6E82">
        <w:rPr>
          <w:rFonts w:ascii="宋体" w:hAnsi="宋体" w:cs="宋体" w:hint="eastAsia"/>
          <w:sz w:val="24"/>
          <w:u w:val="single"/>
        </w:rPr>
        <w:t xml:space="preserve">吉林（中国—新加坡）食品区2022年岔路河镇高标准农田建设项目勘察设计 </w:t>
      </w:r>
      <w:r w:rsidRPr="000A6E82">
        <w:rPr>
          <w:rFonts w:ascii="宋体" w:hAnsi="宋体" w:cs="宋体" w:hint="eastAsia"/>
          <w:sz w:val="24"/>
        </w:rPr>
        <w:t>根据吉林市农业农村局以吉市农函【2022】55号。项目业主为</w:t>
      </w:r>
      <w:r w:rsidRPr="000A6E82">
        <w:rPr>
          <w:rFonts w:ascii="宋体" w:hAnsi="宋体" w:cs="宋体" w:hint="eastAsia"/>
          <w:sz w:val="24"/>
          <w:u w:val="single"/>
        </w:rPr>
        <w:t>吉林（中国—新加坡）食品区管理委员会</w:t>
      </w:r>
      <w:r w:rsidRPr="000A6E82">
        <w:rPr>
          <w:rFonts w:ascii="宋体" w:hAnsi="宋体" w:cs="宋体" w:hint="eastAsia"/>
          <w:sz w:val="24"/>
        </w:rPr>
        <w:t>，招标代理机构为</w:t>
      </w:r>
      <w:r w:rsidRPr="000A6E82">
        <w:rPr>
          <w:rFonts w:ascii="宋体" w:hAnsi="宋体" w:cs="宋体" w:hint="eastAsia"/>
          <w:sz w:val="24"/>
          <w:u w:val="single"/>
        </w:rPr>
        <w:t>吉林中鹏建设项目管理有限公司</w:t>
      </w:r>
      <w:r w:rsidRPr="000A6E82">
        <w:rPr>
          <w:rFonts w:ascii="宋体" w:hAnsi="宋体" w:cs="宋体" w:hint="eastAsia"/>
          <w:sz w:val="24"/>
        </w:rPr>
        <w:t>，建设资金为</w:t>
      </w:r>
      <w:r w:rsidRPr="000A6E82">
        <w:rPr>
          <w:rFonts w:ascii="宋体" w:hAnsi="宋体" w:cs="宋体" w:hint="eastAsia"/>
          <w:sz w:val="24"/>
          <w:u w:val="single"/>
        </w:rPr>
        <w:t>财政资金</w:t>
      </w:r>
      <w:r w:rsidRPr="000A6E82">
        <w:rPr>
          <w:rFonts w:ascii="宋体" w:hAnsi="宋体" w:cs="宋体" w:hint="eastAsia"/>
          <w:sz w:val="24"/>
        </w:rPr>
        <w:t>，项目出资比例为</w:t>
      </w:r>
      <w:r w:rsidRPr="000A6E82">
        <w:rPr>
          <w:rFonts w:ascii="宋体" w:hAnsi="宋体" w:cs="宋体" w:hint="eastAsia"/>
          <w:sz w:val="24"/>
          <w:u w:val="single"/>
        </w:rPr>
        <w:t>100%</w:t>
      </w:r>
      <w:r w:rsidRPr="000A6E82">
        <w:rPr>
          <w:rFonts w:ascii="宋体" w:hAnsi="宋体" w:cs="宋体" w:hint="eastAsia"/>
          <w:sz w:val="24"/>
        </w:rPr>
        <w:t>。项目已具备招标条件，现对该项目采用资格后审方式进行公开招标。</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1" w:name="_Toc107238739"/>
      <w:r w:rsidRPr="000A6E82">
        <w:rPr>
          <w:rFonts w:ascii="宋体" w:eastAsia="宋体" w:hAnsi="宋体" w:cs="宋体" w:hint="eastAsia"/>
          <w:b/>
          <w:sz w:val="24"/>
          <w:szCs w:val="24"/>
        </w:rPr>
        <w:t>二、项目概况与招标范围</w:t>
      </w:r>
      <w:bookmarkEnd w:id="1"/>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2.1项目名称及编号</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项目名称：吉林（中国—新加坡）食品区2022年岔路河镇高标准农田建设项目勘察设计</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项目编号：20220629G0139</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2.2建设地点：中新食品区岔路河镇；</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2.3招标内容及范围：项目勘察设计建议书、可行性研究报告、初步设计与概算、勘察、年度计划编制、施工图设计与预算、相关咨询及设计的汇总上报，设计文件审查期间、财政评审期间、施工期间、竣工验收及后评价等各阶段的服务工作。（甲方视实际情况自行确定设计范围）。</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2.4招标控制价：费率招标，不超过总投资的2.4%；</w:t>
      </w:r>
    </w:p>
    <w:p w:rsidR="000A6E82" w:rsidRPr="000A6E82" w:rsidRDefault="000A6E82" w:rsidP="000A6E82">
      <w:pPr>
        <w:pStyle w:val="a3"/>
        <w:spacing w:after="0" w:line="360" w:lineRule="auto"/>
        <w:ind w:firstLineChars="200" w:firstLine="480"/>
        <w:rPr>
          <w:rFonts w:ascii="宋体" w:hAnsi="宋体" w:cs="宋体"/>
          <w:color w:val="000000" w:themeColor="text1"/>
          <w:sz w:val="24"/>
        </w:rPr>
      </w:pPr>
      <w:r w:rsidRPr="000A6E82">
        <w:rPr>
          <w:rFonts w:ascii="宋体" w:hAnsi="宋体" w:cs="宋体" w:hint="eastAsia"/>
          <w:color w:val="000000" w:themeColor="text1"/>
          <w:sz w:val="24"/>
        </w:rPr>
        <w:t>2.5服务周期为：招标人下达任务后10天内完成，具体根据业主要求和工程进度提交；</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2.6质量要求：符合《高标准农田建设通则》（GB/T30600-2014）及国家、吉林省关于高标准农田建设的有关规定。</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2" w:name="_Toc107238740"/>
      <w:r w:rsidRPr="000A6E82">
        <w:rPr>
          <w:rFonts w:ascii="宋体" w:eastAsia="宋体" w:hAnsi="宋体" w:cs="宋体" w:hint="eastAsia"/>
          <w:b/>
          <w:sz w:val="24"/>
          <w:szCs w:val="24"/>
        </w:rPr>
        <w:t>三、投标人资格要求</w:t>
      </w:r>
      <w:bookmarkEnd w:id="2"/>
    </w:p>
    <w:p w:rsidR="000A6E82" w:rsidRPr="000A6E82" w:rsidRDefault="000A6E82" w:rsidP="000A6E82">
      <w:pPr>
        <w:pStyle w:val="a3"/>
        <w:spacing w:after="0" w:line="360" w:lineRule="auto"/>
        <w:ind w:firstLineChars="200" w:firstLine="480"/>
        <w:rPr>
          <w:sz w:val="24"/>
        </w:rPr>
      </w:pPr>
      <w:r w:rsidRPr="000A6E82">
        <w:rPr>
          <w:rFonts w:ascii="宋体" w:hAnsi="宋体" w:cs="宋体" w:hint="eastAsia"/>
          <w:sz w:val="24"/>
        </w:rPr>
        <w:t>3.1本项目</w:t>
      </w:r>
      <w:r w:rsidRPr="000A6E82">
        <w:rPr>
          <w:rFonts w:hint="eastAsia"/>
          <w:sz w:val="24"/>
        </w:rPr>
        <w:t>投标申请人须</w:t>
      </w:r>
      <w:r w:rsidRPr="000A6E82">
        <w:rPr>
          <w:rFonts w:ascii="宋体" w:hAnsi="宋体" w:cs="宋体" w:hint="eastAsia"/>
          <w:sz w:val="24"/>
        </w:rPr>
        <w:t>具有以下资质：测绘应具有国家测绘地理信息局核发的测绘乙级及以上资质；勘察设计应同时具有岩土工程勘察专业类丙级及以上</w:t>
      </w:r>
      <w:r w:rsidRPr="000A6E82">
        <w:rPr>
          <w:rFonts w:ascii="宋体" w:hAnsi="宋体" w:cs="宋体" w:hint="eastAsia"/>
          <w:sz w:val="24"/>
        </w:rPr>
        <w:lastRenderedPageBreak/>
        <w:t>资质和水利工程设计专业资质乙级及以上资质</w:t>
      </w:r>
      <w:r w:rsidRPr="000A6E82">
        <w:rPr>
          <w:rFonts w:hint="eastAsia"/>
          <w:sz w:val="24"/>
        </w:rPr>
        <w:t>，并在人员、设备、资金等方面具有相应的能力。</w:t>
      </w:r>
    </w:p>
    <w:p w:rsidR="000A6E82" w:rsidRPr="000A6E82" w:rsidRDefault="000A6E82" w:rsidP="000A6E82">
      <w:pPr>
        <w:pStyle w:val="a3"/>
        <w:spacing w:after="0" w:line="360" w:lineRule="auto"/>
        <w:ind w:firstLineChars="200" w:firstLine="480"/>
        <w:rPr>
          <w:sz w:val="24"/>
        </w:rPr>
      </w:pPr>
      <w:r w:rsidRPr="000A6E82">
        <w:rPr>
          <w:rFonts w:ascii="宋体" w:hAnsi="宋体" w:cs="宋体" w:hint="eastAsia"/>
          <w:sz w:val="24"/>
        </w:rPr>
        <w:t>3.2本次招标不接受联合体投标。</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3.3外省入吉建筑企业应按照吉林省相关文件要求办理企业信息登记。</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3.4拒绝列入政府取消投标资格期间的企业或个人投标。</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3.5 投标人拟派出的项目负责人由设计负责人担任，须具备相关专业高级职称，并具有5年以上设计经验；项目负责人（设计负责人）未经招标人允许不得更换，提供2021年7月至今任意一个月的缴纳社会保险证明材料。</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3.6近三年（2019年、2020、2021年）财务状况良好。（新成立不足三年的企业需提供自成立之日起至2021年12月31日的财务审计报告复印件，如公司为2021年12月31日以后成立的公司需提供成立之日起至今公司财务状况良好的承诺书）。</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3.7本项目不接受被列入“信用中国”网站(www.creditchina.gov.cn)中失信被执行人、重大税收违法案件当事人名单、全国建筑市场监管公共服务平台（http://jzsc.mohurd.gov.cn/asite/jsbpp/index）中不良行为记录、黑名单记录的企业或个人参与投标。</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3.8近三年内投标人或其法定代表人、拟委托的项目负责人未在“中国裁判文书网”（https://wenshu.court.gov.cn/）上有行贿犯罪行为。</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3.9与招标人存在利害关系可能影响招标公正性的法人、其他组织或者个人，不得参加投标。单位负责人为同一人或者控股、管理关系的不同单位，不得参加同一标段投标或者未划分标段的同一招标项目投标。违反这两款规定的，相关投标均无效。</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3.10投标人的信息核查：对投标企业有以行贿谋取中标、相互串通投标和以他人名义投标等方式弄虚作假骗取中标的，一经发现，依法严处，建设行政主管部门依法做出相应处罚，并将其计入信用等级评价结果，列入黑名单。招标人有权核查投标人在投标文件中提供的材料，若在评标期间发现投标人提供了虚假资料，评标委员会有权否决其投标；若在中标结果公示期间发现中标候选人提供了虚假材料，招标人有权取消其中标候选人资格；若在合同实施期间发现投标人提供了虚假材料，招标人有权扣除履约保证金作为违约金。同时招标人将投标人</w:t>
      </w:r>
      <w:r w:rsidRPr="000A6E82">
        <w:rPr>
          <w:rFonts w:ascii="宋体" w:hAnsi="宋体" w:cs="宋体" w:hint="eastAsia"/>
          <w:sz w:val="24"/>
        </w:rPr>
        <w:lastRenderedPageBreak/>
        <w:t>的弄虚作假行为上报省、市级建设主管部门。弄虚作假行为，一经发现将依据《中华人民共和国招标投标法实施条例》第六十八条进行处理。</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3.11各标段投标申请人须完成吉林省农业农村厅下发的《关于收集参与吉林省高标准农田建设项目有关单位信息的通告》的证明材料（企业报送信息邮箱截图）。</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3" w:name="_Toc107238741"/>
      <w:r w:rsidRPr="000A6E82">
        <w:rPr>
          <w:rFonts w:ascii="宋体" w:eastAsia="宋体" w:hAnsi="宋体" w:cs="宋体" w:hint="eastAsia"/>
          <w:b/>
          <w:sz w:val="24"/>
          <w:szCs w:val="24"/>
        </w:rPr>
        <w:t>四、招标文件的获取</w:t>
      </w:r>
      <w:bookmarkStart w:id="4" w:name="_GoBack"/>
      <w:bookmarkEnd w:id="3"/>
      <w:bookmarkEnd w:id="4"/>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4.1凡有意参加投标者，请于2022年7月07日上午08:00至2022年7月14日下午16:00前，通过CA锁在网上下载招标文件及其他资料(网址为ggzy.jlcity.gov.cn)。未在吉林市公共资源交易平台系统注册并办理CA锁的投标人，请参照《系统企业库入库及CA证书办理流程》，到吉林市公共资源交易中心办理(入库注册电话：0432-64820009、CA证书办理电话：0432-63688340)，详见吉林市公共资源交易网“办事指南”网址ggzy.jlcity.gov.cn)。</w:t>
      </w:r>
    </w:p>
    <w:p w:rsidR="000A6E82" w:rsidRPr="000A6E82" w:rsidRDefault="000A6E82" w:rsidP="000A6E82">
      <w:pPr>
        <w:pStyle w:val="a3"/>
        <w:spacing w:after="0" w:line="360" w:lineRule="auto"/>
        <w:ind w:firstLineChars="200" w:firstLine="480"/>
        <w:jc w:val="left"/>
        <w:rPr>
          <w:rFonts w:ascii="宋体" w:hAnsi="宋体" w:cs="宋体"/>
          <w:sz w:val="24"/>
        </w:rPr>
      </w:pPr>
      <w:r w:rsidRPr="000A6E82">
        <w:rPr>
          <w:rFonts w:ascii="宋体" w:hAnsi="宋体" w:cs="宋体" w:hint="eastAsia"/>
          <w:sz w:val="24"/>
        </w:rPr>
        <w:t>4.2投标人可在招标文件获取的时间内通过CA锁在“吉林市公共资源交易平台”免费下载招标文件及相关资料。吉林市公共资源交易平台技术支持电话:0432-63688321。</w:t>
      </w:r>
    </w:p>
    <w:p w:rsidR="000A6E82" w:rsidRPr="000A6E82" w:rsidRDefault="000A6E82" w:rsidP="000A6E82">
      <w:pPr>
        <w:pStyle w:val="a3"/>
        <w:spacing w:after="0" w:line="360" w:lineRule="auto"/>
        <w:ind w:firstLineChars="200" w:firstLine="480"/>
        <w:jc w:val="left"/>
        <w:rPr>
          <w:rFonts w:ascii="宋体" w:hAnsi="宋体" w:cs="宋体"/>
          <w:sz w:val="24"/>
        </w:rPr>
      </w:pPr>
      <w:r w:rsidRPr="000A6E82">
        <w:rPr>
          <w:rFonts w:ascii="宋体" w:hAnsi="宋体" w:cs="宋体" w:hint="eastAsia"/>
          <w:sz w:val="24"/>
        </w:rPr>
        <w:t>4.3本工程招标文件的质疑、澄清、修改、补充等内容在吉林市公共资源交易网(网址:ggzy.jlcity.gov.cn)上发布信息向所有投标人公布。</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5" w:name="_Toc107238742"/>
      <w:r w:rsidRPr="000A6E82">
        <w:rPr>
          <w:rFonts w:ascii="宋体" w:eastAsia="宋体" w:hAnsi="宋体" w:cs="宋体" w:hint="eastAsia"/>
          <w:b/>
          <w:sz w:val="24"/>
          <w:szCs w:val="24"/>
        </w:rPr>
        <w:t>五、投标文件的递交</w:t>
      </w:r>
      <w:bookmarkEnd w:id="5"/>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5.1投标文件递交的截止时间(投标截止时间，下同)2022年7月27日09时30分,投标文件在吉林市公共资源交易网(网址:ggzy.jlcity.gov.cn)上直接提交。</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5.2逾期未上传的投标文件，招标人不予受理。</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5.3.1投标保证金：投标申请人在提交投标文件时，需按照有关规定提供人民币0.75万元保证金，保证金必须从申请人基本账户转出，保证金交纳银行：吉林环城农村商业银行股份有限公司政务服务中心支行；账户名称：吉林中鹏建设项目管理有限公司；账号：0720 6220 1101 5200 0068 13。</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5.3.2投标保函 投标人可采用吉林市公共资源交易平台嵌入的电子保函服务功能，具体操作使用方法详见《吉林市公共资源交易中心关于实行投标保证保险电子保函系统的通知》中的文件附件3《吉林市投标保证保险投保人（投标人）</w:t>
      </w:r>
      <w:r w:rsidRPr="000A6E82">
        <w:rPr>
          <w:rFonts w:ascii="宋体" w:hAnsi="宋体" w:cs="宋体" w:hint="eastAsia"/>
          <w:sz w:val="24"/>
        </w:rPr>
        <w:lastRenderedPageBreak/>
        <w:t>操作手册》（下载地址：吉林市公共资源交易网首页——通知公告——2020年10月9日发布的通知）。如采用此种方式，建议在递交投标保证金截止日前24小时进行投保，保费应通过投保人（投标人）基本帐户进行支付。</w:t>
      </w:r>
    </w:p>
    <w:p w:rsidR="000A6E82" w:rsidRPr="000A6E82" w:rsidRDefault="000A6E82" w:rsidP="000A6E82">
      <w:pPr>
        <w:pStyle w:val="a3"/>
        <w:spacing w:line="360" w:lineRule="auto"/>
        <w:ind w:firstLineChars="200" w:firstLine="480"/>
        <w:rPr>
          <w:rFonts w:ascii="宋体" w:hAnsi="宋体" w:cs="宋体"/>
          <w:sz w:val="24"/>
        </w:rPr>
      </w:pPr>
      <w:r w:rsidRPr="000A6E82">
        <w:rPr>
          <w:rFonts w:ascii="宋体" w:hAnsi="宋体" w:cs="宋体" w:hint="eastAsia"/>
          <w:sz w:val="24"/>
        </w:rPr>
        <w:t>5.4到投标截止时间有效投标人少于三个的，招标人重新组织招标。</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5.5当投标人的有效投标报价超出招标人设定的投标最高限价时，该投标报价视为无效报价。</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6" w:name="_Toc107238743"/>
      <w:r w:rsidRPr="000A6E82">
        <w:rPr>
          <w:rFonts w:ascii="宋体" w:eastAsia="宋体" w:hAnsi="宋体" w:cs="宋体" w:hint="eastAsia"/>
          <w:b/>
          <w:sz w:val="24"/>
          <w:szCs w:val="24"/>
        </w:rPr>
        <w:t>六、发布公告的媒介</w:t>
      </w:r>
      <w:bookmarkEnd w:id="6"/>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本次招标公告同时在吉林市公共资源交易网（ggzy.jlcity.gov.cn）同步推送至吉林省公共资源交易信息网、中国招标投标公共服务平台、中国政府采购网上发布。</w:t>
      </w:r>
    </w:p>
    <w:p w:rsidR="000A6E82" w:rsidRPr="000A6E82" w:rsidRDefault="000A6E82" w:rsidP="000A6E82">
      <w:pPr>
        <w:pStyle w:val="20"/>
        <w:keepNext w:val="0"/>
        <w:snapToGrid w:val="0"/>
        <w:spacing w:before="0" w:after="0" w:line="360" w:lineRule="auto"/>
        <w:jc w:val="left"/>
        <w:rPr>
          <w:rFonts w:ascii="宋体" w:eastAsia="宋体" w:hAnsi="宋体" w:cs="宋体"/>
          <w:b/>
          <w:sz w:val="24"/>
          <w:szCs w:val="24"/>
        </w:rPr>
      </w:pPr>
      <w:bookmarkStart w:id="7" w:name="_Toc107238744"/>
      <w:r w:rsidRPr="000A6E82">
        <w:rPr>
          <w:rFonts w:ascii="宋体" w:eastAsia="宋体" w:hAnsi="宋体" w:cs="宋体" w:hint="eastAsia"/>
          <w:b/>
          <w:sz w:val="24"/>
          <w:szCs w:val="24"/>
        </w:rPr>
        <w:t>七、联系方式</w:t>
      </w:r>
      <w:bookmarkEnd w:id="7"/>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 xml:space="preserve">招标人：吉林（中国—新加坡）食品区管理委员会 </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地址： 吉林市中新食品区</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 xml:space="preserve">联系人：李克明   </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联系电话：0432- 64110988</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招标代理机构：吉林中鹏建设项目管理有限公司</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地址：吉林省吉林市昌邑区四川街149号铁建丽苑小区4号楼5号网点</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联系人：董元明</w:t>
      </w:r>
    </w:p>
    <w:p w:rsidR="000A6E82" w:rsidRPr="000A6E82" w:rsidRDefault="000A6E82" w:rsidP="000A6E82">
      <w:pPr>
        <w:pStyle w:val="a3"/>
        <w:spacing w:after="0" w:line="360" w:lineRule="auto"/>
        <w:ind w:firstLineChars="200" w:firstLine="480"/>
        <w:rPr>
          <w:rFonts w:ascii="宋体" w:hAnsi="宋体" w:cs="宋体"/>
          <w:sz w:val="24"/>
        </w:rPr>
      </w:pPr>
      <w:r w:rsidRPr="000A6E82">
        <w:rPr>
          <w:rFonts w:ascii="宋体" w:hAnsi="宋体" w:cs="宋体" w:hint="eastAsia"/>
          <w:sz w:val="24"/>
        </w:rPr>
        <w:t>联系电话：0432-68077899</w:t>
      </w:r>
    </w:p>
    <w:p w:rsidR="000A6E82" w:rsidRPr="000A6E82" w:rsidRDefault="000A6E82" w:rsidP="000A6E82">
      <w:pPr>
        <w:spacing w:line="360" w:lineRule="auto"/>
        <w:rPr>
          <w:rFonts w:ascii="宋体" w:hAnsi="宋体" w:cs="宋体"/>
          <w:sz w:val="24"/>
        </w:rPr>
      </w:pPr>
    </w:p>
    <w:p w:rsidR="000A6E82" w:rsidRPr="000A6E82" w:rsidRDefault="000A6E82" w:rsidP="000A6E82">
      <w:pPr>
        <w:pStyle w:val="2"/>
        <w:spacing w:line="360" w:lineRule="auto"/>
        <w:rPr>
          <w:sz w:val="24"/>
        </w:rPr>
      </w:pPr>
      <w:r w:rsidRPr="000A6E82">
        <w:rPr>
          <w:rFonts w:ascii="宋体" w:hAnsi="宋体" w:cs="宋体" w:hint="eastAsia"/>
          <w:sz w:val="24"/>
        </w:rPr>
        <w:t>行政监管部门：吉林市农业农村局</w:t>
      </w:r>
    </w:p>
    <w:p w:rsidR="000A6E82" w:rsidRPr="000A6E82" w:rsidRDefault="000A6E82" w:rsidP="000A6E82">
      <w:pPr>
        <w:pStyle w:val="2"/>
        <w:spacing w:after="0" w:line="360" w:lineRule="auto"/>
        <w:rPr>
          <w:sz w:val="24"/>
        </w:rPr>
      </w:pPr>
      <w:r w:rsidRPr="000A6E82">
        <w:rPr>
          <w:rFonts w:hint="eastAsia"/>
          <w:sz w:val="24"/>
        </w:rPr>
        <w:t>注：吉林市公共资源交易活动疫情常态化防控须知</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1.开标地点：吉林市解放西路16号吉林市公共资源交易中心。</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2.中心入口：</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2.1行业监督管理部门人员、招标人（采购人）、投标人（供应商）及代理机构人员从市公共资源交易中心楼后(农林街方向)东侧楼门进入，电梯直达七楼开标室。</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lastRenderedPageBreak/>
        <w:t>2.2 业主专家和评审专家从市公共资源交易中心楼后(解放大路方向)西侧专家通道楼门进入评标区，其余人员从市政务服务中心前门进入。</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3.招标人（采购人）原则上限派一人（携带本人身份证原件）参加开标活动，不戴口罩、发热人员不得进入交易中心，从重点防控区域或国外归来隔离时间不到14天的人员也不得进入交易中心（持3日内核酸检测报告合格的除外）。前述不得进入交易中心的人员可授权委托其他人员参加开标活动。</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4.行业监督管理部门和代理机构人员进入现场不得超过两人，代理机构人员进入评标区原则上限制一人。</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5.参与开标活动的所有人员应提前下载安装注册“吉事办”APP小程序（未提前准备好的可在市政务服务中心门前下载“吉事办”APP小程序，但因下载注册“吉事办”而错过开标时间的后果自行承担），扫码、测温正常后方可进入公共资源交易中心。</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6.业主专家和评审专家参加评审时必须全程佩戴口罩，发热人员严禁参加公共资源交易评审活动。</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7.招标人（采购人）参加开标活动结束后，从市政务服务中心前门离开。投标人（供应商）在网上查看评标结果。</w:t>
      </w:r>
    </w:p>
    <w:p w:rsidR="000A6E82" w:rsidRPr="000A6E82" w:rsidRDefault="000A6E82" w:rsidP="000A6E82">
      <w:pPr>
        <w:widowControl/>
        <w:shd w:val="clear" w:color="auto" w:fill="FFFFFF"/>
        <w:wordWrap w:val="0"/>
        <w:spacing w:before="156" w:line="360" w:lineRule="auto"/>
        <w:ind w:firstLine="630"/>
        <w:rPr>
          <w:rFonts w:ascii="宋体" w:hAnsi="宋体" w:cs="宋体"/>
          <w:color w:val="333333"/>
          <w:kern w:val="0"/>
          <w:sz w:val="24"/>
        </w:rPr>
      </w:pPr>
      <w:r w:rsidRPr="000A6E82">
        <w:rPr>
          <w:rFonts w:ascii="宋体" w:hAnsi="宋体" w:cs="宋体" w:hint="eastAsia"/>
          <w:color w:val="333333"/>
          <w:kern w:val="0"/>
          <w:sz w:val="24"/>
        </w:rPr>
        <w:t>8.评审结束后，评审专家从市公共资源交易中心楼后专家通道离开，代理机构等人员从市政务服务中心前门离开。</w:t>
      </w:r>
    </w:p>
    <w:p w:rsidR="000A6E82" w:rsidRPr="000A6E82" w:rsidRDefault="000A6E82" w:rsidP="000A6E82">
      <w:pPr>
        <w:pStyle w:val="2"/>
        <w:spacing w:line="360" w:lineRule="auto"/>
        <w:rPr>
          <w:sz w:val="24"/>
        </w:rPr>
      </w:pPr>
    </w:p>
    <w:p w:rsidR="000A6E82" w:rsidRDefault="000A6E82" w:rsidP="000A6E82">
      <w:pPr>
        <w:pStyle w:val="2"/>
      </w:pPr>
    </w:p>
    <w:p w:rsidR="000A6E82" w:rsidRDefault="000A6E82" w:rsidP="000A6E82">
      <w:pPr>
        <w:pStyle w:val="2"/>
      </w:pPr>
      <w:r>
        <w:t xml:space="preserve">  </w:t>
      </w:r>
    </w:p>
    <w:p w:rsidR="000A6E82" w:rsidRDefault="000A6E82" w:rsidP="000A6E82">
      <w:pPr>
        <w:pStyle w:val="2"/>
      </w:pPr>
    </w:p>
    <w:p w:rsidR="00395FAA" w:rsidRPr="000A6E82" w:rsidRDefault="00395FAA" w:rsidP="000A6E82"/>
    <w:sectPr w:rsidR="00395FAA" w:rsidRPr="000A6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D9" w:rsidRDefault="00FE43D9" w:rsidP="000B4CE0">
      <w:r>
        <w:separator/>
      </w:r>
    </w:p>
  </w:endnote>
  <w:endnote w:type="continuationSeparator" w:id="0">
    <w:p w:rsidR="00FE43D9" w:rsidRDefault="00FE43D9" w:rsidP="000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D9" w:rsidRDefault="00FE43D9" w:rsidP="000B4CE0">
      <w:r>
        <w:separator/>
      </w:r>
    </w:p>
  </w:footnote>
  <w:footnote w:type="continuationSeparator" w:id="0">
    <w:p w:rsidR="00FE43D9" w:rsidRDefault="00FE43D9" w:rsidP="000B4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35"/>
    <w:rsid w:val="000A6E82"/>
    <w:rsid w:val="000A71B5"/>
    <w:rsid w:val="000B4CE0"/>
    <w:rsid w:val="000C0C63"/>
    <w:rsid w:val="001E0435"/>
    <w:rsid w:val="001F4690"/>
    <w:rsid w:val="00395FAA"/>
    <w:rsid w:val="003B17BF"/>
    <w:rsid w:val="004C14F3"/>
    <w:rsid w:val="005B3B8C"/>
    <w:rsid w:val="00670080"/>
    <w:rsid w:val="006D7A6E"/>
    <w:rsid w:val="007851DD"/>
    <w:rsid w:val="00970BC2"/>
    <w:rsid w:val="009B644E"/>
    <w:rsid w:val="009F76B1"/>
    <w:rsid w:val="00B67A89"/>
    <w:rsid w:val="00D11180"/>
    <w:rsid w:val="00D55039"/>
    <w:rsid w:val="00DF46CB"/>
    <w:rsid w:val="00E95888"/>
    <w:rsid w:val="00F04262"/>
    <w:rsid w:val="00FB3F7E"/>
    <w:rsid w:val="00FE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BE6313-9FB7-41E2-85F0-2F6D1B1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E0435"/>
    <w:pPr>
      <w:widowControl w:val="0"/>
      <w:jc w:val="both"/>
    </w:pPr>
    <w:rPr>
      <w:rFonts w:ascii="Times New Roman" w:eastAsia="宋体" w:hAnsi="Times New Roman" w:cs="Times New Roman"/>
      <w:szCs w:val="24"/>
    </w:rPr>
  </w:style>
  <w:style w:type="paragraph" w:styleId="20">
    <w:name w:val="heading 2"/>
    <w:basedOn w:val="a"/>
    <w:next w:val="a"/>
    <w:link w:val="21"/>
    <w:qFormat/>
    <w:rsid w:val="001E0435"/>
    <w:pPr>
      <w:keepNext/>
      <w:keepLines/>
      <w:widowControl/>
      <w:spacing w:before="260" w:after="260" w:line="416" w:lineRule="auto"/>
      <w:jc w:val="center"/>
      <w:outlineLvl w:val="1"/>
    </w:pPr>
    <w:rPr>
      <w:rFonts w:ascii="Arial" w:eastAsia="黑体" w:hAnsi="Arial"/>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sid w:val="001E0435"/>
    <w:rPr>
      <w:rFonts w:ascii="Arial" w:eastAsia="黑体" w:hAnsi="Arial" w:cs="Times New Roman"/>
      <w:kern w:val="0"/>
      <w:sz w:val="44"/>
      <w:szCs w:val="20"/>
    </w:rPr>
  </w:style>
  <w:style w:type="paragraph" w:styleId="2">
    <w:name w:val="Body Text 2"/>
    <w:basedOn w:val="a"/>
    <w:link w:val="22"/>
    <w:uiPriority w:val="99"/>
    <w:qFormat/>
    <w:rsid w:val="001E0435"/>
    <w:pPr>
      <w:spacing w:after="120" w:line="480" w:lineRule="auto"/>
    </w:pPr>
  </w:style>
  <w:style w:type="character" w:customStyle="1" w:styleId="22">
    <w:name w:val="正文文本 2 字符"/>
    <w:basedOn w:val="a0"/>
    <w:link w:val="2"/>
    <w:uiPriority w:val="99"/>
    <w:rsid w:val="001E0435"/>
    <w:rPr>
      <w:rFonts w:ascii="Times New Roman" w:eastAsia="宋体" w:hAnsi="Times New Roman" w:cs="Times New Roman"/>
      <w:szCs w:val="24"/>
    </w:rPr>
  </w:style>
  <w:style w:type="paragraph" w:styleId="a3">
    <w:name w:val="Body Text"/>
    <w:basedOn w:val="a"/>
    <w:next w:val="a"/>
    <w:link w:val="a4"/>
    <w:qFormat/>
    <w:rsid w:val="001E0435"/>
    <w:pPr>
      <w:spacing w:after="120"/>
    </w:pPr>
  </w:style>
  <w:style w:type="character" w:customStyle="1" w:styleId="a4">
    <w:name w:val="正文文本 字符"/>
    <w:basedOn w:val="a0"/>
    <w:link w:val="a3"/>
    <w:rsid w:val="001E0435"/>
    <w:rPr>
      <w:rFonts w:ascii="Times New Roman" w:eastAsia="宋体" w:hAnsi="Times New Roman" w:cs="Times New Roman"/>
      <w:szCs w:val="24"/>
    </w:rPr>
  </w:style>
  <w:style w:type="paragraph" w:styleId="a5">
    <w:name w:val="header"/>
    <w:basedOn w:val="a"/>
    <w:link w:val="a6"/>
    <w:uiPriority w:val="99"/>
    <w:unhideWhenUsed/>
    <w:rsid w:val="000B4CE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4CE0"/>
    <w:rPr>
      <w:rFonts w:ascii="Times New Roman" w:eastAsia="宋体" w:hAnsi="Times New Roman" w:cs="Times New Roman"/>
      <w:sz w:val="18"/>
      <w:szCs w:val="18"/>
    </w:rPr>
  </w:style>
  <w:style w:type="paragraph" w:styleId="a7">
    <w:name w:val="footer"/>
    <w:basedOn w:val="a"/>
    <w:link w:val="a8"/>
    <w:uiPriority w:val="99"/>
    <w:unhideWhenUsed/>
    <w:rsid w:val="000B4CE0"/>
    <w:pPr>
      <w:tabs>
        <w:tab w:val="center" w:pos="4153"/>
        <w:tab w:val="right" w:pos="8306"/>
      </w:tabs>
      <w:snapToGrid w:val="0"/>
      <w:jc w:val="left"/>
    </w:pPr>
    <w:rPr>
      <w:sz w:val="18"/>
      <w:szCs w:val="18"/>
    </w:rPr>
  </w:style>
  <w:style w:type="character" w:customStyle="1" w:styleId="a8">
    <w:name w:val="页脚 字符"/>
    <w:basedOn w:val="a0"/>
    <w:link w:val="a7"/>
    <w:uiPriority w:val="99"/>
    <w:rsid w:val="000B4C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89950">
      <w:bodyDiv w:val="1"/>
      <w:marLeft w:val="0"/>
      <w:marRight w:val="0"/>
      <w:marTop w:val="0"/>
      <w:marBottom w:val="0"/>
      <w:divBdr>
        <w:top w:val="none" w:sz="0" w:space="0" w:color="auto"/>
        <w:left w:val="none" w:sz="0" w:space="0" w:color="auto"/>
        <w:bottom w:val="none" w:sz="0" w:space="0" w:color="auto"/>
        <w:right w:val="none" w:sz="0" w:space="0" w:color="auto"/>
      </w:divBdr>
    </w:div>
    <w:div w:id="18036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537</Words>
  <Characters>3066</Characters>
  <Application>Microsoft Office Word</Application>
  <DocSecurity>0</DocSecurity>
  <Lines>25</Lines>
  <Paragraphs>7</Paragraphs>
  <ScaleCrop>false</ScaleCrop>
  <Company>China</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吉林中鹏建设项目管理有限公司</cp:lastModifiedBy>
  <cp:revision>12</cp:revision>
  <dcterms:created xsi:type="dcterms:W3CDTF">2022-06-27T07:20:00Z</dcterms:created>
  <dcterms:modified xsi:type="dcterms:W3CDTF">2022-07-07T04:27:00Z</dcterms:modified>
</cp:coreProperties>
</file>