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5398" w:leftChars="399" w:hanging="4561" w:hangingChars="1629"/>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p>
    <w:p>
      <w:pPr>
        <w:rPr>
          <w:rFonts w:ascii="宋体" w:hAnsi="宋体" w:cs="宋体"/>
          <w:color w:val="auto"/>
          <w:highlight w:val="none"/>
        </w:rPr>
      </w:pPr>
    </w:p>
    <w:p>
      <w:pPr>
        <w:spacing w:line="400" w:lineRule="exact"/>
        <w:ind w:left="5724" w:leftChars="399" w:hanging="4887" w:hangingChars="1629"/>
        <w:rPr>
          <w:rFonts w:ascii="宋体" w:hAnsi="宋体" w:cs="宋体"/>
          <w:b/>
          <w:bCs/>
          <w:color w:val="auto"/>
          <w:sz w:val="30"/>
          <w:highlight w:val="none"/>
        </w:rPr>
      </w:pPr>
    </w:p>
    <w:p>
      <w:pPr>
        <w:autoSpaceDN w:val="0"/>
        <w:spacing w:before="75" w:after="75" w:line="360" w:lineRule="auto"/>
        <w:jc w:val="center"/>
        <w:rPr>
          <w:rFonts w:ascii="宋体" w:hAnsi="宋体" w:cs="宋体"/>
          <w:b/>
          <w:bCs/>
          <w:color w:val="auto"/>
          <w:sz w:val="72"/>
          <w:highlight w:val="none"/>
        </w:rPr>
      </w:pPr>
    </w:p>
    <w:p>
      <w:pPr>
        <w:autoSpaceDN w:val="0"/>
        <w:spacing w:before="75" w:after="75" w:line="360" w:lineRule="auto"/>
        <w:jc w:val="center"/>
        <w:rPr>
          <w:rFonts w:ascii="宋体" w:hAnsi="宋体" w:cs="宋体"/>
          <w:b/>
          <w:bCs/>
          <w:color w:val="auto"/>
          <w:sz w:val="72"/>
          <w:highlight w:val="none"/>
        </w:rPr>
      </w:pPr>
      <w:bookmarkStart w:id="19" w:name="_GoBack"/>
      <w:bookmarkEnd w:id="19"/>
    </w:p>
    <w:p>
      <w:pPr>
        <w:autoSpaceDN w:val="0"/>
        <w:spacing w:before="75" w:after="75" w:line="360" w:lineRule="auto"/>
        <w:jc w:val="center"/>
        <w:rPr>
          <w:rFonts w:ascii="宋体" w:hAnsi="宋体" w:cs="宋体"/>
          <w:b/>
          <w:bCs/>
          <w:color w:val="auto"/>
          <w:sz w:val="72"/>
          <w:highlight w:val="none"/>
        </w:rPr>
      </w:pPr>
      <w:r>
        <w:rPr>
          <w:rFonts w:hint="eastAsia" w:ascii="宋体" w:hAnsi="宋体" w:cs="宋体"/>
          <w:b/>
          <w:bCs/>
          <w:color w:val="auto"/>
          <w:sz w:val="72"/>
          <w:highlight w:val="none"/>
        </w:rPr>
        <w:t>公 开 招 标 文 件</w:t>
      </w:r>
    </w:p>
    <w:p>
      <w:pPr>
        <w:pStyle w:val="12"/>
        <w:spacing w:line="360" w:lineRule="auto"/>
        <w:ind w:firstLine="2080" w:firstLineChars="650"/>
        <w:rPr>
          <w:rFonts w:hAnsi="宋体" w:cs="宋体"/>
          <w:b/>
          <w:bCs/>
          <w:color w:val="auto"/>
          <w:sz w:val="32"/>
          <w:highlight w:val="none"/>
        </w:rPr>
      </w:pPr>
    </w:p>
    <w:p>
      <w:pPr>
        <w:pStyle w:val="12"/>
        <w:spacing w:line="360" w:lineRule="auto"/>
        <w:jc w:val="center"/>
        <w:rPr>
          <w:rFonts w:hAnsi="宋体" w:cs="宋体"/>
          <w:b/>
          <w:bCs/>
          <w:color w:val="auto"/>
          <w:sz w:val="32"/>
          <w:szCs w:val="32"/>
          <w:highlight w:val="none"/>
        </w:rPr>
      </w:pPr>
    </w:p>
    <w:p>
      <w:pPr>
        <w:pStyle w:val="12"/>
        <w:spacing w:line="360" w:lineRule="auto"/>
        <w:ind w:firstLine="1280" w:firstLineChars="400"/>
        <w:rPr>
          <w:rFonts w:hAnsi="宋体" w:cs="宋体"/>
          <w:b/>
          <w:bCs/>
          <w:color w:val="auto"/>
          <w:sz w:val="32"/>
          <w:szCs w:val="32"/>
          <w:highlight w:val="none"/>
        </w:rPr>
      </w:pPr>
      <w:r>
        <w:rPr>
          <w:rFonts w:hint="eastAsia" w:hAnsi="宋体" w:cs="宋体"/>
          <w:b/>
          <w:bCs/>
          <w:color w:val="auto"/>
          <w:sz w:val="32"/>
          <w:szCs w:val="32"/>
          <w:highlight w:val="none"/>
        </w:rPr>
        <w:t>项目编号：理策[2022]政采0603</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项目名称：仙游县木兰溪流域农村生活污水提升治理项目</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（大济镇)管材甲供采购项目</w:t>
      </w:r>
    </w:p>
    <w:p>
      <w:pPr>
        <w:spacing w:line="360" w:lineRule="auto"/>
        <w:jc w:val="center"/>
        <w:rPr>
          <w:rFonts w:ascii="宋体" w:hAnsi="宋体" w:cs="宋体"/>
          <w:b/>
          <w:bCs/>
          <w:color w:val="auto"/>
          <w:sz w:val="32"/>
          <w:szCs w:val="32"/>
          <w:highlight w:val="none"/>
        </w:rPr>
      </w:pPr>
    </w:p>
    <w:p>
      <w:pPr>
        <w:spacing w:line="360" w:lineRule="auto"/>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人：仙游县大济镇人民政府  （盖章）</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招标代理人：福建省理策招标代理有限公司（盖章）</w:t>
      </w:r>
    </w:p>
    <w:p>
      <w:pPr>
        <w:pStyle w:val="13"/>
        <w:ind w:firstLine="480"/>
        <w:rPr>
          <w:rFonts w:ascii="宋体" w:hAnsi="宋体" w:cs="宋体"/>
          <w:color w:val="auto"/>
          <w:highlight w:val="none"/>
        </w:rPr>
      </w:pPr>
    </w:p>
    <w:p>
      <w:pPr>
        <w:pStyle w:val="13"/>
        <w:ind w:firstLine="480"/>
        <w:rPr>
          <w:rFonts w:ascii="宋体" w:hAnsi="宋体" w:cs="宋体"/>
          <w:color w:val="auto"/>
          <w:highlight w:val="none"/>
        </w:rPr>
      </w:pPr>
    </w:p>
    <w:p>
      <w:pPr>
        <w:pStyle w:val="13"/>
        <w:ind w:firstLine="480"/>
        <w:rPr>
          <w:rFonts w:ascii="宋体" w:hAnsi="宋体" w:cs="宋体"/>
          <w:color w:val="auto"/>
          <w:highlight w:val="none"/>
        </w:rPr>
      </w:pPr>
    </w:p>
    <w:p>
      <w:pPr>
        <w:spacing w:line="360" w:lineRule="auto"/>
        <w:jc w:val="center"/>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二○二二年六月</w:t>
      </w:r>
    </w:p>
    <w:p>
      <w:pPr>
        <w:numPr>
          <w:ilvl w:val="0"/>
          <w:numId w:val="2"/>
        </w:numPr>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 xml:space="preserve"> 投标邀请</w:t>
      </w:r>
    </w:p>
    <w:p>
      <w:pPr>
        <w:autoSpaceDN w:val="0"/>
        <w:spacing w:line="500" w:lineRule="exact"/>
        <w:ind w:firstLine="482"/>
        <w:rPr>
          <w:rFonts w:ascii="宋体" w:hAnsi="宋体" w:cs="宋体"/>
          <w:color w:val="auto"/>
          <w:sz w:val="24"/>
          <w:highlight w:val="none"/>
        </w:rPr>
      </w:pP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采用</w:t>
      </w:r>
      <w:r>
        <w:rPr>
          <w:rFonts w:hint="eastAsia" w:ascii="宋体" w:hAnsi="宋体" w:cs="宋体"/>
          <w:color w:val="auto"/>
          <w:sz w:val="24"/>
          <w:highlight w:val="none"/>
          <w:u w:val="single"/>
        </w:rPr>
        <w:t>公开招标方式</w:t>
      </w:r>
      <w:r>
        <w:rPr>
          <w:rFonts w:hint="eastAsia" w:ascii="宋体" w:hAnsi="宋体" w:cs="宋体"/>
          <w:color w:val="auto"/>
          <w:sz w:val="24"/>
          <w:highlight w:val="none"/>
        </w:rPr>
        <w:t>组织</w:t>
      </w:r>
      <w:r>
        <w:rPr>
          <w:rFonts w:hint="eastAsia" w:ascii="宋体" w:hAnsi="宋体" w:cs="宋体"/>
          <w:color w:val="auto"/>
          <w:sz w:val="24"/>
          <w:highlight w:val="none"/>
          <w:u w:val="single"/>
        </w:rPr>
        <w:t>仙游县木兰溪流域农村生活污水提升治理项目（大济镇)管材甲供采购项目</w:t>
      </w:r>
      <w:r>
        <w:rPr>
          <w:rFonts w:hint="eastAsia" w:ascii="宋体" w:hAnsi="宋体" w:cs="宋体"/>
          <w:color w:val="auto"/>
          <w:sz w:val="24"/>
          <w:highlight w:val="none"/>
        </w:rPr>
        <w:t>（以下简称：“本项目”）的采购活动，现</w:t>
      </w:r>
      <w:r>
        <w:rPr>
          <w:rFonts w:hint="eastAsia" w:ascii="宋体" w:hAnsi="宋体" w:cs="宋体"/>
          <w:color w:val="auto"/>
          <w:sz w:val="24"/>
          <w:szCs w:val="22"/>
          <w:highlight w:val="none"/>
        </w:rPr>
        <w:t>欢迎供应商参加投</w:t>
      </w:r>
      <w:r>
        <w:rPr>
          <w:rFonts w:hint="eastAsia" w:ascii="宋体" w:hAnsi="宋体" w:cs="宋体"/>
          <w:color w:val="auto"/>
          <w:sz w:val="24"/>
          <w:highlight w:val="none"/>
        </w:rPr>
        <w:t>标。</w:t>
      </w:r>
    </w:p>
    <w:p>
      <w:pPr>
        <w:pStyle w:val="12"/>
        <w:spacing w:line="500" w:lineRule="exact"/>
        <w:ind w:firstLine="480" w:firstLineChars="200"/>
        <w:rPr>
          <w:rFonts w:hAnsi="宋体" w:cs="宋体"/>
          <w:color w:val="auto"/>
          <w:sz w:val="24"/>
          <w:szCs w:val="22"/>
          <w:highlight w:val="none"/>
        </w:rPr>
      </w:pPr>
      <w:r>
        <w:rPr>
          <w:rFonts w:hint="eastAsia" w:hAnsi="宋体" w:cs="宋体"/>
          <w:color w:val="auto"/>
          <w:sz w:val="24"/>
          <w:highlight w:val="none"/>
        </w:rPr>
        <w:t>1、招标编号：理策[2022]政采0603</w:t>
      </w:r>
    </w:p>
    <w:p>
      <w:pPr>
        <w:autoSpaceDN w:val="0"/>
        <w:spacing w:line="500" w:lineRule="exact"/>
        <w:rPr>
          <w:rFonts w:ascii="宋体" w:hAnsi="宋体" w:cs="宋体"/>
          <w:color w:val="auto"/>
          <w:sz w:val="24"/>
          <w:highlight w:val="none"/>
        </w:rPr>
      </w:pPr>
      <w:r>
        <w:rPr>
          <w:rFonts w:hint="eastAsia" w:ascii="宋体" w:hAnsi="宋体" w:cs="宋体"/>
          <w:color w:val="auto"/>
          <w:sz w:val="24"/>
          <w:highlight w:val="none"/>
        </w:rPr>
        <w:t xml:space="preserve">    2、预算金额、最高限价：详见《采购标的一览表》。  </w:t>
      </w:r>
    </w:p>
    <w:p>
      <w:pPr>
        <w:autoSpaceDN w:val="0"/>
        <w:spacing w:line="500" w:lineRule="exact"/>
        <w:rPr>
          <w:rFonts w:ascii="宋体" w:hAnsi="宋体" w:cs="宋体"/>
          <w:color w:val="auto"/>
          <w:sz w:val="24"/>
          <w:highlight w:val="none"/>
        </w:rPr>
      </w:pPr>
      <w:r>
        <w:rPr>
          <w:rFonts w:hint="eastAsia" w:ascii="宋体" w:hAnsi="宋体" w:cs="宋体"/>
          <w:color w:val="auto"/>
          <w:sz w:val="24"/>
          <w:highlight w:val="none"/>
        </w:rPr>
        <w:t xml:space="preserve">    3、招标内容及要求：详见《采购标的一览表》及招标文件第五章。</w:t>
      </w:r>
    </w:p>
    <w:p>
      <w:pPr>
        <w:autoSpaceDN w:val="0"/>
        <w:spacing w:line="500" w:lineRule="exact"/>
        <w:rPr>
          <w:rFonts w:ascii="宋体" w:hAnsi="宋体" w:cs="宋体"/>
          <w:color w:val="auto"/>
          <w:sz w:val="24"/>
          <w:highlight w:val="none"/>
        </w:rPr>
      </w:pPr>
      <w:r>
        <w:rPr>
          <w:rFonts w:hint="eastAsia" w:ascii="宋体" w:hAnsi="宋体" w:cs="宋体"/>
          <w:color w:val="auto"/>
          <w:sz w:val="24"/>
          <w:highlight w:val="none"/>
        </w:rPr>
        <w:t xml:space="preserve">    4、需要落实的采购政策：小型、微型企业。监狱企业。促进残疾人就业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采购活动相关信息的，其资格审查不合格。</w:t>
      </w:r>
    </w:p>
    <w:p>
      <w:pPr>
        <w:autoSpaceDN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5、投标人的资格要求</w:t>
      </w:r>
    </w:p>
    <w:p>
      <w:pPr>
        <w:autoSpaceDN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5.1法定条件：符合政府采购法第二十二条第一款规定的条件。</w:t>
      </w:r>
    </w:p>
    <w:p>
      <w:pPr>
        <w:autoSpaceDN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5.2特定条件：包：1,2,3无。</w:t>
      </w:r>
    </w:p>
    <w:p>
      <w:pPr>
        <w:autoSpaceDN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5.3是否接受联合体投标：包：1,2,3不接受。</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※根据上述资格要求，投标文件中应提交的“投标人的资格及资信证明文件”详见招标文件第四章。</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6、报名</w:t>
      </w:r>
    </w:p>
    <w:p>
      <w:pPr>
        <w:autoSpaceDN w:val="0"/>
        <w:spacing w:line="500" w:lineRule="exact"/>
        <w:ind w:firstLine="480"/>
        <w:rPr>
          <w:rFonts w:ascii="宋体" w:hAnsi="宋体" w:cs="宋体"/>
          <w:color w:val="auto"/>
          <w:spacing w:val="-6"/>
          <w:sz w:val="24"/>
          <w:highlight w:val="none"/>
        </w:rPr>
      </w:pPr>
      <w:r>
        <w:rPr>
          <w:rFonts w:hint="eastAsia" w:ascii="宋体" w:hAnsi="宋体" w:cs="宋体"/>
          <w:color w:val="auto"/>
          <w:sz w:val="24"/>
          <w:highlight w:val="none"/>
        </w:rPr>
        <w:t>6.1</w:t>
      </w:r>
      <w:r>
        <w:rPr>
          <w:rFonts w:hint="eastAsia" w:ascii="宋体" w:hAnsi="宋体" w:cs="宋体"/>
          <w:color w:val="auto"/>
          <w:spacing w:val="-6"/>
          <w:sz w:val="24"/>
          <w:highlight w:val="none"/>
        </w:rPr>
        <w:t>报名期限：详见招标公告或更正公告（若有），若不一致，以更正公告（若有）为准。</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7、招标文件的获取。</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7.1招标文件提供期限：详见招标公告或更正公告（若有），若不一致，以更正公告（若有）为准。</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7.2获取地点及方式：</w:t>
      </w:r>
      <w:r>
        <w:rPr>
          <w:rFonts w:hint="eastAsia" w:ascii="宋体" w:hAnsi="宋体" w:cs="宋体"/>
          <w:color w:val="auto"/>
          <w:sz w:val="24"/>
        </w:rPr>
        <w:t>投标人自行在中国政府采购网、</w:t>
      </w:r>
      <w:r>
        <w:rPr>
          <w:rFonts w:hint="eastAsia"/>
          <w:color w:val="auto"/>
          <w:sz w:val="24"/>
          <w:szCs w:val="24"/>
          <w:highlight w:val="none"/>
        </w:rPr>
        <w:t>中国采购与招标网</w:t>
      </w:r>
      <w:r>
        <w:rPr>
          <w:rFonts w:hint="eastAsia" w:ascii="宋体" w:hAnsi="宋体" w:cs="宋体"/>
          <w:color w:val="auto"/>
          <w:sz w:val="24"/>
        </w:rPr>
        <w:t>上下载方式获取</w:t>
      </w:r>
      <w:r>
        <w:rPr>
          <w:rFonts w:hint="eastAsia" w:ascii="宋体" w:hAnsi="宋体" w:cs="宋体"/>
          <w:color w:val="auto"/>
          <w:sz w:val="24"/>
          <w:highlight w:val="none"/>
        </w:rPr>
        <w:t>。</w:t>
      </w:r>
    </w:p>
    <w:p>
      <w:pPr>
        <w:pStyle w:val="20"/>
        <w:spacing w:line="500" w:lineRule="exact"/>
        <w:ind w:left="1" w:firstLine="480" w:firstLineChars="200"/>
        <w:rPr>
          <w:rFonts w:ascii="宋体" w:hAnsi="宋体" w:cs="宋体"/>
          <w:color w:val="auto"/>
          <w:highlight w:val="none"/>
        </w:rPr>
      </w:pPr>
      <w:r>
        <w:rPr>
          <w:rFonts w:hint="eastAsia" w:ascii="宋体" w:hAnsi="宋体" w:cs="宋体"/>
          <w:color w:val="auto"/>
          <w:highlight w:val="none"/>
        </w:rPr>
        <w:t>7.2.1、投标须知</w:t>
      </w:r>
    </w:p>
    <w:p>
      <w:pPr>
        <w:pStyle w:val="20"/>
        <w:spacing w:line="500" w:lineRule="exact"/>
        <w:ind w:left="1" w:firstLine="480" w:firstLineChars="200"/>
        <w:rPr>
          <w:rFonts w:ascii="宋体" w:hAnsi="宋体" w:cs="宋体"/>
          <w:color w:val="auto"/>
          <w:highlight w:val="none"/>
        </w:rPr>
      </w:pPr>
      <w:r>
        <w:rPr>
          <w:rFonts w:hint="eastAsia" w:ascii="宋体" w:hAnsi="宋体" w:cs="宋体"/>
          <w:color w:val="auto"/>
          <w:highlight w:val="none"/>
        </w:rPr>
        <w:t>1）投标人的投标文件由技术商务部分、资格及资信证明部分与报价部分组成，技术商务部分、资格及资信证明部分投标文件中不得有报价部分，否则为无效投标。</w:t>
      </w:r>
    </w:p>
    <w:p>
      <w:pPr>
        <w:pStyle w:val="20"/>
        <w:spacing w:line="500" w:lineRule="exact"/>
        <w:ind w:left="1" w:firstLine="480" w:firstLineChars="200"/>
        <w:rPr>
          <w:rFonts w:ascii="宋体" w:hAnsi="宋体" w:cs="宋体"/>
          <w:color w:val="auto"/>
          <w:highlight w:val="none"/>
        </w:rPr>
      </w:pPr>
      <w:r>
        <w:rPr>
          <w:rFonts w:hint="eastAsia" w:ascii="宋体" w:hAnsi="宋体" w:cs="宋体"/>
          <w:color w:val="auto"/>
          <w:highlight w:val="none"/>
        </w:rPr>
        <w:t>2）投标人必须在开标前提交纸质的投标文件：技术商务部分（正本一份，副本六份）、资格及资信证明部分（正本一份，副本六份）与报价部分（正本一份，副本六份），电子版文件（U盘）贰份，纸质投标文件正本以供存档。</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7.3、招标文件售价：0元。</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8、投标截止。</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8.1投标截止时间：详见招标公告或更正公告（若有），若不一致，以更正公告（若有）为准。</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9、开标时间及地点：详见招标公告或更正公告（若有），若不一致，以更正公告（若有）为准。 </w:t>
      </w:r>
    </w:p>
    <w:p>
      <w:pPr>
        <w:autoSpaceDN w:val="0"/>
        <w:spacing w:line="500" w:lineRule="exact"/>
        <w:ind w:firstLine="480"/>
        <w:rPr>
          <w:rFonts w:ascii="宋体" w:hAnsi="宋体" w:cs="宋体"/>
          <w:color w:val="auto"/>
          <w:sz w:val="24"/>
          <w:highlight w:val="none"/>
        </w:rPr>
      </w:pPr>
      <w:r>
        <w:rPr>
          <w:rFonts w:hint="eastAsia" w:ascii="宋体" w:hAnsi="宋体" w:cs="宋体"/>
          <w:color w:val="auto"/>
          <w:sz w:val="24"/>
          <w:highlight w:val="none"/>
        </w:rPr>
        <w:t>10、公告期限</w:t>
      </w:r>
    </w:p>
    <w:p>
      <w:pPr>
        <w:autoSpaceDN w:val="0"/>
        <w:spacing w:line="5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10.1招标公告的公告期限：指定的政府采购信息发布媒体最先发布公告之日起5个工作日。</w:t>
      </w:r>
    </w:p>
    <w:p>
      <w:pPr>
        <w:autoSpaceDN w:val="0"/>
        <w:spacing w:line="500" w:lineRule="exact"/>
        <w:ind w:left="478" w:leftChars="228"/>
        <w:rPr>
          <w:rFonts w:ascii="宋体" w:hAnsi="宋体" w:cs="宋体"/>
          <w:color w:val="auto"/>
          <w:sz w:val="24"/>
          <w:highlight w:val="none"/>
        </w:rPr>
      </w:pPr>
      <w:r>
        <w:rPr>
          <w:rFonts w:hint="eastAsia" w:ascii="宋体" w:hAnsi="宋体" w:cs="宋体"/>
          <w:color w:val="auto"/>
          <w:sz w:val="24"/>
          <w:highlight w:val="none"/>
        </w:rPr>
        <w:t>10.2招标文件公告期限：招标文件随同招标公告一并发布，其公告期限与本章第10.1</w:t>
      </w:r>
    </w:p>
    <w:p>
      <w:pPr>
        <w:autoSpaceDN w:val="0"/>
        <w:spacing w:line="500" w:lineRule="exact"/>
        <w:rPr>
          <w:rFonts w:ascii="宋体" w:hAnsi="宋体" w:cs="宋体"/>
          <w:color w:val="auto"/>
          <w:sz w:val="24"/>
          <w:highlight w:val="none"/>
        </w:rPr>
      </w:pPr>
      <w:r>
        <w:rPr>
          <w:rFonts w:hint="eastAsia" w:ascii="宋体" w:hAnsi="宋体" w:cs="宋体"/>
          <w:color w:val="auto"/>
          <w:sz w:val="24"/>
          <w:highlight w:val="none"/>
        </w:rPr>
        <w:t>条载明的期限保持一致。</w:t>
      </w:r>
    </w:p>
    <w:p>
      <w:pPr>
        <w:numPr>
          <w:ilvl w:val="0"/>
          <w:numId w:val="3"/>
        </w:numPr>
        <w:autoSpaceDN w:val="0"/>
        <w:spacing w:line="500" w:lineRule="exact"/>
        <w:rPr>
          <w:rFonts w:ascii="宋体" w:hAnsi="宋体" w:cs="宋体"/>
          <w:color w:val="auto"/>
          <w:sz w:val="24"/>
          <w:highlight w:val="none"/>
        </w:rPr>
      </w:pPr>
      <w:r>
        <w:rPr>
          <w:rFonts w:hint="eastAsia" w:ascii="宋体" w:hAnsi="宋体" w:cs="宋体"/>
          <w:color w:val="auto"/>
          <w:sz w:val="24"/>
          <w:highlight w:val="none"/>
        </w:rPr>
        <w:t>投标保证金账户</w:t>
      </w:r>
    </w:p>
    <w:tbl>
      <w:tblPr>
        <w:tblStyle w:val="22"/>
        <w:tblpPr w:leftFromText="180" w:rightFromText="180" w:vertAnchor="text" w:horzAnchor="page" w:tblpX="1200" w:tblpY="682"/>
        <w:tblOverlap w:val="neve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highlight w:val="none"/>
              </w:rPr>
            </w:pPr>
            <w:r>
              <w:rPr>
                <w:rStyle w:val="24"/>
                <w:rFonts w:hint="eastAsia" w:ascii="宋体" w:hAnsi="宋体" w:cs="宋体"/>
                <w:color w:val="auto"/>
                <w:szCs w:val="24"/>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tcPr>
          <w:p>
            <w:pPr>
              <w:pStyle w:val="20"/>
              <w:widowControl/>
              <w:spacing w:line="400" w:lineRule="exact"/>
              <w:rPr>
                <w:rFonts w:ascii="宋体" w:hAnsi="宋体" w:cs="宋体"/>
                <w:color w:val="auto"/>
                <w:highlight w:val="none"/>
              </w:rPr>
            </w:pPr>
            <w:r>
              <w:rPr>
                <w:rFonts w:hint="eastAsia" w:ascii="宋体" w:hAnsi="宋体" w:cs="宋体"/>
                <w:color w:val="auto"/>
                <w:szCs w:val="24"/>
                <w:highlight w:val="none"/>
              </w:rPr>
              <w:t>开户名称：</w:t>
            </w:r>
            <w:r>
              <w:rPr>
                <w:rFonts w:hint="eastAsia" w:ascii="宋体" w:hAnsi="宋体" w:cs="宋体"/>
                <w:color w:val="auto"/>
                <w:szCs w:val="24"/>
                <w:highlight w:val="none"/>
                <w:u w:val="single"/>
                <w:shd w:val="clear" w:color="auto" w:fill="FFFFFF"/>
              </w:rPr>
              <w:t>福建省理策招标代理有限公司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tcPr>
          <w:p>
            <w:pPr>
              <w:pStyle w:val="20"/>
              <w:widowControl/>
              <w:spacing w:line="400" w:lineRule="exact"/>
              <w:rPr>
                <w:rFonts w:ascii="宋体" w:hAnsi="宋体" w:cs="宋体"/>
                <w:color w:val="auto"/>
                <w:highlight w:val="none"/>
              </w:rPr>
            </w:pPr>
            <w:r>
              <w:rPr>
                <w:rFonts w:hint="eastAsia" w:ascii="宋体" w:hAnsi="宋体" w:cs="宋体"/>
                <w:color w:val="auto"/>
                <w:szCs w:val="24"/>
                <w:highlight w:val="none"/>
              </w:rPr>
              <w:t>开户银行：</w:t>
            </w:r>
            <w:r>
              <w:rPr>
                <w:rFonts w:hint="eastAsia" w:ascii="宋体" w:hAnsi="宋体" w:cs="宋体"/>
                <w:color w:val="auto"/>
                <w:szCs w:val="22"/>
                <w:highlight w:val="none"/>
              </w:rPr>
              <w:t>福建莆田农村商业银行行政服务中心支行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tcPr>
          <w:p>
            <w:pPr>
              <w:pStyle w:val="20"/>
              <w:widowControl/>
              <w:spacing w:line="400" w:lineRule="exact"/>
              <w:rPr>
                <w:rFonts w:ascii="宋体" w:hAnsi="宋体" w:cs="宋体"/>
                <w:color w:val="auto"/>
                <w:highlight w:val="none"/>
              </w:rPr>
            </w:pPr>
            <w:r>
              <w:rPr>
                <w:rFonts w:hint="eastAsia" w:ascii="宋体" w:hAnsi="宋体" w:cs="宋体"/>
                <w:color w:val="auto"/>
                <w:szCs w:val="24"/>
                <w:highlight w:val="none"/>
              </w:rPr>
              <w:t>银行账号：</w:t>
            </w:r>
            <w:r>
              <w:rPr>
                <w:rFonts w:hint="eastAsia" w:ascii="宋体" w:hAnsi="宋体" w:cs="宋体"/>
                <w:color w:val="auto"/>
                <w:szCs w:val="22"/>
                <w:highlight w:val="none"/>
              </w:rPr>
              <w:t xml:space="preserve"> 9040210030010000037291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highlight w:val="none"/>
              </w:rPr>
            </w:pPr>
            <w:r>
              <w:rPr>
                <w:rStyle w:val="24"/>
                <w:rFonts w:hint="eastAsia" w:ascii="宋体" w:hAnsi="宋体" w:cs="宋体"/>
                <w:color w:val="auto"/>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714" w:type="dxa"/>
            <w:noWrap/>
            <w:tcMar>
              <w:top w:w="0" w:type="dxa"/>
              <w:left w:w="105" w:type="dxa"/>
              <w:bottom w:w="0" w:type="dxa"/>
              <w:right w:w="105" w:type="dxa"/>
            </w:tcMar>
          </w:tcPr>
          <w:p>
            <w:pPr>
              <w:pStyle w:val="20"/>
              <w:widowControl/>
              <w:spacing w:line="400" w:lineRule="exact"/>
              <w:rPr>
                <w:rFonts w:ascii="宋体" w:hAnsi="宋体" w:cs="宋体"/>
                <w:color w:val="auto"/>
                <w:highlight w:val="none"/>
              </w:rPr>
            </w:pPr>
            <w:r>
              <w:rPr>
                <w:rFonts w:hint="eastAsia" w:ascii="宋体" w:hAnsi="宋体" w:cs="宋体"/>
                <w:color w:val="auto"/>
                <w:szCs w:val="24"/>
                <w:highlight w:val="none"/>
              </w:rPr>
              <w:t>1、投标人应认真核对账户信息，将投标保证金汇入以上账户，并自行承担因汇错投标保证金而产生的一切后果。</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2、投标人在转账或电汇的凭证上应按照以下格式注明，以便核对：“（招标编号：***、合同包：***）的投标保证金”。</w:t>
            </w:r>
          </w:p>
          <w:p>
            <w:pPr>
              <w:autoSpaceDN w:val="0"/>
              <w:spacing w:line="400" w:lineRule="exact"/>
              <w:rPr>
                <w:rFonts w:ascii="宋体" w:hAnsi="宋体" w:cs="宋体"/>
                <w:bCs/>
                <w:color w:val="auto"/>
                <w:sz w:val="24"/>
                <w:szCs w:val="22"/>
                <w:highlight w:val="none"/>
              </w:rPr>
            </w:pPr>
            <w:r>
              <w:rPr>
                <w:rFonts w:hint="eastAsia" w:ascii="宋体" w:hAnsi="宋体" w:cs="宋体"/>
                <w:bCs/>
                <w:color w:val="auto"/>
                <w:sz w:val="24"/>
                <w:szCs w:val="22"/>
                <w:highlight w:val="none"/>
              </w:rPr>
              <w:t>3、保证金必须在开标前以转帐或电汇形式交至指定保证金账户，以款到帐户为准，投标人在缴纳保证金时必须以公司的帐户或公司的名称缴纳，不得以投标代表个人的名称缴纳，不接受现金。保证金未按规定时间到账或提交投标保证金的汇款人名称与投标投标人名称不一致的，其投标将被拒绝。</w:t>
            </w:r>
          </w:p>
          <w:p>
            <w:pPr>
              <w:pStyle w:val="20"/>
              <w:widowControl/>
              <w:spacing w:line="400" w:lineRule="exact"/>
              <w:rPr>
                <w:rFonts w:ascii="宋体" w:hAnsi="宋体" w:cs="宋体"/>
                <w:color w:val="auto"/>
                <w:szCs w:val="24"/>
                <w:highlight w:val="none"/>
              </w:rPr>
            </w:pPr>
            <w:r>
              <w:rPr>
                <w:rFonts w:hint="eastAsia" w:ascii="宋体" w:hAnsi="宋体" w:cs="宋体"/>
                <w:b/>
                <w:color w:val="auto"/>
                <w:szCs w:val="22"/>
                <w:highlight w:val="none"/>
              </w:rPr>
              <w:t>注：投标保证金转账时请注明所投项目的项目编号。</w:t>
            </w:r>
          </w:p>
        </w:tc>
      </w:tr>
    </w:tbl>
    <w:p>
      <w:pPr>
        <w:autoSpaceDN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12、采购人：仙游县大济镇人民政府</w:t>
      </w:r>
    </w:p>
    <w:p>
      <w:pPr>
        <w:autoSpaceDN w:val="0"/>
        <w:spacing w:line="4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联系人：杨先生 </w:t>
      </w:r>
    </w:p>
    <w:p>
      <w:pPr>
        <w:autoSpaceDN w:val="0"/>
        <w:spacing w:line="420" w:lineRule="exact"/>
        <w:ind w:firstLine="960" w:firstLineChars="400"/>
        <w:rPr>
          <w:rFonts w:ascii="宋体" w:hAnsi="宋体" w:cs="宋体"/>
          <w:color w:val="auto"/>
          <w:spacing w:val="-4"/>
          <w:sz w:val="24"/>
          <w:highlight w:val="none"/>
        </w:rPr>
      </w:pPr>
      <w:r>
        <w:rPr>
          <w:rFonts w:hint="eastAsia" w:ascii="宋体" w:hAnsi="宋体" w:cs="宋体"/>
          <w:color w:val="auto"/>
          <w:sz w:val="24"/>
          <w:highlight w:val="none"/>
        </w:rPr>
        <w:t xml:space="preserve">联系电话：15606062621 </w:t>
      </w:r>
    </w:p>
    <w:p>
      <w:pPr>
        <w:autoSpaceDN w:val="0"/>
        <w:spacing w:line="420" w:lineRule="exact"/>
        <w:rPr>
          <w:rFonts w:ascii="宋体" w:hAnsi="宋体" w:cs="宋体"/>
          <w:color w:val="auto"/>
          <w:sz w:val="24"/>
          <w:highlight w:val="none"/>
        </w:rPr>
      </w:pPr>
      <w:r>
        <w:rPr>
          <w:rFonts w:hint="eastAsia" w:ascii="宋体" w:hAnsi="宋体" w:cs="宋体"/>
          <w:color w:val="auto"/>
          <w:sz w:val="24"/>
          <w:highlight w:val="none"/>
        </w:rPr>
        <w:t xml:space="preserve">    13、代理机构：福建省理策招标代理有限公司</w:t>
      </w:r>
    </w:p>
    <w:p>
      <w:pPr>
        <w:autoSpaceDN w:val="0"/>
        <w:spacing w:line="4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地址：福建省莆田市城厢区西山小区B区8号楼第二梯位607号</w:t>
      </w:r>
    </w:p>
    <w:p>
      <w:pPr>
        <w:autoSpaceDN w:val="0"/>
        <w:spacing w:line="4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szCs w:val="24"/>
          <w:highlight w:val="none"/>
        </w:rPr>
        <w:t>小吴</w:t>
      </w:r>
    </w:p>
    <w:p>
      <w:pPr>
        <w:autoSpaceDN w:val="0"/>
        <w:spacing w:line="42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联系电话：0594-2016688/18596959898</w:t>
      </w:r>
    </w:p>
    <w:p>
      <w:pPr>
        <w:pStyle w:val="10"/>
        <w:spacing w:line="420" w:lineRule="exact"/>
        <w:rPr>
          <w:rFonts w:ascii="宋体" w:hAnsi="宋体" w:cs="宋体"/>
          <w:color w:val="auto"/>
          <w:highlight w:val="none"/>
        </w:rPr>
      </w:pPr>
      <w:r>
        <w:rPr>
          <w:rFonts w:hint="eastAsia" w:ascii="宋体" w:hAnsi="宋体" w:cs="宋体"/>
          <w:color w:val="auto"/>
          <w:highlight w:val="none"/>
        </w:rPr>
        <w:t>附：《采购标的一览表》</w:t>
      </w:r>
    </w:p>
    <w:tbl>
      <w:tblPr>
        <w:tblStyle w:val="22"/>
        <w:tblpPr w:leftFromText="180" w:rightFromText="180" w:vertAnchor="text" w:horzAnchor="page" w:tblpX="1167"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10"/>
        <w:gridCol w:w="893"/>
        <w:gridCol w:w="1564"/>
        <w:gridCol w:w="1174"/>
        <w:gridCol w:w="155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65"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合同包</w:t>
            </w:r>
          </w:p>
        </w:tc>
        <w:tc>
          <w:tcPr>
            <w:tcW w:w="1810" w:type="dxa"/>
            <w:noWrap/>
            <w:vAlign w:val="center"/>
          </w:tcPr>
          <w:p>
            <w:pPr>
              <w:spacing w:line="400" w:lineRule="exact"/>
              <w:ind w:left="255"/>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采购标的</w:t>
            </w:r>
          </w:p>
        </w:tc>
        <w:tc>
          <w:tcPr>
            <w:tcW w:w="893"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r>
              <w:rPr>
                <w:rFonts w:hint="eastAsia" w:ascii="宋体" w:hAnsi="宋体" w:cs="宋体"/>
                <w:b/>
                <w:bCs/>
                <w:color w:val="auto"/>
                <w:kern w:val="0"/>
                <w:sz w:val="24"/>
                <w:szCs w:val="24"/>
                <w:highlight w:val="none"/>
                <w:lang w:val="en-US" w:eastAsia="zh-CN"/>
              </w:rPr>
              <w:t>批</w:t>
            </w:r>
            <w:r>
              <w:rPr>
                <w:rFonts w:hint="eastAsia" w:ascii="宋体" w:hAnsi="宋体" w:eastAsia="宋体" w:cs="宋体"/>
                <w:b/>
                <w:bCs/>
                <w:color w:val="auto"/>
                <w:kern w:val="0"/>
                <w:sz w:val="24"/>
                <w:szCs w:val="24"/>
                <w:highlight w:val="none"/>
              </w:rPr>
              <w:t>)</w:t>
            </w:r>
          </w:p>
        </w:tc>
        <w:tc>
          <w:tcPr>
            <w:tcW w:w="1564"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预计采购金额</w:t>
            </w:r>
          </w:p>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174"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招标内容及要求</w:t>
            </w:r>
          </w:p>
        </w:tc>
        <w:tc>
          <w:tcPr>
            <w:tcW w:w="1554"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投标保证金</w:t>
            </w:r>
          </w:p>
          <w:p>
            <w:pPr>
              <w:pStyle w:val="1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703" w:type="dxa"/>
            <w:noWrap/>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1065"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810" w:type="dxa"/>
            <w:noWrap/>
            <w:vAlign w:val="center"/>
          </w:tcPr>
          <w:p>
            <w:pPr>
              <w:spacing w:line="400" w:lineRule="exact"/>
              <w:jc w:val="center"/>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rPr>
              <w:t>UPVC塑料无压埋地式排污管材及</w:t>
            </w:r>
            <w:r>
              <w:rPr>
                <w:rFonts w:hint="eastAsia" w:ascii="宋体" w:hAnsi="宋体" w:eastAsia="宋体" w:cs="宋体"/>
                <w:color w:val="auto"/>
                <w:sz w:val="24"/>
                <w:szCs w:val="24"/>
                <w:highlight w:val="none"/>
                <w:lang w:eastAsia="zh-CN"/>
              </w:rPr>
              <w:t>管件</w:t>
            </w:r>
          </w:p>
        </w:tc>
        <w:tc>
          <w:tcPr>
            <w:tcW w:w="893"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564" w:type="dxa"/>
            <w:noWrap/>
            <w:vAlign w:val="center"/>
          </w:tcPr>
          <w:p>
            <w:pPr>
              <w:widowControl/>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highlight w:val="none"/>
                <w:lang w:bidi="ar"/>
              </w:rPr>
              <w:t>45850249.67</w:t>
            </w:r>
          </w:p>
        </w:tc>
        <w:tc>
          <w:tcPr>
            <w:tcW w:w="1174" w:type="dxa"/>
            <w:vMerge w:val="restart"/>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详见招标文件第五章技术参数及要求</w:t>
            </w:r>
          </w:p>
        </w:tc>
        <w:tc>
          <w:tcPr>
            <w:tcW w:w="1554" w:type="dxa"/>
            <w:noWrap/>
            <w:vAlign w:val="center"/>
          </w:tcPr>
          <w:p>
            <w:pPr>
              <w:spacing w:line="40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0"/>
                <w:sz w:val="24"/>
                <w:szCs w:val="24"/>
                <w:highlight w:val="none"/>
                <w:lang w:bidi="ar"/>
              </w:rPr>
              <w:t>45850</w:t>
            </w:r>
            <w:r>
              <w:rPr>
                <w:rFonts w:hint="eastAsia" w:ascii="宋体" w:hAnsi="宋体" w:cs="宋体"/>
                <w:color w:val="auto"/>
                <w:kern w:val="0"/>
                <w:sz w:val="24"/>
                <w:szCs w:val="24"/>
                <w:highlight w:val="none"/>
                <w:lang w:val="en-US" w:eastAsia="zh-CN" w:bidi="ar"/>
              </w:rPr>
              <w:t>3</w:t>
            </w:r>
            <w:r>
              <w:rPr>
                <w:rFonts w:hint="eastAsia" w:ascii="宋体" w:hAnsi="宋体" w:cs="宋体"/>
                <w:color w:val="auto"/>
                <w:sz w:val="24"/>
                <w:szCs w:val="24"/>
                <w:highlight w:val="none"/>
                <w:shd w:val="clear" w:color="auto" w:fill="FFFFFF"/>
                <w:lang w:val="en-US" w:eastAsia="zh-CN"/>
              </w:rPr>
              <w:t>.00</w:t>
            </w:r>
          </w:p>
        </w:tc>
        <w:tc>
          <w:tcPr>
            <w:tcW w:w="1703" w:type="dxa"/>
            <w:vMerge w:val="restart"/>
            <w:noWrap/>
            <w:vAlign w:val="center"/>
          </w:tcPr>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日常批次供货应在采购人通知供货后7日内送达采购人规定的地点。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065"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w:t>
            </w:r>
          </w:p>
        </w:tc>
        <w:tc>
          <w:tcPr>
            <w:tcW w:w="1810"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玻璃钢夹砂管</w:t>
            </w:r>
          </w:p>
        </w:tc>
        <w:tc>
          <w:tcPr>
            <w:tcW w:w="893"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564" w:type="dxa"/>
            <w:noWrap/>
            <w:vAlign w:val="center"/>
          </w:tcPr>
          <w:p>
            <w:pPr>
              <w:widowControl/>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11309869.6</w:t>
            </w:r>
            <w:r>
              <w:rPr>
                <w:rFonts w:hint="eastAsia" w:ascii="宋体" w:hAnsi="宋体" w:eastAsia="宋体" w:cs="宋体"/>
                <w:color w:val="auto"/>
                <w:sz w:val="24"/>
                <w:szCs w:val="24"/>
                <w:highlight w:val="none"/>
                <w:lang w:val="en-US" w:eastAsia="zh-CN"/>
              </w:rPr>
              <w:t>0</w:t>
            </w:r>
          </w:p>
        </w:tc>
        <w:tc>
          <w:tcPr>
            <w:tcW w:w="1174" w:type="dxa"/>
            <w:vMerge w:val="continue"/>
            <w:noWrap/>
            <w:vAlign w:val="center"/>
          </w:tcPr>
          <w:p>
            <w:pPr>
              <w:spacing w:line="400" w:lineRule="exact"/>
              <w:jc w:val="center"/>
              <w:rPr>
                <w:rFonts w:hint="eastAsia" w:ascii="宋体" w:hAnsi="宋体" w:eastAsia="宋体" w:cs="宋体"/>
                <w:color w:val="auto"/>
                <w:sz w:val="24"/>
                <w:szCs w:val="24"/>
                <w:highlight w:val="none"/>
                <w:shd w:val="clear" w:color="auto" w:fill="FFFFFF"/>
              </w:rPr>
            </w:pPr>
          </w:p>
        </w:tc>
        <w:tc>
          <w:tcPr>
            <w:tcW w:w="1554" w:type="dxa"/>
            <w:noWrap/>
            <w:vAlign w:val="center"/>
          </w:tcPr>
          <w:p>
            <w:pPr>
              <w:spacing w:line="40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113099</w:t>
            </w:r>
            <w:r>
              <w:rPr>
                <w:rFonts w:hint="eastAsia" w:ascii="宋体" w:hAnsi="宋体" w:cs="宋体"/>
                <w:color w:val="auto"/>
                <w:sz w:val="24"/>
                <w:szCs w:val="24"/>
                <w:highlight w:val="none"/>
                <w:shd w:val="clear" w:color="auto" w:fill="FFFFFF"/>
                <w:lang w:val="en-US" w:eastAsia="zh-CN"/>
              </w:rPr>
              <w:t>.00</w:t>
            </w:r>
          </w:p>
        </w:tc>
        <w:tc>
          <w:tcPr>
            <w:tcW w:w="1703" w:type="dxa"/>
            <w:vMerge w:val="continue"/>
            <w:noWrap/>
            <w:vAlign w:val="center"/>
          </w:tcPr>
          <w:p>
            <w:pPr>
              <w:spacing w:line="400" w:lineRule="exact"/>
              <w:jc w:val="center"/>
              <w:rPr>
                <w:rFonts w:hint="eastAsia" w:ascii="宋体" w:hAnsi="宋体" w:eastAsia="宋体" w:cs="宋体"/>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1065"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p>
        </w:tc>
        <w:tc>
          <w:tcPr>
            <w:tcW w:w="1810" w:type="dxa"/>
            <w:noWrap/>
            <w:vAlign w:val="center"/>
          </w:tcPr>
          <w:p>
            <w:pPr>
              <w:pStyle w:val="1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球墨铸铁管</w:t>
            </w:r>
          </w:p>
        </w:tc>
        <w:tc>
          <w:tcPr>
            <w:tcW w:w="893" w:type="dxa"/>
            <w:noWrap/>
            <w:vAlign w:val="center"/>
          </w:tcPr>
          <w:p>
            <w:pPr>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p>
        </w:tc>
        <w:tc>
          <w:tcPr>
            <w:tcW w:w="1564" w:type="dxa"/>
            <w:noWrap/>
            <w:vAlign w:val="center"/>
          </w:tcPr>
          <w:p>
            <w:pPr>
              <w:widowControl/>
              <w:spacing w:line="400" w:lineRule="exact"/>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1342425.6</w:t>
            </w:r>
            <w:r>
              <w:rPr>
                <w:rFonts w:hint="eastAsia" w:ascii="宋体" w:hAnsi="宋体" w:eastAsia="宋体" w:cs="宋体"/>
                <w:color w:val="auto"/>
                <w:sz w:val="24"/>
                <w:szCs w:val="24"/>
                <w:highlight w:val="none"/>
                <w:lang w:val="en-US" w:eastAsia="zh-CN"/>
              </w:rPr>
              <w:t>0</w:t>
            </w:r>
          </w:p>
        </w:tc>
        <w:tc>
          <w:tcPr>
            <w:tcW w:w="1174" w:type="dxa"/>
            <w:vMerge w:val="continue"/>
            <w:noWrap/>
            <w:vAlign w:val="center"/>
          </w:tcPr>
          <w:p>
            <w:pPr>
              <w:spacing w:line="400" w:lineRule="exact"/>
              <w:jc w:val="center"/>
              <w:rPr>
                <w:rFonts w:hint="eastAsia" w:ascii="宋体" w:hAnsi="宋体" w:eastAsia="宋体" w:cs="宋体"/>
                <w:color w:val="auto"/>
                <w:sz w:val="24"/>
                <w:szCs w:val="24"/>
                <w:highlight w:val="none"/>
                <w:shd w:val="clear" w:color="auto" w:fill="FFFFFF"/>
              </w:rPr>
            </w:pPr>
          </w:p>
        </w:tc>
        <w:tc>
          <w:tcPr>
            <w:tcW w:w="1554" w:type="dxa"/>
            <w:noWrap/>
            <w:vAlign w:val="center"/>
          </w:tcPr>
          <w:p>
            <w:pPr>
              <w:spacing w:line="40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13425</w:t>
            </w:r>
            <w:r>
              <w:rPr>
                <w:rFonts w:hint="eastAsia" w:ascii="宋体" w:hAnsi="宋体" w:cs="宋体"/>
                <w:color w:val="auto"/>
                <w:sz w:val="24"/>
                <w:szCs w:val="24"/>
                <w:highlight w:val="none"/>
                <w:shd w:val="clear" w:color="auto" w:fill="FFFFFF"/>
                <w:lang w:val="en-US" w:eastAsia="zh-CN"/>
              </w:rPr>
              <w:t>.00</w:t>
            </w:r>
          </w:p>
        </w:tc>
        <w:tc>
          <w:tcPr>
            <w:tcW w:w="1703" w:type="dxa"/>
            <w:vMerge w:val="continue"/>
            <w:noWrap/>
            <w:vAlign w:val="center"/>
          </w:tcPr>
          <w:p>
            <w:pPr>
              <w:spacing w:line="400" w:lineRule="exact"/>
              <w:jc w:val="center"/>
              <w:rPr>
                <w:rFonts w:hint="eastAsia" w:ascii="宋体" w:hAnsi="宋体" w:eastAsia="宋体" w:cs="宋体"/>
                <w:color w:val="auto"/>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exact"/>
        </w:trPr>
        <w:tc>
          <w:tcPr>
            <w:tcW w:w="9763" w:type="dxa"/>
            <w:gridSpan w:val="7"/>
            <w:noWrap/>
            <w:vAlign w:val="center"/>
          </w:tcPr>
          <w:p>
            <w:pPr>
              <w:spacing w:line="400" w:lineRule="exact"/>
              <w:jc w:val="lef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注：</w:t>
            </w:r>
          </w:p>
          <w:p>
            <w:pPr>
              <w:spacing w:line="400" w:lineRule="exact"/>
              <w:jc w:val="left"/>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1、本项目合同包1、2,3投标人必须承诺中标后在项目所在地（仙游县</w:t>
            </w:r>
            <w:r>
              <w:rPr>
                <w:rFonts w:hint="eastAsia" w:ascii="宋体" w:hAnsi="宋体" w:eastAsia="宋体" w:cs="宋体"/>
                <w:b/>
                <w:bCs/>
                <w:color w:val="auto"/>
                <w:sz w:val="24"/>
                <w:szCs w:val="24"/>
                <w:highlight w:val="none"/>
                <w:shd w:val="clear" w:color="auto" w:fill="FFFFFF"/>
                <w:lang w:eastAsia="zh-CN"/>
              </w:rPr>
              <w:t>大济镇</w:t>
            </w:r>
            <w:r>
              <w:rPr>
                <w:rFonts w:hint="eastAsia" w:ascii="宋体" w:hAnsi="宋体" w:eastAsia="宋体" w:cs="宋体"/>
                <w:b/>
                <w:bCs/>
                <w:color w:val="auto"/>
                <w:sz w:val="24"/>
                <w:szCs w:val="24"/>
                <w:highlight w:val="none"/>
                <w:shd w:val="clear" w:color="auto" w:fill="FFFFFF"/>
              </w:rPr>
              <w:t>内）设立仓库，以保障货物供应及时需求。</w:t>
            </w:r>
          </w:p>
          <w:p>
            <w:pPr>
              <w:spacing w:line="400" w:lineRule="exact"/>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2、本项目合同包1、2、3采购合同期为：【自采购合同签订生效之日起满两周年或者是供货金额达到合同包的预计采购总金额（以先到为准）时，中标人停止供货并终止采购合同，结算金额按合同期内实际供货数量乘以中标单价结算】。</w:t>
            </w:r>
          </w:p>
        </w:tc>
      </w:tr>
    </w:tbl>
    <w:p>
      <w:pPr>
        <w:spacing w:line="420" w:lineRule="exact"/>
        <w:rPr>
          <w:color w:val="auto"/>
          <w:highlight w:val="none"/>
        </w:rPr>
      </w:pPr>
    </w:p>
    <w:p>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autoSpaceDN w:val="0"/>
        <w:spacing w:line="440" w:lineRule="exact"/>
        <w:ind w:firstLine="1800" w:firstLineChars="500"/>
        <w:rPr>
          <w:rFonts w:ascii="宋体" w:hAnsi="宋体" w:cs="宋体"/>
          <w:b/>
          <w:bCs/>
          <w:color w:val="auto"/>
          <w:sz w:val="36"/>
          <w:szCs w:val="36"/>
          <w:highlight w:val="none"/>
        </w:rPr>
      </w:pPr>
      <w:r>
        <w:rPr>
          <w:rFonts w:hint="eastAsia" w:ascii="宋体" w:hAnsi="宋体" w:cs="宋体"/>
          <w:b/>
          <w:bCs/>
          <w:color w:val="auto"/>
          <w:sz w:val="36"/>
          <w:szCs w:val="36"/>
          <w:highlight w:val="none"/>
        </w:rPr>
        <w:t>第二章   投标人须知前附表（表1）</w:t>
      </w:r>
    </w:p>
    <w:p>
      <w:pPr>
        <w:autoSpaceDN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表1</w:t>
      </w:r>
    </w:p>
    <w:tbl>
      <w:tblPr>
        <w:tblStyle w:val="22"/>
        <w:tblW w:w="10168" w:type="dxa"/>
        <w:tblCellSpacing w:w="1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12"/>
        <w:gridCol w:w="1720"/>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10108" w:type="dxa"/>
            <w:gridSpan w:val="3"/>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招标文件</w:t>
            </w:r>
          </w:p>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（第三章）</w:t>
            </w:r>
          </w:p>
        </w:tc>
        <w:tc>
          <w:tcPr>
            <w:tcW w:w="7591"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是否组织现场考察或召开开标前答疑会：否。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投标文件的份数</w:t>
            </w:r>
          </w:p>
          <w:p>
            <w:pPr>
              <w:autoSpaceDN w:val="0"/>
              <w:spacing w:line="440" w:lineRule="exact"/>
              <w:jc w:val="center"/>
              <w:rPr>
                <w:rFonts w:ascii="宋体" w:hAnsi="宋体" w:cs="宋体"/>
                <w:color w:val="auto"/>
                <w:sz w:val="24"/>
                <w:highlight w:val="none"/>
              </w:rPr>
            </w:pP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（1）纸质投标文件：</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①资格及资信证明部分的正本</w:t>
            </w:r>
            <w:r>
              <w:rPr>
                <w:rFonts w:hint="eastAsia" w:ascii="宋体" w:hAnsi="宋体" w:cs="宋体"/>
                <w:color w:val="auto"/>
                <w:sz w:val="24"/>
                <w:highlight w:val="none"/>
                <w:u w:val="single"/>
              </w:rPr>
              <w:t>1</w:t>
            </w:r>
            <w:r>
              <w:rPr>
                <w:rFonts w:hint="eastAsia" w:ascii="宋体" w:hAnsi="宋体" w:cs="宋体"/>
                <w:color w:val="auto"/>
                <w:sz w:val="24"/>
                <w:highlight w:val="none"/>
              </w:rPr>
              <w:t>份、副本</w:t>
            </w:r>
            <w:r>
              <w:rPr>
                <w:rFonts w:hint="eastAsia" w:ascii="宋体" w:hAnsi="宋体" w:cs="宋体"/>
                <w:color w:val="auto"/>
                <w:sz w:val="24"/>
                <w:highlight w:val="none"/>
                <w:u w:val="single"/>
              </w:rPr>
              <w:t>6</w:t>
            </w:r>
            <w:r>
              <w:rPr>
                <w:rFonts w:hint="eastAsia" w:ascii="宋体" w:hAnsi="宋体" w:cs="宋体"/>
                <w:color w:val="auto"/>
                <w:sz w:val="24"/>
                <w:highlight w:val="none"/>
              </w:rPr>
              <w:t>份，报价部分的正本</w:t>
            </w:r>
            <w:r>
              <w:rPr>
                <w:rFonts w:hint="eastAsia" w:ascii="宋体" w:hAnsi="宋体" w:cs="宋体"/>
                <w:color w:val="auto"/>
                <w:sz w:val="24"/>
                <w:highlight w:val="none"/>
                <w:u w:val="single"/>
              </w:rPr>
              <w:t>1</w:t>
            </w:r>
            <w:r>
              <w:rPr>
                <w:rFonts w:hint="eastAsia" w:ascii="宋体" w:hAnsi="宋体" w:cs="宋体"/>
                <w:color w:val="auto"/>
                <w:sz w:val="24"/>
                <w:highlight w:val="none"/>
              </w:rPr>
              <w:t>份、副本</w:t>
            </w:r>
            <w:r>
              <w:rPr>
                <w:rFonts w:hint="eastAsia" w:ascii="宋体" w:hAnsi="宋体" w:cs="宋体"/>
                <w:color w:val="auto"/>
                <w:sz w:val="24"/>
                <w:highlight w:val="none"/>
                <w:u w:val="single"/>
              </w:rPr>
              <w:t>6</w:t>
            </w:r>
            <w:r>
              <w:rPr>
                <w:rFonts w:hint="eastAsia" w:ascii="宋体" w:hAnsi="宋体" w:cs="宋体"/>
                <w:color w:val="auto"/>
                <w:sz w:val="24"/>
                <w:highlight w:val="none"/>
              </w:rPr>
              <w:t>份，技术商务部分的正本</w:t>
            </w:r>
            <w:r>
              <w:rPr>
                <w:rFonts w:hint="eastAsia" w:ascii="宋体" w:hAnsi="宋体" w:cs="宋体"/>
                <w:color w:val="auto"/>
                <w:sz w:val="24"/>
                <w:highlight w:val="none"/>
                <w:u w:val="single"/>
              </w:rPr>
              <w:t>1</w:t>
            </w:r>
            <w:r>
              <w:rPr>
                <w:rFonts w:hint="eastAsia" w:ascii="宋体" w:hAnsi="宋体" w:cs="宋体"/>
                <w:color w:val="auto"/>
                <w:sz w:val="24"/>
                <w:highlight w:val="none"/>
              </w:rPr>
              <w:t>份、副本</w:t>
            </w:r>
            <w:r>
              <w:rPr>
                <w:rFonts w:hint="eastAsia" w:ascii="宋体" w:hAnsi="宋体" w:cs="宋体"/>
                <w:color w:val="auto"/>
                <w:sz w:val="24"/>
                <w:highlight w:val="none"/>
                <w:u w:val="single"/>
              </w:rPr>
              <w:t>6</w:t>
            </w:r>
            <w:r>
              <w:rPr>
                <w:rFonts w:hint="eastAsia" w:ascii="宋体" w:hAnsi="宋体" w:cs="宋体"/>
                <w:color w:val="auto"/>
                <w:sz w:val="24"/>
                <w:highlight w:val="none"/>
              </w:rPr>
              <w:t>份。</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②可读介质（光盘或U盘）</w:t>
            </w:r>
            <w:r>
              <w:rPr>
                <w:rFonts w:hint="eastAsia" w:ascii="宋体" w:hAnsi="宋体" w:cs="宋体"/>
                <w:color w:val="auto"/>
                <w:sz w:val="24"/>
                <w:highlight w:val="none"/>
                <w:u w:val="single"/>
              </w:rPr>
              <w:t>2</w:t>
            </w:r>
            <w:r>
              <w:rPr>
                <w:rFonts w:hint="eastAsia" w:ascii="宋体" w:hAnsi="宋体" w:cs="宋体"/>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允许散装或活页装订的内容或材料</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（1）投标文件的补充、修改或撤回；</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（2）其他内容或材料：</w:t>
            </w:r>
            <w:r>
              <w:rPr>
                <w:rFonts w:hint="eastAsia" w:ascii="宋体" w:hAnsi="宋体" w:cs="宋体"/>
                <w:b/>
                <w:bCs/>
                <w:color w:val="auto"/>
                <w:kern w:val="0"/>
                <w:sz w:val="24"/>
                <w:highlight w:val="none"/>
              </w:rPr>
              <w:t>投标文件由资格及资信证明部分、报价部份和技术商务部份三部分组成，投标人必须分别编制资格及资信证明部分、报价部分和技术商务部分，资格及资信证明部分要求提供的证明材料必须在资格及资信证明部分体现，报价部分要求提供的证明材料必须在报价部分体现，技术商务部分不得出现任何报价及影响报价的材料，并分别单独装订胶装，分册密封；在投标文件封面上和密封袋上分别标明“资格及资信证明部分”、“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是否允许中标人将本项目的非主体、非关键性工作进行分包</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密封及其标记的具体形式</w:t>
            </w:r>
          </w:p>
          <w:p>
            <w:pPr>
              <w:autoSpaceDN w:val="0"/>
              <w:spacing w:line="440" w:lineRule="exact"/>
              <w:jc w:val="center"/>
              <w:rPr>
                <w:rFonts w:ascii="宋体" w:hAnsi="宋体" w:cs="宋体"/>
                <w:color w:val="auto"/>
                <w:sz w:val="24"/>
                <w:highlight w:val="none"/>
              </w:rPr>
            </w:pP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（1）全部纸质投标文件（包括正本、副本及可读介质）均应密封，否则</w:t>
            </w:r>
            <w:r>
              <w:rPr>
                <w:rFonts w:hint="eastAsia" w:ascii="宋体" w:hAnsi="宋体" w:cs="宋体"/>
                <w:b/>
                <w:bCs/>
                <w:color w:val="auto"/>
                <w:sz w:val="24"/>
                <w:highlight w:val="none"/>
              </w:rPr>
              <w:t>投标将被拒绝。</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（2）密封的外包装应至少标记“项目名称、招标编号、所投合同包、投标人的全称”等内容，否则造成投标文件误投、遗漏或提前拆封的，</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推荐候选人</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本项目合同包1、2、3推荐中标候选人数各为1家,第1名为合同包的中标人。中标人确定后要在规定时间内与采购人签订合同（不得以分支机构名义签订）。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75" w:type="dxa"/>
              <w:left w:w="150" w:type="dxa"/>
              <w:bottom w:w="75" w:type="dxa"/>
              <w:right w:w="150"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8</w:t>
            </w:r>
          </w:p>
        </w:tc>
        <w:tc>
          <w:tcPr>
            <w:tcW w:w="1690" w:type="dxa"/>
            <w:noWrap/>
            <w:tcMar>
              <w:top w:w="75" w:type="dxa"/>
              <w:left w:w="150" w:type="dxa"/>
              <w:bottom w:w="75" w:type="dxa"/>
              <w:right w:w="150"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本项目中标人的确定（以合同包为单位）</w:t>
            </w:r>
          </w:p>
        </w:tc>
        <w:tc>
          <w:tcPr>
            <w:tcW w:w="7591" w:type="dxa"/>
            <w:noWrap/>
            <w:tcMar>
              <w:top w:w="75" w:type="dxa"/>
              <w:left w:w="150" w:type="dxa"/>
              <w:bottom w:w="75" w:type="dxa"/>
              <w:right w:w="150" w:type="dxa"/>
            </w:tcMar>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采用综合评分法(详见评分细则）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质疑函原件应采用下列方式提交</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现场书面形式。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p>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招标文件的质疑</w:t>
            </w:r>
          </w:p>
          <w:p>
            <w:pPr>
              <w:autoSpaceDN w:val="0"/>
              <w:spacing w:line="440" w:lineRule="exact"/>
              <w:jc w:val="center"/>
              <w:rPr>
                <w:rFonts w:ascii="宋体" w:hAnsi="宋体" w:cs="宋体"/>
                <w:color w:val="auto"/>
                <w:sz w:val="24"/>
                <w:highlight w:val="none"/>
              </w:rPr>
            </w:pPr>
          </w:p>
          <w:p>
            <w:pPr>
              <w:autoSpaceDN w:val="0"/>
              <w:spacing w:line="440" w:lineRule="exact"/>
              <w:jc w:val="center"/>
              <w:rPr>
                <w:rFonts w:ascii="宋体" w:hAnsi="宋体" w:cs="宋体"/>
                <w:color w:val="auto"/>
                <w:sz w:val="24"/>
                <w:highlight w:val="none"/>
              </w:rPr>
            </w:pP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根据《中华人民共和国政府采购法》第五十二条和第五十三条规定，采购项目投标投标人在知道或者应当知道其权益受到损害之日起7个工作日内书面向采购人、采购代理机构提出质疑并提供证明材料；采购人、采购代理机构在收到质疑后7个工作日内作出书面答复。潜在投标人可在质疑时效期间内对招标文件以书面形式提出质疑。</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（2）质疑时效期间：</w:t>
            </w:r>
          </w:p>
          <w:p>
            <w:pPr>
              <w:pStyle w:val="10"/>
              <w:spacing w:line="440" w:lineRule="exact"/>
              <w:rPr>
                <w:rFonts w:ascii="宋体" w:hAnsi="宋体" w:cs="宋体"/>
                <w:color w:val="auto"/>
                <w:highlight w:val="none"/>
              </w:rPr>
            </w:pPr>
            <w:r>
              <w:rPr>
                <w:rFonts w:hint="eastAsia" w:ascii="宋体" w:hAnsi="宋体" w:cs="宋体"/>
                <w:color w:val="auto"/>
                <w:highlight w:val="none"/>
              </w:rPr>
              <w:t>①对招标文件提出质疑的，为招标文件报名之日或者招标文件公告期限届满之日(公告期限为5个工作日)起7个工作日内。</w:t>
            </w:r>
          </w:p>
          <w:p>
            <w:pPr>
              <w:pStyle w:val="10"/>
              <w:spacing w:line="440" w:lineRule="exact"/>
              <w:rPr>
                <w:rFonts w:ascii="宋体" w:hAnsi="宋体" w:cs="宋体"/>
                <w:color w:val="auto"/>
                <w:highlight w:val="none"/>
              </w:rPr>
            </w:pPr>
            <w:r>
              <w:rPr>
                <w:rFonts w:hint="eastAsia" w:ascii="宋体" w:hAnsi="宋体" w:cs="宋体"/>
                <w:color w:val="auto"/>
                <w:highlight w:val="none"/>
              </w:rPr>
              <w:t>②对采购过程提出质疑的，为各采购程序环节结束之日起7个工作日内。</w:t>
            </w:r>
          </w:p>
          <w:p>
            <w:pPr>
              <w:pStyle w:val="10"/>
              <w:spacing w:line="440" w:lineRule="exact"/>
              <w:rPr>
                <w:rFonts w:ascii="宋体" w:hAnsi="宋体" w:cs="宋体"/>
                <w:color w:val="auto"/>
                <w:highlight w:val="none"/>
              </w:rPr>
            </w:pPr>
            <w:r>
              <w:rPr>
                <w:rFonts w:hint="eastAsia" w:ascii="宋体" w:hAnsi="宋体" w:cs="宋体"/>
                <w:color w:val="auto"/>
                <w:highlight w:val="none"/>
              </w:rPr>
              <w:t>③对中标结果提出质疑的，为中标结果公告期限(公告期限为1个工作日)届满之日起7个工作日内。</w:t>
            </w:r>
          </w:p>
          <w:p>
            <w:pPr>
              <w:autoSpaceDN w:val="0"/>
              <w:spacing w:line="440" w:lineRule="exact"/>
              <w:rPr>
                <w:rFonts w:ascii="宋体" w:hAnsi="宋体" w:cs="宋体"/>
                <w:color w:val="auto"/>
                <w:spacing w:val="-2"/>
                <w:sz w:val="24"/>
                <w:highlight w:val="none"/>
              </w:rPr>
            </w:pPr>
            <w:r>
              <w:rPr>
                <w:rFonts w:hint="eastAsia" w:ascii="宋体" w:hAnsi="宋体" w:cs="宋体"/>
                <w:b/>
                <w:bCs/>
                <w:color w:val="auto"/>
                <w:kern w:val="0"/>
                <w:sz w:val="24"/>
                <w:highlight w:val="none"/>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b/>
                <w:bCs/>
                <w:color w:val="auto"/>
                <w:sz w:val="24"/>
                <w:highlight w:val="none"/>
              </w:rPr>
              <w:t>监督管理部门</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仙游县水利局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指定媒体</w:t>
            </w: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采购信息发布网站</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招标公告、更改通知、答疑纪要、中标结果等信息）：</w:t>
            </w:r>
          </w:p>
          <w:p>
            <w:pPr>
              <w:autoSpaceDN w:val="0"/>
              <w:spacing w:line="440" w:lineRule="exact"/>
              <w:rPr>
                <w:rFonts w:ascii="宋体" w:hAnsi="宋体" w:cs="宋体"/>
                <w:color w:val="auto"/>
                <w:sz w:val="24"/>
                <w:highlight w:val="none"/>
              </w:rPr>
            </w:pPr>
            <w:r>
              <w:rPr>
                <w:rFonts w:hint="eastAsia" w:ascii="宋体" w:hAnsi="宋体" w:cs="宋体"/>
                <w:color w:val="auto"/>
                <w:sz w:val="24"/>
                <w:highlight w:val="none"/>
              </w:rPr>
              <w:t>中国政府采购网、中国采购与招标网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690"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保证金</w:t>
            </w:r>
          </w:p>
        </w:tc>
        <w:tc>
          <w:tcPr>
            <w:tcW w:w="7591" w:type="dxa"/>
            <w:noWrap/>
            <w:tcMar>
              <w:top w:w="0" w:type="dxa"/>
              <w:left w:w="105" w:type="dxa"/>
              <w:bottom w:w="0" w:type="dxa"/>
              <w:right w:w="105" w:type="dxa"/>
            </w:tcMar>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投标保证金：</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合同包（1）保证金人民币</w:t>
            </w:r>
            <w:r>
              <w:rPr>
                <w:rFonts w:hint="eastAsia" w:ascii="宋体" w:hAnsi="宋体" w:cs="宋体"/>
                <w:color w:val="auto"/>
                <w:sz w:val="24"/>
                <w:szCs w:val="24"/>
                <w:highlight w:val="none"/>
                <w:lang w:eastAsia="zh-CN"/>
              </w:rPr>
              <w:t>肆拾叁万壹仟伍佰叁拾玖</w:t>
            </w:r>
            <w:r>
              <w:rPr>
                <w:rFonts w:hint="eastAsia" w:ascii="宋体" w:hAnsi="宋体" w:cs="宋体"/>
                <w:color w:val="auto"/>
                <w:sz w:val="24"/>
                <w:szCs w:val="24"/>
                <w:highlight w:val="none"/>
              </w:rPr>
              <w:t>元整(￥</w:t>
            </w:r>
            <w:r>
              <w:rPr>
                <w:rFonts w:hint="eastAsia" w:ascii="宋体" w:hAnsi="宋体" w:eastAsia="宋体" w:cs="宋体"/>
                <w:color w:val="auto"/>
                <w:kern w:val="0"/>
                <w:sz w:val="24"/>
                <w:szCs w:val="24"/>
                <w:highlight w:val="none"/>
                <w:lang w:bidi="ar"/>
              </w:rPr>
              <w:t>45850</w:t>
            </w:r>
            <w:r>
              <w:rPr>
                <w:rFonts w:hint="eastAsia" w:ascii="宋体" w:hAnsi="宋体" w:cs="宋体"/>
                <w:color w:val="auto"/>
                <w:kern w:val="0"/>
                <w:sz w:val="24"/>
                <w:szCs w:val="24"/>
                <w:highlight w:val="none"/>
                <w:lang w:val="en-US" w:eastAsia="zh-CN" w:bidi="ar"/>
              </w:rPr>
              <w:t>3</w:t>
            </w:r>
            <w:r>
              <w:rPr>
                <w:rFonts w:hint="eastAsia" w:ascii="宋体" w:hAnsi="宋体" w:cs="宋体"/>
                <w:color w:val="auto"/>
                <w:sz w:val="24"/>
                <w:szCs w:val="24"/>
                <w:highlight w:val="none"/>
              </w:rPr>
              <w:t xml:space="preserve">元)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合同包（2）保证金人民币</w:t>
            </w:r>
            <w:r>
              <w:rPr>
                <w:rFonts w:hint="eastAsia" w:ascii="宋体" w:hAnsi="宋体" w:cs="宋体"/>
                <w:color w:val="auto"/>
                <w:sz w:val="24"/>
                <w:szCs w:val="24"/>
                <w:highlight w:val="none"/>
                <w:lang w:eastAsia="zh-CN"/>
              </w:rPr>
              <w:t>壹拾壹万叁仟零玖拾玖元</w:t>
            </w:r>
            <w:r>
              <w:rPr>
                <w:rFonts w:hint="eastAsia" w:ascii="宋体" w:hAnsi="宋体" w:cs="宋体"/>
                <w:color w:val="auto"/>
                <w:sz w:val="24"/>
                <w:szCs w:val="24"/>
                <w:highlight w:val="none"/>
              </w:rPr>
              <w:t>整(￥</w:t>
            </w:r>
            <w:r>
              <w:rPr>
                <w:rFonts w:hint="eastAsia" w:ascii="宋体" w:hAnsi="宋体" w:cs="宋体"/>
                <w:color w:val="auto"/>
                <w:sz w:val="24"/>
                <w:szCs w:val="24"/>
                <w:highlight w:val="none"/>
                <w:shd w:val="clear" w:color="auto" w:fill="FFFFFF"/>
                <w:lang w:val="en-US" w:eastAsia="zh-CN"/>
              </w:rPr>
              <w:t>113099</w:t>
            </w:r>
            <w:r>
              <w:rPr>
                <w:rFonts w:hint="eastAsia" w:ascii="宋体" w:hAnsi="宋体" w:cs="宋体"/>
                <w:color w:val="auto"/>
                <w:sz w:val="24"/>
                <w:szCs w:val="24"/>
                <w:highlight w:val="none"/>
              </w:rPr>
              <w:t>元)</w:t>
            </w:r>
          </w:p>
          <w:p>
            <w:pPr>
              <w:autoSpaceDN w:val="0"/>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合同包（3）保证金人民币</w:t>
            </w:r>
            <w:r>
              <w:rPr>
                <w:rFonts w:hint="eastAsia" w:ascii="宋体" w:hAnsi="宋体" w:cs="宋体"/>
                <w:color w:val="auto"/>
                <w:sz w:val="24"/>
                <w:szCs w:val="24"/>
                <w:highlight w:val="none"/>
                <w:lang w:eastAsia="zh-CN"/>
              </w:rPr>
              <w:t>壹万叁仟肆佰贰拾伍</w:t>
            </w:r>
            <w:r>
              <w:rPr>
                <w:rFonts w:hint="eastAsia" w:ascii="宋体" w:hAnsi="宋体" w:cs="宋体"/>
                <w:color w:val="auto"/>
                <w:sz w:val="24"/>
                <w:szCs w:val="24"/>
                <w:highlight w:val="none"/>
              </w:rPr>
              <w:t>元整(￥</w:t>
            </w:r>
            <w:r>
              <w:rPr>
                <w:rFonts w:hint="eastAsia" w:ascii="宋体" w:hAnsi="宋体" w:cs="宋体"/>
                <w:color w:val="auto"/>
                <w:sz w:val="24"/>
                <w:szCs w:val="24"/>
                <w:highlight w:val="none"/>
                <w:shd w:val="clear" w:color="auto" w:fill="FFFFFF"/>
                <w:lang w:val="en-US" w:eastAsia="zh-CN"/>
              </w:rPr>
              <w:t>13425</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p>
          <w:p>
            <w:pPr>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保证金必须在开标前以转帐或电汇形式交至（开户名—福建省理策招标代理有限公司，开户行—福建莆田农村商业银行行政服务中心支行 ，账号-- 9040210030010000037291），以款到帐户为准，不接受现金。投标人在缴纳保证金时必须以公司的帐户或公司的名称缴纳，不得</w:t>
            </w:r>
            <w:r>
              <w:rPr>
                <w:rFonts w:hint="eastAsia" w:ascii="宋体" w:hAnsi="宋体" w:cs="宋体"/>
                <w:color w:val="auto"/>
                <w:spacing w:val="-4"/>
                <w:sz w:val="24"/>
                <w:szCs w:val="24"/>
                <w:highlight w:val="none"/>
              </w:rPr>
              <w:t>以投标代表个人的名称缴纳。保证金未按规定时间到账或提交投标保证金的汇款人名称与投标人名称不一致的，其投标将被拒绝。</w:t>
            </w:r>
          </w:p>
          <w:p>
            <w:pPr>
              <w:autoSpaceDN w:val="0"/>
              <w:spacing w:line="440" w:lineRule="exact"/>
              <w:rPr>
                <w:rFonts w:ascii="宋体" w:hAnsi="宋体" w:cs="宋体"/>
                <w:color w:val="auto"/>
                <w:sz w:val="24"/>
                <w:szCs w:val="24"/>
                <w:highlight w:val="none"/>
              </w:rPr>
            </w:pPr>
            <w:r>
              <w:rPr>
                <w:rFonts w:hint="eastAsia" w:ascii="宋体" w:hAnsi="宋体" w:cs="宋体"/>
                <w:b/>
                <w:color w:val="auto"/>
                <w:sz w:val="24"/>
                <w:szCs w:val="24"/>
                <w:highlight w:val="none"/>
              </w:rPr>
              <w:t>注：投标保证金转账时请注明所投项目的项目编号及合同包号。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blCellSpacing w:w="15" w:type="dxa"/>
        </w:trPr>
        <w:tc>
          <w:tcPr>
            <w:tcW w:w="767" w:type="dxa"/>
            <w:noWrap/>
            <w:tcMar>
              <w:top w:w="0" w:type="dxa"/>
              <w:left w:w="105" w:type="dxa"/>
              <w:bottom w:w="0" w:type="dxa"/>
              <w:right w:w="105" w:type="dxa"/>
            </w:tcMar>
            <w:vAlign w:val="center"/>
          </w:tcPr>
          <w:p>
            <w:pPr>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1690" w:type="dxa"/>
            <w:noWrap/>
            <w:tcMar>
              <w:top w:w="0" w:type="dxa"/>
              <w:left w:w="105" w:type="dxa"/>
              <w:bottom w:w="0" w:type="dxa"/>
              <w:right w:w="105" w:type="dxa"/>
            </w:tcMar>
            <w:vAlign w:val="center"/>
          </w:tcPr>
          <w:p>
            <w:pPr>
              <w:autoSpaceDN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招标代理服务费</w:t>
            </w:r>
          </w:p>
          <w:p>
            <w:pPr>
              <w:autoSpaceDN w:val="0"/>
              <w:spacing w:line="440" w:lineRule="exact"/>
              <w:rPr>
                <w:rFonts w:ascii="宋体" w:hAnsi="宋体" w:cs="宋体"/>
                <w:color w:val="auto"/>
                <w:sz w:val="24"/>
                <w:szCs w:val="24"/>
                <w:highlight w:val="none"/>
              </w:rPr>
            </w:pPr>
          </w:p>
        </w:tc>
        <w:tc>
          <w:tcPr>
            <w:tcW w:w="7591" w:type="dxa"/>
            <w:noWrap/>
            <w:tcMar>
              <w:top w:w="0" w:type="dxa"/>
              <w:left w:w="105" w:type="dxa"/>
              <w:bottom w:w="0" w:type="dxa"/>
              <w:right w:w="105" w:type="dxa"/>
            </w:tcMar>
            <w:vAlign w:val="center"/>
          </w:tcPr>
          <w:p>
            <w:pPr>
              <w:autoSpaceDN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1、本项目合同包1、2、3招标服务费由中标人支付；</w:t>
            </w:r>
          </w:p>
          <w:p>
            <w:pPr>
              <w:autoSpaceDN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2、其他：</w:t>
            </w:r>
          </w:p>
          <w:p>
            <w:pPr>
              <w:autoSpaceDN w:val="0"/>
              <w:spacing w:line="44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1）中标人在领取中标通知书时须向招标代理公司缴纳招标代理服务费。招标代理服务费参照原计价格〔2002〕1980号文件规定收取。 </w:t>
            </w:r>
          </w:p>
          <w:p>
            <w:pPr>
              <w:autoSpaceDN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中标服务费缴纳帐户：开户名—福建省理策招标代理有限公司，开户行—</w:t>
            </w:r>
            <w:r>
              <w:rPr>
                <w:rFonts w:hint="eastAsia" w:ascii="宋体" w:hAnsi="宋体" w:cs="宋体"/>
                <w:color w:val="auto"/>
                <w:sz w:val="24"/>
                <w:szCs w:val="24"/>
                <w:highlight w:val="none"/>
                <w:lang w:val="en-US" w:eastAsia="zh-CN"/>
              </w:rPr>
              <w:t>中国农业银行股份有限公司莆田市府支行</w:t>
            </w:r>
            <w:r>
              <w:rPr>
                <w:rFonts w:hint="eastAsia" w:ascii="宋体" w:hAnsi="宋体" w:cs="宋体"/>
                <w:color w:val="auto"/>
                <w:sz w:val="24"/>
                <w:szCs w:val="24"/>
                <w:highlight w:val="none"/>
              </w:rPr>
              <w:t>，帐号—</w:t>
            </w:r>
            <w:r>
              <w:rPr>
                <w:rFonts w:hint="eastAsia" w:ascii="宋体" w:hAnsi="宋体" w:cs="宋体"/>
                <w:color w:val="auto"/>
                <w:sz w:val="24"/>
                <w:szCs w:val="24"/>
                <w:highlight w:val="none"/>
                <w:lang w:val="en-US" w:eastAsia="zh-CN"/>
              </w:rPr>
              <w:t>13441501040007340</w:t>
            </w:r>
            <w:r>
              <w:rPr>
                <w:rFonts w:hint="eastAsia" w:ascii="宋体" w:hAnsi="宋体" w:cs="宋体"/>
                <w:color w:val="auto"/>
                <w:sz w:val="24"/>
                <w:szCs w:val="24"/>
                <w:highlight w:val="none"/>
              </w:rPr>
              <w:t>。</w:t>
            </w:r>
          </w:p>
        </w:tc>
      </w:tr>
    </w:tbl>
    <w:p>
      <w:pPr>
        <w:jc w:val="center"/>
        <w:rPr>
          <w:rFonts w:ascii="宋体" w:hAnsi="宋体" w:cs="宋体"/>
          <w:b/>
          <w:bCs/>
          <w:color w:val="auto"/>
          <w:sz w:val="36"/>
          <w:highlight w:val="none"/>
        </w:rPr>
      </w:pPr>
      <w:r>
        <w:rPr>
          <w:rFonts w:hint="eastAsia" w:ascii="宋体" w:hAnsi="宋体" w:cs="宋体"/>
          <w:b/>
          <w:bCs/>
          <w:color w:val="auto"/>
          <w:sz w:val="36"/>
          <w:highlight w:val="none"/>
        </w:rPr>
        <w:t>第三章  投标人须知</w:t>
      </w:r>
    </w:p>
    <w:p>
      <w:pPr>
        <w:pStyle w:val="10"/>
        <w:rPr>
          <w:color w:val="auto"/>
          <w:highlight w:val="none"/>
        </w:rPr>
      </w:pP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一、总则</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1、适用范围</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1.1适用于招标文件载明项目的采购活动（以下简称：“本次采购活动”）。</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2、定义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2.1“采购标的”指招标文件载明的需要采购的货物或服务。</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2.2“潜在投标人”指按照招标文件第一章第7条规定进行报名且有意向参加本项目投标的供应商。</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2.3“投标人”指按照招标文件第一章第7条规定进行报名并参加本项目投标的供应商。</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2.4“单位负责人”指单位法定代表人或法律、法规规定代表单位行使职权的主要负责人。</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2.5“投标人代表”指投标人的单位负责人或“单位负责人授权书”中载明的接受授权方。</w:t>
      </w:r>
    </w:p>
    <w:p>
      <w:pPr>
        <w:autoSpaceDN w:val="0"/>
        <w:spacing w:line="480" w:lineRule="exact"/>
        <w:jc w:val="center"/>
        <w:rPr>
          <w:rFonts w:ascii="宋体" w:hAnsi="宋体" w:cs="宋体"/>
          <w:b/>
          <w:bCs/>
          <w:color w:val="auto"/>
          <w:sz w:val="28"/>
          <w:szCs w:val="28"/>
          <w:highlight w:val="none"/>
        </w:rPr>
      </w:pP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二、投标人</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3、合格投标人</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3.1一般规定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（2）投标人的资格要求：详见招标文件第一章。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3.2若本项目接受联合体投标且投标人为联合体，则联合体各方应遵守本章第3.1条规定，同时还应遵守下列规定：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（1）联合体各方应提交联合体协议，联合体协议应符合招标文件规定。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（2）联合体各方不得再单独参加或与其他供应商另外组成联合体参加同一合同项下的投标。</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（3）联合体各方应共同与采购人签订采购合同，就采购合同约定的事项对采购人承担连带责任。</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4、投标费用</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4.1除招标文件另有规定外，投标人应自行承担其参加本项目投标所涉及的一切费用。</w:t>
      </w:r>
    </w:p>
    <w:p>
      <w:pPr>
        <w:pStyle w:val="21"/>
        <w:spacing w:line="480" w:lineRule="exact"/>
        <w:ind w:left="0" w:leftChars="0" w:firstLine="0" w:firstLineChars="0"/>
        <w:rPr>
          <w:rFonts w:ascii="宋体" w:hAnsi="宋体" w:cs="宋体"/>
          <w:color w:val="auto"/>
          <w:highlight w:val="none"/>
        </w:rPr>
      </w:pP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三、招标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5、招标文件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5.1招标文件由下述部分组成：</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（1）投标邀请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（2）投标人须知前附表（表1、2）</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（3）投标人须知</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（4）资格审查与评标</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（5）招标内容及要求</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（6）采购合同（参考文本）</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（7）投标文件格式</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（8）按照招标文件规定作为招标文件组成部分的其他内容（若有）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5.2招标文件的澄清或修改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可对已发出的招标文件进行必要的澄清或修改，但不得对招标文件载明的采购标的和投标人的资格要求进行改变。</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（2）除本章第5.2条第（3）款规定情形外，澄清或修改的内容可能影响投标文件编制的，</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将在投标截止时间至少15个日历日前，在招标文件载明的指定媒体以更正公告的形式发布澄清或修改的内容。不足15个日历日的，</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将顺延投标截止时间及开标时间，</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和投标人受原投标截止时间及开标时间制约的所有权利和义务均延长至新的投标截止时间及开标时间。</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（3）澄清或修改的内容可能改变招标文件载明的采购标的和投标人的资格要求的，本次采购活动结束，</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将依法组织后续采购活动（包括但不限于：重新招标、采用其他方式采购等）。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6、现场考察或开标前答疑会</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6.1是否组织现场考察或召开开标前答疑会：详见招标文件第二章。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7、更正公告</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7.1若</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发布更正公告，则更正公告及其所发布的内容或信息（包括但不限于：招标文件的澄清或修改、现场考察或答疑会的有关事宜等）作为招标文件组成部分，对投标人具有约束力。</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7.2更正公告作为</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通知所有潜在投标人的书面形式。</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8、终止公告</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8.1若出现因重大变故导致采购任务取消情形，福建省理策招标代理有限公司可终止招标并发布终止公告。</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8.2终止公告作为福建省理策招标代理有限公司通知所有潜在投标人的书面形式。</w:t>
      </w:r>
    </w:p>
    <w:p>
      <w:pPr>
        <w:autoSpaceDN w:val="0"/>
        <w:spacing w:line="480" w:lineRule="exact"/>
        <w:jc w:val="center"/>
        <w:rPr>
          <w:rFonts w:ascii="宋体" w:hAnsi="宋体" w:cs="宋体"/>
          <w:b/>
          <w:bCs/>
          <w:color w:val="auto"/>
          <w:sz w:val="28"/>
          <w:szCs w:val="28"/>
          <w:highlight w:val="none"/>
        </w:rPr>
      </w:pP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四、投标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9、投标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9.1投标人可对招标文件载明的全部或部分合同包进行投标。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9.2投标人应对同一个合同包内的所有内容进行完整投标，否则投标无效。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9.3投标人代表只能接受一个投标人的授权参加投标，否则投标无效。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9.4单位负责人为同一人或存在直接控股、管理关系的不</w:t>
      </w:r>
      <w:r>
        <w:rPr>
          <w:rFonts w:hint="eastAsia" w:ascii="宋体" w:hAnsi="宋体" w:cs="宋体"/>
          <w:color w:val="auto"/>
          <w:sz w:val="24"/>
          <w:szCs w:val="22"/>
          <w:highlight w:val="none"/>
        </w:rPr>
        <w:t>同供应商，不得</w:t>
      </w:r>
      <w:r>
        <w:rPr>
          <w:rFonts w:hint="eastAsia" w:ascii="宋体" w:hAnsi="宋体" w:cs="宋体"/>
          <w:color w:val="auto"/>
          <w:sz w:val="24"/>
          <w:highlight w:val="none"/>
        </w:rPr>
        <w:t>同时参加同一合同项下的投标，否则投标无效。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9.5为本项目提供整体设计、规范编制或项目管理、监理、检测等服务的供应商，不得参加本项目除整体设计、规范编制和项目管理、监理、检测等服务外的采购活动，否则投标无效。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9.6列入失信被执行人、重大税收违法案件当事人名单、政府采购严重违法失信行为记录名单及其他不符合政府采购法第二十二条规定条件的供应商，不得参加投标，否则投标无效。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9.7有下列情形之一的，视为投标人串通投标，其投标无效：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（1）不同投标人的投标文件由同一单位或个人编制；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（2）不同投标人委托同一单位或个人办理投标事宜；</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（3）不同投标人的投标文件载明的项目管理成员或联系人员为同一人；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（4）不同投标人的投标文件异常一致或投标报价呈规律性差异；</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（6）不同投标人的投标保证金从同一单位或个人的账户转出；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（7）有关法律、法规和规章及招标文件规定的其他串通投标情形。</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10、投标文件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10.1投标文件的编制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（1）投标人应先仔细阅读招标文件的全部内容后，再进行投标文件的编制。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（2）投标文件应按照本章第10.2条规定编制其组成部分。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（3）投标文件应满足招标文件提出的实质性要求和条件，并保证其所提交的全部资料是不可割离且真实、有效、准确、完整和不具有任何误导性的，否则造成不利后果由投标人承担责任。</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10.2投标文件由下述部分组成：</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（1）资格及资信证明部分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①投标函</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②投标人的资格及资信证明文件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③投标保证金</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（2）报价部分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①开标一览表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②投标分项报价表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③招标文件规定的价格扣除证明材料（若有）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④招标文件规定的加分证明材料（若有）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（3）技术商务部分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①标的说明一览表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②技术和服务要求响应表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③商务条件响应表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④投标人提交的其他资料（若有）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⑤招标文件规定作为投标文件组成部分的其他内容（若有）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10.3投标文件的语言</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（1）除招标文件另有规定外，投标文件应使用中文文本，若有不同文本，以中文文本为准。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10.4投标文件的份数：详见招标文件第二章。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10.5投标文件的格式</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（1）除招标文件另有规定外，投标文件应使用招标文件第七章规定的格式。</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（2）除招标文件另有规定外，投标文件的正本和全部副本均应使用不能擦去的墨料或墨水打印、书写或复印，其中：</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①正本应用A4幅面纸张打印装订，编制封面（封面标明“正本”字样）、索引、页码，并用胶装装订成册。</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②副本应用A4幅面纸张打印装订，编制封面（封面标明“副本”字样）、索引、页码，并用胶装装订成册；副本可用正本的完整复印件，并与正本保持一致（若不一致，以正本为准）。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③允许散装或活页装订的内容或材料：详见招标文件第二章。</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※除本章第10.5条第（2）款第③点规定情形外，投标文件散装或活页装订将导致投标无效。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（3）除招标文件另有规定外，投标文件应使用人民币作为计量货币。</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（4）除招标文件另有规定外，签署、盖章应遵守下列规定：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①投标文件应由投标人代表签字并加盖投标人的单位公章。若投标人代表为单位负责人授权的委托代理人，应提供“单位负责人授权书”。</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②投标文件应没有涂改或行间插字，除非这些改动是根据</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的指示进行的，或是为改正投标人造成的应修改的错误而进行的。若有前述改动，应按照下列规定之一对改动处进行处理：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a.投标人代表签字确认；</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b.加盖投标人的单位公章或校正章。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10.6投标报价</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（1）投标报价超出最高限价将导致投标无效。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（2）最高限价由采购人根据价格测算情况，在预算金额的额度内合理设定。最高限价不得超出预算金额。</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（3）除招标文件另有规定外，投标文件不能出现任何选择性的投标报价，即每一个合同包和品目号的采购标的都只能有一个投标报价。</w:t>
      </w:r>
      <w:r>
        <w:rPr>
          <w:rFonts w:hint="eastAsia" w:ascii="宋体" w:hAnsi="宋体" w:cs="宋体"/>
          <w:b/>
          <w:bCs/>
          <w:color w:val="auto"/>
          <w:sz w:val="24"/>
          <w:highlight w:val="none"/>
        </w:rPr>
        <w:t>任何选择性的投标报价将导致投标无效。</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10.7分包</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6"/>
          <w:sz w:val="24"/>
          <w:highlight w:val="none"/>
        </w:rPr>
        <w:t>是否允许中标人将本项目的非主体、非关键性工作进行分包：详见招标文件第二章。</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（3）招标文件允许中标人将非主体、非关键性工作进行分包的项目，有下列情形之一的，中标人不得分包：</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①投标文件中未载明分包承担主体；</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②投标文件载明的分包承担主体不具备相应资质条件；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③投标文件载明的分包承担主体拟再次分包。</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10.8投标有效期</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（1）招标文件载明的投标有效期：详见招标文件第二章。</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（2）投标文件承诺的投标有效期不得少于招标文件载明的投标有效期，否则投标无效。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（3）根据本次采购活动的需要，</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可于投标有效期届满之前书面要求投标人延长投标有效期，投标人应在</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10.9投标保证金</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（1）投标保证金作为投标人按照招标文件规定履行相应投标责任、义务的约束及担保。</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（2）投标保证金的有效期应与投标文件承诺的投标有效期保持一致，否则</w:t>
      </w:r>
      <w:r>
        <w:rPr>
          <w:rFonts w:hint="eastAsia" w:ascii="宋体" w:hAnsi="宋体" w:cs="宋体"/>
          <w:b/>
          <w:bCs/>
          <w:color w:val="auto"/>
          <w:sz w:val="24"/>
          <w:highlight w:val="none"/>
        </w:rPr>
        <w:t>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（3）提交</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①投标人应从其银行</w:t>
      </w:r>
      <w:r>
        <w:rPr>
          <w:rFonts w:hint="eastAsia" w:ascii="宋体" w:hAnsi="宋体" w:cs="宋体"/>
          <w:color w:val="auto"/>
          <w:sz w:val="24"/>
          <w:szCs w:val="22"/>
          <w:highlight w:val="none"/>
        </w:rPr>
        <w:t>账户按照下列</w:t>
      </w:r>
      <w:r>
        <w:rPr>
          <w:rFonts w:hint="eastAsia" w:ascii="宋体" w:hAnsi="宋体" w:cs="宋体"/>
          <w:color w:val="auto"/>
          <w:sz w:val="24"/>
          <w:highlight w:val="none"/>
        </w:rPr>
        <w:t>方式：</w:t>
      </w:r>
      <w:r>
        <w:rPr>
          <w:rFonts w:hint="eastAsia" w:ascii="宋体" w:hAnsi="宋体" w:cs="宋体"/>
          <w:b/>
          <w:bCs/>
          <w:color w:val="auto"/>
          <w:sz w:val="24"/>
          <w:highlight w:val="none"/>
        </w:rPr>
        <w:t>公对公转账方式</w:t>
      </w:r>
      <w:r>
        <w:rPr>
          <w:rFonts w:hint="eastAsia" w:ascii="宋体" w:hAnsi="宋体" w:cs="宋体"/>
          <w:color w:val="auto"/>
          <w:sz w:val="24"/>
          <w:highlight w:val="none"/>
        </w:rPr>
        <w:t>向招标文件载明的投标保证金账户提交投标保证金，具体金额详见招标文件第一章。</w:t>
      </w:r>
    </w:p>
    <w:p>
      <w:pPr>
        <w:pStyle w:val="20"/>
        <w:spacing w:line="480" w:lineRule="exact"/>
        <w:ind w:firstLine="480"/>
        <w:rPr>
          <w:rFonts w:ascii="宋体" w:hAnsi="宋体" w:cs="宋体"/>
          <w:color w:val="auto"/>
          <w:highlight w:val="none"/>
        </w:rPr>
      </w:pPr>
      <w:r>
        <w:rPr>
          <w:rFonts w:hint="eastAsia" w:ascii="宋体" w:hAnsi="宋体" w:cs="宋体"/>
          <w:color w:val="auto"/>
          <w:highlight w:val="none"/>
        </w:rPr>
        <w:t>②投标保证金应于投标截止时间前到达招标文件载明的投标保证金账户，否则视为投标保证金未提交。是否到达按照下列方式认定：</w:t>
      </w:r>
      <w:r>
        <w:rPr>
          <w:rStyle w:val="24"/>
          <w:rFonts w:hint="eastAsia" w:ascii="宋体" w:hAnsi="宋体" w:cs="宋体"/>
          <w:color w:val="auto"/>
          <w:highlight w:val="none"/>
        </w:rPr>
        <w:t>以招标文件指定保证金账户到账时间为准。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③若本项目接受联合体投标且投标人为联合体，则联合体中的牵头方应按照本章第10.9条第（3）款第①、②点规定提交投标保证金。</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※除招标文件另有规定外，未按照上述规定提交投标保证金将导致资格审查不合格。</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（4）退还</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①在投标截止时间前撤回已提交的投标文件的投标人，其投标保证金将在</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收到投标人书面撤回通知之日起5个工作日内退回原账户。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②未中标人的投标保证金将在中标通知书发出之日起5个工作日内退回原账户。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③中标人的投标保证金将在采购合同签订之后，</w:t>
      </w:r>
      <w:r>
        <w:rPr>
          <w:rFonts w:hint="eastAsia" w:ascii="宋体" w:hAnsi="宋体" w:cs="宋体"/>
          <w:b/>
          <w:bCs/>
          <w:color w:val="auto"/>
          <w:sz w:val="24"/>
          <w:highlight w:val="none"/>
        </w:rPr>
        <w:t>代理机构收到合同原件</w:t>
      </w:r>
      <w:r>
        <w:rPr>
          <w:rFonts w:hint="eastAsia" w:ascii="宋体" w:hAnsi="宋体" w:cs="宋体"/>
          <w:color w:val="auto"/>
          <w:sz w:val="24"/>
          <w:highlight w:val="none"/>
        </w:rPr>
        <w:t>起5个工作日内退回原账户。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④终止招标的，</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将在终止公告发布之日起5个工作日内退回已收取的投标保证金及其在银行产生的孳息。</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⑤除招标文件另有规定外，质疑或投诉涉及的投标人，若投标保证金尚未退还，则待质疑或投诉处理完毕后不计利息原额退还。</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※本章第10.9条第（4）款第①、②、③点规定的投标保证金退还时限不包括因投标人自身原因导致无法及时退还而增加的时间。</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（6）有下列情形之一的，投标保证金将不予退还：</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①投标人串通投标；</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②投标人提供虚假材料；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③投标人采取不正当手段诋毁、排挤其他投标人；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④投标截止时间后，投标人在投标有效期内撤销投标文件；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⑤投标人不接受评标委员会按照招标文件规定对投标报价错误之处进行修正；</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⑥投标人违反招标文件第三章第9.4、9.5、9.6条规定之一；</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⑦招标文件规定的其他不予退还情形；</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⑧中标人有下列情形之一的：</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szCs w:val="22"/>
          <w:highlight w:val="none"/>
        </w:rPr>
        <w:t>a.除不可</w:t>
      </w:r>
      <w:r>
        <w:rPr>
          <w:rFonts w:hint="eastAsia" w:ascii="宋体" w:hAnsi="宋体" w:cs="宋体"/>
          <w:color w:val="auto"/>
          <w:sz w:val="24"/>
          <w:highlight w:val="none"/>
        </w:rPr>
        <w:t>抗力外，因中标人自身原因未在中标通知书要求的期限内与采购人签订采购合同；</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b.未按照招标文件、投标文件的约定签订采购合同或提交履约保证金。</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※若上述投标保证金不予退还情形给采购人（采购代理机构）造成损失，则投标人还要承担相应的赔偿责任。</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10.10投标文件的提交</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（1）一个投标人只能提交一个投标文件，并按照招标文件第一章规定将其送达。</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（2）密封及其标记的具体形式：详见招标文件第二章。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10.11投标文件的补充、修改或撤回</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（1）投标截止时间前，投标人可对所提交的投标文件进行补充、修改或撤回，并书面通知</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（2）补充、修改的内容应按照本章第10.5条第（4）款规定进行签署、盖章，并按照本章第10.10条规定提交</w:t>
      </w:r>
      <w:r>
        <w:rPr>
          <w:rFonts w:hint="eastAsia" w:ascii="宋体" w:hAnsi="宋体" w:cs="宋体"/>
          <w:b/>
          <w:bCs/>
          <w:color w:val="auto"/>
          <w:sz w:val="24"/>
          <w:highlight w:val="none"/>
        </w:rPr>
        <w:t>，否则将被拒收。</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※按照上述规定提交的补充、修改内容作为投标文件组成部分。</w:t>
      </w:r>
    </w:p>
    <w:p>
      <w:pPr>
        <w:autoSpaceDN w:val="0"/>
        <w:spacing w:line="480" w:lineRule="exact"/>
        <w:rPr>
          <w:rFonts w:ascii="宋体" w:hAnsi="宋体" w:cs="宋体"/>
          <w:b/>
          <w:bCs/>
          <w:color w:val="auto"/>
          <w:sz w:val="24"/>
          <w:highlight w:val="none"/>
        </w:rPr>
      </w:pPr>
      <w:r>
        <w:rPr>
          <w:rFonts w:hint="eastAsia" w:ascii="宋体" w:hAnsi="宋体" w:cs="宋体"/>
          <w:b/>
          <w:bCs/>
          <w:color w:val="auto"/>
          <w:sz w:val="24"/>
          <w:highlight w:val="none"/>
        </w:rPr>
        <w:t>10.12除招标文件另有规定外，有下列情形之一的，投标无效：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（1）投标文件未按照招标文件要求签署、盖章；</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（2）不符合招标文件中规定的资格要求；</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（3）投标报价超过招标文件中规定的预算金额或最高限价；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（4）投标文件含有采购人不能接受的附加条件；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（5）有关法律、法规和规章及招标文件规定的其他无效情形。</w:t>
      </w: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五、开标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11、开标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将在招标文件载明的开标时间及地点主持召开开标会，并邀请投标人参加。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11.2开标会的主持人、唱标人、记录人及其他工作人员（若有）均由</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派出，现场监督人员（若有）可由有关方面派出。</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11.3参加开标会的投标人应签到，非投标人不参加开标会。</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11.4开标会应遵守下列规定：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（1）首先由主持人宣布开标会须知，然后由投标人代表对投标文件的密封情况进行检查，经确认无误后，由工作人员对密封的投标文件当众拆封。</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（3）记录人对唱标人宣布的内容作开标记录。</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 xml:space="preserve">（5）投标人代表对开标过程和开标记录有疑义，以及认为采购人（采购代理机构）相关工作人员有需要回避情形的，应当场提出询问或回避申请。否则，视为投标人对开标过程和开标记录予以认可。 </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（6）若投标人未参加开标会（包括但不限于投标人派出的人员不是投标人代表），视同其对开标过程和开标记录予以认可。</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若出现本章第11.4条第（4）、（5）、（6）款规定情形之一，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b/>
          <w:bCs/>
          <w:color w:val="auto"/>
          <w:sz w:val="24"/>
          <w:highlight w:val="none"/>
          <w:u w:val="single"/>
        </w:rPr>
        <w:t>福建省理策招标代理有限公司</w:t>
      </w:r>
      <w:r>
        <w:rPr>
          <w:rFonts w:hint="eastAsia" w:ascii="宋体" w:hAnsi="宋体" w:cs="宋体"/>
          <w:b/>
          <w:bCs/>
          <w:color w:val="auto"/>
          <w:sz w:val="24"/>
          <w:highlight w:val="none"/>
        </w:rPr>
        <w:t>提出任何疑义或要求（包括质疑）。</w:t>
      </w:r>
    </w:p>
    <w:p>
      <w:pPr>
        <w:autoSpaceDN w:val="0"/>
        <w:spacing w:line="480" w:lineRule="exact"/>
        <w:ind w:firstLine="482"/>
        <w:rPr>
          <w:rFonts w:ascii="宋体" w:hAnsi="宋体" w:cs="宋体"/>
          <w:color w:val="auto"/>
          <w:sz w:val="24"/>
          <w:highlight w:val="none"/>
        </w:rPr>
      </w:pPr>
      <w:r>
        <w:rPr>
          <w:rFonts w:hint="eastAsia" w:ascii="宋体" w:hAnsi="宋体" w:cs="宋体"/>
          <w:color w:val="auto"/>
          <w:sz w:val="24"/>
          <w:highlight w:val="none"/>
        </w:rPr>
        <w:t>11.5投标截止时间后，参加投标的投标人不足三家的，不进行开标。同时，本次采购活动结束，福建省理策招标代理有限公司将依法组织后续采购活动（包括但不限于：重新招标、采用其他方式采购等）。</w:t>
      </w: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六、中标与采购合同</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12、中标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12.1本项目推荐的中标候选人家数：详见招标文件第二章。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12.2本项目中标人的确定：详见招标文件第二章。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12.3中标公告</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（1）中标人确定之日起2个工作日内，</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将在招标文件载明的指定媒体以中标公告的形式发布中标结果。</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（2）中标公告的公告期限为1个工作日。</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（3）中标公告同时作为</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通知除中标人外的其他投标人没有中标的书面形式。</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12.4中标通知书</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pacing w:val="-6"/>
          <w:sz w:val="24"/>
          <w:highlight w:val="none"/>
        </w:rPr>
        <w:t>中标公告发布的同时，</w:t>
      </w:r>
      <w:r>
        <w:rPr>
          <w:rFonts w:hint="eastAsia" w:ascii="宋体" w:hAnsi="宋体" w:cs="宋体"/>
          <w:color w:val="auto"/>
          <w:spacing w:val="-6"/>
          <w:sz w:val="24"/>
          <w:highlight w:val="none"/>
          <w:u w:val="single"/>
        </w:rPr>
        <w:t>福建省理策招标代理有限公司</w:t>
      </w:r>
      <w:r>
        <w:rPr>
          <w:rFonts w:hint="eastAsia" w:ascii="宋体" w:hAnsi="宋体" w:cs="宋体"/>
          <w:color w:val="auto"/>
          <w:spacing w:val="-6"/>
          <w:sz w:val="24"/>
          <w:highlight w:val="none"/>
        </w:rPr>
        <w:t>将向中标人发出中标通知书。</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（2）中标通知书发出后，采购人不得违法改变中标结果，中标人无正当理由不得放弃中标。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13、采购合同</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13.1签订采购合同应遵守政府采购法及实施条例的规定，不得对招标文件确定的事项和中标人的投标文件作实质性修改。采购人不得向中标人提出任何不合理的要求作为采购合同的签订条件。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13.2签订时限：自中标通知书发出之日起30个工作日内。</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13.3采购合同的履行、违约责任和解决争议的方法等适用民法典。</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13.4采购人与中标人应根据采购合同的约定依法履行合同义务。</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13.5中标人在采购合同履行过程中应遵守有关法律、法规和规章的强制性规定（即使前述强制性规定有可能在招标文件中未予列明）。</w:t>
      </w: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七、询问、质疑与投诉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14、询问</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14.1潜在投标人或投标人对本次采购活动的有关事项若有疑问，可向福建省理策招标代理有限公司提出询问，福建省理策招标代理有限公司将按照政府采购法及实施条例的有关规定进行答复。</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15、质疑</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15.1针对同一采购程序环节的质疑应在政府采购法及实施条例规定的时限内一次性提出，并同时符合下列条件：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（1）对招标文件提出质疑的，质疑人应为潜在投标人，且两者的身份、名称等均应保持一致。对采购过程、结果提出质疑的，质疑人应为投标人，且两者的身份、名称等均应保持一致。</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（2）质疑人应按照招标文件第二章规定方式提交质疑函。</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（3）质疑函应包括下列主要内容：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①质疑人的基本信息，至少包括：全称、地址、邮政编码等；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②所质疑项目的基本信息，至少包括：招标编号、项目名称等；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③所质疑的具体事项（以下简称：“质疑事项”）；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针对质疑事项提出的明确请求，前述明确请求指质疑人提出质疑的目的以及希望福建省理策招标代理有限公司对其质疑作出的处理结果，如：暂停招标投标活动、修改招标文件、停止或纠正违法违规行为、中标结果无效、废标、重新招标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⑤针对质疑事项导致质疑人自身权益受到损害的必要证明材料，至少包括：</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a.质疑人代表的身份证明材料：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a2若本项目接受自然人投标且质疑人为自然人的，提供本人的身份证复印件。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b.其他证明材料（即事实依据和必要的法律依据）包括但不限于下列材料：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b1所质疑的具体事项是与自已有利害关系的证明材料；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b2质疑函所述事实存在的证明材料，如：采购文件、采购过程或中标结果违法违规或不符合采购文件要求等证明材料；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b3依法应终止采购程序的证明材料；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b4应重新采购的证明材料；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b5采购文件、采购过程或中标、成交结果损害自已合法权益的证明材料等；</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b6若质疑的具体事项按照有关法律、法规和规章规定处于保密阶段，则应提供信息或证明材料为合法或公开渠道获得的有效证据（若证据无法有效表明信息或证明材料为合法或公开渠道获得，</w:t>
      </w:r>
      <w:r>
        <w:rPr>
          <w:rFonts w:hint="eastAsia" w:ascii="宋体" w:hAnsi="宋体" w:cs="宋体"/>
          <w:b/>
          <w:bCs/>
          <w:color w:val="auto"/>
          <w:sz w:val="24"/>
          <w:highlight w:val="none"/>
        </w:rPr>
        <w:t>则前述信息或证明材料视为无效）</w:t>
      </w:r>
      <w:r>
        <w:rPr>
          <w:rFonts w:hint="eastAsia" w:ascii="宋体" w:hAnsi="宋体" w:cs="宋体"/>
          <w:color w:val="auto"/>
          <w:sz w:val="24"/>
          <w:highlight w:val="none"/>
        </w:rPr>
        <w:t>。⑥质疑人代表及其联系方法的信息，至少包括：姓名、手机、电子信箱、邮寄地址等。⑦提出质疑的日期。</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※质疑人为法人或其他组织的，质疑函应由单位负责人或委托代理人签字或盖章，并加盖投标人的单位公章。质疑人为自然人的，质疑函应由本人签字。</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15.2对不符合本章第15.1条规定的质疑，将按照下列规定进行处理：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（1）不符合其中第（1）、（2）条规定的，书面告知质疑人不予受理及其理由。</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（2）不符合其中第（3）条规定的，书面告知质疑人修改、补充后在规定时限内重新提交质疑函。</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15.3对符合本章第15.1条规定的质疑，将按照政府采购法及实施条例、政府采购质疑和投诉办法的有关规定进行答复。</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15.4招标文件的质疑：详见招标文件第二章。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16、投诉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16.2投诉应有明确的请求和必要的证明材料，投诉的事项不得超出已质疑事项的范围。</w:t>
      </w: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八、政府采购政策</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17、政府采购政策由财政部根据国家的经济和社会发展政策并会同国家有关部委制定，包括但不限于下列具体政策要求：</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17.1进口产品指通过中国海关报关验放进入中国境内且产自关境外的产品，其中：</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（2）凡在海关特殊监管区域内企业生产或加工（包括从境外进口料件）销往境内其他地区的产品，不作为政府采购项下进口产品。</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（3）对从境外进入海关特殊监管区域，再经办理报关手续后从海关特殊监管区进入境内其他地区的产品，认定为进口产品。</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（4）招标文件列明不允许或未列明允许进口产品参加投标的，均视为拒绝进口产品参加投标。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autoSpaceDN w:val="0"/>
        <w:spacing w:line="480" w:lineRule="exact"/>
        <w:ind w:firstLine="472" w:firstLineChars="200"/>
        <w:rPr>
          <w:rFonts w:ascii="宋体" w:hAnsi="宋体" w:cs="宋体"/>
          <w:color w:val="auto"/>
          <w:sz w:val="24"/>
          <w:highlight w:val="none"/>
        </w:rPr>
      </w:pPr>
      <w:r>
        <w:rPr>
          <w:rFonts w:hint="eastAsia" w:ascii="宋体" w:hAnsi="宋体" w:cs="宋体"/>
          <w:color w:val="auto"/>
          <w:spacing w:val="-2"/>
          <w:sz w:val="24"/>
          <w:highlight w:val="none"/>
        </w:rPr>
        <w:t>（3）对于同时列入节能清单和环保清单的产品，优先于只列入其中一个清单的产品</w:t>
      </w:r>
      <w:r>
        <w:rPr>
          <w:rFonts w:hint="eastAsia" w:ascii="宋体" w:hAnsi="宋体" w:cs="宋体"/>
          <w:color w:val="auto"/>
          <w:sz w:val="24"/>
          <w:highlight w:val="none"/>
        </w:rPr>
        <w:t>。</w:t>
      </w:r>
    </w:p>
    <w:p>
      <w:pPr>
        <w:autoSpaceDN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（4）在财政部会同上述国家部委调整公布最新一期节能或环保清单通知发布之前已经开展但尚未进入评审环节的采购活动，按照招标文件约定的期数执行。在发布之后开展的采购活动，按照最新一期执行</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 xml:space="preserve">    （5）未在节能清单、环保清单内的产品应提交国家确定的认证机构出具的、处于有效期之内的节能产品、环境标志产品认证证书。</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pacing w:val="2"/>
          <w:sz w:val="24"/>
          <w:highlight w:val="none"/>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17.4符合财政部、工信部文件（财库[2011]181号）规定的小型、微型企业可享受扶持政策（如：预留份额、评审中价格扣除等）。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autoSpaceDN w:val="0"/>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（1）中小企业指同时符合下列条件的中型、小型、微型企业：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①符合《工业和信息化部、国家统计局、国家发展和改革委员会、财政部关于印发中小企业划型标准规定的通知》（工信部联企业[2011]300号）规定的划分标准；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autoSpaceDN w:val="0"/>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①监狱企业参加采购活动时，应提供由省级以上监狱管理局、戒毒管理局（含新疆生产建设兵团）出具的属于监狱企业的证明文件。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②监狱企业视同小型、微型企业。</w:t>
      </w:r>
    </w:p>
    <w:p>
      <w:pPr>
        <w:autoSpaceDN w:val="0"/>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（3）残疾人福利性单位指同时符合下列条件的单位：</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⑤提供本单位制造的货物、承担的工程或服务，或提供其他残疾人福利性单位制造的货物（不包括使用非残疾人福利性单位注册商标的货物）。</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17.5信用记录指由财政部确定的有关网站提供的相关主体信用信息。信用记录的查询及使用应符合财政部文件（财库[2016]125号）规定。</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17.6为落实采购政策需满足的要求：详见招标文件第一章。</w:t>
      </w:r>
    </w:p>
    <w:p>
      <w:pPr>
        <w:autoSpaceDN w:val="0"/>
        <w:spacing w:line="48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九、本项目的有关信息</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18、本项目的有关信息，包括但不限于：招标公告、更正公告（若有）、招标文件、招标文件的澄清或修改（若有）、中标公告、终止公告（若有）、废标公告（若有）等都将在招标文件载明的指定媒体发布。</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18.1指定媒体：详见招标文件第二章。</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18.2本项目的潜在投标人或投标人应随时关注指定媒体，否则产生不利后果由其自行承担。</w:t>
      </w:r>
    </w:p>
    <w:p>
      <w:pPr>
        <w:autoSpaceDN w:val="0"/>
        <w:spacing w:line="480" w:lineRule="exact"/>
        <w:jc w:val="center"/>
        <w:rPr>
          <w:rFonts w:ascii="宋体" w:hAnsi="宋体" w:cs="宋体"/>
          <w:b/>
          <w:bCs/>
          <w:color w:val="auto"/>
          <w:sz w:val="36"/>
          <w:szCs w:val="36"/>
          <w:highlight w:val="none"/>
        </w:rPr>
      </w:pPr>
    </w:p>
    <w:p>
      <w:pPr>
        <w:autoSpaceDN w:val="0"/>
        <w:spacing w:line="480" w:lineRule="exact"/>
        <w:rPr>
          <w:rFonts w:ascii="宋体" w:hAnsi="宋体" w:cs="宋体"/>
          <w:b/>
          <w:bCs/>
          <w:color w:val="auto"/>
          <w:sz w:val="36"/>
          <w:szCs w:val="36"/>
          <w:highlight w:val="none"/>
        </w:rPr>
      </w:pPr>
    </w:p>
    <w:p>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autoSpaceDN w:val="0"/>
        <w:spacing w:line="48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第四章  资格审查与评标</w:t>
      </w:r>
    </w:p>
    <w:p>
      <w:pPr>
        <w:autoSpaceDN w:val="0"/>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一、资格审查</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1、开标结束后，由评委组建评审资格审查工作。</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1.1资格审查的依据是招标文件和投标文件。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1.2资格审查的范围及内容：投标文件（资格及资信证明部分），具体如下：</w:t>
      </w:r>
    </w:p>
    <w:p>
      <w:pPr>
        <w:numPr>
          <w:ilvl w:val="0"/>
          <w:numId w:val="4"/>
        </w:num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 xml:space="preserve">“投标函”；  （2）“投标人的资格及资信证明文件”   </w:t>
      </w:r>
    </w:p>
    <w:p>
      <w:pPr>
        <w:autoSpaceDN w:val="0"/>
        <w:spacing w:line="480" w:lineRule="exact"/>
        <w:ind w:left="240"/>
        <w:rPr>
          <w:rFonts w:ascii="宋体" w:hAnsi="宋体" w:cs="宋体"/>
          <w:color w:val="auto"/>
          <w:sz w:val="24"/>
          <w:highlight w:val="none"/>
        </w:rPr>
      </w:pPr>
      <w:r>
        <w:rPr>
          <w:rFonts w:hint="eastAsia" w:ascii="宋体" w:hAnsi="宋体" w:cs="宋体"/>
          <w:color w:val="auto"/>
          <w:sz w:val="24"/>
          <w:highlight w:val="none"/>
        </w:rPr>
        <w:t>①一般资格证明文件：</w:t>
      </w:r>
    </w:p>
    <w:p>
      <w:pPr>
        <w:autoSpaceDN w:val="0"/>
        <w:spacing w:line="480" w:lineRule="exact"/>
        <w:ind w:left="240"/>
        <w:rPr>
          <w:rFonts w:ascii="宋体" w:hAnsi="宋体" w:cs="宋体"/>
          <w:color w:val="auto"/>
          <w:sz w:val="31"/>
          <w:highlight w:val="none"/>
        </w:rPr>
      </w:pPr>
      <w:r>
        <w:rPr>
          <w:rFonts w:hint="eastAsia" w:ascii="宋体" w:hAnsi="宋体" w:cs="宋体"/>
          <w:color w:val="auto"/>
          <w:sz w:val="24"/>
          <w:highlight w:val="none"/>
        </w:rPr>
        <w:t>包：1 ,2,3</w:t>
      </w:r>
    </w:p>
    <w:tbl>
      <w:tblPr>
        <w:tblStyle w:val="22"/>
        <w:tblW w:w="9829"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明细</w:t>
            </w:r>
          </w:p>
        </w:tc>
        <w:tc>
          <w:tcPr>
            <w:tcW w:w="8220"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单位负责人授权书（若有）</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营业执照等证明文件</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财务状况报告（财务报告、或资信证明、或投标担保函）</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1、投标人提供的财务报告复印件（成立年限按照投标截止时间推算）应符合下列规定：1.1成立年限满1年及以上的投标人，提供经审计的</w:t>
            </w:r>
            <w:r>
              <w:rPr>
                <w:rFonts w:hint="eastAsia" w:ascii="宋体" w:hAnsi="宋体" w:cs="宋体"/>
                <w:color w:val="auto"/>
                <w:sz w:val="24"/>
                <w:highlight w:val="none"/>
                <w:lang w:val="en-US" w:eastAsia="zh-CN"/>
              </w:rPr>
              <w:t>上一</w:t>
            </w:r>
            <w:r>
              <w:rPr>
                <w:rFonts w:hint="eastAsia" w:ascii="宋体" w:hAnsi="宋体" w:cs="宋体"/>
                <w:color w:val="auto"/>
                <w:sz w:val="24"/>
                <w:highlight w:val="none"/>
              </w:rPr>
              <w:t>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依法缴纳税收证明材料</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依法缴纳社会保障资金证明材料</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具备履行合同所必需设备和专业技术能力的声明函（若有）</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参加采购活动前三年内在经营活动中没有重大违法记录书面声明</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信用记录查询结果</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中小企业声明函（专门面向中小企业或小型、微型企业适用，若有）</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60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检察机关行贿犯罪档案查询结果告知函</w:t>
            </w:r>
          </w:p>
        </w:tc>
        <w:tc>
          <w:tcPr>
            <w:tcW w:w="8220"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投标人须提供有无行贿犯罪情形书面说明或承诺函（格式自拟）。</w:t>
            </w:r>
          </w:p>
        </w:tc>
      </w:tr>
    </w:tbl>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②.其他资格证明文件：</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包：1 ,2,3</w:t>
      </w:r>
    </w:p>
    <w:tbl>
      <w:tblPr>
        <w:tblStyle w:val="2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67"/>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367"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明细</w:t>
            </w:r>
          </w:p>
        </w:tc>
        <w:tc>
          <w:tcPr>
            <w:tcW w:w="7397"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招标文件规定的其他资格证明文件（若有）</w:t>
            </w:r>
          </w:p>
        </w:tc>
        <w:tc>
          <w:tcPr>
            <w:tcW w:w="739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同一品牌产品只能由厂家或厂家授权的唯一投标人参与投标；提供相同品牌产品的投标人超过两家及以上的，该品牌产品的投标人按投标无效处理；厂家授权的唯一投标人需要提供该厂家法人授权书和法人代表身份证复印件并由法人签字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具备履行合同所必需设备和专业技术能力专项证明材料（若有）</w:t>
            </w:r>
          </w:p>
        </w:tc>
        <w:tc>
          <w:tcPr>
            <w:tcW w:w="739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6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投标人免缴社保、税款的证明材料</w:t>
            </w:r>
          </w:p>
        </w:tc>
        <w:tc>
          <w:tcPr>
            <w:tcW w:w="7397"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投标人因疫情影响享受缓缴或免缴社保、税款的企业，无法提供相关社保、税收缴纳证明材料的，提供有关证明视同社保、税收缴纳证明材料提交完整。</w:t>
            </w:r>
          </w:p>
        </w:tc>
      </w:tr>
    </w:tbl>
    <w:p>
      <w:pPr>
        <w:pStyle w:val="2"/>
        <w:ind w:firstLine="0"/>
        <w:rPr>
          <w:color w:val="auto"/>
          <w:highlight w:val="none"/>
        </w:rPr>
      </w:pP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（3）投标保证金。</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1.3有下列情形之一的，资格审查不合格：包：1 ,2,3</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①一般情形：</w:t>
      </w:r>
    </w:p>
    <w:tbl>
      <w:tblPr>
        <w:tblStyle w:val="22"/>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2"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未按照招标文件规定提交投标保证金</w:t>
            </w:r>
          </w:p>
        </w:tc>
      </w:tr>
    </w:tbl>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1.4条规定进行资格审查。</w:t>
      </w:r>
    </w:p>
    <w:p>
      <w:pPr>
        <w:pStyle w:val="2"/>
        <w:ind w:firstLine="0"/>
        <w:rPr>
          <w:color w:val="auto"/>
          <w:highlight w:val="none"/>
        </w:rPr>
      </w:pPr>
      <w:r>
        <w:rPr>
          <w:rFonts w:hint="eastAsia" w:ascii="宋体" w:hAnsi="宋体" w:eastAsia="宋体" w:cs="宋体"/>
          <w:color w:val="auto"/>
          <w:kern w:val="0"/>
          <w:highlight w:val="none"/>
        </w:rPr>
        <w:t>①若本项目接受联合体投标且投标人为联合体，联合体中有同类资质的供应商按照联合体分工承担相同工作的，应先按照资质等级较低的供应商确定资质等级，再按照本章第1.2、1.3、1.4条规定进行资格审查。</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②资格审查情况不得私自外泄，有关信息由</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统一对外发布。</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③资格审查合格的投标人不足三家的，不进行评标。同时，本次采购活动结束，</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将依法组织后续采购活动（包括但不限于：重新招标、采用其他方式采购等）。</w:t>
      </w:r>
    </w:p>
    <w:p>
      <w:pPr>
        <w:autoSpaceDN w:val="0"/>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二、评标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1、由福建省理策招标代理有限公司负责评标委员会的组建及评标工作的组织。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2、评标委员会</w:t>
      </w:r>
    </w:p>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2.1评标委员会评审专家组成，成员人数应当为5人以上单数，其中评审专家不得少于成员总数的三分之二。</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2.2评标委员会负责具体评标事务，并按照下列原则依法独立履行有关职责：</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（1）评标应保护国家利益、社会公共利益和各方当事人合法权益，提高采购效益，保证项目质量。</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（2）评标应遵循公平、公正、科学、严谨和择优原则。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（3）评标的依据是招标文件和投标文件。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（4）应按照招标文件规定推荐中标候选人或确定中标人。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（5）评标应遵守下列评标纪律：</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①评标情况不得私自外泄，有关信息由</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统一对外发布。</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②对</w:t>
      </w:r>
      <w:r>
        <w:rPr>
          <w:rFonts w:hint="eastAsia" w:ascii="宋体" w:hAnsi="宋体" w:cs="宋体"/>
          <w:color w:val="auto"/>
          <w:sz w:val="24"/>
          <w:highlight w:val="none"/>
          <w:u w:val="single"/>
        </w:rPr>
        <w:t>福建省理策招标代理有限公司</w:t>
      </w:r>
      <w:r>
        <w:rPr>
          <w:rFonts w:hint="eastAsia" w:ascii="宋体" w:hAnsi="宋体" w:cs="宋体"/>
          <w:color w:val="auto"/>
          <w:sz w:val="24"/>
          <w:highlight w:val="none"/>
        </w:rPr>
        <w:t>或投标人提供的要求保密的资料，不得摘记翻印和外传。</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③不得收受投标人或有关人员的任何礼物，不得串联鼓动其他人袒护某投标人。若与投标人存在利害关系，则应主动声明并回避。</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④全体评委应按照招标文件规定进行评标，一切认定事项应查有实据且不得弄虚作假。</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⑤评标中应充分发扬民主，推荐中标候选人或确定中标人后要服从评标报告。</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※对违反评标纪律的评委，将取消其评委资格，对评标工作造成严重损失者将予以通报批评乃至追究法律责任。</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3、评标程序</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3.1评标前的准备工作</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（1）全体评委应认真审阅招标文件，了解评委应履行或遵守的职责、义务和评标纪律。</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3.2符合性审查</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（1）评标委员会依据招标文件的实质性要求，对通过资格审查的投标文件进行符合性审查，以确定其是否满足招标文件的实质性要求。</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（2）满足招标文件的实质性要求指投标文件对招标文件实质性要求的响应不存在重大偏差或保留。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（5）评标委员会对所有投标人都执行相同的程序和标准。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（6）有下列情形之一的，</w:t>
      </w:r>
      <w:r>
        <w:rPr>
          <w:rFonts w:hint="eastAsia" w:ascii="宋体" w:hAnsi="宋体" w:cs="宋体"/>
          <w:b/>
          <w:bCs/>
          <w:color w:val="auto"/>
          <w:sz w:val="24"/>
          <w:highlight w:val="none"/>
        </w:rPr>
        <w:t>符合性审查不合格：</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①一般情形：</w:t>
      </w:r>
    </w:p>
    <w:tbl>
      <w:tblPr>
        <w:tblStyle w:val="2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ign w:val="center"/>
          </w:tcPr>
          <w:p>
            <w:pPr>
              <w:autoSpaceDN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8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9589" w:type="dxa"/>
            <w:noWrap/>
            <w:vAlign w:val="center"/>
          </w:tcPr>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投标文件对招标文件实质性要求的响应存在重大偏离或保留。</w:t>
            </w:r>
          </w:p>
        </w:tc>
      </w:tr>
    </w:tbl>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 xml:space="preserve">②本项目规定的其他情形：技术符合性 </w:t>
      </w:r>
    </w:p>
    <w:tbl>
      <w:tblPr>
        <w:tblStyle w:val="22"/>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ign w:val="center"/>
          </w:tcPr>
          <w:p>
            <w:pPr>
              <w:widowControl/>
              <w:spacing w:line="48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noWrap/>
            <w:vAlign w:val="center"/>
          </w:tcPr>
          <w:p>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按照闽财购〔2010〕28号文件规定，若投标人的技术部分实际得分少于公开招标文件设定的技术部分总分50%，即视为技术部分未实质性响应公开招标文件要求，按无效响应处理。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ign w:val="center"/>
          </w:tcPr>
          <w:p>
            <w:pPr>
              <w:widowControl/>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投标人投标文件技术部分中出现报价部分的全部或部分的投标报价信息（或组成资料）的，按无效投标处理。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ign w:val="center"/>
          </w:tcPr>
          <w:p>
            <w:pPr>
              <w:widowControl/>
              <w:spacing w:line="4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技术和服务要求中对招标文件第五章以“★”标示的内容出现负偏离的，按无效投标处理。</w:t>
            </w:r>
          </w:p>
        </w:tc>
      </w:tr>
    </w:tbl>
    <w:p>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商务符合性 </w:t>
      </w:r>
    </w:p>
    <w:tbl>
      <w:tblPr>
        <w:tblStyle w:val="22"/>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ign w:val="center"/>
          </w:tcPr>
          <w:p>
            <w:pPr>
              <w:widowControl/>
              <w:spacing w:line="480" w:lineRule="exact"/>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ign w:val="center"/>
          </w:tcPr>
          <w:p>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投标人的投标文件不满足招标文件“第五章 五、商务条件”中的任何一项要求的，其投标无效。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0" w:type="auto"/>
            <w:noWrap/>
            <w:vAlign w:val="center"/>
          </w:tcPr>
          <w:p>
            <w:pPr>
              <w:widowControl/>
              <w:spacing w:line="48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rPr>
              <w:t>商务部分中不得出现报价部分的全部或部分的投标报价信息（或组成资料），否则符合性审查不合格。</w:t>
            </w:r>
          </w:p>
        </w:tc>
      </w:tr>
    </w:tbl>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3.3澄清有关问题</w:t>
      </w:r>
    </w:p>
    <w:p>
      <w:pPr>
        <w:autoSpaceDN w:val="0"/>
        <w:spacing w:line="480" w:lineRule="exact"/>
        <w:ind w:firstLine="420"/>
        <w:rPr>
          <w:rFonts w:ascii="宋体" w:hAnsi="宋体" w:cs="宋体"/>
          <w:color w:val="auto"/>
          <w:sz w:val="24"/>
          <w:highlight w:val="none"/>
        </w:rPr>
      </w:pPr>
      <w:r>
        <w:rPr>
          <w:rFonts w:hint="eastAsia" w:ascii="宋体" w:hAnsi="宋体" w:cs="宋体"/>
          <w:color w:val="auto"/>
          <w:sz w:val="24"/>
          <w:highlight w:val="none"/>
        </w:rPr>
        <w:t>（1）对通过符合性审查的投标文件中含义不明确、同类问题表述不一致或有明显文字和计算错误的内容，评标委员会将以书面形式要求投标人作出必要的澄清、说明或补正。</w:t>
      </w:r>
    </w:p>
    <w:p>
      <w:pPr>
        <w:autoSpaceDN w:val="0"/>
        <w:spacing w:line="480" w:lineRule="exact"/>
        <w:ind w:firstLine="420"/>
        <w:rPr>
          <w:rFonts w:ascii="宋体" w:hAnsi="宋体" w:cs="宋体"/>
          <w:color w:val="auto"/>
          <w:sz w:val="24"/>
          <w:highlight w:val="none"/>
        </w:rPr>
      </w:pPr>
      <w:r>
        <w:rPr>
          <w:rFonts w:hint="eastAsia" w:ascii="宋体" w:hAnsi="宋体" w:cs="宋体"/>
          <w:color w:val="auto"/>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（3）投标文件报价出现前后不一致的，除招标文件另有规定外，按照下列规定修正：</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①开标一览表内容与投标文件中相应内容不一致的，以开标一览表为准；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②大写金额和小写金额不一致的，以大写金额为准；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③单价金额小数点或百分比有明显错位的，以开标一览表的总价为准，并修改单价；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④总价金额与按照单价汇总金额不一致的，以单价金额计算结果为准。</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※同时出现两种以上不一致的，按照前款规定的顺序修正。修正后的报价应按照本章第3.3条第（1）、（2）款规定经投标人确认后产生约束力，投标人不确认的，其投标无效。</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（4）关于细微偏差</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②评标委员会将以书面形式要求存在细微偏差的投标人在评标委员会规定的时间内予以补正。若无法补正，则评标委员会将按照不利于投标人的内容进行认定。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（5）关于投标描述（即投标文件中描述的内容）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①投标描述前后不一致且不涉及证明材料的：按照本章第6.3条第（1）、（2）款规定执行。</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②投标描述与证明材料不一致或多份证明材料之间不一致的：</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a.评标委员会将要求投标人进行书面澄清，并按照不利于投标人的内容进行评标。</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3.4比较与评价</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（1）按照本章第7条载明的评标方法和标准，对符合性审查合格的投标文件进行比较与评价。</w:t>
      </w:r>
    </w:p>
    <w:p>
      <w:pPr>
        <w:autoSpaceDN w:val="0"/>
        <w:spacing w:line="480" w:lineRule="exact"/>
        <w:ind w:firstLine="480"/>
        <w:rPr>
          <w:rFonts w:ascii="宋体" w:hAnsi="宋体" w:cs="宋体"/>
          <w:b/>
          <w:bCs/>
          <w:color w:val="auto"/>
          <w:sz w:val="24"/>
          <w:highlight w:val="none"/>
        </w:rPr>
      </w:pPr>
      <w:r>
        <w:rPr>
          <w:rFonts w:hint="eastAsia" w:ascii="宋体" w:hAnsi="宋体" w:cs="宋体"/>
          <w:b/>
          <w:bCs/>
          <w:color w:val="auto"/>
          <w:sz w:val="24"/>
          <w:highlight w:val="none"/>
        </w:rPr>
        <w:t>（2）关于相同品牌产品（采购服务类项目不适用本条款规定）</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a.招标文件规定的方式：</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b.招标文件未规定的，采取随机抽取方式确定，其他</w:t>
      </w:r>
      <w:r>
        <w:rPr>
          <w:rFonts w:hint="eastAsia" w:ascii="宋体" w:hAnsi="宋体" w:cs="宋体"/>
          <w:b/>
          <w:bCs/>
          <w:color w:val="auto"/>
          <w:sz w:val="24"/>
          <w:highlight w:val="none"/>
        </w:rPr>
        <w:t>投标无效。</w:t>
      </w:r>
    </w:p>
    <w:p>
      <w:pPr>
        <w:autoSpaceDN w:val="0"/>
        <w:spacing w:line="480" w:lineRule="exact"/>
        <w:ind w:firstLine="480"/>
        <w:rPr>
          <w:rFonts w:ascii="宋体" w:hAnsi="宋体" w:cs="宋体"/>
          <w:color w:val="auto"/>
          <w:spacing w:val="-6"/>
          <w:sz w:val="24"/>
          <w:highlight w:val="none"/>
        </w:rPr>
      </w:pPr>
      <w:r>
        <w:rPr>
          <w:rFonts w:hint="eastAsia" w:ascii="宋体" w:hAnsi="宋体" w:cs="宋体"/>
          <w:color w:val="auto"/>
          <w:sz w:val="24"/>
          <w:highlight w:val="none"/>
        </w:rPr>
        <w:t>②</w:t>
      </w:r>
      <w:r>
        <w:rPr>
          <w:rFonts w:hint="eastAsia" w:ascii="宋体" w:hAnsi="宋体" w:cs="宋体"/>
          <w:color w:val="auto"/>
          <w:spacing w:val="-6"/>
          <w:sz w:val="24"/>
          <w:highlight w:val="none"/>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a.招标文件规定的方式：</w:t>
      </w:r>
      <w:r>
        <w:rPr>
          <w:rFonts w:hint="eastAsia" w:ascii="宋体" w:hAnsi="宋体" w:cs="宋体"/>
          <w:color w:val="auto"/>
          <w:sz w:val="24"/>
          <w:highlight w:val="none"/>
          <w:u w:val="single"/>
        </w:rPr>
        <w:t>无</w:t>
      </w:r>
      <w:r>
        <w:rPr>
          <w:rFonts w:hint="eastAsia" w:ascii="宋体" w:hAnsi="宋体" w:cs="宋体"/>
          <w:color w:val="auto"/>
          <w:sz w:val="24"/>
          <w:highlight w:val="none"/>
        </w:rPr>
        <w:t>。</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b.招标文件未规定的，采取随机抽</w:t>
      </w:r>
      <w:r>
        <w:rPr>
          <w:rFonts w:hint="eastAsia" w:ascii="宋体" w:hAnsi="宋体" w:cs="宋体"/>
          <w:color w:val="auto"/>
          <w:sz w:val="24"/>
          <w:highlight w:val="none"/>
        </w:rPr>
        <w:t>取方式确定，其他同品牌投标人不作为中标候选人。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③非单一产品采购项目，多家投标人提供的核心产品品牌相同的，按照本章第6.4条第（2）款第①、②规定处理。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（3）漏（缺）项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①招标文件中要求列入报价的费用（含配置、功能），漏（缺）项的报价视为已经包括在投标总价中。</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②对多报项及赠送项的价格评标时不予核减，全部进入评标价评分。</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3.5推荐中标候选人：详见本章第7.2条规定。</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3.6编写评标报告</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（1）评标报告由评标委员会负责编写。</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（2）评标报告应包括下列内容：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①招标公告刊登的媒体名称、开标日期和地点；</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②投标人名单和评标委员会成员名单；</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③评标方法和标准；</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④开标记录和评标情况及说明，包括无效投标人名单及原因；</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⑤评标结果，包括中标候选人名单或确定的中标人；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⑥其他需要说明的情况，包括但不限于：评标过程中投标人的澄清、说明或补正，评委更换等。</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3.8评委对需要共同认定的事项存在争议的，应按照少数服从多数的原则进行认定。持不同意见的评委应在评标报告上签署不同意见及理由，否则视为同意评标报告。</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3.9在评标过程中发现投标人有下列情形之一的，评标委员会应认定其投标无效，并书面报告本项目监督管理部门：</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（1）恶意串通（包括但不限于招标文件第三章第9.7条规定情形）；</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（2）妨碍其他投标人的竞争行为；</w:t>
      </w:r>
    </w:p>
    <w:p>
      <w:pPr>
        <w:autoSpaceDN w:val="0"/>
        <w:spacing w:line="480" w:lineRule="exact"/>
        <w:ind w:firstLine="480"/>
        <w:rPr>
          <w:rFonts w:ascii="宋体" w:hAnsi="宋体" w:cs="宋体"/>
          <w:color w:val="auto"/>
          <w:sz w:val="24"/>
          <w:highlight w:val="none"/>
        </w:rPr>
      </w:pPr>
      <w:r>
        <w:rPr>
          <w:rFonts w:hint="eastAsia" w:ascii="宋体" w:hAnsi="宋体" w:cs="宋体"/>
          <w:color w:val="auto"/>
          <w:sz w:val="24"/>
          <w:highlight w:val="none"/>
        </w:rPr>
        <w:t>（3）损害采购人或其他投标人的合法权益。</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3.10评标过程中，有下列情形之一的，应予废标：</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（1）符合性审查合格的投标人不足三家的；</w:t>
      </w:r>
    </w:p>
    <w:p>
      <w:pPr>
        <w:autoSpaceDN w:val="0"/>
        <w:spacing w:line="480" w:lineRule="exact"/>
        <w:rPr>
          <w:rFonts w:ascii="宋体" w:hAnsi="宋体" w:cs="宋体"/>
          <w:color w:val="auto"/>
          <w:sz w:val="24"/>
          <w:highlight w:val="none"/>
        </w:rPr>
      </w:pPr>
      <w:r>
        <w:rPr>
          <w:rFonts w:hint="eastAsia" w:ascii="宋体" w:hAnsi="宋体" w:cs="宋体"/>
          <w:color w:val="auto"/>
          <w:sz w:val="24"/>
          <w:highlight w:val="none"/>
        </w:rPr>
        <w:t>（2）有关法律、法规和规章规定废标的情形。</w:t>
      </w:r>
    </w:p>
    <w:p>
      <w:pPr>
        <w:autoSpaceDN w:val="0"/>
        <w:spacing w:line="480" w:lineRule="exact"/>
        <w:rPr>
          <w:rFonts w:ascii="宋体" w:hAnsi="宋体" w:cs="宋体"/>
          <w:b/>
          <w:bCs/>
          <w:color w:val="auto"/>
          <w:sz w:val="24"/>
          <w:highlight w:val="none"/>
        </w:rPr>
      </w:pPr>
      <w:r>
        <w:rPr>
          <w:rFonts w:hint="eastAsia" w:ascii="宋体" w:hAnsi="宋体" w:cs="宋体"/>
          <w:b/>
          <w:bCs/>
          <w:color w:val="auto"/>
          <w:sz w:val="24"/>
          <w:highlight w:val="none"/>
        </w:rPr>
        <w:t>※若废标，则本次采购活动结束，福建省理策招标代理有限公司将依法组织后续采购活动（包括但不限于：重新招标、采用其他方式采购等）。</w:t>
      </w:r>
    </w:p>
    <w:p>
      <w:pPr>
        <w:autoSpaceDN w:val="0"/>
        <w:spacing w:line="480" w:lineRule="exact"/>
        <w:rPr>
          <w:rFonts w:ascii="宋体" w:hAnsi="宋体" w:cs="宋体"/>
          <w:b/>
          <w:bCs/>
          <w:color w:val="auto"/>
          <w:sz w:val="24"/>
          <w:highlight w:val="none"/>
        </w:rPr>
      </w:pPr>
      <w:r>
        <w:rPr>
          <w:rFonts w:hint="eastAsia" w:ascii="宋体" w:hAnsi="宋体" w:cs="宋体"/>
          <w:b/>
          <w:bCs/>
          <w:color w:val="auto"/>
          <w:sz w:val="24"/>
          <w:highlight w:val="none"/>
        </w:rPr>
        <w:t>4、评标方法和标准</w:t>
      </w:r>
    </w:p>
    <w:p>
      <w:pPr>
        <w:widowControl/>
        <w:spacing w:line="480" w:lineRule="exact"/>
        <w:jc w:val="left"/>
        <w:rPr>
          <w:rFonts w:ascii="宋体" w:hAnsi="宋体" w:cs="宋体"/>
          <w:color w:val="auto"/>
          <w:kern w:val="0"/>
          <w:sz w:val="24"/>
          <w:highlight w:val="none"/>
        </w:rPr>
      </w:pPr>
      <w:r>
        <w:rPr>
          <w:rFonts w:hint="eastAsia" w:ascii="宋体" w:hAnsi="宋体" w:cs="宋体"/>
          <w:b/>
          <w:bCs/>
          <w:color w:val="auto"/>
          <w:sz w:val="24"/>
          <w:highlight w:val="none"/>
        </w:rPr>
        <w:t>4.1评标方法：</w:t>
      </w:r>
      <w:r>
        <w:rPr>
          <w:rFonts w:hint="eastAsia" w:ascii="宋体" w:hAnsi="宋体" w:cs="宋体"/>
          <w:color w:val="auto"/>
          <w:kern w:val="0"/>
          <w:sz w:val="24"/>
          <w:highlight w:val="none"/>
        </w:rPr>
        <w:t>本项目采用综合评分法。</w:t>
      </w:r>
    </w:p>
    <w:p>
      <w:pPr>
        <w:widowControl/>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4.2评标标准</w:t>
      </w:r>
    </w:p>
    <w:p>
      <w:pPr>
        <w:widowControl/>
        <w:spacing w:line="4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合同包1采用综合评分法： </w:t>
      </w:r>
    </w:p>
    <w:p>
      <w:pPr>
        <w:pStyle w:val="20"/>
        <w:spacing w:line="480" w:lineRule="exact"/>
        <w:ind w:firstLine="480"/>
        <w:rPr>
          <w:rFonts w:ascii="宋体" w:hAnsi="宋体" w:cs="宋体"/>
          <w:color w:val="auto"/>
          <w:highlight w:val="none"/>
        </w:rPr>
      </w:pPr>
      <w:r>
        <w:rPr>
          <w:rFonts w:hint="eastAsia" w:ascii="宋体" w:hAnsi="宋体" w:cs="宋体"/>
          <w:color w:val="auto"/>
          <w:highlight w:val="none"/>
        </w:rPr>
        <w:t xml:space="preserve">（1）投标文件满足招标文件全部实质性要求，且按照评审因素的量化指标评审得分（即评标总得分）最高的投标人为中标候选人。 </w:t>
      </w:r>
    </w:p>
    <w:p>
      <w:pPr>
        <w:pStyle w:val="20"/>
        <w:spacing w:line="480" w:lineRule="exact"/>
        <w:ind w:firstLine="480"/>
        <w:rPr>
          <w:rFonts w:ascii="宋体" w:hAnsi="宋体" w:cs="宋体"/>
          <w:color w:val="auto"/>
          <w:highlight w:val="none"/>
        </w:rPr>
      </w:pPr>
      <w:r>
        <w:rPr>
          <w:rFonts w:hint="eastAsia" w:ascii="宋体" w:hAnsi="宋体" w:cs="宋体"/>
          <w:color w:val="auto"/>
          <w:highlight w:val="none"/>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20"/>
        <w:spacing w:line="480" w:lineRule="exact"/>
        <w:ind w:firstLine="480"/>
        <w:rPr>
          <w:rFonts w:ascii="宋体" w:hAnsi="宋体" w:cs="宋体"/>
          <w:b/>
          <w:color w:val="auto"/>
          <w:highlight w:val="none"/>
        </w:rPr>
      </w:pPr>
      <w:r>
        <w:rPr>
          <w:rFonts w:hint="eastAsia" w:ascii="宋体" w:hAnsi="宋体" w:cs="宋体"/>
          <w:color w:val="auto"/>
          <w:highlight w:val="none"/>
        </w:rPr>
        <w:t xml:space="preserve">（3）各项评审因素的设置如下： </w:t>
      </w:r>
    </w:p>
    <w:p>
      <w:pPr>
        <w:pStyle w:val="20"/>
        <w:spacing w:line="480" w:lineRule="exact"/>
        <w:ind w:firstLine="480"/>
        <w:rPr>
          <w:rFonts w:hint="eastAsia" w:ascii="宋体" w:hAnsi="宋体" w:cs="宋体"/>
          <w:b/>
          <w:color w:val="auto"/>
          <w:highlight w:val="none"/>
        </w:rPr>
      </w:pPr>
      <w:r>
        <w:rPr>
          <w:rFonts w:hint="eastAsia" w:ascii="宋体" w:hAnsi="宋体" w:cs="宋体"/>
          <w:b/>
          <w:color w:val="auto"/>
          <w:highlight w:val="none"/>
        </w:rPr>
        <w:t>①</w:t>
      </w:r>
      <w:r>
        <w:rPr>
          <w:rFonts w:hint="eastAsia" w:ascii="宋体" w:hAnsi="宋体" w:cs="宋体"/>
          <w:b/>
          <w:color w:val="auto"/>
          <w:highlight w:val="none"/>
          <w:lang w:val="en-US" w:eastAsia="zh-CN"/>
        </w:rPr>
        <w:t>价格部分评分（满分30分）</w:t>
      </w:r>
    </w:p>
    <w:p>
      <w:pPr>
        <w:pStyle w:val="20"/>
        <w:numPr>
          <w:ilvl w:val="0"/>
          <w:numId w:val="5"/>
        </w:numPr>
        <w:spacing w:line="480" w:lineRule="exact"/>
        <w:ind w:firstLine="480"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价格分统一采用低价优先法计算，即满足招标文件要求且投标价格</w:t>
      </w:r>
      <w:r>
        <w:rPr>
          <w:rFonts w:hint="eastAsia" w:ascii="宋体" w:hAnsi="宋体" w:eastAsia="宋体" w:cs="宋体"/>
          <w:b/>
          <w:bCs/>
          <w:color w:val="auto"/>
          <w:kern w:val="0"/>
          <w:sz w:val="24"/>
          <w:szCs w:val="24"/>
          <w:lang w:val="en-US" w:eastAsia="zh-CN"/>
        </w:rPr>
        <w:t>下浮率</w:t>
      </w:r>
      <w:r>
        <w:rPr>
          <w:rFonts w:hint="eastAsia" w:ascii="宋体" w:hAnsi="宋体" w:eastAsia="宋体" w:cs="宋体"/>
          <w:b w:val="0"/>
          <w:bCs w:val="0"/>
          <w:color w:val="auto"/>
          <w:kern w:val="0"/>
          <w:sz w:val="24"/>
          <w:szCs w:val="24"/>
          <w:lang w:val="en-US" w:eastAsia="zh-CN"/>
        </w:rPr>
        <w:t>最高的投标报价为评标基准价，其价格分为满分。其他投标人的价格分统一照下列公式计算：</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PF=（100%-Fmax）÷（100%-F）×30%的价格权值×100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val="0"/>
          <w:bCs w:val="0"/>
          <w:color w:val="auto"/>
          <w:kern w:val="0"/>
          <w:sz w:val="24"/>
          <w:szCs w:val="24"/>
          <w:lang w:val="en-US" w:eastAsia="zh-CN"/>
        </w:rPr>
        <w:t xml:space="preserve">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（1）PF为各有效投标人报价部分得分；</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（2）Fmax为最高的下浮率，作为基准价；</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（3）F为各有效投标人的下浮率；</w:t>
      </w:r>
    </w:p>
    <w:p>
      <w:pPr>
        <w:widowControl/>
        <w:shd w:val="clear" w:color="auto" w:fill="FFFFFF"/>
        <w:spacing w:line="360" w:lineRule="auto"/>
        <w:ind w:firstLine="480" w:firstLineChars="200"/>
        <w:jc w:val="left"/>
        <w:textAlignment w:val="baseline"/>
        <w:rPr>
          <w:color w:val="auto"/>
        </w:rPr>
      </w:pPr>
      <w:r>
        <w:rPr>
          <w:rFonts w:hint="eastAsia" w:ascii="宋体" w:hAnsi="宋体" w:eastAsia="宋体" w:cs="宋体"/>
          <w:b w:val="0"/>
          <w:bCs w:val="0"/>
          <w:color w:val="auto"/>
          <w:kern w:val="0"/>
          <w:sz w:val="24"/>
          <w:szCs w:val="24"/>
          <w:lang w:val="en-US" w:eastAsia="zh-CN"/>
        </w:rPr>
        <w:t>（4）计算分数时四舍五入取小数点后两位。</w:t>
      </w:r>
    </w:p>
    <w:p>
      <w:pPr>
        <w:numPr>
          <w:ilvl w:val="0"/>
          <w:numId w:val="5"/>
        </w:num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价格扣除的规则如下：</w:t>
      </w:r>
    </w:p>
    <w:tbl>
      <w:tblPr>
        <w:tblStyle w:val="22"/>
        <w:tblpPr w:leftFromText="180" w:rightFromText="180" w:vertAnchor="text" w:horzAnchor="page" w:tblpX="1105" w:tblpY="36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1513" w:type="dxa"/>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评标项目</w:t>
            </w:r>
          </w:p>
        </w:tc>
        <w:tc>
          <w:tcPr>
            <w:tcW w:w="8211" w:type="dxa"/>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13"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小型、微型企业，监狱企业，残疾人</w:t>
            </w:r>
          </w:p>
        </w:tc>
        <w:tc>
          <w:tcPr>
            <w:tcW w:w="8211"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1、评审时，对符合《政府采购促进中小企业发展管理办法》（财库﹝2020﹞46号）规定的小微企业报价给予价格扣除【货物和服务项目为</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 xml:space="preserve">%；对于联合协议或者分包意向协议约定小微企业的合同份额占到合同总金额 30%以上的，对联合体或者大中型企业的报价扣除比例为 </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的政策性优惠规定详见招标文件第三章、第七章规定，上述规定与政府采购相关法律、法规、制度等有冲突的，以现行法律、法规、制度等执行。本项目属于货物类采购，本合同包中小企业划分标准所属行业：塑料板、管、型材制造。 </w:t>
            </w:r>
          </w:p>
        </w:tc>
      </w:tr>
    </w:tbl>
    <w:p>
      <w:pPr>
        <w:pStyle w:val="20"/>
        <w:spacing w:line="480" w:lineRule="exact"/>
        <w:ind w:firstLine="480"/>
        <w:rPr>
          <w:rFonts w:ascii="宋体" w:hAnsi="宋体" w:cs="宋体"/>
          <w:b/>
          <w:color w:val="auto"/>
          <w:highlight w:val="none"/>
        </w:rPr>
      </w:pPr>
      <w:r>
        <w:rPr>
          <w:rFonts w:hint="eastAsia" w:ascii="宋体" w:hAnsi="宋体" w:cs="宋体"/>
          <w:b/>
          <w:color w:val="auto"/>
          <w:highlight w:val="none"/>
        </w:rPr>
        <w:t>②技术项F2满分为55分。</w:t>
      </w:r>
    </w:p>
    <w:tbl>
      <w:tblPr>
        <w:tblStyle w:val="22"/>
        <w:tblpPr w:leftFromText="180" w:rightFromText="180" w:vertAnchor="text" w:horzAnchor="page" w:tblpX="1188" w:tblpY="516"/>
        <w:tblOverlap w:val="never"/>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717"/>
        <w:gridCol w:w="603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26" w:type="dxa"/>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752" w:type="dxa"/>
            <w:gridSpan w:val="2"/>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750" w:type="dxa"/>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17" w:type="dxa"/>
            <w:noWrap/>
            <w:vAlign w:val="center"/>
          </w:tcPr>
          <w:p>
            <w:pPr>
              <w:widowControl/>
              <w:spacing w:line="480" w:lineRule="exact"/>
              <w:jc w:val="left"/>
              <w:rPr>
                <w:rFonts w:ascii="宋体" w:hAnsi="宋体" w:cs="宋体"/>
                <w:color w:val="auto"/>
                <w:sz w:val="24"/>
                <w:highlight w:val="none"/>
              </w:rPr>
            </w:pPr>
            <w:bookmarkStart w:id="0" w:name="OLE_LINK31"/>
            <w:r>
              <w:rPr>
                <w:rFonts w:hint="eastAsia" w:ascii="宋体" w:hAnsi="宋体" w:cs="宋体"/>
                <w:color w:val="auto"/>
                <w:sz w:val="24"/>
                <w:highlight w:val="none"/>
              </w:rPr>
              <w:t>投标产品的材质、技术参数、性能指标等技术响应情况</w:t>
            </w:r>
            <w:bookmarkEnd w:id="0"/>
          </w:p>
        </w:tc>
        <w:tc>
          <w:tcPr>
            <w:tcW w:w="6035" w:type="dxa"/>
            <w:noWrap/>
            <w:vAlign w:val="center"/>
          </w:tcPr>
          <w:p>
            <w:pPr>
              <w:widowControl/>
              <w:spacing w:line="480" w:lineRule="exact"/>
              <w:jc w:val="left"/>
              <w:rPr>
                <w:rFonts w:ascii="宋体" w:hAnsi="宋体" w:cs="宋体"/>
                <w:color w:val="auto"/>
                <w:sz w:val="24"/>
                <w:highlight w:val="none"/>
              </w:rPr>
            </w:pPr>
            <w:bookmarkStart w:id="1" w:name="OLE_LINK30"/>
            <w:r>
              <w:rPr>
                <w:rFonts w:hint="eastAsia" w:ascii="宋体" w:hAnsi="宋体" w:cs="宋体"/>
                <w:color w:val="auto"/>
                <w:sz w:val="24"/>
                <w:highlight w:val="none"/>
              </w:rPr>
              <w:t>根据各投标人对招标文件第五章“招标内容及要求”中的“合同包一技术和服务要求”技术参数、性能、配置、用途等要求响应情况进行评分，完全满足招标文件要求的得2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分，带▲号键参数每负偏离一项扣2分,其他未带▲号键参数每负偏离一项扣1分，扣完为止。投标文件列出的参数验收时应能验证，否则被视为产品不合格。（满分2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bookmarkEnd w:id="1"/>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restart"/>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体系认证</w:t>
            </w:r>
          </w:p>
        </w:tc>
        <w:tc>
          <w:tcPr>
            <w:tcW w:w="6035"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lang w:val="en-US" w:eastAsia="zh-CN" w:bidi="ar-SA"/>
              </w:rPr>
              <w:t>投标人或所投产品制造商通过质量管理体系认证得1分，通过环境管理体系得1分，通过职业健康安全管理体系认证得1分，满分3分。（需提供体系认证证书复印件及认监委官网查询链接、截图等相关复印件加盖公章，原件备查，未提供或提供不全的不得分。）</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continue"/>
            <w:noWrap/>
            <w:vAlign w:val="center"/>
          </w:tcPr>
          <w:p>
            <w:pPr>
              <w:widowControl/>
              <w:spacing w:line="480" w:lineRule="exact"/>
              <w:jc w:val="center"/>
              <w:rPr>
                <w:rFonts w:hint="eastAsia" w:ascii="宋体" w:hAnsi="宋体" w:cs="宋体"/>
                <w:color w:val="auto"/>
                <w:sz w:val="24"/>
                <w:highlight w:val="none"/>
              </w:rPr>
            </w:pPr>
          </w:p>
        </w:tc>
        <w:tc>
          <w:tcPr>
            <w:tcW w:w="1717" w:type="dxa"/>
            <w:noWrap/>
            <w:vAlign w:val="center"/>
          </w:tcPr>
          <w:p>
            <w:pPr>
              <w:widowControl/>
              <w:spacing w:line="480" w:lineRule="exact"/>
              <w:jc w:val="left"/>
              <w:rPr>
                <w:rFonts w:hint="eastAsia" w:ascii="宋体" w:hAnsi="宋体" w:cs="宋体"/>
                <w:color w:val="auto"/>
                <w:sz w:val="24"/>
                <w:highlight w:val="none"/>
              </w:rPr>
            </w:pPr>
            <w:r>
              <w:rPr>
                <w:rFonts w:hint="eastAsia" w:ascii="宋体" w:hAnsi="宋体" w:cs="宋体"/>
                <w:color w:val="auto"/>
                <w:sz w:val="24"/>
                <w:highlight w:val="none"/>
              </w:rPr>
              <w:t>来源保证</w:t>
            </w:r>
          </w:p>
        </w:tc>
        <w:tc>
          <w:tcPr>
            <w:tcW w:w="6035"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产品生产企业提供2021年度PVC原料进货量情况进行排名，由评标委员会进行比较，第一名得3分，第二名得2分，第三名得1分，其他名次不得分。(须提供合同复印件、采购清单复印件或发票复印件等相关佐证材料，并加盖投标人单位公章，并按要求提供或提供不全的不得分，满分3分)</w:t>
            </w:r>
          </w:p>
        </w:tc>
        <w:tc>
          <w:tcPr>
            <w:tcW w:w="750" w:type="dxa"/>
            <w:noWrap/>
            <w:vAlign w:val="center"/>
          </w:tcPr>
          <w:p>
            <w:pPr>
              <w:widowControl/>
              <w:spacing w:line="480" w:lineRule="exact"/>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vMerge w:val="restart"/>
            <w:noWrap/>
            <w:vAlign w:val="center"/>
          </w:tcPr>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产品质量</w:t>
            </w:r>
          </w:p>
        </w:tc>
        <w:tc>
          <w:tcPr>
            <w:tcW w:w="6035" w:type="dxa"/>
            <w:noWrap/>
            <w:vAlign w:val="center"/>
          </w:tcPr>
          <w:p>
            <w:pPr>
              <w:widowControl/>
              <w:snapToGrid w:val="0"/>
              <w:spacing w:line="370" w:lineRule="exact"/>
              <w:rPr>
                <w:rFonts w:hint="eastAsia" w:ascii="宋体" w:hAnsi="宋体" w:eastAsia="宋体" w:cs="宋体"/>
                <w:color w:val="auto"/>
                <w:sz w:val="24"/>
                <w:highlight w:val="none"/>
              </w:rPr>
            </w:pPr>
            <w:bookmarkStart w:id="2" w:name="OLE_LINK39"/>
            <w:r>
              <w:rPr>
                <w:rFonts w:hint="eastAsia" w:ascii="宋体" w:hAnsi="宋体" w:eastAsia="宋体" w:cs="宋体"/>
                <w:color w:val="auto"/>
                <w:sz w:val="24"/>
                <w:highlight w:val="none"/>
                <w:lang w:eastAsia="zh-CN"/>
              </w:rPr>
              <w:t>根据投</w:t>
            </w:r>
            <w:r>
              <w:rPr>
                <w:rFonts w:hint="eastAsia" w:ascii="宋体" w:hAnsi="宋体" w:cs="宋体"/>
                <w:color w:val="auto"/>
                <w:sz w:val="24"/>
                <w:highlight w:val="none"/>
                <w:lang w:eastAsia="zh-CN"/>
              </w:rPr>
              <w:t>标人或所投产品制造商</w:t>
            </w:r>
            <w:r>
              <w:rPr>
                <w:rFonts w:hint="eastAsia" w:ascii="宋体" w:hAnsi="宋体" w:eastAsia="宋体" w:cs="宋体"/>
                <w:color w:val="auto"/>
                <w:sz w:val="24"/>
                <w:highlight w:val="none"/>
              </w:rPr>
              <w:t>生产的</w:t>
            </w:r>
            <w:r>
              <w:rPr>
                <w:rFonts w:hint="eastAsia" w:ascii="宋体" w:hAnsi="宋体" w:cs="宋体"/>
                <w:color w:val="auto"/>
                <w:sz w:val="24"/>
                <w:highlight w:val="none"/>
                <w:lang w:val="en-US" w:eastAsia="zh-CN"/>
              </w:rPr>
              <w:t>UPVC管材及配件的生产</w:t>
            </w:r>
            <w:r>
              <w:rPr>
                <w:rFonts w:hint="eastAsia" w:ascii="宋体" w:hAnsi="宋体" w:eastAsia="宋体" w:cs="宋体"/>
                <w:color w:val="auto"/>
                <w:sz w:val="24"/>
                <w:highlight w:val="none"/>
              </w:rPr>
              <w:t>技术、工艺、生产设备，由评标委员会进行比较，生产技术、工艺、生产设备</w:t>
            </w:r>
            <w:r>
              <w:rPr>
                <w:rFonts w:hint="eastAsia" w:ascii="宋体" w:hAnsi="宋体" w:eastAsia="宋体" w:cs="宋体"/>
                <w:color w:val="auto"/>
                <w:sz w:val="24"/>
                <w:highlight w:val="none"/>
                <w:lang w:eastAsia="zh-CN"/>
              </w:rPr>
              <w:t>先进</w:t>
            </w:r>
            <w:r>
              <w:rPr>
                <w:rFonts w:hint="eastAsia" w:ascii="宋体" w:hAnsi="宋体" w:eastAsia="宋体" w:cs="宋体"/>
                <w:color w:val="auto"/>
                <w:sz w:val="24"/>
                <w:highlight w:val="none"/>
              </w:rPr>
              <w:t>得3分</w:t>
            </w:r>
            <w:r>
              <w:rPr>
                <w:rFonts w:hint="eastAsia" w:ascii="宋体" w:hAnsi="宋体" w:eastAsia="宋体" w:cs="宋体"/>
                <w:color w:val="auto"/>
                <w:sz w:val="24"/>
                <w:highlight w:val="none"/>
                <w:lang w:eastAsia="zh-CN"/>
              </w:rPr>
              <w:t>；部分</w:t>
            </w:r>
            <w:r>
              <w:rPr>
                <w:rFonts w:hint="eastAsia" w:ascii="宋体" w:hAnsi="宋体" w:eastAsia="宋体" w:cs="宋体"/>
                <w:color w:val="auto"/>
                <w:sz w:val="24"/>
                <w:highlight w:val="none"/>
              </w:rPr>
              <w:t>生产技术、工艺、生产设备</w:t>
            </w:r>
            <w:r>
              <w:rPr>
                <w:rFonts w:hint="eastAsia" w:ascii="宋体" w:hAnsi="宋体" w:eastAsia="宋体" w:cs="宋体"/>
                <w:color w:val="auto"/>
                <w:sz w:val="24"/>
                <w:highlight w:val="none"/>
                <w:lang w:eastAsia="zh-CN"/>
              </w:rPr>
              <w:t>部分先进</w:t>
            </w:r>
            <w:r>
              <w:rPr>
                <w:rFonts w:hint="eastAsia" w:ascii="宋体" w:hAnsi="宋体" w:eastAsia="宋体" w:cs="宋体"/>
                <w:color w:val="auto"/>
                <w:sz w:val="24"/>
                <w:highlight w:val="none"/>
              </w:rPr>
              <w:t>得2分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生产技术、工艺、生产设备</w:t>
            </w:r>
            <w:r>
              <w:rPr>
                <w:rFonts w:hint="eastAsia" w:ascii="宋体" w:hAnsi="宋体" w:eastAsia="宋体" w:cs="宋体"/>
                <w:color w:val="auto"/>
                <w:sz w:val="24"/>
                <w:highlight w:val="none"/>
                <w:lang w:eastAsia="zh-CN"/>
              </w:rPr>
              <w:t>一般</w:t>
            </w:r>
            <w:r>
              <w:rPr>
                <w:rFonts w:hint="eastAsia" w:ascii="宋体" w:hAnsi="宋体" w:eastAsia="宋体" w:cs="宋体"/>
                <w:color w:val="auto"/>
                <w:sz w:val="24"/>
                <w:highlight w:val="none"/>
              </w:rPr>
              <w:t>得1分。（提供生产线/机、挤出生产线/机等相关购买发票证明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设备图片复印件等相关证明材料复印件加盖公章，原件备查，未提供的不得分。</w:t>
            </w:r>
            <w:r>
              <w:rPr>
                <w:rFonts w:hint="eastAsia" w:ascii="宋体" w:hAnsi="宋体" w:eastAsia="宋体" w:cs="宋体"/>
                <w:color w:val="auto"/>
                <w:sz w:val="24"/>
                <w:highlight w:val="none"/>
              </w:rPr>
              <w:t>）</w:t>
            </w:r>
            <w:bookmarkEnd w:id="2"/>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vMerge w:val="continue"/>
            <w:noWrap/>
            <w:vAlign w:val="center"/>
          </w:tcPr>
          <w:p>
            <w:pPr>
              <w:widowControl/>
              <w:spacing w:line="480" w:lineRule="exact"/>
              <w:jc w:val="left"/>
              <w:rPr>
                <w:rFonts w:ascii="宋体" w:hAnsi="宋体" w:cs="宋体"/>
                <w:color w:val="auto"/>
                <w:sz w:val="24"/>
                <w:highlight w:val="none"/>
              </w:rPr>
            </w:pPr>
          </w:p>
        </w:tc>
        <w:tc>
          <w:tcPr>
            <w:tcW w:w="6035" w:type="dxa"/>
            <w:noWrap/>
            <w:vAlign w:val="center"/>
          </w:tcPr>
          <w:p>
            <w:pPr>
              <w:widowControl/>
              <w:snapToGrid w:val="0"/>
              <w:spacing w:line="37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投标人或所投产品制造商</w:t>
            </w:r>
            <w:r>
              <w:rPr>
                <w:rFonts w:hint="eastAsia" w:ascii="宋体" w:hAnsi="宋体" w:eastAsia="宋体" w:cs="宋体"/>
                <w:color w:val="auto"/>
                <w:sz w:val="24"/>
                <w:highlight w:val="none"/>
              </w:rPr>
              <w:t>配备原材料除湿系统得2分。满分2分</w:t>
            </w:r>
            <w:r>
              <w:rPr>
                <w:rFonts w:hint="eastAsia" w:ascii="宋体" w:hAnsi="宋体" w:cs="宋体"/>
                <w:color w:val="auto"/>
                <w:sz w:val="24"/>
                <w:highlight w:val="none"/>
                <w:lang w:eastAsia="zh-CN"/>
              </w:rPr>
              <w:t>。</w:t>
            </w:r>
          </w:p>
          <w:p>
            <w:pPr>
              <w:widowControl/>
              <w:snapToGrid w:val="0"/>
              <w:spacing w:line="37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投标人应提供购买设备的发票、设备图片复印件等相关证明材料复印件加盖公章，原件备查，未提供的不得分。</w:t>
            </w:r>
            <w:r>
              <w:rPr>
                <w:rFonts w:hint="eastAsia" w:ascii="宋体" w:hAnsi="宋体" w:eastAsia="宋体" w:cs="宋体"/>
                <w:color w:val="auto"/>
                <w:sz w:val="24"/>
                <w:highlight w:val="none"/>
              </w:rPr>
              <w:t>）</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26" w:type="dxa"/>
            <w:vMerge w:val="restart"/>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检测检验1</w:t>
            </w:r>
          </w:p>
        </w:tc>
        <w:tc>
          <w:tcPr>
            <w:tcW w:w="6035" w:type="dxa"/>
            <w:noWrap/>
            <w:vAlign w:val="center"/>
          </w:tcPr>
          <w:p>
            <w:pPr>
              <w:widowControl/>
              <w:snapToGrid w:val="0"/>
              <w:spacing w:line="37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投标人或所投产品制造商</w:t>
            </w:r>
            <w:r>
              <w:rPr>
                <w:rFonts w:hint="eastAsia" w:ascii="宋体" w:hAnsi="宋体" w:eastAsia="宋体" w:cs="宋体"/>
                <w:color w:val="auto"/>
                <w:sz w:val="24"/>
                <w:highlight w:val="none"/>
              </w:rPr>
              <w:t>提供所投产品 UPVC 原料的合格检测报告3份的得3分。每提供1份得1分。满分3分。</w:t>
            </w:r>
          </w:p>
          <w:p>
            <w:pPr>
              <w:widowControl/>
              <w:snapToGrid w:val="0"/>
              <w:spacing w:line="37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需</w:t>
            </w:r>
            <w:r>
              <w:rPr>
                <w:rFonts w:hint="eastAsia" w:ascii="宋体" w:hAnsi="宋体" w:eastAsia="宋体" w:cs="宋体"/>
                <w:color w:val="auto"/>
                <w:sz w:val="24"/>
                <w:highlight w:val="none"/>
              </w:rPr>
              <w:t>提供</w:t>
            </w:r>
            <w:r>
              <w:rPr>
                <w:rFonts w:hint="eastAsia" w:ascii="宋体" w:hAnsi="宋体" w:cs="宋体"/>
                <w:color w:val="auto"/>
                <w:sz w:val="24"/>
                <w:highlight w:val="none"/>
                <w:lang w:val="en-US" w:eastAsia="zh-CN"/>
              </w:rPr>
              <w:t>具备CMA或CNAS</w:t>
            </w:r>
            <w:r>
              <w:rPr>
                <w:rFonts w:hint="eastAsia" w:ascii="宋体" w:hAnsi="宋体" w:eastAsia="宋体" w:cs="宋体"/>
                <w:color w:val="auto"/>
                <w:sz w:val="24"/>
                <w:highlight w:val="none"/>
              </w:rPr>
              <w:t>检测报告复印件</w:t>
            </w:r>
            <w:r>
              <w:rPr>
                <w:rFonts w:hint="eastAsia" w:ascii="宋体" w:hAnsi="宋体" w:cs="宋体"/>
                <w:color w:val="auto"/>
                <w:sz w:val="24"/>
                <w:highlight w:val="none"/>
                <w:lang w:val="en-US" w:eastAsia="zh-CN"/>
              </w:rPr>
              <w:t>加</w:t>
            </w:r>
            <w:r>
              <w:rPr>
                <w:rFonts w:hint="eastAsia" w:ascii="宋体" w:hAnsi="宋体" w:eastAsia="宋体" w:cs="宋体"/>
                <w:color w:val="auto"/>
                <w:sz w:val="24"/>
                <w:highlight w:val="none"/>
              </w:rPr>
              <w:t>盖公章，</w:t>
            </w:r>
            <w:r>
              <w:rPr>
                <w:rFonts w:hint="eastAsia" w:ascii="宋体" w:hAnsi="宋体" w:cs="宋体"/>
                <w:color w:val="auto"/>
                <w:sz w:val="24"/>
                <w:highlight w:val="none"/>
                <w:lang w:val="en-US" w:eastAsia="zh-CN"/>
              </w:rPr>
              <w:t>原件备查，未提供的不得分。</w:t>
            </w:r>
            <w:r>
              <w:rPr>
                <w:rFonts w:hint="eastAsia" w:ascii="宋体" w:hAnsi="宋体" w:eastAsia="宋体" w:cs="宋体"/>
                <w:color w:val="auto"/>
                <w:sz w:val="24"/>
                <w:highlight w:val="none"/>
              </w:rPr>
              <w:t>）</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检测检验2</w:t>
            </w:r>
          </w:p>
        </w:tc>
        <w:tc>
          <w:tcPr>
            <w:tcW w:w="6035" w:type="dxa"/>
            <w:noWrap/>
            <w:vAlign w:val="center"/>
          </w:tcPr>
          <w:p>
            <w:pPr>
              <w:widowControl/>
              <w:snapToGrid w:val="0"/>
              <w:spacing w:line="37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cs="宋体"/>
                <w:color w:val="auto"/>
                <w:sz w:val="24"/>
                <w:highlight w:val="none"/>
                <w:lang w:val="en-US" w:eastAsia="zh-CN"/>
              </w:rPr>
              <w:t>人或所投产品制造商</w:t>
            </w:r>
            <w:r>
              <w:rPr>
                <w:rFonts w:hint="eastAsia" w:ascii="宋体" w:hAnsi="宋体" w:eastAsia="宋体" w:cs="宋体"/>
                <w:color w:val="auto"/>
                <w:sz w:val="24"/>
                <w:highlight w:val="none"/>
              </w:rPr>
              <w:t>实验室获得中国合格评定国家认可委员会认可证书（含附件），认可的检测能力范围包括塑料管材</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得1分，认可的检测检验包括塑料管件的得1分，满分2分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（提供证书复印件及相关证明材料并加盖公章，未提供不得分）</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检测检验3</w:t>
            </w:r>
          </w:p>
        </w:tc>
        <w:tc>
          <w:tcPr>
            <w:tcW w:w="6035" w:type="dxa"/>
            <w:noWrap/>
            <w:vAlign w:val="center"/>
          </w:tcPr>
          <w:p>
            <w:pPr>
              <w:widowControl/>
              <w:snapToGrid w:val="0"/>
              <w:spacing w:line="37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投标人或所投产品制造商</w:t>
            </w:r>
            <w:r>
              <w:rPr>
                <w:rFonts w:hint="eastAsia" w:ascii="宋体" w:hAnsi="宋体" w:eastAsia="宋体" w:cs="宋体"/>
                <w:color w:val="auto"/>
                <w:sz w:val="24"/>
                <w:highlight w:val="none"/>
              </w:rPr>
              <w:t>具有质量控制手段及相应设备，包括提供熔体流动速率仪、差示扫描量热仪、电子万能试验机、管材耐静液压试验机得3分。</w:t>
            </w:r>
          </w:p>
          <w:p>
            <w:pPr>
              <w:widowControl/>
              <w:snapToGrid w:val="0"/>
              <w:spacing w:line="37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（投标人须提供发票、设备图片、铭牌图片</w:t>
            </w:r>
            <w:r>
              <w:rPr>
                <w:rFonts w:hint="eastAsia" w:ascii="宋体" w:hAnsi="宋体" w:cs="宋体"/>
                <w:color w:val="auto"/>
                <w:sz w:val="24"/>
                <w:highlight w:val="none"/>
                <w:lang w:val="en-US" w:eastAsia="zh-CN"/>
              </w:rPr>
              <w:t>复印件</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加盖公章，原件备查，</w:t>
            </w:r>
            <w:r>
              <w:rPr>
                <w:rFonts w:hint="eastAsia" w:ascii="宋体" w:hAnsi="宋体" w:eastAsia="宋体" w:cs="宋体"/>
                <w:color w:val="auto"/>
                <w:sz w:val="24"/>
                <w:highlight w:val="none"/>
              </w:rPr>
              <w:t>每提供少</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项扣1分，满分3分。)</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检测检验4</w:t>
            </w:r>
          </w:p>
        </w:tc>
        <w:tc>
          <w:tcPr>
            <w:tcW w:w="6035" w:type="dxa"/>
            <w:noWrap/>
            <w:vAlign w:val="center"/>
          </w:tcPr>
          <w:p>
            <w:pPr>
              <w:widowControl/>
              <w:snapToGrid w:val="0"/>
              <w:spacing w:line="370" w:lineRule="exact"/>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投标人或所投产品制造商</w:t>
            </w:r>
            <w:r>
              <w:rPr>
                <w:rFonts w:hint="eastAsia" w:ascii="宋体" w:hAnsi="宋体" w:eastAsia="宋体" w:cs="宋体"/>
                <w:color w:val="auto"/>
                <w:sz w:val="24"/>
                <w:highlight w:val="none"/>
              </w:rPr>
              <w:t>提供近三年（指2019年1月1日起至投标截止时间前），本次招标货物中不同规格UPVC管材的检测报告，检验依据为国家最新标准，</w:t>
            </w:r>
            <w:r>
              <w:rPr>
                <w:rFonts w:hint="eastAsia" w:ascii="宋体" w:hAnsi="宋体" w:eastAsia="宋体" w:cs="宋体"/>
                <w:color w:val="auto"/>
                <w:sz w:val="24"/>
                <w:highlight w:val="none"/>
                <w:lang w:val="en-US" w:eastAsia="zh-CN"/>
              </w:rPr>
              <w:t>每提供一份得1分，未提供不得分，满分3分。（需提供具有CNAS或CMA检测报告复印件加盖公章，原件备查，未提供的不得分）</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检测检验5</w:t>
            </w:r>
          </w:p>
        </w:tc>
        <w:tc>
          <w:tcPr>
            <w:tcW w:w="6035" w:type="dxa"/>
            <w:noWrap/>
            <w:vAlign w:val="center"/>
          </w:tcPr>
          <w:p>
            <w:pPr>
              <w:pStyle w:val="2"/>
              <w:ind w:firstLine="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投标人或所投产品制造商须根据GB/T21873-2008有关标准提供近2年由国家权威检测机构出具的橡胶密封件检测报告，提供6份得3分，提供4份得2分，提供2份得1分，未提供的不得分。（满分3分）。（需包含以下检测指标）：</w:t>
            </w:r>
          </w:p>
          <w:p>
            <w:pPr>
              <w:widowControl/>
              <w:spacing w:line="480" w:lineRule="exact"/>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1、硬度；2、拉伸强度；3、拉断伸长率；4、热空气老化70℃×7d；5、压缩永久变形（70℃，24h）%；6、压缩应力松弛（23℃，7d）%；7、在水中的体积变化（70℃ 7d）%；8、耐臭氧（臭氧浓度：50×10-8；温度：40℃；拉伸应变：20%；时间48h）。</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226" w:type="dxa"/>
            <w:vMerge w:val="restart"/>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717" w:type="dxa"/>
            <w:noWrap/>
            <w:vAlign w:val="center"/>
          </w:tcPr>
          <w:p>
            <w:pPr>
              <w:widowControl/>
              <w:spacing w:line="480" w:lineRule="exact"/>
              <w:jc w:val="left"/>
              <w:rPr>
                <w:rFonts w:ascii="宋体" w:hAnsi="宋体" w:cs="宋体"/>
                <w:strike/>
                <w:color w:val="auto"/>
                <w:sz w:val="24"/>
                <w:highlight w:val="none"/>
              </w:rPr>
            </w:pPr>
            <w:r>
              <w:rPr>
                <w:rFonts w:hint="eastAsia" w:ascii="宋体" w:hAnsi="宋体" w:cs="宋体"/>
                <w:color w:val="auto"/>
                <w:sz w:val="24"/>
                <w:highlight w:val="none"/>
              </w:rPr>
              <w:t>技术实力1</w:t>
            </w:r>
          </w:p>
        </w:tc>
        <w:tc>
          <w:tcPr>
            <w:tcW w:w="6035" w:type="dxa"/>
            <w:noWrap/>
            <w:vAlign w:val="center"/>
          </w:tcPr>
          <w:p>
            <w:pPr>
              <w:widowControl/>
              <w:snapToGrid w:val="0"/>
              <w:spacing w:line="370" w:lineRule="exact"/>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投标人或所投产品制造商</w:t>
            </w:r>
            <w:r>
              <w:rPr>
                <w:rFonts w:hint="eastAsia" w:ascii="宋体" w:hAnsi="宋体" w:eastAsia="宋体" w:cs="宋体"/>
                <w:color w:val="auto"/>
                <w:kern w:val="2"/>
                <w:sz w:val="24"/>
                <w:szCs w:val="20"/>
                <w:highlight w:val="none"/>
                <w:lang w:val="en-US" w:eastAsia="zh-CN" w:bidi="ar-SA"/>
              </w:rPr>
              <w:t>生产安全性高，获得国家应急管理部监制，省级应急管理厅颁发的安全生产标准化证书，二级及以上得</w:t>
            </w:r>
            <w:r>
              <w:rPr>
                <w:rFonts w:hint="eastAsia" w:ascii="宋体" w:hAnsi="宋体" w:cs="宋体"/>
                <w:color w:val="auto"/>
                <w:kern w:val="2"/>
                <w:sz w:val="24"/>
                <w:szCs w:val="20"/>
                <w:highlight w:val="none"/>
                <w:lang w:val="en-US" w:eastAsia="zh-CN" w:bidi="ar-SA"/>
              </w:rPr>
              <w:t>3</w:t>
            </w:r>
            <w:r>
              <w:rPr>
                <w:rFonts w:hint="eastAsia" w:ascii="宋体" w:hAnsi="宋体" w:eastAsia="宋体" w:cs="宋体"/>
                <w:color w:val="auto"/>
                <w:kern w:val="2"/>
                <w:sz w:val="24"/>
                <w:szCs w:val="20"/>
                <w:highlight w:val="none"/>
                <w:lang w:val="en-US" w:eastAsia="zh-CN" w:bidi="ar-SA"/>
              </w:rPr>
              <w:t>分，三级得1</w:t>
            </w:r>
            <w:r>
              <w:rPr>
                <w:rFonts w:hint="eastAsia" w:ascii="宋体" w:hAnsi="宋体" w:cs="宋体"/>
                <w:color w:val="auto"/>
                <w:kern w:val="2"/>
                <w:sz w:val="24"/>
                <w:szCs w:val="20"/>
                <w:highlight w:val="none"/>
                <w:lang w:val="en-US" w:eastAsia="zh-CN" w:bidi="ar-SA"/>
              </w:rPr>
              <w:t>.5</w:t>
            </w:r>
            <w:r>
              <w:rPr>
                <w:rFonts w:hint="eastAsia" w:ascii="宋体" w:hAnsi="宋体" w:eastAsia="宋体" w:cs="宋体"/>
                <w:color w:val="auto"/>
                <w:kern w:val="2"/>
                <w:sz w:val="24"/>
                <w:szCs w:val="20"/>
                <w:highlight w:val="none"/>
                <w:lang w:val="en-US" w:eastAsia="zh-CN" w:bidi="ar-SA"/>
              </w:rPr>
              <w:t>分，没有的或不在有效期内的不得分。需提供证书复印件加盖公章，原件备查，未提供的不得分。（满分</w:t>
            </w:r>
            <w:r>
              <w:rPr>
                <w:rFonts w:hint="eastAsia" w:ascii="宋体" w:hAnsi="宋体" w:cs="宋体"/>
                <w:color w:val="auto"/>
                <w:kern w:val="2"/>
                <w:sz w:val="24"/>
                <w:szCs w:val="20"/>
                <w:highlight w:val="none"/>
                <w:lang w:val="en-US" w:eastAsia="zh-CN" w:bidi="ar-SA"/>
              </w:rPr>
              <w:t>3</w:t>
            </w:r>
            <w:r>
              <w:rPr>
                <w:rFonts w:hint="eastAsia" w:ascii="宋体" w:hAnsi="宋体" w:eastAsia="宋体" w:cs="宋体"/>
                <w:color w:val="auto"/>
                <w:kern w:val="2"/>
                <w:sz w:val="24"/>
                <w:szCs w:val="20"/>
                <w:highlight w:val="none"/>
                <w:lang w:val="en-US" w:eastAsia="zh-CN" w:bidi="ar-SA"/>
              </w:rPr>
              <w:t>分）</w:t>
            </w:r>
          </w:p>
        </w:tc>
        <w:tc>
          <w:tcPr>
            <w:tcW w:w="750" w:type="dxa"/>
            <w:noWrap/>
            <w:vAlign w:val="center"/>
          </w:tcPr>
          <w:p>
            <w:pPr>
              <w:widowControl/>
              <w:spacing w:line="480" w:lineRule="exact"/>
              <w:jc w:val="left"/>
              <w:rPr>
                <w:rFonts w:ascii="宋体" w:hAnsi="宋体" w:cs="宋体"/>
                <w:strike/>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226" w:type="dxa"/>
            <w:vMerge w:val="continue"/>
            <w:noWrap/>
            <w:vAlign w:val="center"/>
          </w:tcPr>
          <w:p>
            <w:pPr>
              <w:widowControl/>
              <w:spacing w:line="480" w:lineRule="exact"/>
              <w:jc w:val="center"/>
              <w:rPr>
                <w:rFonts w:ascii="宋体" w:hAnsi="宋体" w:cs="宋体"/>
                <w:color w:val="auto"/>
                <w:sz w:val="24"/>
                <w:highlight w:val="none"/>
              </w:rPr>
            </w:pPr>
          </w:p>
        </w:tc>
        <w:tc>
          <w:tcPr>
            <w:tcW w:w="1717" w:type="dxa"/>
            <w:noWrap/>
            <w:vAlign w:val="center"/>
          </w:tcPr>
          <w:p>
            <w:pPr>
              <w:widowControl/>
              <w:spacing w:line="480" w:lineRule="exact"/>
              <w:jc w:val="left"/>
              <w:rPr>
                <w:rFonts w:hint="eastAsia" w:ascii="宋体" w:hAnsi="宋体" w:eastAsia="宋体" w:cs="宋体"/>
                <w:strike/>
                <w:color w:val="auto"/>
                <w:sz w:val="24"/>
                <w:highlight w:val="none"/>
                <w:lang w:eastAsia="zh-CN"/>
              </w:rPr>
            </w:pPr>
            <w:r>
              <w:rPr>
                <w:rFonts w:hint="eastAsia" w:ascii="宋体" w:hAnsi="宋体" w:cs="宋体"/>
                <w:color w:val="auto"/>
                <w:sz w:val="24"/>
                <w:highlight w:val="none"/>
              </w:rPr>
              <w:t>技术实力</w:t>
            </w:r>
            <w:r>
              <w:rPr>
                <w:rFonts w:hint="eastAsia" w:ascii="宋体" w:hAnsi="宋体" w:cs="宋体"/>
                <w:color w:val="auto"/>
                <w:sz w:val="24"/>
                <w:highlight w:val="none"/>
                <w:lang w:val="en-US" w:eastAsia="zh-CN"/>
              </w:rPr>
              <w:t>2</w:t>
            </w:r>
          </w:p>
        </w:tc>
        <w:tc>
          <w:tcPr>
            <w:tcW w:w="6035" w:type="dxa"/>
            <w:noWrap/>
            <w:vAlign w:val="center"/>
          </w:tcPr>
          <w:p>
            <w:pPr>
              <w:pStyle w:val="2"/>
              <w:ind w:firstLine="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投标人或所投产品制造商获得国家建筑材料测试中心颁发的绿色建筑选用产品证书的得1分；</w:t>
            </w:r>
          </w:p>
          <w:p>
            <w:pPr>
              <w:pStyle w:val="2"/>
              <w:ind w:firstLine="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投标人或所投产品制造商获得国家建筑材料测试中心颁发的环保建材标志证书的得1分；</w:t>
            </w:r>
          </w:p>
          <w:p>
            <w:pPr>
              <w:pStyle w:val="2"/>
              <w:ind w:firstLine="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投标人或所投产品制造商获得国家建筑材料测试中心颁发的健康建材标志证书的得1分，没有的或不在有效期内的不得分。投标文件中提供证书扫描件。（满分3分）。</w:t>
            </w:r>
          </w:p>
        </w:tc>
        <w:tc>
          <w:tcPr>
            <w:tcW w:w="750" w:type="dxa"/>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728" w:type="dxa"/>
            <w:gridSpan w:val="4"/>
            <w:noWrap/>
            <w:vAlign w:val="center"/>
          </w:tcPr>
          <w:p>
            <w:pPr>
              <w:spacing w:line="480" w:lineRule="exact"/>
              <w:jc w:val="left"/>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Cs/>
                <w:color w:val="auto"/>
                <w:sz w:val="24"/>
                <w:highlight w:val="none"/>
              </w:rPr>
              <w:t>投标人必须提交以上文件或证明的复印件，所有复印件应是最新（有效）、清晰，注明“与原件一致”并加盖投标人公章，上述有要求“原件备查”的原件应另装一档案袋并注明原件及原件清单加盖投标人公章，</w:t>
            </w:r>
            <w:r>
              <w:rPr>
                <w:rFonts w:hint="eastAsia" w:ascii="宋体" w:hAnsi="宋体" w:cs="宋体"/>
                <w:b/>
                <w:color w:val="auto"/>
                <w:sz w:val="24"/>
                <w:highlight w:val="none"/>
              </w:rPr>
              <w:t>否则视为无效投标。</w:t>
            </w:r>
          </w:p>
        </w:tc>
      </w:tr>
    </w:tbl>
    <w:p>
      <w:pPr>
        <w:pStyle w:val="20"/>
        <w:spacing w:line="480" w:lineRule="exact"/>
        <w:ind w:firstLine="240" w:firstLineChars="100"/>
        <w:rPr>
          <w:rFonts w:ascii="宋体" w:hAnsi="宋体" w:cs="宋体"/>
          <w:b/>
          <w:color w:val="auto"/>
          <w:highlight w:val="none"/>
        </w:rPr>
      </w:pPr>
      <w:r>
        <w:rPr>
          <w:rFonts w:hint="eastAsia" w:ascii="宋体" w:hAnsi="宋体" w:cs="宋体"/>
          <w:b/>
          <w:color w:val="auto"/>
          <w:highlight w:val="none"/>
        </w:rPr>
        <w:t>③商务项F3满分为15分。</w:t>
      </w:r>
    </w:p>
    <w:tbl>
      <w:tblPr>
        <w:tblStyle w:val="22"/>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00"/>
        <w:gridCol w:w="732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22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00" w:type="dxa"/>
            <w:tcBorders>
              <w:top w:val="single" w:color="auto" w:sz="4" w:space="0"/>
              <w:left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bookmarkStart w:id="3" w:name="OLE_LINK58"/>
            <w:r>
              <w:rPr>
                <w:rFonts w:hint="eastAsia" w:ascii="宋体" w:hAnsi="宋体" w:cs="宋体"/>
                <w:color w:val="auto"/>
                <w:sz w:val="24"/>
                <w:highlight w:val="none"/>
              </w:rPr>
              <w:t>综合实力1</w:t>
            </w:r>
          </w:p>
          <w:bookmarkEnd w:id="3"/>
          <w:p>
            <w:pPr>
              <w:widowControl/>
              <w:spacing w:line="480" w:lineRule="exact"/>
              <w:jc w:val="left"/>
              <w:rPr>
                <w:rFonts w:ascii="宋体" w:hAnsi="宋体" w:cs="宋体"/>
                <w:color w:val="auto"/>
                <w:sz w:val="24"/>
                <w:highlight w:val="none"/>
              </w:rPr>
            </w:pPr>
          </w:p>
        </w:tc>
        <w:tc>
          <w:tcPr>
            <w:tcW w:w="732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rPr>
                <w:rFonts w:ascii="宋体" w:hAnsi="宋体"/>
                <w:color w:val="auto"/>
                <w:sz w:val="24"/>
                <w:highlight w:val="none"/>
              </w:rPr>
            </w:pPr>
            <w:r>
              <w:rPr>
                <w:rFonts w:hint="eastAsia" w:ascii="宋体" w:hAnsi="宋体"/>
                <w:color w:val="auto"/>
                <w:sz w:val="24"/>
                <w:highlight w:val="none"/>
                <w:lang w:eastAsia="zh-CN"/>
              </w:rPr>
              <w:t>投标人或所投产品制造商</w:t>
            </w:r>
            <w:r>
              <w:rPr>
                <w:rFonts w:hint="eastAsia" w:ascii="宋体" w:hAnsi="宋体"/>
                <w:color w:val="auto"/>
                <w:sz w:val="24"/>
                <w:highlight w:val="none"/>
              </w:rPr>
              <w:t>获得由有关部</w:t>
            </w:r>
            <w:r>
              <w:rPr>
                <w:rFonts w:hint="eastAsia" w:ascii="宋体" w:hAnsi="宋体"/>
                <w:color w:val="auto"/>
                <w:sz w:val="24"/>
                <w:highlight w:val="none"/>
                <w:lang w:eastAsia="zh-CN"/>
              </w:rPr>
              <w:t>门</w:t>
            </w:r>
            <w:r>
              <w:rPr>
                <w:rFonts w:hint="eastAsia" w:ascii="宋体" w:hAnsi="宋体"/>
                <w:color w:val="auto"/>
                <w:sz w:val="24"/>
                <w:highlight w:val="none"/>
              </w:rPr>
              <w:t>颁发的国家级“绿色工厂”得</w:t>
            </w:r>
            <w:r>
              <w:rPr>
                <w:rFonts w:hint="eastAsia" w:ascii="宋体" w:hAnsi="宋体"/>
                <w:color w:val="auto"/>
                <w:sz w:val="24"/>
                <w:highlight w:val="none"/>
                <w:lang w:val="en-US" w:eastAsia="zh-CN"/>
              </w:rPr>
              <w:t>1</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满分</w:t>
            </w:r>
            <w:r>
              <w:rPr>
                <w:rFonts w:hint="eastAsia" w:ascii="宋体" w:hAnsi="宋体"/>
                <w:color w:val="auto"/>
                <w:sz w:val="24"/>
                <w:highlight w:val="none"/>
                <w:lang w:val="en-US" w:eastAsia="zh-CN"/>
              </w:rPr>
              <w:t>1</w:t>
            </w:r>
            <w:r>
              <w:rPr>
                <w:rFonts w:hint="eastAsia" w:ascii="宋体" w:hAnsi="宋体"/>
                <w:color w:val="auto"/>
                <w:sz w:val="24"/>
                <w:highlight w:val="none"/>
              </w:rPr>
              <w:t>分。</w:t>
            </w:r>
          </w:p>
          <w:p>
            <w:pPr>
              <w:widowControl/>
              <w:spacing w:line="480" w:lineRule="exact"/>
              <w:jc w:val="left"/>
              <w:rPr>
                <w:rFonts w:ascii="宋体" w:hAnsi="宋体" w:cs="宋体"/>
                <w:color w:val="auto"/>
                <w:sz w:val="24"/>
                <w:highlight w:val="none"/>
              </w:rPr>
            </w:pPr>
            <w:r>
              <w:rPr>
                <w:rFonts w:hint="eastAsia" w:ascii="宋体" w:hAnsi="宋体"/>
                <w:color w:val="auto"/>
                <w:sz w:val="24"/>
                <w:highlight w:val="none"/>
              </w:rPr>
              <w:t>（提供证书或证明材料复印件并加盖投标人公章，未提供的不得分）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900" w:type="dxa"/>
            <w:tcBorders>
              <w:left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综合实力2</w:t>
            </w:r>
          </w:p>
          <w:p>
            <w:pPr>
              <w:widowControl/>
              <w:spacing w:line="480" w:lineRule="exact"/>
              <w:jc w:val="left"/>
              <w:rPr>
                <w:rFonts w:ascii="宋体" w:hAnsi="宋体" w:cs="宋体"/>
                <w:color w:val="auto"/>
                <w:sz w:val="24"/>
                <w:highlight w:val="none"/>
              </w:rPr>
            </w:pPr>
          </w:p>
        </w:tc>
        <w:tc>
          <w:tcPr>
            <w:tcW w:w="7329" w:type="dxa"/>
            <w:tcBorders>
              <w:top w:val="single" w:color="auto" w:sz="4" w:space="0"/>
              <w:left w:val="single" w:color="auto" w:sz="4" w:space="0"/>
              <w:bottom w:val="single" w:color="auto" w:sz="4" w:space="0"/>
              <w:right w:val="single" w:color="auto" w:sz="4" w:space="0"/>
            </w:tcBorders>
            <w:noWrap/>
            <w:vAlign w:val="center"/>
          </w:tcPr>
          <w:p>
            <w:pPr>
              <w:pStyle w:val="2"/>
              <w:ind w:firstLine="0"/>
              <w:rPr>
                <w:rFonts w:cs="宋体"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投标人或所投产品制造商</w:t>
            </w:r>
            <w:r>
              <w:rPr>
                <w:rFonts w:hint="eastAsia" w:cs="宋体" w:asciiTheme="majorEastAsia" w:hAnsiTheme="majorEastAsia" w:eastAsiaTheme="majorEastAsia"/>
                <w:color w:val="auto"/>
                <w:highlight w:val="none"/>
              </w:rPr>
              <w:t>生产的UPVC塑料排水管材件均获得中国绿色建材产品认证证书得</w:t>
            </w:r>
            <w:r>
              <w:rPr>
                <w:rFonts w:cs="宋体" w:asciiTheme="majorEastAsia" w:hAnsiTheme="majorEastAsia" w:eastAsiaTheme="majorEastAsia"/>
                <w:color w:val="auto"/>
                <w:highlight w:val="none"/>
              </w:rPr>
              <w:t>1</w:t>
            </w:r>
            <w:r>
              <w:rPr>
                <w:rFonts w:hint="eastAsia" w:cs="宋体" w:asciiTheme="majorEastAsia" w:hAnsiTheme="majorEastAsia" w:eastAsiaTheme="majorEastAsia"/>
                <w:color w:val="auto"/>
                <w:highlight w:val="none"/>
              </w:rPr>
              <w:t>分，没有的或不在有效期内的不得分。</w:t>
            </w:r>
          </w:p>
          <w:p>
            <w:pPr>
              <w:widowControl/>
              <w:spacing w:line="480" w:lineRule="exact"/>
              <w:jc w:val="left"/>
              <w:rPr>
                <w:rFonts w:ascii="宋体" w:hAnsi="宋体" w:cs="宋体"/>
                <w:strike/>
                <w:dstrike w:val="0"/>
                <w:color w:val="auto"/>
                <w:sz w:val="24"/>
                <w:highlight w:val="none"/>
              </w:rPr>
            </w:pPr>
            <w:r>
              <w:rPr>
                <w:rFonts w:hint="eastAsia" w:asciiTheme="majorEastAsia" w:hAnsiTheme="majorEastAsia" w:eastAsiaTheme="majorEastAsia"/>
                <w:color w:val="auto"/>
                <w:sz w:val="24"/>
                <w:highlight w:val="none"/>
              </w:rPr>
              <w:t>（提供证书或证明材料复印件并加盖投标人公章，未提供的不得分，原件备查）</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0" w:type="dxa"/>
            <w:tcBorders>
              <w:left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业绩</w:t>
            </w:r>
          </w:p>
        </w:tc>
        <w:tc>
          <w:tcPr>
            <w:tcW w:w="7329"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olor w:val="auto"/>
                <w:sz w:val="24"/>
                <w:highlight w:val="none"/>
              </w:rPr>
            </w:pPr>
            <w:r>
              <w:rPr>
                <w:rFonts w:hint="eastAsia" w:hAnsi="宋体" w:cs="宋体"/>
                <w:color w:val="auto"/>
                <w:sz w:val="24"/>
                <w:szCs w:val="24"/>
                <w:highlight w:val="none"/>
              </w:rPr>
              <w:t>根据各投标人提供近三年（指2019年1月1日起至投标截止时间前，日期以合同签订日期为准）签订的公开招标的 UPVC 管材管件采购项目业绩，每提供1份符合要求的业绩得0.5分，满分3分</w:t>
            </w:r>
            <w:r>
              <w:rPr>
                <w:rFonts w:hint="eastAsia" w:hAnsi="宋体" w:cs="宋体"/>
                <w:color w:val="auto"/>
                <w:sz w:val="24"/>
                <w:szCs w:val="24"/>
                <w:highlight w:val="none"/>
                <w:lang w:eastAsia="zh-CN"/>
              </w:rPr>
              <w:t>。</w:t>
            </w:r>
            <w:r>
              <w:rPr>
                <w:rFonts w:hint="eastAsia" w:hAnsi="宋体" w:cs="宋体"/>
                <w:color w:val="auto"/>
                <w:sz w:val="24"/>
                <w:szCs w:val="24"/>
                <w:highlight w:val="none"/>
              </w:rPr>
              <w:t>【投标人需提供该业绩项目的中标公示的网页截图、中标通知书、供货合同复印件并加盖投标人公章。满分3分】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0" w:type="dxa"/>
            <w:tcBorders>
              <w:left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bCs/>
                <w:color w:val="auto"/>
                <w:sz w:val="24"/>
                <w:highlight w:val="none"/>
              </w:rPr>
              <w:t>供货方案</w:t>
            </w:r>
          </w:p>
        </w:tc>
        <w:tc>
          <w:tcPr>
            <w:tcW w:w="7329"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hAnsi="宋体" w:cs="宋体"/>
                <w:color w:val="auto"/>
                <w:sz w:val="24"/>
                <w:szCs w:val="24"/>
                <w:highlight w:val="none"/>
              </w:rPr>
              <w:t>根据投标人提供的针对本项目实际情况供货方案由评标委员会进行</w:t>
            </w:r>
            <w:r>
              <w:rPr>
                <w:rFonts w:hint="eastAsia" w:hAnsi="宋体" w:cs="宋体"/>
                <w:color w:val="auto"/>
                <w:sz w:val="24"/>
                <w:szCs w:val="24"/>
                <w:highlight w:val="none"/>
                <w:lang w:val="en-US" w:eastAsia="zh-CN"/>
              </w:rPr>
              <w:t>评分</w:t>
            </w:r>
            <w:r>
              <w:rPr>
                <w:rFonts w:hint="eastAsia" w:hAnsi="宋体" w:cs="宋体"/>
                <w:color w:val="auto"/>
                <w:sz w:val="24"/>
                <w:szCs w:val="24"/>
                <w:highlight w:val="none"/>
              </w:rPr>
              <w:t>。供货方案表述清晰、完整、严谨、切实可行有效，进度及工期保证措施合理、具体得3分；供货方案表述部分清晰、完整、严谨、切实可行有效，进度及工期保证措施部分合理、较具体得2分，供货方案表述不清晰、不够完整、不够严谨、进度及工期保证措施不够合理、不够具体得1分，未提供的不得分。（满分3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900" w:type="dxa"/>
            <w:tcBorders>
              <w:left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bCs/>
                <w:color w:val="auto"/>
                <w:sz w:val="24"/>
                <w:highlight w:val="none"/>
              </w:rPr>
              <w:t>质量保证措施</w:t>
            </w:r>
          </w:p>
        </w:tc>
        <w:tc>
          <w:tcPr>
            <w:tcW w:w="7329"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hAnsi="宋体" w:cs="宋体"/>
                <w:color w:val="auto"/>
                <w:sz w:val="24"/>
                <w:szCs w:val="24"/>
                <w:highlight w:val="none"/>
              </w:rPr>
              <w:t>根据投标人提供的质量保证措施由评标委员会进行</w:t>
            </w:r>
            <w:r>
              <w:rPr>
                <w:rFonts w:hint="eastAsia" w:hAnsi="宋体" w:cs="宋体"/>
                <w:color w:val="auto"/>
                <w:sz w:val="24"/>
                <w:szCs w:val="24"/>
                <w:highlight w:val="none"/>
                <w:lang w:val="en-US" w:eastAsia="zh-CN"/>
              </w:rPr>
              <w:t>评分</w:t>
            </w:r>
            <w:r>
              <w:rPr>
                <w:rFonts w:hint="eastAsia" w:hAnsi="宋体" w:cs="宋体"/>
                <w:color w:val="auto"/>
                <w:sz w:val="24"/>
                <w:szCs w:val="24"/>
                <w:highlight w:val="none"/>
              </w:rPr>
              <w:t>。质量保证措施具体、明确得3分，质量保证措施良好、明确的2分，质量保证措施一般、明确，得1分，未提供</w:t>
            </w:r>
            <w:r>
              <w:rPr>
                <w:rFonts w:hint="eastAsia" w:hAnsi="宋体" w:cs="宋体"/>
                <w:color w:val="auto"/>
                <w:sz w:val="24"/>
                <w:szCs w:val="24"/>
                <w:highlight w:val="none"/>
                <w:lang w:val="en-US" w:eastAsia="zh-CN"/>
              </w:rPr>
              <w:t>或提供不合格</w:t>
            </w:r>
            <w:r>
              <w:rPr>
                <w:rFonts w:hint="eastAsia" w:hAnsi="宋体" w:cs="宋体"/>
                <w:color w:val="auto"/>
                <w:sz w:val="24"/>
                <w:szCs w:val="24"/>
                <w:highlight w:val="none"/>
              </w:rPr>
              <w:t>的不得分。（满分3分）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900" w:type="dxa"/>
            <w:tcBorders>
              <w:left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w:t>
            </w:r>
          </w:p>
        </w:tc>
        <w:tc>
          <w:tcPr>
            <w:tcW w:w="732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投标人具有完善的售后服务体系，获得 CTEAS 售后服务体系完善程度认证证书，七星级的得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分，六星级的得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分，五星级的得1分。或获得 GB / T 27922-2011《商品售后服务评价体系》认证证书，五星的得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分，4星的得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分，3星的得1分。（提供证明材料复印件并加盖投标人公章，未提供的不得分，满分</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6" w:type="dxa"/>
            <w:tcBorders>
              <w:top w:val="single" w:color="auto" w:sz="4" w:space="0"/>
              <w:left w:val="single" w:color="auto" w:sz="4" w:space="0"/>
              <w:right w:val="single" w:color="auto" w:sz="4" w:space="0"/>
            </w:tcBorders>
            <w:noWrap/>
            <w:vAlign w:val="center"/>
          </w:tcPr>
          <w:p>
            <w:pPr>
              <w:widowControl/>
              <w:spacing w:line="48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900" w:type="dxa"/>
            <w:tcBorders>
              <w:top w:val="single" w:color="auto" w:sz="4" w:space="0"/>
              <w:left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质保期承诺</w:t>
            </w:r>
          </w:p>
        </w:tc>
        <w:tc>
          <w:tcPr>
            <w:tcW w:w="7329" w:type="dxa"/>
            <w:tcBorders>
              <w:top w:val="single" w:color="auto" w:sz="4" w:space="0"/>
              <w:left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投标人承诺在满足招标文件要求的基础上，每增加1年得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分，满分</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c>
          <w:tcPr>
            <w:tcW w:w="772" w:type="dxa"/>
            <w:tcBorders>
              <w:top w:val="single" w:color="auto" w:sz="4" w:space="0"/>
              <w:left w:val="single" w:color="auto" w:sz="4" w:space="0"/>
              <w:right w:val="single" w:color="auto" w:sz="4" w:space="0"/>
            </w:tcBorders>
            <w:noWrap/>
            <w:vAlign w:val="center"/>
          </w:tcPr>
          <w:p>
            <w:pPr>
              <w:widowControl/>
              <w:snapToGrid w:val="0"/>
              <w:spacing w:line="37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717"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left"/>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bCs/>
                <w:color w:val="auto"/>
                <w:sz w:val="24"/>
                <w:highlight w:val="none"/>
              </w:rPr>
              <w:t>投标人必须提交以上文件或证明的复印件，所有复印件应是最新（有效）、清晰，注明“与原件一致”并加盖投标人公章，</w:t>
            </w:r>
            <w:r>
              <w:rPr>
                <w:rFonts w:hint="eastAsia" w:ascii="宋体" w:hAnsi="宋体" w:cs="宋体"/>
                <w:b/>
                <w:color w:val="auto"/>
                <w:sz w:val="24"/>
                <w:highlight w:val="none"/>
              </w:rPr>
              <w:t>否则视为无效投标。</w:t>
            </w:r>
          </w:p>
        </w:tc>
      </w:tr>
    </w:tbl>
    <w:p>
      <w:pPr>
        <w:pStyle w:val="20"/>
        <w:widowControl/>
        <w:spacing w:line="480" w:lineRule="exact"/>
        <w:ind w:firstLine="240" w:firstLineChars="100"/>
        <w:rPr>
          <w:rFonts w:ascii="宋体" w:hAnsi="宋体" w:cs="宋体"/>
          <w:b/>
          <w:bCs/>
          <w:color w:val="auto"/>
          <w:szCs w:val="24"/>
          <w:highlight w:val="none"/>
        </w:rPr>
      </w:pPr>
      <w:r>
        <w:rPr>
          <w:rFonts w:hint="eastAsia" w:ascii="宋体" w:hAnsi="宋体" w:cs="宋体"/>
          <w:b/>
          <w:bCs/>
          <w:color w:val="auto"/>
          <w:szCs w:val="24"/>
          <w:highlight w:val="none"/>
        </w:rPr>
        <w:t>④加分项（F4×A4）</w:t>
      </w:r>
    </w:p>
    <w:p>
      <w:pPr>
        <w:pStyle w:val="20"/>
        <w:widowControl/>
        <w:spacing w:line="480" w:lineRule="exact"/>
        <w:ind w:firstLine="480"/>
        <w:rPr>
          <w:rFonts w:ascii="宋体" w:hAnsi="宋体" w:cs="宋体"/>
          <w:color w:val="auto"/>
          <w:szCs w:val="24"/>
          <w:highlight w:val="none"/>
        </w:rPr>
      </w:pPr>
      <w:r>
        <w:rPr>
          <w:rFonts w:hint="eastAsia" w:ascii="宋体" w:hAnsi="宋体" w:cs="宋体"/>
          <w:color w:val="auto"/>
          <w:szCs w:val="24"/>
          <w:highlight w:val="none"/>
        </w:rPr>
        <w:t>a.优先类节能产品、环境标志产品：</w:t>
      </w:r>
    </w:p>
    <w:p>
      <w:pPr>
        <w:pStyle w:val="20"/>
        <w:widowControl/>
        <w:spacing w:line="480" w:lineRule="exact"/>
        <w:ind w:firstLine="480"/>
        <w:rPr>
          <w:rFonts w:ascii="宋体" w:hAnsi="宋体" w:cs="宋体"/>
          <w:color w:val="auto"/>
          <w:szCs w:val="24"/>
          <w:highlight w:val="none"/>
        </w:rPr>
      </w:pPr>
      <w:r>
        <w:rPr>
          <w:rFonts w:hint="eastAsia" w:ascii="宋体" w:hAnsi="宋体" w:cs="宋体"/>
          <w:color w:val="auto"/>
          <w:szCs w:val="24"/>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20"/>
        <w:widowControl/>
        <w:spacing w:line="48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a2若节能、环境标志产品仅是构成投标产品的部件、组件或零件，则该投标产品不享受鼓励优惠政策。同一品目中各认证证书不重复计算加分。强制类节能产品不享受加分。 </w:t>
      </w:r>
    </w:p>
    <w:tbl>
      <w:tblPr>
        <w:tblStyle w:val="2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1"/>
        <w:gridCol w:w="737"/>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91" w:type="dxa"/>
            <w:noWrap/>
            <w:vAlign w:val="center"/>
          </w:tcPr>
          <w:p>
            <w:pPr>
              <w:widowControl/>
              <w:spacing w:line="48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评标项目</w:t>
            </w:r>
          </w:p>
        </w:tc>
        <w:tc>
          <w:tcPr>
            <w:tcW w:w="737" w:type="dxa"/>
            <w:noWrap/>
            <w:vAlign w:val="center"/>
          </w:tcPr>
          <w:p>
            <w:pPr>
              <w:widowControl/>
              <w:spacing w:line="48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评标分值</w:t>
            </w:r>
          </w:p>
        </w:tc>
        <w:tc>
          <w:tcPr>
            <w:tcW w:w="7900" w:type="dxa"/>
            <w:noWrap/>
            <w:vAlign w:val="center"/>
          </w:tcPr>
          <w:p>
            <w:pPr>
              <w:widowControl/>
              <w:spacing w:line="48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91" w:type="dxa"/>
            <w:noWrap/>
            <w:vAlign w:val="center"/>
          </w:tcPr>
          <w:p>
            <w:pPr>
              <w:widowControl/>
              <w:spacing w:line="48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节能（非强制类产品）、环境标志产品部分加分标准</w:t>
            </w:r>
          </w:p>
        </w:tc>
        <w:tc>
          <w:tcPr>
            <w:tcW w:w="737" w:type="dxa"/>
            <w:noWrap/>
            <w:vAlign w:val="center"/>
          </w:tcPr>
          <w:p>
            <w:pPr>
              <w:widowControl/>
              <w:spacing w:line="48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6.8</w:t>
            </w:r>
          </w:p>
        </w:tc>
        <w:tc>
          <w:tcPr>
            <w:tcW w:w="7900" w:type="dxa"/>
            <w:noWrap/>
            <w:vAlign w:val="center"/>
          </w:tcPr>
          <w:p>
            <w:pPr>
              <w:widowControl/>
              <w:spacing w:line="48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时，同一合同包内的节能、环境标志产品报价总金额占本合同包报价总金额20%（含20%）以下的，给予价格评标项标准总分值4%的加分和技术评标项标准总分值4%的加分，同一合同包内的节能、环境标志产品报价总金额占本合同包报价总金额20%-50%（含50%），给予价格评标项标准总分值6%的加分和技术评标项标准总分值6%的加分，同一合同包内的节能、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20"/>
        <w:widowControl/>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 xml:space="preserve">（4）中标候选人排列规则顺序如下： </w:t>
      </w:r>
    </w:p>
    <w:p>
      <w:pPr>
        <w:pStyle w:val="20"/>
        <w:widowControl/>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a.按照评标总得分（FA）由高到低顺序排列。</w:t>
      </w:r>
    </w:p>
    <w:p>
      <w:pPr>
        <w:pStyle w:val="20"/>
        <w:widowControl/>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 xml:space="preserve">b.评标总得分（FA）相同的，按照评标价（即价格扣除后的投标报价）由低到高顺序排列。 </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c.评标总得分（FA）且评标价（即价格扣除后的投标报价）相同的并列。</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5、其他规定</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5.1评标应全程保密且不得透露给任一投标人或与评标工作无关的人员。</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5.2评标将进行全程实时录音录像，录音录像资料随采购文件一并存档。</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5.3若投标人有任何试图干扰具体评标事务，影响评标委员会独立履行职责的行为，其投标无效且不予退还投标保证金。情节严重的，由财政部门列入不良行为记录。</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5.4其他：无。</w:t>
      </w:r>
    </w:p>
    <w:p>
      <w:pPr>
        <w:rPr>
          <w:rFonts w:ascii="宋体" w:hAnsi="宋体" w:cs="宋体"/>
          <w:color w:val="auto"/>
          <w:sz w:val="24"/>
          <w:szCs w:val="24"/>
          <w:highlight w:val="none"/>
        </w:rPr>
      </w:pPr>
      <w:r>
        <w:rPr>
          <w:rStyle w:val="24"/>
          <w:rFonts w:hint="eastAsia" w:ascii="宋体" w:hAnsi="宋体" w:cs="宋体"/>
          <w:color w:val="auto"/>
          <w:sz w:val="24"/>
          <w:szCs w:val="24"/>
          <w:highlight w:val="none"/>
          <w:shd w:val="clear" w:color="auto" w:fill="FFFFFF"/>
        </w:rPr>
        <w:t>合同包2采用综合评分法</w:t>
      </w:r>
      <w:r>
        <w:rPr>
          <w:rFonts w:hint="eastAsia" w:ascii="宋体" w:hAnsi="宋体" w:cs="宋体"/>
          <w:color w:val="auto"/>
          <w:sz w:val="24"/>
          <w:szCs w:val="24"/>
          <w:highlight w:val="none"/>
          <w:shd w:val="clear" w:color="auto" w:fill="FFFFFF"/>
        </w:rPr>
        <w:t xml:space="preserve">： </w:t>
      </w: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 xml:space="preserve">（1）投标文件满足招标文件全部实质性要求，且按照评审因素的量化指标评审得分（即评标总得分）最高的投标人为中标候选人。 </w:t>
      </w: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 xml:space="preserve">（3）各项评审因素的设置如下： </w:t>
      </w: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①</w:t>
      </w:r>
      <w:r>
        <w:rPr>
          <w:rFonts w:hint="eastAsia" w:ascii="宋体" w:hAnsi="宋体" w:eastAsia="宋体" w:cs="宋体"/>
          <w:b w:val="0"/>
          <w:bCs w:val="0"/>
          <w:color w:val="auto"/>
          <w:kern w:val="0"/>
          <w:sz w:val="24"/>
          <w:szCs w:val="24"/>
          <w:lang w:val="en-US" w:eastAsia="zh-CN"/>
        </w:rPr>
        <w:t>价格部分评分（满分30分）</w:t>
      </w:r>
    </w:p>
    <w:p>
      <w:pPr>
        <w:numPr>
          <w:ilvl w:val="0"/>
          <w:numId w:val="6"/>
        </w:numPr>
        <w:spacing w:line="480" w:lineRule="exact"/>
        <w:ind w:firstLine="480"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价格分统一采用低价优先法计算，即满足招标文件要求且投标价格</w:t>
      </w:r>
      <w:r>
        <w:rPr>
          <w:rFonts w:hint="eastAsia" w:ascii="宋体" w:hAnsi="宋体" w:eastAsia="宋体" w:cs="宋体"/>
          <w:b/>
          <w:bCs/>
          <w:color w:val="auto"/>
          <w:kern w:val="0"/>
          <w:sz w:val="24"/>
          <w:szCs w:val="24"/>
          <w:lang w:val="en-US" w:eastAsia="zh-CN"/>
        </w:rPr>
        <w:t>下浮率</w:t>
      </w:r>
      <w:r>
        <w:rPr>
          <w:rFonts w:hint="eastAsia" w:ascii="宋体" w:hAnsi="宋体" w:eastAsia="宋体" w:cs="宋体"/>
          <w:b w:val="0"/>
          <w:bCs w:val="0"/>
          <w:color w:val="auto"/>
          <w:kern w:val="0"/>
          <w:sz w:val="24"/>
          <w:szCs w:val="24"/>
          <w:lang w:val="en-US" w:eastAsia="zh-CN"/>
        </w:rPr>
        <w:t>最高的投标报价为评标基准价，其价格分为满分。其他投标人的价格分统一照下列公式计算：</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PF=（100%-Fmax）÷（100%-F）×30%的价格权值×100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val="0"/>
          <w:bCs w:val="0"/>
          <w:color w:val="auto"/>
          <w:kern w:val="0"/>
          <w:sz w:val="24"/>
          <w:szCs w:val="24"/>
          <w:lang w:val="en-US" w:eastAsia="zh-CN"/>
        </w:rPr>
        <w:t xml:space="preserve">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（1）PF为各有效投标人报价部分得分；</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（2）Fmax为最高的下浮率，作为基准价；</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（3）F为各有效投标人的下浮率；</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（4）计算分数时四舍五入取小数点后两位。</w:t>
      </w:r>
    </w:p>
    <w:p>
      <w:pPr>
        <w:pStyle w:val="20"/>
        <w:widowControl/>
        <w:numPr>
          <w:ilvl w:val="0"/>
          <w:numId w:val="6"/>
        </w:numPr>
        <w:spacing w:line="480" w:lineRule="exact"/>
        <w:ind w:firstLine="480" w:firstLineChars="200"/>
        <w:rPr>
          <w:color w:val="auto"/>
          <w:highlight w:val="none"/>
        </w:rPr>
      </w:pPr>
      <w:r>
        <w:rPr>
          <w:rFonts w:hint="eastAsia" w:ascii="宋体" w:hAnsi="宋体" w:cs="宋体"/>
          <w:color w:val="auto"/>
          <w:highlight w:val="none"/>
        </w:rPr>
        <w:t>价格扣除的规则如下</w:t>
      </w:r>
    </w:p>
    <w:tbl>
      <w:tblPr>
        <w:tblStyle w:val="22"/>
        <w:tblpPr w:leftFromText="180" w:rightFromText="180" w:vertAnchor="text" w:horzAnchor="page" w:tblpX="1131" w:tblpY="36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1164" w:type="dxa"/>
            <w:noWrap/>
            <w:vAlign w:val="center"/>
          </w:tcPr>
          <w:p>
            <w:pPr>
              <w:widowControl/>
              <w:spacing w:line="480" w:lineRule="exact"/>
              <w:jc w:val="left"/>
              <w:rPr>
                <w:rFonts w:ascii="宋体" w:hAnsi="宋体" w:cs="宋体"/>
                <w:color w:val="auto"/>
                <w:highlight w:val="none"/>
              </w:rPr>
            </w:pPr>
            <w:r>
              <w:rPr>
                <w:rFonts w:hint="eastAsia" w:ascii="宋体" w:hAnsi="宋体" w:cs="宋体"/>
                <w:color w:val="auto"/>
                <w:kern w:val="0"/>
                <w:sz w:val="24"/>
                <w:highlight w:val="none"/>
              </w:rPr>
              <w:t>评标项目</w:t>
            </w:r>
          </w:p>
        </w:tc>
        <w:tc>
          <w:tcPr>
            <w:tcW w:w="8522" w:type="dxa"/>
            <w:noWrap/>
            <w:vAlign w:val="center"/>
          </w:tcPr>
          <w:p>
            <w:pPr>
              <w:widowControl/>
              <w:spacing w:line="480" w:lineRule="exact"/>
              <w:jc w:val="left"/>
              <w:rPr>
                <w:rFonts w:ascii="宋体" w:hAnsi="宋体" w:cs="宋体"/>
                <w:color w:val="auto"/>
                <w:highlight w:val="none"/>
              </w:rPr>
            </w:pPr>
            <w:r>
              <w:rPr>
                <w:rFonts w:hint="eastAsia" w:ascii="宋体" w:hAnsi="宋体" w:cs="宋体"/>
                <w:color w:val="auto"/>
                <w:kern w:val="0"/>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64" w:type="dxa"/>
            <w:noWrap/>
            <w:vAlign w:val="center"/>
          </w:tcPr>
          <w:p>
            <w:pPr>
              <w:widowControl/>
              <w:spacing w:line="48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小型、微型企业，监狱企业，残疾人</w:t>
            </w:r>
          </w:p>
        </w:tc>
        <w:tc>
          <w:tcPr>
            <w:tcW w:w="8522" w:type="dxa"/>
            <w:noWrap/>
            <w:vAlign w:val="center"/>
          </w:tcPr>
          <w:p>
            <w:pPr>
              <w:widowControl/>
              <w:spacing w:line="480" w:lineRule="exact"/>
              <w:jc w:val="left"/>
              <w:rPr>
                <w:rFonts w:ascii="宋体" w:hAnsi="宋体" w:cs="宋体"/>
                <w:color w:val="auto"/>
                <w:sz w:val="24"/>
                <w:szCs w:val="24"/>
                <w:highlight w:val="none"/>
              </w:rPr>
            </w:pPr>
            <w:r>
              <w:rPr>
                <w:rStyle w:val="24"/>
                <w:rFonts w:hint="eastAsia" w:ascii="宋体" w:hAnsi="宋体" w:cs="宋体"/>
                <w:b w:val="0"/>
                <w:bCs w:val="0"/>
                <w:color w:val="auto"/>
                <w:kern w:val="0"/>
                <w:sz w:val="24"/>
                <w:szCs w:val="24"/>
                <w:highlight w:val="none"/>
              </w:rPr>
              <w:t>1、评审时，对符合《政府采购促进中小企业发展管理办法》（财库﹝2020﹞46号）规定的小微企业报价给予价格扣除【货物和服务项目为</w:t>
            </w:r>
            <w:r>
              <w:rPr>
                <w:rStyle w:val="24"/>
                <w:rFonts w:hint="eastAsia" w:ascii="宋体" w:hAnsi="宋体" w:cs="宋体"/>
                <w:b w:val="0"/>
                <w:bCs w:val="0"/>
                <w:color w:val="auto"/>
                <w:kern w:val="0"/>
                <w:sz w:val="24"/>
                <w:szCs w:val="24"/>
                <w:highlight w:val="none"/>
                <w:lang w:val="en-US" w:eastAsia="zh-CN"/>
              </w:rPr>
              <w:t>15</w:t>
            </w:r>
            <w:r>
              <w:rPr>
                <w:rStyle w:val="24"/>
                <w:rFonts w:hint="eastAsia" w:ascii="宋体" w:hAnsi="宋体" w:cs="宋体"/>
                <w:b w:val="0"/>
                <w:bCs w:val="0"/>
                <w:color w:val="auto"/>
                <w:kern w:val="0"/>
                <w:sz w:val="24"/>
                <w:szCs w:val="24"/>
                <w:highlight w:val="none"/>
              </w:rPr>
              <w:t xml:space="preserve">%；对于联合协议或者分包意向协议约定小微企业的合同份额占到合同总金额 30%以上的，对联合体或者大中型企业的报价扣除比例为 </w:t>
            </w:r>
            <w:r>
              <w:rPr>
                <w:rStyle w:val="24"/>
                <w:rFonts w:hint="eastAsia" w:ascii="宋体" w:hAnsi="宋体" w:cs="宋体"/>
                <w:b w:val="0"/>
                <w:bCs w:val="0"/>
                <w:color w:val="auto"/>
                <w:kern w:val="0"/>
                <w:sz w:val="24"/>
                <w:szCs w:val="24"/>
                <w:highlight w:val="none"/>
                <w:lang w:val="en-US" w:eastAsia="zh-CN"/>
              </w:rPr>
              <w:t>5</w:t>
            </w:r>
            <w:r>
              <w:rPr>
                <w:rStyle w:val="24"/>
                <w:rFonts w:hint="eastAsia" w:ascii="宋体" w:hAnsi="宋体" w:cs="宋体"/>
                <w:b w:val="0"/>
                <w:bCs w:val="0"/>
                <w:color w:val="auto"/>
                <w:kern w:val="0"/>
                <w:sz w:val="24"/>
                <w:szCs w:val="24"/>
                <w:highlight w:val="none"/>
              </w:rPr>
              <w:t>%】，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的政策性优惠规定详见招标文件第三章、第七章规定，上述规定与政府采购相关法律、法规、制度等有冲突的，以现行法律、法规、制度等执行。本项目属于货物类采购，本合同包中小企业划分标准所属行业：玻璃纤维和玻璃纤维增强塑料制品制造。</w:t>
            </w:r>
          </w:p>
        </w:tc>
      </w:tr>
    </w:tbl>
    <w:p>
      <w:pPr>
        <w:pStyle w:val="20"/>
        <w:widowControl/>
        <w:spacing w:line="480" w:lineRule="exact"/>
        <w:ind w:firstLine="480" w:firstLineChars="200"/>
        <w:rPr>
          <w:rFonts w:ascii="宋体" w:hAnsi="宋体" w:cs="宋体"/>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hint="eastAsia" w:ascii="宋体" w:hAnsi="宋体" w:cs="宋体"/>
          <w:color w:val="auto"/>
          <w:highlight w:val="none"/>
          <w:u w:val="single"/>
          <w:lang w:val="en-US" w:eastAsia="zh-CN"/>
        </w:rPr>
        <w:t>55</w:t>
      </w:r>
      <w:r>
        <w:rPr>
          <w:rFonts w:hint="eastAsia" w:ascii="宋体" w:hAnsi="宋体" w:cs="宋体"/>
          <w:color w:val="auto"/>
          <w:highlight w:val="none"/>
        </w:rPr>
        <w:t>分。</w:t>
      </w:r>
    </w:p>
    <w:tbl>
      <w:tblPr>
        <w:tblStyle w:val="22"/>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39"/>
        <w:gridCol w:w="678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38" w:type="dxa"/>
            <w:noWrap/>
            <w:vAlign w:val="center"/>
          </w:tcPr>
          <w:p>
            <w:pPr>
              <w:widowControl/>
              <w:spacing w:line="44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序号</w:t>
            </w:r>
          </w:p>
        </w:tc>
        <w:tc>
          <w:tcPr>
            <w:tcW w:w="7522" w:type="dxa"/>
            <w:gridSpan w:val="2"/>
            <w:noWrap/>
            <w:vAlign w:val="center"/>
          </w:tcPr>
          <w:p>
            <w:pPr>
              <w:widowControl/>
              <w:spacing w:line="44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评标方法描述</w:t>
            </w:r>
          </w:p>
        </w:tc>
        <w:tc>
          <w:tcPr>
            <w:tcW w:w="882" w:type="dxa"/>
            <w:noWrap/>
            <w:vAlign w:val="center"/>
          </w:tcPr>
          <w:p>
            <w:pPr>
              <w:widowControl/>
              <w:spacing w:line="44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评标分值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8" w:type="dxa"/>
            <w:noWrap/>
            <w:vAlign w:val="center"/>
          </w:tcPr>
          <w:p>
            <w:pPr>
              <w:widowControl/>
              <w:spacing w:line="44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1</w:t>
            </w:r>
          </w:p>
        </w:tc>
        <w:tc>
          <w:tcPr>
            <w:tcW w:w="7522" w:type="dxa"/>
            <w:gridSpan w:val="2"/>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合同包2技术和服务要求”技术参数、性能、配置、用途等要求响应情况进行评分，完全满足招标文件要求的得40分，带▲号键参数每负偏离一项扣2分,其他未带▲号键参数每负偏离一项扣1分，扣完为止。投标文件列出的参数验收时应能验证，否则被视为产品不合格。（满分40分）</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8" w:type="dxa"/>
            <w:noWrap/>
            <w:vAlign w:val="center"/>
          </w:tcPr>
          <w:p>
            <w:pPr>
              <w:widowControl/>
              <w:spacing w:line="44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2</w:t>
            </w:r>
          </w:p>
        </w:tc>
        <w:tc>
          <w:tcPr>
            <w:tcW w:w="739"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生产技术设备</w:t>
            </w:r>
          </w:p>
        </w:tc>
        <w:tc>
          <w:tcPr>
            <w:tcW w:w="6783"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根据</w:t>
            </w:r>
            <w:r>
              <w:rPr>
                <w:rStyle w:val="24"/>
                <w:rFonts w:hint="eastAsia" w:ascii="宋体" w:hAnsi="宋体" w:cs="宋体"/>
                <w:b w:val="0"/>
                <w:bCs w:val="0"/>
                <w:color w:val="auto"/>
                <w:kern w:val="0"/>
                <w:sz w:val="24"/>
                <w:szCs w:val="24"/>
                <w:highlight w:val="none"/>
                <w:lang w:eastAsia="zh-CN"/>
              </w:rPr>
              <w:t>投标人或所投产品制造商</w:t>
            </w:r>
            <w:r>
              <w:rPr>
                <w:rStyle w:val="24"/>
                <w:rFonts w:hint="eastAsia" w:ascii="宋体" w:hAnsi="宋体" w:cs="宋体"/>
                <w:b w:val="0"/>
                <w:bCs w:val="0"/>
                <w:color w:val="auto"/>
                <w:kern w:val="0"/>
                <w:sz w:val="24"/>
                <w:szCs w:val="24"/>
                <w:highlight w:val="none"/>
              </w:rPr>
              <w:t>的生产技术、工艺、生产设备综合情况，由评标委员会进行</w:t>
            </w:r>
            <w:r>
              <w:rPr>
                <w:rStyle w:val="24"/>
                <w:rFonts w:hint="eastAsia" w:ascii="宋体" w:hAnsi="宋体" w:cs="宋体"/>
                <w:b w:val="0"/>
                <w:bCs w:val="0"/>
                <w:color w:val="auto"/>
                <w:kern w:val="0"/>
                <w:sz w:val="24"/>
                <w:szCs w:val="24"/>
                <w:highlight w:val="none"/>
                <w:lang w:val="en-US" w:eastAsia="zh-CN"/>
              </w:rPr>
              <w:t>评分</w:t>
            </w:r>
            <w:r>
              <w:rPr>
                <w:rStyle w:val="24"/>
                <w:rFonts w:hint="eastAsia" w:ascii="宋体" w:hAnsi="宋体" w:cs="宋体"/>
                <w:b w:val="0"/>
                <w:bCs w:val="0"/>
                <w:color w:val="auto"/>
                <w:kern w:val="0"/>
                <w:sz w:val="24"/>
                <w:szCs w:val="24"/>
                <w:highlight w:val="none"/>
              </w:rPr>
              <w:t>：生产技术、工艺、生产设备先进得3分；部分生产技术、工艺、生产设备部分先进得2分；生产技术、工艺、生产设备一般得1分；满分3分。</w:t>
            </w:r>
          </w:p>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w:t>
            </w:r>
            <w:r>
              <w:rPr>
                <w:rFonts w:hint="eastAsia"/>
                <w:color w:val="auto"/>
                <w:lang w:val="en-US" w:eastAsia="zh-CN"/>
              </w:rPr>
              <w:t>需</w:t>
            </w:r>
            <w:r>
              <w:rPr>
                <w:rStyle w:val="24"/>
                <w:rFonts w:hint="eastAsia" w:ascii="宋体" w:hAnsi="宋体" w:cs="宋体"/>
                <w:b w:val="0"/>
                <w:bCs w:val="0"/>
                <w:color w:val="auto"/>
                <w:kern w:val="0"/>
                <w:sz w:val="24"/>
                <w:szCs w:val="24"/>
                <w:highlight w:val="none"/>
              </w:rPr>
              <w:t>提供生产线/机、挤出生产线/机等相关购买</w:t>
            </w:r>
            <w:r>
              <w:rPr>
                <w:rStyle w:val="24"/>
                <w:rFonts w:hint="eastAsia" w:ascii="宋体" w:hAnsi="宋体" w:cs="宋体"/>
                <w:b w:val="0"/>
                <w:bCs w:val="0"/>
                <w:color w:val="auto"/>
                <w:kern w:val="0"/>
                <w:sz w:val="24"/>
                <w:szCs w:val="24"/>
                <w:highlight w:val="none"/>
                <w:lang w:eastAsia="zh-CN"/>
              </w:rPr>
              <w:t>合同或者</w:t>
            </w:r>
            <w:r>
              <w:rPr>
                <w:rStyle w:val="24"/>
                <w:rFonts w:hint="eastAsia" w:ascii="宋体" w:hAnsi="宋体" w:cs="宋体"/>
                <w:b w:val="0"/>
                <w:bCs w:val="0"/>
                <w:color w:val="auto"/>
                <w:kern w:val="0"/>
                <w:sz w:val="24"/>
                <w:szCs w:val="24"/>
                <w:highlight w:val="none"/>
              </w:rPr>
              <w:t>发票</w:t>
            </w:r>
            <w:r>
              <w:rPr>
                <w:rStyle w:val="24"/>
                <w:rFonts w:hint="eastAsia" w:ascii="宋体" w:hAnsi="宋体" w:cs="宋体"/>
                <w:b w:val="0"/>
                <w:bCs w:val="0"/>
                <w:color w:val="auto"/>
                <w:kern w:val="0"/>
                <w:sz w:val="24"/>
                <w:szCs w:val="24"/>
                <w:highlight w:val="none"/>
                <w:lang w:eastAsia="zh-CN"/>
              </w:rPr>
              <w:t>、</w:t>
            </w:r>
            <w:r>
              <w:rPr>
                <w:rStyle w:val="24"/>
                <w:rFonts w:hint="eastAsia" w:ascii="宋体" w:hAnsi="宋体" w:cs="宋体"/>
                <w:b w:val="0"/>
                <w:bCs w:val="0"/>
                <w:color w:val="auto"/>
                <w:kern w:val="0"/>
                <w:sz w:val="24"/>
                <w:szCs w:val="24"/>
                <w:highlight w:val="none"/>
                <w:lang w:val="en-US" w:eastAsia="zh-CN"/>
              </w:rPr>
              <w:t>图片</w:t>
            </w:r>
            <w:r>
              <w:rPr>
                <w:rStyle w:val="24"/>
                <w:rFonts w:hint="eastAsia" w:ascii="宋体" w:hAnsi="宋体" w:cs="宋体"/>
                <w:b w:val="0"/>
                <w:bCs w:val="0"/>
                <w:color w:val="auto"/>
                <w:kern w:val="0"/>
                <w:sz w:val="24"/>
                <w:szCs w:val="24"/>
                <w:highlight w:val="none"/>
              </w:rPr>
              <w:t>复印件</w:t>
            </w:r>
            <w:r>
              <w:rPr>
                <w:rStyle w:val="24"/>
                <w:rFonts w:hint="eastAsia" w:ascii="宋体" w:hAnsi="宋体" w:cs="宋体"/>
                <w:b w:val="0"/>
                <w:bCs w:val="0"/>
                <w:color w:val="auto"/>
                <w:kern w:val="0"/>
                <w:sz w:val="24"/>
                <w:szCs w:val="24"/>
                <w:highlight w:val="none"/>
                <w:lang w:val="en-US" w:eastAsia="zh-CN"/>
              </w:rPr>
              <w:t>加盖公章，原件备查，未提供的不得分。</w:t>
            </w:r>
            <w:r>
              <w:rPr>
                <w:rStyle w:val="24"/>
                <w:rFonts w:hint="eastAsia" w:ascii="宋体" w:hAnsi="宋体" w:cs="宋体"/>
                <w:b w:val="0"/>
                <w:bCs w:val="0"/>
                <w:color w:val="auto"/>
                <w:kern w:val="0"/>
                <w:sz w:val="24"/>
                <w:szCs w:val="24"/>
                <w:highlight w:val="none"/>
              </w:rPr>
              <w:t>）</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38" w:type="dxa"/>
            <w:noWrap/>
            <w:vAlign w:val="center"/>
          </w:tcPr>
          <w:p>
            <w:pPr>
              <w:widowControl/>
              <w:spacing w:line="44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3</w:t>
            </w:r>
          </w:p>
        </w:tc>
        <w:tc>
          <w:tcPr>
            <w:tcW w:w="739"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生产能力</w:t>
            </w:r>
          </w:p>
        </w:tc>
        <w:tc>
          <w:tcPr>
            <w:tcW w:w="6783"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lang w:eastAsia="zh-CN"/>
              </w:rPr>
              <w:t>投标人或所投产品制造商</w:t>
            </w:r>
            <w:r>
              <w:rPr>
                <w:rStyle w:val="24"/>
                <w:rFonts w:hint="eastAsia" w:ascii="宋体" w:hAnsi="宋体" w:cs="宋体"/>
                <w:b w:val="0"/>
                <w:bCs w:val="0"/>
                <w:color w:val="auto"/>
                <w:kern w:val="0"/>
                <w:sz w:val="24"/>
                <w:szCs w:val="24"/>
                <w:highlight w:val="none"/>
              </w:rPr>
              <w:t>设有专门质量检测中心、配有专业的检测设备、对产品质量全过程跟踪检测的得3分；满分3分。</w:t>
            </w:r>
          </w:p>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（投标人应提供检测中心彩色照片、检测设备的购买</w:t>
            </w:r>
            <w:r>
              <w:rPr>
                <w:rStyle w:val="24"/>
                <w:rFonts w:hint="eastAsia" w:ascii="宋体" w:hAnsi="宋体" w:cs="宋体"/>
                <w:b w:val="0"/>
                <w:bCs w:val="0"/>
                <w:color w:val="auto"/>
                <w:kern w:val="0"/>
                <w:sz w:val="24"/>
                <w:szCs w:val="24"/>
                <w:highlight w:val="none"/>
                <w:lang w:eastAsia="zh-CN"/>
              </w:rPr>
              <w:t>合同或者</w:t>
            </w:r>
            <w:r>
              <w:rPr>
                <w:rStyle w:val="24"/>
                <w:rFonts w:hint="eastAsia" w:ascii="宋体" w:hAnsi="宋体" w:cs="宋体"/>
                <w:b w:val="0"/>
                <w:bCs w:val="0"/>
                <w:color w:val="auto"/>
                <w:kern w:val="0"/>
                <w:sz w:val="24"/>
                <w:szCs w:val="24"/>
                <w:highlight w:val="none"/>
              </w:rPr>
              <w:t>发票复印件以及跟踪检测证明文件复印件并加盖投标人公章，</w:t>
            </w:r>
            <w:r>
              <w:rPr>
                <w:rStyle w:val="24"/>
                <w:rFonts w:hint="eastAsia" w:ascii="宋体" w:hAnsi="宋体" w:cs="宋体"/>
                <w:b w:val="0"/>
                <w:bCs w:val="0"/>
                <w:color w:val="auto"/>
                <w:kern w:val="0"/>
                <w:sz w:val="24"/>
                <w:szCs w:val="24"/>
                <w:highlight w:val="none"/>
                <w:lang w:val="en-US" w:eastAsia="zh-CN"/>
              </w:rPr>
              <w:t>原件备查，未提供的不得分</w:t>
            </w:r>
            <w:r>
              <w:rPr>
                <w:rStyle w:val="24"/>
                <w:rFonts w:hint="eastAsia" w:ascii="宋体" w:hAnsi="宋体" w:cs="宋体"/>
                <w:b w:val="0"/>
                <w:bCs w:val="0"/>
                <w:color w:val="auto"/>
                <w:kern w:val="0"/>
                <w:sz w:val="24"/>
                <w:szCs w:val="24"/>
                <w:highlight w:val="none"/>
              </w:rPr>
              <w:t>）</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8" w:type="dxa"/>
            <w:noWrap/>
            <w:vAlign w:val="center"/>
          </w:tcPr>
          <w:p>
            <w:pPr>
              <w:widowControl/>
              <w:spacing w:line="440" w:lineRule="exact"/>
              <w:jc w:val="center"/>
              <w:rPr>
                <w:rStyle w:val="24"/>
                <w:rFonts w:hint="eastAsia" w:ascii="宋体" w:hAnsi="宋体" w:eastAsia="宋体" w:cs="宋体"/>
                <w:b w:val="0"/>
                <w:bCs w:val="0"/>
                <w:color w:val="auto"/>
                <w:kern w:val="0"/>
                <w:sz w:val="24"/>
                <w:szCs w:val="24"/>
                <w:highlight w:val="none"/>
                <w:lang w:val="en-US" w:eastAsia="zh-CN"/>
              </w:rPr>
            </w:pPr>
            <w:r>
              <w:rPr>
                <w:rStyle w:val="24"/>
                <w:rFonts w:hint="eastAsia" w:ascii="宋体" w:hAnsi="宋体" w:cs="宋体"/>
                <w:b w:val="0"/>
                <w:bCs w:val="0"/>
                <w:color w:val="auto"/>
                <w:kern w:val="0"/>
                <w:sz w:val="24"/>
                <w:szCs w:val="24"/>
                <w:highlight w:val="none"/>
                <w:lang w:val="en-US" w:eastAsia="zh-CN"/>
              </w:rPr>
              <w:t>4</w:t>
            </w:r>
          </w:p>
        </w:tc>
        <w:tc>
          <w:tcPr>
            <w:tcW w:w="739" w:type="dxa"/>
            <w:noWrap/>
          </w:tcPr>
          <w:p>
            <w:pPr>
              <w:widowControl/>
              <w:spacing w:line="440" w:lineRule="exact"/>
              <w:jc w:val="left"/>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eastAsia="zh-CN"/>
              </w:rPr>
              <w:t>检测检验</w:t>
            </w:r>
          </w:p>
        </w:tc>
        <w:tc>
          <w:tcPr>
            <w:tcW w:w="6783" w:type="dxa"/>
            <w:noWrap/>
            <w:vAlign w:val="top"/>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投标人提供所投玻璃钢夹砂管由国家认可的具有CNAS、CMA认证资质的合法检测机构出具符合《玻璃纤维增强塑料夹砂管》GB/T21238-2016标准的合格完整检测报告：具备任意</w:t>
            </w:r>
            <w:r>
              <w:rPr>
                <w:rStyle w:val="24"/>
                <w:rFonts w:hint="eastAsia" w:ascii="宋体" w:hAnsi="宋体" w:cs="宋体"/>
                <w:b w:val="0"/>
                <w:bCs w:val="0"/>
                <w:color w:val="auto"/>
                <w:kern w:val="0"/>
                <w:sz w:val="24"/>
                <w:szCs w:val="24"/>
                <w:highlight w:val="none"/>
                <w:lang w:val="en-US" w:eastAsia="zh-CN"/>
              </w:rPr>
              <w:t>1</w:t>
            </w:r>
            <w:r>
              <w:rPr>
                <w:rStyle w:val="24"/>
                <w:rFonts w:hint="eastAsia" w:ascii="宋体" w:hAnsi="宋体" w:cs="宋体"/>
                <w:b w:val="0"/>
                <w:bCs w:val="0"/>
                <w:color w:val="auto"/>
                <w:kern w:val="0"/>
                <w:sz w:val="24"/>
                <w:szCs w:val="24"/>
                <w:highlight w:val="none"/>
              </w:rPr>
              <w:t>项认证资格的报告得1</w:t>
            </w:r>
            <w:r>
              <w:rPr>
                <w:rStyle w:val="24"/>
                <w:rFonts w:hint="eastAsia" w:ascii="宋体" w:hAnsi="宋体" w:cs="宋体"/>
                <w:b w:val="0"/>
                <w:bCs w:val="0"/>
                <w:color w:val="auto"/>
                <w:kern w:val="0"/>
                <w:sz w:val="24"/>
                <w:szCs w:val="24"/>
                <w:highlight w:val="none"/>
                <w:lang w:val="en-US" w:eastAsia="zh-CN"/>
              </w:rPr>
              <w:t>.5</w:t>
            </w:r>
            <w:r>
              <w:rPr>
                <w:rStyle w:val="24"/>
                <w:rFonts w:hint="eastAsia" w:ascii="宋体" w:hAnsi="宋体" w:cs="宋体"/>
                <w:b w:val="0"/>
                <w:bCs w:val="0"/>
                <w:color w:val="auto"/>
                <w:kern w:val="0"/>
                <w:sz w:val="24"/>
                <w:szCs w:val="24"/>
                <w:highlight w:val="none"/>
              </w:rPr>
              <w:t>分；具备</w:t>
            </w:r>
            <w:r>
              <w:rPr>
                <w:rStyle w:val="24"/>
                <w:rFonts w:hint="eastAsia" w:ascii="宋体" w:hAnsi="宋体" w:cs="宋体"/>
                <w:b w:val="0"/>
                <w:bCs w:val="0"/>
                <w:color w:val="auto"/>
                <w:kern w:val="0"/>
                <w:sz w:val="24"/>
                <w:szCs w:val="24"/>
                <w:highlight w:val="none"/>
                <w:lang w:val="en-US" w:eastAsia="zh-CN"/>
              </w:rPr>
              <w:t>2</w:t>
            </w:r>
            <w:r>
              <w:rPr>
                <w:rStyle w:val="24"/>
                <w:rFonts w:hint="eastAsia" w:ascii="宋体" w:hAnsi="宋体" w:cs="宋体"/>
                <w:b w:val="0"/>
                <w:bCs w:val="0"/>
                <w:color w:val="auto"/>
                <w:kern w:val="0"/>
                <w:sz w:val="24"/>
                <w:szCs w:val="24"/>
                <w:highlight w:val="none"/>
              </w:rPr>
              <w:t>项认证报告得</w:t>
            </w:r>
            <w:r>
              <w:rPr>
                <w:rStyle w:val="24"/>
                <w:rFonts w:hint="eastAsia" w:ascii="宋体" w:hAnsi="宋体" w:cs="宋体"/>
                <w:b w:val="0"/>
                <w:bCs w:val="0"/>
                <w:color w:val="auto"/>
                <w:kern w:val="0"/>
                <w:sz w:val="24"/>
                <w:szCs w:val="24"/>
                <w:highlight w:val="none"/>
                <w:lang w:val="en-US" w:eastAsia="zh-CN"/>
              </w:rPr>
              <w:t>3</w:t>
            </w:r>
            <w:r>
              <w:rPr>
                <w:rStyle w:val="24"/>
                <w:rFonts w:hint="eastAsia" w:ascii="宋体" w:hAnsi="宋体" w:cs="宋体"/>
                <w:b w:val="0"/>
                <w:bCs w:val="0"/>
                <w:color w:val="auto"/>
                <w:kern w:val="0"/>
                <w:sz w:val="24"/>
                <w:szCs w:val="24"/>
                <w:highlight w:val="none"/>
              </w:rPr>
              <w:t>分；满分3分。</w:t>
            </w:r>
          </w:p>
          <w:p>
            <w:pPr>
              <w:widowControl/>
              <w:spacing w:line="440" w:lineRule="exact"/>
              <w:jc w:val="left"/>
              <w:rPr>
                <w:rStyle w:val="24"/>
                <w:rFonts w:hint="eastAsia"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w:t>
            </w:r>
            <w:r>
              <w:rPr>
                <w:rStyle w:val="24"/>
                <w:rFonts w:hint="eastAsia" w:ascii="宋体" w:hAnsi="宋体" w:eastAsia="宋体" w:cs="宋体"/>
                <w:b w:val="0"/>
                <w:bCs w:val="0"/>
                <w:color w:val="auto"/>
                <w:kern w:val="0"/>
                <w:sz w:val="24"/>
                <w:szCs w:val="24"/>
                <w:highlight w:val="none"/>
                <w:lang w:val="en-US" w:eastAsia="zh-CN"/>
              </w:rPr>
              <w:t>须提供相关检查报告复印件加盖公章，原件备查，未提供的不得分。</w:t>
            </w:r>
            <w:r>
              <w:rPr>
                <w:rStyle w:val="24"/>
                <w:rFonts w:hint="eastAsia" w:ascii="宋体" w:hAnsi="宋体" w:cs="宋体"/>
                <w:b w:val="0"/>
                <w:bCs w:val="0"/>
                <w:color w:val="auto"/>
                <w:kern w:val="0"/>
                <w:sz w:val="24"/>
                <w:szCs w:val="24"/>
                <w:highlight w:val="none"/>
              </w:rPr>
              <w:t>）</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 w:type="dxa"/>
            <w:noWrap/>
            <w:vAlign w:val="center"/>
          </w:tcPr>
          <w:p>
            <w:pPr>
              <w:widowControl/>
              <w:spacing w:line="44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5</w:t>
            </w:r>
          </w:p>
        </w:tc>
        <w:tc>
          <w:tcPr>
            <w:tcW w:w="739" w:type="dxa"/>
            <w:noWrap/>
            <w:vAlign w:val="center"/>
          </w:tcPr>
          <w:p>
            <w:pPr>
              <w:widowControl/>
              <w:spacing w:line="440" w:lineRule="exact"/>
              <w:jc w:val="left"/>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eastAsia="zh-CN"/>
              </w:rPr>
              <w:t>安装方案</w:t>
            </w:r>
          </w:p>
        </w:tc>
        <w:tc>
          <w:tcPr>
            <w:tcW w:w="6783" w:type="dxa"/>
            <w:noWrap/>
            <w:vAlign w:val="center"/>
          </w:tcPr>
          <w:p>
            <w:pPr>
              <w:widowControl/>
              <w:spacing w:line="440" w:lineRule="exact"/>
              <w:jc w:val="left"/>
              <w:rPr>
                <w:rStyle w:val="24"/>
                <w:rFonts w:hint="eastAsia"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根据投标人提供的针对</w:t>
            </w:r>
            <w:r>
              <w:rPr>
                <w:rStyle w:val="24"/>
                <w:rFonts w:hint="eastAsia" w:ascii="宋体" w:hAnsi="宋体" w:cs="宋体"/>
                <w:b w:val="0"/>
                <w:bCs w:val="0"/>
                <w:color w:val="auto"/>
                <w:kern w:val="0"/>
                <w:sz w:val="24"/>
                <w:szCs w:val="24"/>
                <w:highlight w:val="none"/>
                <w:lang w:eastAsia="zh-CN"/>
              </w:rPr>
              <w:t>本合同</w:t>
            </w:r>
            <w:r>
              <w:rPr>
                <w:rStyle w:val="24"/>
                <w:rFonts w:hint="eastAsia" w:ascii="宋体" w:hAnsi="宋体" w:cs="宋体"/>
                <w:b w:val="0"/>
                <w:bCs w:val="0"/>
                <w:color w:val="auto"/>
                <w:kern w:val="0"/>
                <w:sz w:val="24"/>
                <w:szCs w:val="24"/>
                <w:highlight w:val="none"/>
                <w:lang w:val="en-US" w:eastAsia="zh-CN"/>
              </w:rPr>
              <w:t>包项目的</w:t>
            </w:r>
            <w:r>
              <w:rPr>
                <w:rStyle w:val="24"/>
                <w:rFonts w:hint="eastAsia" w:ascii="宋体" w:hAnsi="宋体" w:cs="宋体"/>
                <w:b w:val="0"/>
                <w:bCs w:val="0"/>
                <w:color w:val="auto"/>
                <w:kern w:val="0"/>
                <w:sz w:val="24"/>
                <w:szCs w:val="24"/>
                <w:highlight w:val="none"/>
              </w:rPr>
              <w:t>安装方案由评标委员会进行</w:t>
            </w:r>
            <w:r>
              <w:rPr>
                <w:rStyle w:val="24"/>
                <w:rFonts w:hint="eastAsia" w:ascii="宋体" w:hAnsi="宋体" w:cs="宋体"/>
                <w:b w:val="0"/>
                <w:bCs w:val="0"/>
                <w:color w:val="auto"/>
                <w:kern w:val="0"/>
                <w:sz w:val="24"/>
                <w:szCs w:val="24"/>
                <w:highlight w:val="none"/>
                <w:lang w:val="en-US" w:eastAsia="zh-CN"/>
              </w:rPr>
              <w:t>评分</w:t>
            </w:r>
            <w:r>
              <w:rPr>
                <w:rStyle w:val="24"/>
                <w:rFonts w:hint="eastAsia" w:ascii="宋体" w:hAnsi="宋体" w:cs="宋体"/>
                <w:b w:val="0"/>
                <w:bCs w:val="0"/>
                <w:color w:val="auto"/>
                <w:kern w:val="0"/>
                <w:sz w:val="24"/>
                <w:szCs w:val="24"/>
                <w:highlight w:val="none"/>
              </w:rPr>
              <w:t>：提供安装方案表述清晰、完整、严谨、切实可行有效，进度及工期保证措施合理、具体得3分；提供安装方案表述部分清晰、完整、严谨、切实可行有效，进度及工期保证措施合理、部分较为具体得2分；提供安装方案表述不够清晰、不够完整、不够严谨，进度及工期保证措施不够合理、不够具体得1分；未提供</w:t>
            </w:r>
            <w:r>
              <w:rPr>
                <w:rStyle w:val="24"/>
                <w:rFonts w:hint="eastAsia" w:ascii="宋体" w:hAnsi="宋体" w:cs="宋体"/>
                <w:b w:val="0"/>
                <w:bCs w:val="0"/>
                <w:color w:val="auto"/>
                <w:kern w:val="0"/>
                <w:sz w:val="24"/>
                <w:szCs w:val="24"/>
                <w:highlight w:val="none"/>
                <w:lang w:val="en-US" w:eastAsia="zh-CN"/>
              </w:rPr>
              <w:t>或提供不合格</w:t>
            </w:r>
            <w:r>
              <w:rPr>
                <w:rStyle w:val="24"/>
                <w:rFonts w:hint="eastAsia" w:ascii="宋体" w:hAnsi="宋体" w:cs="宋体"/>
                <w:b w:val="0"/>
                <w:bCs w:val="0"/>
                <w:color w:val="auto"/>
                <w:kern w:val="0"/>
                <w:sz w:val="24"/>
                <w:szCs w:val="24"/>
                <w:highlight w:val="none"/>
              </w:rPr>
              <w:t>的不得分。（满分3分）</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8" w:type="dxa"/>
            <w:noWrap/>
            <w:vAlign w:val="center"/>
          </w:tcPr>
          <w:p>
            <w:pPr>
              <w:widowControl/>
              <w:spacing w:line="44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6</w:t>
            </w:r>
          </w:p>
        </w:tc>
        <w:tc>
          <w:tcPr>
            <w:tcW w:w="739" w:type="dxa"/>
            <w:noWrap/>
            <w:vAlign w:val="center"/>
          </w:tcPr>
          <w:p>
            <w:pPr>
              <w:widowControl/>
              <w:spacing w:line="440" w:lineRule="exact"/>
              <w:jc w:val="left"/>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eastAsia="zh-CN"/>
              </w:rPr>
              <w:t>供货方案</w:t>
            </w:r>
          </w:p>
        </w:tc>
        <w:tc>
          <w:tcPr>
            <w:tcW w:w="6783" w:type="dxa"/>
            <w:noWrap/>
            <w:vAlign w:val="center"/>
          </w:tcPr>
          <w:p>
            <w:pPr>
              <w:widowControl/>
              <w:spacing w:line="440" w:lineRule="exact"/>
              <w:jc w:val="left"/>
              <w:rPr>
                <w:rStyle w:val="24"/>
                <w:rFonts w:hint="eastAsia"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根据投标人提供的针对</w:t>
            </w:r>
            <w:r>
              <w:rPr>
                <w:rStyle w:val="24"/>
                <w:rFonts w:hint="eastAsia" w:ascii="宋体" w:hAnsi="宋体" w:cs="宋体"/>
                <w:b w:val="0"/>
                <w:bCs w:val="0"/>
                <w:color w:val="auto"/>
                <w:kern w:val="0"/>
                <w:sz w:val="24"/>
                <w:szCs w:val="24"/>
                <w:highlight w:val="none"/>
                <w:lang w:eastAsia="zh-CN"/>
              </w:rPr>
              <w:t>本合同</w:t>
            </w:r>
            <w:r>
              <w:rPr>
                <w:rStyle w:val="24"/>
                <w:rFonts w:hint="eastAsia" w:ascii="宋体" w:hAnsi="宋体" w:cs="宋体"/>
                <w:b w:val="0"/>
                <w:bCs w:val="0"/>
                <w:color w:val="auto"/>
                <w:kern w:val="0"/>
                <w:sz w:val="24"/>
                <w:szCs w:val="24"/>
                <w:highlight w:val="none"/>
                <w:lang w:val="en-US" w:eastAsia="zh-CN"/>
              </w:rPr>
              <w:t>包项目的</w:t>
            </w:r>
            <w:r>
              <w:rPr>
                <w:rStyle w:val="24"/>
                <w:rFonts w:hint="eastAsia" w:ascii="宋体" w:hAnsi="宋体" w:cs="宋体"/>
                <w:b w:val="0"/>
                <w:bCs w:val="0"/>
                <w:color w:val="auto"/>
                <w:kern w:val="0"/>
                <w:sz w:val="24"/>
                <w:szCs w:val="24"/>
                <w:highlight w:val="none"/>
              </w:rPr>
              <w:t>实际情况供货方案由评标委员会进行</w:t>
            </w:r>
            <w:r>
              <w:rPr>
                <w:rStyle w:val="24"/>
                <w:rFonts w:hint="eastAsia" w:ascii="宋体" w:hAnsi="宋体" w:cs="宋体"/>
                <w:b w:val="0"/>
                <w:bCs w:val="0"/>
                <w:color w:val="auto"/>
                <w:kern w:val="0"/>
                <w:sz w:val="24"/>
                <w:szCs w:val="24"/>
                <w:highlight w:val="none"/>
                <w:lang w:val="en-US" w:eastAsia="zh-CN"/>
              </w:rPr>
              <w:t>评分</w:t>
            </w:r>
            <w:r>
              <w:rPr>
                <w:rStyle w:val="24"/>
                <w:rFonts w:hint="eastAsia" w:ascii="宋体" w:hAnsi="宋体" w:cs="宋体"/>
                <w:b w:val="0"/>
                <w:bCs w:val="0"/>
                <w:color w:val="auto"/>
                <w:kern w:val="0"/>
                <w:sz w:val="24"/>
                <w:szCs w:val="24"/>
                <w:highlight w:val="none"/>
              </w:rPr>
              <w:t>。供货方案表述清晰、完整、严谨、切实可行有效，进度及工期保证措施合理、具体得3分；供货方案表述部分清晰、完整、严谨、切实可行有效，进度及工期保证措施部分合理、较具体得2分，供货方案表述不清晰、不够完整、不够严谨，供货方案</w:t>
            </w:r>
            <w:r>
              <w:rPr>
                <w:rStyle w:val="24"/>
                <w:rFonts w:hint="eastAsia" w:ascii="宋体" w:hAnsi="宋体" w:cs="宋体"/>
                <w:b w:val="0"/>
                <w:bCs w:val="0"/>
                <w:color w:val="auto"/>
                <w:kern w:val="0"/>
                <w:sz w:val="24"/>
                <w:szCs w:val="24"/>
                <w:highlight w:val="none"/>
                <w:lang w:val="en-US" w:eastAsia="zh-CN"/>
              </w:rPr>
              <w:t>一般的</w:t>
            </w:r>
            <w:r>
              <w:rPr>
                <w:rStyle w:val="24"/>
                <w:rFonts w:hint="eastAsia" w:ascii="宋体" w:hAnsi="宋体" w:cs="宋体"/>
                <w:b w:val="0"/>
                <w:bCs w:val="0"/>
                <w:color w:val="auto"/>
                <w:kern w:val="0"/>
                <w:sz w:val="24"/>
                <w:szCs w:val="24"/>
                <w:highlight w:val="none"/>
              </w:rPr>
              <w:t>得1分，未提供</w:t>
            </w:r>
            <w:r>
              <w:rPr>
                <w:rStyle w:val="24"/>
                <w:rFonts w:hint="eastAsia" w:ascii="宋体" w:hAnsi="宋体" w:cs="宋体"/>
                <w:b w:val="0"/>
                <w:bCs w:val="0"/>
                <w:color w:val="auto"/>
                <w:kern w:val="0"/>
                <w:sz w:val="24"/>
                <w:szCs w:val="24"/>
                <w:highlight w:val="none"/>
                <w:lang w:val="en-US" w:eastAsia="zh-CN"/>
              </w:rPr>
              <w:t>或提供不合格</w:t>
            </w:r>
            <w:r>
              <w:rPr>
                <w:rStyle w:val="24"/>
                <w:rFonts w:hint="eastAsia" w:ascii="宋体" w:hAnsi="宋体" w:cs="宋体"/>
                <w:b w:val="0"/>
                <w:bCs w:val="0"/>
                <w:color w:val="auto"/>
                <w:kern w:val="0"/>
                <w:sz w:val="24"/>
                <w:szCs w:val="24"/>
                <w:highlight w:val="none"/>
              </w:rPr>
              <w:t>的不得分。（满分3分）</w:t>
            </w:r>
          </w:p>
        </w:tc>
        <w:tc>
          <w:tcPr>
            <w:tcW w:w="882" w:type="dxa"/>
            <w:noWrap/>
            <w:vAlign w:val="center"/>
          </w:tcPr>
          <w:p>
            <w:pPr>
              <w:widowControl/>
              <w:spacing w:line="44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bl>
    <w:p>
      <w:pPr>
        <w:rPr>
          <w:color w:val="auto"/>
          <w:highlight w:val="none"/>
        </w:rPr>
      </w:pP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hint="eastAsia" w:ascii="宋体" w:hAnsi="宋体" w:cs="宋体"/>
          <w:color w:val="auto"/>
          <w:highlight w:val="none"/>
          <w:u w:val="single"/>
          <w:lang w:val="en-US" w:eastAsia="zh-CN"/>
        </w:rPr>
        <w:t>15</w:t>
      </w:r>
      <w:r>
        <w:rPr>
          <w:rFonts w:hint="eastAsia" w:ascii="宋体" w:hAnsi="宋体" w:cs="宋体"/>
          <w:color w:val="auto"/>
          <w:highlight w:val="none"/>
        </w:rPr>
        <w:t>分。</w:t>
      </w:r>
    </w:p>
    <w:tbl>
      <w:tblPr>
        <w:tblStyle w:val="22"/>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55"/>
        <w:gridCol w:w="680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b/>
                <w:color w:val="auto"/>
                <w:sz w:val="24"/>
                <w:highlight w:val="none"/>
              </w:rPr>
            </w:pPr>
            <w:r>
              <w:rPr>
                <w:rFonts w:hint="eastAsia" w:ascii="宋体" w:hAnsi="宋体"/>
                <w:b/>
                <w:color w:val="auto"/>
                <w:sz w:val="24"/>
                <w:highlight w:val="none"/>
              </w:rPr>
              <w:t>序号</w:t>
            </w:r>
          </w:p>
        </w:tc>
        <w:tc>
          <w:tcPr>
            <w:tcW w:w="806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b/>
                <w:color w:val="auto"/>
                <w:sz w:val="24"/>
                <w:highlight w:val="none"/>
              </w:rPr>
            </w:pPr>
            <w:r>
              <w:rPr>
                <w:rFonts w:hint="eastAsia" w:ascii="宋体" w:hAnsi="宋体"/>
                <w:b/>
                <w:color w:val="auto"/>
                <w:sz w:val="24"/>
                <w:highlight w:val="none"/>
              </w:rPr>
              <w:t>评分标准</w:t>
            </w:r>
          </w:p>
        </w:tc>
        <w:tc>
          <w:tcPr>
            <w:tcW w:w="959"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b/>
                <w:color w:val="auto"/>
                <w:sz w:val="24"/>
                <w:highlight w:val="none"/>
              </w:rPr>
            </w:pPr>
            <w:r>
              <w:rPr>
                <w:rFonts w:hint="eastAsia" w:ascii="宋体" w:hAnsi="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color w:val="auto"/>
                <w:sz w:val="24"/>
                <w:highlight w:val="none"/>
              </w:rPr>
            </w:pPr>
            <w:r>
              <w:rPr>
                <w:rFonts w:hint="eastAsia" w:ascii="宋体" w:hAnsi="宋体"/>
                <w:color w:val="auto"/>
                <w:sz w:val="24"/>
                <w:highlight w:val="none"/>
              </w:rPr>
              <w:t>1</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bCs/>
                <w:color w:val="auto"/>
                <w:sz w:val="24"/>
                <w:highlight w:val="none"/>
              </w:rPr>
            </w:pPr>
            <w:r>
              <w:rPr>
                <w:rFonts w:hint="eastAsia" w:ascii="宋体" w:hAnsi="宋体"/>
                <w:bCs/>
                <w:color w:val="auto"/>
                <w:sz w:val="24"/>
                <w:highlight w:val="none"/>
              </w:rPr>
              <w:t>企业认证情况</w:t>
            </w:r>
          </w:p>
        </w:tc>
        <w:tc>
          <w:tcPr>
            <w:tcW w:w="6809" w:type="dxa"/>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宋体" w:hAnsi="宋体" w:cs="宋体"/>
                <w:color w:val="auto"/>
                <w:kern w:val="0"/>
                <w:sz w:val="24"/>
                <w:szCs w:val="24"/>
                <w:highlight w:val="none"/>
              </w:rPr>
            </w:pPr>
            <w:r>
              <w:rPr>
                <w:rFonts w:ascii="宋体" w:hAnsi="宋体" w:cs="宋体"/>
                <w:color w:val="auto"/>
                <w:kern w:val="0"/>
                <w:sz w:val="24"/>
                <w:szCs w:val="24"/>
                <w:highlight w:val="none"/>
              </w:rPr>
              <w:t>投标人</w:t>
            </w:r>
            <w:r>
              <w:rPr>
                <w:rFonts w:hint="eastAsia" w:ascii="宋体" w:hAnsi="宋体" w:cs="宋体"/>
                <w:color w:val="auto"/>
                <w:kern w:val="0"/>
                <w:sz w:val="24"/>
                <w:szCs w:val="24"/>
                <w:highlight w:val="none"/>
                <w:lang w:eastAsia="zh-CN"/>
              </w:rPr>
              <w:t>或</w:t>
            </w:r>
            <w:r>
              <w:rPr>
                <w:rFonts w:ascii="宋体" w:hAnsi="宋体" w:cs="宋体"/>
                <w:color w:val="auto"/>
                <w:kern w:val="0"/>
                <w:sz w:val="24"/>
                <w:szCs w:val="24"/>
                <w:highlight w:val="none"/>
              </w:rPr>
              <w:t>所投产品</w:t>
            </w:r>
            <w:r>
              <w:rPr>
                <w:rFonts w:hint="eastAsia" w:ascii="宋体" w:hAnsi="宋体" w:cs="宋体"/>
                <w:color w:val="auto"/>
                <w:kern w:val="0"/>
                <w:sz w:val="24"/>
                <w:szCs w:val="24"/>
                <w:highlight w:val="none"/>
              </w:rPr>
              <w:t>生产</w:t>
            </w:r>
            <w:r>
              <w:rPr>
                <w:rFonts w:hint="eastAsia" w:ascii="宋体" w:hAnsi="宋体" w:cs="宋体"/>
                <w:color w:val="auto"/>
                <w:kern w:val="0"/>
                <w:sz w:val="24"/>
                <w:szCs w:val="24"/>
                <w:highlight w:val="none"/>
                <w:lang w:eastAsia="zh-CN"/>
              </w:rPr>
              <w:t>制造商</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质量管理体系认证得1分</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环境管理体系认证得1分</w:t>
            </w:r>
            <w:r>
              <w:rPr>
                <w:rFonts w:hint="eastAsia" w:ascii="宋体" w:hAnsi="宋体" w:cs="宋体"/>
                <w:color w:val="auto"/>
                <w:kern w:val="0"/>
                <w:sz w:val="24"/>
                <w:szCs w:val="24"/>
                <w:highlight w:val="none"/>
              </w:rPr>
              <w:t>，通过</w:t>
            </w:r>
            <w:r>
              <w:rPr>
                <w:rFonts w:ascii="宋体" w:hAnsi="宋体" w:cs="宋体"/>
                <w:color w:val="auto"/>
                <w:kern w:val="0"/>
                <w:sz w:val="24"/>
                <w:szCs w:val="24"/>
                <w:highlight w:val="none"/>
              </w:rPr>
              <w:t>职业健康安全管理体系认证得1分</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未提供不得分。(满分</w:t>
            </w: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分)</w:t>
            </w:r>
          </w:p>
          <w:p>
            <w:pPr>
              <w:spacing w:line="380" w:lineRule="exact"/>
              <w:rPr>
                <w:rFonts w:ascii="宋体" w:cs="宋体"/>
                <w:color w:val="auto"/>
                <w:sz w:val="24"/>
                <w:highlight w:val="none"/>
              </w:rPr>
            </w:pPr>
            <w:r>
              <w:rPr>
                <w:rFonts w:hint="eastAsia" w:ascii="宋体" w:hAnsi="宋体" w:cs="宋体"/>
                <w:color w:val="auto"/>
                <w:kern w:val="0"/>
                <w:sz w:val="24"/>
                <w:szCs w:val="24"/>
                <w:highlight w:val="none"/>
              </w:rPr>
              <w:t>（</w:t>
            </w:r>
            <w:r>
              <w:rPr>
                <w:rFonts w:hint="eastAsia" w:ascii="宋体" w:cs="宋体"/>
                <w:color w:val="auto"/>
                <w:sz w:val="24"/>
                <w:highlight w:val="none"/>
                <w:lang w:val="en-US" w:eastAsia="zh-CN"/>
              </w:rPr>
              <w:t>需提供体系认证证书复印件及认监委官网查询链接、截图等相关复印件加盖公章，原件备查，未提供或提供不全的不得分。</w:t>
            </w:r>
            <w:r>
              <w:rPr>
                <w:rFonts w:hint="eastAsia" w:ascii="宋体" w:hAnsi="宋体" w:cs="宋体"/>
                <w:color w:val="auto"/>
                <w:kern w:val="0"/>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tabs>
                <w:tab w:val="left" w:pos="540"/>
                <w:tab w:val="left" w:pos="900"/>
              </w:tabs>
              <w:adjustRightInd w:val="0"/>
              <w:spacing w:line="360" w:lineRule="auto"/>
              <w:jc w:val="center"/>
              <w:rPr>
                <w:rFonts w:ascii="宋体"/>
                <w:bCs/>
                <w:color w:val="auto"/>
                <w:sz w:val="24"/>
                <w:highlight w:val="none"/>
              </w:rPr>
            </w:pPr>
            <w:r>
              <w:rPr>
                <w:rFonts w:hint="eastAsia" w:ascii="宋体" w:hAnsi="宋体"/>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color w:val="auto"/>
                <w:sz w:val="24"/>
                <w:highlight w:val="none"/>
              </w:rPr>
            </w:pPr>
            <w:r>
              <w:rPr>
                <w:rFonts w:hint="eastAsia" w:ascii="宋体" w:hAnsi="宋体"/>
                <w:color w:val="auto"/>
                <w:sz w:val="24"/>
                <w:highlight w:val="none"/>
              </w:rPr>
              <w:t>2</w:t>
            </w:r>
          </w:p>
        </w:tc>
        <w:tc>
          <w:tcPr>
            <w:tcW w:w="1255" w:type="dxa"/>
            <w:vMerge w:val="restart"/>
            <w:tcBorders>
              <w:top w:val="single" w:color="auto" w:sz="4" w:space="0"/>
              <w:left w:val="single" w:color="auto" w:sz="4" w:space="0"/>
              <w:right w:val="single" w:color="auto" w:sz="4" w:space="0"/>
            </w:tcBorders>
            <w:noWrap/>
            <w:vAlign w:val="center"/>
          </w:tcPr>
          <w:p>
            <w:pPr>
              <w:spacing w:line="360" w:lineRule="auto"/>
              <w:rPr>
                <w:rFonts w:ascii="宋体"/>
                <w:bCs/>
                <w:color w:val="auto"/>
                <w:sz w:val="24"/>
                <w:highlight w:val="none"/>
              </w:rPr>
            </w:pPr>
            <w:r>
              <w:rPr>
                <w:rFonts w:hint="eastAsia" w:ascii="宋体" w:hAnsi="宋体"/>
                <w:bCs/>
                <w:color w:val="auto"/>
                <w:sz w:val="24"/>
                <w:highlight w:val="none"/>
              </w:rPr>
              <w:t>综合实力</w:t>
            </w:r>
          </w:p>
        </w:tc>
        <w:tc>
          <w:tcPr>
            <w:tcW w:w="680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rPr>
                <w:color w:val="auto"/>
                <w:highlight w:val="none"/>
              </w:rPr>
            </w:pP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lang w:val="en-US" w:eastAsia="zh-CN"/>
              </w:rPr>
              <w:t>或</w:t>
            </w:r>
            <w:r>
              <w:rPr>
                <w:rFonts w:ascii="宋体" w:hAnsi="宋体" w:cs="宋体"/>
                <w:color w:val="auto"/>
                <w:kern w:val="0"/>
                <w:sz w:val="24"/>
                <w:szCs w:val="24"/>
                <w:highlight w:val="none"/>
              </w:rPr>
              <w:t>所投产品制造商</w:t>
            </w:r>
            <w:r>
              <w:rPr>
                <w:rFonts w:hint="eastAsia" w:ascii="宋体" w:hAnsi="宋体" w:cs="宋体"/>
                <w:color w:val="auto"/>
                <w:kern w:val="0"/>
                <w:sz w:val="24"/>
                <w:szCs w:val="24"/>
                <w:highlight w:val="none"/>
              </w:rPr>
              <w:t>具有中国绿色建材产品认证证书</w:t>
            </w:r>
            <w:r>
              <w:rPr>
                <w:rFonts w:hint="eastAsia" w:ascii="宋体" w:hAnsi="宋体" w:cs="宋体"/>
                <w:color w:val="auto"/>
                <w:kern w:val="0"/>
                <w:sz w:val="24"/>
                <w:szCs w:val="24"/>
                <w:highlight w:val="none"/>
                <w:lang w:eastAsia="zh-CN"/>
              </w:rPr>
              <w:t>或者玻璃夹砂管管道名牌产品证书的</w:t>
            </w:r>
            <w:r>
              <w:rPr>
                <w:rFonts w:hint="eastAsia" w:ascii="宋体" w:hAnsi="宋体" w:cs="宋体"/>
                <w:color w:val="auto"/>
                <w:kern w:val="0"/>
                <w:sz w:val="24"/>
                <w:szCs w:val="24"/>
                <w:highlight w:val="none"/>
              </w:rPr>
              <w:t>得1分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满分1分</w:t>
            </w:r>
            <w:r>
              <w:rPr>
                <w:rFonts w:hint="eastAsia" w:ascii="宋体" w:hAnsi="宋体"/>
                <w:color w:val="auto"/>
                <w:sz w:val="24"/>
                <w:highlight w:val="none"/>
              </w:rPr>
              <w:t>（</w:t>
            </w:r>
            <w:r>
              <w:rPr>
                <w:rFonts w:hint="eastAsia" w:ascii="宋体" w:hAnsi="宋体"/>
                <w:color w:val="auto"/>
                <w:sz w:val="24"/>
                <w:highlight w:val="none"/>
                <w:lang w:val="en-US" w:eastAsia="zh-CN"/>
              </w:rPr>
              <w:t>需提供证书复印件加盖公章，原件备查，未提供的不得分</w:t>
            </w:r>
            <w:r>
              <w:rPr>
                <w:rFonts w:hint="eastAsia" w:ascii="宋体" w:hAnsi="宋体"/>
                <w:color w:val="auto"/>
                <w:sz w:val="24"/>
                <w:highlight w:val="none"/>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color w:val="auto"/>
                <w:sz w:val="24"/>
                <w:highlight w:val="none"/>
              </w:rPr>
            </w:pPr>
            <w:r>
              <w:rPr>
                <w:rFonts w:hint="eastAsia" w:ascii="宋体" w:hAnsi="宋体"/>
                <w:color w:val="auto"/>
                <w:sz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ascii="宋体"/>
                <w:color w:val="auto"/>
                <w:sz w:val="24"/>
                <w:highlight w:val="none"/>
              </w:rPr>
            </w:pPr>
            <w:r>
              <w:rPr>
                <w:rFonts w:hint="eastAsia" w:ascii="宋体" w:hAnsi="宋体"/>
                <w:color w:val="auto"/>
                <w:sz w:val="24"/>
                <w:highlight w:val="none"/>
              </w:rPr>
              <w:t>3</w:t>
            </w:r>
          </w:p>
        </w:tc>
        <w:tc>
          <w:tcPr>
            <w:tcW w:w="1255" w:type="dxa"/>
            <w:vMerge w:val="continue"/>
            <w:tcBorders>
              <w:left w:val="single" w:color="auto" w:sz="4" w:space="0"/>
              <w:right w:val="single" w:color="auto" w:sz="4" w:space="0"/>
            </w:tcBorders>
            <w:noWrap/>
            <w:vAlign w:val="center"/>
          </w:tcPr>
          <w:p>
            <w:pPr>
              <w:widowControl/>
              <w:jc w:val="left"/>
              <w:rPr>
                <w:rFonts w:ascii="宋体"/>
                <w:bCs/>
                <w:color w:val="auto"/>
                <w:sz w:val="24"/>
                <w:highlight w:val="none"/>
              </w:rPr>
            </w:pPr>
          </w:p>
        </w:tc>
        <w:tc>
          <w:tcPr>
            <w:tcW w:w="6809" w:type="dxa"/>
            <w:tcBorders>
              <w:top w:val="single" w:color="auto" w:sz="4" w:space="0"/>
              <w:left w:val="single" w:color="auto" w:sz="4" w:space="0"/>
              <w:bottom w:val="single" w:color="auto" w:sz="4" w:space="0"/>
              <w:right w:val="single" w:color="auto" w:sz="4" w:space="0"/>
            </w:tcBorders>
            <w:noWrap/>
            <w:vAlign w:val="center"/>
          </w:tcPr>
          <w:p>
            <w:pPr>
              <w:spacing w:line="370" w:lineRule="exac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符合国家绿色能源政策，响应国家节能减排号召，投标人</w:t>
            </w:r>
            <w:r>
              <w:rPr>
                <w:rFonts w:hint="eastAsia" w:ascii="宋体" w:hAnsi="宋体" w:cs="宋体"/>
                <w:color w:val="auto"/>
                <w:kern w:val="0"/>
                <w:sz w:val="24"/>
                <w:szCs w:val="24"/>
                <w:highlight w:val="none"/>
                <w:lang w:val="en-US" w:eastAsia="zh-CN"/>
              </w:rPr>
              <w:t>或所投产品制造商</w:t>
            </w:r>
            <w:r>
              <w:rPr>
                <w:rFonts w:hint="eastAsia" w:ascii="宋体" w:hAnsi="宋体" w:eastAsia="宋体" w:cs="宋体"/>
                <w:color w:val="auto"/>
                <w:kern w:val="0"/>
                <w:sz w:val="24"/>
                <w:szCs w:val="24"/>
                <w:highlight w:val="none"/>
              </w:rPr>
              <w:t>具有玻璃钢管节水认证证书</w:t>
            </w:r>
            <w:r>
              <w:rPr>
                <w:rFonts w:hint="eastAsia" w:ascii="宋体" w:hAnsi="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需提供证书复印件加盖公章，原件备查，未提供的不得分</w:t>
            </w:r>
            <w:r>
              <w:rPr>
                <w:rFonts w:hint="eastAsia" w:ascii="宋体" w:hAnsi="宋体"/>
                <w:color w:val="auto"/>
                <w:sz w:val="24"/>
                <w:highlight w:val="none"/>
              </w:rPr>
              <w:t>）</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1255" w:type="dxa"/>
            <w:vMerge w:val="continue"/>
            <w:tcBorders>
              <w:left w:val="single" w:color="auto" w:sz="4" w:space="0"/>
              <w:right w:val="single" w:color="auto" w:sz="4" w:space="0"/>
            </w:tcBorders>
            <w:noWrap/>
            <w:vAlign w:val="center"/>
          </w:tcPr>
          <w:p>
            <w:pPr>
              <w:widowControl/>
              <w:jc w:val="left"/>
              <w:rPr>
                <w:rFonts w:ascii="宋体"/>
                <w:bCs/>
                <w:color w:val="auto"/>
                <w:sz w:val="24"/>
                <w:highlight w:val="none"/>
              </w:rPr>
            </w:pPr>
          </w:p>
        </w:tc>
        <w:tc>
          <w:tcPr>
            <w:tcW w:w="680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70" w:lineRule="exact"/>
              <w:rPr>
                <w:rFonts w:hint="default" w:ascii="宋体" w:hAnsi="宋体" w:eastAsia="宋体" w:cs="宋体"/>
                <w:strike w:val="0"/>
                <w:dstrike w:val="0"/>
                <w:color w:val="auto"/>
                <w:kern w:val="0"/>
                <w:sz w:val="24"/>
                <w:szCs w:val="24"/>
                <w:highlight w:val="none"/>
                <w:lang w:val="en-US" w:eastAsia="zh-CN" w:bidi="ar-SA"/>
              </w:rPr>
            </w:pPr>
            <w:r>
              <w:rPr>
                <w:rFonts w:hint="eastAsia" w:ascii="宋体" w:hAnsi="宋体" w:cs="宋体"/>
                <w:strike w:val="0"/>
                <w:dstrike w:val="0"/>
                <w:color w:val="auto"/>
                <w:kern w:val="0"/>
                <w:sz w:val="24"/>
                <w:szCs w:val="24"/>
                <w:highlight w:val="none"/>
                <w:lang w:val="en-US" w:eastAsia="zh-CN" w:bidi="ar-SA"/>
              </w:rPr>
              <w:t>投标人或所投产品制造商貝有科技厅颁发的企业技术中心证书得1分</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cs="宋体"/>
                <w:strike w:val="0"/>
                <w:dstrike w:val="0"/>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255" w:type="dxa"/>
            <w:vMerge w:val="continue"/>
            <w:tcBorders>
              <w:left w:val="single" w:color="auto" w:sz="4" w:space="0"/>
              <w:right w:val="single" w:color="auto" w:sz="4" w:space="0"/>
            </w:tcBorders>
            <w:noWrap/>
            <w:vAlign w:val="center"/>
          </w:tcPr>
          <w:p>
            <w:pPr>
              <w:widowControl/>
              <w:jc w:val="left"/>
              <w:rPr>
                <w:rFonts w:ascii="宋体"/>
                <w:bCs/>
                <w:color w:val="auto"/>
                <w:sz w:val="24"/>
                <w:highlight w:val="none"/>
              </w:rPr>
            </w:pPr>
          </w:p>
        </w:tc>
        <w:tc>
          <w:tcPr>
            <w:tcW w:w="680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7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投标人具有材料</w:t>
            </w:r>
            <w:r>
              <w:rPr>
                <w:rFonts w:hint="eastAsia" w:ascii="宋体" w:hAnsi="宋体" w:cs="宋体"/>
                <w:color w:val="auto"/>
                <w:kern w:val="0"/>
                <w:sz w:val="24"/>
                <w:szCs w:val="24"/>
                <w:highlight w:val="none"/>
                <w:lang w:eastAsia="zh-CN"/>
              </w:rPr>
              <w:t>技术研发</w:t>
            </w:r>
            <w:r>
              <w:rPr>
                <w:rFonts w:hint="eastAsia" w:ascii="宋体" w:hAnsi="宋体" w:eastAsia="宋体" w:cs="宋体"/>
                <w:color w:val="auto"/>
                <w:kern w:val="0"/>
                <w:sz w:val="24"/>
                <w:szCs w:val="24"/>
                <w:highlight w:val="none"/>
              </w:rPr>
              <w:t>中心并提供相关证明材料得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,否则不得分。</w:t>
            </w:r>
            <w:r>
              <w:rPr>
                <w:rFonts w:hint="eastAsia" w:ascii="宋体" w:hAnsi="宋体" w:cs="宋体"/>
                <w:bCs/>
                <w:color w:val="auto"/>
                <w:kern w:val="0"/>
                <w:sz w:val="24"/>
                <w:szCs w:val="24"/>
                <w:highlight w:val="none"/>
              </w:rPr>
              <w:t>（满分</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分）</w:t>
            </w:r>
          </w:p>
        </w:tc>
        <w:tc>
          <w:tcPr>
            <w:tcW w:w="959"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6</w:t>
            </w:r>
          </w:p>
        </w:tc>
        <w:tc>
          <w:tcPr>
            <w:tcW w:w="1255" w:type="dxa"/>
            <w:vMerge w:val="continue"/>
            <w:tcBorders>
              <w:left w:val="single" w:color="auto" w:sz="4" w:space="0"/>
              <w:bottom w:val="single" w:color="auto" w:sz="4" w:space="0"/>
              <w:right w:val="single" w:color="auto" w:sz="4" w:space="0"/>
            </w:tcBorders>
            <w:noWrap/>
            <w:vAlign w:val="center"/>
          </w:tcPr>
          <w:p>
            <w:pPr>
              <w:widowControl/>
              <w:jc w:val="left"/>
              <w:rPr>
                <w:rFonts w:ascii="宋体"/>
                <w:bCs/>
                <w:color w:val="auto"/>
                <w:sz w:val="24"/>
                <w:highlight w:val="none"/>
              </w:rPr>
            </w:pPr>
          </w:p>
        </w:tc>
        <w:tc>
          <w:tcPr>
            <w:tcW w:w="680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Times New Roman"/>
                <w:bCs/>
                <w:color w:val="auto"/>
                <w:kern w:val="2"/>
                <w:sz w:val="24"/>
                <w:lang w:val="en-US" w:eastAsia="zh-CN" w:bidi="ar-SA"/>
              </w:rPr>
            </w:pPr>
            <w:r>
              <w:rPr>
                <w:rFonts w:hint="eastAsia" w:ascii="宋体" w:hAnsi="宋体" w:eastAsia="宋体" w:cs="Times New Roman"/>
                <w:bCs/>
                <w:color w:val="auto"/>
                <w:sz w:val="24"/>
              </w:rPr>
              <w:t>投标人具有信用评估机构出具的AAA级信用评估证书得</w:t>
            </w:r>
            <w:r>
              <w:rPr>
                <w:rFonts w:hint="eastAsia" w:ascii="宋体" w:hAnsi="宋体" w:cs="Times New Roman"/>
                <w:bCs/>
                <w:color w:val="auto"/>
                <w:sz w:val="24"/>
                <w:lang w:val="en-US" w:eastAsia="zh-CN"/>
              </w:rPr>
              <w:t>1</w:t>
            </w:r>
            <w:r>
              <w:rPr>
                <w:rFonts w:hint="eastAsia" w:ascii="宋体" w:hAnsi="宋体" w:eastAsia="宋体" w:cs="Times New Roman"/>
                <w:bCs/>
                <w:color w:val="auto"/>
                <w:sz w:val="24"/>
              </w:rPr>
              <w:t>分</w:t>
            </w:r>
            <w:r>
              <w:rPr>
                <w:rFonts w:hint="eastAsia" w:ascii="宋体" w:hAnsi="宋体" w:eastAsia="宋体" w:cs="Times New Roman"/>
                <w:bCs/>
                <w:color w:val="auto"/>
                <w:sz w:val="24"/>
                <w:lang w:eastAsia="zh-CN"/>
              </w:rPr>
              <w:t>；</w:t>
            </w:r>
            <w:r>
              <w:rPr>
                <w:rFonts w:hint="eastAsia" w:ascii="宋体" w:hAnsi="宋体" w:eastAsia="宋体" w:cs="Times New Roman"/>
                <w:bCs/>
                <w:color w:val="auto"/>
                <w:sz w:val="24"/>
              </w:rPr>
              <w:t>具有AA级信用评估证书得</w:t>
            </w:r>
            <w:r>
              <w:rPr>
                <w:rFonts w:hint="eastAsia" w:ascii="宋体" w:hAnsi="宋体" w:cs="Times New Roman"/>
                <w:bCs/>
                <w:color w:val="auto"/>
                <w:sz w:val="24"/>
                <w:lang w:val="en-US" w:eastAsia="zh-CN"/>
              </w:rPr>
              <w:t>0.5</w:t>
            </w:r>
            <w:r>
              <w:rPr>
                <w:rFonts w:hint="eastAsia" w:ascii="宋体" w:hAnsi="宋体" w:eastAsia="宋体" w:cs="Times New Roman"/>
                <w:bCs/>
                <w:color w:val="auto"/>
                <w:sz w:val="24"/>
              </w:rPr>
              <w:t>分</w:t>
            </w:r>
            <w:r>
              <w:rPr>
                <w:rFonts w:hint="eastAsia" w:ascii="宋体" w:hAnsi="宋体" w:eastAsia="宋体" w:cs="Times New Roman"/>
                <w:bCs/>
                <w:color w:val="auto"/>
                <w:sz w:val="24"/>
                <w:lang w:eastAsia="zh-CN"/>
              </w:rPr>
              <w:t>。</w:t>
            </w:r>
            <w:r>
              <w:rPr>
                <w:rFonts w:hint="eastAsia" w:ascii="宋体" w:hAnsi="宋体" w:eastAsia="宋体" w:cs="Times New Roman"/>
                <w:bCs/>
                <w:color w:val="auto"/>
                <w:sz w:val="24"/>
              </w:rPr>
              <w:t>（本项满分</w:t>
            </w:r>
            <w:r>
              <w:rPr>
                <w:rFonts w:hint="eastAsia" w:ascii="宋体" w:hAnsi="宋体" w:cs="Times New Roman"/>
                <w:bCs/>
                <w:color w:val="auto"/>
                <w:sz w:val="24"/>
                <w:lang w:val="en-US" w:eastAsia="zh-CN"/>
              </w:rPr>
              <w:t>1</w:t>
            </w:r>
            <w:r>
              <w:rPr>
                <w:rFonts w:hint="eastAsia" w:ascii="宋体" w:hAnsi="宋体" w:eastAsia="宋体" w:cs="Times New Roman"/>
                <w:bCs/>
                <w:color w:val="auto"/>
                <w:sz w:val="24"/>
              </w:rPr>
              <w:t>分，须提供有效的证书原件，不提供不得分）</w:t>
            </w:r>
          </w:p>
        </w:tc>
        <w:tc>
          <w:tcPr>
            <w:tcW w:w="959" w:type="dxa"/>
            <w:tcBorders>
              <w:top w:val="single" w:color="auto" w:sz="4" w:space="0"/>
              <w:left w:val="single" w:color="auto" w:sz="4" w:space="0"/>
              <w:bottom w:val="single" w:color="auto" w:sz="4" w:space="0"/>
              <w:right w:val="single" w:color="auto" w:sz="4" w:space="0"/>
            </w:tcBorders>
            <w:noWrap/>
            <w:vAlign w:val="center"/>
          </w:tcPr>
          <w:p>
            <w:pPr>
              <w:tabs>
                <w:tab w:val="left" w:pos="540"/>
                <w:tab w:val="left" w:pos="900"/>
              </w:tabs>
              <w:adjustRightInd w:val="0"/>
              <w:spacing w:line="360" w:lineRule="auto"/>
              <w:jc w:val="center"/>
              <w:rPr>
                <w:rFonts w:hint="eastAsia" w:ascii="宋体" w:hAnsi="Times New Roman" w:eastAsia="宋体" w:cs="Times New Roman"/>
                <w:bCs/>
                <w:color w:val="auto"/>
                <w:kern w:val="2"/>
                <w:sz w:val="24"/>
                <w:lang w:val="en-US" w:eastAsia="zh-CN" w:bidi="ar-SA"/>
              </w:rPr>
            </w:pPr>
            <w:r>
              <w:rPr>
                <w:rFonts w:hint="eastAsia" w:ascii="宋体" w:hAnsi="宋体"/>
                <w:bCs/>
                <w:color w:val="auto"/>
                <w:sz w:val="24"/>
                <w:lang w:val="en-US" w:eastAsia="zh-CN"/>
              </w:rPr>
              <w:t>1</w:t>
            </w:r>
            <w:r>
              <w:rPr>
                <w:rFonts w:hint="eastAsia" w:ascii="宋体" w:hAnsi="宋体"/>
                <w:bCs/>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8</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bCs/>
                <w:color w:val="auto"/>
                <w:sz w:val="24"/>
                <w:highlight w:val="none"/>
              </w:rPr>
            </w:pPr>
            <w:r>
              <w:rPr>
                <w:rFonts w:hint="eastAsia" w:ascii="宋体" w:hAnsi="宋体"/>
                <w:bCs/>
                <w:color w:val="auto"/>
                <w:sz w:val="24"/>
                <w:highlight w:val="none"/>
              </w:rPr>
              <w:t>业绩</w:t>
            </w:r>
          </w:p>
        </w:tc>
        <w:tc>
          <w:tcPr>
            <w:tcW w:w="6809" w:type="dxa"/>
            <w:tcBorders>
              <w:top w:val="single" w:color="auto" w:sz="4" w:space="0"/>
              <w:left w:val="single" w:color="auto" w:sz="4" w:space="0"/>
              <w:bottom w:val="single" w:color="auto" w:sz="4" w:space="0"/>
              <w:right w:val="single" w:color="auto" w:sz="4" w:space="0"/>
            </w:tcBorders>
            <w:noWrap/>
            <w:vAlign w:val="center"/>
          </w:tcPr>
          <w:p>
            <w:pPr>
              <w:pStyle w:val="12"/>
              <w:spacing w:line="380" w:lineRule="exact"/>
              <w:rPr>
                <w:rFonts w:hAnsi="宋体" w:cs="宋体"/>
                <w:color w:val="auto"/>
                <w:kern w:val="0"/>
                <w:sz w:val="24"/>
                <w:szCs w:val="24"/>
                <w:highlight w:val="none"/>
              </w:rPr>
            </w:pPr>
            <w:r>
              <w:rPr>
                <w:rFonts w:hint="eastAsia" w:hAnsi="宋体" w:cs="宋体"/>
                <w:color w:val="auto"/>
                <w:kern w:val="0"/>
                <w:sz w:val="24"/>
                <w:szCs w:val="24"/>
                <w:highlight w:val="none"/>
              </w:rPr>
              <w:t>根据投标人（</w:t>
            </w:r>
            <w:r>
              <w:rPr>
                <w:rFonts w:hint="eastAsia" w:hAnsi="宋体" w:cs="宋体"/>
                <w:color w:val="auto"/>
                <w:sz w:val="24"/>
                <w:szCs w:val="24"/>
                <w:highlight w:val="none"/>
              </w:rPr>
              <w:t>或所投产品生产企业）</w:t>
            </w:r>
            <w:r>
              <w:rPr>
                <w:rFonts w:hint="eastAsia" w:hAnsi="宋体" w:cs="宋体"/>
                <w:color w:val="auto"/>
                <w:kern w:val="0"/>
                <w:sz w:val="24"/>
                <w:szCs w:val="24"/>
                <w:highlight w:val="none"/>
              </w:rPr>
              <w:t>提供近三年（指 2019年1月1日起至投标截止时间前，日期以中标公示或合同签订日期为准)，由投标人（</w:t>
            </w:r>
            <w:r>
              <w:rPr>
                <w:rFonts w:hint="eastAsia" w:hAnsi="宋体" w:cs="宋体"/>
                <w:color w:val="auto"/>
                <w:sz w:val="24"/>
                <w:szCs w:val="24"/>
                <w:highlight w:val="none"/>
              </w:rPr>
              <w:t>或所投产品生产企业）</w:t>
            </w:r>
            <w:r>
              <w:rPr>
                <w:rFonts w:hint="eastAsia" w:hAnsi="宋体" w:cs="宋体"/>
                <w:color w:val="auto"/>
                <w:kern w:val="0"/>
                <w:sz w:val="24"/>
                <w:szCs w:val="24"/>
                <w:highlight w:val="none"/>
              </w:rPr>
              <w:t>所承接的与本次投标同类产品的业绩，每提供1份符合要求的业绩得0.5分，满分3分。</w:t>
            </w:r>
          </w:p>
          <w:p>
            <w:pPr>
              <w:pStyle w:val="12"/>
              <w:spacing w:line="380" w:lineRule="exact"/>
              <w:rPr>
                <w:rFonts w:hAnsi="宋体"/>
                <w:bCs/>
                <w:color w:val="auto"/>
                <w:sz w:val="24"/>
                <w:highlight w:val="none"/>
              </w:rPr>
            </w:pPr>
            <w:r>
              <w:rPr>
                <w:rFonts w:hint="eastAsia" w:hAnsi="宋体" w:cs="宋体"/>
                <w:color w:val="auto"/>
                <w:kern w:val="0"/>
                <w:sz w:val="24"/>
                <w:szCs w:val="24"/>
                <w:highlight w:val="none"/>
              </w:rPr>
              <w:t>（投标人需提供该业绩项目的中标通知书复印件、采购合同文本复印件等相关证明文件复印件</w:t>
            </w:r>
            <w:r>
              <w:rPr>
                <w:rFonts w:hint="eastAsia" w:hAnsi="宋体" w:cs="宋体"/>
                <w:color w:val="auto"/>
                <w:sz w:val="24"/>
                <w:szCs w:val="24"/>
                <w:highlight w:val="none"/>
              </w:rPr>
              <w:t>并加盖投标人公章，提供不全或未提供的不得分）</w:t>
            </w:r>
          </w:p>
        </w:tc>
        <w:tc>
          <w:tcPr>
            <w:tcW w:w="95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bCs/>
                <w:color w:val="auto"/>
                <w:sz w:val="24"/>
                <w:highlight w:val="none"/>
              </w:rPr>
            </w:pPr>
            <w:r>
              <w:rPr>
                <w:rFonts w:hint="eastAsia" w:ascii="宋体" w:hAnsi="宋体"/>
                <w:bCs/>
                <w:color w:val="auto"/>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716" w:type="dxa"/>
            <w:tcBorders>
              <w:top w:val="single" w:color="auto" w:sz="4" w:space="0"/>
              <w:left w:val="single" w:color="auto" w:sz="4" w:space="0"/>
              <w:bottom w:val="single" w:color="auto" w:sz="4" w:space="0"/>
              <w:right w:val="single" w:color="auto" w:sz="4" w:space="0"/>
            </w:tcBorders>
            <w:noWrap/>
            <w:vAlign w:val="center"/>
          </w:tcPr>
          <w:p>
            <w:pPr>
              <w:adjustRightInd w:val="0"/>
              <w:spacing w:before="156" w:beforeLines="50" w:after="156" w:afterLines="50" w:line="360" w:lineRule="auto"/>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9</w:t>
            </w:r>
          </w:p>
        </w:tc>
        <w:tc>
          <w:tcPr>
            <w:tcW w:w="125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ascii="宋体" w:cs="宋体"/>
                <w:color w:val="auto"/>
                <w:sz w:val="24"/>
                <w:highlight w:val="none"/>
              </w:rPr>
            </w:pPr>
            <w:r>
              <w:rPr>
                <w:rFonts w:hint="eastAsia" w:ascii="宋体" w:hAnsi="宋体" w:cs="宋体"/>
                <w:color w:val="auto"/>
                <w:kern w:val="0"/>
                <w:sz w:val="24"/>
                <w:szCs w:val="24"/>
                <w:highlight w:val="none"/>
              </w:rPr>
              <w:t>质保期承诺</w:t>
            </w:r>
          </w:p>
        </w:tc>
        <w:tc>
          <w:tcPr>
            <w:tcW w:w="6809"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rPr>
                <w:rFonts w:ascii="宋体" w:cs="宋体"/>
                <w:color w:val="auto"/>
                <w:sz w:val="24"/>
                <w:highlight w:val="none"/>
              </w:rPr>
            </w:pPr>
            <w:r>
              <w:rPr>
                <w:rFonts w:hint="eastAsia" w:hAnsi="宋体" w:cs="宋体"/>
                <w:color w:val="auto"/>
                <w:kern w:val="0"/>
                <w:sz w:val="24"/>
                <w:szCs w:val="24"/>
                <w:highlight w:val="none"/>
              </w:rPr>
              <w:t>投标人承诺在满足招标文件要求的售后质保期限基础上，每增加1年得1分，满分2分。</w:t>
            </w:r>
          </w:p>
        </w:tc>
        <w:tc>
          <w:tcPr>
            <w:tcW w:w="959" w:type="dxa"/>
            <w:tcBorders>
              <w:top w:val="single" w:color="auto" w:sz="4" w:space="0"/>
              <w:left w:val="single" w:color="auto" w:sz="4" w:space="0"/>
              <w:bottom w:val="single" w:color="auto" w:sz="4" w:space="0"/>
              <w:right w:val="single" w:color="auto" w:sz="4" w:space="0"/>
            </w:tcBorders>
            <w:noWrap/>
            <w:vAlign w:val="center"/>
          </w:tcPr>
          <w:p>
            <w:pPr>
              <w:tabs>
                <w:tab w:val="left" w:pos="540"/>
                <w:tab w:val="left" w:pos="900"/>
              </w:tabs>
              <w:adjustRightInd w:val="0"/>
              <w:spacing w:line="360" w:lineRule="auto"/>
              <w:jc w:val="center"/>
              <w:rPr>
                <w:rFonts w:ascii="宋体"/>
                <w:color w:val="auto"/>
                <w:sz w:val="24"/>
                <w:highlight w:val="none"/>
              </w:rPr>
            </w:pPr>
            <w:r>
              <w:rPr>
                <w:rFonts w:hint="eastAsia" w:ascii="宋体" w:hAnsi="宋体"/>
                <w:color w:val="auto"/>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739"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right="84" w:rightChars="40"/>
              <w:jc w:val="left"/>
              <w:rPr>
                <w:rFonts w:ascii="宋体"/>
                <w:color w:val="auto"/>
                <w:sz w:val="24"/>
                <w:highlight w:val="none"/>
              </w:rPr>
            </w:pPr>
            <w:r>
              <w:rPr>
                <w:rFonts w:hint="eastAsia" w:ascii="宋体" w:hAnsi="宋体" w:cs="宋体"/>
                <w:b/>
                <w:color w:val="auto"/>
                <w:sz w:val="24"/>
                <w:szCs w:val="24"/>
                <w:highlight w:val="none"/>
              </w:rPr>
              <w:t>注：投标人必须提交以上文件或证明的复印件，所有复印件应是最新（有效）、清晰，注明“与原件一致”并加盖投标人公章。</w:t>
            </w:r>
          </w:p>
        </w:tc>
      </w:tr>
    </w:tbl>
    <w:p>
      <w:pPr>
        <w:rPr>
          <w:color w:val="auto"/>
          <w:highlight w:val="none"/>
        </w:rPr>
      </w:pPr>
    </w:p>
    <w:p>
      <w:pPr>
        <w:pStyle w:val="20"/>
        <w:widowControl/>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④加分项（F4×A4）</w:t>
      </w:r>
    </w:p>
    <w:p>
      <w:pPr>
        <w:pStyle w:val="20"/>
        <w:widowControl/>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a.优先类节能产品、环境标志产品：</w:t>
      </w:r>
    </w:p>
    <w:p>
      <w:pPr>
        <w:pStyle w:val="20"/>
        <w:widowControl/>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20"/>
        <w:widowControl/>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a2若节能、环境标志产品仅是构成投标产品的部件、组件或零件，则该投标产品不享受鼓励优惠政策。同一品目中各认证证书不重复计算加分。强制类节能产品不享受加分。 </w:t>
      </w:r>
    </w:p>
    <w:tbl>
      <w:tblPr>
        <w:tblStyle w:val="2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020"/>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2" w:type="dxa"/>
            <w:noWrap/>
            <w:vAlign w:val="center"/>
          </w:tcPr>
          <w:p>
            <w:pPr>
              <w:widowControl/>
              <w:spacing w:line="46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评标项目</w:t>
            </w:r>
          </w:p>
        </w:tc>
        <w:tc>
          <w:tcPr>
            <w:tcW w:w="1020" w:type="dxa"/>
            <w:noWrap/>
            <w:vAlign w:val="center"/>
          </w:tcPr>
          <w:p>
            <w:pPr>
              <w:widowControl/>
              <w:spacing w:line="46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评标分值</w:t>
            </w:r>
          </w:p>
        </w:tc>
        <w:tc>
          <w:tcPr>
            <w:tcW w:w="7716" w:type="dxa"/>
            <w:noWrap/>
            <w:vAlign w:val="center"/>
          </w:tcPr>
          <w:p>
            <w:pPr>
              <w:widowControl/>
              <w:spacing w:line="46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2" w:type="dxa"/>
            <w:noWrap/>
            <w:vAlign w:val="center"/>
          </w:tcPr>
          <w:p>
            <w:pPr>
              <w:widowControl/>
              <w:spacing w:line="46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节能（非强制类产品）、环境标志产品部分加分标准</w:t>
            </w:r>
          </w:p>
        </w:tc>
        <w:tc>
          <w:tcPr>
            <w:tcW w:w="1020" w:type="dxa"/>
            <w:noWrap/>
            <w:vAlign w:val="center"/>
          </w:tcPr>
          <w:p>
            <w:pPr>
              <w:widowControl/>
              <w:spacing w:line="46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6.8</w:t>
            </w:r>
          </w:p>
        </w:tc>
        <w:tc>
          <w:tcPr>
            <w:tcW w:w="7716" w:type="dxa"/>
            <w:noWrap/>
            <w:vAlign w:val="center"/>
          </w:tcPr>
          <w:p>
            <w:pPr>
              <w:widowControl/>
              <w:spacing w:line="46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时，同一合同包内的节能、环境标志产品报价总金额占本合同包报价总金额20%（含20%）以下的，给予价格评标项标准总分值4%的加分和技术评标项标准总分值4%的加分，同一合同包内的节能、环境标志产品报价总金额占本合同包报价总金额20%-50%（含50%），给予价格评标项标准总分值6%的加分和技术评标项标准总分值6%的加分，同一合同包内的节能、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20"/>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 xml:space="preserve">（4）中标候选人排列规则顺序如下： </w:t>
      </w:r>
    </w:p>
    <w:p>
      <w:pPr>
        <w:pStyle w:val="20"/>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a.按照评标总得分（FA）由高到低顺序排列。</w:t>
      </w:r>
    </w:p>
    <w:p>
      <w:pPr>
        <w:pStyle w:val="20"/>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宋体" w:hAnsi="宋体" w:cs="宋体"/>
          <w:color w:val="auto"/>
          <w:szCs w:val="24"/>
          <w:highlight w:val="none"/>
        </w:rPr>
      </w:pPr>
      <w:r>
        <w:rPr>
          <w:rFonts w:hint="eastAsia" w:ascii="宋体" w:hAnsi="宋体" w:cs="宋体"/>
          <w:color w:val="auto"/>
          <w:szCs w:val="24"/>
          <w:highlight w:val="none"/>
        </w:rPr>
        <w:t xml:space="preserve">b.评标总得分（FA）相同的，按照评标价（即价格扣除后的投标报价）由低到高顺序排列。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c.评标总得分（FA）且评标价（即价格扣除后的投标报价）相同的并列。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b w:val="0"/>
          <w:bCs w:val="0"/>
          <w:color w:val="auto"/>
          <w:sz w:val="24"/>
          <w:szCs w:val="24"/>
          <w:highlight w:val="none"/>
          <w:shd w:val="clear" w:color="auto" w:fill="FFFFFF"/>
        </w:rPr>
      </w:pPr>
      <w:r>
        <w:rPr>
          <w:rStyle w:val="24"/>
          <w:rFonts w:hint="eastAsia" w:ascii="宋体" w:hAnsi="宋体" w:cs="宋体"/>
          <w:b w:val="0"/>
          <w:bCs w:val="0"/>
          <w:color w:val="auto"/>
          <w:sz w:val="24"/>
          <w:szCs w:val="24"/>
          <w:highlight w:val="none"/>
          <w:shd w:val="clear" w:color="auto" w:fill="FFFFFF"/>
        </w:rPr>
        <w:t>5、其他规定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b w:val="0"/>
          <w:bCs w:val="0"/>
          <w:color w:val="auto"/>
          <w:sz w:val="24"/>
          <w:szCs w:val="24"/>
          <w:highlight w:val="none"/>
          <w:shd w:val="clear" w:color="auto" w:fill="FFFFFF"/>
        </w:rPr>
      </w:pPr>
      <w:r>
        <w:rPr>
          <w:rStyle w:val="24"/>
          <w:rFonts w:hint="eastAsia" w:ascii="宋体" w:hAnsi="宋体" w:cs="宋体"/>
          <w:b w:val="0"/>
          <w:bCs w:val="0"/>
          <w:color w:val="auto"/>
          <w:sz w:val="24"/>
          <w:szCs w:val="24"/>
          <w:highlight w:val="none"/>
          <w:shd w:val="clear" w:color="auto" w:fill="FFFFFF"/>
        </w:rPr>
        <w:t>5.1评标应全程保密且不得透露给任一投标人或与评标工作无关的人员。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b w:val="0"/>
          <w:bCs w:val="0"/>
          <w:color w:val="auto"/>
          <w:sz w:val="24"/>
          <w:szCs w:val="24"/>
          <w:highlight w:val="none"/>
          <w:shd w:val="clear" w:color="auto" w:fill="FFFFFF"/>
        </w:rPr>
      </w:pPr>
      <w:r>
        <w:rPr>
          <w:rStyle w:val="24"/>
          <w:rFonts w:hint="eastAsia" w:ascii="宋体" w:hAnsi="宋体" w:cs="宋体"/>
          <w:b w:val="0"/>
          <w:bCs w:val="0"/>
          <w:color w:val="auto"/>
          <w:sz w:val="24"/>
          <w:szCs w:val="24"/>
          <w:highlight w:val="none"/>
          <w:shd w:val="clear" w:color="auto" w:fill="FFFFFF"/>
        </w:rPr>
        <w:t>5.2评标将进行全程实时录音录像，录音录像资料随采购文件一并存档。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b w:val="0"/>
          <w:bCs w:val="0"/>
          <w:color w:val="auto"/>
          <w:sz w:val="24"/>
          <w:szCs w:val="24"/>
          <w:highlight w:val="none"/>
          <w:shd w:val="clear" w:color="auto" w:fill="FFFFFF"/>
        </w:rPr>
      </w:pPr>
      <w:r>
        <w:rPr>
          <w:rStyle w:val="24"/>
          <w:rFonts w:hint="eastAsia" w:ascii="宋体" w:hAnsi="宋体" w:cs="宋体"/>
          <w:b w:val="0"/>
          <w:bCs w:val="0"/>
          <w:color w:val="auto"/>
          <w:sz w:val="24"/>
          <w:szCs w:val="24"/>
          <w:highlight w:val="none"/>
          <w:shd w:val="clear" w:color="auto" w:fill="FFFFFF"/>
        </w:rPr>
        <w:t>5.3若投标人有任何试图干扰具体评标事务，影响评标委员会独立履行职责的行为，其投标无效且不予退还投标保证金。情节严重的，由财政部门列入不良行为记录。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color w:val="auto"/>
          <w:sz w:val="24"/>
          <w:szCs w:val="24"/>
          <w:highlight w:val="none"/>
          <w:shd w:val="clear" w:color="auto" w:fill="FFFFFF"/>
        </w:rPr>
      </w:pPr>
      <w:r>
        <w:rPr>
          <w:rStyle w:val="24"/>
          <w:rFonts w:hint="eastAsia" w:ascii="宋体" w:hAnsi="宋体" w:cs="宋体"/>
          <w:b w:val="0"/>
          <w:bCs w:val="0"/>
          <w:color w:val="auto"/>
          <w:sz w:val="24"/>
          <w:szCs w:val="24"/>
          <w:highlight w:val="none"/>
          <w:shd w:val="clear" w:color="auto" w:fill="FFFFFF"/>
        </w:rPr>
        <w:t>5.4其他：无。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24"/>
          <w:rFonts w:ascii="宋体" w:hAnsi="宋体" w:cs="宋体"/>
          <w:color w:val="auto"/>
          <w:sz w:val="24"/>
          <w:szCs w:val="24"/>
          <w:highlight w:val="none"/>
          <w:shd w:val="clear" w:color="auto" w:fill="FFFFFF"/>
        </w:rPr>
      </w:pPr>
      <w:r>
        <w:rPr>
          <w:rStyle w:val="24"/>
          <w:rFonts w:hint="eastAsia" w:ascii="宋体" w:hAnsi="宋体" w:cs="宋体"/>
          <w:color w:val="auto"/>
          <w:sz w:val="24"/>
          <w:szCs w:val="24"/>
          <w:highlight w:val="none"/>
          <w:shd w:val="clear" w:color="auto" w:fill="FFFFFF"/>
        </w:rPr>
        <w:br w:type="page"/>
      </w:r>
    </w:p>
    <w:p>
      <w:pPr>
        <w:spacing w:line="480" w:lineRule="exact"/>
        <w:rPr>
          <w:rFonts w:ascii="宋体" w:hAnsi="宋体" w:cs="宋体"/>
          <w:color w:val="auto"/>
          <w:sz w:val="24"/>
          <w:szCs w:val="24"/>
          <w:highlight w:val="none"/>
        </w:rPr>
      </w:pPr>
      <w:r>
        <w:rPr>
          <w:rStyle w:val="24"/>
          <w:rFonts w:hint="eastAsia" w:ascii="宋体" w:hAnsi="宋体" w:cs="宋体"/>
          <w:color w:val="auto"/>
          <w:sz w:val="24"/>
          <w:szCs w:val="24"/>
          <w:highlight w:val="none"/>
          <w:shd w:val="clear" w:color="auto" w:fill="FFFFFF"/>
        </w:rPr>
        <w:t>合同包3采用综合评分法</w:t>
      </w:r>
      <w:r>
        <w:rPr>
          <w:rFonts w:hint="eastAsia" w:ascii="宋体" w:hAnsi="宋体" w:cs="宋体"/>
          <w:color w:val="auto"/>
          <w:sz w:val="24"/>
          <w:szCs w:val="24"/>
          <w:highlight w:val="none"/>
          <w:shd w:val="clear" w:color="auto" w:fill="FFFFFF"/>
        </w:rPr>
        <w:t xml:space="preserve">： </w:t>
      </w:r>
    </w:p>
    <w:p>
      <w:pPr>
        <w:pStyle w:val="20"/>
        <w:widowControl/>
        <w:spacing w:line="480" w:lineRule="exact"/>
        <w:ind w:firstLine="480"/>
        <w:rPr>
          <w:rFonts w:ascii="宋体" w:hAnsi="宋体" w:cs="宋体"/>
          <w:color w:val="auto"/>
          <w:highlight w:val="none"/>
        </w:rPr>
      </w:pPr>
      <w:r>
        <w:rPr>
          <w:rFonts w:hint="eastAsia" w:ascii="宋体" w:hAnsi="宋体" w:cs="宋体"/>
          <w:color w:val="auto"/>
          <w:highlight w:val="none"/>
        </w:rPr>
        <w:t xml:space="preserve">（1）投标文件满足招标文件全部实质性要求，且按照评审因素的量化指标评审得分（即评标总得分）最高的投标人为中标候选人。 </w:t>
      </w:r>
    </w:p>
    <w:p>
      <w:pPr>
        <w:pStyle w:val="20"/>
        <w:widowControl/>
        <w:spacing w:line="500" w:lineRule="exact"/>
        <w:ind w:firstLine="480"/>
        <w:rPr>
          <w:rFonts w:ascii="宋体" w:hAnsi="宋体" w:cs="宋体"/>
          <w:color w:val="auto"/>
          <w:highlight w:val="none"/>
        </w:rPr>
      </w:pPr>
      <w:r>
        <w:rPr>
          <w:rFonts w:hint="eastAsia" w:ascii="宋体" w:hAnsi="宋体" w:cs="宋体"/>
          <w:color w:val="auto"/>
          <w:highlight w:val="none"/>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pPr>
        <w:pStyle w:val="20"/>
        <w:widowControl/>
        <w:spacing w:line="500" w:lineRule="exact"/>
        <w:ind w:firstLine="480"/>
        <w:rPr>
          <w:rFonts w:ascii="宋体" w:hAnsi="宋体" w:cs="宋体"/>
          <w:color w:val="auto"/>
          <w:highlight w:val="none"/>
        </w:rPr>
      </w:pPr>
      <w:r>
        <w:rPr>
          <w:rFonts w:hint="eastAsia" w:ascii="宋体" w:hAnsi="宋体" w:cs="宋体"/>
          <w:color w:val="auto"/>
          <w:highlight w:val="none"/>
        </w:rPr>
        <w:t xml:space="preserve">（3）各项评审因素的设置如下： </w:t>
      </w:r>
    </w:p>
    <w:p>
      <w:pPr>
        <w:pStyle w:val="20"/>
        <w:widowControl/>
        <w:spacing w:line="500" w:lineRule="exact"/>
        <w:ind w:firstLine="480"/>
        <w:rPr>
          <w:rFonts w:ascii="宋体" w:hAnsi="宋体" w:cs="宋体"/>
          <w:color w:val="auto"/>
          <w:highlight w:val="none"/>
        </w:rPr>
      </w:pPr>
      <w:r>
        <w:rPr>
          <w:rFonts w:hint="eastAsia" w:ascii="宋体" w:hAnsi="宋体" w:cs="宋体"/>
          <w:color w:val="auto"/>
          <w:highlight w:val="none"/>
        </w:rPr>
        <w:t>①</w:t>
      </w:r>
      <w:r>
        <w:rPr>
          <w:rFonts w:hint="eastAsia" w:ascii="宋体" w:hAnsi="宋体" w:eastAsia="宋体" w:cs="宋体"/>
          <w:b w:val="0"/>
          <w:bCs w:val="0"/>
          <w:color w:val="auto"/>
          <w:kern w:val="0"/>
          <w:sz w:val="24"/>
          <w:szCs w:val="24"/>
          <w:lang w:val="en-US" w:eastAsia="zh-CN"/>
        </w:rPr>
        <w:t>价格部分评分（满分30分）</w:t>
      </w:r>
    </w:p>
    <w:p>
      <w:pPr>
        <w:pStyle w:val="20"/>
        <w:widowControl/>
        <w:numPr>
          <w:ilvl w:val="0"/>
          <w:numId w:val="7"/>
        </w:numPr>
        <w:spacing w:line="500" w:lineRule="exact"/>
        <w:ind w:firstLine="480"/>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价格分统一采用低价优先法计算，即满足招标文件要求且投标价格</w:t>
      </w:r>
      <w:r>
        <w:rPr>
          <w:rFonts w:hint="eastAsia" w:ascii="宋体" w:hAnsi="宋体" w:eastAsia="宋体" w:cs="宋体"/>
          <w:b/>
          <w:bCs/>
          <w:color w:val="auto"/>
          <w:kern w:val="0"/>
          <w:sz w:val="24"/>
          <w:szCs w:val="24"/>
          <w:lang w:val="en-US" w:eastAsia="zh-CN"/>
        </w:rPr>
        <w:t>下浮率</w:t>
      </w:r>
      <w:r>
        <w:rPr>
          <w:rFonts w:hint="eastAsia" w:ascii="宋体" w:hAnsi="宋体" w:eastAsia="宋体" w:cs="宋体"/>
          <w:b w:val="0"/>
          <w:bCs w:val="0"/>
          <w:color w:val="auto"/>
          <w:kern w:val="0"/>
          <w:sz w:val="24"/>
          <w:szCs w:val="24"/>
          <w:lang w:val="en-US" w:eastAsia="zh-CN"/>
        </w:rPr>
        <w:t>最高的投标报价为评标基准价，其价格分为满分。其他投标人的价格分统一照下列公式计算：</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PF=（100%-Fmax）÷（100%-F）×30%的价格权值×100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lang w:val="en-US" w:eastAsia="zh-CN"/>
        </w:rPr>
        <w:t>注：</w:t>
      </w:r>
      <w:r>
        <w:rPr>
          <w:rFonts w:hint="eastAsia" w:ascii="宋体" w:hAnsi="宋体" w:eastAsia="宋体" w:cs="宋体"/>
          <w:b w:val="0"/>
          <w:bCs w:val="0"/>
          <w:color w:val="auto"/>
          <w:kern w:val="0"/>
          <w:sz w:val="24"/>
          <w:szCs w:val="24"/>
          <w:lang w:val="en-US" w:eastAsia="zh-CN"/>
        </w:rPr>
        <w:t xml:space="preserve"> </w:t>
      </w:r>
    </w:p>
    <w:p>
      <w:pPr>
        <w:widowControl/>
        <w:shd w:val="clear" w:color="auto" w:fill="FFFFFF"/>
        <w:spacing w:line="360" w:lineRule="auto"/>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（1）PF为各有效投标人报价部分得分；</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（2）Fmax为最高的下浮率，作为基准价；</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（3）F为各有效投标人的下浮率；</w:t>
      </w:r>
    </w:p>
    <w:p>
      <w:pPr>
        <w:widowControl/>
        <w:shd w:val="clear" w:color="auto" w:fill="FFFFFF"/>
        <w:spacing w:line="360" w:lineRule="auto"/>
        <w:ind w:firstLine="480" w:firstLineChars="200"/>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（4）计算分数时四舍五入取小数点后两位。</w:t>
      </w:r>
    </w:p>
    <w:p>
      <w:pPr>
        <w:pStyle w:val="20"/>
        <w:widowControl/>
        <w:spacing w:line="500" w:lineRule="exact"/>
        <w:ind w:firstLine="480" w:firstLineChars="200"/>
        <w:rPr>
          <w:rFonts w:ascii="宋体" w:hAnsi="宋体" w:cs="宋体"/>
          <w:color w:val="auto"/>
          <w:highlight w:val="none"/>
        </w:rPr>
      </w:pPr>
      <w:r>
        <w:rPr>
          <w:rFonts w:hint="eastAsia" w:ascii="宋体" w:hAnsi="宋体" w:cs="宋体"/>
          <w:color w:val="auto"/>
          <w:highlight w:val="none"/>
        </w:rPr>
        <w:t>b.价格扣除的规则如下：</w:t>
      </w:r>
    </w:p>
    <w:tbl>
      <w:tblPr>
        <w:tblStyle w:val="22"/>
        <w:tblpPr w:leftFromText="180" w:rightFromText="180" w:vertAnchor="text" w:horzAnchor="page" w:tblpX="1118" w:tblpY="36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blCellSpacing w:w="0" w:type="dxa"/>
        </w:trPr>
        <w:tc>
          <w:tcPr>
            <w:tcW w:w="1190" w:type="dxa"/>
            <w:noWrap/>
            <w:vAlign w:val="center"/>
          </w:tcPr>
          <w:p>
            <w:pPr>
              <w:widowControl/>
              <w:spacing w:line="500" w:lineRule="exact"/>
              <w:jc w:val="left"/>
              <w:rPr>
                <w:rFonts w:ascii="宋体" w:hAnsi="宋体" w:cs="宋体"/>
                <w:color w:val="auto"/>
                <w:highlight w:val="none"/>
              </w:rPr>
            </w:pPr>
            <w:r>
              <w:rPr>
                <w:rFonts w:hint="eastAsia" w:ascii="宋体" w:hAnsi="宋体" w:cs="宋体"/>
                <w:color w:val="auto"/>
                <w:kern w:val="0"/>
                <w:sz w:val="24"/>
                <w:highlight w:val="none"/>
              </w:rPr>
              <w:t>评标项目</w:t>
            </w:r>
          </w:p>
        </w:tc>
        <w:tc>
          <w:tcPr>
            <w:tcW w:w="8547" w:type="dxa"/>
            <w:noWrap/>
            <w:vAlign w:val="center"/>
          </w:tcPr>
          <w:p>
            <w:pPr>
              <w:widowControl/>
              <w:spacing w:line="500" w:lineRule="exact"/>
              <w:jc w:val="left"/>
              <w:rPr>
                <w:rFonts w:ascii="宋体" w:hAnsi="宋体" w:cs="宋体"/>
                <w:color w:val="auto"/>
                <w:highlight w:val="none"/>
              </w:rPr>
            </w:pPr>
            <w:r>
              <w:rPr>
                <w:rFonts w:hint="eastAsia" w:ascii="宋体" w:hAnsi="宋体" w:cs="宋体"/>
                <w:color w:val="auto"/>
                <w:kern w:val="0"/>
                <w:sz w:val="24"/>
                <w:highlight w:val="none"/>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190" w:type="dxa"/>
            <w:noWrap/>
            <w:vAlign w:val="center"/>
          </w:tcPr>
          <w:p>
            <w:pPr>
              <w:widowControl/>
              <w:spacing w:line="50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小型、微型企业，监狱企业，残疾人</w:t>
            </w:r>
          </w:p>
        </w:tc>
        <w:tc>
          <w:tcPr>
            <w:tcW w:w="8547" w:type="dxa"/>
            <w:noWrap/>
            <w:vAlign w:val="center"/>
          </w:tcPr>
          <w:p>
            <w:pPr>
              <w:widowControl/>
              <w:spacing w:line="500" w:lineRule="exact"/>
              <w:jc w:val="left"/>
              <w:rPr>
                <w:rFonts w:ascii="宋体" w:hAnsi="宋体" w:cs="宋体"/>
                <w:color w:val="auto"/>
                <w:sz w:val="24"/>
                <w:szCs w:val="24"/>
                <w:highlight w:val="none"/>
              </w:rPr>
            </w:pPr>
            <w:r>
              <w:rPr>
                <w:rStyle w:val="24"/>
                <w:rFonts w:hint="eastAsia" w:ascii="宋体" w:hAnsi="宋体" w:cs="宋体"/>
                <w:b w:val="0"/>
                <w:bCs w:val="0"/>
                <w:color w:val="auto"/>
                <w:kern w:val="0"/>
                <w:sz w:val="24"/>
                <w:szCs w:val="24"/>
                <w:highlight w:val="none"/>
              </w:rPr>
              <w:t>1、评审时，对符合《政府采购促进中小企业发展管理办法》（财库﹝2020﹞46号）规定的小微企业报价给予价格扣除【货物和服务项目为</w:t>
            </w:r>
            <w:r>
              <w:rPr>
                <w:rStyle w:val="24"/>
                <w:rFonts w:hint="eastAsia" w:ascii="宋体" w:hAnsi="宋体" w:cs="宋体"/>
                <w:b w:val="0"/>
                <w:bCs w:val="0"/>
                <w:color w:val="auto"/>
                <w:kern w:val="0"/>
                <w:sz w:val="24"/>
                <w:szCs w:val="24"/>
                <w:highlight w:val="none"/>
                <w:lang w:val="en-US" w:eastAsia="zh-CN"/>
              </w:rPr>
              <w:t>15</w:t>
            </w:r>
            <w:r>
              <w:rPr>
                <w:rStyle w:val="24"/>
                <w:rFonts w:hint="eastAsia" w:ascii="宋体" w:hAnsi="宋体" w:cs="宋体"/>
                <w:b w:val="0"/>
                <w:bCs w:val="0"/>
                <w:color w:val="auto"/>
                <w:kern w:val="0"/>
                <w:sz w:val="24"/>
                <w:szCs w:val="24"/>
                <w:highlight w:val="none"/>
              </w:rPr>
              <w:t xml:space="preserve">%；对于联合协议或者分包意向协议约定小微企业的合同份额占到合同总金额 30%以上的，对联合体或者大中型企业的报价扣除比例为 </w:t>
            </w:r>
            <w:r>
              <w:rPr>
                <w:rStyle w:val="24"/>
                <w:rFonts w:hint="eastAsia" w:ascii="宋体" w:hAnsi="宋体" w:cs="宋体"/>
                <w:b w:val="0"/>
                <w:bCs w:val="0"/>
                <w:color w:val="auto"/>
                <w:kern w:val="0"/>
                <w:sz w:val="24"/>
                <w:szCs w:val="24"/>
                <w:highlight w:val="none"/>
                <w:lang w:val="en-US" w:eastAsia="zh-CN"/>
              </w:rPr>
              <w:t>5</w:t>
            </w:r>
            <w:r>
              <w:rPr>
                <w:rStyle w:val="24"/>
                <w:rFonts w:hint="eastAsia" w:ascii="宋体" w:hAnsi="宋体" w:cs="宋体"/>
                <w:b w:val="0"/>
                <w:bCs w:val="0"/>
                <w:color w:val="auto"/>
                <w:kern w:val="0"/>
                <w:sz w:val="24"/>
                <w:szCs w:val="24"/>
                <w:highlight w:val="none"/>
              </w:rPr>
              <w:t>%】，用扣除后的价格参加评审。投标人须提供合格的中小企业声明函（格式详见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的政策性优惠规定详见招标文件第三章、第七章规定，上述规定与政府采购相关法律、法规、制度等有冲突的，以现行法律、法规、制度等执行。本项目属于货物类采购，本合同包中小企业划分标准所属行业：铸造及其他金属制品制造。</w:t>
            </w:r>
          </w:p>
        </w:tc>
      </w:tr>
    </w:tbl>
    <w:p>
      <w:pPr>
        <w:pStyle w:val="20"/>
        <w:widowControl/>
        <w:spacing w:line="500" w:lineRule="exact"/>
        <w:ind w:firstLine="480"/>
        <w:rPr>
          <w:rFonts w:ascii="宋体" w:hAnsi="宋体" w:cs="宋体"/>
          <w:color w:val="auto"/>
          <w:highlight w:val="none"/>
        </w:rPr>
      </w:pPr>
      <w:r>
        <w:rPr>
          <w:rFonts w:hint="eastAsia" w:ascii="宋体" w:hAnsi="宋体" w:cs="宋体"/>
          <w:color w:val="auto"/>
          <w:highlight w:val="none"/>
        </w:rPr>
        <w:t>②技术项（</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）满分为</w:t>
      </w:r>
      <w:r>
        <w:rPr>
          <w:rFonts w:hint="eastAsia" w:ascii="宋体" w:hAnsi="宋体" w:cs="宋体"/>
          <w:color w:val="auto"/>
          <w:highlight w:val="none"/>
          <w:u w:val="single"/>
        </w:rPr>
        <w:t>55</w:t>
      </w:r>
      <w:r>
        <w:rPr>
          <w:rFonts w:hint="eastAsia" w:ascii="宋体" w:hAnsi="宋体" w:cs="宋体"/>
          <w:color w:val="auto"/>
          <w:highlight w:val="none"/>
        </w:rPr>
        <w:t>分。</w:t>
      </w:r>
    </w:p>
    <w:tbl>
      <w:tblPr>
        <w:tblStyle w:val="22"/>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28"/>
        <w:gridCol w:w="697"/>
        <w:gridCol w:w="699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05" w:type="dxa"/>
            <w:noWrap/>
            <w:vAlign w:val="center"/>
          </w:tcPr>
          <w:p>
            <w:pPr>
              <w:widowControl/>
              <w:spacing w:line="50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序号</w:t>
            </w:r>
          </w:p>
        </w:tc>
        <w:tc>
          <w:tcPr>
            <w:tcW w:w="1225" w:type="dxa"/>
            <w:gridSpan w:val="2"/>
            <w:noWrap/>
            <w:vAlign w:val="center"/>
          </w:tcPr>
          <w:p>
            <w:pPr>
              <w:widowControl/>
              <w:spacing w:line="50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评标项目</w:t>
            </w:r>
          </w:p>
        </w:tc>
        <w:tc>
          <w:tcPr>
            <w:tcW w:w="6992" w:type="dxa"/>
            <w:noWrap/>
            <w:vAlign w:val="center"/>
          </w:tcPr>
          <w:p>
            <w:pPr>
              <w:widowControl/>
              <w:spacing w:line="50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评标方法描述</w:t>
            </w:r>
          </w:p>
        </w:tc>
        <w:tc>
          <w:tcPr>
            <w:tcW w:w="706" w:type="dxa"/>
            <w:noWrap/>
            <w:vAlign w:val="center"/>
          </w:tcPr>
          <w:p>
            <w:pPr>
              <w:widowControl/>
              <w:spacing w:line="500" w:lineRule="exact"/>
              <w:jc w:val="center"/>
              <w:rPr>
                <w:rStyle w:val="24"/>
                <w:rFonts w:ascii="宋体" w:hAnsi="宋体" w:cs="宋体"/>
                <w:color w:val="auto"/>
                <w:kern w:val="0"/>
                <w:sz w:val="24"/>
                <w:szCs w:val="24"/>
                <w:highlight w:val="none"/>
              </w:rPr>
            </w:pPr>
            <w:r>
              <w:rPr>
                <w:rStyle w:val="24"/>
                <w:rFonts w:hint="eastAsia" w:ascii="宋体" w:hAnsi="宋体" w:cs="宋体"/>
                <w:color w:val="auto"/>
                <w:kern w:val="0"/>
                <w:sz w:val="24"/>
                <w:szCs w:val="24"/>
                <w:highlight w:val="none"/>
              </w:rPr>
              <w:t>评标分值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805"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1</w:t>
            </w:r>
          </w:p>
        </w:tc>
        <w:tc>
          <w:tcPr>
            <w:tcW w:w="1225" w:type="dxa"/>
            <w:gridSpan w:val="2"/>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投标产品的材质、技术参数、性能指标等技术响应情况</w:t>
            </w:r>
          </w:p>
        </w:tc>
        <w:tc>
          <w:tcPr>
            <w:tcW w:w="6992"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“合同包3技术和服务要求”技术参数、性能、配置、用途等要求响应情况进行评分，完全满足招标文件要求的得</w:t>
            </w:r>
            <w:r>
              <w:rPr>
                <w:rStyle w:val="24"/>
                <w:rFonts w:hint="eastAsia" w:ascii="宋体" w:hAnsi="宋体" w:cs="宋体"/>
                <w:b w:val="0"/>
                <w:bCs w:val="0"/>
                <w:color w:val="auto"/>
                <w:kern w:val="0"/>
                <w:sz w:val="24"/>
                <w:szCs w:val="24"/>
                <w:highlight w:val="none"/>
                <w:lang w:val="en-US" w:eastAsia="zh-CN"/>
              </w:rPr>
              <w:t>33</w:t>
            </w:r>
            <w:r>
              <w:rPr>
                <w:rStyle w:val="24"/>
                <w:rFonts w:hint="eastAsia" w:ascii="宋体" w:hAnsi="宋体" w:cs="宋体"/>
                <w:b w:val="0"/>
                <w:bCs w:val="0"/>
                <w:color w:val="auto"/>
                <w:kern w:val="0"/>
                <w:sz w:val="24"/>
                <w:szCs w:val="24"/>
                <w:highlight w:val="none"/>
              </w:rPr>
              <w:t>分，带▲号键参数每负偏离一项扣2分,其他未带▲号键参数每负偏离一项扣1分，扣完为止。投标文件列出的参数验收时应能验证，否则被视为产品不合格。（满分</w:t>
            </w:r>
            <w:r>
              <w:rPr>
                <w:rStyle w:val="24"/>
                <w:rFonts w:hint="eastAsia" w:ascii="宋体" w:hAnsi="宋体" w:cs="宋体"/>
                <w:b w:val="0"/>
                <w:bCs w:val="0"/>
                <w:color w:val="auto"/>
                <w:kern w:val="0"/>
                <w:sz w:val="24"/>
                <w:szCs w:val="24"/>
                <w:highlight w:val="none"/>
                <w:lang w:val="en-US" w:eastAsia="zh-CN"/>
              </w:rPr>
              <w:t>33</w:t>
            </w:r>
            <w:r>
              <w:rPr>
                <w:rStyle w:val="24"/>
                <w:rFonts w:hint="eastAsia" w:ascii="宋体" w:hAnsi="宋体" w:cs="宋体"/>
                <w:b w:val="0"/>
                <w:bCs w:val="0"/>
                <w:color w:val="auto"/>
                <w:kern w:val="0"/>
                <w:sz w:val="24"/>
                <w:szCs w:val="24"/>
                <w:highlight w:val="none"/>
              </w:rPr>
              <w:t>分）</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lang w:val="en-US" w:eastAsia="zh-CN"/>
              </w:rPr>
              <w:t>33</w:t>
            </w:r>
            <w:r>
              <w:rPr>
                <w:rStyle w:val="24"/>
                <w:rFonts w:hint="eastAsia" w:ascii="宋体" w:hAnsi="宋体" w:cs="宋体"/>
                <w:b w:val="0"/>
                <w:bCs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2</w:t>
            </w:r>
          </w:p>
        </w:tc>
        <w:tc>
          <w:tcPr>
            <w:tcW w:w="528" w:type="dxa"/>
            <w:vMerge w:val="restart"/>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检测情况</w:t>
            </w:r>
          </w:p>
        </w:tc>
        <w:tc>
          <w:tcPr>
            <w:tcW w:w="697"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内衬涂层</w:t>
            </w:r>
          </w:p>
        </w:tc>
        <w:tc>
          <w:tcPr>
            <w:tcW w:w="6992" w:type="dxa"/>
            <w:noWrap/>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人所投球墨铸铁管的内衬涂层采用普通硅酸盐水泥砂浆或高炉矿粉水泥内衬得1.5分；内衬涂层采用水泥砂浆的材质为铝酸盐水泥的得3分；满分3分。（注：投标人需提供由国家认可的具有CMA或CNAS认证资质的检测机构出具的球墨铸铁管内衬涂层检测报告复印件加盖公章，原件备查。同时在检测机构自身的官方网站或官方电话可查询到该报告真实信息，若上述方式无法查询该报告信息，投标人此项不得分，投标文件中须提供该查询网站的网页截图、网址或电话）</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w:t>
            </w:r>
          </w:p>
        </w:tc>
        <w:tc>
          <w:tcPr>
            <w:tcW w:w="528" w:type="dxa"/>
            <w:vMerge w:val="continue"/>
            <w:noWrap/>
            <w:vAlign w:val="center"/>
          </w:tcPr>
          <w:p>
            <w:pPr>
              <w:widowControl/>
              <w:spacing w:line="500" w:lineRule="exact"/>
              <w:jc w:val="left"/>
              <w:rPr>
                <w:rStyle w:val="24"/>
                <w:rFonts w:ascii="宋体" w:hAnsi="宋体" w:cs="宋体"/>
                <w:b w:val="0"/>
                <w:bCs w:val="0"/>
                <w:color w:val="auto"/>
                <w:kern w:val="0"/>
                <w:sz w:val="24"/>
                <w:szCs w:val="24"/>
                <w:highlight w:val="none"/>
              </w:rPr>
            </w:pPr>
          </w:p>
        </w:tc>
        <w:tc>
          <w:tcPr>
            <w:tcW w:w="697"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公称壁厚</w:t>
            </w:r>
          </w:p>
        </w:tc>
        <w:tc>
          <w:tcPr>
            <w:tcW w:w="6992" w:type="dxa"/>
            <w:noWrap/>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投标人所投球墨铸铁污水管满足GB/T26081-2010规定的公称壁厚检测报告，提供规格型号DN300的检测报告的得</w:t>
            </w:r>
            <w:r>
              <w:rPr>
                <w:rStyle w:val="24"/>
                <w:rFonts w:hint="eastAsia" w:ascii="宋体" w:hAnsi="宋体" w:cs="宋体"/>
                <w:b w:val="0"/>
                <w:bCs w:val="0"/>
                <w:color w:val="auto"/>
                <w:kern w:val="0"/>
                <w:sz w:val="24"/>
                <w:szCs w:val="24"/>
                <w:highlight w:val="none"/>
                <w:lang w:val="en-US" w:eastAsia="zh-CN"/>
              </w:rPr>
              <w:t>3</w:t>
            </w:r>
            <w:r>
              <w:rPr>
                <w:rStyle w:val="24"/>
                <w:rFonts w:hint="eastAsia" w:ascii="宋体" w:hAnsi="宋体" w:cs="宋体"/>
                <w:b w:val="0"/>
                <w:bCs w:val="0"/>
                <w:color w:val="auto"/>
                <w:kern w:val="0"/>
                <w:sz w:val="24"/>
                <w:szCs w:val="24"/>
                <w:highlight w:val="none"/>
              </w:rPr>
              <w:t>分，未提供</w:t>
            </w:r>
            <w:r>
              <w:rPr>
                <w:rStyle w:val="24"/>
                <w:rFonts w:hint="eastAsia" w:ascii="宋体" w:hAnsi="宋体" w:cs="宋体"/>
                <w:b w:val="0"/>
                <w:bCs w:val="0"/>
                <w:color w:val="auto"/>
                <w:kern w:val="0"/>
                <w:sz w:val="24"/>
                <w:szCs w:val="24"/>
                <w:highlight w:val="none"/>
                <w:lang w:eastAsia="zh-CN"/>
              </w:rPr>
              <w:t>的</w:t>
            </w:r>
            <w:r>
              <w:rPr>
                <w:rStyle w:val="24"/>
                <w:rFonts w:hint="eastAsia" w:ascii="宋体" w:hAnsi="宋体" w:cs="宋体"/>
                <w:b w:val="0"/>
                <w:bCs w:val="0"/>
                <w:color w:val="auto"/>
                <w:kern w:val="0"/>
                <w:sz w:val="24"/>
                <w:szCs w:val="24"/>
                <w:highlight w:val="none"/>
              </w:rPr>
              <w:t>不得分，满分3分。</w:t>
            </w:r>
          </w:p>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注：投标人需提供由国家认可的具有CMA或CNAS认证资质的检测机构出具的球墨铸铁管的公称壁厚检测报告复印件加盖公章，原件备查。同时在检测机构自身的官方网站或官方电话可查询到该报告真实信息，若上述方式无法查询该报告信息，投标人此项不得分，投标文件中须提供该查询网站的网页截图、网址或电话）</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4</w:t>
            </w:r>
          </w:p>
        </w:tc>
        <w:tc>
          <w:tcPr>
            <w:tcW w:w="528" w:type="dxa"/>
            <w:vMerge w:val="continue"/>
            <w:noWrap/>
            <w:vAlign w:val="center"/>
          </w:tcPr>
          <w:p>
            <w:pPr>
              <w:widowControl/>
              <w:spacing w:line="500" w:lineRule="exact"/>
              <w:jc w:val="left"/>
              <w:rPr>
                <w:rStyle w:val="24"/>
                <w:rFonts w:ascii="宋体" w:hAnsi="宋体" w:cs="宋体"/>
                <w:b w:val="0"/>
                <w:bCs w:val="0"/>
                <w:color w:val="auto"/>
                <w:kern w:val="0"/>
                <w:sz w:val="24"/>
                <w:szCs w:val="24"/>
                <w:highlight w:val="none"/>
              </w:rPr>
            </w:pPr>
          </w:p>
        </w:tc>
        <w:tc>
          <w:tcPr>
            <w:tcW w:w="697"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橡胶圈</w:t>
            </w:r>
          </w:p>
        </w:tc>
        <w:tc>
          <w:tcPr>
            <w:tcW w:w="6992" w:type="dxa"/>
            <w:noWrap/>
          </w:tcPr>
          <w:p>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投标人或所投产品制造商提供的胶圈为丁腈材质橡胶圈且橡胶圈能满足 GB /T21873-2008标准的得</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分；</w:t>
            </w:r>
            <w:r>
              <w:rPr>
                <w:rFonts w:hint="eastAsia" w:ascii="宋体" w:hAnsi="宋体"/>
                <w:color w:val="auto"/>
                <w:sz w:val="24"/>
                <w:highlight w:val="none"/>
                <w:lang w:eastAsia="zh-CN"/>
              </w:rPr>
              <w:t>满</w:t>
            </w:r>
            <w:r>
              <w:rPr>
                <w:rFonts w:hint="eastAsia" w:ascii="宋体" w:hAnsi="宋体" w:eastAsia="宋体"/>
                <w:color w:val="auto"/>
                <w:sz w:val="24"/>
                <w:highlight w:val="none"/>
              </w:rPr>
              <w:t>分</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分。</w:t>
            </w:r>
          </w:p>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注：投标人需提供由国家认可的具有CMA或CNAS认证资质的检测机构出具的丁腈材质胶圈检测报告复印件加盖公章，原件备查。同时在检测机构自身的官方网站或官方电话可查询到该报告真实信息，若上述方式无法查询该报告信息，投标人此项不得分，投标文件中须提供该查询网站的网页截图、网址或电话）</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05" w:type="dxa"/>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5</w:t>
            </w:r>
          </w:p>
        </w:tc>
        <w:tc>
          <w:tcPr>
            <w:tcW w:w="1225" w:type="dxa"/>
            <w:gridSpan w:val="2"/>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基本参数核查</w:t>
            </w:r>
          </w:p>
        </w:tc>
        <w:tc>
          <w:tcPr>
            <w:tcW w:w="6992" w:type="dxa"/>
            <w:noWrap/>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投标人所投管材材质为球墨铸铁，要求：布氏硬度≤230HB、拉抗强度 Rm ≥420MPa、12%≤延伸率、屈服强度 RPO .2≥300MPa、平均球化率≤2。提供（含）2019年以来由国家认可的第三方机构出具的DN300检验报告得3分。</w:t>
            </w:r>
          </w:p>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w:t>
            </w:r>
            <w:r>
              <w:rPr>
                <w:rStyle w:val="24"/>
                <w:rFonts w:hint="eastAsia" w:ascii="宋体" w:hAnsi="宋体" w:cs="宋体"/>
                <w:b w:val="0"/>
                <w:bCs w:val="0"/>
                <w:color w:val="auto"/>
                <w:kern w:val="0"/>
                <w:sz w:val="24"/>
                <w:szCs w:val="24"/>
                <w:highlight w:val="none"/>
                <w:lang w:val="en-US" w:eastAsia="zh-CN"/>
              </w:rPr>
              <w:t>需提供检测报告复印件加盖公章，原件备查，未提供的不得分</w:t>
            </w:r>
            <w:r>
              <w:rPr>
                <w:rStyle w:val="24"/>
                <w:rFonts w:hint="eastAsia" w:ascii="宋体" w:hAnsi="宋体" w:cs="宋体"/>
                <w:b w:val="0"/>
                <w:bCs w:val="0"/>
                <w:color w:val="auto"/>
                <w:kern w:val="0"/>
                <w:sz w:val="24"/>
                <w:szCs w:val="24"/>
                <w:highlight w:val="none"/>
              </w:rPr>
              <w:t>）</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 xml:space="preserve">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5" w:type="dxa"/>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6</w:t>
            </w:r>
          </w:p>
        </w:tc>
        <w:tc>
          <w:tcPr>
            <w:tcW w:w="1225" w:type="dxa"/>
            <w:gridSpan w:val="2"/>
            <w:noWrap/>
            <w:vAlign w:val="center"/>
          </w:tcPr>
          <w:p>
            <w:pPr>
              <w:spacing w:line="360" w:lineRule="exact"/>
              <w:jc w:val="center"/>
              <w:rPr>
                <w:rFonts w:ascii="宋体" w:cs="宋体"/>
                <w:color w:val="auto"/>
                <w:spacing w:val="-2"/>
                <w:sz w:val="24"/>
                <w:szCs w:val="24"/>
                <w:highlight w:val="none"/>
              </w:rPr>
            </w:pPr>
            <w:r>
              <w:rPr>
                <w:rFonts w:hint="eastAsia" w:ascii="宋体" w:hAnsi="宋体" w:cs="宋体"/>
                <w:color w:val="auto"/>
                <w:spacing w:val="-2"/>
                <w:sz w:val="24"/>
                <w:szCs w:val="24"/>
                <w:highlight w:val="none"/>
              </w:rPr>
              <w:t>供应及配套能力</w:t>
            </w:r>
          </w:p>
          <w:p>
            <w:pPr>
              <w:widowControl/>
              <w:spacing w:line="500" w:lineRule="exact"/>
              <w:jc w:val="left"/>
              <w:rPr>
                <w:rStyle w:val="24"/>
                <w:rFonts w:ascii="宋体" w:hAnsi="宋体" w:cs="宋体"/>
                <w:b w:val="0"/>
                <w:bCs w:val="0"/>
                <w:color w:val="auto"/>
                <w:kern w:val="0"/>
                <w:sz w:val="24"/>
                <w:szCs w:val="24"/>
                <w:highlight w:val="none"/>
              </w:rPr>
            </w:pPr>
          </w:p>
        </w:tc>
        <w:tc>
          <w:tcPr>
            <w:tcW w:w="6992" w:type="dxa"/>
            <w:noWrap/>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投标人所投产品球墨铸铁管材、管件、胶圈均为同一企业或同一企业所属集团生产的得3分；球墨铸铁管材、</w:t>
            </w:r>
            <w:r>
              <w:rPr>
                <w:rFonts w:hint="eastAsia" w:ascii="宋体" w:hAnsi="宋体" w:eastAsia="宋体" w:cs="宋体"/>
                <w:color w:val="auto"/>
                <w:sz w:val="24"/>
                <w:szCs w:val="24"/>
                <w:highlight w:val="none"/>
                <w:lang w:val="en-US" w:eastAsia="zh-CN"/>
              </w:rPr>
              <w:t>胶圈</w:t>
            </w:r>
            <w:r>
              <w:rPr>
                <w:rFonts w:hint="eastAsia" w:ascii="宋体" w:hAnsi="宋体" w:eastAsia="宋体" w:cs="宋体"/>
                <w:color w:val="auto"/>
                <w:sz w:val="24"/>
                <w:szCs w:val="24"/>
                <w:highlight w:val="none"/>
              </w:rPr>
              <w:t>均为同一企业或同一企业所属集团生产的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分，管件、胶圈均为配套企业生产的得分</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sz w:val="24"/>
                <w:szCs w:val="24"/>
                <w:highlight w:val="none"/>
              </w:rPr>
              <w:t>（满分3分）。</w:t>
            </w:r>
          </w:p>
          <w:p>
            <w:pPr>
              <w:spacing w:line="360" w:lineRule="auto"/>
              <w:rPr>
                <w:rStyle w:val="24"/>
                <w:rFonts w:ascii="宋体" w:hAnsi="宋体" w:cs="宋体"/>
                <w:b w:val="0"/>
                <w:bCs w:val="0"/>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投标人须提供相关佐证材料复印件并加盖投标人公章。需按照此项响应</w:t>
            </w:r>
            <w:r>
              <w:rPr>
                <w:rFonts w:hint="eastAsia" w:ascii="宋体" w:hAnsi="宋体" w:eastAsia="宋体" w:cs="宋体"/>
                <w:color w:val="auto"/>
                <w:sz w:val="24"/>
                <w:szCs w:val="24"/>
                <w:highlight w:val="none"/>
                <w:lang w:eastAsia="zh-CN"/>
              </w:rPr>
              <w:t>情况严格供货）</w:t>
            </w:r>
          </w:p>
        </w:tc>
        <w:tc>
          <w:tcPr>
            <w:tcW w:w="706" w:type="dxa"/>
            <w:noWrap/>
            <w:vAlign w:val="center"/>
          </w:tcPr>
          <w:p>
            <w:pPr>
              <w:jc w:val="center"/>
              <w:rPr>
                <w:rStyle w:val="24"/>
                <w:rFonts w:ascii="宋体" w:hAnsi="宋体" w:cs="宋体"/>
                <w:b w:val="0"/>
                <w:bCs w:val="0"/>
                <w:color w:val="auto"/>
                <w:kern w:val="0"/>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7</w:t>
            </w:r>
          </w:p>
        </w:tc>
        <w:tc>
          <w:tcPr>
            <w:tcW w:w="1225" w:type="dxa"/>
            <w:gridSpan w:val="2"/>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管材偏转能力</w:t>
            </w:r>
          </w:p>
          <w:p>
            <w:pPr>
              <w:widowControl/>
              <w:spacing w:line="500" w:lineRule="exact"/>
              <w:jc w:val="left"/>
              <w:rPr>
                <w:rStyle w:val="24"/>
                <w:rFonts w:ascii="宋体" w:hAnsi="宋体" w:cs="宋体"/>
                <w:b w:val="0"/>
                <w:bCs w:val="0"/>
                <w:color w:val="auto"/>
                <w:kern w:val="0"/>
                <w:sz w:val="24"/>
                <w:szCs w:val="24"/>
                <w:highlight w:val="none"/>
              </w:rPr>
            </w:pPr>
          </w:p>
        </w:tc>
        <w:tc>
          <w:tcPr>
            <w:tcW w:w="6992" w:type="dxa"/>
            <w:noWrap/>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投标球墨铸铁管采用承插滑入式柔性接口，且具有优良的密封和借转技术，DN</w:t>
            </w:r>
            <w:r>
              <w:rPr>
                <w:rStyle w:val="24"/>
                <w:rFonts w:hint="eastAsia" w:ascii="宋体" w:hAnsi="宋体" w:cs="宋体"/>
                <w:b w:val="0"/>
                <w:bCs w:val="0"/>
                <w:color w:val="auto"/>
                <w:kern w:val="0"/>
                <w:sz w:val="24"/>
                <w:szCs w:val="24"/>
                <w:highlight w:val="none"/>
                <w:lang w:val="en-US" w:eastAsia="zh-CN"/>
              </w:rPr>
              <w:t>30</w:t>
            </w:r>
            <w:r>
              <w:rPr>
                <w:rStyle w:val="24"/>
                <w:rFonts w:hint="eastAsia" w:ascii="宋体" w:hAnsi="宋体" w:cs="宋体"/>
                <w:b w:val="0"/>
                <w:bCs w:val="0"/>
                <w:color w:val="auto"/>
                <w:kern w:val="0"/>
                <w:sz w:val="24"/>
                <w:szCs w:val="24"/>
                <w:highlight w:val="none"/>
              </w:rPr>
              <w:t>0规格接口偏转角度大于等于3°得3分，偏转角在2°~3°之间得2分</w:t>
            </w:r>
            <w:r>
              <w:rPr>
                <w:rStyle w:val="24"/>
                <w:rFonts w:hint="eastAsia" w:ascii="宋体" w:hAnsi="宋体" w:cs="宋体"/>
                <w:b w:val="0"/>
                <w:bCs w:val="0"/>
                <w:color w:val="auto"/>
                <w:kern w:val="0"/>
                <w:sz w:val="24"/>
                <w:szCs w:val="24"/>
                <w:highlight w:val="none"/>
                <w:lang w:eastAsia="zh-CN"/>
              </w:rPr>
              <w:t>，</w:t>
            </w:r>
            <w:r>
              <w:rPr>
                <w:rStyle w:val="24"/>
                <w:rFonts w:hint="eastAsia" w:ascii="宋体" w:hAnsi="宋体" w:cs="宋体"/>
                <w:b w:val="0"/>
                <w:bCs w:val="0"/>
                <w:color w:val="auto"/>
                <w:kern w:val="0"/>
                <w:sz w:val="24"/>
                <w:szCs w:val="24"/>
                <w:highlight w:val="none"/>
              </w:rPr>
              <w:t>偏转角度小于等于2°得1分。（满分3分）</w:t>
            </w:r>
          </w:p>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w:t>
            </w:r>
            <w:r>
              <w:rPr>
                <w:rStyle w:val="24"/>
                <w:rFonts w:hint="eastAsia" w:ascii="宋体" w:hAnsi="宋体" w:cs="宋体"/>
                <w:b w:val="0"/>
                <w:bCs w:val="0"/>
                <w:color w:val="auto"/>
                <w:kern w:val="0"/>
                <w:sz w:val="24"/>
                <w:szCs w:val="24"/>
                <w:highlight w:val="none"/>
                <w:lang w:val="en-US" w:eastAsia="zh-CN"/>
              </w:rPr>
              <w:t>需提供</w:t>
            </w:r>
            <w:r>
              <w:rPr>
                <w:rStyle w:val="24"/>
                <w:rFonts w:hint="eastAsia" w:ascii="宋体" w:hAnsi="宋体" w:cs="宋体"/>
                <w:b w:val="0"/>
                <w:bCs w:val="0"/>
                <w:color w:val="auto"/>
                <w:kern w:val="0"/>
                <w:sz w:val="24"/>
                <w:szCs w:val="24"/>
                <w:highlight w:val="none"/>
              </w:rPr>
              <w:t>GB/T26081-2010标准型式检验报告的复印件</w:t>
            </w:r>
            <w:r>
              <w:rPr>
                <w:rStyle w:val="24"/>
                <w:rFonts w:hint="eastAsia" w:ascii="宋体" w:hAnsi="宋体" w:cs="宋体"/>
                <w:b w:val="0"/>
                <w:bCs w:val="0"/>
                <w:color w:val="auto"/>
                <w:kern w:val="0"/>
                <w:sz w:val="24"/>
                <w:szCs w:val="24"/>
                <w:highlight w:val="none"/>
                <w:lang w:val="en-US" w:eastAsia="zh-CN"/>
              </w:rPr>
              <w:t>加盖公章，原件备查，未提供的不得分。</w:t>
            </w:r>
            <w:r>
              <w:rPr>
                <w:rStyle w:val="24"/>
                <w:rFonts w:hint="eastAsia" w:ascii="宋体" w:hAnsi="宋体" w:cs="宋体"/>
                <w:b w:val="0"/>
                <w:bCs w:val="0"/>
                <w:color w:val="auto"/>
                <w:kern w:val="0"/>
                <w:sz w:val="24"/>
                <w:szCs w:val="24"/>
                <w:highlight w:val="none"/>
              </w:rPr>
              <w:t>）</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hint="eastAsia" w:ascii="宋体" w:hAnsi="宋体" w:eastAsia="宋体" w:cs="宋体"/>
                <w:b w:val="0"/>
                <w:bCs w:val="0"/>
                <w:color w:val="auto"/>
                <w:kern w:val="0"/>
                <w:sz w:val="24"/>
                <w:szCs w:val="24"/>
                <w:highlight w:val="none"/>
                <w:lang w:eastAsia="zh-CN"/>
              </w:rPr>
            </w:pPr>
            <w:r>
              <w:rPr>
                <w:rStyle w:val="24"/>
                <w:rFonts w:hint="eastAsia" w:ascii="宋体" w:hAnsi="宋体" w:cs="宋体"/>
                <w:b w:val="0"/>
                <w:bCs w:val="0"/>
                <w:color w:val="auto"/>
                <w:kern w:val="0"/>
                <w:sz w:val="24"/>
                <w:szCs w:val="24"/>
                <w:highlight w:val="none"/>
                <w:lang w:val="en-US" w:eastAsia="zh-CN"/>
              </w:rPr>
              <w:t>8</w:t>
            </w:r>
          </w:p>
        </w:tc>
        <w:tc>
          <w:tcPr>
            <w:tcW w:w="1225" w:type="dxa"/>
            <w:gridSpan w:val="2"/>
            <w:noWrap/>
            <w:vAlign w:val="center"/>
          </w:tcPr>
          <w:p>
            <w:pPr>
              <w:widowControl/>
              <w:spacing w:line="500" w:lineRule="exact"/>
              <w:jc w:val="center"/>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技术可靠能力</w:t>
            </w:r>
          </w:p>
        </w:tc>
        <w:tc>
          <w:tcPr>
            <w:tcW w:w="6992" w:type="dxa"/>
            <w:noWrap/>
          </w:tcPr>
          <w:p>
            <w:pPr>
              <w:widowControl/>
              <w:spacing w:line="500" w:lineRule="exact"/>
              <w:jc w:val="left"/>
              <w:rPr>
                <w:rStyle w:val="24"/>
                <w:rFonts w:hint="default" w:ascii="宋体" w:hAnsi="宋体" w:eastAsia="宋体" w:cs="宋体"/>
                <w:b w:val="0"/>
                <w:bCs w:val="0"/>
                <w:color w:val="auto"/>
                <w:kern w:val="0"/>
                <w:sz w:val="24"/>
                <w:szCs w:val="24"/>
                <w:highlight w:val="none"/>
                <w:lang w:val="en-US" w:eastAsia="zh-CN"/>
              </w:rPr>
            </w:pPr>
            <w:r>
              <w:rPr>
                <w:rStyle w:val="24"/>
                <w:rFonts w:hint="eastAsia" w:ascii="宋体" w:hAnsi="宋体" w:cs="宋体"/>
                <w:b w:val="0"/>
                <w:bCs w:val="0"/>
                <w:color w:val="auto"/>
                <w:kern w:val="0"/>
                <w:sz w:val="24"/>
                <w:szCs w:val="24"/>
                <w:highlight w:val="none"/>
                <w:lang w:val="en-US" w:eastAsia="zh-CN"/>
              </w:rPr>
              <w:t>投标人或所投产品制造商</w:t>
            </w:r>
            <w:r>
              <w:rPr>
                <w:rStyle w:val="24"/>
                <w:rFonts w:hint="eastAsia" w:ascii="宋体" w:hAnsi="宋体" w:cs="宋体"/>
                <w:b w:val="0"/>
                <w:bCs w:val="0"/>
                <w:color w:val="auto"/>
                <w:kern w:val="0"/>
                <w:sz w:val="24"/>
                <w:szCs w:val="24"/>
                <w:highlight w:val="none"/>
              </w:rPr>
              <w:t>设有国家级技术检验中心（实验室等）或同国家级技术检验中心（实验室等）具备合作的得3分，</w:t>
            </w:r>
            <w:r>
              <w:rPr>
                <w:rStyle w:val="24"/>
                <w:rFonts w:hint="eastAsia" w:ascii="宋体" w:hAnsi="宋体" w:cs="宋体"/>
                <w:b w:val="0"/>
                <w:bCs w:val="0"/>
                <w:color w:val="auto"/>
                <w:kern w:val="0"/>
                <w:sz w:val="24"/>
                <w:szCs w:val="24"/>
                <w:highlight w:val="none"/>
                <w:lang w:val="en-US" w:eastAsia="zh-CN"/>
              </w:rPr>
              <w:t>满分3分。</w:t>
            </w:r>
          </w:p>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（需提供检验中心证书及实验室图片等相关证明材料，若为合作关系，还需附上双方签订的协议复印件作为证明材料，未提供或提供不全</w:t>
            </w:r>
            <w:r>
              <w:rPr>
                <w:rStyle w:val="24"/>
                <w:rFonts w:hint="eastAsia" w:ascii="宋体" w:hAnsi="宋体" w:cs="宋体"/>
                <w:b w:val="0"/>
                <w:bCs w:val="0"/>
                <w:color w:val="auto"/>
                <w:kern w:val="0"/>
                <w:sz w:val="24"/>
                <w:szCs w:val="24"/>
                <w:highlight w:val="none"/>
                <w:lang w:eastAsia="zh-CN"/>
              </w:rPr>
              <w:t>的</w:t>
            </w:r>
            <w:r>
              <w:rPr>
                <w:rStyle w:val="24"/>
                <w:rFonts w:hint="eastAsia" w:ascii="宋体" w:hAnsi="宋体" w:cs="宋体"/>
                <w:b w:val="0"/>
                <w:bCs w:val="0"/>
                <w:color w:val="auto"/>
                <w:kern w:val="0"/>
                <w:sz w:val="24"/>
                <w:szCs w:val="24"/>
                <w:highlight w:val="none"/>
                <w:lang w:val="en-US" w:eastAsia="zh-CN"/>
              </w:rPr>
              <w:t>不得分。</w:t>
            </w:r>
            <w:r>
              <w:rPr>
                <w:rStyle w:val="24"/>
                <w:rFonts w:hint="eastAsia" w:ascii="宋体" w:hAnsi="宋体" w:cs="宋体"/>
                <w:b w:val="0"/>
                <w:bCs w:val="0"/>
                <w:color w:val="auto"/>
                <w:kern w:val="0"/>
                <w:sz w:val="24"/>
                <w:szCs w:val="24"/>
                <w:highlight w:val="none"/>
              </w:rPr>
              <w:t>）</w:t>
            </w:r>
          </w:p>
        </w:tc>
        <w:tc>
          <w:tcPr>
            <w:tcW w:w="706" w:type="dxa"/>
            <w:noWrap/>
            <w:vAlign w:val="center"/>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05" w:type="dxa"/>
            <w:noWrap/>
            <w:vAlign w:val="center"/>
          </w:tcPr>
          <w:p>
            <w:pPr>
              <w:widowControl/>
              <w:spacing w:line="500" w:lineRule="exact"/>
              <w:jc w:val="center"/>
              <w:rPr>
                <w:rStyle w:val="24"/>
                <w:rFonts w:hint="default" w:ascii="宋体" w:hAnsi="宋体" w:cs="宋体"/>
                <w:b w:val="0"/>
                <w:bCs w:val="0"/>
                <w:color w:val="auto"/>
                <w:kern w:val="0"/>
                <w:sz w:val="24"/>
                <w:szCs w:val="24"/>
                <w:highlight w:val="none"/>
                <w:lang w:val="en-US" w:eastAsia="zh-CN"/>
              </w:rPr>
            </w:pPr>
            <w:r>
              <w:rPr>
                <w:rStyle w:val="24"/>
                <w:rFonts w:hint="eastAsia" w:ascii="宋体" w:hAnsi="宋体" w:cs="宋体"/>
                <w:b w:val="0"/>
                <w:bCs w:val="0"/>
                <w:color w:val="auto"/>
                <w:kern w:val="0"/>
                <w:sz w:val="24"/>
                <w:szCs w:val="24"/>
                <w:highlight w:val="none"/>
                <w:lang w:val="en-US" w:eastAsia="zh-CN"/>
              </w:rPr>
              <w:t>9</w:t>
            </w:r>
          </w:p>
        </w:tc>
        <w:tc>
          <w:tcPr>
            <w:tcW w:w="1225" w:type="dxa"/>
            <w:gridSpan w:val="2"/>
            <w:noWrap/>
            <w:vAlign w:val="center"/>
          </w:tcPr>
          <w:p>
            <w:pPr>
              <w:widowControl/>
              <w:adjustRightInd w:val="0"/>
              <w:snapToGrid w:val="0"/>
              <w:spacing w:line="500" w:lineRule="exact"/>
              <w:jc w:val="center"/>
              <w:rPr>
                <w:rFonts w:hint="eastAsia" w:ascii="宋体" w:hAnsi="宋体" w:eastAsia="宋体" w:cs="Times New Roman"/>
                <w:color w:val="auto"/>
                <w:sz w:val="24"/>
              </w:rPr>
            </w:pPr>
            <w:r>
              <w:rPr>
                <w:rFonts w:hint="eastAsia" w:ascii="宋体" w:hAnsi="宋体" w:eastAsia="宋体" w:cs="Times New Roman"/>
                <w:color w:val="auto"/>
                <w:sz w:val="24"/>
                <w:lang w:eastAsia="zh-CN"/>
              </w:rPr>
              <w:t>综合实力</w:t>
            </w:r>
          </w:p>
          <w:p>
            <w:pPr>
              <w:widowControl/>
              <w:spacing w:line="500" w:lineRule="exact"/>
              <w:jc w:val="left"/>
              <w:rPr>
                <w:rStyle w:val="24"/>
                <w:rFonts w:hint="eastAsia" w:ascii="宋体" w:hAnsi="宋体" w:cs="宋体"/>
                <w:b w:val="0"/>
                <w:bCs w:val="0"/>
                <w:color w:val="auto"/>
                <w:kern w:val="0"/>
                <w:sz w:val="24"/>
                <w:szCs w:val="24"/>
                <w:highlight w:val="none"/>
              </w:rPr>
            </w:pPr>
          </w:p>
        </w:tc>
        <w:tc>
          <w:tcPr>
            <w:tcW w:w="6992" w:type="dxa"/>
            <w:noWrap/>
            <w:vAlign w:val="center"/>
          </w:tcPr>
          <w:p>
            <w:pPr>
              <w:pStyle w:val="9"/>
              <w:rPr>
                <w:rFonts w:ascii="宋体" w:cs="Arial"/>
                <w:snapToGrid w:val="0"/>
                <w:color w:val="auto"/>
                <w:kern w:val="0"/>
                <w:sz w:val="24"/>
              </w:rPr>
            </w:pPr>
            <w:r>
              <w:rPr>
                <w:rFonts w:hint="eastAsia" w:ascii="宋体" w:hAnsi="宋体" w:cs="Arial"/>
                <w:snapToGrid w:val="0"/>
                <w:color w:val="auto"/>
                <w:kern w:val="0"/>
                <w:sz w:val="24"/>
                <w:lang w:val="en-US" w:eastAsia="zh-CN"/>
              </w:rPr>
              <w:t>投标人或所投产品制造商</w:t>
            </w:r>
            <w:r>
              <w:rPr>
                <w:rFonts w:hint="eastAsia" w:ascii="宋体" w:hAnsi="宋体" w:cs="Arial"/>
                <w:snapToGrid w:val="0"/>
                <w:color w:val="auto"/>
                <w:kern w:val="0"/>
                <w:sz w:val="24"/>
              </w:rPr>
              <w:t>获</w:t>
            </w:r>
            <w:r>
              <w:rPr>
                <w:rFonts w:hint="eastAsia" w:ascii="宋体" w:hAnsi="宋体" w:cs="Arial"/>
                <w:snapToGrid w:val="0"/>
                <w:color w:val="auto"/>
                <w:spacing w:val="-6"/>
                <w:kern w:val="0"/>
                <w:sz w:val="24"/>
              </w:rPr>
              <w:t>有《中国新型建筑材料可持续性发展重点推广项目》证书的</w:t>
            </w:r>
            <w:r>
              <w:rPr>
                <w:rFonts w:hint="eastAsia" w:ascii="宋体" w:hAnsi="宋体" w:cs="Arial"/>
                <w:snapToGrid w:val="0"/>
                <w:color w:val="auto"/>
                <w:spacing w:val="-6"/>
                <w:kern w:val="0"/>
                <w:sz w:val="24"/>
                <w:lang w:val="en-US" w:eastAsia="zh-CN"/>
              </w:rPr>
              <w:t>1</w:t>
            </w:r>
            <w:r>
              <w:rPr>
                <w:rFonts w:hint="eastAsia" w:ascii="宋体" w:hAnsi="宋体" w:cs="Arial"/>
                <w:snapToGrid w:val="0"/>
                <w:color w:val="auto"/>
                <w:spacing w:val="-6"/>
                <w:kern w:val="0"/>
                <w:sz w:val="24"/>
              </w:rPr>
              <w:t>分</w:t>
            </w:r>
            <w:r>
              <w:rPr>
                <w:rFonts w:hint="eastAsia" w:ascii="宋体" w:hAnsi="宋体" w:cs="Arial"/>
                <w:snapToGrid w:val="0"/>
                <w:color w:val="auto"/>
                <w:kern w:val="0"/>
                <w:sz w:val="24"/>
              </w:rPr>
              <w:t>；</w:t>
            </w:r>
            <w:r>
              <w:rPr>
                <w:rFonts w:hint="eastAsia" w:ascii="宋体" w:hAnsi="宋体" w:cs="宋体"/>
                <w:color w:val="auto"/>
                <w:kern w:val="0"/>
                <w:sz w:val="24"/>
                <w:szCs w:val="24"/>
              </w:rPr>
              <w:t>未提供不得分；满分</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w:t>
            </w:r>
          </w:p>
          <w:p>
            <w:pPr>
              <w:spacing w:line="460" w:lineRule="exact"/>
              <w:rPr>
                <w:rFonts w:hint="eastAsia" w:ascii="宋体" w:hAnsi="宋体" w:eastAsia="宋体" w:cs="宋体"/>
                <w:color w:val="auto"/>
                <w:kern w:val="0"/>
                <w:sz w:val="24"/>
                <w:szCs w:val="24"/>
                <w:highlight w:val="none"/>
                <w:lang w:val="en-US" w:eastAsia="zh-CN" w:bidi="ar-SA"/>
              </w:rPr>
            </w:pPr>
            <w:r>
              <w:rPr>
                <w:rFonts w:ascii="宋体" w:hAnsi="宋体" w:cs="Arial"/>
                <w:snapToGrid w:val="0"/>
                <w:color w:val="auto"/>
                <w:kern w:val="0"/>
                <w:sz w:val="24"/>
              </w:rPr>
              <w:t>(</w:t>
            </w:r>
            <w:r>
              <w:rPr>
                <w:rFonts w:hint="eastAsia" w:ascii="宋体" w:hAnsi="宋体" w:cs="Arial"/>
                <w:snapToGrid w:val="0"/>
                <w:color w:val="auto"/>
                <w:kern w:val="0"/>
                <w:sz w:val="24"/>
                <w:highlight w:val="none"/>
              </w:rPr>
              <w:t>投标人应</w:t>
            </w:r>
            <w:r>
              <w:rPr>
                <w:rFonts w:hint="eastAsia" w:ascii="宋体" w:hAnsi="宋体" w:cs="宋体"/>
                <w:color w:val="auto"/>
                <w:spacing w:val="-6"/>
                <w:sz w:val="24"/>
                <w:szCs w:val="24"/>
                <w:highlight w:val="none"/>
              </w:rPr>
              <w:t>提供</w:t>
            </w:r>
            <w:r>
              <w:rPr>
                <w:rFonts w:hint="eastAsia" w:ascii="宋体" w:hAnsi="宋体" w:cs="宋体"/>
                <w:color w:val="auto"/>
                <w:spacing w:val="-6"/>
                <w:sz w:val="24"/>
                <w:szCs w:val="24"/>
                <w:highlight w:val="none"/>
                <w:lang w:val="en-US" w:eastAsia="zh-CN"/>
              </w:rPr>
              <w:t>有效期内的</w:t>
            </w:r>
            <w:r>
              <w:rPr>
                <w:rFonts w:hint="eastAsia" w:ascii="宋体" w:hAnsi="宋体" w:cs="宋体"/>
                <w:color w:val="auto"/>
                <w:spacing w:val="-6"/>
                <w:sz w:val="24"/>
                <w:szCs w:val="24"/>
                <w:highlight w:val="none"/>
              </w:rPr>
              <w:t>证书或证明材料复印件并加盖投标人公章，</w:t>
            </w:r>
            <w:r>
              <w:rPr>
                <w:rFonts w:hint="eastAsia" w:ascii="宋体" w:hAnsi="宋体" w:eastAsia="宋体" w:cs="宋体"/>
                <w:color w:val="auto"/>
                <w:sz w:val="24"/>
                <w:szCs w:val="24"/>
                <w:highlight w:val="none"/>
                <w:lang w:val="en-US" w:eastAsia="zh-CN"/>
              </w:rPr>
              <w:t>投标时需准备原件备查；</w:t>
            </w:r>
            <w:r>
              <w:rPr>
                <w:rFonts w:hint="eastAsia" w:ascii="宋体" w:hAnsi="宋体" w:cs="Arial"/>
                <w:snapToGrid w:val="0"/>
                <w:color w:val="auto"/>
                <w:kern w:val="0"/>
                <w:sz w:val="24"/>
                <w:highlight w:val="none"/>
              </w:rPr>
              <w:t>否则不得分</w:t>
            </w:r>
            <w:r>
              <w:rPr>
                <w:rFonts w:ascii="宋体" w:hAnsi="宋体" w:cs="Arial"/>
                <w:snapToGrid w:val="0"/>
                <w:color w:val="auto"/>
                <w:kern w:val="0"/>
                <w:sz w:val="24"/>
              </w:rPr>
              <w:t>)</w:t>
            </w:r>
          </w:p>
        </w:tc>
        <w:tc>
          <w:tcPr>
            <w:tcW w:w="706" w:type="dxa"/>
            <w:noWrap/>
            <w:vAlign w:val="center"/>
          </w:tcPr>
          <w:p>
            <w:pPr>
              <w:spacing w:beforeLines="50" w:afterLines="5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lang w:val="en-US" w:eastAsia="zh-CN"/>
              </w:rPr>
              <w:t>1</w:t>
            </w:r>
            <w:r>
              <w:rPr>
                <w:rFonts w:hint="eastAsia" w:ascii="宋体" w:hAnsi="宋体" w:cs="Arial"/>
                <w:snapToGrid w:val="0"/>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728" w:type="dxa"/>
            <w:gridSpan w:val="5"/>
            <w:noWrap/>
          </w:tcPr>
          <w:p>
            <w:pPr>
              <w:widowControl/>
              <w:spacing w:line="500" w:lineRule="exact"/>
              <w:jc w:val="left"/>
              <w:rPr>
                <w:rStyle w:val="24"/>
                <w:rFonts w:ascii="宋体" w:hAnsi="宋体" w:cs="宋体"/>
                <w:b w:val="0"/>
                <w:bCs w:val="0"/>
                <w:color w:val="auto"/>
                <w:kern w:val="0"/>
                <w:sz w:val="24"/>
                <w:szCs w:val="24"/>
                <w:highlight w:val="none"/>
              </w:rPr>
            </w:pPr>
            <w:r>
              <w:rPr>
                <w:rStyle w:val="24"/>
                <w:rFonts w:hint="eastAsia" w:ascii="宋体" w:hAnsi="宋体" w:cs="宋体"/>
                <w:b w:val="0"/>
                <w:bCs w:val="0"/>
                <w:color w:val="auto"/>
                <w:kern w:val="0"/>
                <w:sz w:val="24"/>
                <w:szCs w:val="24"/>
                <w:highlight w:val="none"/>
              </w:rPr>
              <w:t>注：投标人必须提交以上文件或证明的复印件，所有复印件应是最新（有效）、清晰，注明“与原件一致”并加盖投标人公章。</w:t>
            </w:r>
          </w:p>
        </w:tc>
      </w:tr>
    </w:tbl>
    <w:p>
      <w:pPr>
        <w:pStyle w:val="20"/>
        <w:widowControl/>
        <w:spacing w:line="500" w:lineRule="exact"/>
        <w:ind w:firstLine="480"/>
        <w:rPr>
          <w:color w:val="auto"/>
          <w:highlight w:val="none"/>
        </w:rPr>
      </w:pPr>
      <w:r>
        <w:rPr>
          <w:rFonts w:hint="eastAsia" w:ascii="宋体" w:hAnsi="宋体" w:cs="宋体"/>
          <w:color w:val="auto"/>
          <w:highlight w:val="none"/>
        </w:rPr>
        <w:t>③商务项（</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）满分为</w:t>
      </w:r>
      <w:r>
        <w:rPr>
          <w:rFonts w:hint="eastAsia" w:ascii="宋体" w:hAnsi="宋体" w:cs="宋体"/>
          <w:color w:val="auto"/>
          <w:highlight w:val="none"/>
          <w:u w:val="single"/>
        </w:rPr>
        <w:t>15</w:t>
      </w:r>
      <w:r>
        <w:rPr>
          <w:rFonts w:hint="eastAsia" w:ascii="宋体" w:hAnsi="宋体" w:cs="宋体"/>
          <w:color w:val="auto"/>
          <w:highlight w:val="none"/>
        </w:rPr>
        <w:t>分。</w:t>
      </w:r>
    </w:p>
    <w:tbl>
      <w:tblPr>
        <w:tblStyle w:val="22"/>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90"/>
        <w:gridCol w:w="6906"/>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spacing w:line="500" w:lineRule="exact"/>
              <w:jc w:val="center"/>
              <w:rPr>
                <w:rFonts w:ascii="宋体" w:cs="宋体"/>
                <w:b/>
                <w:color w:val="auto"/>
                <w:sz w:val="24"/>
                <w:szCs w:val="24"/>
                <w:highlight w:val="none"/>
              </w:rPr>
            </w:pPr>
            <w:r>
              <w:rPr>
                <w:rFonts w:hint="eastAsia" w:ascii="宋体" w:hAnsi="宋体" w:cs="宋体"/>
                <w:b/>
                <w:color w:val="auto"/>
                <w:sz w:val="24"/>
                <w:szCs w:val="24"/>
                <w:highlight w:val="none"/>
              </w:rPr>
              <w:t>序号</w:t>
            </w:r>
          </w:p>
        </w:tc>
        <w:tc>
          <w:tcPr>
            <w:tcW w:w="1390" w:type="dxa"/>
            <w:noWrap/>
            <w:vAlign w:val="center"/>
          </w:tcPr>
          <w:p>
            <w:pPr>
              <w:widowControl/>
              <w:spacing w:line="500" w:lineRule="exact"/>
              <w:jc w:val="center"/>
              <w:rPr>
                <w:rFonts w:ascii="宋体" w:cs="宋体"/>
                <w:b/>
                <w:color w:val="auto"/>
                <w:sz w:val="24"/>
                <w:szCs w:val="24"/>
                <w:highlight w:val="none"/>
              </w:rPr>
            </w:pPr>
            <w:r>
              <w:rPr>
                <w:rFonts w:hint="eastAsia" w:ascii="宋体" w:hAnsi="宋体" w:cs="宋体"/>
                <w:b/>
                <w:color w:val="auto"/>
                <w:sz w:val="24"/>
                <w:szCs w:val="24"/>
                <w:highlight w:val="none"/>
              </w:rPr>
              <w:t>评标项目</w:t>
            </w:r>
          </w:p>
        </w:tc>
        <w:tc>
          <w:tcPr>
            <w:tcW w:w="6906" w:type="dxa"/>
            <w:noWrap/>
            <w:vAlign w:val="center"/>
          </w:tcPr>
          <w:p>
            <w:pPr>
              <w:spacing w:line="500" w:lineRule="exact"/>
              <w:jc w:val="center"/>
              <w:rPr>
                <w:rFonts w:ascii="宋体" w:cs="宋体"/>
                <w:b/>
                <w:color w:val="auto"/>
                <w:kern w:val="0"/>
                <w:sz w:val="24"/>
                <w:szCs w:val="24"/>
                <w:highlight w:val="none"/>
              </w:rPr>
            </w:pPr>
            <w:r>
              <w:rPr>
                <w:rFonts w:hint="eastAsia" w:ascii="宋体" w:hAnsi="宋体" w:cs="宋体"/>
                <w:b/>
                <w:color w:val="auto"/>
                <w:sz w:val="24"/>
                <w:szCs w:val="24"/>
                <w:highlight w:val="none"/>
              </w:rPr>
              <w:t>评分标准</w:t>
            </w:r>
          </w:p>
        </w:tc>
        <w:tc>
          <w:tcPr>
            <w:tcW w:w="801" w:type="dxa"/>
            <w:noWrap/>
            <w:vAlign w:val="center"/>
          </w:tcPr>
          <w:p>
            <w:pPr>
              <w:tabs>
                <w:tab w:val="left" w:pos="540"/>
                <w:tab w:val="left" w:pos="900"/>
              </w:tabs>
              <w:spacing w:line="500" w:lineRule="exact"/>
              <w:jc w:val="center"/>
              <w:rPr>
                <w:rFonts w:ascii="宋体" w:cs="宋体"/>
                <w:b/>
                <w:color w:val="auto"/>
                <w:sz w:val="24"/>
                <w:szCs w:val="24"/>
                <w:highlight w:val="none"/>
              </w:rPr>
            </w:pPr>
            <w:r>
              <w:rPr>
                <w:rFonts w:hint="eastAsia" w:ascii="宋体" w:hAnsi="宋体" w:cs="宋体"/>
                <w:b/>
                <w:color w:val="auto"/>
                <w:sz w:val="24"/>
                <w:szCs w:val="24"/>
                <w:highlight w:val="none"/>
              </w:rPr>
              <w:t>评标</w:t>
            </w:r>
          </w:p>
          <w:p>
            <w:pPr>
              <w:tabs>
                <w:tab w:val="left" w:pos="540"/>
                <w:tab w:val="left" w:pos="900"/>
              </w:tabs>
              <w:spacing w:line="500" w:lineRule="exact"/>
              <w:jc w:val="center"/>
              <w:rPr>
                <w:rFonts w:ascii="宋体" w:cs="宋体"/>
                <w:b/>
                <w:color w:val="auto"/>
                <w:sz w:val="24"/>
                <w:szCs w:val="24"/>
                <w:highlight w:val="none"/>
              </w:rPr>
            </w:pPr>
            <w:r>
              <w:rPr>
                <w:rFonts w:hint="eastAsia" w:ascii="宋体" w:hAnsi="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spacing w:line="500" w:lineRule="exact"/>
              <w:jc w:val="center"/>
              <w:rPr>
                <w:rFonts w:ascii="宋体" w:cs="宋体"/>
                <w:color w:val="auto"/>
                <w:sz w:val="24"/>
                <w:szCs w:val="24"/>
                <w:highlight w:val="none"/>
              </w:rPr>
            </w:pPr>
            <w:r>
              <w:rPr>
                <w:rFonts w:ascii="宋体" w:hAnsi="宋体" w:cs="宋体"/>
                <w:color w:val="auto"/>
                <w:sz w:val="24"/>
                <w:szCs w:val="24"/>
                <w:highlight w:val="none"/>
              </w:rPr>
              <w:t>1</w:t>
            </w:r>
          </w:p>
        </w:tc>
        <w:tc>
          <w:tcPr>
            <w:tcW w:w="1390" w:type="dxa"/>
            <w:noWrap/>
            <w:vAlign w:val="center"/>
          </w:tcPr>
          <w:p>
            <w:pPr>
              <w:widowControl/>
              <w:spacing w:line="500" w:lineRule="exact"/>
              <w:rPr>
                <w:rFonts w:ascii="宋体" w:cs="宋体"/>
                <w:color w:val="auto"/>
                <w:kern w:val="0"/>
                <w:sz w:val="24"/>
                <w:szCs w:val="24"/>
                <w:highlight w:val="none"/>
              </w:rPr>
            </w:pPr>
            <w:r>
              <w:rPr>
                <w:rFonts w:hint="eastAsia" w:ascii="宋体" w:hAnsi="宋体" w:cs="宋体"/>
                <w:color w:val="auto"/>
                <w:sz w:val="24"/>
                <w:szCs w:val="24"/>
                <w:highlight w:val="none"/>
              </w:rPr>
              <w:t>资格认证1</w:t>
            </w:r>
          </w:p>
        </w:tc>
        <w:tc>
          <w:tcPr>
            <w:tcW w:w="6906" w:type="dxa"/>
            <w:noWrap/>
            <w:vAlign w:val="center"/>
          </w:tcPr>
          <w:p>
            <w:pPr>
              <w:spacing w:line="500" w:lineRule="exact"/>
              <w:rPr>
                <w:rFonts w:ascii="宋体" w:cs="宋体"/>
                <w:color w:val="auto"/>
                <w:sz w:val="24"/>
                <w:szCs w:val="24"/>
                <w:highlight w:val="none"/>
              </w:rPr>
            </w:pPr>
            <w:r>
              <w:rPr>
                <w:rFonts w:hint="eastAsia" w:ascii="宋体" w:hAnsi="宋体" w:cs="宋体"/>
                <w:color w:val="auto"/>
                <w:kern w:val="0"/>
                <w:sz w:val="24"/>
                <w:szCs w:val="24"/>
                <w:highlight w:val="none"/>
                <w:lang w:val="en-US" w:eastAsia="zh-CN"/>
              </w:rPr>
              <w:t>投标人或所投产品制造商通过质量管理体系认证得1分，通过环境管理体系得1分，通过职业健康安全管理体系认证得1分，满分3分。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需提供体系认证证书复印件及认监委官网查询链接、截图等相关复印件加盖公章，原件备查，未提供或提供不全的不得分。</w:t>
            </w:r>
            <w:r>
              <w:rPr>
                <w:rFonts w:hint="eastAsia" w:ascii="宋体" w:hAnsi="宋体" w:cs="宋体"/>
                <w:color w:val="auto"/>
                <w:kern w:val="0"/>
                <w:sz w:val="24"/>
                <w:szCs w:val="24"/>
                <w:highlight w:val="none"/>
              </w:rPr>
              <w:t>）</w:t>
            </w:r>
          </w:p>
        </w:tc>
        <w:tc>
          <w:tcPr>
            <w:tcW w:w="801" w:type="dxa"/>
            <w:noWrap/>
            <w:vAlign w:val="center"/>
          </w:tcPr>
          <w:p>
            <w:pPr>
              <w:tabs>
                <w:tab w:val="left" w:pos="540"/>
                <w:tab w:val="left" w:pos="900"/>
              </w:tabs>
              <w:spacing w:line="500" w:lineRule="exact"/>
              <w:jc w:val="center"/>
              <w:rPr>
                <w:rFonts w:ascii="宋体" w:cs="宋体"/>
                <w:color w:val="auto"/>
                <w:sz w:val="24"/>
                <w:szCs w:val="24"/>
                <w:highlight w:val="none"/>
              </w:rPr>
            </w:pPr>
            <w:r>
              <w:rPr>
                <w:rFonts w:hint="eastAsia" w:ascii="宋体" w:hAnsi="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90" w:type="dxa"/>
            <w:noWrap/>
            <w:vAlign w:val="center"/>
          </w:tcPr>
          <w:p>
            <w:pPr>
              <w:widowControl/>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资格认证2</w:t>
            </w:r>
          </w:p>
        </w:tc>
        <w:tc>
          <w:tcPr>
            <w:tcW w:w="6906" w:type="dxa"/>
            <w:noWrap/>
            <w:vAlign w:val="center"/>
          </w:tcPr>
          <w:p>
            <w:pPr>
              <w:spacing w:line="50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kern w:val="0"/>
                <w:sz w:val="24"/>
                <w:szCs w:val="24"/>
                <w:highlight w:val="none"/>
              </w:rPr>
              <w:t>提供</w:t>
            </w:r>
            <w:r>
              <w:rPr>
                <w:rFonts w:hint="eastAsia" w:ascii="宋体" w:hAnsi="宋体" w:cs="宋体"/>
                <w:color w:val="auto"/>
                <w:sz w:val="24"/>
                <w:szCs w:val="24"/>
                <w:highlight w:val="none"/>
              </w:rPr>
              <w:t>所投产品</w:t>
            </w:r>
            <w:r>
              <w:rPr>
                <w:rFonts w:hint="eastAsia" w:ascii="宋体" w:hAnsi="宋体" w:cs="宋体"/>
                <w:color w:val="auto"/>
                <w:kern w:val="0"/>
                <w:sz w:val="24"/>
                <w:szCs w:val="24"/>
                <w:highlight w:val="none"/>
              </w:rPr>
              <w:t>具有GB/T26081-2010认证得1分，具有EN545-2010认证得1分，具有 GB /T13295-2013认证证书得1分，满分3分。（</w:t>
            </w:r>
            <w:r>
              <w:rPr>
                <w:rFonts w:hint="eastAsia" w:ascii="宋体" w:hAnsi="宋体" w:cs="宋体"/>
                <w:color w:val="auto"/>
                <w:kern w:val="0"/>
                <w:sz w:val="24"/>
                <w:szCs w:val="24"/>
                <w:highlight w:val="none"/>
                <w:lang w:val="en-US" w:eastAsia="zh-CN"/>
              </w:rPr>
              <w:t>需</w:t>
            </w:r>
            <w:r>
              <w:rPr>
                <w:rFonts w:hint="eastAsia" w:ascii="宋体" w:hAnsi="宋体" w:cs="宋体"/>
                <w:color w:val="auto"/>
                <w:kern w:val="0"/>
                <w:sz w:val="24"/>
                <w:szCs w:val="24"/>
                <w:highlight w:val="none"/>
              </w:rPr>
              <w:t>提供有效认证证书复印件</w:t>
            </w:r>
            <w:r>
              <w:rPr>
                <w:rFonts w:hint="eastAsia" w:ascii="宋体" w:hAnsi="宋体" w:cs="宋体"/>
                <w:color w:val="auto"/>
                <w:kern w:val="0"/>
                <w:sz w:val="24"/>
                <w:szCs w:val="24"/>
                <w:highlight w:val="none"/>
                <w:lang w:val="en-US" w:eastAsia="zh-CN"/>
              </w:rPr>
              <w:t>加盖</w:t>
            </w:r>
            <w:r>
              <w:rPr>
                <w:rFonts w:hint="eastAsia" w:ascii="宋体" w:hAnsi="宋体" w:cs="宋体"/>
                <w:color w:val="auto"/>
                <w:kern w:val="0"/>
                <w:sz w:val="24"/>
                <w:szCs w:val="24"/>
                <w:highlight w:val="none"/>
              </w:rPr>
              <w:t>公章，</w:t>
            </w:r>
            <w:r>
              <w:rPr>
                <w:rFonts w:hint="eastAsia" w:ascii="宋体" w:hAnsi="宋体" w:cs="宋体"/>
                <w:color w:val="auto"/>
                <w:kern w:val="0"/>
                <w:sz w:val="24"/>
                <w:szCs w:val="24"/>
                <w:highlight w:val="none"/>
                <w:lang w:val="en-US" w:eastAsia="zh-CN"/>
              </w:rPr>
              <w:t>原件备查，</w:t>
            </w:r>
            <w:r>
              <w:rPr>
                <w:rFonts w:hint="eastAsia" w:ascii="宋体" w:hAnsi="宋体" w:cs="宋体"/>
                <w:color w:val="auto"/>
                <w:kern w:val="0"/>
                <w:sz w:val="24"/>
                <w:szCs w:val="24"/>
                <w:highlight w:val="none"/>
              </w:rPr>
              <w:t>未提供不得分）</w:t>
            </w:r>
          </w:p>
        </w:tc>
        <w:tc>
          <w:tcPr>
            <w:tcW w:w="801" w:type="dxa"/>
            <w:noWrap/>
            <w:vAlign w:val="center"/>
          </w:tcPr>
          <w:p>
            <w:pPr>
              <w:tabs>
                <w:tab w:val="left" w:pos="540"/>
                <w:tab w:val="left" w:pos="900"/>
              </w:tabs>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widowControl/>
              <w:adjustRightInd w:val="0"/>
              <w:snapToGrid w:val="0"/>
              <w:spacing w:line="500" w:lineRule="exact"/>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p>
        </w:tc>
        <w:tc>
          <w:tcPr>
            <w:tcW w:w="1390" w:type="dxa"/>
            <w:vMerge w:val="restart"/>
            <w:noWrap/>
            <w:vAlign w:val="center"/>
          </w:tcPr>
          <w:p>
            <w:pPr>
              <w:widowControl/>
              <w:adjustRightInd w:val="0"/>
              <w:snapToGrid w:val="0"/>
              <w:spacing w:line="500" w:lineRule="exact"/>
              <w:jc w:val="center"/>
              <w:rPr>
                <w:rFonts w:hint="eastAsia" w:ascii="宋体" w:hAnsi="宋体" w:eastAsia="宋体" w:cs="Times New Roman"/>
                <w:color w:val="auto"/>
                <w:sz w:val="24"/>
              </w:rPr>
            </w:pPr>
            <w:r>
              <w:rPr>
                <w:rFonts w:hint="eastAsia" w:ascii="宋体" w:hAnsi="宋体" w:eastAsia="宋体" w:cs="Times New Roman"/>
                <w:color w:val="auto"/>
                <w:sz w:val="24"/>
                <w:lang w:eastAsia="zh-CN"/>
              </w:rPr>
              <w:t>综合实力</w:t>
            </w:r>
          </w:p>
          <w:p>
            <w:pPr>
              <w:widowControl/>
              <w:adjustRightInd w:val="0"/>
              <w:snapToGrid w:val="0"/>
              <w:spacing w:line="500" w:lineRule="exact"/>
              <w:jc w:val="center"/>
              <w:rPr>
                <w:rFonts w:hint="eastAsia" w:ascii="宋体" w:hAnsi="宋体" w:eastAsia="宋体" w:cs="Times New Roman"/>
                <w:color w:val="auto"/>
                <w:sz w:val="24"/>
              </w:rPr>
            </w:pPr>
          </w:p>
        </w:tc>
        <w:tc>
          <w:tcPr>
            <w:tcW w:w="6906" w:type="dxa"/>
            <w:noWrap/>
            <w:vAlign w:val="center"/>
          </w:tcPr>
          <w:p>
            <w:pPr>
              <w:widowControl/>
              <w:adjustRightInd w:val="0"/>
              <w:snapToGrid w:val="0"/>
              <w:spacing w:line="500" w:lineRule="exact"/>
              <w:rPr>
                <w:rFonts w:hint="eastAsia" w:hAnsi="宋体" w:cs="宋体"/>
                <w:color w:val="auto"/>
                <w:kern w:val="0"/>
                <w:sz w:val="24"/>
                <w:szCs w:val="24"/>
                <w:highlight w:val="none"/>
              </w:rPr>
            </w:pPr>
            <w:r>
              <w:rPr>
                <w:rFonts w:hint="eastAsia" w:ascii="宋体" w:hAnsi="宋体"/>
                <w:color w:val="auto"/>
                <w:sz w:val="24"/>
                <w:lang w:val="en-US" w:eastAsia="zh-CN"/>
              </w:rPr>
              <w:t>投标人或所投产品制造商</w:t>
            </w:r>
            <w:r>
              <w:rPr>
                <w:rFonts w:hint="eastAsia" w:ascii="宋体" w:hAnsi="宋体" w:eastAsia="宋体"/>
                <w:color w:val="auto"/>
                <w:sz w:val="24"/>
                <w:lang w:val="en-US" w:eastAsia="zh-CN"/>
              </w:rPr>
              <w:t>获有</w:t>
            </w:r>
            <w:r>
              <w:rPr>
                <w:rFonts w:hint="eastAsia" w:ascii="宋体" w:hAnsi="宋体" w:eastAsia="宋体"/>
                <w:color w:val="auto"/>
                <w:sz w:val="24"/>
              </w:rPr>
              <w:t>水利先进实用技术推广证书</w:t>
            </w:r>
            <w:r>
              <w:rPr>
                <w:rFonts w:hint="eastAsia" w:ascii="宋体" w:hAnsi="宋体" w:eastAsia="宋体"/>
                <w:color w:val="auto"/>
                <w:sz w:val="24"/>
                <w:lang w:val="en-US" w:eastAsia="zh-CN"/>
              </w:rPr>
              <w:t>的</w:t>
            </w:r>
            <w:r>
              <w:rPr>
                <w:rFonts w:hint="eastAsia" w:ascii="宋体" w:hAnsi="宋体" w:eastAsia="宋体"/>
                <w:color w:val="auto"/>
                <w:sz w:val="24"/>
              </w:rPr>
              <w:t>得</w:t>
            </w:r>
            <w:r>
              <w:rPr>
                <w:rFonts w:hint="eastAsia" w:ascii="宋体" w:hAnsi="宋体" w:eastAsia="宋体"/>
                <w:color w:val="auto"/>
                <w:sz w:val="24"/>
                <w:lang w:val="en-US" w:eastAsia="zh-CN"/>
              </w:rPr>
              <w:t>1</w:t>
            </w:r>
            <w:r>
              <w:rPr>
                <w:rFonts w:hint="eastAsia" w:ascii="宋体" w:hAnsi="宋体" w:eastAsia="宋体"/>
                <w:color w:val="auto"/>
                <w:sz w:val="24"/>
              </w:rPr>
              <w:t>分；未提供的不得分；满分</w:t>
            </w:r>
            <w:r>
              <w:rPr>
                <w:rFonts w:hint="eastAsia" w:ascii="宋体" w:hAnsi="宋体" w:eastAsia="宋体"/>
                <w:color w:val="auto"/>
                <w:sz w:val="24"/>
                <w:lang w:val="en-US" w:eastAsia="zh-CN"/>
              </w:rPr>
              <w:t>1</w:t>
            </w:r>
            <w:r>
              <w:rPr>
                <w:rFonts w:hint="eastAsia" w:ascii="宋体" w:hAnsi="宋体" w:eastAsia="宋体"/>
                <w:color w:val="auto"/>
                <w:sz w:val="24"/>
              </w:rPr>
              <w:t>分。（投标人应提供</w:t>
            </w:r>
            <w:r>
              <w:rPr>
                <w:rFonts w:hint="eastAsia" w:ascii="宋体" w:hAnsi="宋体" w:eastAsia="宋体"/>
                <w:color w:val="auto"/>
                <w:sz w:val="24"/>
                <w:lang w:val="en-US" w:eastAsia="zh-CN"/>
              </w:rPr>
              <w:t>有效期内的</w:t>
            </w:r>
            <w:r>
              <w:rPr>
                <w:rFonts w:hint="eastAsia" w:ascii="宋体" w:hAnsi="宋体" w:eastAsia="宋体"/>
                <w:color w:val="auto"/>
                <w:sz w:val="24"/>
              </w:rPr>
              <w:t>证书或证明材料复印件并加盖投标人公章，否则不得分）</w:t>
            </w:r>
          </w:p>
        </w:tc>
        <w:tc>
          <w:tcPr>
            <w:tcW w:w="801" w:type="dxa"/>
            <w:noWrap/>
            <w:vAlign w:val="center"/>
          </w:tcPr>
          <w:p>
            <w:pPr>
              <w:tabs>
                <w:tab w:val="left" w:pos="540"/>
                <w:tab w:val="left" w:pos="900"/>
              </w:tabs>
              <w:spacing w:line="500" w:lineRule="exact"/>
              <w:jc w:val="center"/>
              <w:rPr>
                <w:rFonts w:ascii="宋体" w:hAnsi="宋体" w:cs="宋体"/>
                <w:bCs/>
                <w:color w:val="auto"/>
                <w:sz w:val="24"/>
                <w:szCs w:val="24"/>
                <w:highlight w:val="none"/>
              </w:rPr>
            </w:pPr>
            <w:r>
              <w:rPr>
                <w:rFonts w:hint="eastAsia" w:ascii="宋体" w:hAnsi="宋体" w:eastAsia="宋体"/>
                <w:color w:val="auto"/>
                <w:sz w:val="24"/>
                <w:lang w:val="en-US" w:eastAsia="zh-CN"/>
              </w:rPr>
              <w:t>1</w:t>
            </w:r>
            <w:r>
              <w:rPr>
                <w:rFonts w:hint="eastAsia" w:ascii="宋体" w:hAnsi="宋体" w:eastAsia="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90" w:type="dxa"/>
            <w:vMerge w:val="continue"/>
            <w:noWrap/>
            <w:vAlign w:val="center"/>
          </w:tcPr>
          <w:p>
            <w:pPr>
              <w:widowControl/>
              <w:adjustRightInd w:val="0"/>
              <w:snapToGrid w:val="0"/>
              <w:spacing w:line="500" w:lineRule="exact"/>
              <w:jc w:val="center"/>
              <w:rPr>
                <w:rFonts w:hint="eastAsia" w:ascii="宋体" w:hAnsi="宋体" w:eastAsia="宋体" w:cs="Times New Roman"/>
                <w:color w:val="auto"/>
                <w:sz w:val="24"/>
              </w:rPr>
            </w:pPr>
          </w:p>
        </w:tc>
        <w:tc>
          <w:tcPr>
            <w:tcW w:w="6906" w:type="dxa"/>
            <w:noWrap/>
            <w:vAlign w:val="center"/>
          </w:tcPr>
          <w:p>
            <w:pPr>
              <w:spacing w:line="380" w:lineRule="exact"/>
              <w:rPr>
                <w:rFonts w:hint="eastAsia" w:ascii="宋体" w:hAnsi="宋体" w:eastAsia="宋体"/>
                <w:color w:val="auto"/>
                <w:sz w:val="24"/>
                <w:lang w:val="en-US" w:eastAsia="zh-CN"/>
              </w:rPr>
            </w:pPr>
            <w:r>
              <w:rPr>
                <w:rFonts w:hint="eastAsia" w:ascii="宋体" w:hAnsi="宋体" w:cs="宋体"/>
                <w:color w:val="auto"/>
                <w:sz w:val="24"/>
                <w:szCs w:val="24"/>
                <w:highlight w:val="none"/>
                <w:lang w:eastAsia="zh-CN"/>
              </w:rPr>
              <w:t>投标人或所投产品制造商</w:t>
            </w:r>
            <w:r>
              <w:rPr>
                <w:rFonts w:hint="eastAsia" w:ascii="宋体" w:hAnsi="宋体" w:cs="宋体"/>
                <w:color w:val="auto"/>
                <w:sz w:val="24"/>
                <w:szCs w:val="24"/>
                <w:highlight w:val="none"/>
              </w:rPr>
              <w:t>具有</w:t>
            </w:r>
            <w:r>
              <w:rPr>
                <w:rFonts w:hint="eastAsia" w:ascii="宋体" w:hAnsi="宋体" w:cs="宋体"/>
                <w:color w:val="auto"/>
                <w:sz w:val="24"/>
                <w:szCs w:val="24"/>
                <w:highlight w:val="none"/>
                <w:lang w:val="en-US" w:eastAsia="zh-CN"/>
              </w:rPr>
              <w:t>合格</w:t>
            </w:r>
            <w:r>
              <w:rPr>
                <w:rFonts w:hint="eastAsia" w:ascii="宋体" w:hAnsi="宋体" w:cs="宋体"/>
                <w:color w:val="auto"/>
                <w:sz w:val="24"/>
                <w:szCs w:val="24"/>
                <w:highlight w:val="none"/>
              </w:rPr>
              <w:t>标准产品标志证书的得1分；未提供不得分；满分1分。</w:t>
            </w:r>
            <w:r>
              <w:rPr>
                <w:rFonts w:hint="eastAsia" w:ascii="宋体" w:hAnsi="宋体" w:cs="Arial"/>
                <w:snapToGrid w:val="0"/>
                <w:color w:val="auto"/>
                <w:kern w:val="0"/>
                <w:sz w:val="24"/>
                <w:lang w:eastAsia="zh-CN"/>
              </w:rPr>
              <w:t>（</w:t>
            </w:r>
            <w:r>
              <w:rPr>
                <w:rFonts w:hint="eastAsia" w:ascii="宋体" w:hAnsi="宋体" w:cs="Arial"/>
                <w:snapToGrid w:val="0"/>
                <w:color w:val="auto"/>
                <w:kern w:val="0"/>
                <w:sz w:val="24"/>
                <w:lang w:val="en-US" w:eastAsia="zh-CN"/>
              </w:rPr>
              <w:t>需提供证书复印件加盖公章，原件备查，未提供的不得分</w:t>
            </w:r>
            <w:r>
              <w:rPr>
                <w:rFonts w:hint="eastAsia" w:ascii="宋体" w:hAnsi="宋体" w:cs="Arial"/>
                <w:snapToGrid w:val="0"/>
                <w:color w:val="auto"/>
                <w:kern w:val="0"/>
                <w:sz w:val="24"/>
                <w:lang w:eastAsia="zh-CN"/>
              </w:rPr>
              <w:t>）</w:t>
            </w:r>
          </w:p>
        </w:tc>
        <w:tc>
          <w:tcPr>
            <w:tcW w:w="801" w:type="dxa"/>
            <w:noWrap/>
            <w:vAlign w:val="center"/>
          </w:tcPr>
          <w:p>
            <w:pPr>
              <w:tabs>
                <w:tab w:val="left" w:pos="540"/>
                <w:tab w:val="left" w:pos="900"/>
              </w:tabs>
              <w:spacing w:line="500" w:lineRule="exact"/>
              <w:jc w:val="center"/>
              <w:rPr>
                <w:rFonts w:hint="eastAsia" w:ascii="宋体" w:hAnsi="宋体" w:eastAsia="宋体"/>
                <w:color w:val="auto"/>
                <w:sz w:val="24"/>
                <w:lang w:val="en-US" w:eastAsia="zh-CN"/>
              </w:rPr>
            </w:pPr>
            <w:r>
              <w:rPr>
                <w:rFonts w:hint="eastAsia" w:ascii="宋体" w:hAnsi="宋体" w:eastAsia="宋体"/>
                <w:color w:val="auto"/>
                <w:sz w:val="24"/>
                <w:lang w:val="en-US" w:eastAsia="zh-CN"/>
              </w:rPr>
              <w:t>1</w:t>
            </w:r>
            <w:r>
              <w:rPr>
                <w:rFonts w:hint="eastAsia" w:ascii="宋体" w:hAnsi="宋体" w:eastAsia="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53" w:type="dxa"/>
            <w:noWrap/>
            <w:vAlign w:val="center"/>
          </w:tcPr>
          <w:p>
            <w:pPr>
              <w:spacing w:line="500" w:lineRule="exact"/>
              <w:jc w:val="center"/>
              <w:rPr>
                <w:rFonts w:hint="eastAsia" w:ascii="宋体" w:hAnsi="Times New Roman"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1390" w:type="dxa"/>
            <w:noWrap/>
            <w:vAlign w:val="center"/>
          </w:tcPr>
          <w:p>
            <w:pPr>
              <w:widowControl/>
              <w:spacing w:line="5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企业业绩</w:t>
            </w:r>
          </w:p>
        </w:tc>
        <w:tc>
          <w:tcPr>
            <w:tcW w:w="6906" w:type="dxa"/>
            <w:noWrap/>
            <w:vAlign w:val="center"/>
          </w:tcPr>
          <w:p>
            <w:pPr>
              <w:widowControl/>
              <w:adjustRightInd w:val="0"/>
              <w:snapToGrid w:val="0"/>
              <w:spacing w:line="500" w:lineRule="exact"/>
              <w:rPr>
                <w:rFonts w:ascii="宋体" w:hAnsi="宋体" w:cs="宋体"/>
                <w:color w:val="auto"/>
                <w:kern w:val="0"/>
                <w:sz w:val="24"/>
                <w:szCs w:val="24"/>
                <w:highlight w:val="none"/>
              </w:rPr>
            </w:pPr>
            <w:r>
              <w:rPr>
                <w:rFonts w:hint="eastAsia" w:hAnsi="宋体" w:cs="宋体"/>
                <w:color w:val="auto"/>
                <w:kern w:val="0"/>
                <w:sz w:val="24"/>
                <w:szCs w:val="24"/>
                <w:highlight w:val="none"/>
              </w:rPr>
              <w:t>根据投标</w:t>
            </w:r>
            <w:r>
              <w:rPr>
                <w:rFonts w:hint="eastAsia" w:hAnsi="宋体" w:cs="宋体"/>
                <w:color w:val="auto"/>
                <w:kern w:val="0"/>
                <w:sz w:val="24"/>
                <w:szCs w:val="24"/>
                <w:highlight w:val="none"/>
                <w:lang w:val="en-US" w:eastAsia="zh-CN"/>
              </w:rPr>
              <w:t>人</w:t>
            </w:r>
            <w:r>
              <w:rPr>
                <w:rFonts w:hint="eastAsia" w:hAnsi="宋体" w:cs="宋体"/>
                <w:color w:val="auto"/>
                <w:kern w:val="0"/>
                <w:sz w:val="24"/>
                <w:szCs w:val="24"/>
                <w:highlight w:val="none"/>
              </w:rPr>
              <w:t>自2019年1月1日（日期以中标通知书日期为准）以来</w:t>
            </w:r>
            <w:r>
              <w:rPr>
                <w:rFonts w:hint="eastAsia" w:hAnsi="宋体" w:cs="宋体"/>
                <w:color w:val="auto"/>
                <w:kern w:val="0"/>
                <w:sz w:val="24"/>
                <w:szCs w:val="24"/>
                <w:highlight w:val="none"/>
                <w:lang w:val="en-US" w:eastAsia="zh-CN"/>
              </w:rPr>
              <w:t>类项目</w:t>
            </w:r>
            <w:r>
              <w:rPr>
                <w:rFonts w:hint="eastAsia" w:hAnsi="宋体" w:cs="宋体"/>
                <w:color w:val="auto"/>
                <w:kern w:val="0"/>
                <w:sz w:val="24"/>
                <w:szCs w:val="24"/>
                <w:highlight w:val="none"/>
              </w:rPr>
              <w:t>的业绩情况进行评分，每提供1份符合要求的业绩得0.5分，满分3分</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rPr>
              <w:t>投标人须同时提供该业绩项目的中标公告（提供相关网站中标公告的下载网页并注明网址）、中标通知书复印件、采购合同文本复印件，未提供或提供不全者不得分。</w:t>
            </w:r>
          </w:p>
        </w:tc>
        <w:tc>
          <w:tcPr>
            <w:tcW w:w="801" w:type="dxa"/>
            <w:noWrap/>
            <w:vAlign w:val="center"/>
          </w:tcPr>
          <w:p>
            <w:pPr>
              <w:tabs>
                <w:tab w:val="left" w:pos="540"/>
                <w:tab w:val="left" w:pos="900"/>
              </w:tabs>
              <w:spacing w:line="500" w:lineRule="exact"/>
              <w:jc w:val="center"/>
              <w:rPr>
                <w:rFonts w:ascii="宋体" w:hAnsi="宋体" w:cs="宋体"/>
                <w:color w:val="auto"/>
                <w:sz w:val="24"/>
                <w:szCs w:val="24"/>
                <w:highlight w:val="none"/>
              </w:rPr>
            </w:pPr>
            <w:r>
              <w:rPr>
                <w:rFonts w:ascii="宋体" w:hAnsi="宋体" w:cs="宋体"/>
                <w:bCs/>
                <w:color w:val="auto"/>
                <w:sz w:val="24"/>
                <w:szCs w:val="24"/>
                <w:highlight w:val="none"/>
              </w:rPr>
              <w:t>3</w:t>
            </w:r>
            <w:r>
              <w:rPr>
                <w:rFonts w:hint="eastAsia" w:ascii="宋体" w:hAnsi="宋体" w:cs="宋体"/>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3" w:type="dxa"/>
            <w:vMerge w:val="restart"/>
            <w:noWrap/>
            <w:vAlign w:val="center"/>
          </w:tcPr>
          <w:p>
            <w:pPr>
              <w:spacing w:line="500" w:lineRule="exact"/>
              <w:jc w:val="center"/>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390" w:type="dxa"/>
            <w:vMerge w:val="restart"/>
            <w:noWrap/>
            <w:vAlign w:val="center"/>
          </w:tcPr>
          <w:p>
            <w:pPr>
              <w:widowControl/>
              <w:adjustRightInd w:val="0"/>
              <w:snapToGrid w:val="0"/>
              <w:spacing w:line="500" w:lineRule="exact"/>
              <w:jc w:val="center"/>
              <w:rPr>
                <w:rFonts w:ascii="宋体" w:cs="宋体"/>
                <w:color w:val="auto"/>
                <w:sz w:val="24"/>
                <w:szCs w:val="24"/>
                <w:highlight w:val="none"/>
              </w:rPr>
            </w:pPr>
            <w:r>
              <w:rPr>
                <w:rFonts w:hint="eastAsia" w:ascii="宋体" w:hAnsi="宋体" w:cs="宋体"/>
                <w:color w:val="auto"/>
                <w:kern w:val="0"/>
                <w:sz w:val="24"/>
                <w:szCs w:val="24"/>
                <w:highlight w:val="none"/>
              </w:rPr>
              <w:t>产品的质量保障及环保情况</w:t>
            </w:r>
          </w:p>
        </w:tc>
        <w:tc>
          <w:tcPr>
            <w:tcW w:w="6906" w:type="dxa"/>
            <w:noWrap/>
          </w:tcPr>
          <w:p>
            <w:pPr>
              <w:spacing w:line="460" w:lineRule="exact"/>
              <w:rPr>
                <w:rFonts w:hint="default" w:ascii="宋体" w:eastAsia="宋体" w:cs="宋体"/>
                <w:color w:val="auto"/>
                <w:kern w:val="0"/>
                <w:sz w:val="24"/>
                <w:szCs w:val="24"/>
                <w:lang w:val="en-US" w:eastAsia="zh-CN"/>
              </w:rPr>
            </w:pPr>
            <w:r>
              <w:rPr>
                <w:rFonts w:hint="eastAsia" w:ascii="宋体" w:hAnsi="宋体"/>
                <w:color w:val="auto"/>
                <w:sz w:val="24"/>
                <w:lang w:val="en-US" w:eastAsia="zh-CN"/>
              </w:rPr>
              <w:t>投标人或所投产品制造商</w:t>
            </w:r>
            <w:r>
              <w:rPr>
                <w:rFonts w:hint="eastAsia" w:ascii="宋体" w:hAnsi="宋体"/>
                <w:color w:val="auto"/>
                <w:sz w:val="24"/>
              </w:rPr>
              <w:t>具有全国质量检验稳定合格产品证书的得1分</w:t>
            </w:r>
            <w:r>
              <w:rPr>
                <w:rFonts w:hint="eastAsia" w:ascii="宋体" w:hAnsi="宋体"/>
                <w:color w:val="auto"/>
                <w:sz w:val="24"/>
                <w:lang w:eastAsia="zh-CN"/>
              </w:rPr>
              <w:t>；</w:t>
            </w:r>
            <w:r>
              <w:rPr>
                <w:rFonts w:hint="eastAsia" w:ascii="宋体" w:hAnsi="宋体" w:cs="宋体"/>
                <w:color w:val="auto"/>
                <w:kern w:val="0"/>
                <w:sz w:val="24"/>
                <w:szCs w:val="24"/>
                <w:lang w:val="en-US" w:eastAsia="zh-CN"/>
              </w:rPr>
              <w:t>满分1分，</w:t>
            </w:r>
          </w:p>
          <w:p>
            <w:pPr>
              <w:spacing w:line="500" w:lineRule="exact"/>
              <w:rPr>
                <w:rFonts w:hint="eastAsia" w:ascii="宋体" w:eastAsia="宋体" w:cs="宋体"/>
                <w:snapToGrid w:val="0"/>
                <w:color w:val="auto"/>
                <w:kern w:val="0"/>
                <w:sz w:val="24"/>
                <w:szCs w:val="24"/>
                <w:highlight w:val="none"/>
                <w:lang w:eastAsia="zh-CN"/>
              </w:rPr>
            </w:pPr>
            <w:r>
              <w:rPr>
                <w:rFonts w:hint="eastAsia" w:ascii="宋体" w:hAnsi="宋体" w:cs="Arial"/>
                <w:snapToGrid w:val="0"/>
                <w:color w:val="auto"/>
                <w:kern w:val="0"/>
                <w:sz w:val="24"/>
                <w:lang w:eastAsia="zh-CN"/>
              </w:rPr>
              <w:t>（</w:t>
            </w:r>
            <w:r>
              <w:rPr>
                <w:rFonts w:hint="eastAsia" w:ascii="宋体" w:hAnsi="宋体" w:cs="Arial"/>
                <w:snapToGrid w:val="0"/>
                <w:color w:val="auto"/>
                <w:kern w:val="0"/>
                <w:sz w:val="24"/>
                <w:lang w:val="en-US" w:eastAsia="zh-CN"/>
              </w:rPr>
              <w:t>需提供证书复印件加盖公章，原件备查，未提供的不得分</w:t>
            </w:r>
            <w:r>
              <w:rPr>
                <w:rFonts w:hint="eastAsia" w:ascii="宋体" w:hAnsi="宋体" w:cs="Arial"/>
                <w:snapToGrid w:val="0"/>
                <w:color w:val="auto"/>
                <w:kern w:val="0"/>
                <w:sz w:val="24"/>
                <w:lang w:eastAsia="zh-CN"/>
              </w:rPr>
              <w:t>）</w:t>
            </w:r>
          </w:p>
        </w:tc>
        <w:tc>
          <w:tcPr>
            <w:tcW w:w="801" w:type="dxa"/>
            <w:noWrap/>
            <w:vAlign w:val="center"/>
          </w:tcPr>
          <w:p>
            <w:pPr>
              <w:spacing w:line="500" w:lineRule="exact"/>
              <w:jc w:val="center"/>
              <w:rPr>
                <w:rFonts w:ascii="宋体" w:cs="宋体"/>
                <w:color w:val="auto"/>
                <w:sz w:val="24"/>
                <w:szCs w:val="24"/>
                <w:highlight w:val="none"/>
              </w:rPr>
            </w:pPr>
            <w:r>
              <w:rPr>
                <w:rFonts w:hint="eastAsia" w:ascii="宋体" w:hAnsi="宋体" w:cs="宋体"/>
                <w:color w:val="auto"/>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3" w:type="dxa"/>
            <w:vMerge w:val="continue"/>
            <w:noWrap/>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p>
        </w:tc>
        <w:tc>
          <w:tcPr>
            <w:tcW w:w="1390" w:type="dxa"/>
            <w:vMerge w:val="continue"/>
            <w:noWrap/>
            <w:vAlign w:val="center"/>
          </w:tcPr>
          <w:p>
            <w:pPr>
              <w:spacing w:line="500" w:lineRule="exact"/>
              <w:rPr>
                <w:color w:val="auto"/>
                <w:highlight w:val="none"/>
              </w:rPr>
            </w:pPr>
          </w:p>
        </w:tc>
        <w:tc>
          <w:tcPr>
            <w:tcW w:w="6906" w:type="dxa"/>
            <w:noWrap/>
          </w:tcPr>
          <w:p>
            <w:pPr>
              <w:spacing w:line="370" w:lineRule="exact"/>
              <w:rPr>
                <w:rFonts w:hint="eastAsia" w:ascii="宋体" w:hAnsi="宋体" w:cs="宋体"/>
                <w:color w:val="auto"/>
                <w:kern w:val="0"/>
                <w:sz w:val="24"/>
                <w:szCs w:val="24"/>
              </w:rPr>
            </w:pPr>
            <w:r>
              <w:rPr>
                <w:rFonts w:hint="eastAsia" w:ascii="宋体" w:hAnsi="宋体" w:cs="Arial"/>
                <w:snapToGrid w:val="0"/>
                <w:color w:val="auto"/>
                <w:kern w:val="0"/>
                <w:sz w:val="24"/>
                <w:lang w:val="en-US" w:eastAsia="zh-CN"/>
              </w:rPr>
              <w:t>投标人或所投产品制造商</w:t>
            </w:r>
            <w:r>
              <w:rPr>
                <w:rFonts w:hint="eastAsia" w:ascii="宋体" w:hAnsi="宋体"/>
                <w:color w:val="auto"/>
                <w:sz w:val="24"/>
              </w:rPr>
              <w:t>具有中国绿色铸造示范企业证书的得</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s="Arial"/>
                <w:snapToGrid w:val="0"/>
                <w:color w:val="auto"/>
                <w:kern w:val="0"/>
                <w:sz w:val="24"/>
              </w:rPr>
              <w:t>；</w:t>
            </w:r>
            <w:r>
              <w:rPr>
                <w:rFonts w:hint="eastAsia" w:ascii="宋体" w:hAnsi="宋体" w:cs="宋体"/>
                <w:color w:val="auto"/>
                <w:kern w:val="0"/>
                <w:sz w:val="24"/>
                <w:szCs w:val="24"/>
              </w:rPr>
              <w:t>满分</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w:t>
            </w:r>
          </w:p>
          <w:p>
            <w:pPr>
              <w:spacing w:line="500" w:lineRule="exact"/>
              <w:rPr>
                <w:rFonts w:ascii="宋体" w:hAnsi="宋体"/>
                <w:color w:val="auto"/>
                <w:sz w:val="24"/>
                <w:highlight w:val="none"/>
              </w:rPr>
            </w:pPr>
            <w:r>
              <w:rPr>
                <w:rFonts w:hint="eastAsia" w:ascii="宋体" w:hAnsi="宋体" w:cs="Arial"/>
                <w:snapToGrid w:val="0"/>
                <w:color w:val="auto"/>
                <w:kern w:val="0"/>
                <w:sz w:val="24"/>
                <w:lang w:eastAsia="zh-CN"/>
              </w:rPr>
              <w:t>（</w:t>
            </w:r>
            <w:r>
              <w:rPr>
                <w:rFonts w:hint="eastAsia" w:ascii="宋体" w:hAnsi="宋体" w:cs="Arial"/>
                <w:snapToGrid w:val="0"/>
                <w:color w:val="auto"/>
                <w:kern w:val="0"/>
                <w:sz w:val="24"/>
                <w:lang w:val="en-US" w:eastAsia="zh-CN"/>
              </w:rPr>
              <w:t>需提供证书复印件加盖公章，原件备查，未提供的不得分</w:t>
            </w:r>
            <w:r>
              <w:rPr>
                <w:rFonts w:hint="eastAsia" w:ascii="宋体" w:hAnsi="宋体" w:cs="Arial"/>
                <w:snapToGrid w:val="0"/>
                <w:color w:val="auto"/>
                <w:kern w:val="0"/>
                <w:sz w:val="24"/>
                <w:lang w:eastAsia="zh-CN"/>
              </w:rPr>
              <w:t>）</w:t>
            </w:r>
          </w:p>
        </w:tc>
        <w:tc>
          <w:tcPr>
            <w:tcW w:w="801" w:type="dxa"/>
            <w:noWrap/>
            <w:vAlign w:val="center"/>
          </w:tcPr>
          <w:p>
            <w:pPr>
              <w:spacing w:line="500" w:lineRule="exact"/>
              <w:jc w:val="center"/>
              <w:rPr>
                <w:rFonts w:ascii="宋体" w:hAnsi="宋体"/>
                <w:color w:val="auto"/>
                <w:sz w:val="24"/>
                <w:highlight w:val="none"/>
              </w:rPr>
            </w:pPr>
            <w:r>
              <w:rPr>
                <w:rFonts w:hint="eastAsia" w:ascii="宋体" w:hAnsi="宋体" w:cs="宋体"/>
                <w:color w:val="auto"/>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53" w:type="dxa"/>
            <w:noWrap/>
            <w:vAlign w:val="center"/>
          </w:tcPr>
          <w:p>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390" w:type="dxa"/>
            <w:noWrap/>
            <w:vAlign w:val="center"/>
          </w:tcPr>
          <w:p>
            <w:pPr>
              <w:widowControl/>
              <w:adjustRightInd w:val="0"/>
              <w:snapToGrid w:val="0"/>
              <w:spacing w:line="50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产品的质保方案</w:t>
            </w:r>
          </w:p>
        </w:tc>
        <w:tc>
          <w:tcPr>
            <w:tcW w:w="6906" w:type="dxa"/>
            <w:noWrap/>
          </w:tcPr>
          <w:p>
            <w:pPr>
              <w:spacing w:line="500" w:lineRule="exact"/>
              <w:rPr>
                <w:rFonts w:ascii="宋体" w:hAnsi="宋体"/>
                <w:color w:val="auto"/>
                <w:sz w:val="24"/>
                <w:highlight w:val="none"/>
              </w:rPr>
            </w:pPr>
            <w:r>
              <w:rPr>
                <w:rFonts w:hint="eastAsia" w:ascii="宋体" w:hAnsi="宋体"/>
                <w:color w:val="auto"/>
                <w:sz w:val="24"/>
                <w:highlight w:val="none"/>
              </w:rPr>
              <w:t>投标人承诺的质保期满足招标文件要求的不得分，在满足招标文件要求的基础上，每增加</w:t>
            </w:r>
            <w:r>
              <w:rPr>
                <w:rFonts w:ascii="宋体" w:hAnsi="宋体"/>
                <w:color w:val="auto"/>
                <w:sz w:val="24"/>
                <w:highlight w:val="none"/>
              </w:rPr>
              <w:t>1</w:t>
            </w:r>
            <w:r>
              <w:rPr>
                <w:rFonts w:hint="eastAsia" w:ascii="宋体" w:hAnsi="宋体"/>
                <w:color w:val="auto"/>
                <w:sz w:val="24"/>
                <w:highlight w:val="none"/>
              </w:rPr>
              <w:t>年得</w:t>
            </w:r>
            <w:r>
              <w:rPr>
                <w:rFonts w:ascii="宋体" w:hAnsi="宋体"/>
                <w:color w:val="auto"/>
                <w:sz w:val="24"/>
                <w:highlight w:val="none"/>
              </w:rPr>
              <w:t>1</w:t>
            </w:r>
            <w:r>
              <w:rPr>
                <w:rFonts w:hint="eastAsia" w:ascii="宋体" w:hAnsi="宋体"/>
                <w:color w:val="auto"/>
                <w:sz w:val="24"/>
                <w:highlight w:val="none"/>
              </w:rPr>
              <w:t>分，</w:t>
            </w:r>
            <w:r>
              <w:rPr>
                <w:rFonts w:hint="eastAsia" w:ascii="宋体" w:hAnsi="宋体"/>
                <w:color w:val="auto"/>
                <w:sz w:val="24"/>
                <w:highlight w:val="none"/>
              </w:rPr>
              <w:t>满分</w:t>
            </w:r>
            <w:r>
              <w:rPr>
                <w:rFonts w:hint="eastAsia" w:ascii="宋体" w:hAnsi="宋体"/>
                <w:color w:val="auto"/>
                <w:sz w:val="24"/>
                <w:highlight w:val="none"/>
                <w:lang w:val="en-US" w:eastAsia="zh-CN"/>
              </w:rPr>
              <w:t>2</w:t>
            </w:r>
            <w:r>
              <w:rPr>
                <w:rFonts w:hint="eastAsia" w:ascii="宋体" w:hAnsi="宋体"/>
                <w:color w:val="auto"/>
                <w:sz w:val="24"/>
                <w:highlight w:val="none"/>
              </w:rPr>
              <w:t>分。</w:t>
            </w:r>
          </w:p>
        </w:tc>
        <w:tc>
          <w:tcPr>
            <w:tcW w:w="801" w:type="dxa"/>
            <w:noWrap/>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750" w:type="dxa"/>
            <w:gridSpan w:val="4"/>
            <w:noWrap/>
            <w:vAlign w:val="center"/>
          </w:tcPr>
          <w:p>
            <w:pPr>
              <w:spacing w:line="500" w:lineRule="exact"/>
              <w:jc w:val="left"/>
              <w:rPr>
                <w:rFonts w:ascii="宋体" w:cs="宋体"/>
                <w:bCs/>
                <w:color w:val="auto"/>
                <w:sz w:val="24"/>
                <w:szCs w:val="24"/>
                <w:highlight w:val="none"/>
              </w:rPr>
            </w:pPr>
            <w:r>
              <w:rPr>
                <w:rFonts w:hint="eastAsia" w:ascii="宋体" w:hAnsi="宋体" w:cs="宋体"/>
                <w:b/>
                <w:color w:val="auto"/>
                <w:sz w:val="24"/>
                <w:szCs w:val="24"/>
                <w:highlight w:val="none"/>
              </w:rPr>
              <w:t>注：投标人必须提交以上文件或证明的复印件，所有复印件应是最新（有效）、清晰，注明“与原件一致”并加盖投标人公章。</w:t>
            </w:r>
          </w:p>
        </w:tc>
      </w:tr>
    </w:tbl>
    <w:p>
      <w:pPr>
        <w:pStyle w:val="20"/>
        <w:widowControl/>
        <w:spacing w:line="500" w:lineRule="exact"/>
        <w:ind w:firstLine="480"/>
        <w:rPr>
          <w:rFonts w:ascii="宋体" w:hAnsi="宋体" w:cs="宋体"/>
          <w:color w:val="auto"/>
          <w:szCs w:val="24"/>
          <w:highlight w:val="none"/>
        </w:rPr>
      </w:pPr>
      <w:r>
        <w:rPr>
          <w:rFonts w:hint="eastAsia" w:ascii="宋体" w:hAnsi="宋体" w:cs="宋体"/>
          <w:color w:val="auto"/>
          <w:szCs w:val="24"/>
          <w:highlight w:val="none"/>
        </w:rPr>
        <w:t>④加分项（F4×A4）</w:t>
      </w:r>
    </w:p>
    <w:p>
      <w:pPr>
        <w:pStyle w:val="20"/>
        <w:widowControl/>
        <w:spacing w:line="500" w:lineRule="exact"/>
        <w:ind w:firstLine="480"/>
        <w:rPr>
          <w:rFonts w:ascii="宋体" w:hAnsi="宋体" w:cs="宋体"/>
          <w:color w:val="auto"/>
          <w:szCs w:val="24"/>
          <w:highlight w:val="none"/>
        </w:rPr>
      </w:pPr>
      <w:r>
        <w:rPr>
          <w:rFonts w:hint="eastAsia" w:ascii="宋体" w:hAnsi="宋体" w:cs="宋体"/>
          <w:color w:val="auto"/>
          <w:szCs w:val="24"/>
          <w:highlight w:val="none"/>
        </w:rPr>
        <w:t>a.优先类节能产品、环境标志产品：</w:t>
      </w:r>
    </w:p>
    <w:p>
      <w:pPr>
        <w:pStyle w:val="20"/>
        <w:widowControl/>
        <w:spacing w:line="500" w:lineRule="exact"/>
        <w:ind w:firstLine="480"/>
        <w:rPr>
          <w:rFonts w:ascii="宋体" w:hAnsi="宋体" w:cs="宋体"/>
          <w:color w:val="auto"/>
          <w:szCs w:val="24"/>
          <w:highlight w:val="none"/>
        </w:rPr>
      </w:pPr>
      <w:r>
        <w:rPr>
          <w:rFonts w:hint="eastAsia" w:ascii="宋体" w:hAnsi="宋体" w:cs="宋体"/>
          <w:color w:val="auto"/>
          <w:szCs w:val="24"/>
          <w:highlight w:val="none"/>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20"/>
        <w:widowControl/>
        <w:spacing w:line="50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a2若节能、环境标志产品仅是构成投标产品的部件、组件或零件，则该投标产品不享受鼓励优惠政策。同一品目中各认证证书不重复计算加分。强制类节能产品不享受加分。 </w:t>
      </w:r>
    </w:p>
    <w:tbl>
      <w:tblPr>
        <w:tblStyle w:val="2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2"/>
        <w:gridCol w:w="1020"/>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992" w:type="dxa"/>
            <w:noWrap/>
            <w:vAlign w:val="center"/>
          </w:tcPr>
          <w:p>
            <w:pPr>
              <w:widowControl/>
              <w:spacing w:line="50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评标项目</w:t>
            </w:r>
          </w:p>
        </w:tc>
        <w:tc>
          <w:tcPr>
            <w:tcW w:w="1020" w:type="dxa"/>
            <w:noWrap/>
            <w:vAlign w:val="center"/>
          </w:tcPr>
          <w:p>
            <w:pPr>
              <w:widowControl/>
              <w:spacing w:line="50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评标分值</w:t>
            </w:r>
          </w:p>
        </w:tc>
        <w:tc>
          <w:tcPr>
            <w:tcW w:w="7716" w:type="dxa"/>
            <w:noWrap/>
            <w:vAlign w:val="center"/>
          </w:tcPr>
          <w:p>
            <w:pPr>
              <w:widowControl/>
              <w:spacing w:line="50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2" w:type="dxa"/>
            <w:noWrap/>
            <w:vAlign w:val="center"/>
          </w:tcPr>
          <w:p>
            <w:pPr>
              <w:widowControl/>
              <w:spacing w:line="5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节能（非强制类产品）、环境标志产品部分加分标准</w:t>
            </w:r>
          </w:p>
        </w:tc>
        <w:tc>
          <w:tcPr>
            <w:tcW w:w="1020" w:type="dxa"/>
            <w:noWrap/>
            <w:vAlign w:val="center"/>
          </w:tcPr>
          <w:p>
            <w:pPr>
              <w:widowControl/>
              <w:spacing w:line="50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6.8</w:t>
            </w:r>
          </w:p>
        </w:tc>
        <w:tc>
          <w:tcPr>
            <w:tcW w:w="7716" w:type="dxa"/>
            <w:noWrap/>
            <w:vAlign w:val="center"/>
          </w:tcPr>
          <w:p>
            <w:pPr>
              <w:widowControl/>
              <w:spacing w:line="50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采用综合评分法时，同一合同包内的节能、环境标志产品报价总金额占本合同包报价总金额20%（含20%）以下的，给予价格评标项标准总分值4%的加分和技术评标项标准总分值4%的加分，同一合同包内的节能、环境标志产品报价总金额占本合同包报价总金额20%-50%（含50%），给予价格评标项标准总分值6%的加分和技术评标项标准总分值6%的加分，同一合同包内的节能、环境标志产品报价总金额占本合同包报价总金额50%以上，给予价格评标项标准总分值8%的加分和技术评标项标准总分值8%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widowControl/>
        <w:spacing w:line="500" w:lineRule="exact"/>
        <w:ind w:firstLine="360" w:firstLineChars="150"/>
        <w:jc w:val="left"/>
        <w:rPr>
          <w:rFonts w:ascii="宋体" w:hAnsi="宋体" w:cs="宋体"/>
          <w:b/>
          <w:bCs/>
          <w:color w:val="auto"/>
          <w:kern w:val="0"/>
          <w:sz w:val="24"/>
          <w:szCs w:val="24"/>
          <w:highlight w:val="none"/>
        </w:rPr>
      </w:pPr>
    </w:p>
    <w:p>
      <w:pPr>
        <w:widowControl/>
        <w:spacing w:line="500" w:lineRule="exact"/>
        <w:ind w:firstLine="360" w:firstLineChars="15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（4）中标候选人排列规则顺序如下： </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a. 按照评标总得分（FA）由高到低顺序排列。</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b. 评标总得分（FA）相同的，按照评标价（即价格扣除后的投标报价）由低到高顺序排列。 </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c. 评标总得分（FA）且评标价（即价格扣除后的投标报价）相同的并列。 </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5、其他规定</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5.1评标应全程保密且不得透露给任一投标人或与评标工作无关的人员。</w:t>
      </w:r>
    </w:p>
    <w:p>
      <w:pPr>
        <w:pStyle w:val="2"/>
        <w:spacing w:line="500" w:lineRule="exact"/>
        <w:ind w:firstLine="48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5.2评标将进行全程实时录音录像，录音录像资料随采购文件一并存档。</w:t>
      </w:r>
    </w:p>
    <w:p>
      <w:pPr>
        <w:widowControl/>
        <w:spacing w:line="5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5.3若投标人有任何试图干扰具体评标事务，影响评标委员会独立履行职责的行为，其投标无效且不予退还投标保证金。情节严重的，由财政部门列入不良行为记录。</w:t>
      </w:r>
    </w:p>
    <w:p>
      <w:pPr>
        <w:pStyle w:val="2"/>
        <w:spacing w:line="500" w:lineRule="exact"/>
        <w:ind w:firstLine="480" w:firstLineChars="200"/>
        <w:rPr>
          <w:rFonts w:ascii="宋体" w:hAnsi="宋体" w:eastAsia="宋体" w:cs="宋体"/>
          <w:b/>
          <w:bCs/>
          <w:color w:val="auto"/>
          <w:sz w:val="36"/>
          <w:szCs w:val="36"/>
          <w:highlight w:val="none"/>
        </w:rPr>
      </w:pPr>
      <w:r>
        <w:rPr>
          <w:rFonts w:hint="eastAsia" w:ascii="宋体" w:hAnsi="宋体" w:eastAsia="宋体" w:cs="宋体"/>
          <w:color w:val="auto"/>
          <w:kern w:val="0"/>
          <w:highlight w:val="none"/>
        </w:rPr>
        <w:t>5.4其他：无。</w:t>
      </w:r>
    </w:p>
    <w:p>
      <w:pPr>
        <w:spacing w:line="480" w:lineRule="exact"/>
        <w:jc w:val="center"/>
        <w:rPr>
          <w:rFonts w:ascii="宋体" w:hAnsi="宋体" w:cs="宋体"/>
          <w:b/>
          <w:bCs/>
          <w:color w:val="auto"/>
          <w:sz w:val="36"/>
          <w:szCs w:val="36"/>
          <w:highlight w:val="none"/>
        </w:rPr>
      </w:pPr>
    </w:p>
    <w:p>
      <w:pPr>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pPr>
        <w:spacing w:line="480" w:lineRule="exact"/>
        <w:jc w:val="center"/>
        <w:rPr>
          <w:rFonts w:ascii="宋体" w:hAnsi="宋体" w:cs="宋体"/>
          <w:b/>
          <w:bCs/>
          <w:color w:val="auto"/>
          <w:szCs w:val="24"/>
          <w:highlight w:val="none"/>
        </w:rPr>
      </w:pPr>
      <w:r>
        <w:rPr>
          <w:rFonts w:hint="eastAsia" w:ascii="宋体" w:hAnsi="宋体" w:cs="宋体"/>
          <w:b/>
          <w:bCs/>
          <w:color w:val="auto"/>
          <w:sz w:val="36"/>
          <w:szCs w:val="36"/>
          <w:highlight w:val="none"/>
        </w:rPr>
        <w:t>第五章 招标内容及要求</w:t>
      </w:r>
      <w:bookmarkStart w:id="4" w:name="_Toc8651"/>
    </w:p>
    <w:p>
      <w:pPr>
        <w:pStyle w:val="20"/>
        <w:widowControl/>
        <w:spacing w:line="480" w:lineRule="exact"/>
        <w:rPr>
          <w:rFonts w:ascii="宋体" w:hAnsi="宋体" w:cs="宋体"/>
          <w:b/>
          <w:bCs/>
          <w:color w:val="auto"/>
          <w:szCs w:val="24"/>
          <w:highlight w:val="none"/>
        </w:rPr>
      </w:pPr>
      <w:r>
        <w:rPr>
          <w:rFonts w:hint="eastAsia" w:ascii="宋体" w:hAnsi="宋体" w:cs="宋体"/>
          <w:b/>
          <w:bCs/>
          <w:color w:val="auto"/>
          <w:szCs w:val="24"/>
          <w:highlight w:val="none"/>
        </w:rPr>
        <w:t>一、项目概况</w:t>
      </w:r>
    </w:p>
    <w:p>
      <w:pPr>
        <w:spacing w:line="48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本项目为仙游县木兰溪流域农村生活污水提升治理项目（大济镇)管材甲供采购项目。投标人为本次采购项目提供的货物必须通过合法渠道获得，具有在中国境内的合法使用权和用户保护权，且要求货物及配件为原厂产品，货物的制造标准及技术规范等有关资料必须符合相关标准、规范要求。</w:t>
      </w:r>
    </w:p>
    <w:p>
      <w:pPr>
        <w:spacing w:line="48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2、投标人以合同包为单位投标报价，合同包内所有品目号内容投标时必须完整，评审与授标以合同包为单位。</w:t>
      </w:r>
    </w:p>
    <w:p>
      <w:pPr>
        <w:spacing w:line="48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本批项目采用固定综合单价进行单价包干据实结算，投标人须充分考虑交货期间生产材料价格上涨及市场销售价格上涨的风险，且该项风险在报价中须充分考虑。投标报价包括但不限于以下费用：包括设备材料费、运输、装卸、配合安装调试、保险费、专用工具费、采购保管、产品检验检测、税收、技术服务、保修、售后服务、备品备件、办理行业许可、配合采购人验收及其他相关伴随服务等一切费用。</w:t>
      </w:r>
    </w:p>
    <w:p>
      <w:pPr>
        <w:spacing w:line="480" w:lineRule="exact"/>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、投标人所投货物报价不得超过最高单价限价及合同包最高总价限价，投标报价超过最高限价的视为无效投标。</w:t>
      </w:r>
    </w:p>
    <w:p>
      <w:pPr>
        <w:numPr>
          <w:ilvl w:val="0"/>
          <w:numId w:val="8"/>
        </w:numPr>
        <w:spacing w:line="480" w:lineRule="exact"/>
        <w:textAlignment w:val="baseline"/>
        <w:rPr>
          <w:rFonts w:ascii="宋体" w:hAnsi="宋体" w:cs="宋体"/>
          <w:color w:val="auto"/>
          <w:sz w:val="24"/>
          <w:szCs w:val="24"/>
          <w:highlight w:val="none"/>
        </w:rPr>
      </w:pPr>
      <w:r>
        <w:rPr>
          <w:rFonts w:hint="eastAsia" w:ascii="宋体" w:hAnsi="宋体" w:cs="宋体"/>
          <w:b/>
          <w:color w:val="auto"/>
          <w:sz w:val="24"/>
          <w:szCs w:val="24"/>
          <w:highlight w:val="none"/>
        </w:rPr>
        <w:t>技术和服务要求(以“★”标示的内容为不允许负偏离的实质性要求）</w:t>
      </w:r>
    </w:p>
    <w:p>
      <w:pPr>
        <w:widowControl/>
        <w:numPr>
          <w:ilvl w:val="0"/>
          <w:numId w:val="9"/>
        </w:numPr>
        <w:spacing w:line="435" w:lineRule="atLeast"/>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技术参数要求：</w:t>
      </w:r>
    </w:p>
    <w:p>
      <w:pPr>
        <w:pStyle w:val="2"/>
        <w:ind w:firstLine="0"/>
        <w:rPr>
          <w:color w:val="auto"/>
          <w:highlight w:val="none"/>
        </w:rPr>
      </w:pPr>
    </w:p>
    <w:p>
      <w:pPr>
        <w:pStyle w:val="2"/>
        <w:ind w:firstLine="0"/>
        <w:rPr>
          <w:rFonts w:ascii="宋体" w:hAnsi="宋体" w:eastAsia="宋体" w:cs="宋体"/>
          <w:b/>
          <w:bCs/>
          <w:color w:val="auto"/>
          <w:kern w:val="0"/>
          <w:highlight w:val="none"/>
        </w:rPr>
      </w:pPr>
      <w:r>
        <w:rPr>
          <w:rFonts w:hint="eastAsia" w:ascii="宋体" w:hAnsi="宋体" w:eastAsia="宋体" w:cs="宋体"/>
          <w:b/>
          <w:bCs/>
          <w:color w:val="auto"/>
          <w:kern w:val="0"/>
          <w:highlight w:val="none"/>
        </w:rPr>
        <w:t>包1：采购货物一览表</w:t>
      </w:r>
    </w:p>
    <w:p>
      <w:pPr>
        <w:pStyle w:val="10"/>
        <w:spacing w:line="480" w:lineRule="exact"/>
        <w:ind w:firstLine="480" w:firstLineChars="200"/>
        <w:jc w:val="right"/>
        <w:rPr>
          <w:rFonts w:ascii="宋体" w:hAnsi="宋体" w:cs="宋体"/>
          <w:color w:val="auto"/>
          <w:kern w:val="0"/>
          <w:szCs w:val="21"/>
          <w:highlight w:val="none"/>
        </w:rPr>
      </w:pPr>
      <w:r>
        <w:rPr>
          <w:rFonts w:hint="eastAsia" w:ascii="宋体" w:hAnsi="宋体" w:cs="宋体"/>
          <w:color w:val="auto"/>
          <w:kern w:val="0"/>
          <w:szCs w:val="21"/>
          <w:highlight w:val="none"/>
        </w:rPr>
        <w:t>货币单位：人民币元</w:t>
      </w:r>
    </w:p>
    <w:tbl>
      <w:tblPr>
        <w:tblStyle w:val="22"/>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62"/>
        <w:gridCol w:w="2460"/>
        <w:gridCol w:w="505"/>
        <w:gridCol w:w="1630"/>
        <w:gridCol w:w="158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46" w:type="pct"/>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合同包</w:t>
            </w:r>
          </w:p>
        </w:tc>
        <w:tc>
          <w:tcPr>
            <w:tcW w:w="390" w:type="pct"/>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品目号</w:t>
            </w:r>
          </w:p>
        </w:tc>
        <w:tc>
          <w:tcPr>
            <w:tcW w:w="1261" w:type="pct"/>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59" w:type="pct"/>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36" w:type="pct"/>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预计采购数量</w:t>
            </w:r>
          </w:p>
        </w:tc>
        <w:tc>
          <w:tcPr>
            <w:tcW w:w="815"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含税</w:t>
            </w:r>
            <w:r>
              <w:rPr>
                <w:rFonts w:hint="eastAsia" w:ascii="宋体" w:hAnsi="宋体" w:eastAsia="宋体" w:cs="宋体"/>
                <w:b/>
                <w:color w:val="auto"/>
                <w:sz w:val="24"/>
                <w:szCs w:val="24"/>
                <w:highlight w:val="none"/>
              </w:rPr>
              <w:t>最高单价限价（元）</w:t>
            </w:r>
          </w:p>
        </w:tc>
        <w:tc>
          <w:tcPr>
            <w:tcW w:w="1090" w:type="pct"/>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p>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eastAsia="zh-CN"/>
              </w:rPr>
              <w:t>含税</w:t>
            </w:r>
            <w:r>
              <w:rPr>
                <w:rFonts w:hint="eastAsia" w:ascii="宋体" w:hAnsi="宋体" w:eastAsia="宋体" w:cs="宋体"/>
                <w:b/>
                <w:bCs/>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restart"/>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UPVC塑料无压埋地式排污管材DN110 </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139182</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23.89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3325057.98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DN110弯头45°</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28610</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7.21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206278.10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DN110弯头90°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5722</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9.23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52814.06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DN110直接</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11599</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4.86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56371.14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DN110清扫口(含管帽)</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26897</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7.57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203610.29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DN110检查井(含管帽)</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26897</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14.71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395654.87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DN110正三通</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4483</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13.58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60879.14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异径三通(DN160*DN110)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5302</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32.64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173057.28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UPVC塑料无压埋地式排污管材DN160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543425</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50.04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27192987.00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DN160弯头45°</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54343</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19.59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1064579.37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DN160弯头90°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27171</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29.56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803174.76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DN160直接</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45285</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10.98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497229.30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DN160清扫口(含管帽)</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26448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17.97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475270.56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DN160检查井(含管帽)</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26448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32.56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861146.88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DN160正三通</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4483</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39.17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175599.11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异径三通(DN200*DN160)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4483</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66.41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297716.03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UPVC塑料无压埋地式排污管材DN200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70409</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78.12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5500351.08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DN200弯头45°</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7041</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42.47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299031.27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DN200弯头90°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3520</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67.87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238902.40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DN200直接</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5867</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22.40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131420.80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DN200清扫口(含管帽)</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26448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26.64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704574.72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DN200三通</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11735</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88.79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1041950.65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补芯(110-200)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23.54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27612.42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偏心异接DN160*DN110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587</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14.32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8405.84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偏心异接DN200*DN160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20.35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19902.30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异径三通(DN200*DN160)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4408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68.92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303799.36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P型存水弯DN110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26448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27.65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731287.20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46" w:type="pct"/>
            <w:vMerge w:val="continue"/>
            <w:vAlign w:val="center"/>
          </w:tcPr>
          <w:p>
            <w:pPr>
              <w:spacing w:line="480" w:lineRule="exact"/>
              <w:ind w:right="-1801"/>
              <w:rPr>
                <w:rFonts w:hint="eastAsia" w:ascii="宋体" w:hAnsi="宋体" w:eastAsia="宋体" w:cs="宋体"/>
                <w:bCs/>
                <w:color w:val="auto"/>
                <w:sz w:val="24"/>
                <w:szCs w:val="24"/>
                <w:highlight w:val="none"/>
              </w:rPr>
            </w:pPr>
          </w:p>
        </w:tc>
        <w:tc>
          <w:tcPr>
            <w:tcW w:w="39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1261" w:type="pct"/>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S型存水弯DN110</w:t>
            </w:r>
          </w:p>
        </w:tc>
        <w:tc>
          <w:tcPr>
            <w:tcW w:w="25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836"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26448</w:t>
            </w:r>
          </w:p>
        </w:tc>
        <w:tc>
          <w:tcPr>
            <w:tcW w:w="1589"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u w:val="none"/>
                <w:lang w:val="en-US" w:eastAsia="zh-CN" w:bidi="ar"/>
              </w:rPr>
              <w:t xml:space="preserve">37.87 </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 xml:space="preserve">1001585.76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46" w:type="pct"/>
            <w:vAlign w:val="center"/>
          </w:tcPr>
          <w:p>
            <w:pPr>
              <w:spacing w:line="480" w:lineRule="exact"/>
              <w:ind w:right="-1801"/>
              <w:rPr>
                <w:rFonts w:hint="eastAsia" w:ascii="宋体" w:hAnsi="宋体" w:eastAsia="宋体" w:cs="宋体"/>
                <w:bCs/>
                <w:color w:val="auto"/>
                <w:sz w:val="24"/>
                <w:szCs w:val="24"/>
                <w:highlight w:val="none"/>
              </w:rPr>
            </w:pPr>
          </w:p>
        </w:tc>
        <w:tc>
          <w:tcPr>
            <w:tcW w:w="4653" w:type="pct"/>
            <w:gridSpan w:val="6"/>
            <w:vAlign w:val="center"/>
          </w:tcPr>
          <w:p>
            <w:pPr>
              <w:widowControl/>
              <w:ind w:right="880" w:firstLine="2400" w:firstLineChars="100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合同包1</w:t>
            </w:r>
            <w:r>
              <w:rPr>
                <w:rFonts w:hint="eastAsia" w:ascii="宋体" w:hAnsi="宋体" w:eastAsia="宋体" w:cs="宋体"/>
                <w:color w:val="auto"/>
                <w:kern w:val="0"/>
                <w:sz w:val="24"/>
                <w:szCs w:val="24"/>
                <w:highlight w:val="none"/>
                <w:lang w:eastAsia="zh-CN" w:bidi="ar"/>
              </w:rPr>
              <w:t>含税</w:t>
            </w:r>
            <w:r>
              <w:rPr>
                <w:rFonts w:hint="eastAsia" w:ascii="宋体" w:hAnsi="宋体" w:eastAsia="宋体" w:cs="宋体"/>
                <w:color w:val="auto"/>
                <w:kern w:val="0"/>
                <w:sz w:val="24"/>
                <w:szCs w:val="24"/>
                <w:highlight w:val="none"/>
                <w:lang w:bidi="ar"/>
              </w:rPr>
              <w:t>最高总价限价</w:t>
            </w:r>
            <w:r>
              <w:rPr>
                <w:rFonts w:hint="eastAsia" w:ascii="宋体" w:hAnsi="宋体" w:eastAsia="宋体" w:cs="宋体"/>
                <w:color w:val="auto"/>
                <w:kern w:val="0"/>
                <w:sz w:val="24"/>
                <w:szCs w:val="24"/>
                <w:highlight w:val="none"/>
                <w:lang w:bidi="ar"/>
              </w:rPr>
              <w:t>45850249.67</w:t>
            </w:r>
            <w:r>
              <w:rPr>
                <w:rFonts w:hint="eastAsia" w:ascii="宋体" w:hAnsi="宋体" w:eastAsia="宋体" w:cs="宋体"/>
                <w:color w:val="auto"/>
                <w:kern w:val="0"/>
                <w:sz w:val="24"/>
                <w:szCs w:val="24"/>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000" w:type="pct"/>
            <w:gridSpan w:val="7"/>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 </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1、投标人报价应含货到采购人指定地点运输的费用。</w:t>
            </w:r>
          </w:p>
          <w:p>
            <w:pPr>
              <w:widowControl/>
              <w:shd w:val="clear" w:color="auto" w:fill="FFFFFF"/>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2、</w:t>
            </w:r>
            <w:r>
              <w:rPr>
                <w:rFonts w:hint="eastAsia" w:ascii="宋体" w:hAnsi="宋体" w:eastAsia="宋体" w:cs="宋体"/>
                <w:b/>
                <w:bCs/>
                <w:color w:val="auto"/>
                <w:kern w:val="0"/>
                <w:sz w:val="24"/>
                <w:szCs w:val="24"/>
                <w:lang w:val="en-US" w:eastAsia="zh-CN" w:bidi="ar-SA"/>
              </w:rPr>
              <w:t>投标人无需填报单价，只需在控制价的基础上填写整体下浮点数（保留两位小数点）。各种规格的控制单价及总价均为含税价，详见招标文件第五章供货要求中“控制价清单”。</w:t>
            </w:r>
          </w:p>
          <w:p>
            <w:pPr>
              <w:spacing w:line="480" w:lineRule="exact"/>
              <w:ind w:right="-1801"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、为确保供货及时，</w:t>
            </w:r>
            <w:r>
              <w:rPr>
                <w:rFonts w:hint="eastAsia" w:ascii="宋体" w:hAnsi="宋体" w:eastAsia="宋体" w:cs="宋体"/>
                <w:b/>
                <w:color w:val="auto"/>
                <w:sz w:val="24"/>
                <w:szCs w:val="24"/>
                <w:highlight w:val="none"/>
                <w:lang w:eastAsia="zh-CN"/>
              </w:rPr>
              <w:t>中</w:t>
            </w:r>
            <w:r>
              <w:rPr>
                <w:rFonts w:hint="eastAsia" w:ascii="宋体" w:hAnsi="宋体" w:eastAsia="宋体" w:cs="宋体"/>
                <w:b/>
                <w:color w:val="auto"/>
                <w:sz w:val="24"/>
                <w:szCs w:val="24"/>
                <w:highlight w:val="none"/>
              </w:rPr>
              <w:t>标人</w:t>
            </w:r>
            <w:r>
              <w:rPr>
                <w:rFonts w:hint="eastAsia" w:ascii="宋体" w:hAnsi="宋体" w:eastAsia="宋体" w:cs="宋体"/>
                <w:b/>
                <w:color w:val="auto"/>
                <w:sz w:val="24"/>
                <w:szCs w:val="24"/>
                <w:highlight w:val="none"/>
                <w:lang w:eastAsia="zh-CN"/>
              </w:rPr>
              <w:t>应在仙游县大济镇境内设置仓库点，</w:t>
            </w:r>
            <w:r>
              <w:rPr>
                <w:rFonts w:hint="eastAsia" w:ascii="宋体" w:hAnsi="宋体" w:eastAsia="宋体" w:cs="宋体"/>
                <w:b/>
                <w:color w:val="auto"/>
                <w:sz w:val="24"/>
                <w:szCs w:val="24"/>
                <w:highlight w:val="none"/>
              </w:rPr>
              <w:t>采购人在签订中标合</w:t>
            </w:r>
          </w:p>
          <w:p>
            <w:pPr>
              <w:spacing w:line="480" w:lineRule="exact"/>
              <w:ind w:right="-180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同前有权对</w:t>
            </w:r>
            <w:r>
              <w:rPr>
                <w:rFonts w:hint="eastAsia" w:ascii="宋体" w:hAnsi="宋体" w:eastAsia="宋体" w:cs="宋体"/>
                <w:b/>
                <w:color w:val="auto"/>
                <w:sz w:val="24"/>
                <w:szCs w:val="24"/>
                <w:highlight w:val="none"/>
                <w:lang w:eastAsia="zh-CN"/>
              </w:rPr>
              <w:t>中</w:t>
            </w:r>
            <w:r>
              <w:rPr>
                <w:rFonts w:hint="eastAsia" w:ascii="宋体" w:hAnsi="宋体" w:eastAsia="宋体" w:cs="宋体"/>
                <w:b/>
                <w:color w:val="auto"/>
                <w:sz w:val="24"/>
                <w:szCs w:val="24"/>
                <w:highlight w:val="none"/>
              </w:rPr>
              <w:t>标人仓储点实地查实</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如不属实将取消中标资格，且没收投标保证金。</w:t>
            </w:r>
          </w:p>
          <w:p>
            <w:pPr>
              <w:spacing w:line="480" w:lineRule="exact"/>
              <w:ind w:right="-1801"/>
              <w:rPr>
                <w:rFonts w:hint="eastAsia" w:ascii="宋体" w:hAnsi="宋体" w:eastAsia="宋体" w:cs="宋体"/>
                <w:color w:val="auto"/>
                <w:sz w:val="24"/>
                <w:szCs w:val="24"/>
                <w:highlight w:val="none"/>
              </w:rPr>
            </w:pPr>
          </w:p>
          <w:p>
            <w:pPr>
              <w:widowControl/>
              <w:spacing w:after="150" w:line="495" w:lineRule="atLeas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包</w:t>
            </w: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：技术参数要求：</w:t>
            </w:r>
          </w:p>
          <w:p>
            <w:pPr>
              <w:widowControl/>
              <w:spacing w:after="150" w:line="495" w:lineRule="atLeas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一：设 计、制造与检验标准</w:t>
            </w:r>
          </w:p>
          <w:p>
            <w:pPr>
              <w:widowControl/>
              <w:spacing w:after="150" w:line="495" w:lineRule="atLeas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 应符合GBT20221-2006无压埋地排污要求；</w:t>
            </w:r>
          </w:p>
          <w:p>
            <w:pPr>
              <w:widowControl/>
              <w:spacing w:after="150" w:line="495" w:lineRule="atLeas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 以及不低于上述标准的其他国际标准；</w:t>
            </w:r>
          </w:p>
          <w:p>
            <w:pPr>
              <w:widowControl/>
              <w:spacing w:after="150" w:line="495" w:lineRule="atLeas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：UPVC塑料排水管参照【GB/20221-2006 无压埋地排污</w:t>
            </w:r>
            <w:r>
              <w:rPr>
                <w:rFonts w:hint="eastAsia" w:ascii="宋体" w:hAnsi="宋体" w:cs="宋体"/>
                <w:color w:val="auto"/>
                <w:sz w:val="24"/>
                <w:szCs w:val="24"/>
                <w:highlight w:val="none"/>
                <w:lang w:eastAsia="zh-CN"/>
              </w:rPr>
              <w:t>用</w:t>
            </w:r>
            <w:r>
              <w:rPr>
                <w:rFonts w:hint="eastAsia" w:ascii="宋体" w:hAnsi="宋体" w:eastAsia="宋体" w:cs="宋体"/>
                <w:color w:val="auto"/>
                <w:sz w:val="24"/>
                <w:szCs w:val="24"/>
                <w:highlight w:val="none"/>
              </w:rPr>
              <w:t>硬聚氯乙烯（PVC）管材】国家标准进行检测（检测满足以下要求）</w:t>
            </w:r>
          </w:p>
          <w:p>
            <w:pPr>
              <w:pStyle w:val="8"/>
              <w:numPr>
                <w:ilvl w:val="0"/>
                <w:numId w:val="0"/>
              </w:numPr>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▲1.环刚度KN/m²≥</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KN/㎡</w:t>
            </w:r>
          </w:p>
          <w:p>
            <w:pPr>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维卡软化温度≥79℃</w:t>
            </w:r>
          </w:p>
          <w:p>
            <w:pPr>
              <w:pStyle w:val="8"/>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纵向回缩率（150℃，60min）≤5%（管材表明应无气泡和裂痕）</w:t>
            </w:r>
          </w:p>
          <w:p>
            <w:pPr>
              <w:pStyle w:val="8"/>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密度≤1.55g/cm³</w:t>
            </w:r>
          </w:p>
          <w:p>
            <w:pPr>
              <w:numPr>
                <w:ilvl w:val="0"/>
                <w:numId w:val="0"/>
              </w:numPr>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▲5.落锤冲击试验TIR(0℃,1.6Kg,2m）≤10%</w:t>
            </w:r>
          </w:p>
          <w:p>
            <w:pPr>
              <w:pStyle w:val="8"/>
              <w:numPr>
                <w:ilvl w:val="0"/>
                <w:numId w:val="0"/>
              </w:num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二氯甲烷浸渍（12%，30min） 表面无变化</w:t>
            </w:r>
          </w:p>
          <w:p>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：排污管管件参照【GB/T 5836-2-2018 《建筑排水用聚硬乙烯（PVC）管件 】国家标准进行检测</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（检测满足以下要求）</w:t>
            </w:r>
          </w:p>
          <w:p>
            <w:pPr>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密度  1350~1550 KG/m³</w:t>
            </w:r>
          </w:p>
          <w:p>
            <w:pPr>
              <w:pStyle w:val="8"/>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维卡软化温度≥74</w:t>
            </w:r>
          </w:p>
          <w:p>
            <w:pPr>
              <w:numPr>
                <w:ilvl w:val="0"/>
                <w:numId w:val="0"/>
              </w:numPr>
              <w:ind w:firstLine="210" w:firstLineChars="100"/>
              <w:rPr>
                <w:rFonts w:hint="eastAsia" w:ascii="宋体" w:hAnsi="宋体" w:eastAsia="宋体" w:cs="宋体"/>
                <w:color w:val="auto"/>
                <w:sz w:val="24"/>
                <w:szCs w:val="24"/>
                <w:highlight w:val="none"/>
              </w:rPr>
            </w:pPr>
            <w:r>
              <w:rPr>
                <w:rFonts w:hint="eastAsia" w:ascii="宋体" w:hAnsi="宋体"/>
                <w:color w:val="auto"/>
                <w:szCs w:val="21"/>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坠落试验（0℃，1h,1m）无破裂</w:t>
            </w:r>
          </w:p>
          <w:p>
            <w:pPr>
              <w:pStyle w:val="8"/>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铅限量mg/kg </w:t>
            </w:r>
            <w:r>
              <w:rPr>
                <w:rFonts w:hint="eastAsia" w:ascii="宋体" w:hAnsi="宋体" w:cs="宋体"/>
                <w:color w:val="auto"/>
                <w:kern w:val="0"/>
                <w:sz w:val="24"/>
                <w:szCs w:val="24"/>
                <w:highlight w:val="none"/>
              </w:rPr>
              <w:t>≤</w:t>
            </w:r>
            <w:r>
              <w:rPr>
                <w:rFonts w:hint="eastAsia" w:ascii="宋体" w:hAnsi="宋体" w:eastAsia="宋体" w:cs="宋体"/>
                <w:color w:val="auto"/>
                <w:sz w:val="24"/>
                <w:szCs w:val="24"/>
                <w:highlight w:val="none"/>
              </w:rPr>
              <w:t>200</w:t>
            </w:r>
          </w:p>
          <w:p>
            <w:pPr>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烘烤试验（150℃，30min）</w:t>
            </w:r>
          </w:p>
          <w:p>
            <w:pPr>
              <w:widowControl/>
              <w:shd w:val="clear" w:color="auto" w:fill="FFFFFF"/>
              <w:spacing w:line="44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四、</w:t>
            </w:r>
            <w:r>
              <w:rPr>
                <w:rFonts w:hint="eastAsia" w:ascii="宋体" w:hAnsi="宋体" w:cs="宋体"/>
                <w:color w:val="auto"/>
                <w:kern w:val="0"/>
                <w:sz w:val="24"/>
                <w:szCs w:val="24"/>
                <w:highlight w:val="none"/>
              </w:rPr>
              <w:t>标志和保护</w:t>
            </w:r>
          </w:p>
          <w:p>
            <w:pPr>
              <w:widowControl/>
              <w:shd w:val="clear" w:color="auto" w:fill="FFFFFF"/>
              <w:spacing w:line="440" w:lineRule="atLeast"/>
              <w:ind w:firstLine="210" w:firstLineChars="100"/>
              <w:jc w:val="left"/>
              <w:rPr>
                <w:rFonts w:ascii="宋体" w:hAnsi="宋体" w:cs="宋体"/>
                <w:color w:val="auto"/>
                <w:kern w:val="0"/>
                <w:sz w:val="24"/>
                <w:szCs w:val="24"/>
                <w:highlight w:val="none"/>
              </w:rPr>
            </w:pPr>
            <w:r>
              <w:rPr>
                <w:rFonts w:hint="eastAsia" w:ascii="宋体" w:hAnsi="宋体"/>
                <w:color w:val="auto"/>
                <w:szCs w:val="21"/>
                <w:highlight w:val="none"/>
              </w:rPr>
              <w:t>▲</w:t>
            </w:r>
            <w:r>
              <w:rPr>
                <w:rFonts w:hint="eastAsia" w:ascii="宋体" w:hAnsi="宋体" w:cs="宋体"/>
                <w:color w:val="auto"/>
                <w:kern w:val="0"/>
                <w:sz w:val="24"/>
                <w:szCs w:val="24"/>
                <w:highlight w:val="none"/>
              </w:rPr>
              <w:t>（1）管材外表面要有生产厂永久的喷码标志，且喷码间距不超过2m。</w:t>
            </w:r>
          </w:p>
          <w:p>
            <w:pPr>
              <w:widowControl/>
              <w:shd w:val="clear" w:color="auto" w:fill="FFFFFF"/>
              <w:spacing w:line="440" w:lineRule="atLeas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标志必须具有以下内容：生产厂名和商标；公称外径；标准尺寸比。</w:t>
            </w:r>
          </w:p>
          <w:p>
            <w:pPr>
              <w:widowControl/>
              <w:numPr>
                <w:ilvl w:val="0"/>
                <w:numId w:val="10"/>
              </w:numPr>
              <w:shd w:val="clear" w:color="auto" w:fill="FFFFFF"/>
              <w:spacing w:line="440" w:lineRule="atLeast"/>
              <w:ind w:firstLine="240" w:firstLineChars="1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每根管道应有管端保护。</w:t>
            </w:r>
          </w:p>
          <w:p>
            <w:pPr>
              <w:pStyle w:val="8"/>
              <w:rPr>
                <w:rFonts w:hint="eastAsia" w:ascii="宋体" w:hAnsi="宋体" w:eastAsia="宋体" w:cs="宋体"/>
                <w:color w:val="auto"/>
                <w:sz w:val="24"/>
                <w:szCs w:val="24"/>
                <w:highlight w:val="none"/>
              </w:rPr>
            </w:pPr>
            <w:r>
              <w:rPr>
                <w:rFonts w:hint="eastAsia" w:ascii="宋体" w:hAnsi="宋体"/>
                <w:color w:val="auto"/>
                <w:szCs w:val="21"/>
                <w:highlight w:val="none"/>
              </w:rPr>
              <w:t>▲</w:t>
            </w:r>
            <w:r>
              <w:rPr>
                <w:rFonts w:hint="eastAsia" w:ascii="宋体" w:hAnsi="宋体" w:eastAsia="宋体" w:cs="宋体"/>
                <w:color w:val="auto"/>
                <w:sz w:val="24"/>
                <w:szCs w:val="24"/>
                <w:highlight w:val="none"/>
              </w:rPr>
              <w:t>注射点周围:在以 15 倍壁厚为半径的范围内，开裂、脱层或气泡的深度应不大于该处壁厚的 50%。</w:t>
            </w:r>
          </w:p>
          <w:p>
            <w:pPr>
              <w:ind w:firstLine="420" w:firstLineChars="200"/>
              <w:rPr>
                <w:rFonts w:hint="eastAsia" w:ascii="宋体" w:hAnsi="宋体" w:eastAsia="宋体" w:cs="宋体"/>
                <w:color w:val="auto"/>
                <w:sz w:val="24"/>
                <w:szCs w:val="24"/>
                <w:highlight w:val="none"/>
              </w:rPr>
            </w:pPr>
            <w:r>
              <w:rPr>
                <w:rFonts w:hint="eastAsia" w:ascii="宋体" w:hAnsi="宋体"/>
                <w:color w:val="auto"/>
                <w:szCs w:val="21"/>
                <w:highlight w:val="none"/>
              </w:rPr>
              <w:t>▲</w:t>
            </w:r>
            <w:r>
              <w:rPr>
                <w:rFonts w:hint="eastAsia" w:ascii="宋体" w:hAnsi="宋体" w:eastAsia="宋体" w:cs="宋体"/>
                <w:color w:val="auto"/>
                <w:sz w:val="24"/>
                <w:szCs w:val="24"/>
                <w:highlight w:val="none"/>
              </w:rPr>
              <w:t>对于隔膜式浇口注射试样:任一开裂、脱层或气泡应在距隔膜区域 10 倍壁厚的范围内，且深度应不大于该处壁厚的50%。对于环形浇口注射试样:试样壁内任一开裂应在距离浇口 10倍壁厚的范围内，如果开裂深入环形浇口的整个壁厚，其长度应不大于壁厚的 50%。对于有熔接缝的试样:任一熔接处部分开裂深度应不大于壁厚的 50%对于注射试样的所有其他外表面，开裂与脱层深度应不大于壁厚的 30%，试样壁内气泡长度应不大于壁厚的 10 倍。</w:t>
            </w:r>
          </w:p>
          <w:p>
            <w:pPr>
              <w:rPr>
                <w:rFonts w:hint="eastAsia" w:ascii="宋体" w:hAnsi="宋体" w:eastAsia="宋体" w:cs="宋体"/>
                <w:color w:val="auto"/>
                <w:sz w:val="24"/>
                <w:szCs w:val="24"/>
                <w:highlight w:val="none"/>
              </w:rPr>
            </w:pPr>
          </w:p>
        </w:tc>
      </w:tr>
    </w:tbl>
    <w:p>
      <w:pPr>
        <w:pStyle w:val="19"/>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包2：采购货物一览表 </w:t>
      </w:r>
    </w:p>
    <w:p>
      <w:pPr>
        <w:pStyle w:val="10"/>
        <w:spacing w:line="480" w:lineRule="exact"/>
        <w:ind w:firstLine="480" w:firstLineChars="200"/>
        <w:jc w:val="right"/>
        <w:rPr>
          <w:rFonts w:hint="eastAsia" w:ascii="宋体" w:hAnsi="宋体" w:cs="宋体"/>
          <w:color w:val="auto"/>
          <w:kern w:val="0"/>
          <w:sz w:val="24"/>
          <w:szCs w:val="24"/>
          <w:highlight w:val="none"/>
        </w:rPr>
      </w:pPr>
      <w:r>
        <w:rPr>
          <w:rFonts w:hint="eastAsia" w:ascii="宋体" w:hAnsi="宋体" w:cs="宋体"/>
          <w:color w:val="auto"/>
          <w:kern w:val="0"/>
          <w:szCs w:val="21"/>
          <w:highlight w:val="none"/>
        </w:rPr>
        <w:t>货币单位：人民币元</w:t>
      </w:r>
    </w:p>
    <w:tbl>
      <w:tblPr>
        <w:tblStyle w:val="22"/>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97"/>
        <w:gridCol w:w="2753"/>
        <w:gridCol w:w="882"/>
        <w:gridCol w:w="1156"/>
        <w:gridCol w:w="127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1"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合同包</w:t>
            </w:r>
          </w:p>
        </w:tc>
        <w:tc>
          <w:tcPr>
            <w:tcW w:w="506"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品目号</w:t>
            </w:r>
          </w:p>
        </w:tc>
        <w:tc>
          <w:tcPr>
            <w:tcW w:w="1397"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447"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586"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预计采购数量</w:t>
            </w:r>
          </w:p>
        </w:tc>
        <w:tc>
          <w:tcPr>
            <w:tcW w:w="647" w:type="pct"/>
            <w:noWrap/>
            <w:vAlign w:val="center"/>
          </w:tcPr>
          <w:p>
            <w:pPr>
              <w:pStyle w:val="10"/>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含税最高单价限价</w:t>
            </w:r>
            <w:r>
              <w:rPr>
                <w:rFonts w:hint="eastAsia" w:ascii="宋体" w:hAnsi="宋体" w:eastAsia="宋体" w:cs="宋体"/>
                <w:b/>
                <w:color w:val="auto"/>
                <w:sz w:val="24"/>
                <w:szCs w:val="24"/>
                <w:highlight w:val="none"/>
              </w:rPr>
              <w:t>（元）</w:t>
            </w:r>
          </w:p>
        </w:tc>
        <w:tc>
          <w:tcPr>
            <w:tcW w:w="891" w:type="pct"/>
            <w:noWrap/>
            <w:vAlign w:val="center"/>
          </w:tcPr>
          <w:p>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合计</w:t>
            </w:r>
          </w:p>
          <w:p>
            <w:pPr>
              <w:pStyle w:val="10"/>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21" w:type="pct"/>
            <w:vMerge w:val="restart"/>
            <w:noWrap/>
            <w:vAlign w:val="center"/>
          </w:tcPr>
          <w:p>
            <w:pPr>
              <w:pStyle w:val="1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6" w:type="pct"/>
            <w:noWrap/>
            <w:vAlign w:val="center"/>
          </w:tcPr>
          <w:p>
            <w:pPr>
              <w:pStyle w:val="1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397" w:type="pct"/>
            <w:noWrap/>
            <w:vAlign w:val="center"/>
          </w:tcPr>
          <w:p>
            <w:pPr>
              <w:widowControl/>
              <w:spacing w:line="48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玻璃钢夹砂管DN300(SN8)</w:t>
            </w:r>
          </w:p>
        </w:tc>
        <w:tc>
          <w:tcPr>
            <w:tcW w:w="447" w:type="pct"/>
            <w:noWrap/>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586" w:type="pct"/>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47837</w:t>
            </w:r>
          </w:p>
        </w:tc>
        <w:tc>
          <w:tcPr>
            <w:tcW w:w="647" w:type="pct"/>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214.72</w:t>
            </w:r>
          </w:p>
        </w:tc>
        <w:tc>
          <w:tcPr>
            <w:tcW w:w="1756" w:type="dxa"/>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10271560.64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1" w:type="pct"/>
            <w:vMerge w:val="continue"/>
            <w:noWrap/>
            <w:vAlign w:val="center"/>
          </w:tcPr>
          <w:p>
            <w:pPr>
              <w:pStyle w:val="10"/>
              <w:spacing w:line="480" w:lineRule="exact"/>
              <w:jc w:val="center"/>
              <w:rPr>
                <w:rFonts w:hint="eastAsia" w:ascii="宋体" w:hAnsi="宋体" w:eastAsia="宋体" w:cs="宋体"/>
                <w:color w:val="auto"/>
                <w:sz w:val="24"/>
                <w:szCs w:val="24"/>
                <w:highlight w:val="none"/>
              </w:rPr>
            </w:pPr>
          </w:p>
        </w:tc>
        <w:tc>
          <w:tcPr>
            <w:tcW w:w="506" w:type="pct"/>
            <w:noWrap/>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397" w:type="pct"/>
            <w:noWrap/>
            <w:vAlign w:val="center"/>
          </w:tcPr>
          <w:p>
            <w:pPr>
              <w:widowControl/>
              <w:spacing w:line="48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玻璃钢夹砂管DN400(SN8)</w:t>
            </w:r>
          </w:p>
        </w:tc>
        <w:tc>
          <w:tcPr>
            <w:tcW w:w="447" w:type="pct"/>
            <w:noWrap/>
            <w:vAlign w:val="center"/>
          </w:tcPr>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586" w:type="pct"/>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3211</w:t>
            </w:r>
          </w:p>
        </w:tc>
        <w:tc>
          <w:tcPr>
            <w:tcW w:w="647" w:type="pct"/>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323.36</w:t>
            </w:r>
          </w:p>
        </w:tc>
        <w:tc>
          <w:tcPr>
            <w:tcW w:w="1756" w:type="dxa"/>
            <w:noWrap/>
            <w:vAlign w:val="center"/>
          </w:tcPr>
          <w:p>
            <w:pPr>
              <w:pStyle w:val="1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1038308.96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7"/>
            <w:noWrap/>
            <w:vAlign w:val="center"/>
          </w:tcPr>
          <w:p>
            <w:pPr>
              <w:pStyle w:val="10"/>
              <w:spacing w:line="48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合同包2</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最高总价限价11309869.6</w:t>
            </w:r>
            <w:r>
              <w:rPr>
                <w:rFonts w:hint="eastAsia" w:ascii="宋体" w:hAnsi="宋体" w:eastAsia="宋体" w:cs="宋体"/>
                <w:color w:val="auto"/>
                <w:sz w:val="24"/>
                <w:szCs w:val="24"/>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7"/>
            <w:noWrap/>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 </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1、投标人报价应含货到采购人指定地点运输的费用。</w:t>
            </w:r>
          </w:p>
          <w:p>
            <w:pPr>
              <w:widowControl/>
              <w:shd w:val="clear" w:color="auto" w:fill="FFFFFF"/>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2、</w:t>
            </w:r>
            <w:r>
              <w:rPr>
                <w:rFonts w:hint="eastAsia" w:ascii="宋体" w:hAnsi="宋体" w:eastAsia="宋体" w:cs="宋体"/>
                <w:b/>
                <w:bCs/>
                <w:color w:val="auto"/>
                <w:kern w:val="0"/>
                <w:sz w:val="24"/>
                <w:szCs w:val="24"/>
                <w:lang w:val="en-US" w:eastAsia="zh-CN" w:bidi="ar-SA"/>
              </w:rPr>
              <w:t>投标人无需填报单价，只需在控制价的基础上填写整体下浮点数（保留两位小数点）。各种规格的控制单价及总价均为含税价，详见招标文件第五章供货要求中“控制价清单”。</w:t>
            </w:r>
          </w:p>
          <w:p>
            <w:pPr>
              <w:spacing w:line="480" w:lineRule="exact"/>
              <w:ind w:right="-1801"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、为确保供货及时，</w:t>
            </w:r>
            <w:r>
              <w:rPr>
                <w:rFonts w:hint="eastAsia" w:ascii="宋体" w:hAnsi="宋体" w:eastAsia="宋体" w:cs="宋体"/>
                <w:b/>
                <w:color w:val="auto"/>
                <w:sz w:val="24"/>
                <w:szCs w:val="24"/>
                <w:highlight w:val="none"/>
                <w:lang w:eastAsia="zh-CN"/>
              </w:rPr>
              <w:t>中</w:t>
            </w:r>
            <w:r>
              <w:rPr>
                <w:rFonts w:hint="eastAsia" w:ascii="宋体" w:hAnsi="宋体" w:eastAsia="宋体" w:cs="宋体"/>
                <w:b/>
                <w:color w:val="auto"/>
                <w:sz w:val="24"/>
                <w:szCs w:val="24"/>
                <w:highlight w:val="none"/>
              </w:rPr>
              <w:t>标人</w:t>
            </w:r>
            <w:r>
              <w:rPr>
                <w:rFonts w:hint="eastAsia" w:ascii="宋体" w:hAnsi="宋体" w:eastAsia="宋体" w:cs="宋体"/>
                <w:b/>
                <w:color w:val="auto"/>
                <w:sz w:val="24"/>
                <w:szCs w:val="24"/>
                <w:highlight w:val="none"/>
                <w:lang w:eastAsia="zh-CN"/>
              </w:rPr>
              <w:t>应在仙游县大济镇境内设置仓库点，</w:t>
            </w:r>
            <w:r>
              <w:rPr>
                <w:rFonts w:hint="eastAsia" w:ascii="宋体" w:hAnsi="宋体" w:eastAsia="宋体" w:cs="宋体"/>
                <w:b/>
                <w:color w:val="auto"/>
                <w:sz w:val="24"/>
                <w:szCs w:val="24"/>
                <w:highlight w:val="none"/>
              </w:rPr>
              <w:t>采购人在签订中标合同前有权对</w:t>
            </w:r>
            <w:r>
              <w:rPr>
                <w:rFonts w:hint="eastAsia" w:ascii="宋体" w:hAnsi="宋体" w:eastAsia="宋体" w:cs="宋体"/>
                <w:b/>
                <w:color w:val="auto"/>
                <w:sz w:val="24"/>
                <w:szCs w:val="24"/>
                <w:highlight w:val="none"/>
                <w:lang w:eastAsia="zh-CN"/>
              </w:rPr>
              <w:t>中</w:t>
            </w:r>
            <w:r>
              <w:rPr>
                <w:rFonts w:hint="eastAsia" w:ascii="宋体" w:hAnsi="宋体" w:eastAsia="宋体" w:cs="宋体"/>
                <w:b/>
                <w:color w:val="auto"/>
                <w:sz w:val="24"/>
                <w:szCs w:val="24"/>
                <w:highlight w:val="none"/>
              </w:rPr>
              <w:t>标人仓储点实地查实</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如不属实将取消中标资格，且没收投标保证金。</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包2：技术参数要求：</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Cs/>
                <w:color w:val="auto"/>
                <w:kern w:val="0"/>
                <w:sz w:val="24"/>
                <w:szCs w:val="24"/>
                <w:highlight w:val="none"/>
              </w:rPr>
              <w:t>1、应符合《玻璃纤维增强塑料夹砂管》GB/T21238-2016等相关国家标准的要求。</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2、管壁厚度：</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DN300：</w:t>
            </w:r>
            <w:r>
              <w:rPr>
                <w:rFonts w:hint="eastAsia" w:ascii="宋体" w:hAnsi="宋体" w:eastAsia="宋体" w:cs="宋体"/>
                <w:bCs/>
                <w:color w:val="auto"/>
                <w:kern w:val="0"/>
                <w:sz w:val="24"/>
                <w:szCs w:val="24"/>
                <w:highlight w:val="none"/>
              </w:rPr>
              <w:t xml:space="preserve">≥4.5mm、 </w:t>
            </w:r>
            <w:r>
              <w:rPr>
                <w:rFonts w:hint="eastAsia" w:ascii="宋体" w:hAnsi="宋体" w:eastAsia="宋体" w:cs="宋体"/>
                <w:b/>
                <w:bCs/>
                <w:color w:val="auto"/>
                <w:kern w:val="0"/>
                <w:sz w:val="24"/>
                <w:szCs w:val="24"/>
                <w:highlight w:val="none"/>
              </w:rPr>
              <w:t>DN400</w:t>
            </w:r>
            <w:r>
              <w:rPr>
                <w:rFonts w:hint="eastAsia" w:ascii="宋体" w:hAnsi="宋体" w:eastAsia="宋体" w:cs="宋体"/>
                <w:bCs/>
                <w:color w:val="auto"/>
                <w:kern w:val="0"/>
                <w:sz w:val="24"/>
                <w:szCs w:val="24"/>
                <w:highlight w:val="none"/>
              </w:rPr>
              <w:t>：≥5.3mm；</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3、环刚度≥8 KN/㎡；</w:t>
            </w:r>
          </w:p>
          <w:p>
            <w:pPr>
              <w:widowControl/>
              <w:spacing w:after="150" w:line="440" w:lineRule="exact"/>
              <w:ind w:firstLine="240" w:firstLineChars="1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4、长度：6m；</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5、拉伸强度≥60Mpa；</w:t>
            </w:r>
          </w:p>
          <w:p>
            <w:pPr>
              <w:widowControl/>
              <w:spacing w:after="150" w:line="440" w:lineRule="exact"/>
              <w:ind w:firstLine="240" w:firstLineChars="1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6、弯曲强度≥120MPa；</w:t>
            </w:r>
          </w:p>
          <w:p>
            <w:pPr>
              <w:widowControl/>
              <w:spacing w:after="150" w:line="440" w:lineRule="exact"/>
              <w:jc w:val="lef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kern w:val="0"/>
                <w:sz w:val="24"/>
                <w:szCs w:val="24"/>
                <w:highlight w:val="none"/>
              </w:rPr>
              <w:t>7、连接方式：采用承插式橡胶圈密封连接, 配套密封橡胶圈；</w:t>
            </w:r>
          </w:p>
          <w:p>
            <w:pPr>
              <w:widowControl/>
              <w:spacing w:after="150" w:line="495" w:lineRule="atLeast"/>
              <w:ind w:firstLine="240" w:firstLineChars="1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8、外观质量要求：管的内表面应光滑平整，无对使用性能有影响的龟裂、分层、针孔、杂质、贫胶区、气泡和纤维浸润不良等现象，管端面应平齐、边棱应无毛刺、外表面无明显缺陷。</w:t>
            </w:r>
          </w:p>
          <w:p>
            <w:pPr>
              <w:widowControl/>
              <w:shd w:val="clear" w:color="auto" w:fill="FFFFFF"/>
              <w:spacing w:line="435" w:lineRule="atLeas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9、标志和保护</w:t>
            </w:r>
          </w:p>
          <w:p>
            <w:pPr>
              <w:widowControl/>
              <w:shd w:val="clear" w:color="auto" w:fill="FFFFFF"/>
              <w:spacing w:line="435" w:lineRule="atLeast"/>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⑴所有管材应有清晰持久的详细标记： </w:t>
            </w:r>
            <w:r>
              <w:rPr>
                <w:rFonts w:hint="eastAsia" w:ascii="宋体" w:hAnsi="宋体" w:eastAsia="宋体" w:cs="宋体"/>
                <w:color w:val="auto"/>
                <w:kern w:val="0"/>
                <w:sz w:val="24"/>
                <w:szCs w:val="24"/>
                <w:highlight w:val="none"/>
              </w:rPr>
              <w:drawing>
                <wp:inline distT="0" distB="0" distL="114300" distR="114300">
                  <wp:extent cx="5598795" cy="21399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98795" cy="2139950"/>
                          </a:xfrm>
                          <a:prstGeom prst="rect">
                            <a:avLst/>
                          </a:prstGeom>
                          <a:noFill/>
                          <a:ln>
                            <a:noFill/>
                          </a:ln>
                        </pic:spPr>
                      </pic:pic>
                    </a:graphicData>
                  </a:graphic>
                </wp:inline>
              </w:drawing>
            </w:r>
            <w:r>
              <w:rPr>
                <w:rFonts w:hint="eastAsia" w:ascii="宋体" w:hAnsi="宋体" w:eastAsia="宋体" w:cs="宋体"/>
                <w:b/>
                <w:color w:val="auto"/>
                <w:kern w:val="0"/>
                <w:sz w:val="24"/>
                <w:szCs w:val="24"/>
                <w:highlight w:val="none"/>
              </w:rPr>
              <w:t>（投标文件中需提供管材企业标记图样）</w:t>
            </w:r>
          </w:p>
          <w:p>
            <w:pPr>
              <w:widowControl/>
              <w:shd w:val="clear" w:color="auto" w:fill="FFFFFF"/>
              <w:spacing w:line="435"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⑵每根管道应有管端保护。</w:t>
            </w:r>
          </w:p>
          <w:p>
            <w:pPr>
              <w:widowControl/>
              <w:spacing w:after="150" w:line="495"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10、投标人提供的产品必须是自行生产的产品（若投标人非制造厂商，则提供的产品必须是所投产品制造厂商自行生产的产品。），投标人必须详细标明品牌、产地、制造厂商、规格型号、数量、价格、性能参数、技术指标和功能说明等。配套的橡胶密封圈属外购的必须明确供货生产企业，并提供供需关系的证明。中标人在货物进场时应提供相关资料：装箱单、合格证等资料。</w:t>
            </w:r>
          </w:p>
        </w:tc>
      </w:tr>
    </w:tbl>
    <w:p>
      <w:pPr>
        <w:pStyle w:val="19"/>
        <w:spacing w:line="480" w:lineRule="exac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包3：采购货物一览表 </w:t>
      </w:r>
    </w:p>
    <w:p>
      <w:pPr>
        <w:pStyle w:val="10"/>
        <w:spacing w:line="480" w:lineRule="exact"/>
        <w:ind w:firstLine="480" w:firstLineChars="200"/>
        <w:jc w:val="right"/>
        <w:rPr>
          <w:rFonts w:hint="eastAsia" w:ascii="宋体" w:hAnsi="宋体" w:cs="宋体"/>
          <w:color w:val="auto"/>
          <w:kern w:val="0"/>
          <w:sz w:val="24"/>
          <w:szCs w:val="24"/>
          <w:highlight w:val="none"/>
        </w:rPr>
      </w:pPr>
      <w:r>
        <w:rPr>
          <w:rFonts w:hint="eastAsia" w:ascii="宋体" w:hAnsi="宋体" w:cs="宋体"/>
          <w:color w:val="auto"/>
          <w:kern w:val="0"/>
          <w:szCs w:val="21"/>
          <w:highlight w:val="none"/>
        </w:rPr>
        <w:t>货币单位：人民币元</w:t>
      </w:r>
    </w:p>
    <w:tbl>
      <w:tblPr>
        <w:tblStyle w:val="22"/>
        <w:tblW w:w="4942"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90"/>
        <w:gridCol w:w="2879"/>
        <w:gridCol w:w="936"/>
        <w:gridCol w:w="971"/>
        <w:gridCol w:w="124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8" w:type="pct"/>
            <w:noWrap/>
            <w:vAlign w:val="center"/>
          </w:tcPr>
          <w:p>
            <w:pPr>
              <w:pStyle w:val="10"/>
              <w:spacing w:line="480" w:lineRule="exact"/>
              <w:jc w:val="center"/>
              <w:rPr>
                <w:b/>
                <w:color w:val="auto"/>
                <w:highlight w:val="none"/>
              </w:rPr>
            </w:pPr>
            <w:r>
              <w:rPr>
                <w:rFonts w:hint="eastAsia"/>
                <w:b/>
                <w:color w:val="auto"/>
                <w:highlight w:val="none"/>
              </w:rPr>
              <w:t>合同包</w:t>
            </w:r>
          </w:p>
        </w:tc>
        <w:tc>
          <w:tcPr>
            <w:tcW w:w="502" w:type="pct"/>
            <w:noWrap/>
            <w:vAlign w:val="center"/>
          </w:tcPr>
          <w:p>
            <w:pPr>
              <w:pStyle w:val="10"/>
              <w:spacing w:line="480" w:lineRule="exact"/>
              <w:jc w:val="center"/>
              <w:rPr>
                <w:b/>
                <w:color w:val="auto"/>
                <w:highlight w:val="none"/>
              </w:rPr>
            </w:pPr>
            <w:r>
              <w:rPr>
                <w:rFonts w:hint="eastAsia"/>
                <w:b/>
                <w:color w:val="auto"/>
                <w:highlight w:val="none"/>
              </w:rPr>
              <w:t>品目号</w:t>
            </w:r>
          </w:p>
        </w:tc>
        <w:tc>
          <w:tcPr>
            <w:tcW w:w="1462" w:type="pct"/>
            <w:noWrap/>
            <w:vAlign w:val="center"/>
          </w:tcPr>
          <w:p>
            <w:pPr>
              <w:pStyle w:val="10"/>
              <w:spacing w:line="480" w:lineRule="exact"/>
              <w:jc w:val="center"/>
              <w:rPr>
                <w:b/>
                <w:color w:val="auto"/>
                <w:highlight w:val="none"/>
              </w:rPr>
            </w:pPr>
            <w:r>
              <w:rPr>
                <w:rFonts w:hint="eastAsia"/>
                <w:b/>
                <w:color w:val="auto"/>
                <w:highlight w:val="none"/>
              </w:rPr>
              <w:t>货物名称</w:t>
            </w:r>
          </w:p>
        </w:tc>
        <w:tc>
          <w:tcPr>
            <w:tcW w:w="475" w:type="pct"/>
            <w:noWrap/>
            <w:vAlign w:val="center"/>
          </w:tcPr>
          <w:p>
            <w:pPr>
              <w:pStyle w:val="10"/>
              <w:spacing w:line="480" w:lineRule="exact"/>
              <w:jc w:val="center"/>
              <w:rPr>
                <w:b/>
                <w:color w:val="auto"/>
                <w:highlight w:val="none"/>
              </w:rPr>
            </w:pPr>
            <w:r>
              <w:rPr>
                <w:rFonts w:hint="eastAsia"/>
                <w:b/>
                <w:color w:val="auto"/>
                <w:highlight w:val="none"/>
              </w:rPr>
              <w:t>单位</w:t>
            </w:r>
          </w:p>
        </w:tc>
        <w:tc>
          <w:tcPr>
            <w:tcW w:w="492" w:type="pct"/>
            <w:noWrap/>
            <w:vAlign w:val="center"/>
          </w:tcPr>
          <w:p>
            <w:pPr>
              <w:pStyle w:val="10"/>
              <w:spacing w:line="480" w:lineRule="exact"/>
              <w:jc w:val="center"/>
              <w:rPr>
                <w:b/>
                <w:color w:val="auto"/>
                <w:highlight w:val="none"/>
              </w:rPr>
            </w:pPr>
            <w:r>
              <w:rPr>
                <w:rFonts w:hint="eastAsia"/>
                <w:b/>
                <w:color w:val="auto"/>
                <w:highlight w:val="none"/>
              </w:rPr>
              <w:t>预计采购数量</w:t>
            </w:r>
          </w:p>
        </w:tc>
        <w:tc>
          <w:tcPr>
            <w:tcW w:w="631" w:type="pct"/>
            <w:noWrap/>
            <w:vAlign w:val="center"/>
          </w:tcPr>
          <w:p>
            <w:pPr>
              <w:pStyle w:val="10"/>
              <w:spacing w:line="480" w:lineRule="exact"/>
              <w:jc w:val="center"/>
              <w:rPr>
                <w:b/>
                <w:color w:val="auto"/>
                <w:highlight w:val="none"/>
              </w:rPr>
            </w:pPr>
            <w:r>
              <w:rPr>
                <w:rFonts w:hint="eastAsia"/>
                <w:b/>
                <w:color w:val="auto"/>
                <w:highlight w:val="none"/>
              </w:rPr>
              <w:t>含税最高单价限价（元）</w:t>
            </w:r>
          </w:p>
        </w:tc>
        <w:tc>
          <w:tcPr>
            <w:tcW w:w="996" w:type="pct"/>
            <w:noWrap/>
            <w:vAlign w:val="center"/>
          </w:tcPr>
          <w:p>
            <w:pPr>
              <w:jc w:val="center"/>
              <w:rPr>
                <w:rFonts w:hint="eastAsia" w:ascii="Times New Roman" w:hAnsi="Times New Roman" w:eastAsia="宋体" w:cs="Times New Roman"/>
                <w:b/>
                <w:bCs/>
                <w:color w:val="auto"/>
                <w:kern w:val="2"/>
                <w:sz w:val="24"/>
                <w:highlight w:val="none"/>
                <w:lang w:val="en-US" w:eastAsia="zh-CN" w:bidi="ar-SA"/>
              </w:rPr>
            </w:pPr>
            <w:r>
              <w:rPr>
                <w:rFonts w:hint="eastAsia" w:ascii="Times New Roman" w:hAnsi="Times New Roman" w:eastAsia="宋体" w:cs="Times New Roman"/>
                <w:b/>
                <w:bCs/>
                <w:color w:val="auto"/>
                <w:kern w:val="2"/>
                <w:sz w:val="24"/>
                <w:highlight w:val="none"/>
                <w:lang w:val="en-US" w:eastAsia="zh-CN" w:bidi="ar-SA"/>
              </w:rPr>
              <w:t>合计</w:t>
            </w:r>
          </w:p>
          <w:p>
            <w:pPr>
              <w:pStyle w:val="10"/>
              <w:spacing w:line="480" w:lineRule="exact"/>
              <w:jc w:val="center"/>
              <w:rPr>
                <w:rFonts w:hint="eastAsia"/>
                <w:b/>
                <w:color w:val="auto"/>
                <w:highlight w:val="none"/>
              </w:rPr>
            </w:pPr>
            <w:r>
              <w:rPr>
                <w:rFonts w:hint="eastAsia" w:ascii="Times New Roman" w:hAnsi="Times New Roman" w:eastAsia="宋体" w:cs="Times New Roman"/>
                <w:b/>
                <w:bCs/>
                <w:color w:val="auto"/>
                <w:kern w:val="2"/>
                <w:sz w:val="24"/>
                <w:highlight w:val="none"/>
                <w:lang w:val="en-US" w:eastAsia="zh-CN" w:bidi="ar-SA"/>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8" w:type="pct"/>
            <w:noWrap/>
            <w:vAlign w:val="center"/>
          </w:tcPr>
          <w:p>
            <w:pPr>
              <w:pStyle w:val="10"/>
              <w:spacing w:line="480" w:lineRule="exact"/>
              <w:jc w:val="center"/>
              <w:rPr>
                <w:color w:val="auto"/>
                <w:sz w:val="21"/>
                <w:szCs w:val="24"/>
                <w:highlight w:val="none"/>
              </w:rPr>
            </w:pPr>
            <w:r>
              <w:rPr>
                <w:rFonts w:hint="eastAsia"/>
                <w:color w:val="auto"/>
                <w:sz w:val="21"/>
                <w:szCs w:val="24"/>
                <w:highlight w:val="none"/>
              </w:rPr>
              <w:t>3</w:t>
            </w:r>
          </w:p>
        </w:tc>
        <w:tc>
          <w:tcPr>
            <w:tcW w:w="502" w:type="pct"/>
            <w:noWrap/>
            <w:vAlign w:val="center"/>
          </w:tcPr>
          <w:p>
            <w:pPr>
              <w:pStyle w:val="10"/>
              <w:spacing w:line="480" w:lineRule="exact"/>
              <w:jc w:val="center"/>
              <w:rPr>
                <w:color w:val="auto"/>
                <w:sz w:val="21"/>
                <w:szCs w:val="24"/>
                <w:highlight w:val="none"/>
              </w:rPr>
            </w:pPr>
            <w:r>
              <w:rPr>
                <w:rFonts w:hint="eastAsia"/>
                <w:color w:val="auto"/>
                <w:sz w:val="21"/>
                <w:szCs w:val="24"/>
                <w:highlight w:val="none"/>
              </w:rPr>
              <w:t>3-1</w:t>
            </w:r>
          </w:p>
        </w:tc>
        <w:tc>
          <w:tcPr>
            <w:tcW w:w="1462" w:type="pct"/>
            <w:noWrap/>
            <w:vAlign w:val="center"/>
          </w:tcPr>
          <w:p>
            <w:pPr>
              <w:pStyle w:val="10"/>
              <w:spacing w:line="480" w:lineRule="exact"/>
              <w:jc w:val="center"/>
              <w:rPr>
                <w:rFonts w:hint="eastAsia"/>
                <w:color w:val="auto"/>
                <w:highlight w:val="none"/>
                <w:lang w:val="en-US" w:eastAsia="zh-CN"/>
              </w:rPr>
            </w:pPr>
            <w:r>
              <w:rPr>
                <w:rFonts w:hint="eastAsia"/>
                <w:color w:val="auto"/>
                <w:highlight w:val="none"/>
                <w:lang w:val="en-US" w:eastAsia="zh-CN"/>
              </w:rPr>
              <w:t>球墨铸铁管DN300</w:t>
            </w:r>
          </w:p>
        </w:tc>
        <w:tc>
          <w:tcPr>
            <w:tcW w:w="475" w:type="pct"/>
            <w:noWrap/>
            <w:vAlign w:val="center"/>
          </w:tcPr>
          <w:p>
            <w:pPr>
              <w:pStyle w:val="10"/>
              <w:spacing w:line="480" w:lineRule="exact"/>
              <w:jc w:val="center"/>
              <w:rPr>
                <w:rFonts w:hint="eastAsia"/>
                <w:color w:val="auto"/>
                <w:highlight w:val="none"/>
                <w:lang w:val="en-US" w:eastAsia="zh-CN"/>
              </w:rPr>
            </w:pPr>
            <w:r>
              <w:rPr>
                <w:rFonts w:hint="eastAsia"/>
                <w:color w:val="auto"/>
                <w:highlight w:val="none"/>
                <w:lang w:val="en-US" w:eastAsia="zh-CN"/>
              </w:rPr>
              <w:t>米</w:t>
            </w:r>
          </w:p>
        </w:tc>
        <w:tc>
          <w:tcPr>
            <w:tcW w:w="492" w:type="pct"/>
            <w:noWrap/>
            <w:vAlign w:val="center"/>
          </w:tcPr>
          <w:p>
            <w:pPr>
              <w:pStyle w:val="10"/>
              <w:spacing w:line="480" w:lineRule="exact"/>
              <w:jc w:val="center"/>
              <w:rPr>
                <w:rFonts w:hint="default"/>
                <w:color w:val="auto"/>
                <w:highlight w:val="none"/>
                <w:lang w:val="en-US" w:eastAsia="zh-CN"/>
              </w:rPr>
            </w:pPr>
            <w:r>
              <w:rPr>
                <w:rFonts w:hint="eastAsia"/>
                <w:color w:val="auto"/>
                <w:highlight w:val="none"/>
                <w:lang w:val="en-US" w:eastAsia="zh-CN"/>
              </w:rPr>
              <w:t>3870</w:t>
            </w:r>
          </w:p>
        </w:tc>
        <w:tc>
          <w:tcPr>
            <w:tcW w:w="631" w:type="pct"/>
            <w:noWrap/>
            <w:vAlign w:val="center"/>
          </w:tcPr>
          <w:p>
            <w:pPr>
              <w:pStyle w:val="10"/>
              <w:spacing w:line="480" w:lineRule="exact"/>
              <w:jc w:val="center"/>
              <w:rPr>
                <w:rFonts w:hint="default"/>
                <w:color w:val="auto"/>
                <w:highlight w:val="none"/>
                <w:lang w:val="en-US" w:eastAsia="zh-CN"/>
              </w:rPr>
            </w:pPr>
            <w:r>
              <w:rPr>
                <w:rFonts w:hint="eastAsia"/>
                <w:color w:val="auto"/>
                <w:highlight w:val="none"/>
                <w:lang w:val="en-US" w:eastAsia="zh-CN"/>
              </w:rPr>
              <w:t>346.88</w:t>
            </w:r>
          </w:p>
        </w:tc>
        <w:tc>
          <w:tcPr>
            <w:tcW w:w="996" w:type="pct"/>
            <w:noWrap/>
            <w:vAlign w:val="center"/>
          </w:tcPr>
          <w:p>
            <w:pPr>
              <w:pStyle w:val="10"/>
              <w:spacing w:line="480" w:lineRule="exact"/>
              <w:jc w:val="center"/>
              <w:rPr>
                <w:rFonts w:hint="default"/>
                <w:color w:val="auto"/>
                <w:highlight w:val="none"/>
                <w:lang w:val="en-US" w:eastAsia="zh-CN"/>
              </w:rPr>
            </w:pPr>
            <w:r>
              <w:rPr>
                <w:rFonts w:hint="eastAsia"/>
                <w:color w:val="auto"/>
                <w:highlight w:val="none"/>
                <w:lang w:val="en-US" w:eastAsia="zh-CN"/>
              </w:rPr>
              <w:t>1342425.60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7"/>
            <w:noWrap/>
            <w:vAlign w:val="center"/>
          </w:tcPr>
          <w:p>
            <w:pPr>
              <w:pStyle w:val="10"/>
              <w:spacing w:line="480" w:lineRule="exact"/>
              <w:ind w:firstLine="4560" w:firstLineChars="1900"/>
              <w:rPr>
                <w:rFonts w:hint="eastAsia" w:eastAsia="宋体"/>
                <w:color w:val="auto"/>
                <w:highlight w:val="none"/>
                <w:lang w:val="en-US" w:eastAsia="zh-CN"/>
              </w:rPr>
            </w:pPr>
            <w:r>
              <w:rPr>
                <w:rFonts w:hint="eastAsia"/>
                <w:color w:val="auto"/>
                <w:highlight w:val="none"/>
              </w:rPr>
              <w:t>合同包3</w:t>
            </w:r>
            <w:r>
              <w:rPr>
                <w:rFonts w:hint="eastAsia"/>
                <w:color w:val="auto"/>
                <w:highlight w:val="none"/>
                <w:lang w:eastAsia="zh-CN"/>
              </w:rPr>
              <w:t>含税</w:t>
            </w:r>
            <w:r>
              <w:rPr>
                <w:rFonts w:hint="eastAsia"/>
                <w:color w:val="auto"/>
                <w:highlight w:val="none"/>
              </w:rPr>
              <w:t>最高总价限价1342425.6</w:t>
            </w:r>
            <w:r>
              <w:rPr>
                <w:rFonts w:hint="eastAsia"/>
                <w:color w:val="auto"/>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7"/>
            <w:noWrap/>
            <w:vAlign w:val="center"/>
          </w:tcPr>
          <w:p>
            <w:pPr>
              <w:spacing w:line="360" w:lineRule="auto"/>
              <w:rPr>
                <w:b/>
                <w:color w:val="auto"/>
                <w:sz w:val="24"/>
                <w:szCs w:val="24"/>
                <w:highlight w:val="none"/>
              </w:rPr>
            </w:pPr>
            <w:r>
              <w:rPr>
                <w:rFonts w:hint="eastAsia"/>
                <w:b/>
                <w:color w:val="auto"/>
                <w:sz w:val="24"/>
                <w:szCs w:val="24"/>
                <w:highlight w:val="none"/>
              </w:rPr>
              <w:t>注： </w:t>
            </w:r>
          </w:p>
          <w:p>
            <w:pPr>
              <w:spacing w:line="360" w:lineRule="auto"/>
              <w:ind w:firstLine="480" w:firstLineChars="200"/>
              <w:rPr>
                <w:b/>
                <w:color w:val="auto"/>
                <w:sz w:val="24"/>
                <w:szCs w:val="24"/>
                <w:highlight w:val="none"/>
              </w:rPr>
            </w:pPr>
            <w:r>
              <w:rPr>
                <w:rFonts w:hint="eastAsia"/>
                <w:b/>
                <w:color w:val="auto"/>
                <w:sz w:val="24"/>
                <w:szCs w:val="24"/>
                <w:highlight w:val="none"/>
              </w:rPr>
              <w:t>1、投标人报价应含货到采购人指定地点运输的费用。</w:t>
            </w:r>
          </w:p>
          <w:p>
            <w:pPr>
              <w:widowControl/>
              <w:shd w:val="clear" w:color="auto" w:fill="FFFFFF"/>
              <w:spacing w:line="360" w:lineRule="auto"/>
              <w:ind w:firstLine="240" w:firstLineChars="100"/>
              <w:jc w:val="left"/>
              <w:rPr>
                <w:rFonts w:ascii="微软雅黑" w:hAnsi="微软雅黑" w:eastAsia="微软雅黑" w:cs="宋体"/>
                <w:color w:val="auto"/>
                <w:kern w:val="0"/>
                <w:sz w:val="27"/>
                <w:szCs w:val="27"/>
                <w:highlight w:val="none"/>
              </w:rPr>
            </w:pPr>
            <w:r>
              <w:rPr>
                <w:rFonts w:hint="eastAsia"/>
                <w:b/>
                <w:color w:val="auto"/>
                <w:sz w:val="24"/>
                <w:szCs w:val="24"/>
                <w:highlight w:val="none"/>
              </w:rPr>
              <w:t> </w:t>
            </w:r>
            <w:r>
              <w:rPr>
                <w:rFonts w:hint="eastAsia"/>
                <w:b/>
                <w:color w:val="auto"/>
                <w:sz w:val="24"/>
                <w:szCs w:val="24"/>
                <w:highlight w:val="none"/>
                <w:lang w:val="en-US" w:eastAsia="zh-CN"/>
              </w:rPr>
              <w:t xml:space="preserve">  </w:t>
            </w:r>
            <w:r>
              <w:rPr>
                <w:rFonts w:hint="eastAsia"/>
                <w:b/>
                <w:color w:val="auto"/>
                <w:sz w:val="24"/>
                <w:szCs w:val="24"/>
                <w:highlight w:val="none"/>
              </w:rPr>
              <w:t>2、</w:t>
            </w:r>
            <w:r>
              <w:rPr>
                <w:rFonts w:hint="eastAsia" w:ascii="宋体" w:hAnsi="宋体" w:eastAsia="宋体" w:cs="宋体"/>
                <w:b/>
                <w:bCs/>
                <w:color w:val="auto"/>
                <w:kern w:val="0"/>
                <w:sz w:val="24"/>
                <w:szCs w:val="24"/>
                <w:lang w:val="en-US" w:eastAsia="zh-CN" w:bidi="ar-SA"/>
              </w:rPr>
              <w:t>投标人无需填报单价，只需在控制价的基础上填写整体下浮点数（保留两位小数点）。各种规格的控制单价及总价均为含税价，详见招标文件第五章供货要求中“控制价清单”。</w:t>
            </w:r>
          </w:p>
          <w:p>
            <w:pPr>
              <w:spacing w:line="480" w:lineRule="exact"/>
              <w:ind w:right="-1801" w:firstLine="480" w:firstLineChars="200"/>
              <w:rPr>
                <w:rFonts w:hint="eastAsia" w:ascii="Times New Roman" w:hAnsi="Times New Roman" w:cs="Times New Roman"/>
                <w:b/>
                <w:color w:val="auto"/>
                <w:sz w:val="24"/>
                <w:szCs w:val="24"/>
                <w:highlight w:val="none"/>
              </w:rPr>
            </w:pPr>
            <w:r>
              <w:rPr>
                <w:rFonts w:hint="eastAsia"/>
                <w:b/>
                <w:color w:val="auto"/>
                <w:sz w:val="24"/>
                <w:szCs w:val="24"/>
                <w:highlight w:val="none"/>
                <w:lang w:val="en-US" w:eastAsia="zh-CN"/>
              </w:rPr>
              <w:t>3</w:t>
            </w:r>
            <w:r>
              <w:rPr>
                <w:rFonts w:hint="eastAsia"/>
                <w:b/>
                <w:color w:val="auto"/>
                <w:sz w:val="24"/>
                <w:szCs w:val="24"/>
                <w:highlight w:val="none"/>
              </w:rPr>
              <w:t>、</w:t>
            </w:r>
            <w:r>
              <w:rPr>
                <w:rFonts w:hint="eastAsia" w:ascii="Times New Roman" w:hAnsi="Times New Roman" w:cs="Times New Roman"/>
                <w:b/>
                <w:color w:val="auto"/>
                <w:sz w:val="24"/>
                <w:szCs w:val="24"/>
                <w:highlight w:val="none"/>
              </w:rPr>
              <w:t>为确保供货及时，</w:t>
            </w:r>
            <w:r>
              <w:rPr>
                <w:rFonts w:hint="eastAsia" w:ascii="Times New Roman" w:hAnsi="Times New Roman" w:cs="Times New Roman"/>
                <w:b/>
                <w:color w:val="auto"/>
                <w:sz w:val="24"/>
                <w:szCs w:val="24"/>
                <w:highlight w:val="none"/>
                <w:lang w:eastAsia="zh-CN"/>
              </w:rPr>
              <w:t>中</w:t>
            </w:r>
            <w:r>
              <w:rPr>
                <w:rFonts w:hint="eastAsia" w:ascii="Times New Roman" w:hAnsi="Times New Roman" w:cs="Times New Roman"/>
                <w:b/>
                <w:color w:val="auto"/>
                <w:sz w:val="24"/>
                <w:szCs w:val="24"/>
                <w:highlight w:val="none"/>
              </w:rPr>
              <w:t>标人</w:t>
            </w:r>
            <w:r>
              <w:rPr>
                <w:rFonts w:hint="eastAsia" w:ascii="Times New Roman" w:hAnsi="Times New Roman" w:cs="Times New Roman"/>
                <w:b/>
                <w:color w:val="auto"/>
                <w:sz w:val="24"/>
                <w:szCs w:val="24"/>
                <w:highlight w:val="none"/>
                <w:lang w:eastAsia="zh-CN"/>
              </w:rPr>
              <w:t>应在仙游县大济镇境内设置仓库点，</w:t>
            </w:r>
            <w:r>
              <w:rPr>
                <w:rFonts w:hint="eastAsia" w:ascii="Times New Roman" w:hAnsi="Times New Roman" w:cs="Times New Roman"/>
                <w:b/>
                <w:color w:val="auto"/>
                <w:sz w:val="24"/>
                <w:szCs w:val="24"/>
                <w:highlight w:val="none"/>
              </w:rPr>
              <w:t>采购人在签订中标合</w:t>
            </w:r>
          </w:p>
          <w:p>
            <w:pPr>
              <w:spacing w:line="480" w:lineRule="exact"/>
              <w:ind w:right="-1801"/>
              <w:rPr>
                <w:rFonts w:ascii="宋体" w:hAnsi="宋体" w:cs="宋体"/>
                <w:b/>
                <w:bCs/>
                <w:color w:val="auto"/>
                <w:kern w:val="0"/>
                <w:sz w:val="27"/>
                <w:highlight w:val="none"/>
              </w:rPr>
            </w:pPr>
            <w:r>
              <w:rPr>
                <w:rFonts w:hint="eastAsia" w:ascii="Times New Roman" w:hAnsi="Times New Roman" w:cs="Times New Roman"/>
                <w:b/>
                <w:color w:val="auto"/>
                <w:sz w:val="24"/>
                <w:szCs w:val="24"/>
                <w:highlight w:val="none"/>
              </w:rPr>
              <w:t>同前有权对</w:t>
            </w:r>
            <w:r>
              <w:rPr>
                <w:rFonts w:hint="eastAsia" w:ascii="Times New Roman" w:hAnsi="Times New Roman" w:cs="Times New Roman"/>
                <w:b/>
                <w:color w:val="auto"/>
                <w:sz w:val="24"/>
                <w:szCs w:val="24"/>
                <w:highlight w:val="none"/>
                <w:lang w:eastAsia="zh-CN"/>
              </w:rPr>
              <w:t>中</w:t>
            </w:r>
            <w:r>
              <w:rPr>
                <w:rFonts w:hint="eastAsia" w:ascii="Times New Roman" w:hAnsi="Times New Roman" w:cs="Times New Roman"/>
                <w:b/>
                <w:color w:val="auto"/>
                <w:sz w:val="24"/>
                <w:szCs w:val="24"/>
                <w:highlight w:val="none"/>
              </w:rPr>
              <w:t>标人仓储点实地查实</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如不属实将取消中标资格，且没收投标保证金。</w:t>
            </w:r>
            <w:r>
              <w:rPr>
                <w:rFonts w:ascii="宋体" w:hAnsi="宋体" w:cs="宋体"/>
                <w:b/>
                <w:bCs/>
                <w:color w:val="auto"/>
                <w:kern w:val="0"/>
                <w:sz w:val="24"/>
                <w:highlight w:val="none"/>
              </w:rPr>
              <w:t xml:space="preserve">                                                          </w:t>
            </w:r>
          </w:p>
          <w:p>
            <w:pP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包3技术参数要求：</w:t>
            </w:r>
          </w:p>
          <w:p>
            <w:pPr>
              <w:pStyle w:val="4"/>
              <w:numPr>
                <w:ilvl w:val="0"/>
                <w:numId w:val="0"/>
              </w:numPr>
              <w:spacing w:before="0" w:after="0" w:line="360" w:lineRule="auto"/>
              <w:ind w:lef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球墨铸铁管</w:t>
            </w:r>
            <w:r>
              <w:rPr>
                <w:rFonts w:hint="eastAsia" w:ascii="宋体" w:hAnsi="宋体" w:cs="宋体"/>
                <w:color w:val="auto"/>
                <w:sz w:val="24"/>
                <w:szCs w:val="24"/>
                <w:highlight w:val="none"/>
                <w:lang w:eastAsia="zh-CN"/>
              </w:rPr>
              <w:t>、管件</w:t>
            </w:r>
          </w:p>
          <w:p>
            <w:pPr>
              <w:pStyle w:val="4"/>
              <w:numPr>
                <w:ilvl w:val="0"/>
                <w:numId w:val="0"/>
              </w:numPr>
              <w:spacing w:before="0" w:after="0" w:line="360" w:lineRule="auto"/>
              <w:ind w:leftChars="175"/>
              <w:rPr>
                <w:rFonts w:hint="eastAsia" w:ascii="宋体" w:hAnsi="宋体" w:cs="宋体"/>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设计、制造</w:t>
            </w:r>
            <w:r>
              <w:rPr>
                <w:rFonts w:hint="eastAsia" w:ascii="宋体" w:hAnsi="宋体" w:cs="宋体"/>
                <w:snapToGrid w:val="0"/>
                <w:color w:val="auto"/>
                <w:sz w:val="24"/>
                <w:szCs w:val="24"/>
                <w:highlight w:val="none"/>
              </w:rPr>
              <w:t>标准</w:t>
            </w:r>
          </w:p>
          <w:p>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lang w:val="en-US" w:eastAsia="zh-CN"/>
              </w:rPr>
              <w:t>　　1.1　</w:t>
            </w:r>
            <w:r>
              <w:rPr>
                <w:rFonts w:hint="eastAsia" w:ascii="宋体" w:hAnsi="宋体" w:cs="宋体"/>
                <w:snapToGrid w:val="0"/>
                <w:color w:val="auto"/>
                <w:sz w:val="24"/>
                <w:highlight w:val="none"/>
              </w:rPr>
              <w:t>球墨铸铁管应符合GB/T26081-2010等国家标准；</w:t>
            </w:r>
          </w:p>
          <w:p>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lang w:eastAsia="zh-CN"/>
              </w:rPr>
              <w:t>　</w:t>
            </w:r>
            <w:r>
              <w:rPr>
                <w:rFonts w:hint="eastAsia" w:ascii="宋体" w:hAnsi="宋体" w:cs="宋体"/>
                <w:snapToGrid w:val="0"/>
                <w:color w:val="auto"/>
                <w:sz w:val="24"/>
                <w:highlight w:val="none"/>
              </w:rPr>
              <w:t xml:space="preserve"> </w:t>
            </w:r>
            <w:r>
              <w:rPr>
                <w:rFonts w:ascii="宋体" w:hAnsi="宋体" w:cs="宋体"/>
                <w:snapToGrid w:val="0"/>
                <w:color w:val="auto"/>
                <w:sz w:val="24"/>
                <w:highlight w:val="none"/>
              </w:rPr>
              <w:t xml:space="preserve">  </w:t>
            </w:r>
            <w:r>
              <w:rPr>
                <w:rFonts w:hint="eastAsia" w:ascii="宋体" w:hAnsi="宋体" w:cs="宋体"/>
                <w:snapToGrid w:val="0"/>
                <w:color w:val="auto"/>
                <w:sz w:val="24"/>
                <w:highlight w:val="none"/>
              </w:rPr>
              <w:t>球墨铸铁管表面锌涂层应符合G</w:t>
            </w:r>
            <w:r>
              <w:rPr>
                <w:rFonts w:ascii="宋体" w:hAnsi="宋体" w:cs="宋体"/>
                <w:snapToGrid w:val="0"/>
                <w:color w:val="auto"/>
                <w:sz w:val="24"/>
                <w:highlight w:val="none"/>
              </w:rPr>
              <w:t>B/T17456.1</w:t>
            </w:r>
            <w:r>
              <w:rPr>
                <w:rFonts w:hint="eastAsia" w:ascii="宋体" w:hAnsi="宋体" w:cs="宋体"/>
                <w:snapToGrid w:val="0"/>
                <w:color w:val="auto"/>
                <w:sz w:val="24"/>
                <w:highlight w:val="none"/>
              </w:rPr>
              <w:t>-</w:t>
            </w:r>
            <w:r>
              <w:rPr>
                <w:rFonts w:ascii="宋体" w:hAnsi="宋体" w:cs="宋体"/>
                <w:snapToGrid w:val="0"/>
                <w:color w:val="auto"/>
                <w:sz w:val="24"/>
                <w:highlight w:val="none"/>
              </w:rPr>
              <w:t>2009</w:t>
            </w:r>
            <w:r>
              <w:rPr>
                <w:rFonts w:hint="eastAsia" w:ascii="宋体" w:hAnsi="宋体" w:cs="宋体"/>
                <w:snapToGrid w:val="0"/>
                <w:color w:val="auto"/>
                <w:sz w:val="24"/>
                <w:highlight w:val="none"/>
              </w:rPr>
              <w:t>规定</w:t>
            </w:r>
          </w:p>
          <w:p>
            <w:pPr>
              <w:pStyle w:val="10"/>
              <w:rPr>
                <w:rFonts w:ascii="宋体" w:hAnsi="宋体" w:cs="宋体"/>
                <w:snapToGrid w:val="0"/>
                <w:color w:val="auto"/>
                <w:sz w:val="24"/>
                <w:highlight w:val="none"/>
              </w:rPr>
            </w:pPr>
            <w:r>
              <w:rPr>
                <w:rFonts w:hint="eastAsia"/>
                <w:color w:val="auto"/>
                <w:highlight w:val="none"/>
              </w:rPr>
              <w:t xml:space="preserve"> </w:t>
            </w:r>
            <w:r>
              <w:rPr>
                <w:color w:val="auto"/>
                <w:highlight w:val="none"/>
              </w:rPr>
              <w:t xml:space="preserve">      </w:t>
            </w:r>
            <w:r>
              <w:rPr>
                <w:rFonts w:hint="eastAsia"/>
                <w:color w:val="auto"/>
                <w:highlight w:val="none"/>
                <w:lang w:eastAsia="zh-CN"/>
              </w:rPr>
              <w:t>　</w:t>
            </w:r>
            <w:r>
              <w:rPr>
                <w:rFonts w:hint="eastAsia" w:ascii="宋体" w:hAnsi="宋体" w:cs="宋体"/>
                <w:snapToGrid w:val="0"/>
                <w:color w:val="auto"/>
                <w:sz w:val="24"/>
                <w:highlight w:val="none"/>
              </w:rPr>
              <w:t>管壁内部水泥砂浆内衬应符合G</w:t>
            </w:r>
            <w:r>
              <w:rPr>
                <w:rFonts w:ascii="宋体" w:hAnsi="宋体" w:cs="宋体"/>
                <w:snapToGrid w:val="0"/>
                <w:color w:val="auto"/>
                <w:sz w:val="24"/>
                <w:highlight w:val="none"/>
              </w:rPr>
              <w:t>B/T17457</w:t>
            </w:r>
            <w:r>
              <w:rPr>
                <w:rFonts w:hint="eastAsia" w:ascii="宋体" w:hAnsi="宋体" w:cs="宋体"/>
                <w:snapToGrid w:val="0"/>
                <w:color w:val="auto"/>
                <w:sz w:val="24"/>
                <w:highlight w:val="none"/>
              </w:rPr>
              <w:t>-</w:t>
            </w:r>
            <w:r>
              <w:rPr>
                <w:rFonts w:ascii="宋体" w:hAnsi="宋体" w:cs="宋体"/>
                <w:snapToGrid w:val="0"/>
                <w:color w:val="auto"/>
                <w:sz w:val="24"/>
                <w:highlight w:val="none"/>
              </w:rPr>
              <w:t>2019</w:t>
            </w:r>
            <w:r>
              <w:rPr>
                <w:rFonts w:hint="eastAsia" w:ascii="宋体" w:hAnsi="宋体" w:cs="宋体"/>
                <w:snapToGrid w:val="0"/>
                <w:color w:val="auto"/>
                <w:sz w:val="24"/>
                <w:highlight w:val="none"/>
              </w:rPr>
              <w:t>规定</w:t>
            </w:r>
          </w:p>
          <w:p>
            <w:pPr>
              <w:pStyle w:val="10"/>
              <w:rPr>
                <w:rFonts w:hint="eastAsia"/>
                <w:color w:val="auto"/>
                <w:highlight w:val="none"/>
              </w:rPr>
            </w:pPr>
            <w:r>
              <w:rPr>
                <w:rFonts w:hint="eastAsia" w:ascii="宋体" w:hAnsi="宋体" w:cs="宋体"/>
                <w:snapToGrid w:val="0"/>
                <w:color w:val="auto"/>
                <w:sz w:val="24"/>
                <w:highlight w:val="none"/>
              </w:rPr>
              <w:t xml:space="preserve"> </w:t>
            </w:r>
            <w:r>
              <w:rPr>
                <w:rFonts w:ascii="宋体" w:hAnsi="宋体" w:cs="宋体"/>
                <w:snapToGrid w:val="0"/>
                <w:color w:val="auto"/>
                <w:sz w:val="24"/>
                <w:highlight w:val="none"/>
              </w:rPr>
              <w:t xml:space="preserve">     </w:t>
            </w:r>
            <w:r>
              <w:rPr>
                <w:rFonts w:hint="eastAsia" w:ascii="宋体" w:hAnsi="宋体" w:cs="宋体"/>
                <w:snapToGrid w:val="0"/>
                <w:color w:val="auto"/>
                <w:sz w:val="24"/>
                <w:highlight w:val="none"/>
                <w:lang w:eastAsia="zh-CN"/>
              </w:rPr>
              <w:t>　</w:t>
            </w:r>
            <w:r>
              <w:rPr>
                <w:rFonts w:ascii="宋体" w:hAnsi="宋体" w:cs="宋体"/>
                <w:snapToGrid w:val="0"/>
                <w:color w:val="auto"/>
                <w:sz w:val="24"/>
                <w:highlight w:val="none"/>
              </w:rPr>
              <w:t xml:space="preserve"> </w:t>
            </w:r>
            <w:r>
              <w:rPr>
                <w:rFonts w:hint="eastAsia" w:ascii="宋体" w:hAnsi="宋体" w:cs="宋体"/>
                <w:snapToGrid w:val="0"/>
                <w:color w:val="auto"/>
                <w:sz w:val="24"/>
                <w:highlight w:val="none"/>
              </w:rPr>
              <w:t>橡胶密封件（丁腈胶圈）应符合G</w:t>
            </w:r>
            <w:r>
              <w:rPr>
                <w:rFonts w:ascii="宋体" w:hAnsi="宋体" w:cs="宋体"/>
                <w:snapToGrid w:val="0"/>
                <w:color w:val="auto"/>
                <w:sz w:val="24"/>
                <w:highlight w:val="none"/>
              </w:rPr>
              <w:t>B/T21873-2008</w:t>
            </w:r>
            <w:r>
              <w:rPr>
                <w:rFonts w:hint="eastAsia" w:ascii="宋体" w:hAnsi="宋体" w:cs="宋体"/>
                <w:snapToGrid w:val="0"/>
                <w:color w:val="auto"/>
                <w:sz w:val="24"/>
                <w:highlight w:val="none"/>
              </w:rPr>
              <w:t>规定</w:t>
            </w:r>
          </w:p>
          <w:p>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1.2.符合招标文件要求。</w:t>
            </w:r>
          </w:p>
          <w:p>
            <w:pPr>
              <w:pStyle w:val="5"/>
              <w:numPr>
                <w:ilvl w:val="0"/>
                <w:numId w:val="0"/>
              </w:numPr>
              <w:tabs>
                <w:tab w:val="left" w:pos="425"/>
              </w:tabs>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球墨铸铁管的类型</w:t>
            </w:r>
          </w:p>
          <w:p>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DN300水冷金属型离心铸造球墨铸铁管，标准</w:t>
            </w:r>
            <w:r>
              <w:rPr>
                <w:rFonts w:hint="eastAsia" w:ascii="宋体" w:hAnsi="宋体" w:cs="宋体"/>
                <w:color w:val="auto"/>
                <w:sz w:val="24"/>
                <w:highlight w:val="none"/>
              </w:rPr>
              <w:t>承插</w:t>
            </w:r>
            <w:r>
              <w:rPr>
                <w:rFonts w:hint="eastAsia" w:ascii="宋体" w:hAnsi="宋体" w:cs="宋体"/>
                <w:snapToGrid w:val="0"/>
                <w:color w:val="auto"/>
                <w:sz w:val="24"/>
                <w:highlight w:val="none"/>
              </w:rPr>
              <w:t>滑入式柔性接口直管。</w:t>
            </w:r>
          </w:p>
          <w:p>
            <w:pPr>
              <w:pStyle w:val="5"/>
              <w:numPr>
                <w:ilvl w:val="0"/>
                <w:numId w:val="0"/>
              </w:numPr>
              <w:tabs>
                <w:tab w:val="left" w:pos="425"/>
              </w:tabs>
              <w:spacing w:before="0" w:after="0"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尺寸、外形和重量</w:t>
            </w:r>
          </w:p>
          <w:p>
            <w:pPr>
              <w:pStyle w:val="7"/>
              <w:spacing w:before="0" w:after="0" w:line="360" w:lineRule="auto"/>
              <w:ind w:firstLine="480" w:firstLineChars="200"/>
              <w:rPr>
                <w:rFonts w:hint="eastAsia" w:ascii="宋体" w:hAnsi="宋体" w:eastAsia="宋体" w:cs="宋体"/>
                <w:snapToGrid w:val="0"/>
                <w:color w:val="auto"/>
                <w:highlight w:val="none"/>
              </w:rPr>
            </w:pPr>
            <w:r>
              <w:rPr>
                <w:rFonts w:hint="eastAsia" w:ascii="宋体" w:hAnsi="宋体" w:cs="宋体"/>
                <w:snapToGrid w:val="0"/>
                <w:color w:val="auto"/>
                <w:sz w:val="24"/>
                <w:szCs w:val="24"/>
                <w:highlight w:val="none"/>
                <w:lang w:eastAsia="zh-CN"/>
              </w:rPr>
              <w:t>　　</w:t>
            </w:r>
            <w:r>
              <w:rPr>
                <w:rFonts w:hint="eastAsia" w:ascii="宋体" w:hAnsi="宋体" w:eastAsia="宋体" w:cs="宋体"/>
                <w:snapToGrid w:val="0"/>
                <w:color w:val="auto"/>
                <w:highlight w:val="none"/>
              </w:rPr>
              <w:t>球墨铸铁管的尺寸和形状应符合表2-1-1的规定：</w:t>
            </w:r>
          </w:p>
          <w:p>
            <w:pPr>
              <w:spacing w:line="360" w:lineRule="auto"/>
              <w:ind w:firstLine="567"/>
              <w:jc w:val="center"/>
              <w:rPr>
                <w:rFonts w:ascii="宋体" w:hAnsi="宋体" w:cs="宋体"/>
                <w:snapToGrid w:val="0"/>
                <w:color w:val="auto"/>
                <w:sz w:val="24"/>
                <w:highlight w:val="none"/>
              </w:rPr>
            </w:pPr>
            <w:r>
              <w:rPr>
                <w:rFonts w:hint="eastAsia" w:ascii="宋体" w:hAnsi="宋体" w:cs="宋体"/>
                <w:snapToGrid w:val="0"/>
                <w:color w:val="auto"/>
                <w:sz w:val="24"/>
                <w:highlight w:val="none"/>
              </w:rPr>
              <w:t>表2-1-1  离心铸造球墨铸铁管规格</w:t>
            </w:r>
          </w:p>
          <w:p>
            <w:pPr>
              <w:pStyle w:val="10"/>
              <w:jc w:val="center"/>
              <w:rPr>
                <w:rFonts w:hint="eastAsia"/>
                <w:color w:val="auto"/>
                <w:highlight w:val="none"/>
              </w:rPr>
            </w:pPr>
            <w:r>
              <w:rPr>
                <w:rFonts w:hint="eastAsia"/>
                <w:color w:val="auto"/>
                <w:highlight w:val="none"/>
              </w:rPr>
              <w:t>（</w:t>
            </w:r>
            <w:r>
              <w:rPr>
                <w:rFonts w:hint="eastAsia" w:ascii="宋体" w:hAnsi="宋体" w:cs="宋体"/>
                <w:snapToGrid w:val="0"/>
                <w:color w:val="auto"/>
                <w:sz w:val="24"/>
                <w:highlight w:val="none"/>
              </w:rPr>
              <w:t>产品壁厚、标准长度等指标的偏差值应符合GB/T 26081-2010规定</w:t>
            </w:r>
            <w:r>
              <w:rPr>
                <w:rFonts w:hint="eastAsia"/>
                <w:color w:val="auto"/>
                <w:highlight w:val="none"/>
              </w:rPr>
              <w:t>）</w:t>
            </w:r>
          </w:p>
          <w:tbl>
            <w:tblPr>
              <w:tblStyle w:val="22"/>
              <w:tblW w:w="0" w:type="auto"/>
              <w:jc w:val="center"/>
              <w:tblLayout w:type="fixed"/>
              <w:tblCellMar>
                <w:top w:w="0" w:type="dxa"/>
                <w:left w:w="108" w:type="dxa"/>
                <w:bottom w:w="0" w:type="dxa"/>
                <w:right w:w="108" w:type="dxa"/>
              </w:tblCellMar>
            </w:tblPr>
            <w:tblGrid>
              <w:gridCol w:w="2161"/>
              <w:gridCol w:w="2410"/>
              <w:gridCol w:w="2409"/>
              <w:gridCol w:w="2215"/>
            </w:tblGrid>
            <w:tr>
              <w:tblPrEx>
                <w:tblCellMar>
                  <w:top w:w="0" w:type="dxa"/>
                  <w:left w:w="108" w:type="dxa"/>
                  <w:bottom w:w="0" w:type="dxa"/>
                  <w:right w:w="108" w:type="dxa"/>
                </w:tblCellMar>
              </w:tblPrEx>
              <w:trPr>
                <w:trHeight w:val="585" w:hRule="atLeast"/>
                <w:jc w:val="center"/>
              </w:trPr>
              <w:tc>
                <w:tcPr>
                  <w:tcW w:w="2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公称直径D</w:t>
                  </w:r>
                  <w:r>
                    <w:rPr>
                      <w:rFonts w:ascii="宋体" w:hAnsi="宋体" w:cs="宋体"/>
                      <w:color w:val="auto"/>
                      <w:sz w:val="24"/>
                      <w:highlight w:val="none"/>
                    </w:rPr>
                    <w:t>N</w:t>
                  </w:r>
                </w:p>
                <w:p>
                  <w:pPr>
                    <w:jc w:val="center"/>
                    <w:rPr>
                      <w:rFonts w:hint="eastAsia" w:ascii="宋体" w:hAnsi="宋体" w:cs="宋体"/>
                      <w:color w:val="auto"/>
                      <w:sz w:val="24"/>
                      <w:highlight w:val="none"/>
                    </w:rPr>
                  </w:pPr>
                  <w:r>
                    <w:rPr>
                      <w:rFonts w:hint="eastAsia" w:ascii="宋体" w:hAnsi="宋体" w:cs="宋体"/>
                      <w:color w:val="auto"/>
                      <w:sz w:val="24"/>
                      <w:highlight w:val="none"/>
                    </w:rPr>
                    <w:t>(mm)</w:t>
                  </w:r>
                </w:p>
              </w:tc>
              <w:tc>
                <w:tcPr>
                  <w:tcW w:w="2410" w:type="dxa"/>
                  <w:tcBorders>
                    <w:top w:val="single" w:color="auto" w:sz="8" w:space="0"/>
                    <w:left w:val="nil"/>
                    <w:bottom w:val="single" w:color="auto" w:sz="8" w:space="0"/>
                    <w:right w:val="single" w:color="auto" w:sz="8" w:space="0"/>
                  </w:tcBorders>
                  <w:shd w:val="clear" w:color="000000"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外径D</w:t>
                  </w:r>
                  <w:r>
                    <w:rPr>
                      <w:rFonts w:ascii="宋体" w:hAnsi="宋体" w:cs="宋体"/>
                      <w:color w:val="auto"/>
                      <w:sz w:val="24"/>
                      <w:highlight w:val="none"/>
                    </w:rPr>
                    <w:t>E</w:t>
                  </w:r>
                </w:p>
                <w:p>
                  <w:pPr>
                    <w:jc w:val="center"/>
                    <w:rPr>
                      <w:rFonts w:hint="eastAsia" w:ascii="宋体" w:hAnsi="宋体" w:cs="宋体"/>
                      <w:color w:val="auto"/>
                      <w:sz w:val="24"/>
                      <w:highlight w:val="none"/>
                    </w:rPr>
                  </w:pPr>
                  <w:r>
                    <w:rPr>
                      <w:rFonts w:hint="eastAsia" w:ascii="宋体" w:hAnsi="宋体" w:cs="宋体"/>
                      <w:color w:val="auto"/>
                      <w:sz w:val="24"/>
                      <w:highlight w:val="none"/>
                    </w:rPr>
                    <w:t>(mm)</w:t>
                  </w:r>
                </w:p>
              </w:tc>
              <w:tc>
                <w:tcPr>
                  <w:tcW w:w="2409" w:type="dxa"/>
                  <w:tcBorders>
                    <w:top w:val="single" w:color="auto" w:sz="8" w:space="0"/>
                    <w:left w:val="nil"/>
                    <w:bottom w:val="single" w:color="auto" w:sz="8" w:space="0"/>
                    <w:right w:val="single" w:color="auto" w:sz="8" w:space="0"/>
                  </w:tcBorders>
                  <w:shd w:val="clear" w:color="000000"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公称壁厚e</w:t>
                  </w:r>
                </w:p>
                <w:p>
                  <w:pPr>
                    <w:jc w:val="center"/>
                    <w:rPr>
                      <w:rFonts w:hint="eastAsia" w:ascii="宋体" w:hAnsi="宋体" w:cs="宋体"/>
                      <w:color w:val="auto"/>
                      <w:sz w:val="24"/>
                      <w:highlight w:val="none"/>
                    </w:rPr>
                  </w:pPr>
                  <w:r>
                    <w:rPr>
                      <w:rFonts w:hint="eastAsia" w:ascii="宋体" w:hAnsi="宋体" w:cs="宋体"/>
                      <w:color w:val="auto"/>
                      <w:sz w:val="24"/>
                      <w:highlight w:val="none"/>
                    </w:rPr>
                    <w:t>(mm)</w:t>
                  </w:r>
                </w:p>
              </w:tc>
              <w:tc>
                <w:tcPr>
                  <w:tcW w:w="2215" w:type="dxa"/>
                  <w:tcBorders>
                    <w:top w:val="single" w:color="auto" w:sz="8" w:space="0"/>
                    <w:left w:val="nil"/>
                    <w:bottom w:val="single" w:color="auto" w:sz="8" w:space="0"/>
                    <w:right w:val="single" w:color="auto" w:sz="8" w:space="0"/>
                  </w:tcBorders>
                  <w:shd w:val="clear" w:color="000000" w:fill="FFFFFF"/>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标准工作长度</w:t>
                  </w:r>
                </w:p>
                <w:p>
                  <w:pPr>
                    <w:jc w:val="center"/>
                    <w:rPr>
                      <w:rFonts w:hint="eastAsia" w:ascii="宋体" w:hAnsi="宋体" w:cs="宋体"/>
                      <w:color w:val="auto"/>
                      <w:sz w:val="24"/>
                      <w:highlight w:val="none"/>
                    </w:rPr>
                  </w:pPr>
                  <w:r>
                    <w:rPr>
                      <w:rFonts w:hint="eastAsia" w:ascii="宋体" w:hAnsi="宋体" w:cs="宋体"/>
                      <w:color w:val="auto"/>
                      <w:sz w:val="24"/>
                      <w:highlight w:val="none"/>
                    </w:rPr>
                    <w:t>(m)</w:t>
                  </w:r>
                </w:p>
              </w:tc>
            </w:tr>
            <w:tr>
              <w:tblPrEx>
                <w:tblCellMar>
                  <w:top w:w="0" w:type="dxa"/>
                  <w:left w:w="108" w:type="dxa"/>
                  <w:bottom w:w="0" w:type="dxa"/>
                  <w:right w:w="108" w:type="dxa"/>
                </w:tblCellMar>
              </w:tblPrEx>
              <w:trPr>
                <w:trHeight w:val="300" w:hRule="atLeast"/>
                <w:jc w:val="center"/>
              </w:trPr>
              <w:tc>
                <w:tcPr>
                  <w:tcW w:w="2161" w:type="dxa"/>
                  <w:tcBorders>
                    <w:top w:val="nil"/>
                    <w:left w:val="single" w:color="auto" w:sz="8" w:space="0"/>
                    <w:bottom w:val="single" w:color="auto" w:sz="8" w:space="0"/>
                    <w:right w:val="single" w:color="auto" w:sz="8"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300</w:t>
                  </w:r>
                </w:p>
              </w:tc>
              <w:tc>
                <w:tcPr>
                  <w:tcW w:w="2410" w:type="dxa"/>
                  <w:tcBorders>
                    <w:top w:val="nil"/>
                    <w:left w:val="nil"/>
                    <w:bottom w:val="single" w:color="auto" w:sz="8" w:space="0"/>
                    <w:right w:val="single" w:color="auto" w:sz="8"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326</w:t>
                  </w:r>
                </w:p>
              </w:tc>
              <w:tc>
                <w:tcPr>
                  <w:tcW w:w="2409" w:type="dxa"/>
                  <w:tcBorders>
                    <w:top w:val="nil"/>
                    <w:left w:val="nil"/>
                    <w:bottom w:val="single" w:color="auto" w:sz="8" w:space="0"/>
                    <w:right w:val="single" w:color="auto" w:sz="8" w:space="0"/>
                  </w:tcBorders>
                  <w:noWrap w:val="0"/>
                  <w:vAlign w:val="center"/>
                </w:tcPr>
                <w:p>
                  <w:pPr>
                    <w:jc w:val="center"/>
                    <w:rPr>
                      <w:rFonts w:hint="eastAsia" w:ascii="宋体" w:hAnsi="宋体" w:cs="宋体"/>
                      <w:color w:val="auto"/>
                      <w:sz w:val="24"/>
                      <w:highlight w:val="none"/>
                    </w:rPr>
                  </w:pPr>
                  <w:r>
                    <w:rPr>
                      <w:rFonts w:ascii="宋体" w:hAnsi="宋体" w:cs="宋体"/>
                      <w:color w:val="auto"/>
                      <w:sz w:val="24"/>
                      <w:highlight w:val="none"/>
                    </w:rPr>
                    <w:t>5.4</w:t>
                  </w:r>
                </w:p>
              </w:tc>
              <w:tc>
                <w:tcPr>
                  <w:tcW w:w="2215" w:type="dxa"/>
                  <w:tcBorders>
                    <w:top w:val="nil"/>
                    <w:left w:val="nil"/>
                    <w:bottom w:val="single" w:color="auto" w:sz="8" w:space="0"/>
                    <w:right w:val="single" w:color="auto" w:sz="8"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6</w:t>
                  </w:r>
                </w:p>
              </w:tc>
            </w:tr>
          </w:tbl>
          <w:p>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lang w:eastAsia="zh-CN"/>
              </w:rPr>
              <w:t>注：</w:t>
            </w:r>
            <w:r>
              <w:rPr>
                <w:rFonts w:hint="eastAsia" w:ascii="宋体" w:hAnsi="宋体" w:cs="宋体"/>
                <w:snapToGrid w:val="0"/>
                <w:color w:val="auto"/>
                <w:sz w:val="24"/>
                <w:highlight w:val="none"/>
                <w:lang w:val="en-US" w:eastAsia="zh-CN"/>
              </w:rPr>
              <w:t>1）</w:t>
            </w:r>
            <w:r>
              <w:rPr>
                <w:rFonts w:hint="eastAsia" w:ascii="宋体" w:hAnsi="宋体" w:cs="宋体"/>
                <w:snapToGrid w:val="0"/>
                <w:color w:val="auto"/>
                <w:sz w:val="24"/>
                <w:highlight w:val="none"/>
              </w:rPr>
              <w:t>球墨铸铁管插口不圆度不超过1%。</w:t>
            </w:r>
          </w:p>
          <w:p>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lang w:val="en-US" w:eastAsia="zh-CN"/>
              </w:rPr>
              <w:t>2）</w:t>
            </w:r>
            <w:r>
              <w:rPr>
                <w:rFonts w:hint="eastAsia" w:ascii="宋体" w:hAnsi="宋体" w:cs="宋体"/>
                <w:snapToGrid w:val="0"/>
                <w:color w:val="auto"/>
                <w:sz w:val="24"/>
                <w:highlight w:val="none"/>
              </w:rPr>
              <w:t>球墨铸铁管内径标准值相当于公称直径DN，允许偏差应符合GB/T 26081-2010规定。</w:t>
            </w:r>
          </w:p>
          <w:p>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lang w:val="en-US" w:eastAsia="zh-CN"/>
              </w:rPr>
              <w:t>3）</w:t>
            </w:r>
            <w:r>
              <w:rPr>
                <w:rFonts w:hint="eastAsia" w:ascii="宋体" w:hAnsi="宋体" w:cs="宋体"/>
                <w:snapToGrid w:val="0"/>
                <w:color w:val="auto"/>
                <w:sz w:val="24"/>
                <w:highlight w:val="none"/>
              </w:rPr>
              <w:t>承口和插口尺寸应符合制造标准的要求，即ISO2531或GB/T 26081-2010。</w:t>
            </w:r>
          </w:p>
          <w:p>
            <w:pPr>
              <w:pStyle w:val="6"/>
              <w:spacing w:before="0" w:after="0" w:line="360" w:lineRule="auto"/>
              <w:rPr>
                <w:rFonts w:hint="eastAsia" w:ascii="宋体" w:hAnsi="宋体" w:cs="宋体"/>
                <w:snapToGrid w:val="0"/>
                <w:color w:val="auto"/>
                <w:sz w:val="24"/>
                <w:szCs w:val="24"/>
                <w:highlight w:val="none"/>
                <w:lang w:eastAsia="zh-CN"/>
              </w:rPr>
            </w:pPr>
            <w:r>
              <w:rPr>
                <w:rFonts w:hint="eastAsia" w:ascii="宋体" w:hAnsi="宋体" w:cs="宋体"/>
                <w:snapToGrid w:val="0"/>
                <w:color w:val="auto"/>
                <w:sz w:val="24"/>
                <w:szCs w:val="24"/>
                <w:highlight w:val="none"/>
              </w:rPr>
              <w:t>外形及尺寸偏差</w:t>
            </w:r>
            <w:r>
              <w:rPr>
                <w:rFonts w:hint="eastAsia" w:ascii="宋体" w:hAnsi="宋体" w:cs="宋体"/>
                <w:snapToGrid w:val="0"/>
                <w:color w:val="auto"/>
                <w:sz w:val="24"/>
                <w:szCs w:val="24"/>
                <w:highlight w:val="none"/>
                <w:lang w:eastAsia="zh-CN"/>
              </w:rPr>
              <w:t>：</w:t>
            </w:r>
          </w:p>
          <w:p>
            <w:pPr>
              <w:pStyle w:val="6"/>
              <w:spacing w:before="0" w:after="0" w:line="360" w:lineRule="auto"/>
              <w:rPr>
                <w:rFonts w:hint="eastAsia" w:ascii="宋体" w:hAnsi="宋体" w:cs="宋体"/>
                <w:b w:val="0"/>
                <w:bCs w:val="0"/>
                <w:snapToGrid w:val="0"/>
                <w:color w:val="auto"/>
                <w:sz w:val="24"/>
                <w:highlight w:val="none"/>
              </w:rPr>
            </w:pPr>
            <w:r>
              <w:rPr>
                <w:rFonts w:hint="eastAsia" w:ascii="宋体" w:hAnsi="宋体" w:cs="宋体"/>
                <w:snapToGrid w:val="0"/>
                <w:color w:val="auto"/>
                <w:sz w:val="24"/>
                <w:szCs w:val="24"/>
                <w:highlight w:val="none"/>
                <w:lang w:eastAsia="zh-CN"/>
              </w:rPr>
              <w:t>　　</w:t>
            </w:r>
            <w:r>
              <w:rPr>
                <w:rFonts w:hint="eastAsia" w:ascii="宋体" w:hAnsi="宋体" w:cs="宋体"/>
                <w:b w:val="0"/>
                <w:bCs w:val="0"/>
                <w:snapToGrid w:val="0"/>
                <w:color w:val="auto"/>
                <w:sz w:val="24"/>
                <w:szCs w:val="24"/>
                <w:highlight w:val="none"/>
                <w:lang w:val="en-US" w:eastAsia="zh-CN"/>
              </w:rPr>
              <w:t>4）</w:t>
            </w:r>
            <w:r>
              <w:rPr>
                <w:rFonts w:hint="eastAsia" w:ascii="宋体" w:hAnsi="宋体" w:cs="宋体"/>
                <w:b w:val="0"/>
                <w:bCs w:val="0"/>
                <w:snapToGrid w:val="0"/>
                <w:color w:val="auto"/>
                <w:sz w:val="24"/>
                <w:highlight w:val="none"/>
              </w:rPr>
              <w:t>当管子在间距约为管长L的2/3的两个台架上滚动校验时球墨铸铁管的平直度最大偏差fm（mm）不应大于管子有效长度L（m）的1.25倍，即fm≤1.25L（mm）。</w:t>
            </w:r>
          </w:p>
          <w:p>
            <w:pPr>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球墨铸铁管端面与轴线垂直。</w:t>
            </w:r>
          </w:p>
          <w:p>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lang w:val="en-US" w:eastAsia="zh-CN"/>
              </w:rPr>
              <w:t>5）</w:t>
            </w:r>
            <w:r>
              <w:rPr>
                <w:rFonts w:hint="eastAsia" w:ascii="宋体" w:hAnsi="宋体" w:cs="宋体"/>
                <w:snapToGrid w:val="0"/>
                <w:color w:val="auto"/>
                <w:sz w:val="24"/>
                <w:highlight w:val="none"/>
              </w:rPr>
              <w:t>承口深度允许偏差为±3毫米。</w:t>
            </w:r>
          </w:p>
          <w:p>
            <w:pPr>
              <w:pStyle w:val="5"/>
              <w:numPr>
                <w:ilvl w:val="0"/>
                <w:numId w:val="0"/>
              </w:numPr>
              <w:tabs>
                <w:tab w:val="left" w:pos="425"/>
              </w:tabs>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接口形式</w:t>
            </w:r>
          </w:p>
          <w:p>
            <w:pPr>
              <w:spacing w:line="360" w:lineRule="auto"/>
              <w:ind w:firstLine="426"/>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球墨铸铁直管采用标准承插滑入式柔性橡胶圈接口，供应商应提供相当于管子根数1.05倍的橡胶圈。</w:t>
            </w:r>
          </w:p>
          <w:p>
            <w:pPr>
              <w:pStyle w:val="5"/>
              <w:numPr>
                <w:ilvl w:val="0"/>
                <w:numId w:val="0"/>
              </w:numPr>
              <w:tabs>
                <w:tab w:val="left" w:pos="425"/>
              </w:tabs>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技术要求</w:t>
            </w:r>
          </w:p>
          <w:p>
            <w:pPr>
              <w:pStyle w:val="6"/>
              <w:spacing w:before="0" w:after="0" w:line="360" w:lineRule="auto"/>
              <w:ind w:firstLine="482" w:firstLineChars="201"/>
              <w:rPr>
                <w:rFonts w:hint="eastAsia" w:ascii="宋体" w:hAnsi="宋体" w:cs="宋体"/>
                <w:color w:val="auto"/>
                <w:sz w:val="24"/>
                <w:highlight w:val="none"/>
              </w:rPr>
            </w:pPr>
            <w:r>
              <w:rPr>
                <w:rFonts w:hint="eastAsia" w:ascii="宋体" w:hAnsi="宋体" w:cs="宋体"/>
                <w:snapToGrid w:val="0"/>
                <w:color w:val="auto"/>
                <w:sz w:val="24"/>
                <w:szCs w:val="24"/>
                <w:highlight w:val="none"/>
                <w:lang w:val="en-US" w:eastAsia="zh-CN"/>
              </w:rPr>
              <w:t>4.1</w:t>
            </w:r>
            <w:r>
              <w:rPr>
                <w:rFonts w:hint="eastAsia" w:ascii="宋体" w:hAnsi="宋体" w:cs="宋体"/>
                <w:snapToGrid w:val="0"/>
                <w:color w:val="auto"/>
                <w:sz w:val="24"/>
                <w:szCs w:val="24"/>
                <w:highlight w:val="none"/>
              </w:rPr>
              <w:t>铸造工艺：</w:t>
            </w:r>
            <w:r>
              <w:rPr>
                <w:rFonts w:hint="eastAsia" w:ascii="宋体" w:hAnsi="宋体" w:cs="宋体"/>
                <w:color w:val="auto"/>
                <w:sz w:val="24"/>
                <w:highlight w:val="none"/>
              </w:rPr>
              <w:t>铸造工艺应为水冷浇铸。</w:t>
            </w:r>
          </w:p>
          <w:p>
            <w:pPr>
              <w:pStyle w:val="6"/>
              <w:spacing w:before="0" w:after="0" w:line="360" w:lineRule="auto"/>
              <w:ind w:firstLine="482" w:firstLineChars="201"/>
              <w:rPr>
                <w:rFonts w:hint="eastAsia" w:ascii="宋体" w:hAnsi="宋体" w:cs="宋体"/>
                <w:snapToGrid w:val="0"/>
                <w:color w:val="auto"/>
                <w:sz w:val="24"/>
                <w:highlight w:val="none"/>
                <w:lang w:eastAsia="zh-CN"/>
              </w:rPr>
            </w:pPr>
            <w:r>
              <w:rPr>
                <w:rFonts w:hint="eastAsia" w:ascii="宋体" w:hAnsi="宋体" w:cs="宋体"/>
                <w:snapToGrid w:val="0"/>
                <w:color w:val="auto"/>
                <w:sz w:val="24"/>
                <w:szCs w:val="24"/>
                <w:highlight w:val="none"/>
                <w:lang w:val="en-US" w:eastAsia="zh-CN"/>
              </w:rPr>
              <w:t>4.</w:t>
            </w:r>
            <w:r>
              <w:rPr>
                <w:rFonts w:ascii="宋体" w:hAnsi="宋体" w:cs="宋体"/>
                <w:snapToGrid w:val="0"/>
                <w:color w:val="auto"/>
                <w:sz w:val="24"/>
                <w:szCs w:val="24"/>
                <w:highlight w:val="none"/>
              </w:rPr>
              <w:t>2</w:t>
            </w:r>
            <w:r>
              <w:rPr>
                <w:rFonts w:hint="eastAsia" w:ascii="宋体" w:hAnsi="宋体" w:cs="宋体"/>
                <w:snapToGrid w:val="0"/>
                <w:color w:val="auto"/>
                <w:sz w:val="24"/>
                <w:szCs w:val="24"/>
                <w:highlight w:val="none"/>
              </w:rPr>
              <w:t>力学性能：</w:t>
            </w:r>
            <w:r>
              <w:rPr>
                <w:rFonts w:hint="eastAsia" w:ascii="宋体" w:hAnsi="宋体" w:cs="宋体"/>
                <w:b/>
                <w:snapToGrid w:val="0"/>
                <w:color w:val="auto"/>
                <w:sz w:val="24"/>
                <w:highlight w:val="none"/>
              </w:rPr>
              <w:t>拉伸试验</w:t>
            </w:r>
            <w:r>
              <w:rPr>
                <w:rFonts w:hint="eastAsia" w:ascii="宋体" w:hAnsi="宋体" w:cs="宋体"/>
                <w:snapToGrid w:val="0"/>
                <w:color w:val="auto"/>
                <w:sz w:val="24"/>
                <w:highlight w:val="none"/>
                <w:lang w:eastAsia="zh-CN"/>
              </w:rPr>
              <w:t>。</w:t>
            </w:r>
          </w:p>
          <w:p>
            <w:pPr>
              <w:pStyle w:val="6"/>
              <w:spacing w:before="0" w:after="0" w:line="360" w:lineRule="auto"/>
              <w:ind w:firstLine="482" w:firstLineChars="201"/>
              <w:rPr>
                <w:rFonts w:hint="eastAsia" w:ascii="宋体" w:hAnsi="宋体" w:cs="宋体"/>
                <w:snapToGrid w:val="0"/>
                <w:color w:val="auto"/>
                <w:sz w:val="24"/>
                <w:highlight w:val="none"/>
              </w:rPr>
            </w:pPr>
            <w:r>
              <w:rPr>
                <w:rFonts w:hint="eastAsia" w:ascii="宋体" w:hAnsi="宋体" w:cs="宋体"/>
                <w:snapToGrid w:val="0"/>
                <w:color w:val="auto"/>
                <w:sz w:val="24"/>
                <w:highlight w:val="none"/>
              </w:rPr>
              <w:t>球墨铸铁管、管件和附件的抗拉强度和断后伸长率应符合表6的规定。表6</w:t>
            </w:r>
          </w:p>
          <w:tbl>
            <w:tblPr>
              <w:tblStyle w:val="22"/>
              <w:tblW w:w="0" w:type="auto"/>
              <w:jc w:val="center"/>
              <w:tblLayout w:type="fixed"/>
              <w:tblCellMar>
                <w:top w:w="0" w:type="dxa"/>
                <w:left w:w="108" w:type="dxa"/>
                <w:bottom w:w="0" w:type="dxa"/>
                <w:right w:w="108" w:type="dxa"/>
              </w:tblCellMar>
            </w:tblPr>
            <w:tblGrid>
              <w:gridCol w:w="4032"/>
              <w:gridCol w:w="4786"/>
            </w:tblGrid>
            <w:tr>
              <w:tblPrEx>
                <w:tblCellMar>
                  <w:top w:w="0" w:type="dxa"/>
                  <w:left w:w="108" w:type="dxa"/>
                  <w:bottom w:w="0" w:type="dxa"/>
                  <w:right w:w="108" w:type="dxa"/>
                </w:tblCellMar>
              </w:tblPrEx>
              <w:trPr>
                <w:trHeight w:val="660" w:hRule="atLeast"/>
                <w:jc w:val="center"/>
              </w:trPr>
              <w:tc>
                <w:tcPr>
                  <w:tcW w:w="40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抗拉强度R</w:t>
                  </w:r>
                  <w:r>
                    <w:rPr>
                      <w:rFonts w:hint="eastAsia" w:ascii="宋体" w:hAnsi="宋体" w:cs="宋体"/>
                      <w:color w:val="auto"/>
                      <w:sz w:val="24"/>
                      <w:highlight w:val="none"/>
                      <w:vertAlign w:val="subscript"/>
                    </w:rPr>
                    <w:t>m</w:t>
                  </w:r>
                  <w:r>
                    <w:rPr>
                      <w:rFonts w:hint="eastAsia" w:ascii="宋体" w:hAnsi="宋体" w:cs="宋体"/>
                      <w:color w:val="auto"/>
                      <w:sz w:val="24"/>
                      <w:highlight w:val="none"/>
                    </w:rPr>
                    <w:t>/MPa</w:t>
                  </w:r>
                </w:p>
              </w:tc>
              <w:tc>
                <w:tcPr>
                  <w:tcW w:w="478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断后伸长率</w:t>
                  </w:r>
                </w:p>
                <w:p>
                  <w:pPr>
                    <w:jc w:val="center"/>
                    <w:rPr>
                      <w:rFonts w:hint="eastAsia" w:ascii="宋体" w:hAnsi="宋体" w:cs="宋体"/>
                      <w:color w:val="auto"/>
                      <w:sz w:val="24"/>
                      <w:highlight w:val="none"/>
                    </w:rPr>
                  </w:pPr>
                  <w:r>
                    <w:rPr>
                      <w:rFonts w:hint="eastAsia" w:ascii="宋体" w:hAnsi="宋体" w:cs="宋体"/>
                      <w:color w:val="auto"/>
                      <w:sz w:val="24"/>
                      <w:highlight w:val="none"/>
                    </w:rPr>
                    <w:t>A%</w:t>
                  </w:r>
                </w:p>
              </w:tc>
            </w:tr>
            <w:tr>
              <w:tblPrEx>
                <w:tblCellMar>
                  <w:top w:w="0" w:type="dxa"/>
                  <w:left w:w="108" w:type="dxa"/>
                  <w:bottom w:w="0" w:type="dxa"/>
                  <w:right w:w="108" w:type="dxa"/>
                </w:tblCellMar>
              </w:tblPrEx>
              <w:trPr>
                <w:trHeight w:val="285" w:hRule="atLeast"/>
                <w:jc w:val="center"/>
              </w:trPr>
              <w:tc>
                <w:tcPr>
                  <w:tcW w:w="40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≥420</w:t>
                  </w:r>
                </w:p>
              </w:tc>
              <w:tc>
                <w:tcPr>
                  <w:tcW w:w="478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w:t>
                  </w:r>
                </w:p>
              </w:tc>
            </w:tr>
          </w:tbl>
          <w:p>
            <w:pPr>
              <w:pStyle w:val="10"/>
              <w:rPr>
                <w:rFonts w:hint="eastAsia" w:ascii="宋体" w:hAnsi="宋体" w:cs="宋体"/>
                <w:snapToGrid w:val="0"/>
                <w:color w:val="auto"/>
                <w:sz w:val="24"/>
                <w:highlight w:val="none"/>
              </w:rPr>
            </w:pPr>
            <w:r>
              <w:rPr>
                <w:rFonts w:hint="eastAsia" w:ascii="宋体" w:hAnsi="宋体"/>
                <w:color w:val="auto"/>
                <w:sz w:val="24"/>
                <w:highlight w:val="none"/>
                <w:lang w:eastAsia="zh-CN"/>
              </w:rPr>
              <w:t>　</w:t>
            </w:r>
            <w:r>
              <w:rPr>
                <w:rFonts w:hint="eastAsia" w:ascii="宋体" w:hAnsi="宋体" w:cs="宋体"/>
                <w:b/>
                <w:snapToGrid w:val="0"/>
                <w:color w:val="auto"/>
                <w:sz w:val="24"/>
                <w:highlight w:val="none"/>
                <w:lang w:val="en-US" w:eastAsia="zh-CN"/>
              </w:rPr>
              <w:t>4.3</w:t>
            </w:r>
            <w:r>
              <w:rPr>
                <w:rFonts w:hint="eastAsia" w:ascii="宋体" w:hAnsi="宋体" w:cs="宋体"/>
                <w:b/>
                <w:snapToGrid w:val="0"/>
                <w:color w:val="auto"/>
                <w:sz w:val="24"/>
                <w:highlight w:val="none"/>
              </w:rPr>
              <w:t>布氏硬度</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球墨铸铁管、管件和附件应具有可以用标准工具对其进行切割、钻孔、打眼以及机械加工的硬度。</w:t>
            </w:r>
          </w:p>
          <w:p>
            <w:pPr>
              <w:spacing w:line="360" w:lineRule="auto"/>
              <w:ind w:firstLine="426"/>
              <w:rPr>
                <w:rFonts w:hint="eastAsia" w:ascii="Times New Roman" w:hAnsi="Times New Roman"/>
                <w:color w:val="auto"/>
                <w:highlight w:val="none"/>
              </w:rPr>
            </w:pPr>
            <w:r>
              <w:rPr>
                <w:rFonts w:hint="eastAsia" w:ascii="宋体" w:hAnsi="宋体" w:cs="宋体"/>
                <w:snapToGrid w:val="0"/>
                <w:color w:val="auto"/>
                <w:sz w:val="24"/>
                <w:highlight w:val="none"/>
              </w:rPr>
              <w:t>离心球铁管的布氏硬度值不得超过230HBW。</w:t>
            </w:r>
          </w:p>
          <w:p>
            <w:pPr>
              <w:spacing w:line="360" w:lineRule="auto"/>
              <w:ind w:firstLine="240" w:firstLineChars="100"/>
              <w:rPr>
                <w:rFonts w:hint="eastAsia" w:ascii="宋体" w:hAnsi="宋体" w:cs="宋体"/>
                <w:snapToGrid w:val="0"/>
                <w:color w:val="auto"/>
                <w:sz w:val="24"/>
                <w:highlight w:val="none"/>
              </w:rPr>
            </w:pPr>
            <w:r>
              <w:rPr>
                <w:rFonts w:hint="eastAsia" w:ascii="宋体" w:hAnsi="宋体" w:cs="宋体"/>
                <w:b/>
                <w:snapToGrid w:val="0"/>
                <w:color w:val="auto"/>
                <w:sz w:val="24"/>
                <w:highlight w:val="none"/>
                <w:lang w:val="en-US" w:eastAsia="zh-CN"/>
              </w:rPr>
              <w:t>4.4</w:t>
            </w:r>
            <w:r>
              <w:rPr>
                <w:rFonts w:hint="eastAsia" w:ascii="宋体" w:hAnsi="宋体" w:cs="宋体"/>
                <w:b/>
                <w:color w:val="auto"/>
                <w:sz w:val="24"/>
                <w:highlight w:val="none"/>
              </w:rPr>
              <w:t>屈服强度</w:t>
            </w:r>
          </w:p>
          <w:p>
            <w:pPr>
              <w:spacing w:line="360" w:lineRule="auto"/>
              <w:ind w:firstLine="426"/>
              <w:rPr>
                <w:rFonts w:hint="eastAsia" w:ascii="宋体" w:hAnsi="宋体" w:cs="宋体"/>
                <w:snapToGrid w:val="0"/>
                <w:color w:val="auto"/>
                <w:sz w:val="24"/>
                <w:highlight w:val="none"/>
              </w:rPr>
            </w:pPr>
            <w:r>
              <w:rPr>
                <w:rFonts w:hint="eastAsia" w:ascii="宋体" w:hAnsi="宋体" w:cs="宋体"/>
                <w:color w:val="auto"/>
                <w:sz w:val="24"/>
                <w:highlight w:val="none"/>
              </w:rPr>
              <w:t>屈服强度Rp0.2</w:t>
            </w:r>
            <w:r>
              <w:rPr>
                <w:rFonts w:hint="eastAsia" w:ascii="宋体" w:hAnsi="宋体" w:cs="宋体"/>
                <w:color w:val="auto"/>
                <w:spacing w:val="-14"/>
                <w:sz w:val="24"/>
                <w:highlight w:val="none"/>
              </w:rPr>
              <w:t>≥</w:t>
            </w:r>
            <w:r>
              <w:rPr>
                <w:rFonts w:hint="eastAsia" w:ascii="宋体" w:hAnsi="宋体" w:cs="宋体"/>
                <w:color w:val="auto"/>
                <w:sz w:val="24"/>
                <w:highlight w:val="none"/>
              </w:rPr>
              <w:t>300Mpa。</w:t>
            </w:r>
          </w:p>
          <w:p>
            <w:pPr>
              <w:pStyle w:val="6"/>
              <w:spacing w:before="0" w:after="0" w:line="360" w:lineRule="auto"/>
              <w:ind w:firstLine="240" w:firstLineChars="1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4.5</w:t>
            </w:r>
            <w:r>
              <w:rPr>
                <w:rFonts w:hint="eastAsia" w:ascii="宋体" w:hAnsi="宋体" w:cs="宋体"/>
                <w:snapToGrid w:val="0"/>
                <w:color w:val="auto"/>
                <w:sz w:val="24"/>
                <w:szCs w:val="24"/>
                <w:highlight w:val="none"/>
              </w:rPr>
              <w:t>涂层要求：</w:t>
            </w:r>
          </w:p>
          <w:p>
            <w:pPr>
              <w:spacing w:line="360" w:lineRule="auto"/>
              <w:ind w:firstLine="426"/>
              <w:rPr>
                <w:rFonts w:hint="eastAsia" w:ascii="宋体" w:hAnsi="宋体" w:cs="宋体"/>
                <w:snapToGrid w:val="0"/>
                <w:color w:val="auto"/>
                <w:sz w:val="24"/>
                <w:highlight w:val="none"/>
              </w:rPr>
            </w:pPr>
            <w:r>
              <w:rPr>
                <w:rFonts w:hint="eastAsia" w:ascii="宋体" w:hAnsi="宋体" w:cs="宋体"/>
                <w:color w:val="auto"/>
                <w:spacing w:val="-10"/>
                <w:sz w:val="24"/>
                <w:highlight w:val="none"/>
              </w:rPr>
              <w:t>球墨铸铁管要求内防腐，采用水泥砂浆涂衬，要求达到附着力强、渗水率小，化学稳定性好，施工简便。</w:t>
            </w:r>
          </w:p>
          <w:p>
            <w:pPr>
              <w:spacing w:line="360" w:lineRule="auto"/>
              <w:ind w:firstLine="426"/>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球墨铸铁管、管件和附件内外都应有涂层。涂盖前内外表面应无铁锈和杂物。涂盖后内外表面应光洁，涂层均匀，粘附牢固，不因气候变化而发生异常。</w:t>
            </w:r>
          </w:p>
          <w:p>
            <w:pPr>
              <w:spacing w:line="360" w:lineRule="auto"/>
              <w:ind w:firstLine="426"/>
              <w:rPr>
                <w:rFonts w:hint="eastAsia" w:ascii="宋体" w:hAnsi="宋体" w:cs="宋体"/>
                <w:b/>
                <w:snapToGrid w:val="0"/>
                <w:color w:val="auto"/>
                <w:sz w:val="24"/>
                <w:highlight w:val="none"/>
              </w:rPr>
            </w:pPr>
            <w:r>
              <w:rPr>
                <w:rFonts w:hint="eastAsia" w:ascii="宋体" w:hAnsi="宋体" w:cs="宋体"/>
                <w:b/>
                <w:snapToGrid w:val="0"/>
                <w:color w:val="auto"/>
                <w:sz w:val="24"/>
                <w:highlight w:val="none"/>
                <w:lang w:val="en-US" w:eastAsia="zh-CN"/>
              </w:rPr>
              <w:t>4.5</w:t>
            </w:r>
            <w:r>
              <w:rPr>
                <w:rFonts w:hint="eastAsia" w:ascii="宋体" w:hAnsi="宋体" w:cs="宋体"/>
                <w:b/>
                <w:snapToGrid w:val="0"/>
                <w:color w:val="auto"/>
                <w:sz w:val="24"/>
                <w:highlight w:val="none"/>
              </w:rPr>
              <w:t>.1外涂层</w:t>
            </w:r>
          </w:p>
          <w:p>
            <w:pPr>
              <w:spacing w:line="360" w:lineRule="auto"/>
              <w:ind w:firstLine="426"/>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highlight w:val="none"/>
              </w:rPr>
              <w:t>污水用球墨铸铁管的外表面先喷涂金属锌涂层，喷锌标准应符合GB/T26081-2010标准，喷锌密度不低于130g/m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，再涂刷红色防腐漆；承口内表面和插口外表面可能同污水接触的部分，均应采用环氧树脂涂覆防腐处理，干膜厚度不低于0.5mm。</w:t>
            </w:r>
          </w:p>
          <w:p>
            <w:pPr>
              <w:spacing w:line="360" w:lineRule="auto"/>
              <w:ind w:firstLine="426"/>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外表面带终饰层的喷锌涂层应符合GB/T</w:t>
            </w:r>
            <w:r>
              <w:rPr>
                <w:rFonts w:hint="eastAsia" w:ascii="宋体" w:hAnsi="宋体" w:cs="宋体"/>
                <w:color w:val="auto"/>
                <w:sz w:val="24"/>
                <w:highlight w:val="none"/>
              </w:rPr>
              <w:t>17456.1</w:t>
            </w:r>
            <w:r>
              <w:rPr>
                <w:rFonts w:hint="eastAsia" w:ascii="宋体" w:hAnsi="宋体" w:cs="宋体"/>
                <w:snapToGrid w:val="0"/>
                <w:color w:val="auto"/>
                <w:sz w:val="24"/>
                <w:highlight w:val="none"/>
              </w:rPr>
              <w:t>的规定，外表面带终饰层的富锌涂料涂层应符合GB/T</w:t>
            </w:r>
            <w:r>
              <w:rPr>
                <w:rFonts w:hint="eastAsia" w:ascii="宋体" w:hAnsi="宋体" w:cs="宋体"/>
                <w:color w:val="auto"/>
                <w:sz w:val="24"/>
                <w:highlight w:val="none"/>
              </w:rPr>
              <w:t>17456.2</w:t>
            </w:r>
            <w:r>
              <w:rPr>
                <w:rFonts w:hint="eastAsia" w:ascii="宋体" w:hAnsi="宋体" w:cs="宋体"/>
                <w:snapToGrid w:val="0"/>
                <w:color w:val="auto"/>
                <w:sz w:val="24"/>
                <w:highlight w:val="none"/>
              </w:rPr>
              <w:t>标准。</w:t>
            </w:r>
          </w:p>
          <w:p>
            <w:pPr>
              <w:spacing w:line="360" w:lineRule="auto"/>
              <w:ind w:firstLine="426"/>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涂层性能应符合GB/T26081-2010标准。</w:t>
            </w:r>
          </w:p>
          <w:p>
            <w:pPr>
              <w:pStyle w:val="7"/>
              <w:spacing w:before="0" w:after="0" w:line="360" w:lineRule="auto"/>
              <w:ind w:firstLine="422" w:firstLineChars="176"/>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.2内涂层</w:t>
            </w:r>
          </w:p>
          <w:p>
            <w:pPr>
              <w:spacing w:line="360" w:lineRule="auto"/>
              <w:ind w:firstLine="477" w:firstLineChars="199"/>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spacing w:val="2"/>
                <w:sz w:val="24"/>
                <w:highlight w:val="none"/>
              </w:rPr>
              <w:t>污水用球墨铸铁管的内衬应采用高铝水泥砂浆离心喷涂，且喷涂质量满足ISO4179或EN598中对高铝水泥密实程度和表面质量的要求。管内表面金属凸起的高度应不大于内衬厚度的5</w:t>
            </w:r>
            <w:r>
              <w:rPr>
                <w:rFonts w:ascii="宋体" w:hAnsi="宋体" w:cs="宋体"/>
                <w:color w:val="auto"/>
                <w:spacing w:val="2"/>
                <w:sz w:val="24"/>
                <w:highlight w:val="none"/>
              </w:rPr>
              <w:t>0</w:t>
            </w:r>
            <w:r>
              <w:rPr>
                <w:rFonts w:hint="eastAsia" w:ascii="宋体" w:hAnsi="宋体" w:cs="宋体"/>
                <w:color w:val="auto"/>
                <w:spacing w:val="2"/>
                <w:sz w:val="24"/>
                <w:highlight w:val="none"/>
              </w:rPr>
              <w:t>%。</w:t>
            </w:r>
            <w:r>
              <w:rPr>
                <w:rFonts w:hint="eastAsia" w:ascii="宋体" w:hAnsi="宋体" w:cs="宋体"/>
                <w:color w:val="auto"/>
                <w:spacing w:val="-10"/>
                <w:sz w:val="24"/>
                <w:highlight w:val="none"/>
              </w:rPr>
              <w:t>内衬因收缩形成的表面微小裂纹宽度及内衬厚度皆应符合G</w:t>
            </w:r>
            <w:r>
              <w:rPr>
                <w:rFonts w:ascii="宋体" w:hAnsi="宋体" w:cs="宋体"/>
                <w:color w:val="auto"/>
                <w:spacing w:val="-10"/>
                <w:sz w:val="24"/>
                <w:highlight w:val="none"/>
              </w:rPr>
              <w:t>B/T17457</w:t>
            </w:r>
            <w:r>
              <w:rPr>
                <w:rFonts w:hint="eastAsia" w:ascii="宋体" w:hAnsi="宋体" w:cs="宋体"/>
                <w:color w:val="auto"/>
                <w:spacing w:val="-10"/>
                <w:sz w:val="24"/>
                <w:highlight w:val="none"/>
              </w:rPr>
              <w:t>-</w:t>
            </w:r>
            <w:r>
              <w:rPr>
                <w:rFonts w:ascii="宋体" w:hAnsi="宋体" w:cs="宋体"/>
                <w:color w:val="auto"/>
                <w:spacing w:val="-10"/>
                <w:sz w:val="24"/>
                <w:highlight w:val="none"/>
              </w:rPr>
              <w:t>2019</w:t>
            </w:r>
            <w:r>
              <w:rPr>
                <w:rFonts w:hint="eastAsia" w:ascii="宋体" w:hAnsi="宋体" w:cs="宋体"/>
                <w:color w:val="auto"/>
                <w:spacing w:val="-10"/>
                <w:sz w:val="24"/>
                <w:highlight w:val="none"/>
              </w:rPr>
              <w:t>规定。</w:t>
            </w:r>
            <w:r>
              <w:rPr>
                <w:rFonts w:hint="eastAsia" w:ascii="宋体" w:hAnsi="宋体" w:cs="宋体"/>
                <w:color w:val="auto"/>
                <w:spacing w:val="2"/>
                <w:sz w:val="24"/>
                <w:highlight w:val="none"/>
              </w:rPr>
              <w:t>承口内表面和插口外表面防腐同管道要求。</w:t>
            </w:r>
          </w:p>
          <w:p>
            <w:pPr>
              <w:pStyle w:val="6"/>
              <w:spacing w:before="0" w:after="0" w:line="360" w:lineRule="auto"/>
              <w:ind w:firstLine="482" w:firstLineChars="201"/>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4.6</w:t>
            </w:r>
            <w:r>
              <w:rPr>
                <w:rFonts w:hint="eastAsia" w:ascii="宋体" w:hAnsi="宋体" w:cs="宋体"/>
                <w:snapToGrid w:val="0"/>
                <w:color w:val="auto"/>
                <w:sz w:val="24"/>
                <w:szCs w:val="24"/>
                <w:highlight w:val="none"/>
              </w:rPr>
              <w:t>密封要求：</w:t>
            </w:r>
          </w:p>
          <w:p>
            <w:pPr>
              <w:spacing w:line="360" w:lineRule="auto"/>
              <w:ind w:firstLine="482" w:firstLineChars="201"/>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(1)管道设计要求</w:t>
            </w:r>
          </w:p>
          <w:p>
            <w:pPr>
              <w:spacing w:line="360" w:lineRule="auto"/>
              <w:ind w:firstLine="482" w:firstLineChars="201"/>
              <w:rPr>
                <w:rFonts w:hint="eastAsia" w:ascii="宋体" w:hAnsi="宋体" w:cs="宋体"/>
                <w:snapToGrid w:val="0"/>
                <w:color w:val="auto"/>
                <w:sz w:val="24"/>
                <w:highlight w:val="none"/>
              </w:rPr>
            </w:pPr>
            <w:r>
              <w:rPr>
                <w:rFonts w:hint="eastAsia" w:ascii="宋体" w:hAnsi="宋体" w:cs="宋体"/>
                <w:snapToGrid w:val="0"/>
                <w:color w:val="auto"/>
                <w:sz w:val="24"/>
                <w:highlight w:val="none"/>
              </w:rPr>
              <w:t>正常运行下，包括可预见的外部负荷和接口运动(偏转、径向和轴向运动)，球铁管道在表7规定的压力下使用时，目测应无渗漏。</w:t>
            </w:r>
          </w:p>
          <w:p>
            <w:pPr>
              <w:spacing w:line="360" w:lineRule="auto"/>
              <w:ind w:firstLine="3408" w:firstLineChars="1420"/>
              <w:rPr>
                <w:rFonts w:hint="eastAsia" w:ascii="宋体" w:hAnsi="宋体" w:cs="宋体"/>
                <w:snapToGrid w:val="0"/>
                <w:color w:val="auto"/>
                <w:sz w:val="24"/>
                <w:highlight w:val="none"/>
              </w:rPr>
            </w:pPr>
            <w:r>
              <w:rPr>
                <w:rFonts w:hint="eastAsia" w:ascii="宋体" w:hAnsi="宋体" w:cs="宋体"/>
                <w:snapToGrid w:val="0"/>
                <w:color w:val="auto"/>
                <w:sz w:val="24"/>
                <w:highlight w:val="none"/>
              </w:rPr>
              <w:t>表7    设计压力</w:t>
            </w:r>
          </w:p>
          <w:tbl>
            <w:tblPr>
              <w:tblStyle w:val="22"/>
              <w:tblW w:w="0" w:type="auto"/>
              <w:jc w:val="center"/>
              <w:tblLayout w:type="fixed"/>
              <w:tblCellMar>
                <w:top w:w="0" w:type="dxa"/>
                <w:left w:w="108" w:type="dxa"/>
                <w:bottom w:w="0" w:type="dxa"/>
                <w:right w:w="108" w:type="dxa"/>
              </w:tblCellMar>
            </w:tblPr>
            <w:tblGrid>
              <w:gridCol w:w="1408"/>
              <w:gridCol w:w="2757"/>
              <w:gridCol w:w="2630"/>
              <w:gridCol w:w="2023"/>
            </w:tblGrid>
            <w:tr>
              <w:tblPrEx>
                <w:tblCellMar>
                  <w:top w:w="0" w:type="dxa"/>
                  <w:left w:w="108" w:type="dxa"/>
                  <w:bottom w:w="0" w:type="dxa"/>
                  <w:right w:w="108" w:type="dxa"/>
                </w:tblCellMar>
              </w:tblPrEx>
              <w:trPr>
                <w:trHeight w:val="285" w:hRule="atLeast"/>
                <w:jc w:val="center"/>
              </w:trPr>
              <w:tc>
                <w:tcPr>
                  <w:tcW w:w="14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运行类型</w:t>
                  </w:r>
                </w:p>
              </w:tc>
              <w:tc>
                <w:tcPr>
                  <w:tcW w:w="538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内部压力/MPa</w:t>
                  </w:r>
                </w:p>
              </w:tc>
              <w:tc>
                <w:tcPr>
                  <w:tcW w:w="202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连续状态下外部压力/MPa</w:t>
                  </w:r>
                </w:p>
              </w:tc>
            </w:tr>
            <w:tr>
              <w:tblPrEx>
                <w:tblCellMar>
                  <w:top w:w="0" w:type="dxa"/>
                  <w:left w:w="108" w:type="dxa"/>
                  <w:bottom w:w="0" w:type="dxa"/>
                  <w:right w:w="108" w:type="dxa"/>
                </w:tblCellMar>
              </w:tblPrEx>
              <w:trPr>
                <w:trHeight w:val="570" w:hRule="atLeast"/>
                <w:jc w:val="center"/>
              </w:trPr>
              <w:tc>
                <w:tcPr>
                  <w:tcW w:w="14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p>
              </w:tc>
              <w:tc>
                <w:tcPr>
                  <w:tcW w:w="275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连续状态下</w:t>
                  </w:r>
                </w:p>
              </w:tc>
              <w:tc>
                <w:tcPr>
                  <w:tcW w:w="26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偶然状态</w:t>
                  </w:r>
                </w:p>
              </w:tc>
              <w:tc>
                <w:tcPr>
                  <w:tcW w:w="20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285" w:hRule="atLeast"/>
                <w:jc w:val="center"/>
              </w:trPr>
              <w:tc>
                <w:tcPr>
                  <w:tcW w:w="140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重力</w:t>
                  </w:r>
                </w:p>
              </w:tc>
              <w:tc>
                <w:tcPr>
                  <w:tcW w:w="275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0-0.05</w:t>
                  </w:r>
                </w:p>
              </w:tc>
              <w:tc>
                <w:tcPr>
                  <w:tcW w:w="26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0.2</w:t>
                  </w:r>
                </w:p>
              </w:tc>
              <w:tc>
                <w:tcPr>
                  <w:tcW w:w="202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w:t>
                  </w:r>
                </w:p>
              </w:tc>
            </w:tr>
            <w:tr>
              <w:tblPrEx>
                <w:tblCellMar>
                  <w:top w:w="0" w:type="dxa"/>
                  <w:left w:w="108" w:type="dxa"/>
                  <w:bottom w:w="0" w:type="dxa"/>
                  <w:right w:w="108" w:type="dxa"/>
                </w:tblCellMar>
              </w:tblPrEx>
              <w:trPr>
                <w:trHeight w:val="70" w:hRule="atLeast"/>
                <w:jc w:val="center"/>
              </w:trPr>
              <w:tc>
                <w:tcPr>
                  <w:tcW w:w="1408"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正压</w:t>
                  </w:r>
                </w:p>
              </w:tc>
              <w:tc>
                <w:tcPr>
                  <w:tcW w:w="275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参见GB/T26081-2010</w:t>
                  </w:r>
                </w:p>
              </w:tc>
              <w:tc>
                <w:tcPr>
                  <w:tcW w:w="26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参见GB/T26081-2010</w:t>
                  </w:r>
                </w:p>
              </w:tc>
              <w:tc>
                <w:tcPr>
                  <w:tcW w:w="2023"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w:t>
                  </w:r>
                </w:p>
              </w:tc>
            </w:tr>
            <w:tr>
              <w:tblPrEx>
                <w:tblCellMar>
                  <w:top w:w="0" w:type="dxa"/>
                  <w:left w:w="108" w:type="dxa"/>
                  <w:bottom w:w="0" w:type="dxa"/>
                  <w:right w:w="108" w:type="dxa"/>
                </w:tblCellMar>
              </w:tblPrEx>
              <w:trPr>
                <w:trHeight w:val="70" w:hRule="atLeast"/>
                <w:jc w:val="center"/>
              </w:trPr>
              <w:tc>
                <w:tcPr>
                  <w:tcW w:w="1408"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p>
              </w:tc>
              <w:tc>
                <w:tcPr>
                  <w:tcW w:w="275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附录E的PFA</w:t>
                  </w:r>
                </w:p>
              </w:tc>
              <w:tc>
                <w:tcPr>
                  <w:tcW w:w="26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附录E的PMA</w:t>
                  </w:r>
                </w:p>
              </w:tc>
              <w:tc>
                <w:tcPr>
                  <w:tcW w:w="2023"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285" w:hRule="atLeast"/>
                <w:jc w:val="center"/>
              </w:trPr>
              <w:tc>
                <w:tcPr>
                  <w:tcW w:w="140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负压</w:t>
                  </w:r>
                </w:p>
              </w:tc>
              <w:tc>
                <w:tcPr>
                  <w:tcW w:w="2757"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630"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-0.08</w:t>
                  </w:r>
                </w:p>
              </w:tc>
              <w:tc>
                <w:tcPr>
                  <w:tcW w:w="202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0.1</w:t>
                  </w:r>
                </w:p>
              </w:tc>
            </w:tr>
          </w:tbl>
          <w:p>
            <w:pPr>
              <w:spacing w:line="360" w:lineRule="auto"/>
              <w:ind w:firstLine="484" w:firstLineChars="202"/>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(2)管道部件的密封性</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应符合GB/T26081-2010规定。</w:t>
            </w:r>
          </w:p>
          <w:p>
            <w:pPr>
              <w:pStyle w:val="6"/>
              <w:spacing w:before="0" w:after="0" w:line="360" w:lineRule="auto"/>
              <w:ind w:firstLine="482" w:firstLineChars="201"/>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4.7</w:t>
            </w:r>
            <w:r>
              <w:rPr>
                <w:rFonts w:hint="eastAsia" w:ascii="宋体" w:hAnsi="宋体" w:cs="宋体"/>
                <w:snapToGrid w:val="0"/>
                <w:color w:val="auto"/>
                <w:sz w:val="24"/>
                <w:szCs w:val="24"/>
                <w:highlight w:val="none"/>
              </w:rPr>
              <w:t>表面质量：</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(1)球铁管及管件的表面不应有裂纹、重皮；</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(2)承、插口密封工作面不应有连续的轴向沟纹，密封面以外的表面不影响使用的局部凸起应予验收；</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(3)带内衬球铁管及管件的内表面上的任何凸起高度不应超出内衬厚度的1/2。</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(4)球铁管及管件外表面的局部凹陷、铸造缺陷以及毛刺、飞边清除后的壁厚不得小于壁厚要求。</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(5)对于球铁管、管件和附件表面不影响壁厚的局部凹陷和局部损伤，必要时可进行修复，例如焊补，修复后的球铁管、管件和附件应符合要求。</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cs="宋体"/>
                <w:snapToGrid w:val="0"/>
                <w:color w:val="auto"/>
                <w:sz w:val="24"/>
                <w:highlight w:val="none"/>
              </w:rPr>
              <w:t>(6)承口内表面和插口外表面的工作面，应当光滑平整，轮廓清晰，不允许有影响密封性能的铸造缺陷存在。</w:t>
            </w:r>
          </w:p>
          <w:p>
            <w:pPr>
              <w:pStyle w:val="6"/>
              <w:spacing w:before="0" w:after="0" w:line="360" w:lineRule="auto"/>
              <w:ind w:firstLine="482" w:firstLineChars="201"/>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4.8</w:t>
            </w:r>
            <w:r>
              <w:rPr>
                <w:rFonts w:hint="eastAsia" w:ascii="宋体" w:hAnsi="宋体" w:cs="宋体"/>
                <w:snapToGrid w:val="0"/>
                <w:color w:val="auto"/>
                <w:sz w:val="24"/>
                <w:szCs w:val="24"/>
                <w:highlight w:val="none"/>
              </w:rPr>
              <w:t>水压试验：</w:t>
            </w:r>
          </w:p>
          <w:p>
            <w:pPr>
              <w:spacing w:line="360" w:lineRule="auto"/>
              <w:ind w:firstLine="484" w:firstLineChars="202"/>
              <w:rPr>
                <w:rFonts w:hint="eastAsia" w:ascii="宋体" w:hAnsi="宋体" w:cs="宋体"/>
                <w:color w:val="auto"/>
                <w:sz w:val="24"/>
                <w:highlight w:val="none"/>
              </w:rPr>
            </w:pPr>
            <w:r>
              <w:rPr>
                <w:rFonts w:hint="eastAsia" w:ascii="宋体" w:hAnsi="宋体" w:cs="宋体"/>
                <w:snapToGrid w:val="0"/>
                <w:color w:val="auto"/>
                <w:sz w:val="24"/>
                <w:highlight w:val="none"/>
              </w:rPr>
              <w:t>水压试验：</w:t>
            </w:r>
            <w:r>
              <w:rPr>
                <w:rFonts w:hint="eastAsia" w:ascii="宋体" w:hAnsi="宋体" w:cs="宋体"/>
                <w:color w:val="auto"/>
                <w:sz w:val="24"/>
                <w:highlight w:val="none"/>
              </w:rPr>
              <w:t>在3MPa的压力下，保压至少10s，目测无渗漏。</w:t>
            </w:r>
          </w:p>
          <w:p>
            <w:pPr>
              <w:pStyle w:val="5"/>
              <w:numPr>
                <w:ilvl w:val="0"/>
                <w:numId w:val="0"/>
              </w:numPr>
              <w:tabs>
                <w:tab w:val="left" w:pos="425"/>
              </w:tabs>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4.9</w:t>
            </w:r>
            <w:r>
              <w:rPr>
                <w:rFonts w:hint="eastAsia" w:ascii="宋体" w:hAnsi="宋体" w:eastAsia="宋体" w:cs="宋体"/>
                <w:color w:val="auto"/>
                <w:sz w:val="24"/>
                <w:szCs w:val="24"/>
                <w:highlight w:val="none"/>
              </w:rPr>
              <w:t>性能要求</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(1)纵向抗弯强度、径向刚度的性能应符合GB/T26081-2010的要求。</w:t>
            </w:r>
          </w:p>
          <w:p>
            <w:pPr>
              <w:spacing w:line="360" w:lineRule="auto"/>
              <w:ind w:firstLine="484" w:firstLineChars="202"/>
              <w:rPr>
                <w:rFonts w:hint="eastAsia" w:ascii="宋体" w:hAnsi="宋体" w:cs="宋体"/>
                <w:snapToGrid w:val="0"/>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snapToGrid w:val="0"/>
                <w:color w:val="auto"/>
                <w:sz w:val="24"/>
                <w:highlight w:val="none"/>
              </w:rPr>
              <w:t>(2)接口的密封性应符合GB/T26081-2010的要求。</w:t>
            </w:r>
          </w:p>
          <w:p>
            <w:pPr>
              <w:pStyle w:val="4"/>
              <w:numPr>
                <w:ilvl w:val="0"/>
                <w:numId w:val="0"/>
              </w:numPr>
              <w:spacing w:before="0" w:after="0" w:line="360" w:lineRule="auto"/>
              <w:ind w:left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球墨铸铁管胶圈</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highlight w:val="none"/>
              </w:rPr>
              <w:t>球墨铸铁管胶圈采用丁腈材质。球墨铸铁管胶圈的尺寸偏差应符合GB/T3672的规定，物理性能满足ISO4633的要求。</w:t>
            </w:r>
          </w:p>
          <w:p>
            <w:pPr>
              <w:pStyle w:val="4"/>
              <w:numPr>
                <w:ilvl w:val="0"/>
                <w:numId w:val="0"/>
              </w:numPr>
              <w:spacing w:before="0" w:after="0" w:line="360" w:lineRule="auto"/>
              <w:rPr>
                <w:rFonts w:hint="eastAsia" w:ascii="宋体" w:hAnsi="宋体" w:cs="宋体"/>
                <w:b w:val="0"/>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标记和质量证明书</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1)颜色</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污水用球铁管、管件及附件应用褐色、红色或灰色进行标记；</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2)标记</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所有球铁管、管件都应有清晰持久的标记。标记至少应有以下内容：</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生产厂名称或商标</w:t>
            </w:r>
            <w:r>
              <w:rPr>
                <w:rFonts w:hint="eastAsia" w:ascii="宋体" w:hAnsi="宋体" w:cs="宋体"/>
                <w:color w:val="auto"/>
                <w:position w:val="2"/>
                <w:sz w:val="24"/>
                <w:highlight w:val="none"/>
              </w:rPr>
              <w:t>（铸字）</w:t>
            </w:r>
            <w:r>
              <w:rPr>
                <w:rFonts w:hint="eastAsia" w:ascii="宋体" w:hAnsi="宋体" w:cs="宋体"/>
                <w:snapToGrid w:val="0"/>
                <w:color w:val="auto"/>
                <w:sz w:val="24"/>
                <w:highlight w:val="none"/>
              </w:rPr>
              <w:t>；生产年份；铸铁性质；公称直径；法兰PN值；标准编号；插口插入深度；球铁管可切割标示；用途标示。</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以上前五项要铸出或冷冲，后五项可用任何方法进行喷印或打印。</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3)质量证明书</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产品出厂时应附有产品质量证明书，证明书至少应包括以下内容：</w:t>
            </w:r>
          </w:p>
          <w:p>
            <w:pPr>
              <w:spacing w:line="360" w:lineRule="auto"/>
              <w:ind w:firstLine="426"/>
              <w:rPr>
                <w:rFonts w:hint="eastAsia" w:ascii="宋体" w:hAnsi="宋体" w:cs="宋体"/>
                <w:snapToGrid w:val="0"/>
                <w:color w:val="auto"/>
                <w:sz w:val="24"/>
                <w:highlight w:val="none"/>
              </w:rPr>
            </w:pPr>
            <w:r>
              <w:rPr>
                <w:rFonts w:hint="eastAsia" w:ascii="宋体" w:hAnsi="宋体" w:cs="宋体"/>
                <w:snapToGrid w:val="0"/>
                <w:color w:val="auto"/>
                <w:sz w:val="24"/>
                <w:highlight w:val="none"/>
              </w:rPr>
              <w:t>生产厂名称或商标；标准编号；产品名称、规格；产品批次；水压实验数值和/气密性实验数值；力学性能数值；内外涂层种类。</w:t>
            </w:r>
          </w:p>
          <w:p>
            <w:pPr>
              <w:numPr>
                <w:ilvl w:val="0"/>
                <w:numId w:val="0"/>
              </w:numPr>
              <w:spacing w:line="360" w:lineRule="auto"/>
              <w:ind w:firstLine="480" w:firstLineChars="200"/>
              <w:rPr>
                <w:rFonts w:hint="eastAsia"/>
                <w:color w:val="auto"/>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投标文件中需提供管材企业标记图样。</w:t>
            </w:r>
            <w:bookmarkStart w:id="5" w:name="_Toc459032608"/>
            <w:bookmarkStart w:id="6" w:name="_Toc459098030"/>
            <w:bookmarkStart w:id="7" w:name="_Toc458102729"/>
            <w:bookmarkStart w:id="8" w:name="_Toc422921933"/>
          </w:p>
          <w:p>
            <w:pPr>
              <w:spacing w:line="500" w:lineRule="exact"/>
              <w:outlineLvl w:val="1"/>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、货物包装方式</w:t>
            </w:r>
            <w:bookmarkEnd w:id="5"/>
            <w:bookmarkEnd w:id="6"/>
            <w:bookmarkEnd w:id="7"/>
            <w:bookmarkEnd w:id="8"/>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4.1包装：货物交货时应按国家有关标准要求进行包装。</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4.2方式：包装必须与运输方式相适应，包装方式的确定及包装费用均由中标人负责；由于不适当的包装而造成货物在运输过程中有任何损坏由中标人负责。</w:t>
            </w:r>
          </w:p>
          <w:p>
            <w:pPr>
              <w:pStyle w:val="1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highlight w:val="none"/>
              </w:rPr>
            </w:pPr>
            <w:r>
              <w:rPr>
                <w:rFonts w:hint="eastAsia" w:ascii="宋体" w:hAnsi="宋体" w:eastAsia="宋体" w:cs="宋体"/>
                <w:color w:val="auto"/>
                <w:kern w:val="2"/>
                <w:sz w:val="24"/>
                <w:highlight w:val="none"/>
                <w:lang w:val="en-US" w:eastAsia="zh-CN" w:bidi="ar-SA"/>
              </w:rPr>
              <w:t>注：包装应足以承受整个过程中的运输、转运、装卸、储存等，充分考虑到运输途中的各种情况(如暴露于恶劣气候等)和项目所在地的气候特点，以及露天存放的需要。</w:t>
            </w:r>
          </w:p>
        </w:tc>
      </w:tr>
    </w:tbl>
    <w:p>
      <w:pPr>
        <w:pStyle w:val="19"/>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微软雅黑" w:hAnsi="微软雅黑" w:eastAsia="宋体" w:cs="宋体"/>
          <w:color w:val="auto"/>
          <w:kern w:val="0"/>
          <w:sz w:val="24"/>
          <w:szCs w:val="24"/>
          <w:highlight w:val="none"/>
          <w:lang w:eastAsia="zh-CN"/>
        </w:rPr>
      </w:pPr>
      <w:r>
        <w:rPr>
          <w:rFonts w:hint="eastAsia" w:ascii="宋体" w:hAnsi="宋体" w:cs="宋体"/>
          <w:b/>
          <w:color w:val="auto"/>
          <w:kern w:val="0"/>
          <w:sz w:val="24"/>
          <w:szCs w:val="24"/>
          <w:highlight w:val="none"/>
        </w:rPr>
        <w:t>（二）样品要求</w:t>
      </w:r>
      <w:r>
        <w:rPr>
          <w:rFonts w:hint="eastAsia" w:ascii="宋体" w:hAnsi="宋体" w:cs="宋体"/>
          <w:b/>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35"/>
        <w:jc w:val="lef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color w:val="auto"/>
          <w:kern w:val="0"/>
          <w:sz w:val="24"/>
          <w:szCs w:val="24"/>
          <w:highlight w:val="none"/>
        </w:rPr>
        <w:t>1、投标人必须提供</w:t>
      </w:r>
      <w:r>
        <w:rPr>
          <w:rFonts w:hint="eastAsia" w:ascii="宋体" w:hAnsi="宋体" w:cs="宋体"/>
          <w:b/>
          <w:color w:val="auto"/>
          <w:kern w:val="0"/>
          <w:sz w:val="24"/>
          <w:szCs w:val="24"/>
          <w:highlight w:val="none"/>
          <w:lang w:eastAsia="zh-CN"/>
        </w:rPr>
        <w:t>的样品</w:t>
      </w:r>
      <w:r>
        <w:rPr>
          <w:rFonts w:hint="eastAsia" w:ascii="宋体" w:hAnsi="宋体" w:cs="宋体"/>
          <w:b/>
          <w:bCs/>
          <w:color w:val="auto"/>
          <w:kern w:val="0"/>
          <w:sz w:val="24"/>
          <w:szCs w:val="24"/>
          <w:highlight w:val="none"/>
        </w:rPr>
        <w:t>（样品上需喷</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1.压力等级 2.环刚度 3.壁厚。）</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合同包</w:t>
            </w:r>
          </w:p>
        </w:tc>
        <w:tc>
          <w:tcPr>
            <w:tcW w:w="8317"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bCs/>
                <w:color w:val="auto"/>
                <w:kern w:val="0"/>
                <w:sz w:val="24"/>
                <w:szCs w:val="24"/>
                <w:highlight w:val="none"/>
              </w:rPr>
            </w:pPr>
            <w:r>
              <w:rPr>
                <w:rFonts w:hint="eastAsia" w:ascii="宋体" w:hAnsi="宋体" w:cs="宋体"/>
                <w:b/>
                <w:color w:val="auto"/>
                <w:kern w:val="0"/>
                <w:sz w:val="24"/>
                <w:szCs w:val="24"/>
                <w:highlight w:val="none"/>
              </w:rPr>
              <w:t>提供实物样品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1</w:t>
            </w:r>
          </w:p>
        </w:tc>
        <w:tc>
          <w:tcPr>
            <w:tcW w:w="8317" w:type="dxa"/>
            <w:noWrap w:val="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color w:val="auto"/>
                <w:lang w:eastAsia="zh-CN"/>
              </w:rPr>
            </w:pPr>
            <w:r>
              <w:rPr>
                <w:rFonts w:hint="eastAsia"/>
                <w:color w:val="auto"/>
              </w:rPr>
              <w:t>PVC-U管材DN110</w:t>
            </w:r>
            <w:r>
              <w:rPr>
                <w:rFonts w:hint="eastAsia"/>
                <w:color w:val="auto"/>
                <w:lang w:eastAsia="zh-CN"/>
              </w:rPr>
              <w:t>，长度</w:t>
            </w:r>
            <w:r>
              <w:rPr>
                <w:rFonts w:hint="eastAsia"/>
                <w:color w:val="auto"/>
              </w:rPr>
              <w:t>1m（±20cm）</w:t>
            </w:r>
            <w:r>
              <w:rPr>
                <w:rFonts w:hint="eastAsia"/>
                <w:color w:val="auto"/>
                <w:lang w:eastAsia="zh-CN"/>
              </w:rPr>
              <w:t>；</w:t>
            </w:r>
          </w:p>
          <w:p>
            <w:pPr>
              <w:pStyle w:val="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管件</w:t>
            </w:r>
            <w:r>
              <w:rPr>
                <w:rFonts w:hint="eastAsia" w:ascii="宋体" w:hAnsi="宋体" w:eastAsia="宋体" w:cs="宋体"/>
                <w:color w:val="auto"/>
                <w:sz w:val="24"/>
                <w:szCs w:val="24"/>
                <w:highlight w:val="none"/>
                <w:lang w:val="en-US" w:eastAsia="zh-CN"/>
              </w:rPr>
              <w:t>DN110*</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eastAsia="zh-CN"/>
              </w:rPr>
              <w:t>弯头</w:t>
            </w:r>
            <w:r>
              <w:rPr>
                <w:rFonts w:hint="eastAsia" w:ascii="宋体" w:hAnsi="宋体" w:eastAsia="宋体" w:cs="宋体"/>
                <w:color w:val="auto"/>
                <w:sz w:val="24"/>
                <w:szCs w:val="24"/>
                <w:highlight w:val="none"/>
                <w:lang w:val="en-US" w:eastAsia="zh-CN"/>
              </w:rPr>
              <w:t>1个；</w:t>
            </w:r>
          </w:p>
          <w:p>
            <w:pPr>
              <w:pStyle w:val="2"/>
              <w:ind w:left="0" w:leftChars="0" w:firstLine="0" w:firstLineChars="0"/>
              <w:rPr>
                <w:rFonts w:hint="eastAsia" w:ascii="宋体" w:hAnsi="宋体" w:eastAsia="仿宋_GB2312"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管件</w:t>
            </w:r>
            <w:r>
              <w:rPr>
                <w:rFonts w:hint="eastAsia" w:ascii="宋体" w:hAnsi="宋体" w:eastAsia="宋体" w:cs="宋体"/>
                <w:color w:val="auto"/>
                <w:sz w:val="24"/>
                <w:szCs w:val="24"/>
                <w:highlight w:val="none"/>
                <w:lang w:val="en-US" w:eastAsia="zh-CN"/>
              </w:rPr>
              <w:t>DN160*</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三通</w:t>
            </w:r>
            <w:r>
              <w:rPr>
                <w:rFonts w:hint="eastAsia" w:ascii="宋体" w:hAnsi="宋体" w:eastAsia="宋体" w:cs="宋体"/>
                <w:color w:val="auto"/>
                <w:sz w:val="24"/>
                <w:szCs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2</w:t>
            </w:r>
          </w:p>
        </w:tc>
        <w:tc>
          <w:tcPr>
            <w:tcW w:w="8317" w:type="dxa"/>
            <w:noWrap w:val="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玻璃钢夹砂管DN300管材带承口（</w:t>
            </w:r>
            <w:r>
              <w:rPr>
                <w:rFonts w:hint="eastAsia" w:ascii="宋体" w:hAnsi="宋体" w:eastAsia="宋体" w:cs="宋体"/>
                <w:b w:val="0"/>
                <w:bCs w:val="0"/>
                <w:color w:val="auto"/>
                <w:sz w:val="24"/>
                <w:szCs w:val="24"/>
                <w:highlight w:val="none"/>
                <w:lang w:eastAsia="zh-CN"/>
              </w:rPr>
              <w:t>长度</w:t>
            </w:r>
            <w:r>
              <w:rPr>
                <w:rFonts w:hint="eastAsia" w:ascii="宋体" w:hAnsi="宋体" w:eastAsia="宋体" w:cs="宋体"/>
                <w:color w:val="auto"/>
                <w:sz w:val="24"/>
                <w:szCs w:val="24"/>
                <w:highlight w:val="none"/>
              </w:rPr>
              <w:t>30cm以上）</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p>
        </w:tc>
        <w:tc>
          <w:tcPr>
            <w:tcW w:w="8317" w:type="dxa"/>
            <w:noWrap w:val="0"/>
            <w:vAlign w:val="center"/>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球墨铸铁管</w:t>
            </w:r>
            <w:r>
              <w:rPr>
                <w:rFonts w:hint="eastAsia" w:ascii="宋体" w:hAnsi="宋体" w:eastAsia="宋体" w:cs="宋体"/>
                <w:color w:val="auto"/>
                <w:sz w:val="24"/>
                <w:szCs w:val="24"/>
                <w:highlight w:val="none"/>
                <w:lang w:eastAsia="zh-CN"/>
              </w:rPr>
              <w:t>DN</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00</w:t>
            </w:r>
            <w:r>
              <w:rPr>
                <w:rFonts w:hint="eastAsia" w:ascii="宋体" w:hAnsi="宋体" w:cs="宋体"/>
                <w:color w:val="auto"/>
                <w:sz w:val="24"/>
                <w:szCs w:val="24"/>
                <w:highlight w:val="none"/>
                <w:lang w:eastAsia="zh-CN"/>
              </w:rPr>
              <w:t>带承口</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长度</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0cm</w:t>
            </w:r>
            <w:r>
              <w:rPr>
                <w:rFonts w:hint="eastAsia" w:ascii="宋体" w:hAnsi="宋体" w:cs="宋体"/>
                <w:color w:val="auto"/>
                <w:sz w:val="24"/>
                <w:szCs w:val="24"/>
                <w:highlight w:val="none"/>
                <w:lang w:eastAsia="zh-CN"/>
              </w:rPr>
              <w:t>以上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配套DN300管材的丁腈橡胶圈1个。</w:t>
            </w:r>
          </w:p>
        </w:tc>
      </w:tr>
    </w:tbl>
    <w:p>
      <w:pPr>
        <w:keepNext w:val="0"/>
        <w:keepLines w:val="0"/>
        <w:pageBreakBefore w:val="0"/>
        <w:widowControl/>
        <w:kinsoku/>
        <w:wordWrap/>
        <w:overflowPunct/>
        <w:topLinePunct w:val="0"/>
        <w:autoSpaceDE/>
        <w:autoSpaceDN/>
        <w:bidi w:val="0"/>
        <w:adjustRightInd/>
        <w:snapToGrid/>
        <w:spacing w:line="480" w:lineRule="exact"/>
        <w:ind w:firstLine="437"/>
        <w:jc w:val="left"/>
        <w:textAlignment w:val="auto"/>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投标样品随同投标文件在截止有效时间前送达开标地点。投标人提供的样品</w:t>
      </w:r>
      <w:r>
        <w:rPr>
          <w:rFonts w:hint="eastAsia" w:ascii="宋体" w:hAnsi="宋体" w:cs="宋体"/>
          <w:b/>
          <w:color w:val="auto"/>
          <w:kern w:val="0"/>
          <w:sz w:val="24"/>
          <w:szCs w:val="24"/>
          <w:highlight w:val="none"/>
          <w:lang w:val="en-US" w:eastAsia="zh-CN"/>
        </w:rPr>
        <w:t>不得出现品牌、型号、公司名称等投标人相关信息</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截标后</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由招标</w:t>
      </w:r>
      <w:r>
        <w:rPr>
          <w:rFonts w:hint="eastAsia" w:ascii="宋体" w:hAnsi="宋体" w:cs="宋体"/>
          <w:b/>
          <w:color w:val="auto"/>
          <w:kern w:val="0"/>
          <w:sz w:val="24"/>
          <w:szCs w:val="24"/>
          <w:highlight w:val="none"/>
        </w:rPr>
        <w:t>代理公司和</w:t>
      </w:r>
      <w:r>
        <w:rPr>
          <w:rFonts w:hint="eastAsia" w:ascii="宋体" w:hAnsi="宋体" w:cs="宋体"/>
          <w:b/>
          <w:color w:val="auto"/>
          <w:kern w:val="0"/>
          <w:sz w:val="24"/>
          <w:szCs w:val="24"/>
          <w:highlight w:val="none"/>
          <w:lang w:eastAsia="zh-CN"/>
        </w:rPr>
        <w:t>采购人</w:t>
      </w:r>
      <w:r>
        <w:rPr>
          <w:rFonts w:hint="eastAsia" w:ascii="宋体" w:hAnsi="宋体" w:cs="宋体"/>
          <w:b/>
          <w:color w:val="auto"/>
          <w:kern w:val="0"/>
          <w:sz w:val="24"/>
          <w:szCs w:val="24"/>
          <w:highlight w:val="none"/>
        </w:rPr>
        <w:t>统一对各投标人样品进行</w:t>
      </w:r>
      <w:r>
        <w:rPr>
          <w:rFonts w:hint="eastAsia" w:ascii="宋体" w:hAnsi="宋体" w:cs="宋体"/>
          <w:b/>
          <w:color w:val="auto"/>
          <w:kern w:val="0"/>
          <w:sz w:val="24"/>
          <w:szCs w:val="24"/>
          <w:highlight w:val="none"/>
          <w:lang w:val="en-US" w:eastAsia="zh-CN"/>
        </w:rPr>
        <w:t>随机</w:t>
      </w:r>
      <w:r>
        <w:rPr>
          <w:rFonts w:hint="eastAsia" w:ascii="宋体" w:hAnsi="宋体" w:cs="宋体"/>
          <w:b/>
          <w:color w:val="auto"/>
          <w:kern w:val="0"/>
          <w:sz w:val="24"/>
          <w:szCs w:val="24"/>
          <w:highlight w:val="none"/>
        </w:rPr>
        <w:t>编号，各投标人提供的样品在截标前应自行保管并注意各自样品完整性，在样品提交</w:t>
      </w:r>
      <w:r>
        <w:rPr>
          <w:rFonts w:hint="eastAsia" w:ascii="宋体" w:hAnsi="宋体" w:cs="宋体"/>
          <w:b/>
          <w:color w:val="auto"/>
          <w:kern w:val="0"/>
          <w:sz w:val="24"/>
          <w:szCs w:val="24"/>
          <w:highlight w:val="none"/>
          <w:lang w:val="en-US" w:eastAsia="zh-CN"/>
        </w:rPr>
        <w:t>招标</w:t>
      </w:r>
      <w:r>
        <w:rPr>
          <w:rFonts w:hint="eastAsia" w:ascii="宋体" w:hAnsi="宋体" w:cs="宋体"/>
          <w:b/>
          <w:color w:val="auto"/>
          <w:kern w:val="0"/>
          <w:sz w:val="24"/>
          <w:szCs w:val="24"/>
          <w:highlight w:val="none"/>
        </w:rPr>
        <w:t>代理公司后</w:t>
      </w: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rPr>
        <w:t>将由</w:t>
      </w:r>
      <w:r>
        <w:rPr>
          <w:rFonts w:hint="eastAsia" w:ascii="宋体" w:hAnsi="宋体" w:cs="宋体"/>
          <w:b/>
          <w:color w:val="auto"/>
          <w:kern w:val="0"/>
          <w:sz w:val="24"/>
          <w:szCs w:val="24"/>
          <w:highlight w:val="none"/>
          <w:lang w:val="en-US" w:eastAsia="zh-CN"/>
        </w:rPr>
        <w:t>招标</w:t>
      </w:r>
      <w:r>
        <w:rPr>
          <w:rFonts w:hint="eastAsia" w:ascii="宋体" w:hAnsi="宋体" w:cs="宋体"/>
          <w:b/>
          <w:color w:val="auto"/>
          <w:kern w:val="0"/>
          <w:sz w:val="24"/>
          <w:szCs w:val="24"/>
          <w:highlight w:val="none"/>
        </w:rPr>
        <w:t>代理与</w:t>
      </w:r>
      <w:r>
        <w:rPr>
          <w:rFonts w:hint="eastAsia" w:ascii="宋体" w:hAnsi="宋体" w:cs="宋体"/>
          <w:b/>
          <w:color w:val="auto"/>
          <w:kern w:val="0"/>
          <w:sz w:val="24"/>
          <w:szCs w:val="24"/>
          <w:highlight w:val="none"/>
          <w:lang w:eastAsia="zh-CN"/>
        </w:rPr>
        <w:t>采购人</w:t>
      </w:r>
      <w:r>
        <w:rPr>
          <w:rFonts w:hint="eastAsia" w:ascii="宋体" w:hAnsi="宋体" w:cs="宋体"/>
          <w:b/>
          <w:color w:val="auto"/>
          <w:kern w:val="0"/>
          <w:sz w:val="24"/>
          <w:szCs w:val="24"/>
          <w:highlight w:val="none"/>
        </w:rPr>
        <w:t>统一保管，便于专家独立评审。投标人提供的样品设备质量、规格型号、技术指标必须与投标文件产品相同，</w:t>
      </w:r>
      <w:r>
        <w:rPr>
          <w:rFonts w:hint="eastAsia" w:ascii="宋体" w:hAnsi="宋体" w:cs="宋体"/>
          <w:b/>
          <w:color w:val="auto"/>
          <w:kern w:val="0"/>
          <w:sz w:val="24"/>
          <w:szCs w:val="24"/>
          <w:highlight w:val="none"/>
          <w:lang w:eastAsia="zh-CN"/>
        </w:rPr>
        <w:t>未</w:t>
      </w:r>
      <w:r>
        <w:rPr>
          <w:rFonts w:hint="eastAsia" w:ascii="宋体" w:hAnsi="宋体" w:cs="宋体"/>
          <w:b/>
          <w:color w:val="auto"/>
          <w:kern w:val="0"/>
          <w:sz w:val="24"/>
          <w:szCs w:val="24"/>
          <w:highlight w:val="none"/>
        </w:rPr>
        <w:t>提供样品、</w:t>
      </w:r>
      <w:r>
        <w:rPr>
          <w:rFonts w:hint="eastAsia" w:ascii="宋体" w:hAnsi="宋体" w:cs="宋体"/>
          <w:b/>
          <w:color w:val="auto"/>
          <w:kern w:val="0"/>
          <w:sz w:val="24"/>
          <w:szCs w:val="24"/>
          <w:highlight w:val="none"/>
          <w:lang w:eastAsia="zh-CN"/>
        </w:rPr>
        <w:t>或</w:t>
      </w:r>
      <w:r>
        <w:rPr>
          <w:rFonts w:hint="eastAsia" w:ascii="宋体" w:hAnsi="宋体" w:cs="宋体"/>
          <w:b/>
          <w:color w:val="auto"/>
          <w:kern w:val="0"/>
          <w:sz w:val="24"/>
          <w:szCs w:val="24"/>
          <w:highlight w:val="none"/>
        </w:rPr>
        <w:t>样品提供不全或样品被评标委员会认定为未实质性响应招标文件的视为无效投标。中标人的样品须封存作为验收主要依据。未中标的投标人</w:t>
      </w:r>
      <w:r>
        <w:rPr>
          <w:rFonts w:hint="eastAsia" w:ascii="宋体" w:hAnsi="宋体" w:cs="宋体"/>
          <w:b/>
          <w:color w:val="auto"/>
          <w:kern w:val="0"/>
          <w:sz w:val="24"/>
          <w:szCs w:val="24"/>
          <w:highlight w:val="none"/>
          <w:lang w:eastAsia="zh-CN"/>
        </w:rPr>
        <w:t>所</w:t>
      </w:r>
      <w:r>
        <w:rPr>
          <w:rFonts w:hint="eastAsia" w:ascii="宋体" w:hAnsi="宋体" w:cs="宋体"/>
          <w:b/>
          <w:color w:val="auto"/>
          <w:kern w:val="0"/>
          <w:sz w:val="24"/>
          <w:szCs w:val="24"/>
          <w:highlight w:val="none"/>
        </w:rPr>
        <w:t>提供的</w:t>
      </w:r>
      <w:r>
        <w:rPr>
          <w:rFonts w:hint="eastAsia" w:ascii="宋体" w:hAnsi="宋体" w:cs="宋体"/>
          <w:b/>
          <w:color w:val="auto"/>
          <w:kern w:val="0"/>
          <w:sz w:val="24"/>
          <w:szCs w:val="24"/>
          <w:highlight w:val="none"/>
          <w:lang w:eastAsia="zh-CN"/>
        </w:rPr>
        <w:t>投标</w:t>
      </w:r>
      <w:r>
        <w:rPr>
          <w:rFonts w:hint="eastAsia" w:ascii="宋体" w:hAnsi="宋体" w:cs="宋体"/>
          <w:b/>
          <w:color w:val="auto"/>
          <w:kern w:val="0"/>
          <w:sz w:val="24"/>
          <w:szCs w:val="24"/>
          <w:highlight w:val="none"/>
        </w:rPr>
        <w:t>样品在</w:t>
      </w:r>
      <w:r>
        <w:rPr>
          <w:rFonts w:hint="eastAsia" w:ascii="宋体" w:hAnsi="宋体" w:cs="宋体"/>
          <w:b/>
          <w:color w:val="auto"/>
          <w:kern w:val="0"/>
          <w:sz w:val="24"/>
          <w:szCs w:val="24"/>
          <w:highlight w:val="none"/>
          <w:lang w:eastAsia="zh-CN"/>
        </w:rPr>
        <w:t>评审结束后，</w:t>
      </w:r>
      <w:r>
        <w:rPr>
          <w:rFonts w:hint="eastAsia" w:ascii="宋体" w:hAnsi="宋体" w:cs="宋体"/>
          <w:b/>
          <w:color w:val="auto"/>
          <w:kern w:val="0"/>
          <w:sz w:val="24"/>
          <w:szCs w:val="24"/>
          <w:highlight w:val="none"/>
        </w:rPr>
        <w:t>接到</w:t>
      </w:r>
      <w:r>
        <w:rPr>
          <w:rFonts w:hint="eastAsia" w:ascii="宋体" w:hAnsi="宋体" w:cs="宋体"/>
          <w:b/>
          <w:color w:val="auto"/>
          <w:kern w:val="0"/>
          <w:sz w:val="24"/>
          <w:szCs w:val="24"/>
          <w:highlight w:val="none"/>
          <w:lang w:eastAsia="zh-CN"/>
        </w:rPr>
        <w:t>电话</w:t>
      </w:r>
      <w:r>
        <w:rPr>
          <w:rFonts w:hint="eastAsia" w:ascii="宋体" w:hAnsi="宋体" w:cs="宋体"/>
          <w:b/>
          <w:color w:val="auto"/>
          <w:kern w:val="0"/>
          <w:sz w:val="24"/>
          <w:szCs w:val="24"/>
          <w:highlight w:val="none"/>
        </w:rPr>
        <w:t>通知</w:t>
      </w:r>
      <w:r>
        <w:rPr>
          <w:rFonts w:hint="eastAsia" w:ascii="宋体" w:hAnsi="宋体" w:cs="宋体"/>
          <w:b/>
          <w:color w:val="auto"/>
          <w:kern w:val="0"/>
          <w:sz w:val="24"/>
          <w:szCs w:val="24"/>
          <w:highlight w:val="none"/>
          <w:lang w:eastAsia="zh-CN"/>
        </w:rPr>
        <w:t>半个小时</w:t>
      </w:r>
      <w:r>
        <w:rPr>
          <w:rFonts w:hint="eastAsia" w:ascii="宋体" w:hAnsi="宋体" w:cs="宋体"/>
          <w:b/>
          <w:color w:val="auto"/>
          <w:kern w:val="0"/>
          <w:sz w:val="24"/>
          <w:szCs w:val="24"/>
          <w:highlight w:val="none"/>
        </w:rPr>
        <w:t>内</w:t>
      </w:r>
      <w:r>
        <w:rPr>
          <w:rFonts w:hint="eastAsia" w:ascii="宋体" w:hAnsi="宋体" w:cs="宋体"/>
          <w:b/>
          <w:color w:val="auto"/>
          <w:kern w:val="0"/>
          <w:sz w:val="24"/>
          <w:szCs w:val="24"/>
          <w:highlight w:val="none"/>
          <w:lang w:eastAsia="zh-CN"/>
        </w:rPr>
        <w:t>必须前来领取退回</w:t>
      </w:r>
      <w:r>
        <w:rPr>
          <w:rFonts w:hint="eastAsia" w:ascii="宋体" w:hAnsi="宋体" w:cs="宋体"/>
          <w:b/>
          <w:color w:val="auto"/>
          <w:kern w:val="0"/>
          <w:sz w:val="24"/>
          <w:szCs w:val="24"/>
          <w:highlight w:val="none"/>
        </w:rPr>
        <w:t>，未在规定时间内</w:t>
      </w:r>
      <w:r>
        <w:rPr>
          <w:rFonts w:hint="eastAsia" w:ascii="宋体" w:hAnsi="宋体" w:cs="宋体"/>
          <w:b/>
          <w:color w:val="auto"/>
          <w:kern w:val="0"/>
          <w:sz w:val="24"/>
          <w:szCs w:val="24"/>
          <w:highlight w:val="none"/>
          <w:lang w:eastAsia="zh-CN"/>
        </w:rPr>
        <w:t>前来领取投标样品</w:t>
      </w:r>
      <w:r>
        <w:rPr>
          <w:rFonts w:hint="eastAsia" w:ascii="宋体" w:hAnsi="宋体" w:cs="宋体"/>
          <w:b/>
          <w:color w:val="auto"/>
          <w:kern w:val="0"/>
          <w:sz w:val="24"/>
          <w:szCs w:val="24"/>
          <w:highlight w:val="none"/>
        </w:rPr>
        <w:t>的，</w:t>
      </w:r>
      <w:r>
        <w:rPr>
          <w:rFonts w:hint="eastAsia" w:ascii="宋体" w:hAnsi="宋体" w:cs="宋体"/>
          <w:b/>
          <w:color w:val="auto"/>
          <w:kern w:val="0"/>
          <w:sz w:val="24"/>
          <w:szCs w:val="24"/>
          <w:highlight w:val="none"/>
          <w:lang w:eastAsia="zh-CN"/>
        </w:rPr>
        <w:t>招标代理及采购人不予保管，</w:t>
      </w:r>
      <w:r>
        <w:rPr>
          <w:rFonts w:hint="eastAsia" w:ascii="宋体" w:hAnsi="宋体" w:cs="宋体"/>
          <w:b/>
          <w:color w:val="auto"/>
          <w:kern w:val="0"/>
          <w:sz w:val="24"/>
          <w:szCs w:val="24"/>
          <w:highlight w:val="none"/>
        </w:rPr>
        <w:t>若样品发生丢失后果</w:t>
      </w:r>
      <w:r>
        <w:rPr>
          <w:rFonts w:hint="eastAsia" w:ascii="宋体" w:hAnsi="宋体" w:cs="宋体"/>
          <w:b/>
          <w:color w:val="auto"/>
          <w:kern w:val="0"/>
          <w:sz w:val="24"/>
          <w:szCs w:val="24"/>
          <w:highlight w:val="none"/>
          <w:lang w:eastAsia="zh-CN"/>
        </w:rPr>
        <w:t>投标人</w:t>
      </w:r>
      <w:r>
        <w:rPr>
          <w:rFonts w:hint="eastAsia" w:ascii="宋体" w:hAnsi="宋体" w:cs="宋体"/>
          <w:b/>
          <w:color w:val="auto"/>
          <w:kern w:val="0"/>
          <w:sz w:val="24"/>
          <w:szCs w:val="24"/>
          <w:highlight w:val="none"/>
        </w:rPr>
        <w:t>自负。</w:t>
      </w:r>
    </w:p>
    <w:p>
      <w:pPr>
        <w:keepNext w:val="0"/>
        <w:keepLines w:val="0"/>
        <w:pageBreakBefore w:val="0"/>
        <w:widowControl/>
        <w:kinsoku/>
        <w:wordWrap/>
        <w:overflowPunct/>
        <w:topLinePunct w:val="0"/>
        <w:autoSpaceDE/>
        <w:autoSpaceDN/>
        <w:bidi w:val="0"/>
        <w:adjustRightInd/>
        <w:snapToGrid/>
        <w:spacing w:line="480" w:lineRule="exact"/>
        <w:ind w:firstLine="437"/>
        <w:jc w:val="left"/>
        <w:textAlignment w:val="auto"/>
        <w:rPr>
          <w:rFonts w:ascii="微软雅黑" w:hAnsi="微软雅黑" w:eastAsia="微软雅黑" w:cs="宋体"/>
          <w:b/>
          <w:bCs/>
          <w:color w:val="auto"/>
          <w:kern w:val="0"/>
          <w:sz w:val="24"/>
          <w:szCs w:val="24"/>
          <w:highlight w:val="none"/>
        </w:rPr>
      </w:pPr>
      <w:r>
        <w:rPr>
          <w:rFonts w:hint="eastAsia" w:ascii="宋体" w:hAnsi="宋体" w:cs="宋体"/>
          <w:b/>
          <w:bCs/>
          <w:color w:val="auto"/>
          <w:kern w:val="0"/>
          <w:sz w:val="24"/>
          <w:szCs w:val="24"/>
          <w:highlight w:val="none"/>
        </w:rPr>
        <w:t>2、评标过程中可能对样品进行拆散等破坏性检验，由此可能造成的损坏及相关费用由投标人自行承担。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微软雅黑" w:hAnsi="微软雅黑" w:eastAsia="微软雅黑" w:cs="宋体"/>
          <w:b/>
          <w:bCs/>
          <w:color w:val="auto"/>
          <w:kern w:val="0"/>
          <w:sz w:val="27"/>
          <w:szCs w:val="27"/>
          <w:highlight w:val="none"/>
        </w:rPr>
      </w:pPr>
      <w:r>
        <w:rPr>
          <w:rFonts w:hint="eastAsia" w:ascii="宋体" w:hAnsi="宋体" w:cs="宋体"/>
          <w:b/>
          <w:bCs/>
          <w:color w:val="auto"/>
          <w:kern w:val="0"/>
          <w:sz w:val="24"/>
          <w:szCs w:val="24"/>
          <w:highlight w:val="none"/>
        </w:rPr>
        <w:t>3、投标人提供的样品作为本次评标委员会评审依据，若本次招标需复议，评标委员不再对样品评审，样品评审结果不作更改。</w:t>
      </w:r>
    </w:p>
    <w:p>
      <w:pPr>
        <w:widowControl/>
        <w:numPr>
          <w:ilvl w:val="0"/>
          <w:numId w:val="0"/>
        </w:numPr>
        <w:spacing w:line="48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商务条件（以“★”标示的内容为不允许负偏离的实质性要求）</w:t>
      </w:r>
    </w:p>
    <w:p>
      <w:pPr>
        <w:pStyle w:val="2"/>
        <w:spacing w:line="480" w:lineRule="exact"/>
        <w:ind w:firstLine="0"/>
        <w:rPr>
          <w:rFonts w:ascii="宋体" w:hAnsi="宋体" w:eastAsia="宋体" w:cs="宋体"/>
          <w:b/>
          <w:bCs/>
          <w:color w:val="auto"/>
          <w:kern w:val="0"/>
          <w:szCs w:val="20"/>
          <w:highlight w:val="none"/>
        </w:rPr>
      </w:pPr>
      <w:r>
        <w:rPr>
          <w:rFonts w:hint="eastAsia" w:ascii="宋体" w:hAnsi="宋体" w:eastAsia="宋体" w:cs="宋体"/>
          <w:b/>
          <w:bCs/>
          <w:color w:val="auto"/>
          <w:kern w:val="0"/>
          <w:szCs w:val="20"/>
          <w:highlight w:val="none"/>
        </w:rPr>
        <w:t>包1、包2、包3</w:t>
      </w:r>
    </w:p>
    <w:p>
      <w:pPr>
        <w:numPr>
          <w:ilvl w:val="0"/>
          <w:numId w:val="11"/>
        </w:numPr>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交付地点：福建省莆田市仙游县采购人指定地点 </w:t>
      </w:r>
    </w:p>
    <w:p>
      <w:pPr>
        <w:spacing w:line="480" w:lineRule="exact"/>
        <w:rPr>
          <w:rStyle w:val="24"/>
          <w:rFonts w:ascii="宋体" w:hAnsi="宋体" w:cs="宋体"/>
          <w:color w:val="auto"/>
          <w:sz w:val="24"/>
          <w:highlight w:val="none"/>
        </w:rPr>
      </w:pPr>
      <w:r>
        <w:rPr>
          <w:rFonts w:hint="eastAsia" w:ascii="宋体" w:hAnsi="宋体" w:cs="宋体"/>
          <w:b/>
          <w:bCs/>
          <w:color w:val="auto"/>
          <w:kern w:val="0"/>
          <w:sz w:val="24"/>
          <w:highlight w:val="none"/>
        </w:rPr>
        <w:t>2.交付时间：按与采购人签订的合同规定时间内交货（日常供货应在采购人通知供货后7日内送达采购人规定的地点）</w:t>
      </w:r>
      <w:r>
        <w:rPr>
          <w:rFonts w:hint="eastAsia" w:ascii="宋体" w:hAnsi="宋体" w:cs="宋体"/>
          <w:b/>
          <w:bCs/>
          <w:color w:val="auto"/>
          <w:kern w:val="0"/>
          <w:sz w:val="24"/>
          <w:highlight w:val="none"/>
        </w:rPr>
        <w:br w:type="textWrapping"/>
      </w:r>
      <w:r>
        <w:rPr>
          <w:rFonts w:hint="eastAsia" w:ascii="宋体" w:hAnsi="宋体" w:cs="宋体"/>
          <w:b/>
          <w:bCs/>
          <w:color w:val="auto"/>
          <w:kern w:val="0"/>
          <w:sz w:val="24"/>
          <w:highlight w:val="none"/>
        </w:rPr>
        <w:t>3.交付条件：经采购人代表验收合格。</w:t>
      </w:r>
    </w:p>
    <w:p>
      <w:pPr>
        <w:widowControl/>
        <w:spacing w:line="480" w:lineRule="exact"/>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4.是否收取履约保证金：是，中标人需按中标金额的</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t>缴纳履约保证金，履约保证金应在合同签订前</w:t>
      </w:r>
      <w:r>
        <w:rPr>
          <w:rFonts w:hint="eastAsia" w:ascii="宋体" w:hAnsi="宋体" w:cs="宋体"/>
          <w:b/>
          <w:bCs/>
          <w:color w:val="auto"/>
          <w:kern w:val="0"/>
          <w:sz w:val="24"/>
          <w:highlight w:val="none"/>
        </w:rPr>
        <w:t>以现金转账形式缴纳</w:t>
      </w:r>
      <w:r>
        <w:rPr>
          <w:rFonts w:hint="eastAsia" w:ascii="宋体" w:hAnsi="宋体" w:cs="宋体"/>
          <w:b/>
          <w:bCs/>
          <w:color w:val="auto"/>
          <w:kern w:val="0"/>
          <w:sz w:val="24"/>
          <w:highlight w:val="none"/>
          <w:lang w:eastAsia="zh-CN"/>
        </w:rPr>
        <w:t>至仙游县大济镇人民政府账户：开户银行：</w:t>
      </w:r>
      <w:r>
        <w:rPr>
          <w:rFonts w:hint="eastAsia" w:ascii="宋体" w:hAnsi="宋体" w:cs="宋体"/>
          <w:b/>
          <w:bCs/>
          <w:color w:val="auto"/>
          <w:kern w:val="0"/>
          <w:sz w:val="24"/>
          <w:highlight w:val="none"/>
          <w:lang w:val="en-US" w:eastAsia="zh-CN"/>
        </w:rPr>
        <w:t>福建仙游农村商业银行大济支行，银行账号：9040617010010000001775</w:t>
      </w:r>
      <w:r>
        <w:rPr>
          <w:rFonts w:hint="eastAsia" w:ascii="宋体" w:hAnsi="宋体" w:cs="宋体"/>
          <w:b/>
          <w:bCs/>
          <w:color w:val="auto"/>
          <w:kern w:val="0"/>
          <w:sz w:val="24"/>
          <w:highlight w:val="none"/>
        </w:rPr>
        <w:t>。</w:t>
      </w:r>
    </w:p>
    <w:p>
      <w:pPr>
        <w:widowControl/>
        <w:spacing w:line="480" w:lineRule="exact"/>
        <w:jc w:val="left"/>
        <w:rPr>
          <w:rFonts w:ascii="宋体" w:hAnsi="宋体" w:cs="宋体"/>
          <w:color w:val="auto"/>
          <w:sz w:val="28"/>
          <w:szCs w:val="28"/>
          <w:highlight w:val="none"/>
        </w:rPr>
      </w:pPr>
      <w:r>
        <w:rPr>
          <w:rFonts w:hint="eastAsia" w:ascii="宋体" w:hAnsi="宋体" w:cs="宋体"/>
          <w:b/>
          <w:bCs/>
          <w:color w:val="auto"/>
          <w:kern w:val="0"/>
          <w:sz w:val="24"/>
          <w:highlight w:val="none"/>
        </w:rPr>
        <w:t>5.是否邀请投标人参与验收：否</w:t>
      </w:r>
      <w:bookmarkEnd w:id="4"/>
    </w:p>
    <w:p>
      <w:pPr>
        <w:widowControl/>
        <w:spacing w:line="48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6.验收方式数据表格 </w:t>
      </w:r>
    </w:p>
    <w:tbl>
      <w:tblPr>
        <w:tblStyle w:val="2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5"/>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235" w:type="dxa"/>
            <w:noWrap/>
            <w:vAlign w:val="center"/>
          </w:tcPr>
          <w:p>
            <w:pPr>
              <w:widowControl/>
              <w:spacing w:line="480" w:lineRule="exact"/>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验收期次</w:t>
            </w:r>
          </w:p>
        </w:tc>
        <w:tc>
          <w:tcPr>
            <w:tcW w:w="8508" w:type="dxa"/>
            <w:noWrap/>
            <w:vAlign w:val="center"/>
          </w:tcPr>
          <w:p>
            <w:pPr>
              <w:widowControl/>
              <w:spacing w:line="480" w:lineRule="exact"/>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235" w:type="dxa"/>
            <w:noWrap/>
            <w:vAlign w:val="center"/>
          </w:tcPr>
          <w:p>
            <w:pPr>
              <w:widowControl/>
              <w:spacing w:line="480" w:lineRule="exact"/>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1</w:t>
            </w:r>
          </w:p>
        </w:tc>
        <w:tc>
          <w:tcPr>
            <w:tcW w:w="8508" w:type="dxa"/>
            <w:noWrap/>
            <w:vAlign w:val="center"/>
          </w:tcPr>
          <w:p>
            <w:pPr>
              <w:widowControl/>
              <w:spacing w:line="480" w:lineRule="exact"/>
              <w:jc w:val="left"/>
              <w:rPr>
                <w:rFonts w:ascii="宋体" w:hAnsi="宋体" w:cs="宋体"/>
                <w:bCs/>
                <w:color w:val="auto"/>
                <w:kern w:val="0"/>
                <w:sz w:val="24"/>
                <w:szCs w:val="24"/>
                <w:highlight w:val="none"/>
              </w:rPr>
            </w:pPr>
            <w:r>
              <w:rPr>
                <w:rFonts w:ascii="宋体" w:hAnsi="宋体" w:cs="宋体"/>
                <w:bCs/>
                <w:color w:val="auto"/>
                <w:kern w:val="0"/>
                <w:sz w:val="24"/>
                <w:szCs w:val="24"/>
                <w:highlight w:val="none"/>
              </w:rPr>
              <w:t>按招标文件、投标文件、采购合同、制造厂家的相关技术标准说明、国家相关法律法规及行业标准进行验收。</w:t>
            </w:r>
          </w:p>
        </w:tc>
      </w:tr>
    </w:tbl>
    <w:p>
      <w:pPr>
        <w:numPr>
          <w:ilvl w:val="0"/>
          <w:numId w:val="12"/>
        </w:numPr>
        <w:spacing w:line="44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支付方式</w:t>
      </w:r>
    </w:p>
    <w:p>
      <w:pPr>
        <w:spacing w:line="440" w:lineRule="exact"/>
        <w:ind w:firstLine="480"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本次采购采用分批次供货，付款结算为分批次付款方式；货物到达现场经采购人验收合格后，中标人应根据双方确定签收的货物数量、合同价格开具与该批次货物等额的增值税专用发票，采购人收到采购人验收合格的实际到货数量的发票后，于十五个日历天内以转账的方式支付该批次货款总额的95% ，每批次货款预留该批次总额的5%尾款，待项目完成时进行总结算。</w:t>
      </w:r>
      <w:r>
        <w:rPr>
          <w:rFonts w:hint="eastAsia" w:ascii="宋体" w:hAnsi="宋体" w:cs="宋体"/>
          <w:b/>
          <w:bCs/>
          <w:color w:val="auto"/>
          <w:kern w:val="0"/>
          <w:sz w:val="24"/>
          <w:highlight w:val="none"/>
          <w:lang w:eastAsia="zh-CN"/>
        </w:rPr>
        <w:t>（业主会委托第三方检测单位对进场管材、配套管件随机抽取检测，以检测结果是否合格做为付款依据）</w:t>
      </w:r>
    </w:p>
    <w:p>
      <w:pPr>
        <w:spacing w:line="440" w:lineRule="exact"/>
        <w:ind w:firstLine="480"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（2）货物出具发票是按实际该批次到货数量及合同单价全额开出，采购人预留尾款部分以收款收据方式提交中标人，质保期满后返还尾款是中标人向采购人开出的该批次收款收据方式办理。</w:t>
      </w:r>
    </w:p>
    <w:p>
      <w:pPr>
        <w:spacing w:line="440" w:lineRule="exact"/>
        <w:ind w:firstLine="480"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（3）该项目尾款为该批次总额的5%，质保期满且中标人完全履行合同义务后无息返还该批次尾款，该批次质保期起算日期是以该批次货物到达现场经采购人验收合格之日作为起算日期。</w:t>
      </w:r>
    </w:p>
    <w:p>
      <w:pPr>
        <w:widowControl/>
        <w:spacing w:line="440" w:lineRule="exact"/>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8、与本次招标相关的服务要求：</w:t>
      </w:r>
    </w:p>
    <w:p>
      <w:pPr>
        <w:widowControl/>
        <w:spacing w:line="440" w:lineRule="exact"/>
        <w:ind w:firstLine="435"/>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8.1、验收依据：招标文件、投标文件、合同及有关国家的质量标准规定，均作为验收依据。</w:t>
      </w:r>
    </w:p>
    <w:p>
      <w:pPr>
        <w:widowControl/>
        <w:spacing w:line="440" w:lineRule="exact"/>
        <w:ind w:firstLine="435"/>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8.2、货物验收：验收由采购人、中标人及相关人员依国家有关标准、合同及有关附件要求进行；按批次全部货物（包括质量问题更换的货物）验收合格后才履行支付手续；因产品质量与投标文件的响应及承诺不符而造成的一切经济损失由中标人负责并承担相应的法律责任；若验收不合格，中标人无条件召回所提供的不合格产品且须提供符合要求的货物直到验收合格为止，并承担给采购人造成的全部损失，</w:t>
      </w:r>
    </w:p>
    <w:p>
      <w:pPr>
        <w:spacing w:line="440" w:lineRule="exact"/>
        <w:ind w:firstLine="480" w:firstLineChars="200"/>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★8.3、</w:t>
      </w:r>
      <w:r>
        <w:rPr>
          <w:rFonts w:hint="eastAsia"/>
          <w:b/>
          <w:bCs/>
          <w:color w:val="auto"/>
          <w:sz w:val="24"/>
          <w:szCs w:val="24"/>
          <w:highlight w:val="none"/>
        </w:rPr>
        <w:t>合同包1、2、3</w:t>
      </w:r>
      <w:r>
        <w:rPr>
          <w:rFonts w:hint="eastAsia" w:ascii="宋体" w:hAnsi="宋体" w:cs="宋体"/>
          <w:b/>
          <w:color w:val="auto"/>
          <w:kern w:val="0"/>
          <w:sz w:val="24"/>
          <w:szCs w:val="24"/>
          <w:highlight w:val="none"/>
        </w:rPr>
        <w:t>的合同包总价是预计采购总价，中标人与采购人的结算方式是实际供货量乘以中标单价，投标人在报价中须充分考虑交货期间生产材料价格上涨及市场销售价格上涨的风险。投标报价包括但不限于以下费用：包括设备材料费、运输、装卸、配合安装调试、保险费、采购保管、产品检验检测、税收、技术服务、保修、售后服务、备品备件、办理行业许可、配合采购人验收及其他一切相关伴随服务等一切费用。</w:t>
      </w:r>
      <w:r>
        <w:rPr>
          <w:rFonts w:hint="eastAsia"/>
          <w:b/>
          <w:bCs/>
          <w:color w:val="auto"/>
          <w:sz w:val="24"/>
          <w:szCs w:val="24"/>
          <w:highlight w:val="none"/>
        </w:rPr>
        <w:t>本项目合同包1、2、3采购合同期为：【自采购合同签订生效之日起满两周年或者是供货金额达到合同包的预计采购总金额（以先到为准）时，中标人停止供货并终止采购合同，结算金额按合同期内实际供货数量乘以中标单价结算】。</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8.4、售后服务严格按照国家标准三包法执行，所投</w:t>
      </w:r>
      <w:r>
        <w:rPr>
          <w:rFonts w:hint="eastAsia" w:ascii="宋体" w:hAnsi="宋体" w:cs="宋体"/>
          <w:b/>
          <w:bCs/>
          <w:color w:val="auto"/>
          <w:kern w:val="0"/>
          <w:sz w:val="24"/>
          <w:szCs w:val="24"/>
          <w:highlight w:val="none"/>
        </w:rPr>
        <w:t>产品质保期为12个月，</w:t>
      </w:r>
      <w:r>
        <w:rPr>
          <w:rFonts w:hint="eastAsia" w:ascii="宋体" w:hAnsi="宋体" w:cs="宋体"/>
          <w:color w:val="auto"/>
          <w:sz w:val="24"/>
          <w:highlight w:val="none"/>
        </w:rPr>
        <w:t>经采购人验收合格之日作为起算日期</w:t>
      </w:r>
      <w:r>
        <w:rPr>
          <w:rFonts w:hint="eastAsia" w:ascii="宋体" w:hAnsi="宋体" w:cs="宋体"/>
          <w:color w:val="auto"/>
          <w:kern w:val="0"/>
          <w:sz w:val="24"/>
          <w:szCs w:val="24"/>
          <w:highlight w:val="none"/>
        </w:rPr>
        <w:t>，送货途中若出现破损的，中标人应立即免费更换，并保证供货进度不受影响。</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8.5、质量保证期内（质保期12个月），产品因质量不良造成的问题由中标人负责免费修理，包括更换零部件和技术服务。如果由于采购人使用不当造成的问题，中标人协助解决，费用协商。</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8.6、投标人应按照本采购项目特点结合自身情况提供长期良好的售后服务，并在投标文件中提供详细具体的售后服务承诺条款及保证，其费用计入投标报价。</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8.7、</w:t>
      </w:r>
      <w:r>
        <w:rPr>
          <w:rFonts w:hint="eastAsia" w:ascii="宋体" w:hAnsi="宋体" w:cs="宋体"/>
          <w:color w:val="auto"/>
          <w:sz w:val="24"/>
          <w:highlight w:val="none"/>
        </w:rPr>
        <w:t>中标人须按招标文件的要求提供合格的产品，承诺产品在质保期内，中标人须按合同条款提供免费服务，非因采购人原因产品发生质量问题的，中标人应当在接到采购人通知后24小时内到达现场进行免费提供咨询。</w:t>
      </w:r>
      <w:r>
        <w:rPr>
          <w:rFonts w:hint="eastAsia" w:ascii="宋体" w:hAnsi="宋体" w:cs="宋体"/>
          <w:color w:val="auto"/>
          <w:kern w:val="0"/>
          <w:sz w:val="24"/>
          <w:szCs w:val="24"/>
          <w:highlight w:val="none"/>
        </w:rPr>
        <w:t>如在质保期内，由于中标人所提供的产品质量上的问题而引发工程事故，采购人因此所遭受的一切经济损失均由中标人承担。</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8.8、投标人应以书面形式提供详细的产品质量保证说明及售后服务方案的承诺。</w:t>
      </w:r>
    </w:p>
    <w:p>
      <w:pPr>
        <w:widowControl/>
        <w:spacing w:line="440" w:lineRule="exact"/>
        <w:ind w:firstLine="636"/>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(1)说明产品保修、质保年限及免费维修年限。</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（2）所投产品采购人在货物使用地如有常设维保机构及有能力的维修人员，投标人应提供维保机构及维修人员的详细情况说明。</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（3）所投产品采购人货物故障的维修响应时效。</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（4）所投产品采购人需承诺在该地区要设有产品备品备件库，以备及时维修和更换产品部件。</w:t>
      </w:r>
    </w:p>
    <w:p>
      <w:pPr>
        <w:widowControl/>
        <w:spacing w:line="440" w:lineRule="exact"/>
        <w:ind w:firstLine="502"/>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8.9、中标人提供的产品质量达不到约定质量标准的，必须重新供货，所发生的相应费用由中标人承担；对工程进度造成影响和造成施工返工的，中标人必须承担采购人因此所受的经济损失和施工单位返工费。</w:t>
      </w:r>
    </w:p>
    <w:p>
      <w:pPr>
        <w:widowControl/>
        <w:spacing w:line="440" w:lineRule="exact"/>
        <w:ind w:firstLine="5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8.10、中标人应根据采购人要求的时间、地点提供送货、服务，为用户按照明确的内容及计划培训操作人员。所需的费用应包含在投标报价中。</w:t>
      </w:r>
    </w:p>
    <w:p>
      <w:pPr>
        <w:widowControl/>
        <w:spacing w:line="440" w:lineRule="exact"/>
        <w:ind w:firstLine="50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★8.11、投标人必须承诺中标后在项目所在地（仙游县</w:t>
      </w:r>
      <w:r>
        <w:rPr>
          <w:rFonts w:hint="eastAsia" w:ascii="宋体" w:hAnsi="宋体" w:cs="宋体"/>
          <w:color w:val="auto"/>
          <w:kern w:val="0"/>
          <w:sz w:val="24"/>
          <w:szCs w:val="24"/>
          <w:highlight w:val="none"/>
          <w:lang w:eastAsia="zh-CN"/>
        </w:rPr>
        <w:t>大济镇</w:t>
      </w:r>
      <w:r>
        <w:rPr>
          <w:rFonts w:hint="eastAsia" w:ascii="宋体" w:hAnsi="宋体" w:cs="宋体"/>
          <w:color w:val="auto"/>
          <w:kern w:val="0"/>
          <w:sz w:val="24"/>
          <w:szCs w:val="24"/>
          <w:highlight w:val="none"/>
        </w:rPr>
        <w:t>内）设立仓库，以保障货物供应及时需求。（此项应提供承诺书）</w:t>
      </w:r>
    </w:p>
    <w:p>
      <w:pPr>
        <w:widowControl/>
        <w:spacing w:line="440" w:lineRule="exact"/>
        <w:ind w:firstLine="536"/>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8.12、投标人认为有利于采购人的其他优惠条款应单独列明。</w:t>
      </w:r>
    </w:p>
    <w:p>
      <w:pPr>
        <w:widowControl/>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9、违约责任</w:t>
      </w:r>
    </w:p>
    <w:p>
      <w:pPr>
        <w:pStyle w:val="10"/>
        <w:spacing w:line="440" w:lineRule="exact"/>
        <w:ind w:firstLine="480"/>
        <w:rPr>
          <w:rFonts w:ascii="宋体" w:hAnsi="宋体" w:cs="宋体"/>
          <w:color w:val="auto"/>
          <w:szCs w:val="24"/>
          <w:highlight w:val="none"/>
        </w:rPr>
      </w:pPr>
      <w:r>
        <w:rPr>
          <w:rFonts w:hint="eastAsia" w:ascii="宋体" w:hAnsi="宋体" w:cs="宋体"/>
          <w:color w:val="auto"/>
          <w:szCs w:val="24"/>
          <w:highlight w:val="none"/>
        </w:rPr>
        <w:t>1）采购人有权对中标人提供的各批次货物进行随机抽检，抽检货物质量不合格的，采购人有权终止合同，并没收全部履约保证金。</w:t>
      </w:r>
    </w:p>
    <w:p>
      <w:pPr>
        <w:pStyle w:val="10"/>
        <w:spacing w:line="440" w:lineRule="exact"/>
        <w:ind w:firstLine="480"/>
        <w:rPr>
          <w:rFonts w:ascii="宋体" w:hAnsi="宋体" w:cs="宋体"/>
          <w:color w:val="auto"/>
          <w:szCs w:val="24"/>
          <w:highlight w:val="none"/>
        </w:rPr>
      </w:pPr>
      <w:r>
        <w:rPr>
          <w:rFonts w:hint="eastAsia" w:ascii="宋体" w:hAnsi="宋体" w:cs="宋体"/>
          <w:color w:val="auto"/>
          <w:szCs w:val="24"/>
          <w:highlight w:val="none"/>
        </w:rPr>
        <w:t>2）投标人必须承诺中标后在项目所在地（仙游县</w:t>
      </w:r>
      <w:r>
        <w:rPr>
          <w:rFonts w:hint="eastAsia" w:ascii="宋体" w:hAnsi="宋体" w:cs="宋体"/>
          <w:color w:val="auto"/>
          <w:szCs w:val="24"/>
          <w:highlight w:val="none"/>
          <w:lang w:eastAsia="zh-CN"/>
        </w:rPr>
        <w:t>大济镇</w:t>
      </w:r>
      <w:r>
        <w:rPr>
          <w:rFonts w:hint="eastAsia" w:ascii="宋体" w:hAnsi="宋体" w:cs="宋体"/>
          <w:color w:val="auto"/>
          <w:szCs w:val="24"/>
          <w:highlight w:val="none"/>
        </w:rPr>
        <w:t>内）提供一个可放置1个月工程需求货物量的场所，并能每月按时提供采购人工程需求货物量。采购人每月工程需求货物量需提前5天告知中标人。若出现中标人未按时提供货物，默认中标人接受采购人第一次提醒、第二次罚款5000元整、第三次罚款10000元整，超过三次采购人有权终止合同，并没收全部履约保证金。</w:t>
      </w:r>
    </w:p>
    <w:p>
      <w:pPr>
        <w:pStyle w:val="10"/>
        <w:spacing w:line="440" w:lineRule="exact"/>
        <w:rPr>
          <w:rFonts w:ascii="宋体" w:hAnsi="宋体" w:cs="宋体"/>
          <w:color w:val="auto"/>
          <w:szCs w:val="24"/>
          <w:highlight w:val="none"/>
        </w:rPr>
      </w:pPr>
      <w:r>
        <w:rPr>
          <w:rFonts w:hint="eastAsia" w:ascii="宋体" w:hAnsi="宋体" w:cs="宋体"/>
          <w:color w:val="auto"/>
          <w:szCs w:val="24"/>
          <w:highlight w:val="none"/>
        </w:rPr>
        <w:t>　　3）项目完工后，若验收不符合招标文件或合同规定的，中标人应在接到采购人书面整改通知书后30个日历日内积极补救整改并再次提交验收申请。再次验收仍不合格的或在30个日历日内无法整改完毕并再次提交验收申请的，采购人有权解除合同，中标人应向采购人支付合同总价款30%的违约金。</w:t>
      </w:r>
    </w:p>
    <w:p>
      <w:pPr>
        <w:widowControl/>
        <w:spacing w:line="440" w:lineRule="exact"/>
        <w:ind w:firstLine="435"/>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widowControl/>
        <w:spacing w:line="440" w:lineRule="exact"/>
        <w:ind w:firstLine="435"/>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5）在明确违约责任后，中标人应在接到书面通知书起七天内支付违约金、赔偿金等。</w:t>
      </w:r>
    </w:p>
    <w:p>
      <w:pPr>
        <w:widowControl/>
        <w:spacing w:line="440" w:lineRule="exact"/>
        <w:jc w:val="left"/>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10、知识产权</w:t>
      </w:r>
    </w:p>
    <w:p>
      <w:pPr>
        <w:widowControl/>
        <w:spacing w:line="440" w:lineRule="exact"/>
        <w:ind w:firstLine="435"/>
        <w:jc w:val="left"/>
        <w:rPr>
          <w:rFonts w:ascii="微软雅黑" w:hAnsi="微软雅黑" w:eastAsia="微软雅黑" w:cs="宋体"/>
          <w:color w:val="auto"/>
          <w:kern w:val="0"/>
          <w:sz w:val="24"/>
          <w:szCs w:val="24"/>
          <w:highlight w:val="none"/>
        </w:rPr>
      </w:pPr>
      <w:r>
        <w:rPr>
          <w:rFonts w:hint="eastAsia" w:ascii="宋体" w:hAnsi="宋体" w:cs="宋体"/>
          <w:color w:val="auto"/>
          <w:kern w:val="0"/>
          <w:sz w:val="24"/>
          <w:szCs w:val="24"/>
          <w:highlight w:val="none"/>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widowControl/>
        <w:spacing w:line="440" w:lineRule="exact"/>
        <w:jc w:val="left"/>
        <w:rPr>
          <w:rFonts w:ascii="微软雅黑" w:hAnsi="微软雅黑" w:eastAsia="微软雅黑" w:cs="宋体"/>
          <w:b/>
          <w:color w:val="auto"/>
          <w:kern w:val="0"/>
          <w:sz w:val="24"/>
          <w:szCs w:val="24"/>
          <w:highlight w:val="none"/>
        </w:rPr>
      </w:pPr>
      <w:r>
        <w:rPr>
          <w:rFonts w:hint="eastAsia" w:ascii="宋体" w:hAnsi="宋体" w:cs="宋体"/>
          <w:b/>
          <w:color w:val="auto"/>
          <w:kern w:val="0"/>
          <w:sz w:val="24"/>
          <w:szCs w:val="24"/>
          <w:highlight w:val="none"/>
        </w:rPr>
        <w:t>11、仲裁、诉讼条款</w:t>
      </w:r>
    </w:p>
    <w:p>
      <w:pPr>
        <w:widowControl/>
        <w:spacing w:line="440" w:lineRule="exact"/>
        <w:ind w:firstLine="43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因采购或与采购合同有关的一切事项发生争议，由采购人和中标人双方友好协商解决。协商不成的，任何一方均可选择以下方式解决：</w:t>
      </w:r>
    </w:p>
    <w:p>
      <w:pPr>
        <w:widowControl/>
        <w:spacing w:line="440" w:lineRule="exact"/>
        <w:ind w:firstLine="43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(1)向(采购人所在地)仲裁委员会申请仲裁；</w:t>
      </w:r>
    </w:p>
    <w:p>
      <w:pPr>
        <w:widowControl/>
        <w:spacing w:line="440" w:lineRule="exact"/>
        <w:ind w:firstLine="43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(2)向有管辖权的人民法院提起诉讼。</w:t>
      </w:r>
    </w:p>
    <w:p>
      <w:pPr>
        <w:widowControl/>
        <w:spacing w:line="44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四、其他事项</w:t>
      </w:r>
    </w:p>
    <w:p>
      <w:pPr>
        <w:widowControl/>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1、除招标文件另有规定外，若出现有关法律、法规和规章有强制性规定但招标文件未列明的情形，则投标人应按照有关法律、法规和规章强制性规定执行。</w:t>
      </w:r>
    </w:p>
    <w:p>
      <w:pPr>
        <w:spacing w:line="480" w:lineRule="exact"/>
        <w:jc w:val="center"/>
        <w:rPr>
          <w:rFonts w:ascii="宋体" w:hAnsi="宋体" w:cs="宋体"/>
          <w:b/>
          <w:bCs/>
          <w:color w:val="auto"/>
          <w:sz w:val="36"/>
          <w:szCs w:val="36"/>
          <w:highlight w:val="none"/>
          <w:shd w:val="clear" w:color="auto" w:fill="FFFFFF"/>
        </w:rPr>
      </w:pPr>
    </w:p>
    <w:p>
      <w:pPr>
        <w:rPr>
          <w:rStyle w:val="24"/>
          <w:rFonts w:ascii="宋体" w:hAnsi="宋体" w:cs="宋体"/>
          <w:color w:val="auto"/>
          <w:sz w:val="31"/>
          <w:szCs w:val="31"/>
          <w:highlight w:val="none"/>
        </w:rPr>
      </w:pPr>
      <w:r>
        <w:rPr>
          <w:rStyle w:val="24"/>
          <w:rFonts w:hint="eastAsia" w:ascii="宋体" w:hAnsi="宋体" w:cs="宋体"/>
          <w:color w:val="auto"/>
          <w:sz w:val="31"/>
          <w:szCs w:val="31"/>
          <w:highlight w:val="none"/>
        </w:rPr>
        <w:br w:type="page"/>
      </w:r>
    </w:p>
    <w:p>
      <w:pPr>
        <w:pStyle w:val="20"/>
        <w:widowControl/>
        <w:spacing w:before="75" w:after="75"/>
        <w:jc w:val="center"/>
        <w:rPr>
          <w:color w:val="auto"/>
          <w:highlight w:val="none"/>
        </w:rPr>
      </w:pPr>
      <w:r>
        <w:rPr>
          <w:rStyle w:val="24"/>
          <w:rFonts w:hint="eastAsia" w:ascii="宋体" w:hAnsi="宋体" w:cs="宋体"/>
          <w:color w:val="auto"/>
          <w:sz w:val="31"/>
          <w:szCs w:val="31"/>
          <w:highlight w:val="none"/>
        </w:rPr>
        <w:t>第六章   政府采购合同（参考文本）</w:t>
      </w:r>
    </w:p>
    <w:p>
      <w:pPr>
        <w:pStyle w:val="20"/>
        <w:widowControl/>
        <w:spacing w:before="75" w:after="75"/>
        <w:jc w:val="center"/>
        <w:rPr>
          <w:color w:val="auto"/>
          <w:highlight w:val="none"/>
        </w:rPr>
      </w:pPr>
      <w:r>
        <w:rPr>
          <w:rStyle w:val="24"/>
          <w:rFonts w:hint="eastAsia" w:ascii="宋体" w:hAnsi="宋体" w:cs="宋体"/>
          <w:color w:val="auto"/>
          <w:highlight w:val="none"/>
        </w:rPr>
        <w:t>编制说明</w:t>
      </w:r>
    </w:p>
    <w:p>
      <w:pPr>
        <w:pStyle w:val="20"/>
        <w:widowControl/>
        <w:spacing w:before="75" w:after="75"/>
        <w:rPr>
          <w:color w:val="auto"/>
          <w:highlight w:val="none"/>
        </w:rPr>
      </w:pPr>
      <w:r>
        <w:rPr>
          <w:rStyle w:val="24"/>
          <w:rFonts w:hint="eastAsia" w:ascii="宋体" w:hAnsi="宋体" w:cs="宋体"/>
          <w:color w:val="auto"/>
          <w:highlight w:val="none"/>
        </w:rPr>
        <w:t>1、签订合同应遵守政府采购法、民法典。</w:t>
      </w:r>
    </w:p>
    <w:p>
      <w:pPr>
        <w:pStyle w:val="20"/>
        <w:widowControl/>
        <w:spacing w:before="75" w:after="75"/>
        <w:rPr>
          <w:color w:val="auto"/>
          <w:highlight w:val="none"/>
        </w:rPr>
      </w:pPr>
      <w:r>
        <w:rPr>
          <w:rStyle w:val="24"/>
          <w:rFonts w:hint="eastAsia" w:ascii="宋体" w:hAnsi="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20"/>
        <w:widowControl/>
        <w:spacing w:before="75" w:after="75"/>
        <w:rPr>
          <w:color w:val="auto"/>
          <w:highlight w:val="none"/>
        </w:rPr>
      </w:pPr>
      <w:r>
        <w:rPr>
          <w:rStyle w:val="24"/>
          <w:rFonts w:hint="eastAsia" w:ascii="宋体" w:hAnsi="宋体" w:cs="宋体"/>
          <w:color w:val="auto"/>
          <w:highlight w:val="none"/>
        </w:rPr>
        <w:t>3、国家有关部门对若干合同有规范文本的，可使用相应合同文本。</w:t>
      </w:r>
    </w:p>
    <w:p>
      <w:pPr>
        <w:pStyle w:val="20"/>
        <w:widowControl/>
        <w:spacing w:before="75" w:after="75"/>
        <w:rPr>
          <w:color w:val="auto"/>
          <w:highlight w:val="none"/>
        </w:rPr>
      </w:pPr>
      <w:r>
        <w:rPr>
          <w:rFonts w:hint="eastAsia" w:ascii="宋体" w:hAnsi="宋体" w:cs="宋体"/>
          <w:color w:val="auto"/>
          <w:highlight w:val="none"/>
          <w:u w:val="single"/>
        </w:rPr>
        <w:t> </w:t>
      </w:r>
    </w:p>
    <w:p>
      <w:pPr>
        <w:pStyle w:val="20"/>
        <w:widowControl/>
        <w:spacing w:before="75" w:after="75"/>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pPr>
        <w:pStyle w:val="20"/>
        <w:widowControl/>
        <w:spacing w:before="75" w:after="75"/>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pPr>
        <w:pStyle w:val="20"/>
        <w:widowControl/>
        <w:spacing w:before="75" w:after="75"/>
        <w:rPr>
          <w:color w:val="auto"/>
          <w:highlight w:val="none"/>
        </w:rPr>
      </w:pPr>
      <w:r>
        <w:rPr>
          <w:rFonts w:hint="eastAsia" w:ascii="宋体" w:hAnsi="宋体" w:cs="宋体"/>
          <w:color w:val="auto"/>
          <w:highlight w:val="none"/>
        </w:rPr>
        <w:t> </w:t>
      </w:r>
    </w:p>
    <w:p>
      <w:pPr>
        <w:pStyle w:val="20"/>
        <w:widowControl/>
        <w:spacing w:before="75" w:after="75"/>
        <w:ind w:firstLine="480"/>
        <w:rPr>
          <w:color w:val="auto"/>
          <w:highlight w:val="none"/>
        </w:rPr>
      </w:pPr>
      <w:r>
        <w:rPr>
          <w:rFonts w:hint="eastAsia" w:ascii="宋体" w:hAnsi="宋体" w:cs="宋体"/>
          <w:color w:val="auto"/>
          <w:highlight w:val="none"/>
        </w:rPr>
        <w:t>根据招标编号为</w:t>
      </w:r>
      <w:r>
        <w:rPr>
          <w:rFonts w:hint="eastAsia" w:ascii="宋体" w:hAns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pPr>
        <w:pStyle w:val="20"/>
        <w:widowControl/>
        <w:spacing w:before="75" w:after="75"/>
        <w:ind w:firstLine="480"/>
        <w:rPr>
          <w:color w:val="auto"/>
          <w:highlight w:val="none"/>
        </w:rPr>
      </w:pPr>
      <w:r>
        <w:rPr>
          <w:rFonts w:hint="eastAsia" w:ascii="宋体" w:hAnsi="宋体" w:cs="宋体"/>
          <w:color w:val="auto"/>
          <w:highlight w:val="none"/>
        </w:rPr>
        <w:t>1、下列合同文件是构成本合同不可分割的部分：</w:t>
      </w:r>
    </w:p>
    <w:p>
      <w:pPr>
        <w:pStyle w:val="20"/>
        <w:widowControl/>
        <w:spacing w:before="75" w:after="75"/>
        <w:ind w:firstLine="480"/>
        <w:rPr>
          <w:color w:val="auto"/>
          <w:highlight w:val="none"/>
        </w:rPr>
      </w:pPr>
      <w:r>
        <w:rPr>
          <w:rFonts w:hint="eastAsia" w:ascii="宋体" w:hAnsi="宋体" w:cs="宋体"/>
          <w:color w:val="auto"/>
          <w:highlight w:val="none"/>
        </w:rPr>
        <w:t>1.1合同条款；</w:t>
      </w:r>
    </w:p>
    <w:p>
      <w:pPr>
        <w:pStyle w:val="20"/>
        <w:widowControl/>
        <w:spacing w:before="75" w:after="75"/>
        <w:ind w:firstLine="480"/>
        <w:rPr>
          <w:color w:val="auto"/>
          <w:highlight w:val="none"/>
        </w:rPr>
      </w:pPr>
      <w:r>
        <w:rPr>
          <w:rFonts w:hint="eastAsia" w:ascii="宋体" w:hAnsi="宋体" w:cs="宋体"/>
          <w:color w:val="auto"/>
          <w:highlight w:val="none"/>
        </w:rPr>
        <w:t>1.2招标文件、乙方的投标文件；</w:t>
      </w:r>
    </w:p>
    <w:p>
      <w:pPr>
        <w:pStyle w:val="20"/>
        <w:widowControl/>
        <w:spacing w:before="75" w:after="75"/>
        <w:ind w:firstLine="480"/>
        <w:rPr>
          <w:color w:val="auto"/>
          <w:highlight w:val="none"/>
        </w:rPr>
      </w:pPr>
      <w:r>
        <w:rPr>
          <w:rFonts w:hint="eastAsia" w:ascii="宋体" w:hAnsi="宋体" w:cs="宋体"/>
          <w:color w:val="auto"/>
          <w:highlight w:val="none"/>
        </w:rPr>
        <w:t>1.3其他文件或材料：□无。□（若有联合协议或分包意向协议）</w:t>
      </w:r>
    </w:p>
    <w:p>
      <w:pPr>
        <w:pStyle w:val="20"/>
        <w:widowControl/>
        <w:spacing w:before="75" w:after="75"/>
        <w:ind w:firstLine="480"/>
        <w:rPr>
          <w:color w:val="auto"/>
          <w:highlight w:val="none"/>
        </w:rPr>
      </w:pPr>
      <w:r>
        <w:rPr>
          <w:rFonts w:hint="eastAsia" w:ascii="宋体" w:hAnsi="宋体" w:cs="宋体"/>
          <w:color w:val="auto"/>
          <w:highlight w:val="none"/>
        </w:rPr>
        <w:t>2、合同标的</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3、合同总金额</w:t>
      </w:r>
    </w:p>
    <w:p>
      <w:pPr>
        <w:pStyle w:val="20"/>
        <w:widowControl/>
        <w:spacing w:before="75" w:after="75"/>
        <w:ind w:firstLine="480"/>
        <w:rPr>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4、合同标的交付时间、地点和条件</w:t>
      </w:r>
    </w:p>
    <w:p>
      <w:pPr>
        <w:pStyle w:val="20"/>
        <w:widowControl/>
        <w:spacing w:before="75" w:after="75"/>
        <w:ind w:firstLine="480"/>
        <w:rPr>
          <w:color w:val="auto"/>
          <w:highlight w:val="none"/>
        </w:rPr>
      </w:pPr>
      <w:r>
        <w:rPr>
          <w:rFonts w:hint="eastAsia" w:ascii="宋体" w:hAnsi="宋体" w:cs="宋体"/>
          <w:color w:val="auto"/>
          <w:highlight w:val="none"/>
        </w:rPr>
        <w:t>4.1交付时间：</w:t>
      </w:r>
      <w:r>
        <w:rPr>
          <w:rFonts w:hint="eastAsia" w:ascii="宋体" w:hAns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4.2交付地点：</w:t>
      </w:r>
      <w:r>
        <w:rPr>
          <w:rFonts w:hint="eastAsia" w:ascii="宋体" w:hAns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4.3交付条件：</w:t>
      </w:r>
      <w:r>
        <w:rPr>
          <w:rFonts w:hint="eastAsia" w:ascii="宋体" w:hAnsi="宋体" w:cs="宋体"/>
          <w:color w:val="auto"/>
          <w:highlight w:val="none"/>
          <w:u w:val="single"/>
        </w:rPr>
        <w:t>                     </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5、合同标的应符合招标文件、乙方投标文件的规定或约定，具体如下：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6、验收</w:t>
      </w:r>
    </w:p>
    <w:p>
      <w:pPr>
        <w:pStyle w:val="20"/>
        <w:widowControl/>
        <w:spacing w:before="75" w:after="75"/>
        <w:ind w:firstLine="480"/>
        <w:rPr>
          <w:color w:val="auto"/>
          <w:highlight w:val="none"/>
        </w:rPr>
      </w:pPr>
      <w:r>
        <w:rPr>
          <w:rFonts w:hint="eastAsia" w:ascii="宋体" w:hAnsi="宋体" w:cs="宋体"/>
          <w:color w:val="auto"/>
          <w:highlight w:val="none"/>
        </w:rPr>
        <w:t>6.1验收应按照招标文件、乙方投标文件的规定或约定进行，具体如下：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6.2本项目是否邀请其他投标人参与验收：</w:t>
      </w:r>
    </w:p>
    <w:p>
      <w:pPr>
        <w:pStyle w:val="20"/>
        <w:widowControl/>
        <w:spacing w:before="75" w:after="75"/>
        <w:ind w:firstLine="480"/>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7、合同款项的支付应按照招标文件的规定进行，具体如下：</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8、履约保证金</w:t>
      </w:r>
    </w:p>
    <w:p>
      <w:pPr>
        <w:pStyle w:val="20"/>
        <w:widowControl/>
        <w:spacing w:before="75" w:after="75"/>
        <w:ind w:firstLine="480"/>
        <w:rPr>
          <w:color w:val="auto"/>
          <w:highlight w:val="none"/>
        </w:rPr>
      </w:pPr>
      <w:r>
        <w:rPr>
          <w:rFonts w:hint="eastAsia" w:ascii="宋体" w:hAnsi="宋体" w:cs="宋体"/>
          <w:color w:val="auto"/>
          <w:highlight w:val="none"/>
        </w:rPr>
        <w:t>□无。</w:t>
      </w:r>
      <w:r>
        <w:rPr>
          <w:rFonts w:hint="eastAsia" w:ascii="宋体" w:hAnsi="宋体" w:cs="宋体"/>
          <w:color w:val="auto"/>
          <w:highlight w:val="none"/>
          <w:lang w:eastAsia="zh-CN"/>
        </w:rPr>
        <w:t>□</w:t>
      </w:r>
      <w:r>
        <w:rPr>
          <w:rFonts w:hint="eastAsia" w:ascii="宋体" w:hAnsi="宋体" w:cs="宋体"/>
          <w:color w:val="auto"/>
          <w:highlight w:val="none"/>
        </w:rPr>
        <w:t>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9、合同有效期</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10、违约责任</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11、知识产权</w:t>
      </w:r>
    </w:p>
    <w:p>
      <w:pPr>
        <w:pStyle w:val="20"/>
        <w:widowControl/>
        <w:spacing w:before="75" w:after="75"/>
        <w:ind w:firstLine="480"/>
        <w:rPr>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widowControl/>
        <w:spacing w:before="75" w:after="75"/>
        <w:ind w:firstLine="480"/>
        <w:rPr>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12、解决争议的方法</w:t>
      </w:r>
    </w:p>
    <w:p>
      <w:pPr>
        <w:pStyle w:val="20"/>
        <w:widowControl/>
        <w:spacing w:before="75" w:after="75"/>
        <w:ind w:firstLine="480"/>
        <w:rPr>
          <w:color w:val="auto"/>
          <w:highlight w:val="none"/>
        </w:rPr>
      </w:pPr>
      <w:r>
        <w:rPr>
          <w:rFonts w:hint="eastAsia" w:ascii="宋体" w:hAnsi="宋体" w:cs="宋体"/>
          <w:color w:val="auto"/>
          <w:highlight w:val="none"/>
        </w:rPr>
        <w:t>12.1甲、乙双方协商解决。</w:t>
      </w:r>
    </w:p>
    <w:p>
      <w:pPr>
        <w:pStyle w:val="20"/>
        <w:widowControl/>
        <w:spacing w:before="75" w:after="75"/>
        <w:ind w:firstLine="480"/>
        <w:rPr>
          <w:color w:val="auto"/>
          <w:highlight w:val="none"/>
        </w:rPr>
      </w:pPr>
      <w:r>
        <w:rPr>
          <w:rFonts w:hint="eastAsia" w:ascii="宋体" w:hAnsi="宋体" w:cs="宋体"/>
          <w:color w:val="auto"/>
          <w:highlight w:val="none"/>
        </w:rPr>
        <w:t>12.2若协商解决不成，则通过下列途径之一解决：</w:t>
      </w:r>
    </w:p>
    <w:p>
      <w:pPr>
        <w:pStyle w:val="20"/>
        <w:widowControl/>
        <w:spacing w:before="75" w:after="75"/>
        <w:ind w:firstLine="480"/>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13、不可抗力</w:t>
      </w:r>
    </w:p>
    <w:p>
      <w:pPr>
        <w:pStyle w:val="20"/>
        <w:widowControl/>
        <w:spacing w:before="75" w:after="75"/>
        <w:ind w:firstLine="480"/>
        <w:rPr>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w:t>
      </w:r>
      <w:r>
        <w:rPr>
          <w:rFonts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20"/>
        <w:widowControl/>
        <w:spacing w:before="75" w:after="75"/>
        <w:ind w:firstLine="480"/>
        <w:rPr>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widowControl/>
        <w:spacing w:before="75" w:after="75"/>
        <w:ind w:firstLine="480"/>
        <w:rPr>
          <w:color w:val="auto"/>
          <w:highlight w:val="none"/>
        </w:rPr>
      </w:pPr>
      <w:r>
        <w:rPr>
          <w:rFonts w:hint="eastAsia" w:ascii="宋体" w:hAnsi="宋体" w:cs="宋体"/>
          <w:color w:val="auto"/>
          <w:highlight w:val="none"/>
        </w:rPr>
        <w:t>14、合同条款</w:t>
      </w:r>
    </w:p>
    <w:p>
      <w:pPr>
        <w:pStyle w:val="20"/>
        <w:widowControl/>
        <w:spacing w:before="75" w:after="75"/>
        <w:ind w:firstLine="480"/>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20"/>
        <w:widowControl/>
        <w:spacing w:before="75" w:after="75"/>
        <w:ind w:firstLine="480"/>
        <w:rPr>
          <w:color w:val="auto"/>
          <w:highlight w:val="none"/>
        </w:rPr>
      </w:pPr>
      <w:r>
        <w:rPr>
          <w:rFonts w:hint="eastAsia" w:ascii="宋体" w:hAnsi="宋体" w:cs="宋体"/>
          <w:color w:val="auto"/>
          <w:highlight w:val="none"/>
        </w:rPr>
        <w:t>15、其他约定</w:t>
      </w:r>
    </w:p>
    <w:p>
      <w:pPr>
        <w:pStyle w:val="20"/>
        <w:widowControl/>
        <w:spacing w:before="75" w:after="75"/>
        <w:ind w:firstLine="480"/>
        <w:rPr>
          <w:color w:val="auto"/>
          <w:highlight w:val="none"/>
        </w:rPr>
      </w:pPr>
      <w:r>
        <w:rPr>
          <w:rFonts w:hint="eastAsia" w:ascii="宋体" w:hAnsi="宋体" w:cs="宋体"/>
          <w:color w:val="auto"/>
          <w:highlight w:val="none"/>
        </w:rPr>
        <w:t>15.1合同文件与本合同具有同等法律效力。</w:t>
      </w:r>
    </w:p>
    <w:p>
      <w:pPr>
        <w:pStyle w:val="20"/>
        <w:widowControl/>
        <w:spacing w:before="75" w:after="75"/>
        <w:ind w:firstLine="480"/>
        <w:rPr>
          <w:color w:val="auto"/>
          <w:highlight w:val="none"/>
        </w:rPr>
      </w:pPr>
      <w:r>
        <w:rPr>
          <w:rFonts w:hint="eastAsia" w:ascii="宋体" w:hAnsi="宋体" w:cs="宋体"/>
          <w:color w:val="auto"/>
          <w:highlight w:val="none"/>
        </w:rPr>
        <w:t>15.2本合同未尽事宜，双方可另行补充。</w:t>
      </w:r>
    </w:p>
    <w:p>
      <w:pPr>
        <w:pStyle w:val="20"/>
        <w:widowControl/>
        <w:spacing w:before="75" w:after="75"/>
        <w:ind w:firstLine="480"/>
        <w:rPr>
          <w:rFonts w:ascii="宋体" w:hAnsi="宋体" w:cs="宋体"/>
          <w:color w:val="auto"/>
          <w:highlight w:val="none"/>
        </w:rPr>
      </w:pPr>
      <w:r>
        <w:rPr>
          <w:rFonts w:hint="eastAsia" w:ascii="宋体" w:hAnsi="宋体" w:cs="宋体"/>
          <w:color w:val="auto"/>
          <w:highlight w:val="none"/>
        </w:rPr>
        <w:t>15.3合同生效：自签订之日起生效；</w:t>
      </w:r>
    </w:p>
    <w:p>
      <w:pPr>
        <w:pStyle w:val="20"/>
        <w:widowControl/>
        <w:spacing w:before="75" w:after="75"/>
        <w:ind w:firstLine="480"/>
        <w:rPr>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20"/>
        <w:widowControl/>
        <w:spacing w:before="75" w:after="75"/>
        <w:ind w:firstLine="480"/>
        <w:rPr>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20"/>
        <w:widowControl/>
        <w:spacing w:before="75" w:after="75"/>
        <w:jc w:val="center"/>
        <w:rPr>
          <w:color w:val="auto"/>
          <w:highlight w:val="none"/>
        </w:rPr>
      </w:pPr>
      <w:r>
        <w:rPr>
          <w:rFonts w:hint="eastAsia" w:ascii="宋体" w:hAnsi="宋体" w:cs="宋体"/>
          <w:color w:val="auto"/>
          <w:highlight w:val="none"/>
        </w:rPr>
        <w:t>（以下无正文）</w:t>
      </w:r>
    </w:p>
    <w:p>
      <w:pPr>
        <w:pStyle w:val="20"/>
        <w:widowControl/>
        <w:spacing w:before="75" w:after="75"/>
        <w:rPr>
          <w:color w:val="auto"/>
          <w:highlight w:val="none"/>
        </w:rPr>
      </w:pPr>
      <w:r>
        <w:rPr>
          <w:rFonts w:hint="eastAsia" w:ascii="宋体" w:hAnsi="宋体" w:cs="宋体"/>
          <w:color w:val="auto"/>
          <w:highlight w:val="none"/>
        </w:rPr>
        <w:t> </w:t>
      </w:r>
    </w:p>
    <w:p>
      <w:pPr>
        <w:pStyle w:val="20"/>
        <w:widowControl/>
        <w:spacing w:before="75" w:after="75"/>
        <w:rPr>
          <w:color w:val="auto"/>
          <w:highlight w:val="none"/>
        </w:rPr>
      </w:pPr>
      <w:r>
        <w:rPr>
          <w:rFonts w:hint="eastAsia" w:ascii="宋体" w:hAnsi="宋体" w:cs="宋体"/>
          <w:color w:val="auto"/>
          <w:highlight w:val="none"/>
        </w:rPr>
        <w:t>甲方：                   乙方：</w:t>
      </w:r>
    </w:p>
    <w:p>
      <w:pPr>
        <w:pStyle w:val="20"/>
        <w:widowControl/>
        <w:spacing w:before="75" w:after="75"/>
        <w:rPr>
          <w:color w:val="auto"/>
          <w:highlight w:val="none"/>
        </w:rPr>
      </w:pPr>
      <w:r>
        <w:rPr>
          <w:rFonts w:hint="eastAsia" w:ascii="宋体" w:hAnsi="宋体" w:cs="宋体"/>
          <w:color w:val="auto"/>
          <w:highlight w:val="none"/>
        </w:rPr>
        <w:t>住所：                   住所：</w:t>
      </w:r>
    </w:p>
    <w:p>
      <w:pPr>
        <w:pStyle w:val="20"/>
        <w:widowControl/>
        <w:spacing w:before="75" w:after="75"/>
        <w:rPr>
          <w:color w:val="auto"/>
          <w:highlight w:val="none"/>
        </w:rPr>
      </w:pPr>
      <w:r>
        <w:rPr>
          <w:rFonts w:hint="eastAsia" w:ascii="宋体" w:hAnsi="宋体" w:cs="宋体"/>
          <w:color w:val="auto"/>
          <w:highlight w:val="none"/>
        </w:rPr>
        <w:t>单位负责人：                单位负责人：</w:t>
      </w:r>
    </w:p>
    <w:p>
      <w:pPr>
        <w:pStyle w:val="20"/>
        <w:widowControl/>
        <w:spacing w:before="75" w:after="75"/>
        <w:rPr>
          <w:color w:val="auto"/>
          <w:highlight w:val="none"/>
        </w:rPr>
      </w:pPr>
      <w:r>
        <w:rPr>
          <w:rFonts w:hint="eastAsia" w:ascii="宋体" w:hAnsi="宋体" w:cs="宋体"/>
          <w:color w:val="auto"/>
          <w:highlight w:val="none"/>
        </w:rPr>
        <w:t>委托代理人：                委托代理人：</w:t>
      </w:r>
    </w:p>
    <w:p>
      <w:pPr>
        <w:pStyle w:val="20"/>
        <w:widowControl/>
        <w:spacing w:before="75" w:after="75"/>
        <w:rPr>
          <w:color w:val="auto"/>
          <w:highlight w:val="none"/>
        </w:rPr>
      </w:pPr>
      <w:r>
        <w:rPr>
          <w:rFonts w:hint="eastAsia" w:ascii="宋体" w:hAnsi="宋体" w:cs="宋体"/>
          <w:color w:val="auto"/>
          <w:highlight w:val="none"/>
        </w:rPr>
        <w:t>联系方法：                 联系方法：</w:t>
      </w:r>
    </w:p>
    <w:p>
      <w:pPr>
        <w:pStyle w:val="20"/>
        <w:widowControl/>
        <w:spacing w:before="75" w:after="75"/>
        <w:rPr>
          <w:color w:val="auto"/>
          <w:highlight w:val="none"/>
        </w:rPr>
      </w:pPr>
      <w:r>
        <w:rPr>
          <w:rFonts w:hint="eastAsia" w:ascii="宋体" w:hAnsi="宋体" w:cs="宋体"/>
          <w:color w:val="auto"/>
          <w:highlight w:val="none"/>
        </w:rPr>
        <w:t>开户银行：               开户银行：</w:t>
      </w:r>
    </w:p>
    <w:p>
      <w:pPr>
        <w:pStyle w:val="20"/>
        <w:widowControl/>
        <w:spacing w:before="75" w:after="75"/>
        <w:rPr>
          <w:color w:val="auto"/>
          <w:highlight w:val="none"/>
        </w:rPr>
      </w:pPr>
      <w:r>
        <w:rPr>
          <w:rFonts w:hint="eastAsia" w:ascii="宋体" w:hAnsi="宋体" w:cs="宋体"/>
          <w:color w:val="auto"/>
          <w:highlight w:val="none"/>
        </w:rPr>
        <w:t>账号：                   账号：</w:t>
      </w:r>
    </w:p>
    <w:p>
      <w:pPr>
        <w:pStyle w:val="20"/>
        <w:widowControl/>
        <w:spacing w:before="75" w:after="75"/>
        <w:rPr>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20"/>
        <w:widowControl/>
        <w:spacing w:before="75" w:after="75"/>
        <w:rPr>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21"/>
        <w:ind w:firstLine="422"/>
        <w:rPr>
          <w:rFonts w:ascii="宋体" w:hAnsi="宋体" w:cs="宋体"/>
          <w:b/>
          <w:bCs/>
          <w:color w:val="auto"/>
          <w:highlight w:val="none"/>
        </w:rPr>
      </w:pPr>
    </w:p>
    <w:p>
      <w:pPr>
        <w:pStyle w:val="21"/>
        <w:ind w:firstLine="422"/>
        <w:rPr>
          <w:rFonts w:ascii="宋体" w:hAnsi="宋体" w:cs="宋体"/>
          <w:b/>
          <w:bCs/>
          <w:color w:val="auto"/>
          <w:highlight w:val="none"/>
        </w:rPr>
      </w:pPr>
    </w:p>
    <w:p>
      <w:pPr>
        <w:rPr>
          <w:rStyle w:val="24"/>
          <w:rFonts w:ascii="宋体" w:hAnsi="宋体" w:cs="宋体"/>
          <w:color w:val="auto"/>
          <w:sz w:val="31"/>
          <w:szCs w:val="31"/>
          <w:highlight w:val="none"/>
        </w:rPr>
      </w:pPr>
      <w:bookmarkStart w:id="9" w:name="_Toc394259015"/>
      <w:bookmarkStart w:id="10" w:name="_Toc308675459"/>
      <w:bookmarkStart w:id="11" w:name="_Toc309199156"/>
      <w:bookmarkStart w:id="12" w:name="_Toc282069291"/>
      <w:bookmarkStart w:id="13" w:name="_Toc308607164"/>
      <w:bookmarkStart w:id="14" w:name="_Toc281983332"/>
      <w:bookmarkStart w:id="15" w:name="_Toc303755020"/>
      <w:bookmarkStart w:id="16" w:name="_Toc281993712"/>
      <w:bookmarkStart w:id="17" w:name="_Toc394259016"/>
      <w:bookmarkStart w:id="18" w:name="_Toc280783252"/>
      <w:r>
        <w:rPr>
          <w:rStyle w:val="24"/>
          <w:rFonts w:hint="eastAsia" w:ascii="宋体" w:hAnsi="宋体" w:cs="宋体"/>
          <w:color w:val="auto"/>
          <w:sz w:val="31"/>
          <w:szCs w:val="31"/>
          <w:highlight w:val="none"/>
        </w:rPr>
        <w:br w:type="page"/>
      </w:r>
    </w:p>
    <w:p>
      <w:pPr>
        <w:pStyle w:val="20"/>
        <w:widowControl/>
        <w:spacing w:before="75" w:after="75"/>
        <w:jc w:val="center"/>
        <w:rPr>
          <w:rFonts w:ascii="宋体" w:hAnsi="宋体" w:cs="宋体"/>
          <w:color w:val="auto"/>
          <w:highlight w:val="none"/>
        </w:rPr>
      </w:pPr>
      <w:r>
        <w:rPr>
          <w:rStyle w:val="24"/>
          <w:rFonts w:hint="eastAsia" w:ascii="宋体" w:hAnsi="宋体" w:cs="宋体"/>
          <w:color w:val="auto"/>
          <w:sz w:val="31"/>
          <w:szCs w:val="31"/>
          <w:highlight w:val="none"/>
        </w:rPr>
        <w:t>第七章   投标文件格式</w:t>
      </w:r>
    </w:p>
    <w:p>
      <w:pPr>
        <w:pStyle w:val="20"/>
        <w:widowControl/>
        <w:spacing w:after="150"/>
        <w:jc w:val="center"/>
        <w:rPr>
          <w:rFonts w:ascii="宋体" w:hAnsi="宋体" w:cs="宋体"/>
          <w:color w:val="auto"/>
          <w:highlight w:val="none"/>
        </w:rPr>
      </w:pPr>
      <w:r>
        <w:rPr>
          <w:rStyle w:val="24"/>
          <w:rFonts w:hint="eastAsia" w:ascii="宋体" w:hAnsi="宋体" w:cs="宋体"/>
          <w:color w:val="auto"/>
          <w:highlight w:val="none"/>
        </w:rPr>
        <w:t>编制说明</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1、除招标文件另有规定外，本章中：</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1.1涉及投标人的</w:t>
      </w:r>
      <w:r>
        <w:rPr>
          <w:rStyle w:val="24"/>
          <w:rFonts w:hint="eastAsia" w:ascii="宋体" w:hAnsi="宋体" w:cs="宋体"/>
          <w:color w:val="auto"/>
          <w:highlight w:val="none"/>
        </w:rPr>
        <w:t>“全称”</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（1）不接受联合体投标的，指</w:t>
      </w:r>
      <w:r>
        <w:rPr>
          <w:rStyle w:val="24"/>
          <w:rFonts w:hint="eastAsia" w:ascii="宋体" w:hAnsi="宋体" w:cs="宋体"/>
          <w:color w:val="auto"/>
          <w:highlight w:val="none"/>
        </w:rPr>
        <w:t>投标人的全称</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4"/>
          <w:rFonts w:hint="eastAsia" w:ascii="宋体" w:hAnsi="宋体" w:cs="宋体"/>
          <w:color w:val="auto"/>
          <w:highlight w:val="none"/>
        </w:rPr>
        <w:t>牵头方的全称</w:t>
      </w:r>
      <w:r>
        <w:rPr>
          <w:rFonts w:hint="eastAsia" w:ascii="宋体" w:hAnsi="宋体" w:cs="宋体"/>
          <w:color w:val="auto"/>
          <w:highlight w:val="none"/>
        </w:rPr>
        <w:t>并加注</w:t>
      </w:r>
      <w:r>
        <w:rPr>
          <w:rStyle w:val="24"/>
          <w:rFonts w:hint="eastAsia" w:ascii="宋体" w:hAnsi="宋体" w:cs="宋体"/>
          <w:color w:val="auto"/>
          <w:highlight w:val="none"/>
        </w:rPr>
        <w:t>（联合体牵头方）</w:t>
      </w:r>
      <w:r>
        <w:rPr>
          <w:rFonts w:hint="eastAsia" w:ascii="宋体" w:hAnsi="宋体" w:cs="宋体"/>
          <w:color w:val="auto"/>
          <w:highlight w:val="none"/>
        </w:rPr>
        <w:t>，即应表述为：</w:t>
      </w:r>
      <w:r>
        <w:rPr>
          <w:rStyle w:val="24"/>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1.2涉及投标人</w:t>
      </w:r>
      <w:r>
        <w:rPr>
          <w:rStyle w:val="24"/>
          <w:rFonts w:hint="eastAsia" w:ascii="宋体" w:hAnsi="宋体" w:cs="宋体"/>
          <w:color w:val="auto"/>
          <w:highlight w:val="none"/>
        </w:rPr>
        <w:t>“加盖单位公章”</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（1）不接受联合体投标的，指</w:t>
      </w:r>
      <w:r>
        <w:rPr>
          <w:rStyle w:val="24"/>
          <w:rFonts w:hint="eastAsia" w:ascii="宋体" w:hAnsi="宋体" w:cs="宋体"/>
          <w:color w:val="auto"/>
          <w:highlight w:val="none"/>
        </w:rPr>
        <w:t>加盖投标人的单位公章</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4"/>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1.3涉及</w:t>
      </w:r>
      <w:r>
        <w:rPr>
          <w:rStyle w:val="24"/>
          <w:rFonts w:hint="eastAsia" w:ascii="宋体" w:hAnsi="宋体" w:cs="宋体"/>
          <w:color w:val="auto"/>
          <w:highlight w:val="none"/>
        </w:rPr>
        <w:t>“投标人代表签字”</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（1）不接受联合体投标的，指由</w:t>
      </w:r>
      <w:r>
        <w:rPr>
          <w:rStyle w:val="24"/>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（2）接受联合体投标且投标人为联合体的，指由</w:t>
      </w:r>
      <w:r>
        <w:rPr>
          <w:rStyle w:val="24"/>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1.4</w:t>
      </w:r>
      <w:r>
        <w:rPr>
          <w:rStyle w:val="24"/>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1.5</w:t>
      </w:r>
      <w:r>
        <w:rPr>
          <w:rStyle w:val="24"/>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2、除招标文件另有规定外，本章中</w:t>
      </w:r>
      <w:r>
        <w:rPr>
          <w:rStyle w:val="24"/>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2.1投标人应按照招标文件第四章第1.3条第（2）款规定及本章规定进行编制，如有必要，可增加附页，附页作为资格及资信文件的组成部分。</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2.2接受联合体投标且投标人为联合体的，联合体中的各方均应按照本章第2.1条规定提交相应的全部资料。</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3、投标人对投标文件的索引应编制页码。</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4、除招标文件另有规定外，本章中：</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4.2除《检察机关行贿犯罪档案查询结果告知函》外，若投标人提供注明“复印件无效”的证明材料或资料，其纸质投标文件正本中应提供原件。</w:t>
      </w:r>
    </w:p>
    <w:p>
      <w:pPr>
        <w:pStyle w:val="20"/>
        <w:widowControl/>
        <w:spacing w:line="420" w:lineRule="exact"/>
        <w:ind w:firstLine="482"/>
        <w:rPr>
          <w:rFonts w:ascii="宋体" w:hAnsi="宋体" w:cs="宋体"/>
          <w:color w:val="auto"/>
          <w:highlight w:val="none"/>
        </w:rPr>
      </w:pPr>
      <w:r>
        <w:rPr>
          <w:rFonts w:hint="eastAsia" w:ascii="宋体" w:hAnsi="宋体" w:cs="宋体"/>
          <w:color w:val="auto"/>
          <w:highlight w:val="none"/>
        </w:rPr>
        <w:t>4.3《检察机关行贿犯罪档案查询结果告知函》：投标人在纸质投标文件正本中提供原件、复印件（含扫描件）、符合本章规定的打印件（或截图）皆可。</w:t>
      </w:r>
    </w:p>
    <w:bookmarkEnd w:id="9"/>
    <w:bookmarkEnd w:id="10"/>
    <w:bookmarkEnd w:id="11"/>
    <w:bookmarkEnd w:id="12"/>
    <w:bookmarkEnd w:id="13"/>
    <w:bookmarkEnd w:id="14"/>
    <w:bookmarkEnd w:id="15"/>
    <w:bookmarkEnd w:id="16"/>
    <w:bookmarkEnd w:id="17"/>
    <w:bookmarkEnd w:id="18"/>
    <w:p>
      <w:pPr>
        <w:pStyle w:val="20"/>
        <w:widowControl/>
        <w:jc w:val="center"/>
        <w:rPr>
          <w:rFonts w:ascii="宋体" w:hAnsi="宋体" w:cs="宋体"/>
          <w:color w:val="auto"/>
          <w:kern w:val="0"/>
          <w:highlight w:val="none"/>
        </w:rPr>
      </w:pPr>
    </w:p>
    <w:p>
      <w:pPr>
        <w:pStyle w:val="20"/>
        <w:widowControl/>
        <w:jc w:val="center"/>
        <w:rPr>
          <w:color w:val="auto"/>
          <w:highlight w:val="none"/>
        </w:rPr>
      </w:pPr>
      <w:r>
        <w:rPr>
          <w:rFonts w:hint="eastAsia" w:ascii="宋体" w:hAnsi="宋体" w:cs="宋体"/>
          <w:color w:val="auto"/>
          <w:kern w:val="0"/>
          <w:highlight w:val="none"/>
        </w:rPr>
        <w:t> </w:t>
      </w:r>
      <w:r>
        <w:rPr>
          <w:rStyle w:val="24"/>
          <w:rFonts w:hint="eastAsia" w:ascii="宋体" w:hAnsi="宋体" w:cs="宋体"/>
          <w:color w:val="auto"/>
          <w:sz w:val="28"/>
          <w:szCs w:val="28"/>
          <w:highlight w:val="none"/>
        </w:rPr>
        <w:t>封面格式</w:t>
      </w:r>
    </w:p>
    <w:p>
      <w:pPr>
        <w:pStyle w:val="20"/>
        <w:widowControl/>
        <w:rPr>
          <w:color w:val="auto"/>
          <w:highlight w:val="none"/>
        </w:rPr>
      </w:pPr>
      <w:r>
        <w:rPr>
          <w:rFonts w:hint="eastAsia" w:ascii="宋体" w:hAnsi="宋体" w:cs="宋体"/>
          <w:color w:val="auto"/>
          <w:sz w:val="36"/>
          <w:szCs w:val="36"/>
          <w:highlight w:val="none"/>
        </w:rPr>
        <w:t> </w:t>
      </w:r>
    </w:p>
    <w:p>
      <w:pPr>
        <w:pStyle w:val="20"/>
        <w:widowControl/>
        <w:jc w:val="center"/>
        <w:rPr>
          <w:color w:val="auto"/>
          <w:highlight w:val="none"/>
        </w:rPr>
      </w:pPr>
      <w:r>
        <w:rPr>
          <w:rStyle w:val="24"/>
          <w:rFonts w:hint="eastAsia" w:ascii="宋体" w:hAnsi="宋体" w:cs="宋体"/>
          <w:color w:val="auto"/>
          <w:sz w:val="48"/>
          <w:szCs w:val="48"/>
          <w:highlight w:val="none"/>
        </w:rPr>
        <w:t>福建省政府采购投标文件</w:t>
      </w:r>
    </w:p>
    <w:p>
      <w:pPr>
        <w:pStyle w:val="20"/>
        <w:widowControl/>
        <w:jc w:val="center"/>
        <w:rPr>
          <w:color w:val="auto"/>
          <w:highlight w:val="none"/>
        </w:rPr>
      </w:pPr>
      <w:r>
        <w:rPr>
          <w:rStyle w:val="24"/>
          <w:rFonts w:hint="eastAsia" w:ascii="宋体" w:hAnsi="宋体" w:cs="宋体"/>
          <w:color w:val="auto"/>
          <w:sz w:val="48"/>
          <w:szCs w:val="48"/>
          <w:highlight w:val="none"/>
        </w:rPr>
        <w:t>（资格及资信证明部分）</w:t>
      </w:r>
    </w:p>
    <w:p>
      <w:pPr>
        <w:pStyle w:val="20"/>
        <w:widowControl/>
        <w:rPr>
          <w:color w:val="auto"/>
          <w:highlight w:val="none"/>
        </w:rPr>
      </w:pPr>
      <w:r>
        <w:rPr>
          <w:rFonts w:hint="eastAsia" w:ascii="宋体" w:hAnsi="宋体" w:cs="宋体"/>
          <w:color w:val="auto"/>
          <w:sz w:val="36"/>
          <w:szCs w:val="36"/>
          <w:highlight w:val="none"/>
        </w:rPr>
        <w:t> </w:t>
      </w:r>
    </w:p>
    <w:p>
      <w:pPr>
        <w:pStyle w:val="20"/>
        <w:widowControl/>
        <w:jc w:val="center"/>
        <w:rPr>
          <w:color w:val="auto"/>
          <w:highlight w:val="none"/>
        </w:rPr>
      </w:pPr>
      <w:r>
        <w:rPr>
          <w:rStyle w:val="24"/>
          <w:rFonts w:hint="eastAsia" w:ascii="宋体" w:hAnsi="宋体" w:cs="宋体"/>
          <w:color w:val="auto"/>
          <w:sz w:val="36"/>
          <w:szCs w:val="36"/>
          <w:highlight w:val="none"/>
          <w:u w:val="single"/>
        </w:rPr>
        <w:t>（填写正本或副本）</w:t>
      </w:r>
    </w:p>
    <w:p>
      <w:pPr>
        <w:pStyle w:val="20"/>
        <w:widowControl/>
        <w:rPr>
          <w:color w:val="auto"/>
          <w:highlight w:val="none"/>
        </w:rPr>
      </w:pPr>
      <w:r>
        <w:rPr>
          <w:rFonts w:hint="eastAsia" w:ascii="宋体" w:hAnsi="宋体" w:cs="宋体"/>
          <w:color w:val="auto"/>
          <w:sz w:val="36"/>
          <w:szCs w:val="36"/>
          <w:highlight w:val="none"/>
        </w:rPr>
        <w:t> </w:t>
      </w:r>
    </w:p>
    <w:p>
      <w:pPr>
        <w:pStyle w:val="20"/>
        <w:widowControl/>
        <w:ind w:firstLine="1920"/>
        <w:rPr>
          <w:color w:val="auto"/>
          <w:highlight w:val="none"/>
        </w:rPr>
      </w:pPr>
      <w:r>
        <w:rPr>
          <w:rStyle w:val="24"/>
          <w:rFonts w:hint="eastAsia" w:ascii="宋体" w:hAnsi="宋体" w:cs="宋体"/>
          <w:color w:val="auto"/>
          <w:sz w:val="31"/>
          <w:szCs w:val="31"/>
          <w:highlight w:val="none"/>
        </w:rPr>
        <w:t>项目名称：</w:t>
      </w:r>
      <w:r>
        <w:rPr>
          <w:rStyle w:val="24"/>
          <w:rFonts w:hint="eastAsia" w:ascii="宋体" w:hAnsi="宋体" w:cs="宋体"/>
          <w:color w:val="auto"/>
          <w:sz w:val="31"/>
          <w:szCs w:val="31"/>
          <w:highlight w:val="none"/>
          <w:u w:val="single"/>
        </w:rPr>
        <w:t>（由投标人填写）</w:t>
      </w:r>
    </w:p>
    <w:p>
      <w:pPr>
        <w:pStyle w:val="20"/>
        <w:widowControl/>
        <w:ind w:firstLine="1920"/>
        <w:rPr>
          <w:color w:val="auto"/>
          <w:highlight w:val="none"/>
        </w:rPr>
      </w:pPr>
      <w:r>
        <w:rPr>
          <w:rStyle w:val="24"/>
          <w:rFonts w:hint="eastAsia" w:ascii="宋体" w:hAnsi="宋体" w:cs="宋体"/>
          <w:color w:val="auto"/>
          <w:sz w:val="31"/>
          <w:szCs w:val="31"/>
          <w:highlight w:val="none"/>
        </w:rPr>
        <w:t>备案编号：</w:t>
      </w:r>
      <w:r>
        <w:rPr>
          <w:rStyle w:val="24"/>
          <w:rFonts w:hint="eastAsia" w:ascii="宋体" w:hAnsi="宋体" w:cs="宋体"/>
          <w:color w:val="auto"/>
          <w:sz w:val="31"/>
          <w:szCs w:val="31"/>
          <w:highlight w:val="none"/>
          <w:u w:val="single"/>
        </w:rPr>
        <w:t>（由投标人填写）</w:t>
      </w:r>
    </w:p>
    <w:p>
      <w:pPr>
        <w:pStyle w:val="20"/>
        <w:widowControl/>
        <w:ind w:firstLine="1920"/>
        <w:rPr>
          <w:color w:val="auto"/>
          <w:highlight w:val="none"/>
        </w:rPr>
      </w:pPr>
      <w:r>
        <w:rPr>
          <w:rStyle w:val="24"/>
          <w:rFonts w:hint="eastAsia" w:ascii="宋体" w:hAnsi="宋体" w:cs="宋体"/>
          <w:color w:val="auto"/>
          <w:sz w:val="31"/>
          <w:szCs w:val="31"/>
          <w:highlight w:val="none"/>
        </w:rPr>
        <w:t>招标编号：</w:t>
      </w:r>
      <w:r>
        <w:rPr>
          <w:rStyle w:val="24"/>
          <w:rFonts w:hint="eastAsia" w:ascii="宋体" w:hAnsi="宋体" w:cs="宋体"/>
          <w:color w:val="auto"/>
          <w:sz w:val="31"/>
          <w:szCs w:val="31"/>
          <w:highlight w:val="none"/>
          <w:u w:val="single"/>
        </w:rPr>
        <w:t>（由投标人填写）</w:t>
      </w:r>
    </w:p>
    <w:p>
      <w:pPr>
        <w:pStyle w:val="20"/>
        <w:widowControl/>
        <w:ind w:firstLine="1920"/>
        <w:rPr>
          <w:color w:val="auto"/>
          <w:highlight w:val="none"/>
        </w:rPr>
      </w:pPr>
      <w:r>
        <w:rPr>
          <w:rStyle w:val="24"/>
          <w:rFonts w:hint="eastAsia" w:ascii="宋体" w:hAnsi="宋体" w:cs="宋体"/>
          <w:color w:val="auto"/>
          <w:sz w:val="31"/>
          <w:szCs w:val="31"/>
          <w:highlight w:val="none"/>
        </w:rPr>
        <w:t>所投合同包：</w:t>
      </w:r>
      <w:r>
        <w:rPr>
          <w:rStyle w:val="24"/>
          <w:rFonts w:hint="eastAsia" w:ascii="宋体" w:hAnsi="宋体" w:cs="宋体"/>
          <w:color w:val="auto"/>
          <w:sz w:val="31"/>
          <w:szCs w:val="31"/>
          <w:highlight w:val="none"/>
          <w:u w:val="single"/>
        </w:rPr>
        <w:t>（由投标人填写）</w:t>
      </w:r>
    </w:p>
    <w:p>
      <w:pPr>
        <w:pStyle w:val="20"/>
        <w:widowControl/>
        <w:rPr>
          <w:color w:val="auto"/>
          <w:highlight w:val="none"/>
        </w:rPr>
      </w:pPr>
      <w:r>
        <w:rPr>
          <w:rFonts w:hint="eastAsia" w:ascii="宋体" w:hAnsi="宋体" w:cs="宋体"/>
          <w:color w:val="auto"/>
          <w:sz w:val="36"/>
          <w:szCs w:val="36"/>
          <w:highlight w:val="none"/>
        </w:rPr>
        <w:t> </w:t>
      </w:r>
    </w:p>
    <w:p>
      <w:pPr>
        <w:pStyle w:val="20"/>
        <w:widowControl/>
        <w:jc w:val="center"/>
        <w:rPr>
          <w:color w:val="auto"/>
          <w:highlight w:val="none"/>
        </w:rPr>
      </w:pPr>
      <w:r>
        <w:rPr>
          <w:rStyle w:val="24"/>
          <w:rFonts w:hint="eastAsia" w:ascii="宋体" w:hAnsi="宋体" w:cs="宋体"/>
          <w:color w:val="auto"/>
          <w:sz w:val="31"/>
          <w:szCs w:val="31"/>
          <w:highlight w:val="none"/>
        </w:rPr>
        <w:t>投标人：</w:t>
      </w:r>
      <w:r>
        <w:rPr>
          <w:rStyle w:val="24"/>
          <w:rFonts w:hint="eastAsia" w:ascii="宋体" w:hAnsi="宋体" w:cs="宋体"/>
          <w:color w:val="auto"/>
          <w:sz w:val="31"/>
          <w:szCs w:val="31"/>
          <w:highlight w:val="none"/>
          <w:u w:val="single"/>
        </w:rPr>
        <w:t>（填写“全称”）</w:t>
      </w:r>
    </w:p>
    <w:p>
      <w:pPr>
        <w:pStyle w:val="20"/>
        <w:widowControl/>
        <w:jc w:val="center"/>
        <w:rPr>
          <w:color w:val="auto"/>
          <w:highlight w:val="none"/>
        </w:rPr>
      </w:pPr>
      <w:r>
        <w:rPr>
          <w:rStyle w:val="24"/>
          <w:rFonts w:hint="eastAsia" w:ascii="宋体" w:hAnsi="宋体" w:cs="宋体"/>
          <w:color w:val="auto"/>
          <w:sz w:val="31"/>
          <w:szCs w:val="31"/>
          <w:highlight w:val="none"/>
          <w:u w:val="single"/>
        </w:rPr>
        <w:t>（由投标人填写）</w:t>
      </w:r>
      <w:r>
        <w:rPr>
          <w:rStyle w:val="24"/>
          <w:rFonts w:hint="eastAsia" w:ascii="宋体" w:hAnsi="宋体" w:cs="宋体"/>
          <w:color w:val="auto"/>
          <w:sz w:val="31"/>
          <w:szCs w:val="31"/>
          <w:highlight w:val="none"/>
        </w:rPr>
        <w:t>年</w:t>
      </w:r>
      <w:r>
        <w:rPr>
          <w:rStyle w:val="24"/>
          <w:rFonts w:hint="eastAsia" w:ascii="宋体" w:hAnsi="宋体" w:cs="宋体"/>
          <w:color w:val="auto"/>
          <w:sz w:val="31"/>
          <w:szCs w:val="31"/>
          <w:highlight w:val="none"/>
          <w:u w:val="single"/>
        </w:rPr>
        <w:t>（由投标人填写）</w:t>
      </w:r>
      <w:r>
        <w:rPr>
          <w:rStyle w:val="24"/>
          <w:rFonts w:hint="eastAsia" w:ascii="宋体" w:hAnsi="宋体" w:cs="宋体"/>
          <w:color w:val="auto"/>
          <w:sz w:val="31"/>
          <w:szCs w:val="31"/>
          <w:highlight w:val="none"/>
        </w:rPr>
        <w:t>月</w:t>
      </w:r>
    </w:p>
    <w:p>
      <w:pPr>
        <w:pStyle w:val="20"/>
        <w:widowControl/>
        <w:rPr>
          <w:rStyle w:val="24"/>
          <w:rFonts w:ascii="宋体" w:hAnsi="宋体" w:cs="宋体"/>
          <w:color w:val="auto"/>
          <w:sz w:val="28"/>
          <w:szCs w:val="28"/>
          <w:highlight w:val="none"/>
        </w:rPr>
      </w:pPr>
    </w:p>
    <w:p>
      <w:pPr>
        <w:pStyle w:val="20"/>
        <w:widowControl/>
        <w:jc w:val="center"/>
        <w:rPr>
          <w:color w:val="auto"/>
          <w:highlight w:val="none"/>
        </w:rPr>
      </w:pPr>
      <w:r>
        <w:rPr>
          <w:rStyle w:val="24"/>
          <w:rFonts w:hint="eastAsia" w:ascii="宋体" w:hAnsi="宋体" w:cs="宋体"/>
          <w:color w:val="auto"/>
          <w:sz w:val="28"/>
          <w:szCs w:val="28"/>
          <w:highlight w:val="none"/>
        </w:rPr>
        <w:t>索引</w:t>
      </w:r>
    </w:p>
    <w:p>
      <w:pPr>
        <w:pStyle w:val="20"/>
        <w:widowControl/>
        <w:rPr>
          <w:color w:val="auto"/>
          <w:highlight w:val="none"/>
        </w:rPr>
      </w:pPr>
      <w:r>
        <w:rPr>
          <w:rFonts w:hint="eastAsia" w:ascii="宋体" w:hAnsi="宋体" w:cs="宋体"/>
          <w:color w:val="auto"/>
          <w:sz w:val="28"/>
          <w:szCs w:val="28"/>
          <w:highlight w:val="none"/>
        </w:rPr>
        <w:t>一、投标函</w:t>
      </w:r>
    </w:p>
    <w:p>
      <w:pPr>
        <w:pStyle w:val="20"/>
        <w:widowControl/>
        <w:rPr>
          <w:color w:val="auto"/>
          <w:highlight w:val="none"/>
        </w:rPr>
      </w:pPr>
      <w:r>
        <w:rPr>
          <w:rFonts w:hint="eastAsia" w:ascii="宋体" w:hAnsi="宋体" w:cs="宋体"/>
          <w:color w:val="auto"/>
          <w:sz w:val="28"/>
          <w:szCs w:val="28"/>
          <w:highlight w:val="none"/>
        </w:rPr>
        <w:t>二、投标人的资格及资信证明文件</w:t>
      </w:r>
    </w:p>
    <w:p>
      <w:pPr>
        <w:pStyle w:val="20"/>
        <w:widowControl/>
        <w:rPr>
          <w:color w:val="auto"/>
          <w:highlight w:val="none"/>
        </w:rPr>
      </w:pPr>
      <w:r>
        <w:rPr>
          <w:rFonts w:hint="eastAsia" w:ascii="宋体" w:hAnsi="宋体" w:cs="宋体"/>
          <w:color w:val="auto"/>
          <w:sz w:val="28"/>
          <w:szCs w:val="28"/>
          <w:highlight w:val="none"/>
        </w:rPr>
        <w:t>三、投标保证金</w:t>
      </w:r>
    </w:p>
    <w:p>
      <w:pPr>
        <w:pStyle w:val="20"/>
        <w:widowControl/>
        <w:rPr>
          <w:color w:val="auto"/>
          <w:highlight w:val="none"/>
        </w:rPr>
      </w:pPr>
      <w:r>
        <w:rPr>
          <w:rFonts w:hint="eastAsia" w:ascii="宋体" w:hAnsi="宋体" w:cs="宋体"/>
          <w:color w:val="auto"/>
          <w:sz w:val="21"/>
          <w:szCs w:val="21"/>
          <w:highlight w:val="none"/>
        </w:rPr>
        <w:t> </w:t>
      </w:r>
    </w:p>
    <w:p>
      <w:pPr>
        <w:pStyle w:val="20"/>
        <w:widowControl/>
        <w:jc w:val="center"/>
        <w:rPr>
          <w:color w:val="auto"/>
          <w:highlight w:val="none"/>
        </w:rPr>
      </w:pPr>
      <w:r>
        <w:rPr>
          <w:rFonts w:hint="eastAsia" w:ascii="宋体" w:hAnsi="宋体" w:cs="宋体"/>
          <w:color w:val="auto"/>
          <w:sz w:val="21"/>
          <w:szCs w:val="21"/>
          <w:highlight w:val="none"/>
        </w:rPr>
        <w:t>★注意</w:t>
      </w:r>
    </w:p>
    <w:p>
      <w:pPr>
        <w:pStyle w:val="20"/>
        <w:widowControl/>
        <w:ind w:firstLine="420"/>
        <w:rPr>
          <w:color w:val="auto"/>
          <w:highlight w:val="none"/>
        </w:rPr>
      </w:pPr>
      <w:r>
        <w:rPr>
          <w:rFonts w:hint="eastAsia" w:ascii="宋体" w:hAnsi="宋体" w:cs="宋体"/>
          <w:color w:val="auto"/>
          <w:sz w:val="21"/>
          <w:szCs w:val="21"/>
          <w:highlight w:val="none"/>
        </w:rPr>
        <w:t>资格及资信证明部分中不得出现报价部分的全部或部分的投标报价信息（或组成资料），否则</w:t>
      </w:r>
      <w:r>
        <w:rPr>
          <w:rStyle w:val="24"/>
          <w:rFonts w:hint="eastAsia" w:ascii="宋体" w:hAnsi="宋体" w:cs="宋体"/>
          <w:color w:val="auto"/>
          <w:sz w:val="21"/>
          <w:szCs w:val="21"/>
          <w:highlight w:val="none"/>
        </w:rPr>
        <w:t>资格审查不合格</w:t>
      </w:r>
      <w:r>
        <w:rPr>
          <w:rFonts w:hint="eastAsia" w:ascii="宋体" w:hAnsi="宋体" w:cs="宋体"/>
          <w:color w:val="auto"/>
          <w:sz w:val="21"/>
          <w:szCs w:val="21"/>
          <w:highlight w:val="none"/>
        </w:rPr>
        <w:t>。</w:t>
      </w:r>
    </w:p>
    <w:p>
      <w:pPr>
        <w:pStyle w:val="20"/>
        <w:widowControl/>
        <w:spacing w:line="420" w:lineRule="exact"/>
        <w:jc w:val="center"/>
        <w:rPr>
          <w:rFonts w:ascii="宋体" w:hAnsi="宋体" w:cs="宋体"/>
          <w:color w:val="auto"/>
          <w:szCs w:val="24"/>
          <w:highlight w:val="none"/>
        </w:rPr>
      </w:pPr>
      <w:r>
        <w:rPr>
          <w:color w:val="auto"/>
          <w:highlight w:val="none"/>
        </w:rPr>
        <w:br w:type="page"/>
      </w:r>
      <w:r>
        <w:rPr>
          <w:rStyle w:val="24"/>
          <w:rFonts w:hint="eastAsia" w:ascii="宋体" w:hAnsi="宋体" w:cs="宋体"/>
          <w:color w:val="auto"/>
          <w:szCs w:val="24"/>
          <w:highlight w:val="none"/>
        </w:rPr>
        <w:t>一、投标函</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兹收到贵单位关于</w:t>
      </w:r>
      <w:r>
        <w:rPr>
          <w:rFonts w:hint="eastAsia" w:ascii="宋体" w:hAnsi="宋体" w:cs="宋体"/>
          <w:color w:val="auto"/>
          <w:szCs w:val="24"/>
          <w:highlight w:val="none"/>
          <w:u w:val="single"/>
        </w:rPr>
        <w:t>（填写“项目名称”）</w:t>
      </w:r>
      <w:r>
        <w:rPr>
          <w:rFonts w:hint="eastAsia" w:ascii="宋体" w:hAnsi="宋体" w:cs="宋体"/>
          <w:color w:val="auto"/>
          <w:szCs w:val="24"/>
          <w:highlight w:val="none"/>
        </w:rPr>
        <w:t>项目（招标编号：</w:t>
      </w:r>
      <w:r>
        <w:rPr>
          <w:rFonts w:hint="eastAsia" w:ascii="宋体" w:hAnsi="宋体" w:cs="宋体"/>
          <w:color w:val="auto"/>
          <w:szCs w:val="24"/>
          <w:highlight w:val="none"/>
          <w:u w:val="single"/>
        </w:rPr>
        <w:t>     </w:t>
      </w:r>
      <w:r>
        <w:rPr>
          <w:rFonts w:hint="eastAsia" w:ascii="宋体" w:hAnsi="宋体" w:cs="宋体"/>
          <w:color w:val="auto"/>
          <w:szCs w:val="24"/>
          <w:highlight w:val="none"/>
        </w:rPr>
        <w:t>）的投标邀请，本投标人代表</w:t>
      </w:r>
      <w:r>
        <w:rPr>
          <w:rFonts w:hint="eastAsia" w:ascii="宋体" w:hAnsi="宋体" w:cs="宋体"/>
          <w:color w:val="auto"/>
          <w:szCs w:val="24"/>
          <w:highlight w:val="none"/>
          <w:u w:val="single"/>
        </w:rPr>
        <w:t>（填写“全名”）</w:t>
      </w:r>
      <w:r>
        <w:rPr>
          <w:rFonts w:hint="eastAsia" w:ascii="宋体" w:hAnsi="宋体" w:cs="宋体"/>
          <w:color w:val="auto"/>
          <w:szCs w:val="24"/>
          <w:highlight w:val="none"/>
        </w:rPr>
        <w:t>已获得我方正式授权并代表投标人</w:t>
      </w:r>
      <w:r>
        <w:rPr>
          <w:rFonts w:hint="eastAsia" w:ascii="宋体" w:hAnsi="宋体" w:cs="宋体"/>
          <w:color w:val="auto"/>
          <w:szCs w:val="24"/>
          <w:highlight w:val="none"/>
          <w:u w:val="single"/>
        </w:rPr>
        <w:t>（填写“全称”）</w:t>
      </w:r>
      <w:r>
        <w:rPr>
          <w:rFonts w:hint="eastAsia" w:ascii="宋体" w:hAnsi="宋体" w:cs="宋体"/>
          <w:color w:val="auto"/>
          <w:szCs w:val="24"/>
          <w:highlight w:val="none"/>
        </w:rPr>
        <w:t>参加投标，并提交招标文件规定份数的投标文件正本和副本。我方提交的全部投标文件均由下述部分组成：</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（1）资格及资信证明部分</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①投标函</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②投标人的资格及资信证明文件</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③投标保证金</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（2）报价部分</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①开标一览表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②投标分项报价表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③招标文件规定的价格扣除证明材料（若有）</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④招标文件规定的加分证明材料（若有）</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（3）技术商务部分</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①标的说明一览表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②技术和服务要求响应表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③商务条件响应表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④投标人提交的其他资料（若有）</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根据本函，本投标人代表宣布我方保证遵守招标文件的全部规定，同时：</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w:t>
      </w:r>
      <w:r>
        <w:rPr>
          <w:rStyle w:val="24"/>
          <w:rFonts w:hint="eastAsia" w:ascii="宋体" w:hAnsi="宋体" w:cs="宋体"/>
          <w:color w:val="auto"/>
          <w:szCs w:val="24"/>
          <w:highlight w:val="none"/>
        </w:rPr>
        <w:t>确认：</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1.1所投合同包的投标报价详见“开标一览表”及“投标分项报价表”。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1.2我方已详细审查全部招标文件[包括但不限于：有关附件（若有）、澄清或修改（若有）等]，并自行承担因对全部招标文件理解不正确或误解而产生的相应后果和责任。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w:t>
      </w:r>
      <w:r>
        <w:rPr>
          <w:rStyle w:val="24"/>
          <w:rFonts w:hint="eastAsia" w:ascii="宋体" w:hAnsi="宋体" w:cs="宋体"/>
          <w:color w:val="auto"/>
          <w:szCs w:val="24"/>
          <w:highlight w:val="none"/>
        </w:rPr>
        <w:t>承诺及声明：</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2.1我方具备招标文件第一章载明的“投标人的资格要求”且符合招标文件第三章载明的“二、投标人”之规定，否则</w:t>
      </w:r>
      <w:r>
        <w:rPr>
          <w:rStyle w:val="24"/>
          <w:rFonts w:hint="eastAsia" w:ascii="宋体" w:hAnsi="宋体" w:cs="宋体"/>
          <w:color w:val="auto"/>
          <w:szCs w:val="24"/>
          <w:highlight w:val="none"/>
        </w:rPr>
        <w:t>投标无效。</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2.2我方提交的投标文件各组成部分的全部内容及资料是不可割离且真实、有效、准确、完整和不具有任何误导性的，否则产生不利后果由我方承担责任。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2.3我方提供的标的价格不高于同期市场价格，否则产生不利后果由我方承担责任。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2.4投标保证金：若出现招标文件第三章规定的不予退还情形，同意贵单位不予退还。</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2.5投标有效期：按照招标文件第三章规定执行，并在招标文件第二章载明的期限内保持有效。</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2.6若中标，将按照招标文件、我方投标文件及政府采购合同履行责任和义务。</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2.7若贵单位要求，我方同意提供与本项目投标有关的一切资料、数据或文件，并完全理解贵单位不一定要接受最低的投标报价或收到的任何投标。</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2.8除招标文件另有规定外，对于贵单位按照下述联络方式发出的任何信息或通知，均视为我方已收悉前述信息或通知的全部内容：</w:t>
      </w:r>
    </w:p>
    <w:p>
      <w:pPr>
        <w:pStyle w:val="20"/>
        <w:widowControl/>
        <w:spacing w:line="420" w:lineRule="exact"/>
        <w:ind w:firstLine="420"/>
        <w:rPr>
          <w:rFonts w:ascii="宋体" w:hAnsi="宋体" w:cs="宋体"/>
          <w:color w:val="auto"/>
          <w:szCs w:val="24"/>
          <w:highlight w:val="none"/>
          <w:u w:val="single"/>
        </w:rPr>
      </w:pPr>
      <w:r>
        <w:rPr>
          <w:rFonts w:hint="eastAsia" w:ascii="宋体" w:hAnsi="宋体" w:cs="宋体"/>
          <w:color w:val="auto"/>
          <w:szCs w:val="24"/>
          <w:highlight w:val="none"/>
        </w:rPr>
        <w:t>通信地址：</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邮编：</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联系方法：</w:t>
      </w:r>
      <w:r>
        <w:rPr>
          <w:rFonts w:hint="eastAsia" w:ascii="宋体" w:hAnsi="宋体" w:cs="宋体"/>
          <w:color w:val="auto"/>
          <w:szCs w:val="24"/>
          <w:highlight w:val="none"/>
          <w:u w:val="single"/>
        </w:rPr>
        <w:t>（包括但不限于：联系人、联系电话、手机、传真、电子邮箱等）</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二、投标人的资格及资信证明文件</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二-1单位负责人授权书（若有）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我方的单位负责人</w:t>
      </w:r>
      <w:r>
        <w:rPr>
          <w:rFonts w:hint="eastAsia" w:ascii="宋体" w:hAnsi="宋体" w:cs="宋体"/>
          <w:color w:val="auto"/>
          <w:szCs w:val="24"/>
          <w:highlight w:val="none"/>
          <w:u w:val="single"/>
        </w:rPr>
        <w:t>（填写“单位负责人全名”）</w:t>
      </w:r>
      <w:r>
        <w:rPr>
          <w:rFonts w:hint="eastAsia" w:ascii="宋体" w:hAnsi="宋体" w:cs="宋体"/>
          <w:color w:val="auto"/>
          <w:szCs w:val="24"/>
          <w:highlight w:val="none"/>
        </w:rPr>
        <w:t>授权</w:t>
      </w:r>
      <w:r>
        <w:rPr>
          <w:rFonts w:hint="eastAsia" w:ascii="宋体" w:hAnsi="宋体" w:cs="宋体"/>
          <w:color w:val="auto"/>
          <w:szCs w:val="24"/>
          <w:highlight w:val="none"/>
          <w:u w:val="single"/>
        </w:rPr>
        <w:t>（填写“投标人代表全名”）</w:t>
      </w:r>
      <w:r>
        <w:rPr>
          <w:rFonts w:hint="eastAsia" w:ascii="宋体" w:hAnsi="宋体" w:cs="宋体"/>
          <w:color w:val="auto"/>
          <w:szCs w:val="24"/>
          <w:highlight w:val="none"/>
        </w:rPr>
        <w:t>为投标人代表，代表我方参加</w:t>
      </w:r>
      <w:r>
        <w:rPr>
          <w:rFonts w:hint="eastAsia" w:ascii="宋体" w:hAnsi="宋体" w:cs="宋体"/>
          <w:color w:val="auto"/>
          <w:szCs w:val="24"/>
          <w:highlight w:val="none"/>
          <w:u w:val="single"/>
        </w:rPr>
        <w:t>（填写“项目名称”）</w:t>
      </w:r>
      <w:r>
        <w:rPr>
          <w:rFonts w:hint="eastAsia" w:ascii="宋体" w:hAnsi="宋体" w:cs="宋体"/>
          <w:color w:val="auto"/>
          <w:szCs w:val="24"/>
          <w:highlight w:val="none"/>
        </w:rPr>
        <w:t>项目（招标编号：</w:t>
      </w:r>
      <w:r>
        <w:rPr>
          <w:rFonts w:hint="eastAsia" w:ascii="宋体" w:hAnsi="宋体" w:cs="宋体"/>
          <w:color w:val="auto"/>
          <w:szCs w:val="24"/>
          <w:highlight w:val="none"/>
          <w:u w:val="single"/>
        </w:rPr>
        <w:t>         </w:t>
      </w:r>
      <w:r>
        <w:rPr>
          <w:rFonts w:hint="eastAsia" w:ascii="宋体" w:hAnsi="宋体" w:cs="宋体"/>
          <w:color w:val="auto"/>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投标人代表无转委权。特此授权。</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（以下无正文）</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u w:val="single"/>
        </w:rPr>
      </w:pPr>
      <w:r>
        <w:rPr>
          <w:rFonts w:hint="eastAsia" w:ascii="宋体" w:hAnsi="宋体" w:cs="宋体"/>
          <w:color w:val="auto"/>
          <w:szCs w:val="24"/>
          <w:highlight w:val="none"/>
        </w:rPr>
        <w:t>单位负责人：</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u w:val="single"/>
        </w:rPr>
      </w:pPr>
      <w:r>
        <w:rPr>
          <w:rFonts w:hint="eastAsia" w:ascii="宋体" w:hAnsi="宋体" w:cs="宋体"/>
          <w:color w:val="auto"/>
          <w:szCs w:val="24"/>
          <w:highlight w:val="none"/>
        </w:rPr>
        <w:t>身份证号：</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手机：</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u w:val="single"/>
        </w:rPr>
      </w:pPr>
      <w:r>
        <w:rPr>
          <w:rFonts w:hint="eastAsia" w:ascii="宋体" w:hAnsi="宋体" w:cs="宋体"/>
          <w:color w:val="auto"/>
          <w:szCs w:val="24"/>
          <w:highlight w:val="none"/>
        </w:rPr>
        <w:t>投标人代表：</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u w:val="single"/>
        </w:rPr>
      </w:pPr>
      <w:r>
        <w:rPr>
          <w:rFonts w:hint="eastAsia" w:ascii="宋体" w:hAnsi="宋体" w:cs="宋体"/>
          <w:color w:val="auto"/>
          <w:szCs w:val="24"/>
          <w:highlight w:val="none"/>
        </w:rPr>
        <w:t>身份证号：</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手机：</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授权方</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单位负责人签字或盖章：</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接受授权方</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签署日期：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附：单位负责人、投标人代表的身份证正反面复印件</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jc w:val="center"/>
        </w:trPr>
        <w:tc>
          <w:tcPr>
            <w:tcW w:w="8460"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要求：真实有效且内容完整、清晰、整洁。</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 </w:t>
            </w:r>
          </w:p>
        </w:tc>
      </w:tr>
    </w:tbl>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1、企业（银行、保险、石油石化、电力、电信等行业除外）、事业单位和社会团体法人的“单位负责人”指</w:t>
      </w:r>
      <w:r>
        <w:rPr>
          <w:rStyle w:val="24"/>
          <w:rFonts w:hint="eastAsia" w:ascii="宋体" w:hAnsi="宋体" w:cs="宋体"/>
          <w:color w:val="auto"/>
          <w:szCs w:val="24"/>
          <w:highlight w:val="none"/>
        </w:rPr>
        <w:t>法定代表人</w:t>
      </w:r>
      <w:r>
        <w:rPr>
          <w:rFonts w:hint="eastAsia" w:ascii="宋体" w:hAnsi="宋体" w:cs="宋体"/>
          <w:color w:val="auto"/>
          <w:szCs w:val="24"/>
          <w:highlight w:val="none"/>
        </w:rPr>
        <w:t>，即与实际提交的“营业执照等证明文件”载明的一致。</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cs="宋体"/>
          <w:color w:val="auto"/>
          <w:szCs w:val="24"/>
          <w:highlight w:val="none"/>
        </w:rPr>
        <w:br w:type="textWrapping"/>
      </w:r>
      <w:r>
        <w:rPr>
          <w:rFonts w:hint="eastAsia" w:ascii="宋体" w:hAnsi="宋体" w:cs="宋体"/>
          <w:color w:val="auto"/>
          <w:szCs w:val="24"/>
          <w:highlight w:val="none"/>
        </w:rPr>
        <w:t>4、投标人为自然人的，可不填写本授权书。</w:t>
      </w:r>
      <w:r>
        <w:rPr>
          <w:rFonts w:hint="eastAsia" w:ascii="宋体" w:hAnsi="宋体" w:cs="宋体"/>
          <w:color w:val="auto"/>
          <w:szCs w:val="24"/>
          <w:highlight w:val="none"/>
        </w:rPr>
        <w:br w:type="textWrapping"/>
      </w:r>
      <w:r>
        <w:rPr>
          <w:rFonts w:hint="eastAsia" w:ascii="宋体" w:hAnsi="宋体" w:cs="宋体"/>
          <w:color w:val="auto"/>
          <w:szCs w:val="24"/>
          <w:highlight w:val="none"/>
        </w:rPr>
        <w:t xml:space="preserve">5、纸质投标文件正本中的本授权书（若有）应为原件。 </w:t>
      </w:r>
    </w:p>
    <w:p>
      <w:pPr>
        <w:pStyle w:val="20"/>
        <w:widowControl/>
        <w:spacing w:line="420" w:lineRule="exact"/>
        <w:rPr>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二-2营业执照等证明文件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）投标人为法人（包括企业、事业单位和社会团体）的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现附上由</w:t>
      </w:r>
      <w:r>
        <w:rPr>
          <w:rFonts w:hint="eastAsia" w:ascii="宋体" w:hAnsi="宋体" w:cs="宋体"/>
          <w:color w:val="auto"/>
          <w:szCs w:val="24"/>
          <w:highlight w:val="none"/>
          <w:u w:val="single"/>
        </w:rPr>
        <w:t>（填写“签发机关全称”）</w:t>
      </w:r>
      <w:r>
        <w:rPr>
          <w:rFonts w:hint="eastAsia" w:ascii="宋体" w:hAnsi="宋体" w:cs="宋体"/>
          <w:color w:val="auto"/>
          <w:szCs w:val="24"/>
          <w:highlight w:val="none"/>
        </w:rPr>
        <w:t>签发的我方统一社会信用代码</w:t>
      </w:r>
      <w:r>
        <w:rPr>
          <w:rFonts w:hint="eastAsia" w:ascii="宋体" w:hAnsi="宋体" w:cs="宋体"/>
          <w:color w:val="auto"/>
          <w:szCs w:val="24"/>
          <w:highlight w:val="none"/>
          <w:u w:val="single"/>
        </w:rPr>
        <w:t>（请填写法人的具体证照名称）</w:t>
      </w:r>
      <w:r>
        <w:rPr>
          <w:rFonts w:hint="eastAsia" w:ascii="宋体" w:hAnsi="宋体" w:cs="宋体"/>
          <w:color w:val="auto"/>
          <w:szCs w:val="24"/>
          <w:highlight w:val="none"/>
        </w:rPr>
        <w:t>复印件，该证明材料真实有效，否则我方负全部责任。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）投标人为非法人（包括其他组织、自然人）的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□现附上由</w:t>
      </w:r>
      <w:r>
        <w:rPr>
          <w:rFonts w:hint="eastAsia" w:ascii="宋体" w:hAnsi="宋体" w:cs="宋体"/>
          <w:color w:val="auto"/>
          <w:szCs w:val="24"/>
          <w:highlight w:val="none"/>
          <w:u w:val="single"/>
        </w:rPr>
        <w:t>（填写“签发机关全称”）</w:t>
      </w:r>
      <w:r>
        <w:rPr>
          <w:rFonts w:hint="eastAsia" w:ascii="宋体" w:hAnsi="宋体" w:cs="宋体"/>
          <w:color w:val="auto"/>
          <w:szCs w:val="24"/>
          <w:highlight w:val="none"/>
        </w:rPr>
        <w:t>签发的我方</w:t>
      </w:r>
      <w:r>
        <w:rPr>
          <w:rFonts w:hint="eastAsia" w:ascii="宋体" w:hAnsi="宋体" w:cs="宋体"/>
          <w:color w:val="auto"/>
          <w:szCs w:val="24"/>
          <w:highlight w:val="none"/>
          <w:u w:val="single"/>
        </w:rPr>
        <w:t>（请填写非自然人的非法人的具体证照名称）</w:t>
      </w:r>
      <w:r>
        <w:rPr>
          <w:rFonts w:hint="eastAsia" w:ascii="宋体" w:hAnsi="宋体" w:cs="宋体"/>
          <w:color w:val="auto"/>
          <w:szCs w:val="24"/>
          <w:highlight w:val="none"/>
        </w:rPr>
        <w:t>复印件，该证明材料真实有效，否则我方负全部责任。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□现附上由</w:t>
      </w:r>
      <w:r>
        <w:rPr>
          <w:rFonts w:hint="eastAsia" w:ascii="宋体" w:hAnsi="宋体" w:cs="宋体"/>
          <w:color w:val="auto"/>
          <w:szCs w:val="24"/>
          <w:highlight w:val="none"/>
          <w:u w:val="single"/>
        </w:rPr>
        <w:t>（填写“签发机关全称”）</w:t>
      </w:r>
      <w:r>
        <w:rPr>
          <w:rFonts w:hint="eastAsia" w:ascii="宋体" w:hAnsi="宋体" w:cs="宋体"/>
          <w:color w:val="auto"/>
          <w:szCs w:val="24"/>
          <w:highlight w:val="none"/>
        </w:rPr>
        <w:t>签发的我方</w:t>
      </w:r>
      <w:r>
        <w:rPr>
          <w:rFonts w:hint="eastAsia" w:ascii="宋体" w:hAnsi="宋体" w:cs="宋体"/>
          <w:color w:val="auto"/>
          <w:szCs w:val="24"/>
          <w:highlight w:val="none"/>
          <w:u w:val="single"/>
        </w:rPr>
        <w:t>（请填写自然人的身份证件名称）</w:t>
      </w:r>
      <w:r>
        <w:rPr>
          <w:rFonts w:hint="eastAsia" w:ascii="宋体" w:hAnsi="宋体" w:cs="宋体"/>
          <w:color w:val="auto"/>
          <w:szCs w:val="24"/>
          <w:highlight w:val="none"/>
        </w:rPr>
        <w:t>复印件，该证明材料真实有效，否则我方负全部责任。</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1、请投标人按照实际情况编制填写，在相应的（）中打“√”并选择相应的“□”（若有）后，再按照本格式的要求提供相应证明材料的复印件。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3、投标人提供的相应证明材料复印件均应符合：内容完整、清晰、整洁，并由投标人加盖其单位公章。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br w:type="textWrapping"/>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二-3财务状况报告（财务报告、或资信证明、或投标担保函）</w:t>
      </w: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）投标人提供财务报告的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□企业适用：现附上我方</w:t>
      </w:r>
      <w:r>
        <w:rPr>
          <w:rFonts w:hint="eastAsia" w:ascii="宋体" w:hAnsi="宋体" w:cs="宋体"/>
          <w:color w:val="auto"/>
          <w:szCs w:val="24"/>
          <w:highlight w:val="none"/>
          <w:u w:val="single"/>
        </w:rPr>
        <w:t>（填写“具体的年度、或半年度、或季度”）</w:t>
      </w:r>
      <w:r>
        <w:rPr>
          <w:rFonts w:hint="eastAsia" w:ascii="宋体" w:hAnsi="宋体" w:cs="宋体"/>
          <w:color w:val="auto"/>
          <w:szCs w:val="24"/>
          <w:highlight w:val="none"/>
        </w:rPr>
        <w:t>财务报告复印件，包括资产负债表、利润表、现金流量表、所有者权益变动表（若有）及其附注（若有），上述证明材料真实有效，否则我方负全部责任。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□事业单位适用：现附上我方</w:t>
      </w:r>
      <w:r>
        <w:rPr>
          <w:rFonts w:hint="eastAsia" w:ascii="宋体" w:hAnsi="宋体" w:cs="宋体"/>
          <w:color w:val="auto"/>
          <w:szCs w:val="24"/>
          <w:highlight w:val="none"/>
          <w:u w:val="single"/>
        </w:rPr>
        <w:t>（填写“具体的年度、或半年度、或季度”）</w:t>
      </w:r>
      <w:r>
        <w:rPr>
          <w:rFonts w:hint="eastAsia" w:ascii="宋体" w:hAnsi="宋体" w:cs="宋体"/>
          <w:color w:val="auto"/>
          <w:szCs w:val="24"/>
          <w:highlight w:val="none"/>
        </w:rPr>
        <w:t>财务报告复印件，包括资产负债表、收入支出表（或收入费用表）、财政补助收入支出表（若有），上述证明材料真实有效，否则我方负全部责任。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□社会团体适用：现附上我方</w:t>
      </w:r>
      <w:r>
        <w:rPr>
          <w:rFonts w:hint="eastAsia" w:ascii="宋体" w:hAnsi="宋体" w:cs="宋体"/>
          <w:color w:val="auto"/>
          <w:szCs w:val="24"/>
          <w:highlight w:val="none"/>
          <w:u w:val="single"/>
        </w:rPr>
        <w:t>（填写“具体的年度、或半年度、或季度”）</w:t>
      </w:r>
      <w:r>
        <w:rPr>
          <w:rFonts w:hint="eastAsia" w:ascii="宋体" w:hAnsi="宋体" w:cs="宋体"/>
          <w:color w:val="auto"/>
          <w:szCs w:val="24"/>
          <w:highlight w:val="none"/>
        </w:rPr>
        <w:t>财务报告复印件，包括资产负债表、业务活动表、现金流量表，上述证明材料真实有效，否则我方负全部责任。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）投标人提供资信证明的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□非自然人适用（包括企业、事业单位、社会团体和其他组织）：现附上我方银行：（填写“开户银行全称”）出具的资信证明复印件，上述证明材料真实有效，否则我方负全部责任。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□自然人适用：现附上我方银行：</w:t>
      </w:r>
      <w:r>
        <w:rPr>
          <w:rFonts w:hint="eastAsia" w:ascii="宋体" w:hAnsi="宋体" w:cs="宋体"/>
          <w:color w:val="auto"/>
          <w:szCs w:val="24"/>
          <w:highlight w:val="none"/>
          <w:u w:val="single"/>
        </w:rPr>
        <w:t>（填写自然人的“个人账户的开户银行全称”）</w:t>
      </w:r>
      <w:r>
        <w:rPr>
          <w:rFonts w:hint="eastAsia" w:ascii="宋体" w:hAnsi="宋体" w:cs="宋体"/>
          <w:color w:val="auto"/>
          <w:szCs w:val="24"/>
          <w:highlight w:val="none"/>
        </w:rPr>
        <w:t>出具的资信证明复印件，上述证明材料真实有效，否则我方负全部责任。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）投标人提供投标担保函的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现附上由财政部门认可的政府采购专业担保机构：</w:t>
      </w:r>
      <w:r>
        <w:rPr>
          <w:rFonts w:hint="eastAsia" w:ascii="宋体" w:hAnsi="宋体" w:cs="宋体"/>
          <w:color w:val="auto"/>
          <w:szCs w:val="24"/>
          <w:highlight w:val="none"/>
          <w:u w:val="single"/>
        </w:rPr>
        <w:t>（填写“担保机构全称”）</w:t>
      </w:r>
      <w:r>
        <w:rPr>
          <w:rFonts w:hint="eastAsia" w:ascii="宋体" w:hAnsi="宋体" w:cs="宋体"/>
          <w:color w:val="auto"/>
          <w:szCs w:val="24"/>
          <w:highlight w:val="none"/>
        </w:rPr>
        <w:t>出具的投标担保函复印件，上述证明材料真实有效，否则我方负全部责任。</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1、请投标人按照实际情况编制填写，在相应的（）中打“√”并选择相应的“□”（若有）后，再按照本格式的要求提供相应证明材料的复印件。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2、投标人提供的财务报告复印件（成立年限按照投标截止时间推算）应符合下列规定：</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2.1成立年限满1年及以上的投标人，提供经审计的上一年度的年度财务报告。</w:t>
      </w:r>
    </w:p>
    <w:p>
      <w:pPr>
        <w:pStyle w:val="20"/>
        <w:widowControl/>
        <w:spacing w:line="420" w:lineRule="exact"/>
        <w:rPr>
          <w:rStyle w:val="24"/>
          <w:rFonts w:ascii="宋体" w:hAnsi="宋体" w:cs="宋体"/>
          <w:color w:val="auto"/>
          <w:szCs w:val="24"/>
          <w:highlight w:val="none"/>
        </w:rPr>
      </w:pPr>
      <w:r>
        <w:rPr>
          <w:rFonts w:hint="eastAsia" w:ascii="宋体" w:hAnsi="宋体" w:cs="宋体"/>
          <w:color w:val="auto"/>
          <w:szCs w:val="24"/>
          <w:highlight w:val="none"/>
        </w:rPr>
        <w:t>2.2成立年限满半年但不足1年的投标人，提供该半年度中任一季度的季度财务报告或该半年度的半年度财务报告。</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3、“财政部门认可的政府采购专业担保机构”应符合《财政部关于开展政府采购信用担保试点工作方案》（财库[2011]124号）的规定。</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4、投标人提供的相应证明材料复印件均应符合：内容完整、清晰、整洁，并由投标人加盖其单位公章。</w:t>
      </w:r>
    </w:p>
    <w:p>
      <w:pPr>
        <w:pStyle w:val="20"/>
        <w:widowControl/>
        <w:spacing w:line="420" w:lineRule="exact"/>
        <w:rPr>
          <w:rFonts w:ascii="宋体" w:hAnsi="宋体" w:cs="宋体"/>
          <w:color w:val="auto"/>
          <w:szCs w:val="24"/>
          <w:highlight w:val="none"/>
        </w:rPr>
      </w:pPr>
    </w:p>
    <w:p>
      <w:pPr>
        <w:rPr>
          <w:color w:val="auto"/>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二</w:t>
      </w:r>
      <w:r>
        <w:rPr>
          <w:rStyle w:val="24"/>
          <w:rFonts w:hint="eastAsia" w:ascii="宋体" w:hAnsi="宋体" w:cs="宋体"/>
          <w:color w:val="auto"/>
          <w:szCs w:val="24"/>
          <w:highlight w:val="none"/>
        </w:rPr>
        <w:t>-4依法缴纳税收证明材料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1、依法缴纳税收的投标人</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）法人（包括企业、事业单位和社会团体）的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现附上自</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日至</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日期间我方缴纳的</w:t>
      </w:r>
      <w:r>
        <w:rPr>
          <w:rFonts w:hint="eastAsia" w:ascii="宋体" w:hAnsi="宋体" w:cs="宋体"/>
          <w:color w:val="auto"/>
          <w:szCs w:val="24"/>
          <w:highlight w:val="none"/>
          <w:u w:val="single"/>
        </w:rPr>
        <w:t>（按照投标人实际缴纳的税种名称填写，如：增值税、所得税等）</w:t>
      </w:r>
      <w:r>
        <w:rPr>
          <w:rFonts w:hint="eastAsia" w:ascii="宋体" w:hAnsi="宋体" w:cs="宋体"/>
          <w:color w:val="auto"/>
          <w:szCs w:val="24"/>
          <w:highlight w:val="none"/>
        </w:rPr>
        <w:t>税收凭据复印件，上述证明材料真实有效，否则我方负全部责任。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）非法人（包括其他组织、自然人）的</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现附上自</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日至</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日期间我方缴纳的</w:t>
      </w:r>
      <w:r>
        <w:rPr>
          <w:rFonts w:hint="eastAsia" w:ascii="宋体" w:hAnsi="宋体" w:cs="宋体"/>
          <w:color w:val="auto"/>
          <w:szCs w:val="24"/>
          <w:highlight w:val="none"/>
          <w:u w:val="single"/>
        </w:rPr>
        <w:t>（按照投标人实际缴纳的税种名称填写）</w:t>
      </w:r>
      <w:r>
        <w:rPr>
          <w:rFonts w:hint="eastAsia" w:ascii="宋体" w:hAnsi="宋体" w:cs="宋体"/>
          <w:color w:val="auto"/>
          <w:szCs w:val="24"/>
          <w:highlight w:val="none"/>
        </w:rPr>
        <w:t>税收凭据复印件，上述证明材料真实有效，否则我方负全部责任。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2、依法免税的投标人</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）现附上我方依法免税证明材料复印件，上述证明材料真实有效，否则我方负全部责任。</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1、请投标人按照实际情况编制填写，在相应的（）中打“√”，并按照本格式的要求提供相应证明材料的复印件。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2、投标人提供的税收凭据复印件应符合下列规定：</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2.1投标截止时间前（不含投标截止时间的当月）已依法缴纳税收的投标人，提供投标截止时间前六个月（不含投标截止时间的当月）中任一月份的税收凭据复印件。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2.2投标截止时间的当月成立且已依法缴纳税收的投标人，提供投标截止时间当月的税收凭据复印件。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2.3投标截止时间的当月成立但因税务机关原因导致其尚未依法缴纳税收的投标人，提供依法缴纳税收承诺书原件（格式自拟），该承诺书视同税收凭据。</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w:t>
      </w:r>
      <w:r>
        <w:rPr>
          <w:rStyle w:val="24"/>
          <w:rFonts w:hint="eastAsia" w:ascii="宋体" w:hAnsi="宋体" w:cs="宋体"/>
          <w:color w:val="auto"/>
          <w:szCs w:val="24"/>
          <w:highlight w:val="none"/>
        </w:rPr>
        <w:t>“依法缴纳税收证明材料”</w:t>
      </w:r>
      <w:r>
        <w:rPr>
          <w:rFonts w:hint="eastAsia" w:ascii="宋体" w:hAnsi="宋体" w:cs="宋体"/>
          <w:color w:val="auto"/>
          <w:szCs w:val="24"/>
          <w:highlight w:val="none"/>
        </w:rPr>
        <w:t>有欠缴记录的，视为</w:t>
      </w:r>
      <w:r>
        <w:rPr>
          <w:rStyle w:val="24"/>
          <w:rFonts w:hint="eastAsia" w:ascii="宋体" w:hAnsi="宋体" w:cs="宋体"/>
          <w:color w:val="auto"/>
          <w:szCs w:val="24"/>
          <w:highlight w:val="none"/>
        </w:rPr>
        <w:t>未依法缴纳税收。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4、投标人提供的相应证明材料复印件均应符合：内容完整、清晰、整洁，并由投标人加盖其单位公章。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二-5依法缴纳社会保障资金证明材料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1、依法缴纳社会保障资金的投标人</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）法人（包括企业、事业单位和社会团体）的</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现附上自</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日至</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）非法人（包括其他组织、自然人）的</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自</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日至</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2、依法不需要缴纳社会保障资金的投标人</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）现附上我方依法不需要缴纳社会保障资金证明材料复印件，上述证明材料真实有效，否则我方负全部责任。</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1、请投标人按照实际情况编制填写，在相应的（）中打“√”，并按照本格式的要求提供相应证明材料的复印件。</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2、投标人提供的社会保险凭据复印件应符合下列规定：</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2.1投标截止时间前（不含投标截止时间的当月）已依法缴纳社会保障资金的投标人，提供投标截止时间前六个月（不含投标截止时间的当月）中任一月份的社会保险凭据复印件。</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2.2投标截止时间的当月成立且已依法缴纳社会保障资金的投标人，提供投标截止时间当月的社会保险凭据复印件。</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w:t>
      </w:r>
      <w:r>
        <w:rPr>
          <w:rStyle w:val="24"/>
          <w:rFonts w:hint="eastAsia" w:ascii="宋体" w:hAnsi="宋体" w:cs="宋体"/>
          <w:color w:val="auto"/>
          <w:szCs w:val="24"/>
          <w:highlight w:val="none"/>
        </w:rPr>
        <w:t>“依法缴纳社会保障资金证明材料”</w:t>
      </w:r>
      <w:r>
        <w:rPr>
          <w:rFonts w:hint="eastAsia" w:ascii="宋体" w:hAnsi="宋体" w:cs="宋体"/>
          <w:color w:val="auto"/>
          <w:szCs w:val="24"/>
          <w:highlight w:val="none"/>
        </w:rPr>
        <w:t>有欠缴记录的，视为</w:t>
      </w:r>
      <w:r>
        <w:rPr>
          <w:rStyle w:val="24"/>
          <w:rFonts w:hint="eastAsia" w:ascii="宋体" w:hAnsi="宋体" w:cs="宋体"/>
          <w:color w:val="auto"/>
          <w:szCs w:val="24"/>
          <w:highlight w:val="none"/>
        </w:rPr>
        <w:t>未依法缴纳社会保障资金。</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4、投标人提供的相应证明材料复印件均应符合：内容完整、清晰、整洁，并由投标人加盖其单位公章。</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二</w:t>
      </w:r>
      <w:r>
        <w:rPr>
          <w:rStyle w:val="24"/>
          <w:rFonts w:hint="eastAsia" w:ascii="宋体" w:hAnsi="宋体" w:cs="宋体"/>
          <w:color w:val="auto"/>
          <w:szCs w:val="24"/>
          <w:highlight w:val="none"/>
        </w:rPr>
        <w:t>-6具备履行合同所必需设备和专业技术能力的声明函（若有）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特此声明。</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1、招标文件未要求投标人提供“具备履行合同所必需的设备和专业技术能力专项证明材料”的，投标人应提供本声明函。</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2、招标文件要求投标人提供“具备履行合同所必需的设备和专业技术能力专项证明材料”的，投标人可不提供本声明函。</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3、纸质投标文件正本中的本声明函（若有）应为原件。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4、请投标人根据实际情况如实声明，否则</w:t>
      </w:r>
      <w:r>
        <w:rPr>
          <w:rStyle w:val="24"/>
          <w:rFonts w:hint="eastAsia" w:ascii="宋体" w:hAnsi="宋体" w:cs="宋体"/>
          <w:color w:val="auto"/>
          <w:szCs w:val="24"/>
          <w:highlight w:val="none"/>
        </w:rPr>
        <w:t>视为提供虚假材料。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br w:type="textWrapping"/>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二</w:t>
      </w:r>
      <w:r>
        <w:rPr>
          <w:rStyle w:val="24"/>
          <w:rFonts w:hint="eastAsia" w:ascii="宋体" w:hAnsi="宋体" w:cs="宋体"/>
          <w:color w:val="auto"/>
          <w:szCs w:val="24"/>
          <w:highlight w:val="none"/>
        </w:rPr>
        <w:t>-7参加采购活动前三年内在经营活动中没有重大违法记录书面声明</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特此声明。</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1、“重大违法记录”指投标人因违法经营受到刑事处罚或责令停产停业、吊销许可证或执照、较大数额罚款等行政处罚。</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2、纸质投标文件正本中的本声明应为原件。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3、请投标人根据实际情况如实声明，否则</w:t>
      </w:r>
      <w:r>
        <w:rPr>
          <w:rStyle w:val="24"/>
          <w:rFonts w:hint="eastAsia" w:ascii="宋体" w:hAnsi="宋体" w:cs="宋体"/>
          <w:color w:val="auto"/>
          <w:szCs w:val="24"/>
          <w:highlight w:val="none"/>
        </w:rPr>
        <w:t>视为提供虚假材料。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br w:type="textWrapping"/>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二</w:t>
      </w:r>
      <w:r>
        <w:rPr>
          <w:rStyle w:val="24"/>
          <w:rFonts w:hint="eastAsia" w:ascii="宋体" w:hAnsi="宋体" w:cs="宋体"/>
          <w:color w:val="auto"/>
          <w:szCs w:val="24"/>
          <w:highlight w:val="none"/>
        </w:rPr>
        <w:t>-8信用记录查询结果</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现附上截至</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r>
        <w:rPr>
          <w:rFonts w:hint="eastAsia" w:ascii="宋体" w:hAnsi="宋体" w:cs="宋体"/>
          <w:color w:val="auto"/>
          <w:szCs w:val="24"/>
          <w:highlight w:val="none"/>
          <w:u w:val="single"/>
        </w:rPr>
        <w:t>   </w:t>
      </w:r>
      <w:r>
        <w:rPr>
          <w:rFonts w:hint="eastAsia" w:ascii="宋体" w:hAnsi="宋体" w:cs="宋体"/>
          <w:color w:val="auto"/>
          <w:szCs w:val="24"/>
          <w:highlight w:val="none"/>
        </w:rPr>
        <w:t>时我方通过“信用中国”网站（www.creditchina.gov.cn）获取的我方信用信息查询结果</w:t>
      </w:r>
      <w:r>
        <w:rPr>
          <w:rFonts w:hint="eastAsia" w:ascii="宋体" w:hAnsi="宋体" w:cs="宋体"/>
          <w:color w:val="auto"/>
          <w:szCs w:val="24"/>
          <w:highlight w:val="none"/>
          <w:u w:val="single"/>
        </w:rPr>
        <w:t>（填写具体份数）</w:t>
      </w:r>
      <w:r>
        <w:rPr>
          <w:rFonts w:hint="eastAsia" w:ascii="宋体" w:hAnsi="宋体" w:cs="宋体"/>
          <w:color w:val="auto"/>
          <w:szCs w:val="24"/>
          <w:highlight w:val="none"/>
        </w:rPr>
        <w:t>份、通过中国政府采购网（www.ccgp.gov.cn）获取的我方信用信息查询结果</w:t>
      </w:r>
      <w:r>
        <w:rPr>
          <w:rFonts w:hint="eastAsia" w:ascii="宋体" w:hAnsi="宋体" w:cs="宋体"/>
          <w:color w:val="auto"/>
          <w:szCs w:val="24"/>
          <w:highlight w:val="none"/>
          <w:u w:val="single"/>
        </w:rPr>
        <w:t>（填写具体份数）</w:t>
      </w:r>
      <w:r>
        <w:rPr>
          <w:rFonts w:hint="eastAsia" w:ascii="宋体" w:hAnsi="宋体" w:cs="宋体"/>
          <w:color w:val="auto"/>
          <w:szCs w:val="24"/>
          <w:highlight w:val="none"/>
        </w:rPr>
        <w:t>份，上述信用信息查询结果真实有效，否则我方负全部责任。</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rPr>
          <w:color w:val="auto"/>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b/>
          <w:color w:val="auto"/>
          <w:szCs w:val="24"/>
          <w:highlight w:val="none"/>
          <w:shd w:val="clear" w:color="auto" w:fill="FFFFFF"/>
        </w:rPr>
      </w:pPr>
      <w:r>
        <w:rPr>
          <w:rStyle w:val="24"/>
          <w:rFonts w:hint="eastAsia" w:ascii="宋体" w:hAnsi="宋体" w:cs="宋体"/>
          <w:color w:val="auto"/>
          <w:szCs w:val="24"/>
          <w:highlight w:val="none"/>
        </w:rPr>
        <w:t>二-9</w:t>
      </w:r>
      <w:r>
        <w:rPr>
          <w:rFonts w:hint="eastAsia" w:ascii="宋体" w:hAnsi="宋体" w:cs="宋体"/>
          <w:b/>
          <w:color w:val="auto"/>
          <w:szCs w:val="24"/>
          <w:highlight w:val="none"/>
          <w:shd w:val="clear" w:color="auto" w:fill="FFFFFF"/>
        </w:rPr>
        <w:t>无行贿犯罪记录承诺函</w:t>
      </w:r>
    </w:p>
    <w:p>
      <w:pPr>
        <w:autoSpaceDN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致：</w:t>
      </w:r>
    </w:p>
    <w:p>
      <w:pPr>
        <w:autoSpaceDN w:val="0"/>
        <w:spacing w:line="42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公司名称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法定代表人 </w:t>
      </w:r>
      <w:r>
        <w:rPr>
          <w:rFonts w:hint="eastAsia" w:ascii="宋体" w:hAnsi="宋体" w:cs="宋体"/>
          <w:color w:val="auto"/>
          <w:sz w:val="24"/>
          <w:szCs w:val="24"/>
          <w:highlight w:val="none"/>
        </w:rPr>
        <w:t>）及（</w:t>
      </w:r>
      <w:r>
        <w:rPr>
          <w:rFonts w:hint="eastAsia" w:ascii="宋体" w:hAnsi="宋体" w:cs="宋体"/>
          <w:color w:val="auto"/>
          <w:sz w:val="24"/>
          <w:szCs w:val="24"/>
          <w:highlight w:val="none"/>
          <w:u w:val="single"/>
        </w:rPr>
        <w:t xml:space="preserve">  投标代表 </w:t>
      </w:r>
      <w:r>
        <w:rPr>
          <w:rFonts w:hint="eastAsia" w:ascii="宋体" w:hAnsi="宋体" w:cs="宋体"/>
          <w:color w:val="auto"/>
          <w:sz w:val="24"/>
          <w:szCs w:val="24"/>
          <w:highlight w:val="none"/>
        </w:rPr>
        <w:t>）承诺在参加采购经营活动中没有行贿犯罪记录，否则产生不利后果由我方承担责任。</w:t>
      </w:r>
    </w:p>
    <w:p>
      <w:pPr>
        <w:autoSpaceDN w:val="0"/>
        <w:spacing w:line="42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autoSpaceDN w:val="0"/>
        <w:spacing w:line="420" w:lineRule="exact"/>
        <w:rPr>
          <w:rFonts w:ascii="宋体" w:hAnsi="宋体" w:cs="宋体"/>
          <w:color w:val="auto"/>
          <w:sz w:val="24"/>
          <w:szCs w:val="24"/>
          <w:highlight w:val="none"/>
        </w:rPr>
      </w:pPr>
    </w:p>
    <w:p>
      <w:pPr>
        <w:shd w:val="solid" w:color="FFFFFF" w:fill="auto"/>
        <w:autoSpaceDN w:val="0"/>
        <w:spacing w:line="420" w:lineRule="exac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★注意：</w:t>
      </w:r>
    </w:p>
    <w:p>
      <w:pPr>
        <w:shd w:val="solid" w:color="FFFFFF" w:fill="auto"/>
        <w:autoSpaceDN w:val="0"/>
        <w:spacing w:line="420" w:lineRule="exac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1、纸质响应文件正本中的本材料应为原件。</w:t>
      </w:r>
    </w:p>
    <w:p>
      <w:pPr>
        <w:shd w:val="solid" w:color="FFFFFF" w:fill="auto"/>
        <w:autoSpaceDN w:val="0"/>
        <w:spacing w:line="420" w:lineRule="exac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2、请</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shd w:val="clear" w:color="auto" w:fill="FFFFFF"/>
        </w:rPr>
        <w:t>根据实际情况如实声明，否则</w:t>
      </w:r>
      <w:r>
        <w:rPr>
          <w:rFonts w:hint="eastAsia" w:ascii="宋体" w:hAnsi="宋体" w:cs="宋体"/>
          <w:b/>
          <w:color w:val="auto"/>
          <w:sz w:val="24"/>
          <w:szCs w:val="24"/>
          <w:highlight w:val="none"/>
          <w:shd w:val="clear" w:color="auto" w:fill="FFFFFF"/>
        </w:rPr>
        <w:t>视为提供虚假材料。</w:t>
      </w:r>
    </w:p>
    <w:p>
      <w:pPr>
        <w:pStyle w:val="20"/>
        <w:widowControl/>
        <w:spacing w:line="420" w:lineRule="exact"/>
        <w:jc w:val="center"/>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二-10联合体协议（若有）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兹有</w:t>
      </w:r>
      <w:r>
        <w:rPr>
          <w:rFonts w:hint="eastAsia" w:ascii="宋体" w:hAnsi="宋体" w:cs="宋体"/>
          <w:color w:val="auto"/>
          <w:szCs w:val="24"/>
          <w:highlight w:val="none"/>
          <w:u w:val="single"/>
        </w:rPr>
        <w:t>（填写“联合体中各方的全称”，各方的全称之间请用“、”分割）</w:t>
      </w:r>
      <w:r>
        <w:rPr>
          <w:rFonts w:hint="eastAsia" w:ascii="宋体" w:hAnsi="宋体" w:cs="宋体"/>
          <w:color w:val="auto"/>
          <w:szCs w:val="24"/>
          <w:highlight w:val="none"/>
        </w:rPr>
        <w:t>自愿组成联合体，共同参加</w:t>
      </w:r>
      <w:r>
        <w:rPr>
          <w:rFonts w:hint="eastAsia" w:ascii="宋体" w:hAnsi="宋体" w:cs="宋体"/>
          <w:color w:val="auto"/>
          <w:szCs w:val="24"/>
          <w:highlight w:val="none"/>
          <w:u w:val="single"/>
        </w:rPr>
        <w:t xml:space="preserve">（填写“项目名称”） </w:t>
      </w:r>
      <w:r>
        <w:rPr>
          <w:rFonts w:hint="eastAsia" w:ascii="宋体" w:hAnsi="宋体" w:cs="宋体"/>
          <w:color w:val="auto"/>
          <w:szCs w:val="24"/>
          <w:highlight w:val="none"/>
        </w:rPr>
        <w:t>项目（招标编号：</w:t>
      </w:r>
      <w:r>
        <w:rPr>
          <w:rFonts w:hint="eastAsia" w:ascii="宋体" w:hAnsi="宋体" w:cs="宋体"/>
          <w:color w:val="auto"/>
          <w:szCs w:val="24"/>
          <w:highlight w:val="none"/>
          <w:u w:val="single"/>
        </w:rPr>
        <w:t>         </w:t>
      </w:r>
      <w:r>
        <w:rPr>
          <w:rFonts w:hint="eastAsia" w:ascii="宋体" w:hAnsi="宋体" w:cs="宋体"/>
          <w:color w:val="auto"/>
          <w:szCs w:val="24"/>
          <w:highlight w:val="none"/>
        </w:rPr>
        <w:t>）的投标。现就联合体参加本项目投标的有关事宜达成下列协议：</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一、联合体各方应承担的工作和义务具体如下：</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1、牵头方（</w:t>
      </w:r>
      <w:r>
        <w:rPr>
          <w:rFonts w:hint="eastAsia" w:ascii="宋体" w:hAnsi="宋体" w:cs="宋体"/>
          <w:color w:val="auto"/>
          <w:szCs w:val="24"/>
          <w:highlight w:val="none"/>
          <w:u w:val="single"/>
        </w:rPr>
        <w:t>全称</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（填写“工作及义务的具体内容”） </w:t>
      </w:r>
      <w:r>
        <w:rPr>
          <w:rFonts w:hint="eastAsia" w:ascii="宋体" w:hAnsi="宋体" w:cs="宋体"/>
          <w:color w:val="auto"/>
          <w:szCs w:val="24"/>
          <w:highlight w:val="none"/>
        </w:rPr>
        <w:t>；</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2、成员方：</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2.1</w:t>
      </w:r>
      <w:r>
        <w:rPr>
          <w:rFonts w:hint="eastAsia" w:ascii="宋体" w:hAnsi="宋体" w:cs="宋体"/>
          <w:color w:val="auto"/>
          <w:szCs w:val="24"/>
          <w:highlight w:val="none"/>
          <w:u w:val="single"/>
        </w:rPr>
        <w:t>（成员一的全称）</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（填写“工作及义务的具体内容”） </w:t>
      </w:r>
      <w:r>
        <w:rPr>
          <w:rFonts w:hint="eastAsia" w:ascii="宋体" w:hAnsi="宋体" w:cs="宋体"/>
          <w:color w:val="auto"/>
          <w:szCs w:val="24"/>
          <w:highlight w:val="none"/>
        </w:rPr>
        <w:t>；</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二、联合体各方约定：</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1、由</w:t>
      </w:r>
      <w:r>
        <w:rPr>
          <w:rFonts w:hint="eastAsia" w:ascii="宋体" w:hAnsi="宋体" w:cs="宋体"/>
          <w:color w:val="auto"/>
          <w:szCs w:val="24"/>
          <w:highlight w:val="none"/>
          <w:u w:val="single"/>
        </w:rPr>
        <w:t>（填写“牵头方的全称”）</w:t>
      </w:r>
      <w:r>
        <w:rPr>
          <w:rFonts w:hint="eastAsia" w:ascii="宋体" w:hAnsi="宋体" w:cs="宋体"/>
          <w:color w:val="auto"/>
          <w:szCs w:val="24"/>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2、联合体各方约定由</w:t>
      </w:r>
      <w:r>
        <w:rPr>
          <w:rFonts w:hint="eastAsia" w:ascii="宋体" w:hAnsi="宋体" w:cs="宋体"/>
          <w:color w:val="auto"/>
          <w:szCs w:val="24"/>
          <w:highlight w:val="none"/>
          <w:u w:val="single"/>
        </w:rPr>
        <w:t>（填写“牵头方的全称”）</w:t>
      </w:r>
      <w:r>
        <w:rPr>
          <w:rFonts w:hint="eastAsia" w:ascii="宋体" w:hAnsi="宋体" w:cs="宋体"/>
          <w:color w:val="auto"/>
          <w:szCs w:val="24"/>
          <w:highlight w:val="none"/>
        </w:rPr>
        <w:t>代表联合体办理投标保证金事宜。</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szCs w:val="24"/>
          <w:highlight w:val="none"/>
          <w:u w:val="single"/>
        </w:rPr>
        <w:t>（应填写“其中一方的全称”，如：联合体确定以成员一的条件参与商务部分的评标，则填写“成员一的全称”…；否则填写“无”）</w:t>
      </w:r>
      <w:r>
        <w:rPr>
          <w:rFonts w:hint="eastAsia" w:ascii="宋体" w:hAnsi="宋体" w:cs="宋体"/>
          <w:color w:val="auto"/>
          <w:szCs w:val="24"/>
          <w:highlight w:val="none"/>
        </w:rPr>
        <w:t>的条件参与商务部分的评标。</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四、本协议自签署之日起生效，政府采购合同履行完毕后自动失效。</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五、本协议一式</w:t>
      </w:r>
      <w:r>
        <w:rPr>
          <w:rFonts w:hint="eastAsia" w:ascii="宋体" w:hAnsi="宋体" w:cs="宋体"/>
          <w:color w:val="auto"/>
          <w:szCs w:val="24"/>
          <w:highlight w:val="none"/>
          <w:u w:val="single"/>
        </w:rPr>
        <w:t>（填写具体份数）</w:t>
      </w:r>
      <w:r>
        <w:rPr>
          <w:rFonts w:hint="eastAsia" w:ascii="宋体" w:hAnsi="宋体" w:cs="宋体"/>
          <w:color w:val="auto"/>
          <w:szCs w:val="24"/>
          <w:highlight w:val="none"/>
        </w:rPr>
        <w:t>份，联合体各方各执一份，投标文件中提交一份。</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（以下无正文）</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牵头方：</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（签字或盖章）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成员一：</w:t>
      </w:r>
      <w:r>
        <w:rPr>
          <w:rFonts w:hint="eastAsia" w:ascii="宋体" w:hAnsi="宋体" w:cs="宋体"/>
          <w:color w:val="auto"/>
          <w:szCs w:val="24"/>
          <w:highlight w:val="none"/>
          <w:u w:val="single"/>
        </w:rPr>
        <w:t>（全称并加盖成员一的单位公章）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（签字或盖章）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成员**：</w:t>
      </w:r>
      <w:r>
        <w:rPr>
          <w:rFonts w:hint="eastAsia" w:ascii="宋体" w:hAnsi="宋体" w:cs="宋体"/>
          <w:color w:val="auto"/>
          <w:szCs w:val="24"/>
          <w:highlight w:val="none"/>
          <w:u w:val="single"/>
        </w:rPr>
        <w:t>（全称并加盖成员**的单位公章）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（签字或盖章）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签署日期：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1、招标文件接受联合体投标且投标人为联合体的，投标人应提供本协议；否则无须提供。</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2、本协议由委托代理人签字或盖章的，应按照本章载明的格式提供“单位负责人授权书”。</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3、纸质投标文件正本中的本协议（若有）应为原件。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二-11中小企业声明函</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（专门面向中小企业或小型、微型企业适用，若有）</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中小企业声明函（货物）</w:t>
      </w:r>
    </w:p>
    <w:p>
      <w:pPr>
        <w:pStyle w:val="20"/>
        <w:widowControl/>
        <w:spacing w:line="42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1.（标的名称） ，属于（采购文件中明确的所属行业）行业；制造商为（企业名称），从业人员  人，营业收入为  万元，资产总额为  万元</w:t>
      </w:r>
      <w:r>
        <w:rPr>
          <w:rFonts w:hint="eastAsia" w:ascii="宋体" w:hAnsi="宋体" w:cs="宋体"/>
          <w:color w:val="auto"/>
          <w:szCs w:val="24"/>
          <w:highlight w:val="none"/>
          <w:vertAlign w:val="superscript"/>
        </w:rPr>
        <w:t>1</w:t>
      </w:r>
      <w:r>
        <w:rPr>
          <w:rFonts w:hint="eastAsia" w:ascii="宋体" w:hAnsi="宋体" w:cs="宋体"/>
          <w:color w:val="auto"/>
          <w:szCs w:val="24"/>
          <w:highlight w:val="none"/>
        </w:rPr>
        <w:t>，属于（中型企业、小型企业、微型企业）；</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2.（标的名称） ，属于 （采购文件中明确的所属行业 ）行业；制造商为（企业名称），从业人员  人，营业收入为  万元，资产总额为  万元，属于（中型企业、小型企业、微型企业）；</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以上企业，不属于大企业的分支机构，不存在控股股东为大企业的情形，也不存在与大企业的负责人为同一人的情形。</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本企业对上述声明内容的真实性负责。如有虚假，将依法承担相应责任。</w:t>
      </w:r>
    </w:p>
    <w:p>
      <w:pPr>
        <w:pStyle w:val="20"/>
        <w:widowControl/>
        <w:spacing w:line="420" w:lineRule="exact"/>
        <w:ind w:firstLine="420"/>
        <w:rPr>
          <w:rFonts w:ascii="宋体" w:hAnsi="宋体" w:cs="宋体"/>
          <w:color w:val="auto"/>
          <w:szCs w:val="24"/>
          <w:highlight w:val="none"/>
        </w:rPr>
      </w:pP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企业名称（盖章）：</w:t>
      </w:r>
    </w:p>
    <w:p>
      <w:pPr>
        <w:pStyle w:val="20"/>
        <w:widowControl/>
        <w:spacing w:line="420" w:lineRule="exact"/>
        <w:ind w:firstLine="4560" w:firstLineChars="1900"/>
        <w:rPr>
          <w:rFonts w:ascii="宋体" w:hAnsi="宋体" w:cs="宋体"/>
          <w:color w:val="auto"/>
          <w:szCs w:val="24"/>
          <w:highlight w:val="none"/>
        </w:rPr>
      </w:pPr>
      <w:r>
        <w:rPr>
          <w:rFonts w:hint="eastAsia" w:ascii="宋体" w:hAnsi="宋体" w:cs="宋体"/>
          <w:color w:val="auto"/>
          <w:szCs w:val="24"/>
          <w:highlight w:val="none"/>
        </w:rPr>
        <w:t>日期：</w:t>
      </w:r>
    </w:p>
    <w:p>
      <w:pPr>
        <w:pStyle w:val="20"/>
        <w:widowControl/>
        <w:spacing w:line="420" w:lineRule="exact"/>
        <w:ind w:firstLine="420"/>
        <w:rPr>
          <w:rFonts w:ascii="宋体" w:hAnsi="宋体" w:cs="宋体"/>
          <w:color w:val="auto"/>
          <w:szCs w:val="24"/>
          <w:highlight w:val="none"/>
        </w:rPr>
      </w:pP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1从业人员、营业收入、资产总额填报上一年度数据，无上一年度数据的新成立企业可不填报。</w:t>
      </w:r>
    </w:p>
    <w:p>
      <w:pPr>
        <w:pStyle w:val="20"/>
        <w:widowControl/>
        <w:spacing w:line="420" w:lineRule="exact"/>
        <w:ind w:firstLine="420"/>
        <w:rPr>
          <w:rFonts w:ascii="宋体" w:hAnsi="宋体" w:cs="宋体"/>
          <w:color w:val="auto"/>
          <w:szCs w:val="24"/>
          <w:highlight w:val="none"/>
        </w:rPr>
      </w:pPr>
    </w:p>
    <w:p>
      <w:pPr>
        <w:pStyle w:val="20"/>
        <w:widowControl/>
        <w:spacing w:line="420" w:lineRule="exact"/>
        <w:jc w:val="center"/>
        <w:rPr>
          <w:rFonts w:ascii="宋体" w:hAnsi="宋体" w:cs="宋体"/>
          <w:b/>
          <w:bCs/>
          <w:color w:val="auto"/>
          <w:szCs w:val="24"/>
          <w:highlight w:val="none"/>
        </w:rPr>
      </w:pPr>
      <w:r>
        <w:rPr>
          <w:rFonts w:hint="eastAsia" w:ascii="宋体" w:hAnsi="宋体" w:cs="宋体"/>
          <w:b/>
          <w:bCs/>
          <w:color w:val="auto"/>
          <w:szCs w:val="24"/>
          <w:highlight w:val="none"/>
        </w:rPr>
        <w:t>中小企业声明函（工程、服务）</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1.（标的名称），属于（采购文件中明确的所属行业）；承建（承接）企业为（企业名称），从业人员 人，营业收入为  万元，资产总额为  万元</w:t>
      </w:r>
      <w:r>
        <w:rPr>
          <w:rFonts w:hint="eastAsia" w:ascii="宋体" w:hAnsi="宋体" w:cs="宋体"/>
          <w:color w:val="auto"/>
          <w:szCs w:val="24"/>
          <w:highlight w:val="none"/>
          <w:vertAlign w:val="superscript"/>
        </w:rPr>
        <w:t>1</w:t>
      </w:r>
      <w:r>
        <w:rPr>
          <w:rFonts w:hint="eastAsia" w:ascii="宋体" w:hAnsi="宋体" w:cs="宋体"/>
          <w:color w:val="auto"/>
          <w:szCs w:val="24"/>
          <w:highlight w:val="none"/>
        </w:rPr>
        <w:t>，属于（中型企业、小型企业、微型企业）；</w:t>
      </w: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2.（标的名称），属于（采购文件中明确的所属行业）；承建（承接）企业为（企业名称），从业人员  人，营业收入为  万元，资产总额为  万元，属于（中型企业、小型企业、微型企业）；</w:t>
      </w:r>
    </w:p>
    <w:p>
      <w:pPr>
        <w:pStyle w:val="20"/>
        <w:widowControl/>
        <w:spacing w:line="420" w:lineRule="exact"/>
        <w:jc w:val="left"/>
        <w:rPr>
          <w:rFonts w:ascii="宋体" w:hAnsi="宋体" w:cs="宋体"/>
          <w:color w:val="auto"/>
          <w:szCs w:val="24"/>
          <w:highlight w:val="none"/>
        </w:rPr>
      </w:pP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以上企业，不属于大企业的分支机构，不存在控股股东为大企业的情形，也不存在与大企业的负责人为同一人的情形。</w:t>
      </w:r>
    </w:p>
    <w:p>
      <w:pPr>
        <w:pStyle w:val="20"/>
        <w:widowControl/>
        <w:spacing w:line="420" w:lineRule="exact"/>
        <w:jc w:val="left"/>
        <w:rPr>
          <w:rFonts w:ascii="宋体" w:hAnsi="宋体" w:cs="宋体"/>
          <w:color w:val="auto"/>
          <w:szCs w:val="24"/>
          <w:highlight w:val="none"/>
        </w:rPr>
      </w:pP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本企业对上述声明内容的真实性负责。如有虚假，将依法承担相应责任。</w:t>
      </w:r>
    </w:p>
    <w:p>
      <w:pPr>
        <w:pStyle w:val="20"/>
        <w:widowControl/>
        <w:spacing w:line="420" w:lineRule="exact"/>
        <w:jc w:val="left"/>
        <w:rPr>
          <w:rFonts w:ascii="宋体" w:hAnsi="宋体" w:cs="宋体"/>
          <w:color w:val="auto"/>
          <w:szCs w:val="24"/>
          <w:highlight w:val="none"/>
        </w:rPr>
      </w:pP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企业名称（盖章）：</w:t>
      </w:r>
    </w:p>
    <w:p>
      <w:pPr>
        <w:pStyle w:val="20"/>
        <w:widowControl/>
        <w:spacing w:line="420" w:lineRule="exact"/>
        <w:ind w:firstLine="5520" w:firstLineChars="2300"/>
        <w:jc w:val="left"/>
        <w:rPr>
          <w:rFonts w:ascii="宋体" w:hAnsi="宋体" w:cs="宋体"/>
          <w:color w:val="auto"/>
          <w:szCs w:val="24"/>
          <w:highlight w:val="none"/>
        </w:rPr>
      </w:pPr>
      <w:r>
        <w:rPr>
          <w:rFonts w:hint="eastAsia" w:ascii="宋体" w:hAnsi="宋体" w:cs="宋体"/>
          <w:color w:val="auto"/>
          <w:szCs w:val="24"/>
          <w:highlight w:val="none"/>
        </w:rPr>
        <w:t>日期：</w:t>
      </w:r>
    </w:p>
    <w:p>
      <w:pPr>
        <w:pStyle w:val="20"/>
        <w:widowControl/>
        <w:spacing w:line="420" w:lineRule="exact"/>
        <w:ind w:firstLine="480" w:firstLineChars="200"/>
        <w:jc w:val="left"/>
        <w:rPr>
          <w:rFonts w:ascii="宋体" w:hAnsi="宋体" w:cs="宋体"/>
          <w:color w:val="auto"/>
          <w:szCs w:val="24"/>
          <w:highlight w:val="none"/>
        </w:rPr>
      </w:pP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1从业人员、营业收入、资产总额填报上一年度数据，无上一年度数据的新成立企业可不填报。</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附：</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残疾人福利性单位声明函</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（专门面向中小企业或小型、微型企业适用，若有）</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提供本投标人制造的（填写“所投合同包、品目号”）货物，或提供其他残疾人福利性单位制造的（填写“所投合同包、品目号”）货物（不包括使用非残疾人福利性单位注册商标的货物）。（说明：只有部分货物由残疾人福利企业制造的，在该货物后标</w:t>
      </w:r>
      <w:r>
        <w:rPr>
          <w:rFonts w:hint="eastAsia" w:ascii="宋体" w:hAnsi="宋体" w:cs="宋体"/>
          <w:color w:val="auto"/>
          <w:szCs w:val="24"/>
          <w:highlight w:val="none"/>
          <w:shd w:val="clear" w:color="auto" w:fill="FFFFFF"/>
        </w:rPr>
        <w:t>★</w:t>
      </w:r>
      <w:r>
        <w:rPr>
          <w:rFonts w:hint="eastAsia" w:ascii="宋体" w:hAnsi="宋体" w:cs="宋体"/>
          <w:color w:val="auto"/>
          <w:szCs w:val="24"/>
          <w:highlight w:val="none"/>
        </w:rPr>
        <w:t>）</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）由本投标人承建的（填写“所投合同包、品目号”）工程</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）由本投标人承接的（填写“所投合同包、品目号”）服务；</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本投标人对上述声明的真实性负责。如有虚假，将依法承担相应责任。</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备注：</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1、请投标人按照实际情况编制填写本声明函，并在相应的（）中打“√”。</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2、纸质投标文件正本中的本声明函（若有）应为原件。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3、若《残疾人福利性单位声明函》内容不真实，</w:t>
      </w:r>
      <w:r>
        <w:rPr>
          <w:rStyle w:val="24"/>
          <w:rFonts w:hint="eastAsia" w:ascii="宋体" w:hAnsi="宋体" w:cs="宋体"/>
          <w:color w:val="auto"/>
          <w:szCs w:val="24"/>
          <w:highlight w:val="none"/>
        </w:rPr>
        <w:t>视为提供虚假材料。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   年 月 日</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p>
    <w:p>
      <w:pPr>
        <w:pStyle w:val="20"/>
        <w:widowControl/>
        <w:spacing w:line="420" w:lineRule="exact"/>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二-12其他资格证明文件（若有）</w:t>
      </w:r>
      <w:r>
        <w:rPr>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二</w:t>
      </w:r>
      <w:r>
        <w:rPr>
          <w:rStyle w:val="24"/>
          <w:rFonts w:hint="eastAsia" w:ascii="宋体" w:hAnsi="宋体" w:cs="宋体"/>
          <w:color w:val="auto"/>
          <w:szCs w:val="24"/>
          <w:highlight w:val="none"/>
        </w:rPr>
        <w:t>-12-①具备履行合同所必需设备和专业技术能力专项证明材料（若有）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现附上我方具备履行合同所必需的设备和专业技术能力的专项证明材料复印件（具体附后），上述证明材料真实有效，否则我方负全部责任。</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1、招标文件要求投标人提供“具备履行合同所必需的设备和专业技术能力专项证明材料”的，投标人应按照招标文件规定在此项下提供相应证明材料复印件。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2、投标人提供的相应证明材料复印件均应符合：内容完整、清晰、整洁，并由投标人加盖其单位公章。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rPr>
          <w:rStyle w:val="24"/>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二-12-②招标文件规定的其他资格证明文件（若有）</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 </w:t>
      </w:r>
    </w:p>
    <w:p>
      <w:pPr>
        <w:pStyle w:val="20"/>
        <w:widowControl/>
        <w:numPr>
          <w:ilvl w:val="0"/>
          <w:numId w:val="13"/>
        </w:numPr>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除招标文件另有规定外，招标文件要求提交的除前述资格证明文件外的其他资格证明文件（若有）加盖投标人的单位公章后应在此项下提交。</w:t>
      </w:r>
    </w:p>
    <w:p>
      <w:pPr>
        <w:spacing w:line="420" w:lineRule="exact"/>
        <w:rPr>
          <w:rFonts w:ascii="宋体" w:hAnsi="宋体" w:cs="宋体"/>
          <w:color w:val="auto"/>
          <w:sz w:val="24"/>
          <w:szCs w:val="24"/>
          <w:highlight w:val="none"/>
        </w:rPr>
      </w:pP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r>
        <w:rPr>
          <w:rStyle w:val="24"/>
          <w:rFonts w:hint="eastAsia" w:ascii="宋体" w:hAnsi="宋体" w:cs="宋体"/>
          <w:b w:val="0"/>
          <w:color w:val="auto"/>
          <w:szCs w:val="24"/>
          <w:highlight w:val="none"/>
          <w:u w:val="single"/>
        </w:rPr>
        <w:t>2</w:t>
      </w:r>
      <w:r>
        <w:rPr>
          <w:rStyle w:val="24"/>
          <w:rFonts w:hint="eastAsia" w:ascii="宋体" w:hAnsi="宋体" w:cs="宋体"/>
          <w:bCs w:val="0"/>
          <w:color w:val="auto"/>
          <w:szCs w:val="24"/>
          <w:highlight w:val="none"/>
          <w:u w:val="single"/>
        </w:rPr>
        <w:t>、</w:t>
      </w:r>
      <w:r>
        <w:rPr>
          <w:rFonts w:hint="eastAsia" w:ascii="宋体" w:hAnsi="宋体" w:cs="宋体"/>
          <w:b/>
          <w:color w:val="auto"/>
          <w:kern w:val="0"/>
          <w:szCs w:val="24"/>
          <w:highlight w:val="none"/>
          <w:u w:val="single"/>
        </w:rPr>
        <w:t>厂家法人授权书和法人代表身份证复印件在此提交。</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left"/>
        <w:rPr>
          <w:rFonts w:ascii="宋体" w:hAnsi="宋体" w:cs="宋体"/>
          <w:color w:val="auto"/>
          <w:szCs w:val="24"/>
          <w:highlight w:val="none"/>
        </w:rPr>
      </w:pPr>
      <w:r>
        <w:rPr>
          <w:rFonts w:hint="eastAsia" w:ascii="宋体" w:hAnsi="宋体" w:cs="宋体"/>
          <w:b/>
          <w:bCs/>
          <w:color w:val="auto"/>
          <w:szCs w:val="24"/>
          <w:highlight w:val="none"/>
          <w:u w:val="single"/>
        </w:rPr>
        <w:t>3、投标人必须承诺中标后在项目所在地（仙游县</w:t>
      </w:r>
      <w:r>
        <w:rPr>
          <w:rFonts w:hint="eastAsia" w:ascii="宋体" w:hAnsi="宋体" w:cs="宋体"/>
          <w:b/>
          <w:bCs/>
          <w:color w:val="auto"/>
          <w:szCs w:val="24"/>
          <w:highlight w:val="none"/>
          <w:u w:val="single"/>
          <w:lang w:eastAsia="zh-CN"/>
        </w:rPr>
        <w:t>大济镇境</w:t>
      </w:r>
      <w:r>
        <w:rPr>
          <w:rFonts w:hint="eastAsia" w:ascii="宋体" w:hAnsi="宋体" w:cs="宋体"/>
          <w:b/>
          <w:bCs/>
          <w:color w:val="auto"/>
          <w:szCs w:val="24"/>
          <w:highlight w:val="none"/>
          <w:u w:val="single"/>
        </w:rPr>
        <w:t>内）设立仓库，以保障货物供应及时需求。承诺书</w:t>
      </w:r>
      <w:r>
        <w:rPr>
          <w:rFonts w:hint="eastAsia" w:ascii="宋体" w:hAnsi="宋体" w:cs="宋体"/>
          <w:b/>
          <w:color w:val="auto"/>
          <w:kern w:val="0"/>
          <w:szCs w:val="24"/>
          <w:highlight w:val="none"/>
          <w:u w:val="single"/>
        </w:rPr>
        <w:t>在此提交。</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三</w:t>
      </w:r>
      <w:r>
        <w:rPr>
          <w:rStyle w:val="24"/>
          <w:rFonts w:hint="eastAsia" w:ascii="宋体" w:hAnsi="宋体" w:cs="宋体"/>
          <w:color w:val="auto"/>
          <w:szCs w:val="24"/>
          <w:highlight w:val="none"/>
        </w:rPr>
        <w:t>、投标保证金</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numPr>
          <w:ilvl w:val="0"/>
          <w:numId w:val="14"/>
        </w:numPr>
        <w:spacing w:line="420" w:lineRule="exact"/>
        <w:rPr>
          <w:rFonts w:ascii="宋体" w:hAnsi="宋体" w:cs="宋体"/>
          <w:color w:val="auto"/>
          <w:szCs w:val="24"/>
          <w:highlight w:val="none"/>
        </w:rPr>
      </w:pPr>
      <w:r>
        <w:rPr>
          <w:rFonts w:hint="eastAsia" w:ascii="宋体" w:hAnsi="宋体" w:cs="宋体"/>
          <w:color w:val="auto"/>
          <w:szCs w:val="24"/>
          <w:highlight w:val="none"/>
        </w:rPr>
        <w:t>在此项下提交的</w:t>
      </w:r>
      <w:r>
        <w:rPr>
          <w:rStyle w:val="24"/>
          <w:rFonts w:hint="eastAsia" w:ascii="宋体" w:hAnsi="宋体" w:cs="宋体"/>
          <w:color w:val="auto"/>
          <w:szCs w:val="24"/>
          <w:highlight w:val="none"/>
        </w:rPr>
        <w:t>“投标保证金”</w:t>
      </w:r>
      <w:r>
        <w:rPr>
          <w:rFonts w:hint="eastAsia" w:ascii="宋体" w:hAnsi="宋体" w:cs="宋体"/>
          <w:color w:val="auto"/>
          <w:szCs w:val="24"/>
          <w:highlight w:val="none"/>
        </w:rPr>
        <w:t>材料可使用转账凭证复印件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2、投标保证金是否已提交的认定按照招标文件第三章规定执行。</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80" w:lineRule="exact"/>
        <w:rPr>
          <w:rFonts w:ascii="宋体" w:hAnsi="宋体" w:cs="宋体"/>
          <w:b/>
          <w:bCs/>
          <w:color w:val="auto"/>
          <w:highlight w:val="none"/>
        </w:rPr>
      </w:pPr>
      <w:r>
        <w:rPr>
          <w:rFonts w:hint="eastAsia" w:ascii="宋体" w:hAnsi="宋体" w:cs="宋体"/>
          <w:color w:val="auto"/>
          <w:highlight w:val="none"/>
        </w:rPr>
        <w:t> </w:t>
      </w: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b/>
          <w:bCs/>
          <w:color w:val="auto"/>
          <w:kern w:val="0"/>
          <w:sz w:val="24"/>
          <w:highlight w:val="none"/>
        </w:rPr>
      </w:pPr>
    </w:p>
    <w:p>
      <w:pPr>
        <w:widowControl/>
        <w:spacing w:before="75" w:after="75"/>
        <w:rPr>
          <w:rFonts w:ascii="宋体" w:hAnsi="宋体" w:cs="宋体"/>
          <w:color w:val="auto"/>
          <w:kern w:val="0"/>
          <w:sz w:val="24"/>
          <w:highlight w:val="none"/>
        </w:rPr>
      </w:pPr>
      <w:r>
        <w:rPr>
          <w:rFonts w:hint="eastAsia" w:ascii="宋体" w:hAnsi="宋体" w:cs="宋体"/>
          <w:b/>
          <w:bCs/>
          <w:color w:val="auto"/>
          <w:kern w:val="0"/>
          <w:sz w:val="24"/>
          <w:highlight w:val="none"/>
        </w:rPr>
        <w:t>封面格式</w:t>
      </w:r>
    </w:p>
    <w:p>
      <w:pPr>
        <w:widowControl/>
        <w:spacing w:before="75" w:after="75"/>
        <w:jc w:val="left"/>
        <w:rPr>
          <w:rFonts w:ascii="宋体" w:hAnsi="宋体" w:cs="宋体"/>
          <w:color w:val="auto"/>
          <w:kern w:val="0"/>
          <w:sz w:val="44"/>
          <w:szCs w:val="44"/>
          <w:highlight w:val="none"/>
        </w:rPr>
      </w:pPr>
    </w:p>
    <w:p>
      <w:pPr>
        <w:widowControl/>
        <w:spacing w:before="75" w:after="75"/>
        <w:rPr>
          <w:rFonts w:ascii="宋体" w:hAnsi="宋体" w:cs="宋体"/>
          <w:b/>
          <w:bCs/>
          <w:color w:val="auto"/>
          <w:kern w:val="0"/>
          <w:sz w:val="52"/>
          <w:szCs w:val="52"/>
          <w:highlight w:val="none"/>
        </w:rPr>
      </w:pP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（报价部分）</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招标编号：（由投标人填写）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highlight w:val="none"/>
        </w:rPr>
      </w:pPr>
      <w:r>
        <w:rPr>
          <w:rFonts w:hint="eastAsia" w:ascii="宋体" w:hAnsi="宋体" w:cs="宋体"/>
          <w:color w:val="auto"/>
          <w:kern w:val="0"/>
          <w:sz w:val="32"/>
          <w:szCs w:val="32"/>
          <w:highlight w:val="none"/>
        </w:rPr>
        <w:t> </w:t>
      </w: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一、开标一览表</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招标编号：</w:t>
      </w:r>
      <w:r>
        <w:rPr>
          <w:rFonts w:hint="eastAsia" w:ascii="宋体" w:hAnsi="宋体" w:cs="宋体"/>
          <w:color w:val="auto"/>
          <w:szCs w:val="24"/>
          <w:highlight w:val="none"/>
          <w:u w:val="single"/>
        </w:rPr>
        <w:t>                   </w:t>
      </w:r>
    </w:p>
    <w:p>
      <w:pPr>
        <w:pStyle w:val="20"/>
        <w:widowControl/>
        <w:spacing w:line="420" w:lineRule="exact"/>
        <w:jc w:val="right"/>
        <w:rPr>
          <w:rFonts w:hint="eastAsia" w:ascii="宋体" w:hAnsi="宋体" w:cs="宋体"/>
          <w:color w:val="auto"/>
          <w:szCs w:val="24"/>
          <w:highlight w:val="none"/>
        </w:rPr>
      </w:pPr>
      <w:r>
        <w:rPr>
          <w:rFonts w:hint="eastAsia" w:ascii="宋体" w:hAnsi="宋体" w:cs="宋体"/>
          <w:color w:val="auto"/>
          <w:szCs w:val="24"/>
          <w:highlight w:val="none"/>
        </w:rPr>
        <w:t>货币及单位：人民币元</w:t>
      </w:r>
    </w:p>
    <w:tbl>
      <w:tblPr>
        <w:tblStyle w:val="2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942"/>
        <w:gridCol w:w="5026"/>
        <w:gridCol w:w="115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15" w:hRule="atLeast"/>
          <w:tblCellSpacing w:w="15" w:type="dxa"/>
        </w:trPr>
        <w:tc>
          <w:tcPr>
            <w:tcW w:w="446"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合同包</w:t>
            </w:r>
          </w:p>
        </w:tc>
        <w:tc>
          <w:tcPr>
            <w:tcW w:w="2483"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60" w:type="pct"/>
            <w:noWrap w:val="0"/>
            <w:tcMar>
              <w:top w:w="0" w:type="dxa"/>
              <w:left w:w="105" w:type="dxa"/>
              <w:bottom w:w="0" w:type="dxa"/>
              <w:right w:w="105" w:type="dxa"/>
            </w:tcMar>
            <w:vAlign w:val="center"/>
          </w:tcPr>
          <w:p>
            <w:pPr>
              <w:autoSpaceDN w:val="0"/>
              <w:spacing w:afterAutospacing="1"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p>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1422"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418" w:hRule="atLeast"/>
          <w:tblCellSpacing w:w="15" w:type="dxa"/>
        </w:trPr>
        <w:tc>
          <w:tcPr>
            <w:tcW w:w="446"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483" w:type="pct"/>
            <w:noWrap w:val="0"/>
            <w:tcMar>
              <w:top w:w="0" w:type="dxa"/>
              <w:left w:w="105" w:type="dxa"/>
              <w:bottom w:w="0" w:type="dxa"/>
              <w:right w:w="105" w:type="dxa"/>
            </w:tcMar>
            <w:vAlign w:val="center"/>
          </w:tcPr>
          <w:p>
            <w:pPr>
              <w:autoSpaceDN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投标整体下浮率（%）：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c>
          <w:tcPr>
            <w:tcW w:w="560"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1422" w:type="pct"/>
            <w:noWrap w:val="0"/>
            <w:tcMar>
              <w:top w:w="0" w:type="dxa"/>
              <w:left w:w="105" w:type="dxa"/>
              <w:bottom w:w="0" w:type="dxa"/>
              <w:right w:w="105" w:type="dxa"/>
            </w:tcMar>
            <w:vAlign w:val="center"/>
          </w:tcPr>
          <w:p>
            <w:pPr>
              <w:autoSpaceDN w:val="0"/>
              <w:spacing w:afterAutospacing="1"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a.投标报价的明细：详见《投标分项报价表》。</w:t>
            </w:r>
          </w:p>
          <w:p>
            <w:pPr>
              <w:autoSpaceDN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b.招标文件规定的价格扣除证明材料（若有）：详见报价部分。</w:t>
            </w:r>
          </w:p>
        </w:tc>
      </w:tr>
    </w:tbl>
    <w:p>
      <w:pPr>
        <w:pStyle w:val="20"/>
        <w:widowControl/>
        <w:spacing w:line="420" w:lineRule="exact"/>
        <w:rPr>
          <w:rFonts w:hint="eastAsia" w:ascii="宋体" w:hAnsi="宋体" w:cs="宋体"/>
          <w:color w:val="auto"/>
          <w:szCs w:val="24"/>
          <w:highlight w:val="none"/>
        </w:rPr>
      </w:pP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★注意：</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1.1投标人应按照本表格式填写所投的合同包的“投标报价”。</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1.2本表中列示的“合同包”应与《投标分项报价表》中列示的“合同包”保持一致，即：若本表中列示的“合同包”为“1”时，《投标分项报价表》中列示的“合同包”亦应为“1”，以此类推。</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1.3“大写金额”指“投标报价”应用“壹、贰、叁、肆、伍、陆、柒、捌、玖、拾、佰、仟、万、亿、元、角、分、零”等进行填写。</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2、纸质投标文件正本中的本表应为原件。 </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 </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二、投标分项报价表</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rPr>
          <w:color w:val="auto"/>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招标编号：</w:t>
      </w:r>
      <w:r>
        <w:rPr>
          <w:rFonts w:hint="eastAsia" w:ascii="宋体" w:hAnsi="宋体" w:cs="宋体"/>
          <w:color w:val="auto"/>
          <w:szCs w:val="24"/>
          <w:highlight w:val="none"/>
          <w:u w:val="single"/>
        </w:rPr>
        <w:t>                   </w:t>
      </w:r>
    </w:p>
    <w:p>
      <w:pPr>
        <w:pStyle w:val="20"/>
        <w:widowControl/>
        <w:spacing w:line="420" w:lineRule="exact"/>
        <w:jc w:val="right"/>
        <w:rPr>
          <w:rFonts w:ascii="宋体" w:hAnsi="宋体" w:cs="宋体"/>
          <w:color w:val="auto"/>
          <w:szCs w:val="24"/>
          <w:highlight w:val="none"/>
        </w:rPr>
      </w:pP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货币及单位：人民币元</w:t>
      </w:r>
    </w:p>
    <w:tbl>
      <w:tblPr>
        <w:tblStyle w:val="2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605"/>
        <w:gridCol w:w="1102"/>
        <w:gridCol w:w="1166"/>
        <w:gridCol w:w="1253"/>
        <w:gridCol w:w="1053"/>
        <w:gridCol w:w="1493"/>
        <w:gridCol w:w="220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180" w:hRule="atLeast"/>
          <w:tblCellSpacing w:w="15" w:type="dxa"/>
        </w:trPr>
        <w:tc>
          <w:tcPr>
            <w:tcW w:w="278"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合同包</w:t>
            </w:r>
          </w:p>
        </w:tc>
        <w:tc>
          <w:tcPr>
            <w:tcW w:w="532"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563"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606"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507"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725"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77"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整体下浮率（%）</w:t>
            </w:r>
          </w:p>
        </w:tc>
        <w:tc>
          <w:tcPr>
            <w:tcW w:w="551"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05" w:hRule="atLeast"/>
          <w:tblCellSpacing w:w="15" w:type="dxa"/>
        </w:trPr>
        <w:tc>
          <w:tcPr>
            <w:tcW w:w="278" w:type="pct"/>
            <w:vMerge w:val="restar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32"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63"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606"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50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725"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107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551"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05" w:hRule="atLeast"/>
          <w:tblCellSpacing w:w="15" w:type="dxa"/>
        </w:trPr>
        <w:tc>
          <w:tcPr>
            <w:tcW w:w="278" w:type="pct"/>
            <w:vMerge w:val="continue"/>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rPr>
            </w:pPr>
          </w:p>
        </w:tc>
        <w:tc>
          <w:tcPr>
            <w:tcW w:w="532"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563"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606"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50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725"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107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551"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9" w:hRule="atLeast"/>
          <w:tblCellSpacing w:w="15" w:type="dxa"/>
        </w:trPr>
        <w:tc>
          <w:tcPr>
            <w:tcW w:w="278" w:type="pct"/>
            <w:noWrap w:val="0"/>
            <w:tcMar>
              <w:top w:w="0" w:type="dxa"/>
              <w:left w:w="105" w:type="dxa"/>
              <w:bottom w:w="0" w:type="dxa"/>
              <w:right w:w="105" w:type="dxa"/>
            </w:tcMar>
            <w:vAlign w:val="center"/>
          </w:tcPr>
          <w:p>
            <w:pPr>
              <w:autoSpaceDN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32"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563"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606" w:type="pct"/>
            <w:noWrap w:val="0"/>
            <w:tcMar>
              <w:top w:w="0" w:type="dxa"/>
              <w:left w:w="105" w:type="dxa"/>
              <w:bottom w:w="0" w:type="dxa"/>
              <w:right w:w="105" w:type="dxa"/>
            </w:tcMar>
            <w:vAlign w:val="center"/>
          </w:tcPr>
          <w:p>
            <w:pPr>
              <w:autoSpaceDN w:val="0"/>
              <w:spacing w:line="240" w:lineRule="auto"/>
              <w:textAlignment w:val="center"/>
              <w:rPr>
                <w:rFonts w:hint="eastAsia" w:ascii="宋体" w:hAnsi="宋体" w:eastAsia="宋体" w:cs="宋体"/>
                <w:color w:val="auto"/>
                <w:sz w:val="24"/>
                <w:szCs w:val="24"/>
              </w:rPr>
            </w:pPr>
          </w:p>
        </w:tc>
        <w:tc>
          <w:tcPr>
            <w:tcW w:w="50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725"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1077"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c>
          <w:tcPr>
            <w:tcW w:w="551" w:type="pct"/>
            <w:noWrap w:val="0"/>
            <w:tcMar>
              <w:top w:w="0" w:type="dxa"/>
              <w:left w:w="105" w:type="dxa"/>
              <w:bottom w:w="0" w:type="dxa"/>
              <w:right w:w="105" w:type="dxa"/>
            </w:tcMar>
            <w:vAlign w:val="top"/>
          </w:tcPr>
          <w:p>
            <w:pPr>
              <w:autoSpaceDN w:val="0"/>
              <w:spacing w:line="240" w:lineRule="auto"/>
              <w:textAlignment w:val="top"/>
              <w:rPr>
                <w:rFonts w:hint="eastAsia" w:ascii="宋体" w:hAnsi="宋体" w:eastAsia="宋体" w:cs="宋体"/>
                <w:color w:val="auto"/>
                <w:sz w:val="24"/>
                <w:szCs w:val="24"/>
              </w:rPr>
            </w:pPr>
          </w:p>
        </w:tc>
      </w:tr>
    </w:tbl>
    <w:p>
      <w:pPr>
        <w:pStyle w:val="20"/>
        <w:widowControl/>
        <w:spacing w:line="420" w:lineRule="exact"/>
        <w:rPr>
          <w:rFonts w:ascii="宋体" w:hAnsi="宋体" w:cs="宋体"/>
          <w:color w:val="auto"/>
          <w:szCs w:val="24"/>
          <w:highlight w:val="none"/>
        </w:rPr>
      </w:pP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★注意：</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w:t>
      </w:r>
      <w:r>
        <w:rPr>
          <w:rFonts w:hint="eastAsia" w:ascii="宋体" w:hAnsi="宋体" w:eastAsia="宋体" w:cs="宋体"/>
          <w:b/>
          <w:color w:val="auto"/>
          <w:sz w:val="24"/>
          <w:szCs w:val="24"/>
        </w:rPr>
        <w:t>“规格”</w:t>
      </w:r>
      <w:r>
        <w:rPr>
          <w:rFonts w:hint="eastAsia" w:ascii="宋体" w:hAnsi="宋体" w:eastAsia="宋体" w:cs="宋体"/>
          <w:color w:val="auto"/>
          <w:sz w:val="24"/>
          <w:szCs w:val="24"/>
        </w:rPr>
        <w:t>项下应填写货物制造厂商赋予的品牌（属于节能、环保清单产品的货物，填写的品牌名称应与清单载明的品牌名称保持一致）及具体型号。</w:t>
      </w:r>
      <w:r>
        <w:rPr>
          <w:rFonts w:hint="eastAsia" w:ascii="宋体" w:hAnsi="宋体" w:eastAsia="宋体" w:cs="宋体"/>
          <w:b/>
          <w:color w:val="auto"/>
          <w:sz w:val="24"/>
          <w:szCs w:val="24"/>
        </w:rPr>
        <w:t>“来源地”</w:t>
      </w:r>
      <w:r>
        <w:rPr>
          <w:rFonts w:hint="eastAsia" w:ascii="宋体" w:hAnsi="宋体" w:eastAsia="宋体" w:cs="宋体"/>
          <w:color w:val="auto"/>
          <w:sz w:val="24"/>
          <w:szCs w:val="24"/>
        </w:rPr>
        <w:t>应填写货物的原产地。</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w:t>
      </w:r>
      <w:r>
        <w:rPr>
          <w:rFonts w:hint="eastAsia" w:ascii="宋体" w:hAnsi="宋体" w:eastAsia="宋体" w:cs="宋体"/>
          <w:b/>
          <w:color w:val="auto"/>
          <w:sz w:val="24"/>
          <w:szCs w:val="24"/>
        </w:rPr>
        <w:t>“规格”</w:t>
      </w:r>
      <w:r>
        <w:rPr>
          <w:rFonts w:hint="eastAsia" w:ascii="宋体" w:hAnsi="宋体" w:eastAsia="宋体" w:cs="宋体"/>
          <w:color w:val="auto"/>
          <w:sz w:val="24"/>
          <w:szCs w:val="24"/>
        </w:rPr>
        <w:t>项下应填写服务提供者提供的服务标准及品牌（若有）。</w:t>
      </w:r>
      <w:r>
        <w:rPr>
          <w:rFonts w:hint="eastAsia" w:ascii="宋体" w:hAnsi="宋体" w:eastAsia="宋体" w:cs="宋体"/>
          <w:b/>
          <w:color w:val="auto"/>
          <w:sz w:val="24"/>
          <w:szCs w:val="24"/>
        </w:rPr>
        <w:t>“来源地”</w:t>
      </w:r>
      <w:r>
        <w:rPr>
          <w:rFonts w:hint="eastAsia" w:ascii="宋体" w:hAnsi="宋体" w:eastAsia="宋体" w:cs="宋体"/>
          <w:color w:val="auto"/>
          <w:sz w:val="24"/>
          <w:szCs w:val="24"/>
        </w:rPr>
        <w:t>应填写服务提供者的所在地。</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1.4同一合同包中，</w:t>
      </w:r>
      <w:r>
        <w:rPr>
          <w:rFonts w:hint="eastAsia" w:ascii="宋体" w:hAnsi="宋体" w:eastAsia="宋体" w:cs="宋体"/>
          <w:b/>
          <w:color w:val="auto"/>
          <w:sz w:val="24"/>
          <w:szCs w:val="24"/>
        </w:rPr>
        <w:t>“单价（现场）”</w:t>
      </w:r>
      <w:r>
        <w:rPr>
          <w:rFonts w:hint="eastAsia" w:ascii="宋体" w:hAnsi="宋体" w:eastAsia="宋体" w:cs="宋体"/>
          <w:color w:val="auto"/>
          <w:sz w:val="24"/>
          <w:szCs w:val="24"/>
        </w:rPr>
        <w:t>×</w:t>
      </w:r>
      <w:r>
        <w:rPr>
          <w:rFonts w:hint="eastAsia" w:ascii="宋体" w:hAnsi="宋体" w:eastAsia="宋体" w:cs="宋体"/>
          <w:b/>
          <w:color w:val="auto"/>
          <w:sz w:val="24"/>
          <w:szCs w:val="24"/>
        </w:rPr>
        <w:t>“数量”</w:t>
      </w:r>
      <w:r>
        <w:rPr>
          <w:rFonts w:hint="eastAsia" w:ascii="宋体" w:hAnsi="宋体" w:eastAsia="宋体" w:cs="宋体"/>
          <w:color w:val="auto"/>
          <w:sz w:val="24"/>
          <w:szCs w:val="24"/>
        </w:rPr>
        <w:t>=</w:t>
      </w:r>
      <w:r>
        <w:rPr>
          <w:rFonts w:hint="eastAsia" w:ascii="宋体" w:hAnsi="宋体" w:eastAsia="宋体" w:cs="宋体"/>
          <w:b/>
          <w:color w:val="auto"/>
          <w:sz w:val="24"/>
          <w:szCs w:val="24"/>
        </w:rPr>
        <w:t>“总价（现场）”</w:t>
      </w:r>
      <w:r>
        <w:rPr>
          <w:rFonts w:hint="eastAsia" w:ascii="宋体" w:hAnsi="宋体" w:eastAsia="宋体" w:cs="宋体"/>
          <w:color w:val="auto"/>
          <w:sz w:val="24"/>
          <w:szCs w:val="24"/>
        </w:rPr>
        <w:t>，全部品目号</w:t>
      </w:r>
      <w:r>
        <w:rPr>
          <w:rFonts w:hint="eastAsia" w:ascii="宋体" w:hAnsi="宋体" w:eastAsia="宋体" w:cs="宋体"/>
          <w:b/>
          <w:color w:val="auto"/>
          <w:sz w:val="24"/>
          <w:szCs w:val="24"/>
        </w:rPr>
        <w:t>“总价（现场）”</w:t>
      </w:r>
      <w:r>
        <w:rPr>
          <w:rFonts w:hint="eastAsia" w:ascii="宋体" w:hAnsi="宋体" w:eastAsia="宋体" w:cs="宋体"/>
          <w:color w:val="auto"/>
          <w:sz w:val="24"/>
          <w:szCs w:val="24"/>
        </w:rPr>
        <w:t>的合计金额应与《开标一览表》中相应合同包列示的</w:t>
      </w:r>
      <w:r>
        <w:rPr>
          <w:rFonts w:hint="eastAsia" w:ascii="宋体" w:hAnsi="宋体" w:eastAsia="宋体" w:cs="宋体"/>
          <w:b/>
          <w:color w:val="auto"/>
          <w:sz w:val="24"/>
          <w:szCs w:val="24"/>
        </w:rPr>
        <w:t>“投标总价”</w:t>
      </w:r>
      <w:r>
        <w:rPr>
          <w:rFonts w:hint="eastAsia" w:ascii="宋体" w:hAnsi="宋体" w:eastAsia="宋体" w:cs="宋体"/>
          <w:color w:val="auto"/>
          <w:sz w:val="24"/>
          <w:szCs w:val="24"/>
        </w:rPr>
        <w:t>保持一致。</w:t>
      </w:r>
    </w:p>
    <w:p>
      <w:pPr>
        <w:keepNext w:val="0"/>
        <w:keepLines w:val="0"/>
        <w:pageBreakBefore w:val="0"/>
        <w:kinsoku/>
        <w:wordWrap/>
        <w:overflowPunct/>
        <w:topLinePunct w:val="0"/>
        <w:autoSpaceDE/>
        <w:autoSpaceDN w:val="0"/>
        <w:bidi w:val="0"/>
        <w:adjustRightInd/>
        <w:snapToGrid/>
        <w:spacing w:beforeAutospacing="0" w:afterAutospacing="0" w:line="3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1.5若招标文件要求投标人对“备品备件价格、专用工具价格、技术服务费、安装调试费、检验培训费、运输费、保险费、税收”等进行报价的，请在本表的</w:t>
      </w:r>
      <w:r>
        <w:rPr>
          <w:rFonts w:hint="eastAsia" w:ascii="宋体" w:hAnsi="宋体" w:eastAsia="宋体" w:cs="宋体"/>
          <w:b/>
          <w:color w:val="auto"/>
          <w:sz w:val="24"/>
          <w:szCs w:val="24"/>
        </w:rPr>
        <w:t>“备注”</w:t>
      </w:r>
      <w:r>
        <w:rPr>
          <w:rFonts w:hint="eastAsia" w:ascii="宋体" w:hAnsi="宋体" w:eastAsia="宋体" w:cs="宋体"/>
          <w:color w:val="auto"/>
          <w:sz w:val="24"/>
          <w:szCs w:val="24"/>
        </w:rPr>
        <w:t>项下填写。</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2、纸质投标文件正本中的本表应为原件。</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 </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keepNext w:val="0"/>
        <w:keepLines w:val="0"/>
        <w:pageBreakBefore w:val="0"/>
        <w:widowControl/>
        <w:kinsoku/>
        <w:wordWrap/>
        <w:overflowPunct/>
        <w:topLinePunct w:val="0"/>
        <w:autoSpaceDE/>
        <w:bidi w:val="0"/>
        <w:adjustRightInd/>
        <w:snapToGrid/>
        <w:spacing w:beforeAutospacing="0" w:afterAutospacing="0" w:line="380" w:lineRule="exact"/>
        <w:textAlignment w:val="auto"/>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三、招标文件规定的价格扣除证明材料（若有） </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三-1优先类节能产品、环境标志产品价格扣除证明材料（若有） </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三-1-①优先类节能产品、环境标志产品统计表（价格扣除适用，若有）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招标编号：</w:t>
      </w:r>
      <w:r>
        <w:rPr>
          <w:rFonts w:hint="eastAsia" w:ascii="宋体" w:hAnsi="宋体" w:cs="宋体"/>
          <w:color w:val="auto"/>
          <w:szCs w:val="24"/>
          <w:highlight w:val="none"/>
          <w:u w:val="single"/>
        </w:rPr>
        <w:t>                   </w:t>
      </w: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货币及单位：人民币元</w:t>
      </w:r>
    </w:p>
    <w:tbl>
      <w:tblPr>
        <w:tblStyle w:val="22"/>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4"/>
        <w:gridCol w:w="1531"/>
        <w:gridCol w:w="1524"/>
        <w:gridCol w:w="1538"/>
        <w:gridCol w:w="1524"/>
        <w:gridCol w:w="153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4260" w:type="pct"/>
            <w:gridSpan w:val="6"/>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合同包</w:t>
            </w:r>
          </w:p>
        </w:tc>
        <w:tc>
          <w:tcPr>
            <w:tcW w:w="696"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692"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699"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单价</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692"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数量</w:t>
            </w:r>
          </w:p>
        </w:tc>
        <w:tc>
          <w:tcPr>
            <w:tcW w:w="700"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总价</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695"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restar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696"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692"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9"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2"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700"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5"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continue"/>
            <w:noWrap/>
            <w:tcMar>
              <w:top w:w="0" w:type="dxa"/>
              <w:left w:w="105" w:type="dxa"/>
              <w:bottom w:w="0" w:type="dxa"/>
              <w:right w:w="105" w:type="dxa"/>
            </w:tcMar>
            <w:vAlign w:val="center"/>
          </w:tcPr>
          <w:p>
            <w:pPr>
              <w:spacing w:line="420" w:lineRule="exact"/>
              <w:rPr>
                <w:rFonts w:ascii="宋体" w:hAnsi="宋体" w:cs="宋体"/>
                <w:color w:val="auto"/>
                <w:sz w:val="24"/>
                <w:szCs w:val="24"/>
                <w:highlight w:val="none"/>
              </w:rPr>
            </w:pPr>
          </w:p>
        </w:tc>
        <w:tc>
          <w:tcPr>
            <w:tcW w:w="696"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692"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9"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2"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700"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95" w:type="pct"/>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备注</w:t>
            </w:r>
          </w:p>
        </w:tc>
        <w:tc>
          <w:tcPr>
            <w:tcW w:w="4260" w:type="pct"/>
            <w:gridSpan w:val="6"/>
            <w:noWrap/>
            <w:tcMar>
              <w:top w:w="0" w:type="dxa"/>
              <w:left w:w="105" w:type="dxa"/>
              <w:bottom w:w="0" w:type="dxa"/>
              <w:right w:w="105" w:type="dxa"/>
            </w:tcMar>
          </w:tcPr>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a.合同包内属于节能、环境标志产品的报价总金额：</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b.合同包投标总价（报价总金额）：</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c.“合同包内属于节能、环境标志产品的报价总金额”占“合同包投标总价（报价总金额）”的比例（以%列示）：</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tc>
      </w:tr>
    </w:tbl>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1、对节能、环境标志产品计算价格扣除时，只依据投标文件</w:t>
      </w:r>
      <w:r>
        <w:rPr>
          <w:rStyle w:val="24"/>
          <w:rFonts w:hint="eastAsia" w:ascii="宋体" w:hAnsi="宋体" w:cs="宋体"/>
          <w:color w:val="auto"/>
          <w:szCs w:val="24"/>
          <w:highlight w:val="none"/>
        </w:rPr>
        <w:t>“三-1-②优先类节能产品、环境标志产品证明材料（价格扣除适用，若有）”。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2、本表以合同包为单位，不同合同包请分别填写；同一合同包请按照其品目号顺序分别填写。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3、具体统计、计算：</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3.2计算结果若除不尽，可四舍五入保留到小数点后两位。</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3.3投标人应按照招标文件要求认真统计、计算，否则评标委员会不予认定。</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3.4若无节能、环境标志产品，不填写本表，否则，</w:t>
      </w:r>
      <w:r>
        <w:rPr>
          <w:rStyle w:val="24"/>
          <w:rFonts w:hint="eastAsia" w:ascii="宋体" w:hAnsi="宋体" w:cs="宋体"/>
          <w:color w:val="auto"/>
          <w:szCs w:val="24"/>
          <w:highlight w:val="none"/>
        </w:rPr>
        <w:t>视为提供虚假材料。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4、纸质投标文件正本中的本表（若有）应为原件。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rPr>
          <w:rStyle w:val="24"/>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三-1-②优先类节能产品、环境标志产品证明材料（价格扣除适用，若有）</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除招标文件另有规定外，投标人应按照招标文件第二章（表1）第13项规定提供相应证明材料。</w:t>
      </w:r>
    </w:p>
    <w:p>
      <w:pPr>
        <w:pStyle w:val="20"/>
        <w:widowControl/>
        <w:spacing w:line="420" w:lineRule="exact"/>
        <w:rPr>
          <w:rStyle w:val="24"/>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三-2小型、微型企业产品等价格扣除证明材料（若有）</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三-2-①小型、微型企业产品等统计表（价格扣除适用，若有）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招标编号：</w:t>
      </w:r>
      <w:r>
        <w:rPr>
          <w:rFonts w:hint="eastAsia" w:ascii="宋体" w:hAnsi="宋体" w:cs="宋体"/>
          <w:color w:val="auto"/>
          <w:szCs w:val="24"/>
          <w:highlight w:val="none"/>
          <w:u w:val="single"/>
        </w:rPr>
        <w:t>                   </w:t>
      </w: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货币及单位：人民币元</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2"/>
        <w:gridCol w:w="1205"/>
        <w:gridCol w:w="1071"/>
        <w:gridCol w:w="1000"/>
        <w:gridCol w:w="719"/>
        <w:gridCol w:w="1000"/>
        <w:gridCol w:w="112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7263" w:type="dxa"/>
            <w:gridSpan w:val="7"/>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合同包</w:t>
            </w:r>
          </w:p>
        </w:tc>
        <w:tc>
          <w:tcPr>
            <w:tcW w:w="1175"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041"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970"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单价</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689"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数量</w:t>
            </w:r>
          </w:p>
        </w:tc>
        <w:tc>
          <w:tcPr>
            <w:tcW w:w="970"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总价</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1098"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制造厂商</w:t>
            </w:r>
          </w:p>
        </w:tc>
        <w:tc>
          <w:tcPr>
            <w:tcW w:w="1140"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vMerge w:val="restart"/>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1175"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1041"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97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89"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97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1098"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114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vMerge w:val="continue"/>
            <w:noWrap/>
            <w:tcMar>
              <w:top w:w="0" w:type="dxa"/>
              <w:left w:w="105" w:type="dxa"/>
              <w:bottom w:w="0" w:type="dxa"/>
              <w:right w:w="105" w:type="dxa"/>
            </w:tcMar>
            <w:vAlign w:val="center"/>
          </w:tcPr>
          <w:p>
            <w:pPr>
              <w:spacing w:line="420" w:lineRule="exact"/>
              <w:rPr>
                <w:rFonts w:ascii="宋体" w:hAnsi="宋体" w:cs="宋体"/>
                <w:color w:val="auto"/>
                <w:sz w:val="24"/>
                <w:szCs w:val="24"/>
                <w:highlight w:val="none"/>
              </w:rPr>
            </w:pPr>
          </w:p>
        </w:tc>
        <w:tc>
          <w:tcPr>
            <w:tcW w:w="1175"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1041"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97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689"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97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1098"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c>
          <w:tcPr>
            <w:tcW w:w="1140" w:type="dxa"/>
            <w:noWrap/>
            <w:tcMar>
              <w:top w:w="0" w:type="dxa"/>
              <w:left w:w="105" w:type="dxa"/>
              <w:bottom w:w="0" w:type="dxa"/>
              <w:right w:w="105" w:type="dxa"/>
            </w:tcMar>
            <w:vAlign w:val="center"/>
          </w:tcPr>
          <w:p>
            <w:pPr>
              <w:widowControl/>
              <w:spacing w:line="42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167" w:type="dxa"/>
            <w:noWrap/>
            <w:tcMar>
              <w:top w:w="0" w:type="dxa"/>
              <w:left w:w="105" w:type="dxa"/>
              <w:bottom w:w="0" w:type="dxa"/>
              <w:right w:w="105" w:type="dxa"/>
            </w:tcMar>
            <w:vAlign w:val="center"/>
          </w:tcPr>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备注</w:t>
            </w:r>
          </w:p>
        </w:tc>
        <w:tc>
          <w:tcPr>
            <w:tcW w:w="7263" w:type="dxa"/>
            <w:gridSpan w:val="7"/>
            <w:noWrap/>
            <w:tcMar>
              <w:top w:w="0" w:type="dxa"/>
              <w:left w:w="105" w:type="dxa"/>
              <w:bottom w:w="0" w:type="dxa"/>
              <w:right w:w="105" w:type="dxa"/>
            </w:tcMar>
          </w:tcPr>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合同包内属于小型、微型企业产品等的报价总金额：</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tc>
      </w:tr>
    </w:tbl>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1、对小型、微型企业产品等计算价格扣除时，只依据投标文件</w:t>
      </w:r>
      <w:r>
        <w:rPr>
          <w:rStyle w:val="24"/>
          <w:rFonts w:hint="eastAsia" w:ascii="宋体" w:hAnsi="宋体" w:cs="宋体"/>
          <w:color w:val="auto"/>
          <w:szCs w:val="24"/>
          <w:highlight w:val="none"/>
        </w:rPr>
        <w:t>“三-2-②中小企业声明函（价格扣除适用，若有）”及“三-2-③小型、微型企业等证明材料（价格扣除适用，若有）”。</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2、本表以合同包为单位，不同合同包请分别填写；同一合同包请按照其品目号顺序分别填写。</w:t>
      </w:r>
    </w:p>
    <w:p>
      <w:pPr>
        <w:pStyle w:val="20"/>
        <w:widowControl/>
        <w:shd w:val="clear" w:color="auto" w:fill="FFFFFF"/>
        <w:spacing w:line="420" w:lineRule="exact"/>
        <w:rPr>
          <w:rStyle w:val="24"/>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4"/>
          <w:rFonts w:hint="eastAsia" w:ascii="宋体" w:hAnsi="宋体" w:cs="宋体"/>
          <w:color w:val="auto"/>
          <w:szCs w:val="24"/>
          <w:highlight w:val="none"/>
          <w:shd w:val="clear" w:color="auto" w:fill="FFFFFF"/>
        </w:rPr>
        <w:t>可享受价格扣除。</w:t>
      </w:r>
    </w:p>
    <w:p>
      <w:pPr>
        <w:pStyle w:val="20"/>
        <w:widowControl/>
        <w:shd w:val="clear" w:color="auto" w:fill="FFFFFF"/>
        <w:spacing w:line="420" w:lineRule="exact"/>
        <w:rPr>
          <w:rFonts w:ascii="宋体" w:hAnsi="宋体" w:cs="宋体"/>
          <w:color w:val="auto"/>
          <w:szCs w:val="24"/>
          <w:highlight w:val="none"/>
        </w:rPr>
      </w:pPr>
      <w:r>
        <w:rPr>
          <w:rFonts w:hint="eastAsia" w:ascii="宋体" w:hAnsi="宋体" w:cs="宋体"/>
          <w:color w:val="auto"/>
          <w:szCs w:val="24"/>
          <w:highlight w:val="none"/>
          <w:shd w:val="clear" w:color="auto" w:fill="FFFFFF"/>
        </w:rPr>
        <w:t>4、纸质投标文件正本中的本表（若有）应为原件。</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20" w:lineRule="exact"/>
        <w:rPr>
          <w:rStyle w:val="24"/>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三-2-②中小企业声明函（价格扣除适用，若有）</w:t>
      </w:r>
    </w:p>
    <w:p>
      <w:pPr>
        <w:pStyle w:val="20"/>
        <w:widowControl/>
        <w:spacing w:line="42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中小企业声明函（货物）</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20"/>
        <w:widowControl/>
        <w:spacing w:line="42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u w:val="single"/>
        </w:rPr>
        <w:t>（标的名称）</w:t>
      </w:r>
      <w:r>
        <w:rPr>
          <w:rFonts w:hint="eastAsia" w:ascii="宋体" w:hAnsi="宋体" w:cs="宋体"/>
          <w:color w:val="auto"/>
          <w:szCs w:val="24"/>
          <w:highlight w:val="none"/>
        </w:rPr>
        <w:t>，属于</w:t>
      </w:r>
      <w:r>
        <w:rPr>
          <w:rFonts w:hint="eastAsia" w:ascii="宋体" w:hAnsi="宋体" w:cs="宋体"/>
          <w:color w:val="auto"/>
          <w:szCs w:val="24"/>
          <w:highlight w:val="none"/>
          <w:u w:val="single"/>
        </w:rPr>
        <w:t>（采购文件中明确的所属行业）</w:t>
      </w:r>
      <w:r>
        <w:rPr>
          <w:rFonts w:hint="eastAsia" w:ascii="宋体" w:hAnsi="宋体" w:cs="宋体"/>
          <w:color w:val="auto"/>
          <w:szCs w:val="24"/>
          <w:highlight w:val="none"/>
        </w:rPr>
        <w:t>行业；制造商为</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，从业人员</w:t>
      </w:r>
      <w:r>
        <w:rPr>
          <w:rFonts w:hint="eastAsia" w:ascii="宋体" w:hAnsi="宋体" w:cs="宋体"/>
          <w:color w:val="auto"/>
          <w:szCs w:val="24"/>
          <w:highlight w:val="none"/>
          <w:u w:val="single"/>
        </w:rPr>
        <w:t>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万元，属于（中型企业、小型企业、微型企业）；</w:t>
      </w:r>
    </w:p>
    <w:p>
      <w:pPr>
        <w:pStyle w:val="20"/>
        <w:widowControl/>
        <w:spacing w:line="42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zCs w:val="24"/>
          <w:highlight w:val="none"/>
          <w:u w:val="single"/>
        </w:rPr>
        <w:t>（标的名称）</w:t>
      </w:r>
      <w:r>
        <w:rPr>
          <w:rFonts w:hint="eastAsia" w:ascii="宋体" w:hAnsi="宋体" w:cs="宋体"/>
          <w:color w:val="auto"/>
          <w:szCs w:val="24"/>
          <w:highlight w:val="none"/>
        </w:rPr>
        <w:t>，属于</w:t>
      </w:r>
      <w:r>
        <w:rPr>
          <w:rFonts w:hint="eastAsia" w:ascii="宋体" w:hAnsi="宋体" w:cs="宋体"/>
          <w:color w:val="auto"/>
          <w:szCs w:val="24"/>
          <w:highlight w:val="none"/>
          <w:u w:val="single"/>
        </w:rPr>
        <w:t>（采购文件中明确的所属行业）</w:t>
      </w:r>
      <w:r>
        <w:rPr>
          <w:rFonts w:hint="eastAsia" w:ascii="宋体" w:hAnsi="宋体" w:cs="宋体"/>
          <w:color w:val="auto"/>
          <w:szCs w:val="24"/>
          <w:highlight w:val="none"/>
        </w:rPr>
        <w:t>行业；制造商为</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，从业人员</w:t>
      </w:r>
      <w:r>
        <w:rPr>
          <w:rFonts w:hint="eastAsia" w:ascii="宋体" w:hAnsi="宋体" w:cs="宋体"/>
          <w:color w:val="auto"/>
          <w:szCs w:val="24"/>
          <w:highlight w:val="none"/>
          <w:u w:val="single"/>
        </w:rPr>
        <w:t>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万元，属于（中型企业、小型企业、微型企业）；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以上企业，不属于大企业的分支机构，不存在控股股东为大企业的情形，也不存在与大企业的负责人为同一人的情形。本企业对上述声明内容的真实性负责。如有虚假，将依法承担相应责任。                                   </w:t>
      </w:r>
    </w:p>
    <w:p>
      <w:pPr>
        <w:pStyle w:val="20"/>
        <w:widowControl/>
        <w:spacing w:line="420" w:lineRule="exact"/>
        <w:ind w:firstLine="480" w:firstLineChars="200"/>
        <w:jc w:val="right"/>
        <w:rPr>
          <w:rFonts w:ascii="宋体" w:hAnsi="宋体" w:cs="宋体"/>
          <w:color w:val="auto"/>
          <w:szCs w:val="24"/>
          <w:highlight w:val="none"/>
        </w:rPr>
      </w:pPr>
      <w:r>
        <w:rPr>
          <w:rFonts w:hint="eastAsia" w:ascii="宋体" w:hAnsi="宋体" w:cs="宋体"/>
          <w:color w:val="auto"/>
          <w:szCs w:val="24"/>
          <w:highlight w:val="none"/>
        </w:rPr>
        <w:t>企业名称（盖章）：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                           日期：</w:t>
      </w:r>
    </w:p>
    <w:p>
      <w:pPr>
        <w:pStyle w:val="20"/>
        <w:widowControl/>
        <w:spacing w:line="420" w:lineRule="exact"/>
        <w:rPr>
          <w:rFonts w:ascii="宋体" w:hAnsi="宋体" w:cs="宋体"/>
          <w:color w:val="auto"/>
          <w:szCs w:val="24"/>
          <w:highlight w:val="none"/>
        </w:rPr>
      </w:pP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1从业人员、营业收入、资产总额填报上一年度数据，无上一年度数据的新成立企业可不填报。</w:t>
      </w: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p>
    <w:p>
      <w:pPr>
        <w:pStyle w:val="20"/>
        <w:widowControl/>
        <w:spacing w:line="420" w:lineRule="exact"/>
        <w:ind w:firstLine="2880" w:firstLineChars="1200"/>
        <w:jc w:val="left"/>
        <w:rPr>
          <w:rFonts w:ascii="宋体" w:hAnsi="宋体" w:cs="宋体"/>
          <w:color w:val="auto"/>
          <w:szCs w:val="24"/>
          <w:highlight w:val="none"/>
        </w:rPr>
      </w:pPr>
      <w:r>
        <w:rPr>
          <w:rFonts w:hint="eastAsia" w:ascii="宋体" w:hAnsi="宋体" w:cs="宋体"/>
          <w:color w:val="auto"/>
          <w:szCs w:val="24"/>
          <w:highlight w:val="none"/>
        </w:rPr>
        <w:t>中小企业声明函（工程、服务）</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20"/>
        <w:widowControl/>
        <w:spacing w:line="42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1.（标的名称），属于（采购文件中明确的所属行业）；承建（承接）企业为（企业名称），从业人员人，营业收入为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万元，属于（中型企业、小型企业、微型企业）；</w:t>
      </w: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2.（标的名称），属于（采购文件中明确的所属行业）；承建（承接）企业为（企业名称），从业人员人，营业收入为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w:t>
      </w:r>
      <w:r>
        <w:rPr>
          <w:rFonts w:hint="eastAsia" w:ascii="宋体" w:hAnsi="宋体" w:cs="宋体"/>
          <w:color w:val="auto"/>
          <w:szCs w:val="24"/>
          <w:highlight w:val="none"/>
        </w:rPr>
        <w:t>万元，属于（中型企业、小型企业、微型企业）；</w:t>
      </w:r>
    </w:p>
    <w:p>
      <w:pPr>
        <w:pStyle w:val="20"/>
        <w:widowControl/>
        <w:spacing w:line="420" w:lineRule="exact"/>
        <w:jc w:val="left"/>
        <w:rPr>
          <w:rFonts w:ascii="宋体" w:hAnsi="宋体" w:cs="宋体"/>
          <w:color w:val="auto"/>
          <w:szCs w:val="24"/>
          <w:highlight w:val="none"/>
        </w:rPr>
      </w:pP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w:t>
      </w: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以上企业，不属于大企业的分支机构，不存在控股股东为大企业的情形，也不存在与大企业的负责人为同一人的情形。</w:t>
      </w:r>
    </w:p>
    <w:p>
      <w:pPr>
        <w:pStyle w:val="20"/>
        <w:widowControl/>
        <w:spacing w:line="420" w:lineRule="exact"/>
        <w:jc w:val="left"/>
        <w:rPr>
          <w:rFonts w:ascii="宋体" w:hAnsi="宋体" w:cs="宋体"/>
          <w:color w:val="auto"/>
          <w:szCs w:val="24"/>
          <w:highlight w:val="none"/>
        </w:rPr>
      </w:pPr>
      <w:r>
        <w:rPr>
          <w:rFonts w:hint="eastAsia" w:ascii="宋体" w:hAnsi="宋体" w:cs="宋体"/>
          <w:color w:val="auto"/>
          <w:szCs w:val="24"/>
          <w:highlight w:val="none"/>
        </w:rPr>
        <w:t>   本企业对上述声明内容的真实性负责。如有虚假，将依法承担相应责任。</w:t>
      </w:r>
    </w:p>
    <w:p>
      <w:pPr>
        <w:pStyle w:val="20"/>
        <w:widowControl/>
        <w:spacing w:line="420" w:lineRule="exact"/>
        <w:jc w:val="left"/>
        <w:rPr>
          <w:rFonts w:ascii="宋体" w:hAnsi="宋体" w:cs="宋体"/>
          <w:color w:val="auto"/>
          <w:szCs w:val="24"/>
          <w:highlight w:val="none"/>
        </w:rPr>
      </w:pPr>
    </w:p>
    <w:p>
      <w:pPr>
        <w:pStyle w:val="20"/>
        <w:widowControl/>
        <w:spacing w:line="420" w:lineRule="exact"/>
        <w:jc w:val="right"/>
        <w:rPr>
          <w:rFonts w:ascii="宋体" w:hAnsi="宋体" w:cs="宋体"/>
          <w:color w:val="auto"/>
          <w:szCs w:val="24"/>
          <w:highlight w:val="none"/>
        </w:rPr>
      </w:pPr>
      <w:r>
        <w:rPr>
          <w:rFonts w:hint="eastAsia" w:ascii="宋体" w:hAnsi="宋体" w:cs="宋体"/>
          <w:color w:val="auto"/>
          <w:szCs w:val="24"/>
          <w:highlight w:val="none"/>
        </w:rPr>
        <w:t>                            企业名称（盖章）：           </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日期：</w:t>
      </w:r>
    </w:p>
    <w:p>
      <w:pPr>
        <w:pStyle w:val="20"/>
        <w:widowControl/>
        <w:spacing w:line="420" w:lineRule="exact"/>
        <w:jc w:val="left"/>
        <w:rPr>
          <w:rFonts w:ascii="宋体" w:hAnsi="宋体" w:cs="宋体"/>
          <w:color w:val="auto"/>
          <w:szCs w:val="24"/>
          <w:highlight w:val="none"/>
        </w:rPr>
      </w:pPr>
    </w:p>
    <w:p>
      <w:pPr>
        <w:pStyle w:val="20"/>
        <w:widowControl/>
        <w:spacing w:line="420" w:lineRule="exact"/>
        <w:jc w:val="left"/>
        <w:rPr>
          <w:rStyle w:val="24"/>
          <w:rFonts w:ascii="宋体" w:hAnsi="宋体" w:cs="宋体"/>
          <w:color w:val="auto"/>
          <w:szCs w:val="24"/>
          <w:highlight w:val="none"/>
        </w:rPr>
      </w:pPr>
      <w:r>
        <w:rPr>
          <w:rFonts w:hint="eastAsia" w:ascii="宋体" w:hAnsi="宋体" w:cs="宋体"/>
          <w:color w:val="auto"/>
          <w:szCs w:val="24"/>
          <w:highlight w:val="none"/>
        </w:rPr>
        <w:t>  1从业人员、营业收入、资产总额填报上一年度数据，无上一年度数据的新成立企业可不填报。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rPr>
          <w:rStyle w:val="24"/>
          <w:rFonts w:ascii="宋体" w:hAnsi="宋体" w:cs="宋体"/>
          <w:color w:val="auto"/>
          <w:szCs w:val="24"/>
          <w:highlight w:val="none"/>
        </w:rPr>
      </w:pP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三-2-③小型、微型企业等证明材料（价格扣除适用，若有）</w:t>
      </w:r>
    </w:p>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1、投标人应按照招标文件要求提供相应证明材料，证明材料应与《中小企业声明函》的内容相一致，否则视为《中小企业声明函》内容不真实。</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2、投标人为监狱企业的，根据其提供的由省级以上监狱管理局、戒毒管理局（含新疆生产建设兵团）出具的属于监狱企业的证明文件进行认定，监狱企业视同小型、微型企业。</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附：</w:t>
      </w: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残疾人福利性单位声明函（价格扣除适用，若有）</w:t>
      </w:r>
    </w:p>
    <w:p>
      <w:pPr>
        <w:pStyle w:val="20"/>
        <w:widowControl/>
        <w:spacing w:line="400" w:lineRule="exact"/>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cs="宋体"/>
          <w:color w:val="auto"/>
          <w:szCs w:val="24"/>
          <w:highlight w:val="none"/>
          <w:u w:val="single"/>
        </w:rPr>
        <w:t>（填写“项目名称”）</w:t>
      </w:r>
      <w:r>
        <w:rPr>
          <w:rFonts w:hint="eastAsia" w:ascii="宋体" w:hAnsi="宋体" w:cs="宋体"/>
          <w:color w:val="auto"/>
          <w:szCs w:val="24"/>
          <w:highlight w:val="none"/>
        </w:rPr>
        <w:t>项目采购活动：</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）提供本投标人制造的</w:t>
      </w:r>
      <w:r>
        <w:rPr>
          <w:rFonts w:hint="eastAsia" w:ascii="宋体" w:hAnsi="宋体" w:cs="宋体"/>
          <w:color w:val="auto"/>
          <w:szCs w:val="24"/>
          <w:highlight w:val="none"/>
          <w:u w:val="single"/>
        </w:rPr>
        <w:t>（填写“所投合同包、品目号”）</w:t>
      </w:r>
      <w:r>
        <w:rPr>
          <w:rFonts w:hint="eastAsia" w:ascii="宋体" w:hAnsi="宋体" w:cs="宋体"/>
          <w:color w:val="auto"/>
          <w:szCs w:val="24"/>
          <w:highlight w:val="none"/>
        </w:rPr>
        <w:t>货物，</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）由本投标人承担的</w:t>
      </w:r>
      <w:r>
        <w:rPr>
          <w:rFonts w:hint="eastAsia" w:ascii="宋体" w:hAnsi="宋体" w:cs="宋体"/>
          <w:color w:val="auto"/>
          <w:szCs w:val="24"/>
          <w:highlight w:val="none"/>
          <w:u w:val="single"/>
        </w:rPr>
        <w:t>（填写“所投合同包、品目号”）</w:t>
      </w:r>
      <w:r>
        <w:rPr>
          <w:rFonts w:hint="eastAsia" w:ascii="宋体" w:hAnsi="宋体" w:cs="宋体"/>
          <w:color w:val="auto"/>
          <w:szCs w:val="24"/>
          <w:highlight w:val="none"/>
        </w:rPr>
        <w:t>工程，</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）由本投标人提供的</w:t>
      </w:r>
      <w:r>
        <w:rPr>
          <w:rFonts w:hint="eastAsia" w:ascii="宋体" w:hAnsi="宋体" w:cs="宋体"/>
          <w:color w:val="auto"/>
          <w:szCs w:val="24"/>
          <w:highlight w:val="none"/>
          <w:u w:val="single"/>
        </w:rPr>
        <w:t>（填写“所投合同包、品目号”）</w:t>
      </w:r>
      <w:r>
        <w:rPr>
          <w:rFonts w:hint="eastAsia" w:ascii="宋体" w:hAnsi="宋体" w:cs="宋体"/>
          <w:color w:val="auto"/>
          <w:szCs w:val="24"/>
          <w:highlight w:val="none"/>
        </w:rPr>
        <w:t>服务；或</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 ）提供其他残疾人福利性单位制造的</w:t>
      </w:r>
      <w:r>
        <w:rPr>
          <w:rFonts w:hint="eastAsia" w:ascii="宋体" w:hAnsi="宋体" w:cs="宋体"/>
          <w:color w:val="auto"/>
          <w:szCs w:val="24"/>
          <w:highlight w:val="none"/>
          <w:u w:val="single"/>
        </w:rPr>
        <w:t>（填写“所投合同包、品目号”）</w:t>
      </w:r>
      <w:r>
        <w:rPr>
          <w:rFonts w:hint="eastAsia" w:ascii="宋体" w:hAnsi="宋体" w:cs="宋体"/>
          <w:color w:val="auto"/>
          <w:szCs w:val="24"/>
          <w:highlight w:val="none"/>
        </w:rPr>
        <w:t>货物（不包括使用非残疾人福利性单位注册商标的货物）。</w:t>
      </w:r>
    </w:p>
    <w:p>
      <w:pPr>
        <w:pStyle w:val="20"/>
        <w:widowControl/>
        <w:spacing w:line="400" w:lineRule="exact"/>
        <w:ind w:firstLine="420"/>
        <w:rPr>
          <w:rFonts w:ascii="宋体" w:hAnsi="宋体" w:cs="宋体"/>
          <w:color w:val="auto"/>
          <w:szCs w:val="24"/>
          <w:highlight w:val="none"/>
        </w:rPr>
      </w:pPr>
      <w:r>
        <w:rPr>
          <w:rFonts w:hint="eastAsia" w:ascii="宋体" w:hAnsi="宋体" w:cs="宋体"/>
          <w:color w:val="auto"/>
          <w:szCs w:val="24"/>
          <w:highlight w:val="none"/>
        </w:rPr>
        <w:t>本投标人对上述声明的真实性负责。如有虚假，将依法承担相应责任。</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1、请投标人按照实际情况编制填写本声明函，并在相应的（）中打“√”。</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2、纸质投标文件正本中的本声明函（若有）应为原件。</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3、若《残疾人福利性单位声明函》内容不真实，</w:t>
      </w:r>
      <w:r>
        <w:rPr>
          <w:rStyle w:val="24"/>
          <w:rFonts w:hint="eastAsia" w:ascii="宋体" w:hAnsi="宋体" w:cs="宋体"/>
          <w:color w:val="auto"/>
          <w:szCs w:val="24"/>
          <w:highlight w:val="none"/>
        </w:rPr>
        <w:t>视为提供虚假材料</w:t>
      </w:r>
      <w:r>
        <w:rPr>
          <w:rFonts w:hint="eastAsia" w:ascii="宋体" w:hAnsi="宋体" w:cs="宋体"/>
          <w:color w:val="auto"/>
          <w:szCs w:val="24"/>
          <w:highlight w:val="none"/>
        </w:rPr>
        <w:t>。</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24"/>
          <w:rFonts w:hint="eastAsia" w:ascii="宋体" w:hAnsi="宋体" w:cs="宋体"/>
          <w:color w:val="auto"/>
          <w:szCs w:val="24"/>
          <w:highlight w:val="none"/>
        </w:rPr>
        <w:t>可享受价格扣除。</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三-3招标文件规定的其他价格扣除证明材料（若有）</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若投标人可享受招标文件规定的除</w:t>
      </w:r>
      <w:r>
        <w:rPr>
          <w:rStyle w:val="24"/>
          <w:rFonts w:hint="eastAsia" w:ascii="宋体" w:hAnsi="宋体" w:cs="宋体"/>
          <w:color w:val="auto"/>
          <w:szCs w:val="24"/>
          <w:highlight w:val="none"/>
        </w:rPr>
        <w:t>“节能（非强制类）、环境标志产品价格扣除”及“小型、微型企业产品等价格扣除”</w:t>
      </w:r>
      <w:r>
        <w:rPr>
          <w:rFonts w:hint="eastAsia" w:ascii="宋体" w:hAnsi="宋体" w:cs="宋体"/>
          <w:color w:val="auto"/>
          <w:szCs w:val="24"/>
          <w:highlight w:val="none"/>
        </w:rPr>
        <w:t>外的其他价格扣除优惠，则投标人应按照招标文件要求提供相应证明材料。</w:t>
      </w:r>
    </w:p>
    <w:p>
      <w:pPr>
        <w:pStyle w:val="20"/>
        <w:widowControl/>
        <w:spacing w:line="42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Style w:val="24"/>
          <w:rFonts w:ascii="宋体" w:hAnsi="宋体" w:cs="宋体"/>
          <w:color w:val="auto"/>
          <w:szCs w:val="24"/>
          <w:highlight w:val="none"/>
        </w:rPr>
      </w:pP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四、招标文件规定的加分证明材料（若有）</w:t>
      </w:r>
    </w:p>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四-1优先类节能产品、环境标志产品加分证明材料（若有）</w:t>
      </w: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 </w:t>
      </w:r>
    </w:p>
    <w:p>
      <w:pPr>
        <w:pStyle w:val="20"/>
        <w:widowControl/>
        <w:spacing w:line="400" w:lineRule="exact"/>
        <w:jc w:val="center"/>
        <w:rPr>
          <w:rFonts w:ascii="宋体" w:hAnsi="宋体" w:cs="宋体"/>
          <w:color w:val="auto"/>
          <w:szCs w:val="24"/>
          <w:highlight w:val="none"/>
        </w:rPr>
      </w:pPr>
      <w:r>
        <w:rPr>
          <w:rStyle w:val="24"/>
          <w:rFonts w:hint="eastAsia" w:ascii="宋体" w:hAnsi="宋体" w:cs="宋体"/>
          <w:color w:val="auto"/>
          <w:szCs w:val="24"/>
          <w:highlight w:val="none"/>
        </w:rPr>
        <w:t>四-1-①优先类节能产品、环境标志产品统计表（加分适用，若有）</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招标编号：</w:t>
      </w:r>
      <w:r>
        <w:rPr>
          <w:rFonts w:hint="eastAsia" w:ascii="宋体" w:hAnsi="宋体" w:cs="宋体"/>
          <w:color w:val="auto"/>
          <w:szCs w:val="24"/>
          <w:highlight w:val="none"/>
          <w:u w:val="single"/>
        </w:rPr>
        <w:t>                   </w:t>
      </w:r>
    </w:p>
    <w:p>
      <w:pPr>
        <w:pStyle w:val="20"/>
        <w:widowControl/>
        <w:spacing w:line="400" w:lineRule="exact"/>
        <w:jc w:val="right"/>
        <w:rPr>
          <w:rFonts w:ascii="宋体" w:hAnsi="宋体" w:cs="宋体"/>
          <w:color w:val="auto"/>
          <w:szCs w:val="24"/>
          <w:highlight w:val="none"/>
        </w:rPr>
      </w:pPr>
      <w:r>
        <w:rPr>
          <w:rFonts w:hint="eastAsia" w:ascii="宋体" w:hAnsi="宋体" w:cs="宋体"/>
          <w:color w:val="auto"/>
          <w:szCs w:val="24"/>
          <w:highlight w:val="none"/>
        </w:rPr>
        <w:t>货币及单位：人民币元</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9"/>
        <w:gridCol w:w="1277"/>
        <w:gridCol w:w="1270"/>
        <w:gridCol w:w="1284"/>
        <w:gridCol w:w="1272"/>
        <w:gridCol w:w="128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7784" w:type="dxa"/>
            <w:gridSpan w:val="6"/>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合同包</w:t>
            </w:r>
          </w:p>
        </w:tc>
        <w:tc>
          <w:tcPr>
            <w:tcW w:w="1247"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40"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125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单价</w:t>
            </w:r>
          </w:p>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1242"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数量</w:t>
            </w:r>
          </w:p>
        </w:tc>
        <w:tc>
          <w:tcPr>
            <w:tcW w:w="125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总价</w:t>
            </w:r>
          </w:p>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（现场）</w:t>
            </w:r>
          </w:p>
        </w:tc>
        <w:tc>
          <w:tcPr>
            <w:tcW w:w="1397"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vMerge w:val="restart"/>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1247"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*-1</w:t>
            </w:r>
          </w:p>
        </w:tc>
        <w:tc>
          <w:tcPr>
            <w:tcW w:w="1240"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54"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42"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54"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397"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vMerge w:val="continue"/>
            <w:noWrap/>
            <w:tcMar>
              <w:top w:w="0" w:type="dxa"/>
              <w:left w:w="105" w:type="dxa"/>
              <w:bottom w:w="0" w:type="dxa"/>
              <w:right w:w="105" w:type="dxa"/>
            </w:tcMar>
            <w:vAlign w:val="center"/>
          </w:tcPr>
          <w:p>
            <w:pPr>
              <w:spacing w:line="400" w:lineRule="exact"/>
              <w:rPr>
                <w:rFonts w:ascii="宋体" w:hAnsi="宋体" w:cs="宋体"/>
                <w:color w:val="auto"/>
                <w:sz w:val="24"/>
                <w:szCs w:val="24"/>
                <w:highlight w:val="none"/>
              </w:rPr>
            </w:pPr>
          </w:p>
        </w:tc>
        <w:tc>
          <w:tcPr>
            <w:tcW w:w="1247"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w:t>
            </w:r>
          </w:p>
        </w:tc>
        <w:tc>
          <w:tcPr>
            <w:tcW w:w="1240"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54"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42"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254"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c>
          <w:tcPr>
            <w:tcW w:w="1397" w:type="dxa"/>
            <w:noWrap/>
            <w:tcMar>
              <w:top w:w="0" w:type="dxa"/>
              <w:left w:w="105" w:type="dxa"/>
              <w:bottom w:w="0" w:type="dxa"/>
              <w:right w:w="105" w:type="dxa"/>
            </w:tcMar>
            <w:vAlign w:val="center"/>
          </w:tcPr>
          <w:p>
            <w:pPr>
              <w:widowControl/>
              <w:spacing w:line="400" w:lineRule="exact"/>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234" w:type="dxa"/>
            <w:noWrap/>
            <w:tcMar>
              <w:top w:w="0" w:type="dxa"/>
              <w:left w:w="105" w:type="dxa"/>
              <w:bottom w:w="0" w:type="dxa"/>
              <w:right w:w="105" w:type="dxa"/>
            </w:tcMar>
            <w:vAlign w:val="center"/>
          </w:tcPr>
          <w:p>
            <w:pPr>
              <w:pStyle w:val="20"/>
              <w:widowControl/>
              <w:spacing w:line="400" w:lineRule="exact"/>
              <w:jc w:val="center"/>
              <w:rPr>
                <w:rFonts w:ascii="宋体" w:hAnsi="宋体" w:cs="宋体"/>
                <w:color w:val="auto"/>
                <w:szCs w:val="24"/>
                <w:highlight w:val="none"/>
              </w:rPr>
            </w:pPr>
            <w:r>
              <w:rPr>
                <w:rFonts w:hint="eastAsia" w:ascii="宋体" w:hAnsi="宋体" w:cs="宋体"/>
                <w:color w:val="auto"/>
                <w:szCs w:val="24"/>
                <w:highlight w:val="none"/>
              </w:rPr>
              <w:t>备注</w:t>
            </w:r>
          </w:p>
        </w:tc>
        <w:tc>
          <w:tcPr>
            <w:tcW w:w="7784" w:type="dxa"/>
            <w:gridSpan w:val="6"/>
            <w:noWrap/>
            <w:tcMar>
              <w:top w:w="0" w:type="dxa"/>
              <w:left w:w="105" w:type="dxa"/>
              <w:bottom w:w="0" w:type="dxa"/>
              <w:right w:w="105" w:type="dxa"/>
            </w:tcMar>
          </w:tcPr>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a.合同包内属于节能、环境标志产品的报价总金额：</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b.合同包投标总价（报价总金额）：</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c.“合同包内属于节能、环境标志产品的报价总金额”占“合同包投标总价（报价总金额）”的比例（以%列示）：</w:t>
            </w:r>
            <w:r>
              <w:rPr>
                <w:rFonts w:hint="eastAsia" w:ascii="宋体" w:hAnsi="宋体" w:cs="宋体"/>
                <w:color w:val="auto"/>
                <w:szCs w:val="24"/>
                <w:highlight w:val="none"/>
                <w:u w:val="single"/>
              </w:rPr>
              <w:t>              </w:t>
            </w:r>
            <w:r>
              <w:rPr>
                <w:rFonts w:hint="eastAsia" w:ascii="宋体" w:hAnsi="宋体" w:cs="宋体"/>
                <w:color w:val="auto"/>
                <w:szCs w:val="24"/>
                <w:highlight w:val="none"/>
              </w:rPr>
              <w:t>。</w:t>
            </w:r>
          </w:p>
        </w:tc>
      </w:tr>
    </w:tbl>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★注意：</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1、对节能、环境标志产品计算加分时，只依据投标文件</w:t>
      </w:r>
      <w:r>
        <w:rPr>
          <w:rStyle w:val="24"/>
          <w:rFonts w:hint="eastAsia" w:ascii="宋体" w:hAnsi="宋体" w:cs="宋体"/>
          <w:color w:val="auto"/>
          <w:szCs w:val="24"/>
          <w:highlight w:val="none"/>
        </w:rPr>
        <w:t>“四-1-②优先类节能产品、环境标志产品加分证明材料（加分适用，若有）”。</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2、本表以合同包为单位，不同合同包请分别填写；同一合同包请按照其品目号顺序分别填写。</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3、具体统计、计算：</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3.1 若节能、环境标志产品仅是构成投标产品的部件、组件或零件，则该投标产品不享受鼓励优惠政策。同一品目中各认证证书不重复计算加分。强制类节能产品不享受加分。</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3.2计算结果若除不尽，可四舍五入保留到小数点后两位。</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3.3投标人应按照招标文件要求认真统计、计算，否则评标委员会不予认定。</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3.4若无节能、环境标志产品，不填写本表，否则，</w:t>
      </w:r>
      <w:r>
        <w:rPr>
          <w:rStyle w:val="24"/>
          <w:rFonts w:hint="eastAsia" w:ascii="宋体" w:hAnsi="宋体" w:cs="宋体"/>
          <w:color w:val="auto"/>
          <w:szCs w:val="24"/>
          <w:highlight w:val="none"/>
        </w:rPr>
        <w:t>视为提供虚假材料</w:t>
      </w:r>
      <w:r>
        <w:rPr>
          <w:rFonts w:hint="eastAsia" w:ascii="宋体" w:hAnsi="宋体" w:cs="宋体"/>
          <w:color w:val="auto"/>
          <w:szCs w:val="24"/>
          <w:highlight w:val="none"/>
        </w:rPr>
        <w:t>。</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4、纸质投标文件正本中的本表（若有）应为原件。</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w:t>
      </w:r>
      <w:r>
        <w:rPr>
          <w:rFonts w:hint="eastAsia" w:ascii="宋体" w:hAnsi="宋体" w:cs="宋体"/>
          <w:color w:val="auto"/>
          <w:szCs w:val="24"/>
          <w:highlight w:val="none"/>
          <w:u w:val="single"/>
        </w:rPr>
        <w:t>（全称并加盖单位公章）</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投标人代表签字：</w:t>
      </w:r>
      <w:r>
        <w:rPr>
          <w:rFonts w:hint="eastAsia" w:ascii="宋体" w:hAnsi="宋体" w:cs="宋体"/>
          <w:color w:val="auto"/>
          <w:szCs w:val="24"/>
          <w:highlight w:val="none"/>
          <w:u w:val="single"/>
        </w:rPr>
        <w:t>       </w:t>
      </w:r>
    </w:p>
    <w:p>
      <w:pPr>
        <w:pStyle w:val="20"/>
        <w:widowControl/>
        <w:spacing w:line="400" w:lineRule="exact"/>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r>
        <w:rPr>
          <w:rFonts w:hint="eastAsia" w:ascii="宋体" w:hAnsi="宋体" w:cs="宋体"/>
          <w:color w:val="auto"/>
          <w:szCs w:val="24"/>
          <w:highlight w:val="none"/>
        </w:rPr>
        <w:t>年</w:t>
      </w:r>
      <w:r>
        <w:rPr>
          <w:rFonts w:hint="eastAsia" w:ascii="宋体" w:hAnsi="宋体" w:cs="宋体"/>
          <w:color w:val="auto"/>
          <w:szCs w:val="24"/>
          <w:highlight w:val="none"/>
          <w:u w:val="single"/>
        </w:rPr>
        <w:t>  </w:t>
      </w:r>
      <w:r>
        <w:rPr>
          <w:rFonts w:hint="eastAsia" w:ascii="宋体" w:hAnsi="宋体" w:cs="宋体"/>
          <w:color w:val="auto"/>
          <w:szCs w:val="24"/>
          <w:highlight w:val="none"/>
        </w:rPr>
        <w:t>月</w:t>
      </w:r>
      <w:r>
        <w:rPr>
          <w:rFonts w:hint="eastAsia" w:ascii="宋体" w:hAnsi="宋体" w:cs="宋体"/>
          <w:color w:val="auto"/>
          <w:szCs w:val="24"/>
          <w:highlight w:val="none"/>
          <w:u w:val="single"/>
        </w:rPr>
        <w:t>  </w:t>
      </w:r>
      <w:r>
        <w:rPr>
          <w:rFonts w:hint="eastAsia" w:ascii="宋体" w:hAnsi="宋体" w:cs="宋体"/>
          <w:color w:val="auto"/>
          <w:szCs w:val="24"/>
          <w:highlight w:val="none"/>
        </w:rPr>
        <w:t>日</w:t>
      </w:r>
    </w:p>
    <w:p>
      <w:pPr>
        <w:pStyle w:val="20"/>
        <w:widowControl/>
        <w:spacing w:line="420" w:lineRule="exact"/>
        <w:jc w:val="center"/>
        <w:rPr>
          <w:rStyle w:val="24"/>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Style w:val="24"/>
          <w:rFonts w:hint="eastAsia" w:ascii="宋体" w:hAnsi="宋体" w:cs="宋体"/>
          <w:color w:val="auto"/>
          <w:szCs w:val="24"/>
          <w:highlight w:val="none"/>
        </w:rPr>
        <w:t>四-1-②优先类节能产品、环境标志产品证明材料（加分适用，若有）</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除招标文件另有规定外，投标人应按照招标文件第二章（表1）第13项规定提供相应证明材料。</w:t>
      </w:r>
    </w:p>
    <w:p>
      <w:pPr>
        <w:pStyle w:val="20"/>
        <w:widowControl/>
        <w:spacing w:line="420" w:lineRule="exact"/>
        <w:jc w:val="center"/>
        <w:rPr>
          <w:rFonts w:ascii="宋体" w:hAnsi="宋体" w:cs="宋体"/>
          <w:color w:val="auto"/>
          <w:szCs w:val="24"/>
          <w:highlight w:val="none"/>
        </w:rPr>
      </w:pP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四</w:t>
      </w:r>
      <w:r>
        <w:rPr>
          <w:rStyle w:val="24"/>
          <w:rFonts w:hint="eastAsia" w:ascii="宋体" w:hAnsi="宋体" w:cs="宋体"/>
          <w:color w:val="auto"/>
          <w:szCs w:val="24"/>
          <w:highlight w:val="none"/>
        </w:rPr>
        <w:t>-2招标文件规定的其他加分证明材料（若有）</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编制说明</w:t>
      </w:r>
    </w:p>
    <w:p>
      <w:pPr>
        <w:pStyle w:val="20"/>
        <w:widowControl/>
        <w:spacing w:line="420" w:lineRule="exact"/>
        <w:jc w:val="center"/>
        <w:rPr>
          <w:rFonts w:ascii="宋体" w:hAnsi="宋体" w:cs="宋体"/>
          <w:color w:val="auto"/>
          <w:szCs w:val="24"/>
          <w:highlight w:val="none"/>
        </w:rPr>
      </w:pPr>
      <w:r>
        <w:rPr>
          <w:rFonts w:hint="eastAsia" w:ascii="宋体" w:hAnsi="宋体" w:cs="宋体"/>
          <w:color w:val="auto"/>
          <w:szCs w:val="24"/>
          <w:highlight w:val="none"/>
        </w:rPr>
        <w:t> </w:t>
      </w:r>
    </w:p>
    <w:p>
      <w:pPr>
        <w:pStyle w:val="20"/>
        <w:widowControl/>
        <w:spacing w:line="420" w:lineRule="exact"/>
        <w:ind w:firstLine="420"/>
        <w:rPr>
          <w:rFonts w:ascii="宋体" w:hAnsi="宋体" w:cs="宋体"/>
          <w:color w:val="auto"/>
          <w:szCs w:val="24"/>
          <w:highlight w:val="none"/>
        </w:rPr>
      </w:pPr>
      <w:r>
        <w:rPr>
          <w:rFonts w:hint="eastAsia" w:ascii="宋体" w:hAnsi="宋体" w:cs="宋体"/>
          <w:color w:val="auto"/>
          <w:szCs w:val="24"/>
          <w:highlight w:val="none"/>
        </w:rPr>
        <w:t>若投标人可享受招标文件规定的除</w:t>
      </w:r>
      <w:r>
        <w:rPr>
          <w:rStyle w:val="24"/>
          <w:rFonts w:hint="eastAsia" w:ascii="宋体" w:hAnsi="宋体" w:cs="宋体"/>
          <w:color w:val="auto"/>
          <w:szCs w:val="24"/>
          <w:highlight w:val="none"/>
        </w:rPr>
        <w:t>“优先类节能产品、环境标志产品加分”</w:t>
      </w:r>
      <w:r>
        <w:rPr>
          <w:rFonts w:hint="eastAsia" w:ascii="宋体" w:hAnsi="宋体" w:cs="宋体"/>
          <w:color w:val="auto"/>
          <w:szCs w:val="24"/>
          <w:highlight w:val="none"/>
        </w:rPr>
        <w:t>外的其他加分优惠，则投标人应按照招标文件要求提供相应证明材料。</w:t>
      </w:r>
    </w:p>
    <w:p>
      <w:pPr>
        <w:pStyle w:val="20"/>
        <w:widowControl/>
        <w:rPr>
          <w:rFonts w:ascii="宋体" w:hAnsi="宋体" w:cs="宋体"/>
          <w:color w:val="auto"/>
          <w:sz w:val="21"/>
          <w:szCs w:val="21"/>
          <w:highlight w:val="none"/>
        </w:rPr>
      </w:pPr>
    </w:p>
    <w:p>
      <w:pPr>
        <w:pStyle w:val="20"/>
        <w:widowControl/>
        <w:rPr>
          <w:rFonts w:ascii="宋体" w:hAnsi="宋体" w:cs="宋体"/>
          <w:color w:val="auto"/>
          <w:sz w:val="21"/>
          <w:szCs w:val="21"/>
          <w:highlight w:val="none"/>
        </w:rPr>
      </w:pPr>
    </w:p>
    <w:p>
      <w:pPr>
        <w:pStyle w:val="20"/>
        <w:widowControl/>
        <w:rPr>
          <w:rFonts w:ascii="宋体" w:hAnsi="宋体" w:cs="宋体"/>
          <w:color w:val="auto"/>
          <w:sz w:val="21"/>
          <w:szCs w:val="21"/>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8"/>
          <w:szCs w:val="28"/>
          <w:highlight w:val="none"/>
        </w:rPr>
        <w:t>封面格式</w:t>
      </w:r>
    </w:p>
    <w:p>
      <w:pPr>
        <w:pStyle w:val="20"/>
        <w:widowControl/>
        <w:rPr>
          <w:rFonts w:ascii="宋体" w:hAnsi="宋体" w:cs="宋体"/>
          <w:color w:val="auto"/>
          <w:highlight w:val="none"/>
        </w:rPr>
      </w:pPr>
      <w:r>
        <w:rPr>
          <w:rFonts w:hint="eastAsia" w:ascii="宋体" w:hAnsi="宋体" w:cs="宋体"/>
          <w:color w:val="auto"/>
          <w:sz w:val="36"/>
          <w:szCs w:val="36"/>
          <w:highlight w:val="none"/>
        </w:rPr>
        <w:t> </w:t>
      </w:r>
    </w:p>
    <w:p>
      <w:pPr>
        <w:pStyle w:val="20"/>
        <w:widowControl/>
        <w:rPr>
          <w:rFonts w:ascii="宋体" w:hAnsi="宋体" w:cs="宋体"/>
          <w:color w:val="auto"/>
          <w:highlight w:val="none"/>
        </w:rPr>
      </w:pPr>
      <w:r>
        <w:rPr>
          <w:rFonts w:hint="eastAsia" w:ascii="宋体" w:hAnsi="宋体" w:cs="宋体"/>
          <w:color w:val="auto"/>
          <w:sz w:val="36"/>
          <w:szCs w:val="36"/>
          <w:highlight w:val="none"/>
        </w:rPr>
        <w:t> </w:t>
      </w:r>
    </w:p>
    <w:p>
      <w:pPr>
        <w:pStyle w:val="20"/>
        <w:widowControl/>
        <w:jc w:val="center"/>
        <w:rPr>
          <w:rFonts w:ascii="宋体" w:hAnsi="宋体" w:cs="宋体"/>
          <w:color w:val="auto"/>
          <w:highlight w:val="none"/>
        </w:rPr>
      </w:pPr>
      <w:r>
        <w:rPr>
          <w:rStyle w:val="24"/>
          <w:rFonts w:hint="eastAsia" w:ascii="宋体" w:hAnsi="宋体" w:cs="宋体"/>
          <w:color w:val="auto"/>
          <w:sz w:val="48"/>
          <w:szCs w:val="48"/>
          <w:highlight w:val="none"/>
        </w:rPr>
        <w:t>福建省政府采购投标文件</w:t>
      </w:r>
    </w:p>
    <w:p>
      <w:pPr>
        <w:pStyle w:val="20"/>
        <w:widowControl/>
        <w:jc w:val="center"/>
        <w:rPr>
          <w:rFonts w:ascii="宋体" w:hAnsi="宋体" w:cs="宋体"/>
          <w:color w:val="auto"/>
          <w:highlight w:val="none"/>
        </w:rPr>
      </w:pPr>
      <w:r>
        <w:rPr>
          <w:rStyle w:val="24"/>
          <w:rFonts w:hint="eastAsia" w:ascii="宋体" w:hAnsi="宋体" w:cs="宋体"/>
          <w:color w:val="auto"/>
          <w:sz w:val="48"/>
          <w:szCs w:val="48"/>
          <w:highlight w:val="none"/>
        </w:rPr>
        <w:t>（技术商务部分）</w:t>
      </w:r>
    </w:p>
    <w:p>
      <w:pPr>
        <w:pStyle w:val="20"/>
        <w:widowControl/>
        <w:rPr>
          <w:rFonts w:ascii="宋体" w:hAnsi="宋体" w:cs="宋体"/>
          <w:color w:val="auto"/>
          <w:highlight w:val="none"/>
        </w:rPr>
      </w:pPr>
      <w:r>
        <w:rPr>
          <w:rFonts w:hint="eastAsia" w:ascii="宋体" w:hAnsi="宋体" w:cs="宋体"/>
          <w:color w:val="auto"/>
          <w:sz w:val="36"/>
          <w:szCs w:val="36"/>
          <w:highlight w:val="none"/>
        </w:rPr>
        <w:t> </w:t>
      </w:r>
    </w:p>
    <w:p>
      <w:pPr>
        <w:pStyle w:val="20"/>
        <w:widowControl/>
        <w:jc w:val="center"/>
        <w:rPr>
          <w:rFonts w:ascii="宋体" w:hAnsi="宋体" w:cs="宋体"/>
          <w:color w:val="auto"/>
          <w:highlight w:val="none"/>
        </w:rPr>
      </w:pPr>
      <w:r>
        <w:rPr>
          <w:rStyle w:val="24"/>
          <w:rFonts w:hint="eastAsia" w:ascii="宋体" w:hAnsi="宋体" w:cs="宋体"/>
          <w:color w:val="auto"/>
          <w:sz w:val="36"/>
          <w:szCs w:val="36"/>
          <w:highlight w:val="none"/>
          <w:u w:val="single"/>
        </w:rPr>
        <w:t>（填写正本或副本）</w:t>
      </w:r>
    </w:p>
    <w:p>
      <w:pPr>
        <w:pStyle w:val="20"/>
        <w:widowControl/>
        <w:rPr>
          <w:rFonts w:ascii="宋体" w:hAnsi="宋体" w:cs="宋体"/>
          <w:color w:val="auto"/>
          <w:highlight w:val="none"/>
        </w:rPr>
      </w:pPr>
      <w:r>
        <w:rPr>
          <w:rFonts w:hint="eastAsia" w:ascii="宋体" w:hAnsi="宋体" w:cs="宋体"/>
          <w:color w:val="auto"/>
          <w:sz w:val="36"/>
          <w:szCs w:val="36"/>
          <w:highlight w:val="none"/>
        </w:rPr>
        <w:t> </w:t>
      </w:r>
    </w:p>
    <w:p>
      <w:pPr>
        <w:pStyle w:val="20"/>
        <w:widowControl/>
        <w:ind w:firstLine="1920"/>
        <w:rPr>
          <w:rFonts w:ascii="宋体" w:hAnsi="宋体" w:cs="宋体"/>
          <w:color w:val="auto"/>
          <w:highlight w:val="none"/>
        </w:rPr>
      </w:pPr>
      <w:r>
        <w:rPr>
          <w:rStyle w:val="24"/>
          <w:rFonts w:hint="eastAsia" w:ascii="宋体" w:hAnsi="宋体" w:cs="宋体"/>
          <w:color w:val="auto"/>
          <w:sz w:val="31"/>
          <w:szCs w:val="31"/>
          <w:highlight w:val="none"/>
        </w:rPr>
        <w:t>项目名称：</w:t>
      </w:r>
      <w:r>
        <w:rPr>
          <w:rStyle w:val="24"/>
          <w:rFonts w:hint="eastAsia" w:ascii="宋体" w:hAnsi="宋体" w:cs="宋体"/>
          <w:color w:val="auto"/>
          <w:sz w:val="31"/>
          <w:szCs w:val="31"/>
          <w:highlight w:val="none"/>
          <w:u w:val="single"/>
        </w:rPr>
        <w:t>（由投标人填写）</w:t>
      </w:r>
    </w:p>
    <w:p>
      <w:pPr>
        <w:pStyle w:val="20"/>
        <w:widowControl/>
        <w:ind w:firstLine="1920"/>
        <w:rPr>
          <w:rFonts w:ascii="宋体" w:hAnsi="宋体" w:cs="宋体"/>
          <w:color w:val="auto"/>
          <w:highlight w:val="none"/>
        </w:rPr>
      </w:pPr>
      <w:r>
        <w:rPr>
          <w:rStyle w:val="24"/>
          <w:rFonts w:hint="eastAsia" w:ascii="宋体" w:hAnsi="宋体" w:cs="宋体"/>
          <w:color w:val="auto"/>
          <w:sz w:val="31"/>
          <w:szCs w:val="31"/>
          <w:highlight w:val="none"/>
        </w:rPr>
        <w:t>招标编号：</w:t>
      </w:r>
      <w:r>
        <w:rPr>
          <w:rStyle w:val="24"/>
          <w:rFonts w:hint="eastAsia" w:ascii="宋体" w:hAnsi="宋体" w:cs="宋体"/>
          <w:color w:val="auto"/>
          <w:sz w:val="31"/>
          <w:szCs w:val="31"/>
          <w:highlight w:val="none"/>
          <w:u w:val="single"/>
        </w:rPr>
        <w:t>（由投标人填写）</w:t>
      </w:r>
    </w:p>
    <w:p>
      <w:pPr>
        <w:pStyle w:val="20"/>
        <w:widowControl/>
        <w:ind w:firstLine="1920"/>
        <w:rPr>
          <w:rFonts w:ascii="宋体" w:hAnsi="宋体" w:cs="宋体"/>
          <w:color w:val="auto"/>
          <w:highlight w:val="none"/>
        </w:rPr>
      </w:pPr>
      <w:r>
        <w:rPr>
          <w:rStyle w:val="24"/>
          <w:rFonts w:hint="eastAsia" w:ascii="宋体" w:hAnsi="宋体" w:cs="宋体"/>
          <w:color w:val="auto"/>
          <w:sz w:val="31"/>
          <w:szCs w:val="31"/>
          <w:highlight w:val="none"/>
        </w:rPr>
        <w:t>所投合同包：</w:t>
      </w:r>
      <w:r>
        <w:rPr>
          <w:rStyle w:val="24"/>
          <w:rFonts w:hint="eastAsia" w:ascii="宋体" w:hAnsi="宋体" w:cs="宋体"/>
          <w:color w:val="auto"/>
          <w:sz w:val="31"/>
          <w:szCs w:val="31"/>
          <w:highlight w:val="none"/>
          <w:u w:val="single"/>
        </w:rPr>
        <w:t>（由投标人填写）</w:t>
      </w:r>
    </w:p>
    <w:p>
      <w:pPr>
        <w:pStyle w:val="20"/>
        <w:widowControl/>
        <w:rPr>
          <w:rFonts w:ascii="宋体" w:hAnsi="宋体" w:cs="宋体"/>
          <w:color w:val="auto"/>
          <w:highlight w:val="none"/>
        </w:rPr>
      </w:pPr>
    </w:p>
    <w:p>
      <w:pPr>
        <w:pStyle w:val="20"/>
        <w:widowControl/>
        <w:rPr>
          <w:rFonts w:ascii="宋体" w:hAnsi="宋体" w:cs="宋体"/>
          <w:color w:val="auto"/>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31"/>
          <w:szCs w:val="31"/>
          <w:highlight w:val="none"/>
        </w:rPr>
        <w:t>投标人：</w:t>
      </w:r>
      <w:r>
        <w:rPr>
          <w:rStyle w:val="24"/>
          <w:rFonts w:hint="eastAsia" w:ascii="宋体" w:hAnsi="宋体" w:cs="宋体"/>
          <w:color w:val="auto"/>
          <w:sz w:val="31"/>
          <w:szCs w:val="31"/>
          <w:highlight w:val="none"/>
          <w:u w:val="single"/>
        </w:rPr>
        <w:t>（填写“全称”）</w:t>
      </w:r>
    </w:p>
    <w:p>
      <w:pPr>
        <w:pStyle w:val="20"/>
        <w:widowControl/>
        <w:jc w:val="center"/>
        <w:rPr>
          <w:rFonts w:ascii="宋体" w:hAnsi="宋体" w:cs="宋体"/>
          <w:color w:val="auto"/>
          <w:sz w:val="21"/>
          <w:szCs w:val="21"/>
          <w:highlight w:val="none"/>
        </w:rPr>
      </w:pPr>
      <w:r>
        <w:rPr>
          <w:rStyle w:val="24"/>
          <w:rFonts w:hint="eastAsia" w:ascii="宋体" w:hAnsi="宋体" w:cs="宋体"/>
          <w:color w:val="auto"/>
          <w:sz w:val="31"/>
          <w:szCs w:val="31"/>
          <w:highlight w:val="none"/>
          <w:u w:val="single"/>
        </w:rPr>
        <w:t>（由投标人填写）</w:t>
      </w:r>
      <w:r>
        <w:rPr>
          <w:rStyle w:val="24"/>
          <w:rFonts w:hint="eastAsia" w:ascii="宋体" w:hAnsi="宋体" w:cs="宋体"/>
          <w:color w:val="auto"/>
          <w:sz w:val="31"/>
          <w:szCs w:val="31"/>
          <w:highlight w:val="none"/>
        </w:rPr>
        <w:t>年</w:t>
      </w:r>
      <w:r>
        <w:rPr>
          <w:rStyle w:val="24"/>
          <w:rFonts w:hint="eastAsia" w:ascii="宋体" w:hAnsi="宋体" w:cs="宋体"/>
          <w:color w:val="auto"/>
          <w:sz w:val="31"/>
          <w:szCs w:val="31"/>
          <w:highlight w:val="none"/>
          <w:u w:val="single"/>
        </w:rPr>
        <w:t>（由投标人填写）</w:t>
      </w:r>
      <w:r>
        <w:rPr>
          <w:rStyle w:val="24"/>
          <w:rFonts w:hint="eastAsia" w:ascii="宋体" w:hAnsi="宋体" w:cs="宋体"/>
          <w:color w:val="auto"/>
          <w:sz w:val="31"/>
          <w:szCs w:val="31"/>
          <w:highlight w:val="none"/>
        </w:rPr>
        <w:t>月</w:t>
      </w: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Style w:val="24"/>
          <w:rFonts w:ascii="宋体" w:hAnsi="宋体" w:cs="宋体"/>
          <w:color w:val="auto"/>
          <w:sz w:val="28"/>
          <w:szCs w:val="28"/>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8"/>
          <w:szCs w:val="28"/>
          <w:highlight w:val="none"/>
        </w:rPr>
        <w:t>索引</w:t>
      </w:r>
    </w:p>
    <w:p>
      <w:pPr>
        <w:pStyle w:val="20"/>
        <w:widowControl/>
        <w:rPr>
          <w:rFonts w:ascii="宋体" w:hAnsi="宋体" w:cs="宋体"/>
          <w:color w:val="auto"/>
          <w:sz w:val="21"/>
          <w:szCs w:val="21"/>
          <w:highlight w:val="none"/>
        </w:rPr>
      </w:pPr>
      <w:r>
        <w:rPr>
          <w:rFonts w:hint="eastAsia" w:ascii="宋体" w:hAnsi="宋体" w:cs="宋体"/>
          <w:color w:val="auto"/>
          <w:sz w:val="22"/>
          <w:szCs w:val="22"/>
          <w:highlight w:val="none"/>
        </w:rPr>
        <w:t>一、标的说明一览表</w:t>
      </w:r>
    </w:p>
    <w:p>
      <w:pPr>
        <w:pStyle w:val="20"/>
        <w:widowControl/>
        <w:rPr>
          <w:rFonts w:ascii="宋体" w:hAnsi="宋体" w:cs="宋体"/>
          <w:color w:val="auto"/>
          <w:sz w:val="21"/>
          <w:szCs w:val="21"/>
          <w:highlight w:val="none"/>
        </w:rPr>
      </w:pPr>
      <w:r>
        <w:rPr>
          <w:rFonts w:hint="eastAsia" w:ascii="宋体" w:hAnsi="宋体" w:cs="宋体"/>
          <w:color w:val="auto"/>
          <w:sz w:val="22"/>
          <w:szCs w:val="22"/>
          <w:highlight w:val="none"/>
        </w:rPr>
        <w:t>二、技术和服务要求响应表</w:t>
      </w:r>
    </w:p>
    <w:p>
      <w:pPr>
        <w:pStyle w:val="20"/>
        <w:widowControl/>
        <w:rPr>
          <w:rFonts w:ascii="宋体" w:hAnsi="宋体" w:cs="宋体"/>
          <w:color w:val="auto"/>
          <w:sz w:val="21"/>
          <w:szCs w:val="21"/>
          <w:highlight w:val="none"/>
        </w:rPr>
      </w:pPr>
      <w:r>
        <w:rPr>
          <w:rFonts w:hint="eastAsia" w:ascii="宋体" w:hAnsi="宋体" w:cs="宋体"/>
          <w:color w:val="auto"/>
          <w:sz w:val="22"/>
          <w:szCs w:val="22"/>
          <w:highlight w:val="none"/>
        </w:rPr>
        <w:t>三、商务条件响应表</w:t>
      </w:r>
    </w:p>
    <w:p>
      <w:pPr>
        <w:pStyle w:val="20"/>
        <w:widowControl/>
        <w:rPr>
          <w:rFonts w:ascii="宋体" w:hAnsi="宋体" w:cs="宋体"/>
          <w:color w:val="auto"/>
          <w:sz w:val="21"/>
          <w:szCs w:val="21"/>
          <w:highlight w:val="none"/>
        </w:rPr>
      </w:pPr>
      <w:r>
        <w:rPr>
          <w:rFonts w:hint="eastAsia" w:ascii="宋体" w:hAnsi="宋体" w:cs="宋体"/>
          <w:color w:val="auto"/>
          <w:sz w:val="22"/>
          <w:szCs w:val="22"/>
          <w:highlight w:val="none"/>
        </w:rPr>
        <w:t>四、投标人提交的其他资料（若有）</w:t>
      </w:r>
    </w:p>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★注意</w:t>
      </w:r>
    </w:p>
    <w:p>
      <w:pPr>
        <w:pStyle w:val="20"/>
        <w:widowControl/>
        <w:ind w:firstLine="420"/>
        <w:rPr>
          <w:rStyle w:val="24"/>
          <w:rFonts w:ascii="宋体" w:hAnsi="宋体" w:cs="宋体"/>
          <w:color w:val="auto"/>
          <w:sz w:val="21"/>
          <w:szCs w:val="21"/>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4"/>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1"/>
          <w:szCs w:val="21"/>
          <w:highlight w:val="none"/>
        </w:rPr>
        <w:t>一、标的说明一览表</w:t>
      </w:r>
      <w:r>
        <w:rPr>
          <w:rFonts w:hint="eastAsia" w:ascii="宋体" w:hAnsi="宋体" w:cs="宋体"/>
          <w:color w:val="auto"/>
          <w:sz w:val="21"/>
          <w:szCs w:val="21"/>
          <w:highlight w:val="none"/>
        </w:rPr>
        <w:t> </w:t>
      </w:r>
    </w:p>
    <w:p>
      <w:pPr>
        <w:pStyle w:val="20"/>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5"/>
        <w:gridCol w:w="928"/>
        <w:gridCol w:w="1782"/>
        <w:gridCol w:w="923"/>
        <w:gridCol w:w="1215"/>
        <w:gridCol w:w="121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898"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1752"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投标标的</w:t>
            </w:r>
          </w:p>
        </w:tc>
        <w:tc>
          <w:tcPr>
            <w:tcW w:w="893"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数量</w:t>
            </w:r>
          </w:p>
        </w:tc>
        <w:tc>
          <w:tcPr>
            <w:tcW w:w="118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规格</w:t>
            </w:r>
          </w:p>
        </w:tc>
        <w:tc>
          <w:tcPr>
            <w:tcW w:w="118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来源地</w:t>
            </w:r>
          </w:p>
        </w:tc>
        <w:tc>
          <w:tcPr>
            <w:tcW w:w="1952"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vMerge w:val="restart"/>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898"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*-1</w:t>
            </w:r>
          </w:p>
        </w:tc>
        <w:tc>
          <w:tcPr>
            <w:tcW w:w="1752" w:type="dxa"/>
            <w:noWrap/>
            <w:tcMar>
              <w:top w:w="0" w:type="dxa"/>
              <w:left w:w="105" w:type="dxa"/>
              <w:bottom w:w="0" w:type="dxa"/>
              <w:right w:w="105" w:type="dxa"/>
            </w:tcMar>
          </w:tcPr>
          <w:p>
            <w:pPr>
              <w:widowControl/>
              <w:jc w:val="left"/>
              <w:rPr>
                <w:rFonts w:ascii="宋体" w:hAnsi="宋体" w:cs="宋体"/>
                <w:color w:val="auto"/>
                <w:highlight w:val="none"/>
              </w:rPr>
            </w:pPr>
          </w:p>
        </w:tc>
        <w:tc>
          <w:tcPr>
            <w:tcW w:w="893"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952"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vMerge w:val="continue"/>
            <w:noWrap/>
            <w:tcMar>
              <w:top w:w="0" w:type="dxa"/>
              <w:left w:w="105" w:type="dxa"/>
              <w:bottom w:w="0" w:type="dxa"/>
              <w:right w:w="105" w:type="dxa"/>
            </w:tcMar>
            <w:vAlign w:val="center"/>
          </w:tcPr>
          <w:p>
            <w:pPr>
              <w:rPr>
                <w:rFonts w:ascii="宋体" w:hAnsi="宋体" w:cs="宋体"/>
                <w:color w:val="auto"/>
                <w:sz w:val="24"/>
                <w:highlight w:val="none"/>
              </w:rPr>
            </w:pPr>
          </w:p>
        </w:tc>
        <w:tc>
          <w:tcPr>
            <w:tcW w:w="898"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1752" w:type="dxa"/>
            <w:noWrap/>
            <w:tcMar>
              <w:top w:w="0" w:type="dxa"/>
              <w:left w:w="105" w:type="dxa"/>
              <w:bottom w:w="0" w:type="dxa"/>
              <w:right w:w="105" w:type="dxa"/>
            </w:tcMar>
          </w:tcPr>
          <w:p>
            <w:pPr>
              <w:widowControl/>
              <w:jc w:val="left"/>
              <w:rPr>
                <w:rFonts w:ascii="宋体" w:hAnsi="宋体" w:cs="宋体"/>
                <w:color w:val="auto"/>
                <w:highlight w:val="none"/>
              </w:rPr>
            </w:pPr>
          </w:p>
        </w:tc>
        <w:tc>
          <w:tcPr>
            <w:tcW w:w="893"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952"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00"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898"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1752" w:type="dxa"/>
            <w:noWrap/>
            <w:tcMar>
              <w:top w:w="0" w:type="dxa"/>
              <w:left w:w="105" w:type="dxa"/>
              <w:bottom w:w="0" w:type="dxa"/>
              <w:right w:w="105" w:type="dxa"/>
            </w:tcMar>
          </w:tcPr>
          <w:p>
            <w:pPr>
              <w:widowControl/>
              <w:jc w:val="left"/>
              <w:rPr>
                <w:rFonts w:ascii="宋体" w:hAnsi="宋体" w:cs="宋体"/>
                <w:color w:val="auto"/>
                <w:highlight w:val="none"/>
              </w:rPr>
            </w:pPr>
          </w:p>
        </w:tc>
        <w:tc>
          <w:tcPr>
            <w:tcW w:w="893"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185" w:type="dxa"/>
            <w:noWrap/>
            <w:tcMar>
              <w:top w:w="0" w:type="dxa"/>
              <w:left w:w="105" w:type="dxa"/>
              <w:bottom w:w="0" w:type="dxa"/>
              <w:right w:w="105" w:type="dxa"/>
            </w:tcMar>
          </w:tcPr>
          <w:p>
            <w:pPr>
              <w:widowControl/>
              <w:jc w:val="left"/>
              <w:rPr>
                <w:rFonts w:ascii="宋体" w:hAnsi="宋体" w:cs="宋体"/>
                <w:color w:val="auto"/>
                <w:highlight w:val="none"/>
              </w:rPr>
            </w:pPr>
          </w:p>
        </w:tc>
        <w:tc>
          <w:tcPr>
            <w:tcW w:w="1952" w:type="dxa"/>
            <w:noWrap/>
            <w:tcMar>
              <w:top w:w="0" w:type="dxa"/>
              <w:left w:w="105" w:type="dxa"/>
              <w:bottom w:w="0" w:type="dxa"/>
              <w:right w:w="105" w:type="dxa"/>
            </w:tcMar>
          </w:tcPr>
          <w:p>
            <w:pPr>
              <w:widowControl/>
              <w:jc w:val="left"/>
              <w:rPr>
                <w:rFonts w:ascii="宋体" w:hAnsi="宋体" w:cs="宋体"/>
                <w:color w:val="auto"/>
                <w:highlight w:val="none"/>
              </w:rPr>
            </w:pPr>
          </w:p>
        </w:tc>
      </w:tr>
    </w:tbl>
    <w:p>
      <w:pPr>
        <w:pStyle w:val="20"/>
        <w:widowControl/>
        <w:rPr>
          <w:rFonts w:ascii="宋体" w:hAnsi="宋体" w:cs="宋体"/>
          <w:color w:val="auto"/>
          <w:highlight w:val="none"/>
        </w:rPr>
      </w:pPr>
      <w:r>
        <w:rPr>
          <w:rFonts w:hint="eastAsia" w:ascii="宋体" w:hAnsi="宋体" w:cs="宋体"/>
          <w:color w:val="auto"/>
          <w:sz w:val="21"/>
          <w:szCs w:val="21"/>
          <w:highlight w:val="none"/>
        </w:rPr>
        <w:t>★注意：</w:t>
      </w:r>
    </w:p>
    <w:p>
      <w:pPr>
        <w:pStyle w:val="20"/>
        <w:widowControl/>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20"/>
        <w:widowControl/>
        <w:rPr>
          <w:rFonts w:ascii="宋体" w:hAnsi="宋体" w:cs="宋体"/>
          <w:color w:val="auto"/>
          <w:highlight w:val="none"/>
        </w:rPr>
      </w:pPr>
      <w:r>
        <w:rPr>
          <w:rFonts w:hint="eastAsia" w:ascii="宋体" w:hAnsi="宋体" w:cs="宋体"/>
          <w:color w:val="auto"/>
          <w:sz w:val="21"/>
          <w:szCs w:val="21"/>
          <w:highlight w:val="none"/>
        </w:rPr>
        <w:t>1.1“合同包”、“品目号”、“投标标的”及“数量”应与招标文件《采购标的一览表》中的有关内容（“合同包”、“品目号”、“采购标的”及“数量”）保持一致。</w:t>
      </w:r>
    </w:p>
    <w:p>
      <w:pPr>
        <w:pStyle w:val="20"/>
        <w:widowControl/>
        <w:rPr>
          <w:rFonts w:ascii="宋体" w:hAnsi="宋体" w:cs="宋体"/>
          <w:color w:val="auto"/>
          <w:highlight w:val="none"/>
        </w:rPr>
      </w:pPr>
      <w:r>
        <w:rPr>
          <w:rFonts w:hint="eastAsia" w:ascii="宋体" w:hAnsi="宋体" w:cs="宋体"/>
          <w:color w:val="auto"/>
          <w:sz w:val="21"/>
          <w:szCs w:val="21"/>
          <w:highlight w:val="none"/>
        </w:rPr>
        <w:t>1.2“投标标的”为货物的：</w:t>
      </w:r>
      <w:r>
        <w:rPr>
          <w:rStyle w:val="24"/>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4"/>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r>
        <w:rPr>
          <w:rStyle w:val="24"/>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widowControl/>
        <w:rPr>
          <w:rFonts w:ascii="宋体" w:hAnsi="宋体" w:cs="宋体"/>
          <w:color w:val="auto"/>
          <w:highlight w:val="none"/>
        </w:rPr>
      </w:pPr>
      <w:r>
        <w:rPr>
          <w:rFonts w:hint="eastAsia" w:ascii="宋体" w:hAnsi="宋体" w:cs="宋体"/>
          <w:color w:val="auto"/>
          <w:sz w:val="21"/>
          <w:szCs w:val="21"/>
          <w:highlight w:val="none"/>
        </w:rPr>
        <w:t>1.3“投标标的”为服务的：</w:t>
      </w:r>
      <w:r>
        <w:rPr>
          <w:rStyle w:val="24"/>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4"/>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r>
        <w:rPr>
          <w:rStyle w:val="24"/>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项下应填写关于服务标准所涵盖的具体项目或内容的说明等。</w:t>
      </w:r>
    </w:p>
    <w:p>
      <w:pPr>
        <w:pStyle w:val="20"/>
        <w:widowControl/>
        <w:rPr>
          <w:rFonts w:ascii="宋体" w:hAnsi="宋体" w:cs="宋体"/>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24"/>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rPr>
          <w:rFonts w:ascii="宋体" w:hAnsi="宋体" w:cs="宋体"/>
          <w:color w:val="auto"/>
          <w:highlight w:val="none"/>
        </w:rPr>
      </w:pPr>
      <w:r>
        <w:rPr>
          <w:rFonts w:hint="eastAsia" w:ascii="宋体" w:hAnsi="宋体" w:cs="宋体"/>
          <w:color w:val="auto"/>
          <w:sz w:val="21"/>
          <w:szCs w:val="21"/>
          <w:highlight w:val="none"/>
        </w:rPr>
        <w:t>3、投标文件中涉及</w:t>
      </w:r>
      <w:r>
        <w:rPr>
          <w:rStyle w:val="24"/>
          <w:rFonts w:hint="eastAsia" w:ascii="宋体" w:hAnsi="宋体" w:cs="宋体"/>
          <w:color w:val="auto"/>
          <w:sz w:val="21"/>
          <w:szCs w:val="21"/>
          <w:highlight w:val="none"/>
        </w:rPr>
        <w:t>“投标标的”、“数量”、“规格”、“来源地”</w:t>
      </w:r>
      <w:r>
        <w:rPr>
          <w:rFonts w:hint="eastAsia" w:ascii="宋体" w:hAnsi="宋体" w:cs="宋体"/>
          <w:color w:val="auto"/>
          <w:sz w:val="21"/>
          <w:szCs w:val="21"/>
          <w:highlight w:val="none"/>
        </w:rPr>
        <w:t>的内容若不一致，</w:t>
      </w:r>
      <w:r>
        <w:rPr>
          <w:rStyle w:val="24"/>
          <w:rFonts w:hint="eastAsia" w:ascii="宋体" w:hAnsi="宋体" w:cs="宋体"/>
          <w:color w:val="auto"/>
          <w:sz w:val="21"/>
          <w:szCs w:val="21"/>
          <w:highlight w:val="none"/>
        </w:rPr>
        <w:t>应以本表为准</w:t>
      </w:r>
      <w:r>
        <w:rPr>
          <w:rFonts w:hint="eastAsia" w:ascii="宋体" w:hAnsi="宋体" w:cs="宋体"/>
          <w:color w:val="auto"/>
          <w:sz w:val="21"/>
          <w:szCs w:val="21"/>
          <w:highlight w:val="none"/>
        </w:rPr>
        <w:t>。</w:t>
      </w:r>
    </w:p>
    <w:p>
      <w:pPr>
        <w:pStyle w:val="20"/>
        <w:widowControl/>
        <w:rPr>
          <w:rFonts w:ascii="宋体" w:hAnsi="宋体" w:cs="宋体"/>
          <w:color w:val="auto"/>
          <w:highlight w:val="none"/>
        </w:rPr>
      </w:pPr>
      <w:r>
        <w:rPr>
          <w:rFonts w:hint="eastAsia" w:ascii="宋体" w:hAnsi="宋体" w:cs="宋体"/>
          <w:color w:val="auto"/>
          <w:sz w:val="21"/>
          <w:szCs w:val="21"/>
          <w:highlight w:val="none"/>
        </w:rPr>
        <w:t>4、纸质投标文件正本中的本表应为原件。 </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rPr>
          <w:rFonts w:ascii="宋体" w:hAnsi="宋体" w:cs="宋体"/>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jc w:val="center"/>
        <w:rPr>
          <w:rStyle w:val="24"/>
          <w:rFonts w:ascii="宋体" w:hAnsi="宋体" w:cs="宋体"/>
          <w:color w:val="auto"/>
          <w:sz w:val="21"/>
          <w:szCs w:val="21"/>
          <w:highlight w:val="none"/>
        </w:rPr>
      </w:pPr>
      <w:r>
        <w:rPr>
          <w:rFonts w:hint="eastAsia" w:ascii="宋体" w:hAnsi="宋体" w:cs="宋体"/>
          <w:color w:val="auto"/>
          <w:sz w:val="21"/>
          <w:szCs w:val="21"/>
          <w:highlight w:val="none"/>
        </w:rPr>
        <w:t> </w:t>
      </w: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1"/>
          <w:szCs w:val="21"/>
          <w:highlight w:val="none"/>
        </w:rPr>
        <w:t>二、技术和服务要求响应表</w:t>
      </w:r>
    </w:p>
    <w:p>
      <w:pPr>
        <w:pStyle w:val="20"/>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2"/>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935"/>
        <w:gridCol w:w="3129"/>
        <w:gridCol w:w="196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1013"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3099"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技术和服务要求</w:t>
            </w:r>
          </w:p>
        </w:tc>
        <w:tc>
          <w:tcPr>
            <w:tcW w:w="1931"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投标响应</w:t>
            </w:r>
          </w:p>
        </w:tc>
        <w:tc>
          <w:tcPr>
            <w:tcW w:w="1978"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vMerge w:val="restart"/>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*-1</w:t>
            </w:r>
          </w:p>
        </w:tc>
        <w:tc>
          <w:tcPr>
            <w:tcW w:w="3099" w:type="dxa"/>
            <w:noWrap/>
            <w:tcMar>
              <w:top w:w="0" w:type="dxa"/>
              <w:left w:w="105" w:type="dxa"/>
              <w:bottom w:w="0" w:type="dxa"/>
              <w:right w:w="105" w:type="dxa"/>
            </w:tcMa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vMerge w:val="continue"/>
            <w:noWrap/>
            <w:tcMar>
              <w:top w:w="0" w:type="dxa"/>
              <w:left w:w="105" w:type="dxa"/>
              <w:bottom w:w="0" w:type="dxa"/>
              <w:right w:w="105" w:type="dxa"/>
            </w:tcMar>
            <w:vAlign w:val="center"/>
          </w:tcPr>
          <w:p>
            <w:pPr>
              <w:rPr>
                <w:rFonts w:ascii="宋体" w:hAnsi="宋体" w:cs="宋体"/>
                <w:color w:val="auto"/>
                <w:sz w:val="24"/>
                <w:highlight w:val="none"/>
              </w:rPr>
            </w:pP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3099" w:type="dxa"/>
            <w:noWrap/>
            <w:tcMar>
              <w:top w:w="0" w:type="dxa"/>
              <w:left w:w="105" w:type="dxa"/>
              <w:bottom w:w="0" w:type="dxa"/>
              <w:right w:w="105" w:type="dxa"/>
            </w:tcMa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13"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905"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3099"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vAlign w:val="center"/>
          </w:tcPr>
          <w:p>
            <w:pPr>
              <w:widowControl/>
              <w:jc w:val="left"/>
              <w:rPr>
                <w:rFonts w:ascii="宋体" w:hAnsi="宋体" w:cs="宋体"/>
                <w:color w:val="auto"/>
                <w:highlight w:val="none"/>
              </w:rPr>
            </w:pPr>
          </w:p>
        </w:tc>
      </w:tr>
    </w:tbl>
    <w:p>
      <w:pPr>
        <w:pStyle w:val="20"/>
        <w:widowControl/>
        <w:rPr>
          <w:rFonts w:ascii="宋体" w:hAnsi="宋体" w:cs="宋体"/>
          <w:color w:val="auto"/>
          <w:highlight w:val="none"/>
        </w:rPr>
      </w:pPr>
      <w:r>
        <w:rPr>
          <w:rFonts w:hint="eastAsia" w:ascii="宋体" w:hAnsi="宋体" w:cs="宋体"/>
          <w:color w:val="auto"/>
          <w:sz w:val="21"/>
          <w:szCs w:val="21"/>
          <w:highlight w:val="none"/>
        </w:rPr>
        <w:t>★注意：</w:t>
      </w:r>
    </w:p>
    <w:p>
      <w:pPr>
        <w:pStyle w:val="20"/>
        <w:widowControl/>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20"/>
        <w:widowControl/>
        <w:rPr>
          <w:rFonts w:ascii="宋体" w:hAnsi="宋体" w:cs="宋体"/>
          <w:color w:val="auto"/>
          <w:highlight w:val="none"/>
        </w:rPr>
      </w:pPr>
      <w:r>
        <w:rPr>
          <w:rFonts w:hint="eastAsia" w:ascii="宋体" w:hAnsi="宋体" w:cs="宋体"/>
          <w:color w:val="auto"/>
          <w:sz w:val="21"/>
          <w:szCs w:val="21"/>
          <w:highlight w:val="none"/>
        </w:rPr>
        <w:t>1.1“技术和服务要求”项下填写的内容应与招标文件第五章“技术和服务要求”的内容保持一致。</w:t>
      </w:r>
    </w:p>
    <w:p>
      <w:pPr>
        <w:pStyle w:val="20"/>
        <w:widowControl/>
        <w:rPr>
          <w:rFonts w:ascii="宋体" w:hAnsi="宋体" w:cs="宋体"/>
          <w:color w:val="auto"/>
          <w:highlight w:val="none"/>
        </w:rPr>
      </w:pPr>
      <w:r>
        <w:rPr>
          <w:rFonts w:hint="eastAsia" w:ascii="宋体" w:hAnsi="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20"/>
        <w:widowControl/>
        <w:rPr>
          <w:rFonts w:ascii="宋体" w:hAnsi="宋体" w:cs="宋体"/>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20"/>
        <w:widowControl/>
        <w:rPr>
          <w:rFonts w:ascii="宋体" w:hAnsi="宋体" w:cs="宋体"/>
          <w:color w:val="auto"/>
          <w:highlight w:val="none"/>
        </w:rPr>
      </w:pPr>
      <w:r>
        <w:rPr>
          <w:rFonts w:hint="eastAsia" w:ascii="宋体" w:hAnsi="宋体" w:cs="宋体"/>
          <w:color w:val="auto"/>
          <w:sz w:val="21"/>
          <w:szCs w:val="21"/>
          <w:highlight w:val="none"/>
        </w:rPr>
        <w:t>2、投标人需要说明的内容若需特殊表达，应先在本表中进行相应说明，再    另页应答，否则</w:t>
      </w:r>
      <w:r>
        <w:rPr>
          <w:rStyle w:val="24"/>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rPr>
          <w:rFonts w:ascii="宋体" w:hAnsi="宋体" w:cs="宋体"/>
          <w:color w:val="auto"/>
          <w:highlight w:val="none"/>
        </w:rPr>
      </w:pPr>
      <w:r>
        <w:rPr>
          <w:rFonts w:hint="eastAsia" w:ascii="宋体" w:hAnsi="宋体" w:cs="宋体"/>
          <w:color w:val="auto"/>
          <w:sz w:val="21"/>
          <w:szCs w:val="21"/>
          <w:highlight w:val="none"/>
        </w:rPr>
        <w:t>3、纸质投标文件正本中的本表应为原件  </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rPr>
          <w:rStyle w:val="24"/>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1"/>
          <w:szCs w:val="21"/>
          <w:highlight w:val="none"/>
        </w:rPr>
        <w:t>三、商务条件响应表</w:t>
      </w:r>
    </w:p>
    <w:p>
      <w:pPr>
        <w:pStyle w:val="20"/>
        <w:widowControl/>
        <w:rPr>
          <w:rFonts w:ascii="宋体" w:hAnsi="宋体" w:cs="宋体"/>
          <w:color w:val="auto"/>
          <w:highlight w:val="none"/>
        </w:rPr>
      </w:pPr>
      <w:r>
        <w:rPr>
          <w:rFonts w:hint="eastAsia" w:ascii="宋体" w:hAnsi="宋体" w:cs="宋体"/>
          <w:color w:val="auto"/>
          <w:sz w:val="21"/>
          <w:szCs w:val="21"/>
          <w:highlight w:val="none"/>
        </w:rPr>
        <w:t> </w:t>
      </w:r>
    </w:p>
    <w:p>
      <w:pPr>
        <w:pStyle w:val="20"/>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22"/>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8"/>
        <w:gridCol w:w="935"/>
        <w:gridCol w:w="3129"/>
        <w:gridCol w:w="1961"/>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3099"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商务条件</w:t>
            </w:r>
          </w:p>
        </w:tc>
        <w:tc>
          <w:tcPr>
            <w:tcW w:w="1931"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投标响应</w:t>
            </w:r>
          </w:p>
        </w:tc>
        <w:tc>
          <w:tcPr>
            <w:tcW w:w="1978"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vMerge w:val="restart"/>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*-1</w:t>
            </w:r>
          </w:p>
        </w:tc>
        <w:tc>
          <w:tcPr>
            <w:tcW w:w="3099" w:type="dxa"/>
            <w:noWrap/>
            <w:tcMar>
              <w:top w:w="0" w:type="dxa"/>
              <w:left w:w="105" w:type="dxa"/>
              <w:bottom w:w="0" w:type="dxa"/>
              <w:right w:w="105" w:type="dxa"/>
            </w:tcMa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vMerge w:val="continue"/>
            <w:noWrap/>
            <w:tcMar>
              <w:top w:w="0" w:type="dxa"/>
              <w:left w:w="105" w:type="dxa"/>
              <w:bottom w:w="0" w:type="dxa"/>
              <w:right w:w="105" w:type="dxa"/>
            </w:tcMar>
            <w:vAlign w:val="center"/>
          </w:tcPr>
          <w:p>
            <w:pPr>
              <w:rPr>
                <w:rFonts w:ascii="宋体" w:hAnsi="宋体" w:cs="宋体"/>
                <w:color w:val="auto"/>
                <w:sz w:val="24"/>
                <w:highlight w:val="none"/>
              </w:rPr>
            </w:pPr>
          </w:p>
        </w:tc>
        <w:tc>
          <w:tcPr>
            <w:tcW w:w="905"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3099" w:type="dxa"/>
            <w:noWrap/>
            <w:tcMar>
              <w:top w:w="0" w:type="dxa"/>
              <w:left w:w="105" w:type="dxa"/>
              <w:bottom w:w="0" w:type="dxa"/>
              <w:right w:w="105" w:type="dxa"/>
            </w:tcMa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tcPr>
          <w:p>
            <w:pPr>
              <w:widowControl/>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13" w:type="dxa"/>
            <w:noWrap/>
            <w:tcMar>
              <w:top w:w="0" w:type="dxa"/>
              <w:left w:w="105" w:type="dxa"/>
              <w:bottom w:w="0" w:type="dxa"/>
              <w:right w:w="105" w:type="dxa"/>
            </w:tcMar>
            <w:vAlign w:val="center"/>
          </w:tcPr>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w:t>
            </w:r>
          </w:p>
        </w:tc>
        <w:tc>
          <w:tcPr>
            <w:tcW w:w="905"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3099"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1931" w:type="dxa"/>
            <w:noWrap/>
            <w:tcMar>
              <w:top w:w="0" w:type="dxa"/>
              <w:left w:w="105" w:type="dxa"/>
              <w:bottom w:w="0" w:type="dxa"/>
              <w:right w:w="105" w:type="dxa"/>
            </w:tcMar>
            <w:vAlign w:val="center"/>
          </w:tcPr>
          <w:p>
            <w:pPr>
              <w:widowControl/>
              <w:jc w:val="left"/>
              <w:rPr>
                <w:rFonts w:ascii="宋体" w:hAnsi="宋体" w:cs="宋体"/>
                <w:color w:val="auto"/>
                <w:highlight w:val="none"/>
              </w:rPr>
            </w:pPr>
          </w:p>
        </w:tc>
        <w:tc>
          <w:tcPr>
            <w:tcW w:w="1978" w:type="dxa"/>
            <w:noWrap/>
            <w:tcMar>
              <w:top w:w="0" w:type="dxa"/>
              <w:left w:w="105" w:type="dxa"/>
              <w:bottom w:w="0" w:type="dxa"/>
              <w:right w:w="105" w:type="dxa"/>
            </w:tcMar>
            <w:vAlign w:val="center"/>
          </w:tcPr>
          <w:p>
            <w:pPr>
              <w:widowControl/>
              <w:jc w:val="left"/>
              <w:rPr>
                <w:rFonts w:ascii="宋体" w:hAnsi="宋体" w:cs="宋体"/>
                <w:color w:val="auto"/>
                <w:highlight w:val="none"/>
              </w:rPr>
            </w:pPr>
          </w:p>
        </w:tc>
      </w:tr>
    </w:tbl>
    <w:p>
      <w:pPr>
        <w:pStyle w:val="20"/>
        <w:widowControl/>
        <w:rPr>
          <w:rFonts w:ascii="宋体" w:hAnsi="宋体" w:cs="宋体"/>
          <w:color w:val="auto"/>
          <w:highlight w:val="none"/>
        </w:rPr>
      </w:pPr>
      <w:r>
        <w:rPr>
          <w:rFonts w:hint="eastAsia" w:ascii="宋体" w:hAnsi="宋体" w:cs="宋体"/>
          <w:color w:val="auto"/>
          <w:sz w:val="21"/>
          <w:szCs w:val="21"/>
          <w:highlight w:val="none"/>
        </w:rPr>
        <w:t>★注意：</w:t>
      </w:r>
    </w:p>
    <w:p>
      <w:pPr>
        <w:pStyle w:val="20"/>
        <w:widowControl/>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20"/>
        <w:widowControl/>
        <w:rPr>
          <w:rFonts w:ascii="宋体" w:hAnsi="宋体" w:cs="宋体"/>
          <w:color w:val="auto"/>
          <w:highlight w:val="none"/>
        </w:rPr>
      </w:pPr>
      <w:r>
        <w:rPr>
          <w:rFonts w:hint="eastAsia" w:ascii="宋体" w:hAnsi="宋体" w:cs="宋体"/>
          <w:color w:val="auto"/>
          <w:sz w:val="21"/>
          <w:szCs w:val="21"/>
          <w:highlight w:val="none"/>
        </w:rPr>
        <w:t>1.1“商务条件”项下填写的内容应与招标文件第五章“商务条件”的内容保持一致。</w:t>
      </w:r>
    </w:p>
    <w:p>
      <w:pPr>
        <w:pStyle w:val="20"/>
        <w:widowControl/>
        <w:rPr>
          <w:rFonts w:ascii="宋体" w:hAnsi="宋体" w:cs="宋体"/>
          <w:color w:val="auto"/>
          <w:highlight w:val="none"/>
        </w:rPr>
      </w:pPr>
      <w:r>
        <w:rPr>
          <w:rFonts w:hint="eastAsia" w:ascii="宋体" w:hAnsi="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20"/>
        <w:widowControl/>
        <w:rPr>
          <w:rFonts w:ascii="宋体" w:hAnsi="宋体" w:cs="宋体"/>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pPr>
        <w:pStyle w:val="20"/>
        <w:widowControl/>
        <w:rPr>
          <w:rFonts w:ascii="宋体" w:hAnsi="宋体" w:cs="宋体"/>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24"/>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pPr>
        <w:pStyle w:val="20"/>
        <w:widowControl/>
        <w:rPr>
          <w:rFonts w:ascii="宋体" w:hAnsi="宋体" w:cs="宋体"/>
          <w:color w:val="auto"/>
          <w:highlight w:val="none"/>
        </w:rPr>
      </w:pPr>
      <w:r>
        <w:rPr>
          <w:rFonts w:hint="eastAsia" w:ascii="宋体" w:hAnsi="宋体" w:cs="宋体"/>
          <w:color w:val="auto"/>
          <w:sz w:val="21"/>
          <w:szCs w:val="21"/>
          <w:highlight w:val="none"/>
        </w:rPr>
        <w:t>3、纸质投标文件正本中的本表应为原件。</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20"/>
        <w:widowControl/>
        <w:rPr>
          <w:rFonts w:ascii="宋体" w:hAnsi="宋体" w:cs="宋体"/>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20"/>
        <w:widowControl/>
        <w:rPr>
          <w:rFonts w:ascii="宋体" w:hAnsi="宋体"/>
          <w:b/>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Style w:val="24"/>
          <w:rFonts w:ascii="宋体" w:hAnsi="宋体" w:cs="宋体"/>
          <w:color w:val="auto"/>
          <w:sz w:val="21"/>
          <w:szCs w:val="21"/>
          <w:highlight w:val="none"/>
        </w:rPr>
      </w:pPr>
    </w:p>
    <w:p>
      <w:pPr>
        <w:pStyle w:val="20"/>
        <w:widowControl/>
        <w:jc w:val="center"/>
        <w:rPr>
          <w:rFonts w:ascii="宋体" w:hAnsi="宋体" w:cs="宋体"/>
          <w:color w:val="auto"/>
          <w:highlight w:val="none"/>
        </w:rPr>
      </w:pPr>
      <w:r>
        <w:rPr>
          <w:rStyle w:val="24"/>
          <w:rFonts w:hint="eastAsia" w:ascii="宋体" w:hAnsi="宋体" w:cs="宋体"/>
          <w:color w:val="auto"/>
          <w:sz w:val="21"/>
          <w:szCs w:val="21"/>
          <w:highlight w:val="none"/>
        </w:rPr>
        <w:t>四、投标人提交的其他资料（若有）</w:t>
      </w:r>
    </w:p>
    <w:p>
      <w:pPr>
        <w:pStyle w:val="20"/>
        <w:widowControl/>
        <w:jc w:val="center"/>
        <w:rPr>
          <w:rFonts w:ascii="宋体" w:hAnsi="宋体" w:cs="宋体"/>
          <w:color w:val="auto"/>
          <w:highlight w:val="none"/>
        </w:rPr>
      </w:pPr>
      <w:r>
        <w:rPr>
          <w:rFonts w:hint="eastAsia" w:ascii="宋体" w:hAnsi="宋体" w:cs="宋体"/>
          <w:color w:val="auto"/>
          <w:sz w:val="21"/>
          <w:szCs w:val="21"/>
          <w:highlight w:val="none"/>
        </w:rPr>
        <w:t>编制说明</w:t>
      </w:r>
    </w:p>
    <w:p>
      <w:pPr>
        <w:pStyle w:val="20"/>
        <w:widowControl/>
        <w:rPr>
          <w:rFonts w:ascii="宋体" w:hAnsi="宋体" w:cs="宋体"/>
          <w:color w:val="auto"/>
          <w:highlight w:val="none"/>
        </w:rPr>
      </w:pPr>
      <w:r>
        <w:rPr>
          <w:rFonts w:hint="eastAsia" w:ascii="宋体" w:hAnsi="宋体" w:cs="宋体"/>
          <w:color w:val="auto"/>
          <w:sz w:val="21"/>
          <w:szCs w:val="21"/>
          <w:highlight w:val="none"/>
        </w:rPr>
        <w:t>1、招标文件要求提交的除</w:t>
      </w:r>
      <w:r>
        <w:rPr>
          <w:rStyle w:val="24"/>
          <w:rFonts w:hint="eastAsia" w:ascii="宋体" w:hAnsi="宋体" w:cs="宋体"/>
          <w:color w:val="auto"/>
          <w:sz w:val="21"/>
          <w:szCs w:val="21"/>
          <w:highlight w:val="none"/>
        </w:rPr>
        <w:t>“资格及资信证明部分”、“报价部分”</w:t>
      </w:r>
      <w:r>
        <w:rPr>
          <w:rFonts w:hint="eastAsia" w:ascii="宋体" w:hAnsi="宋体" w:cs="宋体"/>
          <w:color w:val="auto"/>
          <w:sz w:val="21"/>
          <w:szCs w:val="21"/>
          <w:highlight w:val="none"/>
        </w:rPr>
        <w:t>外的其他证明材料或资料加盖投标人的单位公章后应在此项下提交。</w:t>
      </w:r>
    </w:p>
    <w:p>
      <w:pPr>
        <w:pStyle w:val="20"/>
        <w:widowControl/>
        <w:rPr>
          <w:rFonts w:ascii="宋体" w:hAnsi="宋体" w:cs="宋体"/>
          <w:color w:val="auto"/>
          <w:highlight w:val="none"/>
        </w:rPr>
      </w:pPr>
      <w:r>
        <w:rPr>
          <w:rFonts w:hint="eastAsia" w:ascii="宋体" w:hAnsi="宋体" w:cs="宋体"/>
          <w:color w:val="auto"/>
          <w:sz w:val="21"/>
          <w:szCs w:val="21"/>
          <w:highlight w:val="none"/>
        </w:rPr>
        <w:t>2、招标文件要求投标人提供方案（包括但不限于：组织、实施、技术、服务方案等）的，投标人应在此项下提交。</w:t>
      </w:r>
    </w:p>
    <w:p>
      <w:pPr>
        <w:pStyle w:val="20"/>
        <w:widowControl/>
        <w:rPr>
          <w:rFonts w:ascii="宋体" w:hAnsi="宋体" w:cs="宋体"/>
          <w:color w:val="auto"/>
          <w:highlight w:val="none"/>
        </w:rPr>
      </w:pPr>
      <w:r>
        <w:rPr>
          <w:rFonts w:hint="eastAsia" w:ascii="宋体" w:hAnsi="宋体" w:cs="宋体"/>
          <w:color w:val="auto"/>
          <w:sz w:val="21"/>
          <w:szCs w:val="21"/>
          <w:highlight w:val="none"/>
        </w:rPr>
        <w:t>3、除招标文件另有规定外，投标人认为需要提交的其他证明材料或资料加盖投标人的单位公章后应在此项下提交。</w:t>
      </w:r>
    </w:p>
    <w:sectPr>
      <w:headerReference r:id="rId3" w:type="default"/>
      <w:footerReference r:id="rId4" w:type="default"/>
      <w:pgSz w:w="11906" w:h="16838"/>
      <w:pgMar w:top="12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firstLine="3360" w:firstLineChars="1600"/>
      <w:rPr>
        <w:sz w:val="21"/>
      </w:rPr>
    </w:pPr>
    <w:r>
      <w:rPr>
        <w:rStyle w:val="25"/>
        <w:rFonts w:hint="eastAsia"/>
        <w:sz w:val="21"/>
      </w:rPr>
      <w:t>第</w:t>
    </w:r>
    <w:r>
      <w:rPr>
        <w:sz w:val="21"/>
      </w:rPr>
      <w:fldChar w:fldCharType="begin"/>
    </w:r>
    <w:r>
      <w:rPr>
        <w:rStyle w:val="25"/>
        <w:sz w:val="21"/>
      </w:rPr>
      <w:instrText xml:space="preserve"> PAGE </w:instrText>
    </w:r>
    <w:r>
      <w:rPr>
        <w:sz w:val="21"/>
      </w:rPr>
      <w:fldChar w:fldCharType="separate"/>
    </w:r>
    <w:r>
      <w:rPr>
        <w:rStyle w:val="25"/>
        <w:sz w:val="21"/>
      </w:rPr>
      <w:t>54</w:t>
    </w:r>
    <w:r>
      <w:rPr>
        <w:sz w:val="21"/>
      </w:rPr>
      <w:fldChar w:fldCharType="end"/>
    </w:r>
    <w:r>
      <w:rPr>
        <w:rStyle w:val="25"/>
        <w:rFonts w:hint="eastAsia"/>
        <w:sz w:val="21"/>
      </w:rPr>
      <w:t xml:space="preserve">页--共- </w:t>
    </w:r>
    <w:r>
      <w:rPr>
        <w:sz w:val="21"/>
      </w:rPr>
      <w:fldChar w:fldCharType="begin"/>
    </w:r>
    <w:r>
      <w:rPr>
        <w:rStyle w:val="25"/>
        <w:sz w:val="21"/>
      </w:rPr>
      <w:instrText xml:space="preserve"> NUMPAGES </w:instrText>
    </w:r>
    <w:r>
      <w:rPr>
        <w:sz w:val="21"/>
      </w:rPr>
      <w:fldChar w:fldCharType="separate"/>
    </w:r>
    <w:r>
      <w:rPr>
        <w:rStyle w:val="25"/>
        <w:sz w:val="21"/>
      </w:rPr>
      <w:t>104</w:t>
    </w:r>
    <w:r>
      <w:rPr>
        <w:sz w:val="21"/>
      </w:rPr>
      <w:fldChar w:fldCharType="end"/>
    </w:r>
    <w:r>
      <w:rPr>
        <w:rStyle w:val="25"/>
        <w:rFonts w:hint="eastAsia"/>
        <w:sz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rFonts w:hint="eastAsia"/>
        <w:sz w:val="21"/>
        <w:szCs w:val="21"/>
      </w:rPr>
      <w:t>福建省理策招标代理有限公司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051FE"/>
    <w:multiLevelType w:val="singleLevel"/>
    <w:tmpl w:val="866051FE"/>
    <w:lvl w:ilvl="0" w:tentative="0">
      <w:start w:val="7"/>
      <w:numFmt w:val="decimal"/>
      <w:lvlText w:val="%1."/>
      <w:lvlJc w:val="left"/>
      <w:pPr>
        <w:tabs>
          <w:tab w:val="left" w:pos="312"/>
        </w:tabs>
      </w:pPr>
    </w:lvl>
  </w:abstractNum>
  <w:abstractNum w:abstractNumId="1">
    <w:nsid w:val="A802268E"/>
    <w:multiLevelType w:val="singleLevel"/>
    <w:tmpl w:val="A802268E"/>
    <w:lvl w:ilvl="0" w:tentative="0">
      <w:start w:val="1"/>
      <w:numFmt w:val="decimal"/>
      <w:suff w:val="nothing"/>
      <w:lvlText w:val="（%1）"/>
      <w:lvlJc w:val="left"/>
      <w:pPr>
        <w:ind w:left="240" w:firstLine="0"/>
      </w:pPr>
    </w:lvl>
  </w:abstractNum>
  <w:abstractNum w:abstractNumId="2">
    <w:nsid w:val="AA611110"/>
    <w:multiLevelType w:val="singleLevel"/>
    <w:tmpl w:val="AA611110"/>
    <w:lvl w:ilvl="0" w:tentative="0">
      <w:start w:val="1"/>
      <w:numFmt w:val="decimal"/>
      <w:suff w:val="nothing"/>
      <w:lvlText w:val="%1、"/>
      <w:lvlJc w:val="left"/>
    </w:lvl>
  </w:abstractNum>
  <w:abstractNum w:abstractNumId="3">
    <w:nsid w:val="B89EE25E"/>
    <w:multiLevelType w:val="singleLevel"/>
    <w:tmpl w:val="B89EE25E"/>
    <w:lvl w:ilvl="0" w:tentative="0">
      <w:start w:val="2"/>
      <w:numFmt w:val="chineseCounting"/>
      <w:suff w:val="nothing"/>
      <w:lvlText w:val="%1、"/>
      <w:lvlJc w:val="left"/>
      <w:rPr>
        <w:rFonts w:hint="eastAsia"/>
      </w:rPr>
    </w:lvl>
  </w:abstractNum>
  <w:abstractNum w:abstractNumId="4">
    <w:nsid w:val="BFE48954"/>
    <w:multiLevelType w:val="singleLevel"/>
    <w:tmpl w:val="BFE48954"/>
    <w:lvl w:ilvl="0" w:tentative="0">
      <w:start w:val="1"/>
      <w:numFmt w:val="decimal"/>
      <w:lvlText w:val="%1."/>
      <w:lvlJc w:val="left"/>
      <w:pPr>
        <w:tabs>
          <w:tab w:val="left" w:pos="312"/>
        </w:tabs>
      </w:pPr>
    </w:lvl>
  </w:abstractNum>
  <w:abstractNum w:abstractNumId="5">
    <w:nsid w:val="C3217F08"/>
    <w:multiLevelType w:val="singleLevel"/>
    <w:tmpl w:val="C3217F08"/>
    <w:lvl w:ilvl="0" w:tentative="0">
      <w:start w:val="1"/>
      <w:numFmt w:val="lowerLetter"/>
      <w:lvlText w:val="%1."/>
      <w:lvlJc w:val="left"/>
      <w:pPr>
        <w:tabs>
          <w:tab w:val="left" w:pos="312"/>
        </w:tabs>
      </w:pPr>
    </w:lvl>
  </w:abstractNum>
  <w:abstractNum w:abstractNumId="6">
    <w:nsid w:val="C91CD7A6"/>
    <w:multiLevelType w:val="singleLevel"/>
    <w:tmpl w:val="C91CD7A6"/>
    <w:lvl w:ilvl="0" w:tentative="0">
      <w:start w:val="1"/>
      <w:numFmt w:val="lowerLetter"/>
      <w:lvlText w:val="%1."/>
      <w:lvlJc w:val="left"/>
      <w:pPr>
        <w:tabs>
          <w:tab w:val="left" w:pos="312"/>
        </w:tabs>
      </w:pPr>
    </w:lvl>
  </w:abstractNum>
  <w:abstractNum w:abstractNumId="7">
    <w:nsid w:val="EFF4EB83"/>
    <w:multiLevelType w:val="singleLevel"/>
    <w:tmpl w:val="EFF4EB83"/>
    <w:lvl w:ilvl="0" w:tentative="0">
      <w:start w:val="2"/>
      <w:numFmt w:val="decimal"/>
      <w:suff w:val="nothing"/>
      <w:lvlText w:val="（%1）"/>
      <w:lvlJc w:val="left"/>
    </w:lvl>
  </w:abstractNum>
  <w:abstractNum w:abstractNumId="8">
    <w:nsid w:val="00000004"/>
    <w:multiLevelType w:val="singleLevel"/>
    <w:tmpl w:val="00000004"/>
    <w:lvl w:ilvl="0" w:tentative="0">
      <w:start w:val="1"/>
      <w:numFmt w:val="chineseCounting"/>
      <w:suff w:val="space"/>
      <w:lvlText w:val="第%1章"/>
      <w:lvlJc w:val="left"/>
    </w:lvl>
  </w:abstractNum>
  <w:abstractNum w:abstractNumId="9">
    <w:nsid w:val="049B4CB0"/>
    <w:multiLevelType w:val="singleLevel"/>
    <w:tmpl w:val="049B4CB0"/>
    <w:lvl w:ilvl="0" w:tentative="0">
      <w:start w:val="1"/>
      <w:numFmt w:val="chineseCounting"/>
      <w:suff w:val="nothing"/>
      <w:lvlText w:val="（%1）"/>
      <w:lvlJc w:val="left"/>
      <w:rPr>
        <w:rFonts w:hint="eastAsia"/>
      </w:rPr>
    </w:lvl>
  </w:abstractNum>
  <w:abstractNum w:abstractNumId="10">
    <w:nsid w:val="14F2B041"/>
    <w:multiLevelType w:val="singleLevel"/>
    <w:tmpl w:val="14F2B041"/>
    <w:lvl w:ilvl="0" w:tentative="0">
      <w:start w:val="1"/>
      <w:numFmt w:val="decimal"/>
      <w:suff w:val="nothing"/>
      <w:lvlText w:val="%1、"/>
      <w:lvlJc w:val="left"/>
    </w:lvl>
  </w:abstractNum>
  <w:abstractNum w:abstractNumId="11">
    <w:nsid w:val="2A0A7B84"/>
    <w:multiLevelType w:val="multilevel"/>
    <w:tmpl w:val="2A0A7B84"/>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53E34458"/>
    <w:multiLevelType w:val="singleLevel"/>
    <w:tmpl w:val="53E34458"/>
    <w:lvl w:ilvl="0" w:tentative="0">
      <w:start w:val="11"/>
      <w:numFmt w:val="decimal"/>
      <w:suff w:val="nothing"/>
      <w:lvlText w:val="%1、"/>
      <w:lvlJc w:val="left"/>
      <w:pPr>
        <w:ind w:left="480" w:firstLine="0"/>
      </w:pPr>
    </w:lvl>
  </w:abstractNum>
  <w:abstractNum w:abstractNumId="13">
    <w:nsid w:val="61C193E8"/>
    <w:multiLevelType w:val="singleLevel"/>
    <w:tmpl w:val="61C193E8"/>
    <w:lvl w:ilvl="0" w:tentative="0">
      <w:start w:val="1"/>
      <w:numFmt w:val="lowerLetter"/>
      <w:lvlText w:val="%1."/>
      <w:lvlJc w:val="left"/>
      <w:pPr>
        <w:tabs>
          <w:tab w:val="left" w:pos="312"/>
        </w:tabs>
      </w:pPr>
      <w:rPr>
        <w:rFonts w:hint="default" w:ascii="新宋体" w:hAnsi="新宋体" w:eastAsia="新宋体" w:cs="新宋体"/>
        <w:sz w:val="28"/>
        <w:szCs w:val="28"/>
      </w:rPr>
    </w:lvl>
  </w:abstractNum>
  <w:num w:numId="1">
    <w:abstractNumId w:val="11"/>
  </w:num>
  <w:num w:numId="2">
    <w:abstractNumId w:val="8"/>
  </w:num>
  <w:num w:numId="3">
    <w:abstractNumId w:val="12"/>
  </w:num>
  <w:num w:numId="4">
    <w:abstractNumId w:val="1"/>
  </w:num>
  <w:num w:numId="5">
    <w:abstractNumId w:val="5"/>
  </w:num>
  <w:num w:numId="6">
    <w:abstractNumId w:val="13"/>
  </w:num>
  <w:num w:numId="7">
    <w:abstractNumId w:val="6"/>
  </w:num>
  <w:num w:numId="8">
    <w:abstractNumId w:val="3"/>
  </w:num>
  <w:num w:numId="9">
    <w:abstractNumId w:val="9"/>
  </w:num>
  <w:num w:numId="10">
    <w:abstractNumId w:val="7"/>
  </w:num>
  <w:num w:numId="11">
    <w:abstractNumId w:val="4"/>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Tk4MDg0NjUyMDJjMjdjZTBmOGQ2MzY3YzM5ZWIifQ=="/>
  </w:docVars>
  <w:rsids>
    <w:rsidRoot w:val="256E21D5"/>
    <w:rsid w:val="000A6EF3"/>
    <w:rsid w:val="002A6486"/>
    <w:rsid w:val="002D1838"/>
    <w:rsid w:val="003F0EC1"/>
    <w:rsid w:val="0043687D"/>
    <w:rsid w:val="00455DB0"/>
    <w:rsid w:val="004A71FB"/>
    <w:rsid w:val="00594537"/>
    <w:rsid w:val="00646A87"/>
    <w:rsid w:val="0065277F"/>
    <w:rsid w:val="006F79A0"/>
    <w:rsid w:val="008701AF"/>
    <w:rsid w:val="00922716"/>
    <w:rsid w:val="00966744"/>
    <w:rsid w:val="00AA50BD"/>
    <w:rsid w:val="00AE3866"/>
    <w:rsid w:val="00CB47E8"/>
    <w:rsid w:val="00CE44AC"/>
    <w:rsid w:val="00CF46F7"/>
    <w:rsid w:val="00D348C5"/>
    <w:rsid w:val="00D71FAA"/>
    <w:rsid w:val="00E31F3F"/>
    <w:rsid w:val="00E60E6A"/>
    <w:rsid w:val="00E7000F"/>
    <w:rsid w:val="00E764D6"/>
    <w:rsid w:val="00EF7F9C"/>
    <w:rsid w:val="00F23DF6"/>
    <w:rsid w:val="01376F64"/>
    <w:rsid w:val="01763BCE"/>
    <w:rsid w:val="01785B8A"/>
    <w:rsid w:val="017E0CD4"/>
    <w:rsid w:val="01D84888"/>
    <w:rsid w:val="02A75DC5"/>
    <w:rsid w:val="02C60B85"/>
    <w:rsid w:val="02E1151B"/>
    <w:rsid w:val="02F50FC7"/>
    <w:rsid w:val="036208AE"/>
    <w:rsid w:val="03710AF1"/>
    <w:rsid w:val="03933EAF"/>
    <w:rsid w:val="03AA5DB1"/>
    <w:rsid w:val="03CD1A9F"/>
    <w:rsid w:val="04090D29"/>
    <w:rsid w:val="052851DF"/>
    <w:rsid w:val="05714856"/>
    <w:rsid w:val="057228FE"/>
    <w:rsid w:val="057B7A05"/>
    <w:rsid w:val="05C3315A"/>
    <w:rsid w:val="06235179"/>
    <w:rsid w:val="062D1A2C"/>
    <w:rsid w:val="06475B39"/>
    <w:rsid w:val="066804EB"/>
    <w:rsid w:val="06710E08"/>
    <w:rsid w:val="067B1C86"/>
    <w:rsid w:val="06874187"/>
    <w:rsid w:val="06B56F46"/>
    <w:rsid w:val="06BA1BEF"/>
    <w:rsid w:val="076646E5"/>
    <w:rsid w:val="07833FB5"/>
    <w:rsid w:val="07DC46EC"/>
    <w:rsid w:val="08260FDD"/>
    <w:rsid w:val="096D6AE4"/>
    <w:rsid w:val="096F5AD2"/>
    <w:rsid w:val="097B3C7C"/>
    <w:rsid w:val="09C3197A"/>
    <w:rsid w:val="09D771D4"/>
    <w:rsid w:val="09DA1BD2"/>
    <w:rsid w:val="0AA223F9"/>
    <w:rsid w:val="0AC260D6"/>
    <w:rsid w:val="0AE0030A"/>
    <w:rsid w:val="0AF3489C"/>
    <w:rsid w:val="0B4C599F"/>
    <w:rsid w:val="0B7E024F"/>
    <w:rsid w:val="0BE431B2"/>
    <w:rsid w:val="0CA9148E"/>
    <w:rsid w:val="0CC71781"/>
    <w:rsid w:val="0CE40585"/>
    <w:rsid w:val="0D331906"/>
    <w:rsid w:val="0D5A0848"/>
    <w:rsid w:val="0D7D28F5"/>
    <w:rsid w:val="0E1F643C"/>
    <w:rsid w:val="0F101ACB"/>
    <w:rsid w:val="0F6725AF"/>
    <w:rsid w:val="0F803E6A"/>
    <w:rsid w:val="0FA933C0"/>
    <w:rsid w:val="1035765C"/>
    <w:rsid w:val="10521CAA"/>
    <w:rsid w:val="10593038"/>
    <w:rsid w:val="106519DD"/>
    <w:rsid w:val="10A73DA4"/>
    <w:rsid w:val="111B4D34"/>
    <w:rsid w:val="111E7F6D"/>
    <w:rsid w:val="1220019F"/>
    <w:rsid w:val="122B57A4"/>
    <w:rsid w:val="12FE3A23"/>
    <w:rsid w:val="13022F80"/>
    <w:rsid w:val="138A52B7"/>
    <w:rsid w:val="13BF31B2"/>
    <w:rsid w:val="13C85042"/>
    <w:rsid w:val="13D0165A"/>
    <w:rsid w:val="14760CCE"/>
    <w:rsid w:val="14EA55FA"/>
    <w:rsid w:val="15473D83"/>
    <w:rsid w:val="15707745"/>
    <w:rsid w:val="15A765F4"/>
    <w:rsid w:val="15B24C92"/>
    <w:rsid w:val="170B70BE"/>
    <w:rsid w:val="171C7C58"/>
    <w:rsid w:val="173B3498"/>
    <w:rsid w:val="176724CD"/>
    <w:rsid w:val="17932D69"/>
    <w:rsid w:val="17F704F4"/>
    <w:rsid w:val="187D53EA"/>
    <w:rsid w:val="18866995"/>
    <w:rsid w:val="18C6485D"/>
    <w:rsid w:val="19013E26"/>
    <w:rsid w:val="195645B9"/>
    <w:rsid w:val="19FA0C74"/>
    <w:rsid w:val="1A3A7A37"/>
    <w:rsid w:val="1A725422"/>
    <w:rsid w:val="1A974E89"/>
    <w:rsid w:val="1AFA5418"/>
    <w:rsid w:val="1AFF2A2E"/>
    <w:rsid w:val="1B4E0DFA"/>
    <w:rsid w:val="1B5C39DD"/>
    <w:rsid w:val="1B5E59A7"/>
    <w:rsid w:val="1B8D023E"/>
    <w:rsid w:val="1BFC372E"/>
    <w:rsid w:val="1CA05B4B"/>
    <w:rsid w:val="1CB74E00"/>
    <w:rsid w:val="1CE746D0"/>
    <w:rsid w:val="1CF739BD"/>
    <w:rsid w:val="1D1B3D36"/>
    <w:rsid w:val="1D25665C"/>
    <w:rsid w:val="1DD71A40"/>
    <w:rsid w:val="1E7E3C6A"/>
    <w:rsid w:val="1E8474D2"/>
    <w:rsid w:val="1EDD4E34"/>
    <w:rsid w:val="1EFA3C38"/>
    <w:rsid w:val="1F422EEA"/>
    <w:rsid w:val="1F454277"/>
    <w:rsid w:val="1FA45CFE"/>
    <w:rsid w:val="20452C91"/>
    <w:rsid w:val="209F6845"/>
    <w:rsid w:val="20AA2480"/>
    <w:rsid w:val="20D20DF2"/>
    <w:rsid w:val="214B42D7"/>
    <w:rsid w:val="217F717B"/>
    <w:rsid w:val="22A243CB"/>
    <w:rsid w:val="22E9024C"/>
    <w:rsid w:val="22F41F6F"/>
    <w:rsid w:val="239A32F4"/>
    <w:rsid w:val="23BE1482"/>
    <w:rsid w:val="23BF25B5"/>
    <w:rsid w:val="23D34A58"/>
    <w:rsid w:val="24451695"/>
    <w:rsid w:val="249B102A"/>
    <w:rsid w:val="24EF7670"/>
    <w:rsid w:val="24FC7997"/>
    <w:rsid w:val="252217F3"/>
    <w:rsid w:val="252E01B9"/>
    <w:rsid w:val="2536704D"/>
    <w:rsid w:val="25423C43"/>
    <w:rsid w:val="2543789A"/>
    <w:rsid w:val="256E21D5"/>
    <w:rsid w:val="25E35426"/>
    <w:rsid w:val="26143832"/>
    <w:rsid w:val="26485289"/>
    <w:rsid w:val="26CB13FF"/>
    <w:rsid w:val="26DD5233"/>
    <w:rsid w:val="272E0923"/>
    <w:rsid w:val="273D1D39"/>
    <w:rsid w:val="27A765F9"/>
    <w:rsid w:val="27DD40F7"/>
    <w:rsid w:val="27F60D15"/>
    <w:rsid w:val="283413F6"/>
    <w:rsid w:val="293A5C4A"/>
    <w:rsid w:val="29437F8A"/>
    <w:rsid w:val="29A4118E"/>
    <w:rsid w:val="29E160F7"/>
    <w:rsid w:val="2A623974"/>
    <w:rsid w:val="2A6A19C0"/>
    <w:rsid w:val="2AB829FB"/>
    <w:rsid w:val="2AF96930"/>
    <w:rsid w:val="2B260344"/>
    <w:rsid w:val="2B381D70"/>
    <w:rsid w:val="2B395AE8"/>
    <w:rsid w:val="2B457FE9"/>
    <w:rsid w:val="2B8945EC"/>
    <w:rsid w:val="2C2E4095"/>
    <w:rsid w:val="2CD07D87"/>
    <w:rsid w:val="2CF75313"/>
    <w:rsid w:val="2D6055AE"/>
    <w:rsid w:val="2DD13DB6"/>
    <w:rsid w:val="2DFE09CC"/>
    <w:rsid w:val="2E051CB2"/>
    <w:rsid w:val="2E165C6D"/>
    <w:rsid w:val="2E544F6F"/>
    <w:rsid w:val="2E67296D"/>
    <w:rsid w:val="2E731311"/>
    <w:rsid w:val="2E8A2813"/>
    <w:rsid w:val="2EBF4557"/>
    <w:rsid w:val="2F68699C"/>
    <w:rsid w:val="2F8D6403"/>
    <w:rsid w:val="2FEC137B"/>
    <w:rsid w:val="304B42F4"/>
    <w:rsid w:val="306E182F"/>
    <w:rsid w:val="3099507E"/>
    <w:rsid w:val="309E402B"/>
    <w:rsid w:val="30B71989"/>
    <w:rsid w:val="31013875"/>
    <w:rsid w:val="313B5E8A"/>
    <w:rsid w:val="31807FCD"/>
    <w:rsid w:val="31AA6DF8"/>
    <w:rsid w:val="31B732C3"/>
    <w:rsid w:val="31D77A0B"/>
    <w:rsid w:val="31DF4330"/>
    <w:rsid w:val="324C4353"/>
    <w:rsid w:val="32706379"/>
    <w:rsid w:val="32C70AD5"/>
    <w:rsid w:val="333F37C8"/>
    <w:rsid w:val="339F792D"/>
    <w:rsid w:val="341522F7"/>
    <w:rsid w:val="34D523DE"/>
    <w:rsid w:val="353B295A"/>
    <w:rsid w:val="356913A4"/>
    <w:rsid w:val="35CD57AB"/>
    <w:rsid w:val="35D5640E"/>
    <w:rsid w:val="36323860"/>
    <w:rsid w:val="36AA33F6"/>
    <w:rsid w:val="374E1A36"/>
    <w:rsid w:val="37604F76"/>
    <w:rsid w:val="379C5435"/>
    <w:rsid w:val="37EE44B0"/>
    <w:rsid w:val="383E64EC"/>
    <w:rsid w:val="384F24A7"/>
    <w:rsid w:val="3889099F"/>
    <w:rsid w:val="38D155B2"/>
    <w:rsid w:val="38ED4362"/>
    <w:rsid w:val="39D50678"/>
    <w:rsid w:val="3A0F4C79"/>
    <w:rsid w:val="3A11286A"/>
    <w:rsid w:val="3A172015"/>
    <w:rsid w:val="3A6D130B"/>
    <w:rsid w:val="3AC70CA5"/>
    <w:rsid w:val="3B0F4170"/>
    <w:rsid w:val="3B74415E"/>
    <w:rsid w:val="3B912DD7"/>
    <w:rsid w:val="3BD17677"/>
    <w:rsid w:val="3C096E11"/>
    <w:rsid w:val="3C472095"/>
    <w:rsid w:val="3CBE7BFC"/>
    <w:rsid w:val="3D136966"/>
    <w:rsid w:val="3D197528"/>
    <w:rsid w:val="3D1D110D"/>
    <w:rsid w:val="3DA713A4"/>
    <w:rsid w:val="3DE511B8"/>
    <w:rsid w:val="3E9E1A93"/>
    <w:rsid w:val="3EA477F9"/>
    <w:rsid w:val="3EA6303D"/>
    <w:rsid w:val="3F373C95"/>
    <w:rsid w:val="3F535778"/>
    <w:rsid w:val="3F6A2670"/>
    <w:rsid w:val="406D21FE"/>
    <w:rsid w:val="40B80342"/>
    <w:rsid w:val="413C486A"/>
    <w:rsid w:val="41A53996"/>
    <w:rsid w:val="41E41EB2"/>
    <w:rsid w:val="421B3127"/>
    <w:rsid w:val="423F17DF"/>
    <w:rsid w:val="42444BC8"/>
    <w:rsid w:val="427C033D"/>
    <w:rsid w:val="43083AAE"/>
    <w:rsid w:val="439458D0"/>
    <w:rsid w:val="43BE4985"/>
    <w:rsid w:val="43EA39CC"/>
    <w:rsid w:val="44062979"/>
    <w:rsid w:val="44BF6C07"/>
    <w:rsid w:val="44CA2A45"/>
    <w:rsid w:val="44DE5C1C"/>
    <w:rsid w:val="451767D6"/>
    <w:rsid w:val="4530540F"/>
    <w:rsid w:val="45443F78"/>
    <w:rsid w:val="45660E30"/>
    <w:rsid w:val="45941E41"/>
    <w:rsid w:val="45EE245A"/>
    <w:rsid w:val="462C74D3"/>
    <w:rsid w:val="46515DC0"/>
    <w:rsid w:val="47E30E5E"/>
    <w:rsid w:val="48BF2D31"/>
    <w:rsid w:val="494871CB"/>
    <w:rsid w:val="494D637F"/>
    <w:rsid w:val="4955347E"/>
    <w:rsid w:val="49DC799E"/>
    <w:rsid w:val="49DF2F41"/>
    <w:rsid w:val="49EE2757"/>
    <w:rsid w:val="4A484FA8"/>
    <w:rsid w:val="4A58343D"/>
    <w:rsid w:val="4A631DE2"/>
    <w:rsid w:val="4A8E3303"/>
    <w:rsid w:val="4AFF6282"/>
    <w:rsid w:val="4B3D6AD7"/>
    <w:rsid w:val="4B451B0B"/>
    <w:rsid w:val="4B9A635A"/>
    <w:rsid w:val="4B9B33EB"/>
    <w:rsid w:val="4C1B7C9D"/>
    <w:rsid w:val="4C266EA9"/>
    <w:rsid w:val="4C60482B"/>
    <w:rsid w:val="4C716769"/>
    <w:rsid w:val="4C9A7BA7"/>
    <w:rsid w:val="4CB063E5"/>
    <w:rsid w:val="4CB6269D"/>
    <w:rsid w:val="4CC21042"/>
    <w:rsid w:val="4CDB65A8"/>
    <w:rsid w:val="4D057181"/>
    <w:rsid w:val="4D073B49"/>
    <w:rsid w:val="4D9329DF"/>
    <w:rsid w:val="4DD8423F"/>
    <w:rsid w:val="4DDB7CB3"/>
    <w:rsid w:val="4DE93F42"/>
    <w:rsid w:val="4DEB45C9"/>
    <w:rsid w:val="4E1F04D2"/>
    <w:rsid w:val="4E217FEA"/>
    <w:rsid w:val="4E6278A4"/>
    <w:rsid w:val="4EF13E61"/>
    <w:rsid w:val="4F1B3A41"/>
    <w:rsid w:val="4F244A37"/>
    <w:rsid w:val="4F25590B"/>
    <w:rsid w:val="4F806F93"/>
    <w:rsid w:val="502B5E7F"/>
    <w:rsid w:val="50850D04"/>
    <w:rsid w:val="513E2C61"/>
    <w:rsid w:val="51C92E73"/>
    <w:rsid w:val="51D830B6"/>
    <w:rsid w:val="520613CB"/>
    <w:rsid w:val="52065E75"/>
    <w:rsid w:val="52067319"/>
    <w:rsid w:val="52726BA2"/>
    <w:rsid w:val="52ED493F"/>
    <w:rsid w:val="536A5F90"/>
    <w:rsid w:val="53B55546"/>
    <w:rsid w:val="53F341D7"/>
    <w:rsid w:val="54606F9A"/>
    <w:rsid w:val="547370C6"/>
    <w:rsid w:val="5483138F"/>
    <w:rsid w:val="54C357E9"/>
    <w:rsid w:val="54D23DEC"/>
    <w:rsid w:val="55DB1259"/>
    <w:rsid w:val="55E95BE6"/>
    <w:rsid w:val="55EB160A"/>
    <w:rsid w:val="561F3061"/>
    <w:rsid w:val="56BC424A"/>
    <w:rsid w:val="571903F8"/>
    <w:rsid w:val="57776C58"/>
    <w:rsid w:val="578C410F"/>
    <w:rsid w:val="58094957"/>
    <w:rsid w:val="584305F5"/>
    <w:rsid w:val="590F3861"/>
    <w:rsid w:val="59E20F76"/>
    <w:rsid w:val="5A172CFE"/>
    <w:rsid w:val="5AF01470"/>
    <w:rsid w:val="5B1433B1"/>
    <w:rsid w:val="5B8878FB"/>
    <w:rsid w:val="5BB82A83"/>
    <w:rsid w:val="5C3929A3"/>
    <w:rsid w:val="5C4F34AF"/>
    <w:rsid w:val="5CDC65E5"/>
    <w:rsid w:val="5CE60D7D"/>
    <w:rsid w:val="5CEC6FFB"/>
    <w:rsid w:val="5D5E0913"/>
    <w:rsid w:val="5D924A61"/>
    <w:rsid w:val="5DB0123F"/>
    <w:rsid w:val="5DBA0E3B"/>
    <w:rsid w:val="5DD744D0"/>
    <w:rsid w:val="5E1B4A56"/>
    <w:rsid w:val="5E4407BE"/>
    <w:rsid w:val="5E626550"/>
    <w:rsid w:val="5E744166"/>
    <w:rsid w:val="5EAF2EA3"/>
    <w:rsid w:val="5EBA7343"/>
    <w:rsid w:val="5EDB577F"/>
    <w:rsid w:val="5EE66EED"/>
    <w:rsid w:val="5F0B6879"/>
    <w:rsid w:val="5F164888"/>
    <w:rsid w:val="5F3062DF"/>
    <w:rsid w:val="5F585541"/>
    <w:rsid w:val="5F5F4FBC"/>
    <w:rsid w:val="5F622211"/>
    <w:rsid w:val="5FDC1FC3"/>
    <w:rsid w:val="5FEB030F"/>
    <w:rsid w:val="607D6E2A"/>
    <w:rsid w:val="60D84E80"/>
    <w:rsid w:val="610C4B2A"/>
    <w:rsid w:val="613B2729"/>
    <w:rsid w:val="61445BEF"/>
    <w:rsid w:val="61673369"/>
    <w:rsid w:val="61E30FAF"/>
    <w:rsid w:val="62580EEA"/>
    <w:rsid w:val="62B9483E"/>
    <w:rsid w:val="632F68AE"/>
    <w:rsid w:val="633464D5"/>
    <w:rsid w:val="634560D1"/>
    <w:rsid w:val="635822A8"/>
    <w:rsid w:val="635F0700"/>
    <w:rsid w:val="636B1FDC"/>
    <w:rsid w:val="63BE4C9E"/>
    <w:rsid w:val="63DA0F0F"/>
    <w:rsid w:val="643A375C"/>
    <w:rsid w:val="644B7717"/>
    <w:rsid w:val="64FD6C64"/>
    <w:rsid w:val="65091648"/>
    <w:rsid w:val="65B5753E"/>
    <w:rsid w:val="65BD63F3"/>
    <w:rsid w:val="661C7183"/>
    <w:rsid w:val="66C37B75"/>
    <w:rsid w:val="67530DBD"/>
    <w:rsid w:val="679C6C08"/>
    <w:rsid w:val="67F9163C"/>
    <w:rsid w:val="68006EB3"/>
    <w:rsid w:val="682700AE"/>
    <w:rsid w:val="684B5F38"/>
    <w:rsid w:val="685C06CC"/>
    <w:rsid w:val="68A82A4E"/>
    <w:rsid w:val="68F91E38"/>
    <w:rsid w:val="695F130E"/>
    <w:rsid w:val="69CF4947"/>
    <w:rsid w:val="69D72421"/>
    <w:rsid w:val="69FA7C16"/>
    <w:rsid w:val="6A2C3B47"/>
    <w:rsid w:val="6A8F6601"/>
    <w:rsid w:val="6A925A52"/>
    <w:rsid w:val="6A997659"/>
    <w:rsid w:val="6BA0659B"/>
    <w:rsid w:val="6BA50055"/>
    <w:rsid w:val="6C781D3F"/>
    <w:rsid w:val="6D1E00BF"/>
    <w:rsid w:val="6E05302D"/>
    <w:rsid w:val="6E3203A8"/>
    <w:rsid w:val="6E4B4EE4"/>
    <w:rsid w:val="6E5D4C17"/>
    <w:rsid w:val="6E6733A0"/>
    <w:rsid w:val="6E843F52"/>
    <w:rsid w:val="6E9D3265"/>
    <w:rsid w:val="6EB34837"/>
    <w:rsid w:val="6EF72976"/>
    <w:rsid w:val="6F3C6E38"/>
    <w:rsid w:val="6F6A1399"/>
    <w:rsid w:val="6FAC6785"/>
    <w:rsid w:val="6FCA1E38"/>
    <w:rsid w:val="702F7EED"/>
    <w:rsid w:val="70455963"/>
    <w:rsid w:val="704A2F79"/>
    <w:rsid w:val="7056647A"/>
    <w:rsid w:val="706A53C9"/>
    <w:rsid w:val="70781B95"/>
    <w:rsid w:val="707E25A6"/>
    <w:rsid w:val="70B054D2"/>
    <w:rsid w:val="70B2124A"/>
    <w:rsid w:val="70B86135"/>
    <w:rsid w:val="70EE7DA8"/>
    <w:rsid w:val="7162598C"/>
    <w:rsid w:val="718524BB"/>
    <w:rsid w:val="719B7F30"/>
    <w:rsid w:val="722647FD"/>
    <w:rsid w:val="7285756E"/>
    <w:rsid w:val="729B7ABC"/>
    <w:rsid w:val="72CC236B"/>
    <w:rsid w:val="73124251"/>
    <w:rsid w:val="733E58AE"/>
    <w:rsid w:val="73742537"/>
    <w:rsid w:val="73780A62"/>
    <w:rsid w:val="73933870"/>
    <w:rsid w:val="73AA5B5A"/>
    <w:rsid w:val="73E21AE1"/>
    <w:rsid w:val="74544645"/>
    <w:rsid w:val="74905356"/>
    <w:rsid w:val="74BD640F"/>
    <w:rsid w:val="74DF4DE9"/>
    <w:rsid w:val="74E92D60"/>
    <w:rsid w:val="74F82FA3"/>
    <w:rsid w:val="75304DA8"/>
    <w:rsid w:val="75491779"/>
    <w:rsid w:val="75E10FA4"/>
    <w:rsid w:val="75EA640D"/>
    <w:rsid w:val="75F50B03"/>
    <w:rsid w:val="76E133AC"/>
    <w:rsid w:val="76ED0016"/>
    <w:rsid w:val="78827754"/>
    <w:rsid w:val="78884B46"/>
    <w:rsid w:val="78985615"/>
    <w:rsid w:val="7A2111EE"/>
    <w:rsid w:val="7A46591A"/>
    <w:rsid w:val="7A652E89"/>
    <w:rsid w:val="7AB03EC0"/>
    <w:rsid w:val="7B0703E4"/>
    <w:rsid w:val="7B090462"/>
    <w:rsid w:val="7B4707E1"/>
    <w:rsid w:val="7B603DDD"/>
    <w:rsid w:val="7B6B181E"/>
    <w:rsid w:val="7BD36518"/>
    <w:rsid w:val="7BFF730D"/>
    <w:rsid w:val="7C191FA7"/>
    <w:rsid w:val="7C460CA3"/>
    <w:rsid w:val="7CAC1243"/>
    <w:rsid w:val="7CB2612E"/>
    <w:rsid w:val="7CE97650"/>
    <w:rsid w:val="7D1961AD"/>
    <w:rsid w:val="7D2A2168"/>
    <w:rsid w:val="7D7F1A44"/>
    <w:rsid w:val="7D983576"/>
    <w:rsid w:val="7DAC5FBB"/>
    <w:rsid w:val="7DE47A3B"/>
    <w:rsid w:val="7E3037AE"/>
    <w:rsid w:val="7E333BE6"/>
    <w:rsid w:val="7E516876"/>
    <w:rsid w:val="7E5C0A47"/>
    <w:rsid w:val="7E5E47BF"/>
    <w:rsid w:val="7F315A30"/>
    <w:rsid w:val="7F343772"/>
    <w:rsid w:val="7F651B7D"/>
    <w:rsid w:val="7F73429A"/>
    <w:rsid w:val="7F905CCB"/>
    <w:rsid w:val="7FAA6844"/>
    <w:rsid w:val="7FD97EBE"/>
    <w:rsid w:val="7FDE5C2A"/>
    <w:rsid w:val="7FEE4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numPr>
        <w:ilvl w:val="2"/>
        <w:numId w:val="1"/>
      </w:numPr>
      <w:ind w:left="0" w:firstLine="0"/>
      <w:outlineLvl w:val="2"/>
    </w:pPr>
    <w:rPr>
      <w:b/>
      <w:bCs/>
      <w:sz w:val="32"/>
      <w:szCs w:val="32"/>
    </w:rPr>
  </w:style>
  <w:style w:type="paragraph" w:styleId="5">
    <w:name w:val="heading 4"/>
    <w:basedOn w:val="1"/>
    <w:next w:val="1"/>
    <w:qFormat/>
    <w:uiPriority w:val="0"/>
    <w:pPr>
      <w:keepNext/>
      <w:keepLines/>
      <w:numPr>
        <w:ilvl w:val="3"/>
        <w:numId w:val="1"/>
      </w:numPr>
      <w:spacing w:before="120" w:after="120"/>
      <w:ind w:left="862" w:hanging="862"/>
      <w:outlineLvl w:val="3"/>
    </w:pPr>
    <w:rPr>
      <w:b/>
      <w:bCs/>
      <w:sz w:val="32"/>
      <w:szCs w:val="28"/>
    </w:rPr>
  </w:style>
  <w:style w:type="paragraph" w:styleId="6">
    <w:name w:val="heading 5"/>
    <w:basedOn w:val="1"/>
    <w:next w:val="1"/>
    <w:qFormat/>
    <w:uiPriority w:val="0"/>
    <w:pPr>
      <w:keepNext/>
      <w:keepLines/>
      <w:adjustRightInd w:val="0"/>
      <w:spacing w:line="376" w:lineRule="atLeast"/>
      <w:textAlignment w:val="baseline"/>
      <w:outlineLvl w:val="4"/>
    </w:pPr>
    <w:rPr>
      <w:b/>
      <w:bCs/>
      <w:kern w:val="0"/>
      <w:sz w:val="28"/>
      <w:szCs w:val="28"/>
    </w:rPr>
  </w:style>
  <w:style w:type="paragraph" w:styleId="7">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sz w:val="24"/>
      <w:szCs w:val="24"/>
    </w:rPr>
  </w:style>
  <w:style w:type="paragraph" w:styleId="8">
    <w:name w:val="Normal Indent"/>
    <w:basedOn w:val="1"/>
    <w:next w:val="1"/>
    <w:unhideWhenUsed/>
    <w:qFormat/>
    <w:uiPriority w:val="99"/>
    <w:pPr>
      <w:ind w:firstLine="420" w:firstLineChars="200"/>
    </w:pPr>
  </w:style>
  <w:style w:type="paragraph" w:styleId="9">
    <w:name w:val="annotation text"/>
    <w:basedOn w:val="1"/>
    <w:qFormat/>
    <w:uiPriority w:val="0"/>
    <w:pPr>
      <w:jc w:val="left"/>
    </w:pPr>
  </w:style>
  <w:style w:type="paragraph" w:styleId="10">
    <w:name w:val="Body Text"/>
    <w:basedOn w:val="1"/>
    <w:next w:val="1"/>
    <w:qFormat/>
    <w:uiPriority w:val="0"/>
    <w:pPr>
      <w:spacing w:line="380" w:lineRule="exact"/>
    </w:pPr>
    <w:rPr>
      <w:sz w:val="24"/>
    </w:rPr>
  </w:style>
  <w:style w:type="paragraph" w:styleId="11">
    <w:name w:val="Body Text Indent"/>
    <w:basedOn w:val="1"/>
    <w:qFormat/>
    <w:uiPriority w:val="0"/>
    <w:pPr>
      <w:spacing w:line="280" w:lineRule="exact"/>
      <w:ind w:firstLine="360" w:firstLineChars="200"/>
      <w:jc w:val="left"/>
    </w:pPr>
    <w:rPr>
      <w:rFonts w:ascii="宋体" w:hAnsi="宋体"/>
      <w:color w:val="000000"/>
      <w:sz w:val="18"/>
      <w:szCs w:val="24"/>
    </w:rPr>
  </w:style>
  <w:style w:type="paragraph" w:styleId="12">
    <w:name w:val="Plain Text"/>
    <w:basedOn w:val="1"/>
    <w:qFormat/>
    <w:uiPriority w:val="99"/>
    <w:rPr>
      <w:rFonts w:ascii="宋体" w:hAnsi="Courier New"/>
    </w:rPr>
  </w:style>
  <w:style w:type="paragraph" w:styleId="13">
    <w:name w:val="Body Text Indent 2"/>
    <w:basedOn w:val="1"/>
    <w:qFormat/>
    <w:uiPriority w:val="0"/>
    <w:pPr>
      <w:spacing w:line="360" w:lineRule="auto"/>
      <w:ind w:firstLine="507" w:firstLineChars="200"/>
    </w:pPr>
    <w:rPr>
      <w:rFonts w:ascii="Arial" w:hAnsi="Arial"/>
      <w:color w:val="000000"/>
      <w:sz w:val="24"/>
    </w:rPr>
  </w:style>
  <w:style w:type="paragraph" w:styleId="14">
    <w:name w:val="Balloon Text"/>
    <w:basedOn w:val="1"/>
    <w:link w:val="2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qFormat/>
    <w:uiPriority w:val="99"/>
    <w:pPr>
      <w:spacing w:line="480" w:lineRule="auto"/>
    </w:pPr>
  </w:style>
  <w:style w:type="paragraph" w:styleId="20">
    <w:name w:val="Normal (Web)"/>
    <w:basedOn w:val="1"/>
    <w:next w:val="1"/>
    <w:qFormat/>
    <w:uiPriority w:val="0"/>
    <w:pPr>
      <w:spacing w:line="300" w:lineRule="auto"/>
    </w:pPr>
    <w:rPr>
      <w:sz w:val="24"/>
    </w:rPr>
  </w:style>
  <w:style w:type="paragraph" w:styleId="21">
    <w:name w:val="Body Text First Indent 2"/>
    <w:basedOn w:val="11"/>
    <w:qFormat/>
    <w:uiPriority w:val="0"/>
    <w:pPr>
      <w:spacing w:line="240" w:lineRule="auto"/>
      <w:ind w:left="420" w:leftChars="200" w:firstLine="420"/>
      <w:jc w:val="both"/>
    </w:pPr>
    <w:rPr>
      <w:rFonts w:ascii="Times New Roman" w:hAnsi="Times New Roman"/>
      <w:color w:val="auto"/>
      <w:sz w:val="21"/>
      <w:szCs w:val="20"/>
    </w:rPr>
  </w:style>
  <w:style w:type="character" w:styleId="24">
    <w:name w:val="Strong"/>
    <w:basedOn w:val="23"/>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annotation reference"/>
    <w:basedOn w:val="23"/>
    <w:qFormat/>
    <w:uiPriority w:val="0"/>
    <w:rPr>
      <w:sz w:val="21"/>
      <w:szCs w:val="21"/>
    </w:rPr>
  </w:style>
  <w:style w:type="paragraph" w:styleId="27">
    <w:name w:val="List Paragraph"/>
    <w:basedOn w:val="1"/>
    <w:qFormat/>
    <w:uiPriority w:val="0"/>
    <w:pPr>
      <w:ind w:firstLine="420" w:firstLineChars="200"/>
    </w:pPr>
    <w:rPr>
      <w:szCs w:val="24"/>
    </w:rPr>
  </w:style>
  <w:style w:type="character" w:customStyle="1" w:styleId="28">
    <w:name w:val="批注框文本 Char"/>
    <w:basedOn w:val="23"/>
    <w:link w:val="1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107</Pages>
  <Words>60944</Words>
  <Characters>64325</Characters>
  <Lines>473</Lines>
  <Paragraphs>133</Paragraphs>
  <TotalTime>10</TotalTime>
  <ScaleCrop>false</ScaleCrop>
  <LinksUpToDate>false</LinksUpToDate>
  <CharactersWithSpaces>66469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2022-06-25T02:41:00Z</dcterms:created>
  <dc:creator>এ゛听闻余生꧔ꦿ  ້໌ᮨ</dc:creator>
  <cp:lastModifiedBy>Administrator</cp:lastModifiedBy>
  <cp:lastPrinted>2022-07-03T08:37:27Z</cp:lastPrinted>
  <dcterms:modified xsi:type="dcterms:W3CDTF">2022-07-03T08:39:23Z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84E5081161ED480E9B59856770057239</vt:lpwstr>
  </property>
  <property fmtid="{D5CDD505-2E9C-101B-9397-08002B2CF9AE}" pid="4" name="commondata">
    <vt:lpwstr>eyJoZGlkIjoiMWZiZmZkMjA0ZDYyMGM5MDc1ZDlkYTU4YzhlMzM0MDkifQ==</vt:lpwstr>
  </property>
</Properties>
</file>