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宋体" w:hAnsi="宋体" w:eastAsia="宋体" w:cs="宋体"/>
          <w:color w:val="FF0000"/>
          <w:spacing w:val="1"/>
          <w:sz w:val="36"/>
          <w:szCs w:val="22"/>
          <w:lang w:eastAsia="zh-CN"/>
        </w:rPr>
      </w:pPr>
      <w:r>
        <w:rPr>
          <w:rFonts w:hint="eastAsia" w:ascii="宋体" w:hAnsi="宋体" w:cs="宋体"/>
          <w:color w:val="000000"/>
          <w:spacing w:val="1"/>
        </w:rPr>
        <w:t>蓬溪县国家储备林建设及森林质量提升项目</w:t>
      </w:r>
      <w:r>
        <w:rPr>
          <w:rFonts w:hint="eastAsia" w:ascii="宋体" w:hAnsi="宋体" w:eastAsia="宋体" w:cs="宋体"/>
          <w:bCs w:val="0"/>
          <w:color w:val="000000"/>
          <w:spacing w:val="1"/>
          <w:lang w:eastAsia="zh-CN"/>
        </w:rPr>
        <w:t>采购需求</w:t>
      </w:r>
    </w:p>
    <w:p>
      <w:pPr>
        <w:spacing w:line="400" w:lineRule="exact"/>
        <w:rPr>
          <w:rFonts w:hint="eastAsia" w:ascii="宋体" w:hAnsi="宋体" w:cs="宋体"/>
          <w:b/>
        </w:rPr>
      </w:pPr>
    </w:p>
    <w:p>
      <w:pPr>
        <w:spacing w:line="440" w:lineRule="exact"/>
        <w:ind w:firstLine="484" w:firstLineChars="200"/>
        <w:rPr>
          <w:rFonts w:hint="eastAsia" w:ascii="黑体" w:hAnsi="黑体" w:eastAsia="黑体" w:cs="黑体"/>
          <w:color w:val="000000"/>
          <w:spacing w:val="1"/>
        </w:rPr>
      </w:pPr>
      <w:r>
        <w:rPr>
          <w:rFonts w:hint="eastAsia" w:ascii="黑体" w:hAnsi="黑体" w:eastAsia="黑体" w:cs="黑体"/>
          <w:color w:val="000000"/>
          <w:spacing w:val="1"/>
        </w:rPr>
        <w:t>一、采购项目</w:t>
      </w:r>
    </w:p>
    <w:p>
      <w:pPr>
        <w:spacing w:line="440" w:lineRule="exact"/>
        <w:ind w:firstLine="486" w:firstLineChars="200"/>
        <w:rPr>
          <w:rFonts w:hint="eastAsia" w:ascii="宋体" w:hAnsi="宋体" w:cs="宋体"/>
          <w:b/>
          <w:bCs/>
          <w:color w:val="000000"/>
          <w:spacing w:val="1"/>
        </w:rPr>
      </w:pPr>
      <w:r>
        <w:rPr>
          <w:rFonts w:hint="eastAsia" w:ascii="宋体" w:hAnsi="宋体" w:cs="宋体"/>
          <w:b/>
          <w:bCs/>
          <w:color w:val="000000"/>
          <w:spacing w:val="1"/>
        </w:rPr>
        <w:t>1.项目名称</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蓬溪县国家储备林建设及森林质量提升项目（以下简称“本项目”）</w:t>
      </w:r>
    </w:p>
    <w:p>
      <w:pPr>
        <w:spacing w:line="440" w:lineRule="exact"/>
        <w:ind w:firstLine="486" w:firstLineChars="200"/>
        <w:rPr>
          <w:rFonts w:hint="eastAsia" w:ascii="宋体" w:hAnsi="宋体" w:cs="宋体"/>
          <w:b/>
          <w:bCs/>
          <w:color w:val="000000"/>
          <w:spacing w:val="1"/>
        </w:rPr>
      </w:pPr>
      <w:r>
        <w:rPr>
          <w:rFonts w:hint="eastAsia" w:ascii="宋体" w:hAnsi="宋体" w:cs="宋体"/>
          <w:b/>
          <w:bCs/>
          <w:color w:val="000000"/>
          <w:spacing w:val="1"/>
        </w:rPr>
        <w:t>2</w:t>
      </w:r>
      <w:r>
        <w:rPr>
          <w:rFonts w:hint="eastAsia" w:ascii="宋体" w:hAnsi="宋体" w:cs="宋体"/>
          <w:b/>
          <w:bCs/>
          <w:color w:val="000000"/>
          <w:spacing w:val="1"/>
          <w:lang w:val="en-US" w:eastAsia="zh-CN"/>
        </w:rPr>
        <w:t>.</w:t>
      </w:r>
      <w:r>
        <w:rPr>
          <w:rFonts w:hint="eastAsia" w:ascii="宋体" w:hAnsi="宋体" w:cs="宋体"/>
          <w:b/>
          <w:bCs/>
          <w:color w:val="000000"/>
          <w:spacing w:val="1"/>
        </w:rPr>
        <w:t>项目实施机构</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蓬溪县自然资源和规划局（以下简称“自规局”）。</w:t>
      </w:r>
    </w:p>
    <w:p>
      <w:pPr>
        <w:spacing w:line="440" w:lineRule="exact"/>
        <w:ind w:firstLine="486" w:firstLineChars="200"/>
        <w:rPr>
          <w:rFonts w:hint="eastAsia" w:ascii="宋体" w:hAnsi="宋体" w:cs="宋体"/>
          <w:b/>
          <w:bCs/>
          <w:color w:val="000000"/>
          <w:spacing w:val="1"/>
        </w:rPr>
      </w:pPr>
      <w:r>
        <w:rPr>
          <w:rFonts w:hint="eastAsia" w:ascii="宋体" w:hAnsi="宋体" w:cs="宋体"/>
          <w:b/>
          <w:bCs/>
          <w:color w:val="000000"/>
          <w:spacing w:val="1"/>
        </w:rPr>
        <w:t>3</w:t>
      </w:r>
      <w:r>
        <w:rPr>
          <w:rFonts w:hint="eastAsia" w:ascii="宋体" w:hAnsi="宋体" w:cs="宋体"/>
          <w:b/>
          <w:bCs/>
          <w:color w:val="000000"/>
          <w:spacing w:val="1"/>
          <w:lang w:val="en-US" w:eastAsia="zh-CN"/>
        </w:rPr>
        <w:t>.</w:t>
      </w:r>
      <w:r>
        <w:rPr>
          <w:rFonts w:hint="eastAsia" w:ascii="宋体" w:hAnsi="宋体" w:cs="宋体"/>
          <w:b/>
          <w:bCs/>
          <w:color w:val="000000"/>
          <w:spacing w:val="1"/>
        </w:rPr>
        <w:t>项目性质</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新建。</w:t>
      </w:r>
    </w:p>
    <w:p>
      <w:pPr>
        <w:spacing w:line="440" w:lineRule="exact"/>
        <w:ind w:firstLine="486" w:firstLineChars="200"/>
        <w:rPr>
          <w:rFonts w:hint="eastAsia" w:ascii="宋体" w:hAnsi="宋体" w:cs="宋体"/>
          <w:b/>
          <w:bCs/>
          <w:color w:val="000000"/>
          <w:spacing w:val="1"/>
        </w:rPr>
      </w:pPr>
      <w:r>
        <w:rPr>
          <w:rFonts w:hint="eastAsia" w:ascii="宋体" w:hAnsi="宋体" w:cs="宋体"/>
          <w:b/>
          <w:bCs/>
          <w:color w:val="000000"/>
          <w:spacing w:val="1"/>
        </w:rPr>
        <w:t>4</w:t>
      </w:r>
      <w:r>
        <w:rPr>
          <w:rFonts w:hint="eastAsia" w:ascii="宋体" w:hAnsi="宋体" w:cs="宋体"/>
          <w:b/>
          <w:bCs/>
          <w:color w:val="000000"/>
          <w:spacing w:val="1"/>
          <w:lang w:val="en-US" w:eastAsia="zh-CN"/>
        </w:rPr>
        <w:t>.</w:t>
      </w:r>
      <w:r>
        <w:rPr>
          <w:rFonts w:hint="eastAsia" w:ascii="宋体" w:hAnsi="宋体" w:cs="宋体"/>
          <w:b/>
          <w:bCs/>
          <w:color w:val="000000"/>
          <w:spacing w:val="1"/>
        </w:rPr>
        <w:t>项目地点</w:t>
      </w:r>
      <w:bookmarkStart w:id="59" w:name="_GoBack"/>
      <w:bookmarkEnd w:id="59"/>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本项目位于蓬溪县赤城镇、宝梵镇、鸣凤镇、文井镇、常乐镇、天福镇、任隆镇、 金桥镇等19个乡镇。川财采〔2022〕78号</w:t>
      </w:r>
    </w:p>
    <w:p>
      <w:pPr>
        <w:spacing w:line="440" w:lineRule="exact"/>
        <w:ind w:firstLine="484" w:firstLineChars="200"/>
        <w:rPr>
          <w:rFonts w:hint="eastAsia" w:ascii="黑体" w:hAnsi="黑体" w:eastAsia="黑体" w:cs="黑体"/>
          <w:color w:val="000000"/>
          <w:spacing w:val="1"/>
          <w:lang w:eastAsia="zh-CN"/>
        </w:rPr>
      </w:pPr>
      <w:r>
        <w:rPr>
          <w:rFonts w:hint="eastAsia" w:ascii="黑体" w:hAnsi="黑体" w:eastAsia="黑体" w:cs="黑体"/>
          <w:color w:val="000000"/>
          <w:spacing w:val="1"/>
          <w:lang w:eastAsia="zh-CN"/>
        </w:rPr>
        <w:t>二、</w:t>
      </w:r>
      <w:r>
        <w:rPr>
          <w:rFonts w:hint="eastAsia" w:ascii="宋体" w:hAnsi="宋体" w:cs="宋体"/>
          <w:b/>
          <w:bCs/>
          <w:color w:val="000000"/>
          <w:spacing w:val="1"/>
        </w:rPr>
        <w:t>项目基本经济技术指</w:t>
      </w:r>
      <w:r>
        <w:rPr>
          <w:rFonts w:hint="eastAsia" w:ascii="宋体" w:hAnsi="宋体" w:cs="宋体"/>
          <w:b/>
          <w:bCs/>
          <w:color w:val="000000"/>
          <w:spacing w:val="1"/>
          <w:lang w:eastAsia="zh-CN"/>
        </w:rPr>
        <w:t>及</w:t>
      </w:r>
      <w:r>
        <w:rPr>
          <w:rFonts w:hint="eastAsia" w:ascii="黑体" w:hAnsi="黑体" w:eastAsia="黑体" w:cs="黑体"/>
          <w:color w:val="000000"/>
          <w:spacing w:val="1"/>
          <w:lang w:eastAsia="zh-CN"/>
        </w:rPr>
        <w:t>服务要求</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1.项目规模</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本项目建设内容为：</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蓬溪县国家储备林建设及森林质量提升项目总规模 106516.2亩。</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集约人工林栽培 7513.5 亩，现有林改培 33503.4 亩，森林抚育65499.3 亩，林下菌种植 1000.0 亩，中药材种植 5000.0 亩。</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配套道路系统 61.00km；其中巡护道路 47.00km；生产便道14.00km ；生产服务设施（晒坝、堆料场、生态停车场、苗木运输转运场等）60000.00 ㎡；防火瞭望台、塔 34 座；管理用房 10000 ㎡；建设灌溉系统、照明系统、购置安装灯具、休憩及环卫设施（坐凳、垃圾桶）、护林防火警示标牌等。</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1.1集约人工林栽培</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根据《国务院办公厅关于坚决制止耕地“非农化”行为的通 知》（国办发明电〔2020〕24 号）精神，结合蓬溪县林业发展实际情况，利用采伐迹地、火烧迹地、灌木林地、未成林造林地等实施集约人工林栽培 7513.5 亩（其中储备林芝溪片区集约人工林栽培规模 1524.6 亩；储备林遂潼一体化片区集约人工林栽培规模1927.3 亩；储备林高峰山片区集约人工林栽培规模 1744.8 亩；储备林常乐天福红江片区集约人工林栽培规模 2316.8 亩）。</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1.2现有林分改培</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实施柏木林乔木纯林改造共计 33503.4 亩（其中储备林芝溪片区现有林改培规模 9384.6 亩；储备林遂潼一体化片区现有林改培规模 4425.4 亩；储备林高峰山片区现有林改培规模 5768.8 亩；储备林常乐天福红江片区现有林改培规模 13924.6 亩）。</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1.3森林抚育</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森林抚育共计 65499.3 亩（其中储备林芝溪片区森林抚育规模509.9 亩；储备林遂潼一体化片区森林抚育规模 28928.4 亩；储备林高峰山片区森林抚育规模 14902.1 亩；储备林常乐天福红江片区森林抚育规模 21158.9 亩）。</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1.4林业特色产业</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储备林芝溪片区片区、储备林遂潼一体化片区和储备林高峰山片区共建设林下中草药种植 5000.0 亩，林下菌种植1000亩。</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1.5支撑体系建设</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根据基地建设需要，在营林基地建设的同时，配套基础工程建设：新建林区生产便道路 14 公里（4.5 米宽混凝土路面，其中储备林芝溪片区新建 12 公里；储备林常乐天福红江片区新建 1 公里），新建林区巡护道路 47 公里（1.5-2.5 米宽，石材、木材、卵石等路面，其中储备林芝溪片区新建 34 公里；储备林遂潼一体化片区新建 3 公里；储备林高峰山片区新建 5 公里；储备林常乐天福红江片区新建 5 公里），新建生态停车场、苗木转运场、晒坝等场地 60000平米（其中储备林芝溪片区规模 42000 平米；储备林遂潼一体化片区规模 5000 平米；储备林高峰山片区规模 8000 平米；储备林常乐天福红江片区规模 5000 平米），新建管理及服务用房 10000 平米（其中储备林芝溪片区规模 7200 平米；储备林遂潼一体化片区规模600 平米；储备林高峰山片区规模 1200 平米；储备林常乐天福红江片区规模 1200 平米）；储备林芝溪片区、储备林遂潼一体化片区、储备林高峰山片区和储备林常乐天福红江片区完成灌溉系统共计 6项、消防水池建设工程共计 17000 平米，防火瞭望塔 34 处，标识牌、休憩环卫设施、照明设施等。</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lang w:val="en-US" w:eastAsia="zh-CN"/>
        </w:rPr>
        <w:t>1.6</w:t>
      </w:r>
      <w:r>
        <w:rPr>
          <w:rFonts w:hint="eastAsia" w:ascii="宋体" w:hAnsi="宋体" w:cs="宋体"/>
          <w:color w:val="000000"/>
          <w:spacing w:val="1"/>
        </w:rPr>
        <w:t>项目总投资</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本项目总投资132387.83万元，其中工程建设费用91430.78万元，占总投资比例69.06%;工程建设其他费15859.36万元，占总投资比例11.98%；预备费4885.18万元，占总投资比例3.69%；建设期利息20212.5万元,占总投资比例15.27%。</w:t>
      </w:r>
      <w:r>
        <w:rPr>
          <w:rFonts w:hint="eastAsia" w:ascii="宋体" w:hAnsi="宋体" w:cs="宋体"/>
          <w:color w:val="000000"/>
          <w:spacing w:val="1"/>
        </w:rPr>
        <w:tab/>
      </w:r>
    </w:p>
    <w:p>
      <w:pPr>
        <w:spacing w:line="440" w:lineRule="exact"/>
        <w:ind w:firstLine="484" w:firstLineChars="200"/>
        <w:rPr>
          <w:rFonts w:hint="eastAsia" w:ascii="宋体" w:hAnsi="宋体" w:cs="宋体"/>
          <w:color w:val="000000"/>
          <w:spacing w:val="1"/>
        </w:rPr>
      </w:pPr>
    </w:p>
    <w:p>
      <w:pPr>
        <w:spacing w:line="440" w:lineRule="exact"/>
        <w:ind w:firstLine="484" w:firstLineChars="200"/>
        <w:rPr>
          <w:rFonts w:hint="eastAsia"/>
          <w:sz w:val="32"/>
          <w:szCs w:val="32"/>
        </w:rPr>
      </w:pPr>
      <w:r>
        <w:rPr>
          <w:rFonts w:hint="eastAsia" w:ascii="宋体" w:hAnsi="宋体" w:cs="宋体"/>
          <w:color w:val="000000"/>
          <w:spacing w:val="1"/>
        </w:rPr>
        <w:t>详见下表</w:t>
      </w:r>
      <w:r>
        <w:rPr>
          <w:rFonts w:hint="eastAsia"/>
          <w:sz w:val="32"/>
          <w:szCs w:val="32"/>
        </w:rPr>
        <w:t>：</w:t>
      </w:r>
    </w:p>
    <w:p>
      <w:pPr>
        <w:spacing w:line="440" w:lineRule="exact"/>
        <w:rPr>
          <w:rFonts w:hint="eastAsia"/>
          <w:sz w:val="32"/>
          <w:szCs w:val="32"/>
        </w:rPr>
      </w:pPr>
    </w:p>
    <w:p>
      <w:pPr>
        <w:spacing w:line="440" w:lineRule="exact"/>
        <w:rPr>
          <w:sz w:val="32"/>
          <w:szCs w:val="32"/>
        </w:rPr>
        <w:sectPr>
          <w:headerReference r:id="rId3" w:type="default"/>
          <w:footerReference r:id="rId4" w:type="default"/>
          <w:pgSz w:w="11900" w:h="16820"/>
          <w:pgMar w:top="1701" w:right="1418" w:bottom="1134" w:left="1418" w:header="720" w:footer="720" w:gutter="0"/>
          <w:pgNumType w:fmt="decimal" w:start="1"/>
          <w:cols w:space="720" w:num="1"/>
          <w:docGrid w:linePitch="326" w:charSpace="0"/>
        </w:sectPr>
      </w:pPr>
    </w:p>
    <w:p>
      <w:pPr>
        <w:widowControl w:val="0"/>
        <w:autoSpaceDE w:val="0"/>
        <w:jc w:val="center"/>
        <w:rPr>
          <w:rFonts w:eastAsia="仿宋"/>
          <w:kern w:val="2"/>
          <w:sz w:val="28"/>
          <w:szCs w:val="28"/>
        </w:rPr>
      </w:pPr>
      <w:r>
        <w:rPr>
          <w:rFonts w:hint="eastAsia" w:ascii="仿宋" w:hAnsi="仿宋" w:eastAsia="仿宋"/>
          <w:kern w:val="2"/>
          <w:sz w:val="28"/>
          <w:szCs w:val="28"/>
        </w:rPr>
        <w:t>表</w:t>
      </w:r>
      <w:r>
        <w:rPr>
          <w:rFonts w:eastAsia="仿宋"/>
          <w:kern w:val="2"/>
          <w:sz w:val="28"/>
          <w:szCs w:val="28"/>
        </w:rPr>
        <w:t>2</w:t>
      </w:r>
      <w:r>
        <w:rPr>
          <w:rFonts w:hint="eastAsia" w:eastAsia="仿宋"/>
          <w:kern w:val="2"/>
          <w:sz w:val="28"/>
          <w:szCs w:val="28"/>
        </w:rPr>
        <w:t>-</w:t>
      </w:r>
      <w:r>
        <w:rPr>
          <w:rFonts w:eastAsia="仿宋"/>
          <w:kern w:val="2"/>
          <w:sz w:val="28"/>
          <w:szCs w:val="28"/>
        </w:rPr>
        <w:t>1</w:t>
      </w:r>
      <w:r>
        <w:rPr>
          <w:rFonts w:hint="eastAsia" w:ascii="仿宋" w:hAnsi="仿宋" w:eastAsia="仿宋"/>
          <w:kern w:val="2"/>
          <w:sz w:val="28"/>
          <w:szCs w:val="28"/>
        </w:rPr>
        <w:t>项目总投资表</w:t>
      </w:r>
    </w:p>
    <w:tbl>
      <w:tblPr>
        <w:tblStyle w:val="10"/>
        <w:tblW w:w="5000" w:type="pct"/>
        <w:tblInd w:w="0" w:type="dxa"/>
        <w:tblLayout w:type="autofit"/>
        <w:tblCellMar>
          <w:top w:w="0" w:type="dxa"/>
          <w:left w:w="108" w:type="dxa"/>
          <w:bottom w:w="0" w:type="dxa"/>
          <w:right w:w="108" w:type="dxa"/>
        </w:tblCellMar>
      </w:tblPr>
      <w:tblGrid>
        <w:gridCol w:w="759"/>
        <w:gridCol w:w="3272"/>
        <w:gridCol w:w="1377"/>
        <w:gridCol w:w="1215"/>
        <w:gridCol w:w="1323"/>
        <w:gridCol w:w="1270"/>
        <w:gridCol w:w="1324"/>
        <w:gridCol w:w="910"/>
        <w:gridCol w:w="1216"/>
        <w:gridCol w:w="1535"/>
      </w:tblGrid>
      <w:tr>
        <w:tblPrEx>
          <w:tblCellMar>
            <w:top w:w="0" w:type="dxa"/>
            <w:left w:w="108" w:type="dxa"/>
            <w:bottom w:w="0" w:type="dxa"/>
            <w:right w:w="108" w:type="dxa"/>
          </w:tblCellMar>
        </w:tblPrEx>
        <w:trPr>
          <w:trHeight w:val="20" w:hRule="atLeast"/>
        </w:trPr>
        <w:tc>
          <w:tcPr>
            <w:tcW w:w="259" w:type="pct"/>
            <w:vMerge w:val="restart"/>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序号</w:t>
            </w:r>
          </w:p>
        </w:tc>
        <w:tc>
          <w:tcPr>
            <w:tcW w:w="1153" w:type="pct"/>
            <w:vMerge w:val="restart"/>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工程或费用名称</w:t>
            </w:r>
          </w:p>
        </w:tc>
        <w:tc>
          <w:tcPr>
            <w:tcW w:w="1829" w:type="pct"/>
            <w:gridSpan w:val="4"/>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估算金额(万元)</w:t>
            </w:r>
          </w:p>
        </w:tc>
        <w:tc>
          <w:tcPr>
            <w:tcW w:w="467" w:type="pct"/>
            <w:vMerge w:val="restart"/>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合计</w:t>
            </w:r>
          </w:p>
        </w:tc>
        <w:tc>
          <w:tcPr>
            <w:tcW w:w="1293" w:type="pct"/>
            <w:gridSpan w:val="3"/>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技术指标</w:t>
            </w:r>
          </w:p>
        </w:tc>
      </w:tr>
      <w:tr>
        <w:tblPrEx>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18"/>
                <w:szCs w:val="18"/>
              </w:rPr>
            </w:pPr>
          </w:p>
        </w:tc>
        <w:tc>
          <w:tcPr>
            <w:tcW w:w="0" w:type="auto"/>
            <w:vMerge w:val="continue"/>
            <w:tcBorders>
              <w:top w:val="single" w:color="auto" w:sz="4" w:space="0"/>
              <w:left w:val="nil"/>
              <w:bottom w:val="single" w:color="auto" w:sz="4" w:space="0"/>
              <w:right w:val="single" w:color="auto" w:sz="4" w:space="0"/>
            </w:tcBorders>
            <w:noWrap w:val="0"/>
            <w:vAlign w:val="center"/>
          </w:tcPr>
          <w:p>
            <w:pPr>
              <w:rPr>
                <w:rFonts w:ascii="宋体" w:hAnsi="宋体" w:cs="宋体"/>
                <w:b/>
                <w:bCs/>
                <w:sz w:val="18"/>
                <w:szCs w:val="18"/>
              </w:rPr>
            </w:pP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建筑工程费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设备购置</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安装工程</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其他费用</w:t>
            </w:r>
          </w:p>
        </w:tc>
        <w:tc>
          <w:tcPr>
            <w:tcW w:w="0" w:type="auto"/>
            <w:vMerge w:val="continue"/>
            <w:tcBorders>
              <w:top w:val="single" w:color="auto" w:sz="4" w:space="0"/>
              <w:left w:val="nil"/>
              <w:bottom w:val="single" w:color="auto" w:sz="4" w:space="0"/>
              <w:right w:val="single" w:color="auto" w:sz="4" w:space="0"/>
            </w:tcBorders>
            <w:noWrap w:val="0"/>
            <w:vAlign w:val="center"/>
          </w:tcPr>
          <w:p>
            <w:pPr>
              <w:rPr>
                <w:rFonts w:ascii="宋体" w:hAnsi="宋体" w:cs="宋体"/>
                <w:b/>
                <w:bCs/>
                <w:sz w:val="18"/>
                <w:szCs w:val="18"/>
              </w:rPr>
            </w:pP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单位</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工程量</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单位指标（元）</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一</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工程费用</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91430.78</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91430.78</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（一）</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储备林芝溪片区</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29184.20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29184.20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储备林芝溪中轴片区</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8446.65</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8446.65</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集约人工林栽培2</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5522.65</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5522.65</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789.0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整地（土石方工程）</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254.00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254.00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2540000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生产便道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巡护道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735.00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735.00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1050000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消防水池</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1.6</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生产服务设施（晒坝、堆料场、生态停车场、苗木运输转运场等）</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管护用房</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360.00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360.00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防火瞭望台、塔</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350.00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350.00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个</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1.9</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休憩、环卫设施（坐凳、垃圾桶）</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1.10</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护林防火警示标牌</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灌溉系统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照明系统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储备林芝溪南部片区</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12678.17</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12678.17</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集约人工林栽培1</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1383.20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1383.20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345.8</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集约人工林栽培2</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171.08</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171.08</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24.44</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现有林改培</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5275.14</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5275.14</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8791.9</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森林抚育</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188.75</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188.75</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419.45</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整地</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2.6</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生产便道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1260.00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1260.00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2.7</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巡护道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1575.00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1575.00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1050000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2.8</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消防水池</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2.9</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生产服务设施（晒坝、堆料场、生态停车场、苗木运输转运场等）</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750.00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750.00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2.10</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管护用房</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防火瞭望台、塔</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个</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休憩、环卫设施（坐凳、垃圾桶）</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护林防火警示标牌</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灌溉系统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2.15</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照明系统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储备林芝溪北部片区</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8059.38</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8059.38</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集约人工林栽培2</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2558.08</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2558.08</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365.44</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现有林改培</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355.62</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355.62</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592.7</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森林抚育</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40.68</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40.68</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90.4</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生产便道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1050.00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1050.00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3.5</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巡护道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1260.00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1260.00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1050000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3.6</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消防水池</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3.7</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生产服务设施（晒坝、堆料场、生态停车场、苗木运输转运场等）</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750.00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750.00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3.8</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管护用房（管理仓储用房）</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3.9</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防火瞭望台、塔</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个</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8</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3.10</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休憩、环卫设施（坐凳、垃圾桶）</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护林防火警示标牌</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灌溉系统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3.13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照明系统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（二）</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储备林遂潼一体化片区</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25832.28</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25832.28</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集约人工林栽培1</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7309.24</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7309.24</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1827.3</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集约人工林栽培2</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现有林改培</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2655.24</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2655.24</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4425.4</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森林抚育</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13017.80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13017.80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28928.4</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林下菌类</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1.6</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林下药材</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整地</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巡护道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315.00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315.00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1050000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1.9</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消防水池</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1.10</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生产服务设施（晒坝、堆料场、生态停车场、苗木运输转运场等）</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管护用房</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防火瞭望台、塔</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个</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休憩、环卫设施（坐凳、垃圾桶）</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160.00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160.00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1600000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1.15</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护林防火警示标牌</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灌溉系统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（三）</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储备林高峰山片区</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19431.36</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0.00</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19431.36</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集约人工林栽培1</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6979.12</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6979.12</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1744.8</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现有林改培</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3461.30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3461.30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5768.8</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森林抚育</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6705.95</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6705.95</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14902.1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林下药材</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巡护道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525.00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525.00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1050000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1.6</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生产服务设施（晒坝、堆料场、生态停车场、苗木运输转运场等）</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8000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管护用房</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360.00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360.00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防火瞭望台、塔</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个</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1.9</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休憩、环卫设施（坐凳、垃圾桶）</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1.10</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护林防火警示标牌</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灌溉系统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照明系统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（四）</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储备林常乐天福红江片区</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16982.94</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16982.94</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集约人工林栽培1</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1737.61</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1737.61</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2316.81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现有林改培</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6266.06</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6266.06</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13924.57</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森林抚育</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6559.27</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6559.27</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21158.94</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3100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林下药材</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亩</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生产便道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420.00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420.00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2100000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1.6</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巡护道</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525.00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525.00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km</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1050000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消防水池</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75.00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75.00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生产服务设施（晒坝、堆料场、生态停车场、苗木运输转运场等）</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250.00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1.9</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管护用房</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1.10</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防火瞭望台、塔</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150.00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个</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休憩、环卫设施（坐凳、垃圾桶）</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护林防火警示标牌</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灌溉系统</w:t>
            </w:r>
          </w:p>
        </w:tc>
        <w:tc>
          <w:tcPr>
            <w:tcW w:w="486"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w:t>
            </w: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1000000</w:t>
            </w: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二</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工程建设其他费用</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编制依据</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15859.36</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15859.36</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土地流转费用</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流转土地面积总计106516.26亩</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9586.46</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9586.46</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林地</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流转土地及林木经营权，林地经营权按150元/亩/年估算</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9586.46</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9586.46</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建设单位管理费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财建[2016]504号，参考市场价（下同）</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860.11</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860.11</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勘察费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按照计价格[2002]10号计算</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914.31</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914.31</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设计费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按照计价格[2002]10号计算</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1741.40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1741.40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项目前期咨询费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川价费字[2000]35号，含可研编制及可研评估费</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277.92</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277.92</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6</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招标代理服务费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按照计价格[2002]1980号文和发改价格[2011]534号下浮20%计算</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7</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监理与相关服务费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按照发改价格［2007］670号</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900.00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8</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施工图审查费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川发改价格[2011]323号</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80.00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80.00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9</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环境影响咨询费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按照计价格[2002]125号计算</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180.00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检查验收费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参照川价费[2004] 28 号</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11</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工程量清单及控制价编制费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川价发[2008] 141号</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228.58</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228.58</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12</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全过程造价控制</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川价发[2008] 141号</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502.87</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502.87</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13</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竣工结算审核</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川价发[2008] 141号</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237.72</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237.72</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14</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林地征占报告编制</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川林会〔2020〕11号</w:t>
            </w:r>
          </w:p>
        </w:tc>
        <w:tc>
          <w:tcPr>
            <w:tcW w:w="448" w:type="pct"/>
            <w:tcBorders>
              <w:top w:val="nil"/>
              <w:left w:val="nil"/>
              <w:bottom w:val="single" w:color="auto" w:sz="4" w:space="0"/>
              <w:right w:val="nil"/>
            </w:tcBorders>
            <w:noWrap w:val="0"/>
            <w:vAlign w:val="center"/>
          </w:tcPr>
          <w:p>
            <w:pPr>
              <w:autoSpaceDE w:val="0"/>
              <w:jc w:val="center"/>
              <w:rPr>
                <w:rFonts w:ascii="宋体" w:hAnsi="宋体" w:cs="宋体"/>
                <w:sz w:val="18"/>
                <w:szCs w:val="18"/>
              </w:rPr>
            </w:pPr>
            <w:r>
              <w:rPr>
                <w:rFonts w:hint="eastAsia" w:ascii="宋体" w:hAnsi="宋体" w:cs="宋体"/>
                <w:sz w:val="18"/>
                <w:szCs w:val="18"/>
              </w:rPr>
              <w:t>200.00</w:t>
            </w:r>
          </w:p>
        </w:tc>
        <w:tc>
          <w:tcPr>
            <w:tcW w:w="467"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sz w:val="18"/>
                <w:szCs w:val="18"/>
              </w:rPr>
            </w:pPr>
            <w:r>
              <w:rPr>
                <w:rFonts w:hint="eastAsia" w:ascii="宋体" w:hAnsi="宋体" w:cs="宋体"/>
                <w:sz w:val="18"/>
                <w:szCs w:val="18"/>
              </w:rPr>
              <w:t>200.00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三</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预备费</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工程费用与工程建设其他费用扣除土地费用之和的5%</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4885.18</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4885.18</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四</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静态总投资</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一+二+三</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112175.33</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112175.33</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五</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建设期利息</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利率按5.5%测算</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20212.50</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20212.50</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r>
        <w:tblPrEx>
          <w:tblCellMar>
            <w:top w:w="0" w:type="dxa"/>
            <w:left w:w="108" w:type="dxa"/>
            <w:bottom w:w="0" w:type="dxa"/>
            <w:right w:w="108" w:type="dxa"/>
          </w:tblCellMar>
        </w:tblPrEx>
        <w:trPr>
          <w:trHeight w:val="20" w:hRule="atLeast"/>
        </w:trPr>
        <w:tc>
          <w:tcPr>
            <w:tcW w:w="259" w:type="pct"/>
            <w:tcBorders>
              <w:top w:val="nil"/>
              <w:left w:val="single" w:color="auto" w:sz="4" w:space="0"/>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六</w:t>
            </w:r>
          </w:p>
        </w:tc>
        <w:tc>
          <w:tcPr>
            <w:tcW w:w="1153"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总投资额</w:t>
            </w:r>
          </w:p>
        </w:tc>
        <w:tc>
          <w:tcPr>
            <w:tcW w:w="1381" w:type="pct"/>
            <w:gridSpan w:val="3"/>
            <w:tcBorders>
              <w:top w:val="single" w:color="auto" w:sz="4" w:space="0"/>
              <w:left w:val="nil"/>
              <w:bottom w:val="single" w:color="auto" w:sz="4" w:space="0"/>
              <w:right w:val="single" w:color="000000"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四+五</w:t>
            </w:r>
          </w:p>
        </w:tc>
        <w:tc>
          <w:tcPr>
            <w:tcW w:w="448"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132387.83</w:t>
            </w:r>
          </w:p>
        </w:tc>
        <w:tc>
          <w:tcPr>
            <w:tcW w:w="467"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r>
              <w:rPr>
                <w:rFonts w:hint="eastAsia" w:ascii="宋体" w:hAnsi="宋体" w:cs="宋体"/>
                <w:b/>
                <w:bCs/>
                <w:sz w:val="18"/>
                <w:szCs w:val="18"/>
              </w:rPr>
              <w:t>132387.83</w:t>
            </w:r>
          </w:p>
        </w:tc>
        <w:tc>
          <w:tcPr>
            <w:tcW w:w="321"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429"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c>
          <w:tcPr>
            <w:tcW w:w="542" w:type="pct"/>
            <w:tcBorders>
              <w:top w:val="nil"/>
              <w:left w:val="nil"/>
              <w:bottom w:val="single" w:color="auto" w:sz="4" w:space="0"/>
              <w:right w:val="single" w:color="auto" w:sz="4" w:space="0"/>
            </w:tcBorders>
            <w:noWrap w:val="0"/>
            <w:vAlign w:val="center"/>
          </w:tcPr>
          <w:p>
            <w:pPr>
              <w:autoSpaceDE w:val="0"/>
              <w:jc w:val="center"/>
              <w:rPr>
                <w:rFonts w:ascii="宋体" w:hAnsi="宋体" w:cs="宋体"/>
                <w:b/>
                <w:bCs/>
                <w:sz w:val="18"/>
                <w:szCs w:val="18"/>
              </w:rPr>
            </w:pPr>
          </w:p>
        </w:tc>
      </w:tr>
    </w:tbl>
    <w:p>
      <w:pPr>
        <w:widowControl w:val="0"/>
        <w:autoSpaceDE w:val="0"/>
        <w:autoSpaceDN w:val="0"/>
        <w:spacing w:before="120" w:beforeLines="50" w:after="120" w:afterLines="50" w:line="600" w:lineRule="exact"/>
        <w:jc w:val="both"/>
        <w:rPr>
          <w:rFonts w:eastAsia="仿宋"/>
          <w:kern w:val="2"/>
          <w:sz w:val="28"/>
          <w:szCs w:val="28"/>
        </w:rPr>
      </w:pPr>
      <w:r>
        <w:rPr>
          <w:rFonts w:eastAsia="仿宋"/>
          <w:kern w:val="2"/>
          <w:sz w:val="28"/>
          <w:szCs w:val="28"/>
        </w:rPr>
        <w:t xml:space="preserve"> </w:t>
      </w:r>
    </w:p>
    <w:p>
      <w:pPr>
        <w:spacing w:line="440" w:lineRule="exact"/>
        <w:rPr>
          <w:rFonts w:hint="eastAsia"/>
          <w:sz w:val="32"/>
          <w:szCs w:val="32"/>
        </w:rPr>
      </w:pPr>
    </w:p>
    <w:p>
      <w:pPr>
        <w:spacing w:line="440" w:lineRule="exact"/>
        <w:rPr>
          <w:rFonts w:hint="eastAsia"/>
          <w:sz w:val="32"/>
          <w:szCs w:val="32"/>
        </w:rPr>
      </w:pPr>
    </w:p>
    <w:p>
      <w:pPr>
        <w:spacing w:line="440" w:lineRule="exact"/>
        <w:rPr>
          <w:rFonts w:hint="eastAsia"/>
          <w:sz w:val="32"/>
          <w:szCs w:val="32"/>
        </w:rPr>
      </w:pPr>
    </w:p>
    <w:p>
      <w:pPr>
        <w:spacing w:line="440" w:lineRule="exact"/>
        <w:rPr>
          <w:rFonts w:hint="eastAsia"/>
          <w:sz w:val="32"/>
          <w:szCs w:val="32"/>
        </w:rPr>
      </w:pPr>
    </w:p>
    <w:p>
      <w:pPr>
        <w:spacing w:line="440" w:lineRule="exact"/>
        <w:rPr>
          <w:rFonts w:hint="eastAsia"/>
          <w:sz w:val="32"/>
          <w:szCs w:val="32"/>
        </w:rPr>
      </w:pPr>
    </w:p>
    <w:p>
      <w:pPr>
        <w:spacing w:line="440" w:lineRule="exact"/>
        <w:rPr>
          <w:rFonts w:hint="eastAsia"/>
          <w:sz w:val="32"/>
          <w:szCs w:val="32"/>
        </w:rPr>
      </w:pPr>
    </w:p>
    <w:p>
      <w:pPr>
        <w:spacing w:line="440" w:lineRule="exact"/>
        <w:rPr>
          <w:rFonts w:hint="eastAsia"/>
          <w:sz w:val="32"/>
          <w:szCs w:val="32"/>
        </w:rPr>
      </w:pPr>
    </w:p>
    <w:p>
      <w:pPr>
        <w:spacing w:line="440" w:lineRule="exact"/>
        <w:rPr>
          <w:rFonts w:hint="eastAsia"/>
          <w:sz w:val="32"/>
          <w:szCs w:val="32"/>
        </w:rPr>
      </w:pPr>
    </w:p>
    <w:p>
      <w:pPr>
        <w:spacing w:line="440" w:lineRule="exact"/>
        <w:rPr>
          <w:sz w:val="32"/>
          <w:szCs w:val="32"/>
        </w:rPr>
        <w:sectPr>
          <w:pgSz w:w="16820" w:h="11900" w:orient="landscape"/>
          <w:pgMar w:top="1418" w:right="1701" w:bottom="1418" w:left="1134" w:header="720" w:footer="720" w:gutter="0"/>
          <w:pgNumType w:fmt="decimal" w:start="1"/>
          <w:cols w:space="720" w:num="1"/>
          <w:docGrid w:linePitch="326" w:charSpace="0"/>
        </w:sectPr>
      </w:pP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1.7特许经营范围</w:t>
      </w:r>
    </w:p>
    <w:p>
      <w:pPr>
        <w:pageBreakBefore w:val="0"/>
        <w:widowControl w:val="0"/>
        <w:kinsoku/>
        <w:wordWrap/>
        <w:overflowPunct/>
        <w:topLinePunct w:val="0"/>
        <w:autoSpaceDE/>
        <w:autoSpaceDN/>
        <w:bidi w:val="0"/>
        <w:adjustRightInd/>
        <w:snapToGrid/>
        <w:spacing w:before="0" w:after="0" w:line="40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本项目特许经营范围为蓬溪县国家储备林建设及森林质量提升项目的投资、建设、运营维护以及授权范围内的其他业务经营。</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0" w:name="_Toc106575118"/>
      <w:r>
        <w:rPr>
          <w:rFonts w:hint="eastAsia" w:ascii="宋体" w:hAnsi="宋体" w:eastAsia="宋体" w:cs="宋体"/>
          <w:b/>
          <w:bCs/>
          <w:kern w:val="2"/>
          <w:sz w:val="24"/>
          <w:szCs w:val="24"/>
          <w:lang w:val="en-US" w:eastAsia="zh-CN" w:bidi="ar-SA"/>
        </w:rPr>
        <w:t>2.产出说明</w:t>
      </w:r>
      <w:bookmarkEnd w:id="0"/>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2.1项目需求</w:t>
      </w:r>
    </w:p>
    <w:p>
      <w:pPr>
        <w:pageBreakBefore w:val="0"/>
        <w:widowControl w:val="0"/>
        <w:kinsoku/>
        <w:wordWrap/>
        <w:overflowPunct/>
        <w:topLinePunct w:val="0"/>
        <w:autoSpaceDE/>
        <w:autoSpaceDN/>
        <w:bidi w:val="0"/>
        <w:adjustRightInd/>
        <w:snapToGrid/>
        <w:spacing w:before="0" w:after="0" w:line="400" w:lineRule="exact"/>
        <w:ind w:right="120" w:rightChars="5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项目需求即项目建设最终应达到的目标或要求。本项目坚持以生态建设为总目标，以改善木材供给为总任务。充分利用遂宁市蓬溪县集体（个体）林林地资源，选择自然条件优越、交通便利、相对集中连片的区域建设国家储备林（依据四川省林业和草原调查规划院出具的建设方案），完善配套基础设施，建立一批集约化、基地化、规模化、标准化的国家储备林，为保障国家木材安全、助力乡村振兴、促进蓬溪县经济与生态环境协调发展做出积极贡献。</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2.2项目自身经营性收入</w:t>
      </w:r>
    </w:p>
    <w:p>
      <w:pPr>
        <w:pageBreakBefore w:val="0"/>
        <w:widowControl w:val="0"/>
        <w:kinsoku/>
        <w:wordWrap/>
        <w:overflowPunct/>
        <w:topLinePunct w:val="0"/>
        <w:autoSpaceDE/>
        <w:autoSpaceDN/>
        <w:bidi w:val="0"/>
        <w:adjustRightInd/>
        <w:snapToGrid/>
        <w:spacing w:before="0" w:after="0" w:line="40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本项目自身收入具体包括林下中草药销售收入、林下菌销售收入、木材砍伐收入，本项目自身收入合计 170,600.53 万元（不含税）。</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2.3可行性缺口补助收入</w:t>
      </w:r>
    </w:p>
    <w:p>
      <w:pPr>
        <w:pageBreakBefore w:val="0"/>
        <w:widowControl w:val="0"/>
        <w:kinsoku/>
        <w:wordWrap/>
        <w:overflowPunct/>
        <w:topLinePunct w:val="0"/>
        <w:autoSpaceDE/>
        <w:autoSpaceDN/>
        <w:bidi w:val="0"/>
        <w:adjustRightInd/>
        <w:snapToGrid/>
        <w:spacing w:before="0" w:after="0" w:line="400" w:lineRule="exact"/>
        <w:ind w:left="0" w:right="0" w:firstLine="720" w:firstLineChars="3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在特许经营期内，社会资本方可通过特许经营范围内的项目自身经营收入（木材销售收入，林菌销售收入、林下中草药销售收入）获得使用者付费，但不足以支付社会资本方收回投资成本、运营成本和获取合理回报，需由政府支付特许经营服务费。因此项目宜采用“可行性缺口补助”的回报机制。即：</w:t>
      </w:r>
    </w:p>
    <w:p>
      <w:pPr>
        <w:pageBreakBefore w:val="0"/>
        <w:widowControl w:val="0"/>
        <w:kinsoku/>
        <w:wordWrap/>
        <w:overflowPunct/>
        <w:topLinePunct w:val="0"/>
        <w:autoSpaceDE/>
        <w:autoSpaceDN/>
        <w:bidi w:val="0"/>
        <w:adjustRightInd/>
        <w:snapToGrid/>
        <w:spacing w:before="0" w:after="0" w:line="400" w:lineRule="exact"/>
        <w:ind w:left="0" w:right="0" w:firstLine="720" w:firstLineChars="3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特许经营服务费：</w:t>
      </w:r>
    </w:p>
    <w:p>
      <w:pPr>
        <w:pageBreakBefore w:val="0"/>
        <w:widowControl w:val="0"/>
        <w:kinsoku/>
        <w:wordWrap/>
        <w:overflowPunct/>
        <w:topLinePunct w:val="0"/>
        <w:autoSpaceDE/>
        <w:autoSpaceDN/>
        <w:bidi w:val="0"/>
        <w:adjustRightInd/>
        <w:snapToGrid/>
        <w:spacing w:before="0" w:after="0" w:line="400" w:lineRule="exact"/>
        <w:ind w:left="0" w:right="0" w:firstLine="720" w:firstLineChars="3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=可用性服务费+运维补贴-使用者付费</w:t>
      </w:r>
    </w:p>
    <w:p>
      <w:pPr>
        <w:pageBreakBefore w:val="0"/>
        <w:widowControl w:val="0"/>
        <w:kinsoku/>
        <w:wordWrap/>
        <w:overflowPunct/>
        <w:topLinePunct w:val="0"/>
        <w:autoSpaceDE/>
        <w:autoSpaceDN/>
        <w:bidi w:val="0"/>
        <w:adjustRightInd/>
        <w:snapToGrid/>
        <w:spacing w:before="0" w:after="0" w:line="400" w:lineRule="exact"/>
        <w:ind w:left="0" w:right="0" w:firstLine="720" w:firstLineChars="3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=可用性服务费+年度运营成本* (1+合理利润率) -使用者付费。</w:t>
      </w:r>
    </w:p>
    <w:p>
      <w:pPr>
        <w:pageBreakBefore w:val="0"/>
        <w:widowControl w:val="0"/>
        <w:kinsoku/>
        <w:wordWrap/>
        <w:overflowPunct/>
        <w:topLinePunct w:val="0"/>
        <w:autoSpaceDE/>
        <w:autoSpaceDN/>
        <w:bidi w:val="0"/>
        <w:adjustRightInd/>
        <w:snapToGrid/>
        <w:spacing w:before="0" w:after="0" w:line="400" w:lineRule="exact"/>
        <w:ind w:left="0" w:right="0" w:firstLine="720" w:firstLineChars="300"/>
        <w:jc w:val="both"/>
        <w:textAlignment w:val="auto"/>
        <w:rPr>
          <w:rFonts w:hint="eastAsia" w:ascii="宋体" w:hAnsi="宋体" w:eastAsia="宋体" w:cs="宋体"/>
          <w:color w:val="auto"/>
          <w:kern w:val="2"/>
          <w:sz w:val="24"/>
          <w:szCs w:val="24"/>
          <w:lang w:val="en-US" w:bidi="ar-SA"/>
        </w:rPr>
      </w:pPr>
      <w:r>
        <w:rPr>
          <w:rFonts w:hint="eastAsia" w:ascii="宋体" w:hAnsi="宋体" w:eastAsia="宋体" w:cs="宋体"/>
          <w:kern w:val="2"/>
          <w:sz w:val="24"/>
          <w:szCs w:val="24"/>
          <w:lang w:val="en-US" w:bidi="ar-SA"/>
        </w:rPr>
        <w:t>本次可用性服务费按等额本息的方式进行计箅：</w:t>
      </w:r>
    </w:p>
    <w:p>
      <w:pPr>
        <w:pStyle w:val="2"/>
        <w:rPr>
          <w:rFonts w:hint="eastAsia"/>
          <w:lang w:val="en-US"/>
        </w:rPr>
      </w:pPr>
      <w:r>
        <w:rPr>
          <w:rFonts w:hint="eastAsia" w:eastAsia="宋体"/>
          <w:lang w:val="en-US" w:eastAsia="zh-CN"/>
        </w:rPr>
        <w:drawing>
          <wp:inline distT="0" distB="0" distL="114300" distR="114300">
            <wp:extent cx="2038350" cy="647700"/>
            <wp:effectExtent l="0" t="0" r="0" b="0"/>
            <wp:docPr id="4" name="图片 1" descr="165692048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656920484361"/>
                    <pic:cNvPicPr>
                      <a:picLocks noChangeAspect="1"/>
                    </pic:cNvPicPr>
                  </pic:nvPicPr>
                  <pic:blipFill>
                    <a:blip r:embed="rId8"/>
                    <a:stretch>
                      <a:fillRect/>
                    </a:stretch>
                  </pic:blipFill>
                  <pic:spPr>
                    <a:xfrm>
                      <a:off x="0" y="0"/>
                      <a:ext cx="2038350" cy="647700"/>
                    </a:xfrm>
                    <a:prstGeom prst="rect">
                      <a:avLst/>
                    </a:prstGeom>
                    <a:noFill/>
                    <a:ln>
                      <a:noFill/>
                    </a:ln>
                  </pic:spPr>
                </pic:pic>
              </a:graphicData>
            </a:graphic>
          </wp:inline>
        </w:drawing>
      </w:r>
    </w:p>
    <w:p>
      <w:pPr>
        <w:pageBreakBefore w:val="0"/>
        <w:widowControl w:val="0"/>
        <w:kinsoku/>
        <w:wordWrap/>
        <w:overflowPunct/>
        <w:topLinePunct w:val="0"/>
        <w:autoSpaceDE/>
        <w:autoSpaceDN/>
        <w:bidi w:val="0"/>
        <w:spacing w:before="0" w:after="0" w:line="400" w:lineRule="exact"/>
        <w:ind w:left="0" w:right="0" w:firstLine="720" w:firstLineChars="3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P为项目估算总投资132387.83 万元（最终以政府方审计金额为准），i为合理利润7.8 %, n为合作周期年限20年，经测算，在满足绩效考核结果的前提下，运营期政府支付社会资本方的特许经营服务费总额为74272.41 万元。</w:t>
      </w:r>
    </w:p>
    <w:p>
      <w:pPr>
        <w:pageBreakBefore w:val="0"/>
        <w:widowControl w:val="0"/>
        <w:kinsoku/>
        <w:wordWrap/>
        <w:overflowPunct/>
        <w:topLinePunct w:val="0"/>
        <w:autoSpaceDE/>
        <w:autoSpaceDN/>
        <w:bidi w:val="0"/>
        <w:spacing w:before="0" w:after="0" w:line="400" w:lineRule="exact"/>
        <w:ind w:left="0" w:right="0" w:firstLine="720" w:firstLineChars="3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下的政府特许经营服务费在《特许经营协议》签订后，纳入蓬溪中长期财政预算规划，在付费当年纳入蓬溪财政预算管理。项目进入运营期，项目实施机构按《特许经营协议》约定，根据绩效考核结果逐年支付特许经营服务费。原则上经营风险由社会资本方承担，政策法规风险和不可抗力风险由双方共同承担。综上，项目收入合计 244,872.94 万元。</w:t>
      </w:r>
    </w:p>
    <w:p>
      <w:pPr>
        <w:keepNext/>
        <w:keepLines/>
        <w:pageBreakBefore w:val="0"/>
        <w:widowControl w:val="0"/>
        <w:numPr>
          <w:ilvl w:val="0"/>
          <w:numId w:val="0"/>
        </w:numPr>
        <w:kinsoku/>
        <w:wordWrap/>
        <w:overflowPunct/>
        <w:topLinePunct w:val="0"/>
        <w:autoSpaceDE/>
        <w:autoSpaceDN/>
        <w:bidi w:val="0"/>
        <w:spacing w:before="0" w:after="0" w:line="40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2.4采伐限额和凭证管理</w:t>
      </w:r>
    </w:p>
    <w:p>
      <w:pPr>
        <w:pageBreakBefore w:val="0"/>
        <w:widowControl w:val="0"/>
        <w:kinsoku/>
        <w:wordWrap/>
        <w:overflowPunct/>
        <w:topLinePunct w:val="0"/>
        <w:autoSpaceDE/>
        <w:autoSpaceDN/>
        <w:bidi w:val="0"/>
        <w:spacing w:before="0" w:after="0" w:line="40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国家储备林纳入采伐限额管理，采伐所需限额向省级林业主管部门备案。短周期速丰林采伐管理，依据经营方案，执行地方管理规定。以大径级用材培育为目标的，在主伐林龄基础上延长至少一到两个龄级，依据延长龄级采伐和目标树经营技术指标，严格采伐凭证管理。天然次生林、公益林开展国家储备林建设的，按照国家规定执行。本项目林木间伐木由项目实施机构按照法定程序向四川省行业主管部门申请采伐指标。</w:t>
      </w:r>
    </w:p>
    <w:p>
      <w:pPr>
        <w:keepNext/>
        <w:keepLines/>
        <w:pageBreakBefore w:val="0"/>
        <w:widowControl w:val="0"/>
        <w:numPr>
          <w:ilvl w:val="0"/>
          <w:numId w:val="0"/>
        </w:numPr>
        <w:kinsoku/>
        <w:wordWrap/>
        <w:overflowPunct/>
        <w:topLinePunct w:val="0"/>
        <w:autoSpaceDE/>
        <w:autoSpaceDN/>
        <w:bidi w:val="0"/>
        <w:spacing w:before="0" w:after="0" w:line="40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1" w:name="_Toc5348"/>
      <w:bookmarkStart w:id="2" w:name="_Toc106575128"/>
      <w:r>
        <w:rPr>
          <w:rFonts w:hint="eastAsia" w:ascii="宋体" w:hAnsi="宋体" w:eastAsia="宋体" w:cs="宋体"/>
          <w:b/>
          <w:bCs/>
          <w:kern w:val="2"/>
          <w:sz w:val="24"/>
          <w:szCs w:val="24"/>
          <w:lang w:val="en-US" w:eastAsia="zh-CN" w:bidi="ar-SA"/>
        </w:rPr>
        <w:t>2.5土地流转</w:t>
      </w:r>
      <w:bookmarkEnd w:id="1"/>
      <w:r>
        <w:rPr>
          <w:rFonts w:hint="eastAsia" w:ascii="宋体" w:hAnsi="宋体" w:eastAsia="宋体" w:cs="宋体"/>
          <w:b/>
          <w:bCs/>
          <w:kern w:val="2"/>
          <w:sz w:val="24"/>
          <w:szCs w:val="24"/>
          <w:lang w:val="en-US" w:eastAsia="zh-CN" w:bidi="ar-SA"/>
        </w:rPr>
        <w:t>与林权流转</w:t>
      </w:r>
      <w:bookmarkEnd w:id="2"/>
    </w:p>
    <w:p>
      <w:pPr>
        <w:pageBreakBefore w:val="0"/>
        <w:widowControl w:val="0"/>
        <w:kinsoku/>
        <w:wordWrap/>
        <w:overflowPunct/>
        <w:topLinePunct w:val="0"/>
        <w:autoSpaceDE/>
        <w:autoSpaceDN/>
        <w:bidi w:val="0"/>
        <w:adjustRightInd w:val="0"/>
        <w:snapToGrid w:val="0"/>
        <w:spacing w:before="0" w:after="0" w:line="400" w:lineRule="exact"/>
        <w:ind w:firstLine="480" w:firstLineChars="200"/>
        <w:jc w:val="both"/>
        <w:textAlignment w:val="auto"/>
        <w:rPr>
          <w:rFonts w:hint="eastAsia" w:ascii="宋体" w:hAnsi="宋体" w:eastAsia="宋体" w:cs="宋体"/>
          <w:color w:val="2F2F2F"/>
          <w:kern w:val="2"/>
          <w:sz w:val="24"/>
          <w:szCs w:val="24"/>
          <w:lang w:val="zh-TW" w:eastAsia="zh-TW" w:bidi="zh-TW"/>
        </w:rPr>
      </w:pPr>
      <w:r>
        <w:rPr>
          <w:rFonts w:hint="eastAsia" w:ascii="宋体" w:hAnsi="宋体" w:eastAsia="宋体" w:cs="宋体"/>
          <w:color w:val="2F2F2F"/>
          <w:kern w:val="2"/>
          <w:sz w:val="24"/>
          <w:szCs w:val="24"/>
          <w:lang w:val="en-US" w:eastAsia="zh-CN" w:bidi="zh-TW"/>
        </w:rPr>
        <w:t>本</w:t>
      </w:r>
      <w:r>
        <w:rPr>
          <w:rFonts w:hint="eastAsia" w:ascii="宋体" w:hAnsi="宋体" w:eastAsia="宋体" w:cs="宋体"/>
          <w:color w:val="2F2F2F"/>
          <w:kern w:val="2"/>
          <w:sz w:val="24"/>
          <w:szCs w:val="24"/>
          <w:lang w:val="zh-TW" w:eastAsia="zh-TW" w:bidi="zh-TW"/>
        </w:rPr>
        <w:t>项目区林权集中方式主要有统征统收、转让和租赁三种方式，本项目采用租赁土地的方式实施。本项目林地流转单价为1</w:t>
      </w:r>
      <w:r>
        <w:rPr>
          <w:rFonts w:hint="eastAsia" w:ascii="宋体" w:hAnsi="宋体" w:eastAsia="宋体" w:cs="宋体"/>
          <w:color w:val="2F2F2F"/>
          <w:kern w:val="2"/>
          <w:sz w:val="24"/>
          <w:szCs w:val="24"/>
          <w:lang w:val="en-US" w:eastAsia="zh-CN" w:bidi="zh-TW"/>
        </w:rPr>
        <w:t>5</w:t>
      </w:r>
      <w:r>
        <w:rPr>
          <w:rFonts w:hint="eastAsia" w:ascii="宋体" w:hAnsi="宋体" w:eastAsia="宋体" w:cs="宋体"/>
          <w:color w:val="2F2F2F"/>
          <w:kern w:val="2"/>
          <w:sz w:val="24"/>
          <w:szCs w:val="24"/>
          <w:lang w:val="zh-TW" w:eastAsia="zh-TW" w:bidi="zh-TW"/>
        </w:rPr>
        <w:t>0元/亩/年。建设期林地流转费用计入项目总投资，运营期林地流转费用计入项目运营成本。本项目同时流转地上林木经营权。流转林木经营权在建设内不支付林农费用，采用在经营期内砍伐分红的形式，支付林农林木经营权费用，详见流转协议。</w:t>
      </w:r>
    </w:p>
    <w:p>
      <w:pPr>
        <w:keepNext/>
        <w:keepLines/>
        <w:pageBreakBefore w:val="0"/>
        <w:widowControl w:val="0"/>
        <w:numPr>
          <w:ilvl w:val="0"/>
          <w:numId w:val="0"/>
        </w:numPr>
        <w:kinsoku/>
        <w:wordWrap/>
        <w:overflowPunct/>
        <w:topLinePunct w:val="0"/>
        <w:autoSpaceDE/>
        <w:autoSpaceDN/>
        <w:bidi w:val="0"/>
        <w:spacing w:before="0" w:after="0" w:line="40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3" w:name="_Toc106575129"/>
      <w:bookmarkStart w:id="4" w:name="_Toc29858"/>
      <w:r>
        <w:rPr>
          <w:rFonts w:hint="eastAsia" w:ascii="宋体" w:hAnsi="宋体" w:eastAsia="宋体" w:cs="宋体"/>
          <w:b/>
          <w:bCs/>
          <w:kern w:val="2"/>
          <w:sz w:val="24"/>
          <w:szCs w:val="24"/>
          <w:lang w:val="en-US" w:eastAsia="zh-CN" w:bidi="ar-SA"/>
        </w:rPr>
        <w:t>2.6林木所有权与使用权</w:t>
      </w:r>
      <w:bookmarkEnd w:id="3"/>
      <w:bookmarkEnd w:id="4"/>
    </w:p>
    <w:p>
      <w:pPr>
        <w:pageBreakBefore w:val="0"/>
        <w:widowControl w:val="0"/>
        <w:kinsoku/>
        <w:wordWrap/>
        <w:overflowPunct/>
        <w:topLinePunct w:val="0"/>
        <w:autoSpaceDE/>
        <w:autoSpaceDN/>
        <w:bidi w:val="0"/>
        <w:adjustRightInd w:val="0"/>
        <w:snapToGrid w:val="0"/>
        <w:spacing w:before="0" w:after="0" w:line="400" w:lineRule="exact"/>
        <w:jc w:val="both"/>
        <w:textAlignment w:val="auto"/>
        <w:rPr>
          <w:rFonts w:hint="eastAsia" w:ascii="宋体" w:hAnsi="宋体" w:eastAsia="宋体" w:cs="宋体"/>
          <w:color w:val="2F2F2F"/>
          <w:kern w:val="2"/>
          <w:sz w:val="24"/>
          <w:szCs w:val="24"/>
          <w:lang w:val="en-US" w:eastAsia="zh-CN" w:bidi="zh-TW"/>
        </w:rPr>
      </w:pPr>
      <w:r>
        <w:rPr>
          <w:rFonts w:hint="eastAsia" w:ascii="宋体" w:hAnsi="宋体" w:eastAsia="宋体" w:cs="宋体"/>
          <w:color w:val="2F2F2F"/>
          <w:kern w:val="2"/>
          <w:sz w:val="24"/>
          <w:szCs w:val="24"/>
          <w:lang w:val="zh-TW" w:eastAsia="zh-TW" w:bidi="zh-TW"/>
        </w:rPr>
        <w:t>本项目土地及林地经流转后，经营期内林地经营权和林木经营权由社会资本方持有。</w:t>
      </w:r>
    </w:p>
    <w:p>
      <w:pPr>
        <w:keepNext/>
        <w:keepLines/>
        <w:pageBreakBefore w:val="0"/>
        <w:widowControl w:val="0"/>
        <w:numPr>
          <w:ilvl w:val="0"/>
          <w:numId w:val="0"/>
        </w:numPr>
        <w:kinsoku/>
        <w:wordWrap/>
        <w:overflowPunct/>
        <w:topLinePunct w:val="0"/>
        <w:autoSpaceDE/>
        <w:autoSpaceDN/>
        <w:bidi w:val="0"/>
        <w:spacing w:before="0" w:after="0" w:line="40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5" w:name="_Toc106575143"/>
      <w:r>
        <w:rPr>
          <w:rFonts w:hint="eastAsia" w:ascii="宋体" w:hAnsi="宋体" w:eastAsia="宋体" w:cs="宋体"/>
          <w:b/>
          <w:bCs/>
          <w:kern w:val="2"/>
          <w:sz w:val="24"/>
          <w:szCs w:val="24"/>
          <w:lang w:val="en-US" w:eastAsia="zh-CN" w:bidi="ar-SA"/>
        </w:rPr>
        <w:t>2.7特许经营合作内容、范围</w:t>
      </w:r>
      <w:bookmarkEnd w:id="5"/>
    </w:p>
    <w:p>
      <w:pPr>
        <w:pageBreakBefore w:val="0"/>
        <w:widowControl w:val="0"/>
        <w:kinsoku/>
        <w:wordWrap/>
        <w:overflowPunct/>
        <w:topLinePunct w:val="0"/>
        <w:autoSpaceDE/>
        <w:autoSpaceDN/>
        <w:bidi w:val="0"/>
        <w:adjustRightInd w:val="0"/>
        <w:snapToGrid w:val="0"/>
        <w:spacing w:before="0" w:after="0" w:line="400" w:lineRule="exact"/>
        <w:ind w:firstLine="480" w:firstLineChars="200"/>
        <w:jc w:val="both"/>
        <w:textAlignment w:val="auto"/>
        <w:rPr>
          <w:rFonts w:hint="eastAsia" w:ascii="宋体" w:hAnsi="宋体" w:eastAsia="宋体" w:cs="宋体"/>
          <w:color w:val="2F2F2F"/>
          <w:kern w:val="2"/>
          <w:sz w:val="24"/>
          <w:szCs w:val="24"/>
          <w:lang w:val="zh-TW" w:eastAsia="zh-TW" w:bidi="zh-TW"/>
        </w:rPr>
      </w:pPr>
      <w:r>
        <w:rPr>
          <w:rFonts w:hint="eastAsia" w:ascii="宋体" w:hAnsi="宋体" w:eastAsia="宋体" w:cs="宋体"/>
          <w:color w:val="2F2F2F"/>
          <w:kern w:val="2"/>
          <w:sz w:val="24"/>
          <w:szCs w:val="24"/>
          <w:lang w:val="zh-TW" w:eastAsia="zh-TW" w:bidi="zh-TW"/>
        </w:rPr>
        <w:t>由</w:t>
      </w:r>
      <w:r>
        <w:rPr>
          <w:rFonts w:hint="eastAsia" w:ascii="宋体" w:hAnsi="宋体" w:eastAsia="宋体" w:cs="宋体"/>
          <w:color w:val="2F2F2F"/>
          <w:kern w:val="2"/>
          <w:sz w:val="24"/>
          <w:szCs w:val="24"/>
          <w:lang w:val="en-US" w:eastAsia="zh-CN" w:bidi="zh-TW"/>
        </w:rPr>
        <w:t>蓬溪县</w:t>
      </w:r>
      <w:r>
        <w:rPr>
          <w:rFonts w:hint="eastAsia" w:ascii="宋体" w:hAnsi="宋体" w:eastAsia="宋体" w:cs="宋体"/>
          <w:color w:val="2F2F2F"/>
          <w:kern w:val="2"/>
          <w:sz w:val="24"/>
          <w:szCs w:val="24"/>
          <w:lang w:val="zh-TW" w:eastAsia="zh-CN" w:bidi="zh-TW"/>
        </w:rPr>
        <w:t>自然资源和规划局</w:t>
      </w:r>
      <w:r>
        <w:rPr>
          <w:rFonts w:hint="eastAsia" w:ascii="宋体" w:hAnsi="宋体" w:eastAsia="宋体" w:cs="宋体"/>
          <w:color w:val="2F2F2F"/>
          <w:kern w:val="2"/>
          <w:sz w:val="24"/>
          <w:szCs w:val="24"/>
          <w:lang w:val="zh-TW" w:eastAsia="zh-TW" w:bidi="zh-TW"/>
        </w:rPr>
        <w:t>通过法定程序选定社会资本方，签订特许经营协议，并授予社会资本方针对本项目的投资、建设、运菅维护</w:t>
      </w:r>
      <w:r>
        <w:rPr>
          <w:rFonts w:hint="eastAsia" w:ascii="宋体" w:hAnsi="宋体" w:eastAsia="宋体" w:cs="宋体"/>
          <w:color w:val="2F2F2F"/>
          <w:kern w:val="2"/>
          <w:sz w:val="24"/>
          <w:szCs w:val="24"/>
          <w:lang w:val="en-US" w:eastAsia="zh-CN" w:bidi="zh-TW"/>
        </w:rPr>
        <w:t>等</w:t>
      </w:r>
      <w:r>
        <w:rPr>
          <w:rFonts w:hint="eastAsia" w:ascii="宋体" w:hAnsi="宋体" w:eastAsia="宋体" w:cs="宋体"/>
          <w:color w:val="2F2F2F"/>
          <w:kern w:val="2"/>
          <w:sz w:val="24"/>
          <w:szCs w:val="24"/>
          <w:lang w:val="zh-TW" w:eastAsia="zh-TW" w:bidi="zh-TW"/>
        </w:rPr>
        <w:t>特许经营权。</w:t>
      </w:r>
    </w:p>
    <w:p>
      <w:pPr>
        <w:pageBreakBefore w:val="0"/>
        <w:widowControl w:val="0"/>
        <w:kinsoku/>
        <w:wordWrap/>
        <w:overflowPunct/>
        <w:topLinePunct w:val="0"/>
        <w:autoSpaceDE/>
        <w:autoSpaceDN/>
        <w:bidi w:val="0"/>
        <w:adjustRightInd w:val="0"/>
        <w:snapToGrid w:val="0"/>
        <w:spacing w:before="0" w:after="0" w:line="400" w:lineRule="exact"/>
        <w:ind w:firstLine="480" w:firstLineChars="200"/>
        <w:jc w:val="both"/>
        <w:textAlignment w:val="auto"/>
        <w:rPr>
          <w:rFonts w:hint="eastAsia"/>
          <w:lang w:val="en-US"/>
        </w:rPr>
      </w:pPr>
      <w:r>
        <w:rPr>
          <w:rFonts w:hint="eastAsia" w:ascii="宋体" w:hAnsi="宋体" w:eastAsia="宋体" w:cs="宋体"/>
          <w:color w:val="2F2F2F"/>
          <w:kern w:val="2"/>
          <w:sz w:val="24"/>
          <w:szCs w:val="24"/>
          <w:lang w:val="zh-TW" w:eastAsia="zh-TW" w:bidi="zh-TW"/>
        </w:rPr>
        <w:t>特许经营期限：除非提前终止，经营期限为《特许经营协议》约定的期限。特许经营服务范围为本项目《特许经营协议》中约定的范围。</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6" w:name="_Toc106575124"/>
      <w:r>
        <w:rPr>
          <w:rFonts w:hint="eastAsia" w:ascii="宋体" w:hAnsi="宋体" w:eastAsia="宋体" w:cs="宋体"/>
          <w:b/>
          <w:bCs/>
          <w:kern w:val="2"/>
          <w:sz w:val="24"/>
          <w:szCs w:val="24"/>
          <w:lang w:val="en-US" w:eastAsia="zh-CN" w:bidi="ar-SA"/>
        </w:rPr>
        <w:t>2.8项目运作方式</w:t>
      </w:r>
      <w:bookmarkEnd w:id="6"/>
    </w:p>
    <w:p>
      <w:pPr>
        <w:pStyle w:val="2"/>
        <w:rPr>
          <w:lang w:val="en-US" w:eastAsia="zh-CN"/>
        </w:rPr>
      </w:pPr>
    </w:p>
    <w:p>
      <w:pPr>
        <w:pageBreakBefore w:val="0"/>
        <w:widowControl w:val="0"/>
        <w:kinsoku/>
        <w:wordWrap/>
        <w:overflowPunct/>
        <w:topLinePunct w:val="0"/>
        <w:bidi w:val="0"/>
        <w:adjustRightInd w:val="0"/>
        <w:snapToGrid w:val="0"/>
        <w:spacing w:before="0" w:after="0" w:line="440" w:lineRule="exact"/>
        <w:jc w:val="center"/>
        <w:textAlignment w:val="auto"/>
        <w:rPr>
          <w:rFonts w:hint="eastAsia" w:ascii="Times New Roman" w:hAnsi="Times New Roman" w:eastAsia="仿宋" w:cs="Times New Roman"/>
          <w:kern w:val="2"/>
          <w:sz w:val="28"/>
          <w:lang w:val="en-US" w:bidi="ar-SA"/>
        </w:rPr>
        <w:sectPr>
          <w:headerReference r:id="rId5" w:type="default"/>
          <w:footerReference r:id="rId6" w:type="default"/>
          <w:pgSz w:w="11910" w:h="16840"/>
          <w:pgMar w:top="1417" w:right="1417" w:bottom="1304" w:left="1429" w:header="0" w:footer="1044" w:gutter="0"/>
          <w:pgBorders>
            <w:top w:val="none" w:sz="0" w:space="0"/>
            <w:left w:val="none" w:sz="0" w:space="0"/>
            <w:bottom w:val="none" w:sz="0" w:space="0"/>
            <w:right w:val="none" w:sz="0" w:space="0"/>
          </w:pgBorders>
          <w:pgNumType w:fmt="decimal"/>
          <w:cols w:space="720" w:num="1"/>
          <w:rtlGutter w:val="0"/>
        </w:sectPr>
      </w:pPr>
      <w:r>
        <w:rPr>
          <w:rFonts w:hint="eastAsia" w:ascii="仿宋" w:hAnsi="仿宋" w:eastAsia="仿宋" w:cs="仿宋"/>
          <w:b/>
          <w:bCs/>
          <w:color w:val="2F2F2F"/>
          <w:kern w:val="2"/>
          <w:sz w:val="28"/>
          <w:szCs w:val="28"/>
          <w:lang w:val="zh-TW" w:eastAsia="zh-CN" w:bidi="zh-TW"/>
        </w:rPr>
        <w:t>图</w:t>
      </w:r>
      <w:r>
        <w:rPr>
          <w:rFonts w:hint="eastAsia" w:ascii="仿宋" w:hAnsi="仿宋" w:eastAsia="仿宋" w:cs="仿宋"/>
          <w:b/>
          <w:bCs/>
          <w:color w:val="2F2F2F"/>
          <w:kern w:val="2"/>
          <w:sz w:val="28"/>
          <w:szCs w:val="28"/>
          <w:lang w:val="en-US" w:eastAsia="zh-CN" w:bidi="zh-TW"/>
        </w:rPr>
        <w:t>4</w:t>
      </w:r>
      <w:r>
        <w:rPr>
          <w:rFonts w:hint="eastAsia" w:ascii="仿宋" w:hAnsi="仿宋" w:eastAsia="仿宋" w:cs="仿宋"/>
          <w:b/>
          <w:bCs/>
          <w:color w:val="2F2F2F"/>
          <w:kern w:val="2"/>
          <w:sz w:val="28"/>
          <w:szCs w:val="28"/>
          <w:lang w:val="zh-TW" w:eastAsia="zh-CN" w:bidi="zh-TW"/>
        </w:rPr>
        <w:t>-1</w:t>
      </w:r>
      <w:r>
        <w:rPr>
          <w:rFonts w:hint="eastAsia" w:ascii="仿宋" w:hAnsi="仿宋" w:eastAsia="仿宋" w:cs="仿宋"/>
          <w:b/>
          <w:bCs/>
          <w:color w:val="2F2F2F"/>
          <w:kern w:val="2"/>
          <w:sz w:val="28"/>
          <w:szCs w:val="28"/>
          <w:lang w:val="en-US" w:eastAsia="zh-CN" w:bidi="zh-TW"/>
        </w:rPr>
        <w:t xml:space="preserve"> </w:t>
      </w:r>
      <w:r>
        <w:rPr>
          <w:rFonts w:hint="eastAsia" w:ascii="仿宋" w:hAnsi="仿宋" w:eastAsia="仿宋" w:cs="仿宋"/>
          <w:b/>
          <w:bCs/>
          <w:color w:val="2F2F2F"/>
          <w:kern w:val="2"/>
          <w:sz w:val="28"/>
          <w:szCs w:val="28"/>
          <w:lang w:val="zh-TW" w:eastAsia="zh-CN" w:bidi="zh-TW"/>
        </w:rPr>
        <w:t>项目运作模式</w:t>
      </w:r>
      <w:r>
        <w:drawing>
          <wp:anchor distT="0" distB="0" distL="114300" distR="114300" simplePos="0" relativeHeight="251659264" behindDoc="1" locked="0" layoutInCell="1" allowOverlap="1">
            <wp:simplePos x="0" y="0"/>
            <wp:positionH relativeFrom="column">
              <wp:posOffset>193675</wp:posOffset>
            </wp:positionH>
            <wp:positionV relativeFrom="paragraph">
              <wp:posOffset>121285</wp:posOffset>
            </wp:positionV>
            <wp:extent cx="5271135" cy="2871470"/>
            <wp:effectExtent l="0" t="0" r="5715" b="508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271135" cy="2871470"/>
                    </a:xfrm>
                    <a:prstGeom prst="rect">
                      <a:avLst/>
                    </a:prstGeom>
                    <a:noFill/>
                    <a:ln>
                      <a:noFill/>
                    </a:ln>
                  </pic:spPr>
                </pic:pic>
              </a:graphicData>
            </a:graphic>
          </wp:anchor>
        </w:drawing>
      </w:r>
    </w:p>
    <w:p>
      <w:pPr>
        <w:pageBreakBefore w:val="0"/>
        <w:widowControl w:val="0"/>
        <w:kinsoku/>
        <w:wordWrap/>
        <w:overflowPunct/>
        <w:topLinePunct w:val="0"/>
        <w:autoSpaceDE/>
        <w:autoSpaceDN/>
        <w:bidi w:val="0"/>
        <w:spacing w:before="0" w:after="0" w:line="440" w:lineRule="exact"/>
        <w:ind w:right="0" w:firstLine="480" w:firstLineChars="200"/>
        <w:jc w:val="both"/>
        <w:textAlignment w:val="auto"/>
        <w:rPr>
          <w:rFonts w:hint="eastAsia" w:ascii="宋体" w:hAnsi="宋体" w:eastAsia="宋体" w:cs="宋体"/>
          <w:kern w:val="2"/>
          <w:sz w:val="24"/>
          <w:szCs w:val="24"/>
          <w:lang w:val="en-US" w:bidi="ar-SA"/>
        </w:rPr>
      </w:pPr>
      <w:bookmarkStart w:id="7" w:name="_bookmark6"/>
      <w:bookmarkEnd w:id="7"/>
      <w:r>
        <w:rPr>
          <w:rFonts w:hint="eastAsia" w:ascii="宋体" w:hAnsi="宋体" w:eastAsia="宋体" w:cs="宋体"/>
          <w:kern w:val="2"/>
          <w:sz w:val="24"/>
          <w:szCs w:val="24"/>
          <w:lang w:val="en-US" w:eastAsia="zh-CN" w:bidi="ar-SA"/>
        </w:rPr>
        <w:t>2.8.1</w:t>
      </w:r>
      <w:r>
        <w:rPr>
          <w:rFonts w:hint="eastAsia" w:ascii="宋体" w:hAnsi="宋体" w:eastAsia="宋体" w:cs="宋体"/>
          <w:kern w:val="2"/>
          <w:sz w:val="24"/>
          <w:szCs w:val="24"/>
          <w:lang w:val="en-US" w:bidi="ar-SA"/>
        </w:rPr>
        <w:t>蓬溪县自然资源和规划局编制《特许经营实施实施方案》，会同财政、发改等部门岀具意见，通过蓬溪县人民政府审定，授权蓬溪县自然资源和规划局为项目实施机构，由其负责项目的准备、釆购/招标、监管工作。</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2.8.2</w:t>
      </w:r>
      <w:r>
        <w:rPr>
          <w:rFonts w:hint="eastAsia" w:ascii="宋体" w:hAnsi="宋体" w:eastAsia="宋体" w:cs="宋体"/>
          <w:kern w:val="2"/>
          <w:sz w:val="24"/>
          <w:szCs w:val="24"/>
          <w:lang w:val="en-US" w:bidi="ar-SA"/>
        </w:rPr>
        <w:t>蓬溪县自然资源和规划局参照政府采购流程通过招标等法定程序选定社会资本方，签订《特许经营协议》，授予社会资本方本项目投资、建设、运营维护的特许经营权。</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2.8.3</w:t>
      </w:r>
      <w:r>
        <w:rPr>
          <w:rFonts w:hint="eastAsia" w:ascii="宋体" w:hAnsi="宋体" w:eastAsia="宋体" w:cs="宋体"/>
          <w:kern w:val="2"/>
          <w:sz w:val="24"/>
          <w:szCs w:val="24"/>
          <w:lang w:val="en-US" w:bidi="ar-SA"/>
        </w:rPr>
        <w:t>项目投资建设。社会资本方根据《特许经营协议》和政策法规规定，筹集项目资本金，向金融机构融资。开展本项目土地预审、环评、立项、可行性研究、勘察设计、发包、建设管理等工作。</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在建设阶段：</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8" w:name="bookmark90"/>
      <w:bookmarkEnd w:id="8"/>
      <w:r>
        <w:rPr>
          <w:rFonts w:hint="eastAsia" w:ascii="宋体" w:hAnsi="宋体" w:eastAsia="宋体" w:cs="宋体"/>
          <w:kern w:val="2"/>
          <w:sz w:val="24"/>
          <w:szCs w:val="24"/>
          <w:lang w:val="en-US" w:bidi="ar-SA"/>
        </w:rPr>
        <w:t>（1）监理单位。社会资本方通过法定程序选择监理单位，并与之签订《委托监理合同》，支付监理费用，并计入项目总投资。</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9" w:name="bookmark91"/>
      <w:bookmarkEnd w:id="9"/>
      <w:r>
        <w:rPr>
          <w:rFonts w:hint="eastAsia" w:ascii="宋体" w:hAnsi="宋体" w:eastAsia="宋体" w:cs="宋体"/>
          <w:kern w:val="2"/>
          <w:sz w:val="24"/>
          <w:szCs w:val="24"/>
          <w:lang w:val="en-US" w:bidi="ar-SA"/>
        </w:rPr>
        <w:t>（2）承包单位。社会资本方通过法定程序选择施工总承包企业，并与之签订《施工总承包合同》。</w:t>
      </w:r>
      <w:bookmarkStart w:id="10" w:name="bookmark92"/>
    </w:p>
    <w:bookmarkEnd w:id="10"/>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3）竣工验收。本项目建设总工期6年。社会资本方在工程具备验收条件后即可向项目实施机构申请竣工验收。待项目竣工验收完毕，由政府方确定正式进入运营期的具体时间，项目公司在规定的时间节点开始正式运营。</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bidi="ar-SA"/>
        </w:rPr>
        <w:t>项目运营。项目建成后形成固定资产由社会资本方负责运营维护，在保障项目贷款本息按期偿还条件下，社会资本方需要服从政府重大基础设施规划建设整体安排。社会资本方通过特许经营范围内的项目资产及配套设施设备的经营获得经营收入（林间伐木收入、林下种植销售收入、经济林销售收入等）和政府特许经营服务费，收回建设投资和维持项目正常运营的成本支出，并获得合理回报。特许经营</w:t>
      </w:r>
      <w:r>
        <w:rPr>
          <w:rFonts w:hint="eastAsia" w:ascii="宋体" w:hAnsi="宋体" w:eastAsia="宋体" w:cs="宋体"/>
          <w:kern w:val="2"/>
          <w:sz w:val="24"/>
          <w:szCs w:val="24"/>
          <w:lang w:val="zh-CN" w:bidi="ar-SA"/>
        </w:rPr>
        <w:t>期内,</w:t>
      </w:r>
      <w:r>
        <w:rPr>
          <w:rFonts w:hint="eastAsia" w:ascii="宋体" w:hAnsi="宋体" w:eastAsia="宋体" w:cs="宋体"/>
          <w:kern w:val="2"/>
          <w:sz w:val="24"/>
          <w:szCs w:val="24"/>
          <w:lang w:val="en-US" w:bidi="ar-SA"/>
        </w:rPr>
        <w:t>社会资本方自行承担市场风险，政府相关部门负责协调审批、办理流程、监管。</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bidi="ar-SA"/>
        </w:rPr>
        <w:t>合作期满。合作期满，根据《特许经营协议》约定，政府不再支付特许经营服务费，《特许经营协议》到期终止，社会资本自行经营项目建成的资产。项目建成的资产原则上归社会资本方所有，不移交给政府方，如涉及资产移交的双方另行签订合同约定。</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11" w:name="_Toc15220"/>
      <w:bookmarkStart w:id="12" w:name="_Toc106575125"/>
      <w:r>
        <w:rPr>
          <w:rFonts w:hint="eastAsia" w:ascii="宋体" w:hAnsi="宋体" w:eastAsia="宋体" w:cs="宋体"/>
          <w:b/>
          <w:bCs/>
          <w:kern w:val="2"/>
          <w:sz w:val="24"/>
          <w:szCs w:val="24"/>
          <w:lang w:val="en-US" w:eastAsia="zh-CN" w:bidi="ar-SA"/>
        </w:rPr>
        <w:t>2.9交易结构</w:t>
      </w:r>
      <w:bookmarkEnd w:id="11"/>
      <w:bookmarkEnd w:id="12"/>
    </w:p>
    <w:p>
      <w:pPr>
        <w:pageBreakBefore w:val="0"/>
        <w:widowControl w:val="0"/>
        <w:tabs>
          <w:tab w:val="left" w:pos="1235"/>
        </w:tabs>
        <w:kinsoku/>
        <w:wordWrap/>
        <w:overflowPunct/>
        <w:topLinePunct w:val="0"/>
        <w:bidi w:val="0"/>
        <w:adjustRightInd w:val="0"/>
        <w:snapToGrid w:val="0"/>
        <w:spacing w:before="0" w:after="0" w:line="440" w:lineRule="exact"/>
        <w:ind w:firstLine="480" w:firstLineChars="200"/>
        <w:jc w:val="both"/>
        <w:textAlignment w:val="auto"/>
        <w:outlineLvl w:val="2"/>
        <w:rPr>
          <w:rFonts w:hint="eastAsia" w:ascii="宋体" w:hAnsi="宋体" w:eastAsia="宋体" w:cs="宋体"/>
          <w:color w:val="2F2F2F"/>
          <w:kern w:val="2"/>
          <w:sz w:val="24"/>
          <w:szCs w:val="24"/>
          <w:lang w:val="en-US" w:eastAsia="zh-CN" w:bidi="zh-TW"/>
        </w:rPr>
      </w:pPr>
      <w:r>
        <w:rPr>
          <w:rFonts w:hint="eastAsia" w:ascii="宋体" w:hAnsi="宋体" w:eastAsia="宋体" w:cs="宋体"/>
          <w:color w:val="2F2F2F"/>
          <w:kern w:val="2"/>
          <w:sz w:val="24"/>
          <w:szCs w:val="24"/>
          <w:lang w:val="en-US" w:eastAsia="zh-CN" w:bidi="zh-TW"/>
        </w:rPr>
        <w:t>2.9.1</w:t>
      </w:r>
      <w:r>
        <w:rPr>
          <w:rFonts w:hint="eastAsia" w:ascii="宋体" w:hAnsi="宋体" w:eastAsia="宋体" w:cs="宋体"/>
          <w:color w:val="2F2F2F"/>
          <w:kern w:val="2"/>
          <w:sz w:val="24"/>
          <w:szCs w:val="24"/>
          <w:lang w:val="zh-TW" w:eastAsia="zh-TW" w:bidi="zh-TW"/>
        </w:rPr>
        <w:t>项目</w:t>
      </w:r>
      <w:r>
        <w:rPr>
          <w:rFonts w:hint="eastAsia" w:ascii="宋体" w:hAnsi="宋体" w:eastAsia="宋体" w:cs="宋体"/>
          <w:color w:val="2F2F2F"/>
          <w:kern w:val="2"/>
          <w:sz w:val="24"/>
          <w:szCs w:val="24"/>
          <w:lang w:val="en-US" w:eastAsia="zh-CN" w:bidi="zh-TW"/>
        </w:rPr>
        <w:t>投融资结构表</w:t>
      </w:r>
    </w:p>
    <w:p>
      <w:pPr>
        <w:widowControl w:val="0"/>
        <w:adjustRightInd w:val="0"/>
        <w:snapToGrid w:val="0"/>
        <w:spacing w:before="190" w:beforeLines="50" w:after="190" w:afterLines="50" w:line="640" w:lineRule="exact"/>
        <w:ind w:firstLine="562" w:firstLineChars="200"/>
        <w:jc w:val="center"/>
        <w:rPr>
          <w:rFonts w:ascii="仿宋" w:hAnsi="仿宋" w:eastAsia="仿宋" w:cs="仿宋"/>
          <w:b/>
          <w:bCs/>
          <w:color w:val="2F2F2F"/>
          <w:kern w:val="2"/>
          <w:sz w:val="28"/>
          <w:szCs w:val="28"/>
          <w:lang w:val="en-US" w:eastAsia="zh-CN" w:bidi="zh-TW"/>
        </w:rPr>
      </w:pPr>
      <w:r>
        <w:rPr>
          <w:rFonts w:hint="eastAsia" w:ascii="仿宋" w:hAnsi="仿宋" w:eastAsia="仿宋" w:cs="仿宋"/>
          <w:b/>
          <w:bCs/>
          <w:color w:val="2F2F2F"/>
          <w:kern w:val="2"/>
          <w:sz w:val="28"/>
          <w:szCs w:val="28"/>
          <w:lang w:val="zh-TW" w:eastAsia="zh-TW" w:bidi="zh-TW"/>
        </w:rPr>
        <w:t>表</w:t>
      </w:r>
      <w:r>
        <w:rPr>
          <w:rFonts w:hint="eastAsia" w:ascii="仿宋" w:hAnsi="仿宋" w:eastAsia="仿宋" w:cs="仿宋"/>
          <w:b/>
          <w:bCs/>
          <w:color w:val="2F2F2F"/>
          <w:kern w:val="2"/>
          <w:sz w:val="28"/>
          <w:szCs w:val="28"/>
          <w:lang w:val="en-US" w:eastAsia="zh-CN" w:bidi="zh-TW"/>
        </w:rPr>
        <w:t xml:space="preserve">4-1 </w:t>
      </w:r>
      <w:r>
        <w:rPr>
          <w:rFonts w:hint="eastAsia" w:ascii="仿宋" w:hAnsi="仿宋" w:eastAsia="仿宋" w:cs="仿宋"/>
          <w:b/>
          <w:bCs/>
          <w:color w:val="2F2F2F"/>
          <w:kern w:val="2"/>
          <w:sz w:val="28"/>
          <w:szCs w:val="28"/>
          <w:lang w:val="zh-TW" w:eastAsia="zh-TW" w:bidi="zh-TW"/>
        </w:rPr>
        <w:t>投融资结构</w:t>
      </w:r>
      <w:r>
        <w:rPr>
          <w:rFonts w:hint="eastAsia" w:ascii="仿宋" w:hAnsi="仿宋" w:eastAsia="仿宋" w:cs="仿宋"/>
          <w:b/>
          <w:bCs/>
          <w:color w:val="2F2F2F"/>
          <w:kern w:val="2"/>
          <w:sz w:val="28"/>
          <w:szCs w:val="28"/>
          <w:lang w:val="en-US" w:eastAsia="zh-CN" w:bidi="zh-TW"/>
        </w:rPr>
        <w:t>表</w:t>
      </w:r>
    </w:p>
    <w:tbl>
      <w:tblPr>
        <w:tblStyle w:val="10"/>
        <w:tblW w:w="5000" w:type="pct"/>
        <w:tblInd w:w="0" w:type="dxa"/>
        <w:tblLayout w:type="autofit"/>
        <w:tblCellMar>
          <w:top w:w="0" w:type="dxa"/>
          <w:left w:w="108" w:type="dxa"/>
          <w:bottom w:w="0" w:type="dxa"/>
          <w:right w:w="108" w:type="dxa"/>
        </w:tblCellMar>
      </w:tblPr>
      <w:tblGrid>
        <w:gridCol w:w="531"/>
        <w:gridCol w:w="991"/>
        <w:gridCol w:w="922"/>
        <w:gridCol w:w="885"/>
        <w:gridCol w:w="885"/>
        <w:gridCol w:w="885"/>
        <w:gridCol w:w="885"/>
        <w:gridCol w:w="885"/>
        <w:gridCol w:w="888"/>
        <w:gridCol w:w="765"/>
      </w:tblGrid>
      <w:tr>
        <w:tblPrEx>
          <w:tblCellMar>
            <w:top w:w="0" w:type="dxa"/>
            <w:left w:w="108" w:type="dxa"/>
            <w:bottom w:w="0" w:type="dxa"/>
            <w:right w:w="108" w:type="dxa"/>
          </w:tblCellMar>
        </w:tblPrEx>
        <w:trPr>
          <w:trHeight w:val="227" w:hRule="atLeast"/>
        </w:trPr>
        <w:tc>
          <w:tcPr>
            <w:tcW w:w="312" w:type="pct"/>
            <w:vMerge w:val="restart"/>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序号</w:t>
            </w:r>
          </w:p>
        </w:tc>
        <w:tc>
          <w:tcPr>
            <w:tcW w:w="582" w:type="pct"/>
            <w:vMerge w:val="restart"/>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项目名称</w:t>
            </w:r>
          </w:p>
        </w:tc>
        <w:tc>
          <w:tcPr>
            <w:tcW w:w="541" w:type="pct"/>
            <w:vMerge w:val="restart"/>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合计</w:t>
            </w:r>
          </w:p>
        </w:tc>
        <w:tc>
          <w:tcPr>
            <w:tcW w:w="3115" w:type="pct"/>
            <w:gridSpan w:val="6"/>
            <w:tcBorders>
              <w:top w:val="single" w:color="auto" w:sz="4" w:space="0"/>
              <w:left w:val="nil"/>
              <w:bottom w:val="single" w:color="auto" w:sz="4" w:space="0"/>
              <w:right w:val="single" w:color="000000"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建设期</w:t>
            </w:r>
          </w:p>
        </w:tc>
        <w:tc>
          <w:tcPr>
            <w:tcW w:w="450" w:type="pct"/>
            <w:vMerge w:val="restart"/>
            <w:tcBorders>
              <w:top w:val="single" w:color="auto" w:sz="4" w:space="0"/>
              <w:left w:val="nil"/>
              <w:right w:val="single" w:color="auto" w:sz="4" w:space="0"/>
            </w:tcBorders>
            <w:noWrap/>
            <w:vAlign w:val="center"/>
          </w:tcPr>
          <w:p>
            <w:pPr>
              <w:autoSpaceDE/>
              <w:autoSpaceDN/>
              <w:spacing w:before="190" w:beforeLines="50" w:after="190" w:afterLines="50" w:line="240" w:lineRule="auto"/>
              <w:ind w:left="0" w:right="0" w:firstLine="75" w:firstLineChars="50"/>
              <w:jc w:val="both"/>
              <w:rPr>
                <w:rFonts w:ascii="宋体" w:hAnsi="宋体" w:eastAsia="宋体" w:cs="宋体"/>
                <w:kern w:val="0"/>
                <w:sz w:val="15"/>
                <w:szCs w:val="15"/>
                <w:lang w:val="en-US" w:bidi="ar-SA"/>
              </w:rPr>
            </w:pPr>
            <w:r>
              <w:rPr>
                <w:rFonts w:hint="eastAsia" w:ascii="宋体" w:hAnsi="宋体" w:eastAsia="宋体" w:cs="宋体"/>
                <w:b/>
                <w:bCs/>
                <w:color w:val="000000"/>
                <w:kern w:val="0"/>
                <w:sz w:val="15"/>
                <w:szCs w:val="15"/>
                <w:lang w:val="en-US" w:bidi="ar-SA"/>
              </w:rPr>
              <w:t>比例</w:t>
            </w:r>
          </w:p>
        </w:tc>
      </w:tr>
      <w:tr>
        <w:tblPrEx>
          <w:tblCellMar>
            <w:top w:w="0" w:type="dxa"/>
            <w:left w:w="108" w:type="dxa"/>
            <w:bottom w:w="0" w:type="dxa"/>
            <w:right w:w="108" w:type="dxa"/>
          </w:tblCellMar>
        </w:tblPrEx>
        <w:trPr>
          <w:trHeight w:val="227" w:hRule="atLeast"/>
        </w:trPr>
        <w:tc>
          <w:tcPr>
            <w:tcW w:w="3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p>
        </w:tc>
        <w:tc>
          <w:tcPr>
            <w:tcW w:w="5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p>
        </w:tc>
        <w:tc>
          <w:tcPr>
            <w:tcW w:w="5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第一年</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第二年</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第三年</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第四年</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第五年</w:t>
            </w:r>
          </w:p>
        </w:tc>
        <w:tc>
          <w:tcPr>
            <w:tcW w:w="52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第六年</w:t>
            </w:r>
          </w:p>
        </w:tc>
        <w:tc>
          <w:tcPr>
            <w:tcW w:w="450" w:type="pct"/>
            <w:vMerge w:val="continue"/>
            <w:tcBorders>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p>
        </w:tc>
      </w:tr>
      <w:tr>
        <w:tblPrEx>
          <w:tblCellMar>
            <w:top w:w="0" w:type="dxa"/>
            <w:left w:w="108" w:type="dxa"/>
            <w:bottom w:w="0" w:type="dxa"/>
            <w:right w:w="108" w:type="dxa"/>
          </w:tblCellMar>
        </w:tblPrEx>
        <w:trPr>
          <w:trHeight w:val="227" w:hRule="atLeast"/>
        </w:trPr>
        <w:tc>
          <w:tcPr>
            <w:tcW w:w="312" w:type="pct"/>
            <w:tcBorders>
              <w:top w:val="nil"/>
              <w:left w:val="single" w:color="auto" w:sz="4" w:space="0"/>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w:t>
            </w:r>
          </w:p>
        </w:tc>
        <w:tc>
          <w:tcPr>
            <w:tcW w:w="582"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总投资</w:t>
            </w:r>
          </w:p>
        </w:tc>
        <w:tc>
          <w:tcPr>
            <w:tcW w:w="54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132387.83</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31520.91</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31520.91</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18912.55</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18912.55</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18912.55</w:t>
            </w:r>
          </w:p>
        </w:tc>
        <w:tc>
          <w:tcPr>
            <w:tcW w:w="52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12608.36</w:t>
            </w:r>
          </w:p>
        </w:tc>
        <w:tc>
          <w:tcPr>
            <w:tcW w:w="450"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kern w:val="0"/>
                <w:sz w:val="15"/>
                <w:szCs w:val="15"/>
                <w:lang w:val="en-US" w:bidi="ar-SA"/>
              </w:rPr>
            </w:pPr>
            <w:r>
              <w:rPr>
                <w:rFonts w:hint="eastAsia" w:ascii="宋体" w:hAnsi="宋体" w:eastAsia="宋体" w:cs="宋体"/>
                <w:b/>
                <w:bCs/>
                <w:kern w:val="0"/>
                <w:sz w:val="15"/>
                <w:szCs w:val="15"/>
                <w:lang w:val="en-US" w:bidi="ar-SA"/>
              </w:rPr>
              <w:t>100.00%</w:t>
            </w:r>
          </w:p>
        </w:tc>
      </w:tr>
      <w:tr>
        <w:tblPrEx>
          <w:tblCellMar>
            <w:top w:w="0" w:type="dxa"/>
            <w:left w:w="108" w:type="dxa"/>
            <w:bottom w:w="0" w:type="dxa"/>
            <w:right w:w="108" w:type="dxa"/>
          </w:tblCellMar>
        </w:tblPrEx>
        <w:trPr>
          <w:trHeight w:val="227" w:hRule="atLeast"/>
        </w:trPr>
        <w:tc>
          <w:tcPr>
            <w:tcW w:w="312" w:type="pct"/>
            <w:tcBorders>
              <w:top w:val="nil"/>
              <w:left w:val="single" w:color="auto" w:sz="4" w:space="0"/>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1.1</w:t>
            </w:r>
          </w:p>
        </w:tc>
        <w:tc>
          <w:tcPr>
            <w:tcW w:w="582"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kern w:val="0"/>
                <w:sz w:val="15"/>
                <w:szCs w:val="15"/>
                <w:lang w:val="en-US" w:bidi="ar-SA"/>
              </w:rPr>
            </w:pPr>
            <w:r>
              <w:rPr>
                <w:rFonts w:hint="eastAsia" w:ascii="宋体" w:hAnsi="宋体" w:eastAsia="宋体" w:cs="宋体"/>
                <w:kern w:val="0"/>
                <w:sz w:val="15"/>
                <w:szCs w:val="15"/>
                <w:lang w:val="en-US" w:bidi="ar-SA"/>
              </w:rPr>
              <w:t>建设投资</w:t>
            </w:r>
          </w:p>
        </w:tc>
        <w:tc>
          <w:tcPr>
            <w:tcW w:w="54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112175.33</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30833.41</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29458.41</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15750.05</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14925.05</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14100.05</w:t>
            </w:r>
          </w:p>
        </w:tc>
        <w:tc>
          <w:tcPr>
            <w:tcW w:w="52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7108.36</w:t>
            </w:r>
          </w:p>
        </w:tc>
        <w:tc>
          <w:tcPr>
            <w:tcW w:w="450"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kern w:val="0"/>
                <w:sz w:val="15"/>
                <w:szCs w:val="15"/>
                <w:lang w:val="en-US" w:bidi="ar-SA"/>
              </w:rPr>
            </w:pPr>
            <w:r>
              <w:rPr>
                <w:rFonts w:hint="eastAsia" w:ascii="宋体" w:hAnsi="宋体" w:eastAsia="宋体" w:cs="宋体"/>
                <w:kern w:val="0"/>
                <w:sz w:val="15"/>
                <w:szCs w:val="15"/>
                <w:lang w:val="en-US" w:bidi="ar-SA"/>
              </w:rPr>
              <w:t>84.73%</w:t>
            </w:r>
          </w:p>
        </w:tc>
      </w:tr>
      <w:tr>
        <w:tblPrEx>
          <w:tblCellMar>
            <w:top w:w="0" w:type="dxa"/>
            <w:left w:w="108" w:type="dxa"/>
            <w:bottom w:w="0" w:type="dxa"/>
            <w:right w:w="108" w:type="dxa"/>
          </w:tblCellMar>
        </w:tblPrEx>
        <w:trPr>
          <w:trHeight w:val="227" w:hRule="atLeast"/>
        </w:trPr>
        <w:tc>
          <w:tcPr>
            <w:tcW w:w="312" w:type="pct"/>
            <w:tcBorders>
              <w:top w:val="nil"/>
              <w:left w:val="single" w:color="auto" w:sz="4" w:space="0"/>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1.2</w:t>
            </w:r>
          </w:p>
        </w:tc>
        <w:tc>
          <w:tcPr>
            <w:tcW w:w="582"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建设期利息</w:t>
            </w:r>
          </w:p>
        </w:tc>
        <w:tc>
          <w:tcPr>
            <w:tcW w:w="54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20212.50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687.50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2062.50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3162.50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3987.50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4812.50</w:t>
            </w:r>
          </w:p>
        </w:tc>
        <w:tc>
          <w:tcPr>
            <w:tcW w:w="52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5500.00</w:t>
            </w:r>
          </w:p>
        </w:tc>
        <w:tc>
          <w:tcPr>
            <w:tcW w:w="450"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kern w:val="0"/>
                <w:sz w:val="15"/>
                <w:szCs w:val="15"/>
                <w:lang w:val="en-US" w:bidi="ar-SA"/>
              </w:rPr>
            </w:pPr>
            <w:r>
              <w:rPr>
                <w:rFonts w:hint="eastAsia" w:ascii="宋体" w:hAnsi="宋体" w:eastAsia="宋体" w:cs="宋体"/>
                <w:kern w:val="0"/>
                <w:sz w:val="15"/>
                <w:szCs w:val="15"/>
                <w:lang w:val="en-US" w:bidi="ar-SA"/>
              </w:rPr>
              <w:t>15.27%</w:t>
            </w:r>
          </w:p>
        </w:tc>
      </w:tr>
      <w:tr>
        <w:tblPrEx>
          <w:tblCellMar>
            <w:top w:w="0" w:type="dxa"/>
            <w:left w:w="108" w:type="dxa"/>
            <w:bottom w:w="0" w:type="dxa"/>
            <w:right w:w="108" w:type="dxa"/>
          </w:tblCellMar>
        </w:tblPrEx>
        <w:trPr>
          <w:trHeight w:val="227" w:hRule="atLeast"/>
        </w:trPr>
        <w:tc>
          <w:tcPr>
            <w:tcW w:w="312" w:type="pct"/>
            <w:tcBorders>
              <w:top w:val="nil"/>
              <w:left w:val="single" w:color="auto" w:sz="4" w:space="0"/>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2</w:t>
            </w:r>
          </w:p>
        </w:tc>
        <w:tc>
          <w:tcPr>
            <w:tcW w:w="582"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资金筹措</w:t>
            </w:r>
          </w:p>
        </w:tc>
        <w:tc>
          <w:tcPr>
            <w:tcW w:w="54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132387.83</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31520.91</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31520.91</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18912.55</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18912.55</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18912.55</w:t>
            </w:r>
          </w:p>
        </w:tc>
        <w:tc>
          <w:tcPr>
            <w:tcW w:w="52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000000"/>
                <w:kern w:val="0"/>
                <w:sz w:val="15"/>
                <w:szCs w:val="15"/>
                <w:lang w:val="en-US" w:bidi="ar-SA"/>
              </w:rPr>
            </w:pPr>
            <w:r>
              <w:rPr>
                <w:rFonts w:hint="eastAsia" w:ascii="宋体" w:hAnsi="宋体" w:eastAsia="宋体" w:cs="宋体"/>
                <w:b/>
                <w:bCs/>
                <w:color w:val="000000"/>
                <w:kern w:val="0"/>
                <w:sz w:val="15"/>
                <w:szCs w:val="15"/>
                <w:lang w:val="en-US" w:bidi="ar-SA"/>
              </w:rPr>
              <w:t>12608.36</w:t>
            </w:r>
          </w:p>
        </w:tc>
        <w:tc>
          <w:tcPr>
            <w:tcW w:w="450"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kern w:val="0"/>
                <w:sz w:val="15"/>
                <w:szCs w:val="15"/>
                <w:lang w:val="en-US" w:bidi="ar-SA"/>
              </w:rPr>
            </w:pPr>
            <w:r>
              <w:rPr>
                <w:rFonts w:hint="eastAsia" w:ascii="宋体" w:hAnsi="宋体" w:eastAsia="宋体" w:cs="宋体"/>
                <w:b/>
                <w:bCs/>
                <w:kern w:val="0"/>
                <w:sz w:val="15"/>
                <w:szCs w:val="15"/>
                <w:lang w:val="en-US" w:bidi="ar-SA"/>
              </w:rPr>
              <w:t>100.00%</w:t>
            </w:r>
          </w:p>
        </w:tc>
      </w:tr>
      <w:tr>
        <w:tblPrEx>
          <w:tblCellMar>
            <w:top w:w="0" w:type="dxa"/>
            <w:left w:w="108" w:type="dxa"/>
            <w:bottom w:w="0" w:type="dxa"/>
            <w:right w:w="108" w:type="dxa"/>
          </w:tblCellMar>
        </w:tblPrEx>
        <w:trPr>
          <w:trHeight w:val="227" w:hRule="atLeast"/>
        </w:trPr>
        <w:tc>
          <w:tcPr>
            <w:tcW w:w="312" w:type="pct"/>
            <w:tcBorders>
              <w:top w:val="nil"/>
              <w:left w:val="single" w:color="auto" w:sz="4" w:space="0"/>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2.1</w:t>
            </w:r>
          </w:p>
        </w:tc>
        <w:tc>
          <w:tcPr>
            <w:tcW w:w="582"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项目资本金</w:t>
            </w:r>
          </w:p>
        </w:tc>
        <w:tc>
          <w:tcPr>
            <w:tcW w:w="54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27387.83</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6520.91</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6520.91</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3912.55</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3912.55</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3912.55</w:t>
            </w:r>
          </w:p>
        </w:tc>
        <w:tc>
          <w:tcPr>
            <w:tcW w:w="52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2608.36</w:t>
            </w:r>
          </w:p>
        </w:tc>
        <w:tc>
          <w:tcPr>
            <w:tcW w:w="450"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kern w:val="0"/>
                <w:sz w:val="15"/>
                <w:szCs w:val="15"/>
                <w:lang w:val="en-US" w:bidi="ar-SA"/>
              </w:rPr>
            </w:pPr>
            <w:r>
              <w:rPr>
                <w:rFonts w:hint="eastAsia" w:ascii="宋体" w:hAnsi="宋体" w:eastAsia="宋体" w:cs="宋体"/>
                <w:kern w:val="0"/>
                <w:sz w:val="15"/>
                <w:szCs w:val="15"/>
                <w:lang w:val="en-US" w:bidi="ar-SA"/>
              </w:rPr>
              <w:t>20.69%</w:t>
            </w:r>
          </w:p>
        </w:tc>
      </w:tr>
      <w:tr>
        <w:tblPrEx>
          <w:tblCellMar>
            <w:top w:w="0" w:type="dxa"/>
            <w:left w:w="108" w:type="dxa"/>
            <w:bottom w:w="0" w:type="dxa"/>
            <w:right w:w="108" w:type="dxa"/>
          </w:tblCellMar>
        </w:tblPrEx>
        <w:trPr>
          <w:trHeight w:val="227" w:hRule="atLeast"/>
        </w:trPr>
        <w:tc>
          <w:tcPr>
            <w:tcW w:w="312" w:type="pct"/>
            <w:tcBorders>
              <w:top w:val="nil"/>
              <w:left w:val="single" w:color="auto" w:sz="4" w:space="0"/>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2.2</w:t>
            </w:r>
          </w:p>
        </w:tc>
        <w:tc>
          <w:tcPr>
            <w:tcW w:w="582"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银行贷款</w:t>
            </w:r>
          </w:p>
        </w:tc>
        <w:tc>
          <w:tcPr>
            <w:tcW w:w="54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105000.00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25000.00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25000.00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15000.00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15000.00</w:t>
            </w:r>
          </w:p>
        </w:tc>
        <w:tc>
          <w:tcPr>
            <w:tcW w:w="519"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15000.00</w:t>
            </w:r>
          </w:p>
        </w:tc>
        <w:tc>
          <w:tcPr>
            <w:tcW w:w="521"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000000"/>
                <w:kern w:val="0"/>
                <w:sz w:val="15"/>
                <w:szCs w:val="15"/>
                <w:lang w:val="en-US" w:bidi="ar-SA"/>
              </w:rPr>
            </w:pPr>
            <w:r>
              <w:rPr>
                <w:rFonts w:hint="eastAsia" w:ascii="宋体" w:hAnsi="宋体" w:eastAsia="宋体" w:cs="宋体"/>
                <w:color w:val="000000"/>
                <w:kern w:val="0"/>
                <w:sz w:val="15"/>
                <w:szCs w:val="15"/>
                <w:lang w:val="en-US" w:bidi="ar-SA"/>
              </w:rPr>
              <w:t>10000.00</w:t>
            </w:r>
          </w:p>
        </w:tc>
        <w:tc>
          <w:tcPr>
            <w:tcW w:w="450" w:type="pct"/>
            <w:tcBorders>
              <w:top w:val="nil"/>
              <w:left w:val="nil"/>
              <w:bottom w:val="single" w:color="auto" w:sz="4" w:space="0"/>
              <w:right w:val="single" w:color="auto" w:sz="4" w:space="0"/>
            </w:tcBorders>
            <w:noWrap/>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kern w:val="0"/>
                <w:sz w:val="15"/>
                <w:szCs w:val="15"/>
                <w:lang w:val="en-US" w:bidi="ar-SA"/>
              </w:rPr>
            </w:pPr>
            <w:r>
              <w:rPr>
                <w:rFonts w:hint="eastAsia" w:ascii="宋体" w:hAnsi="宋体" w:eastAsia="宋体" w:cs="宋体"/>
                <w:kern w:val="0"/>
                <w:sz w:val="15"/>
                <w:szCs w:val="15"/>
                <w:lang w:val="en-US" w:bidi="ar-SA"/>
              </w:rPr>
              <w:t>79.31%</w:t>
            </w:r>
          </w:p>
        </w:tc>
      </w:tr>
    </w:tbl>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outlineLvl w:val="2"/>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2.9.2</w:t>
      </w:r>
      <w:r>
        <w:rPr>
          <w:rFonts w:hint="eastAsia" w:ascii="宋体" w:hAnsi="宋体" w:eastAsia="宋体" w:cs="宋体"/>
          <w:kern w:val="2"/>
          <w:sz w:val="24"/>
          <w:szCs w:val="24"/>
          <w:lang w:val="en-US" w:bidi="ar-SA"/>
        </w:rPr>
        <w:t>项目资本金</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项目资本金在符合《关于调整固定资产投资项目资本金比例的通知》等法律法规及金融机构融资要求的前提下，</w:t>
      </w:r>
      <w:bookmarkStart w:id="13" w:name="_Hlk106575860"/>
      <w:bookmarkStart w:id="14" w:name="_Hlk106575339"/>
      <w:r>
        <w:rPr>
          <w:rFonts w:hint="eastAsia" w:ascii="宋体" w:hAnsi="宋体" w:eastAsia="宋体" w:cs="宋体"/>
          <w:kern w:val="2"/>
          <w:sz w:val="24"/>
          <w:szCs w:val="24"/>
          <w:lang w:val="en-US" w:bidi="ar-SA"/>
        </w:rPr>
        <w:t>本项目总投资132387.83万元，其中资本金27387.83万元，占总投资比例20.69%;拟向金融机构申请贷款105000万元，占总投资比例79.31%</w:t>
      </w:r>
      <w:bookmarkEnd w:id="13"/>
      <w:r>
        <w:rPr>
          <w:rFonts w:hint="eastAsia" w:ascii="宋体" w:hAnsi="宋体" w:eastAsia="宋体" w:cs="宋体"/>
          <w:kern w:val="2"/>
          <w:sz w:val="24"/>
          <w:szCs w:val="24"/>
          <w:lang w:val="en-US" w:bidi="ar-SA"/>
        </w:rPr>
        <w:t>。</w:t>
      </w:r>
      <w:bookmarkEnd w:id="14"/>
      <w:r>
        <w:rPr>
          <w:rFonts w:hint="eastAsia" w:ascii="宋体" w:hAnsi="宋体" w:eastAsia="宋体" w:cs="宋体"/>
          <w:kern w:val="2"/>
          <w:sz w:val="24"/>
          <w:szCs w:val="24"/>
          <w:lang w:val="en-US" w:bidi="ar-SA"/>
        </w:rPr>
        <w:t>项目资本金由社会资本方自筹，且资金到位应满足项目建设进度和项目融资要求。</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outlineLvl w:val="2"/>
        <w:rPr>
          <w:rFonts w:hint="eastAsia" w:ascii="宋体" w:hAnsi="宋体" w:eastAsia="宋体" w:cs="宋体"/>
          <w:kern w:val="2"/>
          <w:sz w:val="24"/>
          <w:szCs w:val="24"/>
          <w:lang w:val="en-US" w:bidi="ar-SA"/>
        </w:rPr>
      </w:pPr>
      <w:bookmarkStart w:id="15" w:name="bookmark97"/>
      <w:bookmarkEnd w:id="15"/>
      <w:r>
        <w:rPr>
          <w:rFonts w:hint="eastAsia" w:ascii="宋体" w:hAnsi="宋体" w:eastAsia="宋体" w:cs="宋体"/>
          <w:kern w:val="2"/>
          <w:sz w:val="24"/>
          <w:szCs w:val="24"/>
          <w:lang w:val="en-US" w:eastAsia="zh-CN" w:bidi="ar-SA"/>
        </w:rPr>
        <w:t>2.9.3</w:t>
      </w:r>
      <w:r>
        <w:rPr>
          <w:rFonts w:hint="eastAsia" w:ascii="宋体" w:hAnsi="宋体" w:eastAsia="宋体" w:cs="宋体"/>
          <w:kern w:val="2"/>
          <w:sz w:val="24"/>
          <w:szCs w:val="24"/>
          <w:lang w:val="en-US" w:bidi="ar-SA"/>
        </w:rPr>
        <w:t>项目融资结构</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建设资金缺口约为105000.00万元，社会资本可通过金融机构贷款等方式筹措项目所需资金。社会资本方可以为本项目融资之目的，将其在特许经营协议项下的权益（如预期收益权、保险受益权等）之上设置质押或以其它方式设置担保权益。政府应积极配合并协调，在政策、法律法规许可范围内为社会资本方融资提供协助，但不提供违规担保。社会资本方为本项目建设所融资金，只能用于本项目的建设，不得用于本项目以外的任何目的。项目资金使用应合法合规，并接受项目实施机构的监督，项目实施机构有权按照特许经营协议约定定期检查和抽查资金使用情况，并要求社会资本方整改，直至终止合同。</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16" w:name="_Toc106575145"/>
      <w:r>
        <w:rPr>
          <w:rFonts w:hint="eastAsia" w:ascii="宋体" w:hAnsi="宋体" w:eastAsia="宋体" w:cs="宋体"/>
          <w:b/>
          <w:bCs/>
          <w:kern w:val="2"/>
          <w:sz w:val="24"/>
          <w:szCs w:val="24"/>
          <w:lang w:val="en-US" w:eastAsia="zh-CN" w:bidi="ar-SA"/>
        </w:rPr>
        <w:t>3.工程建设</w:t>
      </w:r>
      <w:bookmarkEnd w:id="16"/>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3.1设计优化及变更</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特许经营者应按照项目可行性研究报告组织设计工作，特许经营者也可根据项目实际情况提出设计优化方案，但需经政府方审批通过后实施。</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项目建设过程中，若确需进行工程量变更的，特许经营者应严格按照蓬溪县关于工程变更签证和项目增减审批的有关规定履行法定手续，如蓬溪县无相关规定，特许经营者可依次采用遂宁市、四川省、国家的相关规定履行法定程序。</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3.2竣工验收</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特许经营者在工程建设完成后，可按照相关规范标准和要求向行业主管部门申请验收，各子项目所涉全部工程竣工验收合格后方可投入运营。</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17" w:name="_Toc106575146"/>
      <w:r>
        <w:rPr>
          <w:rFonts w:hint="eastAsia" w:ascii="宋体" w:hAnsi="宋体" w:eastAsia="宋体" w:cs="宋体"/>
          <w:b/>
          <w:bCs/>
          <w:kern w:val="2"/>
          <w:sz w:val="24"/>
          <w:szCs w:val="24"/>
          <w:lang w:val="en-US" w:eastAsia="zh-CN" w:bidi="ar-SA"/>
        </w:rPr>
        <w:t>3.3工程建设标准</w:t>
      </w:r>
      <w:bookmarkEnd w:id="17"/>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本方案工程的建设标准（包括施工和验收标准）按照相关行业标准执行。</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18" w:name="_Toc106575147"/>
      <w:r>
        <w:rPr>
          <w:rFonts w:hint="eastAsia" w:ascii="宋体" w:hAnsi="宋体" w:eastAsia="宋体" w:cs="宋体"/>
          <w:b/>
          <w:bCs/>
          <w:kern w:val="2"/>
          <w:sz w:val="24"/>
          <w:szCs w:val="24"/>
          <w:lang w:val="en-US" w:eastAsia="zh-CN" w:bidi="ar-SA"/>
        </w:rPr>
        <w:t>3.4应急预案</w:t>
      </w:r>
      <w:bookmarkEnd w:id="18"/>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特许经营者应建立安全生产制度和意外事故应急机制，针对洪水、火灾、地震等突发事件制订项目安全运行应急预案并报政府方备案，定期进行应急预案演练。突发事件发生时，特许经营者应启动应急预案同时报告政府方。同时应积极采取有效措施，尽快恢复项目运营，减小事故造成的影响。</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应急预案应至少包含如下内容：</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（1）抢修人员配置；</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（2）抢修设备配备；</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（3）排除妨碍、恢复和保证正常的运营维护服务的应急措施；</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（4）配合相关主管部门开展防汛、排涝、防火工作的措施。</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应急预案应根据国家、地方相关规定的调整、政府方要求，及时修改和调整。</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19" w:name="_Toc106575148"/>
      <w:r>
        <w:rPr>
          <w:rFonts w:hint="eastAsia" w:ascii="宋体" w:hAnsi="宋体" w:eastAsia="宋体" w:cs="宋体"/>
          <w:b/>
          <w:bCs/>
          <w:kern w:val="2"/>
          <w:sz w:val="24"/>
          <w:szCs w:val="24"/>
          <w:lang w:val="en-US" w:eastAsia="zh-CN" w:bidi="ar-SA"/>
        </w:rPr>
        <w:t>4.履约担保</w:t>
      </w:r>
      <w:bookmarkEnd w:id="19"/>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4.1建设期履约保函</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项目建设期特许经营者会投入大量的资金建设成本，且建设投资将会根据政府方的建设绩效考核结果在运营期内逐年回收，为降低特许经营者的资金压力，本项目不设置建设期履约保函。</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4.2运营期履约保函</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运营期履约保函设置的目的在于：确保特许经营者按照《特许经营协议》的约定提供稳定、安全、合格的运营维护服务。</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本项目可以通过扣特许经营服务费的方式，对特许经营者提供的运营维护服务质量进行一定程度的制约，为降低特许经营者经营成本，因此，不设置运营期履约保函。</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20" w:name="_Toc106575130"/>
      <w:r>
        <w:rPr>
          <w:rFonts w:hint="eastAsia" w:ascii="宋体" w:hAnsi="宋体" w:eastAsia="宋体" w:cs="宋体"/>
          <w:b/>
          <w:bCs/>
          <w:kern w:val="2"/>
          <w:sz w:val="24"/>
          <w:szCs w:val="24"/>
          <w:lang w:val="en-US" w:eastAsia="zh-CN" w:bidi="ar-SA"/>
        </w:rPr>
        <w:t>5.风险分配</w:t>
      </w:r>
      <w:bookmarkEnd w:id="20"/>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outlineLvl w:val="2"/>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5.1</w:t>
      </w:r>
      <w:r>
        <w:rPr>
          <w:rFonts w:hint="eastAsia" w:ascii="宋体" w:hAnsi="宋体" w:eastAsia="宋体" w:cs="宋体"/>
          <w:kern w:val="2"/>
          <w:sz w:val="24"/>
          <w:szCs w:val="24"/>
          <w:lang w:val="en-US" w:bidi="ar-SA"/>
        </w:rPr>
        <w:t>风险分配框架</w:t>
      </w:r>
    </w:p>
    <w:p>
      <w:pPr>
        <w:pageBreakBefore w:val="0"/>
        <w:widowControl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根据风险最优分配原则、遵守风险与收益对等原则、风险有上限原则本项目风险分配情况如下：</w:t>
      </w:r>
    </w:p>
    <w:p>
      <w:pPr>
        <w:pageBreakBefore w:val="0"/>
        <w:widowControl w:val="0"/>
        <w:tabs>
          <w:tab w:val="left" w:pos="1974"/>
        </w:tabs>
        <w:kinsoku/>
        <w:wordWrap/>
        <w:overflowPunct/>
        <w:topLinePunct w:val="0"/>
        <w:bidi w:val="0"/>
        <w:adjustRightInd w:val="0"/>
        <w:snapToGrid w:val="0"/>
        <w:spacing w:before="0" w:after="0" w:line="440" w:lineRule="exact"/>
        <w:ind w:firstLine="562" w:firstLineChars="200"/>
        <w:jc w:val="center"/>
        <w:textAlignment w:val="auto"/>
        <w:rPr>
          <w:rFonts w:ascii="仿宋" w:hAnsi="仿宋" w:eastAsia="仿宋" w:cs="仿宋"/>
          <w:color w:val="2F2F2F"/>
          <w:kern w:val="2"/>
          <w:sz w:val="28"/>
          <w:szCs w:val="28"/>
          <w:lang w:val="zh-TW" w:eastAsia="zh-TW" w:bidi="zh-TW"/>
        </w:rPr>
      </w:pPr>
      <w:r>
        <w:rPr>
          <w:rFonts w:hint="eastAsia" w:ascii="仿宋" w:hAnsi="仿宋" w:eastAsia="仿宋" w:cs="仿宋"/>
          <w:b/>
          <w:bCs/>
          <w:color w:val="2F2F2F"/>
          <w:kern w:val="2"/>
          <w:sz w:val="28"/>
          <w:szCs w:val="28"/>
          <w:lang w:val="zh-TW" w:eastAsia="zh-TW" w:bidi="zh-TW"/>
        </w:rPr>
        <w:t>表</w:t>
      </w:r>
      <w:r>
        <w:rPr>
          <w:rFonts w:hint="eastAsia" w:ascii="仿宋" w:hAnsi="仿宋" w:eastAsia="仿宋" w:cs="仿宋"/>
          <w:b/>
          <w:bCs/>
          <w:color w:val="2F2F2F"/>
          <w:kern w:val="2"/>
          <w:sz w:val="28"/>
          <w:szCs w:val="28"/>
          <w:lang w:val="en-US" w:eastAsia="zh-CN" w:bidi="en-US"/>
        </w:rPr>
        <w:t>4-</w:t>
      </w:r>
      <w:r>
        <w:rPr>
          <w:rFonts w:ascii="仿宋" w:hAnsi="仿宋" w:eastAsia="仿宋" w:cs="仿宋"/>
          <w:b/>
          <w:bCs/>
          <w:color w:val="2F2F2F"/>
          <w:kern w:val="2"/>
          <w:sz w:val="28"/>
          <w:szCs w:val="28"/>
          <w:lang w:val="en-US" w:eastAsia="zh-CN" w:bidi="en-US"/>
        </w:rPr>
        <w:t>2</w:t>
      </w:r>
      <w:r>
        <w:rPr>
          <w:rFonts w:hint="eastAsia" w:ascii="仿宋" w:hAnsi="仿宋" w:eastAsia="仿宋" w:cs="仿宋"/>
          <w:b/>
          <w:bCs/>
          <w:color w:val="2F2F2F"/>
          <w:kern w:val="2"/>
          <w:sz w:val="28"/>
          <w:szCs w:val="28"/>
          <w:lang w:val="en-US" w:eastAsia="zh-CN" w:bidi="en-US"/>
        </w:rPr>
        <w:t xml:space="preserve"> </w:t>
      </w:r>
      <w:r>
        <w:rPr>
          <w:rFonts w:hint="eastAsia" w:ascii="仿宋" w:hAnsi="仿宋" w:eastAsia="仿宋" w:cs="仿宋"/>
          <w:b/>
          <w:bCs/>
          <w:color w:val="2F2F2F"/>
          <w:kern w:val="2"/>
          <w:sz w:val="28"/>
          <w:szCs w:val="28"/>
          <w:lang w:val="zh-TW" w:eastAsia="zh-TW" w:bidi="zh-TW"/>
        </w:rPr>
        <w:t>风险分配一览表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07"/>
        <w:gridCol w:w="1737"/>
        <w:gridCol w:w="173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941" w:type="pct"/>
            <w:gridSpan w:val="2"/>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2F2F2F"/>
                <w:kern w:val="2"/>
                <w:sz w:val="21"/>
                <w:szCs w:val="21"/>
                <w:lang w:val="en-US" w:bidi="ar-SA"/>
              </w:rPr>
            </w:pPr>
            <w:r>
              <w:rPr>
                <w:rFonts w:hint="eastAsia" w:ascii="宋体" w:hAnsi="宋体" w:eastAsia="宋体" w:cs="宋体"/>
                <w:b/>
                <w:bCs/>
                <w:color w:val="2F2F2F"/>
                <w:kern w:val="2"/>
                <w:sz w:val="21"/>
                <w:szCs w:val="21"/>
                <w:lang w:val="en-US" w:bidi="ar-SA"/>
              </w:rPr>
              <w:t>风险类别</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2F2F2F"/>
                <w:kern w:val="2"/>
                <w:sz w:val="21"/>
                <w:szCs w:val="21"/>
                <w:lang w:val="en-US" w:bidi="ar-SA"/>
              </w:rPr>
            </w:pPr>
            <w:r>
              <w:rPr>
                <w:rFonts w:hint="eastAsia" w:ascii="宋体" w:hAnsi="宋体" w:eastAsia="宋体" w:cs="宋体"/>
                <w:b/>
                <w:bCs/>
                <w:color w:val="2F2F2F"/>
                <w:kern w:val="2"/>
                <w:sz w:val="21"/>
                <w:szCs w:val="21"/>
                <w:lang w:val="en-US" w:bidi="ar-SA"/>
              </w:rPr>
              <w:t>共担</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2F2F2F"/>
                <w:kern w:val="2"/>
                <w:sz w:val="21"/>
                <w:szCs w:val="21"/>
                <w:lang w:val="en-US" w:bidi="ar-SA"/>
              </w:rPr>
            </w:pPr>
            <w:r>
              <w:rPr>
                <w:rFonts w:hint="eastAsia" w:ascii="宋体" w:hAnsi="宋体" w:eastAsia="宋体" w:cs="宋体"/>
                <w:b/>
                <w:bCs/>
                <w:color w:val="2F2F2F"/>
                <w:kern w:val="2"/>
                <w:sz w:val="21"/>
                <w:szCs w:val="21"/>
                <w:lang w:val="en-US" w:bidi="ar-SA"/>
              </w:rPr>
              <w:t>政府</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b/>
                <w:bCs/>
                <w:color w:val="2F2F2F"/>
                <w:kern w:val="2"/>
                <w:sz w:val="21"/>
                <w:szCs w:val="21"/>
                <w:lang w:val="en-US" w:bidi="ar-SA"/>
              </w:rPr>
            </w:pPr>
            <w:r>
              <w:rPr>
                <w:rFonts w:hint="eastAsia" w:ascii="宋体" w:hAnsi="宋体" w:eastAsia="宋体" w:cs="宋体"/>
                <w:b/>
                <w:bCs/>
                <w:color w:val="2F2F2F"/>
                <w:kern w:val="2"/>
                <w:sz w:val="21"/>
                <w:szCs w:val="21"/>
                <w:lang w:val="en-US" w:bidi="ar-SA"/>
              </w:rPr>
              <w:t>社会资本方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restar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政治风险</w:t>
            </w: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运营权收回/违背</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政局不稳定</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公有化</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审批延误</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宏观经济变化</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行业相关规定变化</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法律体系及监督体系不完善</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区域规划变更</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项目前期决策</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46" w:type="pct"/>
            <w:vMerge w:val="restar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融资风险</w:t>
            </w: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须社会资本方各方共同完成的融 资工具，如项目融资协议、项目融 资结构等</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项目融资可获得性</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融资成本高</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restar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建设风险</w:t>
            </w: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设计变更</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工期及工程质量</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分包商违约</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工地安全</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劳资/设备的获取</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地质条件</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场地可及性/准备</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工程/运营变更</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劳工争端/罢工</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土地使用</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效率低/材料浪费</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建造成本超支</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√（不合理行政干预）</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社会公共设备服务提供</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考古文物保护</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restar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运营风险</w:t>
            </w: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运营成本超支</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分包方违约</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维护成本高</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材料费、税收、市场需求上涨</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restar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法律风险</w:t>
            </w: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合同文件冲突</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第三方延误/违约</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设施所有权</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社会资本方破产</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6" w:type="pct"/>
            <w:vMerge w:val="restar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宏观经济 风险</w:t>
            </w: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通货膨胀</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利率变化</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6" w:type="pct"/>
            <w:vMerge w:val="continue"/>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p>
        </w:tc>
        <w:tc>
          <w:tcPr>
            <w:tcW w:w="1294"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宋体"/>
                <w:color w:val="2F2F2F"/>
                <w:kern w:val="2"/>
                <w:sz w:val="21"/>
                <w:szCs w:val="21"/>
                <w:lang w:val="en-US" w:bidi="ar-SA"/>
              </w:rPr>
            </w:pPr>
            <w:r>
              <w:rPr>
                <w:rFonts w:hint="eastAsia" w:ascii="宋体" w:hAnsi="宋体" w:eastAsia="宋体" w:cs="宋体"/>
                <w:color w:val="2F2F2F"/>
                <w:kern w:val="2"/>
                <w:sz w:val="21"/>
                <w:szCs w:val="21"/>
                <w:lang w:val="en-US" w:bidi="ar-SA"/>
              </w:rPr>
              <w:t>不可杭力</w:t>
            </w:r>
          </w:p>
        </w:tc>
        <w:tc>
          <w:tcPr>
            <w:tcW w:w="1019" w:type="pct"/>
            <w:noWrap w:val="0"/>
            <w:vAlign w:val="center"/>
          </w:tcPr>
          <w:p>
            <w:pPr>
              <w:widowControl/>
              <w:autoSpaceDE/>
              <w:autoSpaceDN/>
              <w:spacing w:before="0" w:beforeLines="0" w:after="0" w:afterLines="0" w:line="240" w:lineRule="auto"/>
              <w:ind w:left="0" w:right="0" w:firstLine="0" w:firstLineChars="0"/>
              <w:jc w:val="center"/>
              <w:rPr>
                <w:rFonts w:ascii="宋体" w:hAnsi="宋体" w:eastAsia="宋体" w:cs="宋体"/>
                <w:i/>
                <w:iCs/>
                <w:color w:val="2F2F2F"/>
                <w:kern w:val="2"/>
                <w:sz w:val="21"/>
                <w:szCs w:val="21"/>
                <w:lang w:val="en-US" w:bidi="ar-SA"/>
              </w:rPr>
            </w:pPr>
            <w:r>
              <w:rPr>
                <w:rFonts w:hint="eastAsia" w:ascii="宋体" w:hAnsi="宋体" w:eastAsia="宋体" w:cs="宋体"/>
                <w:i/>
                <w:iCs/>
                <w:color w:val="2F2F2F"/>
                <w:kern w:val="2"/>
                <w:sz w:val="21"/>
                <w:szCs w:val="21"/>
                <w:lang w:val="en-US" w:bidi="ar-SA"/>
              </w:rPr>
              <w:t>√</w:t>
            </w: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c>
          <w:tcPr>
            <w:tcW w:w="1019" w:type="pct"/>
            <w:noWrap w:val="0"/>
            <w:vAlign w:val="center"/>
          </w:tcPr>
          <w:p>
            <w:pPr>
              <w:widowControl/>
              <w:autoSpaceDE/>
              <w:autoSpaceDN/>
              <w:spacing w:before="0" w:beforeLines="0" w:after="0" w:afterLines="0" w:line="240" w:lineRule="auto"/>
              <w:ind w:left="0" w:right="0" w:firstLine="0" w:firstLineChars="0"/>
              <w:jc w:val="both"/>
              <w:rPr>
                <w:rFonts w:ascii="宋体" w:hAnsi="宋体" w:eastAsia="宋体" w:cs="Times New Roman"/>
                <w:kern w:val="2"/>
                <w:sz w:val="21"/>
                <w:szCs w:val="21"/>
                <w:lang w:val="en-US" w:bidi="ar-SA"/>
              </w:rPr>
            </w:pPr>
          </w:p>
        </w:tc>
      </w:tr>
    </w:tbl>
    <w:p>
      <w:pPr>
        <w:pageBreakBefore w:val="0"/>
        <w:kinsoku/>
        <w:wordWrap/>
        <w:overflowPunct/>
        <w:topLinePunct w:val="0"/>
        <w:autoSpaceDE/>
        <w:autoSpaceDN/>
        <w:bidi w:val="0"/>
        <w:spacing w:before="0" w:after="0" w:line="440" w:lineRule="exact"/>
        <w:ind w:left="0" w:right="0" w:firstLine="480" w:firstLineChars="200"/>
        <w:jc w:val="both"/>
        <w:textAlignment w:val="auto"/>
        <w:outlineLvl w:val="2"/>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5.2</w:t>
      </w:r>
      <w:r>
        <w:rPr>
          <w:rFonts w:hint="eastAsia" w:ascii="宋体" w:hAnsi="宋体" w:eastAsia="宋体" w:cs="宋体"/>
          <w:kern w:val="2"/>
          <w:sz w:val="24"/>
          <w:szCs w:val="24"/>
          <w:lang w:val="en-US" w:bidi="ar-SA"/>
        </w:rPr>
        <w:t>政府方风险承担及防控措施</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政府方承担的风险源于政府所承担的工作，或者是政府自身的行为举措，社会资本方对此类风险的掌控能力弱。由政府承担相应风险并对风险发生所造成的损失给予社会资本相应补偿。其中，针对政府延迟支付风险可在《特许经营协议》中明确政府的支出责任和期限及政府违约的处理办法；项目运营期内，在保障项目贷款本息按期偿还条件下，社会资本方需要服从政府重大基础设施规划建设整体安排。风险防控方面，应强化政府责任意识，充分发挥政府在资源调配和组织协调方面的明显优势，有效防范风险。政府方可通过以下措施强化风险防控能力：</w:t>
      </w:r>
      <w:bookmarkStart w:id="21" w:name="bookmark113"/>
      <w:bookmarkEnd w:id="21"/>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（1）建立科学完善的决策机制，提高政府决策能力；</w:t>
      </w:r>
      <w:bookmarkStart w:id="22" w:name="bookmark114"/>
      <w:bookmarkEnd w:id="22"/>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（2）建立跨部门协调机制，提高政府工作效率；</w:t>
      </w:r>
      <w:bookmarkStart w:id="23" w:name="bookmark115"/>
      <w:bookmarkEnd w:id="23"/>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（3）做好宣传教育工作，减少项目阻力，规避项目风险；</w:t>
      </w:r>
      <w:bookmarkStart w:id="24" w:name="bookmark116"/>
      <w:bookmarkEnd w:id="24"/>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（4）转变思想观念，强化履约意识，提高政府履约能力；</w:t>
      </w:r>
      <w:bookmarkStart w:id="25" w:name="bookmark117"/>
      <w:bookmarkEnd w:id="25"/>
      <w:r>
        <w:rPr>
          <w:rFonts w:hint="eastAsia" w:ascii="宋体" w:hAnsi="宋体" w:eastAsia="宋体" w:cs="宋体"/>
          <w:kern w:val="2"/>
          <w:sz w:val="24"/>
          <w:szCs w:val="24"/>
          <w:lang w:val="en-US" w:bidi="ar-SA"/>
        </w:rPr>
        <w:t>择优选择具备丰富运营经验和较高管理水平的社会资本方；</w:t>
      </w:r>
      <w:bookmarkStart w:id="26" w:name="bookmark118"/>
      <w:bookmarkEnd w:id="26"/>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（5）制定完善的绩效考核体系，定期对社会资本进行绩效考核，并将考核结果与政府支付项目补贴挂钩；</w:t>
      </w:r>
      <w:bookmarkStart w:id="27" w:name="bookmark119"/>
      <w:bookmarkEnd w:id="27"/>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（6）强化政府监管能力，加对社会资本的履约监管，政府各部门根据职责划分，充分发挥行政监管职能。</w:t>
      </w:r>
    </w:p>
    <w:p>
      <w:pPr>
        <w:pageBreakBefore w:val="0"/>
        <w:kinsoku/>
        <w:wordWrap/>
        <w:overflowPunct/>
        <w:topLinePunct w:val="0"/>
        <w:autoSpaceDE/>
        <w:autoSpaceDN/>
        <w:bidi w:val="0"/>
        <w:spacing w:before="0" w:after="0" w:line="440" w:lineRule="exact"/>
        <w:ind w:left="0" w:right="0" w:firstLine="480" w:firstLineChars="200"/>
        <w:jc w:val="both"/>
        <w:textAlignment w:val="auto"/>
        <w:outlineLvl w:val="2"/>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5.3</w:t>
      </w:r>
      <w:r>
        <w:rPr>
          <w:rFonts w:hint="eastAsia" w:ascii="宋体" w:hAnsi="宋体" w:eastAsia="宋体" w:cs="宋体"/>
          <w:kern w:val="2"/>
          <w:sz w:val="24"/>
          <w:szCs w:val="24"/>
          <w:lang w:val="en-US" w:bidi="ar-SA"/>
        </w:rPr>
        <w:t>社会资本方风险承担及防控措施</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社会资本方承担的风险主要发生在项目全生命周期，社会资本方依靠其融资优势及运营管理经验，可以更为主动、更加有效的进行风险应对。在《特许经营协议》中明确政府部门需提供的融资协助事项,对社会资本方的融资进度做细化要求；明确对项目设施的维护要求和大修标准等事宜，项目相关设备设施完好状态约定/性能测试约定/恢复性维修由社会资本方承担；明确运营商违约/提前终止应承担的责任。社会资本方可通过以下措施强化风险防控能力：</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28" w:name="bookmark121"/>
      <w:bookmarkEnd w:id="28"/>
      <w:r>
        <w:rPr>
          <w:rFonts w:hint="eastAsia" w:ascii="宋体" w:hAnsi="宋体" w:eastAsia="宋体" w:cs="宋体"/>
          <w:kern w:val="2"/>
          <w:sz w:val="24"/>
          <w:szCs w:val="24"/>
          <w:lang w:val="en-US" w:bidi="ar-SA"/>
        </w:rPr>
        <w:t>（1）前期进行深入的市场调研和项目考察，全面分析项目的可行性；</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29" w:name="bookmark122"/>
      <w:bookmarkEnd w:id="29"/>
      <w:r>
        <w:rPr>
          <w:rFonts w:hint="eastAsia" w:ascii="宋体" w:hAnsi="宋体" w:eastAsia="宋体" w:cs="宋体"/>
          <w:kern w:val="2"/>
          <w:sz w:val="24"/>
          <w:szCs w:val="24"/>
          <w:lang w:val="en-US" w:bidi="ar-SA"/>
        </w:rPr>
        <w:t>（2）制定科学完善的项目融资计划和实施方案，并严格按照计划、方案执行；</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30" w:name="bookmark123"/>
      <w:bookmarkEnd w:id="30"/>
      <w:r>
        <w:rPr>
          <w:rFonts w:hint="eastAsia" w:ascii="宋体" w:hAnsi="宋体" w:eastAsia="宋体" w:cs="宋体"/>
          <w:kern w:val="2"/>
          <w:sz w:val="24"/>
          <w:szCs w:val="24"/>
          <w:lang w:val="en-US" w:bidi="ar-SA"/>
        </w:rPr>
        <w:t>（3）建立完善的沟通协商机制，就项目实施过程中出现的可能引发风险发生的事项，及时与政府进行沟通协商，根据协商结果妥善处理。</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31" w:name="bookmark124"/>
      <w:bookmarkEnd w:id="31"/>
      <w:r>
        <w:rPr>
          <w:rFonts w:hint="eastAsia" w:ascii="宋体" w:hAnsi="宋体" w:eastAsia="宋体" w:cs="宋体"/>
          <w:kern w:val="2"/>
          <w:sz w:val="24"/>
          <w:szCs w:val="24"/>
          <w:lang w:val="en-US" w:bidi="ar-SA"/>
        </w:rPr>
        <w:t>（4）釆用成熟的技术方案，避免在技术缺陷而导致项目建设成本增加或工期延误；</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32" w:name="bookmark125"/>
      <w:bookmarkEnd w:id="32"/>
      <w:r>
        <w:rPr>
          <w:rFonts w:hint="eastAsia" w:ascii="宋体" w:hAnsi="宋体" w:eastAsia="宋体" w:cs="宋体"/>
          <w:kern w:val="2"/>
          <w:sz w:val="24"/>
          <w:szCs w:val="24"/>
          <w:lang w:val="en-US" w:bidi="ar-SA"/>
        </w:rPr>
        <w:t>（5）加强组织间的沟通协调，特别是做好与第三方机构（如原材料供应商等）的对接、协调，确保项目施工建设顺利进行；</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33" w:name="bookmark126"/>
      <w:bookmarkEnd w:id="33"/>
      <w:r>
        <w:rPr>
          <w:rFonts w:hint="eastAsia" w:ascii="宋体" w:hAnsi="宋体" w:eastAsia="宋体" w:cs="宋体"/>
          <w:kern w:val="2"/>
          <w:sz w:val="24"/>
          <w:szCs w:val="24"/>
          <w:lang w:val="en-US" w:bidi="ar-SA"/>
        </w:rPr>
        <w:t>（6）加强成本控制与质量管理，降低运维成本，确保产品/服务质量，维持项目设施的良好性能；</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34" w:name="bookmark127"/>
      <w:bookmarkEnd w:id="34"/>
      <w:r>
        <w:rPr>
          <w:rFonts w:hint="eastAsia" w:ascii="宋体" w:hAnsi="宋体" w:eastAsia="宋体" w:cs="宋体"/>
          <w:kern w:val="2"/>
          <w:sz w:val="24"/>
          <w:szCs w:val="24"/>
          <w:lang w:val="en-US" w:bidi="ar-SA"/>
        </w:rPr>
        <w:t>（7）严格按照合同约定履行合同义务，维护公众利益，避免因失约而引发政府干预、国有化/征用/没收等风险。</w:t>
      </w:r>
    </w:p>
    <w:p>
      <w:pPr>
        <w:pageBreakBefore w:val="0"/>
        <w:kinsoku/>
        <w:wordWrap/>
        <w:overflowPunct/>
        <w:topLinePunct w:val="0"/>
        <w:autoSpaceDE/>
        <w:autoSpaceDN/>
        <w:bidi w:val="0"/>
        <w:spacing w:before="0" w:after="0" w:line="440" w:lineRule="exact"/>
        <w:ind w:left="0" w:right="0" w:firstLine="480" w:firstLineChars="200"/>
        <w:jc w:val="both"/>
        <w:textAlignment w:val="auto"/>
        <w:outlineLvl w:val="2"/>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5.4</w:t>
      </w:r>
      <w:r>
        <w:rPr>
          <w:rFonts w:hint="eastAsia" w:ascii="宋体" w:hAnsi="宋体" w:eastAsia="宋体" w:cs="宋体"/>
          <w:kern w:val="2"/>
          <w:sz w:val="24"/>
          <w:szCs w:val="24"/>
          <w:lang w:val="en-US" w:bidi="ar-SA"/>
        </w:rPr>
        <w:t>双方合理共担风险承担及防控措施</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双方合理承担风险政府和社会资本方都不具有控制能力，因此，需要项目参与各方共同承担并通过建立完善机制，共同应对风险。按照《特许经营协议》规定，政府与社会资本方合理共担损失，并合力克服事件、恢复运作，同时通过购买相关保险降低损失。政府和社会资本双方可通过以下措施强化风险防控能力：</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35" w:name="bookmark129"/>
      <w:bookmarkEnd w:id="35"/>
      <w:r>
        <w:rPr>
          <w:rFonts w:hint="eastAsia" w:ascii="宋体" w:hAnsi="宋体" w:eastAsia="宋体" w:cs="宋体"/>
          <w:kern w:val="2"/>
          <w:sz w:val="24"/>
          <w:szCs w:val="24"/>
          <w:lang w:val="en-US" w:bidi="ar-SA"/>
        </w:rPr>
        <w:t>推进项目信息公开，主动接受公众监督，广泛征求公众意见,为项目实施奠定良好群众基础；</w:t>
      </w:r>
      <w:bookmarkStart w:id="36" w:name="bookmark130"/>
      <w:bookmarkEnd w:id="36"/>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（2）针对政策法规变更风险，双方可组建专业团队，研究分析政策及法规标准的趋势走向，事先就因政策及法规标准的变更所引起的风险责任进行约定；</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bookmarkStart w:id="37" w:name="bookmark131"/>
      <w:bookmarkEnd w:id="37"/>
      <w:r>
        <w:rPr>
          <w:rFonts w:hint="eastAsia" w:ascii="宋体" w:hAnsi="宋体" w:eastAsia="宋体" w:cs="宋体"/>
          <w:kern w:val="2"/>
          <w:sz w:val="24"/>
          <w:szCs w:val="24"/>
          <w:lang w:val="en-US" w:bidi="ar-SA"/>
        </w:rPr>
        <w:t>（3）针对项目合同风险，双方应就合同文件的核心条款进行沟通确认，并聘请法律顾问对项目合同文件进行审查，避免因项目合同文件存在瑕疵而引发纠纷或其他风险；</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bidi="ar-SA"/>
        </w:rPr>
        <w:t>（4）针对自然环境、社会环境、突发事故等不可抗力风险，双方应共同建立风险应急机制，制定风险应急预案，及时化解项</w:t>
      </w:r>
      <w:bookmarkStart w:id="38" w:name="bookmark132"/>
      <w:bookmarkEnd w:id="38"/>
      <w:r>
        <w:rPr>
          <w:rFonts w:hint="eastAsia" w:ascii="宋体" w:hAnsi="宋体" w:eastAsia="宋体" w:cs="宋体"/>
          <w:kern w:val="2"/>
          <w:sz w:val="24"/>
          <w:szCs w:val="24"/>
          <w:lang w:val="en-US" w:bidi="ar-SA"/>
        </w:rPr>
        <w:t>目建设与运营阶段发生的突发风险，确保项目正常运转。</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0"/>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6.绩效考核</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39" w:name="_Toc106575154"/>
      <w:r>
        <w:rPr>
          <w:rFonts w:hint="eastAsia" w:ascii="宋体" w:hAnsi="宋体" w:eastAsia="宋体" w:cs="宋体"/>
          <w:b/>
          <w:bCs/>
          <w:kern w:val="2"/>
          <w:sz w:val="24"/>
          <w:szCs w:val="24"/>
          <w:lang w:val="en-US" w:eastAsia="zh-CN" w:bidi="ar-SA"/>
        </w:rPr>
        <w:t>6.1绩效考核原则</w:t>
      </w:r>
      <w:bookmarkEnd w:id="39"/>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绩效考核应遵循“客观、公正、公开、适度”的原则，将绩效评价结果作为本项目奖惩措施实施、合作期限等重要内容调整的依据，保证公共利益最大化。</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40" w:name="_Toc106575155"/>
      <w:r>
        <w:rPr>
          <w:rFonts w:hint="eastAsia" w:ascii="宋体" w:hAnsi="宋体" w:eastAsia="宋体" w:cs="宋体"/>
          <w:b/>
          <w:bCs/>
          <w:kern w:val="2"/>
          <w:sz w:val="24"/>
          <w:szCs w:val="24"/>
          <w:lang w:val="en-US" w:eastAsia="zh-CN" w:bidi="ar-SA"/>
        </w:rPr>
        <w:t>6.2绩效评价阶段</w:t>
      </w:r>
      <w:bookmarkEnd w:id="40"/>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项目建设过程中的绩效监控。重点对项目的关键绩效指标进行评测，以绩效监控结果作为奖惩依据。</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41" w:name="_Toc106575156"/>
      <w:r>
        <w:rPr>
          <w:rFonts w:hint="eastAsia" w:ascii="宋体" w:hAnsi="宋体" w:eastAsia="宋体" w:cs="宋体"/>
          <w:b/>
          <w:bCs/>
          <w:kern w:val="2"/>
          <w:sz w:val="24"/>
          <w:szCs w:val="24"/>
          <w:lang w:val="en-US" w:eastAsia="zh-CN" w:bidi="ar-SA"/>
        </w:rPr>
        <w:t>6.3主管部门绩效评价</w:t>
      </w:r>
      <w:bookmarkEnd w:id="41"/>
    </w:p>
    <w:p>
      <w:pPr>
        <w:keepNext/>
        <w:keepLines/>
        <w:pageBreakBefore w:val="0"/>
        <w:widowControl w:val="0"/>
        <w:numPr>
          <w:ilvl w:val="0"/>
          <w:numId w:val="0"/>
        </w:numPr>
        <w:kinsoku/>
        <w:wordWrap/>
        <w:overflowPunct/>
        <w:topLinePunct w:val="0"/>
        <w:bidi w:val="0"/>
        <w:spacing w:before="0" w:after="0" w:line="440" w:lineRule="exact"/>
        <w:ind w:left="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6.3.1主管部门绩效评价</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政府指定的监管机构联合对项目公司的投融资及项目建设情况进考核。</w:t>
      </w:r>
    </w:p>
    <w:p>
      <w:pPr>
        <w:keepNext/>
        <w:keepLines/>
        <w:pageBreakBefore w:val="0"/>
        <w:widowControl w:val="0"/>
        <w:numPr>
          <w:ilvl w:val="0"/>
          <w:numId w:val="0"/>
        </w:numPr>
        <w:kinsoku/>
        <w:wordWrap/>
        <w:overflowPunct/>
        <w:topLinePunct w:val="0"/>
        <w:bidi w:val="0"/>
        <w:spacing w:before="0" w:after="0" w:line="440" w:lineRule="exact"/>
        <w:ind w:left="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6.3.2专家评议与中介评价</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让专家和民众广泛参与评议，保障公众的知情权，切实实现政务公开，提高公民评议的水平和效率。特别是对于新建项目，专家主要负责解决技术难题， 协同政府部门确定指标、标准，对各部门支出绩效进行评价。</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42" w:name="_Toc106575157"/>
      <w:r>
        <w:rPr>
          <w:rFonts w:hint="eastAsia" w:ascii="宋体" w:hAnsi="宋体" w:eastAsia="宋体" w:cs="宋体"/>
          <w:b/>
          <w:bCs/>
          <w:kern w:val="2"/>
          <w:sz w:val="24"/>
          <w:szCs w:val="24"/>
          <w:lang w:val="en-US" w:eastAsia="zh-CN" w:bidi="ar-SA"/>
        </w:rPr>
        <w:t>6.3评价目标</w:t>
      </w:r>
      <w:bookmarkEnd w:id="42"/>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绩效评价总体目标是确定本项目的发展水平及其投入产出效果。具体目标为了检验本项目建成运行后的资产管理绩效，包括资产利用效率的高低，项目资产运行是否具有可持续性，综合效益。对本项目的运行情况、运行效果进行多年系统的动态跟踪调查、统计和测定，掌握本项目可持续运行情况各方面的信息，从而对本项目建设项目做出运行质量的客观综合评价，促进本项目的规范和最优化运行，实现可持续运行。</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43" w:name="_Toc106575158"/>
      <w:r>
        <w:rPr>
          <w:rFonts w:hint="eastAsia" w:ascii="宋体" w:hAnsi="宋体" w:eastAsia="宋体" w:cs="宋体"/>
          <w:b/>
          <w:bCs/>
          <w:kern w:val="2"/>
          <w:sz w:val="24"/>
          <w:szCs w:val="24"/>
          <w:lang w:val="en-US" w:eastAsia="zh-CN" w:bidi="ar-SA"/>
        </w:rPr>
        <w:t>6.4考核指标</w:t>
      </w:r>
      <w:bookmarkEnd w:id="43"/>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0"/>
          <w:sz w:val="24"/>
          <w:szCs w:val="24"/>
          <w:lang w:val="en-US" w:bidi="ar-SA"/>
        </w:rPr>
      </w:pPr>
      <w:r>
        <w:rPr>
          <w:rFonts w:hint="eastAsia" w:ascii="宋体" w:hAnsi="宋体" w:eastAsia="宋体" w:cs="宋体"/>
          <w:kern w:val="2"/>
          <w:sz w:val="24"/>
          <w:szCs w:val="24"/>
          <w:lang w:val="en-US" w:bidi="ar-SA"/>
        </w:rPr>
        <w:t>参照《关于推进政府和社会资本方合作规范发展的实施意见》（财金〔2019〕10号）的规定，项目要建立完全与项目产出绩效相挂钩的付费机制，不得通过降低考核标准等方式，提前锁定、固化政府支出责任。因此，为防止固化政府支出责任，本方案设定建设期绩效考核和运营期绩效考核。</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6.5建设期绩效考核</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在项目建设过程中，对项目建设过程绩效进行临时考核。对于考核结果不符合要求的，考核小组有权要求社会资本方在一定期限内进行整改，直到达到竣工验收标准后，方可进入运营期。</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6.6运营期绩效考核</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为了保障运营期间服务质量，政府通过运维绩效考核对特许经营服务费进行调整。本项目参照《国家储备林建设规划（2016-2020年）》征求意见稿建议的林业类绩效考核相关文件，结合本项目特点,利用定性和定量分析综合法，设计绩效考核指标体系，并按照绩效考核付费。</w:t>
      </w:r>
    </w:p>
    <w:p>
      <w:pPr>
        <w:autoSpaceDE/>
        <w:autoSpaceDN/>
        <w:spacing w:before="156" w:beforeLines="50" w:after="156" w:afterLines="50" w:line="600" w:lineRule="exact"/>
        <w:ind w:left="0" w:right="0" w:firstLine="560" w:firstLineChars="200"/>
        <w:jc w:val="center"/>
        <w:rPr>
          <w:rFonts w:ascii="Times New Roman" w:hAnsi="Times New Roman" w:eastAsia="仿宋" w:cs="Times New Roman"/>
          <w:kern w:val="2"/>
          <w:sz w:val="28"/>
          <w:lang w:val="en-US" w:bidi="ar-SA"/>
        </w:rPr>
      </w:pPr>
      <w:r>
        <w:rPr>
          <w:rFonts w:ascii="Times New Roman" w:hAnsi="Times New Roman" w:eastAsia="仿宋" w:cs="Times New Roman"/>
          <w:kern w:val="2"/>
          <w:sz w:val="28"/>
          <w:lang w:val="en-US" w:bidi="ar-SA"/>
        </w:rPr>
        <w:t>表 1</w:t>
      </w:r>
      <w:r>
        <w:rPr>
          <w:rFonts w:hint="eastAsia" w:ascii="Times New Roman" w:hAnsi="Times New Roman" w:eastAsia="仿宋" w:cs="Times New Roman"/>
          <w:kern w:val="2"/>
          <w:sz w:val="28"/>
          <w:lang w:val="en-US" w:bidi="ar-SA"/>
        </w:rPr>
        <w:t>0-</w:t>
      </w:r>
      <w:r>
        <w:rPr>
          <w:rFonts w:ascii="Times New Roman" w:hAnsi="Times New Roman" w:eastAsia="仿宋" w:cs="Times New Roman"/>
          <w:kern w:val="2"/>
          <w:sz w:val="28"/>
          <w:lang w:val="en-US" w:bidi="ar-SA"/>
        </w:rPr>
        <w:t xml:space="preserve">1 </w:t>
      </w:r>
      <w:r>
        <w:rPr>
          <w:rFonts w:hint="eastAsia" w:ascii="Times New Roman" w:hAnsi="Times New Roman" w:eastAsia="仿宋" w:cs="Times New Roman"/>
          <w:kern w:val="2"/>
          <w:sz w:val="28"/>
          <w:lang w:val="en-US" w:bidi="ar-SA"/>
        </w:rPr>
        <w:t>运维绩效考核表</w:t>
      </w:r>
    </w:p>
    <w:tbl>
      <w:tblPr>
        <w:tblStyle w:val="10"/>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5800"/>
        <w:gridCol w:w="397"/>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0"/>
                <w:sz w:val="18"/>
                <w:szCs w:val="18"/>
                <w:lang w:val="en-US" w:bidi="ar-SA"/>
              </w:rPr>
            </w:pPr>
            <w:r>
              <w:rPr>
                <w:rFonts w:hint="eastAsia" w:ascii="仿宋" w:hAnsi="仿宋" w:eastAsia="仿宋" w:cs="Times New Roman"/>
                <w:b/>
                <w:bCs/>
                <w:kern w:val="2"/>
                <w:sz w:val="18"/>
                <w:szCs w:val="18"/>
                <w:lang w:val="en-US" w:bidi="ar-SA"/>
              </w:rPr>
              <w:t>指标名称</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指标内容</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指标分值</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考核评分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抚育方式</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储备林抚育方式应按照项目作业设计要求执行。</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10</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每</w:t>
            </w:r>
            <w:r>
              <w:rPr>
                <w:rFonts w:hint="default" w:ascii="仿宋" w:hAnsi="仿宋" w:eastAsia="宋体" w:cs="Times New Roman"/>
                <w:color w:val="000000"/>
                <w:kern w:val="2"/>
                <w:sz w:val="18"/>
                <w:szCs w:val="18"/>
                <w:lang w:val="en-US" w:bidi="ar-SA"/>
              </w:rPr>
              <w:t>1</w:t>
            </w:r>
            <w:r>
              <w:rPr>
                <w:rFonts w:hint="eastAsia" w:ascii="仿宋" w:hAnsi="仿宋" w:eastAsia="仿宋" w:cs="Times New Roman"/>
                <w:kern w:val="2"/>
                <w:sz w:val="18"/>
                <w:szCs w:val="18"/>
                <w:lang w:val="en-US" w:bidi="ar-SA"/>
              </w:rPr>
              <w:t>处不符合作业设计得扣</w:t>
            </w:r>
            <w:r>
              <w:rPr>
                <w:rFonts w:hint="default" w:ascii="仿宋" w:hAnsi="仿宋" w:eastAsia="宋体" w:cs="Times New Roman"/>
                <w:color w:val="000000"/>
                <w:kern w:val="2"/>
                <w:sz w:val="18"/>
                <w:szCs w:val="18"/>
                <w:lang w:val="en-US" w:bidi="ar-SA"/>
              </w:rPr>
              <w:t>2</w:t>
            </w:r>
            <w:r>
              <w:rPr>
                <w:rFonts w:hint="eastAsia" w:ascii="仿宋" w:hAnsi="仿宋" w:eastAsia="仿宋" w:cs="Times New Roman"/>
                <w:kern w:val="2"/>
                <w:sz w:val="18"/>
                <w:szCs w:val="18"/>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树种组成</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按照项目树种作业设计，选择树种种植并合理搭配。</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10</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每</w:t>
            </w:r>
            <w:r>
              <w:rPr>
                <w:rFonts w:hint="default" w:ascii="仿宋" w:hAnsi="仿宋" w:eastAsia="宋体" w:cs="Times New Roman"/>
                <w:color w:val="000000"/>
                <w:kern w:val="2"/>
                <w:sz w:val="18"/>
                <w:szCs w:val="18"/>
                <w:lang w:val="en-US" w:bidi="ar-SA"/>
              </w:rPr>
              <w:t>1</w:t>
            </w:r>
            <w:r>
              <w:rPr>
                <w:rFonts w:hint="eastAsia" w:ascii="仿宋" w:hAnsi="仿宋" w:eastAsia="仿宋" w:cs="Times New Roman"/>
                <w:kern w:val="2"/>
                <w:sz w:val="18"/>
                <w:szCs w:val="18"/>
                <w:lang w:val="en-US" w:bidi="ar-SA"/>
              </w:rPr>
              <w:t>处不符合作业设计得扣</w:t>
            </w:r>
            <w:r>
              <w:rPr>
                <w:rFonts w:hint="default" w:ascii="仿宋" w:hAnsi="仿宋" w:eastAsia="宋体" w:cs="Times New Roman"/>
                <w:color w:val="000000"/>
                <w:kern w:val="2"/>
                <w:sz w:val="18"/>
                <w:szCs w:val="18"/>
                <w:lang w:val="en-US" w:bidi="ar-SA"/>
              </w:rPr>
              <w:t>2</w:t>
            </w:r>
            <w:r>
              <w:rPr>
                <w:rFonts w:hint="eastAsia" w:ascii="仿宋" w:hAnsi="仿宋" w:eastAsia="仿宋" w:cs="Times New Roman"/>
                <w:kern w:val="2"/>
                <w:sz w:val="18"/>
                <w:szCs w:val="18"/>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森林防火</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hint="eastAsia" w:ascii="仿宋" w:hAnsi="仿宋" w:eastAsia="仿宋" w:cs="Times New Roman"/>
                <w:kern w:val="2"/>
                <w:sz w:val="18"/>
                <w:szCs w:val="18"/>
                <w:lang w:val="en-US" w:bidi="ar-SA"/>
              </w:rPr>
            </w:pPr>
            <w:r>
              <w:rPr>
                <w:rFonts w:hint="eastAsia" w:ascii="仿宋" w:hAnsi="仿宋" w:eastAsia="仿宋" w:cs="Times New Roman"/>
                <w:kern w:val="2"/>
                <w:sz w:val="18"/>
                <w:szCs w:val="18"/>
                <w:lang w:val="en-US" w:bidi="ar-SA"/>
              </w:rPr>
              <w:t>a）健全森林防火规章制度、组织指挥体系、森林防火应急预案；</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b）边界设置森林防火警示标识，对进入人员进行森林防火安全警示；</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c）对起火源比如电线接头、配电箱、吸烟区进行严查严控；严格管理野外用火，避免火源线穿入其中；</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d）加强对周边社区群众的森林防火宣传教育，提高火灾安全防范意识；</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e）在造林地外围建设防护隔离带，并重点做好林道、防火线、防火林带的统筹规划和建设；</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f）配置扑火器具和灭火裝备，形成技术先进、功能完备的森林防火体系；</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g）因周边火源蔓延到项目范围内，未能釆取积极有效措施，致使发生较大森林火灾的,并追究相关人员的责任。</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24</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一项不符扣</w:t>
            </w:r>
            <w:r>
              <w:rPr>
                <w:rFonts w:hint="default" w:ascii="仿宋" w:hAnsi="仿宋" w:eastAsia="宋体" w:cs="Times New Roman"/>
                <w:color w:val="000000"/>
                <w:kern w:val="2"/>
                <w:sz w:val="18"/>
                <w:szCs w:val="18"/>
                <w:lang w:val="en-US" w:bidi="ar-SA"/>
              </w:rPr>
              <w:t>2</w:t>
            </w:r>
            <w:r>
              <w:rPr>
                <w:rFonts w:hint="eastAsia" w:ascii="仿宋" w:hAnsi="仿宋" w:eastAsia="仿宋" w:cs="Times New Roman"/>
                <w:kern w:val="2"/>
                <w:sz w:val="18"/>
                <w:szCs w:val="18"/>
                <w:lang w:val="en-US" w:bidi="ar-SA"/>
              </w:rPr>
              <w:t>分。</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发生一次一般森林火灾（受害森林面积1公顷以下）扣5分；发生一次较大森林火灾（受害森林面积1公顷以上100公顷以下）扣10分；未釆取扑救措施扣20分。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病虫害防治</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hint="eastAsia" w:ascii="仿宋" w:hAnsi="仿宋" w:eastAsia="仿宋" w:cs="Times New Roman"/>
                <w:kern w:val="2"/>
                <w:sz w:val="18"/>
                <w:szCs w:val="18"/>
                <w:lang w:val="en-US" w:bidi="ar-SA"/>
              </w:rPr>
            </w:pPr>
            <w:r>
              <w:rPr>
                <w:rFonts w:hint="eastAsia" w:ascii="仿宋" w:hAnsi="仿宋" w:eastAsia="仿宋" w:cs="Times New Roman"/>
                <w:kern w:val="2"/>
                <w:sz w:val="18"/>
                <w:szCs w:val="18"/>
                <w:lang w:val="en-US" w:bidi="ar-SA"/>
              </w:rPr>
              <w:t>a）制定有国家储备林《突发有害生物事件应急预案》，抓好森林植物检疫和检测预报；</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b）做好病虫害的调查和防治工作，及时改进防治手段；</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c）及时有效的控制病虫害的蔓延减少损失等；</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d）严格遵守《植物检疫条例》、《植物检疫条例实施细则》的规定，对林木种子、苗木、木材等植物及产品进行复检。</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8</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—项不符扣</w:t>
            </w:r>
            <w:r>
              <w:rPr>
                <w:rFonts w:hint="default" w:ascii="仿宋" w:hAnsi="仿宋" w:eastAsia="宋体" w:cs="Times New Roman"/>
                <w:color w:val="000000"/>
                <w:kern w:val="2"/>
                <w:sz w:val="18"/>
                <w:szCs w:val="18"/>
                <w:lang w:val="en-US" w:bidi="ar-SA"/>
              </w:rPr>
              <w:t>2</w:t>
            </w:r>
            <w:r>
              <w:rPr>
                <w:rFonts w:hint="eastAsia" w:ascii="仿宋" w:hAnsi="仿宋" w:eastAsia="仿宋" w:cs="Times New Roman"/>
                <w:kern w:val="2"/>
                <w:sz w:val="18"/>
                <w:szCs w:val="18"/>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安全管理</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hint="eastAsia" w:ascii="仿宋" w:hAnsi="仿宋" w:eastAsia="仿宋" w:cs="Times New Roman"/>
                <w:kern w:val="2"/>
                <w:sz w:val="18"/>
                <w:szCs w:val="18"/>
                <w:lang w:val="en-US" w:bidi="ar-SA"/>
              </w:rPr>
            </w:pPr>
            <w:r>
              <w:rPr>
                <w:rFonts w:hint="eastAsia" w:ascii="仿宋" w:hAnsi="仿宋" w:eastAsia="仿宋" w:cs="Times New Roman"/>
                <w:kern w:val="2"/>
                <w:sz w:val="18"/>
                <w:szCs w:val="18"/>
                <w:lang w:val="en-US" w:bidi="ar-SA"/>
              </w:rPr>
              <w:t>a）遇台风.暴雨暴风等恶劣天气及时启动安全预案，保护基地林木成果，须在30分钟内到现场；</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b）因树木倒伏、枝条断裂，影响到车辆行人安全通行的情况，主干道3小时内，次干道5小时内必须完成抢险处置；</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c）加强管护责任区内所有设施（如堡坎、护坡等）、植物（特别是高大乔木）的巡视、巡查工作，及时发现、汇报、处置、跟踪安全隐患，杜绝安全事故发生；</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d）林木基地内任何施工须取得相应合法手续，安全文明施工；</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e）在项目监管范围内避免发生人员伤亡,开展安全隐患排查和治理工作，做好相应的安全措施，确保人员安全；</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f）作业机具按照要求使用，避免因操作不当引起意外事故的发生。</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12</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未达标的发现一处扣</w:t>
            </w:r>
            <w:r>
              <w:rPr>
                <w:rFonts w:hint="default" w:ascii="仿宋" w:hAnsi="仿宋" w:eastAsia="宋体" w:cs="Times New Roman"/>
                <w:color w:val="000000"/>
                <w:kern w:val="2"/>
                <w:sz w:val="18"/>
                <w:szCs w:val="18"/>
                <w:lang w:val="en-US" w:bidi="ar-SA"/>
              </w:rPr>
              <w:t>1</w:t>
            </w:r>
            <w:r>
              <w:rPr>
                <w:rFonts w:hint="eastAsia" w:ascii="仿宋" w:hAnsi="仿宋" w:eastAsia="仿宋" w:cs="Times New Roman"/>
                <w:kern w:val="2"/>
                <w:sz w:val="18"/>
                <w:szCs w:val="18"/>
                <w:lang w:val="en-US" w:bidi="ar-SA"/>
              </w:rPr>
              <w:t>分。扣满</w:t>
            </w:r>
            <w:r>
              <w:rPr>
                <w:rFonts w:hint="default" w:ascii="仿宋" w:hAnsi="仿宋" w:eastAsia="宋体" w:cs="Times New Roman"/>
                <w:color w:val="000000"/>
                <w:kern w:val="2"/>
                <w:sz w:val="18"/>
                <w:szCs w:val="18"/>
                <w:lang w:val="en-US" w:bidi="ar-SA"/>
              </w:rPr>
              <w:t>10</w:t>
            </w:r>
            <w:r>
              <w:rPr>
                <w:rFonts w:hint="eastAsia" w:ascii="仿宋" w:hAnsi="仿宋" w:eastAsia="仿宋" w:cs="Times New Roman"/>
                <w:kern w:val="2"/>
                <w:sz w:val="18"/>
                <w:szCs w:val="18"/>
                <w:lang w:val="en-US" w:bidi="ar-SA"/>
              </w:rPr>
              <w:t>分为止。</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每发生一次一般事故扣2分，重大事故安全工作，扣4分。因使用作业工具操作不当引起意外事故的视事故大小扣5分。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队伍建设</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hint="eastAsia" w:ascii="仿宋" w:hAnsi="仿宋" w:eastAsia="仿宋" w:cs="Times New Roman"/>
                <w:kern w:val="2"/>
                <w:sz w:val="18"/>
                <w:szCs w:val="18"/>
                <w:lang w:val="en-US" w:bidi="ar-SA"/>
              </w:rPr>
            </w:pPr>
            <w:r>
              <w:rPr>
                <w:rFonts w:hint="eastAsia" w:ascii="仿宋" w:hAnsi="仿宋" w:eastAsia="仿宋" w:cs="Times New Roman"/>
                <w:kern w:val="2"/>
                <w:sz w:val="18"/>
                <w:szCs w:val="18"/>
                <w:lang w:val="en-US" w:bidi="ar-SA"/>
              </w:rPr>
              <w:t>a）建立森林管护队伍，明确管护员的管护地段、管护时段；</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b）管理人员服装统一、按时出勤，管理处24小时有人值班；</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c）各方面有专职人员看守，责任落实到位。</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6</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一项不符合扣</w:t>
            </w:r>
            <w:r>
              <w:rPr>
                <w:rFonts w:hint="default" w:ascii="仿宋" w:hAnsi="仿宋" w:eastAsia="宋体" w:cs="Times New Roman"/>
                <w:color w:val="000000"/>
                <w:kern w:val="2"/>
                <w:sz w:val="18"/>
                <w:szCs w:val="18"/>
                <w:lang w:val="en-US" w:bidi="ar-SA"/>
              </w:rPr>
              <w:t>2</w:t>
            </w:r>
            <w:r>
              <w:rPr>
                <w:rFonts w:hint="eastAsia" w:ascii="仿宋" w:hAnsi="仿宋" w:eastAsia="仿宋" w:cs="Times New Roman"/>
                <w:kern w:val="2"/>
                <w:sz w:val="18"/>
                <w:szCs w:val="18"/>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巡视管理</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hint="eastAsia" w:ascii="仿宋" w:hAnsi="仿宋" w:eastAsia="仿宋" w:cs="Times New Roman"/>
                <w:kern w:val="2"/>
                <w:sz w:val="18"/>
                <w:szCs w:val="18"/>
                <w:lang w:val="en-US" w:bidi="ar-SA"/>
              </w:rPr>
            </w:pPr>
            <w:r>
              <w:rPr>
                <w:rFonts w:hint="eastAsia" w:ascii="仿宋" w:hAnsi="仿宋" w:eastAsia="仿宋" w:cs="Times New Roman"/>
                <w:kern w:val="2"/>
                <w:sz w:val="18"/>
                <w:szCs w:val="18"/>
                <w:lang w:val="en-US" w:bidi="ar-SA"/>
              </w:rPr>
              <w:t>a）巡査日志完整、规范、及时记录巡山日志，每月不少于25天；</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b）对进出车辆进行管理和疏导，车辆停放有序；</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c）服务区内设监控设备且正常运行；</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d）加强巡逻，保安人员定时到指定区域巡逻；</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e）配套设施有专人管理。</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12</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—项不符合扣</w:t>
            </w:r>
            <w:r>
              <w:rPr>
                <w:rFonts w:hint="default" w:ascii="仿宋" w:hAnsi="仿宋" w:eastAsia="宋体" w:cs="Times New Roman"/>
                <w:color w:val="000000"/>
                <w:kern w:val="2"/>
                <w:sz w:val="18"/>
                <w:szCs w:val="18"/>
                <w:lang w:val="en-US"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设施管理</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hint="eastAsia" w:ascii="仿宋" w:hAnsi="仿宋" w:eastAsia="仿宋" w:cs="Times New Roman"/>
                <w:kern w:val="2"/>
                <w:sz w:val="18"/>
                <w:szCs w:val="18"/>
                <w:lang w:val="en-US" w:bidi="ar-SA"/>
              </w:rPr>
            </w:pPr>
            <w:r>
              <w:rPr>
                <w:rFonts w:hint="eastAsia" w:ascii="仿宋" w:hAnsi="仿宋" w:eastAsia="仿宋" w:cs="Times New Roman"/>
                <w:kern w:val="2"/>
                <w:sz w:val="18"/>
                <w:szCs w:val="18"/>
                <w:lang w:val="en-US" w:bidi="ar-SA"/>
              </w:rPr>
              <w:t>a）建立配套机械工具的使用管理制度，做好使用记录；</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b）定期更换已经老化或者以损坏的机械工具；</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c）对人员进行培训，确保相关工具的正确使用；</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d）根据项目需求，及时增添新的设备、工具，以满足项目需求等；</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e）合理选译和配置仪器、设备，优先选用技术性能和节能效果较好的国家推荐产品，最大限度降低水、电、能的消耗。</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12</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一项不符合扣</w:t>
            </w:r>
            <w:r>
              <w:rPr>
                <w:rFonts w:hint="default" w:ascii="仿宋" w:hAnsi="仿宋" w:eastAsia="宋体" w:cs="Times New Roman"/>
                <w:color w:val="000000"/>
                <w:kern w:val="2"/>
                <w:sz w:val="18"/>
                <w:szCs w:val="18"/>
                <w:lang w:val="en-US" w:bidi="ar-SA"/>
              </w:rPr>
              <w:t>2</w:t>
            </w:r>
            <w:r>
              <w:rPr>
                <w:rFonts w:hint="eastAsia" w:ascii="仿宋" w:hAnsi="仿宋" w:eastAsia="仿宋" w:cs="Times New Roman"/>
                <w:kern w:val="2"/>
                <w:sz w:val="18"/>
                <w:szCs w:val="18"/>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76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center"/>
              <w:textAlignment w:val="center"/>
              <w:rPr>
                <w:rFonts w:ascii="仿宋" w:hAnsi="仿宋" w:eastAsia="仿宋" w:cs="Times New Roman"/>
                <w:b/>
                <w:bCs/>
                <w:color w:val="2F2F2F"/>
                <w:kern w:val="2"/>
                <w:sz w:val="18"/>
                <w:szCs w:val="18"/>
                <w:lang w:val="en-US" w:bidi="ar-SA"/>
              </w:rPr>
            </w:pPr>
            <w:r>
              <w:rPr>
                <w:rFonts w:hint="eastAsia" w:ascii="仿宋" w:hAnsi="仿宋" w:eastAsia="仿宋" w:cs="Times New Roman"/>
                <w:b/>
                <w:bCs/>
                <w:kern w:val="2"/>
                <w:sz w:val="18"/>
                <w:szCs w:val="18"/>
                <w:lang w:val="en-US" w:bidi="ar-SA"/>
              </w:rPr>
              <w:t>档案管理</w:t>
            </w:r>
          </w:p>
        </w:tc>
        <w:tc>
          <w:tcPr>
            <w:tcW w:w="5779"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hint="eastAsia" w:ascii="仿宋" w:hAnsi="仿宋" w:eastAsia="仿宋" w:cs="Times New Roman"/>
                <w:kern w:val="2"/>
                <w:sz w:val="18"/>
                <w:szCs w:val="18"/>
                <w:lang w:val="en-US" w:bidi="ar-SA"/>
              </w:rPr>
            </w:pPr>
            <w:r>
              <w:rPr>
                <w:rFonts w:hint="eastAsia" w:ascii="仿宋" w:hAnsi="仿宋" w:eastAsia="仿宋" w:cs="Times New Roman"/>
                <w:kern w:val="2"/>
                <w:sz w:val="18"/>
                <w:szCs w:val="18"/>
                <w:lang w:val="en-US" w:bidi="ar-SA"/>
              </w:rPr>
              <w:t>a）档案资料齐全、科学分类管理、易于检索；</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b）执行《全国木材战略储备生产基地档案信息管理办法》文件要求；</w:t>
            </w:r>
            <w:r>
              <w:rPr>
                <w:rFonts w:hint="eastAsia" w:ascii="仿宋" w:hAnsi="仿宋" w:eastAsia="仿宋" w:cs="Times New Roman"/>
                <w:kern w:val="2"/>
                <w:sz w:val="18"/>
                <w:szCs w:val="18"/>
                <w:lang w:val="en-US" w:bidi="ar-SA"/>
              </w:rPr>
              <w:br w:type="textWrapping"/>
            </w:r>
            <w:r>
              <w:rPr>
                <w:rFonts w:hint="eastAsia" w:ascii="仿宋" w:hAnsi="仿宋" w:eastAsia="仿宋" w:cs="Times New Roman"/>
                <w:kern w:val="2"/>
                <w:sz w:val="18"/>
                <w:szCs w:val="18"/>
                <w:lang w:val="en-US" w:bidi="ar-SA"/>
              </w:rPr>
              <w:t>c）森林抚育档案应有纸介质文档和电子文档，遵循文件材料的形成规律，保持文件之间的历史联系。</w:t>
            </w:r>
          </w:p>
        </w:tc>
        <w:tc>
          <w:tcPr>
            <w:tcW w:w="396"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6</w:t>
            </w:r>
          </w:p>
        </w:tc>
        <w:tc>
          <w:tcPr>
            <w:tcW w:w="1813" w:type="dxa"/>
            <w:noWrap w:val="0"/>
            <w:tcMar>
              <w:top w:w="10" w:type="dxa"/>
              <w:left w:w="10" w:type="dxa"/>
              <w:bottom w:w="0" w:type="dxa"/>
              <w:right w:w="10" w:type="dxa"/>
            </w:tcMar>
            <w:vAlign w:val="center"/>
          </w:tcPr>
          <w:p>
            <w:pPr>
              <w:widowControl/>
              <w:autoSpaceDE/>
              <w:autoSpaceDN/>
              <w:spacing w:before="0" w:beforeLines="0" w:after="0" w:afterLines="0" w:line="240" w:lineRule="auto"/>
              <w:ind w:left="0" w:right="0" w:firstLine="0" w:firstLineChars="0"/>
              <w:jc w:val="left"/>
              <w:textAlignment w:val="center"/>
              <w:rPr>
                <w:rFonts w:ascii="仿宋" w:hAnsi="仿宋" w:eastAsia="仿宋" w:cs="Times New Roman"/>
                <w:color w:val="2F2F2F"/>
                <w:kern w:val="2"/>
                <w:sz w:val="18"/>
                <w:szCs w:val="18"/>
                <w:lang w:val="en-US" w:bidi="ar-SA"/>
              </w:rPr>
            </w:pPr>
            <w:r>
              <w:rPr>
                <w:rFonts w:hint="eastAsia" w:ascii="仿宋" w:hAnsi="仿宋" w:eastAsia="仿宋" w:cs="Times New Roman"/>
                <w:kern w:val="2"/>
                <w:sz w:val="18"/>
                <w:szCs w:val="18"/>
                <w:lang w:val="en-US" w:bidi="ar-SA"/>
              </w:rPr>
              <w:t>一项不符合扣</w:t>
            </w:r>
            <w:r>
              <w:rPr>
                <w:rFonts w:hint="default" w:ascii="仿宋" w:hAnsi="仿宋" w:eastAsia="宋体" w:cs="Times New Roman"/>
                <w:color w:val="000000"/>
                <w:kern w:val="2"/>
                <w:sz w:val="18"/>
                <w:szCs w:val="18"/>
                <w:lang w:val="en-US" w:bidi="ar-SA"/>
              </w:rPr>
              <w:t>2</w:t>
            </w:r>
            <w:r>
              <w:rPr>
                <w:rFonts w:hint="eastAsia" w:ascii="仿宋" w:hAnsi="仿宋" w:eastAsia="仿宋" w:cs="Times New Roman"/>
                <w:kern w:val="2"/>
                <w:sz w:val="18"/>
                <w:szCs w:val="18"/>
                <w:lang w:val="en-US" w:bidi="ar-SA"/>
              </w:rPr>
              <w:t>分。</w:t>
            </w:r>
          </w:p>
        </w:tc>
      </w:tr>
    </w:tbl>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6.7考核支付</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 xml:space="preserve">在特许经营期内，政府支付可用性缺口补助将根据运营期绩效考核系数结果对应支付。运营期绩效考核得分及对应支付系数如下： </w:t>
      </w:r>
    </w:p>
    <w:p>
      <w:pPr>
        <w:pageBreakBefore w:val="0"/>
        <w:kinsoku/>
        <w:wordWrap/>
        <w:overflowPunct/>
        <w:topLinePunct w:val="0"/>
        <w:autoSpaceDE/>
        <w:autoSpaceDN/>
        <w:bidi w:val="0"/>
        <w:spacing w:before="0" w:after="0" w:line="440" w:lineRule="exact"/>
        <w:ind w:left="0" w:right="0" w:firstLine="480" w:firstLineChars="200"/>
        <w:jc w:val="center"/>
        <w:textAlignment w:val="auto"/>
        <w:rPr>
          <w:rFonts w:ascii="Times New Roman" w:hAnsi="Times New Roman" w:eastAsia="仿宋" w:cs="Times New Roman"/>
          <w:kern w:val="2"/>
          <w:sz w:val="24"/>
          <w:szCs w:val="24"/>
          <w:lang w:val="en-US" w:bidi="ar-SA"/>
        </w:rPr>
      </w:pPr>
      <w:r>
        <w:rPr>
          <w:rFonts w:hint="eastAsia" w:ascii="Times New Roman" w:hAnsi="Times New Roman" w:eastAsia="仿宋" w:cs="Times New Roman"/>
          <w:kern w:val="2"/>
          <w:sz w:val="24"/>
          <w:szCs w:val="24"/>
          <w:lang w:val="en-US" w:bidi="ar-SA"/>
        </w:rPr>
        <w:t>表</w:t>
      </w:r>
      <w:r>
        <w:rPr>
          <w:rFonts w:ascii="Times New Roman" w:hAnsi="Times New Roman" w:eastAsia="仿宋" w:cs="Times New Roman"/>
          <w:kern w:val="2"/>
          <w:sz w:val="24"/>
          <w:szCs w:val="24"/>
          <w:lang w:val="en-US" w:bidi="ar-SA"/>
        </w:rPr>
        <w:t>1</w:t>
      </w:r>
      <w:r>
        <w:rPr>
          <w:rFonts w:hint="eastAsia" w:ascii="Times New Roman" w:hAnsi="Times New Roman" w:eastAsia="仿宋" w:cs="Times New Roman"/>
          <w:kern w:val="2"/>
          <w:sz w:val="24"/>
          <w:szCs w:val="24"/>
          <w:lang w:val="en-US" w:bidi="ar-SA"/>
        </w:rPr>
        <w:t>0-2 运维绩效考核支付系数表</w:t>
      </w:r>
    </w:p>
    <w:tbl>
      <w:tblPr>
        <w:tblStyle w:val="10"/>
        <w:tblW w:w="8371" w:type="dxa"/>
        <w:jc w:val="center"/>
        <w:tblLayout w:type="fixed"/>
        <w:tblCellMar>
          <w:top w:w="0" w:type="dxa"/>
          <w:left w:w="10" w:type="dxa"/>
          <w:bottom w:w="0" w:type="dxa"/>
          <w:right w:w="10" w:type="dxa"/>
        </w:tblCellMar>
      </w:tblPr>
      <w:tblGrid>
        <w:gridCol w:w="1266"/>
        <w:gridCol w:w="2515"/>
        <w:gridCol w:w="2227"/>
        <w:gridCol w:w="2363"/>
      </w:tblGrid>
      <w:tr>
        <w:tblPrEx>
          <w:tblCellMar>
            <w:top w:w="0" w:type="dxa"/>
            <w:left w:w="10" w:type="dxa"/>
            <w:bottom w:w="0" w:type="dxa"/>
            <w:right w:w="10" w:type="dxa"/>
          </w:tblCellMar>
        </w:tblPrEx>
        <w:trPr>
          <w:trHeight w:val="485" w:hRule="atLeast"/>
          <w:jc w:val="center"/>
        </w:trPr>
        <w:tc>
          <w:tcPr>
            <w:tcW w:w="1266" w:type="dxa"/>
            <w:tcBorders>
              <w:top w:val="single" w:color="auto" w:sz="4" w:space="0"/>
              <w:left w:val="single" w:color="auto" w:sz="4" w:space="0"/>
              <w:bottom w:val="nil"/>
              <w:right w:val="nil"/>
            </w:tcBorders>
            <w:noWrap w:val="0"/>
            <w:vAlign w:val="top"/>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b/>
                <w:bCs/>
                <w:color w:val="2F2F2F"/>
                <w:kern w:val="0"/>
                <w:sz w:val="24"/>
                <w:szCs w:val="24"/>
                <w:lang w:val="en-US" w:eastAsia="zh-CN" w:bidi="ar-SA"/>
              </w:rPr>
            </w:pPr>
            <w:r>
              <w:rPr>
                <w:rFonts w:hint="eastAsia" w:ascii="仿宋" w:hAnsi="仿宋" w:eastAsia="仿宋" w:cs="Times New Roman"/>
                <w:b/>
                <w:bCs/>
                <w:color w:val="2F2F2F"/>
                <w:kern w:val="0"/>
                <w:sz w:val="24"/>
                <w:szCs w:val="24"/>
                <w:lang w:val="en-US" w:eastAsia="zh-CN" w:bidi="ar-SA"/>
              </w:rPr>
              <w:t>序号</w:t>
            </w:r>
          </w:p>
        </w:tc>
        <w:tc>
          <w:tcPr>
            <w:tcW w:w="2515" w:type="dxa"/>
            <w:tcBorders>
              <w:top w:val="single" w:color="auto" w:sz="4" w:space="0"/>
              <w:left w:val="single" w:color="auto" w:sz="4" w:space="0"/>
              <w:bottom w:val="nil"/>
              <w:right w:val="nil"/>
            </w:tcBorders>
            <w:noWrap w:val="0"/>
            <w:vAlign w:val="top"/>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b/>
                <w:bCs/>
                <w:color w:val="2F2F2F"/>
                <w:kern w:val="0"/>
                <w:sz w:val="24"/>
                <w:szCs w:val="24"/>
                <w:lang w:val="en-US" w:eastAsia="zh-CN" w:bidi="ar-SA"/>
              </w:rPr>
            </w:pPr>
            <w:r>
              <w:rPr>
                <w:rFonts w:hint="eastAsia" w:ascii="仿宋" w:hAnsi="仿宋" w:eastAsia="仿宋" w:cs="Times New Roman"/>
                <w:b/>
                <w:bCs/>
                <w:color w:val="2F2F2F"/>
                <w:kern w:val="0"/>
                <w:sz w:val="24"/>
                <w:szCs w:val="24"/>
                <w:lang w:val="en-US" w:eastAsia="zh-CN" w:bidi="ar-SA"/>
              </w:rPr>
              <w:t>绩效考核得分</w:t>
            </w:r>
          </w:p>
        </w:tc>
        <w:tc>
          <w:tcPr>
            <w:tcW w:w="2227" w:type="dxa"/>
            <w:tcBorders>
              <w:top w:val="single" w:color="auto" w:sz="4" w:space="0"/>
              <w:left w:val="single" w:color="auto" w:sz="4" w:space="0"/>
              <w:bottom w:val="nil"/>
              <w:right w:val="single" w:color="auto" w:sz="4" w:space="0"/>
            </w:tcBorders>
            <w:noWrap w:val="0"/>
            <w:vAlign w:val="top"/>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b/>
                <w:bCs/>
                <w:color w:val="2F2F2F"/>
                <w:kern w:val="0"/>
                <w:sz w:val="24"/>
                <w:szCs w:val="24"/>
                <w:lang w:val="en-US" w:eastAsia="zh-CN" w:bidi="ar-SA"/>
              </w:rPr>
            </w:pPr>
            <w:r>
              <w:rPr>
                <w:rFonts w:hint="eastAsia" w:ascii="仿宋" w:hAnsi="仿宋" w:eastAsia="仿宋" w:cs="Times New Roman"/>
                <w:b/>
                <w:bCs/>
                <w:color w:val="2F2F2F"/>
                <w:kern w:val="0"/>
                <w:sz w:val="24"/>
                <w:szCs w:val="24"/>
                <w:lang w:val="en-US" w:eastAsia="zh-CN" w:bidi="ar-SA"/>
              </w:rPr>
              <w:t>评价等级</w:t>
            </w:r>
          </w:p>
        </w:tc>
        <w:tc>
          <w:tcPr>
            <w:tcW w:w="2363" w:type="dxa"/>
            <w:tcBorders>
              <w:top w:val="single" w:color="auto" w:sz="4" w:space="0"/>
              <w:left w:val="nil"/>
              <w:bottom w:val="nil"/>
              <w:right w:val="single" w:color="auto" w:sz="4" w:space="0"/>
            </w:tcBorders>
            <w:noWrap w:val="0"/>
            <w:vAlign w:val="top"/>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b/>
                <w:bCs/>
                <w:color w:val="2F2F2F"/>
                <w:kern w:val="0"/>
                <w:sz w:val="24"/>
                <w:szCs w:val="24"/>
                <w:lang w:val="en-US" w:eastAsia="zh-CN" w:bidi="ar-SA"/>
              </w:rPr>
            </w:pPr>
            <w:r>
              <w:rPr>
                <w:rFonts w:hint="eastAsia" w:ascii="仿宋" w:hAnsi="仿宋" w:eastAsia="仿宋" w:cs="Times New Roman"/>
                <w:b/>
                <w:bCs/>
                <w:color w:val="2F2F2F"/>
                <w:kern w:val="0"/>
                <w:sz w:val="24"/>
                <w:szCs w:val="24"/>
                <w:lang w:val="en-US" w:eastAsia="zh-CN" w:bidi="ar-SA"/>
              </w:rPr>
              <w:t>绩效考核系数</w:t>
            </w:r>
          </w:p>
        </w:tc>
      </w:tr>
      <w:tr>
        <w:tblPrEx>
          <w:tblCellMar>
            <w:top w:w="0" w:type="dxa"/>
            <w:left w:w="10" w:type="dxa"/>
            <w:bottom w:w="0" w:type="dxa"/>
            <w:right w:w="10" w:type="dxa"/>
          </w:tblCellMar>
        </w:tblPrEx>
        <w:trPr>
          <w:trHeight w:val="422" w:hRule="atLeast"/>
          <w:jc w:val="center"/>
        </w:trPr>
        <w:tc>
          <w:tcPr>
            <w:tcW w:w="1266" w:type="dxa"/>
            <w:tcBorders>
              <w:top w:val="single" w:color="auto" w:sz="4" w:space="0"/>
              <w:left w:val="single" w:color="auto" w:sz="4" w:space="0"/>
              <w:bottom w:val="nil"/>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1</w:t>
            </w:r>
          </w:p>
        </w:tc>
        <w:tc>
          <w:tcPr>
            <w:tcW w:w="2515" w:type="dxa"/>
            <w:tcBorders>
              <w:top w:val="single" w:color="auto" w:sz="4" w:space="0"/>
              <w:left w:val="single" w:color="auto" w:sz="4" w:space="0"/>
              <w:bottom w:val="nil"/>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(96-100]</w:t>
            </w:r>
          </w:p>
        </w:tc>
        <w:tc>
          <w:tcPr>
            <w:tcW w:w="2227" w:type="dxa"/>
            <w:tcBorders>
              <w:top w:val="single" w:color="auto" w:sz="4" w:space="0"/>
              <w:left w:val="single" w:color="auto" w:sz="4" w:space="0"/>
              <w:bottom w:val="nil"/>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优秀</w:t>
            </w:r>
          </w:p>
        </w:tc>
        <w:tc>
          <w:tcPr>
            <w:tcW w:w="2363" w:type="dxa"/>
            <w:tcBorders>
              <w:top w:val="single" w:color="auto" w:sz="4" w:space="0"/>
              <w:left w:val="nil"/>
              <w:bottom w:val="nil"/>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1</w:t>
            </w:r>
          </w:p>
        </w:tc>
      </w:tr>
      <w:tr>
        <w:tblPrEx>
          <w:tblCellMar>
            <w:top w:w="0" w:type="dxa"/>
            <w:left w:w="10" w:type="dxa"/>
            <w:bottom w:w="0" w:type="dxa"/>
            <w:right w:w="10" w:type="dxa"/>
          </w:tblCellMar>
        </w:tblPrEx>
        <w:trPr>
          <w:trHeight w:val="461" w:hRule="atLeast"/>
          <w:jc w:val="center"/>
        </w:trPr>
        <w:tc>
          <w:tcPr>
            <w:tcW w:w="1266" w:type="dxa"/>
            <w:tcBorders>
              <w:top w:val="single" w:color="auto" w:sz="4" w:space="0"/>
              <w:left w:val="single" w:color="auto" w:sz="4" w:space="0"/>
              <w:bottom w:val="nil"/>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2</w:t>
            </w:r>
          </w:p>
        </w:tc>
        <w:tc>
          <w:tcPr>
            <w:tcW w:w="2515" w:type="dxa"/>
            <w:tcBorders>
              <w:top w:val="single" w:color="auto" w:sz="4" w:space="0"/>
              <w:left w:val="single" w:color="auto" w:sz="4" w:space="0"/>
              <w:bottom w:val="nil"/>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[81-95)</w:t>
            </w:r>
          </w:p>
        </w:tc>
        <w:tc>
          <w:tcPr>
            <w:tcW w:w="2227" w:type="dxa"/>
            <w:tcBorders>
              <w:top w:val="single" w:color="auto" w:sz="4" w:space="0"/>
              <w:left w:val="single" w:color="auto" w:sz="4" w:space="0"/>
              <w:bottom w:val="nil"/>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良好</w:t>
            </w:r>
          </w:p>
        </w:tc>
        <w:tc>
          <w:tcPr>
            <w:tcW w:w="2363" w:type="dxa"/>
            <w:tcBorders>
              <w:top w:val="single" w:color="auto" w:sz="4" w:space="0"/>
              <w:left w:val="nil"/>
              <w:bottom w:val="nil"/>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0.9</w:t>
            </w:r>
            <w:r>
              <w:rPr>
                <w:rFonts w:ascii="仿宋" w:hAnsi="仿宋" w:eastAsia="仿宋" w:cs="Times New Roman"/>
                <w:color w:val="2F2F2F"/>
                <w:kern w:val="0"/>
                <w:sz w:val="24"/>
                <w:szCs w:val="24"/>
                <w:lang w:val="en-US" w:eastAsia="zh-CN" w:bidi="ar-SA"/>
              </w:rPr>
              <w:t>8</w:t>
            </w:r>
          </w:p>
        </w:tc>
      </w:tr>
      <w:tr>
        <w:tblPrEx>
          <w:tblCellMar>
            <w:top w:w="0" w:type="dxa"/>
            <w:left w:w="10" w:type="dxa"/>
            <w:bottom w:w="0" w:type="dxa"/>
            <w:right w:w="10" w:type="dxa"/>
          </w:tblCellMar>
        </w:tblPrEx>
        <w:trPr>
          <w:trHeight w:val="466" w:hRule="atLeast"/>
          <w:jc w:val="center"/>
        </w:trPr>
        <w:tc>
          <w:tcPr>
            <w:tcW w:w="1266" w:type="dxa"/>
            <w:tcBorders>
              <w:top w:val="single" w:color="auto" w:sz="4" w:space="0"/>
              <w:left w:val="single" w:color="auto" w:sz="4" w:space="0"/>
              <w:bottom w:val="nil"/>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3</w:t>
            </w:r>
          </w:p>
        </w:tc>
        <w:tc>
          <w:tcPr>
            <w:tcW w:w="2515" w:type="dxa"/>
            <w:tcBorders>
              <w:top w:val="single" w:color="auto" w:sz="4" w:space="0"/>
              <w:left w:val="single" w:color="auto" w:sz="4" w:space="0"/>
              <w:bottom w:val="nil"/>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[71-80)</w:t>
            </w:r>
          </w:p>
        </w:tc>
        <w:tc>
          <w:tcPr>
            <w:tcW w:w="2227" w:type="dxa"/>
            <w:tcBorders>
              <w:top w:val="single" w:color="auto" w:sz="4" w:space="0"/>
              <w:left w:val="single" w:color="auto" w:sz="4" w:space="0"/>
              <w:bottom w:val="nil"/>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中等</w:t>
            </w:r>
          </w:p>
        </w:tc>
        <w:tc>
          <w:tcPr>
            <w:tcW w:w="2363" w:type="dxa"/>
            <w:tcBorders>
              <w:top w:val="single" w:color="auto" w:sz="4" w:space="0"/>
              <w:left w:val="nil"/>
              <w:bottom w:val="nil"/>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0.9</w:t>
            </w:r>
            <w:r>
              <w:rPr>
                <w:rFonts w:ascii="仿宋" w:hAnsi="仿宋" w:eastAsia="仿宋" w:cs="Times New Roman"/>
                <w:color w:val="2F2F2F"/>
                <w:kern w:val="0"/>
                <w:sz w:val="24"/>
                <w:szCs w:val="24"/>
                <w:lang w:val="en-US" w:eastAsia="zh-CN" w:bidi="ar-SA"/>
              </w:rPr>
              <w:t>4</w:t>
            </w:r>
          </w:p>
        </w:tc>
      </w:tr>
      <w:tr>
        <w:tblPrEx>
          <w:tblCellMar>
            <w:top w:w="0" w:type="dxa"/>
            <w:left w:w="10" w:type="dxa"/>
            <w:bottom w:w="0" w:type="dxa"/>
            <w:right w:w="10" w:type="dxa"/>
          </w:tblCellMar>
        </w:tblPrEx>
        <w:trPr>
          <w:trHeight w:val="466" w:hRule="atLeast"/>
          <w:jc w:val="center"/>
        </w:trPr>
        <w:tc>
          <w:tcPr>
            <w:tcW w:w="1266" w:type="dxa"/>
            <w:tcBorders>
              <w:top w:val="single" w:color="auto" w:sz="4" w:space="0"/>
              <w:left w:val="single" w:color="auto" w:sz="4" w:space="0"/>
              <w:bottom w:val="nil"/>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4</w:t>
            </w:r>
          </w:p>
        </w:tc>
        <w:tc>
          <w:tcPr>
            <w:tcW w:w="2515" w:type="dxa"/>
            <w:tcBorders>
              <w:top w:val="single" w:color="auto" w:sz="4" w:space="0"/>
              <w:left w:val="single" w:color="auto" w:sz="4" w:space="0"/>
              <w:bottom w:val="nil"/>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[60-70)</w:t>
            </w:r>
          </w:p>
        </w:tc>
        <w:tc>
          <w:tcPr>
            <w:tcW w:w="2227" w:type="dxa"/>
            <w:tcBorders>
              <w:top w:val="single" w:color="auto" w:sz="4" w:space="0"/>
              <w:left w:val="single" w:color="auto" w:sz="4" w:space="0"/>
              <w:bottom w:val="nil"/>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合格</w:t>
            </w:r>
          </w:p>
        </w:tc>
        <w:tc>
          <w:tcPr>
            <w:tcW w:w="2363" w:type="dxa"/>
            <w:tcBorders>
              <w:top w:val="single" w:color="auto" w:sz="4" w:space="0"/>
              <w:left w:val="nil"/>
              <w:bottom w:val="nil"/>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0.</w:t>
            </w:r>
            <w:r>
              <w:rPr>
                <w:rFonts w:ascii="仿宋" w:hAnsi="仿宋" w:eastAsia="仿宋" w:cs="Times New Roman"/>
                <w:color w:val="2F2F2F"/>
                <w:kern w:val="0"/>
                <w:sz w:val="24"/>
                <w:szCs w:val="24"/>
                <w:lang w:val="en-US" w:eastAsia="zh-CN" w:bidi="ar-SA"/>
              </w:rPr>
              <w:t>90</w:t>
            </w:r>
          </w:p>
        </w:tc>
      </w:tr>
      <w:tr>
        <w:tblPrEx>
          <w:tblCellMar>
            <w:top w:w="0" w:type="dxa"/>
            <w:left w:w="10" w:type="dxa"/>
            <w:bottom w:w="0" w:type="dxa"/>
            <w:right w:w="10" w:type="dxa"/>
          </w:tblCellMar>
        </w:tblPrEx>
        <w:trPr>
          <w:trHeight w:val="494" w:hRule="atLeast"/>
          <w:jc w:val="center"/>
        </w:trPr>
        <w:tc>
          <w:tcPr>
            <w:tcW w:w="1266" w:type="dxa"/>
            <w:tcBorders>
              <w:top w:val="single" w:color="auto" w:sz="4" w:space="0"/>
              <w:left w:val="single" w:color="auto" w:sz="4" w:space="0"/>
              <w:bottom w:val="single" w:color="auto" w:sz="4" w:space="0"/>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5</w:t>
            </w:r>
          </w:p>
        </w:tc>
        <w:tc>
          <w:tcPr>
            <w:tcW w:w="2515" w:type="dxa"/>
            <w:tcBorders>
              <w:top w:val="single" w:color="auto" w:sz="4" w:space="0"/>
              <w:left w:val="single" w:color="auto" w:sz="4" w:space="0"/>
              <w:bottom w:val="single" w:color="auto" w:sz="4" w:space="0"/>
              <w:right w:val="nil"/>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&lt;60</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不合格</w:t>
            </w:r>
          </w:p>
        </w:tc>
        <w:tc>
          <w:tcPr>
            <w:tcW w:w="23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0" w:line="440" w:lineRule="exact"/>
              <w:ind w:firstLine="0" w:firstLineChars="0"/>
              <w:jc w:val="center"/>
              <w:textAlignment w:val="auto"/>
              <w:rPr>
                <w:rFonts w:ascii="仿宋" w:hAnsi="仿宋" w:eastAsia="仿宋" w:cs="Times New Roman"/>
                <w:color w:val="2F2F2F"/>
                <w:kern w:val="0"/>
                <w:sz w:val="24"/>
                <w:szCs w:val="24"/>
                <w:lang w:val="en-US" w:eastAsia="zh-CN" w:bidi="ar-SA"/>
              </w:rPr>
            </w:pPr>
            <w:r>
              <w:rPr>
                <w:rFonts w:hint="eastAsia" w:ascii="仿宋" w:hAnsi="仿宋" w:eastAsia="仿宋" w:cs="Times New Roman"/>
                <w:color w:val="2F2F2F"/>
                <w:kern w:val="0"/>
                <w:sz w:val="24"/>
                <w:szCs w:val="24"/>
                <w:lang w:val="en-US" w:eastAsia="zh-CN" w:bidi="ar-SA"/>
              </w:rPr>
              <w:t>整改后再考核</w:t>
            </w:r>
          </w:p>
        </w:tc>
      </w:tr>
    </w:tbl>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付费公式：特许经营服务费=特许经营服务费(绩效考核前)×绩效考核系数</w:t>
      </w:r>
    </w:p>
    <w:p>
      <w:pPr>
        <w:keepNext/>
        <w:keepLines/>
        <w:pageBreakBefore w:val="0"/>
        <w:widowControl w:val="0"/>
        <w:numPr>
          <w:ilvl w:val="0"/>
          <w:numId w:val="0"/>
        </w:numPr>
        <w:kinsoku/>
        <w:wordWrap/>
        <w:overflowPunct/>
        <w:topLinePunct w:val="0"/>
        <w:bidi w:val="0"/>
        <w:spacing w:before="0" w:after="0" w:line="440" w:lineRule="exact"/>
        <w:ind w:left="425" w:leftChars="0"/>
        <w:jc w:val="both"/>
        <w:textAlignment w:val="auto"/>
        <w:outlineLvl w:val="0"/>
        <w:rPr>
          <w:rFonts w:hint="eastAsia" w:ascii="宋体" w:hAnsi="宋体" w:eastAsia="宋体" w:cs="宋体"/>
          <w:b/>
          <w:bCs/>
          <w:kern w:val="44"/>
          <w:sz w:val="24"/>
          <w:szCs w:val="24"/>
          <w:lang w:val="en-US" w:eastAsia="zh-CN" w:bidi="ar-SA"/>
        </w:rPr>
      </w:pPr>
      <w:bookmarkStart w:id="44" w:name="_Toc106575159"/>
    </w:p>
    <w:p>
      <w:pPr>
        <w:keepNext/>
        <w:keepLines/>
        <w:pageBreakBefore w:val="0"/>
        <w:widowControl w:val="0"/>
        <w:numPr>
          <w:ilvl w:val="0"/>
          <w:numId w:val="0"/>
        </w:numPr>
        <w:kinsoku/>
        <w:wordWrap/>
        <w:overflowPunct/>
        <w:topLinePunct w:val="0"/>
        <w:bidi w:val="0"/>
        <w:spacing w:before="0" w:after="0" w:line="440" w:lineRule="exact"/>
        <w:ind w:left="425" w:leftChars="0"/>
        <w:jc w:val="both"/>
        <w:textAlignment w:val="auto"/>
        <w:outlineLvl w:val="0"/>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7.监管体系</w:t>
      </w:r>
      <w:bookmarkEnd w:id="44"/>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45" w:name="_Toc106575160"/>
      <w:r>
        <w:rPr>
          <w:rFonts w:hint="eastAsia" w:ascii="宋体" w:hAnsi="宋体" w:eastAsia="宋体" w:cs="宋体"/>
          <w:b/>
          <w:bCs/>
          <w:kern w:val="2"/>
          <w:sz w:val="24"/>
          <w:szCs w:val="24"/>
          <w:lang w:val="en-US" w:eastAsia="zh-CN" w:bidi="ar-SA"/>
        </w:rPr>
        <w:t>7.1授权方式</w:t>
      </w:r>
      <w:bookmarkEnd w:id="45"/>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蓬溪县人民政府授权蓬溪县自规局负责本项实施及签署相关协议（蓬溪县人民政府的授权可采取签发授权文件或通过会议纪要等方式），自规局通过与特许经营者签署《特许经营协议》，授予特许经营者在合作期限内对本项目独家的投资、建设、运营管理的权利。</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46" w:name="_Toc106575161"/>
      <w:r>
        <w:rPr>
          <w:rFonts w:hint="eastAsia" w:ascii="宋体" w:hAnsi="宋体" w:eastAsia="宋体" w:cs="宋体"/>
          <w:b/>
          <w:bCs/>
          <w:kern w:val="2"/>
          <w:sz w:val="24"/>
          <w:szCs w:val="24"/>
          <w:lang w:val="en-US" w:eastAsia="zh-CN" w:bidi="ar-SA"/>
        </w:rPr>
        <w:t>7.2监管主体</w:t>
      </w:r>
      <w:bookmarkEnd w:id="46"/>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根据《基础设施和公用事业特许经营管理办法》（国家发改委等六部委令第25号）规定：县级以上人民政府有关部门应当根据各自职责，对特许经营者执行法律、行政法规、行业标准、产品或服务技术规范，以及其他有关监管要求进行监督管理，并依法加强成本监督审查。</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依据各职能划分，本项目监管主体主要包括</w:t>
      </w:r>
      <w:bookmarkStart w:id="47" w:name="_Hlk76469896"/>
      <w:r>
        <w:rPr>
          <w:rFonts w:hint="eastAsia" w:ascii="宋体" w:hAnsi="宋体" w:eastAsia="宋体" w:cs="宋体"/>
          <w:kern w:val="2"/>
          <w:sz w:val="24"/>
          <w:szCs w:val="24"/>
          <w:lang w:val="en-US" w:bidi="ar-SA"/>
        </w:rPr>
        <w:t>县自规局、县发改局、县财政局、县生态环境局、县国土局、水务局、县审计局</w:t>
      </w:r>
      <w:bookmarkEnd w:id="47"/>
      <w:r>
        <w:rPr>
          <w:rFonts w:hint="eastAsia" w:ascii="宋体" w:hAnsi="宋体" w:eastAsia="宋体" w:cs="宋体"/>
          <w:kern w:val="2"/>
          <w:sz w:val="24"/>
          <w:szCs w:val="24"/>
          <w:lang w:val="en-US" w:bidi="ar-SA"/>
        </w:rPr>
        <w:t>、交运局、住建局、文广局等，各职能部门按其职权划分行使相应的监督管理权。</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48" w:name="_Toc106575162"/>
      <w:r>
        <w:rPr>
          <w:rFonts w:hint="eastAsia" w:ascii="宋体" w:hAnsi="宋体" w:eastAsia="宋体" w:cs="宋体"/>
          <w:b/>
          <w:bCs/>
          <w:kern w:val="2"/>
          <w:sz w:val="24"/>
          <w:szCs w:val="24"/>
          <w:lang w:val="en-US" w:eastAsia="zh-CN" w:bidi="ar-SA"/>
        </w:rPr>
        <w:t>7.3监管对象</w:t>
      </w:r>
      <w:bookmarkEnd w:id="48"/>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本项目监管对象主要包括特许经营者及其设计单位、施工单位和材料设备供应商等。</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49" w:name="_Toc106575163"/>
      <w:r>
        <w:rPr>
          <w:rFonts w:hint="eastAsia" w:ascii="宋体" w:hAnsi="宋体" w:eastAsia="宋体" w:cs="宋体"/>
          <w:b/>
          <w:bCs/>
          <w:kern w:val="2"/>
          <w:sz w:val="24"/>
          <w:szCs w:val="24"/>
          <w:lang w:val="en-US" w:eastAsia="zh-CN" w:bidi="ar-SA"/>
        </w:rPr>
        <w:t>7.4监管方式</w:t>
      </w:r>
      <w:bookmarkEnd w:id="49"/>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7.4.1履约监管</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履约管理主要通过政府与特许经营者之间的合同关系来实现，政府授权的实施机构是政府方履约管理的责任主体。自规局作为本项目实施机构，根据蓬溪县人民政府授权与特许经营者签订《特许经营协议》，并按照《特许经营协议》的约定督促特许经营者落实相关承诺。</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履约监管的范围限于《特许经营协议》约定的权利义务边界。对于《特许经营协议》所有约定的情形，各方需遵从约定；对于《特许经营协议》没有约定的情形，双方应遵循“平等友好”的原则协商解决，保证本项目各阶段如期履约。</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7.4.2行政监管</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（1）行业主管部门：自规局作为生态资源主管部门，依据其职权对本项目的设计、投融资、建设和运营维护管理进行全过程的监督和管理。</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2）行业监管部门：县水务局、县生态环境局、县规划局、县国土局、县发改局、县财政局、县审计局等行业监管部门依据各自的职权分工，对项目规划、选择、用地预审、建设、运营等各阶段实行监督管理（包括对建设投资和运营成本的监管）。</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（3）其他监管部门：主要包括市场监管、税务等部门，对特许经营者的日常经营活动进行监督管理。</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7.4.3公众监督</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本项目为国家储备林建设项目，特许经营者应重视社会公众的监督管理，建立公众监督机制，依法公开披露相关信息，打通与公众对话渠道，认真听取公众意见或建议，不断提高运营管理效率和质量。</w:t>
      </w:r>
    </w:p>
    <w:p>
      <w:pPr>
        <w:pStyle w:val="2"/>
        <w:rPr>
          <w:rFonts w:hint="eastAsia"/>
          <w:lang w:val="en-US"/>
        </w:rPr>
      </w:pPr>
    </w:p>
    <w:p>
      <w:pPr>
        <w:pStyle w:val="5"/>
        <w:spacing w:line="360" w:lineRule="auto"/>
        <w:ind w:left="0" w:leftChars="0" w:right="120" w:rightChars="50" w:firstLine="482" w:firstLineChars="200"/>
        <w:jc w:val="both"/>
      </w:pPr>
      <w:bookmarkStart w:id="50" w:name="_Toc106575126"/>
      <w:r>
        <w:t>三、商务要求（实质性要求）</w:t>
      </w:r>
    </w:p>
    <w:p>
      <w:pPr>
        <w:spacing w:line="440" w:lineRule="exact"/>
        <w:ind w:firstLine="486" w:firstLineChars="200"/>
        <w:rPr>
          <w:rFonts w:hint="eastAsia" w:ascii="宋体" w:hAnsi="宋体" w:cs="宋体"/>
          <w:b/>
          <w:bCs/>
          <w:color w:val="000000"/>
          <w:spacing w:val="1"/>
        </w:rPr>
      </w:pPr>
      <w:r>
        <w:rPr>
          <w:rFonts w:hint="eastAsia" w:ascii="宋体" w:hAnsi="宋体" w:cs="宋体"/>
          <w:b/>
          <w:bCs/>
          <w:color w:val="000000"/>
          <w:spacing w:val="1"/>
        </w:rPr>
        <w:t>1.</w:t>
      </w:r>
      <w:r>
        <w:rPr>
          <w:rFonts w:hint="eastAsia" w:ascii="宋体" w:hAnsi="宋体" w:cs="宋体"/>
          <w:b/>
          <w:bCs/>
          <w:color w:val="000000"/>
          <w:spacing w:val="1"/>
          <w:lang w:eastAsia="zh-CN"/>
        </w:rPr>
        <w:t>服务</w:t>
      </w:r>
      <w:r>
        <w:rPr>
          <w:rFonts w:hint="eastAsia" w:ascii="宋体" w:hAnsi="宋体" w:cs="宋体"/>
          <w:b/>
          <w:bCs/>
          <w:color w:val="000000"/>
          <w:spacing w:val="1"/>
        </w:rPr>
        <w:t>期限</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根据《基础设施和公用事业特许经营管理办法》规定，特许经营期限最长不超过30年，综合考虑行业特点，项目生命周期，金融机构贷款落地性，设定本项目合作期限为20年，其中建设期6年，运营期14年。</w:t>
      </w:r>
    </w:p>
    <w:p>
      <w:pPr>
        <w:spacing w:line="440" w:lineRule="exact"/>
        <w:ind w:firstLine="484" w:firstLineChars="200"/>
        <w:rPr>
          <w:rFonts w:hint="eastAsia" w:ascii="宋体" w:hAnsi="宋体" w:cs="宋体"/>
          <w:color w:val="000000"/>
          <w:spacing w:val="1"/>
        </w:rPr>
      </w:pPr>
      <w:r>
        <w:rPr>
          <w:rFonts w:hint="eastAsia" w:ascii="宋体" w:hAnsi="宋体" w:cs="宋体"/>
          <w:color w:val="000000"/>
          <w:spacing w:val="1"/>
        </w:rPr>
        <w:t>如在项目合作期限内，发生非社会资本应当承担的风险而导致项目进度或收益受到不利影响，作为补偿方式的一种，社会资本可以请求延长项目合作期限，经政府部门同意后，按照有关规定办理批准延期手续。</w:t>
      </w:r>
    </w:p>
    <w:p>
      <w:pPr>
        <w:spacing w:line="440" w:lineRule="exact"/>
        <w:ind w:firstLine="482" w:firstLineChars="200"/>
        <w:rPr>
          <w:rFonts w:hint="eastAsia" w:ascii="宋体" w:hAnsi="宋体" w:eastAsia="宋体" w:cs="宋体"/>
          <w:kern w:val="2"/>
          <w:sz w:val="24"/>
          <w:szCs w:val="24"/>
          <w:lang w:val="en-US" w:bidi="ar-SA"/>
        </w:rPr>
      </w:pPr>
      <w:r>
        <w:rPr>
          <w:rFonts w:hint="eastAsia" w:ascii="宋体" w:hAnsi="宋体" w:eastAsia="宋体" w:cs="宋体"/>
          <w:b/>
          <w:bCs/>
          <w:kern w:val="2"/>
          <w:sz w:val="24"/>
          <w:szCs w:val="24"/>
          <w:lang w:val="en-US" w:eastAsia="zh-CN" w:bidi="ar-SA"/>
        </w:rPr>
        <w:t>2.</w:t>
      </w:r>
      <w:bookmarkEnd w:id="50"/>
      <w:r>
        <w:rPr>
          <w:rFonts w:hint="eastAsia" w:ascii="宋体" w:hAnsi="宋体" w:eastAsia="宋体" w:cs="宋体"/>
          <w:b/>
          <w:bCs/>
          <w:kern w:val="2"/>
          <w:sz w:val="24"/>
          <w:szCs w:val="24"/>
          <w:lang w:val="en-US" w:eastAsia="zh-CN" w:bidi="ar-SA"/>
        </w:rPr>
        <w:t>回报机制</w:t>
      </w:r>
      <w:bookmarkStart w:id="51" w:name="_Hlk106575882"/>
      <w:r>
        <w:rPr>
          <w:rFonts w:hint="eastAsia" w:ascii="宋体" w:hAnsi="宋体" w:eastAsia="宋体" w:cs="宋体"/>
          <w:b/>
          <w:bCs/>
          <w:kern w:val="2"/>
          <w:sz w:val="24"/>
          <w:szCs w:val="24"/>
          <w:lang w:val="en-US" w:eastAsia="zh-CN" w:bidi="ar-SA"/>
        </w:rPr>
        <w:t>。</w:t>
      </w:r>
      <w:r>
        <w:rPr>
          <w:rFonts w:hint="eastAsia" w:ascii="宋体" w:hAnsi="宋体" w:eastAsia="宋体" w:cs="宋体"/>
          <w:kern w:val="2"/>
          <w:sz w:val="24"/>
          <w:szCs w:val="24"/>
          <w:lang w:val="en-US" w:bidi="ar-SA"/>
        </w:rPr>
        <w:t>特许经营者在项目中投入的资本性支出和运营维护成本可以通过林木、林下经济作物种植获得部分销售收入。但因项目投资金额大，仅靠特许经营者运营所得的第三方收入不足以弥补特许经营者在本项目中的资本性支出、运维支出和合理回报，收入不足部分需政府补贴，因此项目宜采用“可行性缺口补助”的回报机制。即特许经营者享有权益的收入组成包括：项目自身经营性收入以及特许经营服务费（可用性服务费+运维补贴-使用者付费）</w:t>
      </w:r>
      <w:bookmarkEnd w:id="51"/>
      <w:r>
        <w:rPr>
          <w:rFonts w:hint="eastAsia" w:ascii="宋体" w:hAnsi="宋体" w:eastAsia="宋体" w:cs="宋体"/>
          <w:kern w:val="2"/>
          <w:sz w:val="24"/>
          <w:szCs w:val="24"/>
          <w:lang w:val="en-US" w:bidi="ar-SA"/>
        </w:rPr>
        <w:t>。</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考虑项目特许经营期内，因政策环境以及市场条件等诸多方面风险因素，可能存在项目收入不足以覆盖投资及运营维护成本。故本项目采用</w:t>
      </w:r>
      <w:r>
        <w:rPr>
          <w:rFonts w:hint="eastAsia" w:ascii="宋体" w:hAnsi="宋体" w:eastAsia="宋体" w:cs="宋体"/>
          <w:kern w:val="2"/>
          <w:sz w:val="24"/>
          <w:szCs w:val="24"/>
          <w:lang w:val="zh-CN" w:bidi="zh-CN"/>
        </w:rPr>
        <w:t>“</w:t>
      </w:r>
      <w:r>
        <w:rPr>
          <w:rFonts w:hint="eastAsia" w:ascii="宋体" w:hAnsi="宋体" w:eastAsia="宋体" w:cs="宋体"/>
          <w:kern w:val="2"/>
          <w:sz w:val="24"/>
          <w:szCs w:val="24"/>
          <w:lang w:val="en-US" w:bidi="zh-CN"/>
        </w:rPr>
        <w:t>特许经营服务费</w:t>
      </w:r>
      <w:r>
        <w:rPr>
          <w:rFonts w:hint="eastAsia" w:ascii="宋体" w:hAnsi="宋体" w:eastAsia="宋体" w:cs="宋体"/>
          <w:kern w:val="2"/>
          <w:sz w:val="24"/>
          <w:szCs w:val="24"/>
          <w:lang w:val="zh-CN" w:bidi="zh-CN"/>
        </w:rPr>
        <w:t>”</w:t>
      </w:r>
      <w:r>
        <w:rPr>
          <w:rFonts w:hint="eastAsia" w:ascii="宋体" w:hAnsi="宋体" w:eastAsia="宋体" w:cs="宋体"/>
          <w:kern w:val="2"/>
          <w:sz w:val="24"/>
          <w:szCs w:val="24"/>
          <w:lang w:val="en-US" w:bidi="ar-SA"/>
        </w:rPr>
        <w:t>的回报机制。</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52" w:name="_Toc106575127"/>
      <w:r>
        <w:rPr>
          <w:rFonts w:hint="eastAsia" w:ascii="宋体" w:hAnsi="宋体" w:eastAsia="宋体" w:cs="宋体"/>
          <w:b/>
          <w:bCs/>
          <w:kern w:val="2"/>
          <w:sz w:val="24"/>
          <w:szCs w:val="24"/>
          <w:lang w:val="en-US" w:eastAsia="zh-CN" w:bidi="ar-SA"/>
        </w:rPr>
        <w:t>3.调价机制</w:t>
      </w:r>
      <w:bookmarkEnd w:id="52"/>
    </w:p>
    <w:p>
      <w:pPr>
        <w:pageBreakBefore w:val="0"/>
        <w:widowControl w:val="0"/>
        <w:kinsoku/>
        <w:wordWrap/>
        <w:overflowPunct/>
        <w:topLinePunct w:val="0"/>
        <w:bidi w:val="0"/>
        <w:adjustRightInd w:val="0"/>
        <w:snapToGrid w:val="0"/>
        <w:spacing w:before="0" w:after="0" w:line="440" w:lineRule="exact"/>
        <w:ind w:firstLine="480" w:firstLineChars="200"/>
        <w:jc w:val="both"/>
        <w:textAlignment w:val="auto"/>
        <w:rPr>
          <w:rFonts w:hint="eastAsia" w:ascii="宋体" w:hAnsi="宋体" w:eastAsia="宋体" w:cs="宋体"/>
          <w:color w:val="2F2F2F"/>
          <w:kern w:val="2"/>
          <w:sz w:val="24"/>
          <w:szCs w:val="24"/>
          <w:lang w:val="zh-TW" w:eastAsia="zh-TW" w:bidi="zh-TW"/>
        </w:rPr>
      </w:pPr>
      <w:r>
        <w:rPr>
          <w:rFonts w:hint="eastAsia" w:ascii="宋体" w:hAnsi="宋体" w:eastAsia="宋体" w:cs="宋体"/>
          <w:color w:val="2F2F2F"/>
          <w:kern w:val="2"/>
          <w:sz w:val="24"/>
          <w:szCs w:val="24"/>
          <w:lang w:val="zh-TW" w:eastAsia="zh-TW" w:bidi="zh-TW"/>
        </w:rPr>
        <w:t>本项目投资额以审计为准，审计金额超过投资估算的，超过部分由社会资本自行承担，不再调整</w:t>
      </w:r>
      <w:r>
        <w:rPr>
          <w:rFonts w:hint="eastAsia" w:ascii="宋体" w:hAnsi="宋体" w:eastAsia="宋体" w:cs="宋体"/>
          <w:color w:val="2F2F2F"/>
          <w:kern w:val="2"/>
          <w:sz w:val="24"/>
          <w:szCs w:val="24"/>
          <w:lang w:val="en-US" w:eastAsia="zh-CN" w:bidi="zh-TW"/>
        </w:rPr>
        <w:t>可用性服务费</w:t>
      </w:r>
      <w:r>
        <w:rPr>
          <w:rFonts w:hint="eastAsia" w:ascii="宋体" w:hAnsi="宋体" w:eastAsia="宋体" w:cs="宋体"/>
          <w:color w:val="2F2F2F"/>
          <w:kern w:val="2"/>
          <w:sz w:val="24"/>
          <w:szCs w:val="24"/>
          <w:lang w:val="zh-TW" w:eastAsia="zh-TW" w:bidi="zh-TW"/>
        </w:rPr>
        <w:t>；审计金额</w:t>
      </w:r>
      <w:r>
        <w:rPr>
          <w:rFonts w:hint="eastAsia" w:ascii="宋体" w:hAnsi="宋体" w:eastAsia="宋体" w:cs="宋体"/>
          <w:color w:val="2F2F2F"/>
          <w:kern w:val="2"/>
          <w:sz w:val="24"/>
          <w:szCs w:val="24"/>
          <w:lang w:val="en-US" w:eastAsia="zh-CN" w:bidi="zh-TW"/>
        </w:rPr>
        <w:t>不</w:t>
      </w:r>
      <w:r>
        <w:rPr>
          <w:rFonts w:hint="eastAsia" w:ascii="宋体" w:hAnsi="宋体" w:eastAsia="宋体" w:cs="宋体"/>
          <w:color w:val="2F2F2F"/>
          <w:kern w:val="2"/>
          <w:sz w:val="24"/>
          <w:szCs w:val="24"/>
          <w:lang w:val="zh-TW" w:eastAsia="zh-TW" w:bidi="zh-TW"/>
        </w:rPr>
        <w:t>超过投资估算的，根据实际金额，中标边界条件，调整</w:t>
      </w:r>
      <w:r>
        <w:rPr>
          <w:rFonts w:hint="eastAsia" w:ascii="宋体" w:hAnsi="宋体" w:eastAsia="宋体" w:cs="宋体"/>
          <w:color w:val="2F2F2F"/>
          <w:kern w:val="2"/>
          <w:sz w:val="24"/>
          <w:szCs w:val="24"/>
          <w:lang w:val="zh-TW" w:eastAsia="zh-CN" w:bidi="zh-TW"/>
        </w:rPr>
        <w:t>可用性服务费</w:t>
      </w:r>
      <w:r>
        <w:rPr>
          <w:rFonts w:hint="eastAsia" w:ascii="宋体" w:hAnsi="宋体" w:eastAsia="宋体" w:cs="宋体"/>
          <w:color w:val="2F2F2F"/>
          <w:kern w:val="2"/>
          <w:sz w:val="24"/>
          <w:szCs w:val="24"/>
          <w:lang w:val="zh-TW" w:eastAsia="zh-TW" w:bidi="zh-TW"/>
        </w:rPr>
        <w:t>。调整后的</w:t>
      </w:r>
      <w:r>
        <w:rPr>
          <w:rFonts w:hint="eastAsia" w:ascii="宋体" w:hAnsi="宋体" w:eastAsia="宋体" w:cs="宋体"/>
          <w:color w:val="2F2F2F"/>
          <w:kern w:val="2"/>
          <w:sz w:val="24"/>
          <w:szCs w:val="24"/>
          <w:lang w:val="zh-TW" w:eastAsia="zh-CN" w:bidi="zh-TW"/>
        </w:rPr>
        <w:t>可用性服务费</w:t>
      </w:r>
      <w:r>
        <w:rPr>
          <w:rFonts w:hint="eastAsia" w:ascii="宋体" w:hAnsi="宋体" w:eastAsia="宋体" w:cs="宋体"/>
          <w:color w:val="2F2F2F"/>
          <w:kern w:val="2"/>
          <w:sz w:val="24"/>
          <w:szCs w:val="24"/>
          <w:lang w:val="zh-TW" w:eastAsia="zh-TW" w:bidi="zh-TW"/>
        </w:rPr>
        <w:t>作为政府支出。</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2"/>
        <w:rPr>
          <w:rFonts w:hint="eastAsia" w:ascii="宋体" w:hAnsi="宋体" w:eastAsia="宋体" w:cs="宋体"/>
          <w:b/>
          <w:bCs/>
          <w:kern w:val="2"/>
          <w:sz w:val="24"/>
          <w:szCs w:val="24"/>
          <w:lang w:val="en-US" w:eastAsia="zh-CN" w:bidi="ar-SA"/>
        </w:rPr>
      </w:pPr>
      <w:bookmarkStart w:id="53" w:name="_Toc106575144"/>
      <w:r>
        <w:rPr>
          <w:rFonts w:hint="eastAsia" w:ascii="宋体" w:hAnsi="宋体" w:eastAsia="宋体" w:cs="宋体"/>
          <w:b/>
          <w:bCs/>
          <w:kern w:val="2"/>
          <w:sz w:val="24"/>
          <w:szCs w:val="24"/>
          <w:lang w:val="en-US" w:eastAsia="zh-CN" w:bidi="ar-SA"/>
        </w:rPr>
        <w:t>3.</w:t>
      </w:r>
      <w:bookmarkEnd w:id="53"/>
      <w:r>
        <w:rPr>
          <w:rFonts w:hint="eastAsia" w:ascii="宋体" w:hAnsi="宋体" w:eastAsia="宋体" w:cs="宋体"/>
          <w:b/>
          <w:bCs/>
          <w:kern w:val="2"/>
          <w:sz w:val="24"/>
          <w:szCs w:val="24"/>
          <w:lang w:val="en-US" w:eastAsia="zh-CN" w:bidi="ar-SA"/>
        </w:rPr>
        <w:t>提前终止及补偿</w:t>
      </w:r>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b/>
          <w:bCs/>
          <w:kern w:val="44"/>
          <w:sz w:val="24"/>
          <w:szCs w:val="24"/>
          <w:lang w:val="en-US" w:eastAsia="zh-CN" w:bidi="ar-SA"/>
        </w:rPr>
      </w:pPr>
      <w:r>
        <w:rPr>
          <w:rFonts w:hint="eastAsia" w:ascii="宋体" w:hAnsi="宋体" w:eastAsia="宋体" w:cs="宋体"/>
          <w:kern w:val="2"/>
          <w:sz w:val="24"/>
          <w:szCs w:val="24"/>
          <w:lang w:val="en-US" w:bidi="ar-SA"/>
        </w:rPr>
        <w:t>因政府原因提前终止时，政府方可对特许经营者进行适当补偿后，收回全部或部分子项工程的资产权益。具体补偿由政府方与特许经营者协商而定</w:t>
      </w:r>
      <w:bookmarkStart w:id="54" w:name="_Toc106575149"/>
      <w:r>
        <w:rPr>
          <w:rFonts w:hint="eastAsia" w:ascii="宋体" w:hAnsi="宋体" w:eastAsia="宋体" w:cs="宋体"/>
          <w:kern w:val="2"/>
          <w:sz w:val="24"/>
          <w:szCs w:val="24"/>
          <w:lang w:val="en-US" w:eastAsia="zh-CN" w:bidi="ar-SA"/>
        </w:rPr>
        <w:t>。</w:t>
      </w:r>
    </w:p>
    <w:p>
      <w:pPr>
        <w:keepNext/>
        <w:keepLines/>
        <w:pageBreakBefore w:val="0"/>
        <w:widowControl w:val="0"/>
        <w:numPr>
          <w:ilvl w:val="0"/>
          <w:numId w:val="0"/>
        </w:numPr>
        <w:kinsoku/>
        <w:wordWrap/>
        <w:overflowPunct/>
        <w:topLinePunct w:val="0"/>
        <w:bidi w:val="0"/>
        <w:spacing w:before="0" w:after="0" w:line="440" w:lineRule="exact"/>
        <w:ind w:firstLine="482" w:firstLineChars="200"/>
        <w:jc w:val="both"/>
        <w:textAlignment w:val="auto"/>
        <w:outlineLvl w:val="0"/>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4.政府承诺和保障</w:t>
      </w:r>
      <w:bookmarkEnd w:id="54"/>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55" w:name="_Toc106575150"/>
      <w:r>
        <w:rPr>
          <w:rFonts w:hint="eastAsia" w:ascii="宋体" w:hAnsi="宋体" w:eastAsia="宋体" w:cs="宋体"/>
          <w:b/>
          <w:bCs/>
          <w:kern w:val="2"/>
          <w:sz w:val="24"/>
          <w:szCs w:val="24"/>
          <w:lang w:val="en-US" w:eastAsia="zh-CN" w:bidi="ar-SA"/>
        </w:rPr>
        <w:t>4.1付费保障</w:t>
      </w:r>
      <w:bookmarkEnd w:id="55"/>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本项目下的政府特许经营服务费在特许经营协议签订后，纳入蓬溪县中长期财政预算规划，在付费当年纳入蓬溪县财政预算管理。项目进入运营期，县政府根据绩效考核支付特许经营服务费。</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56" w:name="_Toc106575151"/>
      <w:r>
        <w:rPr>
          <w:rFonts w:hint="eastAsia" w:ascii="宋体" w:hAnsi="宋体" w:eastAsia="宋体" w:cs="宋体"/>
          <w:b/>
          <w:bCs/>
          <w:kern w:val="2"/>
          <w:sz w:val="24"/>
          <w:szCs w:val="24"/>
          <w:lang w:val="en-US" w:eastAsia="zh-CN" w:bidi="ar-SA"/>
        </w:rPr>
        <w:t>4.2履约保障</w:t>
      </w:r>
      <w:bookmarkEnd w:id="56"/>
    </w:p>
    <w:p>
      <w:pPr>
        <w:pageBreakBefore w:val="0"/>
        <w:kinsoku/>
        <w:wordWrap/>
        <w:overflowPunct/>
        <w:topLinePunct w:val="0"/>
        <w:autoSpaceDE/>
        <w:autoSpaceDN/>
        <w:bidi w:val="0"/>
        <w:spacing w:before="0" w:after="0" w:line="44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政府方应履行特许经营协议有关政府方的责任和义务，确保特许经营权在整个特许经营期内合法有效，排除其他第三方对特许经营权造成的妨害。同时政府承担法律和政策调整等风险，保持政策的连续性和稳定性，无正当理由不得收回项目特许经营权，否则应承担相应的违约责任。</w:t>
      </w:r>
    </w:p>
    <w:p>
      <w:pPr>
        <w:keepNext/>
        <w:keepLines/>
        <w:pageBreakBefore w:val="0"/>
        <w:widowControl w:val="0"/>
        <w:numPr>
          <w:ilvl w:val="0"/>
          <w:numId w:val="0"/>
        </w:numPr>
        <w:kinsoku/>
        <w:wordWrap/>
        <w:overflowPunct/>
        <w:topLinePunct w:val="0"/>
        <w:bidi w:val="0"/>
        <w:spacing w:before="0" w:after="0" w:line="440" w:lineRule="exact"/>
        <w:ind w:leftChars="0" w:firstLine="482" w:firstLineChars="200"/>
        <w:jc w:val="both"/>
        <w:textAlignment w:val="auto"/>
        <w:outlineLvl w:val="1"/>
        <w:rPr>
          <w:rFonts w:hint="eastAsia" w:ascii="宋体" w:hAnsi="宋体" w:eastAsia="宋体" w:cs="宋体"/>
          <w:b/>
          <w:bCs/>
          <w:kern w:val="2"/>
          <w:sz w:val="24"/>
          <w:szCs w:val="24"/>
          <w:lang w:val="en-US" w:eastAsia="zh-CN" w:bidi="ar-SA"/>
        </w:rPr>
      </w:pPr>
      <w:bookmarkStart w:id="57" w:name="_Toc106575152"/>
      <w:r>
        <w:rPr>
          <w:rFonts w:hint="eastAsia" w:ascii="宋体" w:hAnsi="宋体" w:eastAsia="宋体" w:cs="宋体"/>
          <w:b/>
          <w:bCs/>
          <w:kern w:val="2"/>
          <w:sz w:val="24"/>
          <w:szCs w:val="24"/>
          <w:lang w:val="en-US" w:eastAsia="zh-CN" w:bidi="ar-SA"/>
        </w:rPr>
        <w:t>4.3其它政策保障</w:t>
      </w:r>
      <w:bookmarkEnd w:id="57"/>
    </w:p>
    <w:p>
      <w:pPr>
        <w:pageBreakBefore w:val="0"/>
        <w:kinsoku/>
        <w:wordWrap/>
        <w:overflowPunct/>
        <w:topLinePunct w:val="0"/>
        <w:autoSpaceDE/>
        <w:autoSpaceDN/>
        <w:bidi w:val="0"/>
        <w:adjustRightInd/>
        <w:snapToGrid/>
        <w:spacing w:before="0" w:after="0" w:line="46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（1）相关主管部门应根据各自职责，对本项目涉及的价格、财政、市政市容管理、国土、建设房管、税收、环境保护等管理和审批事项，为特许经营者提供相应的支持和保障。</w:t>
      </w:r>
    </w:p>
    <w:p>
      <w:pPr>
        <w:pageBreakBefore w:val="0"/>
        <w:kinsoku/>
        <w:wordWrap/>
        <w:overflowPunct/>
        <w:topLinePunct w:val="0"/>
        <w:autoSpaceDE/>
        <w:autoSpaceDN/>
        <w:bidi w:val="0"/>
        <w:adjustRightInd/>
        <w:snapToGrid/>
        <w:spacing w:before="0" w:after="0" w:line="460" w:lineRule="exact"/>
        <w:ind w:left="0" w:right="0" w:firstLine="480" w:firstLineChars="200"/>
        <w:jc w:val="both"/>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（2）如果《特许经营协议》在实际执行过程中受到政策性因素影响，导致项目实际收益出现重大偏离，可进行适当调整。通过《特许经营协议》补充条款具体明确。</w:t>
      </w:r>
    </w:p>
    <w:p>
      <w:pPr>
        <w:pageBreakBefore w:val="0"/>
        <w:kinsoku/>
        <w:wordWrap/>
        <w:overflowPunct/>
        <w:topLinePunct w:val="0"/>
        <w:autoSpaceDE/>
        <w:autoSpaceDN/>
        <w:bidi w:val="0"/>
        <w:adjustRightInd/>
        <w:snapToGrid/>
        <w:spacing w:before="0" w:after="0" w:line="460" w:lineRule="exact"/>
        <w:ind w:left="0" w:right="0" w:firstLine="480" w:firstLineChars="200"/>
        <w:jc w:val="both"/>
        <w:textAlignment w:val="auto"/>
        <w:rPr>
          <w:rFonts w:hint="eastAsia" w:ascii="宋体" w:hAnsi="宋体" w:eastAsia="宋体" w:cs="宋体"/>
          <w:b/>
          <w:bCs/>
          <w:kern w:val="44"/>
          <w:sz w:val="24"/>
          <w:szCs w:val="24"/>
          <w:lang w:val="en-US" w:eastAsia="zh-CN" w:bidi="ar-SA"/>
        </w:rPr>
      </w:pPr>
      <w:r>
        <w:rPr>
          <w:rFonts w:hint="eastAsia" w:ascii="宋体" w:hAnsi="宋体" w:eastAsia="宋体" w:cs="宋体"/>
          <w:kern w:val="2"/>
          <w:sz w:val="24"/>
          <w:szCs w:val="24"/>
          <w:lang w:val="en-US" w:bidi="ar-SA"/>
        </w:rPr>
        <w:t>（3）在《特许经营协议》的实际执行过程中，县政府和特许经营者建立定期的协商和评价制度，在公平合理、友好协商的基础上，解决协议实际执行中遇到的问题。政府方与特许经营者达成一致的，将作为《特许经营协议》的补充条款。</w:t>
      </w:r>
      <w:bookmarkStart w:id="58" w:name="_Toc106575164"/>
    </w:p>
    <w:p>
      <w:pPr>
        <w:keepNext/>
        <w:keepLines/>
        <w:pageBreakBefore w:val="0"/>
        <w:widowControl w:val="0"/>
        <w:numPr>
          <w:ilvl w:val="0"/>
          <w:numId w:val="0"/>
        </w:numPr>
        <w:kinsoku/>
        <w:wordWrap/>
        <w:overflowPunct/>
        <w:topLinePunct w:val="0"/>
        <w:autoSpaceDE/>
        <w:autoSpaceDN/>
        <w:bidi w:val="0"/>
        <w:adjustRightInd/>
        <w:snapToGrid/>
        <w:spacing w:before="0" w:after="0" w:line="460" w:lineRule="exact"/>
        <w:ind w:firstLine="482" w:firstLineChars="200"/>
        <w:jc w:val="both"/>
        <w:textAlignment w:val="auto"/>
        <w:outlineLvl w:val="0"/>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5.其他事项</w:t>
      </w:r>
      <w:bookmarkEnd w:id="58"/>
    </w:p>
    <w:p>
      <w:pPr>
        <w:pageBreakBefore w:val="0"/>
        <w:kinsoku/>
        <w:wordWrap/>
        <w:overflowPunct/>
        <w:topLinePunct w:val="0"/>
        <w:autoSpaceDE/>
        <w:autoSpaceDN/>
        <w:bidi w:val="0"/>
        <w:adjustRightInd/>
        <w:snapToGrid/>
        <w:spacing w:before="0" w:after="0" w:line="460" w:lineRule="exact"/>
        <w:ind w:left="0" w:right="0" w:firstLine="480" w:firstLineChars="200"/>
        <w:jc w:val="left"/>
        <w:textAlignment w:val="auto"/>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由于本项目是国家储备林，在特许经营期，其公益性必须得到有效保证。在项目运营过程中，未经政府方许可，擅自改变经营范围的构成违约，蓬溪县自然资源和规划局有权要求社会资本方在规定期限内整改,在规定期限内社会资本方未按要求进行整改，且该义务未被豁免，蓬溪县自然资源和规划局有权终止特许经营协议，并向社会资本方追究违约责任。</w:t>
      </w:r>
    </w:p>
    <w:p>
      <w:pPr>
        <w:pStyle w:val="2"/>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6.</w:t>
      </w:r>
      <w:r>
        <w:rPr>
          <w:rFonts w:hint="eastAsia" w:ascii="宋体" w:hAnsi="宋体" w:cs="宋体"/>
          <w:b/>
          <w:bCs/>
          <w:sz w:val="24"/>
        </w:rPr>
        <w:t>付款方式：</w:t>
      </w:r>
      <w:r>
        <w:rPr>
          <w:rFonts w:hint="eastAsia" w:ascii="宋体" w:hAnsi="宋体" w:cs="宋体"/>
          <w:sz w:val="24"/>
          <w:lang w:eastAsia="zh-CN"/>
        </w:rPr>
        <w:t>按合同约定方式。</w:t>
      </w:r>
    </w:p>
    <w:p>
      <w:pPr>
        <w:pStyle w:val="2"/>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7.报价方式：</w:t>
      </w:r>
      <w:r>
        <w:rPr>
          <w:rFonts w:hint="eastAsia" w:ascii="宋体" w:hAnsi="宋体" w:eastAsia="宋体" w:cs="宋体"/>
          <w:kern w:val="2"/>
          <w:sz w:val="24"/>
          <w:szCs w:val="24"/>
          <w:lang w:val="en-US" w:eastAsia="zh-CN" w:bidi="ar-SA"/>
        </w:rPr>
        <w:t>社会资本方对项目报价在项目回报机制的基础上，采取报下浮比例方式作为报价。</w:t>
      </w:r>
    </w:p>
    <w:p>
      <w:pPr>
        <w:pStyle w:val="6"/>
        <w:pageBreakBefore w:val="0"/>
        <w:kinsoku/>
        <w:wordWrap/>
        <w:overflowPunct/>
        <w:topLinePunct w:val="0"/>
        <w:autoSpaceDE/>
        <w:autoSpaceDN/>
        <w:bidi w:val="0"/>
        <w:adjustRightInd/>
        <w:snapToGrid/>
        <w:spacing w:after="0" w:line="460" w:lineRule="exact"/>
        <w:ind w:firstLine="482" w:firstLineChars="200"/>
        <w:textAlignment w:val="auto"/>
        <w:rPr>
          <w:rFonts w:hint="eastAsia" w:ascii="宋体" w:hAnsi="宋体" w:cs="宋体"/>
          <w:sz w:val="24"/>
        </w:rPr>
      </w:pPr>
      <w:r>
        <w:rPr>
          <w:rFonts w:hint="eastAsia" w:ascii="宋体" w:hAnsi="宋体" w:eastAsia="宋体" w:cs="宋体"/>
          <w:b/>
          <w:bCs/>
          <w:kern w:val="2"/>
          <w:sz w:val="24"/>
          <w:szCs w:val="24"/>
          <w:lang w:val="en-US" w:eastAsia="zh-CN" w:bidi="ar-SA"/>
        </w:rPr>
        <w:t>8.验收方式：</w:t>
      </w:r>
      <w:r>
        <w:rPr>
          <w:rFonts w:hint="eastAsia" w:ascii="宋体" w:hAnsi="宋体" w:eastAsia="宋体" w:cs="宋体"/>
          <w:kern w:val="2"/>
          <w:sz w:val="24"/>
          <w:szCs w:val="24"/>
          <w:lang w:val="en-US" w:eastAsia="zh-CN" w:bidi="ar-SA"/>
        </w:rPr>
        <w:t>严格按照《财政部关于进一步加强政府采购需求和履约验收管理的指导意见》（财库〔2016〕205 号）文件要求</w:t>
      </w:r>
      <w:r>
        <w:rPr>
          <w:rFonts w:hint="eastAsia" w:ascii="宋体" w:hAnsi="宋体" w:cs="宋体"/>
          <w:sz w:val="24"/>
        </w:rPr>
        <w:t>及国家和地方相关的法律、规范及行业标准执行，以满足采购人的实际需求为准。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仿宋" w:hAnsi="仿宋" w:eastAsia="仿宋" w:cs="仿宋"/>
        <w:sz w:val="20"/>
        <w:szCs w:val="28"/>
        <w:lang w:val="zh-CN" w:eastAsia="zh-CN" w:bidi="zh-CN"/>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 w:hAnsi="楷体" w:eastAsia="楷体"/>
        <w:sz w:val="28"/>
        <w:szCs w:val="28"/>
      </w:rPr>
    </w:pPr>
    <w:r>
      <w:drawing>
        <wp:anchor distT="0" distB="0" distL="114300" distR="114300" simplePos="0" relativeHeight="251662336" behindDoc="0" locked="0" layoutInCell="1" allowOverlap="1">
          <wp:simplePos x="0" y="0"/>
          <wp:positionH relativeFrom="column">
            <wp:posOffset>-532130</wp:posOffset>
          </wp:positionH>
          <wp:positionV relativeFrom="paragraph">
            <wp:posOffset>-84455</wp:posOffset>
          </wp:positionV>
          <wp:extent cx="466725" cy="408940"/>
          <wp:effectExtent l="0" t="0" r="9525"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66725" cy="408940"/>
                  </a:xfrm>
                  <a:prstGeom prst="rect">
                    <a:avLst/>
                  </a:prstGeom>
                  <a:noFill/>
                  <a:ln>
                    <a:noFill/>
                  </a:ln>
                </pic:spPr>
              </pic:pic>
            </a:graphicData>
          </a:graphic>
        </wp:anchor>
      </w:drawing>
    </w:r>
    <w:r>
      <w:rPr>
        <w:rFonts w:ascii="楷体" w:hAnsi="楷体" w:eastAsia="楷体"/>
        <w:sz w:val="28"/>
        <w:szCs w:val="28"/>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607050" cy="4921250"/>
          <wp:effectExtent l="0" t="0" r="12700" b="12700"/>
          <wp:wrapNone/>
          <wp:docPr id="2" name="WordPictureWatermark24390227" descr="中佳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390227" descr="中佳和"/>
                  <pic:cNvPicPr>
                    <a:picLocks noChangeAspect="1"/>
                  </pic:cNvPicPr>
                </pic:nvPicPr>
                <pic:blipFill>
                  <a:blip r:embed="rId2">
                    <a:lum bright="70001" contrast="-70000"/>
                  </a:blip>
                  <a:stretch>
                    <a:fillRect/>
                  </a:stretch>
                </pic:blipFill>
                <pic:spPr>
                  <a:xfrm>
                    <a:off x="0" y="0"/>
                    <a:ext cx="5607050" cy="4921250"/>
                  </a:xfrm>
                  <a:prstGeom prst="rect">
                    <a:avLst/>
                  </a:prstGeom>
                  <a:noFill/>
                  <a:ln>
                    <a:noFill/>
                  </a:ln>
                </pic:spPr>
              </pic:pic>
            </a:graphicData>
          </a:graphic>
        </wp:anchor>
      </w:drawing>
    </w:r>
    <w:r>
      <w:rPr>
        <w:rFonts w:hint="eastAsia" w:ascii="楷体" w:hAnsi="楷体" w:eastAsia="楷体"/>
        <w:sz w:val="28"/>
        <w:szCs w:val="28"/>
      </w:rPr>
      <w:t>四川中佳和工程项目管理有限公司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仿宋" w:hAnsi="仿宋" w:eastAsia="仿宋" w:cs="仿宋"/>
        <w:sz w:val="20"/>
        <w:szCs w:val="28"/>
        <w:lang w:val="zh-CN" w:eastAsia="zh-CN" w:bidi="zh-CN"/>
      </w:rPr>
    </w:pPr>
    <w:r>
      <w:rPr>
        <w:rFonts w:ascii="仿宋" w:hAnsi="仿宋" w:eastAsia="仿宋" w:cs="仿宋"/>
        <w:sz w:val="28"/>
        <w:szCs w:val="28"/>
        <w:lang w:val="zh-CN" w:eastAsia="zh-CN" w:bidi="zh-CN"/>
      </w:rP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793115</wp:posOffset>
              </wp:positionV>
              <wp:extent cx="52705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2705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62.45pt;height:0pt;width:415pt;mso-position-horizontal-relative:page;mso-position-vertical-relative:page;z-index:-251656192;mso-width-relative:page;mso-height-relative:page;" filled="f" stroked="t" coordsize="21600,21600" o:gfxdata="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IFP1nWAAAADAEAAA8AAAAAAAAAAQAgAAAAIgAAAGRycy9kb3ducmV2Lnht&#10;bFBLAQIUABQAAAAIAIdO4kB4kACY+wEAAPQDAAAOAAAAAAAAAAEAIAAAACUBAABkcnMvZTJvRG9j&#10;LnhtbFBLBQYAAAAABgAGAFkBAACSBQAAAAA=&#10;">
              <v:fill on="f" focussize="0,0"/>
              <v:stroke weight="0.48pt" color="#000000" joinstyle="round"/>
              <v:imagedata o:title=""/>
              <o:lock v:ext="edit" aspectratio="f"/>
            </v:line>
          </w:pict>
        </mc:Fallback>
      </mc:AlternateContent>
    </w:r>
    <w:r>
      <w:rPr>
        <w:rFonts w:ascii="仿宋" w:hAnsi="仿宋" w:eastAsia="仿宋" w:cs="仿宋"/>
        <w:sz w:val="28"/>
        <w:szCs w:val="28"/>
        <w:lang w:val="zh-CN" w:eastAsia="zh-CN" w:bidi="zh-CN"/>
      </w:rPr>
      <mc:AlternateContent>
        <mc:Choice Requires="wps">
          <w:drawing>
            <wp:anchor distT="0" distB="0" distL="114300" distR="114300" simplePos="0" relativeHeight="251661312" behindDoc="1" locked="0" layoutInCell="1" allowOverlap="1">
              <wp:simplePos x="0" y="0"/>
              <wp:positionH relativeFrom="page">
                <wp:posOffset>3428365</wp:posOffset>
              </wp:positionH>
              <wp:positionV relativeFrom="page">
                <wp:posOffset>634365</wp:posOffset>
              </wp:positionV>
              <wp:extent cx="299720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997200" cy="139700"/>
                      </a:xfrm>
                      <a:prstGeom prst="rect">
                        <a:avLst/>
                      </a:prstGeom>
                      <a:noFill/>
                      <a:ln>
                        <a:noFill/>
                      </a:ln>
                      <a:effectLst/>
                    </wps:spPr>
                    <wps:txbx>
                      <w:txbxContent>
                        <w:p>
                          <w:pPr>
                            <w:rPr>
                              <w:rFonts w:hint="eastAsia" w:ascii="宋体" w:hAnsi="仿宋" w:eastAsia="宋体" w:cs="仿宋"/>
                              <w:sz w:val="18"/>
                              <w:lang w:eastAsia="zh-CN"/>
                            </w:rPr>
                          </w:pPr>
                          <w:r>
                            <w:rPr>
                              <w:rFonts w:hint="eastAsia" w:hAnsi="仿宋" w:cs="仿宋"/>
                              <w:sz w:val="18"/>
                              <w:lang w:eastAsia="zh-CN"/>
                            </w:rPr>
                            <w:t>蓬溪县国家储备林建设及森林质量提升项目</w:t>
                          </w:r>
                        </w:p>
                        <w:p>
                          <w:pPr>
                            <w:rPr>
                              <w:rFonts w:hint="eastAsia" w:ascii="宋体" w:hAnsi="仿宋" w:eastAsia="宋体" w:cs="仿宋"/>
                              <w:sz w:val="18"/>
                            </w:rPr>
                          </w:pPr>
                          <w:r>
                            <w:rPr>
                              <w:rFonts w:hint="eastAsia" w:ascii="宋体" w:hAnsi="仿宋" w:eastAsia="宋体" w:cs="仿宋"/>
                              <w:sz w:val="18"/>
                            </w:rPr>
                            <w:t>特许经营采购</w:t>
                          </w:r>
                        </w:p>
                      </w:txbxContent>
                    </wps:txbx>
                    <wps:bodyPr lIns="0" tIns="0" rIns="0" bIns="0" upright="1"/>
                  </wps:wsp>
                </a:graphicData>
              </a:graphic>
            </wp:anchor>
          </w:drawing>
        </mc:Choice>
        <mc:Fallback>
          <w:pict>
            <v:shape id="_x0000_s1026" o:spid="_x0000_s1026" o:spt="202" type="#_x0000_t202" style="position:absolute;left:0pt;margin-left:269.95pt;margin-top:49.95pt;height:11pt;width:236pt;mso-position-horizontal-relative:page;mso-position-vertical-relative:page;z-index:-251655168;mso-width-relative:page;mso-height-relative:page;" filled="f" stroked="f" coordsize="21600,21600" o:gfxdata="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F0V3XAAAACwEAAA8AAAAAAAAAAQAgAAAAIgAAAGRycy9kb3ducmV2LnhtbFBL&#10;AQIUABQAAAAIAIdO4kDFiteovgEAAIIDAAAOAAAAAAAAAAEAIAAAACYBAABkcnMvZTJvRG9jLnht&#10;bFBLBQYAAAAABgAGAFkBAABWBQAAAAA=&#10;">
              <v:fill on="f" focussize="0,0"/>
              <v:stroke on="f"/>
              <v:imagedata o:title=""/>
              <o:lock v:ext="edit" aspectratio="f"/>
              <v:textbox inset="0mm,0mm,0mm,0mm">
                <w:txbxContent>
                  <w:p>
                    <w:pPr>
                      <w:rPr>
                        <w:rFonts w:hint="eastAsia" w:ascii="宋体" w:hAnsi="仿宋" w:eastAsia="宋体" w:cs="仿宋"/>
                        <w:sz w:val="18"/>
                        <w:lang w:eastAsia="zh-CN"/>
                      </w:rPr>
                    </w:pPr>
                    <w:r>
                      <w:rPr>
                        <w:rFonts w:hint="eastAsia" w:hAnsi="仿宋" w:cs="仿宋"/>
                        <w:sz w:val="18"/>
                        <w:lang w:eastAsia="zh-CN"/>
                      </w:rPr>
                      <w:t>蓬溪县国家储备林建设及森林质量提升项目</w:t>
                    </w:r>
                  </w:p>
                  <w:p>
                    <w:pPr>
                      <w:rPr>
                        <w:rFonts w:hint="eastAsia" w:ascii="宋体" w:hAnsi="仿宋" w:eastAsia="宋体" w:cs="仿宋"/>
                        <w:sz w:val="18"/>
                      </w:rPr>
                    </w:pPr>
                    <w:r>
                      <w:rPr>
                        <w:rFonts w:hint="eastAsia" w:ascii="宋体" w:hAnsi="仿宋" w:eastAsia="宋体" w:cs="仿宋"/>
                        <w:sz w:val="18"/>
                      </w:rPr>
                      <w:t>特许经营采购</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jgzOTMzZTI5MmM4YmJiNzdkNjlkOGNkNjdiMTMifQ=="/>
  </w:docVars>
  <w:rsids>
    <w:rsidRoot w:val="6306528D"/>
    <w:rsid w:val="6306528D"/>
    <w:rsid w:val="666A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5">
    <w:name w:val="heading 3"/>
    <w:basedOn w:val="1"/>
    <w:next w:val="1"/>
    <w:qFormat/>
    <w:uiPriority w:val="1"/>
    <w:pPr>
      <w:ind w:left="700"/>
      <w:outlineLvl w:val="2"/>
    </w:pPr>
    <w:rPr>
      <w:rFonts w:ascii="宋体" w:hAnsi="宋体" w:eastAsia="宋体" w:cs="宋体"/>
      <w:b/>
      <w:bCs/>
      <w:sz w:val="24"/>
      <w:szCs w:val="24"/>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99"/>
    <w:pPr>
      <w:ind w:firstLine="630"/>
    </w:pPr>
    <w:rPr>
      <w:sz w:val="32"/>
      <w:szCs w:val="20"/>
    </w:rPr>
  </w:style>
  <w:style w:type="paragraph" w:customStyle="1" w:styleId="4">
    <w:name w:val="样式 正文文本缩进 + Times New Roman"/>
    <w:basedOn w:val="3"/>
    <w:next w:val="1"/>
    <w:qFormat/>
    <w:uiPriority w:val="0"/>
    <w:pPr>
      <w:tabs>
        <w:tab w:val="left" w:pos="7654"/>
      </w:tabs>
      <w:autoSpaceDE w:val="0"/>
      <w:autoSpaceDN w:val="0"/>
      <w:snapToGrid w:val="0"/>
    </w:pPr>
  </w:style>
  <w:style w:type="paragraph" w:styleId="6">
    <w:name w:val="Body Text"/>
    <w:basedOn w:val="1"/>
    <w:next w:val="1"/>
    <w:qFormat/>
    <w:uiPriority w:val="99"/>
    <w:pPr>
      <w:widowControl w:val="0"/>
      <w:spacing w:after="120"/>
      <w:jc w:val="both"/>
    </w:pPr>
    <w:rPr>
      <w:rFonts w:ascii="宋体"/>
      <w:sz w:val="34"/>
      <w:szCs w:val="20"/>
    </w:rPr>
  </w:style>
  <w:style w:type="paragraph" w:styleId="7">
    <w:name w:val="footer"/>
    <w:basedOn w:val="1"/>
    <w:uiPriority w:val="99"/>
    <w:pPr>
      <w:tabs>
        <w:tab w:val="center" w:pos="4153"/>
        <w:tab w:val="right" w:pos="8306"/>
      </w:tabs>
      <w:snapToGrid w:val="0"/>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widowControl w:val="0"/>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13091</Words>
  <Characters>16011</Characters>
  <Lines>0</Lines>
  <Paragraphs>0</Paragraphs>
  <TotalTime>40</TotalTime>
  <ScaleCrop>false</ScaleCrop>
  <LinksUpToDate>false</LinksUpToDate>
  <CharactersWithSpaces>16132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2022-07-04T13:52:00Z</dcterms:created>
  <dc:creator>Administrator</dc:creator>
  <cp:lastModifiedBy>Administrator</cp:lastModifiedBy>
  <dcterms:modified xsi:type="dcterms:W3CDTF">2022-07-05T02:02:42Z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E47EAF549C054DE090255C6E812EA603</vt:lpwstr>
  </property>
</Properties>
</file>