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56" w:afterLines="50"/>
        <w:jc w:val="center"/>
        <w:outlineLvl w:val="0"/>
        <w:rPr>
          <w:sz w:val="24"/>
        </w:rPr>
      </w:pPr>
      <w:bookmarkStart w:id="0" w:name="_Toc12351"/>
      <w:bookmarkStart w:id="1" w:name="_Toc8795_WPSOffice_Level1"/>
      <w:bookmarkStart w:id="2" w:name="_Toc21309_WPSOffice_Level1"/>
      <w:r>
        <w:rPr>
          <w:rFonts w:hint="eastAsia" w:ascii="宋体" w:hAnsi="宋体" w:cs="黑体"/>
          <w:kern w:val="0"/>
          <w:sz w:val="32"/>
          <w:szCs w:val="32"/>
        </w:rPr>
        <w:t>投</w:t>
      </w:r>
      <w:r>
        <w:rPr>
          <w:rFonts w:hint="eastAsia" w:ascii="宋体" w:hAnsi="宋体" w:cs="黑体"/>
          <w:kern w:val="0"/>
          <w:sz w:val="32"/>
          <w:szCs w:val="32"/>
          <w:lang w:val="en-US" w:eastAsia="zh-CN"/>
        </w:rPr>
        <w:t xml:space="preserve"> </w:t>
      </w:r>
      <w:r>
        <w:rPr>
          <w:rFonts w:hint="eastAsia" w:ascii="宋体" w:hAnsi="宋体" w:cs="黑体"/>
          <w:kern w:val="0"/>
          <w:sz w:val="32"/>
          <w:szCs w:val="32"/>
        </w:rPr>
        <w:t>标</w:t>
      </w:r>
      <w:r>
        <w:rPr>
          <w:rFonts w:hint="eastAsia" w:ascii="宋体" w:hAnsi="宋体" w:cs="黑体"/>
          <w:kern w:val="0"/>
          <w:sz w:val="32"/>
          <w:szCs w:val="32"/>
          <w:lang w:val="en-US" w:eastAsia="zh-CN"/>
        </w:rPr>
        <w:t xml:space="preserve"> </w:t>
      </w:r>
      <w:r>
        <w:rPr>
          <w:rFonts w:hint="eastAsia" w:ascii="宋体" w:hAnsi="宋体" w:cs="黑体"/>
          <w:kern w:val="0"/>
          <w:sz w:val="32"/>
          <w:szCs w:val="32"/>
        </w:rPr>
        <w:t>邀</w:t>
      </w:r>
      <w:r>
        <w:rPr>
          <w:rFonts w:hint="eastAsia" w:ascii="宋体" w:hAnsi="宋体" w:cs="黑体"/>
          <w:kern w:val="0"/>
          <w:sz w:val="32"/>
          <w:szCs w:val="32"/>
          <w:lang w:val="en-US" w:eastAsia="zh-CN"/>
        </w:rPr>
        <w:t xml:space="preserve"> </w:t>
      </w:r>
      <w:r>
        <w:rPr>
          <w:rFonts w:hint="eastAsia" w:ascii="宋体" w:hAnsi="宋体" w:cs="黑体"/>
          <w:kern w:val="0"/>
          <w:sz w:val="32"/>
          <w:szCs w:val="32"/>
        </w:rPr>
        <w:t>请</w:t>
      </w:r>
      <w:bookmarkEnd w:id="0"/>
      <w:bookmarkEnd w:id="1"/>
      <w:bookmarkEnd w:id="2"/>
    </w:p>
    <w:p>
      <w:pPr>
        <w:pBdr>
          <w:top w:val="single" w:color="auto" w:sz="4" w:space="1"/>
          <w:left w:val="single" w:color="auto" w:sz="4" w:space="4"/>
          <w:bottom w:val="single" w:color="auto" w:sz="4" w:space="1"/>
          <w:right w:val="single" w:color="auto" w:sz="4" w:space="4"/>
        </w:pBdr>
        <w:spacing w:before="120" w:after="156" w:afterLines="50"/>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before="120" w:after="156" w:afterLines="50"/>
        <w:ind w:firstLine="480" w:firstLineChars="200"/>
        <w:rPr>
          <w:rFonts w:ascii="宋体" w:hAnsi="宋体" w:cs="宋体"/>
          <w:sz w:val="24"/>
          <w:highlight w:val="none"/>
        </w:rPr>
      </w:pPr>
      <w:r>
        <w:rPr>
          <w:rFonts w:hint="eastAsia" w:ascii="宋体" w:hAnsi="宋体" w:cs="宋体"/>
          <w:sz w:val="24"/>
          <w:u w:val="single"/>
        </w:rPr>
        <w:t>国家信息技术安全研究中心量子保密通信安全服务应用网络及平台系统采购（招标编号：GXTC-D-22630663）</w:t>
      </w:r>
      <w:r>
        <w:rPr>
          <w:rFonts w:hint="eastAsia" w:ascii="宋体" w:hAnsi="宋体" w:cs="宋体"/>
          <w:sz w:val="24"/>
        </w:rPr>
        <w:t xml:space="preserve"> 招标项目的潜在投标人应在</w:t>
      </w:r>
      <w:r>
        <w:rPr>
          <w:rFonts w:hint="eastAsia" w:ascii="宋体" w:hAnsi="宋体" w:cs="宋体"/>
          <w:sz w:val="24"/>
          <w:u w:val="single"/>
        </w:rPr>
        <w:t>北京市海淀区四季青常青路和泓四季六号楼国信招标会议室</w:t>
      </w:r>
      <w:r>
        <w:rPr>
          <w:rFonts w:hint="eastAsia" w:ascii="宋体" w:hAnsi="宋体" w:cs="宋体"/>
          <w:sz w:val="24"/>
        </w:rPr>
        <w:t>获取招标文件，并于</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2</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27</w:t>
      </w:r>
      <w:r>
        <w:rPr>
          <w:rFonts w:hint="eastAsia" w:ascii="宋体" w:hAnsi="宋体" w:cs="宋体"/>
          <w:bCs/>
          <w:sz w:val="24"/>
          <w:highlight w:val="none"/>
          <w:u w:val="single"/>
        </w:rPr>
        <w:t xml:space="preserve"> 日</w:t>
      </w:r>
      <w:r>
        <w:rPr>
          <w:rFonts w:hint="eastAsia" w:ascii="宋体" w:hAnsi="宋体" w:cs="宋体"/>
          <w:bCs/>
          <w:sz w:val="24"/>
          <w:highlight w:val="none"/>
          <w:u w:val="single"/>
          <w:lang w:val="en-US" w:eastAsia="zh-CN"/>
        </w:rPr>
        <w:t xml:space="preserve"> 09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bCs/>
          <w:sz w:val="24"/>
          <w:highlight w:val="none"/>
        </w:rPr>
        <w:t>北京时间）前递交投标文件</w:t>
      </w:r>
      <w:r>
        <w:rPr>
          <w:rFonts w:hint="eastAsia" w:ascii="宋体" w:hAnsi="宋体" w:cs="宋体"/>
          <w:sz w:val="24"/>
          <w:highlight w:val="none"/>
        </w:rPr>
        <w:t>。</w:t>
      </w:r>
    </w:p>
    <w:p>
      <w:pPr>
        <w:pStyle w:val="3"/>
        <w:spacing w:after="156" w:afterLines="50" w:line="240" w:lineRule="auto"/>
        <w:ind w:firstLine="480"/>
        <w:rPr>
          <w:rFonts w:ascii="宋体" w:hAnsi="宋体" w:cs="宋体"/>
          <w:b w:val="0"/>
          <w:sz w:val="24"/>
          <w:szCs w:val="24"/>
        </w:rPr>
      </w:pPr>
      <w:bookmarkStart w:id="3" w:name="_Toc35393621"/>
      <w:bookmarkStart w:id="4" w:name="_Toc28359002"/>
      <w:bookmarkStart w:id="5" w:name="_Toc28359079"/>
      <w:bookmarkStart w:id="6" w:name="_Toc35393790"/>
      <w:bookmarkStart w:id="7" w:name="_Hlk24379207"/>
      <w:r>
        <w:rPr>
          <w:rFonts w:hint="eastAsia" w:ascii="宋体" w:hAnsi="宋体" w:cs="宋体"/>
          <w:b w:val="0"/>
          <w:sz w:val="24"/>
          <w:szCs w:val="24"/>
        </w:rPr>
        <w:t>一、项目基本情况</w:t>
      </w:r>
      <w:bookmarkEnd w:id="3"/>
      <w:bookmarkEnd w:id="4"/>
      <w:bookmarkEnd w:id="5"/>
      <w:bookmarkEnd w:id="6"/>
    </w:p>
    <w:p>
      <w:pPr>
        <w:spacing w:before="120" w:after="156" w:afterLines="50"/>
        <w:ind w:firstLine="480" w:firstLineChars="200"/>
        <w:rPr>
          <w:rFonts w:ascii="宋体" w:hAnsi="宋体" w:cs="宋体"/>
          <w:sz w:val="24"/>
        </w:rPr>
      </w:pPr>
      <w:r>
        <w:rPr>
          <w:rFonts w:hint="eastAsia" w:ascii="宋体" w:hAnsi="宋体" w:cs="宋体"/>
          <w:sz w:val="24"/>
        </w:rPr>
        <w:t>项目编号：GXTC-D-22630663</w:t>
      </w:r>
    </w:p>
    <w:p>
      <w:pPr>
        <w:spacing w:before="120" w:after="156" w:afterLines="50"/>
        <w:ind w:firstLine="480" w:firstLineChars="200"/>
        <w:rPr>
          <w:rFonts w:ascii="宋体" w:hAnsi="宋体" w:cs="宋体"/>
          <w:sz w:val="24"/>
        </w:rPr>
      </w:pPr>
      <w:r>
        <w:rPr>
          <w:rFonts w:hint="eastAsia" w:ascii="宋体" w:hAnsi="宋体" w:cs="宋体"/>
          <w:sz w:val="24"/>
        </w:rPr>
        <w:t>项目名称：国家信息技术安全研究中心量子保密通信安全服务应用网络及平台系统采购</w:t>
      </w:r>
    </w:p>
    <w:bookmarkEnd w:id="7"/>
    <w:p>
      <w:pPr>
        <w:spacing w:before="120" w:after="156" w:afterLines="50"/>
        <w:ind w:firstLine="480" w:firstLineChars="200"/>
        <w:rPr>
          <w:rFonts w:ascii="宋体" w:hAnsi="宋体" w:cs="宋体"/>
          <w:sz w:val="24"/>
        </w:rPr>
      </w:pPr>
      <w:r>
        <w:rPr>
          <w:rFonts w:hint="eastAsia" w:ascii="宋体" w:hAnsi="宋体" w:cs="宋体"/>
          <w:sz w:val="24"/>
        </w:rPr>
        <w:t>预算金额：77.2万元</w:t>
      </w:r>
    </w:p>
    <w:tbl>
      <w:tblPr>
        <w:tblStyle w:val="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832"/>
        <w:gridCol w:w="1929"/>
        <w:gridCol w:w="2613"/>
        <w:gridCol w:w="148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0" w:type="dxa"/>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包号</w:t>
            </w:r>
          </w:p>
        </w:tc>
        <w:tc>
          <w:tcPr>
            <w:tcW w:w="1832" w:type="dxa"/>
            <w:vAlign w:val="center"/>
          </w:tcPr>
          <w:p>
            <w:pPr>
              <w:tabs>
                <w:tab w:val="left" w:pos="3435"/>
                <w:tab w:val="left" w:pos="8522"/>
              </w:tabs>
              <w:spacing w:before="120" w:after="156" w:afterLines="50"/>
              <w:jc w:val="center"/>
              <w:rPr>
                <w:rFonts w:ascii="宋体" w:hAnsi="宋体" w:cs="宋体"/>
                <w:bCs/>
                <w:sz w:val="24"/>
              </w:rPr>
            </w:pPr>
            <w:r>
              <w:rPr>
                <w:rFonts w:hint="eastAsia" w:ascii="宋体" w:hAnsi="宋体" w:cs="黑体"/>
                <w:kern w:val="0"/>
                <w:sz w:val="24"/>
              </w:rPr>
              <w:t>设备名称</w:t>
            </w:r>
          </w:p>
        </w:tc>
        <w:tc>
          <w:tcPr>
            <w:tcW w:w="1929" w:type="dxa"/>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单位</w:t>
            </w:r>
          </w:p>
        </w:tc>
        <w:tc>
          <w:tcPr>
            <w:tcW w:w="2613" w:type="dxa"/>
            <w:vAlign w:val="center"/>
          </w:tcPr>
          <w:p>
            <w:pPr>
              <w:tabs>
                <w:tab w:val="left" w:pos="3435"/>
                <w:tab w:val="left" w:pos="8522"/>
              </w:tabs>
              <w:spacing w:before="120" w:after="156" w:afterLines="50"/>
              <w:jc w:val="center"/>
              <w:rPr>
                <w:rFonts w:ascii="宋体" w:hAnsi="宋体" w:cs="宋体"/>
                <w:bCs/>
                <w:sz w:val="24"/>
              </w:rPr>
            </w:pPr>
            <w:r>
              <w:rPr>
                <w:rFonts w:hint="eastAsia" w:ascii="宋体" w:hAnsi="宋体" w:cs="宋体"/>
                <w:bCs/>
                <w:sz w:val="24"/>
              </w:rPr>
              <w:t>数量</w:t>
            </w:r>
          </w:p>
        </w:tc>
        <w:tc>
          <w:tcPr>
            <w:tcW w:w="1483" w:type="dxa"/>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宋体" w:eastAsiaTheme="minorEastAsia"/>
                <w:color w:val="000000"/>
                <w:kern w:val="0"/>
                <w:sz w:val="24"/>
              </w:rPr>
              <w:t>金额（万元）</w:t>
            </w:r>
          </w:p>
        </w:tc>
        <w:tc>
          <w:tcPr>
            <w:tcW w:w="1483" w:type="dxa"/>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最高投标限价</w:t>
            </w:r>
          </w:p>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restart"/>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01</w:t>
            </w: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量子安全服务平台一体机</w:t>
            </w:r>
          </w:p>
        </w:tc>
        <w:tc>
          <w:tcPr>
            <w:tcW w:w="1929"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台</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5</w:t>
            </w:r>
          </w:p>
        </w:tc>
        <w:tc>
          <w:tcPr>
            <w:tcW w:w="1483" w:type="dxa"/>
            <w:vMerge w:val="restart"/>
            <w:vAlign w:val="center"/>
          </w:tcPr>
          <w:p>
            <w:pPr>
              <w:tabs>
                <w:tab w:val="left" w:pos="3435"/>
                <w:tab w:val="left" w:pos="8522"/>
              </w:tabs>
              <w:spacing w:before="120" w:after="156" w:afterLines="50"/>
              <w:jc w:val="center"/>
              <w:rPr>
                <w:rFonts w:ascii="宋体" w:hAnsi="宋体"/>
                <w:kern w:val="0"/>
                <w:sz w:val="22"/>
                <w:szCs w:val="22"/>
              </w:rPr>
            </w:pPr>
            <w:r>
              <w:rPr>
                <w:rFonts w:hint="eastAsia" w:ascii="宋体" w:hAnsi="宋体"/>
                <w:kern w:val="0"/>
                <w:sz w:val="22"/>
                <w:szCs w:val="22"/>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vAlign w:val="center"/>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量子随机数发生器</w:t>
            </w:r>
          </w:p>
        </w:tc>
        <w:tc>
          <w:tcPr>
            <w:tcW w:w="1929"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台</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4</w:t>
            </w:r>
          </w:p>
        </w:tc>
        <w:tc>
          <w:tcPr>
            <w:tcW w:w="1483" w:type="dxa"/>
            <w:vMerge w:val="continue"/>
            <w:vAlign w:val="center"/>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安全U盾</w:t>
            </w:r>
          </w:p>
        </w:tc>
        <w:tc>
          <w:tcPr>
            <w:tcW w:w="1929"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个</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5</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0.2</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量子安全服务移动引擎</w:t>
            </w:r>
          </w:p>
        </w:tc>
        <w:tc>
          <w:tcPr>
            <w:tcW w:w="1929" w:type="dxa"/>
            <w:vAlign w:val="center"/>
          </w:tcPr>
          <w:p>
            <w:pPr>
              <w:widowControl/>
              <w:spacing w:line="240" w:lineRule="exact"/>
              <w:jc w:val="center"/>
              <w:rPr>
                <w:rFonts w:ascii="宋体" w:hAnsi="宋体" w:cs="宋体"/>
                <w:color w:val="000000"/>
                <w:kern w:val="0"/>
                <w:sz w:val="20"/>
                <w:szCs w:val="20"/>
              </w:rPr>
            </w:pPr>
            <w:r>
              <w:rPr>
                <w:rFonts w:hint="eastAsia" w:ascii="宋体" w:hAnsi="宋体"/>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5</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 xml:space="preserve">量子随机数发生器软件 </w:t>
            </w:r>
          </w:p>
        </w:tc>
        <w:tc>
          <w:tcPr>
            <w:tcW w:w="1929" w:type="dxa"/>
            <w:vAlign w:val="center"/>
          </w:tcPr>
          <w:p>
            <w:pPr>
              <w:widowControl/>
              <w:spacing w:line="240" w:lineRule="exact"/>
              <w:jc w:val="center"/>
              <w:rPr>
                <w:rFonts w:ascii="宋体" w:hAnsi="宋体"/>
                <w:kern w:val="0"/>
                <w:sz w:val="20"/>
                <w:szCs w:val="20"/>
              </w:rPr>
            </w:pPr>
            <w:r>
              <w:rPr>
                <w:rFonts w:ascii="宋体" w:hAnsi="宋体"/>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密钥系统交换密码机软件</w:t>
            </w:r>
          </w:p>
        </w:tc>
        <w:tc>
          <w:tcPr>
            <w:tcW w:w="1929" w:type="dxa"/>
            <w:vAlign w:val="center"/>
          </w:tcPr>
          <w:p>
            <w:pPr>
              <w:widowControl/>
              <w:spacing w:line="240" w:lineRule="exact"/>
              <w:jc w:val="center"/>
              <w:rPr>
                <w:rFonts w:ascii="宋体" w:hAnsi="宋体"/>
                <w:kern w:val="0"/>
                <w:sz w:val="20"/>
                <w:szCs w:val="20"/>
              </w:rPr>
            </w:pPr>
            <w:r>
              <w:rPr>
                <w:rFonts w:ascii="宋体" w:hAnsi="宋体"/>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3.3</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充注终端软件</w:t>
            </w:r>
          </w:p>
        </w:tc>
        <w:tc>
          <w:tcPr>
            <w:tcW w:w="1929" w:type="dxa"/>
            <w:vAlign w:val="center"/>
          </w:tcPr>
          <w:p>
            <w:pPr>
              <w:widowControl/>
              <w:spacing w:line="240" w:lineRule="exact"/>
              <w:jc w:val="center"/>
              <w:rPr>
                <w:rFonts w:ascii="宋体" w:hAnsi="宋体" w:cs="宋体"/>
                <w:color w:val="000000"/>
                <w:kern w:val="0"/>
                <w:sz w:val="20"/>
                <w:szCs w:val="20"/>
              </w:rPr>
            </w:pPr>
            <w:r>
              <w:rPr>
                <w:rFonts w:hint="eastAsia" w:ascii="宋体" w:hAnsi="宋体"/>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1.6</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安全邮件软件</w:t>
            </w:r>
          </w:p>
        </w:tc>
        <w:tc>
          <w:tcPr>
            <w:tcW w:w="1929"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4</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0.1</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restart"/>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02</w:t>
            </w: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多协议侧信道采集与分析软件</w:t>
            </w:r>
          </w:p>
        </w:tc>
        <w:tc>
          <w:tcPr>
            <w:tcW w:w="1929" w:type="dxa"/>
            <w:vAlign w:val="center"/>
          </w:tcPr>
          <w:p>
            <w:pPr>
              <w:widowControl/>
              <w:spacing w:line="240" w:lineRule="exact"/>
              <w:jc w:val="center"/>
              <w:rPr>
                <w:rFonts w:ascii="宋体" w:hAnsi="宋体" w:cs="宋体"/>
                <w:color w:val="000000"/>
                <w:kern w:val="0"/>
                <w:sz w:val="20"/>
                <w:szCs w:val="20"/>
              </w:rPr>
            </w:pPr>
            <w:r>
              <w:rPr>
                <w:rFonts w:ascii="宋体" w:hAnsi="宋体"/>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30</w:t>
            </w:r>
          </w:p>
        </w:tc>
        <w:tc>
          <w:tcPr>
            <w:tcW w:w="1483" w:type="dxa"/>
            <w:vMerge w:val="restart"/>
            <w:vAlign w:val="center"/>
          </w:tcPr>
          <w:p>
            <w:pPr>
              <w:tabs>
                <w:tab w:val="left" w:pos="3435"/>
                <w:tab w:val="left" w:pos="8522"/>
              </w:tabs>
              <w:spacing w:before="120" w:after="156" w:afterLines="50"/>
              <w:jc w:val="center"/>
              <w:rPr>
                <w:rFonts w:ascii="宋体" w:hAnsi="宋体" w:cs="黑体"/>
                <w:kern w:val="0"/>
                <w:sz w:val="24"/>
              </w:rPr>
            </w:pPr>
            <w:r>
              <w:rPr>
                <w:rFonts w:hint="eastAsia" w:ascii="宋体" w:hAnsi="宋体" w:cs="黑体"/>
                <w:kern w:val="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0" w:type="dxa"/>
            <w:vMerge w:val="continue"/>
          </w:tcPr>
          <w:p>
            <w:pPr>
              <w:tabs>
                <w:tab w:val="left" w:pos="3435"/>
                <w:tab w:val="left" w:pos="8522"/>
              </w:tabs>
              <w:spacing w:before="120" w:after="156" w:afterLines="50"/>
              <w:jc w:val="center"/>
              <w:rPr>
                <w:rFonts w:ascii="宋体" w:hAnsi="宋体" w:cs="黑体"/>
                <w:kern w:val="0"/>
                <w:sz w:val="24"/>
              </w:rPr>
            </w:pPr>
          </w:p>
        </w:tc>
        <w:tc>
          <w:tcPr>
            <w:tcW w:w="1832" w:type="dxa"/>
            <w:vAlign w:val="center"/>
          </w:tcPr>
          <w:p>
            <w:pPr>
              <w:widowControl/>
              <w:spacing w:line="240" w:lineRule="exact"/>
              <w:rPr>
                <w:rFonts w:ascii="宋体" w:hAnsi="宋体"/>
                <w:kern w:val="0"/>
                <w:sz w:val="20"/>
                <w:szCs w:val="20"/>
              </w:rPr>
            </w:pPr>
            <w:r>
              <w:rPr>
                <w:rFonts w:hint="eastAsia" w:ascii="宋体" w:hAnsi="宋体"/>
                <w:kern w:val="0"/>
                <w:sz w:val="20"/>
                <w:szCs w:val="20"/>
              </w:rPr>
              <w:t>多协议故障注入与攻击软件</w:t>
            </w:r>
          </w:p>
        </w:tc>
        <w:tc>
          <w:tcPr>
            <w:tcW w:w="1929" w:type="dxa"/>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61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1</w:t>
            </w:r>
          </w:p>
        </w:tc>
        <w:tc>
          <w:tcPr>
            <w:tcW w:w="1483" w:type="dxa"/>
            <w:vAlign w:val="center"/>
          </w:tcPr>
          <w:p>
            <w:pPr>
              <w:widowControl/>
              <w:spacing w:line="240" w:lineRule="exact"/>
              <w:jc w:val="center"/>
              <w:rPr>
                <w:rFonts w:ascii="宋体" w:hAnsi="宋体"/>
                <w:kern w:val="0"/>
                <w:sz w:val="20"/>
                <w:szCs w:val="20"/>
              </w:rPr>
            </w:pPr>
            <w:r>
              <w:rPr>
                <w:rFonts w:hint="eastAsia" w:ascii="宋体" w:hAnsi="宋体"/>
                <w:kern w:val="0"/>
                <w:sz w:val="20"/>
                <w:szCs w:val="20"/>
              </w:rPr>
              <w:t>27</w:t>
            </w:r>
          </w:p>
        </w:tc>
        <w:tc>
          <w:tcPr>
            <w:tcW w:w="1483" w:type="dxa"/>
            <w:vMerge w:val="continue"/>
          </w:tcPr>
          <w:p>
            <w:pPr>
              <w:tabs>
                <w:tab w:val="left" w:pos="3435"/>
                <w:tab w:val="left" w:pos="8522"/>
              </w:tabs>
              <w:spacing w:before="120" w:after="156" w:afterLines="50"/>
              <w:jc w:val="center"/>
              <w:rPr>
                <w:rFonts w:ascii="宋体" w:hAnsi="宋体" w:cs="黑体"/>
                <w:kern w:val="0"/>
                <w:sz w:val="24"/>
              </w:rPr>
            </w:pPr>
          </w:p>
        </w:tc>
      </w:tr>
    </w:tbl>
    <w:p>
      <w:pPr>
        <w:pStyle w:val="2"/>
        <w:ind w:right="105" w:firstLine="480"/>
        <w:rPr>
          <w:rFonts w:ascii="宋体" w:hAnsi="宋体" w:eastAsia="宋体" w:cs="宋体"/>
          <w:szCs w:val="24"/>
        </w:rPr>
      </w:pPr>
      <w:r>
        <w:rPr>
          <w:rFonts w:hint="eastAsia" w:ascii="宋体" w:hAnsi="宋体" w:eastAsia="宋体" w:cs="宋体"/>
          <w:szCs w:val="24"/>
        </w:rPr>
        <w:t>是否接受进口产品：否</w:t>
      </w:r>
    </w:p>
    <w:p>
      <w:pPr>
        <w:spacing w:before="120" w:after="156" w:afterLines="50"/>
        <w:ind w:firstLine="480" w:firstLineChars="200"/>
        <w:rPr>
          <w:rFonts w:ascii="宋体" w:hAnsi="宋体" w:cs="宋体"/>
          <w:sz w:val="24"/>
        </w:rPr>
      </w:pPr>
      <w:r>
        <w:rPr>
          <w:rFonts w:hint="eastAsia" w:ascii="宋体" w:hAnsi="宋体" w:cs="宋体"/>
          <w:sz w:val="24"/>
        </w:rPr>
        <w:t>本项目是否接受联合体投标：否</w:t>
      </w:r>
    </w:p>
    <w:p>
      <w:pPr>
        <w:spacing w:before="120" w:after="156" w:afterLines="50"/>
        <w:ind w:firstLine="480" w:firstLineChars="200"/>
        <w:rPr>
          <w:rFonts w:ascii="宋体" w:hAnsi="宋体" w:cs="宋体"/>
          <w:sz w:val="24"/>
        </w:rPr>
      </w:pPr>
      <w:r>
        <w:rPr>
          <w:rFonts w:hint="eastAsia" w:ascii="宋体" w:hAnsi="宋体" w:cs="宋体"/>
          <w:sz w:val="24"/>
        </w:rPr>
        <w:t>本项目是否接受分包：否</w:t>
      </w:r>
    </w:p>
    <w:p>
      <w:pPr>
        <w:spacing w:before="120" w:after="156" w:afterLines="50"/>
        <w:ind w:firstLine="482" w:firstLineChars="200"/>
        <w:rPr>
          <w:rFonts w:ascii="宋体" w:hAnsi="宋体" w:cs="宋体"/>
          <w:sz w:val="24"/>
        </w:rPr>
      </w:pPr>
      <w:r>
        <w:rPr>
          <w:rFonts w:hint="eastAsia" w:ascii="宋体" w:hAnsi="宋体" w:cs="宋体"/>
          <w:b/>
          <w:bCs/>
          <w:color w:val="000000"/>
          <w:kern w:val="0"/>
          <w:sz w:val="24"/>
        </w:rPr>
        <w:t>投标人必须对招标内每包所有内容进行投标，不允许只投标每包其中的一部分，否则作为无效标处理</w:t>
      </w:r>
      <w:r>
        <w:rPr>
          <w:rFonts w:hint="eastAsia" w:ascii="宋体" w:hAnsi="宋体" w:cs="宋体"/>
          <w:b/>
          <w:bCs/>
          <w:sz w:val="24"/>
        </w:rPr>
        <w:t>。</w:t>
      </w:r>
    </w:p>
    <w:p>
      <w:pPr>
        <w:spacing w:line="360" w:lineRule="auto"/>
        <w:ind w:firstLine="480" w:firstLineChars="200"/>
        <w:rPr>
          <w:rFonts w:ascii="宋体" w:hAnsi="宋体" w:cs="宋体"/>
          <w:sz w:val="24"/>
        </w:rPr>
      </w:pPr>
      <w:r>
        <w:rPr>
          <w:rFonts w:hint="eastAsia" w:ascii="宋体" w:hAnsi="宋体" w:cs="黑体"/>
          <w:kern w:val="0"/>
          <w:sz w:val="24"/>
        </w:rPr>
        <w:t>国家信息技术安全研究中心量子保密通信安全服务应用网络及平台系统采购</w:t>
      </w:r>
      <w:r>
        <w:rPr>
          <w:rFonts w:hint="eastAsia" w:ascii="宋体" w:hAnsi="宋体" w:cs="宋体"/>
          <w:sz w:val="24"/>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交货时间：详见</w:t>
      </w:r>
      <w:r>
        <w:rPr>
          <w:rFonts w:hint="eastAsia" w:ascii="宋体" w:hAnsi="宋体" w:cs="宋体"/>
          <w:sz w:val="24"/>
          <w:lang w:val="en-US" w:eastAsia="zh-CN"/>
        </w:rPr>
        <w:t>附件</w:t>
      </w:r>
    </w:p>
    <w:p>
      <w:pPr>
        <w:spacing w:line="360" w:lineRule="auto"/>
        <w:ind w:firstLine="480" w:firstLineChars="200"/>
        <w:rPr>
          <w:rFonts w:ascii="宋体" w:hAnsi="宋体" w:cs="宋体"/>
          <w:sz w:val="24"/>
        </w:rPr>
      </w:pPr>
      <w:r>
        <w:rPr>
          <w:rFonts w:hint="eastAsia" w:ascii="宋体" w:hAnsi="宋体" w:cs="宋体"/>
          <w:sz w:val="24"/>
        </w:rPr>
        <w:t>交货地点</w:t>
      </w:r>
      <w:r>
        <w:rPr>
          <w:rFonts w:hint="eastAsia"/>
        </w:rPr>
        <w:t>：</w:t>
      </w:r>
      <w:r>
        <w:rPr>
          <w:rFonts w:hint="eastAsia" w:ascii="宋体" w:hAnsi="宋体" w:cs="宋体"/>
          <w:sz w:val="24"/>
        </w:rPr>
        <w:t>用户指定地点</w:t>
      </w:r>
    </w:p>
    <w:p>
      <w:pPr>
        <w:spacing w:line="360" w:lineRule="auto"/>
        <w:ind w:firstLine="480" w:firstLineChars="200"/>
        <w:rPr>
          <w:rFonts w:ascii="宋体" w:hAnsi="宋体" w:cs="宋体"/>
          <w:sz w:val="24"/>
        </w:rPr>
      </w:pPr>
      <w:r>
        <w:rPr>
          <w:rFonts w:hint="eastAsia" w:ascii="宋体" w:hAnsi="宋体" w:cs="宋体"/>
          <w:sz w:val="24"/>
        </w:rPr>
        <w:t>合同履行期限：详见</w:t>
      </w:r>
      <w:r>
        <w:rPr>
          <w:rFonts w:hint="eastAsia" w:ascii="宋体" w:hAnsi="宋体" w:cs="宋体"/>
          <w:sz w:val="24"/>
          <w:lang w:val="en-US" w:eastAsia="zh-CN"/>
        </w:rPr>
        <w:t>附件</w:t>
      </w:r>
      <w:bookmarkStart w:id="40" w:name="_GoBack"/>
      <w:bookmarkEnd w:id="40"/>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cs="宋体"/>
          <w:i/>
          <w:sz w:val="24"/>
        </w:rPr>
        <w:t>是/否</w:t>
      </w:r>
      <w:r>
        <w:rPr>
          <w:rFonts w:hint="eastAsia" w:ascii="宋体" w:hAnsi="宋体" w:cs="宋体"/>
          <w:sz w:val="24"/>
        </w:rPr>
        <w:t>）接受联合体投标：否</w:t>
      </w:r>
    </w:p>
    <w:p>
      <w:pPr>
        <w:pStyle w:val="3"/>
        <w:spacing w:line="360" w:lineRule="auto"/>
        <w:ind w:firstLine="480"/>
        <w:rPr>
          <w:rFonts w:ascii="宋体" w:hAnsi="宋体" w:cs="宋体"/>
          <w:b w:val="0"/>
          <w:sz w:val="24"/>
          <w:szCs w:val="24"/>
        </w:rPr>
      </w:pPr>
      <w:bookmarkStart w:id="8" w:name="_Toc28359080"/>
      <w:bookmarkStart w:id="9" w:name="_Toc35393791"/>
      <w:bookmarkStart w:id="10" w:name="_Toc28359003"/>
      <w:bookmarkStart w:id="11" w:name="_Toc35393622"/>
      <w:r>
        <w:rPr>
          <w:rFonts w:hint="eastAsia" w:ascii="宋体" w:hAnsi="宋体" w:cs="宋体"/>
          <w:b w:val="0"/>
          <w:sz w:val="24"/>
          <w:szCs w:val="24"/>
        </w:rPr>
        <w:t>二、申请人的资格要求：</w:t>
      </w:r>
      <w:bookmarkEnd w:id="8"/>
      <w:bookmarkEnd w:id="9"/>
      <w:bookmarkEnd w:id="10"/>
      <w:bookmarkEnd w:id="11"/>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2.落实政府采购政策需满足的资格要求：无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3.本项目的特定资格要求：无</w:t>
      </w:r>
    </w:p>
    <w:p>
      <w:pPr>
        <w:pStyle w:val="3"/>
        <w:spacing w:line="360" w:lineRule="auto"/>
        <w:ind w:firstLine="480"/>
        <w:rPr>
          <w:rFonts w:ascii="宋体" w:hAnsi="宋体" w:cs="宋体"/>
          <w:b w:val="0"/>
          <w:sz w:val="24"/>
          <w:szCs w:val="24"/>
        </w:rPr>
      </w:pPr>
      <w:bookmarkStart w:id="12" w:name="_Toc28359004"/>
      <w:bookmarkStart w:id="13" w:name="_Toc35393623"/>
      <w:bookmarkStart w:id="14" w:name="_Toc28359081"/>
      <w:bookmarkStart w:id="15" w:name="_Toc35393792"/>
      <w:r>
        <w:rPr>
          <w:rFonts w:hint="eastAsia" w:ascii="宋体" w:hAnsi="宋体" w:cs="宋体"/>
          <w:b w:val="0"/>
          <w:sz w:val="24"/>
          <w:szCs w:val="24"/>
        </w:rPr>
        <w:t>三、获取招标文件</w:t>
      </w:r>
      <w:bookmarkEnd w:id="12"/>
      <w:bookmarkEnd w:id="13"/>
      <w:bookmarkEnd w:id="14"/>
      <w:bookmarkEnd w:id="15"/>
    </w:p>
    <w:p>
      <w:pPr>
        <w:spacing w:line="360" w:lineRule="auto"/>
        <w:ind w:firstLine="540"/>
        <w:rPr>
          <w:rFonts w:ascii="宋体" w:hAnsi="宋体" w:cs="宋体"/>
          <w:sz w:val="24"/>
        </w:rPr>
      </w:pPr>
      <w:r>
        <w:rPr>
          <w:rFonts w:hint="eastAsia" w:ascii="宋体" w:hAnsi="宋体" w:cs="宋体"/>
          <w:sz w:val="24"/>
        </w:rPr>
        <w:t>时间</w:t>
      </w:r>
      <w:r>
        <w:rPr>
          <w:rFonts w:hint="eastAsia" w:ascii="宋体" w:hAnsi="宋体" w:cs="宋体"/>
          <w:sz w:val="24"/>
          <w:highlight w:val="none"/>
        </w:rPr>
        <w:t xml:space="preserve">：2022年 </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 xml:space="preserve">日至2022年 </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rPr>
        <w:t>，每天上午9:00至12:00，下午13:00至17:00（北京时间，法定节假日除外 ）</w:t>
      </w:r>
    </w:p>
    <w:p>
      <w:pPr>
        <w:spacing w:line="360" w:lineRule="auto"/>
        <w:ind w:firstLine="540"/>
        <w:rPr>
          <w:rFonts w:ascii="宋体" w:hAnsi="宋体" w:cs="宋体"/>
          <w:sz w:val="24"/>
          <w:u w:val="single"/>
        </w:rPr>
      </w:pPr>
      <w:r>
        <w:rPr>
          <w:rFonts w:hint="eastAsia" w:ascii="宋体" w:hAnsi="宋体" w:cs="宋体"/>
          <w:sz w:val="24"/>
        </w:rPr>
        <w:t>地点：北京市海淀区四季青常青路和泓四季六号楼国信招标</w:t>
      </w:r>
    </w:p>
    <w:p>
      <w:pPr>
        <w:spacing w:line="360" w:lineRule="auto"/>
        <w:ind w:firstLine="540"/>
        <w:rPr>
          <w:rFonts w:ascii="宋体" w:hAnsi="宋体" w:cs="宋体"/>
          <w:sz w:val="24"/>
        </w:rPr>
      </w:pPr>
      <w:r>
        <w:rPr>
          <w:rFonts w:hint="eastAsia" w:ascii="宋体" w:hAnsi="宋体" w:cs="宋体"/>
          <w:sz w:val="24"/>
        </w:rPr>
        <w:t>方式：</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方式：1、请在“国信招标集团单位入库在线申请系统”（http://user.gxzb.com.cn/ztb/unit/login/register.jsp）注册并填报相关信息（上述网址仅限电脑端浏览器使用，手机等移动端无法使用）。</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2、在上述“国信招标集团单位入库在线申请系统”注册成功后，</w:t>
      </w:r>
      <w:r>
        <w:rPr>
          <w:rFonts w:hint="eastAsia" w:ascii="宋体" w:hAnsi="宋体" w:cs="宋体"/>
          <w:b/>
          <w:bCs/>
          <w:kern w:val="2"/>
          <w:highlight w:val="none"/>
        </w:rPr>
        <w:t xml:space="preserve">于2022年 </w:t>
      </w:r>
      <w:r>
        <w:rPr>
          <w:rFonts w:hint="eastAsia" w:ascii="宋体" w:hAnsi="宋体" w:cs="宋体"/>
          <w:b/>
          <w:bCs/>
          <w:kern w:val="2"/>
          <w:highlight w:val="none"/>
          <w:lang w:val="en-US" w:eastAsia="zh-CN"/>
        </w:rPr>
        <w:t>7</w:t>
      </w:r>
      <w:r>
        <w:rPr>
          <w:rFonts w:hint="eastAsia" w:ascii="宋体" w:hAnsi="宋体" w:cs="宋体"/>
          <w:b/>
          <w:bCs/>
          <w:kern w:val="2"/>
          <w:highlight w:val="none"/>
        </w:rPr>
        <w:t xml:space="preserve"> 月</w:t>
      </w:r>
      <w:r>
        <w:rPr>
          <w:rFonts w:hint="eastAsia" w:ascii="宋体" w:hAnsi="宋体" w:cs="宋体"/>
          <w:b/>
          <w:bCs/>
          <w:kern w:val="2"/>
          <w:highlight w:val="none"/>
          <w:lang w:val="en-US" w:eastAsia="zh-CN"/>
        </w:rPr>
        <w:t>6</w:t>
      </w:r>
      <w:r>
        <w:rPr>
          <w:rFonts w:hint="eastAsia" w:ascii="宋体" w:hAnsi="宋体" w:cs="宋体"/>
          <w:b/>
          <w:bCs/>
          <w:kern w:val="2"/>
          <w:highlight w:val="none"/>
        </w:rPr>
        <w:t>日至2022年</w:t>
      </w:r>
      <w:r>
        <w:rPr>
          <w:rFonts w:hint="eastAsia" w:ascii="宋体" w:hAnsi="宋体" w:cs="宋体"/>
          <w:b/>
          <w:bCs/>
          <w:kern w:val="2"/>
          <w:highlight w:val="none"/>
          <w:lang w:val="en-US" w:eastAsia="zh-CN"/>
        </w:rPr>
        <w:t>7</w:t>
      </w:r>
      <w:r>
        <w:rPr>
          <w:rFonts w:hint="eastAsia" w:ascii="宋体" w:hAnsi="宋体" w:cs="宋体"/>
          <w:b/>
          <w:bCs/>
          <w:kern w:val="2"/>
          <w:highlight w:val="none"/>
        </w:rPr>
        <w:t>月</w:t>
      </w:r>
      <w:r>
        <w:rPr>
          <w:rFonts w:hint="eastAsia" w:ascii="宋体" w:hAnsi="宋体" w:cs="宋体"/>
          <w:b/>
          <w:bCs/>
          <w:kern w:val="2"/>
          <w:highlight w:val="none"/>
          <w:lang w:val="en-US" w:eastAsia="zh-CN"/>
        </w:rPr>
        <w:t>13</w:t>
      </w:r>
      <w:r>
        <w:rPr>
          <w:rFonts w:hint="eastAsia" w:ascii="宋体" w:hAnsi="宋体" w:cs="宋体"/>
          <w:b/>
          <w:bCs/>
          <w:kern w:val="2"/>
          <w:highlight w:val="none"/>
        </w:rPr>
        <w:t>日（每日9:00-12:00，13:00-17:00，周六、周</w:t>
      </w:r>
      <w:r>
        <w:rPr>
          <w:rFonts w:hint="eastAsia" w:ascii="宋体" w:hAnsi="宋体" w:cs="宋体"/>
          <w:b/>
          <w:bCs/>
          <w:kern w:val="2"/>
        </w:rPr>
        <w:t>日及法定节假日除外），将材料发送至guoxindyn@163.com，材料如下：</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（1） 法人代表证明书及法人代表授权及被授权人的有效身份证明（加盖公章）扫描件</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（2）报名信息编辑文字，包括：项目编号、项目名称、</w:t>
      </w:r>
      <w:r>
        <w:rPr>
          <w:rFonts w:hint="eastAsia" w:ascii="宋体" w:hAnsi="宋体" w:cs="宋体"/>
          <w:b/>
          <w:bCs/>
          <w:kern w:val="2"/>
          <w:lang w:val="en-US" w:eastAsia="zh-CN"/>
        </w:rPr>
        <w:t>包号、</w:t>
      </w:r>
      <w:r>
        <w:rPr>
          <w:rFonts w:hint="eastAsia" w:ascii="宋体" w:hAnsi="宋体" w:cs="宋体"/>
          <w:b/>
          <w:bCs/>
          <w:kern w:val="2"/>
        </w:rPr>
        <w:t>投标单位名称、投标单位地址、联系人、联系人手机号、邮箱。</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（3）标书款付款截图。</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（4）邮箱主题为：项目名称-投标单位名称。</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标书款账户：</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 xml:space="preserve"> 开户名称：国信国采（北京）招标咨询有限责任公司</w:t>
      </w:r>
    </w:p>
    <w:p>
      <w:pPr>
        <w:pStyle w:val="7"/>
        <w:widowControl/>
        <w:spacing w:beforeAutospacing="0" w:afterAutospacing="0" w:line="276" w:lineRule="auto"/>
        <w:ind w:firstLine="539"/>
        <w:rPr>
          <w:rFonts w:ascii="宋体" w:hAnsi="宋体" w:cs="宋体"/>
          <w:b/>
          <w:bCs/>
          <w:kern w:val="2"/>
        </w:rPr>
      </w:pPr>
      <w:r>
        <w:rPr>
          <w:rFonts w:hint="eastAsia" w:ascii="宋体" w:hAnsi="宋体" w:cs="宋体"/>
          <w:b/>
          <w:bCs/>
          <w:kern w:val="2"/>
        </w:rPr>
        <w:t xml:space="preserve"> 开户银行：平安银行北京神华支行</w:t>
      </w:r>
    </w:p>
    <w:p>
      <w:pPr>
        <w:pStyle w:val="7"/>
        <w:widowControl/>
        <w:spacing w:beforeAutospacing="0" w:afterAutospacing="0" w:line="276" w:lineRule="auto"/>
        <w:ind w:firstLine="723" w:firstLineChars="300"/>
        <w:rPr>
          <w:rFonts w:ascii="宋体" w:hAnsi="宋体" w:cs="宋体"/>
          <w:b/>
          <w:bCs/>
          <w:kern w:val="2"/>
          <w:highlight w:val="none"/>
        </w:rPr>
      </w:pPr>
      <w:r>
        <w:rPr>
          <w:rFonts w:hint="eastAsia" w:ascii="宋体" w:hAnsi="宋体" w:cs="宋体"/>
          <w:b/>
          <w:bCs/>
          <w:kern w:val="2"/>
          <w:highlight w:val="none"/>
        </w:rPr>
        <w:t>银行账号：30206095000330</w:t>
      </w:r>
    </w:p>
    <w:p>
      <w:pPr>
        <w:pStyle w:val="7"/>
        <w:widowControl/>
        <w:spacing w:beforeAutospacing="0" w:afterAutospacing="0" w:line="383" w:lineRule="atLeast"/>
        <w:ind w:firstLine="540"/>
        <w:jc w:val="both"/>
        <w:rPr>
          <w:rFonts w:ascii="宋体" w:hAnsi="宋体" w:cs="宋体"/>
          <w:b/>
          <w:bCs/>
          <w:kern w:val="2"/>
        </w:rPr>
      </w:pPr>
      <w:r>
        <w:rPr>
          <w:rFonts w:hint="eastAsia" w:ascii="宋体" w:hAnsi="宋体" w:cs="宋体"/>
          <w:b/>
          <w:bCs/>
          <w:kern w:val="2"/>
        </w:rPr>
        <w:t>3、特别提醒：投标单位在“国信招标集团单位入库在线申请系统”第一次注册时填报的人员，默认为该单位的主账号管理员。此次来报名的人员如发现本单位已注册，则不需要再注册。</w:t>
      </w:r>
    </w:p>
    <w:p>
      <w:pPr>
        <w:pStyle w:val="5"/>
        <w:ind w:left="902" w:hanging="482"/>
      </w:pPr>
      <w:r>
        <w:rPr>
          <w:rFonts w:hint="eastAsia" w:ascii="宋体" w:hAnsi="宋体" w:cs="宋体"/>
          <w:b/>
          <w:bCs/>
          <w:sz w:val="24"/>
        </w:rPr>
        <w:t>售价：人民币 500元/</w:t>
      </w:r>
      <w:r>
        <w:rPr>
          <w:rFonts w:hint="eastAsia" w:ascii="宋体" w:hAnsi="宋体" w:cs="宋体"/>
          <w:b/>
          <w:bCs/>
          <w:sz w:val="24"/>
          <w:lang w:val="en-US" w:eastAsia="zh-CN"/>
        </w:rPr>
        <w:t>包</w:t>
      </w:r>
      <w:r>
        <w:rPr>
          <w:rFonts w:hint="eastAsia" w:ascii="宋体" w:hAnsi="宋体" w:cs="宋体"/>
          <w:b/>
          <w:bCs/>
          <w:sz w:val="24"/>
        </w:rPr>
        <w:t>，售后不退。只有购买了招标文件并登记备案的投标人才有资格参与投标。售卖标书联系人：丁女士 010-87235330。</w:t>
      </w:r>
    </w:p>
    <w:p>
      <w:pPr>
        <w:pStyle w:val="3"/>
        <w:spacing w:line="360" w:lineRule="auto"/>
        <w:ind w:firstLine="480"/>
        <w:rPr>
          <w:rFonts w:ascii="宋体" w:hAnsi="宋体" w:cs="宋体"/>
          <w:b w:val="0"/>
          <w:sz w:val="24"/>
          <w:szCs w:val="24"/>
        </w:rPr>
      </w:pPr>
      <w:bookmarkStart w:id="16" w:name="_Toc28359082"/>
      <w:bookmarkStart w:id="17" w:name="_Toc28359005"/>
      <w:bookmarkStart w:id="18" w:name="_Toc35393793"/>
      <w:bookmarkStart w:id="19" w:name="_Toc35393624"/>
      <w:r>
        <w:rPr>
          <w:rFonts w:hint="eastAsia" w:ascii="宋体" w:hAnsi="宋体" w:cs="宋体"/>
          <w:b w:val="0"/>
          <w:sz w:val="24"/>
          <w:szCs w:val="24"/>
        </w:rPr>
        <w:t>四、提交投标文件</w:t>
      </w:r>
      <w:bookmarkEnd w:id="16"/>
      <w:bookmarkEnd w:id="17"/>
      <w:r>
        <w:rPr>
          <w:rFonts w:hint="eastAsia" w:ascii="宋体" w:hAnsi="宋体" w:cs="宋体"/>
          <w:b w:val="0"/>
          <w:sz w:val="24"/>
          <w:szCs w:val="24"/>
        </w:rPr>
        <w:t>截止时间、开标时间和地点</w:t>
      </w:r>
      <w:bookmarkEnd w:id="18"/>
      <w:bookmarkEnd w:id="19"/>
    </w:p>
    <w:p>
      <w:pPr>
        <w:spacing w:line="360" w:lineRule="auto"/>
        <w:ind w:firstLine="480" w:firstLineChars="200"/>
        <w:rPr>
          <w:rFonts w:ascii="宋体" w:hAnsi="宋体" w:cs="宋体"/>
          <w:bCs/>
          <w:sz w:val="24"/>
          <w:highlight w:val="yellow"/>
        </w:rPr>
      </w:pPr>
      <w:r>
        <w:rPr>
          <w:rFonts w:hint="eastAsia" w:ascii="宋体" w:hAnsi="宋体" w:cs="宋体"/>
          <w:sz w:val="24"/>
        </w:rPr>
        <w:t>截止时间（开标时间）：</w:t>
      </w:r>
      <w:r>
        <w:rPr>
          <w:rFonts w:hint="eastAsia" w:ascii="宋体" w:hAnsi="宋体" w:cs="宋体"/>
          <w:sz w:val="24"/>
          <w:highlight w:val="none"/>
        </w:rPr>
        <w:t xml:space="preserve">2022年 </w:t>
      </w:r>
      <w:r>
        <w:rPr>
          <w:rFonts w:hint="eastAsia" w:ascii="宋体" w:hAnsi="宋体" w:cs="宋体"/>
          <w:sz w:val="24"/>
          <w:highlight w:val="none"/>
          <w:lang w:val="en-US" w:eastAsia="zh-CN"/>
        </w:rPr>
        <w:t>7</w:t>
      </w:r>
      <w:r>
        <w:rPr>
          <w:rFonts w:hint="eastAsia" w:ascii="宋体" w:hAnsi="宋体" w:cs="宋体"/>
          <w:sz w:val="24"/>
          <w:highlight w:val="none"/>
        </w:rPr>
        <w:t xml:space="preserve"> 月</w:t>
      </w:r>
      <w:r>
        <w:rPr>
          <w:rFonts w:hint="eastAsia" w:ascii="宋体" w:hAnsi="宋体" w:cs="宋体"/>
          <w:sz w:val="24"/>
          <w:highlight w:val="none"/>
          <w:lang w:val="en-US" w:eastAsia="zh-CN"/>
        </w:rPr>
        <w:t>27</w:t>
      </w:r>
      <w:r>
        <w:rPr>
          <w:rFonts w:hint="eastAsia" w:ascii="宋体" w:hAnsi="宋体" w:cs="宋体"/>
          <w:sz w:val="24"/>
          <w:highlight w:val="none"/>
        </w:rPr>
        <w:t xml:space="preserve"> 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cs="宋体"/>
          <w:bCs/>
          <w:sz w:val="24"/>
        </w:rPr>
        <w:t>（北京时间）</w:t>
      </w:r>
    </w:p>
    <w:p>
      <w:pPr>
        <w:spacing w:line="360" w:lineRule="auto"/>
        <w:ind w:firstLine="480" w:firstLineChars="200"/>
        <w:rPr>
          <w:rFonts w:ascii="宋体" w:hAnsi="宋体" w:cs="宋体"/>
          <w:bCs/>
          <w:sz w:val="24"/>
          <w:highlight w:val="none"/>
          <w:u w:val="single"/>
        </w:rPr>
      </w:pPr>
      <w:r>
        <w:rPr>
          <w:rFonts w:hint="eastAsia" w:ascii="宋体" w:hAnsi="宋体" w:cs="宋体"/>
          <w:sz w:val="24"/>
        </w:rPr>
        <w:t>地点：北京市海淀区四季青常青路和泓四季六号楼国信</w:t>
      </w:r>
      <w:r>
        <w:rPr>
          <w:rFonts w:hint="eastAsia" w:ascii="宋体" w:hAnsi="宋体" w:cs="宋体"/>
          <w:sz w:val="24"/>
          <w:highlight w:val="none"/>
        </w:rPr>
        <w:t>招标</w:t>
      </w:r>
      <w:r>
        <w:rPr>
          <w:rFonts w:hint="eastAsia" w:ascii="宋体" w:hAnsi="宋体" w:cs="宋体"/>
          <w:sz w:val="24"/>
          <w:highlight w:val="none"/>
          <w:lang w:val="en-US" w:eastAsia="zh-CN"/>
        </w:rPr>
        <w:t>地下一层小</w:t>
      </w:r>
      <w:r>
        <w:rPr>
          <w:rFonts w:hint="eastAsia" w:ascii="宋体" w:hAnsi="宋体" w:cs="宋体"/>
          <w:sz w:val="24"/>
          <w:highlight w:val="none"/>
        </w:rPr>
        <w:t>会议室</w:t>
      </w:r>
    </w:p>
    <w:p>
      <w:pPr>
        <w:pStyle w:val="3"/>
        <w:spacing w:line="360" w:lineRule="auto"/>
        <w:ind w:firstLine="480"/>
        <w:rPr>
          <w:rFonts w:ascii="宋体" w:hAnsi="宋体" w:cs="宋体"/>
          <w:b w:val="0"/>
          <w:sz w:val="24"/>
          <w:szCs w:val="24"/>
        </w:rPr>
      </w:pPr>
      <w:r>
        <w:rPr>
          <w:rFonts w:hint="eastAsia" w:ascii="宋体" w:hAnsi="宋体" w:cs="宋体"/>
          <w:b w:val="0"/>
          <w:sz w:val="24"/>
          <w:szCs w:val="24"/>
        </w:rPr>
        <w:t>五、公告发布媒介及公告期限</w:t>
      </w:r>
    </w:p>
    <w:p>
      <w:pPr>
        <w:ind w:firstLine="480" w:firstLineChars="200"/>
      </w:pPr>
      <w:r>
        <w:rPr>
          <w:rFonts w:hint="eastAsia"/>
          <w:sz w:val="24"/>
        </w:rPr>
        <w:t>本次招标公告在中国政府采购网（www.ccgp.gov.cn）上发布。</w:t>
      </w:r>
    </w:p>
    <w:p>
      <w:pPr>
        <w:spacing w:line="360" w:lineRule="auto"/>
        <w:ind w:firstLine="480" w:firstLineChars="200"/>
        <w:rPr>
          <w:rFonts w:ascii="宋体" w:hAnsi="宋体" w:cs="宋体"/>
          <w:kern w:val="0"/>
          <w:sz w:val="24"/>
        </w:rPr>
      </w:pPr>
      <w:r>
        <w:rPr>
          <w:rFonts w:hint="eastAsia" w:ascii="宋体" w:hAnsi="宋体" w:cs="宋体"/>
          <w:kern w:val="0"/>
          <w:sz w:val="24"/>
        </w:rPr>
        <w:t>自本公告发布日起5个工作日。</w:t>
      </w:r>
    </w:p>
    <w:p>
      <w:pPr>
        <w:pStyle w:val="3"/>
        <w:numPr>
          <w:ilvl w:val="0"/>
          <w:numId w:val="1"/>
        </w:numPr>
        <w:spacing w:line="360" w:lineRule="auto"/>
        <w:ind w:firstLine="480"/>
        <w:rPr>
          <w:rFonts w:ascii="宋体" w:hAnsi="宋体" w:cs="宋体"/>
          <w:color w:val="000000"/>
          <w:sz w:val="24"/>
          <w:szCs w:val="24"/>
        </w:rPr>
      </w:pPr>
      <w:bookmarkStart w:id="20" w:name="_Toc35393795"/>
      <w:bookmarkStart w:id="21" w:name="_Toc35393626"/>
      <w:r>
        <w:rPr>
          <w:rFonts w:hint="eastAsia" w:ascii="宋体" w:hAnsi="宋体" w:cs="宋体"/>
          <w:b w:val="0"/>
          <w:sz w:val="24"/>
          <w:szCs w:val="24"/>
        </w:rPr>
        <w:t>其他补充事宜</w:t>
      </w:r>
      <w:bookmarkEnd w:id="20"/>
      <w:bookmarkEnd w:id="21"/>
      <w:r>
        <w:rPr>
          <w:rFonts w:hint="eastAsia" w:ascii="宋体" w:hAnsi="宋体" w:cs="宋体"/>
          <w:color w:val="000000"/>
          <w:sz w:val="24"/>
          <w:szCs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1.采购项目执行政府采购政策</w:t>
      </w:r>
    </w:p>
    <w:p>
      <w:pPr>
        <w:spacing w:line="360" w:lineRule="auto"/>
        <w:ind w:firstLine="480" w:firstLineChars="200"/>
        <w:rPr>
          <w:rFonts w:ascii="宋体" w:hAnsi="宋体" w:cs="宋体"/>
          <w:sz w:val="24"/>
        </w:rPr>
      </w:pPr>
      <w:r>
        <w:rPr>
          <w:rFonts w:hint="eastAsia" w:ascii="宋体" w:hAnsi="宋体" w:cs="宋体"/>
          <w:sz w:val="24"/>
        </w:rPr>
        <w:t>（1）对小微企业的产品给予价格扣除（监狱企业、残疾人福利性单位视同小微企业；残疾人福利性单位属于小型、微型企业的，不重复享受政策）。</w:t>
      </w:r>
    </w:p>
    <w:p>
      <w:pPr>
        <w:spacing w:line="360" w:lineRule="auto"/>
        <w:ind w:firstLine="480" w:firstLineChars="200"/>
        <w:rPr>
          <w:rFonts w:ascii="宋体" w:hAnsi="宋体" w:cs="宋体"/>
          <w:sz w:val="24"/>
        </w:rPr>
      </w:pPr>
      <w:r>
        <w:rPr>
          <w:rFonts w:hint="eastAsia" w:ascii="宋体" w:hAnsi="宋体" w:cs="宋体"/>
          <w:sz w:val="24"/>
        </w:rPr>
        <w:t>（2）优先采购节能环保产品（注：所采购的货物在政府采购节能产品、环境标志产品实施品目清单范围内，且具有国家确定的认证机构出具的、处于有效期之内的节能产品、环境标志产品认证证书）。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480" w:firstLineChars="200"/>
        <w:rPr>
          <w:rFonts w:ascii="宋体" w:hAnsi="宋体" w:cs="宋体"/>
          <w:sz w:val="24"/>
        </w:rPr>
      </w:pPr>
      <w:r>
        <w:rPr>
          <w:rFonts w:hint="eastAsia" w:ascii="宋体" w:hAnsi="宋体" w:cs="宋体"/>
          <w:sz w:val="24"/>
        </w:rPr>
        <w:t>2.本项目投标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3.单位负责人为同一人或者存在控股、管理关系的不同单位，不得同时参加本项目的投标。为本项目提供整体设计、规范编制或者项目管理、监理、检测等服务的投标人，不得再参加本项目投标。</w:t>
      </w:r>
    </w:p>
    <w:p>
      <w:pPr>
        <w:pStyle w:val="3"/>
        <w:ind w:firstLine="482"/>
        <w:rPr>
          <w:rFonts w:ascii="宋体" w:hAnsi="宋体" w:cs="宋体"/>
          <w:color w:val="000000"/>
          <w:sz w:val="24"/>
          <w:szCs w:val="24"/>
        </w:rPr>
      </w:pPr>
      <w:r>
        <w:rPr>
          <w:rFonts w:hint="eastAsia" w:ascii="宋体" w:hAnsi="宋体" w:cs="宋体"/>
          <w:sz w:val="24"/>
          <w:szCs w:val="24"/>
        </w:rPr>
        <w:t xml:space="preserve">   </w:t>
      </w:r>
      <w:r>
        <w:rPr>
          <w:rFonts w:hint="eastAsia" w:ascii="宋体" w:hAnsi="宋体" w:cs="宋体"/>
          <w:b w:val="0"/>
          <w:bCs w:val="0"/>
          <w:sz w:val="24"/>
          <w:szCs w:val="24"/>
        </w:rPr>
        <w:t xml:space="preserve">  4.银行账户信息</w:t>
      </w:r>
      <w:r>
        <w:rPr>
          <w:rFonts w:hint="eastAsia" w:ascii="宋体" w:hAnsi="宋体" w:cs="宋体"/>
          <w:color w:val="000000"/>
          <w:sz w:val="24"/>
          <w:szCs w:val="24"/>
        </w:rPr>
        <w:t xml:space="preserve">  </w:t>
      </w:r>
    </w:p>
    <w:p>
      <w:pPr>
        <w:snapToGrid w:val="0"/>
        <w:spacing w:after="156" w:afterLines="50" w:line="360" w:lineRule="auto"/>
        <w:ind w:left="420" w:leftChars="200"/>
        <w:rPr>
          <w:rFonts w:ascii="宋体" w:hAnsi="宋体" w:cs="宋体"/>
          <w:b/>
          <w:bCs/>
          <w:color w:val="000000"/>
          <w:sz w:val="24"/>
        </w:rPr>
      </w:pPr>
      <w:r>
        <w:rPr>
          <w:rFonts w:hint="eastAsia" w:ascii="宋体" w:hAnsi="宋体" w:cs="宋体"/>
          <w:b/>
          <w:bCs/>
          <w:color w:val="000000"/>
          <w:sz w:val="24"/>
        </w:rPr>
        <w:t>保证金、标书款、服务费户：</w:t>
      </w:r>
    </w:p>
    <w:p>
      <w:pPr>
        <w:snapToGrid w:val="0"/>
        <w:spacing w:after="156" w:afterLines="50" w:line="360" w:lineRule="auto"/>
        <w:ind w:left="420" w:leftChars="200"/>
        <w:rPr>
          <w:rFonts w:ascii="宋体" w:hAnsi="宋体" w:cs="宋体"/>
          <w:color w:val="000000"/>
          <w:sz w:val="24"/>
        </w:rPr>
      </w:pPr>
      <w:r>
        <w:rPr>
          <w:rFonts w:hint="eastAsia" w:ascii="宋体" w:hAnsi="宋体" w:cs="宋体"/>
          <w:color w:val="000000"/>
          <w:sz w:val="24"/>
        </w:rPr>
        <w:t xml:space="preserve">    开户名称：国信国采（北京）招标咨询有限责任公司</w:t>
      </w:r>
    </w:p>
    <w:p>
      <w:pPr>
        <w:snapToGrid w:val="0"/>
        <w:spacing w:after="156" w:afterLines="50" w:line="360" w:lineRule="auto"/>
        <w:ind w:left="420" w:leftChars="200"/>
        <w:rPr>
          <w:rFonts w:ascii="宋体" w:hAnsi="宋体" w:cs="宋体"/>
          <w:color w:val="000000"/>
          <w:sz w:val="24"/>
        </w:rPr>
      </w:pPr>
      <w:r>
        <w:rPr>
          <w:rFonts w:hint="eastAsia" w:ascii="宋体" w:hAnsi="宋体" w:cs="宋体"/>
          <w:color w:val="000000"/>
          <w:sz w:val="24"/>
        </w:rPr>
        <w:t xml:space="preserve">    开户银行：</w:t>
      </w:r>
      <w:r>
        <w:rPr>
          <w:rFonts w:hint="eastAsia" w:ascii="宋体" w:hAnsi="宋体" w:cs="宋体"/>
          <w:color w:val="000000"/>
          <w:sz w:val="24"/>
          <w:lang w:val="zh-CN"/>
        </w:rPr>
        <w:t>平安银行北京神华支行</w:t>
      </w:r>
    </w:p>
    <w:p>
      <w:pPr>
        <w:snapToGrid w:val="0"/>
        <w:spacing w:after="156" w:afterLines="50" w:line="360" w:lineRule="auto"/>
        <w:ind w:left="420" w:leftChars="200"/>
        <w:rPr>
          <w:rFonts w:ascii="宋体" w:hAnsi="宋体" w:cs="宋体"/>
          <w:color w:val="000000"/>
          <w:sz w:val="24"/>
          <w:highlight w:val="none"/>
        </w:rPr>
      </w:pPr>
      <w:r>
        <w:rPr>
          <w:rFonts w:hint="eastAsia" w:ascii="宋体" w:hAnsi="宋体" w:cs="宋体"/>
          <w:color w:val="000000"/>
          <w:sz w:val="24"/>
        </w:rPr>
        <w:t xml:space="preserve">    </w:t>
      </w:r>
      <w:r>
        <w:rPr>
          <w:rFonts w:hint="eastAsia" w:ascii="宋体" w:hAnsi="宋体" w:cs="宋体"/>
          <w:color w:val="000000"/>
          <w:sz w:val="24"/>
          <w:highlight w:val="none"/>
        </w:rPr>
        <w:t>银行账号： 30206095000330</w:t>
      </w:r>
    </w:p>
    <w:p>
      <w:pPr>
        <w:spacing w:line="360" w:lineRule="auto"/>
        <w:rPr>
          <w:rFonts w:ascii="宋体" w:hAnsi="宋体" w:cs="宋体"/>
          <w:sz w:val="24"/>
        </w:rPr>
      </w:pPr>
      <w:r>
        <w:rPr>
          <w:rFonts w:hint="eastAsia" w:ascii="宋体" w:hAnsi="宋体" w:cs="宋体"/>
          <w:b/>
          <w:bCs/>
          <w:color w:val="000000"/>
          <w:sz w:val="24"/>
        </w:rPr>
        <w:t>请投标人在汇款时务必注明所投标项目的招标编号及款项用途，否则，因款项用途不明导致投标无效等后果由投标人自行承担。</w:t>
      </w:r>
    </w:p>
    <w:p>
      <w:pPr>
        <w:pStyle w:val="10"/>
        <w:spacing w:line="360" w:lineRule="auto"/>
        <w:ind w:left="495" w:firstLine="0" w:firstLineChars="0"/>
        <w:rPr>
          <w:rFonts w:ascii="宋体" w:hAnsi="宋体" w:cs="宋体"/>
          <w:sz w:val="24"/>
        </w:rPr>
      </w:pPr>
    </w:p>
    <w:p>
      <w:pPr>
        <w:pStyle w:val="3"/>
        <w:spacing w:line="360" w:lineRule="auto"/>
        <w:ind w:firstLine="480"/>
        <w:rPr>
          <w:rFonts w:ascii="宋体" w:hAnsi="宋体" w:cs="宋体"/>
          <w:b w:val="0"/>
          <w:sz w:val="24"/>
          <w:szCs w:val="24"/>
        </w:rPr>
      </w:pPr>
      <w:bookmarkStart w:id="22" w:name="_Toc35393627"/>
      <w:bookmarkStart w:id="23" w:name="_Toc35393796"/>
      <w:bookmarkStart w:id="24" w:name="_Toc28359085"/>
      <w:bookmarkStart w:id="25" w:name="_Toc28359008"/>
      <w:r>
        <w:rPr>
          <w:rFonts w:hint="eastAsia" w:ascii="宋体" w:hAnsi="宋体" w:cs="宋体"/>
          <w:b w:val="0"/>
          <w:sz w:val="24"/>
          <w:szCs w:val="24"/>
        </w:rPr>
        <w:t>八、对本次招标提出询问，请按以下方式联系。</w:t>
      </w:r>
      <w:bookmarkEnd w:id="22"/>
      <w:bookmarkEnd w:id="23"/>
      <w:bookmarkEnd w:id="24"/>
      <w:bookmarkEnd w:id="25"/>
    </w:p>
    <w:p>
      <w:pPr>
        <w:widowControl/>
        <w:spacing w:line="360" w:lineRule="auto"/>
        <w:jc w:val="left"/>
        <w:rPr>
          <w:rFonts w:ascii="宋体" w:hAnsi="宋体" w:cs="宋体"/>
          <w:sz w:val="24"/>
        </w:rPr>
      </w:pPr>
      <w:r>
        <w:rPr>
          <w:rFonts w:hint="eastAsia" w:ascii="宋体" w:hAnsi="宋体" w:cs="宋体"/>
          <w:sz w:val="24"/>
        </w:rPr>
        <w:t>　　　1.采购人信息</w:t>
      </w:r>
    </w:p>
    <w:p>
      <w:pPr>
        <w:spacing w:line="360" w:lineRule="auto"/>
        <w:ind w:left="1079" w:leftChars="371" w:hanging="300" w:hangingChars="125"/>
        <w:jc w:val="left"/>
        <w:rPr>
          <w:rFonts w:ascii="宋体" w:hAnsi="宋体" w:cs="宋体"/>
          <w:sz w:val="24"/>
        </w:rPr>
      </w:pPr>
      <w:r>
        <w:rPr>
          <w:rFonts w:hint="eastAsia" w:ascii="宋体" w:hAnsi="宋体" w:cs="宋体"/>
          <w:sz w:val="24"/>
        </w:rPr>
        <w:t>名 称：国家信息技术安全研究中心</w:t>
      </w:r>
    </w:p>
    <w:p>
      <w:pPr>
        <w:spacing w:line="360" w:lineRule="auto"/>
        <w:ind w:left="1079" w:leftChars="371" w:hanging="300" w:hangingChars="125"/>
        <w:jc w:val="left"/>
        <w:rPr>
          <w:rFonts w:ascii="宋体" w:hAnsi="宋体" w:cs="宋体"/>
          <w:sz w:val="24"/>
        </w:rPr>
      </w:pPr>
      <w:r>
        <w:rPr>
          <w:rFonts w:hint="eastAsia" w:ascii="宋体" w:hAnsi="宋体" w:cs="宋体"/>
          <w:sz w:val="24"/>
        </w:rPr>
        <w:t>地址：北京市海淀区</w:t>
      </w:r>
    </w:p>
    <w:p>
      <w:pPr>
        <w:spacing w:line="360" w:lineRule="auto"/>
        <w:ind w:left="1079" w:leftChars="371" w:hanging="300" w:hangingChars="125"/>
        <w:jc w:val="left"/>
        <w:rPr>
          <w:rFonts w:ascii="宋体" w:hAnsi="宋体" w:cs="宋体"/>
          <w:sz w:val="24"/>
        </w:rPr>
      </w:pPr>
      <w:r>
        <w:rPr>
          <w:rFonts w:hint="eastAsia" w:ascii="宋体" w:hAnsi="宋体" w:cs="宋体"/>
          <w:sz w:val="24"/>
        </w:rPr>
        <w:t>联系方式：</w:t>
      </w:r>
      <w:bookmarkStart w:id="26" w:name="_Toc28359086"/>
      <w:bookmarkStart w:id="27" w:name="_Toc28359009"/>
      <w:r>
        <w:rPr>
          <w:rFonts w:hint="eastAsia" w:ascii="宋体" w:hAnsi="宋体" w:cs="宋体"/>
          <w:sz w:val="24"/>
        </w:rPr>
        <w:t>赵先生，18911228996</w:t>
      </w:r>
    </w:p>
    <w:p>
      <w:pPr>
        <w:spacing w:line="360" w:lineRule="auto"/>
        <w:ind w:left="1079" w:leftChars="371" w:hanging="300" w:hangingChars="125"/>
        <w:jc w:val="left"/>
        <w:rPr>
          <w:rFonts w:ascii="宋体" w:hAnsi="宋体" w:cs="宋体"/>
          <w:sz w:val="24"/>
        </w:rPr>
      </w:pPr>
      <w:r>
        <w:rPr>
          <w:rFonts w:hint="eastAsia" w:ascii="宋体" w:hAnsi="宋体" w:cs="宋体"/>
          <w:sz w:val="24"/>
        </w:rPr>
        <w:t>2.采购代理机构信息</w:t>
      </w:r>
      <w:bookmarkEnd w:id="26"/>
      <w:bookmarkEnd w:id="27"/>
    </w:p>
    <w:p>
      <w:pPr>
        <w:spacing w:line="360" w:lineRule="auto"/>
        <w:ind w:firstLine="720" w:firstLineChars="300"/>
        <w:rPr>
          <w:rFonts w:ascii="宋体" w:hAnsi="宋体" w:cs="宋体"/>
          <w:sz w:val="24"/>
        </w:rPr>
      </w:pPr>
      <w:r>
        <w:rPr>
          <w:rFonts w:hint="eastAsia" w:ascii="宋体" w:hAnsi="宋体" w:cs="宋体"/>
          <w:sz w:val="24"/>
        </w:rPr>
        <w:t>名 称：国信国采（北京）招标咨询有限责任公司</w:t>
      </w:r>
    </w:p>
    <w:p>
      <w:pPr>
        <w:spacing w:line="360" w:lineRule="auto"/>
        <w:ind w:firstLine="720" w:firstLineChars="300"/>
        <w:rPr>
          <w:rFonts w:ascii="宋体" w:hAnsi="宋体" w:cs="宋体"/>
          <w:sz w:val="24"/>
        </w:rPr>
      </w:pPr>
      <w:r>
        <w:rPr>
          <w:rFonts w:hint="eastAsia" w:ascii="宋体" w:hAnsi="宋体" w:cs="宋体"/>
          <w:sz w:val="24"/>
        </w:rPr>
        <w:t>地　址：北京市海淀区四季青常青路和泓四季六号楼国信招标</w:t>
      </w:r>
    </w:p>
    <w:p>
      <w:pPr>
        <w:spacing w:line="360" w:lineRule="auto"/>
        <w:ind w:firstLine="720" w:firstLineChars="300"/>
        <w:rPr>
          <w:rFonts w:ascii="宋体" w:hAnsi="宋体" w:cs="宋体"/>
          <w:sz w:val="24"/>
        </w:rPr>
      </w:pPr>
      <w:r>
        <w:rPr>
          <w:rFonts w:hint="eastAsia" w:ascii="宋体" w:hAnsi="宋体" w:cs="宋体"/>
          <w:sz w:val="24"/>
        </w:rPr>
        <w:t>联系方式：</w:t>
      </w:r>
      <w:bookmarkStart w:id="28" w:name="_Toc28359010"/>
      <w:bookmarkStart w:id="29" w:name="_Toc28359087"/>
      <w:r>
        <w:rPr>
          <w:rFonts w:hint="eastAsia" w:ascii="宋体" w:hAnsi="宋体" w:cs="宋体"/>
          <w:sz w:val="24"/>
        </w:rPr>
        <w:t>丁亚男、张肃 010-87235338 15210148475</w:t>
      </w:r>
    </w:p>
    <w:p>
      <w:pPr>
        <w:spacing w:line="360" w:lineRule="auto"/>
        <w:ind w:firstLine="720" w:firstLineChars="300"/>
        <w:rPr>
          <w:rFonts w:ascii="宋体" w:hAnsi="宋体" w:cs="宋体"/>
          <w:sz w:val="24"/>
        </w:rPr>
      </w:pPr>
      <w:r>
        <w:rPr>
          <w:rFonts w:hint="eastAsia" w:ascii="宋体" w:hAnsi="宋体" w:cs="宋体"/>
          <w:sz w:val="24"/>
        </w:rPr>
        <w:t>传　  真：010-87235165</w:t>
      </w:r>
    </w:p>
    <w:p>
      <w:pPr>
        <w:spacing w:line="360" w:lineRule="auto"/>
        <w:ind w:firstLine="720" w:firstLineChars="300"/>
        <w:rPr>
          <w:rFonts w:ascii="宋体" w:hAnsi="宋体" w:cs="宋体"/>
          <w:sz w:val="24"/>
        </w:rPr>
      </w:pPr>
      <w:r>
        <w:rPr>
          <w:rFonts w:hint="eastAsia" w:ascii="宋体" w:hAnsi="宋体" w:cs="宋体"/>
          <w:sz w:val="24"/>
        </w:rPr>
        <w:t>电子信箱：guoxindyn@163.com</w:t>
      </w:r>
    </w:p>
    <w:p>
      <w:pPr>
        <w:spacing w:line="360" w:lineRule="auto"/>
        <w:ind w:firstLine="720" w:firstLineChars="300"/>
        <w:rPr>
          <w:rFonts w:ascii="宋体" w:hAnsi="宋体" w:cs="宋体"/>
          <w:sz w:val="24"/>
        </w:rPr>
      </w:pPr>
    </w:p>
    <w:p>
      <w:pPr>
        <w:spacing w:line="360" w:lineRule="auto"/>
        <w:ind w:firstLine="720" w:firstLineChars="300"/>
        <w:rPr>
          <w:rFonts w:ascii="宋体" w:hAnsi="宋体" w:cs="宋体"/>
          <w:sz w:val="24"/>
          <w:u w:val="single"/>
        </w:rPr>
      </w:pPr>
      <w:r>
        <w:rPr>
          <w:rFonts w:hint="eastAsia" w:ascii="宋体" w:hAnsi="宋体" w:cs="宋体"/>
          <w:sz w:val="24"/>
        </w:rPr>
        <w:t>3.项目联系方式</w:t>
      </w:r>
      <w:bookmarkEnd w:id="28"/>
      <w:bookmarkEnd w:id="29"/>
    </w:p>
    <w:p>
      <w:pPr>
        <w:spacing w:line="360" w:lineRule="auto"/>
        <w:ind w:firstLine="720" w:firstLineChars="300"/>
        <w:rPr>
          <w:rFonts w:ascii="宋体" w:hAnsi="宋体" w:cs="宋体"/>
          <w:sz w:val="24"/>
        </w:rPr>
      </w:pPr>
      <w:r>
        <w:rPr>
          <w:rFonts w:hint="eastAsia" w:ascii="宋体" w:hAnsi="宋体" w:cs="宋体"/>
          <w:sz w:val="24"/>
        </w:rPr>
        <w:t>项目联系人：丁亚男、张肃</w:t>
      </w:r>
    </w:p>
    <w:p>
      <w:pPr>
        <w:spacing w:before="120" w:after="156" w:afterLines="50"/>
        <w:ind w:firstLine="720" w:firstLineChars="300"/>
      </w:pPr>
      <w:r>
        <w:rPr>
          <w:rFonts w:hint="eastAsia" w:ascii="宋体" w:hAnsi="宋体" w:cs="宋体"/>
          <w:sz w:val="24"/>
        </w:rPr>
        <w:t>电　话：010-87235338 15210148475</w:t>
      </w:r>
    </w:p>
    <w:p>
      <w:r>
        <w:br w:type="page"/>
      </w:r>
    </w:p>
    <w:p>
      <w:pPr>
        <w:pStyle w:val="2"/>
        <w:rPr>
          <w:rFonts w:hint="eastAsia"/>
          <w:lang w:val="en-US" w:eastAsia="zh-CN"/>
        </w:rPr>
      </w:pPr>
      <w:r>
        <w:rPr>
          <w:rFonts w:hint="eastAsia"/>
          <w:lang w:val="en-US" w:eastAsia="zh-CN"/>
        </w:rPr>
        <w:t>附件</w:t>
      </w:r>
    </w:p>
    <w:p>
      <w:pPr>
        <w:spacing w:line="599" w:lineRule="exact"/>
        <w:ind w:firstLine="482" w:firstLineChars="200"/>
        <w:rPr>
          <w:rFonts w:ascii="宋体" w:hAnsi="宋体" w:cs="宋体"/>
          <w:b/>
          <w:bCs/>
          <w:sz w:val="24"/>
        </w:rPr>
      </w:pPr>
      <w:r>
        <w:rPr>
          <w:rFonts w:hint="eastAsia" w:ascii="宋体" w:hAnsi="宋体" w:cs="宋体"/>
          <w:b/>
          <w:bCs/>
          <w:sz w:val="24"/>
        </w:rPr>
        <w:t>一、系统简介</w:t>
      </w:r>
    </w:p>
    <w:p>
      <w:pPr>
        <w:spacing w:line="599" w:lineRule="exact"/>
        <w:ind w:firstLine="480" w:firstLineChars="200"/>
        <w:rPr>
          <w:rFonts w:ascii="宋体" w:hAnsi="宋体" w:cs="宋体"/>
          <w:sz w:val="24"/>
        </w:rPr>
      </w:pPr>
      <w:r>
        <w:rPr>
          <w:rFonts w:hint="eastAsia" w:ascii="宋体" w:hAnsi="宋体" w:cs="宋体"/>
          <w:sz w:val="24"/>
        </w:rPr>
        <w:t>量子保密通信安全服务应用网络及平台将量子密钥资源通过量子安全介质产品（硬件或软件形态）融合到各类安全应用中，并对其密钥进行动态管理，提供任意多点间密钥协商、接入认证、访问控制等功能服务。主要实现密钥(量子随机数)充注和会话密钥(量子密钥)分发两个功能。密钥充注功能：量子密钥充注终端将量子随机数写入Ukey，Ukey通过离线方式插入移动终端使用；会话密钥分发功能：量子安全服务器移动引擎调度密钥系统交换密码机，将待分发量子密钥与量子随机数进行一次一密异或加密，然后分发给量子密钥应用终端。</w:t>
      </w:r>
    </w:p>
    <w:p>
      <w:pPr>
        <w:spacing w:before="120" w:after="120" w:line="360" w:lineRule="auto"/>
        <w:ind w:firstLine="480" w:firstLineChars="200"/>
        <w:rPr>
          <w:rFonts w:ascii="宋体" w:hAnsi="宋体" w:cs="宋体"/>
          <w:sz w:val="24"/>
        </w:rPr>
      </w:pPr>
      <w:r>
        <w:rPr>
          <w:rFonts w:hint="eastAsia" w:ascii="宋体" w:hAnsi="宋体" w:cs="宋体"/>
          <w:sz w:val="24"/>
        </w:rPr>
        <w:t>系统中，量子安全服务平台一体机，是量子安全服务移动引擎、密钥系统交换密码机功能集成的一体机产品；量子安全服务移动引擎，基于量子随机数或量子密钥分发网络与密钥系统交换密码机，为移动终端等设备提供密钥服务，实现量子密钥分发管理与控制、量子密钥分发流程状态控制和数据监测、量子密钥的安全应用管理，支撑用户实现安全通信等业务。密钥系统交换密码机，负责获取量子随机数或量子密钥分发网络的密钥，并进行密钥的存储管理，提供密钥终端充注，将获取量子密钥作为会话密钥提供给移动终端用于加密通信。量子随机数发生器的主要作用是生成量子随机数，随机性来源于激光自发辐射光子的相位涨落，具有良好的量子随机性。充注终端软件，是对安全终端或安全介质进行量子密钥充注的软件，可安装于特定充注机或普通PC终端上，并为安全介质提供发卡绑定和密钥充注功能。安全介质安全U盾实现安全认证机制和高速数据加解密等功能，提供数据签名、验签、身份认证安全保护。终端软件安全邮件运行在应用终端操作系统中，封装了安全介质的调用接口以及量子安全服务平台的交互接口，并通过API给应用层APP提供统一密钥应用服务，包括会话密钥获取，邮件数据加解密等功能。</w:t>
      </w:r>
    </w:p>
    <w:p>
      <w:pPr>
        <w:spacing w:line="599" w:lineRule="exact"/>
        <w:ind w:firstLine="480" w:firstLineChars="200"/>
        <w:rPr>
          <w:rFonts w:ascii="宋体" w:hAnsi="宋体" w:cs="宋体"/>
          <w:sz w:val="24"/>
        </w:rPr>
      </w:pPr>
      <w:r>
        <w:rPr>
          <w:rFonts w:hint="eastAsia" w:ascii="宋体" w:hAnsi="宋体" w:cs="宋体"/>
          <w:sz w:val="24"/>
        </w:rPr>
        <w:t>多协议侧信道采集与分析软件，具备对多协议/接口开发板芯片和密码模块等进行能耗采集和电磁采集与分析的功能，增加了国密算法的分析方法，用于开展对量子安全芯片、密钥系统交换机、安全U盾等密码相关产品进行侧信道分析研究。多协议故障注入与攻击软件，具备对多协议/接口开发板芯片和密码模块等，进行电压和时钟故障注入与攻击功能，增加了电压和时钟组合故障攻击方法，用于开展对量子安全芯片、密钥系统交换机、安全U盾等密码产品进行电压和时钟故障分析研究。</w:t>
      </w:r>
    </w:p>
    <w:p>
      <w:pPr>
        <w:spacing w:line="599" w:lineRule="exact"/>
        <w:ind w:firstLine="480" w:firstLineChars="200"/>
        <w:rPr>
          <w:rFonts w:ascii="宋体" w:hAnsi="宋体" w:cs="宋体"/>
          <w:sz w:val="24"/>
        </w:rPr>
      </w:pPr>
      <w:r>
        <w:rPr>
          <w:rFonts w:hint="eastAsia" w:ascii="宋体" w:hAnsi="宋体" w:cs="宋体"/>
          <w:sz w:val="24"/>
        </w:rPr>
        <w:t>经费概算77.2万元。</w:t>
      </w:r>
    </w:p>
    <w:p>
      <w:pPr>
        <w:spacing w:line="599" w:lineRule="exact"/>
        <w:ind w:firstLine="480" w:firstLineChars="200"/>
        <w:rPr>
          <w:rFonts w:ascii="宋体" w:hAnsi="宋体" w:cs="宋体"/>
          <w:sz w:val="24"/>
        </w:rPr>
      </w:pPr>
      <w:r>
        <w:rPr>
          <w:rFonts w:hint="eastAsia" w:ascii="宋体" w:hAnsi="宋体" w:cs="宋体"/>
          <w:sz w:val="24"/>
        </w:rPr>
        <w:t>二、采购总体安排</w:t>
      </w:r>
    </w:p>
    <w:p>
      <w:pPr>
        <w:spacing w:line="599" w:lineRule="exact"/>
        <w:ind w:firstLine="480" w:firstLineChars="200"/>
        <w:rPr>
          <w:rFonts w:ascii="宋体" w:hAnsi="宋体" w:cs="宋体"/>
          <w:sz w:val="24"/>
        </w:rPr>
      </w:pPr>
      <w:r>
        <w:rPr>
          <w:rFonts w:hint="eastAsia" w:ascii="宋体" w:hAnsi="宋体" w:cs="宋体"/>
          <w:sz w:val="24"/>
        </w:rPr>
        <w:t>对照系统建设方案软硬件设备清单，结合各功能模块研发技术需求，计划组织装备采购工作，对照情况如下表所示。</w:t>
      </w:r>
    </w:p>
    <w:p>
      <w:pPr>
        <w:spacing w:line="599" w:lineRule="exact"/>
        <w:ind w:firstLine="480" w:firstLineChars="200"/>
        <w:rPr>
          <w:rFonts w:ascii="宋体" w:hAnsi="宋体" w:cs="宋体"/>
          <w:sz w:val="24"/>
        </w:rPr>
      </w:pPr>
    </w:p>
    <w:p>
      <w:pPr>
        <w:spacing w:line="599" w:lineRule="exact"/>
        <w:ind w:firstLine="480" w:firstLineChars="200"/>
        <w:rPr>
          <w:rFonts w:ascii="宋体" w:hAnsi="宋体" w:cs="宋体"/>
          <w:sz w:val="24"/>
        </w:rPr>
        <w:sectPr>
          <w:footerReference r:id="rId3" w:type="default"/>
          <w:footerReference r:id="rId4" w:type="even"/>
          <w:pgSz w:w="11906" w:h="16838"/>
          <w:pgMar w:top="2098" w:right="1474" w:bottom="1985" w:left="1588" w:header="851" w:footer="992" w:gutter="0"/>
          <w:cols w:space="425" w:num="1"/>
          <w:docGrid w:type="lines" w:linePitch="312" w:charSpace="0"/>
        </w:sect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100"/>
        <w:gridCol w:w="697"/>
        <w:gridCol w:w="1132"/>
        <w:gridCol w:w="154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5000" w:type="pct"/>
            <w:gridSpan w:val="6"/>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lang w:bidi="ar"/>
              </w:rPr>
              <w:t>采购项目情况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933"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采购项</w:t>
            </w:r>
          </w:p>
        </w:tc>
        <w:tc>
          <w:tcPr>
            <w:tcW w:w="1159"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采购内容</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单位</w:t>
            </w:r>
          </w:p>
        </w:tc>
        <w:tc>
          <w:tcPr>
            <w:tcW w:w="62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数量</w:t>
            </w:r>
          </w:p>
        </w:tc>
        <w:tc>
          <w:tcPr>
            <w:tcW w:w="853"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经费概算（万元）</w:t>
            </w:r>
          </w:p>
        </w:tc>
        <w:tc>
          <w:tcPr>
            <w:tcW w:w="104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3" w:type="pct"/>
            <w:vMerge w:val="restar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量子保密通信安全服务应用网络及平台</w:t>
            </w: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量子安全服务平台一体机</w:t>
            </w:r>
          </w:p>
        </w:tc>
        <w:tc>
          <w:tcPr>
            <w:tcW w:w="38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台</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045" w:type="pct"/>
            <w:vMerge w:val="restart"/>
            <w:shd w:val="clear" w:color="auto" w:fill="auto"/>
            <w:vAlign w:val="center"/>
          </w:tcPr>
          <w:p>
            <w:pPr>
              <w:widowControl/>
              <w:spacing w:line="2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3" w:type="pct"/>
            <w:vMerge w:val="continue"/>
            <w:shd w:val="clear" w:color="auto" w:fill="auto"/>
            <w:vAlign w:val="center"/>
          </w:tcPr>
          <w:p>
            <w:pPr>
              <w:spacing w:line="240" w:lineRule="exact"/>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量子随机数发生器</w:t>
            </w:r>
          </w:p>
        </w:tc>
        <w:tc>
          <w:tcPr>
            <w:tcW w:w="38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台</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4</w:t>
            </w:r>
          </w:p>
        </w:tc>
        <w:tc>
          <w:tcPr>
            <w:tcW w:w="1045" w:type="pct"/>
            <w:vMerge w:val="continue"/>
            <w:shd w:val="clear" w:color="auto" w:fill="auto"/>
            <w:vAlign w:val="center"/>
          </w:tcPr>
          <w:p>
            <w:pPr>
              <w:widowControl/>
              <w:spacing w:line="2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3" w:type="pct"/>
            <w:vMerge w:val="continue"/>
            <w:shd w:val="clear" w:color="auto" w:fill="auto"/>
            <w:vAlign w:val="center"/>
          </w:tcPr>
          <w:p>
            <w:pPr>
              <w:spacing w:line="240" w:lineRule="exact"/>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安全U盾</w:t>
            </w:r>
          </w:p>
        </w:tc>
        <w:tc>
          <w:tcPr>
            <w:tcW w:w="38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个</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0.2</w:t>
            </w:r>
          </w:p>
        </w:tc>
        <w:tc>
          <w:tcPr>
            <w:tcW w:w="1045" w:type="pct"/>
            <w:vMerge w:val="continue"/>
            <w:shd w:val="clear" w:color="auto" w:fill="auto"/>
            <w:vAlign w:val="center"/>
          </w:tcPr>
          <w:p>
            <w:pPr>
              <w:widowControl/>
              <w:spacing w:line="2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33" w:type="pct"/>
            <w:vMerge w:val="continue"/>
            <w:shd w:val="clear" w:color="auto" w:fill="auto"/>
            <w:vAlign w:val="center"/>
          </w:tcPr>
          <w:p>
            <w:pPr>
              <w:widowControl/>
              <w:spacing w:line="240" w:lineRule="exact"/>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量子安全服务移动引擎</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045" w:type="pct"/>
            <w:vMerge w:val="continue"/>
            <w:shd w:val="clear" w:color="auto" w:fill="auto"/>
            <w:vAlign w:val="center"/>
          </w:tcPr>
          <w:p>
            <w:pPr>
              <w:widowControl/>
              <w:spacing w:line="2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 xml:space="preserve">量子随机数发生器软件 </w:t>
            </w:r>
          </w:p>
        </w:tc>
        <w:tc>
          <w:tcPr>
            <w:tcW w:w="38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45" w:type="pct"/>
            <w:vMerge w:val="continue"/>
            <w:shd w:val="clear" w:color="auto" w:fill="auto"/>
            <w:vAlign w:val="center"/>
          </w:tcPr>
          <w:p>
            <w:pPr>
              <w:widowControl/>
              <w:spacing w:line="2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密钥系统交换密码机软件</w:t>
            </w:r>
          </w:p>
        </w:tc>
        <w:tc>
          <w:tcPr>
            <w:tcW w:w="38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3.3</w:t>
            </w:r>
          </w:p>
        </w:tc>
        <w:tc>
          <w:tcPr>
            <w:tcW w:w="1045" w:type="pct"/>
            <w:vMerge w:val="continue"/>
            <w:shd w:val="clear" w:color="auto" w:fill="auto"/>
            <w:vAlign w:val="center"/>
          </w:tcPr>
          <w:p>
            <w:pPr>
              <w:widowControl/>
              <w:spacing w:line="24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充注终端软件</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1.6</w:t>
            </w:r>
          </w:p>
        </w:tc>
        <w:tc>
          <w:tcPr>
            <w:tcW w:w="1045" w:type="pct"/>
            <w:vMerge w:val="continue"/>
            <w:shd w:val="clear" w:color="auto" w:fill="auto"/>
            <w:vAlign w:val="center"/>
          </w:tcPr>
          <w:p>
            <w:pPr>
              <w:widowControl/>
              <w:spacing w:line="2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安全邮件软件</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4</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0.1</w:t>
            </w:r>
          </w:p>
        </w:tc>
        <w:tc>
          <w:tcPr>
            <w:tcW w:w="1045" w:type="pct"/>
            <w:vMerge w:val="continue"/>
            <w:shd w:val="clear" w:color="auto" w:fill="auto"/>
            <w:vAlign w:val="center"/>
          </w:tcPr>
          <w:p>
            <w:pPr>
              <w:widowControl/>
              <w:spacing w:line="2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多协议侧信道采集与分析软件</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30</w:t>
            </w:r>
          </w:p>
        </w:tc>
        <w:tc>
          <w:tcPr>
            <w:tcW w:w="1045" w:type="pct"/>
            <w:vMerge w:val="continue"/>
            <w:shd w:val="clear" w:color="auto" w:fill="auto"/>
            <w:vAlign w:val="center"/>
          </w:tcPr>
          <w:p>
            <w:pPr>
              <w:widowControl/>
              <w:spacing w:line="2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3" w:type="pct"/>
            <w:vMerge w:val="continue"/>
            <w:shd w:val="clear" w:color="auto" w:fill="auto"/>
            <w:vAlign w:val="center"/>
          </w:tcPr>
          <w:p>
            <w:pPr>
              <w:widowControl/>
              <w:spacing w:line="240" w:lineRule="exact"/>
              <w:jc w:val="center"/>
              <w:rPr>
                <w:rFonts w:ascii="宋体" w:hAnsi="宋体" w:cs="宋体"/>
                <w:color w:val="000000"/>
                <w:kern w:val="0"/>
                <w:sz w:val="24"/>
              </w:rPr>
            </w:pPr>
          </w:p>
        </w:tc>
        <w:tc>
          <w:tcPr>
            <w:tcW w:w="1159" w:type="pct"/>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多协议故障注入与攻击软件</w:t>
            </w:r>
          </w:p>
        </w:tc>
        <w:tc>
          <w:tcPr>
            <w:tcW w:w="385" w:type="pct"/>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套</w:t>
            </w:r>
          </w:p>
        </w:tc>
        <w:tc>
          <w:tcPr>
            <w:tcW w:w="625"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853" w:type="pct"/>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27</w:t>
            </w:r>
          </w:p>
        </w:tc>
        <w:tc>
          <w:tcPr>
            <w:tcW w:w="1045" w:type="pct"/>
            <w:vMerge w:val="continue"/>
            <w:shd w:val="clear" w:color="auto" w:fill="auto"/>
            <w:vAlign w:val="center"/>
          </w:tcPr>
          <w:p>
            <w:pPr>
              <w:widowControl/>
              <w:spacing w:line="240" w:lineRule="exact"/>
              <w:jc w:val="center"/>
              <w:rPr>
                <w:rFonts w:ascii="宋体" w:hAnsi="宋体" w:cs="宋体"/>
                <w:color w:val="000000"/>
                <w:kern w:val="0"/>
                <w:sz w:val="24"/>
              </w:rPr>
            </w:pPr>
          </w:p>
        </w:tc>
      </w:tr>
    </w:tbl>
    <w:p>
      <w:pPr>
        <w:rPr>
          <w:rFonts w:ascii="宋体" w:hAnsi="宋体" w:cs="宋体"/>
          <w:sz w:val="24"/>
        </w:rPr>
        <w:sectPr>
          <w:pgSz w:w="11906" w:h="16838"/>
          <w:pgMar w:top="2098" w:right="1474" w:bottom="1985" w:left="1588" w:header="851" w:footer="992" w:gutter="0"/>
          <w:cols w:space="425" w:num="1"/>
          <w:docGrid w:type="linesAndChars" w:linePitch="312" w:charSpace="0"/>
        </w:sectPr>
      </w:pPr>
    </w:p>
    <w:p>
      <w:pPr>
        <w:spacing w:line="599" w:lineRule="exact"/>
        <w:ind w:firstLine="480" w:firstLineChars="200"/>
        <w:rPr>
          <w:rFonts w:ascii="宋体" w:hAnsi="宋体" w:cs="宋体"/>
          <w:sz w:val="24"/>
        </w:rPr>
      </w:pPr>
      <w:r>
        <w:rPr>
          <w:rFonts w:hint="eastAsia" w:ascii="宋体" w:hAnsi="宋体" w:cs="宋体"/>
          <w:sz w:val="24"/>
        </w:rPr>
        <w:t>三、采购项目基本情况</w:t>
      </w:r>
    </w:p>
    <w:p>
      <w:pPr>
        <w:spacing w:line="599" w:lineRule="exact"/>
        <w:ind w:firstLine="480" w:firstLineChars="200"/>
        <w:rPr>
          <w:rFonts w:ascii="宋体" w:hAnsi="宋体" w:cs="宋体"/>
          <w:sz w:val="24"/>
        </w:rPr>
      </w:pPr>
      <w:r>
        <w:rPr>
          <w:rFonts w:hint="eastAsia" w:ascii="宋体" w:hAnsi="宋体" w:cs="宋体"/>
          <w:sz w:val="24"/>
        </w:rPr>
        <w:t>量子保密通信安全服务应用网络及平台</w:t>
      </w:r>
    </w:p>
    <w:p>
      <w:pPr>
        <w:spacing w:line="599" w:lineRule="exact"/>
        <w:ind w:firstLine="480" w:firstLineChars="200"/>
        <w:rPr>
          <w:rFonts w:ascii="宋体" w:hAnsi="宋体" w:cs="宋体"/>
          <w:sz w:val="24"/>
        </w:rPr>
      </w:pPr>
      <w:r>
        <w:rPr>
          <w:rFonts w:hint="eastAsia" w:ascii="宋体" w:hAnsi="宋体" w:cs="宋体"/>
          <w:color w:val="000000"/>
          <w:sz w:val="24"/>
        </w:rPr>
        <w:t>该系统主要</w:t>
      </w:r>
      <w:r>
        <w:rPr>
          <w:rFonts w:hint="eastAsia" w:ascii="宋体" w:hAnsi="宋体" w:cs="宋体"/>
          <w:sz w:val="24"/>
        </w:rPr>
        <w:t>将量子密钥资源通过量子安全介质产品（硬件或软件形态）融合到各类安全应用中，并对其密钥进行动态管理，提供任意多点间密钥协商、接入认证、访问控制等功能服务。主要实现密钥充注和会话密钥分发两个功能。密钥充注功能：量子密钥充注终端将量子随机数写入Ukey，Ukey通过离线方式插入移动终端使用；会话密钥分发功能：量子安全服务器移动引擎调度密钥系统交换密码机，将待分发量子密钥与量子随机数进行一次一密异或加密，然后分发给量子密钥应用终端</w:t>
      </w:r>
      <w:r>
        <w:rPr>
          <w:rFonts w:hint="eastAsia" w:ascii="宋体" w:hAnsi="宋体" w:cs="宋体"/>
          <w:color w:val="000000"/>
          <w:sz w:val="24"/>
        </w:rPr>
        <w:t>，</w:t>
      </w:r>
      <w:r>
        <w:rPr>
          <w:rFonts w:hint="eastAsia" w:ascii="宋体" w:hAnsi="宋体" w:cs="宋体"/>
          <w:sz w:val="24"/>
        </w:rPr>
        <w:t>对优势产品开展采购建设。</w:t>
      </w:r>
    </w:p>
    <w:p>
      <w:pPr>
        <w:spacing w:line="599" w:lineRule="exact"/>
        <w:ind w:firstLine="480" w:firstLineChars="200"/>
        <w:rPr>
          <w:rFonts w:ascii="宋体" w:hAnsi="宋体" w:cs="宋体"/>
          <w:sz w:val="24"/>
        </w:rPr>
      </w:pPr>
      <w:r>
        <w:rPr>
          <w:rFonts w:hint="eastAsia" w:ascii="宋体" w:hAnsi="宋体" w:cs="宋体"/>
          <w:sz w:val="24"/>
        </w:rPr>
        <w:t>1.采购方式。公开招标。</w:t>
      </w:r>
    </w:p>
    <w:p>
      <w:pPr>
        <w:spacing w:line="599" w:lineRule="exact"/>
        <w:ind w:firstLine="480" w:firstLineChars="200"/>
        <w:rPr>
          <w:rFonts w:ascii="宋体" w:hAnsi="宋体" w:cs="宋体"/>
          <w:sz w:val="24"/>
        </w:rPr>
      </w:pPr>
      <w:r>
        <w:rPr>
          <w:rFonts w:hint="eastAsia" w:ascii="宋体" w:hAnsi="宋体" w:cs="宋体"/>
          <w:sz w:val="24"/>
        </w:rPr>
        <w:t>2.采购内容及经费概算</w:t>
      </w:r>
    </w:p>
    <w:p>
      <w:pPr>
        <w:spacing w:line="599" w:lineRule="exact"/>
        <w:ind w:firstLine="480" w:firstLineChars="200"/>
        <w:rPr>
          <w:rFonts w:ascii="宋体" w:hAnsi="宋体" w:cs="宋体"/>
          <w:sz w:val="24"/>
        </w:rPr>
      </w:pPr>
      <w:r>
        <w:rPr>
          <w:rFonts w:hint="eastAsia" w:ascii="宋体" w:hAnsi="宋体" w:cs="宋体"/>
          <w:sz w:val="24"/>
        </w:rPr>
        <w:t>主要包括量子安全服务平台一体机、量子随机数发生器、安全U盾、量子安全服务移动引擎、量子随机数发生器软件、密钥系统交换密码机软件、充注终端软件、安全邮件软件、多协议侧信道采集与分析软件、多协议故障注入与攻击软件等10个模块，经费概算77.2万元。</w:t>
      </w:r>
    </w:p>
    <w:p>
      <w:pPr>
        <w:spacing w:line="599" w:lineRule="exact"/>
        <w:ind w:firstLine="480" w:firstLineChars="200"/>
        <w:rPr>
          <w:rFonts w:ascii="宋体" w:hAnsi="宋体" w:cs="宋体"/>
          <w:sz w:val="24"/>
        </w:rPr>
      </w:pPr>
      <w:r>
        <w:rPr>
          <w:rFonts w:hint="eastAsia" w:ascii="宋体" w:hAnsi="宋体" w:cs="宋体"/>
          <w:sz w:val="24"/>
        </w:rPr>
        <w:t>四、实施计划</w:t>
      </w:r>
    </w:p>
    <w:p>
      <w:pPr>
        <w:spacing w:line="599" w:lineRule="exact"/>
        <w:ind w:firstLine="480" w:firstLineChars="200"/>
        <w:rPr>
          <w:rFonts w:ascii="宋体" w:hAnsi="宋体" w:cs="宋体"/>
          <w:sz w:val="24"/>
        </w:rPr>
      </w:pPr>
      <w:r>
        <w:rPr>
          <w:rFonts w:hint="eastAsia" w:ascii="宋体" w:hAnsi="宋体" w:cs="宋体"/>
          <w:sz w:val="24"/>
        </w:rPr>
        <w:t>1.自采购方案批复之日起，15日内完成采购信息发布；</w:t>
      </w:r>
    </w:p>
    <w:p>
      <w:pPr>
        <w:spacing w:line="599" w:lineRule="exact"/>
        <w:ind w:firstLine="480" w:firstLineChars="200"/>
        <w:rPr>
          <w:rFonts w:ascii="宋体" w:hAnsi="宋体" w:cs="宋体"/>
          <w:sz w:val="24"/>
        </w:rPr>
      </w:pPr>
      <w:r>
        <w:rPr>
          <w:rFonts w:hint="eastAsia" w:ascii="宋体" w:hAnsi="宋体" w:cs="宋体"/>
          <w:sz w:val="24"/>
        </w:rPr>
        <w:t>2.信息发布后，20个工作日确定承制单位；</w:t>
      </w:r>
    </w:p>
    <w:p>
      <w:pPr>
        <w:spacing w:line="599" w:lineRule="exact"/>
        <w:ind w:firstLine="480" w:firstLineChars="200"/>
        <w:rPr>
          <w:rFonts w:ascii="宋体" w:hAnsi="宋体" w:cs="宋体"/>
          <w:sz w:val="24"/>
        </w:rPr>
      </w:pPr>
      <w:r>
        <w:rPr>
          <w:rFonts w:hint="eastAsia" w:ascii="宋体" w:hAnsi="宋体" w:cs="宋体"/>
          <w:sz w:val="24"/>
        </w:rPr>
        <w:t>3.合同签订后20日交付验收。</w:t>
      </w:r>
    </w:p>
    <w:p>
      <w:pPr>
        <w:spacing w:line="599" w:lineRule="exact"/>
        <w:ind w:firstLine="480" w:firstLineChars="200"/>
        <w:rPr>
          <w:rFonts w:ascii="宋体" w:hAnsi="宋体" w:cs="宋体"/>
          <w:color w:val="000000"/>
          <w:sz w:val="24"/>
        </w:rPr>
      </w:pPr>
      <w:r>
        <w:rPr>
          <w:rFonts w:hint="eastAsia" w:ascii="宋体" w:hAnsi="宋体" w:cs="宋体"/>
          <w:sz w:val="24"/>
        </w:rPr>
        <w:t>附件：量子保密通信安全服务应用网络及平台</w:t>
      </w:r>
      <w:r>
        <w:rPr>
          <w:rFonts w:hint="eastAsia" w:ascii="宋体" w:hAnsi="宋体" w:cs="宋体"/>
          <w:color w:val="000000"/>
          <w:sz w:val="24"/>
        </w:rPr>
        <w:t>系统采购方案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w:t>
      </w:r>
    </w:p>
    <w:p>
      <w:pPr>
        <w:spacing w:line="360" w:lineRule="auto"/>
        <w:jc w:val="center"/>
        <w:rPr>
          <w:rFonts w:ascii="宋体" w:hAnsi="宋体" w:cs="宋体"/>
          <w:sz w:val="24"/>
        </w:rPr>
      </w:pPr>
      <w:r>
        <w:rPr>
          <w:rFonts w:hint="eastAsia" w:ascii="宋体" w:hAnsi="宋体" w:cs="宋体"/>
          <w:sz w:val="24"/>
        </w:rPr>
        <w:t>量子保密通信安全服务应用网络及平台</w:t>
      </w:r>
    </w:p>
    <w:p>
      <w:pPr>
        <w:spacing w:line="360" w:lineRule="auto"/>
        <w:jc w:val="center"/>
        <w:rPr>
          <w:rFonts w:ascii="宋体" w:hAnsi="宋体" w:cs="宋体"/>
          <w:sz w:val="24"/>
        </w:rPr>
      </w:pPr>
      <w:r>
        <w:rPr>
          <w:rFonts w:hint="eastAsia" w:ascii="宋体" w:hAnsi="宋体" w:cs="宋体"/>
          <w:sz w:val="24"/>
        </w:rPr>
        <w:t>系统采购方案</w:t>
      </w:r>
    </w:p>
    <w:p>
      <w:pPr>
        <w:spacing w:line="599" w:lineRule="exact"/>
        <w:ind w:firstLine="482" w:firstLineChars="200"/>
        <w:rPr>
          <w:rFonts w:ascii="宋体" w:hAnsi="宋体" w:cs="宋体"/>
          <w:b/>
          <w:bCs/>
          <w:sz w:val="24"/>
        </w:rPr>
      </w:pPr>
      <w:r>
        <w:rPr>
          <w:rFonts w:hint="eastAsia" w:ascii="宋体" w:hAnsi="宋体" w:cs="宋体"/>
          <w:b/>
          <w:bCs/>
          <w:sz w:val="24"/>
        </w:rPr>
        <w:t>一、采购方式</w:t>
      </w:r>
    </w:p>
    <w:p>
      <w:pPr>
        <w:spacing w:line="599" w:lineRule="exact"/>
        <w:ind w:firstLine="480" w:firstLineChars="200"/>
        <w:rPr>
          <w:rFonts w:ascii="宋体" w:hAnsi="宋体" w:cs="宋体"/>
          <w:sz w:val="24"/>
        </w:rPr>
      </w:pPr>
      <w:r>
        <w:rPr>
          <w:rFonts w:hint="eastAsia" w:ascii="宋体" w:hAnsi="宋体" w:cs="宋体"/>
          <w:sz w:val="24"/>
        </w:rPr>
        <w:t>公开发布采购信息，公开招标方式采购。</w:t>
      </w:r>
    </w:p>
    <w:p>
      <w:pPr>
        <w:spacing w:line="599" w:lineRule="exact"/>
        <w:ind w:firstLine="482" w:firstLineChars="200"/>
        <w:rPr>
          <w:rFonts w:ascii="宋体" w:hAnsi="宋体" w:cs="宋体"/>
          <w:b/>
          <w:bCs/>
          <w:sz w:val="24"/>
        </w:rPr>
      </w:pPr>
      <w:r>
        <w:rPr>
          <w:rFonts w:hint="eastAsia" w:ascii="宋体" w:hAnsi="宋体" w:cs="宋体"/>
          <w:b/>
          <w:bCs/>
          <w:sz w:val="24"/>
        </w:rPr>
        <w:t>二、采购内容及概算</w:t>
      </w:r>
    </w:p>
    <w:p>
      <w:pPr>
        <w:spacing w:line="599" w:lineRule="exact"/>
        <w:ind w:firstLine="480" w:firstLineChars="200"/>
        <w:rPr>
          <w:rFonts w:ascii="宋体" w:hAnsi="宋体" w:cs="宋体"/>
          <w:sz w:val="24"/>
        </w:rPr>
      </w:pPr>
      <w:r>
        <w:rPr>
          <w:rFonts w:hint="eastAsia" w:ascii="宋体" w:hAnsi="宋体" w:cs="宋体"/>
          <w:sz w:val="24"/>
        </w:rPr>
        <w:t>量子保密通信安全服务应用网络及平台主要包括量子安全服务平台一体机、量子随机数发生器、安全U盾、量子安全服务移动引擎、量子随机数发生器软件、密钥系统交换密码机软件、充注终端软件、安全邮件软件、多协议侧信道采集与分析软件、多协议故障注入与攻击软件等10个模块，经费概算77.2万元。</w:t>
      </w:r>
    </w:p>
    <w:p>
      <w:pPr>
        <w:spacing w:after="156" w:afterLines="50" w:line="599" w:lineRule="exact"/>
        <w:ind w:firstLine="480" w:firstLineChars="200"/>
        <w:rPr>
          <w:rFonts w:ascii="宋体" w:hAnsi="宋体" w:cs="宋体"/>
          <w:sz w:val="24"/>
        </w:rPr>
      </w:pPr>
      <w:r>
        <w:rPr>
          <w:rFonts w:hint="eastAsia" w:ascii="宋体" w:hAnsi="宋体" w:cs="宋体"/>
          <w:sz w:val="24"/>
        </w:rPr>
        <w:t>量子保密通信安全服务应用网络及平台系统采购经费概算如下表。</w:t>
      </w:r>
    </w:p>
    <w:tbl>
      <w:tblPr>
        <w:tblStyle w:val="8"/>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52"/>
        <w:gridCol w:w="588"/>
        <w:gridCol w:w="684"/>
        <w:gridCol w:w="1080"/>
        <w:gridCol w:w="108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包号</w:t>
            </w:r>
          </w:p>
        </w:tc>
        <w:tc>
          <w:tcPr>
            <w:tcW w:w="2852" w:type="dxa"/>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设备名称</w:t>
            </w:r>
          </w:p>
        </w:tc>
        <w:tc>
          <w:tcPr>
            <w:tcW w:w="588" w:type="dxa"/>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单位</w:t>
            </w:r>
          </w:p>
        </w:tc>
        <w:tc>
          <w:tcPr>
            <w:tcW w:w="684" w:type="dxa"/>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数量</w:t>
            </w:r>
          </w:p>
        </w:tc>
        <w:tc>
          <w:tcPr>
            <w:tcW w:w="1080" w:type="dxa"/>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金额</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0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164"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总计</w:t>
            </w:r>
            <w:r>
              <w:rPr>
                <w:rFonts w:hint="eastAsia" w:ascii="宋体" w:hAnsi="宋体" w:cs="宋体"/>
                <w:color w:val="000000"/>
                <w:kern w:val="0"/>
                <w:sz w:val="24"/>
              </w:rPr>
              <w:br w:type="textWrapping"/>
            </w:r>
            <w:r>
              <w:rPr>
                <w:rFonts w:hint="eastAsia" w:ascii="宋体" w:hAnsi="宋体"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6" w:type="dxa"/>
            <w:vMerge w:val="restart"/>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01</w:t>
            </w: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量子安全服务平台一体机</w:t>
            </w:r>
          </w:p>
        </w:tc>
        <w:tc>
          <w:tcPr>
            <w:tcW w:w="588"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台</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080" w:type="dxa"/>
            <w:vMerge w:val="restar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9.2</w:t>
            </w:r>
          </w:p>
        </w:tc>
        <w:tc>
          <w:tcPr>
            <w:tcW w:w="1164" w:type="dxa"/>
            <w:vMerge w:val="restar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量子随机数发生器</w:t>
            </w:r>
          </w:p>
        </w:tc>
        <w:tc>
          <w:tcPr>
            <w:tcW w:w="588"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台</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4</w:t>
            </w:r>
          </w:p>
        </w:tc>
        <w:tc>
          <w:tcPr>
            <w:tcW w:w="1080" w:type="dxa"/>
            <w:vMerge w:val="continue"/>
            <w:shd w:val="clear" w:color="auto" w:fill="auto"/>
            <w:vAlign w:val="center"/>
          </w:tcPr>
          <w:p>
            <w:pPr>
              <w:widowControl/>
              <w:jc w:val="center"/>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安全U盾</w:t>
            </w:r>
          </w:p>
        </w:tc>
        <w:tc>
          <w:tcPr>
            <w:tcW w:w="588"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个</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0.2</w:t>
            </w:r>
          </w:p>
        </w:tc>
        <w:tc>
          <w:tcPr>
            <w:tcW w:w="1080" w:type="dxa"/>
            <w:vMerge w:val="continue"/>
            <w:shd w:val="clear" w:color="auto" w:fill="auto"/>
            <w:vAlign w:val="center"/>
          </w:tcPr>
          <w:p>
            <w:pPr>
              <w:widowControl/>
              <w:jc w:val="left"/>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量子安全服务移动引擎</w:t>
            </w:r>
          </w:p>
        </w:tc>
        <w:tc>
          <w:tcPr>
            <w:tcW w:w="588" w:type="dxa"/>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5</w:t>
            </w:r>
          </w:p>
        </w:tc>
        <w:tc>
          <w:tcPr>
            <w:tcW w:w="1080" w:type="dxa"/>
            <w:vMerge w:val="restar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11</w:t>
            </w: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 xml:space="preserve">量子随机数发生器软件 </w:t>
            </w:r>
          </w:p>
        </w:tc>
        <w:tc>
          <w:tcPr>
            <w:tcW w:w="588"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vMerge w:val="continue"/>
            <w:shd w:val="clear" w:color="auto" w:fill="auto"/>
            <w:vAlign w:val="center"/>
          </w:tcPr>
          <w:p>
            <w:pPr>
              <w:jc w:val="center"/>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46" w:type="dxa"/>
            <w:vMerge w:val="continue"/>
            <w:tcBorders>
              <w:bottom w:val="single" w:color="auto" w:sz="4" w:space="0"/>
            </w:tcBorders>
            <w:shd w:val="clear" w:color="auto" w:fill="auto"/>
            <w:vAlign w:val="center"/>
          </w:tcPr>
          <w:p>
            <w:pPr>
              <w:widowControl/>
              <w:spacing w:line="240" w:lineRule="atLeast"/>
              <w:jc w:val="center"/>
              <w:rPr>
                <w:rFonts w:ascii="宋体" w:hAnsi="宋体" w:cs="宋体"/>
                <w:color w:val="000000"/>
                <w:kern w:val="0"/>
                <w:sz w:val="24"/>
              </w:rPr>
            </w:pPr>
          </w:p>
        </w:tc>
        <w:tc>
          <w:tcPr>
            <w:tcW w:w="2852" w:type="dxa"/>
            <w:tcBorders>
              <w:bottom w:val="single" w:color="auto" w:sz="4" w:space="0"/>
            </w:tcBorders>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密钥系统交换密码机软件</w:t>
            </w:r>
          </w:p>
        </w:tc>
        <w:tc>
          <w:tcPr>
            <w:tcW w:w="588" w:type="dxa"/>
            <w:tcBorders>
              <w:bottom w:val="single" w:color="auto" w:sz="4" w:space="0"/>
            </w:tcBorders>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套</w:t>
            </w:r>
          </w:p>
        </w:tc>
        <w:tc>
          <w:tcPr>
            <w:tcW w:w="684" w:type="dxa"/>
            <w:tcBorders>
              <w:bottom w:val="single" w:color="auto" w:sz="4" w:space="0"/>
            </w:tcBorders>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tcBorders>
              <w:bottom w:val="single" w:color="auto" w:sz="4" w:space="0"/>
            </w:tcBorders>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3.3</w:t>
            </w:r>
          </w:p>
        </w:tc>
        <w:tc>
          <w:tcPr>
            <w:tcW w:w="1080" w:type="dxa"/>
            <w:vMerge w:val="continue"/>
            <w:shd w:val="clear" w:color="auto" w:fill="auto"/>
            <w:vAlign w:val="center"/>
          </w:tcPr>
          <w:p>
            <w:pPr>
              <w:jc w:val="center"/>
              <w:rPr>
                <w:rFonts w:ascii="宋体" w:hAnsi="宋体" w:cs="宋体"/>
                <w:color w:val="000000"/>
                <w:kern w:val="0"/>
                <w:sz w:val="24"/>
              </w:rPr>
            </w:pPr>
          </w:p>
        </w:tc>
        <w:tc>
          <w:tcPr>
            <w:tcW w:w="1164" w:type="dxa"/>
            <w:vMerge w:val="continue"/>
            <w:tcBorders>
              <w:bottom w:val="single" w:color="auto" w:sz="4" w:space="0"/>
            </w:tcBorders>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充注终端软件</w:t>
            </w:r>
          </w:p>
        </w:tc>
        <w:tc>
          <w:tcPr>
            <w:tcW w:w="588" w:type="dxa"/>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1.6</w:t>
            </w:r>
          </w:p>
        </w:tc>
        <w:tc>
          <w:tcPr>
            <w:tcW w:w="1080" w:type="dxa"/>
            <w:vMerge w:val="continue"/>
            <w:shd w:val="clear" w:color="auto" w:fill="auto"/>
            <w:vAlign w:val="center"/>
          </w:tcPr>
          <w:p>
            <w:pPr>
              <w:widowControl/>
              <w:jc w:val="center"/>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安全邮件软件</w:t>
            </w:r>
          </w:p>
        </w:tc>
        <w:tc>
          <w:tcPr>
            <w:tcW w:w="588" w:type="dxa"/>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4</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0.1</w:t>
            </w:r>
          </w:p>
        </w:tc>
        <w:tc>
          <w:tcPr>
            <w:tcW w:w="1080" w:type="dxa"/>
            <w:vMerge w:val="continue"/>
            <w:shd w:val="clear" w:color="auto" w:fill="auto"/>
            <w:vAlign w:val="center"/>
          </w:tcPr>
          <w:p>
            <w:pPr>
              <w:widowControl/>
              <w:jc w:val="left"/>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46" w:type="dxa"/>
            <w:vMerge w:val="restart"/>
            <w:shd w:val="clear" w:color="auto" w:fill="auto"/>
            <w:vAlign w:val="center"/>
          </w:tcPr>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02</w:t>
            </w: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多协议侧信道采集与分析软件</w:t>
            </w:r>
          </w:p>
        </w:tc>
        <w:tc>
          <w:tcPr>
            <w:tcW w:w="588" w:type="dxa"/>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30</w:t>
            </w:r>
          </w:p>
        </w:tc>
        <w:tc>
          <w:tcPr>
            <w:tcW w:w="1080" w:type="dxa"/>
            <w:vMerge w:val="restar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57</w:t>
            </w:r>
          </w:p>
        </w:tc>
        <w:tc>
          <w:tcPr>
            <w:tcW w:w="1164" w:type="dxa"/>
            <w:vMerge w:val="restart"/>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6" w:type="dxa"/>
            <w:vMerge w:val="continue"/>
            <w:shd w:val="clear" w:color="auto" w:fill="auto"/>
            <w:vAlign w:val="center"/>
          </w:tcPr>
          <w:p>
            <w:pPr>
              <w:widowControl/>
              <w:spacing w:line="240" w:lineRule="atLeast"/>
              <w:jc w:val="center"/>
              <w:rPr>
                <w:rFonts w:ascii="宋体" w:hAnsi="宋体" w:cs="宋体"/>
                <w:color w:val="000000"/>
                <w:kern w:val="0"/>
                <w:sz w:val="24"/>
              </w:rPr>
            </w:pPr>
          </w:p>
        </w:tc>
        <w:tc>
          <w:tcPr>
            <w:tcW w:w="2852" w:type="dxa"/>
            <w:shd w:val="clear" w:color="auto" w:fill="auto"/>
            <w:vAlign w:val="center"/>
          </w:tcPr>
          <w:p>
            <w:pPr>
              <w:widowControl/>
              <w:spacing w:line="240" w:lineRule="exact"/>
              <w:rPr>
                <w:rFonts w:ascii="宋体" w:hAnsi="宋体" w:cs="宋体"/>
                <w:kern w:val="0"/>
                <w:sz w:val="24"/>
              </w:rPr>
            </w:pPr>
            <w:r>
              <w:rPr>
                <w:rFonts w:hint="eastAsia" w:ascii="宋体" w:hAnsi="宋体" w:cs="宋体"/>
                <w:kern w:val="0"/>
                <w:sz w:val="24"/>
              </w:rPr>
              <w:t>多协议故障注入与攻击软件</w:t>
            </w:r>
          </w:p>
        </w:tc>
        <w:tc>
          <w:tcPr>
            <w:tcW w:w="588" w:type="dxa"/>
            <w:shd w:val="clear" w:color="auto" w:fill="auto"/>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套</w:t>
            </w:r>
          </w:p>
        </w:tc>
        <w:tc>
          <w:tcPr>
            <w:tcW w:w="684"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1</w:t>
            </w:r>
          </w:p>
        </w:tc>
        <w:tc>
          <w:tcPr>
            <w:tcW w:w="1080" w:type="dxa"/>
            <w:shd w:val="clear" w:color="auto" w:fill="auto"/>
            <w:vAlign w:val="center"/>
          </w:tcPr>
          <w:p>
            <w:pPr>
              <w:widowControl/>
              <w:spacing w:line="240" w:lineRule="exact"/>
              <w:jc w:val="center"/>
              <w:rPr>
                <w:rFonts w:ascii="宋体" w:hAnsi="宋体" w:cs="宋体"/>
                <w:kern w:val="0"/>
                <w:sz w:val="24"/>
              </w:rPr>
            </w:pPr>
            <w:r>
              <w:rPr>
                <w:rFonts w:hint="eastAsia" w:ascii="宋体" w:hAnsi="宋体" w:cs="宋体"/>
                <w:kern w:val="0"/>
                <w:sz w:val="24"/>
              </w:rPr>
              <w:t>27</w:t>
            </w:r>
          </w:p>
        </w:tc>
        <w:tc>
          <w:tcPr>
            <w:tcW w:w="1080" w:type="dxa"/>
            <w:vMerge w:val="continue"/>
            <w:shd w:val="clear" w:color="auto" w:fill="auto"/>
            <w:vAlign w:val="center"/>
          </w:tcPr>
          <w:p>
            <w:pPr>
              <w:widowControl/>
              <w:jc w:val="left"/>
              <w:rPr>
                <w:rFonts w:ascii="宋体" w:hAnsi="宋体" w:cs="宋体"/>
                <w:color w:val="000000"/>
                <w:kern w:val="0"/>
                <w:sz w:val="24"/>
              </w:rPr>
            </w:pPr>
          </w:p>
        </w:tc>
        <w:tc>
          <w:tcPr>
            <w:tcW w:w="1164" w:type="dxa"/>
            <w:vMerge w:val="continue"/>
            <w:shd w:val="clear" w:color="auto" w:fill="auto"/>
            <w:vAlign w:val="center"/>
          </w:tcPr>
          <w:p>
            <w:pPr>
              <w:widowControl/>
              <w:jc w:val="left"/>
              <w:rPr>
                <w:rFonts w:ascii="宋体" w:hAnsi="宋体" w:cs="宋体"/>
                <w:color w:val="000000"/>
                <w:kern w:val="0"/>
                <w:sz w:val="24"/>
              </w:rPr>
            </w:pPr>
          </w:p>
        </w:tc>
      </w:tr>
    </w:tbl>
    <w:p>
      <w:pPr>
        <w:spacing w:line="599" w:lineRule="exact"/>
        <w:rPr>
          <w:rFonts w:ascii="宋体" w:hAnsi="宋体" w:cs="宋体"/>
          <w:sz w:val="24"/>
        </w:rPr>
      </w:pPr>
    </w:p>
    <w:p>
      <w:pPr>
        <w:spacing w:line="599" w:lineRule="exact"/>
        <w:ind w:firstLine="482" w:firstLineChars="200"/>
        <w:rPr>
          <w:rFonts w:ascii="宋体" w:hAnsi="宋体" w:cs="宋体"/>
          <w:b/>
          <w:bCs/>
          <w:sz w:val="24"/>
        </w:rPr>
      </w:pPr>
      <w:r>
        <w:rPr>
          <w:rFonts w:hint="eastAsia" w:ascii="宋体" w:hAnsi="宋体" w:cs="宋体"/>
          <w:b/>
          <w:bCs/>
          <w:sz w:val="24"/>
        </w:rPr>
        <w:t>三、技术要求</w:t>
      </w:r>
    </w:p>
    <w:p>
      <w:pPr>
        <w:spacing w:line="599" w:lineRule="exact"/>
        <w:ind w:firstLine="562" w:firstLineChars="200"/>
        <w:rPr>
          <w:rFonts w:ascii="宋体" w:hAnsi="宋体" w:cs="宋体"/>
          <w:b/>
          <w:sz w:val="28"/>
          <w:szCs w:val="28"/>
        </w:rPr>
      </w:pPr>
      <w:r>
        <w:rPr>
          <w:rFonts w:hint="eastAsia" w:ascii="宋体" w:hAnsi="宋体" w:cs="宋体"/>
          <w:b/>
          <w:sz w:val="28"/>
          <w:szCs w:val="28"/>
        </w:rPr>
        <w:t>（一）01包技术要求</w:t>
      </w:r>
    </w:p>
    <w:p>
      <w:pPr>
        <w:spacing w:line="599" w:lineRule="exact"/>
        <w:ind w:firstLine="482" w:firstLineChars="200"/>
        <w:rPr>
          <w:rFonts w:ascii="宋体" w:hAnsi="宋体" w:cs="宋体"/>
          <w:b/>
          <w:sz w:val="24"/>
        </w:rPr>
      </w:pPr>
      <w:r>
        <w:rPr>
          <w:rFonts w:hint="eastAsia" w:ascii="宋体" w:hAnsi="宋体" w:cs="宋体"/>
          <w:b/>
          <w:sz w:val="24"/>
        </w:rPr>
        <w:t>1.量子安全服务平台一体机</w:t>
      </w:r>
    </w:p>
    <w:p>
      <w:pPr>
        <w:spacing w:line="599" w:lineRule="exact"/>
        <w:ind w:firstLine="480" w:firstLineChars="200"/>
        <w:rPr>
          <w:rFonts w:ascii="宋体" w:hAnsi="宋体" w:cs="宋体"/>
          <w:sz w:val="24"/>
        </w:rPr>
      </w:pPr>
      <w:r>
        <w:rPr>
          <w:rFonts w:hint="eastAsia" w:ascii="宋体" w:hAnsi="宋体" w:cs="宋体"/>
          <w:sz w:val="24"/>
        </w:rPr>
        <w:t>量子安全服务平台一体机是将量子安全服务移动引擎、密钥系统交换密码机功能合一的一体机产品；量子安全服务平台一体机包含业务注册、量子密钥获取、密钥安全存储、密码算法运算、接入认证、会话密钥分发，停机销号，配置管理等功能，为终端数量较少的应用场景提供一种便捷部署的使用方式。</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支持密钥全生命周期安全的密钥管理：发卡充注、激活、销卡等；</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支持终端接入认证；</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支持统一配置管理；</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支持多点间密钥协商；</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电源接口支持热插拔，1+1冗余备份；</w:t>
      </w:r>
    </w:p>
    <w:p>
      <w:pPr>
        <w:pStyle w:val="10"/>
        <w:numPr>
          <w:ilvl w:val="0"/>
          <w:numId w:val="2"/>
        </w:numPr>
        <w:spacing w:line="599" w:lineRule="exact"/>
        <w:ind w:firstLineChars="0"/>
        <w:rPr>
          <w:rFonts w:ascii="宋体" w:hAnsi="宋体" w:cs="宋体"/>
          <w:sz w:val="24"/>
          <w:szCs w:val="24"/>
        </w:rPr>
      </w:pPr>
      <w:r>
        <w:rPr>
          <w:rFonts w:hint="eastAsia" w:ascii="宋体" w:hAnsi="宋体" w:cs="宋体"/>
          <w:sz w:val="24"/>
          <w:szCs w:val="24"/>
        </w:rPr>
        <w:t>具备网口和USB接口；</w:t>
      </w:r>
    </w:p>
    <w:p>
      <w:pPr>
        <w:spacing w:line="599" w:lineRule="exact"/>
        <w:ind w:firstLine="482" w:firstLineChars="200"/>
        <w:rPr>
          <w:rFonts w:ascii="宋体" w:hAnsi="宋体" w:cs="宋体"/>
          <w:b/>
          <w:sz w:val="24"/>
        </w:rPr>
      </w:pPr>
      <w:r>
        <w:rPr>
          <w:rFonts w:hint="eastAsia" w:ascii="宋体" w:hAnsi="宋体" w:cs="宋体"/>
          <w:b/>
          <w:sz w:val="24"/>
        </w:rPr>
        <w:t>性能指标如下：</w:t>
      </w:r>
    </w:p>
    <w:p>
      <w:pPr>
        <w:pStyle w:val="10"/>
        <w:numPr>
          <w:ilvl w:val="0"/>
          <w:numId w:val="3"/>
        </w:numPr>
        <w:spacing w:line="599" w:lineRule="exact"/>
        <w:ind w:firstLineChars="0"/>
        <w:rPr>
          <w:rFonts w:ascii="宋体" w:hAnsi="宋体" w:cs="宋体"/>
          <w:sz w:val="24"/>
          <w:szCs w:val="24"/>
        </w:rPr>
      </w:pPr>
      <w:r>
        <w:rPr>
          <w:rFonts w:hint="eastAsia" w:ascii="宋体" w:hAnsi="宋体" w:cs="宋体"/>
          <w:sz w:val="24"/>
          <w:szCs w:val="24"/>
        </w:rPr>
        <w:t>单点支持接入并提供服务的终端数量：1万以上；</w:t>
      </w:r>
    </w:p>
    <w:p>
      <w:pPr>
        <w:pStyle w:val="10"/>
        <w:numPr>
          <w:ilvl w:val="0"/>
          <w:numId w:val="3"/>
        </w:numPr>
        <w:spacing w:line="599" w:lineRule="exact"/>
        <w:ind w:firstLineChars="0"/>
        <w:rPr>
          <w:rFonts w:ascii="宋体" w:hAnsi="宋体" w:cs="宋体"/>
          <w:sz w:val="24"/>
          <w:szCs w:val="24"/>
        </w:rPr>
      </w:pPr>
      <w:r>
        <w:rPr>
          <w:rFonts w:hint="eastAsia" w:ascii="宋体" w:hAnsi="宋体" w:cs="宋体"/>
          <w:sz w:val="24"/>
          <w:szCs w:val="24"/>
        </w:rPr>
        <w:t>单点支持每秒并发的密钥业务处理：20/s以上；</w:t>
      </w:r>
    </w:p>
    <w:p>
      <w:pPr>
        <w:pStyle w:val="10"/>
        <w:numPr>
          <w:ilvl w:val="0"/>
          <w:numId w:val="3"/>
        </w:numPr>
        <w:spacing w:line="599" w:lineRule="exact"/>
        <w:ind w:firstLineChars="0"/>
        <w:rPr>
          <w:rFonts w:ascii="宋体" w:hAnsi="宋体" w:cs="宋体"/>
          <w:sz w:val="24"/>
          <w:szCs w:val="24"/>
        </w:rPr>
      </w:pPr>
      <w:r>
        <w:rPr>
          <w:rFonts w:hint="eastAsia" w:ascii="宋体" w:hAnsi="宋体" w:cs="宋体"/>
          <w:sz w:val="24"/>
          <w:szCs w:val="24"/>
        </w:rPr>
        <w:t>获取会话密钥的延时：500ms以下。</w:t>
      </w:r>
    </w:p>
    <w:p>
      <w:pPr>
        <w:spacing w:line="599" w:lineRule="exact"/>
        <w:ind w:firstLine="482" w:firstLineChars="200"/>
        <w:rPr>
          <w:rFonts w:ascii="宋体" w:hAnsi="宋体" w:cs="宋体"/>
          <w:b/>
          <w:sz w:val="24"/>
        </w:rPr>
      </w:pPr>
      <w:r>
        <w:rPr>
          <w:rFonts w:hint="eastAsia" w:ascii="宋体" w:hAnsi="宋体" w:cs="宋体"/>
          <w:b/>
          <w:sz w:val="24"/>
        </w:rPr>
        <w:t>2.量子随机数发生器</w:t>
      </w:r>
    </w:p>
    <w:p>
      <w:pPr>
        <w:spacing w:line="599" w:lineRule="exact"/>
        <w:ind w:firstLine="480" w:firstLineChars="200"/>
        <w:rPr>
          <w:rFonts w:ascii="宋体" w:hAnsi="宋体" w:cs="宋体"/>
          <w:sz w:val="24"/>
        </w:rPr>
      </w:pPr>
      <w:r>
        <w:rPr>
          <w:rFonts w:hint="eastAsia" w:ascii="宋体" w:hAnsi="宋体" w:cs="宋体"/>
          <w:sz w:val="24"/>
        </w:rPr>
        <w:t>量子随机数发生器的主要作用是生成量子随机数，随机性来源于激光自发辐射光子的相位涨落，具有良好的量子随机性，输出的随机数可通过国密、NIST等随机性测试。</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4"/>
        </w:numPr>
        <w:spacing w:line="599" w:lineRule="exact"/>
        <w:ind w:firstLineChars="0"/>
        <w:rPr>
          <w:rFonts w:ascii="宋体" w:hAnsi="宋体" w:cs="宋体"/>
          <w:sz w:val="24"/>
          <w:szCs w:val="24"/>
        </w:rPr>
      </w:pPr>
      <w:r>
        <w:rPr>
          <w:rFonts w:hint="eastAsia" w:ascii="宋体" w:hAnsi="宋体" w:cs="宋体"/>
          <w:sz w:val="24"/>
          <w:szCs w:val="24"/>
        </w:rPr>
        <w:t>安全的随机数源，利用激光器（荧光）自发辐射的随机特性，通过干涉仪进行干涉并维持两臂相位差为2kπ+π/2，将随机相位量子化波动信息转换为随机数输出。</w:t>
      </w:r>
    </w:p>
    <w:p>
      <w:pPr>
        <w:pStyle w:val="10"/>
        <w:numPr>
          <w:ilvl w:val="0"/>
          <w:numId w:val="4"/>
        </w:numPr>
        <w:spacing w:line="599" w:lineRule="exact"/>
        <w:ind w:firstLineChars="0"/>
        <w:rPr>
          <w:rFonts w:ascii="宋体" w:hAnsi="宋体" w:cs="宋体"/>
          <w:sz w:val="24"/>
          <w:szCs w:val="24"/>
        </w:rPr>
      </w:pPr>
      <w:r>
        <w:rPr>
          <w:rFonts w:hint="eastAsia" w:ascii="宋体" w:hAnsi="宋体" w:cs="宋体"/>
          <w:sz w:val="24"/>
          <w:szCs w:val="24"/>
        </w:rPr>
        <w:t>系统状态稳定：实时监测、控制系统状态；通过主动维稳算法保持系统稳定性；极端情况下，系统状态不稳定时停止随机数输出。</w:t>
      </w:r>
    </w:p>
    <w:p>
      <w:pPr>
        <w:pStyle w:val="10"/>
        <w:numPr>
          <w:ilvl w:val="0"/>
          <w:numId w:val="4"/>
        </w:numPr>
        <w:spacing w:line="599" w:lineRule="exact"/>
        <w:ind w:firstLineChars="0"/>
        <w:rPr>
          <w:rFonts w:ascii="宋体" w:hAnsi="宋体" w:cs="宋体"/>
          <w:sz w:val="24"/>
          <w:szCs w:val="24"/>
        </w:rPr>
      </w:pPr>
      <w:r>
        <w:rPr>
          <w:rFonts w:hint="eastAsia" w:ascii="宋体" w:hAnsi="宋体" w:cs="宋体"/>
          <w:sz w:val="24"/>
          <w:szCs w:val="24"/>
        </w:rPr>
        <w:t>安全的后处理：利用安全的Toeplitz矩阵处理随机数源；经过后处理单元处理的数据作为最终输出的量子随机数供用户使用。</w:t>
      </w:r>
    </w:p>
    <w:p>
      <w:pPr>
        <w:spacing w:line="599" w:lineRule="exact"/>
        <w:ind w:firstLine="482" w:firstLineChars="200"/>
        <w:rPr>
          <w:rFonts w:ascii="宋体" w:hAnsi="宋体" w:cs="宋体"/>
          <w:b/>
          <w:sz w:val="24"/>
        </w:rPr>
      </w:pPr>
      <w:r>
        <w:rPr>
          <w:rFonts w:hint="eastAsia" w:ascii="宋体" w:hAnsi="宋体" w:cs="宋体"/>
          <w:b/>
          <w:sz w:val="24"/>
        </w:rPr>
        <w:t>性能指标如下：</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以太网口≥600Mbps；</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USB接口≥200Mbps；</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启动时间：30S；</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光波长：1550.12±0.5nm；</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电压：AC220V ，功耗：30W；</w:t>
      </w:r>
    </w:p>
    <w:p>
      <w:pPr>
        <w:pStyle w:val="10"/>
        <w:numPr>
          <w:ilvl w:val="0"/>
          <w:numId w:val="5"/>
        </w:numPr>
        <w:spacing w:line="599" w:lineRule="exact"/>
        <w:ind w:firstLineChars="0"/>
        <w:rPr>
          <w:rFonts w:ascii="宋体" w:hAnsi="宋体" w:cs="宋体"/>
          <w:sz w:val="24"/>
          <w:szCs w:val="24"/>
        </w:rPr>
      </w:pPr>
      <w:r>
        <w:rPr>
          <w:rFonts w:hint="eastAsia" w:ascii="宋体" w:hAnsi="宋体" w:cs="宋体"/>
          <w:sz w:val="24"/>
          <w:szCs w:val="24"/>
        </w:rPr>
        <w:t>工作环境温度：0-40 ℃；</w:t>
      </w:r>
    </w:p>
    <w:p>
      <w:pPr>
        <w:spacing w:line="599" w:lineRule="exact"/>
        <w:ind w:firstLine="482" w:firstLineChars="200"/>
        <w:rPr>
          <w:rFonts w:ascii="宋体" w:hAnsi="宋体" w:cs="宋体"/>
          <w:b/>
          <w:sz w:val="24"/>
        </w:rPr>
      </w:pPr>
      <w:r>
        <w:rPr>
          <w:rFonts w:hint="eastAsia" w:ascii="宋体" w:hAnsi="宋体" w:cs="宋体"/>
          <w:b/>
          <w:sz w:val="24"/>
        </w:rPr>
        <w:t>3.安全U盾</w:t>
      </w:r>
    </w:p>
    <w:p>
      <w:pPr>
        <w:spacing w:line="599" w:lineRule="exact"/>
        <w:ind w:firstLine="480" w:firstLineChars="200"/>
        <w:rPr>
          <w:rFonts w:ascii="宋体" w:hAnsi="宋体" w:cs="宋体"/>
          <w:sz w:val="24"/>
        </w:rPr>
      </w:pPr>
      <w:r>
        <w:rPr>
          <w:rFonts w:hint="eastAsia" w:ascii="宋体" w:hAnsi="宋体" w:cs="宋体"/>
          <w:sz w:val="24"/>
        </w:rPr>
        <w:t>具备完善的安全认证机制和高速的数据加解密等功能。支持USB标准协议传输，即插即用，支持热插拔。</w:t>
      </w:r>
    </w:p>
    <w:p>
      <w:pPr>
        <w:spacing w:line="599" w:lineRule="exact"/>
        <w:ind w:firstLine="480" w:firstLineChars="200"/>
        <w:rPr>
          <w:rFonts w:ascii="宋体" w:hAnsi="宋体" w:cs="宋体"/>
          <w:sz w:val="24"/>
        </w:rPr>
      </w:pPr>
      <w:r>
        <w:rPr>
          <w:rFonts w:hint="eastAsia" w:ascii="宋体" w:hAnsi="宋体" w:cs="宋体"/>
          <w:sz w:val="24"/>
        </w:rPr>
        <w:t>功能指标如下：</w:t>
      </w:r>
    </w:p>
    <w:p>
      <w:pPr>
        <w:pStyle w:val="10"/>
        <w:numPr>
          <w:ilvl w:val="0"/>
          <w:numId w:val="6"/>
        </w:numPr>
        <w:spacing w:line="599" w:lineRule="exact"/>
        <w:ind w:firstLineChars="0"/>
        <w:rPr>
          <w:rFonts w:ascii="宋体" w:hAnsi="宋体" w:cs="宋体"/>
          <w:sz w:val="24"/>
          <w:szCs w:val="24"/>
        </w:rPr>
      </w:pPr>
      <w:r>
        <w:rPr>
          <w:rFonts w:hint="eastAsia" w:ascii="宋体" w:hAnsi="宋体" w:cs="宋体"/>
          <w:sz w:val="24"/>
          <w:szCs w:val="24"/>
        </w:rPr>
        <w:t>支持AES-128、AES-192、AES-256、DES、3DES等国际标准算法；</w:t>
      </w:r>
    </w:p>
    <w:p>
      <w:pPr>
        <w:pStyle w:val="10"/>
        <w:numPr>
          <w:ilvl w:val="0"/>
          <w:numId w:val="6"/>
        </w:numPr>
        <w:spacing w:line="599" w:lineRule="exact"/>
        <w:ind w:firstLineChars="0"/>
        <w:rPr>
          <w:rFonts w:ascii="宋体" w:hAnsi="宋体" w:cs="宋体"/>
          <w:sz w:val="24"/>
          <w:szCs w:val="24"/>
        </w:rPr>
      </w:pPr>
      <w:r>
        <w:rPr>
          <w:rFonts w:hint="eastAsia" w:ascii="宋体" w:hAnsi="宋体" w:cs="宋体"/>
          <w:sz w:val="24"/>
          <w:szCs w:val="24"/>
        </w:rPr>
        <w:t>支持SM1、SM2、SM3、SM4等国家密码局标准算法；</w:t>
      </w:r>
    </w:p>
    <w:p>
      <w:pPr>
        <w:spacing w:line="599" w:lineRule="exact"/>
        <w:ind w:firstLine="482" w:firstLineChars="200"/>
        <w:rPr>
          <w:rFonts w:ascii="宋体" w:hAnsi="宋体" w:cs="宋体"/>
          <w:b/>
          <w:sz w:val="24"/>
        </w:rPr>
      </w:pPr>
      <w:r>
        <w:rPr>
          <w:rFonts w:hint="eastAsia" w:ascii="宋体" w:hAnsi="宋体" w:cs="宋体"/>
          <w:b/>
          <w:sz w:val="24"/>
        </w:rPr>
        <w:t>4.量子安全服务移动引擎</w:t>
      </w:r>
    </w:p>
    <w:p>
      <w:pPr>
        <w:spacing w:line="599" w:lineRule="exact"/>
        <w:ind w:firstLine="480" w:firstLineChars="200"/>
        <w:rPr>
          <w:rFonts w:ascii="宋体" w:hAnsi="宋体" w:cs="宋体"/>
          <w:sz w:val="24"/>
        </w:rPr>
      </w:pPr>
      <w:r>
        <w:rPr>
          <w:rFonts w:hint="eastAsia" w:ascii="宋体" w:hAnsi="宋体" w:cs="宋体"/>
          <w:sz w:val="24"/>
        </w:rPr>
        <w:t>量子安全服务移动引擎是整个量子安全服务平台的核心控制管理软件，基于量子随机数或量子密钥分发网络与密钥系统交换密码机为移动终端等设备提供密钥服务，支撑用户实现安全通信等业务。</w:t>
      </w:r>
    </w:p>
    <w:p>
      <w:pPr>
        <w:spacing w:line="599" w:lineRule="exact"/>
        <w:ind w:firstLine="480" w:firstLineChars="200"/>
        <w:rPr>
          <w:rFonts w:ascii="宋体" w:hAnsi="宋体" w:cs="宋体"/>
          <w:sz w:val="24"/>
        </w:rPr>
      </w:pPr>
      <w:r>
        <w:rPr>
          <w:rFonts w:hint="eastAsia" w:ascii="宋体" w:hAnsi="宋体" w:cs="宋体"/>
          <w:sz w:val="24"/>
        </w:rPr>
        <w:t>引擎采用微服务架构，部署于量子安全服务平台一体机，负责整系统的运行管理，包含：终端应用、交换密码机、充注模块等设备的管理员/用户注册、接入认证管理，安全介质的发卡密钥充注、激活、销卡等安全介质全周期管理以及相关充注密钥信息管理，移动终端间的会话密钥获取等业务管理，交换密码机存储密钥的调配与管理，以及全网统一配置管理和状态监控等。</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7"/>
        </w:numPr>
        <w:spacing w:line="599" w:lineRule="exact"/>
        <w:ind w:firstLineChars="0"/>
        <w:rPr>
          <w:rFonts w:ascii="宋体" w:hAnsi="宋体" w:cs="宋体"/>
          <w:sz w:val="24"/>
          <w:szCs w:val="24"/>
        </w:rPr>
      </w:pPr>
      <w:r>
        <w:rPr>
          <w:rFonts w:hint="eastAsia" w:ascii="宋体" w:hAnsi="宋体" w:cs="宋体"/>
          <w:sz w:val="24"/>
          <w:szCs w:val="24"/>
        </w:rPr>
        <w:t>密码服务平台软件不存储密钥明文；</w:t>
      </w:r>
    </w:p>
    <w:p>
      <w:pPr>
        <w:pStyle w:val="10"/>
        <w:numPr>
          <w:ilvl w:val="0"/>
          <w:numId w:val="7"/>
        </w:numPr>
        <w:spacing w:line="599" w:lineRule="exact"/>
        <w:ind w:firstLineChars="0"/>
        <w:rPr>
          <w:rFonts w:ascii="宋体" w:hAnsi="宋体" w:cs="宋体"/>
          <w:sz w:val="24"/>
          <w:szCs w:val="24"/>
        </w:rPr>
      </w:pPr>
      <w:r>
        <w:rPr>
          <w:rFonts w:hint="eastAsia" w:ascii="宋体" w:hAnsi="宋体" w:cs="宋体"/>
          <w:sz w:val="24"/>
          <w:szCs w:val="24"/>
        </w:rPr>
        <w:t>支持一次一密的会话密钥传输，支持一业一密应用；</w:t>
      </w:r>
    </w:p>
    <w:p>
      <w:pPr>
        <w:pStyle w:val="10"/>
        <w:numPr>
          <w:ilvl w:val="0"/>
          <w:numId w:val="7"/>
        </w:numPr>
        <w:spacing w:line="599" w:lineRule="exact"/>
        <w:ind w:firstLineChars="0"/>
        <w:rPr>
          <w:rFonts w:ascii="宋体" w:hAnsi="宋体" w:cs="宋体"/>
          <w:sz w:val="24"/>
          <w:szCs w:val="24"/>
        </w:rPr>
      </w:pPr>
      <w:r>
        <w:rPr>
          <w:rFonts w:hint="eastAsia" w:ascii="宋体" w:hAnsi="宋体" w:cs="宋体"/>
          <w:sz w:val="24"/>
          <w:szCs w:val="24"/>
        </w:rPr>
        <w:t>支持从量子密钥分发网络获取会话密钥；</w:t>
      </w:r>
    </w:p>
    <w:p>
      <w:pPr>
        <w:pStyle w:val="10"/>
        <w:numPr>
          <w:ilvl w:val="0"/>
          <w:numId w:val="7"/>
        </w:numPr>
        <w:spacing w:line="599" w:lineRule="exact"/>
        <w:ind w:firstLineChars="0"/>
        <w:rPr>
          <w:rFonts w:ascii="宋体" w:hAnsi="宋体" w:cs="宋体"/>
          <w:sz w:val="24"/>
          <w:szCs w:val="24"/>
        </w:rPr>
      </w:pPr>
      <w:r>
        <w:rPr>
          <w:rFonts w:hint="eastAsia" w:ascii="宋体" w:hAnsi="宋体" w:cs="宋体"/>
          <w:sz w:val="24"/>
          <w:szCs w:val="24"/>
        </w:rPr>
        <w:t>与应用终端间采用REST接口，方便开发。</w:t>
      </w:r>
    </w:p>
    <w:p>
      <w:pPr>
        <w:spacing w:line="599" w:lineRule="exact"/>
        <w:ind w:firstLine="482" w:firstLineChars="200"/>
        <w:rPr>
          <w:rFonts w:ascii="宋体" w:hAnsi="宋体" w:cs="宋体"/>
          <w:b/>
          <w:sz w:val="24"/>
        </w:rPr>
      </w:pPr>
      <w:r>
        <w:rPr>
          <w:rFonts w:hint="eastAsia" w:ascii="宋体" w:hAnsi="宋体" w:cs="宋体"/>
          <w:b/>
          <w:sz w:val="24"/>
        </w:rPr>
        <w:t>5.量子随机数发生器软件</w:t>
      </w:r>
    </w:p>
    <w:p>
      <w:pPr>
        <w:spacing w:line="599" w:lineRule="exact"/>
        <w:ind w:firstLine="480" w:firstLineChars="200"/>
        <w:rPr>
          <w:rFonts w:ascii="宋体" w:hAnsi="宋体" w:cs="宋体"/>
          <w:sz w:val="24"/>
        </w:rPr>
      </w:pPr>
      <w:r>
        <w:rPr>
          <w:rFonts w:hint="eastAsia" w:ascii="宋体" w:hAnsi="宋体" w:cs="宋体"/>
          <w:sz w:val="24"/>
        </w:rPr>
        <w:t>量子随机数发生器软件是配套量子随机数发生器的软件，用于量子随机数发生器设备上位机操作。</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8"/>
        </w:numPr>
        <w:spacing w:line="599" w:lineRule="exact"/>
        <w:ind w:firstLineChars="0"/>
        <w:rPr>
          <w:rFonts w:ascii="宋体" w:hAnsi="宋体" w:cs="宋体"/>
          <w:sz w:val="24"/>
          <w:szCs w:val="24"/>
        </w:rPr>
      </w:pPr>
      <w:r>
        <w:rPr>
          <w:rFonts w:hint="eastAsia" w:ascii="宋体" w:hAnsi="宋体" w:cs="宋体"/>
          <w:sz w:val="24"/>
          <w:szCs w:val="24"/>
        </w:rPr>
        <w:t>提供SDK库供用户调用。</w:t>
      </w:r>
    </w:p>
    <w:p>
      <w:pPr>
        <w:spacing w:line="599" w:lineRule="exact"/>
        <w:ind w:firstLine="482" w:firstLineChars="200"/>
        <w:rPr>
          <w:rFonts w:ascii="宋体" w:hAnsi="宋体" w:cs="宋体"/>
          <w:b/>
          <w:sz w:val="24"/>
        </w:rPr>
      </w:pPr>
      <w:r>
        <w:rPr>
          <w:rFonts w:hint="eastAsia" w:ascii="宋体" w:hAnsi="宋体" w:cs="宋体"/>
          <w:b/>
          <w:sz w:val="24"/>
        </w:rPr>
        <w:t>6.密钥系统交换密码机软件</w:t>
      </w:r>
    </w:p>
    <w:p>
      <w:pPr>
        <w:spacing w:line="599" w:lineRule="exact"/>
        <w:ind w:firstLine="480" w:firstLineChars="200"/>
        <w:rPr>
          <w:rFonts w:ascii="宋体" w:hAnsi="宋体" w:cs="宋体"/>
          <w:sz w:val="24"/>
        </w:rPr>
      </w:pPr>
      <w:r>
        <w:rPr>
          <w:rFonts w:hint="eastAsia" w:ascii="宋体" w:hAnsi="宋体" w:cs="宋体"/>
          <w:sz w:val="24"/>
        </w:rPr>
        <w:t>密钥系统交换密码机软件，是量子安全服务平台一体机中密钥系统交换密码机配套软件。负责获取量子随机数或量子密钥分发网络的密钥，并进行密钥的存储管理，提供密钥终端充注，将获取量子密钥作为会话密钥提供给移动终端用于加密通信。</w:t>
      </w:r>
    </w:p>
    <w:p>
      <w:pPr>
        <w:spacing w:line="599" w:lineRule="exact"/>
        <w:ind w:firstLine="482" w:firstLineChars="200"/>
        <w:rPr>
          <w:rFonts w:ascii="宋体" w:hAnsi="宋体" w:cs="宋体"/>
          <w:b/>
          <w:sz w:val="24"/>
        </w:rPr>
      </w:pPr>
      <w:r>
        <w:rPr>
          <w:rFonts w:hint="eastAsia" w:ascii="宋体" w:hAnsi="宋体" w:cs="宋体"/>
          <w:b/>
          <w:sz w:val="24"/>
        </w:rPr>
        <w:t>功能指标：</w:t>
      </w:r>
    </w:p>
    <w:p>
      <w:pPr>
        <w:pStyle w:val="10"/>
        <w:numPr>
          <w:ilvl w:val="0"/>
          <w:numId w:val="9"/>
        </w:numPr>
        <w:spacing w:line="599" w:lineRule="exact"/>
        <w:ind w:firstLineChars="0"/>
        <w:rPr>
          <w:rFonts w:ascii="宋体" w:hAnsi="宋体" w:cs="宋体"/>
          <w:sz w:val="24"/>
          <w:szCs w:val="24"/>
        </w:rPr>
      </w:pPr>
      <w:r>
        <w:rPr>
          <w:rFonts w:hint="eastAsia" w:ascii="宋体" w:hAnsi="宋体" w:cs="宋体"/>
          <w:sz w:val="24"/>
          <w:szCs w:val="24"/>
        </w:rPr>
        <w:t>配套量子安全服务平台一体机中，实现密钥管理配置功能；</w:t>
      </w:r>
    </w:p>
    <w:p>
      <w:pPr>
        <w:pStyle w:val="10"/>
        <w:numPr>
          <w:ilvl w:val="0"/>
          <w:numId w:val="9"/>
        </w:numPr>
        <w:spacing w:line="599" w:lineRule="exact"/>
        <w:ind w:firstLineChars="0"/>
        <w:rPr>
          <w:rFonts w:ascii="宋体" w:hAnsi="宋体" w:cs="宋体"/>
          <w:sz w:val="24"/>
          <w:szCs w:val="24"/>
        </w:rPr>
      </w:pPr>
      <w:r>
        <w:rPr>
          <w:rFonts w:hint="eastAsia" w:ascii="宋体" w:hAnsi="宋体" w:cs="宋体"/>
          <w:sz w:val="24"/>
          <w:szCs w:val="24"/>
        </w:rPr>
        <w:t>支持密钥全生命周期安全的密钥管理；</w:t>
      </w:r>
    </w:p>
    <w:p>
      <w:pPr>
        <w:pStyle w:val="10"/>
        <w:numPr>
          <w:ilvl w:val="0"/>
          <w:numId w:val="9"/>
        </w:numPr>
        <w:spacing w:line="599" w:lineRule="exact"/>
        <w:ind w:firstLineChars="0"/>
        <w:rPr>
          <w:rFonts w:ascii="宋体" w:hAnsi="宋体" w:cs="宋体"/>
          <w:sz w:val="24"/>
          <w:szCs w:val="24"/>
        </w:rPr>
      </w:pPr>
      <w:r>
        <w:rPr>
          <w:rFonts w:hint="eastAsia" w:ascii="宋体" w:hAnsi="宋体" w:cs="宋体"/>
          <w:sz w:val="24"/>
          <w:szCs w:val="24"/>
        </w:rPr>
        <w:t>支持充注密钥生成和存储管理功能；</w:t>
      </w:r>
    </w:p>
    <w:p>
      <w:pPr>
        <w:pStyle w:val="10"/>
        <w:numPr>
          <w:ilvl w:val="0"/>
          <w:numId w:val="9"/>
        </w:numPr>
        <w:spacing w:line="599" w:lineRule="exact"/>
        <w:ind w:firstLineChars="0"/>
        <w:rPr>
          <w:rFonts w:ascii="宋体" w:hAnsi="宋体" w:cs="宋体"/>
          <w:sz w:val="24"/>
          <w:szCs w:val="24"/>
        </w:rPr>
      </w:pPr>
      <w:r>
        <w:rPr>
          <w:rFonts w:hint="eastAsia" w:ascii="宋体" w:hAnsi="宋体" w:cs="宋体"/>
          <w:sz w:val="24"/>
          <w:szCs w:val="24"/>
        </w:rPr>
        <w:t>支持会话密钥生成和存储管理功能；</w:t>
      </w:r>
    </w:p>
    <w:p>
      <w:pPr>
        <w:pStyle w:val="10"/>
        <w:numPr>
          <w:ilvl w:val="0"/>
          <w:numId w:val="9"/>
        </w:numPr>
        <w:spacing w:line="599" w:lineRule="exact"/>
        <w:ind w:firstLineChars="0"/>
        <w:rPr>
          <w:rFonts w:ascii="宋体" w:hAnsi="宋体" w:cs="宋体"/>
          <w:sz w:val="24"/>
          <w:szCs w:val="24"/>
        </w:rPr>
      </w:pPr>
      <w:r>
        <w:rPr>
          <w:rFonts w:hint="eastAsia" w:ascii="宋体" w:hAnsi="宋体" w:cs="宋体"/>
          <w:sz w:val="24"/>
          <w:szCs w:val="24"/>
        </w:rPr>
        <w:t>支持终端接入认证；</w:t>
      </w:r>
    </w:p>
    <w:p>
      <w:pPr>
        <w:spacing w:line="599" w:lineRule="exact"/>
        <w:ind w:firstLine="482" w:firstLineChars="200"/>
        <w:rPr>
          <w:rFonts w:ascii="宋体" w:hAnsi="宋体" w:cs="宋体"/>
          <w:b/>
          <w:sz w:val="24"/>
        </w:rPr>
      </w:pPr>
      <w:r>
        <w:rPr>
          <w:rFonts w:hint="eastAsia" w:ascii="宋体" w:hAnsi="宋体" w:cs="宋体"/>
          <w:b/>
          <w:sz w:val="24"/>
        </w:rPr>
        <w:t>7.充注终端软件</w:t>
      </w:r>
    </w:p>
    <w:p>
      <w:pPr>
        <w:spacing w:line="599" w:lineRule="exact"/>
        <w:ind w:firstLine="480" w:firstLineChars="200"/>
        <w:rPr>
          <w:rFonts w:ascii="宋体" w:hAnsi="宋体" w:cs="宋体"/>
          <w:sz w:val="24"/>
        </w:rPr>
      </w:pPr>
      <w:r>
        <w:rPr>
          <w:rFonts w:hint="eastAsia" w:ascii="宋体" w:hAnsi="宋体" w:cs="宋体"/>
          <w:sz w:val="24"/>
        </w:rPr>
        <w:t>充注终端软件，是对安全终端或介质进行量子密钥充注的软件，可安装于特定充注机或PC终端上，为安全介质提供绑定和密钥充注功能。</w:t>
      </w:r>
    </w:p>
    <w:p>
      <w:pPr>
        <w:spacing w:line="599" w:lineRule="exact"/>
        <w:ind w:firstLine="480" w:firstLineChars="200"/>
        <w:rPr>
          <w:rFonts w:ascii="宋体" w:hAnsi="宋体" w:cs="宋体"/>
          <w:sz w:val="24"/>
        </w:rPr>
      </w:pPr>
      <w:r>
        <w:rPr>
          <w:rFonts w:hint="eastAsia" w:ascii="宋体" w:hAnsi="宋体" w:cs="宋体"/>
          <w:sz w:val="24"/>
        </w:rPr>
        <w:t>密钥充注时将从密钥系统交换密码机获取到的量子随机数，充注到终端设备的安全介质内，用于对申请的会话密钥进行加解密。</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10"/>
        </w:numPr>
        <w:spacing w:line="599" w:lineRule="exact"/>
        <w:ind w:firstLineChars="0"/>
        <w:rPr>
          <w:rFonts w:ascii="宋体" w:hAnsi="宋体" w:cs="宋体"/>
          <w:sz w:val="24"/>
          <w:szCs w:val="24"/>
        </w:rPr>
      </w:pPr>
      <w:r>
        <w:rPr>
          <w:rFonts w:hint="eastAsia" w:ascii="宋体" w:hAnsi="宋体" w:cs="宋体"/>
          <w:sz w:val="24"/>
          <w:szCs w:val="24"/>
        </w:rPr>
        <w:t>提供良好的人机交互界面；</w:t>
      </w:r>
    </w:p>
    <w:p>
      <w:pPr>
        <w:pStyle w:val="10"/>
        <w:numPr>
          <w:ilvl w:val="0"/>
          <w:numId w:val="10"/>
        </w:numPr>
        <w:spacing w:line="599" w:lineRule="exact"/>
        <w:ind w:firstLineChars="0"/>
        <w:rPr>
          <w:rFonts w:ascii="宋体" w:hAnsi="宋体" w:cs="宋体"/>
          <w:sz w:val="24"/>
          <w:szCs w:val="24"/>
        </w:rPr>
      </w:pPr>
      <w:r>
        <w:rPr>
          <w:rFonts w:hint="eastAsia" w:ascii="宋体" w:hAnsi="宋体" w:cs="宋体"/>
          <w:sz w:val="24"/>
          <w:szCs w:val="24"/>
        </w:rPr>
        <w:t>支持与量子安全服务移动引擎的接入认证；</w:t>
      </w:r>
    </w:p>
    <w:p>
      <w:pPr>
        <w:pStyle w:val="10"/>
        <w:numPr>
          <w:ilvl w:val="0"/>
          <w:numId w:val="10"/>
        </w:numPr>
        <w:spacing w:line="599" w:lineRule="exact"/>
        <w:ind w:firstLineChars="0"/>
        <w:rPr>
          <w:rFonts w:ascii="宋体" w:hAnsi="宋体" w:cs="宋体"/>
          <w:sz w:val="24"/>
          <w:szCs w:val="24"/>
        </w:rPr>
      </w:pPr>
      <w:r>
        <w:rPr>
          <w:rFonts w:hint="eastAsia" w:ascii="宋体" w:hAnsi="宋体" w:cs="宋体"/>
          <w:sz w:val="24"/>
          <w:szCs w:val="24"/>
        </w:rPr>
        <w:t>支持对各类安全介质（如U盾、SIM卡）的绑定和密钥充注；</w:t>
      </w:r>
    </w:p>
    <w:p>
      <w:pPr>
        <w:pStyle w:val="10"/>
        <w:numPr>
          <w:ilvl w:val="0"/>
          <w:numId w:val="10"/>
        </w:numPr>
        <w:spacing w:line="599" w:lineRule="exact"/>
        <w:ind w:firstLineChars="0"/>
        <w:rPr>
          <w:rFonts w:ascii="宋体" w:hAnsi="宋体" w:cs="宋体"/>
          <w:sz w:val="24"/>
          <w:szCs w:val="24"/>
        </w:rPr>
      </w:pPr>
      <w:r>
        <w:rPr>
          <w:rFonts w:hint="eastAsia" w:ascii="宋体" w:hAnsi="宋体" w:cs="宋体"/>
          <w:sz w:val="24"/>
          <w:szCs w:val="24"/>
        </w:rPr>
        <w:t>支持接入密钥系统交换密码机，获取密钥充注权限，并建立和密钥系统交换密码机的安全通道；</w:t>
      </w:r>
    </w:p>
    <w:p>
      <w:pPr>
        <w:pStyle w:val="10"/>
        <w:numPr>
          <w:ilvl w:val="0"/>
          <w:numId w:val="10"/>
        </w:numPr>
        <w:spacing w:line="599" w:lineRule="exact"/>
        <w:ind w:firstLineChars="0"/>
        <w:rPr>
          <w:rFonts w:ascii="宋体" w:hAnsi="宋体" w:cs="宋体"/>
          <w:sz w:val="24"/>
          <w:szCs w:val="24"/>
        </w:rPr>
      </w:pPr>
      <w:r>
        <w:rPr>
          <w:rFonts w:hint="eastAsia" w:ascii="宋体" w:hAnsi="宋体" w:cs="宋体"/>
          <w:sz w:val="24"/>
          <w:szCs w:val="24"/>
        </w:rPr>
        <w:t>支持对终端安全介质的批量写卡能力。</w:t>
      </w:r>
    </w:p>
    <w:p>
      <w:pPr>
        <w:spacing w:line="599" w:lineRule="exact"/>
        <w:ind w:firstLine="482" w:firstLineChars="200"/>
        <w:rPr>
          <w:rFonts w:ascii="宋体" w:hAnsi="宋体" w:cs="宋体"/>
          <w:b/>
          <w:sz w:val="24"/>
        </w:rPr>
      </w:pPr>
      <w:r>
        <w:rPr>
          <w:rFonts w:hint="eastAsia" w:ascii="宋体" w:hAnsi="宋体" w:cs="宋体"/>
          <w:b/>
          <w:sz w:val="24"/>
        </w:rPr>
        <w:t>8.安全邮件软件</w:t>
      </w:r>
    </w:p>
    <w:p>
      <w:pPr>
        <w:spacing w:line="599" w:lineRule="exact"/>
        <w:ind w:firstLine="480" w:firstLineChars="200"/>
        <w:rPr>
          <w:rFonts w:ascii="宋体" w:hAnsi="宋体" w:cs="宋体"/>
          <w:sz w:val="24"/>
        </w:rPr>
      </w:pPr>
      <w:r>
        <w:rPr>
          <w:rFonts w:hint="eastAsia" w:ascii="宋体" w:hAnsi="宋体" w:cs="宋体"/>
          <w:sz w:val="24"/>
        </w:rPr>
        <w:t>安全邮件在邮件客户端基本功能的基础上，对邮件正文以及附件进行加解密，每封邮件使用不同的密钥，邮件在中转环节均为密文传输，邮件服务器无法查看邮件明文，本地实现收取的邮件密文存储，仅在查看邮件时解密，确保邮件传输和存储的安全。邮件加密密钥通过量子安全服务平台在线获取，实现一邮一密。</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支持邮件正文和附件的分离加密；</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支持一邮一密；</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支持邮件加密可选择，默认加密；</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支持发件人转发权限设置，默认禁止转发，禁止转发时原邮件为密文；</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收取邮件本地密文存储，查看时解密，退出客户端后清除缓存明文；</w:t>
      </w:r>
    </w:p>
    <w:p>
      <w:pPr>
        <w:pStyle w:val="10"/>
        <w:numPr>
          <w:ilvl w:val="0"/>
          <w:numId w:val="11"/>
        </w:numPr>
        <w:spacing w:line="599" w:lineRule="exact"/>
        <w:ind w:firstLineChars="0"/>
        <w:rPr>
          <w:rFonts w:ascii="宋体" w:hAnsi="宋体" w:cs="宋体"/>
          <w:sz w:val="24"/>
          <w:szCs w:val="24"/>
        </w:rPr>
      </w:pPr>
      <w:r>
        <w:rPr>
          <w:rFonts w:hint="eastAsia" w:ascii="宋体" w:hAnsi="宋体" w:cs="宋体"/>
          <w:sz w:val="24"/>
          <w:szCs w:val="24"/>
        </w:rPr>
        <w:t>支持在线更新升级。</w:t>
      </w:r>
    </w:p>
    <w:p>
      <w:pPr>
        <w:spacing w:line="599" w:lineRule="exact"/>
        <w:rPr>
          <w:rFonts w:ascii="宋体" w:hAnsi="宋体" w:cs="宋体"/>
          <w:sz w:val="24"/>
        </w:rPr>
      </w:pPr>
    </w:p>
    <w:p>
      <w:pPr>
        <w:widowControl/>
        <w:adjustRightInd w:val="0"/>
        <w:snapToGrid w:val="0"/>
        <w:ind w:firstLine="482" w:firstLineChars="200"/>
        <w:rPr>
          <w:rFonts w:ascii="宋体" w:hAnsi="宋体" w:cs="宋体"/>
          <w:b/>
          <w:bCs/>
          <w:color w:val="000000"/>
          <w:sz w:val="24"/>
        </w:rPr>
      </w:pPr>
      <w:r>
        <w:rPr>
          <w:rFonts w:hint="eastAsia" w:ascii="宋体" w:hAnsi="宋体" w:cs="宋体"/>
          <w:b/>
          <w:bCs/>
          <w:sz w:val="24"/>
        </w:rPr>
        <w:t>01包技术指标要求如下表：</w:t>
      </w:r>
      <w:r>
        <w:rPr>
          <w:rFonts w:hint="eastAsia" w:ascii="宋体" w:hAnsi="宋体" w:cs="宋体"/>
          <w:b/>
          <w:bCs/>
          <w:color w:val="000000"/>
          <w:sz w:val="24"/>
        </w:rPr>
        <w:t xml:space="preserve"> </w:t>
      </w:r>
    </w:p>
    <w:p>
      <w:pPr>
        <w:widowControl/>
        <w:adjustRightInd w:val="0"/>
        <w:snapToGrid w:val="0"/>
        <w:ind w:firstLine="482" w:firstLineChars="200"/>
        <w:rPr>
          <w:rFonts w:ascii="宋体" w:hAnsi="宋体" w:cs="宋体"/>
          <w:b/>
          <w:bCs/>
          <w:sz w:val="24"/>
        </w:rPr>
      </w:pPr>
      <w:r>
        <w:rPr>
          <w:rFonts w:hint="eastAsia" w:ascii="宋体" w:hAnsi="宋体" w:cs="宋体"/>
          <w:b/>
          <w:bCs/>
          <w:color w:val="000000"/>
          <w:sz w:val="24"/>
        </w:rPr>
        <w:t>（*代表核心技术指标 ，#代表重要技术指标无标识项表示一般技术指标）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822"/>
        <w:gridCol w:w="980"/>
        <w:gridCol w:w="4220"/>
        <w:gridCol w:w="1022"/>
        <w:gridCol w:w="1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blHeader/>
          <w:jc w:val="center"/>
        </w:trPr>
        <w:tc>
          <w:tcPr>
            <w:tcW w:w="227"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序号</w:t>
            </w:r>
          </w:p>
        </w:tc>
        <w:tc>
          <w:tcPr>
            <w:tcW w:w="491"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指标项</w:t>
            </w:r>
          </w:p>
        </w:tc>
        <w:tc>
          <w:tcPr>
            <w:tcW w:w="3067" w:type="pct"/>
            <w:gridSpan w:val="2"/>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指标要求</w:t>
            </w:r>
          </w:p>
        </w:tc>
        <w:tc>
          <w:tcPr>
            <w:tcW w:w="608"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响应情况</w:t>
            </w:r>
          </w:p>
        </w:tc>
        <w:tc>
          <w:tcPr>
            <w:tcW w:w="607" w:type="pct"/>
            <w:shd w:val="clear" w:color="auto" w:fill="A6A6A6"/>
          </w:tcPr>
          <w:p>
            <w:pPr>
              <w:spacing w:line="276" w:lineRule="auto"/>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量子安全服务平台一体机</w:t>
            </w:r>
          </w:p>
        </w:tc>
        <w:tc>
          <w:tcPr>
            <w:tcW w:w="583" w:type="pct"/>
            <w:vMerge w:val="restart"/>
            <w:vAlign w:val="center"/>
          </w:tcPr>
          <w:p>
            <w:pPr>
              <w:jc w:val="left"/>
              <w:rPr>
                <w:rFonts w:ascii="宋体" w:hAnsi="宋体" w:cs="宋体"/>
                <w:sz w:val="24"/>
              </w:rPr>
            </w:pPr>
            <w:r>
              <w:rPr>
                <w:rFonts w:hint="eastAsia" w:ascii="宋体" w:hAnsi="宋体" w:cs="宋体"/>
                <w:b/>
                <w:bCs/>
                <w:sz w:val="24"/>
              </w:rPr>
              <w:t>功能要求</w:t>
            </w:r>
          </w:p>
        </w:tc>
        <w:tc>
          <w:tcPr>
            <w:tcW w:w="2484" w:type="pct"/>
            <w:vAlign w:val="center"/>
          </w:tcPr>
          <w:p>
            <w:pPr>
              <w:rPr>
                <w:rFonts w:ascii="宋体" w:hAnsi="宋体" w:cs="宋体"/>
                <w:sz w:val="24"/>
              </w:rPr>
            </w:pPr>
            <w:r>
              <w:rPr>
                <w:rFonts w:hint="eastAsia" w:ascii="宋体" w:hAnsi="宋体" w:cs="宋体"/>
                <w:sz w:val="24"/>
              </w:rPr>
              <w:t>*支持密钥全生命周期安全的密钥管理：发卡充注、激活、销卡等；</w:t>
            </w:r>
          </w:p>
        </w:tc>
        <w:tc>
          <w:tcPr>
            <w:tcW w:w="608" w:type="pct"/>
          </w:tcPr>
          <w:p>
            <w:pPr>
              <w:jc w:val="left"/>
              <w:rPr>
                <w:rFonts w:ascii="宋体" w:hAnsi="宋体" w:cs="宋体"/>
                <w:sz w:val="24"/>
              </w:rPr>
            </w:pPr>
          </w:p>
        </w:tc>
        <w:tc>
          <w:tcPr>
            <w:tcW w:w="607" w:type="pct"/>
            <w:vMerge w:val="restart"/>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*支持终端接入认证；</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*支持统一配置管理；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*支持多点间密钥协商；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#电源接口支持热插拔，1+1冗余备份；</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#具备网口和USB接口；</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restart"/>
            <w:vAlign w:val="center"/>
          </w:tcPr>
          <w:p>
            <w:pPr>
              <w:jc w:val="left"/>
              <w:rPr>
                <w:rFonts w:ascii="宋体" w:hAnsi="宋体" w:cs="宋体"/>
                <w:b/>
                <w:bCs/>
                <w:sz w:val="24"/>
              </w:rPr>
            </w:pPr>
            <w:r>
              <w:rPr>
                <w:rFonts w:hint="eastAsia" w:ascii="宋体" w:hAnsi="宋体" w:cs="宋体"/>
                <w:b/>
                <w:bCs/>
                <w:sz w:val="24"/>
              </w:rPr>
              <w:t>性能要求</w:t>
            </w:r>
          </w:p>
        </w:tc>
        <w:tc>
          <w:tcPr>
            <w:tcW w:w="2484" w:type="pct"/>
            <w:vAlign w:val="center"/>
          </w:tcPr>
          <w:p>
            <w:pPr>
              <w:rPr>
                <w:rFonts w:ascii="宋体" w:hAnsi="宋体" w:cs="宋体"/>
                <w:sz w:val="24"/>
              </w:rPr>
            </w:pPr>
            <w:r>
              <w:rPr>
                <w:rFonts w:hint="eastAsia" w:ascii="宋体" w:hAnsi="宋体" w:cs="宋体"/>
                <w:sz w:val="24"/>
              </w:rPr>
              <w:t>#单点支持接入并提供服务的终端数量≥1万以上；</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#单点支持每秒并发的密钥业务处理≥20/s以上；</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#获取会话密钥的延时≤500ms。</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sz w:val="24"/>
              </w:rPr>
            </w:pPr>
            <w:r>
              <w:rPr>
                <w:rFonts w:hint="eastAsia" w:ascii="宋体" w:hAnsi="宋体" w:cs="宋体"/>
                <w:b/>
                <w:sz w:val="24"/>
              </w:rPr>
              <w:t>量子随机数发生器</w:t>
            </w:r>
          </w:p>
        </w:tc>
        <w:tc>
          <w:tcPr>
            <w:tcW w:w="583" w:type="pct"/>
            <w:vMerge w:val="restart"/>
            <w:vAlign w:val="center"/>
          </w:tcPr>
          <w:p>
            <w:pPr>
              <w:jc w:val="left"/>
              <w:rPr>
                <w:rFonts w:ascii="宋体" w:hAnsi="宋体" w:cs="宋体"/>
                <w:b/>
                <w:bCs/>
                <w:sz w:val="24"/>
              </w:rPr>
            </w:pPr>
            <w:r>
              <w:rPr>
                <w:rFonts w:hint="eastAsia" w:ascii="宋体" w:hAnsi="宋体" w:cs="宋体"/>
                <w:b/>
                <w:bCs/>
                <w:sz w:val="24"/>
              </w:rPr>
              <w:t>功能要求</w:t>
            </w:r>
          </w:p>
        </w:tc>
        <w:tc>
          <w:tcPr>
            <w:tcW w:w="2484" w:type="pct"/>
            <w:vAlign w:val="center"/>
          </w:tcPr>
          <w:p>
            <w:pPr>
              <w:rPr>
                <w:rFonts w:ascii="宋体" w:hAnsi="宋体" w:cs="宋体"/>
                <w:sz w:val="24"/>
              </w:rPr>
            </w:pPr>
            <w:r>
              <w:rPr>
                <w:rFonts w:hint="eastAsia" w:ascii="宋体" w:hAnsi="宋体" w:cs="宋体"/>
                <w:sz w:val="24"/>
              </w:rPr>
              <w:t>*安全的随机数源，利用激光器（荧光）自发辐射的随机特性，通过干涉仪进行干涉并维持两臂相位差为2kπ+π/2，将随机相位量子化波动信息转换为随机数输出。</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*系统状态稳定：实时监测、控制系统状态；通过主动维稳算法保持系统稳定性；极端情况下，系统状态不稳定时停止随机数输出。</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*安全的后处理：利用安全的Toeplitz矩阵处理随机数源；经过后处理单元处理的数据作为最终输出的量子随机数供用户使用。</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restart"/>
            <w:vAlign w:val="center"/>
          </w:tcPr>
          <w:p>
            <w:pPr>
              <w:jc w:val="left"/>
              <w:rPr>
                <w:rFonts w:ascii="宋体" w:hAnsi="宋体" w:cs="宋体"/>
                <w:b/>
                <w:bCs/>
                <w:sz w:val="24"/>
              </w:rPr>
            </w:pPr>
            <w:r>
              <w:rPr>
                <w:rFonts w:hint="eastAsia" w:ascii="宋体" w:hAnsi="宋体" w:cs="宋体"/>
                <w:b/>
                <w:bCs/>
                <w:sz w:val="24"/>
              </w:rPr>
              <w:t>性能要求</w:t>
            </w:r>
          </w:p>
        </w:tc>
        <w:tc>
          <w:tcPr>
            <w:tcW w:w="2484" w:type="pct"/>
            <w:vAlign w:val="center"/>
          </w:tcPr>
          <w:p>
            <w:pPr>
              <w:rPr>
                <w:rFonts w:ascii="宋体" w:hAnsi="宋体" w:cs="宋体"/>
                <w:sz w:val="24"/>
              </w:rPr>
            </w:pPr>
            <w:r>
              <w:rPr>
                <w:rFonts w:hint="eastAsia" w:ascii="宋体" w:hAnsi="宋体" w:cs="宋体"/>
                <w:sz w:val="24"/>
              </w:rPr>
              <w:t>以太网口≥600Mbps；</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USB接口≥200Mbps；</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启动时间：30S；</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#光波长：1550.12±0.5nm；</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电压：AC220V ，功耗：30W；</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sz w:val="24"/>
              </w:rPr>
            </w:pPr>
          </w:p>
        </w:tc>
        <w:tc>
          <w:tcPr>
            <w:tcW w:w="583" w:type="pct"/>
            <w:vMerge w:val="continue"/>
            <w:vAlign w:val="center"/>
          </w:tcPr>
          <w:p>
            <w:pPr>
              <w:jc w:val="left"/>
              <w:rPr>
                <w:rFonts w:ascii="宋体" w:hAnsi="宋体" w:cs="宋体"/>
                <w:b/>
                <w:bCs/>
                <w:sz w:val="24"/>
              </w:rPr>
            </w:pPr>
          </w:p>
        </w:tc>
        <w:tc>
          <w:tcPr>
            <w:tcW w:w="2484" w:type="pct"/>
            <w:vAlign w:val="center"/>
          </w:tcPr>
          <w:p>
            <w:pPr>
              <w:rPr>
                <w:rFonts w:ascii="宋体" w:hAnsi="宋体" w:cs="宋体"/>
                <w:sz w:val="24"/>
              </w:rPr>
            </w:pPr>
            <w:r>
              <w:rPr>
                <w:rFonts w:hint="eastAsia" w:ascii="宋体" w:hAnsi="宋体" w:cs="宋体"/>
                <w:sz w:val="24"/>
              </w:rPr>
              <w:t>工作环境温度：0-40 ℃；</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安全U盾</w:t>
            </w:r>
          </w:p>
        </w:tc>
        <w:tc>
          <w:tcPr>
            <w:tcW w:w="3067" w:type="pct"/>
            <w:gridSpan w:val="2"/>
            <w:vAlign w:val="center"/>
          </w:tcPr>
          <w:p>
            <w:pPr>
              <w:rPr>
                <w:rFonts w:ascii="宋体" w:hAnsi="宋体" w:cs="宋体"/>
                <w:sz w:val="24"/>
              </w:rPr>
            </w:pPr>
            <w:r>
              <w:rPr>
                <w:rFonts w:hint="eastAsia" w:ascii="宋体" w:hAnsi="宋体" w:cs="宋体"/>
                <w:sz w:val="24"/>
              </w:rPr>
              <w:t>*支持AES-128、AES-192、AES-256、DES、3DES等国际标准算法；</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*支持SM1、SM2、SM3、SM4等国家密码局标准算法；</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量子安全服务移动引擎</w:t>
            </w:r>
          </w:p>
        </w:tc>
        <w:tc>
          <w:tcPr>
            <w:tcW w:w="3067" w:type="pct"/>
            <w:gridSpan w:val="2"/>
            <w:vAlign w:val="center"/>
          </w:tcPr>
          <w:p>
            <w:pPr>
              <w:rPr>
                <w:rFonts w:ascii="宋体" w:hAnsi="宋体" w:cs="宋体"/>
                <w:sz w:val="24"/>
              </w:rPr>
            </w:pPr>
            <w:r>
              <w:rPr>
                <w:rFonts w:hint="eastAsia" w:ascii="宋体" w:hAnsi="宋体" w:cs="宋体"/>
                <w:sz w:val="24"/>
              </w:rPr>
              <w:t>*密码服务平台软件不存储密钥明文；</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*支持一次一密的会话密钥传输，支持一业一密应用；</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*支持从量子密钥分发网络获取会话密钥；</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#与应用终端间采用REST接口，方便开发。</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Align w:val="center"/>
          </w:tcPr>
          <w:p>
            <w:pPr>
              <w:numPr>
                <w:ilvl w:val="0"/>
                <w:numId w:val="12"/>
              </w:numPr>
              <w:spacing w:line="276" w:lineRule="auto"/>
              <w:jc w:val="center"/>
              <w:rPr>
                <w:rFonts w:ascii="宋体" w:hAnsi="宋体" w:cs="宋体"/>
                <w:sz w:val="24"/>
              </w:rPr>
            </w:pPr>
          </w:p>
        </w:tc>
        <w:tc>
          <w:tcPr>
            <w:tcW w:w="491" w:type="pct"/>
            <w:vAlign w:val="center"/>
          </w:tcPr>
          <w:p>
            <w:pPr>
              <w:jc w:val="left"/>
              <w:rPr>
                <w:rFonts w:ascii="宋体" w:hAnsi="宋体" w:cs="宋体"/>
                <w:b/>
                <w:sz w:val="24"/>
              </w:rPr>
            </w:pPr>
            <w:r>
              <w:rPr>
                <w:rFonts w:hint="eastAsia" w:ascii="宋体" w:hAnsi="宋体" w:cs="宋体"/>
                <w:b/>
                <w:sz w:val="24"/>
              </w:rPr>
              <w:t>量子随机数发生器软件</w:t>
            </w:r>
          </w:p>
        </w:tc>
        <w:tc>
          <w:tcPr>
            <w:tcW w:w="3067" w:type="pct"/>
            <w:gridSpan w:val="2"/>
            <w:vAlign w:val="center"/>
          </w:tcPr>
          <w:p>
            <w:pPr>
              <w:rPr>
                <w:rFonts w:ascii="宋体" w:hAnsi="宋体" w:cs="宋体"/>
                <w:sz w:val="24"/>
              </w:rPr>
            </w:pPr>
            <w:r>
              <w:rPr>
                <w:rFonts w:hint="eastAsia" w:ascii="宋体" w:hAnsi="宋体" w:cs="宋体"/>
                <w:sz w:val="24"/>
              </w:rPr>
              <w:t>*提供SDK库供用户调用。</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密钥系统交换密码机软件</w:t>
            </w:r>
          </w:p>
        </w:tc>
        <w:tc>
          <w:tcPr>
            <w:tcW w:w="3067" w:type="pct"/>
            <w:gridSpan w:val="2"/>
            <w:vAlign w:val="center"/>
          </w:tcPr>
          <w:p>
            <w:pPr>
              <w:rPr>
                <w:rFonts w:ascii="宋体" w:hAnsi="宋体" w:cs="宋体"/>
                <w:sz w:val="24"/>
              </w:rPr>
            </w:pPr>
            <w:r>
              <w:rPr>
                <w:rFonts w:hint="eastAsia" w:ascii="宋体" w:hAnsi="宋体" w:cs="宋体"/>
                <w:sz w:val="24"/>
              </w:rPr>
              <w:t>*配套量子安全服务平台一体机中，实现密钥管理配置功能；</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*支持密钥全生命周期安全的密钥管理；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*支持充注密钥生成和存储管理功能；</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*支持会话密钥生成和存储管理功能；</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*支持终端接入认证；</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充注终端软件</w:t>
            </w:r>
          </w:p>
        </w:tc>
        <w:tc>
          <w:tcPr>
            <w:tcW w:w="3067" w:type="pct"/>
            <w:gridSpan w:val="2"/>
            <w:vAlign w:val="center"/>
          </w:tcPr>
          <w:p>
            <w:pPr>
              <w:rPr>
                <w:rFonts w:ascii="宋体" w:hAnsi="宋体" w:cs="宋体"/>
                <w:sz w:val="24"/>
              </w:rPr>
            </w:pPr>
            <w:r>
              <w:rPr>
                <w:rFonts w:hint="eastAsia" w:ascii="宋体" w:hAnsi="宋体" w:cs="宋体"/>
                <w:sz w:val="24"/>
              </w:rPr>
              <w:t>#提供良好的人机交互界面；</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*支持与量子安全服务移动引擎的接入认证；</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*支持对各类安全介质（如U盾、SIM卡）的绑定和密钥充注；</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*支持接入密钥系统交换密码机，获取密钥充注权限，并建立和密钥系统交换密码机的安全通道；</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*支持对终端安全介质的批量写卡能力。</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restart"/>
            <w:vAlign w:val="center"/>
          </w:tcPr>
          <w:p>
            <w:pPr>
              <w:numPr>
                <w:ilvl w:val="0"/>
                <w:numId w:val="12"/>
              </w:numPr>
              <w:spacing w:line="276" w:lineRule="auto"/>
              <w:jc w:val="center"/>
              <w:rPr>
                <w:rFonts w:ascii="宋体" w:hAnsi="宋体" w:cs="宋体"/>
                <w:sz w:val="24"/>
              </w:rPr>
            </w:pPr>
          </w:p>
        </w:tc>
        <w:tc>
          <w:tcPr>
            <w:tcW w:w="491" w:type="pct"/>
            <w:vMerge w:val="restart"/>
            <w:vAlign w:val="center"/>
          </w:tcPr>
          <w:p>
            <w:pPr>
              <w:jc w:val="left"/>
              <w:rPr>
                <w:rFonts w:ascii="宋体" w:hAnsi="宋体" w:cs="宋体"/>
                <w:b/>
                <w:sz w:val="24"/>
              </w:rPr>
            </w:pPr>
            <w:r>
              <w:rPr>
                <w:rFonts w:hint="eastAsia" w:ascii="宋体" w:hAnsi="宋体" w:cs="宋体"/>
                <w:b/>
                <w:sz w:val="24"/>
              </w:rPr>
              <w:t>安全邮件软件</w:t>
            </w:r>
          </w:p>
        </w:tc>
        <w:tc>
          <w:tcPr>
            <w:tcW w:w="3067" w:type="pct"/>
            <w:gridSpan w:val="2"/>
            <w:vAlign w:val="center"/>
          </w:tcPr>
          <w:p>
            <w:pPr>
              <w:rPr>
                <w:rFonts w:ascii="宋体" w:hAnsi="宋体" w:cs="宋体"/>
                <w:sz w:val="24"/>
              </w:rPr>
            </w:pPr>
            <w:r>
              <w:rPr>
                <w:rFonts w:hint="eastAsia" w:ascii="宋体" w:hAnsi="宋体" w:cs="宋体"/>
                <w:sz w:val="24"/>
              </w:rPr>
              <w:t>*支持邮件正文和附件的分离加密；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*支持一邮一密；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#支持邮件加密可选择，默认加密；</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*支持发件人转发权限设置，默认禁止转发，禁止转发时原邮件为密文；</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*收取邮件本地密文存储，查看时解密，退出客户端后清除缓存明文；</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227" w:type="pct"/>
            <w:vMerge w:val="continue"/>
            <w:vAlign w:val="center"/>
          </w:tcPr>
          <w:p>
            <w:pPr>
              <w:numPr>
                <w:ilvl w:val="0"/>
                <w:numId w:val="12"/>
              </w:numPr>
              <w:spacing w:line="276" w:lineRule="auto"/>
              <w:jc w:val="center"/>
              <w:rPr>
                <w:rFonts w:ascii="宋体" w:hAnsi="宋体" w:cs="宋体"/>
                <w:sz w:val="24"/>
              </w:rPr>
            </w:pPr>
          </w:p>
        </w:tc>
        <w:tc>
          <w:tcPr>
            <w:tcW w:w="491" w:type="pct"/>
            <w:vMerge w:val="continue"/>
            <w:vAlign w:val="center"/>
          </w:tcPr>
          <w:p>
            <w:pPr>
              <w:jc w:val="left"/>
              <w:rPr>
                <w:rFonts w:ascii="宋体" w:hAnsi="宋体" w:cs="宋体"/>
                <w:b/>
                <w:sz w:val="24"/>
              </w:rPr>
            </w:pPr>
          </w:p>
        </w:tc>
        <w:tc>
          <w:tcPr>
            <w:tcW w:w="3067" w:type="pct"/>
            <w:gridSpan w:val="2"/>
            <w:vAlign w:val="center"/>
          </w:tcPr>
          <w:p>
            <w:pPr>
              <w:rPr>
                <w:rFonts w:ascii="宋体" w:hAnsi="宋体" w:cs="宋体"/>
                <w:sz w:val="24"/>
              </w:rPr>
            </w:pPr>
            <w:r>
              <w:rPr>
                <w:rFonts w:hint="eastAsia" w:ascii="宋体" w:hAnsi="宋体" w:cs="宋体"/>
                <w:sz w:val="24"/>
              </w:rPr>
              <w:t>#支持在线更新升级。</w:t>
            </w:r>
          </w:p>
        </w:tc>
        <w:tc>
          <w:tcPr>
            <w:tcW w:w="608" w:type="pct"/>
          </w:tcPr>
          <w:p>
            <w:pPr>
              <w:jc w:val="left"/>
              <w:rPr>
                <w:rFonts w:ascii="宋体" w:hAnsi="宋体" w:cs="宋体"/>
                <w:sz w:val="24"/>
              </w:rPr>
            </w:pPr>
          </w:p>
        </w:tc>
        <w:tc>
          <w:tcPr>
            <w:tcW w:w="607" w:type="pct"/>
            <w:vMerge w:val="continue"/>
          </w:tcPr>
          <w:p>
            <w:pPr>
              <w:jc w:val="left"/>
              <w:rPr>
                <w:rFonts w:ascii="宋体" w:hAnsi="宋体" w:cs="宋体"/>
                <w:sz w:val="24"/>
              </w:rPr>
            </w:pPr>
          </w:p>
        </w:tc>
      </w:tr>
    </w:tbl>
    <w:p>
      <w:pPr>
        <w:spacing w:line="599" w:lineRule="exact"/>
        <w:rPr>
          <w:rFonts w:ascii="宋体" w:hAnsi="宋体" w:cs="宋体"/>
          <w:sz w:val="24"/>
        </w:rPr>
      </w:pPr>
    </w:p>
    <w:p>
      <w:pPr>
        <w:spacing w:line="599" w:lineRule="exact"/>
        <w:ind w:left="640"/>
        <w:rPr>
          <w:rFonts w:ascii="宋体" w:hAnsi="宋体" w:cs="宋体"/>
          <w:b/>
          <w:sz w:val="28"/>
          <w:szCs w:val="28"/>
        </w:rPr>
      </w:pPr>
      <w:r>
        <w:rPr>
          <w:rFonts w:hint="eastAsia" w:ascii="宋体" w:hAnsi="宋体" w:cs="宋体"/>
          <w:b/>
          <w:sz w:val="28"/>
          <w:szCs w:val="28"/>
        </w:rPr>
        <w:t>（二）02包技术要求</w:t>
      </w:r>
    </w:p>
    <w:p>
      <w:pPr>
        <w:spacing w:line="599" w:lineRule="exact"/>
        <w:ind w:firstLine="482" w:firstLineChars="200"/>
        <w:rPr>
          <w:rFonts w:ascii="宋体" w:hAnsi="宋体" w:cs="宋体"/>
          <w:b/>
          <w:sz w:val="24"/>
        </w:rPr>
      </w:pPr>
      <w:r>
        <w:rPr>
          <w:rFonts w:hint="eastAsia" w:ascii="宋体" w:hAnsi="宋体" w:cs="宋体"/>
          <w:b/>
          <w:sz w:val="24"/>
        </w:rPr>
        <w:t>1.多协议侧信道采集与分析软件</w:t>
      </w:r>
    </w:p>
    <w:p>
      <w:pPr>
        <w:spacing w:line="599" w:lineRule="exact"/>
        <w:ind w:firstLine="480" w:firstLineChars="200"/>
        <w:rPr>
          <w:rFonts w:ascii="宋体" w:hAnsi="宋体" w:cs="宋体"/>
          <w:sz w:val="24"/>
        </w:rPr>
      </w:pPr>
      <w:r>
        <w:rPr>
          <w:rFonts w:hint="eastAsia" w:ascii="宋体" w:hAnsi="宋体" w:cs="宋体"/>
          <w:sz w:val="24"/>
        </w:rPr>
        <w:t>多协议侧信道采集与分析软件，实现对被测产品的能量迹进行自动化采集、预处理及密钥分析，同时支持对开发板形态芯片、物联网安全终端、密码模块等产品的侧信道安全测试与分析。</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可基于多协议接口（SPI、UART、CAN、I2C、14443、7816（非智能卡形态））实现对开发板芯片、物联网终端、密码模块等产品进行电磁侧信道、功耗侧信道、电流侧信道的智能触发功能。</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可实现对AES,DES, 3DES,RSA,RSA-CRT,ECC（解密和签名）,SM2（解密和签名）,SM4 等国际和国密算法进行侧信道分析。</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提供可实现多协议接口功能的多协议侧信道采集模块，实现多协议接口侧信道采集功能。</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支持采用C#或JAVA开发集成驱动已有电磁移动台，实现多协议电磁信号采集；如无法控制，需提供此软件配套的电磁移动台及电磁采集探头等配套模块，实现上述多协议接口电磁信号采集。</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可控制Micropross MP300 TCL2，实现对非接智能卡的侧信道采集。</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支持的分析方法至少包括：SPA（简单能量攻击）、CPA（相关性能量攻击）、DPA（差分能量攻击）、MIA（互信息分析）、TA（模板攻击）、高阶 SCA（高阶侧信道攻击）、TVLA（测试向量泄露评估）、NICV信息泄漏分析、机器学习分析（AES、SM4、SM2）。</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支持常用预处理模块，至少包括滤波模块类、压缩类、曲线自相关类、互相关类、模式匹配类、平均和方差分析，频谱处理、曲线拼接等8大子模块，用户可以直接调用。</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支持力科和PICO等示波器自动化采集。</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兼容inspector软件数据格式，可转化matlab数据格式。</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支持xyz移动台限位功能，支持使用热力图显示扫描结果，并判定最大泄露物理位置。</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支持智能硬件触发，在上述通信协议中检测到用户自定义字段产生硬件触发。</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支持显示实时采集时间、预计总采集时间、曲线对应明密文数据、当前曲线条数实时显示等。</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支持用户二次开发，提供sdk，集成用户预处理模块；支持攻击脚本开发，脚本实时编译。</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支持单次、多次及扫描攻击等不同攻击方式。</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支持项目管理功能，曲线保存、读取、调用及报告生成。</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支持多线程数据处理，中文操作界面，攻击参数设置及算法分析模块支持图形化界面。</w:t>
      </w:r>
    </w:p>
    <w:p>
      <w:pPr>
        <w:pStyle w:val="10"/>
        <w:numPr>
          <w:ilvl w:val="0"/>
          <w:numId w:val="13"/>
        </w:numPr>
        <w:spacing w:line="599" w:lineRule="exact"/>
        <w:ind w:firstLineChars="0"/>
        <w:rPr>
          <w:rFonts w:ascii="宋体" w:hAnsi="宋体" w:cs="宋体"/>
          <w:sz w:val="24"/>
          <w:szCs w:val="24"/>
        </w:rPr>
      </w:pPr>
      <w:r>
        <w:rPr>
          <w:rFonts w:hint="eastAsia" w:ascii="宋体" w:hAnsi="宋体" w:cs="宋体"/>
          <w:sz w:val="24"/>
          <w:szCs w:val="24"/>
        </w:rPr>
        <w:t>支持自动控制被测样品的复位和断电再上电功能。</w:t>
      </w:r>
    </w:p>
    <w:p>
      <w:pPr>
        <w:spacing w:line="599" w:lineRule="exact"/>
        <w:ind w:left="640"/>
        <w:rPr>
          <w:rFonts w:ascii="宋体" w:hAnsi="宋体" w:cs="宋体"/>
          <w:sz w:val="24"/>
        </w:rPr>
      </w:pPr>
      <w:r>
        <w:rPr>
          <w:rFonts w:hint="eastAsia" w:ascii="宋体" w:hAnsi="宋体" w:cs="宋体"/>
          <w:sz w:val="24"/>
        </w:rPr>
        <w:t>18）</w:t>
      </w:r>
      <w:r>
        <w:rPr>
          <w:rFonts w:hint="eastAsia" w:ascii="宋体" w:hAnsi="宋体" w:cs="宋体"/>
          <w:bCs/>
          <w:sz w:val="24"/>
        </w:rPr>
        <w:t>支持可配置触发延时参数功能，范围：4ns-400ms。</w:t>
      </w:r>
    </w:p>
    <w:p>
      <w:pPr>
        <w:spacing w:line="599" w:lineRule="exact"/>
        <w:ind w:left="640"/>
        <w:rPr>
          <w:rFonts w:ascii="宋体" w:hAnsi="宋体" w:cs="宋体"/>
          <w:sz w:val="24"/>
        </w:rPr>
      </w:pPr>
      <w:r>
        <w:rPr>
          <w:rFonts w:hint="eastAsia" w:ascii="宋体" w:hAnsi="宋体" w:cs="宋体"/>
          <w:sz w:val="24"/>
        </w:rPr>
        <w:t>19）</w:t>
      </w:r>
      <w:r>
        <w:rPr>
          <w:rFonts w:hint="eastAsia" w:ascii="宋体" w:hAnsi="宋体" w:cs="宋体"/>
          <w:bCs/>
          <w:sz w:val="24"/>
        </w:rPr>
        <w:t>支持可配置触发电平参数功能，范围：0V-5V。</w:t>
      </w:r>
    </w:p>
    <w:p>
      <w:pPr>
        <w:spacing w:line="599" w:lineRule="exact"/>
        <w:ind w:firstLine="480" w:firstLineChars="200"/>
        <w:rPr>
          <w:rFonts w:ascii="宋体" w:hAnsi="宋体" w:cs="宋体"/>
          <w:bCs/>
          <w:sz w:val="24"/>
        </w:rPr>
      </w:pPr>
    </w:p>
    <w:p>
      <w:pPr>
        <w:spacing w:line="599" w:lineRule="exact"/>
        <w:ind w:firstLine="482" w:firstLineChars="200"/>
        <w:rPr>
          <w:rFonts w:ascii="宋体" w:hAnsi="宋体" w:cs="宋体"/>
          <w:b/>
          <w:sz w:val="24"/>
        </w:rPr>
      </w:pPr>
      <w:r>
        <w:rPr>
          <w:rFonts w:hint="eastAsia" w:ascii="宋体" w:hAnsi="宋体" w:cs="宋体"/>
          <w:b/>
          <w:sz w:val="24"/>
        </w:rPr>
        <w:t>2.多协议故障注入与攻击软件</w:t>
      </w:r>
    </w:p>
    <w:p>
      <w:pPr>
        <w:spacing w:line="599" w:lineRule="exact"/>
        <w:ind w:firstLine="480" w:firstLineChars="200"/>
        <w:rPr>
          <w:rFonts w:ascii="宋体" w:hAnsi="宋体" w:cs="宋体"/>
          <w:sz w:val="24"/>
        </w:rPr>
      </w:pPr>
      <w:r>
        <w:rPr>
          <w:rFonts w:hint="eastAsia" w:ascii="宋体" w:hAnsi="宋体" w:cs="宋体"/>
          <w:sz w:val="24"/>
        </w:rPr>
        <w:t>多协议故障注入与攻击软件，实现对被测芯片和电子安全产品的电压和时钟毛刺精准故障注入攻击，具备密钥破解、固件验签绕过等分析功能。</w:t>
      </w:r>
    </w:p>
    <w:p>
      <w:pPr>
        <w:spacing w:line="599" w:lineRule="exact"/>
        <w:ind w:firstLine="482" w:firstLineChars="200"/>
        <w:rPr>
          <w:rFonts w:ascii="宋体" w:hAnsi="宋体" w:cs="宋体"/>
          <w:b/>
          <w:sz w:val="24"/>
        </w:rPr>
      </w:pPr>
      <w:r>
        <w:rPr>
          <w:rFonts w:hint="eastAsia" w:ascii="宋体" w:hAnsi="宋体" w:cs="宋体"/>
          <w:b/>
          <w:sz w:val="24"/>
        </w:rPr>
        <w:t>功能指标如下：</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可基于多协议接口（SPI、UART、CAN、USB、I2C、7816（非智能卡形态））对开发板芯片、物联网终端和密码模块等产品进行时钟毛刺、电压毛刺故障注入。</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可实现对AES,DES,3DES,RSA,RSA-CRT,ECC（解密和签名）,SM2（解密和签名）,SM4 等国际和国密算法进行故障分析。</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提供配套的可实现多协议接口功能的时钟、电压故障注入模块，实现多协议接口的时钟、电压故障注入功能。</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支持时钟毛刺、电压毛刺多维组合故障注入攻击。</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支持实时显示攻击次数、攻击耗时、参数设置、采集控制、数据显示、曲线显示等信息。</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支持自动标记故障注入类型，包括正常，等长，过长，过短，超时等，支持基于故障类型的实时排序，实时统计，颜色标记功能，支持用户自定义故障编号。</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支持力科和PICO等示波器自动化采集。</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支持智能硬件触发，在上述通信协议中检测到用户自定义字段产生硬件触发。</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支持热力图分析，直观展示攻击参数对攻击效果的影响。</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支持一键复现攻击，可以直接导入筛选得到的有效攻击参数，进行故障注入攻击。</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支持一键泛化攻击，可以直接导入筛选得到的有效攻击参数，并对攻击参数进行随机扰动，进行故障注入攻击。</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支持一键重放攻击，可以直接导入曲线文件中的攻击参数变化策略，进行故障注入攻击。</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支持故障数据软件模拟生成功能。</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支持自定义工具箱和算法库功能，支持各类设备或算法的组合使用。</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支持设备连接、断开以及独立调试功能等。</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支持用户二次开发，提供sdk，集成用户预处理模块，支持攻击脚本开发，脚本实时编译。</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支持多线程数据处理、中文操作界面，攻击参数设置及算法分析模块支持图形化界面。</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支持时钟毛刺、电压毛刺信号同步示波器监控功能。</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支持外部触发模式，被测样品提供触发信号。</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支持内部触发模式，设备通过协议通信提供触发信号。</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支持密码算法正确性自动化验证，包括SM2验签，SM4，AES，DES等。</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支持采集数据转存功能，可实现导出为txt，excel等格式。</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支持可配置电压毛刺深度参数功能，范围：-6.0V - +6.0V可调。</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支持可配置电压毛刺宽度参数功能，可调范围：4ns-4ms，步进：4ns。</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支持可配置电压毛刺串数量功能，范围：1- 250个。</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支持可配置时钟输出功能，范围：1KHz - 50MHz。</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支持可配置时钟毛刺深度功能，可调范围：-6.0V-+6.0V。</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支持可配置时钟毛刺宽度功能，可调范围：4ns-4ms。</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支持可配置时钟毛刺串数量功能，范围： 1- 250个。</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支持对被测样品断电再恢复功能，设置范围：1ms-500ms。</w:t>
      </w:r>
    </w:p>
    <w:p>
      <w:pPr>
        <w:pStyle w:val="10"/>
        <w:numPr>
          <w:ilvl w:val="0"/>
          <w:numId w:val="14"/>
        </w:numPr>
        <w:spacing w:line="599" w:lineRule="exact"/>
        <w:ind w:firstLineChars="0"/>
        <w:rPr>
          <w:rFonts w:ascii="宋体" w:hAnsi="宋体" w:cs="宋体"/>
          <w:sz w:val="24"/>
          <w:szCs w:val="24"/>
        </w:rPr>
      </w:pPr>
      <w:r>
        <w:rPr>
          <w:rFonts w:hint="eastAsia" w:ascii="宋体" w:hAnsi="宋体" w:cs="宋体"/>
          <w:sz w:val="24"/>
          <w:szCs w:val="24"/>
        </w:rPr>
        <w:t>支持对被测样品复位再恢复功能，设置范围：1ms-500ms。</w:t>
      </w:r>
    </w:p>
    <w:p>
      <w:pPr>
        <w:widowControl/>
        <w:adjustRightInd w:val="0"/>
        <w:snapToGrid w:val="0"/>
        <w:ind w:firstLine="480" w:firstLineChars="200"/>
        <w:rPr>
          <w:rFonts w:ascii="宋体" w:hAnsi="宋体" w:cs="宋体"/>
          <w:sz w:val="24"/>
        </w:rPr>
      </w:pPr>
    </w:p>
    <w:p>
      <w:pPr>
        <w:widowControl/>
        <w:adjustRightInd w:val="0"/>
        <w:snapToGrid w:val="0"/>
        <w:ind w:firstLine="482" w:firstLineChars="200"/>
        <w:rPr>
          <w:rFonts w:ascii="宋体" w:hAnsi="宋体" w:cs="宋体"/>
          <w:b/>
          <w:bCs/>
          <w:sz w:val="24"/>
        </w:rPr>
      </w:pPr>
      <w:r>
        <w:rPr>
          <w:rFonts w:hint="eastAsia" w:ascii="宋体" w:hAnsi="宋体" w:cs="宋体"/>
          <w:b/>
          <w:bCs/>
          <w:sz w:val="24"/>
        </w:rPr>
        <w:t>02包技术指标要求如下表：</w:t>
      </w:r>
    </w:p>
    <w:p>
      <w:pPr>
        <w:widowControl/>
        <w:adjustRightInd w:val="0"/>
        <w:snapToGrid w:val="0"/>
        <w:ind w:firstLine="482" w:firstLineChars="200"/>
        <w:rPr>
          <w:rFonts w:ascii="宋体" w:hAnsi="宋体" w:cs="宋体"/>
          <w:b/>
          <w:bCs/>
          <w:sz w:val="24"/>
        </w:rPr>
      </w:pPr>
      <w:r>
        <w:rPr>
          <w:rFonts w:hint="eastAsia" w:ascii="宋体" w:hAnsi="宋体" w:cs="宋体"/>
          <w:b/>
          <w:bCs/>
          <w:color w:val="000000"/>
          <w:sz w:val="24"/>
        </w:rPr>
        <w:t xml:space="preserve"> （*代表核心技术指标 ，#代表重要技术指标无标识项表示一般技术指标）</w:t>
      </w:r>
    </w:p>
    <w:tbl>
      <w:tblPr>
        <w:tblStyle w:val="8"/>
        <w:tblW w:w="44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814"/>
        <w:gridCol w:w="4897"/>
        <w:gridCol w:w="773"/>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blHeader/>
          <w:jc w:val="center"/>
        </w:trPr>
        <w:tc>
          <w:tcPr>
            <w:tcW w:w="263"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序号</w:t>
            </w:r>
          </w:p>
        </w:tc>
        <w:tc>
          <w:tcPr>
            <w:tcW w:w="540"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指标项</w:t>
            </w:r>
          </w:p>
        </w:tc>
        <w:tc>
          <w:tcPr>
            <w:tcW w:w="3203"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指标要求</w:t>
            </w:r>
          </w:p>
        </w:tc>
        <w:tc>
          <w:tcPr>
            <w:tcW w:w="513" w:type="pct"/>
            <w:shd w:val="clear" w:color="auto" w:fill="A6A6A6"/>
            <w:vAlign w:val="center"/>
          </w:tcPr>
          <w:p>
            <w:pPr>
              <w:spacing w:line="276" w:lineRule="auto"/>
              <w:jc w:val="center"/>
              <w:rPr>
                <w:rFonts w:ascii="宋体" w:hAnsi="宋体" w:cs="宋体"/>
                <w:b/>
                <w:bCs/>
                <w:color w:val="000000"/>
                <w:sz w:val="24"/>
              </w:rPr>
            </w:pPr>
            <w:r>
              <w:rPr>
                <w:rFonts w:hint="eastAsia" w:ascii="宋体" w:hAnsi="宋体" w:cs="宋体"/>
                <w:b/>
                <w:bCs/>
                <w:color w:val="000000"/>
                <w:sz w:val="24"/>
              </w:rPr>
              <w:t>响应情况</w:t>
            </w:r>
          </w:p>
        </w:tc>
        <w:tc>
          <w:tcPr>
            <w:tcW w:w="478" w:type="pct"/>
            <w:shd w:val="clear" w:color="auto" w:fill="A6A6A6"/>
          </w:tcPr>
          <w:p>
            <w:pPr>
              <w:spacing w:line="276" w:lineRule="auto"/>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263" w:type="pct"/>
            <w:vMerge w:val="restart"/>
            <w:vAlign w:val="center"/>
          </w:tcPr>
          <w:p>
            <w:pPr>
              <w:numPr>
                <w:ilvl w:val="0"/>
                <w:numId w:val="15"/>
              </w:numPr>
              <w:spacing w:line="276" w:lineRule="auto"/>
              <w:jc w:val="center"/>
              <w:rPr>
                <w:rFonts w:ascii="宋体" w:hAnsi="宋体" w:cs="宋体"/>
                <w:sz w:val="24"/>
              </w:rPr>
            </w:pPr>
          </w:p>
        </w:tc>
        <w:tc>
          <w:tcPr>
            <w:tcW w:w="540" w:type="pct"/>
            <w:vMerge w:val="restart"/>
            <w:vAlign w:val="center"/>
          </w:tcPr>
          <w:p>
            <w:pPr>
              <w:jc w:val="left"/>
              <w:rPr>
                <w:rFonts w:ascii="宋体" w:hAnsi="宋体" w:cs="宋体"/>
                <w:b/>
                <w:sz w:val="24"/>
              </w:rPr>
            </w:pPr>
            <w:r>
              <w:rPr>
                <w:rFonts w:hint="eastAsia" w:ascii="宋体" w:hAnsi="宋体" w:cs="宋体"/>
                <w:b/>
                <w:sz w:val="24"/>
              </w:rPr>
              <w:t>多协议侧信道采集与分析软件</w:t>
            </w: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可基于多协议接口（SPI、UART、CAN、I2C、14443、7816（非智能卡形态））实现对开发板芯片、物联网终端、密码模块等产品进行电磁侧信道、功耗侧信道、电流侧信道的智能触发功能。</w:t>
            </w:r>
          </w:p>
        </w:tc>
        <w:tc>
          <w:tcPr>
            <w:tcW w:w="513" w:type="pct"/>
            <w:vMerge w:val="restart"/>
          </w:tcPr>
          <w:p>
            <w:pPr>
              <w:jc w:val="left"/>
              <w:rPr>
                <w:rFonts w:ascii="宋体" w:hAnsi="宋体" w:cs="宋体"/>
                <w:sz w:val="24"/>
              </w:rPr>
            </w:pPr>
          </w:p>
        </w:tc>
        <w:tc>
          <w:tcPr>
            <w:tcW w:w="478" w:type="pct"/>
            <w:vMerge w:val="restart"/>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可实现对AES,DES, 3DES,RSA,RSA-CRT,ECC（解密和签名）,SM2（解密和签名）,SM4 等国际和国密算法进行侧信道分析。</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提供可实现多协议接口功能的多协议侧信道采集模块，实现多协议接口侧信道采集功能。</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*支持采用C#或JAVA开发集成驱动已有电磁移动台，实现多协议电磁信号采集；如无法控制，需提供此软件配套的电磁移动台及电磁采集探头等配套模块，实现上述多协议接口电磁信号采集。</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可控制Micropross MP300 TCL2，实现对非接智能卡的侧信道采集。</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支持的分析方法至少包括：SPA（简单能量攻击）、CPA（相关性能量攻击）、DPA（差分能量攻击）、MIA（互信息分析）、TA（模板攻击）、高阶 SCA（高阶侧信道攻击）、TVLA（测试向量泄露评估）、NICV信息泄漏分析、机器学习分析（AES、SM4、SM2）。</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支持常用预处理模块，至少包括滤波模块类、压缩类、曲线自相关类、互相关类、模式匹配类、平均和方差分析，频谱处理、、曲线拼接等8大子模块，用户可以直接调用。</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支持力科和PICO等示波器自动化采集。</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兼容inspector软件数据格式，可转化matlab数据格式。</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支持xyz移动台限位功能，支持使用热力图显示扫描结果，并判定最大泄露物理位置。</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支持智能硬件触发，在上述通信协议中检测到用户自定义字段产生硬件触发。</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支持显示实时采集时间、预计总采集时间、曲线对应明密文数据、当前曲线条数实时显示等。</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 支持用户二次开发，提供sdk，集成用户预处理模块；支持攻击脚本开发，脚本实时编译。</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支持单次、多次及扫描攻击等不同攻击方式。</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支持项目管理功能，曲线保存、读取、调用及报告生成。</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支持多线程数据处理，中文操作界面，攻击参数设置及算法分析模块支持图形化界面。</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支持自动控制被测样品的复位和断电再上电功能。</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支持可配置触发延时参数功能，范围：4ns-400ms。</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支持可配置触发电平参数功能，范围：0V-5V。</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 w:hRule="atLeast"/>
          <w:jc w:val="center"/>
        </w:trPr>
        <w:tc>
          <w:tcPr>
            <w:tcW w:w="263" w:type="pct"/>
            <w:vMerge w:val="restart"/>
            <w:vAlign w:val="center"/>
          </w:tcPr>
          <w:p>
            <w:pPr>
              <w:numPr>
                <w:ilvl w:val="0"/>
                <w:numId w:val="15"/>
              </w:numPr>
              <w:spacing w:line="276" w:lineRule="auto"/>
              <w:jc w:val="center"/>
              <w:rPr>
                <w:rFonts w:ascii="宋体" w:hAnsi="宋体" w:cs="宋体"/>
                <w:sz w:val="24"/>
              </w:rPr>
            </w:pPr>
          </w:p>
        </w:tc>
        <w:tc>
          <w:tcPr>
            <w:tcW w:w="540" w:type="pct"/>
            <w:vMerge w:val="restart"/>
            <w:vAlign w:val="center"/>
          </w:tcPr>
          <w:p>
            <w:pPr>
              <w:jc w:val="left"/>
              <w:rPr>
                <w:rFonts w:ascii="宋体" w:hAnsi="宋体" w:cs="宋体"/>
                <w:b/>
                <w:sz w:val="24"/>
              </w:rPr>
            </w:pPr>
            <w:r>
              <w:rPr>
                <w:rFonts w:hint="eastAsia" w:ascii="宋体" w:hAnsi="宋体" w:cs="宋体"/>
                <w:b/>
                <w:sz w:val="24"/>
              </w:rPr>
              <w:t>多协议故障注入与攻击软件</w:t>
            </w: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可基于多协议接口（SPI、UART、CAN、USB、I2C、7816（非智能卡形态））对开发板芯片、物联网终端和密码模块等产品进行时钟毛刺、电压毛刺故障注入。</w:t>
            </w:r>
          </w:p>
        </w:tc>
        <w:tc>
          <w:tcPr>
            <w:tcW w:w="513" w:type="pct"/>
            <w:vMerge w:val="restart"/>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可实现对AES,DES,3DES,RSA,RSA-CRT,ECC（解密和签名）,SM2（解密和签名）,SM4 等国际和国密算法进行故障分析。</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提供配套的可实现多协议接口功能的时钟、电压故障注入模块，实现多协议接口的时钟、电压故障注入功能。</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支持时钟毛刺、电压毛刺多维组合故障注入攻击。</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支持实时显示攻击次数、攻击耗时、参数设置、采集控制、数据显示、曲线显示等信息。</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支持自动标记故障注入类型，包括正常，等长，过长，过短，超时等，支持基于故障类型的实时排序，实时统计，颜色标记功能，支持用户自定义故障编号。</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支持力科和PICO等示波器自动化采集。</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支持智能硬件触发，在上述通信协议中检测到用户自定义字段产生硬件触发。</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支持热力图分析，直观展示攻击参数对攻击效果的影响。</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支持一键复现攻击，可以直接导入筛选得到的有效攻击参数，进行故障注入攻击。</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支持一键泛化攻击，可以直接导入筛选得到的有效攻击参数，并对攻击参数进行随机扰动，进行故障注入攻击。</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支持一键重放攻击，可以直接导入曲线文件中的攻击参数变化策略，进行故障注入攻击。</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支持故障数据软件模拟生成功能。</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支持自定义工具箱和算法库功能，支持各类设备或算法的组合使用。</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支持设备连接、断开以及独立调试功能等。</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*支持用户二次开发，提供sdk，集成用户预处理模块，支持攻击脚本开发，脚本实时编译。</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支持多线程数据处理、中文操作界面，攻击参数设置及算法分析模块支持图形化界面。</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支持时钟毛刺、电压毛刺信号同步示波器监控功能。</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支持外部触发模式，被测样品提供触发信号。</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支持内部触发模式，设备通过协议通信提供触发信号。</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支持密码算法正确性自动化验证，包括SM2验签，SM4，AES，DES等。</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支持采集数据转存功能，可实现导出为txt，excel等格式。</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支持可配置电压毛刺深度参数功能，可调范围：-6.0V - +6.0V。</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支持可配置电压毛刺宽度参数功能，可调范围：4ns-4ms，步进：4ns。</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支持可配置电压毛刺串数量功能，范围：1- 250个。</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支持可配置时钟输出功能，范围：1KHz - 50MHz。</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支持可配置时钟毛刺深度功能，可调范围：-6.0V-+6.0V。</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支持可配置时钟毛刺宽度功能，可调范围：4ns-4ms。</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支持可配置时钟毛刺串数量功能，范围： 1- 250个。</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支持对被测样品断电再恢复功能，设置范围：1ms-500ms。</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263" w:type="pct"/>
            <w:vMerge w:val="continue"/>
            <w:vAlign w:val="center"/>
          </w:tcPr>
          <w:p>
            <w:pPr>
              <w:numPr>
                <w:ilvl w:val="0"/>
                <w:numId w:val="15"/>
              </w:numPr>
              <w:spacing w:line="276" w:lineRule="auto"/>
              <w:jc w:val="center"/>
              <w:rPr>
                <w:rFonts w:ascii="宋体" w:hAnsi="宋体" w:cs="宋体"/>
                <w:sz w:val="24"/>
              </w:rPr>
            </w:pPr>
          </w:p>
        </w:tc>
        <w:tc>
          <w:tcPr>
            <w:tcW w:w="540" w:type="pct"/>
            <w:vMerge w:val="continue"/>
            <w:vAlign w:val="center"/>
          </w:tcPr>
          <w:p>
            <w:pPr>
              <w:jc w:val="left"/>
              <w:rPr>
                <w:rFonts w:ascii="宋体" w:hAnsi="宋体" w:cs="宋体"/>
                <w:b/>
                <w:sz w:val="24"/>
              </w:rPr>
            </w:pPr>
          </w:p>
        </w:tc>
        <w:tc>
          <w:tcPr>
            <w:tcW w:w="3203" w:type="pct"/>
            <w:vAlign w:val="center"/>
          </w:tcPr>
          <w:p>
            <w:pPr>
              <w:spacing w:before="156" w:beforeLines="50" w:after="156" w:afterLines="50"/>
              <w:rPr>
                <w:rFonts w:ascii="宋体" w:hAnsi="宋体" w:cs="宋体"/>
                <w:sz w:val="24"/>
              </w:rPr>
            </w:pPr>
            <w:r>
              <w:rPr>
                <w:rFonts w:hint="eastAsia" w:ascii="宋体" w:hAnsi="宋体" w:cs="宋体"/>
                <w:color w:val="000000"/>
                <w:sz w:val="24"/>
              </w:rPr>
              <w:t>*</w:t>
            </w:r>
            <w:r>
              <w:rPr>
                <w:rFonts w:hint="eastAsia" w:ascii="宋体" w:hAnsi="宋体" w:cs="宋体"/>
                <w:sz w:val="24"/>
              </w:rPr>
              <w:t>支持对被测样品复位再恢复功能，设置范围：1ms-500ms。</w:t>
            </w:r>
          </w:p>
        </w:tc>
        <w:tc>
          <w:tcPr>
            <w:tcW w:w="513" w:type="pct"/>
            <w:vMerge w:val="continue"/>
          </w:tcPr>
          <w:p>
            <w:pPr>
              <w:jc w:val="left"/>
              <w:rPr>
                <w:rFonts w:ascii="宋体" w:hAnsi="宋体" w:cs="宋体"/>
                <w:sz w:val="24"/>
              </w:rPr>
            </w:pPr>
          </w:p>
        </w:tc>
        <w:tc>
          <w:tcPr>
            <w:tcW w:w="478" w:type="pct"/>
            <w:vMerge w:val="continue"/>
          </w:tcPr>
          <w:p>
            <w:pPr>
              <w:jc w:val="left"/>
              <w:rPr>
                <w:rFonts w:ascii="宋体" w:hAnsi="宋体" w:cs="宋体"/>
                <w:sz w:val="24"/>
              </w:rPr>
            </w:pPr>
          </w:p>
        </w:tc>
      </w:tr>
    </w:tbl>
    <w:p>
      <w:pPr>
        <w:spacing w:line="599" w:lineRule="exact"/>
        <w:rPr>
          <w:rFonts w:ascii="宋体" w:hAnsi="宋体" w:cs="宋体"/>
          <w:sz w:val="24"/>
        </w:rPr>
      </w:pPr>
    </w:p>
    <w:p>
      <w:pPr>
        <w:spacing w:line="599" w:lineRule="exact"/>
        <w:ind w:firstLine="480" w:firstLineChars="200"/>
        <w:rPr>
          <w:rFonts w:ascii="宋体" w:hAnsi="宋体" w:cs="宋体"/>
          <w:sz w:val="24"/>
        </w:rPr>
      </w:pPr>
      <w:r>
        <w:rPr>
          <w:rFonts w:hint="eastAsia" w:ascii="宋体" w:hAnsi="宋体" w:cs="宋体"/>
          <w:sz w:val="24"/>
        </w:rPr>
        <w:t>（三）质量控制</w:t>
      </w:r>
    </w:p>
    <w:p>
      <w:pPr>
        <w:spacing w:line="599" w:lineRule="exact"/>
        <w:ind w:firstLine="480" w:firstLineChars="200"/>
        <w:rPr>
          <w:rFonts w:ascii="宋体" w:hAnsi="宋体" w:cs="宋体"/>
          <w:sz w:val="24"/>
        </w:rPr>
      </w:pPr>
      <w:r>
        <w:rPr>
          <w:rFonts w:hint="eastAsia" w:ascii="宋体" w:hAnsi="宋体" w:cs="宋体"/>
          <w:sz w:val="24"/>
        </w:rPr>
        <w:t>应答人必须向采购人提供满足本技术规格书所列举全部或大部分内容的实际可运行软件系统及必需的专用硬件，提供软件正常运行所需的通用硬件设备、网络环境和用电等方面的数量和参数配置要求，并在采购人指定的地点完成系统安装、联调、测试等工作，在系统实施过程中负责解决全部技术问题。若本技术规格书中的软件系统和专用硬件在配置或要求方面出现不合理或不完整的问题，应答人有责任和义务提出补充修改方案并征得采购人同意后付与实施。</w:t>
      </w:r>
    </w:p>
    <w:p>
      <w:pPr>
        <w:spacing w:line="599" w:lineRule="exact"/>
        <w:ind w:firstLine="480" w:firstLineChars="200"/>
        <w:rPr>
          <w:rFonts w:ascii="宋体" w:hAnsi="宋体" w:cs="宋体"/>
          <w:sz w:val="24"/>
        </w:rPr>
      </w:pPr>
      <w:r>
        <w:rPr>
          <w:rFonts w:hint="eastAsia" w:ascii="宋体" w:hAnsi="宋体" w:cs="宋体"/>
          <w:sz w:val="24"/>
        </w:rPr>
        <w:t>为保证系统的质量和系统研制的顺利推进，采购人的技术人员可以全程参加项目的实施工作，包括总体规划、方案设计、系统实现、系统内部测试、系统试运行以及系统检验、系统测试、产品验收等过程。应答人必须给予全面的支持和配合。</w:t>
      </w:r>
    </w:p>
    <w:p>
      <w:pPr>
        <w:spacing w:line="599" w:lineRule="exact"/>
        <w:ind w:firstLine="480" w:firstLineChars="200"/>
        <w:rPr>
          <w:rFonts w:ascii="宋体" w:hAnsi="宋体" w:cs="宋体"/>
          <w:sz w:val="24"/>
        </w:rPr>
      </w:pPr>
      <w:bookmarkStart w:id="30" w:name="_Toc12989"/>
      <w:bookmarkStart w:id="31" w:name="_Toc521936037"/>
      <w:r>
        <w:rPr>
          <w:rFonts w:hint="eastAsia" w:ascii="宋体" w:hAnsi="宋体" w:cs="宋体"/>
          <w:sz w:val="24"/>
        </w:rPr>
        <w:t>1.质量管理</w:t>
      </w:r>
      <w:bookmarkEnd w:id="30"/>
      <w:bookmarkEnd w:id="31"/>
    </w:p>
    <w:p>
      <w:pPr>
        <w:spacing w:line="599" w:lineRule="exact"/>
        <w:ind w:firstLine="480" w:firstLineChars="200"/>
        <w:rPr>
          <w:rFonts w:ascii="宋体" w:hAnsi="宋体" w:cs="宋体"/>
          <w:sz w:val="24"/>
        </w:rPr>
      </w:pPr>
      <w:r>
        <w:rPr>
          <w:rFonts w:hint="eastAsia" w:ascii="宋体" w:hAnsi="宋体" w:cs="宋体"/>
          <w:sz w:val="24"/>
        </w:rPr>
        <w:t>应答人应建立严格的质量保证体系，制定项目开发建设质量控制方案和实施措施，并督促落实各环节质量控制内容和目标；保证总体规划、方案设计、系统实现、系统内部测试与试运行各个阶段工作满足采购人对质量的要求。</w:t>
      </w:r>
    </w:p>
    <w:p>
      <w:pPr>
        <w:spacing w:line="599" w:lineRule="exact"/>
        <w:ind w:firstLine="480" w:firstLineChars="200"/>
        <w:rPr>
          <w:rFonts w:ascii="宋体" w:hAnsi="宋体" w:cs="宋体"/>
          <w:sz w:val="24"/>
        </w:rPr>
      </w:pPr>
      <w:r>
        <w:rPr>
          <w:rFonts w:hint="eastAsia" w:ascii="宋体" w:hAnsi="宋体" w:cs="宋体"/>
          <w:sz w:val="24"/>
        </w:rPr>
        <w:t>应答人应根据整个项目开发的工作计划，对阶段性工作成果进行审查和测试，并向采购人提交里程碑式工作成果。通过保证各阶段性成果的质量，最终保证整个系统开发实施的质量。</w:t>
      </w:r>
    </w:p>
    <w:p>
      <w:pPr>
        <w:spacing w:line="599" w:lineRule="exact"/>
        <w:ind w:firstLine="480" w:firstLineChars="200"/>
        <w:rPr>
          <w:rFonts w:ascii="宋体" w:hAnsi="宋体" w:cs="宋体"/>
          <w:sz w:val="24"/>
        </w:rPr>
      </w:pPr>
      <w:r>
        <w:rPr>
          <w:rFonts w:hint="eastAsia" w:ascii="宋体" w:hAnsi="宋体" w:cs="宋体"/>
          <w:sz w:val="24"/>
        </w:rPr>
        <w:t>应答人有责任且必须承诺使采购人在本技术规格书中说明的全部或大部分功能指标能够实现，并实现系统的有效集成，且系统的投入运行不能影响采购人现有其他系统的正常安全运行。</w:t>
      </w:r>
    </w:p>
    <w:p>
      <w:pPr>
        <w:spacing w:line="599" w:lineRule="exact"/>
        <w:ind w:firstLine="480" w:firstLineChars="200"/>
        <w:rPr>
          <w:rFonts w:ascii="宋体" w:hAnsi="宋体" w:cs="宋体"/>
          <w:sz w:val="24"/>
        </w:rPr>
      </w:pPr>
      <w:r>
        <w:rPr>
          <w:rFonts w:hint="eastAsia" w:ascii="宋体" w:hAnsi="宋体" w:cs="宋体"/>
          <w:sz w:val="24"/>
        </w:rPr>
        <w:t>质量管理由应答人自行组织，并向采购人提交相应的质量管理报告。采购人可以随时检查应答人的质量管理方式、措施和流程。</w:t>
      </w:r>
    </w:p>
    <w:p>
      <w:pPr>
        <w:spacing w:line="599" w:lineRule="exact"/>
        <w:ind w:firstLine="480" w:firstLineChars="200"/>
        <w:rPr>
          <w:rFonts w:ascii="宋体" w:hAnsi="宋体" w:cs="宋体"/>
          <w:sz w:val="24"/>
        </w:rPr>
      </w:pPr>
      <w:r>
        <w:rPr>
          <w:rFonts w:hint="eastAsia" w:ascii="宋体" w:hAnsi="宋体" w:cs="宋体"/>
          <w:sz w:val="24"/>
        </w:rPr>
        <w:t>在系统交付之前，应答人有责任根据采购人的要求，对部分涉及到与其他子系统有功能和/或数据交互的模块进行适当的调整或修改。</w:t>
      </w:r>
    </w:p>
    <w:p>
      <w:pPr>
        <w:spacing w:line="599" w:lineRule="exact"/>
        <w:ind w:firstLine="480" w:firstLineChars="200"/>
        <w:rPr>
          <w:rFonts w:ascii="宋体" w:hAnsi="宋体" w:cs="宋体"/>
          <w:sz w:val="24"/>
        </w:rPr>
      </w:pPr>
      <w:bookmarkStart w:id="32" w:name="_Toc25609"/>
      <w:bookmarkStart w:id="33" w:name="_Toc521936038"/>
      <w:r>
        <w:rPr>
          <w:rFonts w:hint="eastAsia" w:ascii="宋体" w:hAnsi="宋体" w:cs="宋体"/>
          <w:sz w:val="24"/>
        </w:rPr>
        <w:t>2.系统检验</w:t>
      </w:r>
      <w:bookmarkEnd w:id="32"/>
      <w:bookmarkEnd w:id="33"/>
    </w:p>
    <w:p>
      <w:pPr>
        <w:spacing w:line="599" w:lineRule="exact"/>
        <w:ind w:firstLine="480" w:firstLineChars="200"/>
        <w:rPr>
          <w:rFonts w:ascii="宋体" w:hAnsi="宋体" w:cs="宋体"/>
          <w:sz w:val="24"/>
        </w:rPr>
      </w:pPr>
      <w:r>
        <w:rPr>
          <w:rFonts w:hint="eastAsia" w:ascii="宋体" w:hAnsi="宋体" w:cs="宋体"/>
          <w:sz w:val="24"/>
        </w:rPr>
        <w:t>检验项目包括本技术规格书规定的，且是应答人可以实现的项目。</w:t>
      </w:r>
    </w:p>
    <w:p>
      <w:pPr>
        <w:spacing w:line="599" w:lineRule="exact"/>
        <w:ind w:firstLine="480" w:firstLineChars="200"/>
        <w:rPr>
          <w:rFonts w:ascii="宋体" w:hAnsi="宋体" w:cs="宋体"/>
          <w:sz w:val="24"/>
        </w:rPr>
      </w:pPr>
      <w:r>
        <w:rPr>
          <w:rFonts w:hint="eastAsia" w:ascii="宋体" w:hAnsi="宋体" w:cs="宋体"/>
          <w:sz w:val="24"/>
        </w:rPr>
        <w:t>除合同或订单中另有规定外，应答人负责完成本规格书规定的检验项目。必要时，采购人或上级鉴定机构有权对规范所述的任一检验项目进行检查。</w:t>
      </w:r>
    </w:p>
    <w:p>
      <w:pPr>
        <w:spacing w:line="599" w:lineRule="exact"/>
        <w:ind w:firstLine="480" w:firstLineChars="200"/>
        <w:rPr>
          <w:rFonts w:ascii="宋体" w:hAnsi="宋体" w:cs="宋体"/>
          <w:sz w:val="24"/>
        </w:rPr>
      </w:pPr>
      <w:r>
        <w:rPr>
          <w:rFonts w:hint="eastAsia" w:ascii="宋体" w:hAnsi="宋体" w:cs="宋体"/>
          <w:sz w:val="24"/>
        </w:rPr>
        <w:t>鉴定检验顺序为：系统组成检验、功能检验、性能检验、使用要求检验（含维修性检验）。</w:t>
      </w:r>
    </w:p>
    <w:p>
      <w:pPr>
        <w:spacing w:line="599" w:lineRule="exact"/>
        <w:ind w:firstLine="480" w:firstLineChars="200"/>
        <w:rPr>
          <w:rFonts w:ascii="宋体" w:hAnsi="宋体" w:cs="宋体"/>
          <w:sz w:val="24"/>
        </w:rPr>
      </w:pPr>
      <w:r>
        <w:rPr>
          <w:rFonts w:hint="eastAsia" w:ascii="宋体" w:hAnsi="宋体" w:cs="宋体"/>
          <w:sz w:val="24"/>
        </w:rPr>
        <w:t>检验方法分为目测检验、安装检验和使用测试检验；检验数据为系统在用户操作下获得的数据。</w:t>
      </w:r>
    </w:p>
    <w:p>
      <w:pPr>
        <w:spacing w:line="599" w:lineRule="exact"/>
        <w:ind w:firstLine="480" w:firstLineChars="200"/>
        <w:rPr>
          <w:rFonts w:ascii="宋体" w:hAnsi="宋体" w:cs="宋体"/>
          <w:sz w:val="24"/>
        </w:rPr>
      </w:pPr>
      <w:r>
        <w:rPr>
          <w:rFonts w:hint="eastAsia" w:ascii="宋体" w:hAnsi="宋体" w:cs="宋体"/>
          <w:sz w:val="24"/>
        </w:rPr>
        <w:t>系统检验由应答人自行组织，并向采购人提交相应的系统检验报告。</w:t>
      </w:r>
    </w:p>
    <w:p>
      <w:pPr>
        <w:spacing w:line="599" w:lineRule="exact"/>
        <w:ind w:firstLine="480" w:firstLineChars="200"/>
        <w:rPr>
          <w:rFonts w:ascii="宋体" w:hAnsi="宋体" w:cs="宋体"/>
          <w:sz w:val="24"/>
        </w:rPr>
      </w:pPr>
      <w:bookmarkStart w:id="34" w:name="_Toc521936040"/>
      <w:bookmarkStart w:id="35" w:name="_Toc18155"/>
      <w:r>
        <w:rPr>
          <w:rFonts w:hint="eastAsia" w:ascii="宋体" w:hAnsi="宋体" w:cs="宋体"/>
          <w:sz w:val="24"/>
        </w:rPr>
        <w:t>3.系统测试</w:t>
      </w:r>
      <w:bookmarkEnd w:id="34"/>
      <w:bookmarkEnd w:id="35"/>
    </w:p>
    <w:p>
      <w:pPr>
        <w:spacing w:line="599" w:lineRule="exact"/>
        <w:ind w:firstLine="480" w:firstLineChars="200"/>
        <w:rPr>
          <w:rFonts w:ascii="宋体" w:hAnsi="宋体" w:cs="宋体"/>
          <w:sz w:val="24"/>
        </w:rPr>
      </w:pPr>
      <w:r>
        <w:rPr>
          <w:rFonts w:hint="eastAsia" w:ascii="宋体" w:hAnsi="宋体" w:cs="宋体"/>
          <w:sz w:val="24"/>
        </w:rPr>
        <w:t>应答人应提前按照采购人提出的系统使用要求和通用指标要求，或专门提供的系统运行环境要求拟制系统部署方案，包括所需要的硬件设备型号和数量、支撑软件系统、网络构成及配置和带宽、电源、布线及各种跳线设置等要求，协助采购人实施部署，并与采购人或采购人指定的系统集成与运维服务厂商进行调试、测试与最终验收。</w:t>
      </w:r>
    </w:p>
    <w:p>
      <w:pPr>
        <w:spacing w:line="599" w:lineRule="exact"/>
        <w:ind w:firstLine="480" w:firstLineChars="200"/>
        <w:rPr>
          <w:rFonts w:ascii="宋体" w:hAnsi="宋体" w:cs="宋体"/>
          <w:sz w:val="24"/>
        </w:rPr>
      </w:pPr>
      <w:r>
        <w:rPr>
          <w:rFonts w:hint="eastAsia" w:ascii="宋体" w:hAnsi="宋体" w:cs="宋体"/>
          <w:sz w:val="24"/>
        </w:rPr>
        <w:t>应答人应在系统交付时提供采购人认可的测试大纲、测试细则并配合采购人进行系统测试。</w:t>
      </w:r>
    </w:p>
    <w:p>
      <w:pPr>
        <w:spacing w:line="599" w:lineRule="exact"/>
        <w:ind w:firstLine="480" w:firstLineChars="200"/>
        <w:rPr>
          <w:rFonts w:ascii="宋体" w:hAnsi="宋体" w:cs="宋体"/>
          <w:sz w:val="24"/>
        </w:rPr>
      </w:pPr>
      <w:r>
        <w:rPr>
          <w:rFonts w:hint="eastAsia" w:ascii="宋体" w:hAnsi="宋体" w:cs="宋体"/>
          <w:sz w:val="24"/>
        </w:rPr>
        <w:t>应答方应按照技术规格书的要求，协助采购人或采购人指定的系统集成与运维服务厂商对系统的功能、性能进行测试，对使用要求和通用指标符合度进行测试或检查，并形成测试报告。</w:t>
      </w:r>
    </w:p>
    <w:p>
      <w:pPr>
        <w:spacing w:line="599" w:lineRule="exact"/>
        <w:ind w:firstLine="480" w:firstLineChars="200"/>
        <w:rPr>
          <w:rFonts w:ascii="宋体" w:hAnsi="宋体" w:cs="宋体"/>
          <w:sz w:val="24"/>
        </w:rPr>
      </w:pPr>
      <w:r>
        <w:rPr>
          <w:rFonts w:hint="eastAsia" w:ascii="宋体" w:hAnsi="宋体" w:cs="宋体"/>
          <w:sz w:val="24"/>
        </w:rPr>
        <w:t>系统测试完成并经采购人认可后才能投入运行和组织产品验收。</w:t>
      </w:r>
    </w:p>
    <w:p>
      <w:pPr>
        <w:spacing w:line="599" w:lineRule="exact"/>
        <w:ind w:firstLine="480" w:firstLineChars="200"/>
        <w:rPr>
          <w:rFonts w:ascii="宋体" w:hAnsi="宋体" w:cs="宋体"/>
          <w:sz w:val="24"/>
        </w:rPr>
      </w:pPr>
      <w:r>
        <w:rPr>
          <w:rFonts w:hint="eastAsia" w:ascii="宋体" w:hAnsi="宋体" w:cs="宋体"/>
          <w:sz w:val="24"/>
        </w:rPr>
        <w:t>系统测试由采购人或采购人指定的系统集成与运维服务厂商组织，应答人参与并配合。</w:t>
      </w:r>
    </w:p>
    <w:p>
      <w:pPr>
        <w:spacing w:line="599" w:lineRule="exact"/>
        <w:ind w:firstLine="480" w:firstLineChars="200"/>
        <w:rPr>
          <w:rFonts w:ascii="宋体" w:hAnsi="宋体" w:cs="宋体"/>
          <w:sz w:val="24"/>
        </w:rPr>
      </w:pPr>
      <w:bookmarkStart w:id="36" w:name="_Toc29100"/>
      <w:bookmarkStart w:id="37" w:name="_Toc521936041"/>
      <w:r>
        <w:rPr>
          <w:rFonts w:hint="eastAsia" w:ascii="宋体" w:hAnsi="宋体" w:cs="宋体"/>
          <w:sz w:val="24"/>
        </w:rPr>
        <w:t>4.系统验收</w:t>
      </w:r>
      <w:bookmarkEnd w:id="36"/>
      <w:bookmarkEnd w:id="37"/>
    </w:p>
    <w:p>
      <w:pPr>
        <w:spacing w:line="599" w:lineRule="exact"/>
        <w:ind w:firstLine="480" w:firstLineChars="200"/>
        <w:rPr>
          <w:rFonts w:ascii="宋体" w:hAnsi="宋体" w:cs="宋体"/>
          <w:sz w:val="24"/>
        </w:rPr>
      </w:pPr>
      <w:r>
        <w:rPr>
          <w:rFonts w:hint="eastAsia" w:ascii="宋体" w:hAnsi="宋体" w:cs="宋体"/>
          <w:sz w:val="24"/>
        </w:rPr>
        <w:t>在技术规格书规定的环境和条件下, 系统能够正常运行, 并达到技术规格书明确的功能和性能指标要求。</w:t>
      </w:r>
    </w:p>
    <w:p>
      <w:pPr>
        <w:spacing w:line="599" w:lineRule="exact"/>
        <w:ind w:firstLine="480" w:firstLineChars="200"/>
        <w:rPr>
          <w:rFonts w:ascii="宋体" w:hAnsi="宋体" w:cs="宋体"/>
          <w:sz w:val="24"/>
        </w:rPr>
      </w:pPr>
      <w:r>
        <w:rPr>
          <w:rFonts w:hint="eastAsia" w:ascii="宋体" w:hAnsi="宋体" w:cs="宋体"/>
          <w:sz w:val="24"/>
        </w:rPr>
        <w:t xml:space="preserve"> 系统在测试过程中出现的系统功能、性能指标，或者使用要求和通用指标符合度不满足技术规格书和合同时，采购人有拒收的权利。</w:t>
      </w:r>
    </w:p>
    <w:p>
      <w:pPr>
        <w:spacing w:line="599" w:lineRule="exact"/>
        <w:ind w:firstLine="480" w:firstLineChars="200"/>
        <w:rPr>
          <w:rFonts w:ascii="宋体" w:hAnsi="宋体" w:cs="宋体"/>
          <w:sz w:val="24"/>
        </w:rPr>
      </w:pPr>
      <w:r>
        <w:rPr>
          <w:rFonts w:hint="eastAsia" w:ascii="宋体" w:hAnsi="宋体" w:cs="宋体"/>
          <w:sz w:val="24"/>
        </w:rPr>
        <w:t xml:space="preserve"> 测试完成后，采购人可以根据测试情况和测试报告，按照相关规定和程序组织对系统的验收。</w:t>
      </w:r>
    </w:p>
    <w:p>
      <w:pPr>
        <w:spacing w:line="599" w:lineRule="exact"/>
        <w:ind w:firstLine="480" w:firstLineChars="200"/>
        <w:rPr>
          <w:rFonts w:ascii="宋体" w:hAnsi="宋体" w:cs="宋体"/>
          <w:sz w:val="24"/>
        </w:rPr>
      </w:pPr>
      <w:r>
        <w:rPr>
          <w:rFonts w:hint="eastAsia" w:ascii="宋体" w:hAnsi="宋体" w:cs="宋体"/>
          <w:sz w:val="24"/>
        </w:rPr>
        <w:t xml:space="preserve"> 系统验收由采购人组织，应答人配合。</w:t>
      </w:r>
    </w:p>
    <w:p>
      <w:pPr>
        <w:spacing w:line="599" w:lineRule="exact"/>
        <w:ind w:firstLine="480" w:firstLineChars="200"/>
        <w:rPr>
          <w:rFonts w:ascii="宋体" w:hAnsi="宋体" w:cs="宋体"/>
          <w:sz w:val="24"/>
        </w:rPr>
      </w:pPr>
      <w:r>
        <w:rPr>
          <w:rFonts w:hint="eastAsia" w:ascii="宋体" w:hAnsi="宋体" w:cs="宋体"/>
          <w:sz w:val="24"/>
        </w:rPr>
        <w:t>（五）通用要求</w:t>
      </w:r>
    </w:p>
    <w:p>
      <w:pPr>
        <w:spacing w:line="599" w:lineRule="exact"/>
        <w:ind w:firstLine="480" w:firstLineChars="200"/>
        <w:rPr>
          <w:rFonts w:ascii="宋体" w:hAnsi="宋体" w:cs="宋体"/>
          <w:sz w:val="24"/>
        </w:rPr>
      </w:pPr>
      <w:bookmarkStart w:id="38" w:name="_Toc25087"/>
      <w:r>
        <w:rPr>
          <w:rFonts w:hint="eastAsia" w:ascii="宋体" w:hAnsi="宋体" w:cs="宋体"/>
          <w:sz w:val="24"/>
        </w:rPr>
        <w:t>1.环境适应性要求</w:t>
      </w:r>
      <w:bookmarkEnd w:id="38"/>
    </w:p>
    <w:p>
      <w:pPr>
        <w:spacing w:line="599" w:lineRule="exact"/>
        <w:ind w:firstLine="480" w:firstLineChars="200"/>
        <w:rPr>
          <w:rFonts w:ascii="宋体" w:hAnsi="宋体" w:cs="宋体"/>
          <w:sz w:val="24"/>
        </w:rPr>
      </w:pPr>
      <w:r>
        <w:rPr>
          <w:rFonts w:hint="eastAsia" w:ascii="宋体" w:hAnsi="宋体" w:cs="宋体"/>
          <w:sz w:val="24"/>
        </w:rPr>
        <w:t>系统以软硬件形式部署在机房和实验室，工作温度为室温。</w:t>
      </w:r>
    </w:p>
    <w:p>
      <w:pPr>
        <w:spacing w:line="599" w:lineRule="exact"/>
        <w:ind w:firstLine="480" w:firstLineChars="200"/>
        <w:rPr>
          <w:rFonts w:ascii="宋体" w:hAnsi="宋体" w:cs="宋体"/>
          <w:sz w:val="24"/>
        </w:rPr>
      </w:pPr>
      <w:bookmarkStart w:id="39" w:name="_Toc3630"/>
      <w:r>
        <w:rPr>
          <w:rFonts w:hint="eastAsia" w:ascii="宋体" w:hAnsi="宋体" w:cs="宋体"/>
          <w:sz w:val="24"/>
        </w:rPr>
        <w:t>2.保障性</w:t>
      </w:r>
      <w:bookmarkEnd w:id="39"/>
    </w:p>
    <w:p>
      <w:pPr>
        <w:spacing w:line="599" w:lineRule="exact"/>
        <w:ind w:firstLine="480" w:firstLineChars="200"/>
        <w:rPr>
          <w:rFonts w:ascii="宋体" w:hAnsi="宋体" w:cs="宋体"/>
          <w:sz w:val="24"/>
        </w:rPr>
      </w:pPr>
      <w:r>
        <w:rPr>
          <w:rFonts w:hint="eastAsia" w:ascii="宋体" w:hAnsi="宋体" w:cs="宋体"/>
          <w:sz w:val="24"/>
        </w:rPr>
        <w:t>系统应配备方便维护和检测所需的附件、工具及技术资料。</w:t>
      </w:r>
    </w:p>
    <w:p>
      <w:pPr>
        <w:spacing w:line="599" w:lineRule="exact"/>
        <w:ind w:firstLine="480" w:firstLineChars="200"/>
        <w:rPr>
          <w:rFonts w:ascii="宋体" w:hAnsi="宋体" w:cs="宋体"/>
          <w:sz w:val="24"/>
        </w:rPr>
      </w:pPr>
      <w:r>
        <w:rPr>
          <w:rFonts w:hint="eastAsia" w:ascii="宋体" w:hAnsi="宋体" w:cs="宋体"/>
          <w:sz w:val="24"/>
        </w:rPr>
        <w:t>四、商务要求</w:t>
      </w:r>
    </w:p>
    <w:p>
      <w:pPr>
        <w:spacing w:line="599" w:lineRule="exact"/>
        <w:ind w:firstLine="480" w:firstLineChars="200"/>
        <w:rPr>
          <w:rFonts w:ascii="宋体" w:hAnsi="宋体" w:cs="宋体"/>
          <w:sz w:val="24"/>
        </w:rPr>
      </w:pPr>
      <w:r>
        <w:rPr>
          <w:rFonts w:hint="eastAsia" w:ascii="宋体" w:hAnsi="宋体" w:cs="宋体"/>
          <w:sz w:val="24"/>
        </w:rPr>
        <w:t>（一）交付要求</w:t>
      </w:r>
    </w:p>
    <w:p>
      <w:pPr>
        <w:spacing w:line="599" w:lineRule="exact"/>
        <w:ind w:firstLine="480" w:firstLineChars="200"/>
        <w:rPr>
          <w:rFonts w:ascii="宋体" w:hAnsi="宋体" w:cs="宋体"/>
          <w:sz w:val="24"/>
        </w:rPr>
      </w:pPr>
      <w:r>
        <w:rPr>
          <w:rFonts w:hint="eastAsia" w:ascii="宋体" w:hAnsi="宋体" w:cs="宋体"/>
          <w:sz w:val="24"/>
        </w:rPr>
        <w:t>应答人应提供与整个系统研制有关的技术文档，包括总体规划、方案设计、系统实现、系统内部测试、系统试运行、维护管理体系对应的全部技术文档和管理规范。技术文档应该全面、完整、详细、清晰，且与系统相一致，能够满足采购人对系统的安装、使用、维护、二次开发的需要。技术文档一般为中文。</w:t>
      </w:r>
    </w:p>
    <w:p>
      <w:pPr>
        <w:spacing w:line="599" w:lineRule="exact"/>
        <w:ind w:firstLine="480" w:firstLineChars="200"/>
        <w:rPr>
          <w:rFonts w:ascii="宋体" w:hAnsi="宋体" w:cs="宋体"/>
          <w:sz w:val="24"/>
        </w:rPr>
      </w:pPr>
      <w:r>
        <w:rPr>
          <w:rFonts w:hint="eastAsia" w:ascii="宋体" w:hAnsi="宋体" w:cs="宋体"/>
          <w:sz w:val="24"/>
        </w:rPr>
        <w:t xml:space="preserve"> 技术文档应当包括与运行版本一致的总体设计方案(含系统软硬件组成)、软件需求规格说明、软件设计说明、内部测试报告、软件用户手册、软件研制工作总结、可执行代码、源代码(以合同或订单规定为准)以及其它配套资料。</w:t>
      </w:r>
    </w:p>
    <w:p>
      <w:pPr>
        <w:spacing w:line="599" w:lineRule="exact"/>
        <w:ind w:firstLine="480" w:firstLineChars="200"/>
        <w:rPr>
          <w:rFonts w:ascii="宋体" w:hAnsi="宋体" w:cs="宋体"/>
          <w:sz w:val="24"/>
        </w:rPr>
      </w:pPr>
      <w:r>
        <w:rPr>
          <w:rFonts w:hint="eastAsia" w:ascii="宋体" w:hAnsi="宋体" w:cs="宋体"/>
          <w:sz w:val="24"/>
        </w:rPr>
        <w:t xml:space="preserve"> 技术文档内容应满足《计算机软件产品开发文件编制指南》和《软件工程术语》的要求。提供的技术文档均应以纸张或光盘为载体，除可执行代码和源代码外，文档的格式可为.DOC、.DOCX、.PPT、.PPTX、.XLS、.XLSX、.RTF或.PDF中任意一种类型的文件。</w:t>
      </w:r>
    </w:p>
    <w:p>
      <w:pPr>
        <w:spacing w:line="599" w:lineRule="exact"/>
        <w:ind w:firstLine="480" w:firstLineChars="200"/>
        <w:rPr>
          <w:rFonts w:ascii="宋体" w:hAnsi="宋体" w:cs="宋体"/>
          <w:sz w:val="24"/>
        </w:rPr>
      </w:pPr>
      <w:r>
        <w:rPr>
          <w:rFonts w:hint="eastAsia" w:ascii="宋体" w:hAnsi="宋体" w:cs="宋体"/>
          <w:sz w:val="24"/>
        </w:rPr>
        <w:t xml:space="preserve"> 系统交付由采购人或采购人指定的系统集成与运维服务厂商组织，应答人参与并回答和解决与交付有关的问题。</w:t>
      </w:r>
    </w:p>
    <w:p>
      <w:pPr>
        <w:spacing w:line="599" w:lineRule="exact"/>
        <w:ind w:firstLine="480" w:firstLineChars="200"/>
        <w:rPr>
          <w:rFonts w:ascii="宋体" w:hAnsi="宋体" w:cs="宋体"/>
          <w:sz w:val="24"/>
        </w:rPr>
      </w:pPr>
      <w:r>
        <w:rPr>
          <w:rFonts w:hint="eastAsia" w:ascii="宋体" w:hAnsi="宋体" w:cs="宋体"/>
          <w:sz w:val="24"/>
        </w:rPr>
        <w:t>系统交付时，采购人应按采购方案中的技术要求及指标要求编写测试方案，组织产品验收测试，通过测试有方可接收。</w:t>
      </w:r>
    </w:p>
    <w:p>
      <w:pPr>
        <w:spacing w:line="599" w:lineRule="exact"/>
        <w:ind w:firstLine="480" w:firstLineChars="200"/>
        <w:rPr>
          <w:rFonts w:ascii="宋体" w:hAnsi="宋体" w:cs="宋体"/>
          <w:sz w:val="24"/>
        </w:rPr>
      </w:pPr>
      <w:r>
        <w:rPr>
          <w:rFonts w:hint="eastAsia" w:ascii="宋体" w:hAnsi="宋体" w:cs="宋体"/>
          <w:sz w:val="24"/>
        </w:rPr>
        <w:t>（二）付款方式</w:t>
      </w:r>
    </w:p>
    <w:p>
      <w:pPr>
        <w:spacing w:line="599" w:lineRule="exact"/>
        <w:ind w:firstLine="480" w:firstLineChars="200"/>
        <w:rPr>
          <w:rFonts w:ascii="宋体" w:hAnsi="宋体" w:cs="宋体"/>
          <w:sz w:val="24"/>
        </w:rPr>
      </w:pPr>
      <w:r>
        <w:rPr>
          <w:rFonts w:hint="eastAsia" w:ascii="宋体" w:hAnsi="宋体" w:cs="宋体"/>
          <w:sz w:val="24"/>
        </w:rPr>
        <w:t>产品经验收合格后，采购方按合同约定方式进行支付。</w:t>
      </w:r>
    </w:p>
    <w:p>
      <w:pPr>
        <w:spacing w:line="599" w:lineRule="exact"/>
        <w:ind w:firstLine="480" w:firstLineChars="200"/>
        <w:rPr>
          <w:rFonts w:ascii="宋体" w:hAnsi="宋体" w:cs="宋体"/>
          <w:sz w:val="24"/>
        </w:rPr>
      </w:pPr>
      <w:r>
        <w:rPr>
          <w:rFonts w:hint="eastAsia" w:ascii="宋体" w:hAnsi="宋体" w:cs="宋体"/>
          <w:sz w:val="24"/>
        </w:rPr>
        <w:t>（三）安装调试</w:t>
      </w:r>
    </w:p>
    <w:p>
      <w:pPr>
        <w:spacing w:line="599" w:lineRule="exact"/>
        <w:ind w:firstLine="480" w:firstLineChars="200"/>
        <w:rPr>
          <w:rFonts w:ascii="宋体" w:hAnsi="宋体" w:cs="宋体"/>
          <w:sz w:val="24"/>
        </w:rPr>
      </w:pPr>
      <w:r>
        <w:rPr>
          <w:rFonts w:hint="eastAsia" w:ascii="宋体" w:hAnsi="宋体" w:cs="宋体"/>
          <w:sz w:val="24"/>
        </w:rPr>
        <w:t>由中标单位应按照采购方要求，按照采购方指定的时间、地点对设备进行安装调试，期间产生的线材及服务不再收取任何费用。</w:t>
      </w:r>
    </w:p>
    <w:p>
      <w:pPr>
        <w:spacing w:line="599" w:lineRule="exact"/>
        <w:ind w:firstLine="480" w:firstLineChars="200"/>
        <w:rPr>
          <w:rFonts w:ascii="宋体" w:hAnsi="宋体" w:cs="宋体"/>
          <w:sz w:val="24"/>
        </w:rPr>
      </w:pPr>
      <w:r>
        <w:rPr>
          <w:rFonts w:hint="eastAsia" w:ascii="宋体" w:hAnsi="宋体" w:cs="宋体"/>
          <w:sz w:val="24"/>
        </w:rPr>
        <w:t>（四）服务及培训</w:t>
      </w:r>
    </w:p>
    <w:p>
      <w:pPr>
        <w:spacing w:line="599" w:lineRule="exact"/>
        <w:ind w:firstLine="480" w:firstLineChars="200"/>
        <w:rPr>
          <w:rFonts w:ascii="宋体" w:hAnsi="宋体" w:cs="宋体"/>
          <w:sz w:val="24"/>
        </w:rPr>
      </w:pPr>
      <w:r>
        <w:rPr>
          <w:rFonts w:hint="eastAsia" w:ascii="宋体" w:hAnsi="宋体" w:cs="宋体"/>
          <w:sz w:val="24"/>
        </w:rPr>
        <w:t>应答人提供现场技术培训，时间、培训地点应和采购人协商。</w:t>
      </w:r>
    </w:p>
    <w:p>
      <w:pPr>
        <w:spacing w:line="599" w:lineRule="exact"/>
        <w:ind w:firstLine="480" w:firstLineChars="200"/>
        <w:rPr>
          <w:rFonts w:ascii="宋体" w:hAnsi="宋体" w:cs="宋体"/>
          <w:sz w:val="24"/>
        </w:rPr>
      </w:pPr>
      <w:r>
        <w:rPr>
          <w:rFonts w:hint="eastAsia" w:ascii="宋体" w:hAnsi="宋体" w:cs="宋体"/>
          <w:sz w:val="24"/>
        </w:rPr>
        <w:t>（五）保证和售后服务要求</w:t>
      </w:r>
    </w:p>
    <w:p>
      <w:pPr>
        <w:spacing w:line="599" w:lineRule="exact"/>
        <w:ind w:firstLine="420" w:firstLineChars="200"/>
        <w:rPr>
          <w:rFonts w:hint="eastAsia" w:ascii="宋体" w:hAnsi="宋体" w:cs="宋体"/>
          <w:sz w:val="24"/>
          <w:lang w:eastAsia="zh-CN"/>
        </w:rPr>
      </w:pPr>
      <w:r>
        <w:rPr>
          <w:rFonts w:hint="eastAsia"/>
        </w:rPr>
        <w:t>★</w:t>
      </w:r>
      <w:r>
        <w:rPr>
          <w:rFonts w:hint="eastAsia" w:ascii="宋体" w:hAnsi="宋体" w:cs="宋体"/>
          <w:sz w:val="24"/>
        </w:rPr>
        <w:t>（1）质量保证期：合同项中产品的质量保证期为产品安装验收合格之日起整机硬件/软件全保不低于三年</w:t>
      </w:r>
      <w:r>
        <w:rPr>
          <w:rFonts w:hint="eastAsia" w:ascii="宋体" w:hAnsi="宋体" w:cs="宋体"/>
          <w:sz w:val="24"/>
          <w:lang w:eastAsia="zh-CN"/>
        </w:rPr>
        <w:t>。</w:t>
      </w:r>
    </w:p>
    <w:p>
      <w:pPr>
        <w:spacing w:line="599"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保证期内免费软件升级服务。在保证期限内，乙方应配合采购方对产品进行维护检查，在正常使用条件下，若产品出现故障，厂商要在用户报修后2小时内响应，48小时内到场修复。在响应时间内不能修复时，厂商须免费提供备机、备件，保障用户业务不间断。厂商提供上门维修服务，免除包括人力和零部件一切费用。</w:t>
      </w:r>
    </w:p>
    <w:p>
      <w:pPr>
        <w:spacing w:line="599"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）在质量保证期限以外，产品使用中出现质量问题，乙方应根据甲方要求提供现场技术服务，以成本价收取人工和部件费用。</w:t>
      </w:r>
    </w:p>
    <w:p>
      <w:pPr>
        <w:spacing w:line="599" w:lineRule="exact"/>
        <w:ind w:firstLine="480" w:firstLineChars="200"/>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）维修中需更换的零部件要保持其原有技术特性，硬盘免回收。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7102235"/>
                          </w:sdtPr>
                          <w:sdtEndPr>
                            <w:rPr>
                              <w:rFonts w:ascii="仿宋" w:hAnsi="仿宋" w:eastAsia="仿宋"/>
                              <w:sz w:val="28"/>
                              <w:szCs w:val="28"/>
                            </w:rPr>
                          </w:sdtEndPr>
                          <w:sdtContent>
                            <w:p>
                              <w:pPr>
                                <w:pStyle w:val="6"/>
                                <w:jc w:val="right"/>
                                <w:rPr>
                                  <w:rFonts w:ascii="仿宋" w:hAnsi="仿宋" w:eastAsia="仿宋"/>
                                  <w:sz w:val="28"/>
                                  <w:szCs w:val="28"/>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42</w:t>
                              </w:r>
                              <w:r>
                                <w:rPr>
                                  <w:rFonts w:hint="eastAsia" w:ascii="宋体" w:hAnsi="宋体" w:cs="宋体"/>
                                </w:rPr>
                                <w:fldChar w:fldCharType="end"/>
                              </w:r>
                              <w:r>
                                <w:rPr>
                                  <w:rFonts w:ascii="仿宋" w:hAnsi="仿宋" w:eastAsia="仿宋"/>
                                  <w:color w:val="FFFFFF" w:themeColor="background1"/>
                                  <w:sz w:val="28"/>
                                  <w:szCs w:val="28"/>
                                  <w14:textFill>
                                    <w14:solidFill>
                                      <w14:schemeClr w14:val="bg1"/>
                                    </w14:solidFill>
                                  </w14:textFill>
                                </w:rPr>
                                <w:t>—</w:t>
                              </w:r>
                            </w:p>
                          </w:sdtContent>
                        </w:sdt>
                        <w:p>
                          <w:pPr>
                            <w:pStyle w:val="2"/>
                            <w:ind w:right="105"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747102235"/>
                    </w:sdtPr>
                    <w:sdtEndPr>
                      <w:rPr>
                        <w:rFonts w:ascii="仿宋" w:hAnsi="仿宋" w:eastAsia="仿宋"/>
                        <w:sz w:val="28"/>
                        <w:szCs w:val="28"/>
                      </w:rPr>
                    </w:sdtEndPr>
                    <w:sdtContent>
                      <w:p>
                        <w:pPr>
                          <w:pStyle w:val="6"/>
                          <w:jc w:val="right"/>
                          <w:rPr>
                            <w:rFonts w:ascii="仿宋" w:hAnsi="仿宋" w:eastAsia="仿宋"/>
                            <w:sz w:val="28"/>
                            <w:szCs w:val="28"/>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42</w:t>
                        </w:r>
                        <w:r>
                          <w:rPr>
                            <w:rFonts w:hint="eastAsia" w:ascii="宋体" w:hAnsi="宋体" w:cs="宋体"/>
                          </w:rPr>
                          <w:fldChar w:fldCharType="end"/>
                        </w:r>
                        <w:r>
                          <w:rPr>
                            <w:rFonts w:ascii="仿宋" w:hAnsi="仿宋" w:eastAsia="仿宋"/>
                            <w:color w:val="FFFFFF" w:themeColor="background1"/>
                            <w:sz w:val="28"/>
                            <w:szCs w:val="28"/>
                            <w14:textFill>
                              <w14:solidFill>
                                <w14:schemeClr w14:val="bg1"/>
                              </w14:solidFill>
                            </w14:textFill>
                          </w:rPr>
                          <w:t>—</w:t>
                        </w:r>
                      </w:p>
                    </w:sdtContent>
                  </w:sdt>
                  <w:p>
                    <w:pPr>
                      <w:pStyle w:val="2"/>
                      <w:ind w:right="105" w:firstLine="480"/>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5345129"/>
    </w:sdtPr>
    <w:sdtEndPr>
      <w:rPr>
        <w:rFonts w:ascii="仿宋" w:hAnsi="仿宋" w:eastAsia="仿宋"/>
        <w:sz w:val="28"/>
        <w:szCs w:val="28"/>
      </w:rPr>
    </w:sdtEndPr>
    <w:sdtContent>
      <w:p>
        <w:pPr>
          <w:pStyle w:val="6"/>
          <w:rPr>
            <w:rFonts w:ascii="仿宋" w:hAnsi="仿宋" w:eastAsia="仿宋"/>
            <w:sz w:val="28"/>
            <w:szCs w:val="28"/>
          </w:rPr>
        </w:pPr>
        <w:r>
          <w:rPr>
            <w:rFonts w:ascii="仿宋" w:hAnsi="仿宋" w:eastAsia="仿宋"/>
            <w:color w:val="FFFFFF" w:themeColor="background1"/>
            <w:sz w:val="28"/>
            <w:szCs w:val="28"/>
            <w14:textFill>
              <w14:solidFill>
                <w14:schemeClr w14:val="bg1"/>
              </w14:solidFill>
            </w14:textFill>
          </w:rPr>
          <w:t>—</w:t>
        </w: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32</w:t>
        </w:r>
        <w:r>
          <w:rPr>
            <w:rFonts w:ascii="仿宋" w:hAnsi="仿宋" w:eastAsia="仿宋"/>
            <w:sz w:val="28"/>
            <w:szCs w:val="28"/>
          </w:rPr>
          <w:fldChar w:fldCharType="end"/>
        </w:r>
        <w:r>
          <w:rPr>
            <w:rFonts w:ascii="仿宋" w:hAnsi="仿宋" w:eastAsia="仿宋"/>
            <w:sz w:val="28"/>
            <w:szCs w:val="28"/>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6DF2"/>
    <w:multiLevelType w:val="singleLevel"/>
    <w:tmpl w:val="FFCD6DF2"/>
    <w:lvl w:ilvl="0" w:tentative="0">
      <w:start w:val="6"/>
      <w:numFmt w:val="chineseCounting"/>
      <w:suff w:val="nothing"/>
      <w:lvlText w:val="%1、"/>
      <w:lvlJc w:val="left"/>
      <w:rPr>
        <w:rFonts w:hint="eastAsia"/>
      </w:rPr>
    </w:lvl>
  </w:abstractNum>
  <w:abstractNum w:abstractNumId="1">
    <w:nsid w:val="0977459B"/>
    <w:multiLevelType w:val="multilevel"/>
    <w:tmpl w:val="0977459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D113B1A"/>
    <w:multiLevelType w:val="multilevel"/>
    <w:tmpl w:val="1D113B1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0E361F7"/>
    <w:multiLevelType w:val="multilevel"/>
    <w:tmpl w:val="20E361F7"/>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56A0EFE"/>
    <w:multiLevelType w:val="multilevel"/>
    <w:tmpl w:val="256A0EFE"/>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9973130"/>
    <w:multiLevelType w:val="multilevel"/>
    <w:tmpl w:val="29973130"/>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541E54"/>
    <w:multiLevelType w:val="multilevel"/>
    <w:tmpl w:val="2D541E5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DF00F91"/>
    <w:multiLevelType w:val="multilevel"/>
    <w:tmpl w:val="2DF00F9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83C1202"/>
    <w:multiLevelType w:val="multilevel"/>
    <w:tmpl w:val="383C120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BC2499D"/>
    <w:multiLevelType w:val="multilevel"/>
    <w:tmpl w:val="3BC2499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42D94D10"/>
    <w:multiLevelType w:val="multilevel"/>
    <w:tmpl w:val="42D94D10"/>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47C51F94"/>
    <w:multiLevelType w:val="multilevel"/>
    <w:tmpl w:val="47C51F9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492F42E3"/>
    <w:multiLevelType w:val="multilevel"/>
    <w:tmpl w:val="492F42E3"/>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4A4333E5"/>
    <w:multiLevelType w:val="multilevel"/>
    <w:tmpl w:val="4A4333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DD6345"/>
    <w:multiLevelType w:val="multilevel"/>
    <w:tmpl w:val="67DD63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9"/>
  </w:num>
  <w:num w:numId="4">
    <w:abstractNumId w:val="1"/>
  </w:num>
  <w:num w:numId="5">
    <w:abstractNumId w:val="3"/>
  </w:num>
  <w:num w:numId="6">
    <w:abstractNumId w:val="4"/>
  </w:num>
  <w:num w:numId="7">
    <w:abstractNumId w:val="6"/>
  </w:num>
  <w:num w:numId="8">
    <w:abstractNumId w:val="10"/>
  </w:num>
  <w:num w:numId="9">
    <w:abstractNumId w:val="2"/>
  </w:num>
  <w:num w:numId="10">
    <w:abstractNumId w:val="8"/>
  </w:num>
  <w:num w:numId="11">
    <w:abstractNumId w:val="5"/>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TRhNGUzOWNiZGQ2N2RiYTMwMmM3MjhjZGYyYTIifQ=="/>
  </w:docVars>
  <w:rsids>
    <w:rsidRoot w:val="00000000"/>
    <w:rsid w:val="0CDA7707"/>
    <w:rsid w:val="23620A25"/>
    <w:rsid w:val="252E0198"/>
    <w:rsid w:val="44960B69"/>
    <w:rsid w:val="44B42249"/>
    <w:rsid w:val="625C088E"/>
    <w:rsid w:val="7A58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
    <w:pPr>
      <w:keepNext/>
      <w:keepLines/>
      <w:widowControl/>
      <w:spacing w:before="120" w:line="400" w:lineRule="exact"/>
      <w:ind w:firstLine="200" w:firstLineChars="200"/>
      <w:outlineLvl w:val="1"/>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列表段落1"/>
    <w:basedOn w:val="1"/>
    <w:qFormat/>
    <w:uiPriority w:val="0"/>
    <w:pPr>
      <w:spacing w:line="120" w:lineRule="auto"/>
      <w:ind w:right="50" w:rightChars="50" w:firstLine="200" w:firstLineChars="200"/>
    </w:pPr>
    <w:rPr>
      <w:rFonts w:ascii="微软雅黑" w:eastAsia="微软雅黑"/>
      <w:sz w:val="24"/>
      <w:szCs w:val="18"/>
    </w:rPr>
  </w:style>
  <w:style w:type="paragraph" w:customStyle="1" w:styleId="4">
    <w:name w:val="所标正文"/>
    <w:basedOn w:val="1"/>
    <w:qFormat/>
    <w:uiPriority w:val="0"/>
    <w:pPr>
      <w:autoSpaceDE w:val="0"/>
      <w:autoSpaceDN w:val="0"/>
      <w:adjustRightInd w:val="0"/>
      <w:spacing w:line="360" w:lineRule="auto"/>
      <w:ind w:firstLine="480" w:firstLineChars="200"/>
      <w:textAlignment w:val="baseline"/>
    </w:pPr>
    <w:rPr>
      <w:rFonts w:ascii="宋体" w:hAnsi="宋体"/>
      <w:color w:val="000000" w:themeColor="text1"/>
      <w:kern w:val="0"/>
      <w:sz w:val="24"/>
      <w14:textFill>
        <w14:solidFill>
          <w14:schemeClr w14:val="tx1"/>
        </w14:solidFill>
      </w14:textFill>
    </w:rPr>
  </w:style>
  <w:style w:type="paragraph" w:styleId="5">
    <w:name w:val="List 2"/>
    <w:basedOn w:val="1"/>
    <w:qFormat/>
    <w:uiPriority w:val="0"/>
    <w:pPr>
      <w:ind w:left="100" w:leftChars="200" w:hanging="200" w:hanging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1908</Words>
  <Characters>2258</Characters>
  <Lines>0</Lines>
  <Paragraphs>0</Paragraphs>
  <TotalTime>0</TotalTime>
  <ScaleCrop>false</ScaleCrop>
  <LinksUpToDate>false</LinksUpToDate>
  <CharactersWithSpaces>2314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2022-07-06T05:52:00Z</dcterms:created>
  <dc:creator>Thinkpad</dc:creator>
  <cp:lastModifiedBy>丁亚男</cp:lastModifiedBy>
  <dcterms:modified xsi:type="dcterms:W3CDTF">2022-07-06T06:08:53Z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A17E2766DF6A4E8485D300D2199FCCFA</vt:lpwstr>
  </property>
</Properties>
</file>