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pageBreakBefore w:val="0"/>
        <w:widowControl/>
        <w:kinsoku/>
        <w:wordWrap/>
        <w:overflowPunct/>
        <w:topLinePunct w:val="0"/>
        <w:autoSpaceDE/>
        <w:autoSpaceDN/>
        <w:bidi w:val="0"/>
        <w:adjustRightInd/>
        <w:snapToGrid w:val="0"/>
        <w:spacing w:line="440" w:lineRule="exact"/>
        <w:ind w:left="-105" w:leftChars="-50" w:right="-105" w:rightChars="-50"/>
        <w:jc w:val="center"/>
        <w:outlineLvl w:val="0"/>
        <w:rPr>
          <w:rFonts w:hint="eastAsia" w:hAnsi="宋体"/>
          <w:b/>
          <w:sz w:val="32"/>
          <w:szCs w:val="32"/>
        </w:rPr>
      </w:pPr>
      <w:r>
        <w:rPr>
          <w:rFonts w:hint="eastAsia" w:hAnsi="宋体"/>
          <w:b/>
          <w:sz w:val="32"/>
          <w:szCs w:val="32"/>
        </w:rPr>
        <w:t>广西新宇建设项目管理有限公司</w:t>
      </w:r>
    </w:p>
    <w:p>
      <w:pPr>
        <w:pStyle w:val="5"/>
        <w:keepNext/>
        <w:keepLines/>
        <w:pageBreakBefore w:val="0"/>
        <w:widowControl/>
        <w:numPr>
          <w:ilvl w:val="0"/>
          <w:numId w:val="0"/>
        </w:numPr>
        <w:kinsoku/>
        <w:wordWrap/>
        <w:overflowPunct/>
        <w:topLinePunct w:val="0"/>
        <w:autoSpaceDE/>
        <w:autoSpaceDN/>
        <w:bidi w:val="0"/>
        <w:adjustRightInd/>
        <w:ind w:leftChars="0"/>
        <w:jc w:val="center"/>
      </w:pPr>
      <w:r>
        <w:rPr>
          <w:rFonts w:hint="eastAsia" w:ascii="Times New Roman" w:hAnsi="宋体" w:cs="宋体"/>
          <w:b/>
          <w:bCs/>
          <w:sz w:val="32"/>
          <w:szCs w:val="32"/>
          <w:lang w:eastAsia="zh-CN"/>
        </w:rPr>
        <w:t>北部湾人力资源服务产业园（A区）运营服务（BHZC2022-C3-990221-GXXY）竞争性磋商公告</w:t>
      </w:r>
      <w:r>
        <w:rPr>
          <w:rFonts w:hint="eastAsia" w:hAnsi="宋体" w:cs="宋体"/>
          <w:b/>
          <w:bCs/>
          <w:sz w:val="32"/>
          <w:szCs w:val="32"/>
          <w:lang w:eastAsia="zh-CN"/>
        </w:rPr>
        <w:t>附件</w:t>
      </w:r>
    </w:p>
    <w:p>
      <w:pPr>
        <w:pStyle w:val="5"/>
        <w:keepNext/>
        <w:keepLines/>
        <w:pageBreakBefore w:val="0"/>
        <w:widowControl/>
        <w:numPr>
          <w:ilvl w:val="0"/>
          <w:numId w:val="0"/>
        </w:numPr>
        <w:kinsoku/>
        <w:wordWrap/>
        <w:overflowPunct/>
        <w:topLinePunct w:val="0"/>
        <w:autoSpaceDE/>
        <w:autoSpaceDN/>
        <w:bidi w:val="0"/>
        <w:adjustRightInd/>
        <w:ind w:leftChars="0"/>
      </w:pPr>
    </w:p>
    <w:p>
      <w:pPr>
        <w:pStyle w:val="2"/>
        <w:keepNext/>
        <w:keepLines/>
        <w:pageBreakBefore w:val="0"/>
        <w:widowControl/>
        <w:kinsoku/>
        <w:wordWrap/>
        <w:overflowPunct/>
        <w:topLinePunct w:val="0"/>
        <w:autoSpaceDE/>
        <w:autoSpaceDN/>
        <w:bidi w:val="0"/>
        <w:spacing w:line="300" w:lineRule="exact"/>
        <w:ind w:firstLine="422" w:firstLineChars="200"/>
        <w:textAlignment w:val="auto"/>
        <w:rPr>
          <w:rFonts w:hint="eastAsia" w:ascii="宋体" w:hAnsi="宋体" w:cs="宋体"/>
          <w:b/>
          <w:bCs/>
          <w:color w:val="auto"/>
          <w:szCs w:val="21"/>
          <w:highlight w:val="none"/>
        </w:rPr>
      </w:pPr>
    </w:p>
    <w:p>
      <w:pPr>
        <w:pStyle w:val="2"/>
        <w:keepNext/>
        <w:keepLines/>
        <w:pageBreakBefore w:val="0"/>
        <w:widowControl/>
        <w:kinsoku/>
        <w:wordWrap/>
        <w:overflowPunct/>
        <w:topLinePunct w:val="0"/>
        <w:autoSpaceDE/>
        <w:autoSpaceDN/>
        <w:bidi w:val="0"/>
        <w:spacing w:line="300" w:lineRule="exact"/>
        <w:jc w:val="center"/>
        <w:textAlignment w:val="auto"/>
        <w:rPr>
          <w:rFonts w:ascii="宋体" w:hAnsi="宋体" w:cs="宋体"/>
          <w:b/>
          <w:bCs/>
          <w:color w:val="auto"/>
          <w:sz w:val="32"/>
          <w:szCs w:val="32"/>
          <w:highlight w:val="none"/>
        </w:rPr>
      </w:pPr>
      <w:r>
        <w:rPr>
          <w:rFonts w:hint="eastAsia" w:ascii="宋体" w:hAnsi="宋体" w:cs="宋体"/>
          <w:b/>
          <w:bCs/>
          <w:color w:val="auto"/>
          <w:sz w:val="32"/>
          <w:szCs w:val="32"/>
          <w:highlight w:val="none"/>
        </w:rPr>
        <w:t>服务需求：</w:t>
      </w:r>
    </w:p>
    <w:tbl>
      <w:tblPr>
        <w:tblStyle w:val="6"/>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4746"/>
        <w:gridCol w:w="1013"/>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789" w:type="dxa"/>
            <w:vAlign w:val="center"/>
          </w:tcPr>
          <w:p>
            <w:pPr>
              <w:keepNext/>
              <w:keepLines/>
              <w:pageBreakBefore w:val="0"/>
              <w:widowControl/>
              <w:kinsoku/>
              <w:wordWrap/>
              <w:overflowPunct/>
              <w:topLinePunct w:val="0"/>
              <w:autoSpaceDE/>
              <w:autoSpaceDN/>
              <w:bidi w:val="0"/>
              <w:spacing w:line="300" w:lineRule="exact"/>
              <w:jc w:val="center"/>
              <w:textAlignment w:val="auto"/>
              <w:rPr>
                <w:rFonts w:ascii="宋体" w:hAnsi="宋体" w:cs="宋体"/>
                <w:b/>
                <w:bCs/>
                <w:color w:val="auto"/>
                <w:sz w:val="24"/>
                <w:szCs w:val="24"/>
                <w:highlight w:val="none"/>
                <w:lang w:val="ru-RU"/>
              </w:rPr>
            </w:pPr>
            <w:r>
              <w:rPr>
                <w:rFonts w:hint="eastAsia" w:ascii="宋体" w:hAnsi="宋体" w:cs="宋体"/>
                <w:b/>
                <w:bCs/>
                <w:color w:val="auto"/>
                <w:sz w:val="24"/>
                <w:szCs w:val="24"/>
                <w:highlight w:val="none"/>
                <w:lang w:val="ru-RU"/>
              </w:rPr>
              <w:t>项号</w:t>
            </w:r>
          </w:p>
        </w:tc>
        <w:tc>
          <w:tcPr>
            <w:tcW w:w="4746" w:type="dxa"/>
            <w:vAlign w:val="center"/>
          </w:tcPr>
          <w:p>
            <w:pPr>
              <w:keepNext/>
              <w:keepLines/>
              <w:pageBreakBefore w:val="0"/>
              <w:widowControl/>
              <w:kinsoku/>
              <w:wordWrap/>
              <w:overflowPunct/>
              <w:topLinePunct w:val="0"/>
              <w:autoSpaceDE/>
              <w:autoSpaceDN/>
              <w:bidi w:val="0"/>
              <w:spacing w:line="300" w:lineRule="exact"/>
              <w:jc w:val="center"/>
              <w:textAlignment w:val="auto"/>
              <w:rPr>
                <w:rFonts w:ascii="宋体" w:hAnsi="宋体" w:cs="宋体"/>
                <w:b/>
                <w:bCs/>
                <w:color w:val="auto"/>
                <w:sz w:val="24"/>
                <w:szCs w:val="24"/>
                <w:highlight w:val="none"/>
                <w:lang w:val="ru-RU"/>
              </w:rPr>
            </w:pPr>
            <w:r>
              <w:rPr>
                <w:rFonts w:hint="eastAsia" w:ascii="宋体" w:hAnsi="宋体" w:cs="宋体"/>
                <w:b/>
                <w:bCs/>
                <w:color w:val="auto"/>
                <w:sz w:val="24"/>
                <w:szCs w:val="24"/>
                <w:highlight w:val="none"/>
                <w:lang w:val="ru-RU"/>
              </w:rPr>
              <w:t>服务名称</w:t>
            </w:r>
          </w:p>
        </w:tc>
        <w:tc>
          <w:tcPr>
            <w:tcW w:w="1013" w:type="dxa"/>
            <w:vAlign w:val="center"/>
          </w:tcPr>
          <w:p>
            <w:pPr>
              <w:keepNext/>
              <w:keepLines/>
              <w:pageBreakBefore w:val="0"/>
              <w:widowControl/>
              <w:kinsoku/>
              <w:wordWrap/>
              <w:overflowPunct/>
              <w:topLinePunct w:val="0"/>
              <w:autoSpaceDE/>
              <w:autoSpaceDN/>
              <w:bidi w:val="0"/>
              <w:spacing w:line="300" w:lineRule="exact"/>
              <w:jc w:val="center"/>
              <w:textAlignment w:val="auto"/>
              <w:rPr>
                <w:rFonts w:ascii="宋体" w:hAnsi="宋体" w:cs="宋体"/>
                <w:b/>
                <w:bCs/>
                <w:color w:val="auto"/>
                <w:sz w:val="24"/>
                <w:szCs w:val="24"/>
                <w:highlight w:val="none"/>
                <w:lang w:val="ru-RU"/>
              </w:rPr>
            </w:pPr>
            <w:r>
              <w:rPr>
                <w:rFonts w:hint="eastAsia" w:ascii="宋体" w:hAnsi="宋体" w:cs="宋体"/>
                <w:b/>
                <w:bCs/>
                <w:color w:val="auto"/>
                <w:sz w:val="24"/>
                <w:szCs w:val="24"/>
                <w:highlight w:val="none"/>
                <w:lang w:val="ru-RU"/>
              </w:rPr>
              <w:t>数量</w:t>
            </w:r>
          </w:p>
        </w:tc>
        <w:tc>
          <w:tcPr>
            <w:tcW w:w="3310" w:type="dxa"/>
            <w:vAlign w:val="center"/>
          </w:tcPr>
          <w:p>
            <w:pPr>
              <w:keepNext/>
              <w:keepLines/>
              <w:pageBreakBefore w:val="0"/>
              <w:widowControl/>
              <w:kinsoku/>
              <w:wordWrap/>
              <w:overflowPunct/>
              <w:topLinePunct w:val="0"/>
              <w:autoSpaceDE/>
              <w:autoSpaceDN/>
              <w:bidi w:val="0"/>
              <w:spacing w:line="300" w:lineRule="exact"/>
              <w:jc w:val="center"/>
              <w:textAlignment w:val="auto"/>
              <w:rPr>
                <w:rFonts w:ascii="宋体" w:hAnsi="宋体" w:cs="宋体"/>
                <w:b/>
                <w:bCs/>
                <w:color w:val="auto"/>
                <w:sz w:val="24"/>
                <w:szCs w:val="24"/>
                <w:highlight w:val="none"/>
                <w:lang w:val="ru-RU"/>
              </w:rPr>
            </w:pPr>
            <w:r>
              <w:rPr>
                <w:rFonts w:hint="eastAsia" w:ascii="宋体" w:hAnsi="宋体" w:cs="宋体"/>
                <w:b/>
                <w:bCs/>
                <w:color w:val="auto"/>
                <w:sz w:val="24"/>
                <w:szCs w:val="24"/>
                <w:highlight w:val="none"/>
              </w:rPr>
              <w:t>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89" w:type="dxa"/>
            <w:vAlign w:val="center"/>
          </w:tcPr>
          <w:p>
            <w:pPr>
              <w:keepNext/>
              <w:keepLines/>
              <w:pageBreakBefore w:val="0"/>
              <w:widowControl/>
              <w:kinsoku/>
              <w:wordWrap/>
              <w:overflowPunct/>
              <w:topLinePunct w:val="0"/>
              <w:autoSpaceDE/>
              <w:autoSpaceDN/>
              <w:bidi w:val="0"/>
              <w:spacing w:line="30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1</w:t>
            </w:r>
          </w:p>
        </w:tc>
        <w:tc>
          <w:tcPr>
            <w:tcW w:w="4746" w:type="dxa"/>
            <w:vAlign w:val="center"/>
          </w:tcPr>
          <w:p>
            <w:pPr>
              <w:keepNext/>
              <w:keepLines/>
              <w:pageBreakBefore w:val="0"/>
              <w:widowControl/>
              <w:kinsoku/>
              <w:wordWrap/>
              <w:overflowPunct/>
              <w:topLinePunct w:val="0"/>
              <w:autoSpaceDE/>
              <w:autoSpaceDN/>
              <w:bidi w:val="0"/>
              <w:spacing w:line="300" w:lineRule="exact"/>
              <w:jc w:val="center"/>
              <w:textAlignment w:val="auto"/>
              <w:rPr>
                <w:rFonts w:ascii="宋体" w:hAnsi="宋体" w:cs="宋体"/>
                <w:color w:val="auto"/>
                <w:sz w:val="24"/>
                <w:szCs w:val="24"/>
                <w:highlight w:val="none"/>
                <w:lang w:val="ru-RU"/>
              </w:rPr>
            </w:pPr>
            <w:r>
              <w:rPr>
                <w:rFonts w:hint="eastAsia" w:ascii="宋体" w:hAnsi="宋体" w:cs="宋体"/>
                <w:color w:val="auto"/>
                <w:sz w:val="24"/>
                <w:szCs w:val="24"/>
                <w:highlight w:val="none"/>
              </w:rPr>
              <w:t>北部湾人力资源服务产业园（A区）运营服务</w:t>
            </w:r>
          </w:p>
        </w:tc>
        <w:tc>
          <w:tcPr>
            <w:tcW w:w="1013" w:type="dxa"/>
            <w:vAlign w:val="center"/>
          </w:tcPr>
          <w:p>
            <w:pPr>
              <w:keepNext/>
              <w:keepLines/>
              <w:pageBreakBefore w:val="0"/>
              <w:widowControl/>
              <w:kinsoku/>
              <w:wordWrap/>
              <w:overflowPunct/>
              <w:topLinePunct w:val="0"/>
              <w:autoSpaceDE/>
              <w:autoSpaceDN/>
              <w:bidi w:val="0"/>
              <w:spacing w:line="3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1项</w:t>
            </w:r>
          </w:p>
        </w:tc>
        <w:tc>
          <w:tcPr>
            <w:tcW w:w="3310" w:type="dxa"/>
            <w:vAlign w:val="center"/>
          </w:tcPr>
          <w:p>
            <w:pPr>
              <w:keepNext/>
              <w:keepLines/>
              <w:pageBreakBefore w:val="0"/>
              <w:widowControl/>
              <w:kinsoku/>
              <w:wordWrap/>
              <w:overflowPunct/>
              <w:topLinePunct w:val="0"/>
              <w:autoSpaceDE/>
              <w:autoSpaceDN/>
              <w:bidi w:val="0"/>
              <w:spacing w:line="300" w:lineRule="exact"/>
              <w:jc w:val="center"/>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详见附件1</w:t>
            </w:r>
          </w:p>
        </w:tc>
      </w:tr>
    </w:tbl>
    <w:p>
      <w:pPr>
        <w:pStyle w:val="2"/>
        <w:keepNext/>
        <w:keepLines/>
        <w:pageBreakBefore w:val="0"/>
        <w:widowControl/>
        <w:kinsoku/>
        <w:wordWrap/>
        <w:overflowPunct/>
        <w:topLinePunct w:val="0"/>
        <w:autoSpaceDE/>
        <w:autoSpaceDN/>
        <w:bidi w:val="0"/>
        <w:spacing w:line="300" w:lineRule="exact"/>
        <w:ind w:firstLine="0"/>
        <w:textAlignment w:val="auto"/>
        <w:rPr>
          <w:rFonts w:hint="eastAsia" w:ascii="宋体" w:hAnsi="宋体" w:cs="宋体"/>
          <w:b/>
          <w:bCs/>
          <w:color w:val="auto"/>
          <w:sz w:val="24"/>
          <w:szCs w:val="24"/>
          <w:highlight w:val="none"/>
        </w:rPr>
      </w:pPr>
      <w:bookmarkStart w:id="0" w:name="_GoBack"/>
      <w:bookmarkEnd w:id="0"/>
    </w:p>
    <w:p>
      <w:pPr>
        <w:pStyle w:val="2"/>
        <w:keepNext/>
        <w:keepLines/>
        <w:pageBreakBefore w:val="0"/>
        <w:widowControl/>
        <w:kinsoku/>
        <w:wordWrap/>
        <w:overflowPunct/>
        <w:topLinePunct w:val="0"/>
        <w:autoSpaceDE/>
        <w:autoSpaceDN/>
        <w:bidi w:val="0"/>
        <w:spacing w:line="300" w:lineRule="exact"/>
        <w:ind w:firstLine="0"/>
        <w:textAlignment w:val="auto"/>
        <w:rPr>
          <w:rFonts w:hint="eastAsia" w:ascii="宋体" w:hAnsi="宋体" w:cs="宋体"/>
          <w:b/>
          <w:bCs/>
          <w:color w:val="auto"/>
          <w:sz w:val="32"/>
          <w:szCs w:val="32"/>
          <w:highlight w:val="none"/>
        </w:rPr>
      </w:pPr>
    </w:p>
    <w:p>
      <w:pPr>
        <w:pStyle w:val="2"/>
        <w:keepNext/>
        <w:keepLines/>
        <w:pageBreakBefore w:val="0"/>
        <w:widowControl/>
        <w:kinsoku/>
        <w:wordWrap/>
        <w:overflowPunct/>
        <w:topLinePunct w:val="0"/>
        <w:autoSpaceDE/>
        <w:autoSpaceDN/>
        <w:bidi w:val="0"/>
        <w:spacing w:line="300" w:lineRule="exact"/>
        <w:ind w:firstLine="0"/>
        <w:textAlignment w:val="auto"/>
        <w:rPr>
          <w:rFonts w:ascii="宋体" w:hAnsi="宋体" w:cs="宋体"/>
          <w:b/>
          <w:bCs/>
          <w:color w:val="auto"/>
          <w:sz w:val="32"/>
          <w:szCs w:val="32"/>
          <w:highlight w:val="none"/>
        </w:rPr>
      </w:pPr>
      <w:r>
        <w:rPr>
          <w:rFonts w:hint="eastAsia" w:ascii="宋体" w:hAnsi="宋体" w:cs="宋体"/>
          <w:b/>
          <w:bCs/>
          <w:color w:val="auto"/>
          <w:sz w:val="32"/>
          <w:szCs w:val="32"/>
          <w:highlight w:val="none"/>
        </w:rPr>
        <w:t>附件1</w:t>
      </w:r>
    </w:p>
    <w:p>
      <w:pPr>
        <w:keepNext/>
        <w:keepLines/>
        <w:pageBreakBefore w:val="0"/>
        <w:widowControl/>
        <w:kinsoku/>
        <w:wordWrap/>
        <w:overflowPunct/>
        <w:topLinePunct w:val="0"/>
        <w:autoSpaceDE/>
        <w:autoSpaceDN/>
        <w:bidi w:val="0"/>
        <w:spacing w:line="300" w:lineRule="exact"/>
        <w:ind w:firstLine="482" w:firstLineChars="200"/>
        <w:textAlignment w:val="auto"/>
        <w:rPr>
          <w:rFonts w:ascii="宋体" w:hAnsi="宋体" w:cs="宋体"/>
          <w:b/>
          <w:bCs/>
          <w:color w:val="auto"/>
          <w:sz w:val="24"/>
          <w:szCs w:val="24"/>
          <w:highlight w:val="none"/>
          <w:lang w:val="ru-RU" w:bidi="zh-CN"/>
        </w:rPr>
      </w:pPr>
      <w:r>
        <w:rPr>
          <w:rFonts w:hint="eastAsia" w:ascii="宋体" w:hAnsi="宋体" w:cs="宋体"/>
          <w:b/>
          <w:bCs/>
          <w:color w:val="auto"/>
          <w:sz w:val="24"/>
          <w:szCs w:val="24"/>
          <w:highlight w:val="none"/>
          <w:lang w:val="ru-RU" w:bidi="zh-CN"/>
        </w:rPr>
        <w:t>（一）项目概况</w:t>
      </w:r>
    </w:p>
    <w:p>
      <w:pPr>
        <w:keepNext/>
        <w:keepLines/>
        <w:pageBreakBefore w:val="0"/>
        <w:widowControl/>
        <w:kinsoku/>
        <w:wordWrap/>
        <w:overflowPunct/>
        <w:topLinePunct w:val="0"/>
        <w:autoSpaceDE/>
        <w:autoSpaceDN/>
        <w:bidi w:val="0"/>
        <w:spacing w:line="300" w:lineRule="exact"/>
        <w:ind w:firstLine="480" w:firstLineChars="200"/>
        <w:textAlignment w:val="auto"/>
        <w:rPr>
          <w:rFonts w:hint="eastAsia" w:ascii="宋体" w:hAnsi="宋体" w:cs="宋体"/>
          <w:color w:val="auto"/>
          <w:sz w:val="24"/>
          <w:szCs w:val="24"/>
          <w:highlight w:val="none"/>
          <w:lang w:val="ru-RU" w:bidi="zh-CN"/>
        </w:rPr>
      </w:pPr>
      <w:r>
        <w:rPr>
          <w:rFonts w:hint="eastAsia" w:ascii="宋体" w:hAnsi="宋体" w:cs="宋体"/>
          <w:color w:val="auto"/>
          <w:sz w:val="24"/>
          <w:szCs w:val="24"/>
          <w:highlight w:val="none"/>
          <w:lang w:val="ru-RU" w:bidi="zh-CN"/>
        </w:rPr>
        <w:t>北部湾人力资源服务产业园（A区）（以下简称“园区”）位于北海市西南大道509号北海人才大厦，园区面积约8300平方米，企业入驻面积约500平方米，可容纳15家入驻企业办公。园区是由北海市人社局负责建设、运行和管理，具体工作由北海市就才中心承担，同时委托专业机构（以下简称“运营机构”）负责运营，提供日常管理服务。</w:t>
      </w:r>
    </w:p>
    <w:p>
      <w:pPr>
        <w:keepNext/>
        <w:keepLines/>
        <w:pageBreakBefore w:val="0"/>
        <w:widowControl/>
        <w:kinsoku/>
        <w:wordWrap/>
        <w:overflowPunct/>
        <w:topLinePunct w:val="0"/>
        <w:autoSpaceDE/>
        <w:autoSpaceDN/>
        <w:bidi w:val="0"/>
        <w:spacing w:line="300" w:lineRule="exact"/>
        <w:ind w:firstLine="480" w:firstLineChars="200"/>
        <w:textAlignment w:val="auto"/>
        <w:rPr>
          <w:rFonts w:ascii="宋体" w:hAnsi="宋体" w:cs="宋体"/>
          <w:color w:val="auto"/>
          <w:sz w:val="24"/>
          <w:szCs w:val="24"/>
          <w:highlight w:val="none"/>
          <w:lang w:val="ru-RU" w:bidi="zh-CN"/>
        </w:rPr>
      </w:pPr>
      <w:r>
        <w:rPr>
          <w:rFonts w:hint="eastAsia" w:ascii="宋体" w:hAnsi="宋体" w:cs="宋体"/>
          <w:color w:val="auto"/>
          <w:sz w:val="24"/>
          <w:szCs w:val="24"/>
          <w:highlight w:val="none"/>
          <w:lang w:val="ru-RU" w:bidi="zh-CN"/>
        </w:rPr>
        <w:t>园区运营主要分为“四个一”服务，即创新创业一门式服务，包含项目孵化、申报辅导、投融资对接等内容；就业培训一条龙服务，包含行业培训、技能实训、就业辅导、招聘服务等内容；人才一站式服务，包含人才及人才项目引进落地、公共服务一站式对接，政策申报一对一服务等内容；产业集聚生态链一体化服务，包含产业结构分析及引进缺位业态，全方位、立体化提供人力资源服务相关产品、组织开展供需对接活动等内容。同步做好政策宣传、产业攻坚、交流分享、文化宣传、园区管理等各项配套工作。</w:t>
      </w:r>
    </w:p>
    <w:p>
      <w:pPr>
        <w:keepNext/>
        <w:keepLines/>
        <w:pageBreakBefore w:val="0"/>
        <w:widowControl/>
        <w:kinsoku/>
        <w:wordWrap/>
        <w:overflowPunct/>
        <w:topLinePunct w:val="0"/>
        <w:autoSpaceDE/>
        <w:autoSpaceDN/>
        <w:bidi w:val="0"/>
        <w:spacing w:line="300" w:lineRule="exact"/>
        <w:ind w:firstLine="482" w:firstLineChars="200"/>
        <w:textAlignment w:val="auto"/>
        <w:rPr>
          <w:rFonts w:ascii="宋体" w:hAnsi="宋体" w:cs="宋体"/>
          <w:b/>
          <w:bCs/>
          <w:color w:val="auto"/>
          <w:sz w:val="24"/>
          <w:szCs w:val="24"/>
          <w:highlight w:val="none"/>
          <w:lang w:val="ru-RU"/>
        </w:rPr>
      </w:pPr>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val="ru-RU"/>
        </w:rPr>
        <w:t>服务期限</w:t>
      </w:r>
      <w:r>
        <w:rPr>
          <w:rFonts w:hint="eastAsia" w:ascii="宋体" w:hAnsi="宋体" w:cs="宋体"/>
          <w:b/>
          <w:bCs/>
          <w:color w:val="auto"/>
          <w:sz w:val="24"/>
          <w:szCs w:val="24"/>
          <w:highlight w:val="none"/>
          <w:lang w:val="ru-RU" w:eastAsia="zh-CN"/>
        </w:rPr>
        <w:t>：</w:t>
      </w:r>
      <w:r>
        <w:rPr>
          <w:rFonts w:hint="eastAsia" w:ascii="宋体" w:hAnsi="宋体" w:cs="宋体"/>
          <w:b/>
          <w:bCs/>
          <w:color w:val="auto"/>
          <w:sz w:val="24"/>
          <w:szCs w:val="24"/>
          <w:highlight w:val="none"/>
          <w:lang w:val="ru-RU"/>
        </w:rPr>
        <w:t>一年。</w:t>
      </w:r>
    </w:p>
    <w:p>
      <w:pPr>
        <w:keepNext/>
        <w:keepLines/>
        <w:pageBreakBefore w:val="0"/>
        <w:widowControl/>
        <w:kinsoku/>
        <w:wordWrap/>
        <w:overflowPunct/>
        <w:topLinePunct w:val="0"/>
        <w:autoSpaceDE/>
        <w:autoSpaceDN/>
        <w:bidi w:val="0"/>
        <w:spacing w:line="300" w:lineRule="exact"/>
        <w:textAlignment w:val="auto"/>
        <w:rPr>
          <w:rFonts w:ascii="宋体" w:hAnsi="宋体" w:cs="宋体"/>
          <w:color w:val="auto"/>
          <w:sz w:val="24"/>
          <w:szCs w:val="24"/>
          <w:highlight w:val="none"/>
          <w:lang w:val="ru-RU"/>
        </w:rPr>
      </w:pPr>
      <w:r>
        <w:rPr>
          <w:rFonts w:hint="eastAsia" w:ascii="宋体" w:hAnsi="宋体" w:cs="宋体"/>
          <w:b/>
          <w:bCs/>
          <w:color w:val="auto"/>
          <w:sz w:val="24"/>
          <w:szCs w:val="24"/>
          <w:highlight w:val="none"/>
        </w:rPr>
        <w:t xml:space="preserve">    （三）</w:t>
      </w:r>
      <w:r>
        <w:rPr>
          <w:rFonts w:hint="eastAsia" w:ascii="宋体" w:hAnsi="宋体" w:cs="宋体"/>
          <w:b/>
          <w:bCs/>
          <w:color w:val="auto"/>
          <w:sz w:val="24"/>
          <w:szCs w:val="24"/>
          <w:highlight w:val="none"/>
          <w:lang w:val="ru-RU"/>
        </w:rPr>
        <w:t>服务费用</w:t>
      </w:r>
      <w:r>
        <w:rPr>
          <w:rFonts w:hint="eastAsia" w:ascii="宋体" w:hAnsi="宋体" w:cs="宋体"/>
          <w:b/>
          <w:bCs/>
          <w:color w:val="auto"/>
          <w:sz w:val="24"/>
          <w:szCs w:val="24"/>
          <w:highlight w:val="none"/>
          <w:lang w:val="ru-RU" w:eastAsia="zh-CN"/>
        </w:rPr>
        <w:t>：</w:t>
      </w:r>
      <w:r>
        <w:rPr>
          <w:rFonts w:hint="eastAsia" w:ascii="宋体" w:hAnsi="宋体" w:cs="宋体"/>
          <w:color w:val="auto"/>
          <w:sz w:val="24"/>
          <w:szCs w:val="24"/>
          <w:highlight w:val="none"/>
          <w:lang w:val="ru-RU"/>
        </w:rPr>
        <w:t>运营服务的预算费用为80万元，合同金额以成交金额为准。</w:t>
      </w:r>
    </w:p>
    <w:p>
      <w:pPr>
        <w:keepNext/>
        <w:keepLines/>
        <w:pageBreakBefore w:val="0"/>
        <w:widowControl/>
        <w:kinsoku/>
        <w:wordWrap/>
        <w:overflowPunct/>
        <w:topLinePunct w:val="0"/>
        <w:autoSpaceDE/>
        <w:autoSpaceDN/>
        <w:bidi w:val="0"/>
        <w:spacing w:line="300" w:lineRule="exact"/>
        <w:textAlignment w:val="auto"/>
        <w:rPr>
          <w:rFonts w:ascii="宋体" w:hAnsi="宋体" w:cs="宋体"/>
          <w:b/>
          <w:bCs/>
          <w:color w:val="auto"/>
          <w:sz w:val="24"/>
          <w:szCs w:val="24"/>
          <w:highlight w:val="none"/>
          <w:lang w:val="ru-RU"/>
        </w:rPr>
      </w:pPr>
      <w:r>
        <w:rPr>
          <w:rFonts w:hint="eastAsia" w:ascii="宋体" w:hAnsi="宋体" w:cs="宋体"/>
          <w:b/>
          <w:bCs/>
          <w:color w:val="auto"/>
          <w:sz w:val="24"/>
          <w:szCs w:val="24"/>
          <w:highlight w:val="none"/>
        </w:rPr>
        <w:t xml:space="preserve">    （四）</w:t>
      </w:r>
      <w:r>
        <w:rPr>
          <w:rFonts w:hint="eastAsia" w:ascii="宋体" w:hAnsi="宋体" w:cs="宋体"/>
          <w:b/>
          <w:bCs/>
          <w:color w:val="auto"/>
          <w:sz w:val="24"/>
          <w:szCs w:val="24"/>
          <w:highlight w:val="none"/>
          <w:lang w:val="ru-RU"/>
        </w:rPr>
        <w:t>服务内容</w:t>
      </w:r>
    </w:p>
    <w:p>
      <w:pPr>
        <w:keepNext/>
        <w:keepLines/>
        <w:pageBreakBefore w:val="0"/>
        <w:widowControl/>
        <w:kinsoku/>
        <w:wordWrap/>
        <w:overflowPunct/>
        <w:topLinePunct w:val="0"/>
        <w:autoSpaceDE/>
        <w:autoSpaceDN/>
        <w:bidi w:val="0"/>
        <w:spacing w:line="30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（一）项目落地</w:t>
      </w:r>
    </w:p>
    <w:p>
      <w:pPr>
        <w:keepNext/>
        <w:keepLines/>
        <w:pageBreakBefore w:val="0"/>
        <w:widowControl/>
        <w:kinsoku/>
        <w:wordWrap/>
        <w:overflowPunct/>
        <w:topLinePunct w:val="0"/>
        <w:autoSpaceDE/>
        <w:autoSpaceDN/>
        <w:bidi w:val="0"/>
        <w:spacing w:line="3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按照“功能完善、机制健全、运行有序、服务规范”的要求，按照“引进优质品牌、完善产业结构、凸显就创成效”的思路分步做好15个项目引进（留驻）工作。</w:t>
      </w:r>
    </w:p>
    <w:p>
      <w:pPr>
        <w:keepNext/>
        <w:keepLines/>
        <w:pageBreakBefore w:val="0"/>
        <w:widowControl/>
        <w:kinsoku/>
        <w:wordWrap/>
        <w:overflowPunct/>
        <w:topLinePunct w:val="0"/>
        <w:autoSpaceDE/>
        <w:autoSpaceDN/>
        <w:bidi w:val="0"/>
        <w:spacing w:line="3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其中，引进（留驻） 6-9家品牌人力资源服务机构、引才机构、职业培训机构、管理咨询机构；引进（留驻）1-2家投融资机构（国企为主）；促成2-3家高等院校、技工学校或大师工作室设立工作站等办事机构，同时对接校企实训基地；引进（留驻）1家互联网商业品牌企业，完善园区信息化服务。引进的团队须符合以下要求：</w:t>
      </w:r>
    </w:p>
    <w:p>
      <w:pPr>
        <w:keepNext/>
        <w:keepLines/>
        <w:pageBreakBefore w:val="0"/>
        <w:widowControl/>
        <w:kinsoku/>
        <w:wordWrap/>
        <w:overflowPunct/>
        <w:topLinePunct w:val="0"/>
        <w:autoSpaceDE/>
        <w:autoSpaceDN/>
        <w:bidi w:val="0"/>
        <w:spacing w:line="3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项目要求：引进服务机构符合建设北部湾人力资源服务产业链要求。具体引进诚信守法经营的国内外以及省市人力资源服务机构及其分支机构、职业培训机构、创业融资机构、管理咨询机构、高等院校、技工学校、大师工作室入驻产业园，入驻机构要求规模实力雄厚、服务产品成熟、具有较强影响力，有助于园区产业集聚和功能集成。重点鼓励各类人力资源服务机构总部和高端人才集聚、国际化程度较高的人力资源机构，以及符合北海产业发展方向、能为北海创新驱动发展提供成果转换及创新的团队入驻，且同类型机构择优入驻。</w:t>
      </w:r>
    </w:p>
    <w:p>
      <w:pPr>
        <w:keepNext/>
        <w:keepLines/>
        <w:pageBreakBefore w:val="0"/>
        <w:widowControl/>
        <w:kinsoku/>
        <w:wordWrap/>
        <w:overflowPunct/>
        <w:topLinePunct w:val="0"/>
        <w:autoSpaceDE/>
        <w:autoSpaceDN/>
        <w:bidi w:val="0"/>
        <w:spacing w:line="3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2.入驻流程：申请入驻（留驻）园区的机构，需向运营机构提出申请，运营机构受理、初审后提交市就业人才中心相关部门复核，复核完成后，由运营机构与申请入驻园区的机构签订入驻协议。</w:t>
      </w:r>
    </w:p>
    <w:p>
      <w:pPr>
        <w:keepNext/>
        <w:keepLines/>
        <w:pageBreakBefore w:val="0"/>
        <w:widowControl/>
        <w:kinsoku/>
        <w:wordWrap/>
        <w:overflowPunct/>
        <w:topLinePunct w:val="0"/>
        <w:autoSpaceDE/>
        <w:autoSpaceDN/>
        <w:bidi w:val="0"/>
        <w:spacing w:line="3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（二）活动开展</w:t>
      </w:r>
    </w:p>
    <w:p>
      <w:pPr>
        <w:keepNext/>
        <w:keepLines/>
        <w:pageBreakBefore w:val="0"/>
        <w:widowControl/>
        <w:kinsoku/>
        <w:wordWrap/>
        <w:overflowPunct/>
        <w:topLinePunct w:val="0"/>
        <w:autoSpaceDE/>
        <w:autoSpaceDN/>
        <w:bidi w:val="0"/>
        <w:spacing w:line="3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以“行业论坛（峰会）、现场招聘会、培训洽谈会、创业跳蚤会、职业分享会、法律宣讲会、家政攀亲会、人才联谊会、政策宣讲会、产业攻坚会”等为主题，打造北部湾人力资源服务产业园活动品牌。</w:t>
      </w:r>
    </w:p>
    <w:p>
      <w:pPr>
        <w:keepNext/>
        <w:keepLines/>
        <w:pageBreakBefore w:val="0"/>
        <w:widowControl/>
        <w:kinsoku/>
        <w:wordWrap/>
        <w:overflowPunct/>
        <w:topLinePunct w:val="0"/>
        <w:autoSpaceDE/>
        <w:autoSpaceDN/>
        <w:bidi w:val="0"/>
        <w:spacing w:line="3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（三）职责权限</w:t>
      </w:r>
    </w:p>
    <w:p>
      <w:pPr>
        <w:keepNext/>
        <w:keepLines/>
        <w:pageBreakBefore w:val="0"/>
        <w:widowControl/>
        <w:kinsoku/>
        <w:wordWrap/>
        <w:overflowPunct/>
        <w:topLinePunct w:val="0"/>
        <w:autoSpaceDE/>
        <w:autoSpaceDN/>
        <w:bidi w:val="0"/>
        <w:spacing w:line="3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1.配备4名以上专职人员负责园区的日常管理，落实人力资源服务机构和相关组织的准入、退出和考核评估机制，拟定园区的年度工作计划，运营服务期间产生的水电费用自理。</w:t>
      </w:r>
    </w:p>
    <w:p>
      <w:pPr>
        <w:keepNext/>
        <w:keepLines/>
        <w:pageBreakBefore w:val="0"/>
        <w:widowControl/>
        <w:kinsoku/>
        <w:wordWrap/>
        <w:overflowPunct/>
        <w:topLinePunct w:val="0"/>
        <w:autoSpaceDE/>
        <w:autoSpaceDN/>
        <w:bidi w:val="0"/>
        <w:spacing w:line="3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2.管理、服务园区的企业和平台，与引进企业签订入驻协议，对园区企业进行年度考核。根据工作需要可邀请人力资源服务企业和专家，参与准入评审和年度考核。</w:t>
      </w:r>
    </w:p>
    <w:p>
      <w:pPr>
        <w:keepNext/>
        <w:keepLines/>
        <w:pageBreakBefore w:val="0"/>
        <w:widowControl/>
        <w:kinsoku/>
        <w:wordWrap/>
        <w:overflowPunct/>
        <w:topLinePunct w:val="0"/>
        <w:autoSpaceDE/>
        <w:autoSpaceDN/>
        <w:bidi w:val="0"/>
        <w:spacing w:line="3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3.负责开展园区宣传推介工作，引导园区企业开展各项公共就业和人才活动。</w:t>
      </w:r>
    </w:p>
    <w:p>
      <w:pPr>
        <w:keepNext/>
        <w:keepLines/>
        <w:pageBreakBefore w:val="0"/>
        <w:widowControl/>
        <w:kinsoku/>
        <w:wordWrap/>
        <w:overflowPunct/>
        <w:topLinePunct w:val="0"/>
        <w:autoSpaceDE/>
        <w:autoSpaceDN/>
        <w:bidi w:val="0"/>
        <w:spacing w:line="3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4. 开展产业园招商引资、招才引智、柔性引才等工作，推进就业创业、灵活用工、劳务派遣、制度建设、数据分析、培训活动、园区考核等具体工作，提供会议、培训、配合物业管理等服务。</w:t>
      </w:r>
    </w:p>
    <w:p>
      <w:pPr>
        <w:keepNext/>
        <w:keepLines/>
        <w:pageBreakBefore w:val="0"/>
        <w:widowControl/>
        <w:kinsoku/>
        <w:wordWrap/>
        <w:overflowPunct/>
        <w:topLinePunct w:val="0"/>
        <w:autoSpaceDE/>
        <w:autoSpaceDN/>
        <w:bidi w:val="0"/>
        <w:spacing w:line="3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5. 协助申报创建更高级别人力资源服务产业园，争取产业园相关政策支持。</w:t>
      </w:r>
    </w:p>
    <w:p>
      <w:pPr>
        <w:keepNext/>
        <w:keepLines/>
        <w:pageBreakBefore w:val="0"/>
        <w:widowControl/>
        <w:kinsoku/>
        <w:wordWrap/>
        <w:overflowPunct/>
        <w:topLinePunct w:val="0"/>
        <w:autoSpaceDE/>
        <w:autoSpaceDN/>
        <w:bidi w:val="0"/>
        <w:spacing w:line="3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6.重大事项报告，视情提交政策资金使用事项报告，入驻机构重大事项报告，法律纠纷、工商处罚等重大事项报告。</w:t>
      </w:r>
    </w:p>
    <w:p>
      <w:pPr>
        <w:keepNext/>
        <w:keepLines/>
        <w:pageBreakBefore w:val="0"/>
        <w:widowControl/>
        <w:kinsoku/>
        <w:wordWrap/>
        <w:overflowPunct/>
        <w:topLinePunct w:val="0"/>
        <w:autoSpaceDE/>
        <w:autoSpaceDN/>
        <w:bidi w:val="0"/>
        <w:spacing w:line="3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7.完成产业园日常运营的其他工作及上级管理机构交办的相关工作，负责接待参观考察、指定活动的策划和落地执行。</w:t>
      </w:r>
    </w:p>
    <w:p>
      <w:pPr>
        <w:keepNext/>
        <w:keepLines/>
        <w:pageBreakBefore w:val="0"/>
        <w:widowControl/>
        <w:kinsoku/>
        <w:wordWrap/>
        <w:overflowPunct/>
        <w:topLinePunct w:val="0"/>
        <w:autoSpaceDE/>
        <w:autoSpaceDN/>
        <w:bidi w:val="0"/>
        <w:spacing w:line="300" w:lineRule="exact"/>
        <w:ind w:firstLine="480" w:firstLineChars="200"/>
        <w:textAlignment w:val="auto"/>
        <w:rPr>
          <w:rFonts w:ascii="宋体" w:hAnsi="宋体" w:cs="宋体"/>
          <w:color w:val="auto"/>
          <w:sz w:val="24"/>
          <w:szCs w:val="24"/>
          <w:highlight w:val="none"/>
          <w:lang w:val="ru-RU"/>
        </w:rPr>
      </w:pPr>
      <w:r>
        <w:rPr>
          <w:rFonts w:hint="eastAsia" w:ascii="宋体" w:hAnsi="宋体" w:cs="宋体"/>
          <w:bCs/>
          <w:color w:val="auto"/>
          <w:sz w:val="24"/>
          <w:szCs w:val="24"/>
          <w:highlight w:val="none"/>
        </w:rPr>
        <w:t>8.园区根据发展需要，可以申请在园区内设立专业市场、孵化器、创业平台、灵活用工平台等园中园平台。园中园平台接受市人社会局、市就业人才中心或运营服务机构的统一管理服务。</w:t>
      </w:r>
    </w:p>
    <w:p>
      <w:pPr>
        <w:keepNext/>
        <w:keepLines/>
        <w:pageBreakBefore w:val="0"/>
        <w:widowControl/>
        <w:kinsoku/>
        <w:wordWrap/>
        <w:overflowPunct/>
        <w:topLinePunct w:val="0"/>
        <w:autoSpaceDE/>
        <w:autoSpaceDN/>
        <w:bidi w:val="0"/>
        <w:spacing w:line="300" w:lineRule="exact"/>
        <w:ind w:firstLine="482" w:firstLineChars="200"/>
        <w:textAlignment w:val="auto"/>
        <w:rPr>
          <w:rFonts w:ascii="宋体" w:hAnsi="宋体" w:cs="宋体"/>
          <w:b/>
          <w:bCs/>
          <w:color w:val="auto"/>
          <w:sz w:val="24"/>
          <w:szCs w:val="24"/>
          <w:highlight w:val="none"/>
          <w:lang w:val="ru-RU"/>
        </w:rPr>
      </w:pPr>
      <w:r>
        <w:rPr>
          <w:rFonts w:hint="eastAsia" w:ascii="宋体" w:hAnsi="宋体" w:cs="宋体"/>
          <w:b/>
          <w:bCs/>
          <w:color w:val="auto"/>
          <w:sz w:val="24"/>
          <w:szCs w:val="24"/>
          <w:highlight w:val="none"/>
          <w:lang w:val="ru-RU"/>
        </w:rPr>
        <w:t>（五）项目验收及支付方式</w:t>
      </w:r>
    </w:p>
    <w:p>
      <w:pPr>
        <w:pStyle w:val="2"/>
        <w:keepNext/>
        <w:keepLines/>
        <w:pageBreakBefore w:val="0"/>
        <w:widowControl/>
        <w:kinsoku/>
        <w:wordWrap/>
        <w:overflowPunct/>
        <w:topLinePunct w:val="0"/>
        <w:autoSpaceDE/>
        <w:autoSpaceDN/>
        <w:bidi w:val="0"/>
        <w:spacing w:line="300" w:lineRule="exact"/>
        <w:textAlignment w:val="auto"/>
        <w:rPr>
          <w:rFonts w:hint="eastAsia" w:ascii="宋体" w:hAnsi="宋体" w:cs="宋体"/>
          <w:color w:val="auto"/>
          <w:sz w:val="24"/>
          <w:szCs w:val="24"/>
          <w:highlight w:val="none"/>
          <w:lang w:val="ru-RU"/>
        </w:rPr>
      </w:pPr>
      <w:r>
        <w:rPr>
          <w:rFonts w:hint="eastAsia" w:ascii="宋体" w:hAnsi="宋体" w:cs="宋体"/>
          <w:color w:val="auto"/>
          <w:sz w:val="24"/>
          <w:szCs w:val="24"/>
          <w:highlight w:val="none"/>
          <w:lang w:val="ru-RU"/>
        </w:rPr>
        <w:t>项目验收及费用支付分为三个阶段：</w:t>
      </w:r>
    </w:p>
    <w:p>
      <w:pPr>
        <w:pStyle w:val="2"/>
        <w:keepNext/>
        <w:keepLines/>
        <w:pageBreakBefore w:val="0"/>
        <w:widowControl/>
        <w:kinsoku/>
        <w:wordWrap/>
        <w:overflowPunct/>
        <w:topLinePunct w:val="0"/>
        <w:autoSpaceDE/>
        <w:autoSpaceDN/>
        <w:bidi w:val="0"/>
        <w:spacing w:line="300" w:lineRule="exact"/>
        <w:textAlignment w:val="auto"/>
        <w:rPr>
          <w:rFonts w:hint="eastAsia" w:ascii="宋体" w:hAnsi="宋体" w:cs="宋体"/>
          <w:color w:val="auto"/>
          <w:sz w:val="24"/>
          <w:szCs w:val="24"/>
          <w:highlight w:val="none"/>
          <w:lang w:val="ru-RU"/>
        </w:rPr>
      </w:pPr>
      <w:r>
        <w:rPr>
          <w:rFonts w:hint="eastAsia" w:ascii="宋体" w:hAnsi="宋体" w:cs="宋体"/>
          <w:color w:val="auto"/>
          <w:sz w:val="24"/>
          <w:szCs w:val="24"/>
          <w:highlight w:val="none"/>
          <w:lang w:val="ru-RU"/>
        </w:rPr>
        <w:t>（一）第一阶段：项目启动。</w:t>
      </w:r>
    </w:p>
    <w:p>
      <w:pPr>
        <w:pStyle w:val="2"/>
        <w:keepNext/>
        <w:keepLines/>
        <w:pageBreakBefore w:val="0"/>
        <w:widowControl/>
        <w:kinsoku/>
        <w:wordWrap/>
        <w:overflowPunct/>
        <w:topLinePunct w:val="0"/>
        <w:autoSpaceDE/>
        <w:autoSpaceDN/>
        <w:bidi w:val="0"/>
        <w:spacing w:line="300" w:lineRule="exact"/>
        <w:textAlignment w:val="auto"/>
        <w:rPr>
          <w:rFonts w:hint="eastAsia" w:ascii="宋体" w:hAnsi="宋体" w:cs="宋体"/>
          <w:color w:val="auto"/>
          <w:sz w:val="24"/>
          <w:szCs w:val="24"/>
          <w:highlight w:val="none"/>
          <w:lang w:val="ru-RU"/>
        </w:rPr>
      </w:pPr>
      <w:r>
        <w:rPr>
          <w:rFonts w:hint="eastAsia" w:ascii="宋体" w:hAnsi="宋体" w:cs="宋体"/>
          <w:color w:val="auto"/>
          <w:sz w:val="24"/>
          <w:szCs w:val="24"/>
          <w:highlight w:val="none"/>
          <w:lang w:val="ru-RU"/>
        </w:rPr>
        <w:t>验收时间：合同签署后 1 个月内完成。</w:t>
      </w:r>
    </w:p>
    <w:p>
      <w:pPr>
        <w:pStyle w:val="2"/>
        <w:keepNext/>
        <w:keepLines/>
        <w:pageBreakBefore w:val="0"/>
        <w:widowControl/>
        <w:kinsoku/>
        <w:wordWrap/>
        <w:overflowPunct/>
        <w:topLinePunct w:val="0"/>
        <w:autoSpaceDE/>
        <w:autoSpaceDN/>
        <w:bidi w:val="0"/>
        <w:spacing w:line="300" w:lineRule="exact"/>
        <w:textAlignment w:val="auto"/>
        <w:rPr>
          <w:rFonts w:hint="eastAsia" w:ascii="宋体" w:hAnsi="宋体" w:cs="宋体"/>
          <w:color w:val="auto"/>
          <w:sz w:val="24"/>
          <w:szCs w:val="24"/>
          <w:highlight w:val="none"/>
          <w:lang w:val="ru-RU"/>
        </w:rPr>
      </w:pPr>
      <w:r>
        <w:rPr>
          <w:rFonts w:hint="eastAsia" w:ascii="宋体" w:hAnsi="宋体" w:cs="宋体"/>
          <w:color w:val="auto"/>
          <w:sz w:val="24"/>
          <w:szCs w:val="24"/>
          <w:highlight w:val="none"/>
          <w:lang w:val="ru-RU"/>
        </w:rPr>
        <w:t>验收内容：根据中标人在投标时的响应文件和承诺，核实中标人资质情况（营业执照、经营情况、服务授权、质量认证等）；确认中标人所有工作人员、办公设备设施配备的到位情况。</w:t>
      </w:r>
    </w:p>
    <w:p>
      <w:pPr>
        <w:pStyle w:val="2"/>
        <w:keepNext/>
        <w:keepLines/>
        <w:pageBreakBefore w:val="0"/>
        <w:widowControl/>
        <w:kinsoku/>
        <w:wordWrap/>
        <w:overflowPunct/>
        <w:topLinePunct w:val="0"/>
        <w:autoSpaceDE/>
        <w:autoSpaceDN/>
        <w:bidi w:val="0"/>
        <w:spacing w:line="300" w:lineRule="exact"/>
        <w:textAlignment w:val="auto"/>
        <w:rPr>
          <w:rFonts w:hint="eastAsia" w:ascii="宋体" w:hAnsi="宋体" w:cs="宋体"/>
          <w:color w:val="auto"/>
          <w:sz w:val="24"/>
          <w:szCs w:val="24"/>
          <w:highlight w:val="none"/>
          <w:lang w:val="ru-RU"/>
        </w:rPr>
      </w:pPr>
      <w:r>
        <w:rPr>
          <w:rFonts w:hint="eastAsia" w:ascii="宋体" w:hAnsi="宋体" w:cs="宋体"/>
          <w:color w:val="auto"/>
          <w:sz w:val="24"/>
          <w:szCs w:val="24"/>
          <w:highlight w:val="none"/>
          <w:lang w:val="ru-RU"/>
        </w:rPr>
        <w:t>费用支付：验收合格，支付合同价的25%作为预付款。</w:t>
      </w:r>
    </w:p>
    <w:p>
      <w:pPr>
        <w:pStyle w:val="2"/>
        <w:keepNext/>
        <w:keepLines/>
        <w:pageBreakBefore w:val="0"/>
        <w:widowControl/>
        <w:kinsoku/>
        <w:wordWrap/>
        <w:overflowPunct/>
        <w:topLinePunct w:val="0"/>
        <w:autoSpaceDE/>
        <w:autoSpaceDN/>
        <w:bidi w:val="0"/>
        <w:spacing w:line="300" w:lineRule="exact"/>
        <w:textAlignment w:val="auto"/>
        <w:rPr>
          <w:rFonts w:hint="eastAsia" w:ascii="宋体" w:hAnsi="宋体" w:cs="宋体"/>
          <w:color w:val="auto"/>
          <w:sz w:val="24"/>
          <w:szCs w:val="24"/>
          <w:highlight w:val="none"/>
          <w:lang w:val="ru-RU"/>
        </w:rPr>
      </w:pPr>
      <w:r>
        <w:rPr>
          <w:rFonts w:hint="eastAsia" w:ascii="宋体" w:hAnsi="宋体" w:cs="宋体"/>
          <w:color w:val="auto"/>
          <w:sz w:val="24"/>
          <w:szCs w:val="24"/>
          <w:highlight w:val="none"/>
          <w:lang w:val="ru-RU"/>
        </w:rPr>
        <w:t>（二）第二阶段：进度验收。</w:t>
      </w:r>
    </w:p>
    <w:p>
      <w:pPr>
        <w:pStyle w:val="2"/>
        <w:keepNext/>
        <w:keepLines/>
        <w:pageBreakBefore w:val="0"/>
        <w:widowControl/>
        <w:kinsoku/>
        <w:wordWrap/>
        <w:overflowPunct/>
        <w:topLinePunct w:val="0"/>
        <w:autoSpaceDE/>
        <w:autoSpaceDN/>
        <w:bidi w:val="0"/>
        <w:spacing w:line="300" w:lineRule="exact"/>
        <w:textAlignment w:val="auto"/>
        <w:rPr>
          <w:rFonts w:hint="eastAsia" w:ascii="宋体" w:hAnsi="宋体" w:cs="宋体"/>
          <w:color w:val="auto"/>
          <w:sz w:val="24"/>
          <w:szCs w:val="24"/>
          <w:highlight w:val="none"/>
          <w:lang w:val="ru-RU"/>
        </w:rPr>
      </w:pPr>
      <w:r>
        <w:rPr>
          <w:rFonts w:hint="eastAsia" w:ascii="宋体" w:hAnsi="宋体" w:cs="宋体"/>
          <w:color w:val="auto"/>
          <w:sz w:val="24"/>
          <w:szCs w:val="24"/>
          <w:highlight w:val="none"/>
          <w:lang w:val="ru-RU"/>
        </w:rPr>
        <w:t>验收时间：合同签署后 6个月内完成。</w:t>
      </w:r>
    </w:p>
    <w:p>
      <w:pPr>
        <w:pStyle w:val="2"/>
        <w:keepNext/>
        <w:keepLines/>
        <w:pageBreakBefore w:val="0"/>
        <w:widowControl/>
        <w:kinsoku/>
        <w:wordWrap/>
        <w:overflowPunct/>
        <w:topLinePunct w:val="0"/>
        <w:autoSpaceDE/>
        <w:autoSpaceDN/>
        <w:bidi w:val="0"/>
        <w:spacing w:line="300" w:lineRule="exact"/>
        <w:textAlignment w:val="auto"/>
        <w:rPr>
          <w:rFonts w:hint="eastAsia" w:ascii="宋体" w:hAnsi="宋体" w:cs="宋体"/>
          <w:color w:val="auto"/>
          <w:sz w:val="24"/>
          <w:szCs w:val="24"/>
          <w:highlight w:val="none"/>
          <w:lang w:val="ru-RU"/>
        </w:rPr>
      </w:pPr>
      <w:r>
        <w:rPr>
          <w:rFonts w:hint="eastAsia" w:ascii="宋体" w:hAnsi="宋体" w:cs="宋体"/>
          <w:color w:val="auto"/>
          <w:sz w:val="24"/>
          <w:szCs w:val="24"/>
          <w:highlight w:val="none"/>
          <w:lang w:val="ru-RU"/>
        </w:rPr>
        <w:t>验收内容：项目引进情况（完成引进或留驻项目15家）、入驻机构征集和服务情况，灵活用工平台运行及集群注册服务情况。</w:t>
      </w:r>
    </w:p>
    <w:p>
      <w:pPr>
        <w:pStyle w:val="2"/>
        <w:keepNext/>
        <w:keepLines/>
        <w:pageBreakBefore w:val="0"/>
        <w:widowControl/>
        <w:kinsoku/>
        <w:wordWrap/>
        <w:overflowPunct/>
        <w:topLinePunct w:val="0"/>
        <w:autoSpaceDE/>
        <w:autoSpaceDN/>
        <w:bidi w:val="0"/>
        <w:spacing w:line="300" w:lineRule="exact"/>
        <w:textAlignment w:val="auto"/>
        <w:rPr>
          <w:rFonts w:hint="eastAsia" w:ascii="宋体" w:hAnsi="宋体" w:cs="宋体"/>
          <w:color w:val="auto"/>
          <w:sz w:val="24"/>
          <w:szCs w:val="24"/>
          <w:highlight w:val="none"/>
          <w:lang w:val="ru-RU"/>
        </w:rPr>
      </w:pPr>
      <w:r>
        <w:rPr>
          <w:rFonts w:hint="eastAsia" w:ascii="宋体" w:hAnsi="宋体" w:cs="宋体"/>
          <w:color w:val="auto"/>
          <w:sz w:val="24"/>
          <w:szCs w:val="24"/>
          <w:highlight w:val="none"/>
          <w:lang w:val="ru-RU"/>
        </w:rPr>
        <w:t>费用支付：验收合格，支付合同价的 25%作为进度款。</w:t>
      </w:r>
    </w:p>
    <w:p>
      <w:pPr>
        <w:pStyle w:val="2"/>
        <w:keepNext/>
        <w:keepLines/>
        <w:pageBreakBefore w:val="0"/>
        <w:widowControl/>
        <w:kinsoku/>
        <w:wordWrap/>
        <w:overflowPunct/>
        <w:topLinePunct w:val="0"/>
        <w:autoSpaceDE/>
        <w:autoSpaceDN/>
        <w:bidi w:val="0"/>
        <w:spacing w:line="300" w:lineRule="exact"/>
        <w:textAlignment w:val="auto"/>
        <w:rPr>
          <w:rFonts w:hint="eastAsia" w:ascii="宋体" w:hAnsi="宋体" w:cs="宋体"/>
          <w:color w:val="auto"/>
          <w:sz w:val="24"/>
          <w:szCs w:val="24"/>
          <w:highlight w:val="none"/>
          <w:lang w:val="ru-RU"/>
        </w:rPr>
      </w:pPr>
      <w:r>
        <w:rPr>
          <w:rFonts w:hint="eastAsia" w:ascii="宋体" w:hAnsi="宋体" w:cs="宋体"/>
          <w:color w:val="auto"/>
          <w:sz w:val="24"/>
          <w:szCs w:val="24"/>
          <w:highlight w:val="none"/>
          <w:lang w:val="ru-RU"/>
        </w:rPr>
        <w:t>（三）第三阶段：项目验收。</w:t>
      </w:r>
    </w:p>
    <w:p>
      <w:pPr>
        <w:pStyle w:val="2"/>
        <w:keepNext/>
        <w:keepLines/>
        <w:pageBreakBefore w:val="0"/>
        <w:widowControl/>
        <w:kinsoku/>
        <w:wordWrap/>
        <w:overflowPunct/>
        <w:topLinePunct w:val="0"/>
        <w:autoSpaceDE/>
        <w:autoSpaceDN/>
        <w:bidi w:val="0"/>
        <w:spacing w:line="300" w:lineRule="exact"/>
        <w:textAlignment w:val="auto"/>
        <w:rPr>
          <w:rFonts w:hint="eastAsia" w:ascii="宋体" w:hAnsi="宋体" w:cs="宋体"/>
          <w:color w:val="auto"/>
          <w:sz w:val="24"/>
          <w:szCs w:val="24"/>
          <w:highlight w:val="none"/>
          <w:lang w:val="ru-RU"/>
        </w:rPr>
      </w:pPr>
      <w:r>
        <w:rPr>
          <w:rFonts w:hint="eastAsia" w:ascii="宋体" w:hAnsi="宋体" w:cs="宋体"/>
          <w:color w:val="auto"/>
          <w:sz w:val="24"/>
          <w:szCs w:val="24"/>
          <w:highlight w:val="none"/>
          <w:lang w:val="ru-RU"/>
        </w:rPr>
        <w:t>验收时间：合同签署后 12个月内完成。</w:t>
      </w:r>
    </w:p>
    <w:p>
      <w:pPr>
        <w:pStyle w:val="2"/>
        <w:keepNext/>
        <w:keepLines/>
        <w:pageBreakBefore w:val="0"/>
        <w:widowControl/>
        <w:kinsoku/>
        <w:wordWrap/>
        <w:overflowPunct/>
        <w:topLinePunct w:val="0"/>
        <w:autoSpaceDE/>
        <w:autoSpaceDN/>
        <w:bidi w:val="0"/>
        <w:spacing w:line="300" w:lineRule="exact"/>
        <w:textAlignment w:val="auto"/>
        <w:rPr>
          <w:rFonts w:hint="eastAsia" w:ascii="宋体" w:hAnsi="宋体" w:cs="宋体"/>
          <w:color w:val="auto"/>
          <w:sz w:val="24"/>
          <w:szCs w:val="24"/>
          <w:highlight w:val="none"/>
          <w:lang w:val="ru-RU"/>
        </w:rPr>
      </w:pPr>
      <w:r>
        <w:rPr>
          <w:rFonts w:hint="eastAsia" w:ascii="宋体" w:hAnsi="宋体" w:cs="宋体"/>
          <w:color w:val="auto"/>
          <w:sz w:val="24"/>
          <w:szCs w:val="24"/>
          <w:highlight w:val="none"/>
          <w:lang w:val="ru-RU"/>
        </w:rPr>
        <w:t>验收内容：按合同规定，对中标人进行年度考核（考核时间为合同签署后第11个月），年度考核标准按照《运营服务考核标准》执行，最终考核得分为90分及以上（其中运营机构完成工作计划任务的得分不低于80分），即验收合格。</w:t>
      </w:r>
    </w:p>
    <w:p>
      <w:pPr>
        <w:pStyle w:val="2"/>
        <w:keepNext/>
        <w:keepLines/>
        <w:pageBreakBefore w:val="0"/>
        <w:widowControl/>
        <w:kinsoku/>
        <w:wordWrap/>
        <w:overflowPunct/>
        <w:topLinePunct w:val="0"/>
        <w:autoSpaceDE/>
        <w:autoSpaceDN/>
        <w:bidi w:val="0"/>
        <w:spacing w:line="300" w:lineRule="exact"/>
        <w:ind w:firstLineChars="200"/>
        <w:textAlignment w:val="auto"/>
        <w:rPr>
          <w:rFonts w:ascii="宋体" w:hAnsi="宋体" w:cs="宋体"/>
          <w:b/>
          <w:bCs/>
          <w:color w:val="auto"/>
          <w:sz w:val="24"/>
          <w:szCs w:val="24"/>
          <w:highlight w:val="none"/>
        </w:rPr>
      </w:pPr>
      <w:r>
        <w:rPr>
          <w:rFonts w:hint="eastAsia" w:ascii="宋体" w:hAnsi="宋体" w:cs="宋体"/>
          <w:color w:val="auto"/>
          <w:sz w:val="24"/>
          <w:szCs w:val="24"/>
          <w:highlight w:val="none"/>
          <w:lang w:val="ru-RU"/>
        </w:rPr>
        <w:t>费用支付：验收合格，支付合同尾款，即合同价的50%。</w:t>
      </w:r>
    </w:p>
    <w:p>
      <w:pPr>
        <w:keepNext/>
        <w:keepLines/>
        <w:pageBreakBefore w:val="0"/>
        <w:widowControl/>
        <w:kinsoku/>
        <w:wordWrap/>
        <w:overflowPunct/>
        <w:topLinePunct w:val="0"/>
        <w:autoSpaceDE/>
        <w:autoSpaceDN/>
        <w:bidi w:val="0"/>
        <w:adjustRightInd w:val="0"/>
        <w:spacing w:line="300" w:lineRule="exact"/>
        <w:ind w:firstLine="482" w:firstLineChars="200"/>
        <w:jc w:val="left"/>
        <w:textAlignment w:val="auto"/>
        <w:rPr>
          <w:rFonts w:ascii="宋体" w:hAnsi="宋体" w:cs="宋体"/>
          <w:b/>
          <w:color w:val="auto"/>
          <w:sz w:val="24"/>
          <w:szCs w:val="24"/>
          <w:highlight w:val="none"/>
        </w:rPr>
      </w:pPr>
      <w:r>
        <w:rPr>
          <w:rFonts w:hint="eastAsia" w:ascii="宋体" w:hAnsi="宋体" w:cs="宋体"/>
          <w:b/>
          <w:bCs/>
          <w:color w:val="auto"/>
          <w:sz w:val="24"/>
          <w:szCs w:val="24"/>
          <w:highlight w:val="none"/>
        </w:rPr>
        <w:t>（六）</w:t>
      </w:r>
      <w:r>
        <w:rPr>
          <w:rFonts w:hint="eastAsia" w:ascii="宋体" w:hAnsi="宋体" w:cs="宋体"/>
          <w:b/>
          <w:color w:val="auto"/>
          <w:sz w:val="24"/>
          <w:szCs w:val="24"/>
          <w:highlight w:val="none"/>
        </w:rPr>
        <w:t>其他要求</w:t>
      </w:r>
    </w:p>
    <w:p>
      <w:pPr>
        <w:keepNext/>
        <w:keepLines/>
        <w:pageBreakBefore w:val="0"/>
        <w:widowControl/>
        <w:kinsoku/>
        <w:wordWrap/>
        <w:overflowPunct/>
        <w:topLinePunct w:val="0"/>
        <w:autoSpaceDE/>
        <w:autoSpaceDN/>
        <w:bidi w:val="0"/>
        <w:spacing w:line="300" w:lineRule="exact"/>
        <w:ind w:firstLine="480" w:firstLineChars="200"/>
        <w:jc w:val="lef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1.成交供应商应具备人力资源行业夯实的理论基础，能有效整合运营资源，并能运用到本项目实际服务工作中。</w:t>
      </w:r>
    </w:p>
    <w:p>
      <w:pPr>
        <w:keepNext/>
        <w:keepLines/>
        <w:pageBreakBefore w:val="0"/>
        <w:widowControl/>
        <w:kinsoku/>
        <w:wordWrap/>
        <w:overflowPunct/>
        <w:topLinePunct w:val="0"/>
        <w:autoSpaceDE/>
        <w:autoSpaceDN/>
        <w:bidi w:val="0"/>
        <w:spacing w:line="300" w:lineRule="exact"/>
        <w:ind w:firstLine="480" w:firstLineChars="200"/>
        <w:jc w:val="lef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color w:val="auto"/>
          <w:kern w:val="0"/>
          <w:sz w:val="24"/>
          <w:szCs w:val="24"/>
          <w:highlight w:val="none"/>
        </w:rPr>
        <w:t>成交后，若成交供应商所提供的服务不符合本磋商文件要求，或不按采购合同的约定履约的，将按照《中华人民共和国政府采购法》及其实施条例等国家及地方有关法律法规的规定严肃处理。</w:t>
      </w:r>
    </w:p>
    <w:p>
      <w:pPr>
        <w:keepNext/>
        <w:keepLines/>
        <w:pageBreakBefore w:val="0"/>
        <w:widowControl/>
        <w:kinsoku/>
        <w:wordWrap/>
        <w:overflowPunct/>
        <w:topLinePunct w:val="0"/>
        <w:autoSpaceDE/>
        <w:autoSpaceDN/>
        <w:bidi w:val="0"/>
        <w:adjustRightInd w:val="0"/>
        <w:spacing w:line="30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合同履行期间，成交供应商须严格按照本项目磋商文件的要求及成交供应商响应文件的承诺完成本项目的所有服务内容，各项技术服务指标均需达到要求，确保服务质量；若未经采购人同意随便更改采购人要求或未按采购人要求按时按质量完成指定项目，采购人有权单方面取消合同，由此给采购人造成的一切损失均由该成交供应商负责赔偿；采购人将按国家相关法律法规追究该成交供应商的相关责任。</w:t>
      </w:r>
    </w:p>
    <w:p>
      <w:pPr>
        <w:keepNext/>
        <w:keepLines/>
        <w:pageBreakBefore w:val="0"/>
        <w:widowControl/>
        <w:kinsoku/>
        <w:wordWrap/>
        <w:overflowPunct/>
        <w:topLinePunct w:val="0"/>
        <w:autoSpaceDE/>
        <w:autoSpaceDN/>
        <w:bidi w:val="0"/>
        <w:spacing w:line="300" w:lineRule="exact"/>
        <w:ind w:firstLine="480" w:firstLineChars="200"/>
        <w:textAlignment w:val="auto"/>
        <w:rPr>
          <w:rFonts w:ascii="宋体" w:hAnsi="宋体"/>
          <w:color w:val="auto"/>
          <w:kern w:val="0"/>
          <w:sz w:val="24"/>
          <w:szCs w:val="32"/>
          <w:highlight w:val="none"/>
        </w:rPr>
      </w:pPr>
      <w:r>
        <w:rPr>
          <w:rFonts w:hint="eastAsia" w:ascii="宋体" w:hAnsi="宋体" w:cs="宋体"/>
          <w:color w:val="auto"/>
          <w:kern w:val="0"/>
          <w:sz w:val="24"/>
          <w:szCs w:val="24"/>
          <w:highlight w:val="none"/>
        </w:rPr>
        <w:t>4.在服务期内，成交供应商所投入的人员未经采购人的许可不能随便变动。</w:t>
      </w:r>
    </w:p>
    <w:p>
      <w:pPr>
        <w:keepNext/>
        <w:keepLines/>
        <w:pageBreakBefore w:val="0"/>
        <w:widowControl/>
        <w:kinsoku/>
        <w:wordWrap/>
        <w:overflowPunct/>
        <w:topLinePunct w:val="0"/>
        <w:autoSpaceDE/>
        <w:autoSpaceDN/>
        <w:bidi w:val="0"/>
        <w:spacing w:line="30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hint="eastAsia" w:ascii="宋体" w:hAnsi="宋体"/>
          <w:color w:val="auto"/>
          <w:sz w:val="24"/>
          <w:szCs w:val="32"/>
          <w:highlight w:val="none"/>
        </w:rPr>
        <w:t>成交</w:t>
      </w:r>
      <w:r>
        <w:rPr>
          <w:rFonts w:hint="eastAsia" w:ascii="宋体" w:hAnsi="宋体" w:cs="宋体"/>
          <w:color w:val="auto"/>
          <w:kern w:val="0"/>
          <w:sz w:val="24"/>
          <w:szCs w:val="24"/>
          <w:highlight w:val="none"/>
        </w:rPr>
        <w:t>供应商在采购活动中提供任何虚假材料，以及响应服务所涉及内容的不如实说明，一经查实其投标无效。</w:t>
      </w:r>
    </w:p>
    <w:p>
      <w:pPr>
        <w:keepNext/>
        <w:keepLines/>
        <w:pageBreakBefore w:val="0"/>
        <w:widowControl/>
        <w:kinsoku/>
        <w:wordWrap/>
        <w:overflowPunct/>
        <w:topLinePunct w:val="0"/>
        <w:autoSpaceDE/>
        <w:autoSpaceDN/>
        <w:bidi w:val="0"/>
        <w:adjustRightInd w:val="0"/>
        <w:spacing w:line="30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olor w:val="auto"/>
          <w:kern w:val="0"/>
          <w:sz w:val="24"/>
          <w:szCs w:val="32"/>
          <w:highlight w:val="none"/>
        </w:rPr>
        <w:t>在服务期间因</w:t>
      </w:r>
      <w:r>
        <w:rPr>
          <w:rFonts w:hint="eastAsia" w:ascii="宋体" w:hAnsi="宋体" w:cs="宋体"/>
          <w:color w:val="auto"/>
          <w:kern w:val="0"/>
          <w:sz w:val="24"/>
          <w:szCs w:val="24"/>
          <w:highlight w:val="none"/>
        </w:rPr>
        <w:t>成交</w:t>
      </w:r>
      <w:r>
        <w:rPr>
          <w:rFonts w:hint="eastAsia" w:ascii="宋体" w:hAnsi="宋体"/>
          <w:color w:val="auto"/>
          <w:kern w:val="0"/>
          <w:sz w:val="24"/>
          <w:szCs w:val="32"/>
          <w:highlight w:val="none"/>
        </w:rPr>
        <w:t>供应商的责任给采购人造成的相关损失，均由</w:t>
      </w:r>
      <w:r>
        <w:rPr>
          <w:rFonts w:hint="eastAsia" w:ascii="宋体" w:hAnsi="宋体" w:cs="宋体"/>
          <w:color w:val="auto"/>
          <w:kern w:val="0"/>
          <w:sz w:val="24"/>
          <w:szCs w:val="24"/>
          <w:highlight w:val="none"/>
        </w:rPr>
        <w:t>成交</w:t>
      </w:r>
      <w:r>
        <w:rPr>
          <w:rFonts w:hint="eastAsia" w:ascii="宋体" w:hAnsi="宋体"/>
          <w:color w:val="auto"/>
          <w:kern w:val="0"/>
          <w:sz w:val="24"/>
          <w:szCs w:val="32"/>
          <w:highlight w:val="none"/>
        </w:rPr>
        <w:t>供应商负责赔偿。</w:t>
      </w:r>
    </w:p>
    <w:p>
      <w:pPr>
        <w:keepNext/>
        <w:keepLines/>
        <w:pageBreakBefore w:val="0"/>
        <w:widowControl/>
        <w:kinsoku/>
        <w:wordWrap/>
        <w:overflowPunct/>
        <w:topLinePunct w:val="0"/>
        <w:autoSpaceDE/>
        <w:autoSpaceDN/>
        <w:bidi w:val="0"/>
        <w:adjustRightInd w:val="0"/>
        <w:spacing w:line="30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7.报价必须包含但不限于以下部分：</w:t>
      </w:r>
    </w:p>
    <w:p>
      <w:pPr>
        <w:keepNext/>
        <w:keepLines/>
        <w:pageBreakBefore w:val="0"/>
        <w:widowControl/>
        <w:kinsoku/>
        <w:wordWrap/>
        <w:overflowPunct/>
        <w:topLinePunct w:val="0"/>
        <w:autoSpaceDE/>
        <w:autoSpaceDN/>
        <w:bidi w:val="0"/>
        <w:adjustRightInd w:val="0"/>
        <w:spacing w:line="30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（1）服务费、人工劳务费、材料费、配套设备的货款；</w:t>
      </w:r>
    </w:p>
    <w:p>
      <w:pPr>
        <w:keepNext/>
        <w:keepLines/>
        <w:pageBreakBefore w:val="0"/>
        <w:widowControl/>
        <w:kinsoku/>
        <w:wordWrap/>
        <w:overflowPunct/>
        <w:topLinePunct w:val="0"/>
        <w:autoSpaceDE/>
        <w:autoSpaceDN/>
        <w:bidi w:val="0"/>
        <w:adjustRightInd w:val="0"/>
        <w:spacing w:line="30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（2）必要的保险费用和各项税金；</w:t>
      </w:r>
    </w:p>
    <w:p>
      <w:pPr>
        <w:keepNext/>
        <w:keepLines/>
        <w:pageBreakBefore w:val="0"/>
        <w:widowControl/>
        <w:kinsoku/>
        <w:wordWrap/>
        <w:overflowPunct/>
        <w:topLinePunct w:val="0"/>
        <w:autoSpaceDE/>
        <w:autoSpaceDN/>
        <w:bidi w:val="0"/>
        <w:adjustRightInd w:val="0"/>
        <w:spacing w:line="30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（3）其他费用（包括但不限于组织、策划等费用）；</w:t>
      </w:r>
    </w:p>
    <w:p>
      <w:pPr>
        <w:keepNext/>
        <w:keepLines/>
        <w:pageBreakBefore w:val="0"/>
        <w:widowControl/>
        <w:kinsoku/>
        <w:wordWrap/>
        <w:overflowPunct/>
        <w:topLinePunct w:val="0"/>
        <w:autoSpaceDE/>
        <w:autoSpaceDN/>
        <w:bidi w:val="0"/>
        <w:adjustRightInd w:val="0"/>
        <w:spacing w:line="300" w:lineRule="exact"/>
        <w:ind w:firstLine="480" w:firstLineChars="200"/>
        <w:textAlignment w:val="auto"/>
        <w:rPr>
          <w:rFonts w:ascii="宋体" w:hAnsi="宋体" w:cs="宋体"/>
          <w:b/>
          <w:color w:val="auto"/>
          <w:sz w:val="24"/>
          <w:szCs w:val="24"/>
          <w:highlight w:val="none"/>
        </w:rPr>
      </w:pPr>
      <w:r>
        <w:rPr>
          <w:rFonts w:hint="eastAsia" w:ascii="宋体" w:hAnsi="宋体" w:cs="宋体"/>
          <w:bCs/>
          <w:color w:val="auto"/>
          <w:sz w:val="24"/>
          <w:szCs w:val="24"/>
          <w:highlight w:val="none"/>
        </w:rPr>
        <w:t>（4）完成本项目采购的可预见及不可预见的所有成本及费用的总和，除合同价款及采购人认可的特殊情况外，采购人不再为本项目另付其他任何费用给成交供应商。</w:t>
      </w:r>
    </w:p>
    <w:p>
      <w:pPr>
        <w:pStyle w:val="2"/>
        <w:keepNext/>
        <w:keepLines/>
        <w:pageBreakBefore w:val="0"/>
        <w:widowControl/>
        <w:kinsoku/>
        <w:wordWrap/>
        <w:overflowPunct/>
        <w:topLinePunct w:val="0"/>
        <w:autoSpaceDE/>
        <w:autoSpaceDN/>
        <w:bidi w:val="0"/>
        <w:spacing w:line="300" w:lineRule="exact"/>
        <w:ind w:firstLineChars="200"/>
        <w:textAlignment w:val="auto"/>
        <w:rPr>
          <w:rFonts w:ascii="宋体" w:hAnsi="宋体" w:cs="宋体"/>
          <w:b/>
          <w:bCs/>
          <w:color w:val="auto"/>
          <w:sz w:val="24"/>
          <w:szCs w:val="24"/>
          <w:highlight w:val="none"/>
        </w:rPr>
      </w:pPr>
      <w:r>
        <w:rPr>
          <w:rFonts w:hint="eastAsia" w:ascii="宋体" w:hAnsi="宋体" w:cs="宋体"/>
          <w:bCs/>
          <w:color w:val="auto"/>
          <w:sz w:val="24"/>
          <w:szCs w:val="24"/>
          <w:highlight w:val="none"/>
        </w:rPr>
        <w:t>8.服务地点：采购人指定地点。</w:t>
      </w:r>
    </w:p>
    <w:p>
      <w:pPr>
        <w:pStyle w:val="2"/>
        <w:keepNext/>
        <w:keepLines/>
        <w:pageBreakBefore w:val="0"/>
        <w:widowControl/>
        <w:kinsoku/>
        <w:wordWrap/>
        <w:topLinePunct w:val="0"/>
        <w:bidi w:val="0"/>
        <w:spacing w:line="200" w:lineRule="exact"/>
        <w:ind w:firstLine="0"/>
        <w:rPr>
          <w:rFonts w:ascii="宋体" w:hAnsi="宋体" w:cs="宋体"/>
          <w:b/>
          <w:bCs/>
          <w:color w:val="auto"/>
          <w:sz w:val="32"/>
          <w:szCs w:val="32"/>
          <w:highlight w:val="none"/>
        </w:rPr>
      </w:pPr>
    </w:p>
    <w:p>
      <w:pPr>
        <w:pStyle w:val="5"/>
        <w:keepNext/>
        <w:keepLines/>
        <w:pageBreakBefore w:val="0"/>
        <w:widowControl/>
        <w:numPr>
          <w:ilvl w:val="0"/>
          <w:numId w:val="0"/>
        </w:numPr>
        <w:kinsoku/>
        <w:wordWrap/>
        <w:overflowPunct/>
        <w:topLinePunct w:val="0"/>
        <w:autoSpaceDE/>
        <w:autoSpaceDN/>
        <w:bidi w:val="0"/>
        <w:adjustRightInd/>
        <w:ind w:leftChars="0"/>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YjE4NmZmNTk1NTQ2NzgyOWZlODI1M2RlYzQ3NmMifQ=="/>
  </w:docVars>
  <w:rsids>
    <w:rsidRoot w:val="6AE57B04"/>
    <w:rsid w:val="174B72A9"/>
    <w:rsid w:val="2CAA608D"/>
    <w:rsid w:val="4B344CF0"/>
    <w:rsid w:val="547879FD"/>
    <w:rsid w:val="6AE57B04"/>
    <w:rsid w:val="7C15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spacing w:line="416" w:lineRule="auto"/>
      <w:jc w:val="left"/>
      <w:outlineLvl w:val="1"/>
    </w:pPr>
    <w:rPr>
      <w:rFonts w:ascii="Arial" w:hAnsi="Arial" w:eastAsia="仿宋_GB2312"/>
      <w:b/>
      <w:spacing w:val="20"/>
      <w:sz w:val="24"/>
      <w:lang w:val="en-US" w:eastAsia="zh-CN"/>
    </w:rPr>
  </w:style>
  <w:style w:type="paragraph" w:styleId="4">
    <w:name w:val="heading 4"/>
    <w:basedOn w:val="1"/>
    <w:next w:val="1"/>
    <w:qFormat/>
    <w:uiPriority w:val="0"/>
    <w:pPr>
      <w:keepNext/>
      <w:autoSpaceDE w:val="0"/>
      <w:autoSpaceDN w:val="0"/>
      <w:adjustRightInd w:val="0"/>
      <w:outlineLvl w:val="3"/>
    </w:pPr>
    <w:rPr>
      <w:rFonts w:eastAsia="宋体"/>
      <w:b/>
      <w:color w:val="000000"/>
      <w:kern w:val="2"/>
      <w:sz w:val="24"/>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1"/>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纯文本1"/>
    <w:basedOn w:val="1"/>
    <w:next w:val="4"/>
    <w:qFormat/>
    <w:uiPriority w:val="0"/>
    <w:rPr>
      <w:rFonts w:ascii="宋体" w:hAnsi="Courier New" w:eastAsia="宋体"/>
      <w:kern w:val="2"/>
      <w:sz w:val="21"/>
      <w:lang w:val="en-US" w:eastAsia="zh-CN"/>
    </w:rPr>
  </w:style>
  <w:style w:type="paragraph" w:customStyle="1" w:styleId="9">
    <w:name w:val="kj正文"/>
    <w:basedOn w:val="1"/>
    <w:qFormat/>
    <w:uiPriority w:val="0"/>
    <w:pPr>
      <w:ind w:firstLine="200" w:firstLineChars="200"/>
    </w:pPr>
  </w:style>
  <w:style w:type="paragraph" w:customStyle="1" w:styleId="10">
    <w:name w:val="Normal Indent"/>
    <w:basedOn w:val="1"/>
    <w:qFormat/>
    <w:uiPriority w:val="0"/>
    <w:pPr>
      <w:ind w:firstLine="420" w:firstLineChars="200"/>
    </w:pPr>
    <w:rPr>
      <w:rFonts w:ascii="Verdana" w:hAnsi="Verdana" w:eastAsia="宋体"/>
      <w:kern w:val="2"/>
      <w:sz w:val="24"/>
      <w:lang w:val="en-US" w:eastAsia="zh-CN"/>
    </w:rPr>
  </w:style>
  <w:style w:type="table" w:customStyle="1" w:styleId="11">
    <w:name w:val="Table Normal1"/>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4445</Words>
  <Characters>5949</Characters>
  <Lines>0</Lines>
  <Paragraphs>0</Paragraphs>
  <TotalTime>2</TotalTime>
  <ScaleCrop>false</ScaleCrop>
  <LinksUpToDate>false</LinksUpToDate>
  <CharactersWithSpaces>6044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2022-05-30T09:42:00Z</dcterms:created>
  <dc:creator>新宇业务科</dc:creator>
  <cp:lastModifiedBy>力香</cp:lastModifiedBy>
  <dcterms:modified xsi:type="dcterms:W3CDTF">2022-07-01T09:02:34Z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8C719EAD57E041A49DD0C057AA6C8DDE</vt:lpwstr>
  </property>
</Properties>
</file>