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210" w:right="210"/>
        <w:rPr>
          <w:highlight w:val="none"/>
        </w:rPr>
      </w:pPr>
      <w:r>
        <w:rPr>
          <w:highlight w:val="none"/>
        </w:rPr>
        <w:fldChar w:fldCharType="begin"/>
      </w:r>
      <w:r>
        <w:rPr>
          <w:rStyle w:val="14"/>
          <w:color w:val="auto"/>
          <w:highlight w:val="none"/>
          <w:u w:val="none"/>
        </w:rPr>
        <w:instrText xml:space="preserve"> </w:instrText>
      </w:r>
      <w:r>
        <w:rPr>
          <w:highlight w:val="none"/>
        </w:rPr>
        <w:instrText xml:space="preserve">HYPERLINK \l "_Toc20473792"</w:instrText>
      </w:r>
      <w:r>
        <w:rPr>
          <w:rStyle w:val="14"/>
          <w:color w:val="auto"/>
          <w:highlight w:val="none"/>
          <w:u w:val="none"/>
        </w:rPr>
        <w:instrText xml:space="preserve"> </w:instrText>
      </w:r>
      <w:r>
        <w:rPr>
          <w:highlight w:val="none"/>
        </w:rPr>
        <w:fldChar w:fldCharType="separate"/>
      </w:r>
    </w:p>
    <w:p>
      <w:pPr>
        <w:pStyle w:val="3"/>
        <w:ind w:left="210" w:right="210"/>
        <w:rPr>
          <w:rStyle w:val="14"/>
          <w:rFonts w:hint="eastAsia"/>
          <w:color w:val="auto"/>
          <w:highlight w:val="none"/>
          <w:u w:val="none"/>
        </w:rPr>
      </w:pPr>
    </w:p>
    <w:p>
      <w:pPr>
        <w:pStyle w:val="3"/>
        <w:ind w:left="210" w:right="210"/>
        <w:rPr>
          <w:rStyle w:val="14"/>
          <w:rFonts w:hint="eastAsia"/>
          <w:color w:val="auto"/>
          <w:highlight w:val="none"/>
          <w:u w:val="none"/>
        </w:rPr>
      </w:pPr>
    </w:p>
    <w:p>
      <w:pPr>
        <w:pStyle w:val="3"/>
        <w:ind w:left="210" w:right="210"/>
        <w:rPr>
          <w:rStyle w:val="14"/>
          <w:rFonts w:hint="eastAsia"/>
          <w:color w:val="auto"/>
          <w:highlight w:val="none"/>
          <w:u w:val="none"/>
        </w:rPr>
      </w:pPr>
    </w:p>
    <w:p>
      <w:pPr>
        <w:pStyle w:val="3"/>
        <w:ind w:left="210" w:right="210"/>
        <w:rPr>
          <w:rStyle w:val="14"/>
          <w:rFonts w:hint="eastAsia"/>
          <w:color w:val="auto"/>
          <w:highlight w:val="none"/>
          <w:u w:val="none"/>
        </w:rPr>
      </w:pPr>
    </w:p>
    <w:p>
      <w:pPr>
        <w:pStyle w:val="3"/>
        <w:ind w:left="210" w:right="210"/>
        <w:rPr>
          <w:rStyle w:val="14"/>
          <w:rFonts w:hint="eastAsia"/>
          <w:color w:val="auto"/>
          <w:highlight w:val="none"/>
          <w:u w:val="none"/>
        </w:rPr>
      </w:pPr>
    </w:p>
    <w:p>
      <w:pPr>
        <w:pStyle w:val="3"/>
        <w:ind w:left="210" w:right="210"/>
        <w:rPr>
          <w:rStyle w:val="14"/>
          <w:rFonts w:hint="eastAsia"/>
          <w:color w:val="auto"/>
          <w:highlight w:val="none"/>
          <w:u w:val="none"/>
        </w:rPr>
      </w:pPr>
    </w:p>
    <w:p>
      <w:pPr>
        <w:pStyle w:val="3"/>
        <w:ind w:left="210" w:right="210"/>
        <w:rPr>
          <w:highlight w:val="none"/>
        </w:rPr>
      </w:pPr>
      <w:bookmarkStart w:id="59" w:name="_GoBack"/>
      <w:bookmarkEnd w:id="59"/>
      <w:r>
        <w:rPr>
          <w:rStyle w:val="14"/>
          <w:rFonts w:hint="eastAsia"/>
          <w:color w:val="auto"/>
          <w:highlight w:val="none"/>
          <w:u w:val="none"/>
        </w:rPr>
        <w:t>采购人需求</w:t>
      </w:r>
    </w:p>
    <w:p>
      <w:pPr>
        <w:rPr>
          <w:highlight w:val="none"/>
        </w:rPr>
      </w:pPr>
      <w:r>
        <w:rPr>
          <w:highlight w:val="none"/>
        </w:rPr>
        <w:fldChar w:fldCharType="end"/>
      </w:r>
    </w:p>
    <w:p>
      <w:pPr>
        <w:jc w:val="center"/>
        <w:rPr>
          <w:rFonts w:hint="eastAsia" w:ascii="黑体" w:hAnsi="黑体" w:eastAsia="黑体"/>
          <w:b/>
          <w:color w:val="000000"/>
          <w:sz w:val="52"/>
          <w:szCs w:val="72"/>
          <w:highlight w:val="none"/>
        </w:rPr>
      </w:pPr>
      <w:bookmarkStart w:id="0" w:name="_Toc230056499"/>
      <w:bookmarkStart w:id="1" w:name="_Toc227046316"/>
      <w:bookmarkStart w:id="2" w:name="_Toc225237641"/>
      <w:bookmarkStart w:id="3" w:name="_Toc222018472"/>
      <w:bookmarkStart w:id="4" w:name="_Toc222037442"/>
    </w:p>
    <w:bookmarkEnd w:id="0"/>
    <w:bookmarkEnd w:id="1"/>
    <w:bookmarkEnd w:id="2"/>
    <w:bookmarkEnd w:id="3"/>
    <w:bookmarkEnd w:id="4"/>
    <w:p>
      <w:pPr>
        <w:jc w:val="center"/>
        <w:rPr>
          <w:rFonts w:hint="eastAsia" w:ascii="黑体" w:hAnsi="黑体" w:eastAsia="黑体"/>
          <w:b/>
          <w:sz w:val="52"/>
          <w:szCs w:val="72"/>
        </w:rPr>
      </w:pPr>
      <w:r>
        <w:rPr>
          <w:rFonts w:hint="eastAsia" w:ascii="宋体" w:hAnsi="宋体" w:cs="宋体"/>
          <w:b/>
          <w:bCs/>
          <w:szCs w:val="21"/>
          <w:highlight w:val="none"/>
        </w:rPr>
        <w:br w:type="page"/>
      </w:r>
    </w:p>
    <w:p>
      <w:pPr>
        <w:jc w:val="center"/>
        <w:rPr>
          <w:rFonts w:hint="eastAsia" w:ascii="黑体" w:hAnsi="黑体" w:eastAsia="黑体"/>
          <w:b/>
          <w:sz w:val="52"/>
          <w:szCs w:val="72"/>
        </w:rPr>
      </w:pPr>
    </w:p>
    <w:p>
      <w:pPr>
        <w:snapToGrid w:val="0"/>
        <w:spacing w:line="360" w:lineRule="auto"/>
        <w:jc w:val="center"/>
        <w:rPr>
          <w:rFonts w:hint="eastAsia" w:ascii="黑体" w:hAnsi="黑体" w:eastAsia="黑体"/>
          <w:b/>
          <w:sz w:val="48"/>
          <w:szCs w:val="48"/>
        </w:rPr>
      </w:pPr>
      <w:r>
        <w:rPr>
          <w:rFonts w:hint="eastAsia" w:ascii="黑体" w:hAnsi="黑体" w:eastAsia="黑体"/>
          <w:b/>
          <w:sz w:val="48"/>
          <w:szCs w:val="48"/>
        </w:rPr>
        <w:t>哈尔滨工业大学信息化校园专项</w:t>
      </w:r>
    </w:p>
    <w:p>
      <w:pPr>
        <w:snapToGrid w:val="0"/>
        <w:spacing w:line="360" w:lineRule="auto"/>
        <w:jc w:val="center"/>
        <w:rPr>
          <w:rFonts w:hint="eastAsia" w:ascii="黑体" w:hAnsi="黑体" w:eastAsia="黑体"/>
          <w:b/>
          <w:sz w:val="48"/>
          <w:szCs w:val="48"/>
        </w:rPr>
      </w:pPr>
      <w:r>
        <w:rPr>
          <w:rFonts w:hint="eastAsia" w:ascii="黑体" w:hAnsi="黑体" w:eastAsia="黑体"/>
          <w:b/>
          <w:sz w:val="48"/>
          <w:szCs w:val="48"/>
        </w:rPr>
        <w:t>物联网业务支撑平台一期项目（软件类）</w:t>
      </w:r>
    </w:p>
    <w:p>
      <w:pPr>
        <w:jc w:val="center"/>
        <w:rPr>
          <w:rFonts w:hint="eastAsia" w:ascii="黑体" w:hAnsi="黑体" w:eastAsia="黑体"/>
          <w:b/>
          <w:sz w:val="48"/>
          <w:szCs w:val="48"/>
        </w:rPr>
      </w:pPr>
    </w:p>
    <w:p>
      <w:pPr>
        <w:jc w:val="center"/>
        <w:rPr>
          <w:rFonts w:hint="eastAsia"/>
          <w:b/>
          <w:sz w:val="44"/>
          <w:szCs w:val="44"/>
        </w:rPr>
      </w:pPr>
    </w:p>
    <w:p>
      <w:pPr>
        <w:jc w:val="center"/>
        <w:rPr>
          <w:rFonts w:hint="eastAsia"/>
          <w:b/>
          <w:sz w:val="72"/>
          <w:szCs w:val="72"/>
          <w14:shadow w14:blurRad="50800" w14:dist="38100" w14:dir="2700000" w14:sx="100000" w14:sy="100000" w14:kx="0" w14:ky="0" w14:algn="tl">
            <w14:srgbClr w14:val="000000">
              <w14:alpha w14:val="60000"/>
            </w14:srgbClr>
          </w14:shadow>
        </w:rPr>
      </w:pPr>
      <w:r>
        <w:rPr>
          <w:b/>
          <w:sz w:val="72"/>
          <w:szCs w:val="72"/>
          <w14:shadow w14:blurRad="50800" w14:dist="38100" w14:dir="2700000" w14:sx="100000" w14:sy="100000" w14:kx="0" w14:ky="0" w14:algn="tl">
            <w14:srgbClr w14:val="000000">
              <w14:alpha w14:val="60000"/>
            </w14:srgbClr>
          </w14:shadow>
        </w:rPr>
        <w:t>招标要求</w:t>
      </w:r>
    </w:p>
    <w:p>
      <w:pPr>
        <w:rPr>
          <w:rFonts w:hint="eastAsia"/>
          <w:b/>
          <w:sz w:val="44"/>
          <w:szCs w:val="44"/>
        </w:rPr>
      </w:pPr>
    </w:p>
    <w:p/>
    <w:p/>
    <w:p/>
    <w:p/>
    <w:p/>
    <w:p/>
    <w:p/>
    <w:p>
      <w:pPr>
        <w:jc w:val="center"/>
        <w:rPr>
          <w:rFonts w:hint="eastAsia"/>
          <w:b/>
          <w:sz w:val="44"/>
          <w:szCs w:val="44"/>
        </w:rPr>
      </w:pPr>
    </w:p>
    <w:p>
      <w:pPr>
        <w:jc w:val="center"/>
        <w:rPr>
          <w:b/>
          <w:sz w:val="44"/>
          <w:szCs w:val="44"/>
        </w:rPr>
      </w:pPr>
    </w:p>
    <w:p>
      <w:pPr>
        <w:jc w:val="center"/>
        <w:rPr>
          <w:b/>
          <w:sz w:val="36"/>
          <w:szCs w:val="36"/>
        </w:rPr>
      </w:pPr>
      <w:r>
        <w:rPr>
          <w:rFonts w:hint="eastAsia"/>
          <w:b/>
          <w:sz w:val="36"/>
          <w:szCs w:val="36"/>
        </w:rPr>
        <w:t>招标人：哈尔滨工业大学</w:t>
      </w:r>
    </w:p>
    <w:p>
      <w:pPr>
        <w:jc w:val="center"/>
        <w:rPr>
          <w:b/>
          <w:sz w:val="30"/>
          <w:szCs w:val="30"/>
        </w:rPr>
      </w:pPr>
      <w:r>
        <w:rPr>
          <w:rFonts w:hint="eastAsia"/>
          <w:b/>
          <w:sz w:val="30"/>
          <w:szCs w:val="30"/>
        </w:rPr>
        <w:t>20</w:t>
      </w:r>
      <w:r>
        <w:rPr>
          <w:b/>
          <w:sz w:val="30"/>
          <w:szCs w:val="30"/>
        </w:rPr>
        <w:t>22年6月</w:t>
      </w:r>
    </w:p>
    <w:p>
      <w:pPr>
        <w:jc w:val="center"/>
        <w:rPr>
          <w:b/>
          <w:sz w:val="44"/>
          <w:szCs w:val="44"/>
        </w:rPr>
        <w:sectPr>
          <w:headerReference r:id="rId3" w:type="default"/>
          <w:footerReference r:id="rId4" w:type="default"/>
          <w:pgSz w:w="11906" w:h="16838"/>
          <w:pgMar w:top="1440" w:right="1797" w:bottom="1440" w:left="1797" w:header="851" w:footer="992" w:gutter="0"/>
          <w:pgNumType w:start="1"/>
          <w:cols w:space="720" w:num="1"/>
          <w:docGrid w:type="lines" w:linePitch="312" w:charSpace="0"/>
        </w:sectPr>
      </w:pPr>
    </w:p>
    <w:p>
      <w:pPr>
        <w:pStyle w:val="10"/>
        <w:tabs>
          <w:tab w:val="right" w:leader="dot" w:pos="8302"/>
        </w:tabs>
        <w:jc w:val="center"/>
        <w:rPr>
          <w:rFonts w:hint="eastAsia"/>
          <w:b/>
          <w:sz w:val="44"/>
          <w:szCs w:val="44"/>
        </w:rPr>
      </w:pPr>
      <w:r>
        <w:rPr>
          <w:rFonts w:hint="eastAsia"/>
          <w:b/>
          <w:sz w:val="44"/>
          <w:szCs w:val="44"/>
        </w:rPr>
        <w:t>目 录</w:t>
      </w:r>
    </w:p>
    <w:p>
      <w:pPr>
        <w:rPr>
          <w:rFonts w:hint="eastAsia"/>
        </w:rPr>
      </w:pPr>
    </w:p>
    <w:p>
      <w:pPr>
        <w:pStyle w:val="10"/>
        <w:tabs>
          <w:tab w:val="right" w:leader="dot" w:pos="8302"/>
        </w:tabs>
        <w:rPr>
          <w:rFonts w:ascii="等线" w:hAnsi="等线" w:eastAsia="等线"/>
          <w:szCs w:val="22"/>
        </w:rPr>
      </w:pPr>
      <w:r>
        <w:rPr>
          <w:b/>
          <w:sz w:val="44"/>
          <w:szCs w:val="44"/>
        </w:rPr>
        <w:fldChar w:fldCharType="begin"/>
      </w:r>
      <w:r>
        <w:rPr>
          <w:b/>
          <w:sz w:val="44"/>
          <w:szCs w:val="44"/>
        </w:rPr>
        <w:instrText xml:space="preserve"> TOC \o "1-3" \h \z \u </w:instrText>
      </w:r>
      <w:r>
        <w:rPr>
          <w:b/>
          <w:sz w:val="44"/>
          <w:szCs w:val="44"/>
        </w:rPr>
        <w:fldChar w:fldCharType="separate"/>
      </w:r>
      <w:r>
        <w:fldChar w:fldCharType="begin"/>
      </w:r>
      <w:r>
        <w:rPr>
          <w:rStyle w:val="14"/>
        </w:rPr>
        <w:instrText xml:space="preserve"> </w:instrText>
      </w:r>
      <w:r>
        <w:instrText xml:space="preserve">HYPERLINK \l "_Toc105082666"</w:instrText>
      </w:r>
      <w:r>
        <w:rPr>
          <w:rStyle w:val="14"/>
        </w:rPr>
        <w:instrText xml:space="preserve"> </w:instrText>
      </w:r>
      <w:r>
        <w:fldChar w:fldCharType="separate"/>
      </w:r>
      <w:r>
        <w:rPr>
          <w:rStyle w:val="14"/>
        </w:rPr>
        <w:t>第一章 项目基本情况</w:t>
      </w:r>
      <w:r>
        <w:tab/>
      </w:r>
      <w:r>
        <w:fldChar w:fldCharType="begin"/>
      </w:r>
      <w:r>
        <w:instrText xml:space="preserve"> PAGEREF _Toc105082666 \h </w:instrText>
      </w:r>
      <w:r>
        <w:fldChar w:fldCharType="separate"/>
      </w:r>
      <w:r>
        <w:t>2</w:t>
      </w:r>
      <w:r>
        <w:fldChar w:fldCharType="end"/>
      </w:r>
      <w:r>
        <w:fldChar w:fldCharType="end"/>
      </w:r>
    </w:p>
    <w:p>
      <w:pPr>
        <w:pStyle w:val="10"/>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"_Toc105082667"</w:instrText>
      </w:r>
      <w:r>
        <w:rPr>
          <w:rStyle w:val="14"/>
        </w:rPr>
        <w:instrText xml:space="preserve"> </w:instrText>
      </w:r>
      <w:r>
        <w:fldChar w:fldCharType="separate"/>
      </w:r>
      <w:r>
        <w:rPr>
          <w:rStyle w:val="14"/>
        </w:rPr>
        <w:t>第二章 项目技术需求</w:t>
      </w:r>
      <w:r>
        <w:tab/>
      </w:r>
      <w:r>
        <w:fldChar w:fldCharType="begin"/>
      </w:r>
      <w:r>
        <w:instrText xml:space="preserve"> PAGEREF _Toc105082667 \h </w:instrText>
      </w:r>
      <w:r>
        <w:fldChar w:fldCharType="separate"/>
      </w:r>
      <w:r>
        <w:t>3</w:t>
      </w:r>
      <w:r>
        <w:fldChar w:fldCharType="end"/>
      </w:r>
      <w:r>
        <w:fldChar w:fldCharType="end"/>
      </w:r>
    </w:p>
    <w:p>
      <w:pPr>
        <w:pStyle w:val="11"/>
        <w:tabs>
          <w:tab w:val="left" w:pos="1260"/>
          <w:tab w:val="right" w:leader="dot" w:pos="8302"/>
        </w:tabs>
        <w:rPr>
          <w:rFonts w:ascii="等线" w:hAnsi="等线" w:eastAsia="等线"/>
          <w:szCs w:val="22"/>
        </w:rPr>
      </w:pPr>
      <w:r>
        <w:fldChar w:fldCharType="begin"/>
      </w:r>
      <w:r>
        <w:rPr>
          <w:rStyle w:val="14"/>
        </w:rPr>
        <w:instrText xml:space="preserve"> </w:instrText>
      </w:r>
      <w:r>
        <w:instrText xml:space="preserve">HYPERLINK \l "_Toc105082668"</w:instrText>
      </w:r>
      <w:r>
        <w:rPr>
          <w:rStyle w:val="14"/>
        </w:rPr>
        <w:instrText xml:space="preserve"> </w:instrText>
      </w:r>
      <w:r>
        <w:fldChar w:fldCharType="separate"/>
      </w:r>
      <w:r>
        <w:rPr>
          <w:rStyle w:val="14"/>
        </w:rPr>
        <w:t>一、项目概况</w:t>
      </w:r>
      <w:r>
        <w:tab/>
      </w:r>
      <w:r>
        <w:fldChar w:fldCharType="begin"/>
      </w:r>
      <w:r>
        <w:instrText xml:space="preserve"> PAGEREF _Toc105082668 \h </w:instrText>
      </w:r>
      <w:r>
        <w:fldChar w:fldCharType="separate"/>
      </w:r>
      <w:r>
        <w:t>3</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"_Toc105082669"</w:instrText>
      </w:r>
      <w:r>
        <w:rPr>
          <w:rStyle w:val="14"/>
        </w:rPr>
        <w:instrText xml:space="preserve"> </w:instrText>
      </w:r>
      <w:r>
        <w:fldChar w:fldCharType="separate"/>
      </w:r>
      <w:r>
        <w:rPr>
          <w:rStyle w:val="14"/>
          <w:lang w:val="sq-AL"/>
        </w:rPr>
        <w:t>1、建设目标</w:t>
      </w:r>
      <w:r>
        <w:tab/>
      </w:r>
      <w:r>
        <w:fldChar w:fldCharType="begin"/>
      </w:r>
      <w:r>
        <w:instrText xml:space="preserve"> PAGEREF _Toc105082669 \h </w:instrText>
      </w:r>
      <w:r>
        <w:fldChar w:fldCharType="separate"/>
      </w:r>
      <w:r>
        <w:t>3</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"_Toc105082670"</w:instrText>
      </w:r>
      <w:r>
        <w:rPr>
          <w:rStyle w:val="14"/>
        </w:rPr>
        <w:instrText xml:space="preserve"> </w:instrText>
      </w:r>
      <w:r>
        <w:fldChar w:fldCharType="separate"/>
      </w:r>
      <w:r>
        <w:rPr>
          <w:rStyle w:val="14"/>
          <w:lang w:val="sq-AL"/>
        </w:rPr>
        <w:t>2、预期的建设效果</w:t>
      </w:r>
      <w:r>
        <w:tab/>
      </w:r>
      <w:r>
        <w:fldChar w:fldCharType="begin"/>
      </w:r>
      <w:r>
        <w:instrText xml:space="preserve"> PAGEREF _Toc105082670 \h </w:instrText>
      </w:r>
      <w:r>
        <w:fldChar w:fldCharType="separate"/>
      </w:r>
      <w:r>
        <w:t>3</w:t>
      </w:r>
      <w:r>
        <w:fldChar w:fldCharType="end"/>
      </w:r>
      <w:r>
        <w:fldChar w:fldCharType="end"/>
      </w:r>
    </w:p>
    <w:p>
      <w:pPr>
        <w:pStyle w:val="11"/>
        <w:tabs>
          <w:tab w:val="left" w:pos="1260"/>
          <w:tab w:val="right" w:leader="dot" w:pos="8302"/>
        </w:tabs>
        <w:rPr>
          <w:rFonts w:ascii="等线" w:hAnsi="等线" w:eastAsia="等线"/>
          <w:szCs w:val="22"/>
        </w:rPr>
      </w:pPr>
      <w:r>
        <w:fldChar w:fldCharType="begin"/>
      </w:r>
      <w:r>
        <w:rPr>
          <w:rStyle w:val="14"/>
        </w:rPr>
        <w:instrText xml:space="preserve"> </w:instrText>
      </w:r>
      <w:r>
        <w:instrText xml:space="preserve">HYPERLINK \l "_Toc105082671"</w:instrText>
      </w:r>
      <w:r>
        <w:rPr>
          <w:rStyle w:val="14"/>
        </w:rPr>
        <w:instrText xml:space="preserve"> </w:instrText>
      </w:r>
      <w:r>
        <w:fldChar w:fldCharType="separate"/>
      </w:r>
      <w:r>
        <w:rPr>
          <w:rStyle w:val="14"/>
        </w:rPr>
        <w:t>二、项目需求描述</w:t>
      </w:r>
      <w:r>
        <w:tab/>
      </w:r>
      <w:r>
        <w:fldChar w:fldCharType="begin"/>
      </w:r>
      <w:r>
        <w:instrText xml:space="preserve"> PAGEREF _Toc105082671 \h </w:instrText>
      </w:r>
      <w:r>
        <w:fldChar w:fldCharType="separate"/>
      </w:r>
      <w:r>
        <w:t>4</w:t>
      </w:r>
      <w:r>
        <w:fldChar w:fldCharType="end"/>
      </w:r>
      <w:r>
        <w:fldChar w:fldCharType="end"/>
      </w:r>
    </w:p>
    <w:p>
      <w:pPr>
        <w:pStyle w:val="11"/>
        <w:tabs>
          <w:tab w:val="left" w:pos="1260"/>
          <w:tab w:val="right" w:leader="dot" w:pos="8302"/>
        </w:tabs>
        <w:rPr>
          <w:rFonts w:ascii="等线" w:hAnsi="等线" w:eastAsia="等线"/>
          <w:szCs w:val="22"/>
        </w:rPr>
      </w:pPr>
      <w:r>
        <w:fldChar w:fldCharType="begin"/>
      </w:r>
      <w:r>
        <w:rPr>
          <w:rStyle w:val="14"/>
        </w:rPr>
        <w:instrText xml:space="preserve"> </w:instrText>
      </w:r>
      <w:r>
        <w:instrText xml:space="preserve">HYPERLINK \l "_Toc105082672"</w:instrText>
      </w:r>
      <w:r>
        <w:rPr>
          <w:rStyle w:val="14"/>
        </w:rPr>
        <w:instrText xml:space="preserve"> </w:instrText>
      </w:r>
      <w:r>
        <w:fldChar w:fldCharType="separate"/>
      </w:r>
      <w:r>
        <w:rPr>
          <w:rStyle w:val="14"/>
        </w:rPr>
        <w:t>三、项目技术要求</w:t>
      </w:r>
      <w:r>
        <w:tab/>
      </w:r>
      <w:r>
        <w:fldChar w:fldCharType="begin"/>
      </w:r>
      <w:r>
        <w:instrText xml:space="preserve"> PAGEREF _Toc105082672 \h </w:instrText>
      </w:r>
      <w:r>
        <w:fldChar w:fldCharType="separate"/>
      </w:r>
      <w:r>
        <w:t>5</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"_Toc105082673"</w:instrText>
      </w:r>
      <w:r>
        <w:rPr>
          <w:rStyle w:val="14"/>
        </w:rPr>
        <w:instrText xml:space="preserve"> </w:instrText>
      </w:r>
      <w:r>
        <w:fldChar w:fldCharType="separate"/>
      </w:r>
      <w:r>
        <w:rPr>
          <w:rStyle w:val="14"/>
          <w:lang w:val="sq-AL"/>
        </w:rPr>
        <w:t>1、总体要求</w:t>
      </w:r>
      <w:r>
        <w:tab/>
      </w:r>
      <w:r>
        <w:fldChar w:fldCharType="begin"/>
      </w:r>
      <w:r>
        <w:instrText xml:space="preserve"> PAGEREF _Toc105082673 \h </w:instrText>
      </w:r>
      <w:r>
        <w:fldChar w:fldCharType="separate"/>
      </w:r>
      <w:r>
        <w:t>5</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"_Toc105082674"</w:instrText>
      </w:r>
      <w:r>
        <w:rPr>
          <w:rStyle w:val="14"/>
        </w:rPr>
        <w:instrText xml:space="preserve"> </w:instrText>
      </w:r>
      <w:r>
        <w:fldChar w:fldCharType="separate"/>
      </w:r>
      <w:r>
        <w:rPr>
          <w:rStyle w:val="14"/>
          <w:lang w:val="sq-AL"/>
        </w:rPr>
        <w:t>2、关键技术指标</w:t>
      </w:r>
      <w:r>
        <w:tab/>
      </w:r>
      <w:r>
        <w:fldChar w:fldCharType="begin"/>
      </w:r>
      <w:r>
        <w:instrText xml:space="preserve"> PAGEREF _Toc105082674 \h </w:instrText>
      </w:r>
      <w:r>
        <w:fldChar w:fldCharType="separate"/>
      </w:r>
      <w:r>
        <w:t>6</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"_Toc105082675"</w:instrText>
      </w:r>
      <w:r>
        <w:rPr>
          <w:rStyle w:val="14"/>
        </w:rPr>
        <w:instrText xml:space="preserve"> </w:instrText>
      </w:r>
      <w:r>
        <w:fldChar w:fldCharType="separate"/>
      </w:r>
      <w:r>
        <w:rPr>
          <w:rStyle w:val="14"/>
          <w:lang w:val="sq-AL"/>
        </w:rPr>
        <w:t>3、对项目技术架构和技术实现途径的要求</w:t>
      </w:r>
      <w:r>
        <w:tab/>
      </w:r>
      <w:r>
        <w:fldChar w:fldCharType="begin"/>
      </w:r>
      <w:r>
        <w:instrText xml:space="preserve"> PAGEREF _Toc105082675 \h </w:instrText>
      </w:r>
      <w:r>
        <w:fldChar w:fldCharType="separate"/>
      </w:r>
      <w:r>
        <w:t>15</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"_Toc105082676"</w:instrText>
      </w:r>
      <w:r>
        <w:rPr>
          <w:rStyle w:val="14"/>
        </w:rPr>
        <w:instrText xml:space="preserve"> </w:instrText>
      </w:r>
      <w:r>
        <w:fldChar w:fldCharType="separate"/>
      </w:r>
      <w:r>
        <w:rPr>
          <w:rStyle w:val="14"/>
        </w:rPr>
        <w:t>4、项目验收及质保期</w:t>
      </w:r>
      <w:r>
        <w:tab/>
      </w:r>
      <w:r>
        <w:fldChar w:fldCharType="begin"/>
      </w:r>
      <w:r>
        <w:instrText xml:space="preserve"> PAGEREF _Toc105082676 \h </w:instrText>
      </w:r>
      <w:r>
        <w:fldChar w:fldCharType="separate"/>
      </w:r>
      <w:r>
        <w:t>16</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"_Toc105082677"</w:instrText>
      </w:r>
      <w:r>
        <w:rPr>
          <w:rStyle w:val="14"/>
        </w:rPr>
        <w:instrText xml:space="preserve"> </w:instrText>
      </w:r>
      <w:r>
        <w:fldChar w:fldCharType="separate"/>
      </w:r>
      <w:r>
        <w:rPr>
          <w:rStyle w:val="14"/>
        </w:rPr>
        <w:t>5、付款方法和条件</w:t>
      </w:r>
      <w:r>
        <w:tab/>
      </w:r>
      <w:r>
        <w:fldChar w:fldCharType="begin"/>
      </w:r>
      <w:r>
        <w:instrText xml:space="preserve"> PAGEREF _Toc105082677 \h </w:instrText>
      </w:r>
      <w:r>
        <w:fldChar w:fldCharType="separate"/>
      </w:r>
      <w:r>
        <w:t>16</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"_Toc105082678"</w:instrText>
      </w:r>
      <w:r>
        <w:rPr>
          <w:rStyle w:val="14"/>
        </w:rPr>
        <w:instrText xml:space="preserve"> </w:instrText>
      </w:r>
      <w:r>
        <w:fldChar w:fldCharType="separate"/>
      </w:r>
      <w:r>
        <w:rPr>
          <w:rStyle w:val="14"/>
        </w:rPr>
        <w:t>6、售后维护要求</w:t>
      </w:r>
      <w:r>
        <w:tab/>
      </w:r>
      <w:r>
        <w:fldChar w:fldCharType="begin"/>
      </w:r>
      <w:r>
        <w:instrText xml:space="preserve"> PAGEREF _Toc105082678 \h </w:instrText>
      </w:r>
      <w:r>
        <w:fldChar w:fldCharType="separate"/>
      </w:r>
      <w:r>
        <w:t>16</w:t>
      </w:r>
      <w:r>
        <w:fldChar w:fldCharType="end"/>
      </w:r>
      <w:r>
        <w:fldChar w:fldCharType="end"/>
      </w:r>
    </w:p>
    <w:p>
      <w:pPr>
        <w:pStyle w:val="11"/>
        <w:tabs>
          <w:tab w:val="left" w:pos="1260"/>
          <w:tab w:val="right" w:leader="dot" w:pos="8302"/>
        </w:tabs>
        <w:rPr>
          <w:rFonts w:ascii="等线" w:hAnsi="等线" w:eastAsia="等线"/>
          <w:szCs w:val="22"/>
        </w:rPr>
      </w:pPr>
      <w:r>
        <w:fldChar w:fldCharType="begin"/>
      </w:r>
      <w:r>
        <w:rPr>
          <w:rStyle w:val="14"/>
        </w:rPr>
        <w:instrText xml:space="preserve"> </w:instrText>
      </w:r>
      <w:r>
        <w:instrText xml:space="preserve">HYPERLINK \l "_Toc105082679"</w:instrText>
      </w:r>
      <w:r>
        <w:rPr>
          <w:rStyle w:val="14"/>
        </w:rPr>
        <w:instrText xml:space="preserve"> </w:instrText>
      </w:r>
      <w:r>
        <w:fldChar w:fldCharType="separate"/>
      </w:r>
      <w:r>
        <w:rPr>
          <w:rStyle w:val="14"/>
        </w:rPr>
        <w:t>四、项目与学校信息化总体框架兼容的要求</w:t>
      </w:r>
      <w:r>
        <w:tab/>
      </w:r>
      <w:r>
        <w:fldChar w:fldCharType="begin"/>
      </w:r>
      <w:r>
        <w:instrText xml:space="preserve"> PAGEREF _Toc105082679 \h </w:instrText>
      </w:r>
      <w:r>
        <w:fldChar w:fldCharType="separate"/>
      </w:r>
      <w:r>
        <w:t>17</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"_Toc105082680"</w:instrText>
      </w:r>
      <w:r>
        <w:rPr>
          <w:rStyle w:val="14"/>
        </w:rPr>
        <w:instrText xml:space="preserve"> </w:instrText>
      </w:r>
      <w:r>
        <w:fldChar w:fldCharType="separate"/>
      </w:r>
      <w:r>
        <w:rPr>
          <w:rStyle w:val="14"/>
        </w:rPr>
        <w:t>1、系统对接要求</w:t>
      </w:r>
      <w:r>
        <w:tab/>
      </w:r>
      <w:r>
        <w:fldChar w:fldCharType="begin"/>
      </w:r>
      <w:r>
        <w:instrText xml:space="preserve"> PAGEREF _Toc105082680 \h </w:instrText>
      </w:r>
      <w:r>
        <w:fldChar w:fldCharType="separate"/>
      </w:r>
      <w:r>
        <w:t>17</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"_Toc105082681"</w:instrText>
      </w:r>
      <w:r>
        <w:rPr>
          <w:rStyle w:val="14"/>
        </w:rPr>
        <w:instrText xml:space="preserve"> </w:instrText>
      </w:r>
      <w:r>
        <w:fldChar w:fldCharType="separate"/>
      </w:r>
      <w:r>
        <w:rPr>
          <w:rStyle w:val="14"/>
        </w:rPr>
        <w:t>2、对系统扩展性的要求</w:t>
      </w:r>
      <w:r>
        <w:tab/>
      </w:r>
      <w:r>
        <w:fldChar w:fldCharType="begin"/>
      </w:r>
      <w:r>
        <w:instrText xml:space="preserve"> PAGEREF _Toc105082681 \h </w:instrText>
      </w:r>
      <w:r>
        <w:fldChar w:fldCharType="separate"/>
      </w:r>
      <w:r>
        <w:t>19</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"_Toc105082682"</w:instrText>
      </w:r>
      <w:r>
        <w:rPr>
          <w:rStyle w:val="14"/>
        </w:rPr>
        <w:instrText xml:space="preserve"> </w:instrText>
      </w:r>
      <w:r>
        <w:fldChar w:fldCharType="separate"/>
      </w:r>
      <w:r>
        <w:rPr>
          <w:rStyle w:val="14"/>
        </w:rPr>
        <w:t>3、对系统安全性的要求</w:t>
      </w:r>
      <w:r>
        <w:tab/>
      </w:r>
      <w:r>
        <w:fldChar w:fldCharType="begin"/>
      </w:r>
      <w:r>
        <w:instrText xml:space="preserve"> PAGEREF _Toc105082682 \h </w:instrText>
      </w:r>
      <w:r>
        <w:fldChar w:fldCharType="separate"/>
      </w:r>
      <w:r>
        <w:t>19</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"_Toc105082683"</w:instrText>
      </w:r>
      <w:r>
        <w:rPr>
          <w:rStyle w:val="14"/>
        </w:rPr>
        <w:instrText xml:space="preserve"> </w:instrText>
      </w:r>
      <w:r>
        <w:fldChar w:fldCharType="separate"/>
      </w:r>
      <w:r>
        <w:rPr>
          <w:rStyle w:val="14"/>
        </w:rPr>
        <w:t>4、对系统部署方式的要求</w:t>
      </w:r>
      <w:r>
        <w:tab/>
      </w:r>
      <w:r>
        <w:fldChar w:fldCharType="begin"/>
      </w:r>
      <w:r>
        <w:instrText xml:space="preserve"> PAGEREF _Toc105082683 \h </w:instrText>
      </w:r>
      <w:r>
        <w:fldChar w:fldCharType="separate"/>
      </w:r>
      <w:r>
        <w:t>21</w:t>
      </w:r>
      <w:r>
        <w:fldChar w:fldCharType="end"/>
      </w:r>
      <w:r>
        <w:fldChar w:fldCharType="end"/>
      </w:r>
    </w:p>
    <w:p>
      <w:pPr>
        <w:pStyle w:val="7"/>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"_Toc105082684"</w:instrText>
      </w:r>
      <w:r>
        <w:rPr>
          <w:rStyle w:val="14"/>
        </w:rPr>
        <w:instrText xml:space="preserve"> </w:instrText>
      </w:r>
      <w:r>
        <w:fldChar w:fldCharType="separate"/>
      </w:r>
      <w:r>
        <w:rPr>
          <w:rStyle w:val="14"/>
        </w:rPr>
        <w:t>5、对相关文档和交付物的要求</w:t>
      </w:r>
      <w:r>
        <w:tab/>
      </w:r>
      <w:r>
        <w:fldChar w:fldCharType="begin"/>
      </w:r>
      <w:r>
        <w:instrText xml:space="preserve"> PAGEREF _Toc105082684 \h </w:instrText>
      </w:r>
      <w:r>
        <w:fldChar w:fldCharType="separate"/>
      </w:r>
      <w:r>
        <w:t>21</w:t>
      </w:r>
      <w:r>
        <w:fldChar w:fldCharType="end"/>
      </w:r>
      <w:r>
        <w:fldChar w:fldCharType="end"/>
      </w:r>
    </w:p>
    <w:p>
      <w:pPr>
        <w:pStyle w:val="11"/>
        <w:tabs>
          <w:tab w:val="left" w:pos="1260"/>
          <w:tab w:val="right" w:leader="dot" w:pos="8302"/>
        </w:tabs>
        <w:rPr>
          <w:rFonts w:ascii="等线" w:hAnsi="等线" w:eastAsia="等线"/>
          <w:szCs w:val="22"/>
        </w:rPr>
      </w:pPr>
      <w:r>
        <w:fldChar w:fldCharType="begin"/>
      </w:r>
      <w:r>
        <w:rPr>
          <w:rStyle w:val="14"/>
        </w:rPr>
        <w:instrText xml:space="preserve"> </w:instrText>
      </w:r>
      <w:r>
        <w:instrText xml:space="preserve">HYPERLINK \l "_Toc105082685"</w:instrText>
      </w:r>
      <w:r>
        <w:rPr>
          <w:rStyle w:val="14"/>
        </w:rPr>
        <w:instrText xml:space="preserve"> </w:instrText>
      </w:r>
      <w:r>
        <w:fldChar w:fldCharType="separate"/>
      </w:r>
      <w:r>
        <w:rPr>
          <w:rStyle w:val="14"/>
        </w:rPr>
        <w:t>五、技术情报和资料的保密要求</w:t>
      </w:r>
      <w:r>
        <w:tab/>
      </w:r>
      <w:r>
        <w:fldChar w:fldCharType="begin"/>
      </w:r>
      <w:r>
        <w:instrText xml:space="preserve"> PAGEREF _Toc105082685 \h </w:instrText>
      </w:r>
      <w:r>
        <w:fldChar w:fldCharType="separate"/>
      </w:r>
      <w:r>
        <w:t>22</w:t>
      </w:r>
      <w:r>
        <w:fldChar w:fldCharType="end"/>
      </w:r>
      <w:r>
        <w:fldChar w:fldCharType="end"/>
      </w:r>
    </w:p>
    <w:p>
      <w:pPr>
        <w:pStyle w:val="10"/>
        <w:tabs>
          <w:tab w:val="right" w:leader="dot" w:pos="8302"/>
        </w:tabs>
        <w:rPr>
          <w:rFonts w:ascii="等线" w:hAnsi="等线" w:eastAsia="等线"/>
          <w:szCs w:val="22"/>
        </w:rPr>
      </w:pPr>
      <w:r>
        <w:fldChar w:fldCharType="begin"/>
      </w:r>
      <w:r>
        <w:rPr>
          <w:rStyle w:val="14"/>
        </w:rPr>
        <w:instrText xml:space="preserve"> </w:instrText>
      </w:r>
      <w:r>
        <w:instrText xml:space="preserve">HYPERLINK \l "_Toc105082686"</w:instrText>
      </w:r>
      <w:r>
        <w:rPr>
          <w:rStyle w:val="14"/>
        </w:rPr>
        <w:instrText xml:space="preserve"> </w:instrText>
      </w:r>
      <w:r>
        <w:fldChar w:fldCharType="separate"/>
      </w:r>
      <w:r>
        <w:rPr>
          <w:rStyle w:val="14"/>
        </w:rPr>
        <w:t>第三章 评标办法和评审依据</w:t>
      </w:r>
      <w:r>
        <w:tab/>
      </w:r>
      <w:r>
        <w:fldChar w:fldCharType="begin"/>
      </w:r>
      <w:r>
        <w:instrText xml:space="preserve"> PAGEREF _Toc105082686 \h </w:instrText>
      </w:r>
      <w:r>
        <w:fldChar w:fldCharType="separate"/>
      </w:r>
      <w:r>
        <w:t>23</w:t>
      </w:r>
      <w:r>
        <w:fldChar w:fldCharType="end"/>
      </w:r>
      <w:r>
        <w:fldChar w:fldCharType="end"/>
      </w:r>
    </w:p>
    <w:p>
      <w:pPr>
        <w:jc w:val="center"/>
        <w:rPr>
          <w:rFonts w:hint="eastAsia"/>
          <w:b/>
          <w:sz w:val="44"/>
          <w:szCs w:val="44"/>
        </w:rPr>
      </w:pPr>
      <w:r>
        <w:rPr>
          <w:b/>
          <w:sz w:val="44"/>
          <w:szCs w:val="44"/>
        </w:rPr>
        <w:fldChar w:fldCharType="end"/>
      </w:r>
    </w:p>
    <w:p>
      <w:pPr>
        <w:jc w:val="center"/>
        <w:rPr>
          <w:rFonts w:hint="eastAsia"/>
          <w:b/>
          <w:sz w:val="44"/>
          <w:szCs w:val="44"/>
        </w:rPr>
        <w:sectPr>
          <w:headerReference r:id="rId6" w:type="first"/>
          <w:footerReference r:id="rId9" w:type="first"/>
          <w:headerReference r:id="rId5" w:type="default"/>
          <w:footerReference r:id="rId7" w:type="default"/>
          <w:footerReference r:id="rId8" w:type="even"/>
          <w:pgSz w:w="11906" w:h="16838"/>
          <w:pgMar w:top="1440" w:right="1797" w:bottom="1440" w:left="1797" w:header="851" w:footer="992" w:gutter="0"/>
          <w:pgNumType w:fmt="upperRoman" w:start="1"/>
          <w:cols w:space="720" w:num="1"/>
          <w:docGrid w:type="lines" w:linePitch="312" w:charSpace="0"/>
        </w:sectPr>
      </w:pPr>
    </w:p>
    <w:p>
      <w:pPr>
        <w:jc w:val="center"/>
        <w:rPr>
          <w:b/>
          <w:sz w:val="44"/>
          <w:szCs w:val="44"/>
        </w:rPr>
      </w:pPr>
    </w:p>
    <w:p>
      <w:pPr>
        <w:pStyle w:val="3"/>
        <w:spacing w:before="0" w:after="0" w:line="240" w:lineRule="auto"/>
        <w:ind w:firstLine="215" w:firstLineChars="49"/>
        <w:jc w:val="center"/>
        <w:rPr>
          <w:rFonts w:hint="eastAsia"/>
        </w:rPr>
      </w:pPr>
      <w:bookmarkStart w:id="5" w:name="_Toc389027901"/>
      <w:bookmarkStart w:id="6" w:name="_Toc388971503"/>
      <w:bookmarkStart w:id="7" w:name="_Toc389027548"/>
      <w:bookmarkStart w:id="8" w:name="_Toc227046317"/>
      <w:bookmarkStart w:id="9" w:name="_Toc222018474"/>
      <w:bookmarkStart w:id="10" w:name="_Toc230056500"/>
      <w:bookmarkStart w:id="11" w:name="_Toc222018473"/>
      <w:bookmarkStart w:id="12" w:name="_Toc230056501"/>
      <w:bookmarkStart w:id="13" w:name="_Toc227046318"/>
      <w:r>
        <w:t xml:space="preserve"> </w:t>
      </w:r>
      <w:bookmarkEnd w:id="5"/>
      <w:bookmarkEnd w:id="6"/>
      <w:bookmarkEnd w:id="7"/>
      <w:bookmarkStart w:id="14" w:name="_Toc511904029"/>
      <w:bookmarkStart w:id="15" w:name="_Toc105082666"/>
      <w:r>
        <w:rPr>
          <w:rFonts w:hint="eastAsia"/>
        </w:rPr>
        <w:t>项目基本情况</w:t>
      </w:r>
      <w:bookmarkEnd w:id="14"/>
      <w:bookmarkEnd w:id="15"/>
    </w:p>
    <w:p/>
    <w:p>
      <w:pPr>
        <w:spacing w:line="360" w:lineRule="auto"/>
        <w:ind w:left="420"/>
        <w:rPr>
          <w:rFonts w:hint="eastAsia"/>
          <w:sz w:val="24"/>
        </w:rPr>
      </w:pPr>
      <w:r>
        <w:rPr>
          <w:rFonts w:hint="eastAsia"/>
          <w:sz w:val="24"/>
        </w:rPr>
        <w:t>1、</w:t>
      </w:r>
      <w:r>
        <w:rPr>
          <w:sz w:val="24"/>
        </w:rPr>
        <w:t>招标项目名称：</w:t>
      </w:r>
      <w:r>
        <w:rPr>
          <w:rFonts w:hint="eastAsia" w:ascii="宋体" w:hAnsi="宋体"/>
          <w:sz w:val="24"/>
        </w:rPr>
        <w:t>物联网业务支撑平台一期项目</w:t>
      </w:r>
    </w:p>
    <w:p>
      <w:pPr>
        <w:spacing w:line="360" w:lineRule="auto"/>
        <w:ind w:left="420"/>
        <w:rPr>
          <w:rFonts w:hint="eastAsia"/>
          <w:sz w:val="24"/>
        </w:rPr>
      </w:pPr>
      <w:r>
        <w:rPr>
          <w:rFonts w:hint="eastAsia"/>
          <w:sz w:val="24"/>
        </w:rPr>
        <w:t>2、</w:t>
      </w:r>
      <w:r>
        <w:rPr>
          <w:sz w:val="24"/>
        </w:rPr>
        <w:t>招标采购</w:t>
      </w:r>
      <w:r>
        <w:rPr>
          <w:rFonts w:hint="eastAsia"/>
          <w:sz w:val="24"/>
        </w:rPr>
        <w:t>内容</w:t>
      </w:r>
      <w:r>
        <w:rPr>
          <w:sz w:val="24"/>
        </w:rPr>
        <w:t>：</w:t>
      </w:r>
      <w:r>
        <w:rPr>
          <w:rFonts w:hint="eastAsia" w:ascii="宋体" w:hAnsi="宋体"/>
          <w:sz w:val="24"/>
        </w:rPr>
        <w:t>物联网业务支撑平台</w:t>
      </w:r>
    </w:p>
    <w:p>
      <w:pPr>
        <w:spacing w:line="360" w:lineRule="auto"/>
        <w:ind w:left="420"/>
        <w:rPr>
          <w:rFonts w:hint="eastAsia"/>
          <w:sz w:val="24"/>
        </w:rPr>
      </w:pPr>
      <w:r>
        <w:rPr>
          <w:rFonts w:hint="eastAsia"/>
          <w:sz w:val="24"/>
        </w:rPr>
        <w:t>3、项目建设期：</w:t>
      </w:r>
      <w:r>
        <w:rPr>
          <w:rFonts w:hint="eastAsia" w:ascii="宋体" w:hAnsi="宋体"/>
          <w:sz w:val="24"/>
          <w:highlight w:val="none"/>
        </w:rPr>
        <w:t>合同签订后45日内交付所有功能并接受验收</w:t>
      </w:r>
    </w:p>
    <w:p>
      <w:pPr>
        <w:spacing w:line="360" w:lineRule="auto"/>
        <w:ind w:left="420"/>
        <w:rPr>
          <w:rFonts w:hint="eastAsia"/>
          <w:sz w:val="24"/>
        </w:rPr>
      </w:pPr>
      <w:r>
        <w:rPr>
          <w:rFonts w:hint="eastAsia"/>
          <w:sz w:val="24"/>
        </w:rPr>
        <w:t>4、项目联系人</w:t>
      </w:r>
      <w:r>
        <w:rPr>
          <w:sz w:val="24"/>
        </w:rPr>
        <w:t>:</w:t>
      </w:r>
      <w:r>
        <w:rPr>
          <w:rFonts w:hint="eastAsia"/>
          <w:sz w:val="24"/>
        </w:rPr>
        <w:t>姓名：金</w:t>
      </w:r>
      <w:r>
        <w:rPr>
          <w:rFonts w:hint="eastAsia"/>
          <w:sz w:val="24"/>
          <w:lang w:eastAsia="zh-CN"/>
        </w:rPr>
        <w:t>老师</w:t>
      </w:r>
      <w:r>
        <w:rPr>
          <w:rFonts w:hint="eastAsia"/>
          <w:sz w:val="24"/>
        </w:rPr>
        <w:t xml:space="preserve">    </w:t>
      </w:r>
    </w:p>
    <w:p>
      <w:pPr>
        <w:spacing w:line="360" w:lineRule="auto"/>
        <w:ind w:left="420"/>
        <w:rPr>
          <w:sz w:val="24"/>
        </w:rPr>
      </w:pPr>
      <w:r>
        <w:rPr>
          <w:rFonts w:hint="eastAsia"/>
          <w:sz w:val="24"/>
        </w:rPr>
        <w:t>5、招标方式：</w:t>
      </w:r>
      <w:r>
        <w:rPr>
          <w:rFonts w:hint="eastAsia"/>
          <w:b/>
          <w:sz w:val="24"/>
        </w:rPr>
        <w:t>公开招标</w:t>
      </w:r>
    </w:p>
    <w:p>
      <w:pPr>
        <w:spacing w:line="360" w:lineRule="auto"/>
        <w:ind w:left="420"/>
        <w:rPr>
          <w:rFonts w:hint="eastAsia"/>
          <w:sz w:val="24"/>
        </w:rPr>
      </w:pPr>
      <w:r>
        <w:rPr>
          <w:rFonts w:hint="eastAsia"/>
          <w:sz w:val="24"/>
        </w:rPr>
        <w:t>6、项目预算</w:t>
      </w:r>
      <w:r>
        <w:rPr>
          <w:sz w:val="24"/>
        </w:rPr>
        <w:t>：88</w:t>
      </w:r>
      <w:r>
        <w:rPr>
          <w:rFonts w:hint="eastAsia"/>
          <w:sz w:val="24"/>
        </w:rPr>
        <w:t>万元</w:t>
      </w:r>
    </w:p>
    <w:p>
      <w:pPr>
        <w:spacing w:line="360" w:lineRule="auto"/>
        <w:ind w:firstLine="420" w:firstLineChars="200"/>
        <w:jc w:val="left"/>
        <w:rPr>
          <w:rFonts w:hint="eastAsia"/>
          <w:szCs w:val="21"/>
        </w:rPr>
      </w:pPr>
    </w:p>
    <w:p>
      <w:pPr>
        <w:pStyle w:val="3"/>
        <w:jc w:val="center"/>
        <w:rPr>
          <w:rFonts w:hint="eastAsia"/>
        </w:rPr>
      </w:pPr>
      <w:r>
        <w:rPr>
          <w:szCs w:val="21"/>
        </w:rPr>
        <w:br w:type="page"/>
      </w:r>
      <w:bookmarkStart w:id="16" w:name="_Toc408583943"/>
      <w:r>
        <w:rPr>
          <w:rFonts w:hint="eastAsia"/>
          <w:szCs w:val="21"/>
        </w:rPr>
        <w:t xml:space="preserve"> </w:t>
      </w:r>
      <w:bookmarkStart w:id="17" w:name="_Toc511904030"/>
      <w:bookmarkStart w:id="18" w:name="_Toc105082667"/>
      <w:r>
        <w:rPr>
          <w:rFonts w:hint="eastAsia"/>
          <w:szCs w:val="21"/>
        </w:rPr>
        <w:t>项目</w:t>
      </w:r>
      <w:r>
        <w:rPr>
          <w:rFonts w:hint="eastAsia"/>
        </w:rPr>
        <w:t>技术需求</w:t>
      </w:r>
      <w:bookmarkEnd w:id="17"/>
      <w:bookmarkEnd w:id="18"/>
    </w:p>
    <w:bookmarkEnd w:id="16"/>
    <w:p>
      <w:pPr>
        <w:pStyle w:val="4"/>
      </w:pPr>
      <w:bookmarkStart w:id="19" w:name="_Toc279072497"/>
      <w:bookmarkStart w:id="20" w:name="_Toc511904031"/>
      <w:bookmarkStart w:id="21" w:name="_Toc105082668"/>
      <w:r>
        <w:rPr>
          <w:rFonts w:hint="eastAsia"/>
        </w:rPr>
        <w:t>一、</w:t>
      </w:r>
      <w:bookmarkEnd w:id="19"/>
      <w:bookmarkStart w:id="22" w:name="_Toc279732273"/>
      <w:bookmarkStart w:id="23" w:name="_Toc279072498"/>
      <w:r>
        <w:rPr>
          <w:rFonts w:hint="eastAsia"/>
        </w:rPr>
        <w:t>项目概况</w:t>
      </w:r>
      <w:bookmarkEnd w:id="20"/>
      <w:bookmarkEnd w:id="21"/>
      <w:bookmarkEnd w:id="22"/>
      <w:bookmarkEnd w:id="23"/>
    </w:p>
    <w:p>
      <w:pPr>
        <w:pStyle w:val="5"/>
        <w:rPr>
          <w:rFonts w:hint="eastAsia"/>
          <w:lang w:val="sq-AL"/>
        </w:rPr>
      </w:pPr>
      <w:bookmarkStart w:id="24" w:name="_Toc105082669"/>
      <w:bookmarkStart w:id="25" w:name="_Toc511904032"/>
      <w:r>
        <w:rPr>
          <w:rFonts w:hint="eastAsia"/>
          <w:lang w:val="sq-AL"/>
        </w:rPr>
        <w:t>1、建设目标</w:t>
      </w:r>
      <w:bookmarkEnd w:id="24"/>
      <w:bookmarkEnd w:id="25"/>
    </w:p>
    <w:p>
      <w:pPr>
        <w:spacing w:line="360" w:lineRule="auto"/>
        <w:ind w:firstLine="480" w:firstLineChars="200"/>
        <w:rPr>
          <w:sz w:val="24"/>
          <w:lang w:val="sq-AL"/>
        </w:rPr>
      </w:pPr>
      <w:bookmarkStart w:id="26" w:name="_Hlk60563747"/>
      <w:bookmarkStart w:id="27" w:name="_Toc511904033"/>
      <w:bookmarkStart w:id="28" w:name="_Toc279732274"/>
      <w:bookmarkStart w:id="29" w:name="_Toc279072499"/>
      <w:r>
        <w:rPr>
          <w:rFonts w:hint="eastAsia"/>
          <w:sz w:val="24"/>
          <w:lang w:val="sq-AL"/>
        </w:rPr>
        <w:t>随着我校物联网设备和业务系统越来越多，场景越来越丰富，如何依托物联网技术、</w:t>
      </w:r>
      <w:r>
        <w:rPr>
          <w:sz w:val="24"/>
          <w:lang w:val="sq-AL"/>
        </w:rPr>
        <w:t>校园IPv6</w:t>
      </w:r>
      <w:r>
        <w:rPr>
          <w:rFonts w:hint="eastAsia"/>
          <w:sz w:val="24"/>
          <w:lang w:val="sq-AL"/>
        </w:rPr>
        <w:t>环境</w:t>
      </w:r>
      <w:r>
        <w:rPr>
          <w:sz w:val="24"/>
          <w:lang w:val="sq-AL"/>
        </w:rPr>
        <w:t>，</w:t>
      </w:r>
      <w:r>
        <w:rPr>
          <w:rFonts w:hint="eastAsia"/>
          <w:sz w:val="24"/>
          <w:lang w:val="sq-AL"/>
        </w:rPr>
        <w:t>在教学、科研、校园生活环境中融入物联网应用，将是下一代信息化校园的核心技术体现，结合我校实际情况，物联网平台需要整合校园视频监控系统、一卡通系统、水电热管网系统，将教学设备、资产设备、管网等更多资源接入网络，利用物联网技术对资源进行监测和管理，面向学校教学、科研和服务，建立节能、低耗、绿色、智能的教学业务管理和行政管理的信息化、网络化平台。实现智慧教室、智慧车辆管理、智慧寝室、智慧节能的相关管理信息支持整合到校级业务主题库中，形成对全校物联网信息的统一管理与服务，一期平台建设后能够实现以下目标：</w:t>
      </w:r>
    </w:p>
    <w:bookmarkEnd w:id="26"/>
    <w:p>
      <w:pPr>
        <w:spacing w:after="3" w:line="440" w:lineRule="exact"/>
        <w:ind w:left="-17" w:firstLine="562"/>
        <w:rPr>
          <w:sz w:val="24"/>
          <w:lang w:val="sq-AL"/>
        </w:rPr>
      </w:pPr>
      <w:r>
        <w:rPr>
          <w:rFonts w:hint="eastAsia"/>
          <w:sz w:val="24"/>
          <w:lang w:val="sq-AL"/>
        </w:rPr>
        <w:t>（1）统一的终端接入平台</w:t>
      </w:r>
    </w:p>
    <w:p>
      <w:pPr>
        <w:spacing w:after="3" w:line="440" w:lineRule="exact"/>
        <w:ind w:left="-17" w:firstLine="562"/>
        <w:rPr>
          <w:sz w:val="24"/>
          <w:lang w:val="sq-AL"/>
        </w:rPr>
      </w:pPr>
      <w:r>
        <w:rPr>
          <w:rFonts w:hint="eastAsia"/>
          <w:sz w:val="24"/>
          <w:lang w:val="sq-AL"/>
        </w:rPr>
        <w:t>实现所有物联网应用终端提供的统一的数据接入方案，数据接入支持多种通讯设备、通讯协议。</w:t>
      </w:r>
    </w:p>
    <w:p>
      <w:pPr>
        <w:spacing w:after="3" w:line="440" w:lineRule="exact"/>
        <w:ind w:left="-17" w:firstLine="562"/>
        <w:rPr>
          <w:sz w:val="24"/>
          <w:lang w:val="sq-AL"/>
        </w:rPr>
      </w:pPr>
      <w:r>
        <w:rPr>
          <w:rFonts w:hint="eastAsia"/>
          <w:sz w:val="24"/>
          <w:lang w:val="sq-AL"/>
        </w:rPr>
        <w:t>（</w:t>
      </w:r>
      <w:r>
        <w:rPr>
          <w:sz w:val="24"/>
          <w:lang w:val="sq-AL"/>
        </w:rPr>
        <w:t>2</w:t>
      </w:r>
      <w:r>
        <w:rPr>
          <w:rFonts w:hint="eastAsia"/>
          <w:sz w:val="24"/>
          <w:lang w:val="sq-AL"/>
        </w:rPr>
        <w:t>）统一的数据交换平台</w:t>
      </w:r>
    </w:p>
    <w:p>
      <w:pPr>
        <w:spacing w:after="3" w:line="440" w:lineRule="exact"/>
        <w:ind w:left="-17" w:firstLine="562"/>
        <w:rPr>
          <w:sz w:val="24"/>
          <w:lang w:val="sq-AL"/>
        </w:rPr>
      </w:pPr>
      <w:r>
        <w:rPr>
          <w:rFonts w:hint="eastAsia"/>
          <w:sz w:val="24"/>
          <w:lang w:val="sq-AL"/>
        </w:rPr>
        <w:t>提供统一的“数据交换平台”，通过中间件作为粘合剂连接各种业务相关的异构系统、应用以及数据源，满足重要系统之间无缝共享和交换数据的需要。</w:t>
      </w:r>
    </w:p>
    <w:p>
      <w:pPr>
        <w:spacing w:after="3" w:line="440" w:lineRule="exact"/>
        <w:ind w:left="-17" w:firstLine="562"/>
        <w:rPr>
          <w:sz w:val="24"/>
          <w:lang w:val="sq-AL"/>
        </w:rPr>
      </w:pPr>
      <w:r>
        <w:rPr>
          <w:rFonts w:hint="eastAsia"/>
          <w:sz w:val="24"/>
          <w:lang w:val="sq-AL"/>
        </w:rPr>
        <w:t>（</w:t>
      </w:r>
      <w:r>
        <w:rPr>
          <w:sz w:val="24"/>
          <w:lang w:val="sq-AL"/>
        </w:rPr>
        <w:t>3</w:t>
      </w:r>
      <w:r>
        <w:rPr>
          <w:rFonts w:hint="eastAsia"/>
          <w:sz w:val="24"/>
          <w:lang w:val="sq-AL"/>
        </w:rPr>
        <w:t>）统一的门户支撑平台</w:t>
      </w:r>
    </w:p>
    <w:p>
      <w:pPr>
        <w:spacing w:after="3" w:line="440" w:lineRule="exact"/>
        <w:ind w:left="-17" w:firstLine="562"/>
        <w:rPr>
          <w:sz w:val="24"/>
          <w:lang w:val="sq-AL"/>
        </w:rPr>
      </w:pPr>
      <w:r>
        <w:rPr>
          <w:rFonts w:hint="eastAsia"/>
          <w:sz w:val="24"/>
          <w:lang w:val="sq-AL"/>
        </w:rPr>
        <w:t>提供一个灵活、规范的信息组织管理平台和全网范围的网络协作环境，实现集成的信息采集、内容管理、日志查看等，能够直接组织各类共享信息和内部业务基础信息，面向不同使用对象，通过后台技术实现个性化服务，实现信息整合应用。</w:t>
      </w:r>
    </w:p>
    <w:p>
      <w:pPr>
        <w:pStyle w:val="5"/>
        <w:rPr>
          <w:rFonts w:hint="eastAsia"/>
          <w:lang w:val="sq-AL"/>
        </w:rPr>
      </w:pPr>
      <w:bookmarkStart w:id="30" w:name="_Toc105082670"/>
      <w:r>
        <w:rPr>
          <w:rFonts w:hint="eastAsia"/>
          <w:lang w:val="sq-AL"/>
        </w:rPr>
        <w:t>2、预期的建设效果</w:t>
      </w:r>
      <w:bookmarkEnd w:id="27"/>
      <w:bookmarkEnd w:id="30"/>
    </w:p>
    <w:p>
      <w:pPr>
        <w:spacing w:line="360" w:lineRule="auto"/>
        <w:ind w:firstLine="480" w:firstLineChars="200"/>
        <w:rPr>
          <w:sz w:val="24"/>
          <w:lang w:val="sq-AL"/>
        </w:rPr>
      </w:pPr>
      <w:r>
        <w:rPr>
          <w:rFonts w:hint="eastAsia"/>
          <w:sz w:val="24"/>
          <w:lang w:val="sq-AL"/>
        </w:rPr>
        <w:t>本次建立的</w:t>
      </w:r>
      <w:bookmarkStart w:id="31" w:name="_Hlk105521687"/>
      <w:r>
        <w:rPr>
          <w:rFonts w:hint="eastAsia"/>
          <w:sz w:val="24"/>
          <w:lang w:val="sq-AL"/>
        </w:rPr>
        <w:t>物联网</w:t>
      </w:r>
      <w:bookmarkEnd w:id="31"/>
      <w:r>
        <w:rPr>
          <w:rFonts w:hint="eastAsia"/>
          <w:sz w:val="24"/>
          <w:lang w:val="sq-AL"/>
        </w:rPr>
        <w:t>业务支撑平台能够借助多样化的信息手段，获取丰富的校园数据信息，为提升学校综合服务能力提供支持，台建设效果如下：</w:t>
      </w:r>
    </w:p>
    <w:p>
      <w:pPr>
        <w:numPr>
          <w:ilvl w:val="0"/>
          <w:numId w:val="2"/>
        </w:numPr>
        <w:spacing w:line="360" w:lineRule="auto"/>
        <w:rPr>
          <w:sz w:val="24"/>
          <w:lang w:val="sq-AL"/>
        </w:rPr>
      </w:pPr>
      <w:bookmarkStart w:id="32" w:name="_Toc511904034"/>
      <w:r>
        <w:rPr>
          <w:rFonts w:hint="eastAsia"/>
          <w:sz w:val="24"/>
          <w:lang w:val="sq-AL"/>
        </w:rPr>
        <w:t>合规性接入</w:t>
      </w:r>
    </w:p>
    <w:p>
      <w:pPr>
        <w:spacing w:line="360" w:lineRule="auto"/>
        <w:ind w:firstLine="480" w:firstLineChars="200"/>
        <w:rPr>
          <w:sz w:val="24"/>
          <w:lang w:val="sq-AL"/>
        </w:rPr>
      </w:pPr>
      <w:r>
        <w:rPr>
          <w:rFonts w:hint="eastAsia"/>
          <w:sz w:val="24"/>
          <w:lang w:val="sq-AL"/>
        </w:rPr>
        <w:t>实现我校物联网终端的标准化和合规化接入，提供标准的通讯协议接口和物联网接入业务流程。</w:t>
      </w:r>
    </w:p>
    <w:p>
      <w:pPr>
        <w:numPr>
          <w:ilvl w:val="0"/>
          <w:numId w:val="2"/>
        </w:numPr>
        <w:spacing w:line="360" w:lineRule="auto"/>
        <w:rPr>
          <w:sz w:val="24"/>
          <w:lang w:val="sq-AL"/>
        </w:rPr>
      </w:pPr>
      <w:r>
        <w:rPr>
          <w:rFonts w:hint="eastAsia"/>
          <w:sz w:val="24"/>
          <w:lang w:val="sq-AL"/>
        </w:rPr>
        <w:t>物联网敏捷部署</w:t>
      </w:r>
    </w:p>
    <w:p>
      <w:pPr>
        <w:spacing w:line="360" w:lineRule="auto"/>
        <w:ind w:firstLine="480" w:firstLineChars="200"/>
        <w:rPr>
          <w:rFonts w:hint="eastAsia"/>
          <w:sz w:val="24"/>
          <w:lang w:val="sq-AL"/>
        </w:rPr>
      </w:pPr>
      <w:r>
        <w:rPr>
          <w:rFonts w:hint="eastAsia"/>
          <w:sz w:val="24"/>
          <w:lang w:val="sq-AL"/>
        </w:rPr>
        <w:t>实现我校物联网应用场景的快速部署、重构和迁移，基于感知层的任意网络连接方式的快速接入，满足物联网应用的敏捷性需要。</w:t>
      </w:r>
    </w:p>
    <w:p>
      <w:pPr>
        <w:numPr>
          <w:ilvl w:val="0"/>
          <w:numId w:val="2"/>
        </w:numPr>
        <w:spacing w:line="360" w:lineRule="auto"/>
        <w:rPr>
          <w:sz w:val="24"/>
          <w:lang w:val="sq-AL"/>
        </w:rPr>
      </w:pPr>
      <w:r>
        <w:rPr>
          <w:rFonts w:hint="eastAsia"/>
          <w:sz w:val="24"/>
          <w:lang w:val="sq-AL"/>
        </w:rPr>
        <w:t>可视化管理和监控</w:t>
      </w:r>
    </w:p>
    <w:p>
      <w:pPr>
        <w:spacing w:line="360" w:lineRule="auto"/>
        <w:ind w:firstLine="480" w:firstLineChars="200"/>
        <w:rPr>
          <w:rFonts w:hint="eastAsia"/>
          <w:sz w:val="24"/>
          <w:lang w:val="sq-AL"/>
        </w:rPr>
      </w:pPr>
      <w:r>
        <w:rPr>
          <w:rFonts w:hint="eastAsia"/>
          <w:sz w:val="24"/>
          <w:lang w:val="sq-AL"/>
        </w:rPr>
        <w:t>实现我校物联网终端的可视化管理，包括终端类型、终端状态、监控报警和终端集中管理。</w:t>
      </w:r>
    </w:p>
    <w:p>
      <w:pPr>
        <w:numPr>
          <w:ilvl w:val="0"/>
          <w:numId w:val="2"/>
        </w:numPr>
        <w:spacing w:line="360" w:lineRule="auto"/>
        <w:rPr>
          <w:sz w:val="24"/>
          <w:lang w:val="sq-AL"/>
        </w:rPr>
      </w:pPr>
      <w:r>
        <w:rPr>
          <w:rFonts w:hint="eastAsia"/>
          <w:sz w:val="24"/>
          <w:lang w:val="sq-AL"/>
        </w:rPr>
        <w:t>物联网数据采集和分析</w:t>
      </w:r>
    </w:p>
    <w:p>
      <w:pPr>
        <w:spacing w:line="360" w:lineRule="auto"/>
        <w:ind w:firstLine="480" w:firstLineChars="200"/>
        <w:rPr>
          <w:sz w:val="24"/>
          <w:lang w:val="sq-AL"/>
        </w:rPr>
      </w:pPr>
      <w:r>
        <w:rPr>
          <w:rFonts w:hint="eastAsia"/>
          <w:sz w:val="24"/>
          <w:lang w:val="sq-AL"/>
        </w:rPr>
        <w:t>实现我校物联网数据的采集和分析，并基于数据和校内服务需求进行定制化的数据价值展示。</w:t>
      </w:r>
    </w:p>
    <w:p>
      <w:pPr>
        <w:numPr>
          <w:ilvl w:val="0"/>
          <w:numId w:val="2"/>
        </w:numPr>
        <w:spacing w:line="360" w:lineRule="auto"/>
        <w:rPr>
          <w:sz w:val="24"/>
          <w:lang w:val="sq-AL"/>
        </w:rPr>
      </w:pPr>
      <w:r>
        <w:rPr>
          <w:rFonts w:hint="eastAsia"/>
          <w:sz w:val="24"/>
          <w:lang w:val="sq-AL"/>
        </w:rPr>
        <w:t>统一门户</w:t>
      </w:r>
    </w:p>
    <w:p>
      <w:pPr>
        <w:spacing w:line="360" w:lineRule="auto"/>
        <w:ind w:firstLine="480" w:firstLineChars="200"/>
        <w:rPr>
          <w:sz w:val="24"/>
          <w:lang w:val="sq-AL"/>
        </w:rPr>
      </w:pPr>
      <w:r>
        <w:rPr>
          <w:rFonts w:hint="eastAsia"/>
          <w:sz w:val="24"/>
          <w:lang w:val="sq-AL"/>
        </w:rPr>
        <w:t>实现统一门户是对所有行业平台、认证权限、报表功能的统一管理门户。</w:t>
      </w:r>
    </w:p>
    <w:p>
      <w:pPr>
        <w:pStyle w:val="4"/>
        <w:rPr>
          <w:rFonts w:hint="eastAsia"/>
        </w:rPr>
      </w:pPr>
      <w:bookmarkStart w:id="33" w:name="_Toc105082671"/>
      <w:r>
        <w:rPr>
          <w:rFonts w:hint="eastAsia"/>
        </w:rPr>
        <w:t>二、项目需求描述</w:t>
      </w:r>
      <w:bookmarkEnd w:id="32"/>
      <w:bookmarkEnd w:id="33"/>
    </w:p>
    <w:p>
      <w:pPr>
        <w:spacing w:after="229" w:line="440" w:lineRule="exact"/>
        <w:ind w:firstLine="480" w:firstLineChars="200"/>
        <w:rPr>
          <w:sz w:val="24"/>
          <w:lang w:val="sq-AL"/>
        </w:rPr>
      </w:pPr>
      <w:r>
        <w:rPr>
          <w:rFonts w:hint="eastAsia"/>
          <w:sz w:val="24"/>
          <w:lang w:val="sq-AL"/>
        </w:rPr>
        <w:t>建设统一物联网业务支撑平台，平台采用私有云方式部署在数据中心，要求人管界面和物管界面分离解耦，分别部署在校园网和综合接入网，对现有物联网系统智能终端进行集中管理，并为业务系统提供数据和接口支撑，平台能够整合多个系统数据进行展示，挖掘数据价值，实现联动展示；</w:t>
      </w:r>
    </w:p>
    <w:p>
      <w:pPr>
        <w:spacing w:after="229" w:line="440" w:lineRule="exact"/>
        <w:ind w:firstLine="480" w:firstLineChars="200"/>
        <w:rPr>
          <w:sz w:val="24"/>
          <w:lang w:val="sq-AL"/>
        </w:rPr>
      </w:pPr>
      <w:r>
        <w:rPr>
          <w:rFonts w:hint="eastAsia"/>
          <w:sz w:val="24"/>
          <w:lang w:val="sq-AL"/>
        </w:rPr>
        <w:t>采用通用物联网平台，由终端接口模块，业务处理模块，应用适配模块，门户管理系统组成；</w:t>
      </w:r>
      <w:r>
        <w:rPr>
          <w:sz w:val="24"/>
          <w:lang w:val="sq-AL"/>
        </w:rPr>
        <w:t xml:space="preserve"> </w:t>
      </w:r>
    </w:p>
    <w:p>
      <w:pPr>
        <w:spacing w:after="229" w:line="440" w:lineRule="exact"/>
        <w:ind w:firstLine="480" w:firstLineChars="200"/>
        <w:rPr>
          <w:rFonts w:hint="eastAsia"/>
          <w:sz w:val="24"/>
          <w:lang w:val="sq-AL"/>
        </w:rPr>
      </w:pPr>
      <w:r>
        <w:rPr>
          <w:rFonts w:hint="eastAsia"/>
          <w:sz w:val="24"/>
          <w:lang w:val="sq-AL"/>
        </w:rPr>
        <w:t>1、终端接口模块</w:t>
      </w:r>
    </w:p>
    <w:p>
      <w:pPr>
        <w:spacing w:after="229" w:line="440" w:lineRule="exact"/>
        <w:ind w:firstLine="480" w:firstLineChars="200"/>
        <w:rPr>
          <w:rFonts w:hint="eastAsia"/>
          <w:sz w:val="24"/>
          <w:lang w:val="sq-AL"/>
        </w:rPr>
      </w:pPr>
      <w:r>
        <w:rPr>
          <w:rFonts w:hint="eastAsia"/>
          <w:sz w:val="24"/>
          <w:lang w:val="sq-AL"/>
        </w:rPr>
        <w:t>终端接口模块，整合、梳理M2M通信协议、行业通信协议、私有通信协议、其他可扩展通信协议，对接收到的大量各类数据进行辨识、分发，以及报警分析等预处理，为校园物联网的所有接入设备，提供的统一的数据接入方案。</w:t>
      </w:r>
    </w:p>
    <w:p>
      <w:pPr>
        <w:spacing w:after="229" w:line="440" w:lineRule="exact"/>
        <w:ind w:firstLine="480" w:firstLineChars="200"/>
        <w:rPr>
          <w:rFonts w:hint="eastAsia"/>
          <w:sz w:val="24"/>
          <w:lang w:val="sq-AL"/>
        </w:rPr>
      </w:pPr>
      <w:r>
        <w:rPr>
          <w:rFonts w:hint="eastAsia"/>
          <w:sz w:val="24"/>
          <w:lang w:val="sq-AL"/>
        </w:rPr>
        <w:t>2、业务处理模块</w:t>
      </w:r>
    </w:p>
    <w:p>
      <w:pPr>
        <w:spacing w:after="229" w:line="440" w:lineRule="exact"/>
        <w:ind w:firstLine="480" w:firstLineChars="200"/>
        <w:rPr>
          <w:rFonts w:hint="eastAsia"/>
          <w:sz w:val="24"/>
          <w:lang w:val="sq-AL"/>
        </w:rPr>
      </w:pPr>
      <w:r>
        <w:rPr>
          <w:rFonts w:hint="eastAsia"/>
          <w:sz w:val="24"/>
          <w:lang w:val="sq-AL"/>
        </w:rPr>
        <w:t>业务处理模块作为粘合剂连接各种业务相关的异构系统、应用以及数据源，满足重要系统之间无缝共享和交换数据的需要。</w:t>
      </w:r>
    </w:p>
    <w:p>
      <w:pPr>
        <w:spacing w:after="229" w:line="440" w:lineRule="exact"/>
        <w:ind w:firstLine="480" w:firstLineChars="200"/>
        <w:rPr>
          <w:rFonts w:hint="eastAsia"/>
          <w:sz w:val="24"/>
          <w:lang w:val="sq-AL"/>
        </w:rPr>
      </w:pPr>
      <w:r>
        <w:rPr>
          <w:rFonts w:hint="eastAsia"/>
          <w:sz w:val="24"/>
          <w:lang w:val="sq-AL"/>
        </w:rPr>
        <w:t>3、应用适配模块</w:t>
      </w:r>
    </w:p>
    <w:p>
      <w:pPr>
        <w:spacing w:after="229" w:line="440" w:lineRule="exact"/>
        <w:ind w:firstLine="480" w:firstLineChars="200"/>
        <w:rPr>
          <w:sz w:val="24"/>
          <w:lang w:val="sq-AL"/>
        </w:rPr>
      </w:pPr>
      <w:r>
        <w:rPr>
          <w:rFonts w:hint="eastAsia"/>
          <w:sz w:val="24"/>
          <w:lang w:val="sq-AL"/>
        </w:rPr>
        <w:t>应用适配模块，为上层的物联网智慧应用提供统一、可靠、标准化的数据、连接和遥控服务，依靠规范的数据传输/交换协议，在接收到业务处理模块的上传数据，根据数据的业务类型及终端唯一序列号，将相应数据分发的所需的应用系统中，是应用系统可以对数据进行逻辑处理并展示给用户查看、分析。同时可以接收各应用系统的遥控命令，根据终端的唯一序列号进行指令分发，实现对智能终端的远程控制。</w:t>
      </w:r>
    </w:p>
    <w:p>
      <w:pPr>
        <w:spacing w:after="229" w:line="440" w:lineRule="exact"/>
        <w:ind w:firstLine="480" w:firstLineChars="200"/>
        <w:rPr>
          <w:sz w:val="24"/>
          <w:lang w:val="sq-AL"/>
        </w:rPr>
      </w:pPr>
      <w:r>
        <w:rPr>
          <w:sz w:val="24"/>
          <w:lang w:val="sq-AL"/>
        </w:rPr>
        <w:t>4</w:t>
      </w:r>
      <w:r>
        <w:rPr>
          <w:rFonts w:hint="eastAsia"/>
          <w:sz w:val="24"/>
          <w:lang w:val="sq-AL"/>
        </w:rPr>
        <w:t>、门户系统</w:t>
      </w:r>
    </w:p>
    <w:p>
      <w:pPr>
        <w:pStyle w:val="16"/>
        <w:adjustRightInd/>
        <w:snapToGrid/>
      </w:pPr>
      <w:r>
        <w:rPr>
          <w:rFonts w:hint="eastAsia" w:ascii="宋体" w:hAnsi="宋体" w:cs="宋体"/>
        </w:rPr>
        <w:t>校园物联网业务支撑平台的门户管理系统，遵循构件化、模块化、标准化、可扩展、可复用的技术架构，提供一个统一、灵活、规范的信息组织管理平台和全网范围的网络协作环境，实现集成的信息采集、内容管理、信息搜索，能够直接组织各类共享信息和内部业务基础信息，面向不同使用对象，通过门户技术实现个性化服务，从而实现信息整合应用，以满足物联网应用未来的数据扩展和业务发展。</w:t>
      </w:r>
    </w:p>
    <w:p>
      <w:pPr>
        <w:spacing w:after="229" w:line="440" w:lineRule="exact"/>
        <w:ind w:firstLine="480" w:firstLineChars="200"/>
        <w:rPr>
          <w:rFonts w:hint="eastAsia"/>
          <w:sz w:val="24"/>
          <w:lang w:val="sq-AL"/>
        </w:rPr>
      </w:pPr>
      <w:r>
        <w:rPr>
          <w:rFonts w:hint="eastAsia"/>
          <w:sz w:val="24"/>
          <w:lang w:val="sq-AL"/>
        </w:rPr>
        <w:t>提供一个满足先进性、高性能、扩展性的综合性物联网使能平台，并提供基于数据价值的定制化开发服务。</w:t>
      </w:r>
    </w:p>
    <w:p>
      <w:pPr>
        <w:pStyle w:val="4"/>
        <w:rPr>
          <w:rFonts w:hint="eastAsia"/>
        </w:rPr>
      </w:pPr>
      <w:bookmarkStart w:id="34" w:name="_Toc511904035"/>
      <w:bookmarkStart w:id="35" w:name="_Toc105082672"/>
      <w:r>
        <w:rPr>
          <w:rFonts w:hint="eastAsia"/>
        </w:rPr>
        <w:t>三、项目技术要求</w:t>
      </w:r>
      <w:bookmarkEnd w:id="28"/>
      <w:bookmarkEnd w:id="29"/>
      <w:bookmarkEnd w:id="34"/>
      <w:bookmarkEnd w:id="35"/>
    </w:p>
    <w:p>
      <w:pPr>
        <w:pStyle w:val="5"/>
        <w:rPr>
          <w:rFonts w:hint="eastAsia"/>
          <w:lang w:val="sq-AL"/>
        </w:rPr>
      </w:pPr>
      <w:bookmarkStart w:id="36" w:name="_Toc105082673"/>
      <w:bookmarkStart w:id="37" w:name="_Toc511904036"/>
      <w:r>
        <w:rPr>
          <w:rFonts w:hint="eastAsia"/>
          <w:lang w:val="sq-AL"/>
        </w:rPr>
        <w:t>1、总体要求</w:t>
      </w:r>
      <w:bookmarkEnd w:id="36"/>
      <w:bookmarkEnd w:id="37"/>
    </w:p>
    <w:p>
      <w:pPr>
        <w:spacing w:line="360" w:lineRule="auto"/>
        <w:ind w:firstLine="480" w:firstLineChars="200"/>
        <w:rPr>
          <w:rFonts w:hint="eastAsia"/>
          <w:sz w:val="24"/>
        </w:rPr>
      </w:pPr>
      <w:r>
        <w:rPr>
          <w:rFonts w:hint="eastAsia"/>
          <w:sz w:val="24"/>
        </w:rPr>
        <w:t>项目实施的基本原则：投标的产品知名度高，性能卓越，性价比高，投标人项目实施经验丰富，在业界有良好的声誉。</w:t>
      </w:r>
    </w:p>
    <w:p>
      <w:pPr>
        <w:spacing w:line="360" w:lineRule="auto"/>
        <w:ind w:firstLine="480" w:firstLineChars="200"/>
        <w:rPr>
          <w:rFonts w:hint="eastAsia"/>
          <w:sz w:val="24"/>
        </w:rPr>
      </w:pPr>
      <w:r>
        <w:rPr>
          <w:rFonts w:hint="eastAsia"/>
          <w:sz w:val="24"/>
        </w:rPr>
        <w:t>总体技术要求：</w:t>
      </w:r>
    </w:p>
    <w:p>
      <w:pPr>
        <w:spacing w:line="360" w:lineRule="auto"/>
        <w:ind w:firstLine="480" w:firstLineChars="200"/>
        <w:rPr>
          <w:rFonts w:hint="eastAsia"/>
          <w:bCs/>
          <w:sz w:val="24"/>
        </w:rPr>
      </w:pPr>
      <w:r>
        <w:rPr>
          <w:rFonts w:hint="eastAsia"/>
          <w:bCs/>
          <w:sz w:val="24"/>
        </w:rPr>
        <w:t>投标人需了解哈尔滨工业大学现有的物联网和校园网网络拓扑结构，并根据提出的需求提供方案，并做部署工作。</w:t>
      </w:r>
    </w:p>
    <w:p>
      <w:pPr>
        <w:spacing w:line="360" w:lineRule="auto"/>
        <w:ind w:firstLine="480" w:firstLineChars="200"/>
        <w:rPr>
          <w:sz w:val="24"/>
        </w:rPr>
      </w:pPr>
      <w:r>
        <w:rPr>
          <w:rFonts w:hint="eastAsia"/>
          <w:sz w:val="24"/>
        </w:rPr>
        <w:t>所有投标人均须完全遵守项目总体要求，并明确应答方案。</w:t>
      </w:r>
    </w:p>
    <w:p>
      <w:pPr>
        <w:pStyle w:val="17"/>
        <w:snapToGrid/>
        <w:spacing w:before="0" w:beforeLines="0" w:after="0" w:afterLines="0" w:line="360" w:lineRule="auto"/>
        <w:ind w:firstLine="480"/>
        <w:rPr>
          <w:rFonts w:ascii="宋体" w:hAnsi="宋体" w:eastAsia="宋体" w:cs="宋体"/>
          <w:sz w:val="24"/>
          <w:szCs w:val="24"/>
        </w:rPr>
      </w:pPr>
      <w:r>
        <w:rPr>
          <w:rFonts w:hint="eastAsia" w:ascii="宋体" w:hAnsi="宋体" w:eastAsia="宋体" w:cs="宋体"/>
          <w:sz w:val="24"/>
          <w:szCs w:val="24"/>
        </w:rPr>
        <w:t>（1）覆盖全行业的物联网终端配置和协议适配。物联网终端属于传感网络层和传输网络层的中间设备，也是物联网的关键设备，通过他的转换和采集，能将各种外部感知数据汇集和处理，并将数据通过各种网络接口方式传输到互联网中。</w:t>
      </w:r>
    </w:p>
    <w:p>
      <w:pPr>
        <w:pStyle w:val="17"/>
        <w:snapToGrid/>
        <w:spacing w:before="0" w:beforeLines="0" w:after="0" w:afterLines="0" w:line="360" w:lineRule="auto"/>
        <w:ind w:firstLine="480"/>
        <w:rPr>
          <w:rFonts w:ascii="宋体" w:hAnsi="宋体" w:eastAsia="宋体" w:cs="宋体"/>
          <w:sz w:val="24"/>
          <w:szCs w:val="24"/>
        </w:rPr>
      </w:pPr>
      <w:r>
        <w:rPr>
          <w:rFonts w:hint="eastAsia" w:ascii="宋体" w:hAnsi="宋体" w:eastAsia="宋体" w:cs="宋体"/>
          <w:sz w:val="24"/>
          <w:szCs w:val="24"/>
        </w:rPr>
        <w:t>（2）覆盖全通信链路的物联网终端接入点配置。需要根据物联网终端所支持的通信链路进行接入配置。在平台中，可将接入点类型分为无线网络接入、公网接入、VPN接入和其它专线接入几种类型，进行参数配置，配置完成后可在线进行链路连通性测试。</w:t>
      </w:r>
    </w:p>
    <w:p>
      <w:pPr>
        <w:pStyle w:val="17"/>
        <w:snapToGrid/>
        <w:spacing w:before="0" w:beforeLines="0" w:after="0" w:afterLines="0" w:line="360" w:lineRule="auto"/>
        <w:ind w:firstLine="480"/>
        <w:rPr>
          <w:rFonts w:ascii="宋体" w:hAnsi="宋体" w:eastAsia="宋体" w:cs="宋体"/>
          <w:sz w:val="24"/>
          <w:szCs w:val="24"/>
        </w:rPr>
      </w:pPr>
      <w:r>
        <w:rPr>
          <w:rFonts w:hint="eastAsia" w:ascii="宋体" w:hAnsi="宋体" w:eastAsia="宋体" w:cs="宋体"/>
          <w:sz w:val="24"/>
          <w:szCs w:val="24"/>
        </w:rPr>
        <w:t>（3）业务和应用配置，物联网业务涉及各个行业，包括监测型应用和监控类应用，涉及的传感数据类型多种多样，包括普通监测数据、二进制数据和流媒体数据等，因此需要根据业务特点配置物联网终端的传输数据包格式，业务配置完成后可实时在线获取数据以验证数据的合法性和正确性。</w:t>
      </w:r>
    </w:p>
    <w:p>
      <w:pPr>
        <w:pStyle w:val="17"/>
        <w:snapToGrid/>
        <w:spacing w:before="0" w:beforeLines="0" w:after="0" w:afterLines="0" w:line="360" w:lineRule="auto"/>
        <w:ind w:firstLine="480"/>
        <w:rPr>
          <w:rFonts w:ascii="宋体" w:hAnsi="宋体" w:eastAsia="宋体" w:cs="宋体"/>
          <w:sz w:val="24"/>
          <w:szCs w:val="24"/>
        </w:rPr>
      </w:pPr>
      <w:r>
        <w:rPr>
          <w:rFonts w:hint="eastAsia" w:ascii="宋体" w:hAnsi="宋体" w:eastAsia="宋体" w:cs="宋体"/>
          <w:sz w:val="24"/>
          <w:szCs w:val="24"/>
        </w:rPr>
        <w:t>（4）UI配置，</w:t>
      </w:r>
      <w:bookmarkStart w:id="38" w:name="_Hlk104589662"/>
      <w:r>
        <w:rPr>
          <w:rFonts w:hint="eastAsia" w:ascii="宋体" w:hAnsi="宋体" w:eastAsia="宋体" w:cs="宋体"/>
          <w:sz w:val="24"/>
          <w:szCs w:val="24"/>
        </w:rPr>
        <w:t>平台预置丰富的二次开发接口，支持校园其它应用系统对数据的存取，除此之外，还支持与当前成熟BI解决方案的集成，进行在线数据分析</w:t>
      </w:r>
      <w:bookmarkEnd w:id="38"/>
      <w:r>
        <w:rPr>
          <w:rFonts w:hint="eastAsia" w:ascii="宋体" w:hAnsi="宋体" w:eastAsia="宋体" w:cs="宋体"/>
          <w:sz w:val="24"/>
          <w:szCs w:val="24"/>
        </w:rPr>
        <w:t>。</w:t>
      </w:r>
    </w:p>
    <w:p>
      <w:pPr>
        <w:pStyle w:val="17"/>
        <w:snapToGrid/>
        <w:spacing w:before="0" w:beforeLines="0" w:after="0" w:afterLines="0" w:line="360" w:lineRule="auto"/>
        <w:ind w:firstLine="480"/>
        <w:rPr>
          <w:rFonts w:hint="eastAsia"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5）</w:t>
      </w:r>
      <w:r>
        <w:rPr>
          <w:rFonts w:hint="eastAsia" w:ascii="宋体" w:hAnsi="宋体" w:eastAsia="宋体" w:cs="宋体"/>
          <w:sz w:val="24"/>
          <w:szCs w:val="24"/>
        </w:rPr>
        <w:t>支持将数据快速扩展到智能手机终端，平台采用Push技术将业务数据及数据规则以开放接口的方式推送到手机终端，在手机终端自动实现数据的查询和展示。</w:t>
      </w:r>
    </w:p>
    <w:p>
      <w:pPr>
        <w:spacing w:line="360" w:lineRule="auto"/>
        <w:ind w:firstLine="480" w:firstLineChars="200"/>
        <w:rPr>
          <w:rFonts w:hint="eastAsia"/>
          <w:sz w:val="24"/>
        </w:rPr>
      </w:pPr>
      <w:r>
        <w:rPr>
          <w:rFonts w:hint="eastAsia" w:ascii="宋体" w:hAnsi="宋体" w:cs="宋体"/>
          <w:sz w:val="24"/>
        </w:rPr>
        <w:t>（</w:t>
      </w:r>
      <w:r>
        <w:rPr>
          <w:rFonts w:ascii="宋体" w:hAnsi="宋体" w:cs="宋体"/>
          <w:sz w:val="24"/>
        </w:rPr>
        <w:t>6</w:t>
      </w:r>
      <w:r>
        <w:rPr>
          <w:rFonts w:hint="eastAsia" w:ascii="宋体" w:hAnsi="宋体" w:cs="宋体"/>
          <w:sz w:val="24"/>
        </w:rPr>
        <w:t>）</w:t>
      </w:r>
      <w:r>
        <w:rPr>
          <w:rFonts w:hint="eastAsia"/>
          <w:sz w:val="24"/>
        </w:rPr>
        <w:t>高性能，满足百万级物联网终端接入量</w:t>
      </w:r>
    </w:p>
    <w:p>
      <w:pPr>
        <w:spacing w:line="360" w:lineRule="auto"/>
        <w:rPr>
          <w:rFonts w:hint="eastAsia"/>
          <w:sz w:val="24"/>
        </w:rPr>
      </w:pPr>
      <w:r>
        <w:rPr>
          <w:sz w:val="24"/>
        </w:rPr>
        <w:t xml:space="preserve">   </w:t>
      </w:r>
      <w:r>
        <w:rPr>
          <w:rFonts w:hint="eastAsia"/>
          <w:sz w:val="24"/>
        </w:rPr>
        <w:t xml:space="preserve"> </w:t>
      </w:r>
      <w:r>
        <w:rPr>
          <w:rFonts w:hint="eastAsia" w:ascii="宋体" w:hAnsi="宋体" w:cs="宋体"/>
          <w:sz w:val="24"/>
        </w:rPr>
        <w:t>（</w:t>
      </w:r>
      <w:r>
        <w:rPr>
          <w:rFonts w:ascii="宋体" w:hAnsi="宋体" w:cs="宋体"/>
          <w:sz w:val="24"/>
        </w:rPr>
        <w:t>7</w:t>
      </w:r>
      <w:r>
        <w:rPr>
          <w:rFonts w:hint="eastAsia" w:ascii="宋体" w:hAnsi="宋体" w:cs="宋体"/>
          <w:sz w:val="24"/>
        </w:rPr>
        <w:t>）</w:t>
      </w:r>
      <w:r>
        <w:rPr>
          <w:rFonts w:hint="eastAsia"/>
          <w:sz w:val="24"/>
        </w:rPr>
        <w:t>扩展性，具备对主流物联网终端接入能力和协议对接</w:t>
      </w:r>
    </w:p>
    <w:p>
      <w:pPr>
        <w:spacing w:line="360" w:lineRule="auto"/>
        <w:ind w:firstLine="480" w:firstLineChars="200"/>
        <w:rPr>
          <w:rFonts w:hint="eastAsia"/>
          <w:sz w:val="24"/>
        </w:rPr>
      </w:pPr>
      <w:r>
        <w:rPr>
          <w:rFonts w:hint="eastAsia" w:ascii="宋体" w:hAnsi="宋体" w:cs="宋体"/>
          <w:sz w:val="24"/>
        </w:rPr>
        <w:t>（</w:t>
      </w:r>
      <w:r>
        <w:rPr>
          <w:rFonts w:ascii="宋体" w:hAnsi="宋体" w:cs="宋体"/>
          <w:sz w:val="24"/>
        </w:rPr>
        <w:t>8</w:t>
      </w:r>
      <w:r>
        <w:rPr>
          <w:rFonts w:hint="eastAsia" w:ascii="宋体" w:hAnsi="宋体" w:cs="宋体"/>
          <w:sz w:val="24"/>
        </w:rPr>
        <w:t>）</w:t>
      </w:r>
      <w:r>
        <w:rPr>
          <w:rFonts w:hint="eastAsia"/>
          <w:sz w:val="24"/>
        </w:rPr>
        <w:t>可视化，能够实现终端的可视化监控</w:t>
      </w:r>
    </w:p>
    <w:p>
      <w:pPr>
        <w:spacing w:line="360" w:lineRule="auto"/>
        <w:ind w:firstLine="480" w:firstLineChars="200"/>
        <w:rPr>
          <w:rFonts w:hint="eastAsia"/>
          <w:sz w:val="24"/>
        </w:rPr>
      </w:pPr>
      <w:r>
        <w:rPr>
          <w:rFonts w:hint="eastAsia" w:ascii="宋体" w:hAnsi="宋体" w:cs="宋体"/>
          <w:sz w:val="24"/>
        </w:rPr>
        <w:t>（</w:t>
      </w:r>
      <w:r>
        <w:rPr>
          <w:rFonts w:ascii="宋体" w:hAnsi="宋体" w:cs="宋体"/>
          <w:sz w:val="24"/>
        </w:rPr>
        <w:t>9</w:t>
      </w:r>
      <w:r>
        <w:rPr>
          <w:rFonts w:hint="eastAsia" w:ascii="宋体" w:hAnsi="宋体" w:cs="宋体"/>
          <w:sz w:val="24"/>
        </w:rPr>
        <w:t>）</w:t>
      </w:r>
      <w:r>
        <w:rPr>
          <w:rFonts w:hint="eastAsia"/>
          <w:sz w:val="24"/>
        </w:rPr>
        <w:t>经济性和实用性，完全从目前的应用需求出发，设计既能够满足目前的应用需求又能面向未来的应用需求升级的网络系统方案，同时又要保证提供服务时的经济性。在满足系统功能要求的前提下，尽量降低建设成本，考虑今后升级时设备的可持续使用，保护用户投资。</w:t>
      </w:r>
    </w:p>
    <w:p>
      <w:pPr>
        <w:pStyle w:val="5"/>
        <w:rPr>
          <w:rFonts w:hint="eastAsia"/>
          <w:lang w:val="sq-AL"/>
        </w:rPr>
      </w:pPr>
      <w:bookmarkStart w:id="39" w:name="_Toc511904037"/>
      <w:bookmarkStart w:id="40" w:name="_Toc105082674"/>
      <w:r>
        <w:rPr>
          <w:rFonts w:hint="eastAsia"/>
          <w:lang w:val="sq-AL"/>
        </w:rPr>
        <w:t>2、关键技术指标</w:t>
      </w:r>
      <w:bookmarkEnd w:id="39"/>
      <w:bookmarkEnd w:id="40"/>
    </w:p>
    <w:tbl>
      <w:tblPr>
        <w:tblStyle w:val="15"/>
        <w:tblW w:w="8522" w:type="dxa"/>
        <w:tblInd w:w="0" w:type="dxa"/>
        <w:tblLayout w:type="fixed"/>
        <w:tblCellMar>
          <w:top w:w="0" w:type="dxa"/>
          <w:left w:w="108" w:type="dxa"/>
          <w:bottom w:w="0" w:type="dxa"/>
          <w:right w:w="108" w:type="dxa"/>
        </w:tblCellMar>
      </w:tblPr>
      <w:tblGrid>
        <w:gridCol w:w="2216"/>
        <w:gridCol w:w="6306"/>
      </w:tblGrid>
      <w:tr>
        <w:tblPrEx>
          <w:tblLayout w:type="fixed"/>
          <w:tblCellMar>
            <w:top w:w="0" w:type="dxa"/>
            <w:left w:w="108" w:type="dxa"/>
            <w:bottom w:w="0" w:type="dxa"/>
            <w:right w:w="108" w:type="dxa"/>
          </w:tblCellMar>
        </w:tblPrEx>
        <w:trPr>
          <w:trHeight w:val="540" w:hRule="atLeast"/>
        </w:trPr>
        <w:tc>
          <w:tcPr>
            <w:tcW w:w="221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平台基本要求</w:t>
            </w:r>
          </w:p>
        </w:tc>
        <w:tc>
          <w:tcPr>
            <w:tcW w:w="6306" w:type="dxa"/>
            <w:tcBorders>
              <w:top w:val="single" w:color="auto" w:sz="4" w:space="0"/>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1）★平台采用私有云本地部署，具备完整的API接口，能够与感知层和数据层设备或平台对接。</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2）★平台接入终端数量、终端类型和平台功能不受授权限制，质保期内所有功能免费提供使用和升级。</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ascii="宋体" w:hAnsi="宋体" w:cs="宋体"/>
                <w:color w:val="000000"/>
                <w:kern w:val="0"/>
                <w:sz w:val="22"/>
                <w:szCs w:val="22"/>
              </w:rPr>
              <w:t>3</w:t>
            </w:r>
            <w:r>
              <w:rPr>
                <w:rFonts w:hint="eastAsia" w:ascii="宋体" w:hAnsi="宋体" w:cs="宋体"/>
                <w:color w:val="000000"/>
                <w:kern w:val="0"/>
                <w:sz w:val="22"/>
                <w:szCs w:val="22"/>
              </w:rPr>
              <w:t>）★平台具备完整的I</w:t>
            </w:r>
            <w:r>
              <w:rPr>
                <w:rFonts w:ascii="宋体" w:hAnsi="宋体" w:cs="宋体"/>
                <w:color w:val="000000"/>
                <w:kern w:val="0"/>
                <w:sz w:val="22"/>
                <w:szCs w:val="22"/>
              </w:rPr>
              <w:t>PV6</w:t>
            </w:r>
            <w:r>
              <w:rPr>
                <w:rFonts w:hint="eastAsia" w:ascii="宋体" w:hAnsi="宋体" w:cs="宋体"/>
                <w:color w:val="000000"/>
                <w:kern w:val="0"/>
                <w:sz w:val="22"/>
                <w:szCs w:val="22"/>
              </w:rPr>
              <w:t>功能，能够实现I</w:t>
            </w:r>
            <w:r>
              <w:rPr>
                <w:rFonts w:ascii="宋体" w:hAnsi="宋体" w:cs="宋体"/>
                <w:color w:val="000000"/>
                <w:kern w:val="0"/>
                <w:sz w:val="22"/>
                <w:szCs w:val="22"/>
              </w:rPr>
              <w:t>PV6</w:t>
            </w:r>
            <w:r>
              <w:rPr>
                <w:rFonts w:hint="eastAsia" w:ascii="宋体" w:hAnsi="宋体" w:cs="宋体"/>
                <w:color w:val="000000"/>
                <w:kern w:val="0"/>
                <w:sz w:val="22"/>
                <w:szCs w:val="22"/>
              </w:rPr>
              <w:t>终端管理。</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ascii="宋体" w:hAnsi="宋体" w:cs="宋体"/>
                <w:color w:val="000000"/>
                <w:kern w:val="0"/>
                <w:sz w:val="22"/>
                <w:szCs w:val="22"/>
              </w:rPr>
              <w:t>4</w:t>
            </w:r>
            <w:r>
              <w:rPr>
                <w:rFonts w:hint="eastAsia" w:ascii="宋体" w:hAnsi="宋体" w:cs="宋体"/>
                <w:color w:val="000000"/>
                <w:kern w:val="0"/>
                <w:sz w:val="22"/>
                <w:szCs w:val="22"/>
              </w:rPr>
              <w:t>）★平台提供接口对接服务，质保期内免费提供不受限制的物联网终端接口对接服务。</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ascii="宋体" w:hAnsi="宋体" w:cs="宋体"/>
                <w:color w:val="000000"/>
                <w:kern w:val="0"/>
                <w:sz w:val="22"/>
                <w:szCs w:val="22"/>
              </w:rPr>
              <w:t>5</w:t>
            </w:r>
            <w:r>
              <w:rPr>
                <w:rFonts w:hint="eastAsia" w:ascii="宋体" w:hAnsi="宋体" w:cs="宋体"/>
                <w:color w:val="000000"/>
                <w:kern w:val="0"/>
                <w:sz w:val="22"/>
                <w:szCs w:val="22"/>
              </w:rPr>
              <w:t>）★平台具备定制开发能力，提供不少于300人天的驻场定制开发服务。</w:t>
            </w:r>
          </w:p>
        </w:tc>
      </w:tr>
      <w:tr>
        <w:tblPrEx>
          <w:tblLayout w:type="fixed"/>
          <w:tblCellMar>
            <w:top w:w="0" w:type="dxa"/>
            <w:left w:w="108" w:type="dxa"/>
            <w:bottom w:w="0" w:type="dxa"/>
            <w:right w:w="108" w:type="dxa"/>
          </w:tblCellMar>
        </w:tblPrEx>
        <w:trPr>
          <w:trHeight w:val="780"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工作台分级管理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1）★支持工作台界面，工作台以全平台为视角展示所有租户、设备的总体情况，要求提供系统功能截图和相关说明。</w:t>
            </w:r>
          </w:p>
        </w:tc>
      </w:tr>
      <w:tr>
        <w:tblPrEx>
          <w:tblLayout w:type="fixed"/>
          <w:tblCellMar>
            <w:top w:w="0" w:type="dxa"/>
            <w:left w:w="108" w:type="dxa"/>
            <w:bottom w:w="0" w:type="dxa"/>
            <w:right w:w="108" w:type="dxa"/>
          </w:tblCellMar>
        </w:tblPrEx>
        <w:trPr>
          <w:trHeight w:val="87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2）支持租户工作台界面，能够以租户为视角展示该租户的基本信息及租户下部分业务的信息，包括设备状况、项目总体情况等，要求提供系统功能截图和相关说明。</w:t>
            </w:r>
          </w:p>
        </w:tc>
      </w:tr>
      <w:tr>
        <w:tblPrEx>
          <w:tblLayout w:type="fixed"/>
          <w:tblCellMar>
            <w:top w:w="0" w:type="dxa"/>
            <w:left w:w="108" w:type="dxa"/>
            <w:bottom w:w="0" w:type="dxa"/>
            <w:right w:w="108" w:type="dxa"/>
          </w:tblCellMar>
        </w:tblPrEx>
        <w:trPr>
          <w:trHeight w:val="540"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终端支持</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1）支持固定终端数据采集，支持通过可靠的外部供电和可靠的有线数据链路，检测各种固定设备、仪器或环境的信息。</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2）支持移动终端数据采集，支持无线数据链路进行数据的传输，检测如图象、位置、运动设备的某些物理状态等。</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3）支持手持终端数据采集，支持通过无线进行及时传输。</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4）支持以太网终端，WIFI终端，2G/3G/4G/5G终端等不同传输类型。</w:t>
            </w:r>
          </w:p>
        </w:tc>
      </w:tr>
      <w:tr>
        <w:tblPrEx>
          <w:tblLayout w:type="fixed"/>
          <w:tblCellMar>
            <w:top w:w="0" w:type="dxa"/>
            <w:left w:w="108" w:type="dxa"/>
            <w:bottom w:w="0" w:type="dxa"/>
            <w:right w:w="108" w:type="dxa"/>
          </w:tblCellMar>
        </w:tblPrEx>
        <w:trPr>
          <w:trHeight w:val="67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5）支持单一功能终端和通用智能终端数据采集，能够实现所有终端通过统一的方式实现接入，所有传输协议和数据格式通过统一的方式实现解析和处理，所有终端采用统一的方式实现配置。</w:t>
            </w:r>
          </w:p>
        </w:tc>
      </w:tr>
      <w:tr>
        <w:tblPrEx>
          <w:tblLayout w:type="fixed"/>
          <w:tblCellMar>
            <w:top w:w="0" w:type="dxa"/>
            <w:left w:w="108" w:type="dxa"/>
            <w:bottom w:w="0" w:type="dxa"/>
            <w:right w:w="108" w:type="dxa"/>
          </w:tblCellMar>
        </w:tblPrEx>
        <w:trPr>
          <w:trHeight w:val="930"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系统接口集成</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1）覆盖全行业的物联网终端配置和协议适配，能够通过平台转换和采集，将各种外部感知数据汇集和处理，并将数据通过各种网络接口方式传输到互联网中。</w:t>
            </w:r>
          </w:p>
        </w:tc>
      </w:tr>
      <w:tr>
        <w:tblPrEx>
          <w:tblLayout w:type="fixed"/>
          <w:tblCellMar>
            <w:top w:w="0" w:type="dxa"/>
            <w:left w:w="108" w:type="dxa"/>
            <w:bottom w:w="0" w:type="dxa"/>
            <w:right w:w="108" w:type="dxa"/>
          </w:tblCellMar>
        </w:tblPrEx>
        <w:trPr>
          <w:trHeight w:val="108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覆盖全通信链路的物联网终端接入点配置，能够根据物联网终端所支持的通信链路进行接入配置。在平台中，可将接入点类型分为无线网络接入、公网接入、VPN接入和其它专线接入几种类型，进行参数配置，配置完成后可在线进行链路连通性测试。</w:t>
            </w:r>
          </w:p>
        </w:tc>
      </w:tr>
      <w:tr>
        <w:tblPrEx>
          <w:tblLayout w:type="fixed"/>
          <w:tblCellMar>
            <w:top w:w="0" w:type="dxa"/>
            <w:left w:w="108" w:type="dxa"/>
            <w:bottom w:w="0" w:type="dxa"/>
            <w:right w:w="108" w:type="dxa"/>
          </w:tblCellMar>
        </w:tblPrEx>
        <w:trPr>
          <w:trHeight w:val="115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业务和应用配置，包括监测型应用和监控类应用，传感数据类型包括普通监测数据、二进制数据和流媒体数据等，根据业务特点配置物联网终端的传输数据包格式，业务配置完成后可实时在线获取数据以验证数据的合法性和正确性。</w:t>
            </w:r>
          </w:p>
        </w:tc>
      </w:tr>
      <w:tr>
        <w:tblPrEx>
          <w:tblLayout w:type="fixed"/>
          <w:tblCellMar>
            <w:top w:w="0" w:type="dxa"/>
            <w:left w:w="108" w:type="dxa"/>
            <w:bottom w:w="0" w:type="dxa"/>
            <w:right w:w="108" w:type="dxa"/>
          </w:tblCellMar>
        </w:tblPrEx>
        <w:trPr>
          <w:trHeight w:val="93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4）支持UI配置，平台预置丰富的二次开发接口，支持校园其它应用系统对数据的存取，支持与当前成熟BI解决方案的集成，进行在线数据分析。</w:t>
            </w:r>
          </w:p>
        </w:tc>
      </w:tr>
      <w:tr>
        <w:tblPrEx>
          <w:tblLayout w:type="fixed"/>
          <w:tblCellMar>
            <w:top w:w="0" w:type="dxa"/>
            <w:left w:w="108" w:type="dxa"/>
            <w:bottom w:w="0" w:type="dxa"/>
            <w:right w:w="108" w:type="dxa"/>
          </w:tblCellMar>
        </w:tblPrEx>
        <w:trPr>
          <w:trHeight w:val="558" w:hRule="atLeast"/>
        </w:trPr>
        <w:tc>
          <w:tcPr>
            <w:tcW w:w="221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系统模块</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平台具备终端接口模块，能够整合M2M通信协议、行业通信协议、私有通信协议、其他可扩展通信协议，对接收到的大量各类数据进行辨识、分发，以及报警分析等预处理，为校园物联网的所有接入设备，如：视频采集摄像头、RFID、智能水表、智能电表、智能燃气表、门控、梯控、空调、阀门、智能控制设备、数采仪等设备，终端接口模块负责接收，通过辨识、注册、解析、转译，将终端的唯一序列号和采集数据统一的汇集上传到业务处理中心，或接收业务处理中心的命令转发至终端进行执行。</w:t>
            </w:r>
          </w:p>
        </w:tc>
      </w:tr>
      <w:tr>
        <w:tblPrEx>
          <w:tblLayout w:type="fixed"/>
          <w:tblCellMar>
            <w:top w:w="0" w:type="dxa"/>
            <w:left w:w="108" w:type="dxa"/>
            <w:bottom w:w="0" w:type="dxa"/>
            <w:right w:w="108" w:type="dxa"/>
          </w:tblCellMar>
        </w:tblPrEx>
        <w:trPr>
          <w:trHeight w:val="87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2）平台具备业务处理模块，能够与各个业务相关的异构系统、应用以及数据源对接，能够无缝共享和交换数据。</w:t>
            </w:r>
          </w:p>
        </w:tc>
      </w:tr>
      <w:tr>
        <w:tblPrEx>
          <w:tblLayout w:type="fixed"/>
          <w:tblCellMar>
            <w:top w:w="0" w:type="dxa"/>
            <w:left w:w="108" w:type="dxa"/>
            <w:bottom w:w="0" w:type="dxa"/>
            <w:right w:w="108" w:type="dxa"/>
          </w:tblCellMar>
        </w:tblPrEx>
        <w:trPr>
          <w:trHeight w:val="416"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平台具备应用适配模块，为上层的物联网智慧应用提供统一、可靠、标准化的数据、连接和遥控服务，依靠规范的数据传输/交换协议，在接收到业务处理模块的上传数据，根据数据的业务类型及终端唯一序列号，将相应数据分发的所需的应用系统中，应用系统可以对数据进行逻辑处理并展示给用户查看、分析。同时可以接收各应用系统的遥控命令，根据终端的唯一序列号进行指令分发，实现对智能终端的远程控制。</w:t>
            </w:r>
          </w:p>
        </w:tc>
      </w:tr>
      <w:tr>
        <w:tblPrEx>
          <w:tblLayout w:type="fixed"/>
          <w:tblCellMar>
            <w:top w:w="0" w:type="dxa"/>
            <w:left w:w="108" w:type="dxa"/>
            <w:bottom w:w="0" w:type="dxa"/>
            <w:right w:w="108" w:type="dxa"/>
          </w:tblCellMar>
        </w:tblPrEx>
        <w:trPr>
          <w:trHeight w:val="840" w:hRule="atLeast"/>
        </w:trPr>
        <w:tc>
          <w:tcPr>
            <w:tcW w:w="221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门户管理系统</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1）支持一站式访问，用户可直接方便调用、访问门户系统下的功能模块、数据单元和应用资源。</w:t>
            </w:r>
          </w:p>
        </w:tc>
      </w:tr>
      <w:tr>
        <w:tblPrEx>
          <w:tblLayout w:type="fixed"/>
          <w:tblCellMar>
            <w:top w:w="0" w:type="dxa"/>
            <w:left w:w="108" w:type="dxa"/>
            <w:bottom w:w="0" w:type="dxa"/>
            <w:right w:w="108" w:type="dxa"/>
          </w:tblCellMar>
        </w:tblPrEx>
        <w:trPr>
          <w:trHeight w:val="93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2）支持数据层抽取整合，可直接从原分散资源系统中按用户需要分类抽取所需源数据，自动处理所有相关信息关系数据。</w:t>
            </w:r>
          </w:p>
        </w:tc>
      </w:tr>
      <w:tr>
        <w:tblPrEx>
          <w:tblLayout w:type="fixed"/>
          <w:tblCellMar>
            <w:top w:w="0" w:type="dxa"/>
            <w:left w:w="108" w:type="dxa"/>
            <w:bottom w:w="0" w:type="dxa"/>
            <w:right w:w="108" w:type="dxa"/>
          </w:tblCellMar>
        </w:tblPrEx>
        <w:trPr>
          <w:trHeight w:val="84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3）个性化用户界面：能针对每一个用户的特定的信息需要，定制出完全个性化的用户界面，直接阅读，处理个性化的信息内容。</w:t>
            </w:r>
          </w:p>
        </w:tc>
      </w:tr>
      <w:tr>
        <w:tblPrEx>
          <w:tblLayout w:type="fixed"/>
          <w:tblCellMar>
            <w:top w:w="0" w:type="dxa"/>
            <w:left w:w="108" w:type="dxa"/>
            <w:bottom w:w="0" w:type="dxa"/>
            <w:right w:w="108" w:type="dxa"/>
          </w:tblCellMar>
        </w:tblPrEx>
        <w:trPr>
          <w:trHeight w:val="78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4）支持多应用无缝集成，能够将已建的各独立的异构分散的应用系统在不破坏原系统的情况下，集成为共享级、提升级的统一应用系统。</w:t>
            </w:r>
          </w:p>
        </w:tc>
      </w:tr>
      <w:tr>
        <w:tblPrEx>
          <w:tblLayout w:type="fixed"/>
          <w:tblCellMar>
            <w:top w:w="0" w:type="dxa"/>
            <w:left w:w="108" w:type="dxa"/>
            <w:bottom w:w="0" w:type="dxa"/>
            <w:right w:w="108" w:type="dxa"/>
          </w:tblCellMar>
        </w:tblPrEx>
        <w:trPr>
          <w:trHeight w:val="495"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5）具备高度的可扩展性，能适应人员和部门的调整变化，满足业务调整和扩展的要求。</w:t>
            </w:r>
          </w:p>
        </w:tc>
      </w:tr>
      <w:tr>
        <w:tblPrEx>
          <w:tblLayout w:type="fixed"/>
          <w:tblCellMar>
            <w:top w:w="0" w:type="dxa"/>
            <w:left w:w="108" w:type="dxa"/>
            <w:bottom w:w="0" w:type="dxa"/>
            <w:right w:w="108" w:type="dxa"/>
          </w:tblCellMar>
        </w:tblPrEx>
        <w:trPr>
          <w:trHeight w:val="63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6）具备安全可靠的保障，能够通过安全机制保证数据的机密性及完整性，保障业务的正常运转。</w:t>
            </w:r>
          </w:p>
        </w:tc>
      </w:tr>
      <w:tr>
        <w:tblPrEx>
          <w:tblLayout w:type="fixed"/>
          <w:tblCellMar>
            <w:top w:w="0" w:type="dxa"/>
            <w:left w:w="108" w:type="dxa"/>
            <w:bottom w:w="0" w:type="dxa"/>
            <w:right w:w="108" w:type="dxa"/>
          </w:tblCellMar>
        </w:tblPrEx>
        <w:trPr>
          <w:trHeight w:val="93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7）支持基础信息管理，平台需提供对系统基础信息的管理功能，用于对平台系统的基础信息进行管理，包括，组织框架信息、用户账号信息、信息发布和网站维护等。</w:t>
            </w:r>
          </w:p>
        </w:tc>
      </w:tr>
      <w:tr>
        <w:tblPrEx>
          <w:tblLayout w:type="fixed"/>
          <w:tblCellMar>
            <w:top w:w="0" w:type="dxa"/>
            <w:left w:w="108" w:type="dxa"/>
            <w:bottom w:w="0" w:type="dxa"/>
            <w:right w:w="108" w:type="dxa"/>
          </w:tblCellMar>
        </w:tblPrEx>
        <w:trPr>
          <w:trHeight w:val="207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8）支持终端行业管理，平台能够提供对终端设备行业分类的管理功能。包括终端行业基本信息和终端行业分类。</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（1）终端行业基本信息，包括行业的名称、业务类型、用途、管理部门、附加信息描述。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（2）终端行业分类，能够根据终端行业的信息，添加终端设备的类型。</w:t>
            </w:r>
          </w:p>
        </w:tc>
      </w:tr>
      <w:tr>
        <w:tblPrEx>
          <w:tblLayout w:type="fixed"/>
          <w:tblCellMar>
            <w:top w:w="0" w:type="dxa"/>
            <w:left w:w="108" w:type="dxa"/>
            <w:bottom w:w="0" w:type="dxa"/>
            <w:right w:w="108" w:type="dxa"/>
          </w:tblCellMar>
        </w:tblPrEx>
        <w:trPr>
          <w:trHeight w:val="324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9）支持终端厂商管理，平台能够提供对终端厂商的基本信息和账户的管理功能，包括基本信息维护和账户及权限管理。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厂商信息维护，支持终端厂商的基本信息包括：终端厂商的名称、级别、网址、联系人、联系地址、固定联系电话、移动联系电话、传真号码、附加信息描述、开户行、开户行帐号、企业代码、状态、生效时间、失效时间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2）账户及权限管理，支持和终端厂商人员登录本平台所使用的账户管理，账户信息包括账户的名称、状态、登录次数、上次登录时间等信息。账户是终端厂商管理人员登录平台终端厂商服务门户的身份标识，一个终端厂商可包括多个账户，创建终端厂商时创建一个缺省的账户。 </w:t>
            </w:r>
          </w:p>
        </w:tc>
      </w:tr>
      <w:tr>
        <w:tblPrEx>
          <w:tblLayout w:type="fixed"/>
          <w:tblCellMar>
            <w:top w:w="0" w:type="dxa"/>
            <w:left w:w="108" w:type="dxa"/>
            <w:bottom w:w="0" w:type="dxa"/>
            <w:right w:w="108" w:type="dxa"/>
          </w:tblCellMar>
        </w:tblPrEx>
        <w:trPr>
          <w:trHeight w:val="423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10）支持和终端管理，平台能够提供对终端设备基本信息和状态的管理功能。包括终端基本信息和总管状态管理。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（1）终端基本信息管理，包括终端生产厂家、终端型号、终端序列号、终端注册状态（已注册、已注销）、物联网客户信息。终端生产厂家、终端型号、终端序列号等信息</w:t>
            </w:r>
          </w:p>
          <w:p>
            <w:pPr>
              <w:widowControl/>
              <w:rPr>
                <w:rFonts w:hint="eastAsia" w:ascii="宋体" w:hAnsi="宋体" w:cs="宋体"/>
                <w:color w:val="000000"/>
                <w:kern w:val="0"/>
                <w:sz w:val="22"/>
                <w:szCs w:val="22"/>
              </w:rPr>
            </w:pPr>
            <w:r>
              <w:rPr>
                <w:rFonts w:hint="eastAsia" w:ascii="宋体" w:hAnsi="宋体" w:cs="宋体"/>
                <w:color w:val="000000"/>
                <w:kern w:val="0"/>
                <w:sz w:val="22"/>
                <w:szCs w:val="22"/>
              </w:rPr>
              <w:t>（2）终端状态管理，终端的状态分为：工作状态、故障状态、退出状态、禁止状态等。终端通过平台的鉴权即进入工作状态，未通过鉴权就进入禁止状态，长时间不能提供业务判定为故障状态。终端通过平台的鉴权后，处于工作状态，可以向平台发送数据也可以接收信息；终端在工作过程中，定时向平台发送连接检查信息，内容包括位置信息、信号强度、运行情况、通信方式等信息，平台接收后向终端回送连接检查响应。平台向应用平台提供终端状态查询的接口。</w:t>
            </w:r>
          </w:p>
        </w:tc>
      </w:tr>
      <w:tr>
        <w:tblPrEx>
          <w:tblLayout w:type="fixed"/>
          <w:tblCellMar>
            <w:top w:w="0" w:type="dxa"/>
            <w:left w:w="108" w:type="dxa"/>
            <w:bottom w:w="0" w:type="dxa"/>
            <w:right w:w="108" w:type="dxa"/>
          </w:tblCellMar>
        </w:tblPrEx>
        <w:trPr>
          <w:trHeight w:val="1305"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w:t>
            </w:r>
            <w:r>
              <w:rPr>
                <w:rFonts w:ascii="宋体" w:hAnsi="宋体" w:cs="宋体"/>
                <w:color w:val="000000"/>
                <w:kern w:val="0"/>
                <w:sz w:val="22"/>
                <w:szCs w:val="22"/>
              </w:rPr>
              <w:t>1</w:t>
            </w:r>
            <w:r>
              <w:rPr>
                <w:rFonts w:hint="eastAsia" w:ascii="宋体" w:hAnsi="宋体" w:cs="宋体"/>
                <w:color w:val="000000"/>
                <w:kern w:val="0"/>
                <w:sz w:val="22"/>
                <w:szCs w:val="22"/>
              </w:rPr>
              <w:t>）支持终端配置，支持将传感网络层和传输网络层的中间设备，通过平台的转换和采集，将各种外部感知数据汇集和处理，并将数据通过各种网络接口方式传输到互联网中。</w:t>
            </w:r>
          </w:p>
        </w:tc>
      </w:tr>
      <w:tr>
        <w:tblPrEx>
          <w:tblLayout w:type="fixed"/>
          <w:tblCellMar>
            <w:top w:w="0" w:type="dxa"/>
            <w:left w:w="108" w:type="dxa"/>
            <w:bottom w:w="0" w:type="dxa"/>
            <w:right w:w="108" w:type="dxa"/>
          </w:tblCellMar>
        </w:tblPrEx>
        <w:trPr>
          <w:trHeight w:val="156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w:t>
            </w:r>
            <w:r>
              <w:rPr>
                <w:rFonts w:ascii="宋体" w:hAnsi="宋体" w:cs="宋体"/>
                <w:color w:val="000000"/>
                <w:kern w:val="0"/>
                <w:sz w:val="22"/>
                <w:szCs w:val="22"/>
              </w:rPr>
              <w:t>2</w:t>
            </w:r>
            <w:r>
              <w:rPr>
                <w:rFonts w:hint="eastAsia" w:ascii="宋体" w:hAnsi="宋体" w:cs="宋体"/>
                <w:color w:val="000000"/>
                <w:kern w:val="0"/>
                <w:sz w:val="22"/>
                <w:szCs w:val="22"/>
              </w:rPr>
              <w:t>）支持接入管理，能够根据物联网终端所支持的通信链路进行接入配置。在平台中，可将接入点类型分为无线网络接入、公网接入、VPN接入和其它专线接入几种类型，进行参数配置，配置完成后可在线进行链路连通性测试。</w:t>
            </w:r>
          </w:p>
        </w:tc>
      </w:tr>
      <w:tr>
        <w:tblPrEx>
          <w:tblLayout w:type="fixed"/>
          <w:tblCellMar>
            <w:top w:w="0" w:type="dxa"/>
            <w:left w:w="108" w:type="dxa"/>
            <w:bottom w:w="0" w:type="dxa"/>
            <w:right w:w="108" w:type="dxa"/>
          </w:tblCellMar>
        </w:tblPrEx>
        <w:trPr>
          <w:trHeight w:val="141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w:t>
            </w:r>
            <w:r>
              <w:rPr>
                <w:rFonts w:ascii="宋体" w:hAnsi="宋体" w:cs="宋体"/>
                <w:color w:val="000000"/>
                <w:kern w:val="0"/>
                <w:sz w:val="22"/>
                <w:szCs w:val="22"/>
              </w:rPr>
              <w:t>3</w:t>
            </w:r>
            <w:r>
              <w:rPr>
                <w:rFonts w:hint="eastAsia" w:ascii="宋体" w:hAnsi="宋体" w:cs="宋体"/>
                <w:color w:val="000000"/>
                <w:kern w:val="0"/>
                <w:sz w:val="22"/>
                <w:szCs w:val="22"/>
              </w:rPr>
              <w:t>）支持业务管理，支持监测型应用和监控类应用，包括监测数据、二进制数据和流媒体数据等，因此需要根据业务特点配置物联网终端的传输数据包格式，业务配置完成后可实时在线获取数据以验证数据的合法性和正确性。</w:t>
            </w:r>
          </w:p>
        </w:tc>
      </w:tr>
      <w:tr>
        <w:tblPrEx>
          <w:tblLayout w:type="fixed"/>
          <w:tblCellMar>
            <w:top w:w="0" w:type="dxa"/>
            <w:left w:w="108" w:type="dxa"/>
            <w:bottom w:w="0" w:type="dxa"/>
            <w:right w:w="108" w:type="dxa"/>
          </w:tblCellMar>
        </w:tblPrEx>
        <w:trPr>
          <w:trHeight w:val="558"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w:t>
            </w:r>
            <w:r>
              <w:rPr>
                <w:rFonts w:ascii="宋体" w:hAnsi="宋体" w:cs="宋体"/>
                <w:color w:val="000000"/>
                <w:kern w:val="0"/>
                <w:sz w:val="22"/>
                <w:szCs w:val="22"/>
              </w:rPr>
              <w:t>4</w:t>
            </w:r>
            <w:r>
              <w:rPr>
                <w:rFonts w:hint="eastAsia" w:ascii="宋体" w:hAnsi="宋体" w:cs="宋体"/>
                <w:color w:val="000000"/>
                <w:kern w:val="0"/>
                <w:sz w:val="22"/>
                <w:szCs w:val="22"/>
              </w:rPr>
              <w:t>）支持应用管理，应用管理子系统对接入的应用平台进行管理，包括：应用平台接入信息管理、应用平台权限管理和应用平台故障管理。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（1）应用平台接入信息包，包括应用平台类型（第三方应用平台、自有业务应用平台）、应用平台接入状态（允许接入、禁止 ）、应用平台设备代码、接入密码、业务代码、应用平台维护人员联系信息（联系电话、接收短信的手机号、Email地址）。应用平台的接入信息由管理员进行添加、修改。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（2）应用平台权限管理，应用平台接入应用管理子系统可调用的接口操作，管理员通过操作界面根据应用平台的需要为应用平台分配权限。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应用平台故障管理，检测到应用平台出现故障时，能够将异常信息保存在平台，将异常信息通过手机短信或Email的方式及时告知应用平台的维护人员。管理员通过平台提供的操作界面查询应用平台的故障详细信息。</w:t>
            </w:r>
          </w:p>
        </w:tc>
      </w:tr>
      <w:tr>
        <w:tblPrEx>
          <w:tblLayout w:type="fixed"/>
          <w:tblCellMar>
            <w:top w:w="0" w:type="dxa"/>
            <w:left w:w="108" w:type="dxa"/>
            <w:bottom w:w="0" w:type="dxa"/>
            <w:right w:w="108" w:type="dxa"/>
          </w:tblCellMar>
        </w:tblPrEx>
        <w:trPr>
          <w:trHeight w:val="1410" w:hRule="atLeast"/>
        </w:trPr>
        <w:tc>
          <w:tcPr>
            <w:tcW w:w="221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数据管理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1）支持系统级数据管理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（1）数据元管理：能够对数据元的管理，包括建立、变更、版本控制等。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（2）数据库监控与维护：提供对关键数据库状态的分析监控功能，利用多种发布渠道在事件发生时及时向系统管理员发出警告信息</w:t>
            </w:r>
          </w:p>
        </w:tc>
      </w:tr>
      <w:tr>
        <w:tblPrEx>
          <w:tblLayout w:type="fixed"/>
          <w:tblCellMar>
            <w:top w:w="0" w:type="dxa"/>
            <w:left w:w="108" w:type="dxa"/>
            <w:bottom w:w="0" w:type="dxa"/>
            <w:right w:w="108" w:type="dxa"/>
          </w:tblCellMar>
        </w:tblPrEx>
        <w:trPr>
          <w:trHeight w:val="2055"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 xml:space="preserve">2）支持业务级数据管理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（1）数据清理：可快速清理无用的业务信息与垃圾数据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数据检查与调整：根据系统定义的错误排查策略或依据用户指定的条件范围检索出发生错误的数据，并使用户在此范围内对数据进行相应的调整。用户调整的数据范围和内容必须在应用系统允许的规则范围内，这一约束应通过应用级配置实现，以保障数据调整的合法性和正确性。</w:t>
            </w:r>
          </w:p>
        </w:tc>
      </w:tr>
      <w:tr>
        <w:tblPrEx>
          <w:tblLayout w:type="fixed"/>
          <w:tblCellMar>
            <w:top w:w="0" w:type="dxa"/>
            <w:left w:w="108" w:type="dxa"/>
            <w:bottom w:w="0" w:type="dxa"/>
            <w:right w:w="108" w:type="dxa"/>
          </w:tblCellMar>
        </w:tblPrEx>
        <w:trPr>
          <w:trHeight w:val="117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3）支持数据分析，平台提供统计报表功能。通过联机分析、专业分析和网络数据查询检索(Query)系统等各种辅助决策工具，实现数据分析与共享系统，从中提炼知识，为决策提供充足的信息支持。</w:t>
            </w:r>
          </w:p>
        </w:tc>
      </w:tr>
      <w:tr>
        <w:tblPrEx>
          <w:tblLayout w:type="fixed"/>
          <w:tblCellMar>
            <w:top w:w="0" w:type="dxa"/>
            <w:left w:w="108" w:type="dxa"/>
            <w:bottom w:w="0" w:type="dxa"/>
            <w:right w:w="108" w:type="dxa"/>
          </w:tblCellMar>
        </w:tblPrEx>
        <w:trPr>
          <w:trHeight w:val="1140" w:hRule="atLeast"/>
        </w:trPr>
        <w:tc>
          <w:tcPr>
            <w:tcW w:w="22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ascii="宋体" w:hAnsi="宋体" w:cs="宋体"/>
                <w:color w:val="000000"/>
                <w:kern w:val="0"/>
                <w:sz w:val="22"/>
                <w:szCs w:val="22"/>
              </w:rPr>
            </w:pPr>
            <w:r>
              <w:rPr>
                <w:rFonts w:ascii="宋体" w:hAnsi="宋体" w:cs="宋体"/>
                <w:color w:val="000000"/>
                <w:kern w:val="0"/>
                <w:sz w:val="22"/>
                <w:szCs w:val="22"/>
              </w:rPr>
              <w:t>4</w:t>
            </w:r>
            <w:r>
              <w:rPr>
                <w:rFonts w:hint="eastAsia" w:ascii="宋体" w:hAnsi="宋体" w:cs="宋体"/>
                <w:color w:val="000000"/>
                <w:kern w:val="0"/>
                <w:sz w:val="22"/>
                <w:szCs w:val="22"/>
              </w:rPr>
              <w:t>）支持报表功能</w:t>
            </w:r>
          </w:p>
          <w:p>
            <w:pPr>
              <w:widowControl/>
              <w:rPr>
                <w:rFonts w:ascii="宋体" w:hAnsi="宋体" w:cs="宋体"/>
                <w:color w:val="000000"/>
                <w:kern w:val="0"/>
                <w:sz w:val="22"/>
                <w:szCs w:val="22"/>
              </w:rPr>
            </w:pPr>
            <w:r>
              <w:rPr>
                <w:rFonts w:hint="eastAsia" w:ascii="宋体" w:hAnsi="宋体" w:cs="宋体"/>
                <w:color w:val="000000"/>
                <w:kern w:val="0"/>
                <w:sz w:val="22"/>
                <w:szCs w:val="22"/>
              </w:rPr>
              <w:t>（1）针对各业务的单独的报表系统，只能由业务的所属部门或管理员查询，关注的是本业务的运营情况。</w:t>
            </w:r>
          </w:p>
          <w:p>
            <w:pPr>
              <w:widowControl/>
              <w:rPr>
                <w:rFonts w:hint="eastAsia" w:ascii="宋体" w:hAnsi="宋体" w:cs="宋体"/>
                <w:color w:val="000000"/>
                <w:kern w:val="0"/>
                <w:sz w:val="22"/>
                <w:szCs w:val="22"/>
              </w:rPr>
            </w:pPr>
            <w:r>
              <w:rPr>
                <w:rFonts w:hint="eastAsia" w:ascii="宋体" w:hAnsi="宋体" w:cs="宋体"/>
                <w:color w:val="000000"/>
                <w:kern w:val="0"/>
                <w:sz w:val="22"/>
                <w:szCs w:val="22"/>
              </w:rPr>
              <w:t>（2）针对所有业务统一抽取的平台运营分析报表，对平台所有业务进行运营分析，可以使管理者对平台的运营状况有总体的认识和了解，为决策提供数据依据。</w:t>
            </w:r>
          </w:p>
        </w:tc>
      </w:tr>
      <w:tr>
        <w:tblPrEx>
          <w:tblLayout w:type="fixed"/>
          <w:tblCellMar>
            <w:top w:w="0" w:type="dxa"/>
            <w:left w:w="108" w:type="dxa"/>
            <w:bottom w:w="0" w:type="dxa"/>
            <w:right w:w="108" w:type="dxa"/>
          </w:tblCellMar>
        </w:tblPrEx>
        <w:trPr>
          <w:trHeight w:val="70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数据采集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1）★平台可根据录入的物联网设备的IP、端口、环境配置等信息实现采集程序在对应服务器上的自动数据采集，要求提供系统功能截图和相关说明。</w:t>
            </w:r>
          </w:p>
        </w:tc>
      </w:tr>
      <w:tr>
        <w:tblPrEx>
          <w:tblLayout w:type="fixed"/>
          <w:tblCellMar>
            <w:top w:w="0" w:type="dxa"/>
            <w:left w:w="108" w:type="dxa"/>
            <w:bottom w:w="0" w:type="dxa"/>
            <w:right w:w="108" w:type="dxa"/>
          </w:tblCellMar>
        </w:tblPrEx>
        <w:trPr>
          <w:trHeight w:val="75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2）提供可视化界面进行modbus协议数据采集配置,可配置定时采集多主站多从站数据，配置信息包括主站IP，端口，从站号，所读寄存器等</w:t>
            </w:r>
          </w:p>
        </w:tc>
      </w:tr>
      <w:tr>
        <w:tblPrEx>
          <w:tblLayout w:type="fixed"/>
          <w:tblCellMar>
            <w:top w:w="0" w:type="dxa"/>
            <w:left w:w="108" w:type="dxa"/>
            <w:bottom w:w="0" w:type="dxa"/>
            <w:right w:w="108" w:type="dxa"/>
          </w:tblCellMar>
        </w:tblPrEx>
        <w:trPr>
          <w:trHeight w:val="416"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3）平台可根据不同数据类型对设备采集数据进行管理，并通过灵活配置提供原始数据所有字段信息，以及采集值的查看等，支持采集数据批量导出的功能，方便维护人员保存采集信息。</w:t>
            </w:r>
          </w:p>
        </w:tc>
      </w:tr>
      <w:tr>
        <w:tblPrEx>
          <w:tblLayout w:type="fixed"/>
          <w:tblCellMar>
            <w:top w:w="0" w:type="dxa"/>
            <w:left w:w="108" w:type="dxa"/>
            <w:bottom w:w="0" w:type="dxa"/>
            <w:right w:w="108" w:type="dxa"/>
          </w:tblCellMar>
        </w:tblPrEx>
        <w:trPr>
          <w:trHeight w:val="85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4）根据不同项目创建对应的承载物、部件、设备的元数据，并且可根据需求灵活匹配对应类型的元数据配置，根据需要配置设备所需的采集项。</w:t>
            </w:r>
          </w:p>
        </w:tc>
      </w:tr>
      <w:tr>
        <w:tblPrEx>
          <w:tblLayout w:type="fixed"/>
          <w:tblCellMar>
            <w:top w:w="0" w:type="dxa"/>
            <w:left w:w="108" w:type="dxa"/>
            <w:bottom w:w="0" w:type="dxa"/>
            <w:right w:w="108" w:type="dxa"/>
          </w:tblCellMar>
        </w:tblPrEx>
        <w:trPr>
          <w:trHeight w:val="88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5）平台可以为不同项目的设备配置所需数据类型的采集项，采集项配置好，对应的采集数据会以键值对的方式在数据管理中展示</w:t>
            </w:r>
          </w:p>
        </w:tc>
      </w:tr>
      <w:tr>
        <w:tblPrEx>
          <w:tblLayout w:type="fixed"/>
          <w:tblCellMar>
            <w:top w:w="0" w:type="dxa"/>
            <w:left w:w="108" w:type="dxa"/>
            <w:bottom w:w="0" w:type="dxa"/>
            <w:right w:w="108" w:type="dxa"/>
          </w:tblCellMar>
        </w:tblPrEx>
        <w:trPr>
          <w:trHeight w:val="40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设备管理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1）★支持网关设备接入，网关统一管理以及控制设备，包含统一接受网关设备数据。</w:t>
            </w:r>
          </w:p>
        </w:tc>
      </w:tr>
      <w:tr>
        <w:tblPrEx>
          <w:tblLayout w:type="fixed"/>
          <w:tblCellMar>
            <w:top w:w="0" w:type="dxa"/>
            <w:left w:w="108" w:type="dxa"/>
            <w:bottom w:w="0" w:type="dxa"/>
            <w:right w:w="108" w:type="dxa"/>
          </w:tblCellMar>
        </w:tblPrEx>
        <w:trPr>
          <w:trHeight w:val="87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2）支持承载物信息，包括承载物所属项目、所属部门、承载物类型、编码、名称等。支持增加、删除、修改、模糊查询、导入、导出、批量删除、维护、运维等功能。</w:t>
            </w:r>
          </w:p>
        </w:tc>
      </w:tr>
      <w:tr>
        <w:tblPrEx>
          <w:tblLayout w:type="fixed"/>
          <w:tblCellMar>
            <w:top w:w="0" w:type="dxa"/>
            <w:left w:w="108" w:type="dxa"/>
            <w:bottom w:w="0" w:type="dxa"/>
            <w:right w:w="108" w:type="dxa"/>
          </w:tblCellMar>
        </w:tblPrEx>
        <w:trPr>
          <w:trHeight w:val="108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承载物部件的定义为平台监控校园内各部件，包括部件的名称、所属项目、所属承载物、创建日期等信息，根据用户的需求可灵活配置不同的元数据，支持增加、删除、修改、模糊查询、导入、导出、批量删除、维护、运维等功能。</w:t>
            </w:r>
          </w:p>
        </w:tc>
      </w:tr>
      <w:tr>
        <w:tblPrEx>
          <w:tblLayout w:type="fixed"/>
          <w:tblCellMar>
            <w:top w:w="0" w:type="dxa"/>
            <w:left w:w="108" w:type="dxa"/>
            <w:bottom w:w="0" w:type="dxa"/>
            <w:right w:w="108" w:type="dxa"/>
          </w:tblCellMar>
        </w:tblPrEx>
        <w:trPr>
          <w:trHeight w:val="87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4）支持对平台所有的传感器设备进行管理，并可通过事先设定的模板进行批量导入传感器，也可将查询条件的列表导出Excel表格。</w:t>
            </w:r>
          </w:p>
        </w:tc>
      </w:tr>
      <w:tr>
        <w:tblPrEx>
          <w:tblLayout w:type="fixed"/>
          <w:tblCellMar>
            <w:top w:w="0" w:type="dxa"/>
            <w:left w:w="108" w:type="dxa"/>
            <w:bottom w:w="0" w:type="dxa"/>
            <w:right w:w="108" w:type="dxa"/>
          </w:tblCellMar>
        </w:tblPrEx>
        <w:trPr>
          <w:trHeight w:val="8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5）支持平台提供对承载物、部件、设备的维护信息进行查询的功能，可以查看所维护类型的维护时间、维护原因、维护联系人、维护联系电话等，方便维护信息的管理。</w:t>
            </w:r>
          </w:p>
        </w:tc>
      </w:tr>
      <w:tr>
        <w:tblPrEx>
          <w:tblLayout w:type="fixed"/>
          <w:tblCellMar>
            <w:top w:w="0" w:type="dxa"/>
            <w:left w:w="108" w:type="dxa"/>
            <w:bottom w:w="0" w:type="dxa"/>
            <w:right w:w="108" w:type="dxa"/>
          </w:tblCellMar>
        </w:tblPrEx>
        <w:trPr>
          <w:trHeight w:val="8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6）可查看当前租户界面下所包含的所有设备厂商数据，可以进行编辑和删除等操作，所有查询操作均支撑模糊查询。</w:t>
            </w:r>
          </w:p>
        </w:tc>
      </w:tr>
      <w:tr>
        <w:tblPrEx>
          <w:tblLayout w:type="fixed"/>
          <w:tblCellMar>
            <w:top w:w="0" w:type="dxa"/>
            <w:left w:w="108" w:type="dxa"/>
            <w:bottom w:w="0" w:type="dxa"/>
            <w:right w:w="108" w:type="dxa"/>
          </w:tblCellMar>
        </w:tblPrEx>
        <w:trPr>
          <w:trHeight w:val="88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7）平台具备设备授权的方式以及设备授权码的方式保障接收的设备数据的安全性以及合法性，要求提供系统功能截图和相关说明。</w:t>
            </w:r>
          </w:p>
        </w:tc>
      </w:tr>
      <w:tr>
        <w:tblPrEx>
          <w:tblLayout w:type="fixed"/>
          <w:tblCellMar>
            <w:top w:w="0" w:type="dxa"/>
            <w:left w:w="108" w:type="dxa"/>
            <w:bottom w:w="0" w:type="dxa"/>
            <w:right w:w="108" w:type="dxa"/>
          </w:tblCellMar>
        </w:tblPrEx>
        <w:trPr>
          <w:trHeight w:val="87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8）平台安全防范可以对各类数据类型中未授权的数据进行查询，显示设备id，原地址、设备来源、数据方向、状态等信息。</w:t>
            </w:r>
          </w:p>
        </w:tc>
      </w:tr>
      <w:tr>
        <w:tblPrEx>
          <w:tblLayout w:type="fixed"/>
          <w:tblCellMar>
            <w:top w:w="0" w:type="dxa"/>
            <w:left w:w="108" w:type="dxa"/>
            <w:bottom w:w="0" w:type="dxa"/>
            <w:right w:w="108" w:type="dxa"/>
          </w:tblCellMar>
        </w:tblPrEx>
        <w:trPr>
          <w:trHeight w:val="51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9）可以提供对承载物、部件、设备信息的管理。</w:t>
            </w:r>
          </w:p>
        </w:tc>
      </w:tr>
      <w:tr>
        <w:tblPrEx>
          <w:tblLayout w:type="fixed"/>
          <w:tblCellMar>
            <w:top w:w="0" w:type="dxa"/>
            <w:left w:w="108" w:type="dxa"/>
            <w:bottom w:w="0" w:type="dxa"/>
            <w:right w:w="108" w:type="dxa"/>
          </w:tblCellMar>
        </w:tblPrEx>
        <w:trPr>
          <w:trHeight w:val="630"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数据分发</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1）★支持不同项目、不同数据类型配置相应的告警/数据模板，模板支持短信、邮件等推送方式，并可根据数据项灵活配置模板信息，要求提供系统功能截图和相关说明。</w:t>
            </w:r>
          </w:p>
        </w:tc>
      </w:tr>
      <w:tr>
        <w:tblPrEx>
          <w:tblLayout w:type="fixed"/>
          <w:tblCellMar>
            <w:top w:w="0" w:type="dxa"/>
            <w:left w:w="108" w:type="dxa"/>
            <w:bottom w:w="0" w:type="dxa"/>
            <w:right w:w="108" w:type="dxa"/>
          </w:tblCellMar>
        </w:tblPrEx>
        <w:trPr>
          <w:trHeight w:val="63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2）基于HTTP的提醒能力，提醒终端需要按照平台规范开发，并可在推送日志可以查询到推送的反馈结果。</w:t>
            </w:r>
          </w:p>
        </w:tc>
      </w:tr>
      <w:tr>
        <w:tblPrEx>
          <w:tblLayout w:type="fixed"/>
          <w:tblCellMar>
            <w:top w:w="0" w:type="dxa"/>
            <w:left w:w="108" w:type="dxa"/>
            <w:bottom w:w="0" w:type="dxa"/>
            <w:right w:w="108" w:type="dxa"/>
          </w:tblCellMar>
        </w:tblPrEx>
        <w:trPr>
          <w:trHeight w:val="63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3）根据需要进行邮件分发的项目、推送类型、推送次数、推送状态的配置来进行邮件数据的分发，分发后再推送日志可以进行查看</w:t>
            </w:r>
          </w:p>
        </w:tc>
      </w:tr>
      <w:tr>
        <w:tblPrEx>
          <w:tblLayout w:type="fixed"/>
          <w:tblCellMar>
            <w:top w:w="0" w:type="dxa"/>
            <w:left w:w="108" w:type="dxa"/>
            <w:bottom w:w="0" w:type="dxa"/>
            <w:right w:w="108" w:type="dxa"/>
          </w:tblCellMar>
        </w:tblPrEx>
        <w:trPr>
          <w:trHeight w:val="63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4）集成通用短信网关，基于异步消息机制的高性能短信推送服务。</w:t>
            </w:r>
          </w:p>
        </w:tc>
      </w:tr>
      <w:tr>
        <w:tblPrEx>
          <w:tblLayout w:type="fixed"/>
          <w:tblCellMar>
            <w:top w:w="0" w:type="dxa"/>
            <w:left w:w="108" w:type="dxa"/>
            <w:bottom w:w="0" w:type="dxa"/>
            <w:right w:w="108" w:type="dxa"/>
          </w:tblCellMar>
        </w:tblPrEx>
        <w:trPr>
          <w:trHeight w:val="63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5）支持基于高性能GRPC协议和Protobuf协议的提醒能力，实现高性能推送，提醒终端需按照平台规范开发，并可在推送日志中检测推送数据。</w:t>
            </w:r>
          </w:p>
        </w:tc>
      </w:tr>
      <w:tr>
        <w:tblPrEx>
          <w:tblLayout w:type="fixed"/>
          <w:tblCellMar>
            <w:top w:w="0" w:type="dxa"/>
            <w:left w:w="108" w:type="dxa"/>
            <w:bottom w:w="0" w:type="dxa"/>
            <w:right w:w="108" w:type="dxa"/>
          </w:tblCellMar>
        </w:tblPrEx>
        <w:trPr>
          <w:trHeight w:val="91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告警管理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1）★支持设备采集上来的数据满足告警规则后产生的告警数据，同时可以查看告警日志和告警数据，同时可以对告警数据进行单个或批量取消的操作。</w:t>
            </w:r>
          </w:p>
        </w:tc>
      </w:tr>
      <w:tr>
        <w:tblPrEx>
          <w:tblLayout w:type="fixed"/>
          <w:tblCellMar>
            <w:top w:w="0" w:type="dxa"/>
            <w:left w:w="108" w:type="dxa"/>
            <w:bottom w:w="0" w:type="dxa"/>
            <w:right w:w="108" w:type="dxa"/>
          </w:tblCellMar>
        </w:tblPrEx>
        <w:trPr>
          <w:trHeight w:val="9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2）★平台可根据不同项目的设备类型创建需要的告警类型，并在告警规则中配置好，在数据分发中推送设置好的告警类型，也以不同的告警类型为不同维度进行数据分析展示。</w:t>
            </w:r>
          </w:p>
        </w:tc>
      </w:tr>
      <w:tr>
        <w:tblPrEx>
          <w:tblLayout w:type="fixed"/>
          <w:tblCellMar>
            <w:top w:w="0" w:type="dxa"/>
            <w:left w:w="108" w:type="dxa"/>
            <w:bottom w:w="0" w:type="dxa"/>
            <w:right w:w="108" w:type="dxa"/>
          </w:tblCellMar>
        </w:tblPrEx>
        <w:trPr>
          <w:trHeight w:val="9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3）支持根据业务需求配置所需的告警级别、告警公式、数据模板，对设备告警实现快速响应并及时处理的引擎机制，要求提供系统功能截图和相关说明。</w:t>
            </w:r>
          </w:p>
        </w:tc>
      </w:tr>
      <w:tr>
        <w:tblPrEx>
          <w:tblLayout w:type="fixed"/>
          <w:tblCellMar>
            <w:top w:w="0" w:type="dxa"/>
            <w:left w:w="108" w:type="dxa"/>
            <w:bottom w:w="0" w:type="dxa"/>
            <w:right w:w="108" w:type="dxa"/>
          </w:tblCellMar>
        </w:tblPrEx>
        <w:trPr>
          <w:trHeight w:val="9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4）支持根据业务需求配置所需的设备id、发送指令、指令类型，对设备指令实现设备的常规控制也可自行定义指令集完成对于设备比较复杂的控制内容（指令可通过常用指令模块进行配置修改）。</w:t>
            </w:r>
          </w:p>
        </w:tc>
      </w:tr>
      <w:tr>
        <w:tblPrEx>
          <w:tblLayout w:type="fixed"/>
          <w:tblCellMar>
            <w:top w:w="0" w:type="dxa"/>
            <w:left w:w="108" w:type="dxa"/>
            <w:bottom w:w="0" w:type="dxa"/>
            <w:right w:w="108" w:type="dxa"/>
          </w:tblCellMar>
        </w:tblPrEx>
        <w:trPr>
          <w:trHeight w:val="64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能力开放</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1）支持根据平台提供的不同能力申请创建应用，根据服务的认证方式，进行接口地址访问，要求提供系统功能截图和相关说明。</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2）★平台可将数据封装成标准化的API接口，对外提供能力支撑。要求提供标准的api文档等证明文件。</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3）★平台可定时监控平台能力API的运行状态情况。要求提供标准的api文档等证明文件。</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4）支持管理与平台有交互的第三方平台的接口。要求提供标准的api文档等证明文件。</w:t>
            </w:r>
          </w:p>
        </w:tc>
      </w:tr>
      <w:tr>
        <w:tblPrEx>
          <w:tblLayout w:type="fixed"/>
          <w:tblCellMar>
            <w:top w:w="0" w:type="dxa"/>
            <w:left w:w="108" w:type="dxa"/>
            <w:bottom w:w="0" w:type="dxa"/>
            <w:right w:w="108" w:type="dxa"/>
          </w:tblCellMar>
        </w:tblPrEx>
        <w:trPr>
          <w:trHeight w:val="64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日志管理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1）对于平台启动，停用以及重启的采集服务，产生的操作日志包含操作时间操作类型操作人等具体信息。</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2）记录平台下用户对与账号的登录、登出、注册以及修改密码 的操作记录，主要包含了登录IP，登陆次数以及登录时间。</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3）支持已录入平台的承载物、部件以及设备的维护记录，主要包含了维护对象ID以及维护时间。</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4）支持记录平台录入的设备告警状态（产生告警、告警关闭、处理完成、告警关闭）的相应信息，详情内容主要包含设备数据、告警以及项目基础信息。</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5）支持记录平台调用第三方接口时，产生的调用记录，主要包含请求响应参数。</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6）支持记录调用kong的记录，如访问平台kong的aep 接口，就会在日志中插入一条能力日志。</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7）支持记录平台通过各种渠道推送相应数据的日志记录，推送渠道包括短信推送、邮件推送、grpc推送、webhook推送，包含设备数据、告警以及项目基础信息。</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8）支持记录用户对通用使能平台管理模块的相应操作记录内容，包括对各个模块的相应操作记录。</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9）支持针对于设备传输数据的日志记录</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 xml:space="preserve">10）支持反向控制设备时的操作日志，包含操作时间，失效时间，设备id，指令内容等。记录所有指令下发的操作。 </w:t>
            </w:r>
          </w:p>
        </w:tc>
      </w:tr>
      <w:tr>
        <w:tblPrEx>
          <w:tblLayout w:type="fixed"/>
          <w:tblCellMar>
            <w:top w:w="0" w:type="dxa"/>
            <w:left w:w="108" w:type="dxa"/>
            <w:bottom w:w="0" w:type="dxa"/>
            <w:right w:w="108" w:type="dxa"/>
          </w:tblCellMar>
        </w:tblPrEx>
        <w:trPr>
          <w:trHeight w:val="64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11）支持告警的设备通过平台或者app进行下派以及进行处理的相关日志，主要包含下派时间、处理人以及处理时间。</w:t>
            </w:r>
          </w:p>
        </w:tc>
      </w:tr>
      <w:tr>
        <w:tblPrEx>
          <w:tblLayout w:type="fixed"/>
          <w:tblCellMar>
            <w:top w:w="0" w:type="dxa"/>
            <w:left w:w="108" w:type="dxa"/>
            <w:bottom w:w="0" w:type="dxa"/>
            <w:right w:w="108" w:type="dxa"/>
          </w:tblCellMar>
        </w:tblPrEx>
        <w:trPr>
          <w:trHeight w:val="232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12）支持操作日志，提供公共的API接口来实现日志的记录和查询功能，操作日志内容包括：</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（1）记录操作类型、对象、动作时间、结果、用户信息等各业务要素；</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（2）提供操作日志的查询、统计、打印功能，支持以各业务要素作为查询条件、分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类条件、排序条件和统计维度；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（3）对操作日志的查询、统计、打印等操作提供严格的访问控制；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（4）操作日志的统计报表可作为操作人员工作情况的考核依据和领导决策的依据；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（5）操作人员可以检查与自己相关的操作日志，并可以由操作人员的上级或系统管理员进行核查。</w:t>
            </w:r>
          </w:p>
        </w:tc>
      </w:tr>
      <w:tr>
        <w:tblPrEx>
          <w:tblLayout w:type="fixed"/>
          <w:tblCellMar>
            <w:top w:w="0" w:type="dxa"/>
            <w:left w:w="108" w:type="dxa"/>
            <w:bottom w:w="0" w:type="dxa"/>
            <w:right w:w="108" w:type="dxa"/>
          </w:tblCellMar>
        </w:tblPrEx>
        <w:trPr>
          <w:trHeight w:val="183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13）支持系统日志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对系统日志分等级处理，支持动态的调整需要记录的等级，具体内容包括：</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（1）DEBUG级别：详细的记录程序的调试信息。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（2）INFO级别：详细的记录系统启动时的信息以及一些重要属性的加载信息。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（3）ERROR级别：详细的描述程序的出错信息和程序中捕获到的违例信息。</w:t>
            </w:r>
          </w:p>
        </w:tc>
      </w:tr>
      <w:tr>
        <w:tblPrEx>
          <w:tblLayout w:type="fixed"/>
          <w:tblCellMar>
            <w:top w:w="0" w:type="dxa"/>
            <w:left w:w="108" w:type="dxa"/>
            <w:bottom w:w="0" w:type="dxa"/>
            <w:right w:w="108" w:type="dxa"/>
          </w:tblCellMar>
        </w:tblPrEx>
        <w:trPr>
          <w:trHeight w:val="81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14）支持联动策略，当系统产生了报警或其他事件时，可以在此模块中设置需要控制联动的设备或人员。不同的设备通过物联网业务支撑平台粘合，形成一个有机的整体，提供自动、及时、准确的服务。</w:t>
            </w:r>
          </w:p>
        </w:tc>
      </w:tr>
      <w:tr>
        <w:tblPrEx>
          <w:tblLayout w:type="fixed"/>
          <w:tblCellMar>
            <w:top w:w="0" w:type="dxa"/>
            <w:left w:w="108" w:type="dxa"/>
            <w:bottom w:w="0" w:type="dxa"/>
            <w:right w:w="108" w:type="dxa"/>
          </w:tblCellMar>
        </w:tblPrEx>
        <w:trPr>
          <w:trHeight w:val="81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15）支持脚本服务，实现动态灵活的设置系统操作或向终端设备发送控制指令。脚本语法需至少支持JavaScript语法。在脚本中还应该提供各种系统变量，以满足各种脚本需求。</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16)支持日程管理，日程管理为系统提供各种有规律的定时操作，提高系统的自动化管理水平。</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17）支持数据备份，数据定时压缩备份降低硬盘的使用容量，并可在需要时对备份的数据进行无损还原。</w:t>
            </w:r>
          </w:p>
        </w:tc>
      </w:tr>
      <w:tr>
        <w:tblPrEx>
          <w:tblLayout w:type="fixed"/>
          <w:tblCellMar>
            <w:top w:w="0" w:type="dxa"/>
            <w:left w:w="108" w:type="dxa"/>
            <w:bottom w:w="0" w:type="dxa"/>
            <w:right w:w="108" w:type="dxa"/>
          </w:tblCellMar>
        </w:tblPrEx>
        <w:trPr>
          <w:trHeight w:val="81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18）支持权限管理，对系统的权限资源、用户、角色、角色组进行管理，除了系统管理员外不同的区域有自己的管理员，可以对所在区域以及下属区域进行权限、用户和角色的划分。</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19）支持系统帮助，提供系统帮助功能，提供在线用户说明书，对整个平台的使用进行说明，指导操作。</w:t>
            </w:r>
          </w:p>
        </w:tc>
      </w:tr>
      <w:tr>
        <w:tblPrEx>
          <w:tblLayout w:type="fixed"/>
          <w:tblCellMar>
            <w:top w:w="0" w:type="dxa"/>
            <w:left w:w="108" w:type="dxa"/>
            <w:bottom w:w="0" w:type="dxa"/>
            <w:right w:w="108" w:type="dxa"/>
          </w:tblCellMar>
        </w:tblPrEx>
        <w:trPr>
          <w:trHeight w:val="600"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综合查询</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1）支持对校园各租户以及用户包含的项目进行查询，主要包括项目详情以及所属的租户。</w:t>
            </w:r>
          </w:p>
        </w:tc>
      </w:tr>
      <w:tr>
        <w:tblPrEx>
          <w:tblLayout w:type="fixed"/>
          <w:tblCellMar>
            <w:top w:w="0" w:type="dxa"/>
            <w:left w:w="108" w:type="dxa"/>
            <w:bottom w:w="0" w:type="dxa"/>
            <w:right w:w="108" w:type="dxa"/>
          </w:tblCellMar>
        </w:tblPrEx>
        <w:trPr>
          <w:trHeight w:val="60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2）★支持对于创建后的校园各租户进行查询，主要包括租户信息以及创建时间。</w:t>
            </w:r>
          </w:p>
        </w:tc>
      </w:tr>
      <w:tr>
        <w:tblPrEx>
          <w:tblLayout w:type="fixed"/>
          <w:tblCellMar>
            <w:top w:w="0" w:type="dxa"/>
            <w:left w:w="108" w:type="dxa"/>
            <w:bottom w:w="0" w:type="dxa"/>
            <w:right w:w="108" w:type="dxa"/>
          </w:tblCellMar>
        </w:tblPrEx>
        <w:trPr>
          <w:trHeight w:val="60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3）支持针对于接口的调用进行统计，能统计出第三方接口被调用的总次数、失败以及成功次数。</w:t>
            </w:r>
          </w:p>
        </w:tc>
      </w:tr>
      <w:tr>
        <w:tblPrEx>
          <w:tblLayout w:type="fixed"/>
          <w:tblCellMar>
            <w:top w:w="0" w:type="dxa"/>
            <w:left w:w="108" w:type="dxa"/>
            <w:bottom w:w="0" w:type="dxa"/>
            <w:right w:w="108" w:type="dxa"/>
          </w:tblCellMar>
        </w:tblPrEx>
        <w:trPr>
          <w:trHeight w:val="60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4）支持针对于租户界面下的设备统计，可根据查询条件展现所需的数据。</w:t>
            </w:r>
          </w:p>
        </w:tc>
      </w:tr>
      <w:tr>
        <w:tblPrEx>
          <w:tblLayout w:type="fixed"/>
          <w:tblCellMar>
            <w:top w:w="0" w:type="dxa"/>
            <w:left w:w="108" w:type="dxa"/>
            <w:bottom w:w="0" w:type="dxa"/>
            <w:right w:w="108" w:type="dxa"/>
          </w:tblCellMar>
        </w:tblPrEx>
        <w:trPr>
          <w:trHeight w:val="60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5）支持针对于接口的调用进行统计，与接口统计相反 能统计出平台kong接口被调用的总次数、失败以及成功次数。</w:t>
            </w:r>
          </w:p>
        </w:tc>
      </w:tr>
      <w:tr>
        <w:tblPrEx>
          <w:tblLayout w:type="fixed"/>
          <w:tblCellMar>
            <w:top w:w="0" w:type="dxa"/>
            <w:left w:w="108" w:type="dxa"/>
            <w:bottom w:w="0" w:type="dxa"/>
            <w:right w:w="108" w:type="dxa"/>
          </w:tblCellMar>
        </w:tblPrEx>
        <w:trPr>
          <w:trHeight w:val="60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6）支持针对于租户的某个项目配额总数占比下的设备，可知用量与剩余。</w:t>
            </w:r>
          </w:p>
        </w:tc>
      </w:tr>
      <w:tr>
        <w:tblPrEx>
          <w:tblLayout w:type="fixed"/>
          <w:tblCellMar>
            <w:top w:w="0" w:type="dxa"/>
            <w:left w:w="108" w:type="dxa"/>
            <w:bottom w:w="0" w:type="dxa"/>
            <w:right w:w="108" w:type="dxa"/>
          </w:tblCellMar>
        </w:tblPrEx>
        <w:trPr>
          <w:trHeight w:val="60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7）支持针对于租户界面下的项目在某个时间点时平台接收告警的数据，可根据查询条件查看到项目下所有场景的告警数据</w:t>
            </w:r>
          </w:p>
        </w:tc>
      </w:tr>
      <w:tr>
        <w:tblPrEx>
          <w:tblLayout w:type="fixed"/>
          <w:tblCellMar>
            <w:top w:w="0" w:type="dxa"/>
            <w:left w:w="108" w:type="dxa"/>
            <w:bottom w:w="0" w:type="dxa"/>
            <w:right w:w="108" w:type="dxa"/>
          </w:tblCellMar>
        </w:tblPrEx>
        <w:trPr>
          <w:trHeight w:val="31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用户权限管理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1）支持对用户信息的添加及修改，查看用户信息列表，对新增用户进行密码初始化。</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2）支持给角色授权，而角色的授权是按照信息操作的流程授予角色对信息有哪些操作权限</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3）支持用户中心建立统一组织机构</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4）支持通过一些基础参数的维护实现对各平台所需模块的灵活配置</w:t>
            </w:r>
          </w:p>
        </w:tc>
      </w:tr>
      <w:tr>
        <w:tblPrEx>
          <w:tblLayout w:type="fixed"/>
          <w:tblCellMar>
            <w:top w:w="0" w:type="dxa"/>
            <w:left w:w="108" w:type="dxa"/>
            <w:bottom w:w="0" w:type="dxa"/>
            <w:right w:w="108" w:type="dxa"/>
          </w:tblCellMar>
        </w:tblPrEx>
        <w:trPr>
          <w:trHeight w:val="31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知识库管理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1）支持知识库管理，此功能是作为平台一个资源目录，选择此目录的类型进行创建，保存在平台上。</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2）支持知识库查看功能。</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3）支持知识树功能，能够对于知识库进行审核，审核后的目录会再次以树状图展示在界面中，点击某一节点，会展示该节点的资源文件。</w:t>
            </w:r>
          </w:p>
        </w:tc>
      </w:tr>
      <w:tr>
        <w:tblPrEx>
          <w:tblLayout w:type="fixed"/>
          <w:tblCellMar>
            <w:top w:w="0" w:type="dxa"/>
            <w:left w:w="108" w:type="dxa"/>
            <w:bottom w:w="0" w:type="dxa"/>
            <w:right w:w="108" w:type="dxa"/>
          </w:tblCellMar>
        </w:tblPrEx>
        <w:trPr>
          <w:trHeight w:val="31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系统管理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1）支持对系统基本数据，功能进行维护管理。</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2）支持字典管理，主要是对系统各模块公用的基础参数的配置</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3）支持针对系统中的租户视图，每一个租户下面有对应的区域树。</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4）支持场景管理，包含场景的新增、修改、删除和查询功能。一个场景隶属于一个租户某一个项目下面。</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5）支持电子围栏属于某一个租户项目，可以给电子围栏批量添加设备（提供导入模板）和批量删除设备。</w:t>
            </w:r>
          </w:p>
        </w:tc>
      </w:tr>
      <w:tr>
        <w:tblPrEx>
          <w:tblLayout w:type="fixed"/>
          <w:tblCellMar>
            <w:top w:w="0" w:type="dxa"/>
            <w:left w:w="108" w:type="dxa"/>
            <w:bottom w:w="0" w:type="dxa"/>
            <w:right w:w="108" w:type="dxa"/>
          </w:tblCellMar>
        </w:tblPrEx>
        <w:trPr>
          <w:trHeight w:val="416"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6）支持定义平台采集的数据和记录的日志的保存时间，针对采集数据可以分别定义不同数据类型（温度、湿度等）的保存时长，保存时长以月为单位，系统会定时把超过保存时长的数据从数据库中删除。</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7）支持对平台现在用到的主机资源进行管理，包括主机设施的新增、修改、删除和查询功能。新增要提供主机的名称、应用系统名称、配置、ip地址等信息。</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8）平台支持超图gis平台的展示，能够跟超图的对接，该模块是以超图的技术展示围栏管理的地图信息。</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9）支持针对不同的数据类型（温度数据、湿度数据等）配置一个展示实时数据的地址，该地址为采集对应数据类型设备采集到的实时数据折线图，并会随着时间平移</w:t>
            </w:r>
          </w:p>
        </w:tc>
      </w:tr>
      <w:tr>
        <w:tblPrEx>
          <w:tblLayout w:type="fixed"/>
          <w:tblCellMar>
            <w:top w:w="0" w:type="dxa"/>
            <w:left w:w="108" w:type="dxa"/>
            <w:bottom w:w="0" w:type="dxa"/>
            <w:right w:w="108" w:type="dxa"/>
          </w:tblCellMar>
        </w:tblPrEx>
        <w:trPr>
          <w:trHeight w:val="31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资源管理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1）支持资源管理中行业分类管理，将已知行业分类进行统一管理以及展示相关行业信息等</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2）支持资源不同的分类，每一个分类下面有对应的主题分类树。主题分类管理采用树形结构提供主题分类的新增、修改、删除和查询功能，以树形列表的方式呈现</w:t>
            </w:r>
          </w:p>
        </w:tc>
      </w:tr>
      <w:tr>
        <w:tblPrEx>
          <w:tblLayout w:type="fixed"/>
          <w:tblCellMar>
            <w:top w:w="0" w:type="dxa"/>
            <w:left w:w="108" w:type="dxa"/>
            <w:bottom w:w="0" w:type="dxa"/>
            <w:right w:w="108" w:type="dxa"/>
          </w:tblCellMar>
        </w:tblPrEx>
        <w:trPr>
          <w:trHeight w:val="31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指令管理</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1）平台提供常用指令集，例如修改ip,修改设备上报间隔，查询设备关键数据，固件升级等。</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2）支持自定义指令集下发，对于管理设备的人员，即可通过常用指令实现设备的常规控制也可自行定义指令集完成对于设备比较复杂的控制内容。</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3）支持设备升级指令集下发，对于管理设备的人员，即可通过设备升级指令实现设备的常升级。</w:t>
            </w:r>
          </w:p>
        </w:tc>
      </w:tr>
      <w:tr>
        <w:tblPrEx>
          <w:tblLayout w:type="fixed"/>
          <w:tblCellMar>
            <w:top w:w="0" w:type="dxa"/>
            <w:left w:w="108" w:type="dxa"/>
            <w:bottom w:w="0" w:type="dxa"/>
            <w:right w:w="108" w:type="dxa"/>
          </w:tblCellMar>
        </w:tblPrEx>
        <w:trPr>
          <w:trHeight w:val="315" w:hRule="atLeast"/>
        </w:trPr>
        <w:tc>
          <w:tcPr>
            <w:tcW w:w="2216"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售后服务</w:t>
            </w: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1）重构和优化物联网平台监控和服务保障体系的核心业务流程。</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2）★提供三年原厂质保服务，提供产品的升级、维护与故障处理。</w:t>
            </w:r>
          </w:p>
        </w:tc>
      </w:tr>
      <w:tr>
        <w:tblPrEx>
          <w:tblLayout w:type="fixed"/>
          <w:tblCellMar>
            <w:top w:w="0" w:type="dxa"/>
            <w:left w:w="108" w:type="dxa"/>
            <w:bottom w:w="0" w:type="dxa"/>
            <w:right w:w="108" w:type="dxa"/>
          </w:tblCellMar>
        </w:tblPrEx>
        <w:trPr>
          <w:trHeight w:val="540"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3）★项目经理一名，提供运维质量和项目进度管理，定期汇报运维和开发工作，根据用户要求控制运维质量和项目质量，协调人员安排，提供7×24小时咨询，协调和现场服务。</w:t>
            </w:r>
          </w:p>
        </w:tc>
      </w:tr>
      <w:tr>
        <w:tblPrEx>
          <w:tblLayout w:type="fixed"/>
          <w:tblCellMar>
            <w:top w:w="0" w:type="dxa"/>
            <w:left w:w="108" w:type="dxa"/>
            <w:bottom w:w="0" w:type="dxa"/>
            <w:right w:w="108" w:type="dxa"/>
          </w:tblCellMar>
        </w:tblPrEx>
        <w:trPr>
          <w:trHeight w:val="315" w:hRule="atLeast"/>
        </w:trPr>
        <w:tc>
          <w:tcPr>
            <w:tcW w:w="221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2"/>
                <w:szCs w:val="22"/>
              </w:rPr>
            </w:pPr>
          </w:p>
        </w:tc>
        <w:tc>
          <w:tcPr>
            <w:tcW w:w="6306"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4）★提供三名运维工程师驻场服务，服务期三年。</w:t>
            </w:r>
          </w:p>
        </w:tc>
      </w:tr>
    </w:tbl>
    <w:p>
      <w:pPr>
        <w:spacing w:line="360" w:lineRule="auto"/>
        <w:rPr>
          <w:rFonts w:hint="eastAsia"/>
          <w:sz w:val="24"/>
        </w:rPr>
      </w:pPr>
    </w:p>
    <w:p>
      <w:pPr>
        <w:spacing w:line="480" w:lineRule="exact"/>
        <w:rPr>
          <w:rFonts w:ascii="宋体" w:hAnsi="宋体" w:cs="宋体"/>
          <w:b/>
          <w:bCs/>
          <w:szCs w:val="21"/>
        </w:rPr>
      </w:pPr>
      <w:r>
        <w:rPr>
          <w:rFonts w:hint="eastAsia" w:ascii="宋体" w:hAnsi="宋体" w:cs="宋体"/>
          <w:b/>
          <w:bCs/>
          <w:szCs w:val="21"/>
        </w:rPr>
        <w:t>注：</w:t>
      </w:r>
    </w:p>
    <w:p>
      <w:pPr>
        <w:pStyle w:val="12"/>
        <w:spacing w:line="360" w:lineRule="auto"/>
        <w:ind w:firstLine="422" w:firstLineChars="200"/>
        <w:rPr>
          <w:rFonts w:hint="eastAsia"/>
          <w:b/>
          <w:bCs/>
          <w:sz w:val="21"/>
          <w:szCs w:val="21"/>
        </w:rPr>
      </w:pPr>
      <w:r>
        <w:rPr>
          <w:rFonts w:hint="eastAsia"/>
          <w:b/>
          <w:bCs/>
          <w:sz w:val="21"/>
          <w:szCs w:val="21"/>
        </w:rPr>
        <w:t>供应商对技术参数中的</w:t>
      </w:r>
      <w:r>
        <w:rPr>
          <w:rFonts w:hint="eastAsia" w:ascii="仿宋" w:hAnsi="仿宋" w:eastAsia="仿宋" w:cs="宋体"/>
          <w:kern w:val="0"/>
          <w:sz w:val="20"/>
          <w:szCs w:val="20"/>
        </w:rPr>
        <w:t>★</w:t>
      </w:r>
      <w:r>
        <w:rPr>
          <w:rFonts w:hint="eastAsia"/>
          <w:b/>
          <w:bCs/>
          <w:sz w:val="21"/>
          <w:szCs w:val="21"/>
        </w:rPr>
        <w:t>号参数必须满足。</w:t>
      </w:r>
    </w:p>
    <w:p>
      <w:pPr>
        <w:pStyle w:val="5"/>
        <w:rPr>
          <w:rFonts w:hint="eastAsia"/>
          <w:lang w:val="sq-AL"/>
        </w:rPr>
      </w:pPr>
      <w:bookmarkStart w:id="41" w:name="_Toc105082675"/>
      <w:bookmarkStart w:id="42" w:name="_Toc511904038"/>
      <w:r>
        <w:rPr>
          <w:rFonts w:hint="eastAsia"/>
          <w:lang w:val="sq-AL"/>
        </w:rPr>
        <w:t>3、对项目技术架构和技术实现途径的要求</w:t>
      </w:r>
      <w:bookmarkEnd w:id="41"/>
      <w:bookmarkEnd w:id="42"/>
    </w:p>
    <w:p>
      <w:pPr>
        <w:spacing w:line="360" w:lineRule="auto"/>
        <w:ind w:firstLine="480" w:firstLineChars="200"/>
        <w:rPr>
          <w:rFonts w:hint="eastAsia"/>
          <w:sz w:val="24"/>
        </w:rPr>
      </w:pPr>
      <w:r>
        <w:rPr>
          <w:rFonts w:hint="eastAsia"/>
          <w:sz w:val="24"/>
        </w:rPr>
        <w:t>（1）要求基于B/S的体系结构，后台访问均基于浏览器进行。因此在浏览器兼容性方面，必须全面支持至少一款主流浏览器，如IE内核浏览器、</w:t>
      </w:r>
      <w:r>
        <w:rPr>
          <w:sz w:val="24"/>
        </w:rPr>
        <w:t>WebCT</w:t>
      </w:r>
      <w:r>
        <w:rPr>
          <w:rFonts w:hint="eastAsia"/>
          <w:sz w:val="24"/>
        </w:rPr>
        <w:t xml:space="preserve"> 内核浏览器、Gecko内核浏览器（例如：Firefox、Chrome、Safari、IE11、360浏览器、百度浏览器、遨游、搜狗、猎豹等）。</w:t>
      </w:r>
    </w:p>
    <w:p>
      <w:pPr>
        <w:spacing w:line="360" w:lineRule="auto"/>
        <w:ind w:firstLine="480" w:firstLineChars="200"/>
        <w:rPr>
          <w:rFonts w:hint="eastAsia"/>
          <w:sz w:val="24"/>
        </w:rPr>
      </w:pPr>
      <w:r>
        <w:rPr>
          <w:rFonts w:hint="eastAsia"/>
          <w:sz w:val="24"/>
        </w:rPr>
        <w:t>（2）编程语言需要按J2EE 1.7以上规格，采用Java编程语言和服务器端Java技术开发。系统采用面向对象组件化设计，并基于跨平台业界标准，包括Java、JSP、XML等，完全独立于硬件和操作系统的开发环境。</w:t>
      </w:r>
    </w:p>
    <w:p>
      <w:pPr>
        <w:spacing w:line="360" w:lineRule="auto"/>
        <w:ind w:firstLine="480" w:firstLineChars="200"/>
        <w:rPr>
          <w:rFonts w:hint="eastAsia"/>
          <w:sz w:val="24"/>
        </w:rPr>
      </w:pPr>
      <w:r>
        <w:rPr>
          <w:rFonts w:hint="eastAsia"/>
          <w:sz w:val="24"/>
        </w:rPr>
        <w:t>（3）要求至少支持的操作系统为Windows、Unix、Linux操作系统。</w:t>
      </w:r>
    </w:p>
    <w:p>
      <w:pPr>
        <w:spacing w:line="360" w:lineRule="auto"/>
        <w:ind w:firstLine="480" w:firstLineChars="200"/>
        <w:rPr>
          <w:rFonts w:hint="eastAsia"/>
          <w:sz w:val="24"/>
        </w:rPr>
      </w:pPr>
      <w:r>
        <w:rPr>
          <w:rFonts w:hint="eastAsia"/>
          <w:sz w:val="24"/>
        </w:rPr>
        <w:t>（4）支持完备的日志管理功能，包括系统安全日志、系统操作日志和系统运行日志，支持日志查询，支持日志文件导出。</w:t>
      </w:r>
    </w:p>
    <w:p>
      <w:pPr>
        <w:pStyle w:val="5"/>
        <w:rPr>
          <w:rFonts w:hint="eastAsia"/>
        </w:rPr>
      </w:pPr>
      <w:bookmarkStart w:id="43" w:name="_Toc511904039"/>
      <w:bookmarkStart w:id="44" w:name="_Toc105082676"/>
      <w:r>
        <w:rPr>
          <w:rFonts w:hint="eastAsia"/>
        </w:rPr>
        <w:t>4、项目验收及质保期</w:t>
      </w:r>
      <w:bookmarkEnd w:id="43"/>
      <w:bookmarkEnd w:id="44"/>
    </w:p>
    <w:p>
      <w:pPr>
        <w:spacing w:line="360" w:lineRule="auto"/>
        <w:ind w:firstLine="480" w:firstLineChars="200"/>
        <w:rPr>
          <w:rFonts w:hint="eastAsia"/>
          <w:sz w:val="24"/>
        </w:rPr>
      </w:pPr>
      <w:r>
        <w:rPr>
          <w:rFonts w:hint="eastAsia"/>
          <w:sz w:val="24"/>
        </w:rPr>
        <w:t>合同签订后</w:t>
      </w:r>
      <w:r>
        <w:rPr>
          <w:sz w:val="24"/>
        </w:rPr>
        <w:t>45</w:t>
      </w:r>
      <w:r>
        <w:rPr>
          <w:rFonts w:hint="eastAsia"/>
          <w:sz w:val="24"/>
        </w:rPr>
        <w:t>日内交付所有功能并接受验收。</w:t>
      </w:r>
    </w:p>
    <w:p>
      <w:pPr>
        <w:spacing w:line="360" w:lineRule="auto"/>
        <w:ind w:firstLine="480" w:firstLineChars="200"/>
        <w:rPr>
          <w:rFonts w:hint="eastAsia"/>
          <w:sz w:val="24"/>
        </w:rPr>
      </w:pPr>
      <w:r>
        <w:rPr>
          <w:rFonts w:hint="eastAsia"/>
          <w:sz w:val="24"/>
        </w:rPr>
        <w:t>项目验收须达到如下要求：</w:t>
      </w:r>
    </w:p>
    <w:p>
      <w:pPr>
        <w:spacing w:line="360" w:lineRule="auto"/>
        <w:ind w:firstLine="480" w:firstLineChars="200"/>
        <w:rPr>
          <w:rFonts w:hint="eastAsia"/>
          <w:sz w:val="24"/>
        </w:rPr>
      </w:pPr>
      <w:bookmarkStart w:id="45" w:name="_Hlk79503059"/>
      <w:r>
        <w:rPr>
          <w:rFonts w:hint="eastAsia"/>
          <w:sz w:val="24"/>
        </w:rPr>
        <w:t>（1）平台按期部署上线；</w:t>
      </w:r>
    </w:p>
    <w:p>
      <w:pPr>
        <w:spacing w:line="360" w:lineRule="auto"/>
        <w:ind w:firstLine="480" w:firstLineChars="200"/>
        <w:rPr>
          <w:rFonts w:hint="eastAsia"/>
          <w:sz w:val="24"/>
        </w:rPr>
      </w:pPr>
      <w:r>
        <w:rPr>
          <w:rFonts w:hint="eastAsia"/>
          <w:sz w:val="24"/>
        </w:rPr>
        <w:t>（</w:t>
      </w:r>
      <w:r>
        <w:rPr>
          <w:sz w:val="24"/>
        </w:rPr>
        <w:t>2</w:t>
      </w:r>
      <w:r>
        <w:rPr>
          <w:rFonts w:hint="eastAsia"/>
          <w:sz w:val="24"/>
        </w:rPr>
        <w:t>）平台运行各项功能指标达到要求。</w:t>
      </w:r>
    </w:p>
    <w:bookmarkEnd w:id="45"/>
    <w:p>
      <w:pPr>
        <w:spacing w:line="360" w:lineRule="auto"/>
        <w:ind w:firstLine="480" w:firstLineChars="200"/>
        <w:rPr>
          <w:rFonts w:hint="eastAsia"/>
          <w:sz w:val="24"/>
        </w:rPr>
      </w:pPr>
      <w:r>
        <w:rPr>
          <w:rFonts w:hint="eastAsia"/>
          <w:sz w:val="24"/>
        </w:rPr>
        <w:t>项目免费质保周期为 3 年。</w:t>
      </w:r>
    </w:p>
    <w:p>
      <w:pPr>
        <w:spacing w:line="360" w:lineRule="auto"/>
        <w:ind w:firstLine="480" w:firstLineChars="200"/>
        <w:rPr>
          <w:rFonts w:hint="eastAsia"/>
          <w:sz w:val="24"/>
        </w:rPr>
      </w:pPr>
      <w:r>
        <w:rPr>
          <w:rFonts w:hint="eastAsia"/>
          <w:sz w:val="24"/>
        </w:rPr>
        <w:t>所有投标人须按照上述要求分项应答，按照指定的日期和验收要求供货，并承诺质保周期。</w:t>
      </w:r>
    </w:p>
    <w:p>
      <w:pPr>
        <w:pStyle w:val="5"/>
        <w:rPr>
          <w:rFonts w:hint="eastAsia"/>
        </w:rPr>
      </w:pPr>
      <w:bookmarkStart w:id="46" w:name="_Toc511904040"/>
      <w:bookmarkStart w:id="47" w:name="_Toc105082677"/>
      <w:r>
        <w:rPr>
          <w:rFonts w:hint="eastAsia"/>
        </w:rPr>
        <w:t>5、付款方法和条件</w:t>
      </w:r>
      <w:bookmarkEnd w:id="46"/>
      <w:bookmarkEnd w:id="47"/>
    </w:p>
    <w:p>
      <w:pPr>
        <w:spacing w:line="360" w:lineRule="auto"/>
        <w:ind w:firstLine="480" w:firstLineChars="200"/>
        <w:rPr>
          <w:rFonts w:hint="eastAsia"/>
          <w:sz w:val="24"/>
        </w:rPr>
      </w:pPr>
      <w:r>
        <w:rPr>
          <w:rFonts w:hint="eastAsia"/>
          <w:sz w:val="24"/>
        </w:rPr>
        <w:t>如下建议的付款进度供申请人参考：</w:t>
      </w:r>
    </w:p>
    <w:p>
      <w:pPr>
        <w:spacing w:line="360" w:lineRule="auto"/>
        <w:ind w:firstLine="480" w:firstLineChars="200"/>
        <w:rPr>
          <w:rFonts w:hint="eastAsia"/>
          <w:sz w:val="24"/>
        </w:rPr>
      </w:pPr>
      <w:r>
        <w:rPr>
          <w:rFonts w:hint="eastAsia"/>
          <w:sz w:val="24"/>
        </w:rPr>
        <w:t>1、签订正式合同后，支付中标额的</w:t>
      </w:r>
      <w:r>
        <w:rPr>
          <w:sz w:val="24"/>
        </w:rPr>
        <w:t>50</w:t>
      </w:r>
      <w:r>
        <w:rPr>
          <w:rFonts w:hint="eastAsia"/>
          <w:sz w:val="24"/>
        </w:rPr>
        <w:t xml:space="preserve"> %；</w:t>
      </w:r>
    </w:p>
    <w:p>
      <w:pPr>
        <w:spacing w:line="360" w:lineRule="auto"/>
        <w:ind w:firstLine="480" w:firstLineChars="200"/>
        <w:rPr>
          <w:rFonts w:hint="eastAsia"/>
          <w:sz w:val="24"/>
        </w:rPr>
      </w:pPr>
      <w:r>
        <w:rPr>
          <w:sz w:val="24"/>
        </w:rPr>
        <w:t>2</w:t>
      </w:r>
      <w:r>
        <w:rPr>
          <w:rFonts w:hint="eastAsia"/>
          <w:sz w:val="24"/>
        </w:rPr>
        <w:t>、项目验收完成后7个工作日内，支付中标额的</w:t>
      </w:r>
      <w:r>
        <w:rPr>
          <w:sz w:val="24"/>
        </w:rPr>
        <w:t>45</w:t>
      </w:r>
      <w:r>
        <w:rPr>
          <w:rFonts w:hint="eastAsia"/>
          <w:sz w:val="24"/>
        </w:rPr>
        <w:t>%；</w:t>
      </w:r>
    </w:p>
    <w:p>
      <w:pPr>
        <w:spacing w:line="360" w:lineRule="auto"/>
        <w:ind w:firstLine="480" w:firstLineChars="200"/>
        <w:rPr>
          <w:rFonts w:hint="eastAsia"/>
          <w:sz w:val="24"/>
        </w:rPr>
      </w:pPr>
      <w:r>
        <w:rPr>
          <w:sz w:val="24"/>
        </w:rPr>
        <w:t>3</w:t>
      </w:r>
      <w:r>
        <w:rPr>
          <w:rFonts w:hint="eastAsia"/>
          <w:sz w:val="24"/>
        </w:rPr>
        <w:t>、项目验收完成一年后，支付合同剩余款项。</w:t>
      </w:r>
    </w:p>
    <w:p>
      <w:pPr>
        <w:pStyle w:val="5"/>
        <w:rPr>
          <w:rFonts w:hint="eastAsia"/>
        </w:rPr>
      </w:pPr>
      <w:bookmarkStart w:id="48" w:name="_Toc511904041"/>
      <w:bookmarkStart w:id="49" w:name="_Toc105082678"/>
      <w:r>
        <w:rPr>
          <w:rFonts w:hint="eastAsia"/>
        </w:rPr>
        <w:t>6、售后维护要求</w:t>
      </w:r>
      <w:bookmarkEnd w:id="48"/>
      <w:bookmarkEnd w:id="49"/>
    </w:p>
    <w:p>
      <w:pPr>
        <w:spacing w:line="360" w:lineRule="auto"/>
        <w:ind w:firstLine="480" w:firstLineChars="200"/>
        <w:rPr>
          <w:rFonts w:hint="eastAsia"/>
          <w:sz w:val="24"/>
        </w:rPr>
      </w:pPr>
      <w:r>
        <w:rPr>
          <w:rFonts w:hint="eastAsia"/>
          <w:sz w:val="24"/>
        </w:rPr>
        <w:t>（1）对项目使用培训的要求</w:t>
      </w:r>
    </w:p>
    <w:p>
      <w:pPr>
        <w:spacing w:line="360" w:lineRule="auto"/>
        <w:ind w:firstLine="480" w:firstLineChars="200"/>
        <w:rPr>
          <w:rFonts w:hint="eastAsia"/>
          <w:sz w:val="24"/>
        </w:rPr>
      </w:pPr>
      <w:r>
        <w:rPr>
          <w:rFonts w:hint="eastAsia"/>
          <w:sz w:val="24"/>
        </w:rPr>
        <w:t>投标方需根据用户需求不断改进系统功能和性能，并提供有效的二次开发培训。</w:t>
      </w:r>
    </w:p>
    <w:p>
      <w:pPr>
        <w:spacing w:line="360" w:lineRule="auto"/>
        <w:ind w:firstLine="480" w:firstLineChars="200"/>
        <w:rPr>
          <w:rFonts w:hint="eastAsia"/>
          <w:sz w:val="24"/>
        </w:rPr>
      </w:pPr>
      <w:r>
        <w:rPr>
          <w:rFonts w:hint="eastAsia"/>
          <w:sz w:val="24"/>
        </w:rPr>
        <w:t>应针对本项目的最终用户和系统运行维护用户提供分层次培训。需提供灵活多样的培训方式，包括最终用户的操作培训、对运行维护人员的技术培训等。</w:t>
      </w:r>
    </w:p>
    <w:p>
      <w:pPr>
        <w:spacing w:line="360" w:lineRule="auto"/>
        <w:ind w:firstLine="480" w:firstLineChars="200"/>
        <w:rPr>
          <w:rFonts w:hint="eastAsia"/>
          <w:sz w:val="24"/>
        </w:rPr>
      </w:pPr>
      <w:r>
        <w:rPr>
          <w:rFonts w:hint="eastAsia"/>
          <w:sz w:val="24"/>
        </w:rPr>
        <w:t>应制定详细的人员培训方案，培训方案应包括培训目的、培训时间安排、人员层次、人数、次数、培训课程（包括课程介绍）主要内容（列出培训基本内容）培训组织方式等。</w:t>
      </w:r>
    </w:p>
    <w:p>
      <w:pPr>
        <w:spacing w:line="360" w:lineRule="auto"/>
        <w:ind w:firstLine="480" w:firstLineChars="200"/>
        <w:rPr>
          <w:rFonts w:hint="eastAsia"/>
          <w:sz w:val="24"/>
        </w:rPr>
      </w:pPr>
      <w:r>
        <w:rPr>
          <w:rFonts w:hint="eastAsia"/>
          <w:sz w:val="24"/>
        </w:rPr>
        <w:t>对于提供的所有培训，必须保证师资力量，主要培训教员应是产品的主要设计和开发者。</w:t>
      </w:r>
    </w:p>
    <w:p>
      <w:pPr>
        <w:spacing w:line="360" w:lineRule="auto"/>
        <w:ind w:firstLine="480" w:firstLineChars="200"/>
        <w:rPr>
          <w:rFonts w:hint="eastAsia"/>
          <w:sz w:val="24"/>
        </w:rPr>
      </w:pPr>
      <w:r>
        <w:rPr>
          <w:rFonts w:hint="eastAsia"/>
          <w:sz w:val="24"/>
        </w:rPr>
        <w:t>培训的内容及方案应由双方协商制定。供应商前来进行技术培训的人员的费用包括在合同总价中。</w:t>
      </w:r>
    </w:p>
    <w:p>
      <w:pPr>
        <w:spacing w:line="360" w:lineRule="auto"/>
        <w:ind w:firstLine="480" w:firstLineChars="200"/>
        <w:rPr>
          <w:rFonts w:hint="eastAsia"/>
          <w:sz w:val="24"/>
        </w:rPr>
      </w:pPr>
      <w:r>
        <w:rPr>
          <w:rFonts w:hint="eastAsia"/>
          <w:sz w:val="24"/>
        </w:rPr>
        <w:t>（2）对项目售后服务的要求</w:t>
      </w:r>
    </w:p>
    <w:p>
      <w:pPr>
        <w:spacing w:line="360" w:lineRule="auto"/>
        <w:ind w:firstLine="480" w:firstLineChars="200"/>
        <w:rPr>
          <w:rFonts w:hint="eastAsia"/>
          <w:sz w:val="24"/>
        </w:rPr>
      </w:pPr>
      <w:r>
        <w:rPr>
          <w:rFonts w:hint="eastAsia"/>
          <w:sz w:val="24"/>
        </w:rPr>
        <w:t>在项目实施地点要有售后服务机构。</w:t>
      </w:r>
    </w:p>
    <w:p>
      <w:pPr>
        <w:spacing w:line="360" w:lineRule="auto"/>
        <w:ind w:firstLine="480" w:firstLineChars="200"/>
        <w:rPr>
          <w:rFonts w:hint="eastAsia"/>
          <w:sz w:val="24"/>
        </w:rPr>
      </w:pPr>
      <w:r>
        <w:rPr>
          <w:rFonts w:hint="eastAsia"/>
          <w:sz w:val="24"/>
        </w:rPr>
        <w:t>在服务期内，应始终通过现场服务、电话服务、远程服务等方式提供快速、高效的维护服务。</w:t>
      </w:r>
    </w:p>
    <w:p>
      <w:pPr>
        <w:spacing w:line="360" w:lineRule="auto"/>
        <w:ind w:firstLine="480" w:firstLineChars="200"/>
        <w:rPr>
          <w:rFonts w:hint="eastAsia"/>
          <w:sz w:val="24"/>
        </w:rPr>
      </w:pPr>
      <w:r>
        <w:rPr>
          <w:rFonts w:hint="eastAsia"/>
          <w:sz w:val="24"/>
        </w:rPr>
        <w:t>服务期内须提供所供软件系统的系统BUG修复、系统性能优化等服务。</w:t>
      </w:r>
    </w:p>
    <w:p>
      <w:pPr>
        <w:spacing w:line="360" w:lineRule="auto"/>
        <w:ind w:firstLine="480" w:firstLineChars="200"/>
        <w:rPr>
          <w:rFonts w:hint="eastAsia"/>
          <w:sz w:val="24"/>
        </w:rPr>
      </w:pPr>
      <w:r>
        <w:rPr>
          <w:rFonts w:hint="eastAsia"/>
          <w:sz w:val="24"/>
        </w:rPr>
        <w:t>协助提供系统数据备份服务，并定期检验数据备份的有效性。</w:t>
      </w:r>
    </w:p>
    <w:p>
      <w:pPr>
        <w:spacing w:line="360" w:lineRule="auto"/>
        <w:ind w:firstLine="480" w:firstLineChars="200"/>
        <w:rPr>
          <w:rFonts w:hint="eastAsia"/>
          <w:sz w:val="24"/>
        </w:rPr>
      </w:pPr>
      <w:r>
        <w:rPr>
          <w:rFonts w:hint="eastAsia"/>
          <w:sz w:val="24"/>
        </w:rPr>
        <w:t>协助采购人对产品运行环境（包括操作系统、数据库、中间件以及其它相关软件）及时进行打补丁、查病毒服务。</w:t>
      </w:r>
    </w:p>
    <w:p>
      <w:pPr>
        <w:spacing w:line="360" w:lineRule="auto"/>
        <w:ind w:firstLine="480" w:firstLineChars="200"/>
        <w:rPr>
          <w:rFonts w:hint="eastAsia"/>
          <w:sz w:val="24"/>
        </w:rPr>
      </w:pPr>
      <w:r>
        <w:rPr>
          <w:rFonts w:hint="eastAsia"/>
          <w:sz w:val="24"/>
        </w:rPr>
        <w:t>投标人在投标时须提出软件系统及运行环境的定期维护计划，对采购人要求的不定期维护提出响应措施。</w:t>
      </w:r>
    </w:p>
    <w:p>
      <w:pPr>
        <w:spacing w:line="360" w:lineRule="auto"/>
        <w:ind w:firstLine="480" w:firstLineChars="200"/>
        <w:rPr>
          <w:rFonts w:hint="eastAsia"/>
          <w:sz w:val="24"/>
        </w:rPr>
      </w:pPr>
      <w:r>
        <w:rPr>
          <w:rFonts w:hint="eastAsia"/>
          <w:sz w:val="24"/>
        </w:rPr>
        <w:t>实施系统维护或修改设计后，应在1周内更新有关技术文档并提交采购人。</w:t>
      </w:r>
    </w:p>
    <w:p>
      <w:pPr>
        <w:spacing w:line="360" w:lineRule="auto"/>
        <w:ind w:firstLine="480" w:firstLineChars="200"/>
        <w:rPr>
          <w:rFonts w:hint="eastAsia"/>
          <w:sz w:val="24"/>
        </w:rPr>
      </w:pPr>
      <w:r>
        <w:rPr>
          <w:rFonts w:hint="eastAsia"/>
          <w:sz w:val="24"/>
        </w:rPr>
        <w:t>技术支持方面，提供7×24小时的技术咨询服务，每年提供至少2次对系统运行状况的评估服务，提供每月1次巡视服务，检测软件系统及运行环境的运行情况。</w:t>
      </w:r>
    </w:p>
    <w:p>
      <w:pPr>
        <w:spacing w:line="360" w:lineRule="auto"/>
        <w:ind w:firstLine="480" w:firstLineChars="200"/>
        <w:rPr>
          <w:rFonts w:hint="eastAsia"/>
          <w:sz w:val="24"/>
        </w:rPr>
      </w:pPr>
      <w:r>
        <w:rPr>
          <w:rFonts w:hint="eastAsia"/>
          <w:sz w:val="24"/>
        </w:rPr>
        <w:t>故障响应方面，提供7×24小时的故障服务受理；对重大故障提供7×24小时的现场支援，一般故障提供5×8小时支援；故障服务的响应时间小于1小时；中断时间不能超过3小时。</w:t>
      </w:r>
    </w:p>
    <w:p>
      <w:pPr>
        <w:pStyle w:val="4"/>
      </w:pPr>
      <w:bookmarkStart w:id="50" w:name="_Toc105082679"/>
      <w:bookmarkStart w:id="51" w:name="_Toc511904042"/>
      <w:r>
        <w:rPr>
          <w:rFonts w:hint="eastAsia"/>
        </w:rPr>
        <w:t>四、项目与学校信息化总体框架兼容的要求</w:t>
      </w:r>
      <w:bookmarkEnd w:id="50"/>
      <w:bookmarkEnd w:id="51"/>
    </w:p>
    <w:p>
      <w:pPr>
        <w:pStyle w:val="5"/>
        <w:rPr>
          <w:rFonts w:hint="eastAsia"/>
        </w:rPr>
      </w:pPr>
      <w:bookmarkStart w:id="52" w:name="_Toc511904043"/>
      <w:r>
        <w:rPr>
          <w:rFonts w:hint="eastAsia"/>
        </w:rPr>
        <w:t>1、系统对接要求</w:t>
      </w:r>
      <w:bookmarkEnd w:id="52"/>
    </w:p>
    <w:p>
      <w:pPr>
        <w:spacing w:line="360" w:lineRule="auto"/>
        <w:ind w:firstLine="480" w:firstLineChars="200"/>
        <w:rPr>
          <w:rFonts w:hint="eastAsia"/>
          <w:sz w:val="24"/>
        </w:rPr>
      </w:pPr>
      <w:r>
        <w:rPr>
          <w:rFonts w:hint="eastAsia"/>
          <w:sz w:val="24"/>
        </w:rPr>
        <w:t>（1）统一身份认证接入要求</w:t>
      </w:r>
    </w:p>
    <w:p>
      <w:pPr>
        <w:spacing w:line="360" w:lineRule="auto"/>
        <w:ind w:firstLine="480" w:firstLineChars="200"/>
        <w:rPr>
          <w:rFonts w:hint="eastAsia"/>
          <w:sz w:val="24"/>
        </w:rPr>
      </w:pPr>
      <w:r>
        <w:rPr>
          <w:rFonts w:hint="eastAsia"/>
          <w:sz w:val="24"/>
        </w:rPr>
        <w:t>统一身份认证服务通过统一管理用户的认证过程和认证信息，使登录后的用户在应用之间可以不需再次登录，为用户带来</w:t>
      </w:r>
      <w:r>
        <w:rPr>
          <w:sz w:val="24"/>
        </w:rPr>
        <w:t xml:space="preserve"> “</w:t>
      </w:r>
      <w:r>
        <w:rPr>
          <w:rFonts w:hint="eastAsia"/>
          <w:sz w:val="24"/>
        </w:rPr>
        <w:t>单点登录，多点漫游”的便利。校园用户提供与校园其他系统数据</w:t>
      </w:r>
      <w:r>
        <w:rPr>
          <w:sz w:val="24"/>
        </w:rPr>
        <w:t>/</w:t>
      </w:r>
      <w:r>
        <w:rPr>
          <w:rFonts w:hint="eastAsia"/>
          <w:sz w:val="24"/>
        </w:rPr>
        <w:t>功能对接的唯一标识，因此在系统登录与用户身份需与校园统一身份认证服务进行对接。</w:t>
      </w:r>
      <w:r>
        <w:rPr>
          <w:sz w:val="24"/>
        </w:rPr>
        <w:t xml:space="preserve"> </w:t>
      </w:r>
    </w:p>
    <w:p>
      <w:pPr>
        <w:spacing w:line="360" w:lineRule="auto"/>
        <w:ind w:firstLine="480" w:firstLineChars="200"/>
        <w:rPr>
          <w:rFonts w:hint="eastAsia"/>
          <w:sz w:val="24"/>
        </w:rPr>
      </w:pPr>
      <w:r>
        <w:rPr>
          <w:rFonts w:hint="eastAsia"/>
          <w:sz w:val="24"/>
        </w:rPr>
        <w:t>（2）共享数据中心数据对接要求</w:t>
      </w:r>
    </w:p>
    <w:p>
      <w:pPr>
        <w:spacing w:line="360" w:lineRule="auto"/>
        <w:ind w:firstLine="480" w:firstLineChars="200"/>
        <w:rPr>
          <w:rFonts w:hint="eastAsia"/>
          <w:sz w:val="24"/>
        </w:rPr>
      </w:pPr>
      <w:r>
        <w:rPr>
          <w:rFonts w:hint="eastAsia"/>
          <w:sz w:val="24"/>
        </w:rPr>
        <w:t>按学校相关的数据标准，以只读视图的方式授权和开放系统数据，这些数据将会被同步至共享数据中心，供其他业务系统使用。</w:t>
      </w:r>
    </w:p>
    <w:p>
      <w:pPr>
        <w:spacing w:line="360" w:lineRule="auto"/>
        <w:ind w:firstLine="480" w:firstLineChars="200"/>
        <w:rPr>
          <w:rFonts w:hint="eastAsia"/>
          <w:sz w:val="24"/>
        </w:rPr>
      </w:pPr>
      <w:r>
        <w:rPr>
          <w:rFonts w:hint="eastAsia"/>
          <w:sz w:val="24"/>
        </w:rPr>
        <w:t>面向其他应用系统需提供数据访问接⼝的服务，根据数据访问的要求对元数据进行封装，以</w:t>
      </w:r>
      <w:r>
        <w:rPr>
          <w:sz w:val="24"/>
        </w:rPr>
        <w:t xml:space="preserve"> Web Service </w:t>
      </w:r>
      <w:r>
        <w:rPr>
          <w:rFonts w:hint="eastAsia"/>
          <w:sz w:val="24"/>
        </w:rPr>
        <w:t>接口的形式对外发布。</w:t>
      </w:r>
    </w:p>
    <w:p>
      <w:pPr>
        <w:spacing w:line="360" w:lineRule="auto"/>
        <w:ind w:firstLine="480" w:firstLineChars="200"/>
        <w:rPr>
          <w:rFonts w:hint="eastAsia"/>
          <w:sz w:val="24"/>
        </w:rPr>
      </w:pPr>
      <w:r>
        <w:rPr>
          <w:rFonts w:hint="eastAsia"/>
          <w:sz w:val="24"/>
        </w:rPr>
        <w:t>（3）统一通信平台对接要求</w:t>
      </w:r>
    </w:p>
    <w:p>
      <w:pPr>
        <w:spacing w:line="360" w:lineRule="auto"/>
        <w:ind w:firstLine="480" w:firstLineChars="200"/>
        <w:rPr>
          <w:rFonts w:hint="eastAsia"/>
          <w:sz w:val="24"/>
        </w:rPr>
      </w:pPr>
      <w:r>
        <w:rPr>
          <w:rFonts w:hint="eastAsia"/>
          <w:sz w:val="24"/>
        </w:rPr>
        <w:t>基于校园各类应用系统信息统一收发要求，除系统内通知消息外，所有业务系统通过短信、微信、邮件等通道发送的消息均须对接校园统一通信平台，由统一通信平台负责发送，包括回执消息的接收。</w:t>
      </w:r>
    </w:p>
    <w:p>
      <w:pPr>
        <w:spacing w:line="360" w:lineRule="auto"/>
        <w:ind w:firstLine="480" w:firstLineChars="200"/>
        <w:rPr>
          <w:rFonts w:hint="eastAsia"/>
          <w:sz w:val="24"/>
        </w:rPr>
      </w:pPr>
      <w:r>
        <w:rPr>
          <w:rFonts w:hint="eastAsia"/>
          <w:sz w:val="24"/>
        </w:rPr>
        <w:t>信息发送须严格遵守各通信运营商对信息安全管理和企业用户授权的相关要求，包括但不限于信息审计、黑白名单设置和信息模板管理等要求。</w:t>
      </w:r>
    </w:p>
    <w:p>
      <w:pPr>
        <w:spacing w:line="360" w:lineRule="auto"/>
        <w:ind w:firstLine="480" w:firstLineChars="200"/>
        <w:rPr>
          <w:rFonts w:hint="eastAsia"/>
          <w:sz w:val="24"/>
        </w:rPr>
      </w:pPr>
      <w:r>
        <w:rPr>
          <w:rFonts w:hint="eastAsia"/>
          <w:sz w:val="24"/>
        </w:rPr>
        <w:t>（4）校园门户集成要求</w:t>
      </w:r>
    </w:p>
    <w:p>
      <w:pPr>
        <w:spacing w:line="360" w:lineRule="auto"/>
        <w:ind w:firstLine="480" w:firstLineChars="200"/>
        <w:rPr>
          <w:rFonts w:hint="eastAsia"/>
          <w:sz w:val="24"/>
        </w:rPr>
      </w:pPr>
      <w:r>
        <w:rPr>
          <w:rFonts w:hint="eastAsia"/>
          <w:sz w:val="24"/>
        </w:rPr>
        <w:t>包括四个方面的集成内容：</w:t>
      </w:r>
    </w:p>
    <w:p>
      <w:pPr>
        <w:spacing w:line="360" w:lineRule="auto"/>
        <w:ind w:firstLine="480" w:firstLineChars="200"/>
        <w:rPr>
          <w:rFonts w:hint="eastAsia"/>
          <w:sz w:val="24"/>
        </w:rPr>
      </w:pPr>
      <w:r>
        <w:rPr>
          <w:rFonts w:hint="eastAsia"/>
          <w:sz w:val="24"/>
        </w:rPr>
        <w:t>1）资讯对接：为系统的资讯类内容提供</w:t>
      </w:r>
      <w:r>
        <w:rPr>
          <w:sz w:val="24"/>
        </w:rPr>
        <w:t>RSS</w:t>
      </w:r>
      <w:r>
        <w:rPr>
          <w:rFonts w:hint="eastAsia"/>
          <w:sz w:val="24"/>
        </w:rPr>
        <w:t>或</w:t>
      </w:r>
      <w:r>
        <w:rPr>
          <w:sz w:val="24"/>
        </w:rPr>
        <w:t>API</w:t>
      </w:r>
      <w:r>
        <w:rPr>
          <w:rFonts w:hint="eastAsia"/>
          <w:sz w:val="24"/>
        </w:rPr>
        <w:t>订阅接口，以供第三方系统的统一调用。</w:t>
      </w:r>
      <w:r>
        <w:rPr>
          <w:sz w:val="24"/>
        </w:rPr>
        <w:t xml:space="preserve"> </w:t>
      </w:r>
    </w:p>
    <w:p>
      <w:pPr>
        <w:spacing w:line="360" w:lineRule="auto"/>
        <w:ind w:firstLine="480" w:firstLineChars="200"/>
        <w:rPr>
          <w:rFonts w:hint="eastAsia"/>
          <w:sz w:val="24"/>
        </w:rPr>
      </w:pPr>
      <w:r>
        <w:rPr>
          <w:rFonts w:hint="eastAsia"/>
          <w:sz w:val="24"/>
        </w:rPr>
        <w:t>2）待办</w:t>
      </w:r>
      <w:r>
        <w:rPr>
          <w:sz w:val="24"/>
        </w:rPr>
        <w:t>/</w:t>
      </w:r>
      <w:r>
        <w:rPr>
          <w:rFonts w:hint="eastAsia"/>
          <w:sz w:val="24"/>
        </w:rPr>
        <w:t>已办接口对接：包括系统产生的流程类状态信息等。此类数据需由系统提供相应的</w:t>
      </w:r>
      <w:r>
        <w:rPr>
          <w:sz w:val="24"/>
        </w:rPr>
        <w:t>webservice</w:t>
      </w:r>
      <w:r>
        <w:rPr>
          <w:rFonts w:hint="eastAsia"/>
          <w:sz w:val="24"/>
        </w:rPr>
        <w:t>接⼝，供门户系统待办</w:t>
      </w:r>
      <w:r>
        <w:rPr>
          <w:sz w:val="24"/>
        </w:rPr>
        <w:t>/</w:t>
      </w:r>
      <w:r>
        <w:rPr>
          <w:rFonts w:hint="eastAsia"/>
          <w:sz w:val="24"/>
        </w:rPr>
        <w:t>已办功能调用。</w:t>
      </w:r>
      <w:r>
        <w:rPr>
          <w:sz w:val="24"/>
        </w:rPr>
        <w:t xml:space="preserve"> </w:t>
      </w:r>
    </w:p>
    <w:p>
      <w:pPr>
        <w:spacing w:line="360" w:lineRule="auto"/>
        <w:ind w:firstLine="480" w:firstLineChars="200"/>
        <w:rPr>
          <w:rFonts w:hint="eastAsia"/>
          <w:sz w:val="24"/>
        </w:rPr>
      </w:pPr>
      <w:r>
        <w:rPr>
          <w:rFonts w:hint="eastAsia"/>
          <w:sz w:val="24"/>
        </w:rPr>
        <w:t>3）服务对接：校园门户内提供校园办事服务功能，涉及到师生服务的申请、办事类应用需与办事服务进行对接。</w:t>
      </w:r>
    </w:p>
    <w:p>
      <w:pPr>
        <w:spacing w:line="360" w:lineRule="auto"/>
        <w:ind w:firstLine="480" w:firstLineChars="200"/>
        <w:rPr>
          <w:rFonts w:hint="eastAsia"/>
          <w:sz w:val="24"/>
        </w:rPr>
      </w:pPr>
      <w:r>
        <w:rPr>
          <w:rFonts w:hint="eastAsia"/>
          <w:sz w:val="24"/>
        </w:rPr>
        <w:t>4）应用对接：校园门户提供开发者服务功能，支持门户内应用的开发与集成，对于能够为师生提供的简单应用，应在门户平台中遵循相应的接口与界面规范建立对应的应用（第（5）条要求的移动应用集成同理）。</w:t>
      </w:r>
      <w:r>
        <w:rPr>
          <w:sz w:val="24"/>
        </w:rPr>
        <w:t xml:space="preserve"> </w:t>
      </w:r>
    </w:p>
    <w:p>
      <w:pPr>
        <w:spacing w:line="360" w:lineRule="auto"/>
        <w:ind w:firstLine="480" w:firstLineChars="200"/>
        <w:rPr>
          <w:sz w:val="24"/>
        </w:rPr>
      </w:pPr>
      <w:r>
        <w:rPr>
          <w:rFonts w:hint="eastAsia"/>
          <w:sz w:val="24"/>
        </w:rPr>
        <w:t>5）应用或服务与门户的对接可能涉及到直接跳转、数据集成、界面集成等多种方式，每个应用或服务具体的对接策略待之后双方视具体情况共同商议决定。</w:t>
      </w:r>
    </w:p>
    <w:p>
      <w:pPr>
        <w:spacing w:line="360" w:lineRule="auto"/>
        <w:ind w:firstLine="480" w:firstLineChars="200"/>
        <w:rPr>
          <w:rFonts w:hint="eastAsia"/>
          <w:sz w:val="24"/>
        </w:rPr>
      </w:pPr>
      <w:r>
        <w:rPr>
          <w:rFonts w:hint="eastAsia"/>
          <w:sz w:val="24"/>
        </w:rPr>
        <w:t>（5）校园移动应用集成要求</w:t>
      </w:r>
    </w:p>
    <w:p>
      <w:pPr>
        <w:spacing w:line="360" w:lineRule="auto"/>
        <w:ind w:firstLine="480" w:firstLineChars="200"/>
        <w:rPr>
          <w:rFonts w:hint="eastAsia"/>
          <w:sz w:val="24"/>
        </w:rPr>
      </w:pPr>
      <w:r>
        <w:rPr>
          <w:rFonts w:hint="eastAsia"/>
          <w:sz w:val="24"/>
        </w:rPr>
        <w:t>包括移动数字校园</w:t>
      </w:r>
      <w:r>
        <w:rPr>
          <w:sz w:val="24"/>
        </w:rPr>
        <w:t>APP</w:t>
      </w:r>
      <w:r>
        <w:rPr>
          <w:rFonts w:hint="eastAsia"/>
          <w:sz w:val="24"/>
        </w:rPr>
        <w:t>与校园微信公众服务号</w:t>
      </w:r>
      <w:r>
        <w:rPr>
          <w:sz w:val="24"/>
        </w:rPr>
        <w:t>/</w:t>
      </w:r>
      <w:r>
        <w:rPr>
          <w:rFonts w:hint="eastAsia"/>
          <w:sz w:val="24"/>
        </w:rPr>
        <w:t>企业号，内置的应用商店等。功能支持</w:t>
      </w:r>
      <w:r>
        <w:rPr>
          <w:sz w:val="24"/>
        </w:rPr>
        <w:t>HTML</w:t>
      </w:r>
      <w:r>
        <w:rPr>
          <w:rFonts w:hint="eastAsia"/>
          <w:sz w:val="24"/>
        </w:rPr>
        <w:t>格式的、移动端页面优化的应用服务直接入驻，技术上涉及到认证、身份的对接等。对于第三方系统已形成的移动端服务，可直接进行测试迁移。对于一些数据查询类型的服务，可通过数据与校园共享数据中心的同步后进行独立设计。其他移动端功能性应用可根据需要逐步实施。具体的技术方案可由双方技术人员进行详细对接。</w:t>
      </w:r>
    </w:p>
    <w:p>
      <w:pPr>
        <w:spacing w:line="360" w:lineRule="auto"/>
        <w:ind w:firstLine="480" w:firstLineChars="200"/>
        <w:rPr>
          <w:rFonts w:hint="eastAsia"/>
          <w:sz w:val="24"/>
        </w:rPr>
      </w:pPr>
      <w:r>
        <w:rPr>
          <w:rFonts w:hint="eastAsia"/>
          <w:sz w:val="24"/>
        </w:rPr>
        <w:t>（6）校园统一支付缴费平台的集成要求</w:t>
      </w:r>
    </w:p>
    <w:p>
      <w:pPr>
        <w:spacing w:line="360" w:lineRule="auto"/>
        <w:ind w:firstLine="480" w:firstLineChars="200"/>
        <w:rPr>
          <w:rFonts w:hint="eastAsia"/>
          <w:sz w:val="24"/>
        </w:rPr>
      </w:pPr>
      <w:r>
        <w:rPr>
          <w:rFonts w:hint="eastAsia"/>
          <w:sz w:val="24"/>
        </w:rPr>
        <w:t>如果项目中存在支付缴费类业务，应具备与学校统一支付缴费平台集成的能力：</w:t>
      </w:r>
    </w:p>
    <w:p>
      <w:pPr>
        <w:spacing w:line="360" w:lineRule="auto"/>
        <w:ind w:firstLine="480" w:firstLineChars="200"/>
        <w:rPr>
          <w:rFonts w:hint="eastAsia"/>
          <w:sz w:val="24"/>
        </w:rPr>
      </w:pPr>
      <w:r>
        <w:rPr>
          <w:rFonts w:hint="eastAsia"/>
          <w:sz w:val="24"/>
        </w:rPr>
        <w:t>1）能根据统一支付缴费平台提供的标准化开发接口实现支付缴费业务的定制与开发。</w:t>
      </w:r>
    </w:p>
    <w:p>
      <w:pPr>
        <w:spacing w:line="360" w:lineRule="auto"/>
        <w:ind w:firstLine="480" w:firstLineChars="200"/>
        <w:rPr>
          <w:rFonts w:hint="eastAsia"/>
          <w:sz w:val="24"/>
        </w:rPr>
      </w:pPr>
      <w:r>
        <w:rPr>
          <w:rFonts w:hint="eastAsia"/>
          <w:sz w:val="24"/>
        </w:rPr>
        <w:t>2）能提供标准开放式接口，用于统一支付缴费平台获取相关数据。</w:t>
      </w:r>
    </w:p>
    <w:p>
      <w:pPr>
        <w:spacing w:line="360" w:lineRule="auto"/>
        <w:ind w:firstLine="480" w:firstLineChars="200"/>
        <w:rPr>
          <w:rFonts w:hint="eastAsia"/>
          <w:sz w:val="24"/>
        </w:rPr>
      </w:pPr>
      <w:r>
        <w:rPr>
          <w:rFonts w:hint="eastAsia"/>
          <w:sz w:val="24"/>
        </w:rPr>
        <w:t>具体的技术实施方案可由本项目施工单位和统一支付缴费平台施工单位协商确定。</w:t>
      </w:r>
    </w:p>
    <w:p>
      <w:pPr>
        <w:spacing w:line="360" w:lineRule="auto"/>
        <w:ind w:firstLine="480" w:firstLineChars="200"/>
        <w:rPr>
          <w:rFonts w:hint="eastAsia"/>
          <w:sz w:val="24"/>
        </w:rPr>
      </w:pPr>
      <w:r>
        <w:rPr>
          <w:rFonts w:hint="eastAsia"/>
          <w:sz w:val="24"/>
        </w:rPr>
        <w:t>（7）校园一卡通系统集成要求</w:t>
      </w:r>
    </w:p>
    <w:p>
      <w:pPr>
        <w:spacing w:line="360" w:lineRule="auto"/>
        <w:ind w:firstLine="480" w:firstLineChars="200"/>
        <w:rPr>
          <w:rFonts w:hint="eastAsia"/>
          <w:sz w:val="24"/>
        </w:rPr>
      </w:pPr>
      <w:r>
        <w:rPr>
          <w:rFonts w:hint="eastAsia"/>
          <w:sz w:val="24"/>
        </w:rPr>
        <w:t>如果项目中存在与一卡通系统相关业务，应具备与校园一卡通系统对接集成的能力：</w:t>
      </w:r>
    </w:p>
    <w:p>
      <w:pPr>
        <w:spacing w:line="360" w:lineRule="auto"/>
        <w:ind w:firstLine="480" w:firstLineChars="200"/>
        <w:rPr>
          <w:rFonts w:hint="eastAsia"/>
          <w:sz w:val="24"/>
        </w:rPr>
      </w:pPr>
      <w:r>
        <w:rPr>
          <w:rFonts w:hint="eastAsia"/>
          <w:sz w:val="24"/>
        </w:rPr>
        <w:t>1）能根据一卡通系统提供的标准化开发接口实现与一卡通系统的集成开发。</w:t>
      </w:r>
    </w:p>
    <w:p>
      <w:pPr>
        <w:spacing w:line="360" w:lineRule="auto"/>
        <w:ind w:firstLine="480" w:firstLineChars="200"/>
        <w:rPr>
          <w:rFonts w:hint="eastAsia"/>
          <w:sz w:val="24"/>
        </w:rPr>
      </w:pPr>
      <w:r>
        <w:rPr>
          <w:rFonts w:hint="eastAsia"/>
          <w:sz w:val="24"/>
        </w:rPr>
        <w:t>2）能提供标准化开放式接口，用于一卡通系统获取相关数据。</w:t>
      </w:r>
    </w:p>
    <w:p>
      <w:pPr>
        <w:spacing w:line="360" w:lineRule="auto"/>
        <w:ind w:firstLine="480" w:firstLineChars="200"/>
        <w:rPr>
          <w:rFonts w:hint="eastAsia"/>
          <w:sz w:val="24"/>
        </w:rPr>
      </w:pPr>
      <w:r>
        <w:rPr>
          <w:rFonts w:hint="eastAsia"/>
          <w:sz w:val="24"/>
        </w:rPr>
        <w:t>具体的技术实施方案可由本项目施工单位和一卡通系统施工单位协商确定。</w:t>
      </w:r>
    </w:p>
    <w:p>
      <w:pPr>
        <w:pStyle w:val="5"/>
        <w:rPr>
          <w:rFonts w:hint="eastAsia"/>
        </w:rPr>
      </w:pPr>
      <w:bookmarkStart w:id="53" w:name="_Toc511904044"/>
      <w:r>
        <w:rPr>
          <w:rFonts w:hint="eastAsia"/>
        </w:rPr>
        <w:t>2、对系统扩展性的要求</w:t>
      </w:r>
      <w:bookmarkEnd w:id="53"/>
    </w:p>
    <w:p>
      <w:pPr>
        <w:spacing w:line="360" w:lineRule="auto"/>
        <w:ind w:firstLine="480" w:firstLineChars="200"/>
        <w:rPr>
          <w:rFonts w:hint="eastAsia"/>
          <w:sz w:val="24"/>
        </w:rPr>
      </w:pPr>
      <w:r>
        <w:rPr>
          <w:rFonts w:hint="eastAsia"/>
          <w:sz w:val="24"/>
        </w:rPr>
        <w:t>具备良好的应用集成能力，提供标准的数据接口，支持二次开发。</w:t>
      </w:r>
    </w:p>
    <w:p>
      <w:pPr>
        <w:spacing w:line="360" w:lineRule="auto"/>
        <w:ind w:firstLine="480" w:firstLineChars="200"/>
        <w:rPr>
          <w:sz w:val="24"/>
        </w:rPr>
      </w:pPr>
      <w:r>
        <w:rPr>
          <w:rFonts w:hint="eastAsia"/>
          <w:sz w:val="24"/>
        </w:rPr>
        <w:t>扩展能力是由系统的技术架构和技术的先进性所决定的。系统的扩展性是系统的生命力之所在，良好的扩展性和二次开发能力，能确保系统具有适应性，降低系统的实施和开发成本。</w:t>
      </w:r>
    </w:p>
    <w:p>
      <w:pPr>
        <w:spacing w:line="360" w:lineRule="auto"/>
        <w:ind w:firstLine="480" w:firstLineChars="200"/>
        <w:rPr>
          <w:rFonts w:hint="eastAsia"/>
          <w:sz w:val="24"/>
        </w:rPr>
      </w:pPr>
      <w:r>
        <w:rPr>
          <w:rFonts w:hint="eastAsia"/>
          <w:sz w:val="24"/>
        </w:rPr>
        <w:t>系统须具备良好的扩展性，具有较长的生命周期，在后期的应用过程中能够基于平台进行业务扩展。</w:t>
      </w:r>
    </w:p>
    <w:p>
      <w:pPr>
        <w:pStyle w:val="5"/>
        <w:rPr>
          <w:rFonts w:hint="eastAsia"/>
        </w:rPr>
      </w:pPr>
      <w:bookmarkStart w:id="54" w:name="_Toc511904045"/>
      <w:r>
        <w:rPr>
          <w:rFonts w:hint="eastAsia"/>
        </w:rPr>
        <w:t>3、对系统安全性的要求</w:t>
      </w:r>
      <w:bookmarkEnd w:id="54"/>
    </w:p>
    <w:p>
      <w:pPr>
        <w:spacing w:line="360" w:lineRule="auto"/>
        <w:ind w:firstLine="482" w:firstLineChars="200"/>
        <w:rPr>
          <w:rFonts w:hint="eastAsia"/>
          <w:b/>
          <w:sz w:val="24"/>
        </w:rPr>
      </w:pPr>
      <w:r>
        <w:rPr>
          <w:rFonts w:hint="eastAsia"/>
          <w:b/>
          <w:sz w:val="24"/>
        </w:rPr>
        <w:t>（1）总体要求</w:t>
      </w:r>
    </w:p>
    <w:p>
      <w:pPr>
        <w:spacing w:line="360" w:lineRule="auto"/>
        <w:ind w:firstLine="480" w:firstLineChars="200"/>
        <w:rPr>
          <w:rFonts w:hint="eastAsia"/>
          <w:sz w:val="24"/>
        </w:rPr>
      </w:pPr>
      <w:r>
        <w:rPr>
          <w:rFonts w:hint="eastAsia"/>
          <w:sz w:val="24"/>
        </w:rPr>
        <w:t>1）系统提供商对于因为程序代码、框架技术以及使用的中间件而产生的应用系统漏洞或</w:t>
      </w:r>
      <w:r>
        <w:rPr>
          <w:rFonts w:hint="eastAsia"/>
          <w:b/>
          <w:bCs/>
          <w:i/>
          <w:iCs/>
          <w:sz w:val="24"/>
        </w:rPr>
        <w:t>bug</w:t>
      </w:r>
      <w:r>
        <w:rPr>
          <w:rFonts w:hint="eastAsia"/>
          <w:sz w:val="24"/>
        </w:rPr>
        <w:t>等程序错误终身负责维护升级；</w:t>
      </w:r>
    </w:p>
    <w:p>
      <w:pPr>
        <w:spacing w:line="360" w:lineRule="auto"/>
        <w:ind w:firstLine="480" w:firstLineChars="200"/>
        <w:rPr>
          <w:rFonts w:hint="eastAsia"/>
          <w:sz w:val="24"/>
        </w:rPr>
      </w:pPr>
      <w:r>
        <w:rPr>
          <w:rFonts w:hint="eastAsia"/>
          <w:sz w:val="24"/>
        </w:rPr>
        <w:t>2）系统上线前须经学校的安全准入检测，不合格的系统不能上线并验收；</w:t>
      </w:r>
    </w:p>
    <w:p>
      <w:pPr>
        <w:spacing w:line="360" w:lineRule="auto"/>
        <w:ind w:firstLine="480" w:firstLineChars="200"/>
        <w:rPr>
          <w:sz w:val="24"/>
        </w:rPr>
      </w:pPr>
      <w:r>
        <w:rPr>
          <w:rFonts w:hint="eastAsia"/>
          <w:sz w:val="24"/>
        </w:rPr>
        <w:t>3）系统运行过程中定期或不定期接受相关部门的安全评测，接到系统安全评测或渗透报告后须提供详实可行的整改报告，经复测验证合格后方可再次上线运行。</w:t>
      </w:r>
    </w:p>
    <w:p>
      <w:pPr>
        <w:spacing w:line="360" w:lineRule="auto"/>
        <w:ind w:firstLine="482" w:firstLineChars="200"/>
        <w:rPr>
          <w:rFonts w:hint="eastAsia"/>
          <w:b/>
          <w:sz w:val="24"/>
        </w:rPr>
      </w:pPr>
      <w:r>
        <w:rPr>
          <w:rFonts w:hint="eastAsia"/>
          <w:b/>
          <w:sz w:val="24"/>
        </w:rPr>
        <w:t>（2）系统配置要求</w:t>
      </w:r>
    </w:p>
    <w:p>
      <w:pPr>
        <w:spacing w:line="360" w:lineRule="auto"/>
        <w:ind w:firstLine="480" w:firstLineChars="200"/>
        <w:rPr>
          <w:sz w:val="24"/>
        </w:rPr>
      </w:pPr>
      <w:r>
        <w:rPr>
          <w:rFonts w:hint="eastAsia"/>
          <w:sz w:val="24"/>
        </w:rPr>
        <w:t>1）</w:t>
      </w:r>
      <w:r>
        <w:rPr>
          <w:sz w:val="24"/>
        </w:rPr>
        <w:t>系统必须保证为正常上线系统，须更新为最新。禁止采用失去技术升级的系统（如：</w:t>
      </w:r>
      <w:r>
        <w:rPr>
          <w:b/>
          <w:bCs/>
          <w:i/>
          <w:iCs/>
          <w:sz w:val="24"/>
        </w:rPr>
        <w:t>windows 2003</w:t>
      </w:r>
      <w:r>
        <w:rPr>
          <w:sz w:val="24"/>
        </w:rPr>
        <w:t>等）；禁止采用含有已知漏洞的组件、应用程序、框架（如：</w:t>
      </w:r>
      <w:r>
        <w:rPr>
          <w:b/>
          <w:bCs/>
          <w:i/>
          <w:iCs/>
          <w:sz w:val="24"/>
        </w:rPr>
        <w:t>Struts 2.5 - Struts 2.5.10</w:t>
      </w:r>
      <w:r>
        <w:rPr>
          <w:sz w:val="24"/>
        </w:rPr>
        <w:t>）、应用程序服务器、</w:t>
      </w:r>
      <w:r>
        <w:rPr>
          <w:b/>
          <w:bCs/>
          <w:i/>
          <w:iCs/>
          <w:sz w:val="24"/>
        </w:rPr>
        <w:t>web</w:t>
      </w:r>
      <w:r>
        <w:rPr>
          <w:sz w:val="24"/>
        </w:rPr>
        <w:t>服务器、数据库服务器和平台定义，以上系统必须执行安全配置，禁止默认安装。所有的软件应该保持及时更新</w:t>
      </w:r>
      <w:r>
        <w:rPr>
          <w:rFonts w:hint="eastAsia"/>
          <w:sz w:val="24"/>
        </w:rPr>
        <w:t>，采用</w:t>
      </w:r>
      <w:r>
        <w:rPr>
          <w:rFonts w:hint="eastAsia"/>
          <w:b/>
          <w:i/>
          <w:sz w:val="24"/>
        </w:rPr>
        <w:t>struts2</w:t>
      </w:r>
      <w:r>
        <w:rPr>
          <w:rFonts w:hint="eastAsia"/>
          <w:sz w:val="24"/>
        </w:rPr>
        <w:t>的系统原则上不允许对校外提供服务；</w:t>
      </w:r>
    </w:p>
    <w:p>
      <w:pPr>
        <w:spacing w:line="360" w:lineRule="auto"/>
        <w:ind w:firstLine="480" w:firstLineChars="200"/>
        <w:rPr>
          <w:sz w:val="24"/>
        </w:rPr>
      </w:pPr>
      <w:r>
        <w:rPr>
          <w:rFonts w:hint="eastAsia"/>
          <w:sz w:val="24"/>
        </w:rPr>
        <w:t>2）</w:t>
      </w:r>
      <w:r>
        <w:rPr>
          <w:sz w:val="24"/>
        </w:rPr>
        <w:t>保证系统服务正常</w:t>
      </w:r>
      <w:r>
        <w:rPr>
          <w:rFonts w:hint="eastAsia"/>
          <w:sz w:val="24"/>
        </w:rPr>
        <w:t>并</w:t>
      </w:r>
      <w:r>
        <w:rPr>
          <w:sz w:val="24"/>
        </w:rPr>
        <w:t>与上线系统</w:t>
      </w:r>
      <w:r>
        <w:rPr>
          <w:rFonts w:hint="eastAsia"/>
          <w:sz w:val="24"/>
        </w:rPr>
        <w:t>保持</w:t>
      </w:r>
      <w:r>
        <w:rPr>
          <w:sz w:val="24"/>
        </w:rPr>
        <w:t>一致，无调试</w:t>
      </w:r>
      <w:r>
        <w:rPr>
          <w:rFonts w:hint="eastAsia"/>
          <w:sz w:val="24"/>
        </w:rPr>
        <w:t>和</w:t>
      </w:r>
      <w:r>
        <w:rPr>
          <w:sz w:val="24"/>
        </w:rPr>
        <w:t>报错信息（如：断点</w:t>
      </w:r>
      <w:r>
        <w:rPr>
          <w:rFonts w:hint="eastAsia"/>
          <w:sz w:val="24"/>
        </w:rPr>
        <w:t>、</w:t>
      </w:r>
      <w:r>
        <w:rPr>
          <w:b/>
          <w:bCs/>
          <w:i/>
          <w:iCs/>
          <w:sz w:val="24"/>
        </w:rPr>
        <w:t>printf</w:t>
      </w:r>
      <w:r>
        <w:rPr>
          <w:sz w:val="24"/>
        </w:rPr>
        <w:t>等调试信息）</w:t>
      </w:r>
      <w:r>
        <w:rPr>
          <w:rFonts w:hint="eastAsia"/>
          <w:sz w:val="24"/>
        </w:rPr>
        <w:t>，无</w:t>
      </w:r>
      <w:r>
        <w:rPr>
          <w:sz w:val="24"/>
        </w:rPr>
        <w:t>注释信息，删除系统默认安装的各种例程、文档及管理程序；</w:t>
      </w:r>
    </w:p>
    <w:p>
      <w:pPr>
        <w:spacing w:line="360" w:lineRule="auto"/>
        <w:ind w:firstLine="480" w:firstLineChars="200"/>
        <w:rPr>
          <w:rFonts w:hint="eastAsia"/>
          <w:sz w:val="24"/>
        </w:rPr>
      </w:pPr>
      <w:r>
        <w:rPr>
          <w:rFonts w:hint="eastAsia"/>
          <w:sz w:val="24"/>
        </w:rPr>
        <w:t>3）</w:t>
      </w:r>
      <w:r>
        <w:rPr>
          <w:sz w:val="24"/>
        </w:rPr>
        <w:t>系统中禁止暴露配置信息（如数据库连接信息）</w:t>
      </w:r>
      <w:r>
        <w:rPr>
          <w:rFonts w:hint="eastAsia"/>
          <w:sz w:val="24"/>
        </w:rPr>
        <w:t>、</w:t>
      </w:r>
      <w:r>
        <w:rPr>
          <w:sz w:val="24"/>
        </w:rPr>
        <w:t>源码备份文件</w:t>
      </w:r>
      <w:r>
        <w:rPr>
          <w:rFonts w:hint="eastAsia"/>
          <w:sz w:val="24"/>
        </w:rPr>
        <w:t>、</w:t>
      </w:r>
      <w:r>
        <w:rPr>
          <w:sz w:val="24"/>
        </w:rPr>
        <w:t>.git,.svn仓库等</w:t>
      </w:r>
      <w:r>
        <w:rPr>
          <w:rFonts w:hint="eastAsia"/>
          <w:sz w:val="24"/>
        </w:rPr>
        <w:t>，严禁在</w:t>
      </w:r>
      <w:r>
        <w:rPr>
          <w:rFonts w:hint="eastAsia"/>
          <w:b/>
          <w:bCs/>
          <w:i/>
          <w:iCs/>
          <w:sz w:val="24"/>
        </w:rPr>
        <w:t>github</w:t>
      </w:r>
      <w:r>
        <w:rPr>
          <w:rFonts w:hint="eastAsia"/>
          <w:sz w:val="24"/>
        </w:rPr>
        <w:t>等平台公布代码。</w:t>
      </w:r>
    </w:p>
    <w:p>
      <w:pPr>
        <w:spacing w:line="360" w:lineRule="auto"/>
        <w:ind w:firstLine="482" w:firstLineChars="200"/>
        <w:rPr>
          <w:b/>
          <w:sz w:val="24"/>
        </w:rPr>
      </w:pPr>
      <w:r>
        <w:rPr>
          <w:rFonts w:hint="eastAsia"/>
          <w:b/>
          <w:sz w:val="24"/>
        </w:rPr>
        <w:t>（3）服务要求</w:t>
      </w:r>
    </w:p>
    <w:p>
      <w:pPr>
        <w:spacing w:line="360" w:lineRule="auto"/>
        <w:ind w:firstLine="480" w:firstLineChars="200"/>
        <w:rPr>
          <w:sz w:val="24"/>
        </w:rPr>
      </w:pPr>
      <w:r>
        <w:rPr>
          <w:sz w:val="24"/>
        </w:rPr>
        <w:t>1）从本机关闭不需要的端口（如：关闭</w:t>
      </w:r>
      <w:r>
        <w:rPr>
          <w:b/>
          <w:bCs/>
          <w:i/>
          <w:iCs/>
          <w:sz w:val="24"/>
        </w:rPr>
        <w:t>windows netbios</w:t>
      </w:r>
      <w:r>
        <w:rPr>
          <w:sz w:val="24"/>
        </w:rPr>
        <w:t>等服务），设置本机防火墙</w:t>
      </w:r>
      <w:r>
        <w:rPr>
          <w:rFonts w:hint="eastAsia"/>
          <w:sz w:val="24"/>
        </w:rPr>
        <w:t>（</w:t>
      </w:r>
      <w:r>
        <w:rPr>
          <w:sz w:val="24"/>
        </w:rPr>
        <w:t>如</w:t>
      </w:r>
      <w:r>
        <w:rPr>
          <w:b/>
          <w:bCs/>
          <w:i/>
          <w:iCs/>
          <w:sz w:val="24"/>
        </w:rPr>
        <w:t>iptable</w:t>
      </w:r>
      <w:r>
        <w:rPr>
          <w:rFonts w:hint="eastAsia"/>
          <w:sz w:val="24"/>
        </w:rPr>
        <w:t>）</w:t>
      </w:r>
      <w:r>
        <w:rPr>
          <w:sz w:val="24"/>
        </w:rPr>
        <w:t>对访问的源地址进行限制，相关服务设置类似</w:t>
      </w:r>
      <w:r>
        <w:rPr>
          <w:b/>
          <w:bCs/>
          <w:i/>
          <w:iCs/>
          <w:sz w:val="24"/>
        </w:rPr>
        <w:t>host.allow</w:t>
      </w:r>
      <w:r>
        <w:rPr>
          <w:rFonts w:hint="eastAsia"/>
          <w:sz w:val="24"/>
        </w:rPr>
        <w:t>和</w:t>
      </w:r>
      <w:r>
        <w:rPr>
          <w:b/>
          <w:bCs/>
          <w:i/>
          <w:iCs/>
          <w:sz w:val="24"/>
        </w:rPr>
        <w:t>host.deny</w:t>
      </w:r>
      <w:r>
        <w:rPr>
          <w:sz w:val="24"/>
        </w:rPr>
        <w:t>等策略；</w:t>
      </w:r>
    </w:p>
    <w:p>
      <w:pPr>
        <w:spacing w:line="360" w:lineRule="auto"/>
        <w:ind w:firstLine="480" w:firstLineChars="200"/>
        <w:rPr>
          <w:rFonts w:hint="eastAsia"/>
          <w:sz w:val="24"/>
        </w:rPr>
      </w:pPr>
      <w:r>
        <w:rPr>
          <w:sz w:val="24"/>
        </w:rPr>
        <w:t>2）须按照标准端口配置服务，严禁自行设置非标服务端口</w:t>
      </w:r>
      <w:r>
        <w:rPr>
          <w:rFonts w:hint="eastAsia"/>
          <w:sz w:val="24"/>
        </w:rPr>
        <w:t>。</w:t>
      </w:r>
    </w:p>
    <w:p>
      <w:pPr>
        <w:spacing w:line="360" w:lineRule="auto"/>
        <w:ind w:firstLine="482" w:firstLineChars="200"/>
        <w:rPr>
          <w:b/>
          <w:sz w:val="24"/>
        </w:rPr>
      </w:pPr>
      <w:r>
        <w:rPr>
          <w:rFonts w:hint="eastAsia"/>
          <w:b/>
          <w:sz w:val="24"/>
        </w:rPr>
        <w:t>（4）数据库配置要求</w:t>
      </w:r>
    </w:p>
    <w:p>
      <w:pPr>
        <w:spacing w:line="360" w:lineRule="auto"/>
        <w:ind w:firstLine="480" w:firstLineChars="200"/>
        <w:rPr>
          <w:sz w:val="24"/>
        </w:rPr>
      </w:pPr>
      <w:r>
        <w:rPr>
          <w:rFonts w:hint="eastAsia"/>
          <w:sz w:val="24"/>
        </w:rPr>
        <w:t>1）数据库和应用系统如在同一台服务器，须采用本机回路进行访问，如前端及数据库分为不同服务器，须设置本机防火墙访问规则，禁止非前端服务器访问数据库网络端口；</w:t>
      </w:r>
    </w:p>
    <w:p>
      <w:pPr>
        <w:spacing w:line="360" w:lineRule="auto"/>
        <w:ind w:firstLine="480" w:firstLineChars="200"/>
        <w:rPr>
          <w:rFonts w:hint="eastAsia"/>
          <w:sz w:val="24"/>
        </w:rPr>
      </w:pPr>
      <w:r>
        <w:rPr>
          <w:rFonts w:hint="eastAsia"/>
          <w:sz w:val="24"/>
        </w:rPr>
        <w:t>2）</w:t>
      </w:r>
      <w:r>
        <w:rPr>
          <w:sz w:val="24"/>
        </w:rPr>
        <w:t>使用最低权限的数据库用户作为</w:t>
      </w:r>
      <w:r>
        <w:rPr>
          <w:b/>
          <w:bCs/>
          <w:i/>
          <w:iCs/>
          <w:sz w:val="24"/>
        </w:rPr>
        <w:t>web</w:t>
      </w:r>
      <w:r>
        <w:rPr>
          <w:sz w:val="24"/>
        </w:rPr>
        <w:t>应用所需，禁止具有不必要的额外权限</w:t>
      </w:r>
      <w:r>
        <w:rPr>
          <w:rFonts w:hint="eastAsia"/>
          <w:sz w:val="24"/>
        </w:rPr>
        <w:t>。</w:t>
      </w:r>
    </w:p>
    <w:p>
      <w:pPr>
        <w:spacing w:line="360" w:lineRule="auto"/>
        <w:ind w:firstLine="482" w:firstLineChars="200"/>
        <w:rPr>
          <w:b/>
          <w:sz w:val="24"/>
        </w:rPr>
      </w:pPr>
      <w:r>
        <w:rPr>
          <w:rFonts w:hint="eastAsia"/>
          <w:b/>
          <w:sz w:val="24"/>
        </w:rPr>
        <w:t>（5）开发要求</w:t>
      </w:r>
    </w:p>
    <w:p>
      <w:pPr>
        <w:spacing w:line="360" w:lineRule="auto"/>
        <w:ind w:firstLine="480" w:firstLineChars="200"/>
        <w:rPr>
          <w:sz w:val="24"/>
        </w:rPr>
      </w:pPr>
      <w:r>
        <w:rPr>
          <w:rFonts w:hint="eastAsia"/>
          <w:sz w:val="24"/>
        </w:rPr>
        <w:t>1）</w:t>
      </w:r>
      <w:r>
        <w:rPr>
          <w:sz w:val="24"/>
        </w:rPr>
        <w:t>对用户输入进行严格有效过滤</w:t>
      </w:r>
      <w:r>
        <w:rPr>
          <w:rFonts w:hint="eastAsia"/>
          <w:sz w:val="24"/>
        </w:rPr>
        <w:t>，</w:t>
      </w:r>
      <w:r>
        <w:rPr>
          <w:sz w:val="24"/>
        </w:rPr>
        <w:t>防止</w:t>
      </w:r>
      <w:r>
        <w:rPr>
          <w:b/>
          <w:bCs/>
          <w:i/>
          <w:iCs/>
          <w:sz w:val="24"/>
        </w:rPr>
        <w:t>sql</w:t>
      </w:r>
      <w:r>
        <w:rPr>
          <w:sz w:val="24"/>
        </w:rPr>
        <w:t>注入</w:t>
      </w:r>
      <w:r>
        <w:rPr>
          <w:rFonts w:hint="eastAsia"/>
          <w:sz w:val="24"/>
        </w:rPr>
        <w:t>、</w:t>
      </w:r>
      <w:r>
        <w:rPr>
          <w:b/>
          <w:bCs/>
          <w:i/>
          <w:iCs/>
          <w:sz w:val="24"/>
        </w:rPr>
        <w:t>xss</w:t>
      </w:r>
      <w:r>
        <w:rPr>
          <w:sz w:val="24"/>
        </w:rPr>
        <w:t>跨站脚本</w:t>
      </w:r>
      <w:r>
        <w:rPr>
          <w:rFonts w:hint="eastAsia"/>
          <w:sz w:val="24"/>
        </w:rPr>
        <w:t>、</w:t>
      </w:r>
      <w:r>
        <w:rPr>
          <w:sz w:val="24"/>
        </w:rPr>
        <w:t>命令执行，</w:t>
      </w:r>
      <w:r>
        <w:rPr>
          <w:b/>
          <w:bCs/>
          <w:i/>
          <w:iCs/>
          <w:sz w:val="24"/>
        </w:rPr>
        <w:t>crsf</w:t>
      </w:r>
      <w:r>
        <w:rPr>
          <w:sz w:val="24"/>
        </w:rPr>
        <w:t>跨站请求伪造等，建议采用白名单过滤策略</w:t>
      </w:r>
      <w:r>
        <w:rPr>
          <w:rFonts w:hint="eastAsia"/>
          <w:sz w:val="24"/>
        </w:rPr>
        <w:t>；</w:t>
      </w:r>
    </w:p>
    <w:p>
      <w:pPr>
        <w:spacing w:line="360" w:lineRule="auto"/>
        <w:ind w:firstLine="480" w:firstLineChars="200"/>
        <w:rPr>
          <w:sz w:val="24"/>
        </w:rPr>
      </w:pPr>
      <w:r>
        <w:rPr>
          <w:rFonts w:hint="eastAsia"/>
          <w:sz w:val="24"/>
        </w:rPr>
        <w:t>2）</w:t>
      </w:r>
      <w:r>
        <w:rPr>
          <w:sz w:val="24"/>
        </w:rPr>
        <w:t>禁止在</w:t>
      </w:r>
      <w:r>
        <w:rPr>
          <w:b/>
          <w:bCs/>
          <w:i/>
          <w:iCs/>
          <w:sz w:val="24"/>
        </w:rPr>
        <w:t>HTTP</w:t>
      </w:r>
      <w:r>
        <w:rPr>
          <w:sz w:val="24"/>
        </w:rPr>
        <w:t>请求中以明文或可逆编码（如</w:t>
      </w:r>
      <w:r>
        <w:rPr>
          <w:b/>
          <w:bCs/>
          <w:i/>
          <w:iCs/>
          <w:sz w:val="24"/>
        </w:rPr>
        <w:t>base64、url</w:t>
      </w:r>
      <w:r>
        <w:rPr>
          <w:sz w:val="24"/>
        </w:rPr>
        <w:t>编码等）的形式传递</w:t>
      </w:r>
      <w:r>
        <w:rPr>
          <w:b/>
          <w:bCs/>
          <w:i/>
          <w:iCs/>
          <w:sz w:val="24"/>
        </w:rPr>
        <w:t>SQL</w:t>
      </w:r>
      <w:r>
        <w:rPr>
          <w:sz w:val="24"/>
        </w:rPr>
        <w:t>语句到后端程序代入执行，禁止由</w:t>
      </w:r>
      <w:r>
        <w:rPr>
          <w:b/>
          <w:bCs/>
          <w:i/>
          <w:iCs/>
          <w:sz w:val="24"/>
        </w:rPr>
        <w:t>Web</w:t>
      </w:r>
      <w:r>
        <w:rPr>
          <w:sz w:val="24"/>
        </w:rPr>
        <w:t>前端直接生成和传递</w:t>
      </w:r>
      <w:r>
        <w:rPr>
          <w:b/>
          <w:bCs/>
          <w:i/>
          <w:iCs/>
          <w:sz w:val="24"/>
        </w:rPr>
        <w:t>SQL</w:t>
      </w:r>
      <w:r>
        <w:rPr>
          <w:sz w:val="24"/>
        </w:rPr>
        <w:t>语句到数据库进行执行，数据库查询必须采用预编译和参数结构化查询。如果程序确实需要将</w:t>
      </w:r>
      <w:r>
        <w:rPr>
          <w:b/>
          <w:bCs/>
          <w:i/>
          <w:iCs/>
          <w:sz w:val="24"/>
        </w:rPr>
        <w:t>SQL</w:t>
      </w:r>
      <w:r>
        <w:rPr>
          <w:sz w:val="24"/>
        </w:rPr>
        <w:t>语句作为内容（非可执行代码的形式，如学生毕业设计、代码样例等）到后台，请在项目上线交付前书面说明相应的功能代码及位置</w:t>
      </w:r>
      <w:r>
        <w:rPr>
          <w:rFonts w:hint="eastAsia"/>
          <w:sz w:val="24"/>
        </w:rPr>
        <w:t>；</w:t>
      </w:r>
    </w:p>
    <w:p>
      <w:pPr>
        <w:spacing w:line="360" w:lineRule="auto"/>
        <w:ind w:firstLine="480" w:firstLineChars="200"/>
        <w:rPr>
          <w:sz w:val="24"/>
        </w:rPr>
      </w:pPr>
      <w:r>
        <w:rPr>
          <w:rFonts w:hint="eastAsia"/>
          <w:sz w:val="24"/>
        </w:rPr>
        <w:t>3）</w:t>
      </w:r>
      <w:r>
        <w:rPr>
          <w:sz w:val="24"/>
        </w:rPr>
        <w:t>控制上传点，对于上传文件类型进行严格控制（禁止用</w:t>
      </w:r>
      <w:r>
        <w:rPr>
          <w:b/>
          <w:bCs/>
          <w:i/>
          <w:iCs/>
          <w:sz w:val="24"/>
        </w:rPr>
        <w:t>js</w:t>
      </w:r>
      <w:r>
        <w:rPr>
          <w:sz w:val="24"/>
        </w:rPr>
        <w:t>进行控制），上传目录不能有执行权限，原则上不允许有未经</w:t>
      </w:r>
      <w:r>
        <w:rPr>
          <w:rFonts w:hint="eastAsia"/>
          <w:sz w:val="24"/>
        </w:rPr>
        <w:t>登录</w:t>
      </w:r>
      <w:r>
        <w:rPr>
          <w:sz w:val="24"/>
        </w:rPr>
        <w:t>验证的上传点</w:t>
      </w:r>
      <w:r>
        <w:rPr>
          <w:rFonts w:hint="eastAsia"/>
          <w:sz w:val="24"/>
        </w:rPr>
        <w:t>；</w:t>
      </w:r>
    </w:p>
    <w:p>
      <w:pPr>
        <w:spacing w:line="360" w:lineRule="auto"/>
        <w:ind w:firstLine="480" w:firstLineChars="200"/>
        <w:rPr>
          <w:sz w:val="24"/>
        </w:rPr>
      </w:pPr>
      <w:r>
        <w:rPr>
          <w:rFonts w:hint="eastAsia"/>
          <w:sz w:val="24"/>
        </w:rPr>
        <w:t>4）</w:t>
      </w:r>
      <w:r>
        <w:rPr>
          <w:sz w:val="24"/>
        </w:rPr>
        <w:t>设置有效的身份认证、会话管理及访问控制机制，防止越权、平行权限及提权等（禁止利用</w:t>
      </w:r>
      <w:r>
        <w:rPr>
          <w:b/>
          <w:bCs/>
          <w:i/>
          <w:iCs/>
          <w:sz w:val="24"/>
        </w:rPr>
        <w:t>js</w:t>
      </w:r>
      <w:r>
        <w:rPr>
          <w:sz w:val="24"/>
        </w:rPr>
        <w:t>进行控制及验证）。</w:t>
      </w:r>
    </w:p>
    <w:p>
      <w:pPr>
        <w:spacing w:line="360" w:lineRule="auto"/>
        <w:ind w:firstLine="482" w:firstLineChars="200"/>
        <w:rPr>
          <w:b/>
          <w:sz w:val="24"/>
        </w:rPr>
      </w:pPr>
      <w:r>
        <w:rPr>
          <w:rFonts w:hint="eastAsia"/>
          <w:b/>
          <w:sz w:val="24"/>
        </w:rPr>
        <w:t>（6）</w:t>
      </w:r>
      <w:r>
        <w:rPr>
          <w:b/>
          <w:sz w:val="24"/>
        </w:rPr>
        <w:t>密码复杂度要求</w:t>
      </w:r>
    </w:p>
    <w:p>
      <w:pPr>
        <w:spacing w:line="360" w:lineRule="auto"/>
        <w:ind w:firstLine="480" w:firstLineChars="200"/>
        <w:rPr>
          <w:rFonts w:hint="eastAsia"/>
          <w:sz w:val="24"/>
        </w:rPr>
      </w:pPr>
      <w:r>
        <w:rPr>
          <w:sz w:val="24"/>
        </w:rPr>
        <w:t>系统必须有密码复杂度检查模块，设置有效的验证码或者滑动等手段防止暴力破解，密码长度须大于8位，含字母（大小写）、数字及符号组合，重要系统须采用二次认证。禁止在数据库中明文存放用户密码，需进行带</w:t>
      </w:r>
      <w:r>
        <w:rPr>
          <w:b/>
          <w:bCs/>
          <w:i/>
          <w:iCs/>
          <w:sz w:val="24"/>
        </w:rPr>
        <w:t>salt</w:t>
      </w:r>
      <w:r>
        <w:rPr>
          <w:sz w:val="24"/>
        </w:rPr>
        <w:t>的哈希之后入库。对于多次错误</w:t>
      </w:r>
      <w:r>
        <w:rPr>
          <w:rFonts w:hint="eastAsia"/>
          <w:sz w:val="24"/>
        </w:rPr>
        <w:t>登录</w:t>
      </w:r>
      <w:r>
        <w:rPr>
          <w:sz w:val="24"/>
        </w:rPr>
        <w:t>进行封堵。如果长期不</w:t>
      </w:r>
      <w:r>
        <w:rPr>
          <w:rFonts w:hint="eastAsia"/>
          <w:sz w:val="24"/>
        </w:rPr>
        <w:t>登录</w:t>
      </w:r>
      <w:r>
        <w:rPr>
          <w:sz w:val="24"/>
        </w:rPr>
        <w:t>默认账号应停用处理</w:t>
      </w:r>
      <w:r>
        <w:rPr>
          <w:rFonts w:hint="eastAsia"/>
          <w:sz w:val="24"/>
        </w:rPr>
        <w:t>。</w:t>
      </w:r>
    </w:p>
    <w:p>
      <w:pPr>
        <w:spacing w:line="360" w:lineRule="auto"/>
        <w:ind w:firstLine="482" w:firstLineChars="200"/>
        <w:rPr>
          <w:b/>
          <w:sz w:val="24"/>
        </w:rPr>
      </w:pPr>
      <w:r>
        <w:rPr>
          <w:rFonts w:hint="eastAsia"/>
          <w:b/>
          <w:sz w:val="24"/>
        </w:rPr>
        <w:t>（7）数据保护要求</w:t>
      </w:r>
    </w:p>
    <w:p>
      <w:pPr>
        <w:spacing w:line="360" w:lineRule="auto"/>
        <w:ind w:firstLine="480" w:firstLineChars="200"/>
        <w:rPr>
          <w:rFonts w:hint="eastAsia"/>
          <w:sz w:val="24"/>
        </w:rPr>
      </w:pPr>
      <w:r>
        <w:rPr>
          <w:sz w:val="24"/>
        </w:rPr>
        <w:t>对于身份信息、单位职务、财务信息、健康信息、通讯信息等敏感信息禁止在数据库中明文存放</w:t>
      </w:r>
      <w:r>
        <w:rPr>
          <w:rFonts w:hint="eastAsia"/>
          <w:sz w:val="24"/>
        </w:rPr>
        <w:t>。</w:t>
      </w:r>
    </w:p>
    <w:p>
      <w:pPr>
        <w:spacing w:line="360" w:lineRule="auto"/>
        <w:ind w:firstLine="482" w:firstLineChars="200"/>
        <w:rPr>
          <w:rFonts w:hint="eastAsia"/>
          <w:b/>
          <w:sz w:val="24"/>
        </w:rPr>
      </w:pPr>
      <w:r>
        <w:rPr>
          <w:rFonts w:hint="eastAsia"/>
          <w:b/>
          <w:sz w:val="24"/>
        </w:rPr>
        <w:t>（8）系统安全评测和等保评测要求</w:t>
      </w:r>
    </w:p>
    <w:p>
      <w:pPr>
        <w:spacing w:line="360" w:lineRule="auto"/>
        <w:ind w:firstLine="480" w:firstLineChars="200"/>
        <w:rPr>
          <w:rFonts w:hint="eastAsia"/>
          <w:sz w:val="24"/>
        </w:rPr>
      </w:pPr>
      <w:r>
        <w:rPr>
          <w:rFonts w:hint="eastAsia"/>
          <w:sz w:val="24"/>
        </w:rPr>
        <w:t>为配合系统安全评测及等级保护定级和评测的相关要求，须提供如下系统信息：</w:t>
      </w:r>
    </w:p>
    <w:p>
      <w:pPr>
        <w:spacing w:line="360" w:lineRule="auto"/>
        <w:ind w:firstLine="480" w:firstLineChars="200"/>
        <w:rPr>
          <w:sz w:val="24"/>
        </w:rPr>
      </w:pPr>
      <w:r>
        <w:rPr>
          <w:rFonts w:hint="eastAsia"/>
          <w:sz w:val="24"/>
        </w:rPr>
        <w:t>1）操作系统版本、补丁情况；</w:t>
      </w:r>
    </w:p>
    <w:p>
      <w:pPr>
        <w:spacing w:line="360" w:lineRule="auto"/>
        <w:ind w:firstLine="480" w:firstLineChars="200"/>
        <w:rPr>
          <w:rFonts w:hint="eastAsia"/>
          <w:sz w:val="24"/>
        </w:rPr>
      </w:pPr>
      <w:r>
        <w:rPr>
          <w:rFonts w:hint="eastAsia"/>
          <w:sz w:val="24"/>
        </w:rPr>
        <w:t>2）开放的网络端口及用途；</w:t>
      </w:r>
    </w:p>
    <w:p>
      <w:pPr>
        <w:spacing w:line="360" w:lineRule="auto"/>
        <w:ind w:firstLine="480" w:firstLineChars="200"/>
        <w:rPr>
          <w:rFonts w:hint="eastAsia"/>
          <w:sz w:val="24"/>
        </w:rPr>
      </w:pPr>
      <w:r>
        <w:rPr>
          <w:rFonts w:hint="eastAsia"/>
          <w:sz w:val="24"/>
        </w:rPr>
        <w:t>3）所有第三方中间件、开发包、数据库、服务版本及管理地址。如：</w:t>
      </w:r>
      <w:r>
        <w:rPr>
          <w:rFonts w:hint="eastAsia"/>
          <w:b/>
          <w:bCs/>
          <w:i/>
          <w:iCs/>
          <w:sz w:val="24"/>
        </w:rPr>
        <w:t>tomcat</w:t>
      </w:r>
      <w:r>
        <w:rPr>
          <w:b/>
          <w:bCs/>
          <w:i/>
          <w:iCs/>
          <w:sz w:val="24"/>
        </w:rPr>
        <w:t xml:space="preserve"> </w:t>
      </w:r>
      <w:r>
        <w:rPr>
          <w:rFonts w:hint="eastAsia"/>
          <w:sz w:val="24"/>
        </w:rPr>
        <w:t>8.0、</w:t>
      </w:r>
      <w:r>
        <w:rPr>
          <w:rFonts w:hint="eastAsia"/>
          <w:b/>
          <w:bCs/>
          <w:i/>
          <w:iCs/>
          <w:sz w:val="24"/>
        </w:rPr>
        <w:t>apache</w:t>
      </w:r>
      <w:r>
        <w:rPr>
          <w:b/>
          <w:bCs/>
          <w:i/>
          <w:iCs/>
          <w:sz w:val="24"/>
        </w:rPr>
        <w:t xml:space="preserve"> </w:t>
      </w:r>
      <w:r>
        <w:rPr>
          <w:sz w:val="24"/>
        </w:rPr>
        <w:t xml:space="preserve">2.4.2 </w:t>
      </w:r>
      <w:r>
        <w:rPr>
          <w:rFonts w:hint="eastAsia"/>
          <w:sz w:val="24"/>
        </w:rPr>
        <w:t>、</w:t>
      </w:r>
      <w:r>
        <w:rPr>
          <w:rFonts w:hint="eastAsia"/>
          <w:b/>
          <w:bCs/>
          <w:i/>
          <w:iCs/>
          <w:sz w:val="24"/>
        </w:rPr>
        <w:t>jquery</w:t>
      </w:r>
      <w:r>
        <w:rPr>
          <w:b/>
          <w:bCs/>
          <w:i/>
          <w:iCs/>
          <w:sz w:val="24"/>
        </w:rPr>
        <w:t xml:space="preserve"> </w:t>
      </w:r>
      <w:r>
        <w:rPr>
          <w:sz w:val="24"/>
        </w:rPr>
        <w:t>3.1.0</w:t>
      </w:r>
      <w:r>
        <w:rPr>
          <w:rFonts w:hint="eastAsia"/>
          <w:sz w:val="24"/>
        </w:rPr>
        <w:t>、</w:t>
      </w:r>
      <w:r>
        <w:rPr>
          <w:rFonts w:hint="eastAsia"/>
          <w:b/>
          <w:bCs/>
          <w:i/>
          <w:iCs/>
          <w:sz w:val="24"/>
        </w:rPr>
        <w:t>mysql</w:t>
      </w:r>
      <w:r>
        <w:rPr>
          <w:b/>
          <w:bCs/>
          <w:i/>
          <w:iCs/>
          <w:sz w:val="24"/>
        </w:rPr>
        <w:t xml:space="preserve"> </w:t>
      </w:r>
      <w:r>
        <w:rPr>
          <w:sz w:val="24"/>
        </w:rPr>
        <w:t>5.0</w:t>
      </w:r>
      <w:r>
        <w:rPr>
          <w:rFonts w:hint="eastAsia"/>
          <w:sz w:val="24"/>
        </w:rPr>
        <w:t>等；</w:t>
      </w:r>
    </w:p>
    <w:p>
      <w:pPr>
        <w:spacing w:line="360" w:lineRule="auto"/>
        <w:ind w:firstLine="480" w:firstLineChars="200"/>
        <w:rPr>
          <w:rFonts w:hint="eastAsia"/>
          <w:sz w:val="24"/>
        </w:rPr>
      </w:pPr>
      <w:r>
        <w:rPr>
          <w:rFonts w:hint="eastAsia"/>
          <w:sz w:val="24"/>
        </w:rPr>
        <w:t>4）系统的用户登录路径、登录用户名和密码（必须为复杂密码，评测后更改），系统密码的设置策略（是否满足（6）关于密码复杂度的要求）；</w:t>
      </w:r>
    </w:p>
    <w:p>
      <w:pPr>
        <w:spacing w:line="360" w:lineRule="auto"/>
        <w:ind w:firstLine="480" w:firstLineChars="200"/>
        <w:rPr>
          <w:rFonts w:hint="eastAsia"/>
          <w:sz w:val="24"/>
        </w:rPr>
      </w:pPr>
      <w:r>
        <w:rPr>
          <w:rFonts w:hint="eastAsia"/>
          <w:sz w:val="24"/>
        </w:rPr>
        <w:t>5）系统访问路径和系统管理端路径。</w:t>
      </w:r>
    </w:p>
    <w:p>
      <w:pPr>
        <w:pStyle w:val="5"/>
        <w:rPr>
          <w:rFonts w:hint="eastAsia"/>
        </w:rPr>
      </w:pPr>
      <w:bookmarkStart w:id="55" w:name="_Toc511904046"/>
      <w:r>
        <w:rPr>
          <w:rFonts w:hint="eastAsia"/>
        </w:rPr>
        <w:t>4、对系统部署方式的要求</w:t>
      </w:r>
      <w:bookmarkEnd w:id="55"/>
    </w:p>
    <w:p>
      <w:pPr>
        <w:spacing w:line="360" w:lineRule="auto"/>
        <w:ind w:firstLine="480" w:firstLineChars="200"/>
        <w:rPr>
          <w:sz w:val="24"/>
        </w:rPr>
      </w:pPr>
      <w:r>
        <w:rPr>
          <w:rFonts w:hint="eastAsia"/>
          <w:sz w:val="24"/>
        </w:rPr>
        <w:t>系统部署应充分考虑到哈尔滨工业大学现有信息化总体框架以及对未来发展的适应性，要求系统支持单机部署、双机部署、集群部署以及云平台部署的相关要求，并支持负载均衡。</w:t>
      </w:r>
    </w:p>
    <w:p>
      <w:pPr>
        <w:spacing w:line="360" w:lineRule="auto"/>
        <w:ind w:firstLine="480" w:firstLineChars="200"/>
        <w:rPr>
          <w:rFonts w:hint="eastAsia"/>
          <w:sz w:val="24"/>
        </w:rPr>
      </w:pPr>
      <w:r>
        <w:rPr>
          <w:rFonts w:hint="eastAsia"/>
          <w:sz w:val="24"/>
        </w:rPr>
        <w:t>对提出的系统资源配置需求，需提供相应的申请内容，包括但不限于业务平台拓扑、计算资源需求、网络资源需求、存储资源需求（要求提供针对我校实际需求的计算依据，如最大并发、用户增长、网络带宽、CPU、内存、存储需求量测算及具体对外提供服务端口等）。</w:t>
      </w:r>
    </w:p>
    <w:p>
      <w:pPr>
        <w:pStyle w:val="5"/>
        <w:rPr>
          <w:rFonts w:hint="eastAsia"/>
        </w:rPr>
      </w:pPr>
      <w:bookmarkStart w:id="56" w:name="_Toc511904047"/>
      <w:r>
        <w:rPr>
          <w:rFonts w:hint="eastAsia"/>
        </w:rPr>
        <w:t>5、对相关文档和交付物的要求</w:t>
      </w:r>
      <w:bookmarkEnd w:id="56"/>
    </w:p>
    <w:p>
      <w:pPr>
        <w:spacing w:line="360" w:lineRule="auto"/>
        <w:ind w:firstLine="480" w:firstLineChars="200"/>
        <w:rPr>
          <w:sz w:val="24"/>
        </w:rPr>
      </w:pPr>
      <w:r>
        <w:rPr>
          <w:rFonts w:hint="eastAsia"/>
          <w:sz w:val="24"/>
        </w:rPr>
        <w:t>乙方在项目验收通过后向甲方提供该项目形成的成果和相关文档。乙方向甲方提供的成果和文档资料不得人为设置技术障碍影响甲方的维护和二次开发。</w:t>
      </w:r>
    </w:p>
    <w:p>
      <w:pPr>
        <w:spacing w:line="360" w:lineRule="auto"/>
        <w:ind w:firstLine="480" w:firstLineChars="200"/>
        <w:rPr>
          <w:rFonts w:hint="eastAsia"/>
          <w:sz w:val="24"/>
        </w:rPr>
      </w:pPr>
      <w:r>
        <w:rPr>
          <w:rFonts w:hint="eastAsia"/>
          <w:sz w:val="24"/>
        </w:rPr>
        <w:t>本项目交付成果（参见项目建设内容）。</w:t>
      </w:r>
    </w:p>
    <w:p>
      <w:pPr>
        <w:spacing w:line="360" w:lineRule="auto"/>
        <w:ind w:firstLine="480" w:firstLineChars="200"/>
        <w:rPr>
          <w:rFonts w:hint="eastAsia"/>
          <w:sz w:val="24"/>
        </w:rPr>
      </w:pPr>
      <w:r>
        <w:rPr>
          <w:rFonts w:hint="eastAsia"/>
          <w:sz w:val="24"/>
        </w:rPr>
        <w:t>提供的文档资料包括：</w:t>
      </w:r>
    </w:p>
    <w:p>
      <w:pPr>
        <w:spacing w:line="360" w:lineRule="auto"/>
        <w:ind w:firstLine="480" w:firstLineChars="200"/>
        <w:rPr>
          <w:rFonts w:hint="eastAsia"/>
          <w:sz w:val="24"/>
        </w:rPr>
      </w:pPr>
      <w:r>
        <w:rPr>
          <w:rFonts w:hint="eastAsia"/>
          <w:sz w:val="24"/>
        </w:rPr>
        <w:t>（1）《项目实施计划》</w:t>
      </w:r>
    </w:p>
    <w:p>
      <w:pPr>
        <w:spacing w:line="360" w:lineRule="auto"/>
        <w:ind w:firstLine="480" w:firstLineChars="200"/>
        <w:rPr>
          <w:rFonts w:hint="eastAsia"/>
          <w:sz w:val="24"/>
        </w:rPr>
      </w:pPr>
      <w:r>
        <w:rPr>
          <w:rFonts w:hint="eastAsia"/>
          <w:sz w:val="24"/>
        </w:rPr>
        <w:t>（2）《项目实施计划变更协议》（如果有变更）</w:t>
      </w:r>
    </w:p>
    <w:p>
      <w:pPr>
        <w:spacing w:line="360" w:lineRule="auto"/>
        <w:ind w:firstLine="480" w:firstLineChars="200"/>
        <w:rPr>
          <w:rFonts w:hint="eastAsia"/>
          <w:sz w:val="24"/>
        </w:rPr>
      </w:pPr>
      <w:r>
        <w:rPr>
          <w:rFonts w:hint="eastAsia"/>
          <w:sz w:val="24"/>
        </w:rPr>
        <w:t>（3）《需求说明书》</w:t>
      </w:r>
    </w:p>
    <w:p>
      <w:pPr>
        <w:spacing w:line="360" w:lineRule="auto"/>
        <w:ind w:firstLine="480" w:firstLineChars="200"/>
        <w:rPr>
          <w:rFonts w:hint="eastAsia"/>
          <w:sz w:val="24"/>
        </w:rPr>
      </w:pPr>
      <w:r>
        <w:rPr>
          <w:rFonts w:hint="eastAsia"/>
          <w:sz w:val="24"/>
        </w:rPr>
        <w:t>（4）《需求变更协议》（如果有变更）</w:t>
      </w:r>
    </w:p>
    <w:p>
      <w:pPr>
        <w:spacing w:line="360" w:lineRule="auto"/>
        <w:ind w:firstLine="480" w:firstLineChars="200"/>
        <w:rPr>
          <w:sz w:val="24"/>
        </w:rPr>
      </w:pPr>
      <w:r>
        <w:rPr>
          <w:rFonts w:hint="eastAsia"/>
          <w:sz w:val="24"/>
        </w:rPr>
        <w:t>（5）《上线试运行确认单》</w:t>
      </w:r>
    </w:p>
    <w:p>
      <w:pPr>
        <w:spacing w:line="360" w:lineRule="auto"/>
        <w:ind w:firstLine="480" w:firstLineChars="200"/>
        <w:rPr>
          <w:rFonts w:hint="eastAsia"/>
          <w:sz w:val="24"/>
        </w:rPr>
      </w:pPr>
      <w:r>
        <w:rPr>
          <w:rFonts w:hint="eastAsia"/>
          <w:sz w:val="24"/>
        </w:rPr>
        <w:t>（6）《系统技术文档》</w:t>
      </w:r>
    </w:p>
    <w:p>
      <w:pPr>
        <w:spacing w:line="360" w:lineRule="auto"/>
        <w:ind w:firstLine="480" w:firstLineChars="200"/>
        <w:rPr>
          <w:rFonts w:hint="eastAsia"/>
          <w:sz w:val="24"/>
        </w:rPr>
      </w:pPr>
      <w:r>
        <w:rPr>
          <w:rFonts w:hint="eastAsia"/>
          <w:sz w:val="24"/>
        </w:rPr>
        <w:t>（7）《系统管理员手册》</w:t>
      </w:r>
    </w:p>
    <w:p>
      <w:pPr>
        <w:spacing w:line="360" w:lineRule="auto"/>
        <w:ind w:firstLine="480" w:firstLineChars="200"/>
        <w:rPr>
          <w:rFonts w:hint="eastAsia"/>
          <w:sz w:val="24"/>
        </w:rPr>
      </w:pPr>
      <w:r>
        <w:rPr>
          <w:rFonts w:hint="eastAsia"/>
          <w:sz w:val="24"/>
        </w:rPr>
        <w:t>（8）《用户手册》</w:t>
      </w:r>
    </w:p>
    <w:p>
      <w:pPr>
        <w:spacing w:line="360" w:lineRule="auto"/>
        <w:ind w:firstLine="480" w:firstLineChars="200"/>
        <w:rPr>
          <w:rFonts w:hint="eastAsia"/>
          <w:sz w:val="24"/>
        </w:rPr>
      </w:pPr>
      <w:r>
        <w:rPr>
          <w:rFonts w:hint="eastAsia"/>
          <w:sz w:val="24"/>
        </w:rPr>
        <w:t>乙方按哈尔滨工业大学档案馆归档要求，完成项目归档工作。</w:t>
      </w:r>
    </w:p>
    <w:p>
      <w:pPr>
        <w:rPr>
          <w:rFonts w:hint="eastAsia"/>
        </w:rPr>
      </w:pPr>
    </w:p>
    <w:p>
      <w:pPr>
        <w:pStyle w:val="4"/>
      </w:pPr>
      <w:bookmarkStart w:id="57" w:name="_Toc511904048"/>
      <w:bookmarkStart w:id="58" w:name="_Toc105082685"/>
      <w:r>
        <w:rPr>
          <w:rFonts w:hint="eastAsia"/>
        </w:rPr>
        <w:t>五、技术情报和资料的保密要求</w:t>
      </w:r>
      <w:bookmarkEnd w:id="57"/>
      <w:bookmarkEnd w:id="58"/>
    </w:p>
    <w:p>
      <w:pPr>
        <w:spacing w:line="360" w:lineRule="auto"/>
        <w:ind w:firstLine="480" w:firstLineChars="200"/>
        <w:rPr>
          <w:rFonts w:hint="eastAsia"/>
          <w:sz w:val="24"/>
        </w:rPr>
      </w:pPr>
      <w:r>
        <w:rPr>
          <w:rFonts w:hint="eastAsia"/>
          <w:sz w:val="24"/>
        </w:rPr>
        <w:t>采购甲乙双方均对对方提供的技术情报和资料承担保密义务，如需公开或向第三方提供，需经对方同意。乙方在工作中获取的甲方提供的信息、资料、数字均应予以严格保密，乙方负责本项目的人员不得向任何单位和个人泄密。如因泄密造成后果的，乙方应承担全部法律的责任。乙方对甲方提供的信息资料等在完成合作后返还甲方。</w:t>
      </w:r>
    </w:p>
    <w:p>
      <w:pPr>
        <w:spacing w:line="360" w:lineRule="auto"/>
        <w:ind w:firstLine="480" w:firstLineChars="200"/>
        <w:rPr>
          <w:rFonts w:hint="eastAsia" w:eastAsia="宋体"/>
          <w:lang w:val="en-US" w:eastAsia="zh-CN"/>
        </w:rPr>
      </w:pPr>
      <w:r>
        <w:rPr>
          <w:rFonts w:hint="eastAsia"/>
          <w:sz w:val="24"/>
        </w:rPr>
        <w:t>不论本合同是否变更、解除、终止，本条款长期有效。</w:t>
      </w:r>
      <w:bookmarkEnd w:id="8"/>
      <w:bookmarkEnd w:id="9"/>
      <w:bookmarkEnd w:id="10"/>
      <w:bookmarkEnd w:id="11"/>
      <w:bookmarkEnd w:id="12"/>
      <w:bookmarkEnd w:id="13"/>
    </w:p>
    <w:sectPr>
      <w:headerReference r:id="rId10" w:type="default"/>
      <w:footerReference r:id="rId1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w:instrText>
    </w:r>
    <w:r>
      <w:fldChar w:fldCharType="separate"/>
    </w:r>
    <w:r>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numPr>
        <w:ilvl w:val="0"/>
        <w:numId w:val="0"/>
      </w:numPr>
      <w:tabs>
        <w:tab w:val="left" w:pos="1080"/>
        <w:tab w:val="clear" w:pos="1200"/>
      </w:tabs>
      <w:ind w:leftChars="0"/>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numPr>
        <w:ilvl w:val="0"/>
        <w:numId w:val="0"/>
      </w:numPr>
      <w:pBdr>
        <w:bottom w:val="single" w:color="auto" w:sz="4" w:space="1"/>
      </w:pBdr>
      <w:tabs>
        <w:tab w:val="left" w:pos="1080"/>
        <w:tab w:val="clear" w:pos="1200"/>
      </w:tabs>
      <w:ind w:leftChars="0"/>
      <w:jc w:val="both"/>
      <w:rPr>
        <w:lang w:eastAsia="zh-CN"/>
      </w:rPr>
    </w:pPr>
    <w:r>
      <w:rPr>
        <w:rFonts w:hint="eastAsia" w:ascii="宋体" w:hAnsi="宋体"/>
        <w:sz w:val="21"/>
        <w:szCs w:val="21"/>
        <w:lang w:eastAsia="zh-CN"/>
      </w:rPr>
      <w:t xml:space="preserve">哈尔滨工业大学信息化专项物联网业务支撑平台一期项目招标要求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numPr>
        <w:ilvl w:val="0"/>
        <w:numId w:val="0"/>
      </w:numPr>
      <w:pBdr>
        <w:bottom w:val="single" w:color="auto" w:sz="4" w:space="1"/>
      </w:pBdr>
      <w:tabs>
        <w:tab w:val="clear" w:pos="1200"/>
      </w:tabs>
      <w:ind w:leftChars="0"/>
      <w:jc w:val="both"/>
      <w:rPr>
        <w:lang w:eastAsia="zh-CN"/>
      </w:rPr>
    </w:pPr>
    <w:r>
      <w:rPr>
        <w:rFonts w:hint="eastAsia" w:ascii="宋体" w:hAnsi="宋体"/>
        <w:sz w:val="21"/>
        <w:szCs w:val="21"/>
        <w:lang w:eastAsia="zh-CN"/>
      </w:rPr>
      <w:t>哈尔滨工业大学信息化专项物联网业务支撑平台一期项目招标要求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9082D"/>
    <w:multiLevelType w:val="singleLevel"/>
    <w:tmpl w:val="1A99082D"/>
    <w:lvl w:ilvl="0" w:tentative="0">
      <w:start w:val="1"/>
      <w:numFmt w:val="bullet"/>
      <w:pStyle w:val="6"/>
      <w:lvlText w:val=""/>
      <w:lvlJc w:val="left"/>
      <w:pPr>
        <w:tabs>
          <w:tab w:val="left" w:pos="1200"/>
        </w:tabs>
        <w:ind w:left="1200" w:hanging="360"/>
      </w:pPr>
      <w:rPr>
        <w:rFonts w:hint="default" w:ascii="Wingdings" w:hAnsi="Wingdings"/>
      </w:rPr>
    </w:lvl>
  </w:abstractNum>
  <w:abstractNum w:abstractNumId="1">
    <w:nsid w:val="2B3C587E"/>
    <w:multiLevelType w:val="multilevel"/>
    <w:tmpl w:val="2B3C587E"/>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D71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240" w:after="240"/>
      <w:ind w:left="100" w:leftChars="100" w:right="100" w:rightChars="100"/>
      <w:jc w:val="center"/>
      <w:outlineLvl w:val="0"/>
    </w:pPr>
    <w:rPr>
      <w:rFonts w:eastAsia="黑体"/>
      <w:bCs/>
      <w:kern w:val="44"/>
      <w:sz w:val="44"/>
      <w:szCs w:val="44"/>
    </w:rPr>
  </w:style>
  <w:style w:type="paragraph" w:styleId="4">
    <w:name w:val="heading 2"/>
    <w:basedOn w:val="1"/>
    <w:next w:val="1"/>
    <w:qFormat/>
    <w:uiPriority w:val="9"/>
    <w:pPr>
      <w:keepNext/>
      <w:keepLines/>
      <w:outlineLvl w:val="1"/>
    </w:pPr>
    <w:rPr>
      <w:rFonts w:ascii="Arial" w:hAnsi="Arial" w:eastAsia="黑体"/>
      <w:bCs/>
      <w:sz w:val="28"/>
      <w:szCs w:val="32"/>
    </w:rPr>
  </w:style>
  <w:style w:type="paragraph" w:styleId="5">
    <w:name w:val="heading 3"/>
    <w:basedOn w:val="1"/>
    <w:next w:val="1"/>
    <w:qFormat/>
    <w:uiPriority w:val="0"/>
    <w:pPr>
      <w:tabs>
        <w:tab w:val="left" w:pos="851"/>
      </w:tabs>
      <w:autoSpaceDE w:val="0"/>
      <w:autoSpaceDN w:val="0"/>
      <w:adjustRightInd w:val="0"/>
      <w:snapToGrid w:val="0"/>
      <w:spacing w:line="360" w:lineRule="auto"/>
      <w:outlineLvl w:val="2"/>
    </w:pPr>
    <w:rPr>
      <w:rFonts w:ascii="宋体"/>
      <w:kern w:val="0"/>
      <w:szCs w:val="20"/>
    </w:rPr>
  </w:style>
  <w:style w:type="character" w:default="1" w:styleId="13">
    <w:name w:val="Default Paragraph Font"/>
    <w:semiHidden/>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customStyle="1" w:styleId="2">
    <w:name w:val="样式 10 磅31114"/>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List Bullet 3"/>
    <w:basedOn w:val="1"/>
    <w:uiPriority w:val="0"/>
    <w:pPr>
      <w:numPr>
        <w:ilvl w:val="0"/>
        <w:numId w:val="1"/>
      </w:numPr>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uiPriority w:val="0"/>
    <w:pPr>
      <w:widowControl/>
      <w:spacing w:before="100" w:beforeAutospacing="1" w:after="100" w:afterAutospacing="1"/>
      <w:jc w:val="left"/>
    </w:pPr>
    <w:rPr>
      <w:rFonts w:ascii="宋体" w:hAnsi="宋体" w:cs="宋体"/>
      <w:color w:val="000000"/>
      <w:kern w:val="0"/>
      <w:sz w:val="24"/>
    </w:rPr>
  </w:style>
  <w:style w:type="character" w:styleId="14">
    <w:name w:val="Hyperlink"/>
    <w:qFormat/>
    <w:uiPriority w:val="99"/>
    <w:rPr>
      <w:color w:val="0000FF"/>
      <w:u w:val="single"/>
    </w:rPr>
  </w:style>
  <w:style w:type="paragraph" w:customStyle="1" w:styleId="16">
    <w:name w:val="正文格式（小四）"/>
    <w:basedOn w:val="1"/>
    <w:qFormat/>
    <w:uiPriority w:val="0"/>
    <w:pPr>
      <w:widowControl/>
      <w:adjustRightInd w:val="0"/>
      <w:snapToGrid w:val="0"/>
      <w:spacing w:line="360" w:lineRule="auto"/>
      <w:ind w:firstLine="482"/>
      <w:jc w:val="left"/>
      <w:textAlignment w:val="baseline"/>
    </w:pPr>
    <w:rPr>
      <w:kern w:val="24"/>
      <w:sz w:val="24"/>
    </w:rPr>
  </w:style>
  <w:style w:type="paragraph" w:customStyle="1" w:styleId="17">
    <w:name w:val="可研报告正文"/>
    <w:basedOn w:val="1"/>
    <w:qFormat/>
    <w:uiPriority w:val="0"/>
    <w:pPr>
      <w:snapToGrid w:val="0"/>
      <w:spacing w:before="25" w:beforeLines="25" w:after="25" w:afterLines="25" w:line="520" w:lineRule="exact"/>
      <w:ind w:firstLine="560" w:firstLineChars="200"/>
    </w:pPr>
    <w:rPr>
      <w:rFonts w:ascii="Calibri" w:hAnsi="Calibri" w:eastAsia="仿宋_GB2312"/>
      <w:kern w:val="0"/>
      <w:sz w:val="28"/>
      <w:szCs w:val="52"/>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Administrator.PCOS-1807131022</dc:creator>
  <cp:lastModifiedBy>高绮珊</cp:lastModifiedBy>
  <dcterms:modified xsi:type="dcterms:W3CDTF">2022-07-04T00:12:49Z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