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szCs w:val="32"/>
        </w:rPr>
      </w:pPr>
      <w:r>
        <w:rPr>
          <w:b/>
          <w:sz w:val="44"/>
        </w:rPr>
        <w:drawing>
          <wp:anchor distT="0" distB="0" distL="114300" distR="114300" simplePos="0" relativeHeight="251659264" behindDoc="1" locked="0" layoutInCell="1" allowOverlap="1">
            <wp:simplePos x="0" y="0"/>
            <wp:positionH relativeFrom="column">
              <wp:posOffset>3823335</wp:posOffset>
            </wp:positionH>
            <wp:positionV relativeFrom="paragraph">
              <wp:posOffset>88265</wp:posOffset>
            </wp:positionV>
            <wp:extent cx="1628775" cy="600075"/>
            <wp:effectExtent l="0" t="0" r="0" b="0"/>
            <wp:wrapTight wrapText="bothSides">
              <wp:wrapPolygon>
                <wp:start x="-126" y="0"/>
                <wp:lineTo x="-126" y="21257"/>
                <wp:lineTo x="21600" y="21257"/>
                <wp:lineTo x="21600" y="0"/>
                <wp:lineTo x="-126" y="0"/>
              </wp:wrapPolygon>
            </wp:wrapTight>
            <wp:docPr id="1026" name="图片 8" descr="无标题"/>
            <wp:cNvGraphicFramePr/>
            <a:graphic xmlns:a="http://schemas.openxmlformats.org/drawingml/2006/main">
              <a:graphicData uri="http://schemas.openxmlformats.org/drawingml/2006/picture">
                <pic:pic xmlns:pic="http://schemas.openxmlformats.org/drawingml/2006/picture">
                  <pic:nvPicPr>
                    <pic:cNvPr id="1026" name="图片 8" descr="无标题"/>
                    <pic:cNvPicPr/>
                  </pic:nvPicPr>
                  <pic:blipFill>
                    <a:blip r:embed="rId8" cstate="print"/>
                    <a:srcRect/>
                    <a:stretch>
                      <a:fillRect/>
                    </a:stretch>
                  </pic:blipFill>
                  <pic:spPr>
                    <a:xfrm>
                      <a:off x="0" y="0"/>
                      <a:ext cx="1628775" cy="600075"/>
                    </a:xfrm>
                    <a:prstGeom prst="rect">
                      <a:avLst/>
                    </a:prstGeom>
                    <a:ln>
                      <a:noFill/>
                    </a:ln>
                  </pic:spPr>
                </pic:pic>
              </a:graphicData>
            </a:graphic>
          </wp:anchor>
        </w:drawing>
      </w:r>
    </w:p>
    <w:p>
      <w:pPr>
        <w:ind w:right="-281"/>
        <w:jc w:val="right"/>
        <w:rPr>
          <w:rFonts w:ascii="Bookman Old Style" w:hAnsi="Bookman Old Style"/>
          <w:b/>
          <w:sz w:val="28"/>
        </w:rPr>
      </w:pPr>
    </w:p>
    <w:p>
      <w:pPr>
        <w:spacing w:after="240" w:afterLines="100" w:line="500" w:lineRule="exact"/>
        <w:jc w:val="center"/>
        <w:rPr>
          <w:b/>
          <w:sz w:val="44"/>
          <w:szCs w:val="44"/>
        </w:rPr>
      </w:pPr>
    </w:p>
    <w:p>
      <w:pPr>
        <w:spacing w:after="240" w:afterLines="100" w:line="500" w:lineRule="exact"/>
        <w:jc w:val="center"/>
        <w:rPr>
          <w:b/>
          <w:sz w:val="52"/>
          <w:szCs w:val="52"/>
        </w:rPr>
      </w:pPr>
    </w:p>
    <w:p>
      <w:pPr>
        <w:spacing w:line="360" w:lineRule="auto"/>
        <w:jc w:val="center"/>
        <w:rPr>
          <w:b/>
          <w:sz w:val="44"/>
        </w:rPr>
      </w:pPr>
      <w:r>
        <w:rPr>
          <w:rFonts w:hint="eastAsia"/>
          <w:b/>
          <w:sz w:val="52"/>
          <w:szCs w:val="52"/>
        </w:rPr>
        <w:t>人工智能与数字经济广东省实验室（广州）知识产权代理服务采购项目</w:t>
      </w:r>
    </w:p>
    <w:p>
      <w:pPr>
        <w:spacing w:line="360" w:lineRule="auto"/>
        <w:rPr>
          <w:b/>
          <w:sz w:val="44"/>
        </w:rPr>
      </w:pPr>
    </w:p>
    <w:p>
      <w:pPr>
        <w:spacing w:line="360" w:lineRule="auto"/>
        <w:jc w:val="center"/>
        <w:rPr>
          <w:rFonts w:ascii="宋体" w:hAnsi="宋体"/>
          <w:b/>
          <w:szCs w:val="21"/>
        </w:rPr>
      </w:pPr>
      <w:r>
        <w:rPr>
          <w:rFonts w:hint="eastAsia" w:ascii="宋体" w:hAnsi="宋体"/>
          <w:b/>
          <w:sz w:val="72"/>
          <w:szCs w:val="52"/>
        </w:rPr>
        <w:t>招标文件</w:t>
      </w:r>
    </w:p>
    <w:p>
      <w:pPr>
        <w:spacing w:line="360" w:lineRule="auto"/>
        <w:rPr>
          <w:rFonts w:ascii="宋体" w:hAnsi="宋体"/>
          <w:b/>
          <w:sz w:val="44"/>
          <w:szCs w:val="44"/>
        </w:rPr>
      </w:pPr>
    </w:p>
    <w:p>
      <w:pPr>
        <w:spacing w:line="360" w:lineRule="auto"/>
        <w:jc w:val="center"/>
        <w:rPr>
          <w:rFonts w:ascii="宋体" w:hAnsi="宋体"/>
          <w:b/>
          <w:sz w:val="30"/>
          <w:szCs w:val="30"/>
        </w:rPr>
      </w:pPr>
    </w:p>
    <w:p>
      <w:pPr>
        <w:spacing w:line="360" w:lineRule="auto"/>
        <w:ind w:firstLine="2168" w:firstLineChars="600"/>
        <w:rPr>
          <w:b/>
          <w:sz w:val="32"/>
          <w:u w:val="single"/>
        </w:rPr>
      </w:pPr>
      <w:r>
        <w:rPr>
          <w:rFonts w:hint="eastAsia" w:ascii="宋体" w:hAnsi="宋体"/>
          <w:b/>
          <w:sz w:val="36"/>
          <w:szCs w:val="36"/>
        </w:rPr>
        <w:t>招标编号：OITC-G220290050</w:t>
      </w:r>
    </w:p>
    <w:p>
      <w:pPr>
        <w:spacing w:line="360" w:lineRule="auto"/>
        <w:rPr>
          <w:b/>
          <w:sz w:val="32"/>
        </w:rPr>
      </w:pPr>
    </w:p>
    <w:p>
      <w:pPr>
        <w:adjustRightInd w:val="0"/>
        <w:snapToGrid w:val="0"/>
        <w:spacing w:before="120"/>
        <w:jc w:val="center"/>
        <w:rPr>
          <w:rFonts w:ascii="宋体" w:hAnsi="宋体"/>
          <w:b/>
          <w:bCs/>
          <w:snapToGrid w:val="0"/>
          <w:spacing w:val="20"/>
          <w:sz w:val="36"/>
          <w:szCs w:val="36"/>
        </w:rPr>
      </w:pPr>
      <w:r>
        <w:rPr>
          <w:rFonts w:hint="eastAsia" w:ascii="宋体" w:hAnsi="宋体"/>
          <w:b/>
          <w:bCs/>
          <w:snapToGrid w:val="0"/>
          <w:spacing w:val="20"/>
          <w:sz w:val="36"/>
          <w:szCs w:val="36"/>
        </w:rPr>
        <w:t>东方国际招标有限责任公司</w:t>
      </w:r>
    </w:p>
    <w:p>
      <w:pPr>
        <w:adjustRightInd w:val="0"/>
        <w:snapToGrid w:val="0"/>
        <w:jc w:val="center"/>
        <w:rPr>
          <w:rFonts w:ascii="宋体" w:hAnsi="宋体"/>
          <w:b/>
          <w:snapToGrid w:val="0"/>
          <w:sz w:val="36"/>
          <w:szCs w:val="36"/>
        </w:rPr>
      </w:pPr>
    </w:p>
    <w:p>
      <w:pPr>
        <w:adjustRightInd w:val="0"/>
        <w:snapToGrid w:val="0"/>
        <w:jc w:val="center"/>
        <w:rPr>
          <w:rFonts w:ascii="宋体" w:hAnsi="宋体"/>
          <w:b/>
          <w:snapToGrid w:val="0"/>
          <w:sz w:val="36"/>
          <w:szCs w:val="36"/>
        </w:rPr>
      </w:pPr>
      <w:r>
        <w:rPr>
          <w:rFonts w:hint="eastAsia" w:ascii="宋体" w:hAnsi="宋体"/>
          <w:b/>
          <w:snapToGrid w:val="0"/>
          <w:sz w:val="36"/>
          <w:szCs w:val="36"/>
        </w:rPr>
        <w:t>中国·北京</w:t>
      </w:r>
    </w:p>
    <w:p>
      <w:pPr>
        <w:adjustRightInd w:val="0"/>
        <w:snapToGrid w:val="0"/>
        <w:jc w:val="center"/>
        <w:rPr>
          <w:rFonts w:ascii="宋体" w:hAnsi="宋体"/>
          <w:b/>
          <w:snapToGrid w:val="0"/>
          <w:sz w:val="36"/>
          <w:szCs w:val="36"/>
        </w:rPr>
      </w:pPr>
    </w:p>
    <w:p>
      <w:pPr>
        <w:adjustRightInd w:val="0"/>
        <w:snapToGrid w:val="0"/>
        <w:jc w:val="center"/>
        <w:rPr>
          <w:rFonts w:ascii="宋体" w:hAnsi="宋体"/>
          <w:b/>
          <w:sz w:val="32"/>
          <w:szCs w:val="32"/>
        </w:rPr>
      </w:pPr>
      <w:r>
        <w:rPr>
          <w:rFonts w:hint="eastAsia" w:ascii="宋体" w:hAnsi="宋体"/>
          <w:b/>
          <w:snapToGrid w:val="0"/>
          <w:sz w:val="36"/>
          <w:szCs w:val="36"/>
        </w:rPr>
        <w:t>202</w:t>
      </w:r>
      <w:r>
        <w:rPr>
          <w:rFonts w:ascii="宋体" w:hAnsi="宋体"/>
          <w:b/>
          <w:snapToGrid w:val="0"/>
          <w:sz w:val="36"/>
          <w:szCs w:val="36"/>
        </w:rPr>
        <w:t>2</w:t>
      </w:r>
      <w:r>
        <w:rPr>
          <w:rFonts w:hint="eastAsia" w:ascii="宋体" w:hAnsi="宋体"/>
          <w:b/>
          <w:snapToGrid w:val="0"/>
          <w:sz w:val="36"/>
          <w:szCs w:val="36"/>
        </w:rPr>
        <w:t>年</w:t>
      </w:r>
      <w:r>
        <w:rPr>
          <w:rFonts w:hint="eastAsia" w:ascii="宋体" w:hAnsi="宋体"/>
          <w:b/>
          <w:snapToGrid w:val="0"/>
          <w:sz w:val="36"/>
          <w:szCs w:val="36"/>
          <w:lang w:val="en-US" w:eastAsia="zh-CN"/>
        </w:rPr>
        <w:t>6</w:t>
      </w:r>
      <w:r>
        <w:rPr>
          <w:rFonts w:hint="eastAsia" w:ascii="宋体" w:hAnsi="宋体"/>
          <w:b/>
          <w:snapToGrid w:val="0"/>
          <w:sz w:val="36"/>
          <w:szCs w:val="36"/>
        </w:rPr>
        <w:t>月</w:t>
      </w:r>
    </w:p>
    <w:p>
      <w:pPr>
        <w:pStyle w:val="3"/>
        <w:snapToGrid w:val="0"/>
        <w:spacing w:before="0" w:after="0" w:line="240" w:lineRule="auto"/>
        <w:rPr>
          <w:rFonts w:hAnsi="宋体"/>
          <w:sz w:val="24"/>
          <w:szCs w:val="24"/>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jc w:val="center"/>
        <w:rPr>
          <w:rFonts w:ascii="宋体" w:hAnsi="宋体"/>
          <w:b/>
          <w:sz w:val="32"/>
          <w:szCs w:val="32"/>
        </w:rPr>
      </w:pPr>
      <w:r>
        <w:rPr>
          <w:rFonts w:hint="eastAsia" w:ascii="宋体" w:hAnsi="宋体"/>
          <w:b/>
          <w:sz w:val="32"/>
          <w:szCs w:val="32"/>
        </w:rPr>
        <w:t>目录</w:t>
      </w:r>
    </w:p>
    <w:p>
      <w:pPr>
        <w:rPr>
          <w:rFonts w:ascii="宋体" w:hAnsi="宋体"/>
          <w:sz w:val="24"/>
        </w:rPr>
      </w:pPr>
    </w:p>
    <w:p>
      <w:pPr>
        <w:spacing w:before="120" w:beforeLines="50" w:line="360" w:lineRule="auto"/>
        <w:rPr>
          <w:rFonts w:ascii="宋体" w:hAnsi="宋体"/>
          <w:sz w:val="28"/>
          <w:szCs w:val="28"/>
        </w:rPr>
      </w:pPr>
      <w:r>
        <w:rPr>
          <w:rFonts w:hint="eastAsia" w:ascii="宋体" w:hAnsi="宋体"/>
          <w:sz w:val="28"/>
          <w:szCs w:val="28"/>
        </w:rPr>
        <w:t>第一部分：投标邀请</w:t>
      </w:r>
    </w:p>
    <w:p>
      <w:pPr>
        <w:spacing w:before="120" w:beforeLines="50" w:line="360" w:lineRule="auto"/>
        <w:rPr>
          <w:rFonts w:ascii="宋体" w:hAnsi="宋体"/>
          <w:sz w:val="28"/>
          <w:szCs w:val="28"/>
        </w:rPr>
      </w:pPr>
      <w:r>
        <w:rPr>
          <w:rFonts w:hint="eastAsia" w:ascii="宋体" w:hAnsi="宋体"/>
          <w:sz w:val="28"/>
          <w:szCs w:val="28"/>
        </w:rPr>
        <w:t>第二部分：投标人须知资料表</w:t>
      </w:r>
    </w:p>
    <w:p>
      <w:pPr>
        <w:spacing w:before="120" w:beforeLines="50" w:line="360" w:lineRule="auto"/>
        <w:rPr>
          <w:rFonts w:ascii="宋体" w:hAnsi="宋体"/>
          <w:sz w:val="28"/>
          <w:szCs w:val="28"/>
        </w:rPr>
      </w:pPr>
      <w:r>
        <w:rPr>
          <w:rFonts w:hint="eastAsia" w:ascii="宋体" w:hAnsi="宋体"/>
          <w:sz w:val="28"/>
          <w:szCs w:val="28"/>
        </w:rPr>
        <w:t>第三部分：投标须知</w:t>
      </w:r>
    </w:p>
    <w:p>
      <w:pPr>
        <w:spacing w:before="120" w:beforeLines="50" w:line="360" w:lineRule="auto"/>
        <w:rPr>
          <w:rFonts w:ascii="宋体" w:hAnsi="宋体"/>
          <w:sz w:val="28"/>
          <w:szCs w:val="28"/>
        </w:rPr>
      </w:pPr>
      <w:r>
        <w:rPr>
          <w:rFonts w:hint="eastAsia" w:ascii="宋体" w:hAnsi="宋体"/>
          <w:sz w:val="28"/>
          <w:szCs w:val="28"/>
        </w:rPr>
        <w:t>第四部分：项目范围及要求</w:t>
      </w:r>
    </w:p>
    <w:p>
      <w:pPr>
        <w:spacing w:before="120" w:beforeLines="50" w:line="360" w:lineRule="auto"/>
        <w:rPr>
          <w:rFonts w:ascii="宋体" w:hAnsi="宋体"/>
          <w:sz w:val="28"/>
          <w:szCs w:val="28"/>
        </w:rPr>
      </w:pPr>
      <w:r>
        <w:rPr>
          <w:rFonts w:hint="eastAsia" w:ascii="宋体" w:hAnsi="宋体"/>
          <w:sz w:val="28"/>
          <w:szCs w:val="28"/>
        </w:rPr>
        <w:t>第五部分：合同条款</w:t>
      </w:r>
    </w:p>
    <w:p>
      <w:pPr>
        <w:spacing w:before="120" w:beforeLines="50" w:line="360" w:lineRule="auto"/>
        <w:rPr>
          <w:rFonts w:ascii="宋体" w:hAnsi="宋体"/>
          <w:sz w:val="28"/>
          <w:szCs w:val="28"/>
        </w:rPr>
      </w:pPr>
      <w:r>
        <w:rPr>
          <w:rFonts w:hint="eastAsia" w:ascii="宋体" w:hAnsi="宋体"/>
          <w:sz w:val="28"/>
          <w:szCs w:val="28"/>
        </w:rPr>
        <w:t>第六部分：评标细则</w:t>
      </w:r>
    </w:p>
    <w:p>
      <w:pPr>
        <w:spacing w:before="120" w:beforeLines="50" w:line="360" w:lineRule="auto"/>
        <w:rPr>
          <w:b/>
          <w:sz w:val="40"/>
        </w:rPr>
      </w:pPr>
      <w:r>
        <w:rPr>
          <w:rFonts w:hint="eastAsia" w:ascii="宋体" w:hAnsi="宋体"/>
          <w:sz w:val="28"/>
          <w:szCs w:val="28"/>
        </w:rPr>
        <w:t>第七部分：投标文件格式</w:t>
      </w:r>
      <w:r>
        <w:rPr>
          <w:rFonts w:ascii="宋体" w:hAnsi="宋体"/>
        </w:rPr>
        <w:br w:type="page"/>
      </w: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spacing w:line="300" w:lineRule="auto"/>
        <w:jc w:val="center"/>
        <w:rPr>
          <w:rFonts w:ascii="黑体" w:eastAsia="黑体"/>
          <w:b/>
          <w:sz w:val="48"/>
        </w:rPr>
      </w:pPr>
    </w:p>
    <w:p>
      <w:pPr>
        <w:spacing w:line="300" w:lineRule="auto"/>
        <w:jc w:val="center"/>
        <w:rPr>
          <w:rFonts w:ascii="黑体" w:eastAsia="黑体"/>
          <w:b/>
          <w:sz w:val="48"/>
        </w:rPr>
      </w:pPr>
    </w:p>
    <w:p>
      <w:pPr>
        <w:spacing w:line="300" w:lineRule="auto"/>
        <w:jc w:val="center"/>
        <w:rPr>
          <w:rFonts w:ascii="黑体" w:eastAsia="黑体"/>
          <w:b/>
          <w:sz w:val="48"/>
        </w:rPr>
      </w:pPr>
    </w:p>
    <w:p>
      <w:pPr>
        <w:spacing w:line="300" w:lineRule="auto"/>
        <w:jc w:val="center"/>
        <w:rPr>
          <w:rFonts w:ascii="黑体" w:eastAsia="黑体"/>
          <w:b/>
          <w:sz w:val="48"/>
        </w:rPr>
      </w:pPr>
    </w:p>
    <w:p>
      <w:pPr>
        <w:spacing w:line="300" w:lineRule="auto"/>
        <w:rPr>
          <w:rFonts w:ascii="黑体" w:eastAsia="黑体"/>
          <w:b/>
          <w:sz w:val="48"/>
        </w:rPr>
      </w:pPr>
    </w:p>
    <w:p>
      <w:pPr>
        <w:spacing w:line="300" w:lineRule="auto"/>
        <w:jc w:val="center"/>
        <w:rPr>
          <w:rFonts w:ascii="宋体"/>
          <w:b/>
          <w:sz w:val="28"/>
        </w:rPr>
      </w:pPr>
      <w:r>
        <w:rPr>
          <w:rFonts w:hint="eastAsia" w:ascii="黑体" w:eastAsia="黑体"/>
          <w:b/>
          <w:sz w:val="48"/>
        </w:rPr>
        <w:t>第一部分投标邀请</w:t>
      </w: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tabs>
          <w:tab w:val="left" w:pos="6374"/>
        </w:tabs>
        <w:adjustRightInd w:val="0"/>
        <w:snapToGrid w:val="0"/>
        <w:rPr>
          <w:rFonts w:ascii="宋体" w:hAnsi="宋体"/>
        </w:rPr>
      </w:pPr>
      <w:r>
        <w:rPr>
          <w:rFonts w:ascii="宋体" w:hAnsi="宋体"/>
        </w:rPr>
        <w:tab/>
      </w:r>
    </w:p>
    <w:p>
      <w:pPr>
        <w:tabs>
          <w:tab w:val="left" w:pos="6374"/>
        </w:tabs>
        <w:adjustRightInd w:val="0"/>
        <w:snapToGrid w:val="0"/>
        <w:rPr>
          <w:rFonts w:ascii="宋体" w:hAnsi="宋体"/>
        </w:rPr>
      </w:pPr>
    </w:p>
    <w:p>
      <w:pPr>
        <w:tabs>
          <w:tab w:val="left" w:pos="6374"/>
        </w:tabs>
        <w:adjustRightInd w:val="0"/>
        <w:snapToGrid w:val="0"/>
        <w:rPr>
          <w:rFonts w:ascii="宋体" w:hAnsi="宋体"/>
        </w:rPr>
      </w:pPr>
    </w:p>
    <w:p>
      <w:pPr>
        <w:adjustRightInd w:val="0"/>
        <w:snapToGrid w:val="0"/>
        <w:rPr>
          <w:rFonts w:ascii="宋体" w:hAnsi="宋体"/>
        </w:rPr>
      </w:pPr>
    </w:p>
    <w:p>
      <w:pPr>
        <w:adjustRightInd w:val="0"/>
        <w:snapToGrid w:val="0"/>
        <w:rPr>
          <w:rFonts w:ascii="宋体" w:hAnsi="宋体"/>
        </w:rPr>
      </w:pPr>
    </w:p>
    <w:p>
      <w:pPr>
        <w:adjustRightInd w:val="0"/>
        <w:snapToGrid w:val="0"/>
        <w:jc w:val="center"/>
        <w:rPr>
          <w:rFonts w:ascii="宋体" w:hAnsi="宋体"/>
          <w:b/>
          <w:sz w:val="24"/>
        </w:rPr>
      </w:pPr>
      <w:r>
        <w:rPr>
          <w:rFonts w:hint="eastAsia" w:ascii="宋体" w:hAnsi="宋体"/>
          <w:b/>
          <w:sz w:val="30"/>
          <w:szCs w:val="30"/>
        </w:rPr>
        <w:t>第一部分投标邀请</w:t>
      </w:r>
    </w:p>
    <w:p>
      <w:pPr>
        <w:spacing w:line="360" w:lineRule="atLeast"/>
        <w:rPr>
          <w:rFonts w:ascii="宋体" w:hAnsi="宋体"/>
          <w:sz w:val="24"/>
        </w:rPr>
      </w:pPr>
      <w:bookmarkStart w:id="0" w:name="_Toc512937850"/>
    </w:p>
    <w:p>
      <w:pPr>
        <w:spacing w:line="360" w:lineRule="atLeast"/>
        <w:jc w:val="right"/>
        <w:rPr>
          <w:rFonts w:ascii="宋体" w:hAnsi="宋体"/>
          <w:sz w:val="24"/>
        </w:rPr>
      </w:pPr>
      <w:r>
        <w:rPr>
          <w:rFonts w:hint="eastAsia" w:ascii="宋体" w:hAnsi="宋体"/>
          <w:sz w:val="24"/>
        </w:rPr>
        <w:t>日期：</w:t>
      </w:r>
      <w:r>
        <w:rPr>
          <w:rFonts w:ascii="宋体" w:hAnsi="宋体"/>
          <w:sz w:val="24"/>
        </w:rPr>
        <w:t xml:space="preserve"> </w:t>
      </w:r>
      <w:r>
        <w:rPr>
          <w:rFonts w:ascii="宋体" w:hAnsi="宋体"/>
          <w:sz w:val="24"/>
          <w:u w:val="single"/>
        </w:rPr>
        <w:t>2</w:t>
      </w:r>
      <w:r>
        <w:rPr>
          <w:rFonts w:hint="eastAsia" w:ascii="宋体" w:hAnsi="宋体"/>
          <w:sz w:val="24"/>
          <w:u w:val="single"/>
        </w:rPr>
        <w:t>02</w:t>
      </w:r>
      <w:r>
        <w:rPr>
          <w:rFonts w:ascii="宋体" w:hAnsi="宋体"/>
          <w:sz w:val="24"/>
          <w:u w:val="single"/>
        </w:rPr>
        <w:t>2</w:t>
      </w:r>
      <w:r>
        <w:rPr>
          <w:rFonts w:hint="eastAsia" w:ascii="宋体" w:hAnsi="宋体"/>
          <w:sz w:val="24"/>
        </w:rPr>
        <w:t>年</w:t>
      </w:r>
      <w:r>
        <w:rPr>
          <w:rFonts w:hint="eastAsia" w:ascii="宋体" w:hAnsi="宋体"/>
          <w:sz w:val="24"/>
          <w:u w:val="single"/>
          <w:lang w:val="en-US" w:eastAsia="zh-CN"/>
        </w:rPr>
        <w:t>6</w:t>
      </w:r>
      <w:r>
        <w:rPr>
          <w:rFonts w:hint="eastAsia" w:ascii="宋体" w:hAnsi="宋体"/>
          <w:sz w:val="24"/>
        </w:rPr>
        <w:t>月</w:t>
      </w:r>
      <w:r>
        <w:rPr>
          <w:rFonts w:hint="eastAsia" w:ascii="宋体" w:hAnsi="宋体"/>
          <w:sz w:val="24"/>
          <w:lang w:val="en-US" w:eastAsia="zh-CN"/>
        </w:rPr>
        <w:t>08</w:t>
      </w:r>
      <w:r>
        <w:rPr>
          <w:rFonts w:hint="eastAsia" w:ascii="宋体" w:hAnsi="宋体"/>
          <w:sz w:val="24"/>
        </w:rPr>
        <w:t>日</w:t>
      </w:r>
    </w:p>
    <w:p>
      <w:pPr>
        <w:widowControl/>
        <w:adjustRightInd w:val="0"/>
        <w:snapToGrid w:val="0"/>
        <w:spacing w:line="360" w:lineRule="auto"/>
        <w:jc w:val="left"/>
        <w:rPr>
          <w:rFonts w:ascii="宋体" w:hAnsi="宋体"/>
          <w:sz w:val="24"/>
        </w:rPr>
      </w:pPr>
      <w:r>
        <w:rPr>
          <w:rFonts w:hint="eastAsia" w:ascii="宋体" w:hAnsi="宋体"/>
          <w:sz w:val="24"/>
        </w:rPr>
        <w:t xml:space="preserve">   </w:t>
      </w:r>
    </w:p>
    <w:p>
      <w:pPr>
        <w:widowControl/>
        <w:adjustRightInd w:val="0"/>
        <w:snapToGrid w:val="0"/>
        <w:spacing w:line="360" w:lineRule="auto"/>
        <w:jc w:val="left"/>
        <w:rPr>
          <w:rFonts w:ascii="宋体" w:hAnsi="宋体" w:cs="宋体"/>
          <w:b/>
          <w:kern w:val="0"/>
          <w:sz w:val="24"/>
        </w:rPr>
      </w:pPr>
      <w:r>
        <w:rPr>
          <w:rFonts w:hint="eastAsia" w:ascii="宋体" w:hAnsi="宋体" w:cs="宋体"/>
          <w:b/>
          <w:kern w:val="0"/>
          <w:sz w:val="24"/>
        </w:rPr>
        <w:t>项目概况</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人工智能与数字经济广东省实验室（广州）知识产权代理服务采购项目 招标项目的潜在投标人应</w:t>
      </w:r>
      <w:r>
        <w:rPr>
          <w:rFonts w:hint="eastAsia" w:ascii="宋体" w:hAnsi="宋体" w:cs="宋体"/>
          <w:kern w:val="0"/>
          <w:sz w:val="24"/>
          <w:highlight w:val="none"/>
        </w:rPr>
        <w:t>在www.o-science.com获取招标文件，并于</w:t>
      </w:r>
      <w:r>
        <w:rPr>
          <w:rFonts w:hint="eastAsia" w:ascii="宋体" w:hAnsi="宋体" w:cs="宋体"/>
          <w:sz w:val="24"/>
          <w:highlight w:val="none"/>
          <w:shd w:val="clear" w:color="auto" w:fill="FFFFFF"/>
        </w:rPr>
        <w:t>202</w:t>
      </w:r>
      <w:r>
        <w:rPr>
          <w:rFonts w:ascii="宋体" w:hAnsi="宋体" w:cs="宋体"/>
          <w:sz w:val="24"/>
          <w:highlight w:val="none"/>
          <w:shd w:val="clear" w:color="auto" w:fill="FFFFFF"/>
        </w:rPr>
        <w:t>2</w:t>
      </w:r>
      <w:r>
        <w:rPr>
          <w:rFonts w:hint="eastAsia" w:ascii="宋体" w:hAnsi="宋体" w:cs="宋体"/>
          <w:sz w:val="24"/>
          <w:highlight w:val="none"/>
          <w:shd w:val="clear" w:color="auto" w:fill="FFFFFF"/>
        </w:rPr>
        <w:t>年6月</w:t>
      </w:r>
      <w:r>
        <w:rPr>
          <w:rFonts w:hint="eastAsia" w:ascii="宋体" w:hAnsi="宋体" w:cs="宋体"/>
          <w:sz w:val="24"/>
          <w:highlight w:val="none"/>
          <w:shd w:val="clear" w:color="auto" w:fill="FFFFFF"/>
          <w:lang w:val="en-US" w:eastAsia="zh-CN"/>
        </w:rPr>
        <w:t>30</w:t>
      </w:r>
      <w:r>
        <w:rPr>
          <w:rFonts w:hint="eastAsia" w:ascii="宋体" w:hAnsi="宋体" w:cs="宋体"/>
          <w:sz w:val="24"/>
          <w:highlight w:val="none"/>
          <w:shd w:val="clear" w:color="auto" w:fill="FFFFFF"/>
        </w:rPr>
        <w:t>日0</w:t>
      </w:r>
      <w:r>
        <w:rPr>
          <w:rFonts w:ascii="宋体" w:hAnsi="宋体" w:cs="宋体"/>
          <w:sz w:val="24"/>
          <w:highlight w:val="none"/>
          <w:shd w:val="clear" w:color="auto" w:fill="FFFFFF"/>
        </w:rPr>
        <w:t>9</w:t>
      </w:r>
      <w:r>
        <w:rPr>
          <w:rFonts w:hint="eastAsia" w:ascii="宋体" w:hAnsi="宋体" w:cs="宋体"/>
          <w:sz w:val="24"/>
          <w:highlight w:val="none"/>
          <w:shd w:val="clear" w:color="auto" w:fill="FFFFFF"/>
        </w:rPr>
        <w:t>点30分（北京时间）</w:t>
      </w:r>
      <w:r>
        <w:rPr>
          <w:rFonts w:hint="eastAsia" w:ascii="宋体" w:hAnsi="宋体" w:cs="宋体"/>
          <w:kern w:val="0"/>
          <w:sz w:val="24"/>
          <w:highlight w:val="none"/>
        </w:rPr>
        <w:t xml:space="preserve">前递交投标文件。 </w:t>
      </w:r>
    </w:p>
    <w:p>
      <w:pPr>
        <w:widowControl/>
        <w:adjustRightInd w:val="0"/>
        <w:snapToGrid w:val="0"/>
        <w:spacing w:line="360" w:lineRule="auto"/>
        <w:jc w:val="left"/>
        <w:rPr>
          <w:rFonts w:ascii="宋体" w:hAnsi="宋体" w:cs="宋体"/>
          <w:b/>
          <w:kern w:val="0"/>
          <w:sz w:val="24"/>
        </w:rPr>
      </w:pPr>
      <w:r>
        <w:rPr>
          <w:rFonts w:hint="eastAsia" w:ascii="宋体" w:hAnsi="宋体" w:cs="宋体"/>
          <w:b/>
          <w:kern w:val="0"/>
          <w:sz w:val="24"/>
        </w:rPr>
        <w:t>一、项目基本情况</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项目编号：</w:t>
      </w:r>
      <w:r>
        <w:rPr>
          <w:rFonts w:ascii="宋体" w:hAnsi="宋体" w:cs="宋体"/>
          <w:kern w:val="0"/>
          <w:sz w:val="24"/>
        </w:rPr>
        <w:t>OITC-G220290050</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项目名称：人工智能与数字经济广东省实验室（广州）知识产权代理服务采购项目</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预算金额：</w:t>
      </w:r>
      <w:r>
        <w:rPr>
          <w:rFonts w:ascii="宋体" w:hAnsi="宋体" w:cs="宋体"/>
          <w:kern w:val="0"/>
          <w:sz w:val="24"/>
        </w:rPr>
        <w:t>135</w:t>
      </w:r>
      <w:r>
        <w:rPr>
          <w:rFonts w:hint="eastAsia" w:ascii="宋体" w:hAnsi="宋体" w:cs="宋体"/>
          <w:kern w:val="0"/>
          <w:sz w:val="24"/>
        </w:rPr>
        <w:t>万元（人民币）</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最高限价（如有）：</w:t>
      </w:r>
      <w:r>
        <w:rPr>
          <w:rFonts w:ascii="宋体" w:hAnsi="宋体" w:cs="宋体"/>
          <w:kern w:val="0"/>
          <w:sz w:val="24"/>
        </w:rPr>
        <w:t>135</w:t>
      </w:r>
      <w:r>
        <w:rPr>
          <w:rFonts w:hint="eastAsia" w:ascii="宋体" w:hAnsi="宋体" w:cs="宋体"/>
          <w:kern w:val="0"/>
          <w:sz w:val="24"/>
        </w:rPr>
        <w:t>万元（人民币）</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采购需求：</w:t>
      </w:r>
    </w:p>
    <w:p>
      <w:pPr>
        <w:widowControl/>
        <w:adjustRightInd w:val="0"/>
        <w:snapToGrid w:val="0"/>
        <w:spacing w:before="120" w:beforeLines="50" w:after="100" w:afterAutospacing="1" w:line="360" w:lineRule="auto"/>
        <w:jc w:val="left"/>
        <w:rPr>
          <w:rFonts w:ascii="宋体" w:hAnsi="宋体" w:cs="宋体"/>
          <w:b/>
          <w:kern w:val="0"/>
          <w:sz w:val="24"/>
        </w:rPr>
      </w:pPr>
      <w:r>
        <w:rPr>
          <w:rFonts w:hint="eastAsia" w:ascii="宋体" w:hAnsi="宋体" w:cs="宋体"/>
          <w:bCs/>
          <w:kern w:val="0"/>
          <w:sz w:val="24"/>
        </w:rPr>
        <w:t>1、</w:t>
      </w:r>
      <w:r>
        <w:rPr>
          <w:rStyle w:val="34"/>
          <w:rFonts w:hint="eastAsia" w:ascii="宋体" w:hAnsi="宋体" w:cs="宋体"/>
          <w:b w:val="0"/>
          <w:sz w:val="24"/>
        </w:rPr>
        <w:t>采购项目的名称、数量：</w:t>
      </w:r>
    </w:p>
    <w:tbl>
      <w:tblPr>
        <w:tblStyle w:val="31"/>
        <w:tblW w:w="4996"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1154"/>
        <w:gridCol w:w="1603"/>
        <w:gridCol w:w="4078"/>
        <w:gridCol w:w="20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30" w:hRule="atLeast"/>
        </w:trPr>
        <w:tc>
          <w:tcPr>
            <w:tcW w:w="650"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微软雅黑" w:asciiTheme="minorEastAsia" w:hAnsiTheme="minorEastAsia" w:eastAsiaTheme="minorEastAsia"/>
              </w:rPr>
              <w:t>包号</w:t>
            </w:r>
          </w:p>
        </w:tc>
        <w:tc>
          <w:tcPr>
            <w:tcW w:w="903"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微软雅黑" w:asciiTheme="minorEastAsia" w:hAnsiTheme="minorEastAsia" w:eastAsiaTheme="minorEastAsia"/>
              </w:rPr>
              <w:t>服务名称</w:t>
            </w:r>
          </w:p>
        </w:tc>
        <w:tc>
          <w:tcPr>
            <w:tcW w:w="229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微软雅黑" w:asciiTheme="minorEastAsia" w:hAnsiTheme="minorEastAsia" w:eastAsiaTheme="minorEastAsia"/>
              </w:rPr>
              <w:t>服务期</w:t>
            </w:r>
          </w:p>
        </w:tc>
        <w:tc>
          <w:tcPr>
            <w:tcW w:w="115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微软雅黑" w:asciiTheme="minorEastAsia" w:hAnsiTheme="minorEastAsia" w:eastAsiaTheme="minorEastAsia"/>
              </w:rPr>
              <w:t>采购预算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81" w:hRule="atLeast"/>
        </w:trPr>
        <w:tc>
          <w:tcPr>
            <w:tcW w:w="65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90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微软雅黑" w:asciiTheme="minorEastAsia" w:hAnsiTheme="minorEastAsia" w:eastAsiaTheme="minorEastAsia"/>
                <w:shd w:val="clear" w:color="auto" w:fill="FFFFFF"/>
              </w:rPr>
              <w:t>知识产权代理服务</w:t>
            </w:r>
          </w:p>
        </w:tc>
        <w:tc>
          <w:tcPr>
            <w:tcW w:w="229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asciiTheme="minorEastAsia" w:hAnsiTheme="minorEastAsia" w:eastAsiaTheme="minorEastAsia"/>
                <w:sz w:val="24"/>
              </w:rPr>
            </w:pPr>
            <w:r>
              <w:rPr>
                <w:rFonts w:hint="eastAsia" w:asciiTheme="minorEastAsia" w:hAnsiTheme="minorEastAsia" w:eastAsiaTheme="minorEastAsia"/>
                <w:sz w:val="24"/>
              </w:rPr>
              <w:t>服务期限为3年，合同一年一签。第二年续签合同前招标人对投标人服务情况进行考核评价，若考核不合格，采购人有权单方面结束合同，且不承担任何违约、赔偿责任。考核合格后可续签一年。服务期限内收费标准不作调整。</w:t>
            </w:r>
          </w:p>
        </w:tc>
        <w:tc>
          <w:tcPr>
            <w:tcW w:w="115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7"/>
              <w:spacing w:before="0" w:beforeAutospacing="0" w:after="165" w:afterAutospacing="0" w:line="36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约</w:t>
            </w:r>
            <w:r>
              <w:rPr>
                <w:rFonts w:cs="Times New Roman" w:asciiTheme="minorEastAsia" w:hAnsiTheme="minorEastAsia" w:eastAsiaTheme="minorEastAsia"/>
              </w:rPr>
              <w:t>45</w:t>
            </w:r>
            <w:r>
              <w:rPr>
                <w:rFonts w:hint="eastAsia" w:cs="Times New Roman" w:asciiTheme="minorEastAsia" w:hAnsiTheme="minorEastAsia" w:eastAsiaTheme="minorEastAsia"/>
              </w:rPr>
              <w:t>万元人民</w:t>
            </w:r>
            <w:r>
              <w:rPr>
                <w:rFonts w:hint="eastAsia" w:cs="微软雅黑" w:asciiTheme="minorEastAsia" w:hAnsiTheme="minorEastAsia" w:eastAsiaTheme="minorEastAsia"/>
              </w:rPr>
              <w:t>币</w:t>
            </w:r>
            <w:r>
              <w:rPr>
                <w:rFonts w:cs="Times New Roman" w:asciiTheme="minorEastAsia" w:hAnsiTheme="minorEastAsia" w:eastAsiaTheme="minorEastAsia"/>
              </w:rPr>
              <w:t>/</w:t>
            </w:r>
            <w:r>
              <w:rPr>
                <w:rFonts w:hint="eastAsia" w:cs="Times New Roman" w:asciiTheme="minorEastAsia" w:hAnsiTheme="minorEastAsia" w:eastAsiaTheme="minorEastAsia"/>
              </w:rPr>
              <w:t>年，三年合计约</w:t>
            </w:r>
            <w:r>
              <w:rPr>
                <w:rFonts w:cs="Times New Roman" w:asciiTheme="minorEastAsia" w:hAnsiTheme="minorEastAsia" w:eastAsiaTheme="minorEastAsia"/>
              </w:rPr>
              <w:t>135</w:t>
            </w:r>
            <w:r>
              <w:rPr>
                <w:rFonts w:hint="eastAsia" w:cs="微软雅黑" w:asciiTheme="minorEastAsia" w:hAnsiTheme="minorEastAsia" w:eastAsiaTheme="minorEastAsia"/>
              </w:rPr>
              <w:t>万元人民币</w:t>
            </w:r>
          </w:p>
        </w:tc>
      </w:tr>
    </w:tbl>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投标人可对其中一个包或多个包进行投标，须以包为单位对包中全部内容进行投标，不得拆分，评标、授标以包为单位。</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sz w:val="24"/>
        </w:rPr>
        <w:t>2、技术要求详见公告附件。</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合同履行期限：服务期限为3年，合同一年一签。第二年续签合同前招标人对投标人服务情况进行考核评价，若考核不合格，采购人有权单方面结束合同，且不承担任何违约、赔偿责任。考核合格后可续签一年。服务期限内收费标准不作调整。</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本项目不接受联合体投标。</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b/>
          <w:bCs/>
          <w:kern w:val="0"/>
          <w:sz w:val="24"/>
        </w:rPr>
        <w:t>二、申请人的资格要求：</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1.满足《中华人民共和国政府采购法》第二十二条规定；</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2.落实政府采购政策需满足的资格要求：</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本项目不属于专门面向中小微企业、监狱企业、残疾人福利性单位采购的项目。</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3.本项目的特定资格要求：</w:t>
      </w:r>
    </w:p>
    <w:p>
      <w:pPr>
        <w:widowControl/>
        <w:numPr>
          <w:ilvl w:val="0"/>
          <w:numId w:val="1"/>
        </w:numPr>
        <w:tabs>
          <w:tab w:val="left" w:pos="900"/>
          <w:tab w:val="left" w:pos="8640"/>
          <w:tab w:val="clear" w:pos="1896"/>
        </w:tabs>
        <w:adjustRightInd w:val="0"/>
        <w:snapToGrid w:val="0"/>
        <w:spacing w:line="360" w:lineRule="auto"/>
        <w:ind w:left="899" w:leftChars="171" w:hanging="540" w:hangingChars="225"/>
        <w:jc w:val="left"/>
        <w:rPr>
          <w:rFonts w:ascii="宋体" w:hAnsi="宋体" w:cs="宋体"/>
          <w:kern w:val="0"/>
          <w:sz w:val="24"/>
        </w:rPr>
      </w:pPr>
      <w:r>
        <w:rPr>
          <w:rFonts w:hint="eastAsia" w:ascii="宋体" w:hAnsi="宋体" w:cs="宋体"/>
          <w:kern w:val="0"/>
          <w:sz w:val="24"/>
        </w:rPr>
        <w:t>在中华人民共和国境内依法注册的，具有独立承担民事责任能力，遵守国家法律法规，具有良好信誉，具有履行合同能力和良好的履行合同的记录，具有良好资金、财务状况的法人实体；</w:t>
      </w:r>
    </w:p>
    <w:p>
      <w:pPr>
        <w:widowControl/>
        <w:numPr>
          <w:ilvl w:val="0"/>
          <w:numId w:val="1"/>
        </w:numPr>
        <w:tabs>
          <w:tab w:val="left" w:pos="900"/>
          <w:tab w:val="left" w:pos="8640"/>
          <w:tab w:val="clear" w:pos="1896"/>
        </w:tabs>
        <w:adjustRightInd w:val="0"/>
        <w:snapToGrid w:val="0"/>
        <w:spacing w:line="360" w:lineRule="auto"/>
        <w:ind w:left="899" w:leftChars="171" w:hanging="540" w:hangingChars="225"/>
        <w:jc w:val="left"/>
        <w:rPr>
          <w:rFonts w:ascii="宋体" w:hAnsi="宋体" w:cs="宋体"/>
          <w:kern w:val="0"/>
          <w:sz w:val="24"/>
        </w:rPr>
      </w:pPr>
      <w:r>
        <w:rPr>
          <w:rFonts w:hint="eastAsia" w:ascii="宋体" w:hAnsi="宋体" w:cs="宋体"/>
          <w:kern w:val="0"/>
          <w:sz w:val="24"/>
        </w:rPr>
        <w:t>为本项目提供整体设计、规范编制或者项目管理、监理、检测等服务的供应商，不得参加本项目投标；</w:t>
      </w:r>
    </w:p>
    <w:p>
      <w:pPr>
        <w:widowControl/>
        <w:numPr>
          <w:ilvl w:val="0"/>
          <w:numId w:val="1"/>
        </w:numPr>
        <w:tabs>
          <w:tab w:val="left" w:pos="900"/>
          <w:tab w:val="left" w:pos="8640"/>
          <w:tab w:val="clear" w:pos="1896"/>
        </w:tabs>
        <w:adjustRightInd w:val="0"/>
        <w:snapToGrid w:val="0"/>
        <w:spacing w:line="360" w:lineRule="auto"/>
        <w:ind w:left="899" w:leftChars="171" w:hanging="540" w:hangingChars="225"/>
        <w:jc w:val="left"/>
        <w:rPr>
          <w:rFonts w:ascii="宋体" w:hAnsi="宋体" w:cs="宋体"/>
          <w:kern w:val="0"/>
          <w:sz w:val="24"/>
        </w:rPr>
      </w:pPr>
      <w:r>
        <w:rPr>
          <w:rFonts w:hint="eastAsia" w:ascii="宋体" w:hAnsi="宋体" w:cs="宋体"/>
          <w:kern w:val="0"/>
          <w:sz w:val="24"/>
        </w:rPr>
        <w:t>投标单位负责人为同一人或者存在直接控股、管理关系的不同供应商，不得参加同一合同项下的政府采购活动；</w:t>
      </w:r>
    </w:p>
    <w:p>
      <w:pPr>
        <w:numPr>
          <w:ilvl w:val="0"/>
          <w:numId w:val="1"/>
        </w:numPr>
        <w:tabs>
          <w:tab w:val="left" w:pos="900"/>
          <w:tab w:val="left" w:pos="8640"/>
          <w:tab w:val="clear" w:pos="1896"/>
        </w:tabs>
        <w:adjustRightInd w:val="0"/>
        <w:snapToGrid w:val="0"/>
        <w:spacing w:line="360" w:lineRule="auto"/>
        <w:ind w:left="899" w:leftChars="171" w:hanging="540" w:hangingChars="225"/>
        <w:rPr>
          <w:rFonts w:ascii="宋体" w:hAnsi="宋体" w:cs="宋体"/>
          <w:sz w:val="24"/>
        </w:rPr>
      </w:pPr>
      <w:r>
        <w:rPr>
          <w:rFonts w:hint="eastAsia" w:ascii="宋体" w:hAnsi="宋体" w:cs="宋体"/>
          <w:sz w:val="24"/>
        </w:rPr>
        <w:t>按本投标邀请的规定获取招标文件；</w:t>
      </w:r>
    </w:p>
    <w:p>
      <w:pPr>
        <w:widowControl/>
        <w:numPr>
          <w:ilvl w:val="0"/>
          <w:numId w:val="1"/>
        </w:numPr>
        <w:tabs>
          <w:tab w:val="left" w:pos="900"/>
          <w:tab w:val="left" w:pos="8640"/>
          <w:tab w:val="clear" w:pos="1896"/>
        </w:tabs>
        <w:adjustRightInd w:val="0"/>
        <w:snapToGrid w:val="0"/>
        <w:spacing w:line="360" w:lineRule="auto"/>
        <w:ind w:left="899" w:leftChars="171" w:hanging="540" w:hangingChars="225"/>
        <w:jc w:val="left"/>
        <w:rPr>
          <w:rFonts w:ascii="宋体" w:hAnsi="宋体" w:cs="宋体"/>
          <w:kern w:val="0"/>
          <w:sz w:val="24"/>
        </w:rPr>
      </w:pPr>
      <w:r>
        <w:rPr>
          <w:rFonts w:hint="eastAsia" w:ascii="宋体" w:hAnsi="宋体" w:cs="宋体"/>
          <w:kern w:val="0"/>
          <w:sz w:val="24"/>
        </w:rPr>
        <w:t xml:space="preserve">投标人不得为列入失信被执行人、重大税收违法案件当事人名单、政府采购严重违法失信行为记录名单的供应商。 </w:t>
      </w:r>
    </w:p>
    <w:p>
      <w:pPr>
        <w:pStyle w:val="2"/>
        <w:spacing w:line="360" w:lineRule="auto"/>
        <w:rPr>
          <w:rFonts w:ascii="宋体" w:hAnsi="宋体" w:cs="宋体"/>
          <w:kern w:val="0"/>
          <w:sz w:val="24"/>
        </w:rPr>
      </w:pPr>
      <w:r>
        <w:rPr>
          <w:rFonts w:hint="eastAsia" w:ascii="宋体" w:hAnsi="宋体" w:cs="宋体"/>
          <w:kern w:val="0"/>
          <w:sz w:val="24"/>
        </w:rPr>
        <w:t>6）具有中华人民共和国专利代理机构资格（提供：国家知识产权局网站查询截图、代理机构的注册证，营业执照复印件（原件备查））。</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kern w:val="0"/>
          <w:sz w:val="24"/>
        </w:rPr>
        <w:t>注1：</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kern w:val="0"/>
          <w:sz w:val="24"/>
        </w:rPr>
        <w:t>1）信用信息查询渠道：“信用中国”网站（www.creditchina.gov.cn）、中国政府采购网（www.ccgp.gov.cn）网站等。</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kern w:val="0"/>
          <w:sz w:val="24"/>
        </w:rPr>
        <w:t>2）信用信息查询截止时点：同投标截止期，即查询投标人截止到投标截止期的信用信息记录。</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kern w:val="0"/>
          <w:sz w:val="24"/>
        </w:rPr>
        <w:t>3）信用信息查询记录和证据留存的具体方式：信用信息查询记录将以网站截图打印稿形式与其他采购文件一并保存。</w:t>
      </w:r>
    </w:p>
    <w:p>
      <w:pPr>
        <w:widowControl/>
        <w:shd w:val="clear" w:color="auto" w:fill="FFFFFF"/>
        <w:spacing w:line="360" w:lineRule="auto"/>
        <w:jc w:val="left"/>
        <w:textAlignment w:val="baseline"/>
        <w:rPr>
          <w:rFonts w:ascii="宋体" w:hAnsi="宋体" w:cs="宋体"/>
          <w:kern w:val="0"/>
          <w:sz w:val="24"/>
        </w:rPr>
      </w:pPr>
      <w:r>
        <w:rPr>
          <w:rFonts w:hint="eastAsia" w:ascii="宋体" w:hAnsi="宋体" w:cs="宋体"/>
          <w:kern w:val="0"/>
          <w:sz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p>
    <w:p>
      <w:pPr>
        <w:widowControl/>
        <w:shd w:val="clear" w:color="auto" w:fill="FFFFFF"/>
        <w:spacing w:line="360" w:lineRule="auto"/>
        <w:jc w:val="left"/>
        <w:textAlignment w:val="baseline"/>
        <w:rPr>
          <w:rFonts w:ascii="宋体" w:hAnsi="宋体" w:cs="宋体"/>
          <w:b/>
          <w:bCs/>
          <w:kern w:val="0"/>
          <w:sz w:val="24"/>
        </w:rPr>
      </w:pPr>
    </w:p>
    <w:p>
      <w:pPr>
        <w:widowControl/>
        <w:shd w:val="clear" w:color="auto" w:fill="FFFFFF"/>
        <w:spacing w:line="360" w:lineRule="auto"/>
        <w:jc w:val="left"/>
        <w:textAlignment w:val="baseline"/>
        <w:rPr>
          <w:rFonts w:ascii="宋体" w:hAnsi="宋体" w:cs="宋体"/>
          <w:b/>
          <w:bCs/>
          <w:kern w:val="0"/>
          <w:sz w:val="24"/>
        </w:rPr>
      </w:pPr>
      <w:r>
        <w:rPr>
          <w:rFonts w:hint="eastAsia" w:ascii="宋体" w:hAnsi="宋体" w:cs="宋体"/>
          <w:b/>
          <w:bCs/>
          <w:kern w:val="0"/>
          <w:sz w:val="24"/>
        </w:rPr>
        <w:t>三、获取招标文件</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 至 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日，每天上午9:00至12:00，下午14:00至17:00。（北京时间，法定节假日除外）</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地点：www.o-science.com；</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方式：登录东方在线www.o-science.com注册并购买。</w:t>
      </w:r>
    </w:p>
    <w:p>
      <w:pPr>
        <w:widowControl/>
        <w:adjustRightInd w:val="0"/>
        <w:snapToGrid w:val="0"/>
        <w:spacing w:before="100" w:beforeAutospacing="1" w:after="100" w:afterAutospacing="1" w:line="360" w:lineRule="auto"/>
        <w:jc w:val="left"/>
        <w:rPr>
          <w:rFonts w:ascii="宋体" w:hAnsi="宋体" w:cs="宋体"/>
          <w:sz w:val="24"/>
        </w:rPr>
      </w:pPr>
      <w:r>
        <w:rPr>
          <w:rFonts w:hint="eastAsia" w:ascii="宋体" w:hAnsi="宋体" w:cs="宋体"/>
          <w:sz w:val="24"/>
        </w:rPr>
        <w:t>售价：￥600 元，本公告包含的招标文件售价总和</w:t>
      </w:r>
    </w:p>
    <w:p>
      <w:pPr>
        <w:widowControl/>
        <w:adjustRightInd w:val="0"/>
        <w:snapToGrid w:val="0"/>
        <w:spacing w:line="360" w:lineRule="auto"/>
        <w:jc w:val="left"/>
        <w:rPr>
          <w:rFonts w:ascii="宋体" w:hAnsi="宋体" w:cs="宋体"/>
          <w:bCs/>
          <w:kern w:val="0"/>
          <w:sz w:val="24"/>
        </w:rPr>
      </w:pPr>
      <w:r>
        <w:rPr>
          <w:rFonts w:hint="eastAsia" w:ascii="宋体" w:hAnsi="宋体" w:cs="宋体"/>
          <w:b/>
          <w:bCs/>
          <w:kern w:val="0"/>
          <w:sz w:val="24"/>
        </w:rPr>
        <w:t>四、提交投标文件截止时间、开标时间和地点：</w:t>
      </w:r>
    </w:p>
    <w:p>
      <w:pPr>
        <w:widowControl/>
        <w:adjustRightInd w:val="0"/>
        <w:snapToGrid w:val="0"/>
        <w:spacing w:before="100" w:beforeAutospacing="1" w:after="100" w:afterAutospacing="1" w:line="360" w:lineRule="auto"/>
        <w:jc w:val="left"/>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年6月</w:t>
      </w:r>
      <w:r>
        <w:rPr>
          <w:rFonts w:hint="eastAsia" w:ascii="宋体" w:hAnsi="宋体" w:cs="宋体"/>
          <w:kern w:val="0"/>
          <w:sz w:val="24"/>
          <w:highlight w:val="none"/>
          <w:lang w:val="en-US" w:eastAsia="zh-CN"/>
        </w:rPr>
        <w:t>30</w:t>
      </w:r>
      <w:r>
        <w:rPr>
          <w:rFonts w:hint="eastAsia" w:ascii="宋体" w:hAnsi="宋体" w:cs="宋体"/>
          <w:kern w:val="0"/>
          <w:sz w:val="24"/>
          <w:highlight w:val="none"/>
        </w:rPr>
        <w:t xml:space="preserve">日 </w:t>
      </w:r>
      <w:r>
        <w:rPr>
          <w:rFonts w:ascii="宋体" w:hAnsi="宋体" w:cs="宋体"/>
          <w:kern w:val="0"/>
          <w:sz w:val="24"/>
          <w:highlight w:val="none"/>
        </w:rPr>
        <w:t>09</w:t>
      </w:r>
      <w:r>
        <w:rPr>
          <w:rFonts w:hint="eastAsia" w:ascii="宋体" w:hAnsi="宋体" w:cs="宋体"/>
          <w:kern w:val="0"/>
          <w:sz w:val="24"/>
          <w:highlight w:val="none"/>
        </w:rPr>
        <w:t>点30分（北京时间）</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地点：广州市越秀区先烈中路100号大院67号楼14楼自编1401-1402（中科院创新大楼A座）</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五、公告期限</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自本公告发布之日起5个工作日。</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b/>
          <w:bCs/>
          <w:kern w:val="0"/>
          <w:sz w:val="24"/>
        </w:rPr>
        <w:t>六、其它补充事宜</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1、投标文件递交地点：广州市越秀区先烈中路100号大院67号楼14楼自编1401-1402（中科院创新大楼A座）</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2、招标文件采用网上电子发售购买方式：</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1）有兴趣的投标人可登陆“东方在线”（</w:t>
      </w:r>
      <w:r>
        <w:fldChar w:fldCharType="begin"/>
      </w:r>
      <w:r>
        <w:instrText xml:space="preserve"> HYPERLINK "http://www.o-science.com" </w:instrText>
      </w:r>
      <w:r>
        <w:fldChar w:fldCharType="separate"/>
      </w:r>
      <w:r>
        <w:rPr>
          <w:rFonts w:hint="eastAsia" w:ascii="宋体" w:hAnsi="宋体" w:cs="宋体"/>
          <w:kern w:val="0"/>
          <w:sz w:val="24"/>
        </w:rPr>
        <w:t>http://www.o-science.com</w:t>
      </w:r>
      <w:r>
        <w:rPr>
          <w:rFonts w:hint="eastAsia" w:ascii="宋体" w:hAnsi="宋体" w:cs="宋体"/>
          <w:kern w:val="0"/>
          <w:sz w:val="24"/>
        </w:rPr>
        <w:fldChar w:fldCharType="end"/>
      </w:r>
      <w:r>
        <w:rPr>
          <w:rFonts w:hint="eastAsia" w:ascii="宋体" w:hAnsi="宋体" w:cs="宋体"/>
          <w:kern w:val="0"/>
          <w:sz w:val="24"/>
        </w:rPr>
        <w:t xml:space="preserve"> 招标在线频道），完成投标人注册手续（免费），然后登录系统浏览该项目下产品的“技术指标”，已注册的投标人无需重新注册。</w:t>
      </w:r>
      <w:r>
        <w:rPr>
          <w:rFonts w:hint="eastAsia" w:ascii="宋体" w:hAnsi="宋体" w:cs="宋体"/>
          <w:sz w:val="24"/>
        </w:rPr>
        <w:t>招标文件售价：每包人民币600 元。</w:t>
      </w:r>
      <w:r>
        <w:rPr>
          <w:rFonts w:hint="eastAsia" w:ascii="宋体" w:hAnsi="宋体" w:cs="宋体"/>
          <w:kern w:val="0"/>
          <w:sz w:val="24"/>
        </w:rPr>
        <w:t>如决定购买招标文件，请完成标书款缴费及标书下载手续。</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2）投标人可以电汇的形式支付标书款（应以公司名义汇款至下述指定账号）。</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开户名称：东方国际招标有限责任公司</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开户行：招商银行北京西三环支行</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账  号：862081657710001</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3）投标人应在“东方在线“上填写开票信息。在投标人足额缴纳标书款后，标书款电子发票将发送至投标人在“东方在线”上登记的电子邮箱，投标人自行下载打印。</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3、以电汇方式购买招标文件和递交投标保证金的，须在电汇凭据附言栏中写明招标编号、包号及用途</w:t>
      </w:r>
      <w:r>
        <w:rPr>
          <w:rFonts w:hint="eastAsia" w:ascii="宋体" w:hAnsi="宋体" w:cs="宋体"/>
          <w:kern w:val="0"/>
          <w:sz w:val="36"/>
          <w:szCs w:val="36"/>
        </w:rPr>
        <w:t>（</w:t>
      </w:r>
      <w:r>
        <w:rPr>
          <w:rFonts w:hint="eastAsia" w:ascii="宋体" w:hAnsi="宋体" w:cs="宋体"/>
          <w:b/>
          <w:kern w:val="0"/>
          <w:sz w:val="36"/>
          <w:szCs w:val="36"/>
        </w:rPr>
        <w:t>如未标明招标编号，有可能导致投标无效</w:t>
      </w:r>
      <w:r>
        <w:rPr>
          <w:rFonts w:hint="eastAsia" w:ascii="宋体" w:hAnsi="宋体" w:cs="宋体"/>
          <w:kern w:val="0"/>
          <w:sz w:val="36"/>
          <w:szCs w:val="36"/>
        </w:rPr>
        <w:t>）</w:t>
      </w:r>
      <w:r>
        <w:rPr>
          <w:rFonts w:hint="eastAsia" w:ascii="宋体" w:hAnsi="宋体" w:cs="宋体"/>
          <w:kern w:val="0"/>
          <w:sz w:val="24"/>
        </w:rPr>
        <w:t>。</w:t>
      </w:r>
    </w:p>
    <w:p>
      <w:pPr>
        <w:widowControl/>
        <w:adjustRightInd w:val="0"/>
        <w:snapToGrid w:val="0"/>
        <w:spacing w:before="100" w:beforeAutospacing="1" w:after="100" w:afterAutospacing="1" w:line="360" w:lineRule="auto"/>
        <w:jc w:val="left"/>
        <w:rPr>
          <w:rFonts w:ascii="宋体" w:hAnsi="宋体" w:cs="宋体"/>
          <w:kern w:val="0"/>
          <w:sz w:val="24"/>
        </w:rPr>
      </w:pPr>
      <w:r>
        <w:rPr>
          <w:rFonts w:hint="eastAsia" w:ascii="宋体" w:hAnsi="宋体" w:cs="宋体"/>
          <w:kern w:val="0"/>
          <w:sz w:val="24"/>
        </w:rPr>
        <w:t>4、采购项目需要落实的政府采购政策：</w:t>
      </w:r>
    </w:p>
    <w:p>
      <w:pPr>
        <w:widowControl/>
        <w:adjustRightInd w:val="0"/>
        <w:snapToGrid w:val="0"/>
        <w:spacing w:line="360" w:lineRule="auto"/>
        <w:jc w:val="left"/>
        <w:textAlignment w:val="bottom"/>
        <w:rPr>
          <w:rFonts w:ascii="宋体" w:hAnsi="宋体" w:cs="宋体"/>
          <w:kern w:val="0"/>
          <w:sz w:val="24"/>
        </w:rPr>
      </w:pPr>
      <w:r>
        <w:rPr>
          <w:rFonts w:hint="eastAsia" w:ascii="宋体" w:hAnsi="宋体" w:cs="宋体"/>
          <w:kern w:val="0"/>
          <w:sz w:val="24"/>
        </w:rPr>
        <w:t>（1）政府采购促进中小企业发展</w:t>
      </w:r>
    </w:p>
    <w:p>
      <w:pPr>
        <w:widowControl/>
        <w:adjustRightInd w:val="0"/>
        <w:snapToGrid w:val="0"/>
        <w:spacing w:line="360" w:lineRule="auto"/>
        <w:jc w:val="left"/>
        <w:textAlignment w:val="bottom"/>
        <w:rPr>
          <w:rFonts w:ascii="宋体" w:hAnsi="宋体" w:cs="宋体"/>
          <w:kern w:val="0"/>
          <w:sz w:val="24"/>
        </w:rPr>
      </w:pPr>
      <w:r>
        <w:rPr>
          <w:rFonts w:hint="eastAsia" w:ascii="宋体" w:hAnsi="宋体" w:cs="宋体"/>
          <w:kern w:val="0"/>
          <w:sz w:val="24"/>
        </w:rPr>
        <w:t>（2）政府采购支持监狱企业发展</w:t>
      </w:r>
    </w:p>
    <w:p>
      <w:pPr>
        <w:widowControl/>
        <w:adjustRightInd w:val="0"/>
        <w:snapToGrid w:val="0"/>
        <w:spacing w:line="360" w:lineRule="auto"/>
        <w:jc w:val="left"/>
        <w:textAlignment w:val="bottom"/>
        <w:rPr>
          <w:rFonts w:ascii="宋体" w:hAnsi="宋体" w:cs="宋体"/>
          <w:kern w:val="0"/>
          <w:sz w:val="24"/>
        </w:rPr>
      </w:pPr>
      <w:r>
        <w:rPr>
          <w:rFonts w:hint="eastAsia" w:ascii="宋体" w:hAnsi="宋体" w:cs="宋体"/>
          <w:kern w:val="0"/>
          <w:sz w:val="24"/>
        </w:rPr>
        <w:t>（3）政府采购促进残疾人就业</w:t>
      </w:r>
    </w:p>
    <w:p>
      <w:pPr>
        <w:widowControl/>
        <w:adjustRightInd w:val="0"/>
        <w:snapToGrid w:val="0"/>
        <w:spacing w:line="360" w:lineRule="auto"/>
        <w:jc w:val="left"/>
        <w:textAlignment w:val="bottom"/>
        <w:rPr>
          <w:rFonts w:ascii="宋体" w:hAnsi="宋体" w:cs="宋体"/>
          <w:sz w:val="24"/>
        </w:rPr>
      </w:pPr>
      <w:r>
        <w:rPr>
          <w:rFonts w:hint="eastAsia" w:ascii="宋体" w:hAnsi="宋体" w:cs="宋体"/>
          <w:kern w:val="0"/>
          <w:sz w:val="24"/>
        </w:rPr>
        <w:t>（4）政府采购鼓励采购节能环保产品</w:t>
      </w:r>
    </w:p>
    <w:p>
      <w:pPr>
        <w:widowControl/>
        <w:adjustRightInd w:val="0"/>
        <w:snapToGrid w:val="0"/>
        <w:spacing w:before="100" w:beforeAutospacing="1" w:after="100" w:afterAutospacing="1" w:line="360" w:lineRule="auto"/>
        <w:jc w:val="left"/>
        <w:rPr>
          <w:rFonts w:ascii="宋体" w:hAnsi="宋体" w:cs="宋体"/>
          <w:b/>
          <w:bCs/>
          <w:kern w:val="0"/>
          <w:sz w:val="24"/>
        </w:rPr>
      </w:pPr>
      <w:r>
        <w:rPr>
          <w:rFonts w:hint="eastAsia" w:ascii="宋体" w:hAnsi="宋体" w:cs="宋体"/>
          <w:b/>
          <w:bCs/>
          <w:kern w:val="0"/>
          <w:sz w:val="24"/>
        </w:rPr>
        <w:t>七、对本次招标提出询问，请按以下方式联系。</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1.采购人信息</w:t>
      </w:r>
    </w:p>
    <w:p>
      <w:pPr>
        <w:widowControl/>
        <w:adjustRightInd w:val="0"/>
        <w:snapToGrid w:val="0"/>
        <w:spacing w:line="360" w:lineRule="auto"/>
        <w:jc w:val="left"/>
        <w:rPr>
          <w:rFonts w:ascii="宋体" w:hAnsi="宋体" w:cs="宋体"/>
          <w:bCs/>
          <w:kern w:val="0"/>
          <w:sz w:val="24"/>
          <w:u w:val="single"/>
        </w:rPr>
      </w:pPr>
      <w:r>
        <w:rPr>
          <w:rFonts w:hint="eastAsia" w:ascii="宋体" w:hAnsi="宋体" w:cs="宋体"/>
          <w:bCs/>
          <w:kern w:val="0"/>
          <w:sz w:val="24"/>
        </w:rPr>
        <w:t>名 称：人工智能与数字经济广东省实验室（广州）</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地址：广州市海珠区桥头大街248号华新科创岛A区主楼425</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联系方式：张老师、陈老师，0</w:t>
      </w:r>
      <w:r>
        <w:rPr>
          <w:rFonts w:ascii="宋体" w:hAnsi="宋体" w:cs="宋体"/>
          <w:bCs/>
          <w:kern w:val="0"/>
          <w:sz w:val="24"/>
        </w:rPr>
        <w:t>20-88322793</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2.采购代理机构信息</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名 称：东方国际招标有限责任公司</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地　址：北京市海淀区西三环北路甲2号院科技园6号楼13层01室</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 xml:space="preserve">联系方式：迟兆洋、张君仙 </w:t>
      </w:r>
      <w:r>
        <w:rPr>
          <w:rStyle w:val="37"/>
          <w:rFonts w:hint="eastAsia" w:ascii="宋体" w:hAnsi="宋体" w:cs="宋体"/>
          <w:bCs/>
          <w:color w:val="auto"/>
          <w:kern w:val="0"/>
          <w:sz w:val="24"/>
        </w:rPr>
        <w:t>ytlin@oitc.com.cn</w:t>
      </w:r>
      <w:r>
        <w:rPr>
          <w:rFonts w:hint="eastAsia" w:ascii="宋体" w:hAnsi="宋体" w:cs="宋体"/>
          <w:bCs/>
          <w:kern w:val="0"/>
          <w:sz w:val="24"/>
        </w:rPr>
        <w:t xml:space="preserve"> ，cjwang@oitc.com.cn</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3.项目联系方式</w:t>
      </w:r>
    </w:p>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 xml:space="preserve">项目联系人：迟兆洋、张君仙 </w:t>
      </w:r>
    </w:p>
    <w:p>
      <w:pPr>
        <w:widowControl/>
        <w:adjustRightInd w:val="0"/>
        <w:snapToGrid w:val="0"/>
        <w:spacing w:line="360" w:lineRule="auto"/>
        <w:jc w:val="left"/>
        <w:rPr>
          <w:rFonts w:ascii="宋体" w:hAnsi="宋体" w:cs="宋体"/>
          <w:sz w:val="24"/>
        </w:rPr>
      </w:pPr>
      <w:r>
        <w:rPr>
          <w:rFonts w:hint="eastAsia" w:ascii="宋体" w:hAnsi="宋体" w:cs="宋体"/>
          <w:bCs/>
          <w:kern w:val="0"/>
          <w:sz w:val="24"/>
        </w:rPr>
        <w:t>电　话：020-87001523</w:t>
      </w:r>
    </w:p>
    <w:p>
      <w:pPr>
        <w:widowControl/>
        <w:adjustRightInd w:val="0"/>
        <w:snapToGrid w:val="0"/>
        <w:spacing w:line="360" w:lineRule="auto"/>
        <w:ind w:firstLine="480" w:firstLineChars="200"/>
        <w:jc w:val="left"/>
        <w:textAlignment w:val="bottom"/>
        <w:rPr>
          <w:rFonts w:ascii="宋体" w:hAnsi="宋体" w:cs="宋体"/>
          <w:sz w:val="24"/>
        </w:rPr>
      </w:pPr>
      <w:r>
        <w:rPr>
          <w:rFonts w:hint="eastAsia" w:ascii="宋体" w:hAnsi="宋体" w:cs="宋体"/>
          <w:sz w:val="24"/>
        </w:rPr>
        <w:br w:type="page"/>
      </w: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宋体" w:hAnsi="宋体"/>
          <w:sz w:val="24"/>
        </w:rPr>
      </w:pPr>
    </w:p>
    <w:p>
      <w:pPr>
        <w:adjustRightInd w:val="0"/>
        <w:snapToGrid w:val="0"/>
        <w:jc w:val="center"/>
        <w:rPr>
          <w:rFonts w:ascii="黑体" w:eastAsia="黑体"/>
          <w:sz w:val="48"/>
        </w:rPr>
      </w:pPr>
      <w:r>
        <w:rPr>
          <w:rFonts w:hint="eastAsia" w:ascii="黑体" w:eastAsia="黑体"/>
          <w:sz w:val="48"/>
        </w:rPr>
        <w:t>第二部分投标人须知资料表</w:t>
      </w: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黑体" w:eastAsia="黑体"/>
          <w:sz w:val="48"/>
        </w:rPr>
      </w:pPr>
    </w:p>
    <w:p>
      <w:pPr>
        <w:adjustRightInd w:val="0"/>
        <w:snapToGrid w:val="0"/>
        <w:jc w:val="center"/>
        <w:rPr>
          <w:rFonts w:ascii="宋体" w:hAnsi="宋体"/>
          <w:b/>
          <w:sz w:val="30"/>
          <w:szCs w:val="30"/>
        </w:rPr>
      </w:pPr>
      <w:r>
        <w:rPr>
          <w:rFonts w:ascii="宋体" w:hAnsi="宋体"/>
          <w:sz w:val="24"/>
        </w:rPr>
        <w:br w:type="page"/>
      </w:r>
      <w:r>
        <w:rPr>
          <w:rFonts w:hint="eastAsia" w:ascii="宋体" w:hAnsi="宋体"/>
          <w:b/>
          <w:sz w:val="30"/>
          <w:szCs w:val="30"/>
        </w:rPr>
        <w:t>第二部分投标人须知资料表</w:t>
      </w:r>
      <w:bookmarkEnd w:id="0"/>
    </w:p>
    <w:p>
      <w:pPr>
        <w:adjustRightInd w:val="0"/>
        <w:snapToGrid w:val="0"/>
        <w:jc w:val="center"/>
        <w:rPr>
          <w:rFonts w:ascii="宋体" w:hAnsi="宋体"/>
          <w:b/>
          <w:bCs/>
          <w:sz w:val="24"/>
        </w:rPr>
      </w:pPr>
    </w:p>
    <w:p>
      <w:pPr>
        <w:adjustRightInd w:val="0"/>
        <w:snapToGrid w:val="0"/>
        <w:spacing w:line="360" w:lineRule="auto"/>
        <w:rPr>
          <w:rFonts w:ascii="宋体" w:hAnsi="宋体"/>
          <w:sz w:val="24"/>
        </w:rPr>
      </w:pPr>
      <w:r>
        <w:rPr>
          <w:rFonts w:hint="eastAsia" w:ascii="宋体" w:hAnsi="宋体"/>
          <w:sz w:val="24"/>
        </w:rPr>
        <w:t>本表是对招标文件第三部分“投标须知”的具体补充和修改，如与招标文件各部分内容有差异，应以本资料表为准。</w:t>
      </w:r>
    </w:p>
    <w:tbl>
      <w:tblPr>
        <w:tblStyle w:val="31"/>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1"/>
        <w:gridCol w:w="7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blHeader/>
        </w:trPr>
        <w:tc>
          <w:tcPr>
            <w:tcW w:w="1701" w:type="dxa"/>
            <w:vAlign w:val="center"/>
          </w:tcPr>
          <w:p>
            <w:pPr>
              <w:adjustRightInd w:val="0"/>
              <w:snapToGrid w:val="0"/>
              <w:spacing w:line="360" w:lineRule="auto"/>
              <w:jc w:val="center"/>
              <w:rPr>
                <w:rFonts w:ascii="宋体" w:hAnsi="宋体"/>
                <w:b/>
                <w:sz w:val="24"/>
              </w:rPr>
            </w:pPr>
            <w:r>
              <w:rPr>
                <w:rFonts w:hint="eastAsia" w:ascii="宋体" w:hAnsi="宋体"/>
                <w:b/>
                <w:sz w:val="24"/>
              </w:rPr>
              <w:t>序号</w:t>
            </w:r>
          </w:p>
        </w:tc>
        <w:tc>
          <w:tcPr>
            <w:tcW w:w="7371" w:type="dxa"/>
            <w:vAlign w:val="center"/>
          </w:tcPr>
          <w:p>
            <w:pPr>
              <w:adjustRightInd w:val="0"/>
              <w:snapToGrid w:val="0"/>
              <w:spacing w:line="360" w:lineRule="auto"/>
              <w:jc w:val="center"/>
              <w:rPr>
                <w:rFonts w:ascii="宋体" w:hAnsi="宋体"/>
                <w:b/>
                <w:sz w:val="24"/>
              </w:rPr>
            </w:pPr>
            <w:r>
              <w:rPr>
                <w:rFonts w:hint="eastAsia" w:ascii="宋体" w:hAnsi="宋体"/>
                <w:b/>
                <w:sz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7371" w:type="dxa"/>
            <w:vAlign w:val="center"/>
          </w:tcPr>
          <w:p>
            <w:pPr>
              <w:adjustRightInd w:val="0"/>
              <w:snapToGrid w:val="0"/>
              <w:spacing w:before="120" w:beforeLines="50" w:line="360" w:lineRule="auto"/>
              <w:rPr>
                <w:rFonts w:ascii="宋体" w:hAnsi="宋体"/>
                <w:sz w:val="24"/>
              </w:rPr>
            </w:pPr>
            <w:r>
              <w:rPr>
                <w:rFonts w:hint="eastAsia" w:ascii="宋体" w:hAnsi="宋体"/>
                <w:sz w:val="24"/>
              </w:rPr>
              <w:t>招标人：人工智能与数字经济广东省实验室（广州）</w:t>
            </w:r>
          </w:p>
          <w:p>
            <w:pPr>
              <w:adjustRightInd w:val="0"/>
              <w:snapToGrid w:val="0"/>
              <w:spacing w:line="360" w:lineRule="auto"/>
              <w:rPr>
                <w:rFonts w:ascii="宋体" w:hAnsi="宋体"/>
                <w:sz w:val="24"/>
                <w:u w:val="single"/>
              </w:rPr>
            </w:pPr>
            <w:r>
              <w:rPr>
                <w:rFonts w:hint="eastAsia" w:ascii="宋体" w:hAnsi="宋体"/>
                <w:sz w:val="24"/>
              </w:rPr>
              <w:t>招标采购代理机构：东方国际招标有限责任公司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合格的投标人资格：</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1）符合“《中华人民共和国政府采购法》第二十二条要求”；</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2）在中华人民共和国境内依法注册的，具有独立承担民事责任能力，遵守国家法律法规，具有良好信誉，具有履行合同能力和良好的履行合同的记录，具有良好资金、财务状况的法人实体；</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3）为本项目提供整体设计、规范编制或者项目管理、监理、检测等服务的供应商，不得参加本项目投标；</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4）投标单位负责人为同一人或者存在直接控股、管理关系的不同供应商，不得参加同一合同项下的政府采购活动；</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5）按本投标邀请的规定获取招标文件；</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6）本项目不接受联合体投标；</w:t>
            </w:r>
          </w:p>
          <w:p>
            <w:pPr>
              <w:widowControl/>
              <w:tabs>
                <w:tab w:val="left" w:pos="8640"/>
              </w:tabs>
              <w:adjustRightInd w:val="0"/>
              <w:snapToGrid w:val="0"/>
              <w:spacing w:line="360" w:lineRule="auto"/>
              <w:ind w:firstLine="480" w:firstLineChars="200"/>
              <w:jc w:val="left"/>
              <w:rPr>
                <w:rFonts w:ascii="宋体" w:hAnsi="宋体"/>
                <w:sz w:val="24"/>
              </w:rPr>
            </w:pPr>
            <w:r>
              <w:rPr>
                <w:rFonts w:hint="eastAsia" w:ascii="宋体" w:hAnsi="宋体"/>
                <w:sz w:val="24"/>
              </w:rPr>
              <w:t>7）投标人不得为列入失信被执行人、重大税收违法案件当事人名单、政府采购严重违法失信行为记录名单的供应商。</w:t>
            </w:r>
          </w:p>
          <w:p>
            <w:pPr>
              <w:widowControl/>
              <w:tabs>
                <w:tab w:val="left" w:pos="8640"/>
              </w:tabs>
              <w:adjustRightInd w:val="0"/>
              <w:snapToGrid w:val="0"/>
              <w:spacing w:line="360" w:lineRule="auto"/>
              <w:ind w:firstLine="480" w:firstLineChars="200"/>
              <w:jc w:val="left"/>
              <w:rPr>
                <w:rFonts w:ascii="宋体" w:hAnsi="宋体" w:cs="宋体"/>
                <w:szCs w:val="21"/>
              </w:rPr>
            </w:pPr>
            <w:r>
              <w:rPr>
                <w:rFonts w:hint="eastAsia" w:ascii="宋体" w:hAnsi="宋体"/>
                <w:sz w:val="24"/>
              </w:rPr>
              <w:t>8）具有中华人民共和国专利代理机构资格（提供：国家知识产权局网站查询截图、代理机构的注册证，营业执照复印件（原件备查））。注1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7371" w:type="dxa"/>
            <w:vAlign w:val="center"/>
          </w:tcPr>
          <w:p>
            <w:pPr>
              <w:adjustRightInd w:val="0"/>
              <w:snapToGrid w:val="0"/>
              <w:spacing w:line="360" w:lineRule="auto"/>
              <w:rPr>
                <w:rFonts w:ascii="宋体" w:hAnsi="宋体"/>
                <w:sz w:val="24"/>
              </w:rPr>
            </w:pPr>
            <w:r>
              <w:rPr>
                <w:rFonts w:hint="eastAsia" w:ascii="宋体" w:hAnsi="宋体" w:cs="仿宋_GB2312"/>
                <w:bCs/>
                <w:sz w:val="24"/>
              </w:rPr>
              <w:t>投标人须以包为单位对包中全部内容进行投标，不得拆分，否则其投标将被拒绝。评标、授标以包为单位。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7371" w:type="dxa"/>
            <w:vAlign w:val="center"/>
          </w:tcPr>
          <w:p>
            <w:pPr>
              <w:adjustRightInd w:val="0"/>
              <w:snapToGrid w:val="0"/>
              <w:spacing w:line="360" w:lineRule="auto"/>
              <w:rPr>
                <w:rFonts w:ascii="宋体" w:hAnsi="宋体" w:cs="仿宋_GB2312"/>
                <w:bCs/>
                <w:sz w:val="24"/>
              </w:rPr>
            </w:pPr>
            <w:r>
              <w:rPr>
                <w:rFonts w:hint="eastAsia" w:ascii="宋体" w:hAnsi="宋体" w:cs="仿宋_GB2312"/>
                <w:sz w:val="24"/>
              </w:rPr>
              <w:t>投标人须提供“</w:t>
            </w:r>
            <w:r>
              <w:rPr>
                <w:rFonts w:ascii="宋体" w:hAnsi="宋体" w:cs="仿宋_GB2312"/>
                <w:sz w:val="24"/>
              </w:rPr>
              <w:t>服务方案及工作人员安排计划</w:t>
            </w:r>
            <w:r>
              <w:rPr>
                <w:rFonts w:hint="eastAsia" w:ascii="宋体" w:hAnsi="宋体" w:cs="仿宋_GB2312"/>
                <w:sz w:val="24"/>
              </w:rPr>
              <w:t>”逐条说明所提供相关服务已对招标文件的“第四部分：项目范围及要求”做出了实质性的响应或申明与技术规格条文的正负偏离。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7371" w:type="dxa"/>
            <w:vAlign w:val="center"/>
          </w:tcPr>
          <w:p>
            <w:pPr>
              <w:tabs>
                <w:tab w:val="left" w:pos="720"/>
              </w:tabs>
              <w:autoSpaceDE w:val="0"/>
              <w:autoSpaceDN w:val="0"/>
              <w:adjustRightInd w:val="0"/>
              <w:spacing w:line="360" w:lineRule="auto"/>
              <w:outlineLvl w:val="1"/>
              <w:rPr>
                <w:rFonts w:ascii="宋体" w:hAnsi="宋体" w:cs="宋体"/>
                <w:bCs/>
                <w:color w:val="000000"/>
                <w:sz w:val="24"/>
              </w:rPr>
            </w:pPr>
            <w:r>
              <w:rPr>
                <w:rFonts w:ascii="宋体" w:hAnsi="宋体" w:cs="宋体"/>
                <w:bCs/>
                <w:color w:val="000000"/>
                <w:sz w:val="24"/>
              </w:rPr>
              <w:t>5</w:t>
            </w:r>
            <w:r>
              <w:rPr>
                <w:rFonts w:hint="eastAsia" w:ascii="宋体" w:hAnsi="宋体" w:cs="宋体"/>
                <w:bCs/>
                <w:color w:val="000000"/>
                <w:sz w:val="24"/>
              </w:rPr>
              <w:t>.1</w:t>
            </w:r>
            <w:r>
              <w:rPr>
                <w:rFonts w:ascii="宋体" w:hAnsi="宋体" w:cs="宋体"/>
                <w:bCs/>
                <w:color w:val="000000"/>
                <w:sz w:val="24"/>
              </w:rPr>
              <w:t xml:space="preserve"> </w:t>
            </w:r>
            <w:r>
              <w:rPr>
                <w:rFonts w:hint="eastAsia" w:ascii="宋体" w:hAnsi="宋体" w:cs="宋体"/>
                <w:bCs/>
                <w:color w:val="000000"/>
                <w:sz w:val="24"/>
              </w:rPr>
              <w:t>所有投标报价在收费参考标准的基础上的进行下浮比例报价。</w:t>
            </w:r>
          </w:p>
          <w:p>
            <w:pPr>
              <w:tabs>
                <w:tab w:val="left" w:pos="720"/>
              </w:tabs>
              <w:autoSpaceDE w:val="0"/>
              <w:autoSpaceDN w:val="0"/>
              <w:adjustRightInd w:val="0"/>
              <w:spacing w:line="360" w:lineRule="auto"/>
              <w:outlineLvl w:val="1"/>
              <w:rPr>
                <w:rFonts w:ascii="宋体" w:hAnsi="宋体" w:cs="宋体"/>
                <w:bCs/>
                <w:color w:val="000000"/>
                <w:sz w:val="24"/>
              </w:rPr>
            </w:pPr>
            <w:r>
              <w:rPr>
                <w:rFonts w:ascii="宋体" w:hAnsi="宋体" w:cs="宋体"/>
                <w:bCs/>
                <w:color w:val="000000"/>
                <w:sz w:val="24"/>
              </w:rPr>
              <w:t>5</w:t>
            </w:r>
            <w:r>
              <w:rPr>
                <w:rFonts w:hint="eastAsia" w:ascii="宋体" w:hAnsi="宋体" w:cs="宋体"/>
                <w:bCs/>
                <w:color w:val="000000"/>
                <w:sz w:val="24"/>
              </w:rPr>
              <w:t>.2 投标人只允许有一个投标报价，凡是提供选择性报价的投标人其投标将予以拒绝。</w:t>
            </w:r>
          </w:p>
          <w:p>
            <w:pPr>
              <w:tabs>
                <w:tab w:val="left" w:pos="720"/>
              </w:tabs>
              <w:autoSpaceDE w:val="0"/>
              <w:autoSpaceDN w:val="0"/>
              <w:adjustRightInd w:val="0"/>
              <w:spacing w:line="360" w:lineRule="auto"/>
              <w:outlineLvl w:val="1"/>
              <w:rPr>
                <w:rFonts w:ascii="宋体" w:hAnsi="宋体" w:cs="仿宋_GB2312"/>
                <w:sz w:val="24"/>
              </w:rPr>
            </w:pPr>
            <w:r>
              <w:rPr>
                <w:rFonts w:ascii="宋体" w:hAnsi="宋体" w:cs="宋体"/>
                <w:bCs/>
                <w:color w:val="000000"/>
                <w:sz w:val="24"/>
              </w:rPr>
              <w:t>5</w:t>
            </w:r>
            <w:r>
              <w:rPr>
                <w:rFonts w:hint="eastAsia" w:ascii="宋体" w:hAnsi="宋体" w:cs="宋体"/>
                <w:bCs/>
                <w:color w:val="000000"/>
                <w:sz w:val="24"/>
              </w:rPr>
              <w:t>.3 投标人的报价包含服务内容一切费用。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6</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投标保证金</w:t>
            </w:r>
          </w:p>
          <w:p>
            <w:pPr>
              <w:adjustRightInd w:val="0"/>
              <w:snapToGrid w:val="0"/>
              <w:spacing w:line="360" w:lineRule="auto"/>
              <w:rPr>
                <w:rFonts w:ascii="宋体" w:hAnsi="宋体"/>
                <w:b/>
                <w:bCs/>
                <w:sz w:val="24"/>
              </w:rPr>
            </w:pPr>
            <w:r>
              <w:rPr>
                <w:rFonts w:hint="eastAsia" w:ascii="宋体" w:hAnsi="宋体"/>
                <w:b/>
                <w:bCs/>
                <w:sz w:val="24"/>
              </w:rPr>
              <w:t>金额：人民币2万元。</w:t>
            </w:r>
          </w:p>
          <w:p>
            <w:pPr>
              <w:adjustRightInd w:val="0"/>
              <w:snapToGrid w:val="0"/>
              <w:spacing w:line="360" w:lineRule="auto"/>
              <w:ind w:left="1898" w:hanging="1898" w:hangingChars="791"/>
              <w:rPr>
                <w:rFonts w:ascii="宋体" w:hAnsi="宋体"/>
                <w:sz w:val="24"/>
              </w:rPr>
            </w:pPr>
            <w:r>
              <w:rPr>
                <w:rFonts w:hint="eastAsia" w:ascii="宋体" w:hAnsi="宋体"/>
                <w:sz w:val="24"/>
              </w:rPr>
              <w:t>投标保证金形式：电汇、银行保函或中国投资担保有限公司出具的担保函。</w:t>
            </w:r>
          </w:p>
          <w:p>
            <w:pPr>
              <w:spacing w:line="360" w:lineRule="auto"/>
              <w:ind w:left="32"/>
              <w:jc w:val="left"/>
              <w:rPr>
                <w:rFonts w:ascii="宋体" w:hAnsi="宋体"/>
                <w:sz w:val="24"/>
              </w:rPr>
            </w:pPr>
            <w:r>
              <w:rPr>
                <w:rFonts w:ascii="宋体" w:hAnsi="宋体"/>
                <w:sz w:val="24"/>
              </w:rPr>
              <w:t xml:space="preserve">(1) </w:t>
            </w:r>
            <w:r>
              <w:rPr>
                <w:rFonts w:hint="eastAsia" w:ascii="宋体" w:hAnsi="宋体"/>
                <w:sz w:val="24"/>
              </w:rPr>
              <w:t>投标保函有效期应同投标有效期；如投标保证金采用银行保函形式，则必须采用本章所附的“投标保证金的银行保函格式”中的条款及格式，否则投标被拒绝（“投标保证金的银行保函格式”详见附件</w:t>
            </w:r>
            <w:r>
              <w:rPr>
                <w:rFonts w:ascii="宋体" w:hAnsi="宋体"/>
                <w:sz w:val="24"/>
              </w:rPr>
              <w:t>9</w:t>
            </w:r>
            <w:r>
              <w:rPr>
                <w:rFonts w:hint="eastAsia" w:ascii="宋体" w:hAnsi="宋体"/>
                <w:sz w:val="24"/>
              </w:rPr>
              <w:t>）；投标人应承担投标保函开具、递交、退还、通知及核印等产生的一切相关银行费用。</w:t>
            </w:r>
          </w:p>
          <w:p>
            <w:pPr>
              <w:spacing w:line="360" w:lineRule="auto"/>
              <w:ind w:left="32"/>
              <w:jc w:val="left"/>
              <w:rPr>
                <w:rFonts w:ascii="宋体" w:hAnsi="宋体"/>
                <w:sz w:val="24"/>
              </w:rPr>
            </w:pPr>
            <w:r>
              <w:rPr>
                <w:rFonts w:ascii="宋体" w:hAnsi="宋体"/>
                <w:sz w:val="24"/>
              </w:rPr>
              <w:t xml:space="preserve">(2) </w:t>
            </w:r>
            <w:r>
              <w:rPr>
                <w:rFonts w:hint="eastAsia" w:ascii="宋体" w:hAnsi="宋体"/>
                <w:sz w:val="24"/>
              </w:rPr>
              <w:t>使用电汇形式的，投标保证金</w:t>
            </w:r>
            <w:r>
              <w:rPr>
                <w:rFonts w:ascii="宋体" w:hAnsi="宋体"/>
                <w:sz w:val="24"/>
              </w:rPr>
              <w:t>必须从</w:t>
            </w:r>
            <w:r>
              <w:rPr>
                <w:rFonts w:hint="eastAsia" w:ascii="宋体" w:hAnsi="宋体"/>
                <w:sz w:val="24"/>
              </w:rPr>
              <w:t>境内</w:t>
            </w:r>
            <w:r>
              <w:rPr>
                <w:rFonts w:ascii="宋体" w:hAnsi="宋体"/>
                <w:sz w:val="24"/>
              </w:rPr>
              <w:t>银行账户转出</w:t>
            </w:r>
            <w:r>
              <w:rPr>
                <w:rFonts w:hint="eastAsia" w:ascii="宋体" w:hAnsi="宋体"/>
                <w:sz w:val="24"/>
              </w:rPr>
              <w:t>，且在投标截止时间前汇到招标代理机构账户，否则投标被拒绝：</w:t>
            </w:r>
          </w:p>
          <w:p>
            <w:pPr>
              <w:spacing w:line="360" w:lineRule="auto"/>
              <w:ind w:left="32"/>
              <w:jc w:val="left"/>
              <w:rPr>
                <w:rFonts w:ascii="宋体" w:hAnsi="宋体" w:cs="仿宋_GB2312"/>
                <w:b/>
                <w:sz w:val="24"/>
              </w:rPr>
            </w:pPr>
            <w:r>
              <w:rPr>
                <w:rFonts w:hint="eastAsia" w:ascii="宋体" w:hAnsi="宋体" w:cs="仿宋_GB2312"/>
                <w:b/>
                <w:sz w:val="24"/>
              </w:rPr>
              <w:t>投标人应于投标截止期前将全额投标保证金转入下述指定账号</w:t>
            </w:r>
            <w:r>
              <w:rPr>
                <w:rFonts w:ascii="宋体" w:hAnsi="宋体" w:cs="仿宋_GB2312"/>
                <w:b/>
                <w:sz w:val="24"/>
              </w:rPr>
              <w:t>,</w:t>
            </w:r>
            <w:r>
              <w:rPr>
                <w:rFonts w:hint="eastAsia" w:ascii="宋体" w:hAnsi="宋体" w:cs="仿宋_GB2312"/>
                <w:b/>
                <w:sz w:val="24"/>
              </w:rPr>
              <w:t>并应将“投标保证金电汇凭证</w:t>
            </w:r>
            <w:r>
              <w:rPr>
                <w:rFonts w:ascii="宋体" w:hAnsi="宋体" w:cs="仿宋_GB2312"/>
                <w:b/>
                <w:sz w:val="24"/>
              </w:rPr>
              <w:t>/</w:t>
            </w:r>
            <w:r>
              <w:rPr>
                <w:rFonts w:hint="eastAsia" w:ascii="宋体" w:hAnsi="宋体" w:cs="仿宋_GB2312"/>
                <w:b/>
                <w:sz w:val="24"/>
              </w:rPr>
              <w:t>投标保函”单独密封，在投标时与“投标一览表”同时递交。</w:t>
            </w:r>
          </w:p>
          <w:p>
            <w:pPr>
              <w:widowControl/>
              <w:tabs>
                <w:tab w:val="left" w:pos="-360"/>
              </w:tabs>
              <w:autoSpaceDE w:val="0"/>
              <w:autoSpaceDN w:val="0"/>
              <w:adjustRightInd w:val="0"/>
              <w:snapToGrid w:val="0"/>
              <w:spacing w:before="120" w:beforeLines="50" w:line="400" w:lineRule="exact"/>
              <w:ind w:firstLine="360" w:firstLineChars="150"/>
              <w:textAlignment w:val="bottom"/>
              <w:rPr>
                <w:rFonts w:ascii="宋体" w:hAnsi="宋体"/>
                <w:sz w:val="24"/>
              </w:rPr>
            </w:pPr>
            <w:r>
              <w:rPr>
                <w:rFonts w:hint="eastAsia" w:ascii="宋体" w:hAnsi="宋体"/>
                <w:sz w:val="24"/>
              </w:rPr>
              <w:t>开户名（全称）：东方国际招标有限责任公司</w:t>
            </w:r>
          </w:p>
          <w:p>
            <w:pPr>
              <w:widowControl/>
              <w:tabs>
                <w:tab w:val="left" w:pos="-360"/>
              </w:tabs>
              <w:autoSpaceDE w:val="0"/>
              <w:autoSpaceDN w:val="0"/>
              <w:adjustRightInd w:val="0"/>
              <w:snapToGrid w:val="0"/>
              <w:spacing w:before="120" w:beforeLines="50" w:line="400" w:lineRule="exact"/>
              <w:ind w:firstLine="360" w:firstLineChars="150"/>
              <w:textAlignment w:val="bottom"/>
              <w:rPr>
                <w:rFonts w:ascii="宋体" w:hAnsi="宋体"/>
                <w:sz w:val="24"/>
              </w:rPr>
            </w:pPr>
            <w:r>
              <w:rPr>
                <w:rFonts w:hint="eastAsia" w:ascii="宋体" w:hAnsi="宋体"/>
                <w:sz w:val="24"/>
              </w:rPr>
              <w:t>开户银行：招商银行北京西三环支行</w:t>
            </w:r>
          </w:p>
          <w:p>
            <w:pPr>
              <w:widowControl/>
              <w:tabs>
                <w:tab w:val="left" w:pos="-360"/>
              </w:tabs>
              <w:autoSpaceDE w:val="0"/>
              <w:autoSpaceDN w:val="0"/>
              <w:adjustRightInd w:val="0"/>
              <w:snapToGrid w:val="0"/>
              <w:spacing w:before="120" w:beforeLines="50" w:line="400" w:lineRule="exact"/>
              <w:ind w:firstLine="360" w:firstLineChars="150"/>
              <w:textAlignment w:val="bottom"/>
              <w:rPr>
                <w:rFonts w:ascii="宋体" w:hAnsi="宋体"/>
                <w:sz w:val="24"/>
              </w:rPr>
            </w:pPr>
            <w:r>
              <w:rPr>
                <w:rFonts w:hint="eastAsia" w:ascii="宋体" w:hAnsi="宋体"/>
                <w:sz w:val="24"/>
              </w:rPr>
              <w:t>帐号：86</w:t>
            </w:r>
            <w:r>
              <w:rPr>
                <w:rFonts w:ascii="宋体" w:hAnsi="宋体"/>
                <w:sz w:val="24"/>
              </w:rPr>
              <w:t>2081657710001</w:t>
            </w:r>
          </w:p>
          <w:p>
            <w:pPr>
              <w:widowControl/>
              <w:tabs>
                <w:tab w:val="left" w:pos="-360"/>
              </w:tabs>
              <w:autoSpaceDE w:val="0"/>
              <w:autoSpaceDN w:val="0"/>
              <w:adjustRightInd w:val="0"/>
              <w:snapToGrid w:val="0"/>
              <w:spacing w:before="120" w:beforeLines="50" w:line="400" w:lineRule="exact"/>
              <w:ind w:firstLine="360" w:firstLineChars="150"/>
              <w:textAlignment w:val="bottom"/>
              <w:rPr>
                <w:rFonts w:ascii="宋体" w:hAnsi="宋体"/>
                <w:sz w:val="24"/>
              </w:rPr>
            </w:pPr>
            <w:r>
              <w:rPr>
                <w:rFonts w:hint="eastAsia" w:ascii="宋体" w:hAnsi="宋体"/>
                <w:sz w:val="24"/>
              </w:rPr>
              <w:t>注：</w:t>
            </w:r>
            <w:r>
              <w:rPr>
                <w:rFonts w:ascii="宋体" w:hAnsi="宋体" w:cs="宋体"/>
                <w:kern w:val="0"/>
                <w:sz w:val="24"/>
              </w:rPr>
              <w:t>须在电汇凭据附言栏中写明招标编号</w:t>
            </w:r>
            <w:r>
              <w:rPr>
                <w:rFonts w:hint="eastAsia" w:ascii="宋体" w:hAnsi="宋体" w:cs="宋体"/>
                <w:kern w:val="0"/>
                <w:sz w:val="24"/>
              </w:rPr>
              <w:t>、包号</w:t>
            </w:r>
            <w:r>
              <w:rPr>
                <w:rFonts w:ascii="宋体" w:hAnsi="宋体" w:cs="宋体"/>
                <w:kern w:val="0"/>
                <w:sz w:val="24"/>
              </w:rPr>
              <w:t>及用途</w:t>
            </w:r>
            <w:r>
              <w:rPr>
                <w:rFonts w:hint="eastAsia" w:ascii="宋体" w:hAnsi="宋体" w:cs="宋体"/>
                <w:kern w:val="0"/>
                <w:sz w:val="24"/>
              </w:rPr>
              <w:t>（</w:t>
            </w:r>
            <w:r>
              <w:rPr>
                <w:rFonts w:hint="eastAsia" w:ascii="宋体" w:hAnsi="宋体" w:cs="宋体"/>
                <w:b/>
                <w:kern w:val="0"/>
                <w:sz w:val="24"/>
              </w:rPr>
              <w:t>如未标明招标编号，有可能导致投标无效）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8</w:t>
            </w:r>
          </w:p>
        </w:tc>
        <w:tc>
          <w:tcPr>
            <w:tcW w:w="7371" w:type="dxa"/>
            <w:vAlign w:val="center"/>
          </w:tcPr>
          <w:p>
            <w:pPr>
              <w:adjustRightInd w:val="0"/>
              <w:snapToGrid w:val="0"/>
              <w:spacing w:line="360" w:lineRule="auto"/>
              <w:ind w:left="1592" w:hanging="1592"/>
              <w:rPr>
                <w:rFonts w:ascii="宋体" w:hAnsi="宋体"/>
                <w:sz w:val="24"/>
                <w:u w:val="single"/>
              </w:rPr>
            </w:pPr>
            <w:r>
              <w:rPr>
                <w:rFonts w:hint="eastAsia" w:ascii="宋体" w:hAnsi="宋体"/>
                <w:sz w:val="24"/>
              </w:rPr>
              <w:t>投标有效期：</w:t>
            </w:r>
            <w:r>
              <w:rPr>
                <w:rFonts w:hint="eastAsia" w:ascii="宋体" w:hAnsi="宋体"/>
                <w:sz w:val="24"/>
                <w:u w:val="single"/>
              </w:rPr>
              <w:t>150天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9</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投标文件：正本：</w:t>
            </w:r>
            <w:r>
              <w:rPr>
                <w:rFonts w:hint="eastAsia" w:ascii="宋体" w:hAnsi="宋体"/>
                <w:sz w:val="24"/>
                <w:u w:val="single"/>
                <w:lang w:val="en-US" w:eastAsia="zh-CN"/>
              </w:rPr>
              <w:t>1</w:t>
            </w:r>
            <w:r>
              <w:rPr>
                <w:rFonts w:hint="eastAsia" w:ascii="宋体" w:hAnsi="宋体"/>
                <w:sz w:val="24"/>
              </w:rPr>
              <w:t>份　</w:t>
            </w:r>
          </w:p>
          <w:p>
            <w:pPr>
              <w:adjustRightInd w:val="0"/>
              <w:snapToGrid w:val="0"/>
              <w:spacing w:line="360" w:lineRule="auto"/>
              <w:ind w:firstLine="1200" w:firstLineChars="500"/>
              <w:rPr>
                <w:rFonts w:ascii="宋体" w:hAnsi="宋体"/>
                <w:sz w:val="24"/>
              </w:rPr>
            </w:pPr>
            <w:r>
              <w:rPr>
                <w:rFonts w:hint="eastAsia" w:ascii="宋体" w:hAnsi="宋体"/>
                <w:sz w:val="24"/>
              </w:rPr>
              <w:t>副本：</w:t>
            </w:r>
            <w:r>
              <w:rPr>
                <w:rFonts w:hint="eastAsia" w:ascii="宋体" w:hAnsi="宋体"/>
                <w:sz w:val="24"/>
                <w:u w:val="single"/>
              </w:rPr>
              <w:t>5</w:t>
            </w:r>
            <w:r>
              <w:rPr>
                <w:rFonts w:hint="eastAsia" w:ascii="宋体" w:hAnsi="宋体"/>
                <w:sz w:val="24"/>
              </w:rPr>
              <w:t>份</w:t>
            </w:r>
          </w:p>
          <w:p>
            <w:pPr>
              <w:adjustRightInd w:val="0"/>
              <w:snapToGrid w:val="0"/>
              <w:spacing w:line="360" w:lineRule="auto"/>
              <w:ind w:firstLine="1200" w:firstLineChars="500"/>
              <w:rPr>
                <w:rFonts w:ascii="宋体" w:hAnsi="宋体"/>
                <w:sz w:val="24"/>
              </w:rPr>
            </w:pPr>
            <w:r>
              <w:rPr>
                <w:rFonts w:hint="eastAsia" w:ascii="宋体" w:hAnsi="宋体"/>
                <w:sz w:val="24"/>
              </w:rPr>
              <w:t>电子版：</w:t>
            </w:r>
            <w:r>
              <w:rPr>
                <w:rFonts w:hint="eastAsia" w:ascii="宋体" w:hAnsi="宋体"/>
                <w:sz w:val="24"/>
                <w:u w:val="single"/>
              </w:rPr>
              <w:t>1</w:t>
            </w:r>
            <w:r>
              <w:rPr>
                <w:rFonts w:hint="eastAsia" w:ascii="宋体" w:hAnsi="宋体"/>
                <w:sz w:val="24"/>
              </w:rPr>
              <w:t>份。（正本投标文件的扫描件，PDF格式，与纸质版一致）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b/>
                <w:sz w:val="24"/>
              </w:rPr>
            </w:pPr>
            <w:r>
              <w:rPr>
                <w:rFonts w:hint="eastAsia" w:ascii="宋体" w:hAnsi="宋体"/>
                <w:b/>
                <w:sz w:val="24"/>
              </w:rPr>
              <w:t>10</w:t>
            </w:r>
          </w:p>
        </w:tc>
        <w:tc>
          <w:tcPr>
            <w:tcW w:w="7371" w:type="dxa"/>
            <w:vAlign w:val="center"/>
          </w:tcPr>
          <w:p>
            <w:pPr>
              <w:adjustRightInd w:val="0"/>
              <w:snapToGrid w:val="0"/>
              <w:spacing w:line="360" w:lineRule="auto"/>
              <w:rPr>
                <w:rFonts w:ascii="宋体" w:hAnsi="宋体"/>
                <w:b/>
                <w:sz w:val="24"/>
              </w:rPr>
            </w:pPr>
            <w:r>
              <w:rPr>
                <w:rFonts w:hint="eastAsia" w:ascii="宋体" w:hAnsi="宋体"/>
                <w:b/>
                <w:sz w:val="24"/>
              </w:rPr>
              <w:t>投标无效的情形：</w:t>
            </w:r>
          </w:p>
          <w:p>
            <w:pPr>
              <w:numPr>
                <w:ilvl w:val="0"/>
                <w:numId w:val="2"/>
              </w:numPr>
              <w:spacing w:line="360" w:lineRule="auto"/>
              <w:ind w:firstLine="241" w:firstLineChars="100"/>
              <w:rPr>
                <w:rFonts w:ascii="宋体" w:hAnsi="宋体" w:cs="仿宋_GB2312"/>
                <w:b/>
                <w:sz w:val="24"/>
              </w:rPr>
            </w:pPr>
            <w:r>
              <w:rPr>
                <w:rFonts w:hint="eastAsia" w:ascii="宋体" w:hAnsi="宋体" w:cs="仿宋_GB2312"/>
                <w:b/>
                <w:sz w:val="24"/>
              </w:rPr>
              <w:t>投标人未提交投标保证金或形式不符或金额不足的；</w:t>
            </w:r>
          </w:p>
          <w:p>
            <w:pPr>
              <w:spacing w:line="360" w:lineRule="auto"/>
              <w:ind w:firstLine="241" w:firstLineChars="100"/>
              <w:rPr>
                <w:rFonts w:ascii="宋体" w:hAnsi="宋体" w:cs="仿宋_GB2312"/>
                <w:b/>
                <w:bCs/>
                <w:sz w:val="24"/>
              </w:rPr>
            </w:pPr>
            <w:r>
              <w:rPr>
                <w:rFonts w:hint="eastAsia" w:ascii="宋体" w:hAnsi="宋体" w:cs="仿宋_GB2312"/>
                <w:b/>
                <w:sz w:val="24"/>
              </w:rPr>
              <w:t>（</w:t>
            </w:r>
            <w:r>
              <w:rPr>
                <w:rFonts w:ascii="宋体" w:hAnsi="宋体" w:cs="仿宋_GB2312"/>
                <w:b/>
                <w:sz w:val="24"/>
              </w:rPr>
              <w:t>2</w:t>
            </w:r>
            <w:r>
              <w:rPr>
                <w:rFonts w:hint="eastAsia" w:ascii="宋体" w:hAnsi="宋体" w:cs="仿宋_GB2312"/>
                <w:b/>
                <w:sz w:val="24"/>
              </w:rPr>
              <w:t>）投标有效期不足的；</w:t>
            </w:r>
          </w:p>
          <w:p>
            <w:pPr>
              <w:spacing w:line="360" w:lineRule="auto"/>
              <w:ind w:firstLine="241" w:firstLineChars="100"/>
              <w:rPr>
                <w:rFonts w:ascii="宋体" w:hAnsi="宋体"/>
                <w:b/>
                <w:sz w:val="24"/>
              </w:rPr>
            </w:pPr>
            <w:r>
              <w:rPr>
                <w:rFonts w:hint="eastAsia" w:ascii="宋体" w:hAnsi="宋体" w:cs="仿宋_GB2312"/>
                <w:b/>
                <w:sz w:val="24"/>
              </w:rPr>
              <w:t>（</w:t>
            </w:r>
            <w:r>
              <w:rPr>
                <w:rFonts w:ascii="宋体" w:hAnsi="宋体" w:cs="仿宋_GB2312"/>
                <w:b/>
                <w:sz w:val="24"/>
              </w:rPr>
              <w:t>3</w:t>
            </w:r>
            <w:r>
              <w:rPr>
                <w:rFonts w:hint="eastAsia" w:ascii="宋体" w:hAnsi="宋体" w:cs="仿宋_GB2312"/>
                <w:b/>
                <w:sz w:val="24"/>
              </w:rPr>
              <w:t>）未按照招标文件规定要求密封、签署、盖章的；</w:t>
            </w:r>
          </w:p>
          <w:p>
            <w:pPr>
              <w:spacing w:line="360" w:lineRule="auto"/>
              <w:ind w:firstLine="241" w:firstLineChars="100"/>
              <w:rPr>
                <w:rFonts w:ascii="宋体" w:hAnsi="宋体"/>
                <w:b/>
                <w:sz w:val="24"/>
              </w:rPr>
            </w:pPr>
            <w:r>
              <w:rPr>
                <w:rFonts w:hint="eastAsia" w:ascii="宋体" w:hAnsi="宋体" w:cs="仿宋_GB2312"/>
                <w:b/>
                <w:sz w:val="24"/>
              </w:rPr>
              <w:t>（</w:t>
            </w:r>
            <w:r>
              <w:rPr>
                <w:rFonts w:ascii="宋体" w:hAnsi="宋体" w:cs="仿宋_GB2312"/>
                <w:b/>
                <w:sz w:val="24"/>
              </w:rPr>
              <w:t>4</w:t>
            </w:r>
            <w:r>
              <w:rPr>
                <w:rFonts w:hint="eastAsia" w:ascii="宋体" w:hAnsi="宋体" w:cs="仿宋_GB2312"/>
                <w:b/>
                <w:sz w:val="24"/>
              </w:rPr>
              <w:t>）未提供法定代表人授权书的；</w:t>
            </w:r>
          </w:p>
          <w:p>
            <w:pPr>
              <w:spacing w:line="360" w:lineRule="auto"/>
              <w:ind w:firstLine="241" w:firstLineChars="100"/>
              <w:rPr>
                <w:rFonts w:ascii="宋体" w:hAnsi="宋体"/>
                <w:b/>
                <w:sz w:val="24"/>
              </w:rPr>
            </w:pPr>
            <w:r>
              <w:rPr>
                <w:rFonts w:hint="eastAsia" w:ascii="宋体" w:hAnsi="宋体" w:cs="仿宋_GB2312"/>
                <w:b/>
                <w:sz w:val="24"/>
              </w:rPr>
              <w:t>（5）投标人有违法违纪行为，被</w:t>
            </w:r>
            <w:r>
              <w:rPr>
                <w:rFonts w:hint="eastAsia" w:ascii="宋体" w:hAnsi="宋体" w:cs="宋体"/>
                <w:b/>
                <w:kern w:val="0"/>
                <w:sz w:val="24"/>
              </w:rPr>
              <w:t>列入失信被执行人、重大税收违法案件当事人名单、政府采购严重违法失信行为记录名单的，</w:t>
            </w:r>
            <w:r>
              <w:rPr>
                <w:rFonts w:hint="eastAsia" w:ascii="宋体" w:hAnsi="宋体" w:cs="仿宋_GB2312"/>
                <w:b/>
                <w:sz w:val="24"/>
              </w:rPr>
              <w:t>或在过去三年中有重大的质量、信誉等问题；</w:t>
            </w:r>
          </w:p>
          <w:p>
            <w:pPr>
              <w:spacing w:line="360" w:lineRule="auto"/>
              <w:ind w:firstLine="241" w:firstLineChars="100"/>
              <w:rPr>
                <w:rFonts w:ascii="宋体" w:hAnsi="宋体" w:cs="仿宋_GB2312"/>
                <w:b/>
                <w:sz w:val="24"/>
              </w:rPr>
            </w:pPr>
            <w:r>
              <w:rPr>
                <w:rFonts w:hint="eastAsia" w:ascii="宋体" w:hAnsi="宋体" w:cs="仿宋_GB2312"/>
                <w:b/>
                <w:sz w:val="24"/>
              </w:rPr>
              <w:t>（6）投标文件中提供虚假或失实资料的；</w:t>
            </w:r>
          </w:p>
          <w:p>
            <w:pPr>
              <w:spacing w:line="360" w:lineRule="auto"/>
              <w:ind w:firstLine="241" w:firstLineChars="100"/>
              <w:rPr>
                <w:rFonts w:ascii="宋体" w:hAnsi="宋体" w:cs="仿宋_GB2312"/>
                <w:b/>
                <w:sz w:val="24"/>
              </w:rPr>
            </w:pPr>
            <w:r>
              <w:rPr>
                <w:rFonts w:hint="eastAsia" w:ascii="宋体" w:hAnsi="宋体" w:cs="仿宋_GB2312"/>
                <w:b/>
                <w:sz w:val="24"/>
              </w:rPr>
              <w:t>（7）投标报价超过采购预算的；</w:t>
            </w:r>
          </w:p>
          <w:p>
            <w:pPr>
              <w:adjustRightInd w:val="0"/>
              <w:snapToGrid w:val="0"/>
              <w:spacing w:line="360" w:lineRule="auto"/>
              <w:ind w:firstLine="236" w:firstLineChars="98"/>
              <w:rPr>
                <w:rFonts w:ascii="宋体" w:hAnsi="宋体"/>
                <w:b/>
                <w:sz w:val="24"/>
              </w:rPr>
            </w:pPr>
            <w:r>
              <w:rPr>
                <w:rFonts w:hint="eastAsia" w:ascii="宋体" w:hAnsi="宋体" w:cs="仿宋_GB2312"/>
                <w:b/>
                <w:sz w:val="24"/>
              </w:rPr>
              <w:t>（8）不符合法律、法规和招标文件中★号条款规定的。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b/>
                <w:sz w:val="24"/>
              </w:rPr>
            </w:pPr>
            <w:r>
              <w:rPr>
                <w:rFonts w:hint="eastAsia" w:ascii="宋体" w:hAnsi="宋体"/>
                <w:b/>
                <w:sz w:val="24"/>
              </w:rPr>
              <w:t>11</w:t>
            </w:r>
          </w:p>
        </w:tc>
        <w:tc>
          <w:tcPr>
            <w:tcW w:w="7371" w:type="dxa"/>
            <w:vAlign w:val="center"/>
          </w:tcPr>
          <w:p>
            <w:pPr>
              <w:adjustRightInd w:val="0"/>
              <w:snapToGrid w:val="0"/>
              <w:spacing w:line="360" w:lineRule="auto"/>
              <w:rPr>
                <w:rFonts w:ascii="宋体" w:hAnsi="宋体"/>
                <w:b/>
                <w:sz w:val="24"/>
              </w:rPr>
            </w:pPr>
            <w:r>
              <w:rPr>
                <w:rFonts w:hint="eastAsia" w:ascii="宋体" w:hAnsi="宋体"/>
                <w:b/>
                <w:sz w:val="24"/>
              </w:rPr>
              <w:t>是否允许备选方案：否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12</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评标方法：综合评价打分法</w:t>
            </w:r>
          </w:p>
          <w:p>
            <w:pPr>
              <w:pStyle w:val="43"/>
              <w:snapToGrid w:val="0"/>
              <w:spacing w:before="0"/>
              <w:ind w:firstLine="0"/>
              <w:textAlignment w:val="auto"/>
              <w:rPr>
                <w:rFonts w:ascii="宋体" w:hAnsi="宋体"/>
                <w:szCs w:val="24"/>
              </w:rPr>
            </w:pPr>
            <w:r>
              <w:rPr>
                <w:rFonts w:hint="eastAsia" w:ascii="宋体" w:hAnsi="宋体"/>
                <w:szCs w:val="24"/>
              </w:rPr>
              <w:t>具体评分标准详见附表。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13</w:t>
            </w:r>
          </w:p>
        </w:tc>
        <w:tc>
          <w:tcPr>
            <w:tcW w:w="7371" w:type="dxa"/>
            <w:vAlign w:val="center"/>
          </w:tcPr>
          <w:p>
            <w:pPr>
              <w:adjustRightInd w:val="0"/>
              <w:snapToGrid w:val="0"/>
              <w:spacing w:line="360" w:lineRule="auto"/>
              <w:rPr>
                <w:rFonts w:ascii="宋体" w:hAnsi="宋体"/>
                <w:sz w:val="24"/>
              </w:rPr>
            </w:pPr>
            <w:r>
              <w:rPr>
                <w:rFonts w:hint="eastAsia" w:ascii="宋体" w:hAnsi="宋体" w:cs="仿宋_GB2312"/>
                <w:sz w:val="24"/>
              </w:rPr>
              <w:t>确定</w:t>
            </w:r>
            <w:r>
              <w:rPr>
                <w:rFonts w:hint="eastAsia" w:ascii="宋体" w:hAnsi="宋体"/>
                <w:sz w:val="24"/>
              </w:rPr>
              <w:t>中标候选人的原则为：</w:t>
            </w:r>
            <w:r>
              <w:rPr>
                <w:rFonts w:hint="eastAsia" w:ascii="宋体" w:cs="宋体"/>
                <w:kern w:val="0"/>
                <w:sz w:val="24"/>
                <w:lang w:val="zh-CN"/>
              </w:rPr>
              <w:t>在最大限度地满足招标文件实质性要求的前提下，按照招标文件中规定的各项因素进行综合评审后，以评标总分最高的投标人作为中标候选人。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14</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履约保证金：不适用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7"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15</w:t>
            </w:r>
          </w:p>
        </w:tc>
        <w:tc>
          <w:tcPr>
            <w:tcW w:w="7371" w:type="dxa"/>
            <w:vAlign w:val="center"/>
          </w:tcPr>
          <w:p>
            <w:pPr>
              <w:adjustRightInd w:val="0"/>
              <w:snapToGrid w:val="0"/>
              <w:spacing w:line="360" w:lineRule="auto"/>
              <w:rPr>
                <w:rFonts w:ascii="宋体" w:hAnsi="宋体"/>
                <w:sz w:val="24"/>
              </w:rPr>
            </w:pPr>
            <w:r>
              <w:rPr>
                <w:rFonts w:hint="eastAsia" w:ascii="宋体" w:hAnsi="宋体"/>
                <w:sz w:val="24"/>
              </w:rPr>
              <w:t>中标商在</w:t>
            </w:r>
            <w:r>
              <w:rPr>
                <w:rFonts w:hint="eastAsia" w:ascii="宋体" w:hAnsi="宋体" w:cs="仿宋_GB2312"/>
                <w:sz w:val="24"/>
              </w:rPr>
              <w:t>收到中标通知书后</w:t>
            </w:r>
            <w:r>
              <w:rPr>
                <w:rFonts w:ascii="宋体" w:hAnsi="宋体" w:cs="仿宋_GB2312"/>
                <w:sz w:val="24"/>
              </w:rPr>
              <w:t>5</w:t>
            </w:r>
            <w:r>
              <w:rPr>
                <w:rFonts w:hint="eastAsia" w:ascii="宋体" w:hAnsi="宋体" w:cs="仿宋_GB2312"/>
                <w:sz w:val="24"/>
              </w:rPr>
              <w:t>日内</w:t>
            </w:r>
            <w:r>
              <w:rPr>
                <w:rFonts w:hint="eastAsia" w:ascii="宋体" w:hAnsi="宋体"/>
                <w:sz w:val="24"/>
              </w:rPr>
              <w:t>，须向采购人代理支付中标服务费：</w:t>
            </w:r>
          </w:p>
          <w:p>
            <w:pPr>
              <w:adjustRightInd w:val="0"/>
              <w:snapToGrid w:val="0"/>
              <w:spacing w:line="360" w:lineRule="auto"/>
              <w:rPr>
                <w:rFonts w:ascii="宋体" w:hAnsi="宋体"/>
                <w:sz w:val="24"/>
              </w:rPr>
            </w:pPr>
            <w:r>
              <w:rPr>
                <w:rFonts w:hint="eastAsia" w:ascii="宋体" w:hAnsi="宋体"/>
                <w:sz w:val="24"/>
              </w:rPr>
              <w:t>中标服务费支付给采购人的招标采购代理，即东方国际招标有限责任公司，收取标准为国家计委招标代理服务费暂行标准[2002]1980号文件中规定的服务采购收费比率下浮2</w:t>
            </w:r>
            <w:r>
              <w:rPr>
                <w:rFonts w:ascii="宋体" w:hAnsi="宋体"/>
                <w:sz w:val="24"/>
              </w:rPr>
              <w:t>0</w:t>
            </w:r>
            <w:r>
              <w:rPr>
                <w:rFonts w:hint="eastAsia" w:ascii="宋体" w:hAnsi="宋体"/>
                <w:sz w:val="24"/>
              </w:rPr>
              <w:t>%。具体比率为:</w:t>
            </w:r>
          </w:p>
          <w:tbl>
            <w:tblPr>
              <w:tblStyle w:val="31"/>
              <w:tblW w:w="0" w:type="auto"/>
              <w:jc w:val="center"/>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84"/>
              <w:gridCol w:w="2390"/>
            </w:tblGrid>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3084" w:type="dxa"/>
                  <w:tcMar>
                    <w:top w:w="0" w:type="dxa"/>
                    <w:left w:w="108" w:type="dxa"/>
                    <w:bottom w:w="0" w:type="dxa"/>
                    <w:right w:w="108" w:type="dxa"/>
                  </w:tcMar>
                </w:tcPr>
                <w:p>
                  <w:pPr>
                    <w:ind w:firstLine="240" w:firstLineChars="100"/>
                    <w:jc w:val="center"/>
                    <w:rPr>
                      <w:rFonts w:ascii="宋体" w:hAnsi="宋体"/>
                      <w:sz w:val="24"/>
                    </w:rPr>
                  </w:pPr>
                  <w:r>
                    <w:rPr>
                      <w:rFonts w:hint="eastAsia" w:ascii="宋体" w:hAnsi="宋体"/>
                      <w:sz w:val="24"/>
                    </w:rPr>
                    <w:t>中标金额 （人民币万元）</w:t>
                  </w:r>
                </w:p>
              </w:tc>
              <w:tc>
                <w:tcPr>
                  <w:tcW w:w="2390" w:type="dxa"/>
                  <w:tcMar>
                    <w:top w:w="0" w:type="dxa"/>
                    <w:left w:w="108" w:type="dxa"/>
                    <w:bottom w:w="0" w:type="dxa"/>
                    <w:right w:w="108" w:type="dxa"/>
                  </w:tcMar>
                </w:tcPr>
                <w:p>
                  <w:pPr>
                    <w:jc w:val="center"/>
                    <w:rPr>
                      <w:rFonts w:ascii="宋体" w:hAnsi="宋体"/>
                      <w:sz w:val="24"/>
                    </w:rPr>
                  </w:pPr>
                  <w:r>
                    <w:rPr>
                      <w:rFonts w:hint="eastAsia" w:ascii="宋体" w:hAnsi="宋体"/>
                      <w:sz w:val="24"/>
                    </w:rPr>
                    <w:t>比率</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5" w:hRule="atLeast"/>
                <w:jc w:val="center"/>
              </w:trPr>
              <w:tc>
                <w:tcPr>
                  <w:tcW w:w="3084" w:type="dxa"/>
                  <w:tcMar>
                    <w:top w:w="0" w:type="dxa"/>
                    <w:left w:w="108" w:type="dxa"/>
                    <w:bottom w:w="0" w:type="dxa"/>
                    <w:right w:w="108" w:type="dxa"/>
                  </w:tcMar>
                </w:tcPr>
                <w:p>
                  <w:pPr>
                    <w:ind w:firstLine="1200" w:firstLineChars="500"/>
                    <w:rPr>
                      <w:rFonts w:ascii="宋体" w:hAnsi="宋体"/>
                      <w:sz w:val="24"/>
                    </w:rPr>
                  </w:pPr>
                  <w:r>
                    <w:rPr>
                      <w:rFonts w:ascii="宋体" w:hAnsi="宋体"/>
                      <w:sz w:val="24"/>
                    </w:rPr>
                    <w:t>100</w:t>
                  </w:r>
                  <w:r>
                    <w:rPr>
                      <w:rFonts w:hint="eastAsia" w:ascii="宋体" w:hAnsi="宋体"/>
                      <w:sz w:val="24"/>
                    </w:rPr>
                    <w:t>以下</w:t>
                  </w:r>
                </w:p>
              </w:tc>
              <w:tc>
                <w:tcPr>
                  <w:tcW w:w="2390" w:type="dxa"/>
                  <w:tcMar>
                    <w:top w:w="0" w:type="dxa"/>
                    <w:left w:w="108" w:type="dxa"/>
                    <w:bottom w:w="0" w:type="dxa"/>
                    <w:right w:w="108" w:type="dxa"/>
                  </w:tcMar>
                </w:tcPr>
                <w:p>
                  <w:pPr>
                    <w:jc w:val="center"/>
                    <w:rPr>
                      <w:rFonts w:ascii="宋体" w:hAnsi="宋体"/>
                      <w:sz w:val="24"/>
                    </w:rPr>
                  </w:pPr>
                  <w:r>
                    <w:rPr>
                      <w:rFonts w:ascii="宋体" w:hAnsi="宋体"/>
                      <w:sz w:val="24"/>
                    </w:rPr>
                    <w:t>1.2%</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084" w:type="dxa"/>
                  <w:tcMar>
                    <w:top w:w="0" w:type="dxa"/>
                    <w:left w:w="108" w:type="dxa"/>
                    <w:bottom w:w="0" w:type="dxa"/>
                    <w:right w:w="108" w:type="dxa"/>
                  </w:tcMar>
                </w:tcPr>
                <w:p>
                  <w:pPr>
                    <w:jc w:val="center"/>
                    <w:rPr>
                      <w:rFonts w:ascii="宋体" w:hAnsi="宋体"/>
                      <w:sz w:val="24"/>
                    </w:rPr>
                  </w:pPr>
                  <w:r>
                    <w:rPr>
                      <w:rFonts w:ascii="宋体" w:hAnsi="宋体"/>
                      <w:sz w:val="24"/>
                    </w:rPr>
                    <w:t>100-500</w:t>
                  </w:r>
                </w:p>
              </w:tc>
              <w:tc>
                <w:tcPr>
                  <w:tcW w:w="2390" w:type="dxa"/>
                  <w:tcMar>
                    <w:top w:w="0" w:type="dxa"/>
                    <w:left w:w="108" w:type="dxa"/>
                    <w:bottom w:w="0" w:type="dxa"/>
                    <w:right w:w="108" w:type="dxa"/>
                  </w:tcMar>
                </w:tcPr>
                <w:p>
                  <w:pPr>
                    <w:jc w:val="center"/>
                    <w:rPr>
                      <w:rFonts w:ascii="宋体" w:hAnsi="宋体"/>
                      <w:sz w:val="24"/>
                    </w:rPr>
                  </w:pPr>
                  <w:r>
                    <w:rPr>
                      <w:rFonts w:hint="eastAsia" w:ascii="宋体" w:hAnsi="宋体"/>
                      <w:sz w:val="24"/>
                    </w:rPr>
                    <w:t>0.</w:t>
                  </w:r>
                  <w:r>
                    <w:rPr>
                      <w:rFonts w:ascii="宋体" w:hAnsi="宋体"/>
                      <w:sz w:val="24"/>
                    </w:rPr>
                    <w:t>64%</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084" w:type="dxa"/>
                  <w:tcMar>
                    <w:top w:w="0" w:type="dxa"/>
                    <w:left w:w="108" w:type="dxa"/>
                    <w:bottom w:w="0" w:type="dxa"/>
                    <w:right w:w="108" w:type="dxa"/>
                  </w:tcMar>
                </w:tcPr>
                <w:p>
                  <w:pPr>
                    <w:jc w:val="center"/>
                    <w:rPr>
                      <w:rFonts w:ascii="宋体" w:hAnsi="宋体"/>
                      <w:sz w:val="24"/>
                    </w:rPr>
                  </w:pPr>
                  <w:r>
                    <w:rPr>
                      <w:rFonts w:ascii="宋体" w:hAnsi="宋体"/>
                      <w:sz w:val="24"/>
                    </w:rPr>
                    <w:t>500-1000</w:t>
                  </w:r>
                </w:p>
              </w:tc>
              <w:tc>
                <w:tcPr>
                  <w:tcW w:w="2390" w:type="dxa"/>
                  <w:tcMar>
                    <w:top w:w="0" w:type="dxa"/>
                    <w:left w:w="108" w:type="dxa"/>
                    <w:bottom w:w="0" w:type="dxa"/>
                    <w:right w:w="108" w:type="dxa"/>
                  </w:tcMar>
                </w:tcPr>
                <w:p>
                  <w:pPr>
                    <w:jc w:val="center"/>
                    <w:rPr>
                      <w:rFonts w:ascii="宋体" w:hAnsi="宋体"/>
                      <w:sz w:val="24"/>
                    </w:rPr>
                  </w:pPr>
                  <w:r>
                    <w:rPr>
                      <w:rFonts w:hint="eastAsia" w:ascii="宋体" w:hAnsi="宋体"/>
                      <w:sz w:val="24"/>
                    </w:rPr>
                    <w:t>0.</w:t>
                  </w:r>
                  <w:r>
                    <w:rPr>
                      <w:rFonts w:ascii="宋体" w:hAnsi="宋体"/>
                      <w:sz w:val="24"/>
                    </w:rPr>
                    <w:t>36%</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084" w:type="dxa"/>
                  <w:tcMar>
                    <w:top w:w="0" w:type="dxa"/>
                    <w:left w:w="108" w:type="dxa"/>
                    <w:bottom w:w="0" w:type="dxa"/>
                    <w:right w:w="108" w:type="dxa"/>
                  </w:tcMar>
                </w:tcPr>
                <w:p>
                  <w:pPr>
                    <w:jc w:val="center"/>
                    <w:rPr>
                      <w:rFonts w:ascii="宋体" w:hAnsi="宋体"/>
                      <w:sz w:val="24"/>
                    </w:rPr>
                  </w:pPr>
                  <w:r>
                    <w:rPr>
                      <w:rFonts w:ascii="宋体" w:hAnsi="宋体"/>
                      <w:sz w:val="24"/>
                    </w:rPr>
                    <w:t>1000-5000</w:t>
                  </w:r>
                </w:p>
              </w:tc>
              <w:tc>
                <w:tcPr>
                  <w:tcW w:w="2390" w:type="dxa"/>
                  <w:tcMar>
                    <w:top w:w="0" w:type="dxa"/>
                    <w:left w:w="108" w:type="dxa"/>
                    <w:bottom w:w="0" w:type="dxa"/>
                    <w:right w:w="108" w:type="dxa"/>
                  </w:tcMar>
                </w:tcPr>
                <w:p>
                  <w:pPr>
                    <w:jc w:val="center"/>
                    <w:rPr>
                      <w:rFonts w:ascii="宋体" w:hAnsi="宋体"/>
                      <w:sz w:val="24"/>
                    </w:rPr>
                  </w:pPr>
                  <w:r>
                    <w:rPr>
                      <w:rFonts w:ascii="宋体" w:hAnsi="宋体"/>
                      <w:sz w:val="24"/>
                    </w:rPr>
                    <w:t>0.</w:t>
                  </w:r>
                  <w:r>
                    <w:rPr>
                      <w:rFonts w:hint="eastAsia" w:ascii="宋体" w:hAnsi="宋体"/>
                      <w:sz w:val="24"/>
                    </w:rPr>
                    <w:t>2</w:t>
                  </w:r>
                  <w:r>
                    <w:rPr>
                      <w:rFonts w:ascii="宋体" w:hAnsi="宋体"/>
                      <w:sz w:val="24"/>
                    </w:rPr>
                    <w:t>0%</w:t>
                  </w:r>
                </w:p>
              </w:tc>
            </w:tr>
          </w:tbl>
          <w:p>
            <w:pPr>
              <w:autoSpaceDE w:val="0"/>
              <w:autoSpaceDN w:val="0"/>
              <w:adjustRightInd w:val="0"/>
              <w:spacing w:line="360" w:lineRule="auto"/>
              <w:ind w:firstLine="482" w:firstLineChars="200"/>
              <w:jc w:val="left"/>
              <w:rPr>
                <w:rFonts w:ascii="宋体" w:hAnsi="宋体"/>
                <w:sz w:val="24"/>
              </w:rPr>
            </w:pPr>
            <w:r>
              <w:rPr>
                <w:rFonts w:hint="eastAsia" w:ascii="宋体" w:hAnsi="宋体"/>
                <w:b/>
                <w:bCs/>
                <w:sz w:val="24"/>
              </w:rPr>
              <w:t>注：中标服务费按差额定率累进法计算。收费基数为项目总预算即</w:t>
            </w:r>
            <w:r>
              <w:rPr>
                <w:rFonts w:ascii="宋体" w:hAnsi="宋体"/>
                <w:b/>
                <w:bCs/>
                <w:sz w:val="24"/>
              </w:rPr>
              <w:t>135</w:t>
            </w:r>
            <w:r>
              <w:rPr>
                <w:rFonts w:hint="eastAsia" w:ascii="宋体" w:hAnsi="宋体"/>
                <w:b/>
                <w:bCs/>
                <w:sz w:val="24"/>
              </w:rPr>
              <w:t>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4"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16</w:t>
            </w:r>
          </w:p>
        </w:tc>
        <w:tc>
          <w:tcPr>
            <w:tcW w:w="7371" w:type="dxa"/>
            <w:vAlign w:val="center"/>
          </w:tcPr>
          <w:p>
            <w:pPr>
              <w:pStyle w:val="30"/>
              <w:spacing w:line="360" w:lineRule="auto"/>
              <w:ind w:left="0" w:leftChars="0" w:firstLine="0" w:firstLineChars="0"/>
              <w:rPr>
                <w:rFonts w:ascii="宋体" w:hAnsi="宋体"/>
                <w:b/>
                <w:bCs/>
                <w:sz w:val="24"/>
              </w:rPr>
            </w:pPr>
            <w:r>
              <w:rPr>
                <w:rFonts w:hint="eastAsia" w:ascii="宋体" w:cs="宋体"/>
                <w:sz w:val="24"/>
              </w:rPr>
              <w:t>分公司投标的，需提供具有法人资格的总公司的营业执照副本复印件及授权书。总公司可就本项目或此类项目在一定范围或时间内出具授权书。已由总公司授权的，总公司取得的相关资质证书对分公司有效，法律法规或者行业另有规定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4"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17</w:t>
            </w:r>
          </w:p>
        </w:tc>
        <w:tc>
          <w:tcPr>
            <w:tcW w:w="7371" w:type="dxa"/>
            <w:vAlign w:val="center"/>
          </w:tcPr>
          <w:p>
            <w:pPr>
              <w:adjustRightInd w:val="0"/>
              <w:snapToGrid w:val="0"/>
              <w:spacing w:line="360" w:lineRule="auto"/>
              <w:rPr>
                <w:rFonts w:ascii="宋体" w:hAnsi="宋体" w:cs="仿宋_GB2312"/>
                <w:sz w:val="24"/>
              </w:rPr>
            </w:pPr>
            <w:r>
              <w:rPr>
                <w:rFonts w:hint="eastAsia" w:ascii="宋体" w:hAnsi="宋体" w:cs="仿宋_GB2312"/>
                <w:sz w:val="24"/>
              </w:rPr>
              <w:t>接收质疑函的方式、联系部门、联系电话和通讯地址：</w:t>
            </w:r>
          </w:p>
          <w:p>
            <w:pPr>
              <w:adjustRightInd w:val="0"/>
              <w:snapToGrid w:val="0"/>
              <w:spacing w:line="360" w:lineRule="auto"/>
              <w:rPr>
                <w:rFonts w:ascii="宋体" w:hAnsi="宋体" w:cs="仿宋_GB2312"/>
                <w:sz w:val="24"/>
              </w:rPr>
            </w:pPr>
            <w:r>
              <w:rPr>
                <w:rFonts w:hint="eastAsia" w:ascii="宋体" w:hAnsi="宋体" w:cs="仿宋_GB2312"/>
                <w:sz w:val="24"/>
              </w:rPr>
              <w:t>接收方式：传真或电子邮件或邮寄</w:t>
            </w:r>
          </w:p>
          <w:p>
            <w:pPr>
              <w:adjustRightInd w:val="0"/>
              <w:snapToGrid w:val="0"/>
              <w:spacing w:line="360" w:lineRule="auto"/>
              <w:rPr>
                <w:rFonts w:ascii="宋体" w:hAnsi="宋体" w:cs="仿宋_GB2312"/>
                <w:sz w:val="24"/>
              </w:rPr>
            </w:pPr>
            <w:r>
              <w:rPr>
                <w:rFonts w:hint="eastAsia" w:ascii="宋体" w:hAnsi="宋体" w:cs="仿宋_GB2312"/>
                <w:sz w:val="24"/>
              </w:rPr>
              <w:t>联系部门：招标部</w:t>
            </w:r>
          </w:p>
          <w:p>
            <w:pPr>
              <w:adjustRightInd w:val="0"/>
              <w:snapToGrid w:val="0"/>
              <w:spacing w:line="360" w:lineRule="auto"/>
              <w:rPr>
                <w:rFonts w:ascii="宋体" w:hAnsi="宋体" w:cs="宋体"/>
                <w:kern w:val="0"/>
                <w:sz w:val="24"/>
              </w:rPr>
            </w:pPr>
            <w:r>
              <w:rPr>
                <w:rFonts w:hint="eastAsia" w:ascii="宋体" w:hAnsi="宋体" w:cs="仿宋_GB2312"/>
                <w:sz w:val="24"/>
              </w:rPr>
              <w:t>联系电话：020-87001523</w:t>
            </w:r>
          </w:p>
          <w:p>
            <w:pPr>
              <w:adjustRightInd w:val="0"/>
              <w:snapToGrid w:val="0"/>
              <w:spacing w:line="360" w:lineRule="auto"/>
              <w:rPr>
                <w:rFonts w:ascii="宋体" w:hAnsi="宋体" w:cs="宋体"/>
                <w:kern w:val="0"/>
                <w:sz w:val="24"/>
                <w:u w:val="single"/>
              </w:rPr>
            </w:pPr>
            <w:r>
              <w:rPr>
                <w:rFonts w:hint="eastAsia" w:ascii="宋体" w:hAnsi="宋体" w:cs="宋体"/>
                <w:kern w:val="0"/>
                <w:sz w:val="24"/>
              </w:rPr>
              <w:t>电子邮箱：</w:t>
            </w:r>
            <w:r>
              <w:rPr>
                <w:rStyle w:val="37"/>
                <w:rFonts w:hint="eastAsia" w:ascii="宋体" w:hAnsi="宋体" w:cs="宋体"/>
                <w:color w:val="auto"/>
                <w:kern w:val="0"/>
                <w:sz w:val="24"/>
              </w:rPr>
              <w:t>ytlin@oitc.com.cn</w:t>
            </w:r>
            <w:r>
              <w:rPr>
                <w:rFonts w:hint="eastAsia" w:ascii="宋体" w:hAnsi="宋体" w:cs="宋体"/>
                <w:kern w:val="0"/>
                <w:sz w:val="24"/>
              </w:rPr>
              <w:t xml:space="preserve"> ，cjwang@oitc.com.cn</w:t>
            </w:r>
          </w:p>
          <w:p>
            <w:pPr>
              <w:adjustRightInd w:val="0"/>
              <w:snapToGrid w:val="0"/>
              <w:spacing w:line="360" w:lineRule="auto"/>
              <w:rPr>
                <w:rFonts w:ascii="宋体" w:cs="宋体"/>
                <w:sz w:val="24"/>
              </w:rPr>
            </w:pPr>
            <w:r>
              <w:rPr>
                <w:rFonts w:hint="eastAsia" w:ascii="宋体" w:hAnsi="宋体" w:cs="宋体"/>
                <w:kern w:val="0"/>
                <w:sz w:val="24"/>
              </w:rPr>
              <w:t>通讯地址：北京市海淀区西三环北路甲2号院科技园6号楼13层01室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4"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18</w:t>
            </w:r>
          </w:p>
        </w:tc>
        <w:tc>
          <w:tcPr>
            <w:tcW w:w="7371" w:type="dxa"/>
            <w:vAlign w:val="center"/>
          </w:tcPr>
          <w:p>
            <w:pPr>
              <w:adjustRightInd w:val="0"/>
              <w:snapToGrid w:val="0"/>
              <w:spacing w:line="360" w:lineRule="auto"/>
              <w:rPr>
                <w:rFonts w:ascii="宋体" w:hAnsi="宋体" w:cs="宋体"/>
                <w:kern w:val="0"/>
                <w:sz w:val="24"/>
              </w:rPr>
            </w:pPr>
            <w:r>
              <w:rPr>
                <w:rFonts w:hint="eastAsia" w:ascii="宋体" w:hAnsi="宋体" w:cs="宋体"/>
                <w:kern w:val="0"/>
                <w:sz w:val="24"/>
              </w:rPr>
              <w:t>中小企业划分标准所属行业</w:t>
            </w:r>
          </w:p>
          <w:p>
            <w:pPr>
              <w:adjustRightInd w:val="0"/>
              <w:snapToGrid w:val="0"/>
              <w:spacing w:line="360" w:lineRule="auto"/>
              <w:rPr>
                <w:rFonts w:ascii="宋体" w:hAnsi="宋体" w:cs="宋体"/>
                <w:kern w:val="0"/>
                <w:sz w:val="24"/>
              </w:rPr>
            </w:pPr>
            <w:r>
              <w:rPr>
                <w:rFonts w:hint="eastAsia" w:ascii="宋体" w:hAnsi="宋体" w:cs="宋体"/>
                <w:kern w:val="0"/>
                <w:sz w:val="24"/>
              </w:rPr>
              <w:t>本项目采购标的对应的中小企业划分标准所属行业：其他未列明行业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4" w:hRule="atLeast"/>
        </w:trPr>
        <w:tc>
          <w:tcPr>
            <w:tcW w:w="1701" w:type="dxa"/>
            <w:vAlign w:val="center"/>
          </w:tcPr>
          <w:p>
            <w:pPr>
              <w:adjustRightInd w:val="0"/>
              <w:snapToGrid w:val="0"/>
              <w:spacing w:line="360" w:lineRule="auto"/>
              <w:jc w:val="center"/>
              <w:rPr>
                <w:rFonts w:ascii="宋体" w:hAnsi="宋体"/>
                <w:sz w:val="24"/>
              </w:rPr>
            </w:pPr>
            <w:r>
              <w:rPr>
                <w:rFonts w:hint="eastAsia" w:ascii="宋体" w:hAnsi="宋体"/>
                <w:sz w:val="24"/>
              </w:rPr>
              <w:t>19</w:t>
            </w:r>
          </w:p>
        </w:tc>
        <w:tc>
          <w:tcPr>
            <w:tcW w:w="7371" w:type="dxa"/>
            <w:vAlign w:val="center"/>
          </w:tcPr>
          <w:p>
            <w:pPr>
              <w:adjustRightInd w:val="0"/>
              <w:snapToGrid w:val="0"/>
              <w:spacing w:line="360" w:lineRule="auto"/>
              <w:rPr>
                <w:rFonts w:ascii="宋体" w:hAnsi="宋体" w:cs="宋体"/>
                <w:kern w:val="0"/>
                <w:sz w:val="24"/>
              </w:rPr>
            </w:pPr>
            <w:r>
              <w:rPr>
                <w:rFonts w:hint="eastAsia" w:ascii="宋体" w:hAnsi="宋体" w:cs="宋体"/>
                <w:kern w:val="0"/>
                <w:sz w:val="24"/>
              </w:rPr>
              <w:t>废标条款</w:t>
            </w:r>
          </w:p>
          <w:p>
            <w:pPr>
              <w:numPr>
                <w:ilvl w:val="0"/>
                <w:numId w:val="3"/>
              </w:num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符合专业条件的供应商或者对招标文件作出实质性响应的供应商不足三家的；</w:t>
            </w:r>
          </w:p>
          <w:p>
            <w:pPr>
              <w:numPr>
                <w:ilvl w:val="0"/>
                <w:numId w:val="3"/>
              </w:num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出现影响采购公正的违法、违规行为的；</w:t>
            </w:r>
          </w:p>
          <w:p>
            <w:pPr>
              <w:numPr>
                <w:ilvl w:val="0"/>
                <w:numId w:val="3"/>
              </w:num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投标人的报价均超过了采购预算，采购人不能支付的；</w:t>
            </w:r>
          </w:p>
          <w:p>
            <w:pPr>
              <w:numPr>
                <w:ilvl w:val="0"/>
                <w:numId w:val="3"/>
              </w:num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因重大变故，采购任务取消的。</w:t>
            </w:r>
          </w:p>
        </w:tc>
      </w:tr>
    </w:tbl>
    <w:p>
      <w:pPr>
        <w:adjustRightInd w:val="0"/>
        <w:snapToGrid w:val="0"/>
        <w:rPr>
          <w:rFonts w:ascii="宋体" w:hAnsi="宋体"/>
          <w:b/>
          <w:sz w:val="24"/>
        </w:rPr>
      </w:pPr>
    </w:p>
    <w:p>
      <w:pPr>
        <w:adjustRightInd w:val="0"/>
        <w:snapToGrid w:val="0"/>
        <w:spacing w:before="120" w:beforeLines="50" w:after="120" w:afterLines="50" w:line="360" w:lineRule="auto"/>
        <w:rPr>
          <w:rFonts w:ascii="宋体" w:hAnsi="宋体"/>
          <w:sz w:val="24"/>
        </w:rPr>
      </w:pPr>
      <w:r>
        <w:rPr>
          <w:rFonts w:hint="eastAsia" w:ascii="宋体" w:hAnsi="宋体"/>
          <w:sz w:val="24"/>
        </w:rPr>
        <w:t>注1：</w:t>
      </w:r>
    </w:p>
    <w:p>
      <w:pPr>
        <w:spacing w:line="360" w:lineRule="auto"/>
        <w:rPr>
          <w:rFonts w:ascii="宋体" w:hAnsi="宋体"/>
          <w:bCs/>
          <w:sz w:val="24"/>
        </w:rPr>
      </w:pPr>
      <w:r>
        <w:rPr>
          <w:rFonts w:hint="eastAsia" w:ascii="宋体" w:hAnsi="宋体"/>
          <w:bCs/>
          <w:sz w:val="24"/>
        </w:rPr>
        <w:t>1）信用信息查询渠道：“信用中国”网站（www.creditchina.gov.cn）、中国政府采购网（www.ccgp.gov.cn）网站等。</w:t>
      </w:r>
    </w:p>
    <w:p>
      <w:pPr>
        <w:spacing w:line="360" w:lineRule="auto"/>
        <w:rPr>
          <w:rFonts w:ascii="宋体" w:hAnsi="宋体"/>
          <w:bCs/>
          <w:sz w:val="24"/>
        </w:rPr>
      </w:pPr>
      <w:r>
        <w:rPr>
          <w:rFonts w:hint="eastAsia" w:ascii="宋体" w:hAnsi="宋体"/>
          <w:bCs/>
          <w:sz w:val="24"/>
        </w:rPr>
        <w:t>2）信用信息查询截止时点：同投标截止期，即查询投标人截止到投标截止期的信用信息记录。</w:t>
      </w:r>
    </w:p>
    <w:p>
      <w:pPr>
        <w:spacing w:line="360" w:lineRule="auto"/>
        <w:rPr>
          <w:rFonts w:ascii="宋体" w:hAnsi="宋体"/>
          <w:bCs/>
          <w:sz w:val="24"/>
        </w:rPr>
      </w:pPr>
      <w:r>
        <w:rPr>
          <w:rFonts w:hint="eastAsia" w:ascii="宋体" w:hAnsi="宋体"/>
          <w:bCs/>
          <w:sz w:val="24"/>
        </w:rPr>
        <w:t>3）信用信息查询记录和证据留存的具体方式：信用信息查询记录将以网站截图打印稿形式与其他采购文件一并保存。</w:t>
      </w:r>
    </w:p>
    <w:p>
      <w:pPr>
        <w:spacing w:line="360" w:lineRule="auto"/>
        <w:rPr>
          <w:rFonts w:ascii="宋体" w:hAnsi="宋体"/>
          <w:b/>
          <w:sz w:val="24"/>
        </w:rPr>
      </w:pPr>
      <w:r>
        <w:rPr>
          <w:rFonts w:hint="eastAsia" w:ascii="宋体" w:hAnsi="宋体"/>
          <w:bCs/>
          <w:sz w:val="24"/>
        </w:rPr>
        <w:t>4）信用信息的使用规则：如投标人为“信用中国”网站（www.creditchina.gov.cn）中列入失信被执行人或重大税收违法案件当事人名单的供应商，或为中国政府采购网（www.ccgp.gov.cn）政府采购严重违法失信行为记录名单中被财政部门禁止参加政府采购活动的供应商，则其投标将被拒绝</w:t>
      </w:r>
      <w:r>
        <w:rPr>
          <w:rFonts w:hint="eastAsia" w:ascii="宋体" w:hAnsi="宋体"/>
          <w:b/>
          <w:sz w:val="24"/>
        </w:rPr>
        <w:t>。</w:t>
      </w:r>
      <w:r>
        <w:rPr>
          <w:rFonts w:ascii="宋体" w:hAnsi="宋体"/>
          <w:b/>
          <w:sz w:val="24"/>
        </w:rPr>
        <w:br w:type="page"/>
      </w: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spacing w:line="300" w:lineRule="auto"/>
        <w:jc w:val="center"/>
        <w:rPr>
          <w:rFonts w:ascii="黑体" w:eastAsia="黑体"/>
          <w:b/>
          <w:sz w:val="48"/>
        </w:rPr>
      </w:pPr>
      <w:r>
        <w:rPr>
          <w:rFonts w:hint="eastAsia" w:ascii="黑体" w:eastAsia="黑体"/>
          <w:b/>
          <w:sz w:val="48"/>
        </w:rPr>
        <w:t>第三部分投标须知</w:t>
      </w: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adjustRightInd w:val="0"/>
        <w:snapToGrid w:val="0"/>
        <w:rPr>
          <w:rFonts w:ascii="宋体" w:hAnsi="宋体"/>
          <w:b/>
          <w:sz w:val="24"/>
        </w:rPr>
      </w:pPr>
    </w:p>
    <w:p>
      <w:pPr>
        <w:spacing w:line="360" w:lineRule="auto"/>
        <w:jc w:val="center"/>
        <w:rPr>
          <w:rFonts w:ascii="宋体" w:hAnsi="宋体"/>
          <w:b/>
          <w:sz w:val="30"/>
          <w:szCs w:val="30"/>
        </w:rPr>
      </w:pPr>
    </w:p>
    <w:p>
      <w:pPr>
        <w:spacing w:line="360" w:lineRule="auto"/>
        <w:jc w:val="center"/>
        <w:rPr>
          <w:rFonts w:ascii="宋体" w:hAnsi="宋体"/>
          <w:b/>
          <w:sz w:val="24"/>
        </w:rPr>
      </w:pPr>
      <w:r>
        <w:rPr>
          <w:rFonts w:hint="eastAsia" w:ascii="宋体" w:hAnsi="宋体"/>
          <w:b/>
          <w:sz w:val="30"/>
          <w:szCs w:val="30"/>
        </w:rPr>
        <w:t>第三部分投标须知</w:t>
      </w:r>
    </w:p>
    <w:p>
      <w:pPr>
        <w:spacing w:line="360" w:lineRule="auto"/>
        <w:jc w:val="left"/>
        <w:rPr>
          <w:rFonts w:ascii="宋体" w:hAnsi="宋体"/>
          <w:b/>
          <w:sz w:val="24"/>
        </w:rPr>
      </w:pPr>
      <w:r>
        <w:rPr>
          <w:rFonts w:hint="eastAsia" w:ascii="宋体" w:hAnsi="宋体"/>
          <w:b/>
          <w:sz w:val="24"/>
        </w:rPr>
        <w:t>一、项目概况</w:t>
      </w:r>
    </w:p>
    <w:p>
      <w:pPr>
        <w:spacing w:line="440" w:lineRule="exact"/>
        <w:ind w:left="2141" w:hanging="2140" w:hangingChars="892"/>
        <w:rPr>
          <w:rFonts w:ascii="宋体" w:hAnsi="宋体" w:cs="宋体"/>
          <w:kern w:val="0"/>
          <w:sz w:val="24"/>
        </w:rPr>
      </w:pPr>
      <w:r>
        <w:rPr>
          <w:rFonts w:hint="eastAsia" w:ascii="宋体" w:hAnsi="宋体" w:cs="宋体"/>
          <w:kern w:val="0"/>
          <w:sz w:val="24"/>
        </w:rPr>
        <w:t>1、项目名称：人工智能与数字经济广东省实验室（广州）知识产权代理服务采购项目</w:t>
      </w:r>
    </w:p>
    <w:p>
      <w:pPr>
        <w:spacing w:line="440" w:lineRule="exact"/>
        <w:ind w:left="2141" w:hanging="2140" w:hangingChars="892"/>
        <w:rPr>
          <w:rFonts w:ascii="宋体" w:hAnsi="宋体" w:cs="宋体"/>
          <w:kern w:val="0"/>
          <w:sz w:val="24"/>
        </w:rPr>
      </w:pPr>
      <w:r>
        <w:rPr>
          <w:rFonts w:hint="eastAsia" w:ascii="宋体" w:hAnsi="宋体" w:cs="宋体"/>
          <w:kern w:val="0"/>
          <w:sz w:val="24"/>
        </w:rPr>
        <w:t>2、招标范围：（内容、用途、</w:t>
      </w:r>
      <w:r>
        <w:rPr>
          <w:rFonts w:hint="eastAsia" w:ascii="宋体" w:hAnsi="宋体"/>
          <w:sz w:val="24"/>
        </w:rPr>
        <w:t>数量、简要技术要求等</w:t>
      </w:r>
      <w:r>
        <w:rPr>
          <w:rFonts w:hint="eastAsia" w:ascii="宋体" w:hAnsi="宋体" w:cs="宋体"/>
          <w:kern w:val="0"/>
          <w:sz w:val="24"/>
        </w:rPr>
        <w:t>）</w:t>
      </w:r>
    </w:p>
    <w:p>
      <w:pPr>
        <w:spacing w:line="360" w:lineRule="auto"/>
        <w:ind w:left="1560" w:hanging="1560" w:hangingChars="650"/>
        <w:rPr>
          <w:rFonts w:ascii="宋体" w:hAnsi="宋体" w:cs="宋体"/>
          <w:kern w:val="0"/>
          <w:sz w:val="24"/>
        </w:rPr>
      </w:pPr>
      <w:r>
        <w:rPr>
          <w:rFonts w:hint="eastAsia" w:ascii="宋体" w:hAnsi="宋体" w:cs="宋体"/>
          <w:kern w:val="0"/>
          <w:sz w:val="24"/>
        </w:rPr>
        <w:t>详见</w:t>
      </w:r>
      <w:r>
        <w:rPr>
          <w:rFonts w:hint="eastAsia" w:ascii="宋体" w:hAnsi="宋体"/>
          <w:snapToGrid w:val="0"/>
          <w:sz w:val="24"/>
        </w:rPr>
        <w:t>招标文件第四部分项目范围及要求。</w:t>
      </w:r>
    </w:p>
    <w:p>
      <w:pPr>
        <w:spacing w:line="360" w:lineRule="auto"/>
        <w:rPr>
          <w:rFonts w:ascii="宋体" w:hAnsi="宋体" w:cs="宋体"/>
          <w:kern w:val="0"/>
          <w:sz w:val="24"/>
        </w:rPr>
      </w:pPr>
      <w:r>
        <w:rPr>
          <w:rFonts w:hint="eastAsia" w:ascii="宋体" w:hAnsi="宋体" w:cs="宋体"/>
          <w:kern w:val="0"/>
          <w:sz w:val="24"/>
        </w:rPr>
        <w:t>3、采购人名称：人工智能与数字经济广东省实验室（广州）</w:t>
      </w:r>
    </w:p>
    <w:p>
      <w:pPr>
        <w:spacing w:line="360" w:lineRule="auto"/>
        <w:rPr>
          <w:rFonts w:ascii="宋体" w:hAnsi="宋体" w:cs="宋体"/>
          <w:kern w:val="0"/>
          <w:sz w:val="24"/>
        </w:rPr>
      </w:pPr>
      <w:r>
        <w:rPr>
          <w:rFonts w:hint="eastAsia" w:ascii="宋体" w:hAnsi="宋体" w:cs="宋体"/>
          <w:kern w:val="0"/>
          <w:sz w:val="24"/>
        </w:rPr>
        <w:t>4、招标代理机构：东方国际招标有限责任公司</w:t>
      </w:r>
    </w:p>
    <w:p>
      <w:pPr>
        <w:spacing w:line="360" w:lineRule="auto"/>
        <w:ind w:right="-220" w:rightChars="-105"/>
        <w:jc w:val="left"/>
        <w:rPr>
          <w:rFonts w:ascii="宋体" w:hAnsi="宋体" w:cs="宋体"/>
          <w:kern w:val="0"/>
          <w:sz w:val="24"/>
        </w:rPr>
      </w:pPr>
      <w:r>
        <w:rPr>
          <w:rFonts w:hint="eastAsia" w:ascii="宋体" w:hAnsi="宋体" w:cs="宋体"/>
          <w:kern w:val="0"/>
          <w:sz w:val="24"/>
        </w:rPr>
        <w:t xml:space="preserve">5、联系人：迟兆洋 </w:t>
      </w:r>
      <w:r>
        <w:rPr>
          <w:rFonts w:ascii="宋体" w:hAnsi="宋体" w:cs="宋体"/>
          <w:kern w:val="0"/>
          <w:sz w:val="24"/>
        </w:rPr>
        <w:t>电话：</w:t>
      </w:r>
      <w:r>
        <w:rPr>
          <w:rFonts w:hint="eastAsia" w:ascii="宋体" w:hAnsi="宋体" w:cs="宋体"/>
          <w:kern w:val="0"/>
          <w:sz w:val="24"/>
        </w:rPr>
        <w:t>020-87001523</w:t>
      </w:r>
      <w:r>
        <w:rPr>
          <w:rFonts w:ascii="宋体" w:hAnsi="宋体" w:cs="宋体"/>
          <w:kern w:val="0"/>
          <w:sz w:val="24"/>
        </w:rPr>
        <w:t>传真：</w:t>
      </w:r>
      <w:r>
        <w:rPr>
          <w:rFonts w:hint="eastAsia" w:ascii="宋体" w:hAnsi="宋体" w:cs="宋体"/>
          <w:kern w:val="0"/>
          <w:sz w:val="24"/>
        </w:rPr>
        <w:t>010-68290525</w:t>
      </w:r>
    </w:p>
    <w:p>
      <w:pPr>
        <w:spacing w:line="360" w:lineRule="auto"/>
        <w:ind w:right="-220" w:rightChars="-105" w:firstLine="360" w:firstLineChars="150"/>
        <w:jc w:val="left"/>
        <w:rPr>
          <w:rFonts w:ascii="宋体" w:hAnsi="宋体" w:cs="宋体"/>
          <w:kern w:val="0"/>
          <w:sz w:val="24"/>
        </w:rPr>
      </w:pPr>
      <w:r>
        <w:rPr>
          <w:rFonts w:ascii="宋体" w:hAnsi="宋体" w:cs="宋体"/>
          <w:kern w:val="0"/>
          <w:sz w:val="24"/>
        </w:rPr>
        <w:t>地址：</w:t>
      </w:r>
      <w:r>
        <w:rPr>
          <w:rFonts w:hint="eastAsia" w:ascii="宋体" w:hAnsi="宋体" w:cs="宋体"/>
          <w:kern w:val="0"/>
          <w:sz w:val="24"/>
        </w:rPr>
        <w:t>北京市海淀区西三环北路甲2号院科技园6号楼13层01室</w:t>
      </w:r>
    </w:p>
    <w:p>
      <w:pPr>
        <w:spacing w:line="360" w:lineRule="auto"/>
        <w:ind w:right="-220" w:rightChars="-105" w:firstLine="360" w:firstLineChars="150"/>
        <w:jc w:val="left"/>
        <w:rPr>
          <w:rFonts w:ascii="宋体" w:hAnsi="宋体" w:cs="宋体"/>
          <w:kern w:val="0"/>
          <w:sz w:val="24"/>
        </w:rPr>
      </w:pPr>
      <w:r>
        <w:rPr>
          <w:rFonts w:ascii="宋体" w:hAnsi="宋体" w:cs="宋体"/>
          <w:kern w:val="0"/>
          <w:sz w:val="24"/>
        </w:rPr>
        <w:t>邮政编码：</w:t>
      </w:r>
      <w:r>
        <w:rPr>
          <w:rFonts w:hint="eastAsia" w:ascii="宋体" w:hAnsi="宋体" w:cs="宋体"/>
          <w:kern w:val="0"/>
          <w:sz w:val="24"/>
        </w:rPr>
        <w:t>100081</w:t>
      </w:r>
    </w:p>
    <w:p>
      <w:pPr>
        <w:spacing w:line="360" w:lineRule="auto"/>
        <w:rPr>
          <w:rFonts w:ascii="宋体" w:hAnsi="宋体" w:cs="宋体"/>
          <w:b/>
          <w:kern w:val="0"/>
          <w:sz w:val="24"/>
        </w:rPr>
      </w:pPr>
      <w:r>
        <w:rPr>
          <w:rFonts w:hint="eastAsia" w:ascii="宋体" w:hAnsi="宋体" w:cs="宋体"/>
          <w:b/>
          <w:kern w:val="0"/>
          <w:sz w:val="24"/>
        </w:rPr>
        <w:t>二、</w:t>
      </w:r>
      <w:bookmarkStart w:id="1" w:name="_Toc162409975"/>
      <w:bookmarkStart w:id="2" w:name="_Toc162409835"/>
      <w:r>
        <w:rPr>
          <w:rFonts w:ascii="宋体" w:hAnsi="宋体" w:cs="宋体"/>
          <w:b/>
          <w:kern w:val="0"/>
          <w:sz w:val="24"/>
        </w:rPr>
        <w:t>资金来源</w:t>
      </w:r>
      <w:r>
        <w:rPr>
          <w:rFonts w:hint="eastAsia" w:ascii="宋体" w:hAnsi="宋体" w:cs="宋体"/>
          <w:b/>
          <w:kern w:val="0"/>
          <w:sz w:val="24"/>
        </w:rPr>
        <w:t>和</w:t>
      </w:r>
      <w:r>
        <w:rPr>
          <w:rFonts w:ascii="宋体" w:hAnsi="宋体" w:cs="宋体"/>
          <w:b/>
          <w:kern w:val="0"/>
          <w:sz w:val="24"/>
        </w:rPr>
        <w:t>落实情况</w:t>
      </w:r>
      <w:bookmarkEnd w:id="1"/>
      <w:bookmarkEnd w:id="2"/>
    </w:p>
    <w:p>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资金来源</w:t>
      </w:r>
      <w:r>
        <w:rPr>
          <w:rFonts w:hint="eastAsia" w:ascii="宋体" w:hAnsi="宋体" w:cs="宋体"/>
          <w:kern w:val="0"/>
          <w:sz w:val="24"/>
        </w:rPr>
        <w:t>：财政性资金。</w:t>
      </w:r>
    </w:p>
    <w:p>
      <w:pPr>
        <w:spacing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落实情况：</w:t>
      </w:r>
      <w:r>
        <w:rPr>
          <w:rFonts w:hint="eastAsia" w:ascii="宋体" w:hAnsi="宋体" w:cs="宋体"/>
          <w:kern w:val="0"/>
          <w:sz w:val="24"/>
        </w:rPr>
        <w:t>已到位。</w:t>
      </w:r>
    </w:p>
    <w:p>
      <w:pPr>
        <w:spacing w:line="360" w:lineRule="auto"/>
        <w:rPr>
          <w:rFonts w:ascii="宋体" w:hAnsi="宋体" w:cs="宋体"/>
          <w:b/>
          <w:kern w:val="0"/>
          <w:sz w:val="24"/>
        </w:rPr>
      </w:pPr>
      <w:bookmarkStart w:id="3" w:name="_Toc162409836"/>
      <w:bookmarkStart w:id="4" w:name="_Toc162409976"/>
      <w:r>
        <w:rPr>
          <w:rFonts w:hint="eastAsia" w:ascii="宋体" w:hAnsi="宋体" w:cs="宋体"/>
          <w:b/>
          <w:kern w:val="0"/>
          <w:sz w:val="24"/>
        </w:rPr>
        <w:t>三、</w:t>
      </w:r>
      <w:r>
        <w:rPr>
          <w:rFonts w:ascii="宋体" w:hAnsi="宋体" w:cs="宋体"/>
          <w:b/>
          <w:kern w:val="0"/>
          <w:sz w:val="24"/>
        </w:rPr>
        <w:t>招标投标原则</w:t>
      </w:r>
      <w:bookmarkEnd w:id="3"/>
      <w:bookmarkEnd w:id="4"/>
    </w:p>
    <w:p>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本</w:t>
      </w:r>
      <w:r>
        <w:rPr>
          <w:rFonts w:hint="eastAsia" w:ascii="宋体" w:hAnsi="宋体" w:cs="宋体"/>
          <w:kern w:val="0"/>
          <w:sz w:val="24"/>
        </w:rPr>
        <w:t>项目</w:t>
      </w:r>
      <w:r>
        <w:rPr>
          <w:rFonts w:ascii="宋体" w:hAnsi="宋体" w:cs="宋体"/>
          <w:kern w:val="0"/>
          <w:sz w:val="24"/>
        </w:rPr>
        <w:t>招标投标活动遵循公开、公平、公正和诚实信用的原则</w:t>
      </w:r>
      <w:r>
        <w:rPr>
          <w:rFonts w:hint="eastAsia" w:ascii="宋体" w:hAnsi="宋体" w:cs="宋体"/>
          <w:kern w:val="0"/>
          <w:sz w:val="24"/>
        </w:rPr>
        <w:t>。</w:t>
      </w:r>
    </w:p>
    <w:p>
      <w:pPr>
        <w:spacing w:line="360" w:lineRule="auto"/>
        <w:rPr>
          <w:rFonts w:ascii="宋体" w:hAnsi="宋体" w:cs="宋体"/>
          <w:b/>
          <w:kern w:val="0"/>
          <w:sz w:val="24"/>
        </w:rPr>
      </w:pPr>
      <w:bookmarkStart w:id="5" w:name="_Toc162409977"/>
      <w:bookmarkStart w:id="6" w:name="_Toc162409837"/>
      <w:r>
        <w:rPr>
          <w:rFonts w:hint="eastAsia" w:ascii="宋体" w:hAnsi="宋体" w:cs="宋体"/>
          <w:b/>
          <w:kern w:val="0"/>
          <w:sz w:val="24"/>
        </w:rPr>
        <w:t>四、招标方式</w:t>
      </w:r>
      <w:bookmarkEnd w:id="5"/>
      <w:bookmarkEnd w:id="6"/>
    </w:p>
    <w:p>
      <w:pPr>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本</w:t>
      </w:r>
      <w:r>
        <w:rPr>
          <w:rFonts w:hint="eastAsia" w:ascii="宋体" w:hAnsi="宋体" w:cs="宋体"/>
          <w:kern w:val="0"/>
          <w:sz w:val="24"/>
        </w:rPr>
        <w:t>项目</w:t>
      </w:r>
      <w:r>
        <w:rPr>
          <w:rFonts w:ascii="宋体" w:hAnsi="宋体" w:cs="宋体"/>
          <w:kern w:val="0"/>
          <w:sz w:val="24"/>
        </w:rPr>
        <w:t>采用</w:t>
      </w:r>
      <w:r>
        <w:rPr>
          <w:rFonts w:ascii="宋体" w:hAnsi="宋体" w:cs="宋体"/>
          <w:kern w:val="0"/>
          <w:sz w:val="24"/>
          <w:u w:val="single"/>
        </w:rPr>
        <w:t>公开</w:t>
      </w:r>
      <w:r>
        <w:rPr>
          <w:rFonts w:ascii="宋体" w:hAnsi="宋体" w:cs="宋体"/>
          <w:kern w:val="0"/>
          <w:sz w:val="24"/>
        </w:rPr>
        <w:t>招标的方式进行招标</w:t>
      </w:r>
      <w:r>
        <w:rPr>
          <w:rFonts w:hint="eastAsia" w:ascii="宋体" w:hAnsi="宋体" w:cs="宋体"/>
          <w:kern w:val="0"/>
          <w:sz w:val="24"/>
        </w:rPr>
        <w:t>。</w:t>
      </w:r>
    </w:p>
    <w:p>
      <w:pPr>
        <w:spacing w:line="360" w:lineRule="auto"/>
        <w:rPr>
          <w:rFonts w:ascii="宋体" w:hAnsi="宋体"/>
          <w:b/>
          <w:sz w:val="24"/>
        </w:rPr>
      </w:pPr>
      <w:r>
        <w:rPr>
          <w:rFonts w:hint="eastAsia" w:ascii="宋体" w:hAnsi="宋体"/>
          <w:b/>
          <w:sz w:val="24"/>
        </w:rPr>
        <w:t>五、投标人资格要求</w:t>
      </w:r>
    </w:p>
    <w:p>
      <w:pPr>
        <w:spacing w:line="360" w:lineRule="auto"/>
        <w:rPr>
          <w:rFonts w:ascii="宋体" w:hAnsi="宋体"/>
          <w:sz w:val="24"/>
        </w:rPr>
      </w:pPr>
      <w:r>
        <w:rPr>
          <w:rFonts w:hint="eastAsia" w:ascii="宋体" w:hAnsi="宋体"/>
          <w:sz w:val="24"/>
        </w:rPr>
        <w:t>1）符合“《中华人民共和国政府采购法》第二十二条要求”；</w:t>
      </w:r>
    </w:p>
    <w:p>
      <w:pPr>
        <w:spacing w:line="360" w:lineRule="auto"/>
        <w:rPr>
          <w:rFonts w:ascii="宋体" w:hAnsi="宋体"/>
          <w:sz w:val="24"/>
        </w:rPr>
      </w:pPr>
      <w:r>
        <w:rPr>
          <w:rFonts w:hint="eastAsia" w:ascii="宋体" w:hAnsi="宋体"/>
          <w:sz w:val="24"/>
        </w:rPr>
        <w:t>2）在中华人民共和国境内依法注册的，具有独立承担民事责任能力，遵守国家法律法规，具有良好信誉，具有履行合同能力和良好的履行合同的记录，具有良好资金、财务状况的法人实体；</w:t>
      </w:r>
    </w:p>
    <w:p>
      <w:pPr>
        <w:spacing w:line="360" w:lineRule="auto"/>
        <w:rPr>
          <w:rFonts w:ascii="宋体" w:hAnsi="宋体"/>
          <w:sz w:val="24"/>
        </w:rPr>
      </w:pPr>
      <w:r>
        <w:rPr>
          <w:rFonts w:hint="eastAsia" w:ascii="宋体" w:hAnsi="宋体"/>
          <w:sz w:val="24"/>
        </w:rPr>
        <w:t>3）为本项目提供整体设计、规范编制或者项目管理、监理、检测等服务的供应商，不得参加本项目投标；</w:t>
      </w:r>
    </w:p>
    <w:p>
      <w:pPr>
        <w:spacing w:line="360" w:lineRule="auto"/>
        <w:rPr>
          <w:rFonts w:ascii="宋体" w:hAnsi="宋体"/>
          <w:sz w:val="24"/>
        </w:rPr>
      </w:pPr>
      <w:r>
        <w:rPr>
          <w:rFonts w:hint="eastAsia" w:ascii="宋体" w:hAnsi="宋体"/>
          <w:sz w:val="24"/>
        </w:rPr>
        <w:t>4）投标单位负责人为同一人或者存在直接控股、管理关系的不同供应商，不得参加同一合同项下的政府采购活动；</w:t>
      </w:r>
    </w:p>
    <w:p>
      <w:pPr>
        <w:spacing w:line="360" w:lineRule="auto"/>
        <w:rPr>
          <w:rFonts w:ascii="宋体" w:hAnsi="宋体"/>
          <w:sz w:val="24"/>
        </w:rPr>
      </w:pPr>
      <w:r>
        <w:rPr>
          <w:rFonts w:hint="eastAsia" w:ascii="宋体" w:hAnsi="宋体"/>
          <w:sz w:val="24"/>
        </w:rPr>
        <w:t>5）按本投标邀请的规定获取招标文件；</w:t>
      </w:r>
    </w:p>
    <w:p>
      <w:pPr>
        <w:spacing w:line="360" w:lineRule="auto"/>
        <w:rPr>
          <w:rFonts w:ascii="宋体" w:hAnsi="宋体"/>
          <w:sz w:val="24"/>
        </w:rPr>
      </w:pPr>
      <w:r>
        <w:rPr>
          <w:rFonts w:hint="eastAsia" w:ascii="宋体" w:hAnsi="宋体"/>
          <w:sz w:val="24"/>
        </w:rPr>
        <w:t>6）本项目不接受联合体投标；</w:t>
      </w:r>
    </w:p>
    <w:p>
      <w:pPr>
        <w:spacing w:line="360" w:lineRule="auto"/>
        <w:rPr>
          <w:rFonts w:ascii="宋体" w:hAnsi="宋体"/>
          <w:sz w:val="24"/>
        </w:rPr>
      </w:pPr>
      <w:r>
        <w:rPr>
          <w:rFonts w:hint="eastAsia" w:ascii="宋体" w:hAnsi="宋体"/>
          <w:sz w:val="24"/>
        </w:rPr>
        <w:t>7）投标人不得为列入失信被执行人、重大税收违法案件当事人名单、政府采购严重</w:t>
      </w:r>
      <w:bookmarkStart w:id="70" w:name="_GoBack"/>
      <w:bookmarkEnd w:id="70"/>
      <w:r>
        <w:rPr>
          <w:rFonts w:hint="eastAsia" w:ascii="宋体" w:hAnsi="宋体"/>
          <w:sz w:val="24"/>
        </w:rPr>
        <w:t>违法失信行为记录名单的供应商。</w:t>
      </w:r>
    </w:p>
    <w:p>
      <w:pPr>
        <w:spacing w:line="360" w:lineRule="auto"/>
        <w:rPr>
          <w:rFonts w:ascii="宋体" w:hAnsi="宋体"/>
          <w:sz w:val="24"/>
        </w:rPr>
      </w:pPr>
      <w:r>
        <w:rPr>
          <w:rFonts w:ascii="宋体" w:hAnsi="宋体"/>
          <w:sz w:val="24"/>
        </w:rPr>
        <w:t>8</w:t>
      </w:r>
      <w:r>
        <w:rPr>
          <w:rFonts w:hint="eastAsia" w:ascii="宋体" w:hAnsi="宋体"/>
          <w:sz w:val="24"/>
        </w:rPr>
        <w:t>）具有中华人民共和国专利代理机构资格（提供：国家知识产权局网站查询截图、代理机构的注册证，营业执照复印件（原件备查））。注1</w:t>
      </w:r>
    </w:p>
    <w:p>
      <w:pPr>
        <w:spacing w:line="360" w:lineRule="auto"/>
        <w:rPr>
          <w:rFonts w:ascii="宋体" w:hAnsi="宋体"/>
          <w:b/>
          <w:sz w:val="24"/>
        </w:rPr>
      </w:pPr>
      <w:r>
        <w:rPr>
          <w:rFonts w:hint="eastAsia" w:ascii="宋体" w:hAnsi="宋体"/>
          <w:b/>
          <w:sz w:val="24"/>
        </w:rPr>
        <w:t>六、投标费用</w:t>
      </w:r>
    </w:p>
    <w:p>
      <w:pPr>
        <w:spacing w:line="360" w:lineRule="auto"/>
        <w:ind w:left="360" w:hanging="360" w:hangingChars="150"/>
        <w:rPr>
          <w:rFonts w:ascii="宋体" w:hAnsi="宋体" w:cs="宋体"/>
          <w:kern w:val="0"/>
          <w:sz w:val="24"/>
        </w:rPr>
      </w:pPr>
      <w:r>
        <w:rPr>
          <w:rFonts w:ascii="宋体" w:hAnsi="宋体" w:cs="宋体"/>
          <w:kern w:val="0"/>
          <w:sz w:val="24"/>
        </w:rPr>
        <w:t>1、无论投标人是否中标，投标人应承担其参加本项目投标所发生或涉及的所有费用。采购人不对投标人因本次投标所引起的任何费用或损失负责。</w:t>
      </w:r>
    </w:p>
    <w:p>
      <w:pPr>
        <w:spacing w:line="360"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本项目中标服务费支付方式如下：</w:t>
      </w:r>
    </w:p>
    <w:p>
      <w:pPr>
        <w:adjustRightInd w:val="0"/>
        <w:snapToGrid w:val="0"/>
        <w:spacing w:line="360" w:lineRule="auto"/>
        <w:rPr>
          <w:rFonts w:ascii="宋体" w:hAnsi="宋体"/>
          <w:sz w:val="24"/>
        </w:rPr>
      </w:pPr>
      <w:r>
        <w:rPr>
          <w:rFonts w:hint="eastAsia" w:ascii="宋体" w:hAnsi="宋体"/>
          <w:sz w:val="24"/>
        </w:rPr>
        <w:t>中标商在</w:t>
      </w:r>
      <w:r>
        <w:rPr>
          <w:rFonts w:hint="eastAsia" w:ascii="宋体" w:hAnsi="宋体" w:cs="仿宋_GB2312"/>
          <w:sz w:val="24"/>
        </w:rPr>
        <w:t>收到中标通知书后</w:t>
      </w:r>
      <w:r>
        <w:rPr>
          <w:rFonts w:ascii="宋体" w:hAnsi="宋体" w:cs="仿宋_GB2312"/>
          <w:sz w:val="24"/>
        </w:rPr>
        <w:t>5</w:t>
      </w:r>
      <w:r>
        <w:rPr>
          <w:rFonts w:hint="eastAsia" w:ascii="宋体" w:hAnsi="宋体" w:cs="仿宋_GB2312"/>
          <w:sz w:val="24"/>
        </w:rPr>
        <w:t>日内</w:t>
      </w:r>
      <w:r>
        <w:rPr>
          <w:rFonts w:hint="eastAsia" w:ascii="宋体" w:hAnsi="宋体"/>
          <w:sz w:val="24"/>
        </w:rPr>
        <w:t>，须向采购人代理支付中标服务费：</w:t>
      </w:r>
    </w:p>
    <w:p>
      <w:pPr>
        <w:adjustRightInd w:val="0"/>
        <w:snapToGrid w:val="0"/>
        <w:spacing w:line="360" w:lineRule="auto"/>
        <w:rPr>
          <w:rFonts w:ascii="宋体" w:hAnsi="宋体"/>
          <w:sz w:val="24"/>
        </w:rPr>
      </w:pPr>
      <w:r>
        <w:rPr>
          <w:rFonts w:hint="eastAsia" w:ascii="宋体" w:hAnsi="宋体"/>
          <w:sz w:val="24"/>
        </w:rPr>
        <w:t>中标服务费支付给采购人的招标采购代理，即东方国际招标有限责任公司，收取标准为国家计委招标代理服务费暂行标准[2002]1980号文件中规定的服务采购收费比率下浮2</w:t>
      </w:r>
      <w:r>
        <w:rPr>
          <w:rFonts w:ascii="宋体" w:hAnsi="宋体"/>
          <w:sz w:val="24"/>
        </w:rPr>
        <w:t>0</w:t>
      </w:r>
      <w:r>
        <w:rPr>
          <w:rFonts w:hint="eastAsia" w:ascii="宋体" w:hAnsi="宋体"/>
          <w:sz w:val="24"/>
        </w:rPr>
        <w:t>%。具体比率为:</w:t>
      </w:r>
    </w:p>
    <w:tbl>
      <w:tblPr>
        <w:tblStyle w:val="31"/>
        <w:tblW w:w="0" w:type="auto"/>
        <w:jc w:val="center"/>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392"/>
        <w:gridCol w:w="2082"/>
      </w:tblGrid>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5" w:hRule="atLeast"/>
          <w:jc w:val="center"/>
        </w:trPr>
        <w:tc>
          <w:tcPr>
            <w:tcW w:w="3392" w:type="dxa"/>
            <w:tcMar>
              <w:top w:w="0" w:type="dxa"/>
              <w:left w:w="108" w:type="dxa"/>
              <w:bottom w:w="0" w:type="dxa"/>
              <w:right w:w="108" w:type="dxa"/>
            </w:tcMar>
          </w:tcPr>
          <w:p>
            <w:pPr>
              <w:ind w:firstLine="240" w:firstLineChars="100"/>
              <w:jc w:val="center"/>
              <w:rPr>
                <w:rFonts w:ascii="宋体" w:hAnsi="宋体"/>
                <w:sz w:val="24"/>
              </w:rPr>
            </w:pPr>
            <w:r>
              <w:rPr>
                <w:rFonts w:hint="eastAsia" w:ascii="宋体" w:hAnsi="宋体"/>
                <w:sz w:val="24"/>
              </w:rPr>
              <w:t>中标金额 （人民币万元）</w:t>
            </w:r>
          </w:p>
        </w:tc>
        <w:tc>
          <w:tcPr>
            <w:tcW w:w="2082" w:type="dxa"/>
            <w:tcMar>
              <w:top w:w="0" w:type="dxa"/>
              <w:left w:w="108" w:type="dxa"/>
              <w:bottom w:w="0" w:type="dxa"/>
              <w:right w:w="108" w:type="dxa"/>
            </w:tcMar>
          </w:tcPr>
          <w:p>
            <w:pPr>
              <w:jc w:val="center"/>
              <w:rPr>
                <w:rFonts w:ascii="宋体" w:hAnsi="宋体"/>
                <w:sz w:val="24"/>
              </w:rPr>
            </w:pPr>
            <w:r>
              <w:rPr>
                <w:rFonts w:hint="eastAsia" w:ascii="宋体" w:hAnsi="宋体"/>
                <w:sz w:val="24"/>
              </w:rPr>
              <w:t>比率</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5" w:hRule="atLeast"/>
          <w:jc w:val="center"/>
        </w:trPr>
        <w:tc>
          <w:tcPr>
            <w:tcW w:w="3392" w:type="dxa"/>
            <w:tcMar>
              <w:top w:w="0" w:type="dxa"/>
              <w:left w:w="108" w:type="dxa"/>
              <w:bottom w:w="0" w:type="dxa"/>
              <w:right w:w="108" w:type="dxa"/>
            </w:tcMar>
          </w:tcPr>
          <w:p>
            <w:pPr>
              <w:ind w:firstLine="1200" w:firstLineChars="500"/>
              <w:rPr>
                <w:rFonts w:ascii="宋体" w:hAnsi="宋体"/>
                <w:sz w:val="24"/>
              </w:rPr>
            </w:pPr>
            <w:r>
              <w:rPr>
                <w:rFonts w:ascii="宋体" w:hAnsi="宋体"/>
                <w:sz w:val="24"/>
              </w:rPr>
              <w:t>100</w:t>
            </w:r>
            <w:r>
              <w:rPr>
                <w:rFonts w:hint="eastAsia" w:ascii="宋体" w:hAnsi="宋体"/>
                <w:sz w:val="24"/>
              </w:rPr>
              <w:t>以下</w:t>
            </w:r>
          </w:p>
        </w:tc>
        <w:tc>
          <w:tcPr>
            <w:tcW w:w="2082" w:type="dxa"/>
            <w:tcMar>
              <w:top w:w="0" w:type="dxa"/>
              <w:left w:w="108" w:type="dxa"/>
              <w:bottom w:w="0" w:type="dxa"/>
              <w:right w:w="108" w:type="dxa"/>
            </w:tcMar>
          </w:tcPr>
          <w:p>
            <w:pPr>
              <w:jc w:val="center"/>
              <w:rPr>
                <w:rFonts w:ascii="宋体" w:hAnsi="宋体"/>
                <w:sz w:val="24"/>
              </w:rPr>
            </w:pPr>
            <w:r>
              <w:rPr>
                <w:rFonts w:ascii="宋体" w:hAnsi="宋体"/>
                <w:sz w:val="24"/>
              </w:rPr>
              <w:t>1.2%</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392" w:type="dxa"/>
            <w:tcMar>
              <w:top w:w="0" w:type="dxa"/>
              <w:left w:w="108" w:type="dxa"/>
              <w:bottom w:w="0" w:type="dxa"/>
              <w:right w:w="108" w:type="dxa"/>
            </w:tcMar>
          </w:tcPr>
          <w:p>
            <w:pPr>
              <w:jc w:val="center"/>
              <w:rPr>
                <w:rFonts w:ascii="宋体" w:hAnsi="宋体"/>
                <w:sz w:val="24"/>
              </w:rPr>
            </w:pPr>
            <w:r>
              <w:rPr>
                <w:rFonts w:ascii="宋体" w:hAnsi="宋体"/>
                <w:sz w:val="24"/>
              </w:rPr>
              <w:t>100-500</w:t>
            </w:r>
          </w:p>
        </w:tc>
        <w:tc>
          <w:tcPr>
            <w:tcW w:w="2082" w:type="dxa"/>
            <w:tcMar>
              <w:top w:w="0" w:type="dxa"/>
              <w:left w:w="108" w:type="dxa"/>
              <w:bottom w:w="0" w:type="dxa"/>
              <w:right w:w="108" w:type="dxa"/>
            </w:tcMar>
          </w:tcPr>
          <w:p>
            <w:pPr>
              <w:jc w:val="center"/>
              <w:rPr>
                <w:rFonts w:ascii="宋体" w:hAnsi="宋体"/>
                <w:sz w:val="24"/>
              </w:rPr>
            </w:pPr>
            <w:r>
              <w:rPr>
                <w:rFonts w:hint="eastAsia" w:ascii="宋体" w:hAnsi="宋体"/>
                <w:sz w:val="24"/>
              </w:rPr>
              <w:t>0.</w:t>
            </w:r>
            <w:r>
              <w:rPr>
                <w:rFonts w:ascii="宋体" w:hAnsi="宋体"/>
                <w:sz w:val="24"/>
              </w:rPr>
              <w:t>64%</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392" w:type="dxa"/>
            <w:tcMar>
              <w:top w:w="0" w:type="dxa"/>
              <w:left w:w="108" w:type="dxa"/>
              <w:bottom w:w="0" w:type="dxa"/>
              <w:right w:w="108" w:type="dxa"/>
            </w:tcMar>
          </w:tcPr>
          <w:p>
            <w:pPr>
              <w:jc w:val="center"/>
              <w:rPr>
                <w:rFonts w:ascii="宋体" w:hAnsi="宋体"/>
                <w:sz w:val="24"/>
              </w:rPr>
            </w:pPr>
            <w:r>
              <w:rPr>
                <w:rFonts w:ascii="宋体" w:hAnsi="宋体"/>
                <w:sz w:val="24"/>
              </w:rPr>
              <w:t>500-1000</w:t>
            </w:r>
          </w:p>
        </w:tc>
        <w:tc>
          <w:tcPr>
            <w:tcW w:w="2082" w:type="dxa"/>
            <w:tcMar>
              <w:top w:w="0" w:type="dxa"/>
              <w:left w:w="108" w:type="dxa"/>
              <w:bottom w:w="0" w:type="dxa"/>
              <w:right w:w="108" w:type="dxa"/>
            </w:tcMar>
          </w:tcPr>
          <w:p>
            <w:pPr>
              <w:jc w:val="center"/>
              <w:rPr>
                <w:rFonts w:ascii="宋体" w:hAnsi="宋体"/>
                <w:sz w:val="24"/>
              </w:rPr>
            </w:pPr>
            <w:r>
              <w:rPr>
                <w:rFonts w:hint="eastAsia" w:ascii="宋体" w:hAnsi="宋体"/>
                <w:sz w:val="24"/>
              </w:rPr>
              <w:t>0.</w:t>
            </w:r>
            <w:r>
              <w:rPr>
                <w:rFonts w:ascii="宋体" w:hAnsi="宋体"/>
                <w:sz w:val="24"/>
              </w:rPr>
              <w:t>36%</w:t>
            </w:r>
          </w:p>
        </w:tc>
      </w:tr>
      <w:tr>
        <w:tblPrEx>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jc w:val="center"/>
        </w:trPr>
        <w:tc>
          <w:tcPr>
            <w:tcW w:w="3392" w:type="dxa"/>
            <w:tcMar>
              <w:top w:w="0" w:type="dxa"/>
              <w:left w:w="108" w:type="dxa"/>
              <w:bottom w:w="0" w:type="dxa"/>
              <w:right w:w="108" w:type="dxa"/>
            </w:tcMar>
          </w:tcPr>
          <w:p>
            <w:pPr>
              <w:jc w:val="center"/>
              <w:rPr>
                <w:rFonts w:ascii="宋体" w:hAnsi="宋体"/>
                <w:sz w:val="24"/>
              </w:rPr>
            </w:pPr>
            <w:r>
              <w:rPr>
                <w:rFonts w:ascii="宋体" w:hAnsi="宋体"/>
                <w:sz w:val="24"/>
              </w:rPr>
              <w:t>1000-5000</w:t>
            </w:r>
          </w:p>
        </w:tc>
        <w:tc>
          <w:tcPr>
            <w:tcW w:w="2082" w:type="dxa"/>
            <w:tcMar>
              <w:top w:w="0" w:type="dxa"/>
              <w:left w:w="108" w:type="dxa"/>
              <w:bottom w:w="0" w:type="dxa"/>
              <w:right w:w="108" w:type="dxa"/>
            </w:tcMar>
          </w:tcPr>
          <w:p>
            <w:pPr>
              <w:jc w:val="center"/>
              <w:rPr>
                <w:rFonts w:ascii="宋体" w:hAnsi="宋体"/>
                <w:sz w:val="24"/>
              </w:rPr>
            </w:pPr>
            <w:r>
              <w:rPr>
                <w:rFonts w:ascii="宋体" w:hAnsi="宋体"/>
                <w:sz w:val="24"/>
              </w:rPr>
              <w:t>0.20%</w:t>
            </w:r>
          </w:p>
        </w:tc>
      </w:tr>
    </w:tbl>
    <w:p>
      <w:pPr>
        <w:autoSpaceDE w:val="0"/>
        <w:autoSpaceDN w:val="0"/>
        <w:adjustRightInd w:val="0"/>
        <w:spacing w:line="360" w:lineRule="auto"/>
        <w:ind w:firstLine="482" w:firstLineChars="200"/>
        <w:jc w:val="left"/>
        <w:rPr>
          <w:rFonts w:ascii="宋体" w:cs="宋体"/>
          <w:b/>
          <w:bCs/>
          <w:kern w:val="0"/>
          <w:sz w:val="24"/>
        </w:rPr>
      </w:pPr>
      <w:r>
        <w:rPr>
          <w:rFonts w:hint="eastAsia" w:ascii="宋体" w:hAnsi="宋体"/>
          <w:b/>
          <w:bCs/>
          <w:sz w:val="24"/>
        </w:rPr>
        <w:t>注：中标服务费按差额定率累进法计算。收费基数为项目总预算。</w:t>
      </w:r>
    </w:p>
    <w:p>
      <w:pPr>
        <w:spacing w:line="360" w:lineRule="auto"/>
        <w:rPr>
          <w:rFonts w:ascii="宋体" w:hAnsi="宋体"/>
          <w:b/>
          <w:sz w:val="24"/>
        </w:rPr>
      </w:pPr>
      <w:r>
        <w:rPr>
          <w:rFonts w:hint="eastAsia" w:ascii="宋体" w:hAnsi="宋体"/>
          <w:b/>
          <w:sz w:val="24"/>
        </w:rPr>
        <w:t>七、</w:t>
      </w:r>
      <w:bookmarkStart w:id="7" w:name="_Toc162409842"/>
      <w:bookmarkStart w:id="8" w:name="_Toc162409982"/>
      <w:r>
        <w:rPr>
          <w:rFonts w:ascii="宋体" w:hAnsi="宋体"/>
          <w:b/>
          <w:sz w:val="24"/>
        </w:rPr>
        <w:t>计价货币</w:t>
      </w:r>
      <w:bookmarkEnd w:id="7"/>
      <w:bookmarkEnd w:id="8"/>
    </w:p>
    <w:p>
      <w:pPr>
        <w:spacing w:line="360" w:lineRule="auto"/>
        <w:rPr>
          <w:rFonts w:ascii="宋体" w:hAnsi="宋体" w:cs="宋体"/>
          <w:kern w:val="0"/>
          <w:sz w:val="24"/>
        </w:rPr>
      </w:pPr>
      <w:r>
        <w:rPr>
          <w:rFonts w:ascii="宋体" w:hAnsi="宋体" w:cs="宋体"/>
          <w:kern w:val="0"/>
          <w:sz w:val="24"/>
        </w:rPr>
        <w:t>1、本项目招标投标涉及计价货币的，均以人民币为计价货币。</w:t>
      </w:r>
    </w:p>
    <w:p>
      <w:pPr>
        <w:spacing w:line="360" w:lineRule="auto"/>
        <w:rPr>
          <w:rFonts w:ascii="宋体" w:hAnsi="宋体"/>
          <w:b/>
          <w:sz w:val="24"/>
        </w:rPr>
      </w:pPr>
      <w:r>
        <w:rPr>
          <w:rFonts w:hint="eastAsia" w:ascii="宋体" w:hAnsi="宋体"/>
          <w:b/>
          <w:sz w:val="24"/>
        </w:rPr>
        <w:t>八、投标文件组成</w:t>
      </w:r>
    </w:p>
    <w:p>
      <w:pPr>
        <w:spacing w:line="360" w:lineRule="auto"/>
        <w:rPr>
          <w:rFonts w:ascii="宋体" w:hAnsi="宋体"/>
          <w:b/>
          <w:sz w:val="24"/>
          <w:u w:val="single"/>
        </w:rPr>
      </w:pPr>
      <w:r>
        <w:rPr>
          <w:rFonts w:hint="eastAsia" w:ascii="宋体" w:hAnsi="宋体"/>
          <w:b/>
          <w:sz w:val="24"/>
          <w:u w:val="single"/>
        </w:rPr>
        <w:t>份数：一正五副，电子版一份，每份投标文件须清楚地标明“正本”或“副本”或“电子版”。若正本和副本不符，以正本为准。</w:t>
      </w:r>
    </w:p>
    <w:p>
      <w:pPr>
        <w:spacing w:line="360" w:lineRule="auto"/>
        <w:rPr>
          <w:rFonts w:ascii="宋体" w:hAnsi="宋体"/>
          <w:b/>
          <w:bCs/>
          <w:sz w:val="24"/>
          <w:u w:val="single"/>
        </w:rPr>
      </w:pPr>
      <w:r>
        <w:rPr>
          <w:rFonts w:hint="eastAsia" w:ascii="宋体" w:hAnsi="宋体"/>
          <w:b/>
          <w:bCs/>
          <w:sz w:val="24"/>
          <w:u w:val="single"/>
        </w:rPr>
        <w:t>投标人应以包为单位分别制作投标文件，如投标人参与本项目多包投标，各包投标文件应分别单独制作，单独封装，单独递交。</w:t>
      </w:r>
    </w:p>
    <w:p>
      <w:pPr>
        <w:spacing w:line="360" w:lineRule="auto"/>
        <w:rPr>
          <w:rFonts w:ascii="宋体" w:hAnsi="宋体"/>
          <w:b/>
          <w:sz w:val="24"/>
        </w:rPr>
      </w:pPr>
      <w:r>
        <w:rPr>
          <w:rFonts w:hint="eastAsia" w:ascii="宋体" w:hAnsi="宋体"/>
          <w:b/>
          <w:sz w:val="24"/>
        </w:rPr>
        <w:t>（一）、商务部分</w:t>
      </w:r>
    </w:p>
    <w:p>
      <w:pPr>
        <w:spacing w:line="360" w:lineRule="auto"/>
        <w:rPr>
          <w:rFonts w:ascii="宋体" w:hAnsi="宋体"/>
          <w:b/>
          <w:sz w:val="24"/>
        </w:rPr>
      </w:pPr>
      <w:r>
        <w:rPr>
          <w:rFonts w:hint="eastAsia" w:ascii="宋体" w:hAnsi="宋体"/>
          <w:b/>
          <w:sz w:val="24"/>
        </w:rPr>
        <w:t>1、投标函及投标函附录（附表一）；</w:t>
      </w:r>
    </w:p>
    <w:p>
      <w:pPr>
        <w:spacing w:line="360" w:lineRule="auto"/>
        <w:rPr>
          <w:rFonts w:ascii="宋体" w:hAnsi="宋体"/>
          <w:b/>
          <w:sz w:val="24"/>
        </w:rPr>
      </w:pPr>
      <w:r>
        <w:rPr>
          <w:rFonts w:hint="eastAsia" w:ascii="宋体" w:hAnsi="宋体"/>
          <w:b/>
          <w:sz w:val="24"/>
        </w:rPr>
        <w:t>2、开标一览表（附表二）；</w:t>
      </w:r>
    </w:p>
    <w:p>
      <w:pPr>
        <w:spacing w:line="360" w:lineRule="auto"/>
        <w:rPr>
          <w:rFonts w:ascii="宋体" w:hAnsi="宋体"/>
          <w:b/>
          <w:snapToGrid w:val="0"/>
          <w:sz w:val="24"/>
        </w:rPr>
      </w:pPr>
      <w:r>
        <w:rPr>
          <w:rFonts w:hint="eastAsia" w:ascii="宋体" w:hAnsi="宋体"/>
          <w:b/>
          <w:sz w:val="24"/>
        </w:rPr>
        <w:t>3、</w:t>
      </w:r>
      <w:r>
        <w:rPr>
          <w:rFonts w:hint="eastAsia" w:ascii="宋体" w:hAnsi="宋体"/>
          <w:b/>
          <w:snapToGrid w:val="0"/>
          <w:sz w:val="24"/>
        </w:rPr>
        <w:t>投标报价分项报价表（附表三）；</w:t>
      </w:r>
    </w:p>
    <w:p>
      <w:pPr>
        <w:spacing w:line="360" w:lineRule="auto"/>
        <w:rPr>
          <w:rFonts w:ascii="宋体" w:hAnsi="宋体"/>
          <w:b/>
          <w:snapToGrid w:val="0"/>
          <w:sz w:val="24"/>
        </w:rPr>
      </w:pPr>
      <w:r>
        <w:rPr>
          <w:rFonts w:hint="eastAsia" w:ascii="宋体" w:hAnsi="宋体"/>
          <w:b/>
          <w:snapToGrid w:val="0"/>
          <w:sz w:val="24"/>
        </w:rPr>
        <w:t>4、法人代表授权书；</w:t>
      </w:r>
    </w:p>
    <w:p>
      <w:pPr>
        <w:spacing w:line="360" w:lineRule="auto"/>
        <w:rPr>
          <w:rFonts w:ascii="宋体" w:hAnsi="宋体"/>
          <w:b/>
          <w:snapToGrid w:val="0"/>
          <w:sz w:val="24"/>
        </w:rPr>
      </w:pPr>
      <w:r>
        <w:rPr>
          <w:rFonts w:hint="eastAsia" w:ascii="宋体" w:hAnsi="宋体"/>
          <w:b/>
          <w:snapToGrid w:val="0"/>
          <w:sz w:val="24"/>
        </w:rPr>
        <w:t>5、资格资质资信证明文件：</w:t>
      </w:r>
    </w:p>
    <w:p>
      <w:pPr>
        <w:spacing w:line="360" w:lineRule="auto"/>
        <w:rPr>
          <w:rFonts w:ascii="宋体" w:hAnsi="宋体"/>
          <w:b/>
          <w:snapToGrid w:val="0"/>
          <w:sz w:val="24"/>
        </w:rPr>
      </w:pPr>
      <w:r>
        <w:rPr>
          <w:rFonts w:hint="eastAsia" w:ascii="宋体" w:hAnsi="宋体"/>
          <w:b/>
          <w:snapToGrid w:val="0"/>
          <w:sz w:val="24"/>
        </w:rPr>
        <w:t>（1）营业执照副本复印件；</w:t>
      </w:r>
    </w:p>
    <w:p>
      <w:pPr>
        <w:spacing w:line="430" w:lineRule="exact"/>
        <w:ind w:left="602" w:hanging="602" w:hangingChars="250"/>
        <w:rPr>
          <w:rFonts w:ascii="宋体" w:hAnsi="宋体"/>
          <w:b/>
          <w:snapToGrid w:val="0"/>
          <w:sz w:val="24"/>
        </w:rPr>
      </w:pPr>
      <w:r>
        <w:rPr>
          <w:rFonts w:hint="eastAsia" w:ascii="宋体" w:hAnsi="宋体"/>
          <w:b/>
          <w:snapToGrid w:val="0"/>
          <w:sz w:val="24"/>
        </w:rPr>
        <w:t>（2）相应的企业资质证书复印件（如有须提供）；</w:t>
      </w:r>
    </w:p>
    <w:p>
      <w:pPr>
        <w:spacing w:line="500" w:lineRule="exact"/>
        <w:ind w:left="542" w:hanging="542" w:hangingChars="225"/>
        <w:rPr>
          <w:rFonts w:ascii="宋体"/>
          <w:b/>
          <w:sz w:val="24"/>
        </w:rPr>
      </w:pPr>
      <w:r>
        <w:rPr>
          <w:rFonts w:hint="eastAsia" w:ascii="宋体"/>
          <w:b/>
          <w:sz w:val="24"/>
        </w:rPr>
        <w:t>（3）资信证明文件；</w:t>
      </w:r>
    </w:p>
    <w:p>
      <w:pPr>
        <w:spacing w:line="500" w:lineRule="exact"/>
        <w:ind w:left="542" w:hanging="542" w:hangingChars="225"/>
        <w:rPr>
          <w:rFonts w:ascii="宋体"/>
          <w:b/>
          <w:sz w:val="24"/>
        </w:rPr>
      </w:pPr>
      <w:r>
        <w:rPr>
          <w:rFonts w:hint="eastAsia" w:ascii="宋体"/>
          <w:b/>
          <w:sz w:val="24"/>
        </w:rPr>
        <w:t>（4）提供投标截止日期之前12个月内任何一期缴纳社会保障资金的有效证明材料及纳税有效证明材料（自行编写无效）。</w:t>
      </w:r>
    </w:p>
    <w:p>
      <w:pPr>
        <w:spacing w:line="360" w:lineRule="auto"/>
        <w:ind w:left="361" w:hanging="361" w:hangingChars="150"/>
        <w:rPr>
          <w:rFonts w:ascii="宋体" w:hAnsi="宋体" w:cs="宋体"/>
          <w:b/>
          <w:kern w:val="0"/>
          <w:sz w:val="24"/>
        </w:rPr>
      </w:pPr>
      <w:r>
        <w:rPr>
          <w:rFonts w:hint="eastAsia" w:ascii="宋体" w:hAnsi="宋体" w:cs="宋体"/>
          <w:b/>
          <w:kern w:val="0"/>
          <w:sz w:val="24"/>
        </w:rPr>
        <w:t>6、</w:t>
      </w:r>
      <w:r>
        <w:rPr>
          <w:rFonts w:ascii="宋体" w:hAnsi="宋体" w:cs="宋体"/>
          <w:b/>
          <w:kern w:val="0"/>
          <w:sz w:val="24"/>
        </w:rPr>
        <w:t>提供公司简介、基本架构、</w:t>
      </w:r>
      <w:r>
        <w:rPr>
          <w:rFonts w:hint="eastAsia"/>
          <w:b/>
          <w:sz w:val="24"/>
        </w:rPr>
        <w:t>服务团队成员及工作职责、业绩介绍、工作流程。</w:t>
      </w:r>
    </w:p>
    <w:p>
      <w:pPr>
        <w:spacing w:line="360" w:lineRule="auto"/>
        <w:rPr>
          <w:b/>
          <w:sz w:val="24"/>
        </w:rPr>
      </w:pPr>
      <w:r>
        <w:rPr>
          <w:rFonts w:hint="eastAsia"/>
          <w:b/>
          <w:sz w:val="24"/>
        </w:rPr>
        <w:t>（二）、技术方案部分：针对人工智能与数字经济广东省实验室（广州）知识产权代理服务采购项目具体内容制定服务方案。</w:t>
      </w:r>
    </w:p>
    <w:p>
      <w:pPr>
        <w:spacing w:line="360" w:lineRule="auto"/>
        <w:rPr>
          <w:rFonts w:ascii="宋体" w:hAnsi="宋体"/>
          <w:b/>
          <w:sz w:val="24"/>
        </w:rPr>
      </w:pPr>
      <w:r>
        <w:rPr>
          <w:rFonts w:hint="eastAsia" w:ascii="宋体" w:hAnsi="宋体"/>
          <w:b/>
          <w:sz w:val="24"/>
        </w:rPr>
        <w:t>九、</w:t>
      </w:r>
      <w:bookmarkStart w:id="9" w:name="_Toc162409846"/>
      <w:bookmarkStart w:id="10" w:name="_Toc162409986"/>
      <w:r>
        <w:rPr>
          <w:rFonts w:ascii="宋体" w:hAnsi="宋体"/>
          <w:b/>
          <w:sz w:val="24"/>
        </w:rPr>
        <w:t>招标文件澄清</w:t>
      </w:r>
      <w:bookmarkEnd w:id="9"/>
      <w:bookmarkEnd w:id="10"/>
    </w:p>
    <w:p>
      <w:pPr>
        <w:spacing w:line="360" w:lineRule="auto"/>
        <w:ind w:left="360" w:hanging="360" w:hangingChars="150"/>
        <w:rPr>
          <w:rFonts w:ascii="宋体" w:hAnsi="宋体"/>
          <w:sz w:val="24"/>
        </w:rPr>
      </w:pPr>
      <w:r>
        <w:rPr>
          <w:rFonts w:hint="eastAsia" w:ascii="宋体" w:hAnsi="宋体"/>
          <w:sz w:val="24"/>
        </w:rPr>
        <w:t>1、任何要求对招标文件进行澄清的投标人，均应以书面形式通知招标采购单位。招标采购单位对在投标截止期15日以前收到的澄清要求应以书面形式予以答复，并将书面答复发给每个购买招标文件的投标人（答复中不包括问题的来源）。</w:t>
      </w:r>
    </w:p>
    <w:p>
      <w:pPr>
        <w:spacing w:line="360" w:lineRule="auto"/>
        <w:rPr>
          <w:rFonts w:ascii="宋体" w:hAnsi="宋体"/>
          <w:b/>
          <w:sz w:val="24"/>
        </w:rPr>
      </w:pPr>
      <w:r>
        <w:rPr>
          <w:rFonts w:hint="eastAsia" w:ascii="宋体" w:hAnsi="宋体"/>
          <w:b/>
          <w:sz w:val="24"/>
        </w:rPr>
        <w:t>十、招标文件的修改</w:t>
      </w:r>
    </w:p>
    <w:p>
      <w:pPr>
        <w:spacing w:line="360" w:lineRule="auto"/>
        <w:ind w:left="360" w:hanging="360" w:hangingChars="150"/>
        <w:rPr>
          <w:rFonts w:ascii="宋体" w:hAnsi="宋体"/>
          <w:sz w:val="24"/>
        </w:rPr>
      </w:pPr>
      <w:r>
        <w:rPr>
          <w:rFonts w:hint="eastAsia" w:ascii="宋体" w:hAnsi="宋体"/>
          <w:sz w:val="24"/>
        </w:rPr>
        <w:t>1、在投标截止期15日前，招标采购单位可主动地或在解答投标人提出的澄清问题时对招标文件进行修改。</w:t>
      </w:r>
    </w:p>
    <w:p>
      <w:pPr>
        <w:spacing w:line="360" w:lineRule="auto"/>
        <w:ind w:left="360" w:hanging="360" w:hangingChars="150"/>
        <w:rPr>
          <w:rFonts w:ascii="宋体" w:hAnsi="宋体"/>
          <w:sz w:val="24"/>
        </w:rPr>
      </w:pPr>
      <w:r>
        <w:rPr>
          <w:rFonts w:hint="eastAsia" w:ascii="宋体" w:hAnsi="宋体"/>
          <w:sz w:val="24"/>
        </w:rPr>
        <w:t>2、</w:t>
      </w:r>
      <w:r>
        <w:rPr>
          <w:rFonts w:ascii="宋体" w:hAnsi="宋体"/>
          <w:sz w:val="24"/>
        </w:rPr>
        <w:tab/>
      </w:r>
      <w:r>
        <w:rPr>
          <w:rFonts w:hint="eastAsia" w:ascii="宋体" w:hAnsi="宋体"/>
          <w:sz w:val="24"/>
        </w:rPr>
        <w:t>招标文件的修改应以书面形式通知所有购买招标文件的投标人，并对其具有约束力。投标人在收到上述通知后，应立即向招标采购单位回函确认。</w:t>
      </w:r>
    </w:p>
    <w:p>
      <w:pPr>
        <w:spacing w:line="360" w:lineRule="auto"/>
        <w:ind w:left="360" w:hanging="360" w:hangingChars="150"/>
        <w:rPr>
          <w:rFonts w:ascii="宋体" w:hAnsi="宋体"/>
          <w:sz w:val="24"/>
        </w:rPr>
      </w:pPr>
      <w:r>
        <w:rPr>
          <w:rFonts w:hint="eastAsia" w:ascii="宋体" w:hAnsi="宋体"/>
          <w:sz w:val="24"/>
        </w:rPr>
        <w:t>3、为使投标人准备投标时有足够的时间对招标文件的修改部分进行研究，招标采购单位有权决定是否延长投标截止期。</w:t>
      </w:r>
    </w:p>
    <w:p>
      <w:pPr>
        <w:spacing w:line="360" w:lineRule="auto"/>
        <w:rPr>
          <w:rFonts w:ascii="宋体" w:hAnsi="宋体"/>
          <w:b/>
          <w:sz w:val="24"/>
        </w:rPr>
      </w:pPr>
      <w:bookmarkStart w:id="11" w:name="_Toc162409849"/>
      <w:bookmarkStart w:id="12" w:name="_Toc162409989"/>
      <w:r>
        <w:rPr>
          <w:rFonts w:hint="eastAsia" w:ascii="宋体" w:hAnsi="宋体"/>
          <w:b/>
          <w:sz w:val="24"/>
        </w:rPr>
        <w:t>十一、</w:t>
      </w:r>
      <w:r>
        <w:rPr>
          <w:rFonts w:ascii="宋体" w:hAnsi="宋体"/>
          <w:b/>
          <w:sz w:val="24"/>
        </w:rPr>
        <w:t>投标文件编制</w:t>
      </w:r>
      <w:bookmarkEnd w:id="11"/>
      <w:bookmarkEnd w:id="12"/>
      <w:r>
        <w:rPr>
          <w:rFonts w:hint="eastAsia" w:ascii="宋体" w:hAnsi="宋体"/>
          <w:b/>
          <w:sz w:val="24"/>
        </w:rPr>
        <w:t>、</w:t>
      </w:r>
      <w:r>
        <w:rPr>
          <w:rFonts w:ascii="宋体" w:hAnsi="宋体"/>
          <w:b/>
          <w:sz w:val="24"/>
        </w:rPr>
        <w:t>装订与签署</w:t>
      </w:r>
    </w:p>
    <w:p>
      <w:pPr>
        <w:spacing w:line="360" w:lineRule="auto"/>
        <w:rPr>
          <w:rFonts w:ascii="宋体" w:hAnsi="宋体"/>
          <w:sz w:val="24"/>
        </w:rPr>
      </w:pPr>
      <w:r>
        <w:rPr>
          <w:rFonts w:hint="eastAsia" w:ascii="宋体" w:hAnsi="宋体"/>
          <w:sz w:val="24"/>
        </w:rPr>
        <w:t>1、</w:t>
      </w:r>
      <w:r>
        <w:rPr>
          <w:rFonts w:ascii="宋体" w:hAnsi="宋体"/>
          <w:sz w:val="24"/>
        </w:rPr>
        <w:t>投标人编制的投标文件由</w:t>
      </w:r>
      <w:r>
        <w:rPr>
          <w:rFonts w:hint="eastAsia" w:ascii="宋体" w:hAnsi="宋体"/>
          <w:sz w:val="24"/>
        </w:rPr>
        <w:t>商务部分</w:t>
      </w:r>
      <w:r>
        <w:rPr>
          <w:rFonts w:ascii="宋体" w:hAnsi="宋体"/>
          <w:sz w:val="24"/>
        </w:rPr>
        <w:t>、</w:t>
      </w:r>
      <w:r>
        <w:rPr>
          <w:rFonts w:hint="eastAsia" w:ascii="宋体" w:hAnsi="宋体" w:cs="宋体"/>
          <w:kern w:val="0"/>
          <w:sz w:val="24"/>
        </w:rPr>
        <w:t>技术部分</w:t>
      </w:r>
      <w:r>
        <w:rPr>
          <w:rFonts w:hint="eastAsia" w:ascii="宋体" w:hAnsi="宋体"/>
          <w:sz w:val="24"/>
        </w:rPr>
        <w:t>两</w:t>
      </w:r>
      <w:r>
        <w:rPr>
          <w:rFonts w:ascii="宋体" w:hAnsi="宋体"/>
          <w:sz w:val="24"/>
        </w:rPr>
        <w:t>部分组成</w:t>
      </w:r>
      <w:r>
        <w:rPr>
          <w:rFonts w:hint="eastAsia"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w:t>
      </w:r>
      <w:r>
        <w:rPr>
          <w:rFonts w:hint="eastAsia" w:ascii="宋体" w:hAnsi="宋体"/>
          <w:sz w:val="24"/>
        </w:rPr>
        <w:t>各部分包括的内容详见上述第八项。</w:t>
      </w:r>
    </w:p>
    <w:p>
      <w:pPr>
        <w:spacing w:line="360" w:lineRule="auto"/>
        <w:ind w:left="360" w:hanging="360" w:hangingChars="150"/>
        <w:rPr>
          <w:rFonts w:ascii="宋体" w:hAnsi="宋体"/>
          <w:sz w:val="24"/>
        </w:rPr>
      </w:pPr>
      <w:r>
        <w:rPr>
          <w:rFonts w:hint="eastAsia" w:ascii="宋体" w:hAnsi="宋体"/>
          <w:sz w:val="24"/>
        </w:rPr>
        <w:t>3、</w:t>
      </w:r>
      <w:r>
        <w:rPr>
          <w:rFonts w:ascii="宋体" w:hAnsi="宋体"/>
          <w:sz w:val="24"/>
        </w:rPr>
        <w:t>投标人</w:t>
      </w:r>
      <w:r>
        <w:rPr>
          <w:rFonts w:hint="eastAsia" w:ascii="宋体" w:hAnsi="宋体"/>
          <w:sz w:val="24"/>
        </w:rPr>
        <w:t>必须</w:t>
      </w:r>
      <w:r>
        <w:rPr>
          <w:rFonts w:ascii="宋体" w:hAnsi="宋体"/>
          <w:sz w:val="24"/>
        </w:rPr>
        <w:t>对所有投标文件采用左侧书本式方式装订，装订应牢固、不易拆散和换页，</w:t>
      </w:r>
      <w:r>
        <w:rPr>
          <w:rFonts w:ascii="宋体" w:hAnsi="宋体"/>
          <w:b/>
          <w:bCs/>
          <w:sz w:val="24"/>
        </w:rPr>
        <w:t>不得采用活页方式装订</w:t>
      </w:r>
      <w:r>
        <w:rPr>
          <w:rFonts w:hint="eastAsia" w:ascii="宋体" w:hAnsi="宋体"/>
          <w:sz w:val="24"/>
        </w:rPr>
        <w:t>。</w:t>
      </w:r>
    </w:p>
    <w:p>
      <w:pPr>
        <w:spacing w:line="360" w:lineRule="auto"/>
        <w:ind w:left="360" w:hanging="360" w:hangingChars="150"/>
        <w:rPr>
          <w:rFonts w:ascii="宋体" w:hAnsi="宋体"/>
          <w:sz w:val="24"/>
        </w:rPr>
      </w:pPr>
      <w:r>
        <w:rPr>
          <w:rFonts w:hint="eastAsia" w:ascii="宋体" w:hAnsi="宋体"/>
          <w:sz w:val="24"/>
        </w:rPr>
        <w:t>4、</w:t>
      </w:r>
      <w:r>
        <w:rPr>
          <w:rFonts w:ascii="宋体" w:hAnsi="宋体"/>
          <w:sz w:val="24"/>
        </w:rPr>
        <w:t>所有</w:t>
      </w:r>
      <w:r>
        <w:rPr>
          <w:rFonts w:hint="eastAsia" w:ascii="宋体" w:hAnsi="宋体"/>
          <w:sz w:val="24"/>
        </w:rPr>
        <w:t>投</w:t>
      </w:r>
      <w:r>
        <w:rPr>
          <w:rFonts w:ascii="宋体" w:hAnsi="宋体"/>
          <w:sz w:val="24"/>
        </w:rPr>
        <w:t>标</w:t>
      </w:r>
      <w:r>
        <w:rPr>
          <w:rFonts w:hint="eastAsia" w:ascii="宋体" w:hAnsi="宋体"/>
          <w:sz w:val="24"/>
        </w:rPr>
        <w:t>文件（包括正副本）</w:t>
      </w:r>
      <w:r>
        <w:rPr>
          <w:rFonts w:ascii="宋体" w:hAnsi="宋体"/>
          <w:sz w:val="24"/>
        </w:rPr>
        <w:t>的封面均应加盖投标人公章，并由法定代表人或其委托代理人签字或盖章；招标文件给定的投标文件格式中明确要求签字或盖章处，均应按要求签字或盖章。</w:t>
      </w:r>
    </w:p>
    <w:p>
      <w:pPr>
        <w:spacing w:line="360" w:lineRule="auto"/>
        <w:ind w:left="360" w:hanging="360" w:hangingChars="150"/>
        <w:rPr>
          <w:rFonts w:ascii="宋体" w:hAnsi="宋体"/>
          <w:sz w:val="24"/>
        </w:rPr>
      </w:pPr>
      <w:r>
        <w:rPr>
          <w:rFonts w:hint="eastAsia" w:ascii="宋体" w:hAnsi="宋体"/>
          <w:sz w:val="24"/>
        </w:rPr>
        <w:t>5、</w:t>
      </w:r>
      <w:r>
        <w:rPr>
          <w:rFonts w:ascii="宋体" w:hAnsi="宋体"/>
          <w:sz w:val="24"/>
        </w:rPr>
        <w:t>电子版本投标文件应单独放入一个信封中，并在信封外标明“电子版本投标文件”字样</w:t>
      </w:r>
      <w:r>
        <w:rPr>
          <w:rFonts w:hint="eastAsia" w:ascii="宋体" w:hAnsi="宋体"/>
          <w:sz w:val="24"/>
        </w:rPr>
        <w:t>。</w:t>
      </w:r>
    </w:p>
    <w:p>
      <w:pPr>
        <w:spacing w:line="360" w:lineRule="auto"/>
        <w:rPr>
          <w:rFonts w:ascii="宋体" w:hAnsi="宋体"/>
          <w:b/>
          <w:sz w:val="24"/>
        </w:rPr>
      </w:pPr>
      <w:bookmarkStart w:id="13" w:name="_Toc162409992"/>
      <w:bookmarkStart w:id="14" w:name="_Toc162409852"/>
      <w:r>
        <w:rPr>
          <w:rFonts w:hint="eastAsia" w:ascii="宋体" w:hAnsi="宋体"/>
          <w:b/>
          <w:sz w:val="24"/>
        </w:rPr>
        <w:t>十二、</w:t>
      </w:r>
      <w:r>
        <w:rPr>
          <w:rFonts w:ascii="宋体" w:hAnsi="宋体"/>
          <w:b/>
          <w:sz w:val="24"/>
        </w:rPr>
        <w:t>投标文件密封与</w:t>
      </w:r>
      <w:bookmarkEnd w:id="13"/>
      <w:bookmarkEnd w:id="14"/>
      <w:r>
        <w:rPr>
          <w:rFonts w:hint="eastAsia" w:ascii="宋体" w:hAnsi="宋体"/>
          <w:b/>
          <w:sz w:val="24"/>
        </w:rPr>
        <w:t>标记</w:t>
      </w:r>
    </w:p>
    <w:p>
      <w:pPr>
        <w:tabs>
          <w:tab w:val="left" w:pos="900"/>
        </w:tabs>
        <w:spacing w:before="120" w:line="360" w:lineRule="auto"/>
        <w:rPr>
          <w:rFonts w:ascii="宋体" w:hAnsi="宋体"/>
          <w:sz w:val="24"/>
        </w:rPr>
      </w:pPr>
      <w:r>
        <w:rPr>
          <w:rFonts w:hint="eastAsia" w:ascii="宋体" w:hAnsi="宋体"/>
          <w:sz w:val="24"/>
        </w:rPr>
        <w:t>1、投标时，投标人应按包将投标文件正本和所有的副本分开密封装在单独的信封中，且在信封正面标明“正本”“副本”字样。</w:t>
      </w:r>
    </w:p>
    <w:p>
      <w:pPr>
        <w:tabs>
          <w:tab w:val="left" w:pos="900"/>
        </w:tabs>
        <w:spacing w:before="120" w:line="360" w:lineRule="auto"/>
        <w:rPr>
          <w:rFonts w:ascii="宋体" w:hAnsi="宋体"/>
          <w:sz w:val="24"/>
        </w:rPr>
      </w:pPr>
      <w:r>
        <w:rPr>
          <w:rFonts w:hint="eastAsia" w:ascii="宋体" w:hAnsi="宋体"/>
          <w:sz w:val="24"/>
        </w:rPr>
        <w:t>2、为方便开标唱标，投标人应将“投标一览表</w:t>
      </w:r>
      <w:r>
        <w:rPr>
          <w:rFonts w:ascii="宋体" w:hAnsi="宋体"/>
          <w:sz w:val="24"/>
        </w:rPr>
        <w:t>”</w:t>
      </w:r>
      <w:r>
        <w:rPr>
          <w:rFonts w:hint="eastAsia" w:ascii="宋体" w:hAnsi="宋体"/>
          <w:sz w:val="24"/>
        </w:rPr>
        <w:t>单独密封，并在信封上标明“投标一览表”字样，在投标时单独递交。</w:t>
      </w:r>
    </w:p>
    <w:p>
      <w:pPr>
        <w:tabs>
          <w:tab w:val="left" w:pos="900"/>
        </w:tabs>
        <w:spacing w:before="120" w:line="360" w:lineRule="auto"/>
        <w:rPr>
          <w:rFonts w:ascii="宋体" w:hAnsi="宋体"/>
          <w:sz w:val="24"/>
        </w:rPr>
      </w:pPr>
      <w:r>
        <w:rPr>
          <w:rFonts w:hint="eastAsia" w:ascii="宋体" w:hAnsi="宋体"/>
          <w:sz w:val="24"/>
        </w:rPr>
        <w:t>3、为方便核查投标保证金，投标人应将“投标保证金</w:t>
      </w:r>
      <w:r>
        <w:rPr>
          <w:rFonts w:ascii="宋体" w:hAnsi="宋体"/>
          <w:sz w:val="24"/>
        </w:rPr>
        <w:t>”</w:t>
      </w:r>
      <w:r>
        <w:rPr>
          <w:rFonts w:hint="eastAsia" w:ascii="宋体" w:hAnsi="宋体"/>
          <w:sz w:val="24"/>
        </w:rPr>
        <w:t>单独密封，并在信封上标明“投标保证金”字样，在投标时单独递交。</w:t>
      </w:r>
    </w:p>
    <w:p>
      <w:pPr>
        <w:tabs>
          <w:tab w:val="left" w:pos="900"/>
        </w:tabs>
        <w:spacing w:before="120" w:line="360" w:lineRule="auto"/>
        <w:rPr>
          <w:rFonts w:ascii="宋体" w:hAnsi="宋体"/>
          <w:sz w:val="24"/>
        </w:rPr>
      </w:pPr>
      <w:r>
        <w:rPr>
          <w:rFonts w:hint="eastAsia" w:ascii="宋体" w:hAnsi="宋体"/>
          <w:sz w:val="24"/>
        </w:rPr>
        <w:t>4、所有信封上均应：</w:t>
      </w:r>
    </w:p>
    <w:p>
      <w:pPr>
        <w:pStyle w:val="19"/>
        <w:tabs>
          <w:tab w:val="left" w:pos="630"/>
          <w:tab w:val="left" w:pos="1365"/>
        </w:tabs>
        <w:spacing w:line="360" w:lineRule="auto"/>
        <w:rPr>
          <w:rFonts w:hAnsi="宋体"/>
          <w:sz w:val="24"/>
        </w:rPr>
      </w:pPr>
      <w:r>
        <w:rPr>
          <w:rFonts w:hint="eastAsia" w:hAnsi="宋体"/>
          <w:sz w:val="24"/>
        </w:rPr>
        <w:t>1）清楚标明递交至招标公告或投标邀请书中指明的地址。</w:t>
      </w:r>
    </w:p>
    <w:p>
      <w:pPr>
        <w:pStyle w:val="19"/>
        <w:tabs>
          <w:tab w:val="left" w:pos="1365"/>
        </w:tabs>
        <w:spacing w:line="360" w:lineRule="auto"/>
        <w:rPr>
          <w:rFonts w:hAnsi="宋体"/>
          <w:b/>
          <w:sz w:val="24"/>
        </w:rPr>
      </w:pPr>
      <w:r>
        <w:rPr>
          <w:rFonts w:hint="eastAsia" w:hAnsi="宋体"/>
          <w:sz w:val="24"/>
        </w:rPr>
        <w:t>2）注明招标公告或投标邀请书中指明的服务名称、招标编号和“在</w:t>
      </w:r>
      <w:r>
        <w:rPr>
          <w:rFonts w:hint="eastAsia" w:hAnsi="宋体"/>
          <w:b/>
          <w:sz w:val="24"/>
          <w:u w:val="single"/>
        </w:rPr>
        <w:t>年月日时分(北京时间) 之前不得启封</w:t>
      </w:r>
      <w:r>
        <w:rPr>
          <w:rFonts w:hint="eastAsia" w:hAnsi="宋体"/>
          <w:b/>
          <w:sz w:val="24"/>
        </w:rPr>
        <w:t>”</w:t>
      </w:r>
      <w:r>
        <w:rPr>
          <w:rFonts w:hint="eastAsia" w:hAnsi="宋体"/>
          <w:sz w:val="24"/>
        </w:rPr>
        <w:t>的字样。(填入规定的投标截止日期)</w:t>
      </w:r>
    </w:p>
    <w:p>
      <w:pPr>
        <w:pStyle w:val="19"/>
        <w:tabs>
          <w:tab w:val="left" w:pos="1365"/>
        </w:tabs>
        <w:spacing w:line="360" w:lineRule="auto"/>
        <w:rPr>
          <w:rFonts w:hAnsi="宋体"/>
          <w:sz w:val="24"/>
        </w:rPr>
      </w:pPr>
      <w:r>
        <w:rPr>
          <w:rFonts w:hint="eastAsia" w:hAnsi="宋体"/>
          <w:sz w:val="24"/>
        </w:rPr>
        <w:t>3）在信封的封装处加盖投标人公章及法定代表人的人名章。</w:t>
      </w:r>
    </w:p>
    <w:p>
      <w:pPr>
        <w:tabs>
          <w:tab w:val="left" w:pos="900"/>
        </w:tabs>
        <w:spacing w:before="120" w:line="360" w:lineRule="auto"/>
        <w:rPr>
          <w:rFonts w:ascii="宋体" w:hAnsi="宋体"/>
          <w:sz w:val="24"/>
        </w:rPr>
      </w:pPr>
      <w:r>
        <w:rPr>
          <w:rFonts w:hint="eastAsia" w:ascii="宋体" w:hAnsi="宋体"/>
          <w:sz w:val="24"/>
        </w:rPr>
        <w:t>5、所有信封上还应写明投标人名称和地址，以便若其投标被宣布为“迟到”投标时，能原封退回。</w:t>
      </w:r>
    </w:p>
    <w:p>
      <w:pPr>
        <w:tabs>
          <w:tab w:val="left" w:pos="900"/>
        </w:tabs>
        <w:spacing w:before="120" w:line="360" w:lineRule="auto"/>
        <w:rPr>
          <w:rFonts w:ascii="宋体" w:hAnsi="宋体"/>
          <w:sz w:val="24"/>
        </w:rPr>
      </w:pPr>
      <w:r>
        <w:rPr>
          <w:rFonts w:hint="eastAsia" w:ascii="宋体" w:hAnsi="宋体"/>
          <w:sz w:val="24"/>
        </w:rPr>
        <w:t>6、如果投标人未按上述要求密封（招标采购单位将拒绝投标并原封退回）及加写标记，招标采购单位对投标文件的误投或过早启封概不负责。</w:t>
      </w:r>
    </w:p>
    <w:p>
      <w:pPr>
        <w:spacing w:line="360" w:lineRule="auto"/>
        <w:rPr>
          <w:rFonts w:ascii="宋体" w:hAnsi="宋体"/>
          <w:b/>
          <w:sz w:val="24"/>
        </w:rPr>
      </w:pPr>
      <w:r>
        <w:rPr>
          <w:rFonts w:hint="eastAsia" w:ascii="宋体" w:hAnsi="宋体"/>
          <w:b/>
          <w:sz w:val="24"/>
        </w:rPr>
        <w:t>十三、</w:t>
      </w:r>
      <w:r>
        <w:rPr>
          <w:rFonts w:ascii="宋体" w:hAnsi="宋体"/>
          <w:b/>
          <w:sz w:val="24"/>
        </w:rPr>
        <w:t>投标文件提交</w:t>
      </w:r>
    </w:p>
    <w:p>
      <w:pPr>
        <w:tabs>
          <w:tab w:val="left" w:pos="900"/>
        </w:tabs>
        <w:spacing w:before="120" w:line="360" w:lineRule="auto"/>
        <w:rPr>
          <w:rFonts w:ascii="宋体" w:hAnsi="宋体"/>
          <w:sz w:val="24"/>
        </w:rPr>
      </w:pPr>
      <w:r>
        <w:rPr>
          <w:rFonts w:hint="eastAsia" w:ascii="宋体" w:hAnsi="宋体"/>
          <w:sz w:val="24"/>
        </w:rPr>
        <w:t>1、投标人应在招标公告或投标邀请书中规定的截止日期和时间内，将投标文件递交招标采购单位，递交地点应是招标公告或投标邀请书中规定的地址。</w:t>
      </w:r>
    </w:p>
    <w:p>
      <w:pPr>
        <w:tabs>
          <w:tab w:val="left" w:pos="900"/>
        </w:tabs>
        <w:spacing w:before="120" w:line="360" w:lineRule="auto"/>
        <w:rPr>
          <w:rFonts w:ascii="宋体" w:hAnsi="宋体"/>
          <w:sz w:val="24"/>
        </w:rPr>
      </w:pPr>
      <w:r>
        <w:rPr>
          <w:rFonts w:hint="eastAsia" w:ascii="宋体" w:hAnsi="宋体"/>
          <w:sz w:val="24"/>
        </w:rPr>
        <w:t>2、招标采购单位有权按本须知的规定，通过修改招标文件延长投标截止期。在此情况下，招标采购单位和投标人受投标截止期制约的所有权利和义务均应延长至新的截止期。</w:t>
      </w:r>
    </w:p>
    <w:p>
      <w:pPr>
        <w:tabs>
          <w:tab w:val="left" w:pos="900"/>
        </w:tabs>
        <w:spacing w:before="120" w:line="360" w:lineRule="auto"/>
        <w:rPr>
          <w:rFonts w:ascii="宋体" w:hAnsi="宋体"/>
          <w:sz w:val="24"/>
        </w:rPr>
      </w:pPr>
      <w:r>
        <w:rPr>
          <w:rFonts w:hint="eastAsia" w:ascii="宋体" w:hAnsi="宋体"/>
          <w:sz w:val="24"/>
        </w:rPr>
        <w:t>3、招标采购单位将拒绝并原封退回在本须知规定的投标截止期后收到的任何投标文件。</w:t>
      </w:r>
    </w:p>
    <w:p>
      <w:pPr>
        <w:spacing w:line="360" w:lineRule="auto"/>
        <w:rPr>
          <w:rFonts w:ascii="宋体" w:hAnsi="宋体"/>
          <w:b/>
          <w:sz w:val="24"/>
        </w:rPr>
      </w:pPr>
      <w:r>
        <w:rPr>
          <w:rFonts w:hint="eastAsia" w:ascii="宋体" w:hAnsi="宋体"/>
          <w:b/>
          <w:sz w:val="24"/>
        </w:rPr>
        <w:t>十四、</w:t>
      </w:r>
      <w:r>
        <w:rPr>
          <w:rFonts w:ascii="宋体" w:hAnsi="宋体"/>
          <w:b/>
          <w:sz w:val="24"/>
        </w:rPr>
        <w:t>投标</w:t>
      </w:r>
      <w:r>
        <w:rPr>
          <w:rFonts w:hint="eastAsia" w:ascii="宋体" w:hAnsi="宋体"/>
          <w:b/>
          <w:sz w:val="24"/>
        </w:rPr>
        <w:t>有效期</w:t>
      </w:r>
    </w:p>
    <w:p>
      <w:pPr>
        <w:tabs>
          <w:tab w:val="left" w:pos="900"/>
        </w:tabs>
        <w:spacing w:before="120" w:line="360" w:lineRule="auto"/>
        <w:rPr>
          <w:rFonts w:ascii="宋体" w:hAnsi="宋体"/>
          <w:sz w:val="24"/>
        </w:rPr>
      </w:pPr>
      <w:r>
        <w:rPr>
          <w:rFonts w:hint="eastAsia" w:ascii="宋体" w:hAnsi="宋体"/>
          <w:sz w:val="24"/>
        </w:rPr>
        <w:t>1、投标应在规定的开标日后的</w:t>
      </w:r>
      <w:r>
        <w:rPr>
          <w:rFonts w:hint="eastAsia" w:ascii="宋体" w:hAnsi="宋体"/>
          <w:sz w:val="24"/>
          <w:u w:val="single"/>
        </w:rPr>
        <w:t xml:space="preserve"> 150 </w:t>
      </w:r>
      <w:r>
        <w:rPr>
          <w:rFonts w:hint="eastAsia" w:ascii="宋体" w:hAnsi="宋体"/>
          <w:sz w:val="24"/>
        </w:rPr>
        <w:t>个日历日内保持有效，投标有效期不满足要求的投标将被视为非响应性投标而予以拒绝。</w:t>
      </w:r>
    </w:p>
    <w:p>
      <w:pPr>
        <w:tabs>
          <w:tab w:val="left" w:pos="900"/>
        </w:tabs>
        <w:spacing w:before="120" w:line="360" w:lineRule="auto"/>
        <w:rPr>
          <w:rFonts w:ascii="宋体" w:hAnsi="宋体"/>
          <w:sz w:val="24"/>
        </w:rPr>
      </w:pPr>
      <w:r>
        <w:rPr>
          <w:rFonts w:hint="eastAsia" w:ascii="宋体" w:hAnsi="宋体"/>
          <w:sz w:val="24"/>
        </w:rPr>
        <w:t>2、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不会被没收。上述要求和答复都应以书面形式提交。</w:t>
      </w:r>
    </w:p>
    <w:p>
      <w:pPr>
        <w:pStyle w:val="19"/>
        <w:tabs>
          <w:tab w:val="left" w:pos="2240"/>
        </w:tabs>
        <w:spacing w:line="360" w:lineRule="auto"/>
        <w:rPr>
          <w:rFonts w:hAnsi="宋体"/>
          <w:sz w:val="24"/>
        </w:rPr>
      </w:pPr>
      <w:r>
        <w:rPr>
          <w:rFonts w:hint="eastAsia" w:hAnsi="宋体"/>
          <w:b/>
          <w:sz w:val="24"/>
        </w:rPr>
        <w:t>十五、</w:t>
      </w:r>
      <w:r>
        <w:rPr>
          <w:rFonts w:hAnsi="宋体"/>
          <w:b/>
          <w:sz w:val="24"/>
        </w:rPr>
        <w:t>投标保证</w:t>
      </w:r>
      <w:r>
        <w:rPr>
          <w:rFonts w:hint="eastAsia" w:hAnsi="宋体"/>
          <w:b/>
          <w:sz w:val="24"/>
        </w:rPr>
        <w:t>金</w:t>
      </w:r>
    </w:p>
    <w:p>
      <w:pPr>
        <w:spacing w:before="120" w:line="360" w:lineRule="auto"/>
        <w:ind w:left="898" w:hanging="898"/>
        <w:rPr>
          <w:rFonts w:ascii="宋体" w:hAnsi="宋体"/>
          <w:sz w:val="24"/>
        </w:rPr>
      </w:pPr>
      <w:bookmarkStart w:id="15" w:name="_Ref467306302"/>
      <w:r>
        <w:rPr>
          <w:rFonts w:ascii="宋体" w:hAnsi="宋体"/>
          <w:sz w:val="24"/>
        </w:rPr>
        <w:t>1</w:t>
      </w:r>
      <w:r>
        <w:rPr>
          <w:rFonts w:hint="eastAsia" w:ascii="宋体" w:hAnsi="宋体"/>
          <w:sz w:val="24"/>
        </w:rPr>
        <w:t>5</w:t>
      </w:r>
      <w:r>
        <w:rPr>
          <w:rFonts w:ascii="宋体" w:hAnsi="宋体"/>
          <w:sz w:val="24"/>
        </w:rPr>
        <w:t>.1</w:t>
      </w:r>
      <w:r>
        <w:rPr>
          <w:rFonts w:ascii="宋体" w:hAnsi="宋体"/>
          <w:sz w:val="24"/>
        </w:rPr>
        <w:tab/>
      </w:r>
      <w:r>
        <w:rPr>
          <w:rFonts w:hint="eastAsia" w:ascii="宋体" w:hAnsi="宋体"/>
          <w:sz w:val="24"/>
        </w:rPr>
        <w:t>投标人应提供</w:t>
      </w:r>
      <w:r>
        <w:rPr>
          <w:rFonts w:hint="eastAsia" w:ascii="宋体" w:hAnsi="宋体"/>
          <w:b/>
          <w:bCs/>
          <w:sz w:val="24"/>
        </w:rPr>
        <w:t>采购预算金额的1.5%</w:t>
      </w:r>
      <w:r>
        <w:rPr>
          <w:rFonts w:hint="eastAsia" w:ascii="宋体" w:hAnsi="宋体"/>
          <w:sz w:val="24"/>
        </w:rPr>
        <w:t>的投标保证金</w:t>
      </w:r>
      <w:bookmarkEnd w:id="15"/>
      <w:r>
        <w:rPr>
          <w:rFonts w:hint="eastAsia" w:ascii="宋体" w:hAnsi="宋体"/>
          <w:sz w:val="24"/>
        </w:rPr>
        <w:t>，并作为其投标的一部分。</w:t>
      </w:r>
    </w:p>
    <w:p>
      <w:pPr>
        <w:spacing w:before="120" w:line="360" w:lineRule="auto"/>
        <w:ind w:left="898" w:hanging="898"/>
        <w:rPr>
          <w:rFonts w:ascii="宋体" w:hAnsi="宋体"/>
          <w:sz w:val="24"/>
        </w:rPr>
      </w:pPr>
      <w:r>
        <w:rPr>
          <w:rFonts w:ascii="宋体" w:hAnsi="宋体"/>
          <w:sz w:val="24"/>
        </w:rPr>
        <w:t>1</w:t>
      </w:r>
      <w:r>
        <w:rPr>
          <w:rFonts w:hint="eastAsia" w:ascii="宋体" w:hAnsi="宋体"/>
          <w:sz w:val="24"/>
        </w:rPr>
        <w:t>5</w:t>
      </w:r>
      <w:r>
        <w:rPr>
          <w:rFonts w:ascii="宋体" w:hAnsi="宋体"/>
          <w:sz w:val="24"/>
        </w:rPr>
        <w:t>.2</w:t>
      </w:r>
      <w:r>
        <w:rPr>
          <w:rFonts w:ascii="宋体" w:hAnsi="宋体"/>
          <w:sz w:val="24"/>
        </w:rPr>
        <w:tab/>
      </w:r>
      <w:r>
        <w:rPr>
          <w:rFonts w:hint="eastAsia" w:ascii="宋体" w:hAnsi="宋体"/>
          <w:sz w:val="24"/>
        </w:rPr>
        <w:t>投标保证金是为了保护招标采购单位免遭因投标人的行为蒙受损失而要求的。</w:t>
      </w:r>
    </w:p>
    <w:p>
      <w:pPr>
        <w:spacing w:before="120" w:line="360" w:lineRule="auto"/>
        <w:ind w:left="360" w:firstLine="540"/>
        <w:rPr>
          <w:rFonts w:ascii="宋体" w:hAnsi="宋体"/>
          <w:sz w:val="24"/>
        </w:rPr>
      </w:pPr>
      <w:r>
        <w:rPr>
          <w:rFonts w:hint="eastAsia" w:ascii="宋体" w:hAnsi="宋体"/>
          <w:sz w:val="24"/>
        </w:rPr>
        <w:t>下列任何情况发生，投标保证金将被没收：</w:t>
      </w:r>
    </w:p>
    <w:p>
      <w:pPr>
        <w:pStyle w:val="19"/>
        <w:tabs>
          <w:tab w:val="left" w:pos="2240"/>
        </w:tabs>
        <w:spacing w:line="360" w:lineRule="auto"/>
        <w:ind w:left="-2" w:firstLine="900"/>
        <w:rPr>
          <w:rFonts w:hAnsi="宋体"/>
          <w:sz w:val="24"/>
        </w:rPr>
      </w:pPr>
      <w:r>
        <w:rPr>
          <w:rFonts w:hint="eastAsia" w:hAnsi="宋体"/>
          <w:sz w:val="24"/>
        </w:rPr>
        <w:t>（1）在开标之日后到投标有效期满前，投标人擅自撤回投标的；</w:t>
      </w:r>
    </w:p>
    <w:p>
      <w:pPr>
        <w:pStyle w:val="19"/>
        <w:tabs>
          <w:tab w:val="left" w:pos="2240"/>
        </w:tabs>
        <w:spacing w:line="360" w:lineRule="auto"/>
        <w:ind w:left="-2" w:firstLine="900"/>
        <w:rPr>
          <w:rFonts w:hAnsi="宋体"/>
          <w:sz w:val="24"/>
        </w:rPr>
      </w:pPr>
      <w:r>
        <w:rPr>
          <w:rFonts w:hint="eastAsia" w:hAnsi="宋体"/>
          <w:sz w:val="24"/>
        </w:rPr>
        <w:t>（2）中标人不按本须知第二十七条的规定与买方签订合同的；</w:t>
      </w:r>
    </w:p>
    <w:p>
      <w:pPr>
        <w:pStyle w:val="19"/>
        <w:tabs>
          <w:tab w:val="left" w:pos="2240"/>
        </w:tabs>
        <w:spacing w:line="360" w:lineRule="auto"/>
        <w:ind w:left="-2" w:firstLine="900"/>
        <w:rPr>
          <w:rFonts w:hAnsi="宋体"/>
          <w:sz w:val="24"/>
        </w:rPr>
      </w:pPr>
      <w:r>
        <w:rPr>
          <w:rFonts w:hint="eastAsia" w:hAnsi="宋体"/>
          <w:sz w:val="24"/>
        </w:rPr>
        <w:t>（3）中标人不按本须知第二十八条的规定提交履约保证金的；</w:t>
      </w:r>
    </w:p>
    <w:p>
      <w:pPr>
        <w:pStyle w:val="19"/>
        <w:tabs>
          <w:tab w:val="left" w:pos="2240"/>
        </w:tabs>
        <w:spacing w:line="360" w:lineRule="auto"/>
        <w:ind w:left="-2" w:firstLine="900"/>
        <w:rPr>
          <w:rFonts w:hAnsi="宋体"/>
          <w:sz w:val="24"/>
        </w:rPr>
      </w:pPr>
      <w:r>
        <w:rPr>
          <w:rFonts w:hint="eastAsia" w:hAnsi="宋体"/>
          <w:sz w:val="24"/>
        </w:rPr>
        <w:t>（4）中标人不按本须知第三十条的规定提交中标服务费的；</w:t>
      </w:r>
    </w:p>
    <w:p>
      <w:pPr>
        <w:spacing w:before="120" w:line="360" w:lineRule="auto"/>
        <w:rPr>
          <w:rFonts w:ascii="宋体" w:hAnsi="宋体"/>
          <w:sz w:val="24"/>
        </w:rPr>
      </w:pPr>
      <w:bookmarkStart w:id="16" w:name="_Ref467306336"/>
      <w:r>
        <w:rPr>
          <w:rFonts w:hint="eastAsia" w:ascii="宋体" w:hAnsi="宋体"/>
          <w:sz w:val="24"/>
        </w:rPr>
        <w:t>15.3</w:t>
      </w:r>
      <w:r>
        <w:rPr>
          <w:rFonts w:hint="eastAsia" w:ascii="宋体" w:hAnsi="宋体"/>
          <w:sz w:val="24"/>
        </w:rPr>
        <w:tab/>
      </w:r>
      <w:r>
        <w:rPr>
          <w:rFonts w:hint="eastAsia" w:ascii="宋体" w:hAnsi="宋体"/>
          <w:sz w:val="24"/>
        </w:rPr>
        <w:t>投标保证金采用下列形式支付：</w:t>
      </w:r>
      <w:bookmarkEnd w:id="16"/>
    </w:p>
    <w:p>
      <w:pPr>
        <w:spacing w:before="120" w:line="360" w:lineRule="auto"/>
        <w:ind w:left="680" w:firstLine="218"/>
        <w:rPr>
          <w:rFonts w:ascii="宋体" w:hAnsi="宋体"/>
          <w:sz w:val="24"/>
        </w:rPr>
      </w:pPr>
      <w:r>
        <w:rPr>
          <w:rFonts w:hint="eastAsia" w:ascii="宋体" w:hAnsi="宋体"/>
          <w:sz w:val="24"/>
        </w:rPr>
        <w:t>详见第二部分投标人须知前附表</w:t>
      </w:r>
    </w:p>
    <w:p>
      <w:pPr>
        <w:spacing w:before="120" w:line="360" w:lineRule="auto"/>
        <w:ind w:left="900" w:hanging="900"/>
        <w:rPr>
          <w:rFonts w:ascii="宋体" w:hAnsi="宋体"/>
          <w:sz w:val="24"/>
        </w:rPr>
      </w:pPr>
      <w:r>
        <w:rPr>
          <w:rFonts w:hint="eastAsia" w:ascii="宋体" w:hAnsi="宋体"/>
          <w:sz w:val="24"/>
        </w:rPr>
        <w:t>15.4</w:t>
      </w:r>
      <w:r>
        <w:rPr>
          <w:rFonts w:hint="eastAsia" w:ascii="宋体" w:hAnsi="宋体"/>
          <w:sz w:val="24"/>
        </w:rPr>
        <w:tab/>
      </w:r>
      <w:r>
        <w:rPr>
          <w:rFonts w:hint="eastAsia" w:ascii="宋体" w:hAnsi="宋体"/>
          <w:sz w:val="24"/>
        </w:rPr>
        <w:t>凡没有根据本须知15</w:t>
      </w:r>
      <w:r>
        <w:rPr>
          <w:rFonts w:ascii="宋体" w:hAnsi="宋体"/>
          <w:sz w:val="24"/>
        </w:rPr>
        <w:t>.1</w:t>
      </w:r>
      <w:r>
        <w:rPr>
          <w:rFonts w:hint="eastAsia" w:ascii="宋体" w:hAnsi="宋体"/>
          <w:sz w:val="24"/>
        </w:rPr>
        <w:t>和第</w:t>
      </w:r>
      <w:r>
        <w:rPr>
          <w:rFonts w:ascii="宋体" w:hAnsi="宋体"/>
          <w:sz w:val="24"/>
        </w:rPr>
        <w:t>1</w:t>
      </w:r>
      <w:r>
        <w:rPr>
          <w:rFonts w:hint="eastAsia" w:ascii="宋体" w:hAnsi="宋体"/>
          <w:sz w:val="24"/>
        </w:rPr>
        <w:t>5</w:t>
      </w:r>
      <w:r>
        <w:rPr>
          <w:rFonts w:ascii="宋体" w:hAnsi="宋体"/>
          <w:sz w:val="24"/>
        </w:rPr>
        <w:t>.3</w:t>
      </w:r>
      <w:r>
        <w:rPr>
          <w:rFonts w:hint="eastAsia" w:ascii="宋体" w:hAnsi="宋体"/>
          <w:sz w:val="24"/>
        </w:rPr>
        <w:t>条的规定，随附投标保证金的投标，将被视为非响应性投标而予以拒绝。</w:t>
      </w:r>
    </w:p>
    <w:p>
      <w:pPr>
        <w:spacing w:before="120" w:line="360" w:lineRule="auto"/>
        <w:ind w:left="900" w:hanging="900"/>
        <w:rPr>
          <w:rFonts w:ascii="宋体" w:hAnsi="宋体"/>
          <w:sz w:val="24"/>
        </w:rPr>
      </w:pPr>
      <w:r>
        <w:rPr>
          <w:rFonts w:hint="eastAsia" w:ascii="宋体" w:hAnsi="宋体"/>
          <w:sz w:val="24"/>
        </w:rPr>
        <w:t>15.5</w:t>
      </w:r>
      <w:r>
        <w:rPr>
          <w:rFonts w:hint="eastAsia" w:ascii="宋体" w:hAnsi="宋体"/>
          <w:sz w:val="24"/>
        </w:rPr>
        <w:tab/>
      </w:r>
      <w:r>
        <w:rPr>
          <w:rFonts w:hint="eastAsia" w:ascii="宋体" w:hAnsi="宋体"/>
          <w:sz w:val="24"/>
        </w:rPr>
        <w:t>中标人的投标保证金，在与买方签订合同、提交履约保证金（如需）并向招标代理机构交纳了中标服务费后5个工作日内办理无息退还手续。未中标的投标人的投标保证金将于中标通知书发出之日起5个工作日内无息退还投标人。</w:t>
      </w:r>
    </w:p>
    <w:p>
      <w:pPr>
        <w:spacing w:before="120" w:line="360" w:lineRule="auto"/>
        <w:ind w:left="900" w:hanging="900" w:hangingChars="375"/>
        <w:rPr>
          <w:rFonts w:ascii="宋体" w:hAnsi="宋体"/>
          <w:sz w:val="24"/>
        </w:rPr>
      </w:pPr>
    </w:p>
    <w:p>
      <w:pPr>
        <w:spacing w:line="360" w:lineRule="auto"/>
        <w:rPr>
          <w:rFonts w:ascii="宋体" w:hAnsi="宋体"/>
          <w:b/>
          <w:sz w:val="24"/>
        </w:rPr>
      </w:pPr>
      <w:bookmarkStart w:id="17" w:name="_Toc162409858"/>
      <w:bookmarkStart w:id="18" w:name="_Toc162409998"/>
      <w:r>
        <w:rPr>
          <w:rFonts w:hint="eastAsia" w:ascii="宋体" w:hAnsi="宋体"/>
          <w:b/>
          <w:sz w:val="24"/>
        </w:rPr>
        <w:t>十六、</w:t>
      </w:r>
      <w:r>
        <w:rPr>
          <w:rFonts w:ascii="宋体" w:hAnsi="宋体"/>
          <w:b/>
          <w:sz w:val="24"/>
        </w:rPr>
        <w:t>开标时间及地点</w:t>
      </w:r>
      <w:bookmarkEnd w:id="17"/>
      <w:bookmarkEnd w:id="18"/>
    </w:p>
    <w:p>
      <w:pPr>
        <w:pStyle w:val="20"/>
        <w:spacing w:line="360" w:lineRule="auto"/>
        <w:ind w:left="420" w:hanging="420" w:hangingChars="200"/>
        <w:rPr>
          <w:rFonts w:ascii="宋体" w:hAnsi="宋体"/>
          <w:sz w:val="24"/>
          <w:szCs w:val="24"/>
        </w:rPr>
      </w:pPr>
      <w:r>
        <w:rPr>
          <w:rFonts w:ascii="Arial" w:hAnsi="Arial" w:cs="Arial"/>
        </w:rPr>
        <w:t>1、</w:t>
      </w:r>
      <w:r>
        <w:rPr>
          <w:rFonts w:ascii="宋体" w:hAnsi="宋体"/>
          <w:sz w:val="24"/>
          <w:szCs w:val="24"/>
        </w:rPr>
        <w:t>本招标项目的开标将在本须知规定的提交投标文件截止时间和地点的同一时间和地点公开进行。</w:t>
      </w:r>
    </w:p>
    <w:p>
      <w:pPr>
        <w:pStyle w:val="20"/>
        <w:spacing w:line="360" w:lineRule="auto"/>
        <w:ind w:left="360" w:hanging="360" w:hangingChars="150"/>
        <w:rPr>
          <w:rFonts w:ascii="宋体" w:hAnsi="宋体"/>
          <w:sz w:val="24"/>
          <w:szCs w:val="24"/>
        </w:rPr>
      </w:pPr>
      <w:r>
        <w:rPr>
          <w:rFonts w:ascii="宋体" w:hAnsi="宋体"/>
          <w:sz w:val="24"/>
          <w:szCs w:val="24"/>
        </w:rPr>
        <w:t>2、采购人邀请所有投标人按前款规定的时间和地点参加开标会，投标人法定代表人或其委托代理人应当按时出席开标会。</w:t>
      </w:r>
    </w:p>
    <w:p>
      <w:pPr>
        <w:pStyle w:val="20"/>
        <w:spacing w:line="360" w:lineRule="auto"/>
        <w:ind w:left="1529" w:leftChars="168" w:hanging="1176" w:hangingChars="490"/>
        <w:rPr>
          <w:rFonts w:ascii="宋体" w:hAnsi="宋体"/>
          <w:sz w:val="24"/>
          <w:szCs w:val="24"/>
        </w:rPr>
      </w:pPr>
      <w:r>
        <w:rPr>
          <w:rFonts w:ascii="宋体" w:hAnsi="宋体"/>
          <w:sz w:val="24"/>
          <w:szCs w:val="24"/>
        </w:rPr>
        <w:t>特别提醒：参加开标会的投标人法定代表人或其委托代理人应随身携带、提交法</w:t>
      </w:r>
    </w:p>
    <w:p>
      <w:pPr>
        <w:pStyle w:val="20"/>
        <w:spacing w:line="360" w:lineRule="auto"/>
        <w:ind w:left="1529" w:leftChars="168" w:hanging="1176" w:hangingChars="490"/>
        <w:rPr>
          <w:rFonts w:ascii="宋体" w:hAnsi="宋体"/>
          <w:sz w:val="24"/>
          <w:szCs w:val="24"/>
        </w:rPr>
      </w:pPr>
      <w:r>
        <w:rPr>
          <w:rFonts w:ascii="宋体" w:hAnsi="宋体"/>
          <w:sz w:val="24"/>
          <w:szCs w:val="24"/>
        </w:rPr>
        <w:t>定代表人身份证明文件或法定代表人授权委托书以及本人身份证原件及复印件，</w:t>
      </w:r>
    </w:p>
    <w:p>
      <w:pPr>
        <w:pStyle w:val="20"/>
        <w:spacing w:line="360" w:lineRule="auto"/>
        <w:ind w:left="1529" w:leftChars="168" w:hanging="1176" w:hangingChars="490"/>
        <w:rPr>
          <w:rFonts w:ascii="Arial" w:hAnsi="Arial" w:cs="Arial"/>
        </w:rPr>
      </w:pPr>
      <w:r>
        <w:rPr>
          <w:rFonts w:ascii="宋体" w:hAnsi="宋体"/>
          <w:sz w:val="24"/>
          <w:szCs w:val="24"/>
        </w:rPr>
        <w:t>并签名报到以证明其出席。</w:t>
      </w:r>
    </w:p>
    <w:p>
      <w:pPr>
        <w:spacing w:line="360" w:lineRule="auto"/>
        <w:rPr>
          <w:rFonts w:ascii="宋体" w:hAnsi="宋体"/>
          <w:b/>
          <w:sz w:val="24"/>
        </w:rPr>
      </w:pPr>
      <w:r>
        <w:rPr>
          <w:rFonts w:hint="eastAsia" w:ascii="宋体" w:hAnsi="宋体"/>
          <w:b/>
          <w:sz w:val="24"/>
        </w:rPr>
        <w:t>十七、</w:t>
      </w:r>
      <w:r>
        <w:rPr>
          <w:rFonts w:ascii="宋体" w:hAnsi="宋体"/>
          <w:b/>
          <w:sz w:val="24"/>
        </w:rPr>
        <w:t>开标</w:t>
      </w:r>
    </w:p>
    <w:p>
      <w:pPr>
        <w:spacing w:line="360" w:lineRule="auto"/>
        <w:rPr>
          <w:rFonts w:ascii="宋体" w:hAnsi="宋体" w:cs="宋体"/>
          <w:sz w:val="24"/>
        </w:rPr>
      </w:pPr>
      <w:r>
        <w:rPr>
          <w:rFonts w:hint="eastAsia" w:ascii="宋体" w:hAnsi="宋体" w:cs="宋体"/>
          <w:sz w:val="24"/>
        </w:rPr>
        <w:t>1、采购代理机构应当按招标公告或投标邀请书的规定，在投标截止时间的同一时间和预先确定的地点组织公开开标。所有投标人应派被授权人参加。</w:t>
      </w:r>
    </w:p>
    <w:p>
      <w:pPr>
        <w:spacing w:line="360" w:lineRule="auto"/>
        <w:ind w:left="902" w:hanging="902"/>
        <w:rPr>
          <w:rFonts w:ascii="宋体" w:hAnsi="宋体" w:cs="宋体"/>
          <w:sz w:val="24"/>
        </w:rPr>
      </w:pPr>
      <w:r>
        <w:rPr>
          <w:rFonts w:hint="eastAsia" w:ascii="宋体" w:hAnsi="宋体" w:cs="宋体"/>
          <w:sz w:val="24"/>
        </w:rPr>
        <w:t>2、开标时，由监标人或投标人代表检查投标文件的密封情况。</w:t>
      </w:r>
    </w:p>
    <w:p>
      <w:pPr>
        <w:spacing w:line="360" w:lineRule="auto"/>
        <w:ind w:left="902" w:hanging="902"/>
        <w:rPr>
          <w:rFonts w:ascii="宋体" w:hAnsi="宋体" w:cs="宋体"/>
          <w:sz w:val="24"/>
        </w:rPr>
      </w:pPr>
      <w:r>
        <w:rPr>
          <w:rFonts w:hint="eastAsia" w:ascii="宋体" w:hAnsi="宋体" w:cs="宋体"/>
          <w:sz w:val="24"/>
        </w:rPr>
        <w:t>3、开标时，采购代理机构当众宣读报价一览表中全部内容。对于投标人在投标截止</w:t>
      </w:r>
    </w:p>
    <w:p>
      <w:pPr>
        <w:spacing w:line="360" w:lineRule="auto"/>
        <w:ind w:left="902" w:hanging="902"/>
        <w:rPr>
          <w:rFonts w:ascii="宋体" w:hAnsi="宋体" w:cs="宋体"/>
          <w:sz w:val="24"/>
        </w:rPr>
      </w:pPr>
      <w:r>
        <w:rPr>
          <w:rFonts w:hint="eastAsia" w:ascii="宋体" w:hAnsi="宋体" w:cs="宋体"/>
          <w:sz w:val="24"/>
        </w:rPr>
        <w:t>期前递交的投标声明，在开标时当众宣读，评标时有效。</w:t>
      </w:r>
    </w:p>
    <w:p>
      <w:pPr>
        <w:spacing w:line="360" w:lineRule="auto"/>
        <w:rPr>
          <w:rFonts w:ascii="宋体" w:hAnsi="宋体" w:cs="宋体"/>
          <w:sz w:val="24"/>
        </w:rPr>
      </w:pPr>
      <w:r>
        <w:rPr>
          <w:rFonts w:hint="eastAsia" w:ascii="宋体" w:hAnsi="宋体" w:cs="宋体"/>
          <w:sz w:val="24"/>
        </w:rPr>
        <w:t>4、采购代理机构将对唱标内容做开标记录，由监标人或采购代理机构或投标人代表签字确认。</w:t>
      </w:r>
    </w:p>
    <w:p>
      <w:pPr>
        <w:spacing w:line="360" w:lineRule="auto"/>
        <w:rPr>
          <w:rFonts w:ascii="宋体" w:hAnsi="宋体"/>
          <w:b/>
          <w:sz w:val="24"/>
        </w:rPr>
      </w:pPr>
      <w:r>
        <w:rPr>
          <w:rFonts w:hint="eastAsia" w:ascii="宋体" w:hAnsi="宋体"/>
          <w:b/>
          <w:sz w:val="24"/>
        </w:rPr>
        <w:t>十八、</w:t>
      </w:r>
      <w:bookmarkStart w:id="19" w:name="_Toc162409860"/>
      <w:bookmarkStart w:id="20" w:name="_Toc162410000"/>
      <w:r>
        <w:rPr>
          <w:rFonts w:ascii="宋体" w:hAnsi="宋体"/>
          <w:b/>
          <w:sz w:val="24"/>
        </w:rPr>
        <w:t>当场拒绝的投标</w:t>
      </w:r>
      <w:bookmarkEnd w:id="19"/>
      <w:bookmarkEnd w:id="20"/>
    </w:p>
    <w:p>
      <w:pPr>
        <w:pStyle w:val="20"/>
        <w:spacing w:line="360" w:lineRule="auto"/>
        <w:ind w:left="360" w:hanging="360" w:hangingChars="150"/>
        <w:rPr>
          <w:rFonts w:ascii="Arial" w:hAnsi="Arial" w:cs="Arial"/>
          <w:sz w:val="24"/>
          <w:szCs w:val="24"/>
        </w:rPr>
      </w:pPr>
      <w:r>
        <w:rPr>
          <w:rFonts w:ascii="Arial" w:hAnsi="Arial" w:cs="Arial"/>
          <w:sz w:val="24"/>
          <w:szCs w:val="24"/>
        </w:rPr>
        <w:t>1、投标文件有下列情形之一的，招标代理机构将当场予以拒绝，不再对其进行开标和后续评标，并原封退还投标人。</w:t>
      </w:r>
    </w:p>
    <w:p>
      <w:pPr>
        <w:pStyle w:val="20"/>
        <w:spacing w:line="360" w:lineRule="auto"/>
        <w:ind w:firstLine="360" w:firstLineChars="150"/>
        <w:rPr>
          <w:rFonts w:ascii="Arial" w:hAnsi="Arial" w:cs="Arial"/>
          <w:sz w:val="24"/>
          <w:szCs w:val="24"/>
        </w:rPr>
      </w:pPr>
      <w:r>
        <w:rPr>
          <w:rFonts w:hint="eastAsia" w:ascii="Arial" w:hAnsi="Arial" w:cs="Arial"/>
          <w:sz w:val="24"/>
          <w:szCs w:val="24"/>
        </w:rPr>
        <w:t xml:space="preserve">1.1 </w:t>
      </w:r>
      <w:r>
        <w:rPr>
          <w:rFonts w:ascii="Arial" w:hAnsi="Arial" w:cs="Arial"/>
          <w:sz w:val="24"/>
          <w:szCs w:val="24"/>
        </w:rPr>
        <w:t>投标文件逾期送达的或者未送达指定地点的；</w:t>
      </w:r>
    </w:p>
    <w:p>
      <w:pPr>
        <w:pStyle w:val="20"/>
        <w:spacing w:line="360" w:lineRule="auto"/>
        <w:ind w:firstLine="360" w:firstLineChars="150"/>
        <w:rPr>
          <w:rFonts w:ascii="Arial" w:hAnsi="Arial" w:cs="Arial"/>
        </w:rPr>
      </w:pPr>
      <w:r>
        <w:rPr>
          <w:rFonts w:ascii="Arial" w:hAnsi="Arial" w:cs="Arial"/>
          <w:sz w:val="24"/>
          <w:szCs w:val="24"/>
        </w:rPr>
        <w:t>1.2 投标文件未按招标文件投标须知第十五条要求密封的。</w:t>
      </w:r>
    </w:p>
    <w:p>
      <w:pPr>
        <w:spacing w:line="360" w:lineRule="auto"/>
        <w:rPr>
          <w:rFonts w:ascii="宋体" w:hAnsi="宋体"/>
          <w:b/>
          <w:sz w:val="24"/>
        </w:rPr>
      </w:pPr>
      <w:r>
        <w:rPr>
          <w:rFonts w:hint="eastAsia" w:ascii="宋体" w:hAnsi="宋体"/>
          <w:b/>
          <w:sz w:val="24"/>
        </w:rPr>
        <w:t>十九、评标委员会及评标办法</w:t>
      </w:r>
    </w:p>
    <w:p>
      <w:pPr>
        <w:spacing w:line="360" w:lineRule="auto"/>
        <w:ind w:left="902" w:hanging="902"/>
        <w:rPr>
          <w:rFonts w:ascii="宋体" w:hAnsi="宋体"/>
          <w:sz w:val="24"/>
        </w:rPr>
      </w:pPr>
      <w:r>
        <w:rPr>
          <w:rFonts w:hint="eastAsia" w:ascii="宋体" w:hAnsi="宋体"/>
          <w:sz w:val="24"/>
        </w:rPr>
        <w:t>1、评标委员会根据招标采购服务的特点按照有关规定依法组建，并负责评标工作。</w:t>
      </w:r>
    </w:p>
    <w:p>
      <w:pPr>
        <w:spacing w:line="360" w:lineRule="auto"/>
        <w:ind w:left="426" w:hanging="426"/>
        <w:rPr>
          <w:rFonts w:ascii="宋体" w:hAnsi="宋体"/>
          <w:sz w:val="24"/>
        </w:rPr>
      </w:pPr>
      <w:r>
        <w:rPr>
          <w:rFonts w:hint="eastAsia" w:ascii="宋体" w:hAnsi="宋体"/>
          <w:sz w:val="24"/>
        </w:rPr>
        <w:t>2、评标委员会将按照招标文件中规定采用综合评分法进行评标：综合评分法，指在最大限度地满足招标文件实质性要求的前提下，按照招标文件中规定的各项因素进行综合评审后，以评标总得分最高的投标人作为中标候选供应商或中标供应商的评标方法。</w:t>
      </w:r>
    </w:p>
    <w:p>
      <w:pPr>
        <w:spacing w:line="360" w:lineRule="auto"/>
        <w:rPr>
          <w:rFonts w:ascii="宋体" w:hAnsi="宋体"/>
          <w:b/>
          <w:sz w:val="24"/>
        </w:rPr>
      </w:pPr>
      <w:bookmarkStart w:id="21" w:name="_Toc323311216"/>
      <w:bookmarkStart w:id="22" w:name="_Toc520356165"/>
      <w:r>
        <w:rPr>
          <w:rFonts w:hint="eastAsia" w:ascii="宋体" w:hAnsi="宋体"/>
          <w:b/>
          <w:sz w:val="24"/>
        </w:rPr>
        <w:t>二十、投标文件的初审与澄清</w:t>
      </w:r>
      <w:bookmarkEnd w:id="21"/>
    </w:p>
    <w:p>
      <w:pPr>
        <w:spacing w:line="360" w:lineRule="auto"/>
        <w:ind w:left="900" w:hanging="900" w:hangingChars="375"/>
        <w:rPr>
          <w:rFonts w:ascii="宋体" w:hAnsi="宋体"/>
          <w:sz w:val="24"/>
        </w:rPr>
      </w:pPr>
      <w:r>
        <w:rPr>
          <w:rFonts w:hint="eastAsia" w:ascii="宋体" w:hAnsi="宋体"/>
          <w:sz w:val="24"/>
        </w:rPr>
        <w:t>20.</w:t>
      </w:r>
      <w:r>
        <w:rPr>
          <w:rFonts w:ascii="宋体" w:hAnsi="宋体"/>
          <w:sz w:val="24"/>
        </w:rPr>
        <w:t>1</w:t>
      </w:r>
      <w:r>
        <w:rPr>
          <w:rFonts w:ascii="宋体" w:hAnsi="宋体"/>
          <w:sz w:val="24"/>
        </w:rPr>
        <w:tab/>
      </w:r>
      <w:r>
        <w:rPr>
          <w:rFonts w:hint="eastAsia" w:ascii="宋体" w:hAnsi="宋体"/>
          <w:sz w:val="24"/>
        </w:rPr>
        <w:t>投标文件的初审分为资格性检查和符合性检查。</w:t>
      </w:r>
    </w:p>
    <w:p>
      <w:pPr>
        <w:spacing w:line="360" w:lineRule="auto"/>
        <w:ind w:left="900" w:hanging="900" w:hangingChars="375"/>
        <w:rPr>
          <w:rFonts w:ascii="宋体" w:hAnsi="宋体"/>
          <w:sz w:val="24"/>
        </w:rPr>
      </w:pPr>
      <w:r>
        <w:rPr>
          <w:rFonts w:hint="eastAsia" w:ascii="宋体" w:hAnsi="宋体"/>
          <w:sz w:val="24"/>
        </w:rPr>
        <w:t>20.1.1  资格性检查指依据法律法规和招标文件的规定，对投标文件中的资格证明、投标保证金等进行审查，以确定投标人是否具备投标资格。</w:t>
      </w:r>
    </w:p>
    <w:p>
      <w:pPr>
        <w:spacing w:line="360" w:lineRule="auto"/>
        <w:ind w:left="900" w:hanging="900" w:hangingChars="375"/>
        <w:rPr>
          <w:rFonts w:ascii="宋体" w:hAnsi="宋体"/>
          <w:sz w:val="24"/>
        </w:rPr>
      </w:pPr>
      <w:r>
        <w:rPr>
          <w:rFonts w:hint="eastAsia" w:ascii="宋体" w:hAnsi="宋体"/>
          <w:sz w:val="24"/>
        </w:rPr>
        <w:t>20.1.2  符合性检查依据招标文件的规定，从投标文件的有效性、完整性和对招标文件的响应程度进行审查，以确定是否对招标文件的实质性要求做出响应。</w:t>
      </w:r>
    </w:p>
    <w:p>
      <w:pPr>
        <w:spacing w:line="360" w:lineRule="auto"/>
        <w:ind w:left="900" w:hanging="900" w:hangingChars="375"/>
        <w:rPr>
          <w:rFonts w:ascii="宋体" w:hAnsi="宋体"/>
          <w:sz w:val="24"/>
        </w:rPr>
      </w:pPr>
      <w:r>
        <w:rPr>
          <w:rFonts w:hint="eastAsia" w:ascii="宋体" w:hAnsi="宋体"/>
          <w:sz w:val="24"/>
        </w:rPr>
        <w:t>20.2</w:t>
      </w:r>
      <w:r>
        <w:rPr>
          <w:rFonts w:hint="eastAsia" w:ascii="宋体" w:hAnsi="宋体"/>
          <w:sz w:val="24"/>
        </w:rPr>
        <w:tab/>
      </w:r>
      <w:r>
        <w:rPr>
          <w:rFonts w:hint="eastAsia" w:ascii="宋体" w:hAnsi="宋体"/>
          <w:sz w:val="24"/>
        </w:rPr>
        <w:t>投标文件的澄清。</w:t>
      </w:r>
    </w:p>
    <w:p>
      <w:pPr>
        <w:spacing w:line="360" w:lineRule="auto"/>
        <w:ind w:left="900" w:hanging="900" w:hangingChars="375"/>
        <w:rPr>
          <w:rFonts w:ascii="宋体" w:hAnsi="宋体"/>
          <w:sz w:val="24"/>
        </w:rPr>
      </w:pPr>
      <w:r>
        <w:rPr>
          <w:rFonts w:hint="eastAsia" w:ascii="宋体" w:hAnsi="宋体"/>
          <w:sz w:val="24"/>
        </w:rPr>
        <w:t>20.2.1  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w:t>
      </w:r>
    </w:p>
    <w:p>
      <w:pPr>
        <w:spacing w:line="360" w:lineRule="auto"/>
        <w:ind w:left="900" w:hanging="900" w:hangingChars="375"/>
        <w:rPr>
          <w:rFonts w:ascii="宋体" w:hAnsi="宋体"/>
          <w:sz w:val="24"/>
        </w:rPr>
      </w:pPr>
      <w:r>
        <w:rPr>
          <w:rFonts w:hint="eastAsia" w:ascii="宋体" w:hAnsi="宋体"/>
          <w:sz w:val="24"/>
        </w:rPr>
        <w:t>20.2.2  澄清文件将作为投标文件的一部分。</w:t>
      </w:r>
    </w:p>
    <w:p>
      <w:pPr>
        <w:spacing w:line="360" w:lineRule="auto"/>
        <w:ind w:left="900" w:hanging="900" w:hangingChars="375"/>
        <w:rPr>
          <w:rFonts w:ascii="宋体" w:hAnsi="宋体"/>
          <w:sz w:val="24"/>
        </w:rPr>
      </w:pPr>
      <w:r>
        <w:rPr>
          <w:rFonts w:hint="eastAsia" w:ascii="宋体" w:hAnsi="宋体"/>
          <w:sz w:val="24"/>
        </w:rPr>
        <w:t>20.2.3  算术错误及文字歧义将按以下方法更正：投标文件中“报价一览表”（报价表）内容与投标文件中明细表内容不一致的，以“报价一览表”（报价表）为准；投标文件的大写金额和小写金额不一致的，以大写金额为准；总价金额与按单价汇总金额不一致，以单价金额计算结果为准；单价金额小数点有明显错位的，应以总价为准，并修改单价；对不同文字文本投标文件的解释发生异议的，以中文文本为准。</w:t>
      </w:r>
    </w:p>
    <w:p>
      <w:pPr>
        <w:spacing w:line="360" w:lineRule="auto"/>
        <w:rPr>
          <w:rFonts w:ascii="宋体" w:hAnsi="宋体"/>
          <w:sz w:val="24"/>
        </w:rPr>
      </w:pPr>
      <w:r>
        <w:rPr>
          <w:rFonts w:hint="eastAsia" w:ascii="宋体" w:hAnsi="宋体"/>
          <w:sz w:val="24"/>
        </w:rPr>
        <w:t>20</w:t>
      </w:r>
      <w:r>
        <w:rPr>
          <w:rFonts w:hint="eastAsia" w:ascii="宋体" w:hAnsi="宋体"/>
          <w:sz w:val="24"/>
          <w:shd w:val="clear" w:color="auto" w:fill="FFFFFF"/>
        </w:rPr>
        <w:t>.2.4 如果投标人不接受对其错误和歧义的更改，其投标将作为无效投标被拒绝。</w:t>
      </w:r>
      <w:bookmarkEnd w:id="22"/>
    </w:p>
    <w:p>
      <w:pPr>
        <w:spacing w:line="360" w:lineRule="auto"/>
        <w:rPr>
          <w:rFonts w:ascii="宋体" w:hAnsi="宋体"/>
          <w:b/>
          <w:sz w:val="24"/>
        </w:rPr>
      </w:pPr>
      <w:bookmarkStart w:id="23" w:name="_Toc162409850"/>
      <w:bookmarkStart w:id="24" w:name="_Toc162409990"/>
      <w:r>
        <w:rPr>
          <w:rFonts w:hint="eastAsia" w:ascii="宋体" w:hAnsi="宋体"/>
          <w:b/>
          <w:sz w:val="24"/>
        </w:rPr>
        <w:t>二十一、</w:t>
      </w:r>
      <w:bookmarkEnd w:id="23"/>
      <w:bookmarkEnd w:id="24"/>
      <w:r>
        <w:rPr>
          <w:rFonts w:hint="eastAsia" w:ascii="宋体" w:hAnsi="宋体"/>
          <w:b/>
          <w:sz w:val="24"/>
        </w:rPr>
        <w:t>投标偏离与非实质性响应</w:t>
      </w:r>
    </w:p>
    <w:p>
      <w:pPr>
        <w:spacing w:line="360" w:lineRule="auto"/>
        <w:ind w:left="360" w:hanging="360" w:hangingChars="150"/>
        <w:rPr>
          <w:rFonts w:ascii="宋体" w:hAnsi="宋体"/>
          <w:sz w:val="24"/>
        </w:rPr>
      </w:pPr>
      <w:r>
        <w:rPr>
          <w:rFonts w:hint="eastAsia" w:ascii="宋体" w:hAnsi="宋体"/>
          <w:sz w:val="24"/>
        </w:rPr>
        <w:t>1、对于投标文件中不构成实质性偏差的不正规、不一致或不规则，评标委员会可以接受，但这种接受不能损坏或影响任何投标人的相对排序。</w:t>
      </w:r>
    </w:p>
    <w:p>
      <w:pPr>
        <w:spacing w:line="360" w:lineRule="auto"/>
        <w:ind w:left="360" w:hanging="360" w:hangingChars="150"/>
        <w:rPr>
          <w:rFonts w:ascii="宋体" w:hAnsi="宋体"/>
          <w:sz w:val="24"/>
        </w:rPr>
      </w:pPr>
      <w:r>
        <w:rPr>
          <w:rFonts w:hint="eastAsia" w:ascii="宋体" w:hAnsi="宋体"/>
          <w:sz w:val="24"/>
        </w:rPr>
        <w:t>2、在比较与评价之前，根据本须知的规定，评标委员会要审查每份投标文件是否实质上响应了招标文件的要求。实质上响应的投标应该是与招标文件要求的全部条款、条件和规格相符，没有重大偏离的投标。</w:t>
      </w:r>
      <w:r>
        <w:rPr>
          <w:rFonts w:hint="eastAsia" w:ascii="宋体" w:hAnsi="宋体"/>
          <w:b/>
          <w:i/>
          <w:sz w:val="24"/>
        </w:rPr>
        <w:t>对关键条款，例如关于投标保证金、投标有效期、适用法律等内容及招标文件中带有“应、应当、须、必须、不得”等字样的条款的偏离、保留和反对，将被认为是实质上的偏离。</w:t>
      </w:r>
      <w:r>
        <w:rPr>
          <w:rFonts w:hint="eastAsia" w:ascii="宋体" w:hAnsi="宋体"/>
          <w:sz w:val="24"/>
        </w:rPr>
        <w:t>评标委员会决定投标的响应性只根据投标文件本身的内容，而不寻求外部的证据。</w:t>
      </w:r>
    </w:p>
    <w:p>
      <w:pPr>
        <w:spacing w:line="360" w:lineRule="auto"/>
        <w:ind w:left="360" w:hanging="360" w:hangingChars="150"/>
        <w:rPr>
          <w:rFonts w:ascii="宋体" w:hAnsi="宋体"/>
          <w:sz w:val="24"/>
        </w:rPr>
      </w:pPr>
      <w:r>
        <w:rPr>
          <w:rFonts w:hint="eastAsia" w:ascii="宋体" w:hAnsi="宋体"/>
          <w:sz w:val="24"/>
        </w:rPr>
        <w:t>3、实质上没有响应招标文件要求的投标将被拒绝。投标人不得通过修正或撤销不符合要求的偏离或保留从而使其投标成为实质上响应的投标。如发现下列情况之一的，其投标将被拒绝：</w:t>
      </w:r>
    </w:p>
    <w:p>
      <w:pPr>
        <w:tabs>
          <w:tab w:val="left" w:pos="1619"/>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应交未交或未足额交纳投标保证金的；</w:t>
      </w:r>
    </w:p>
    <w:p>
      <w:pPr>
        <w:tabs>
          <w:tab w:val="left" w:pos="1619"/>
        </w:tabs>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未按照招标文件规定要求密封、签署、盖章的；</w:t>
      </w:r>
    </w:p>
    <w:p>
      <w:pPr>
        <w:tabs>
          <w:tab w:val="left" w:pos="1619"/>
        </w:tabs>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不具备招标文件中规定资格要求的；</w:t>
      </w:r>
    </w:p>
    <w:p>
      <w:pPr>
        <w:tabs>
          <w:tab w:val="left" w:pos="1619"/>
        </w:tabs>
        <w:spacing w:line="360" w:lineRule="auto"/>
        <w:rPr>
          <w:rFonts w:ascii="宋体" w:hAnsi="宋体"/>
          <w:sz w:val="24"/>
        </w:rPr>
      </w:pPr>
      <w:r>
        <w:rPr>
          <w:rFonts w:hint="eastAsia" w:ascii="宋体" w:hAnsi="宋体"/>
          <w:sz w:val="24"/>
        </w:rPr>
        <w:t>（4）不符合法律、法规和招标文件中规定的其他实质性要求的。</w:t>
      </w:r>
    </w:p>
    <w:p>
      <w:pPr>
        <w:spacing w:line="360" w:lineRule="auto"/>
        <w:rPr>
          <w:rFonts w:ascii="宋体" w:hAnsi="宋体"/>
          <w:b/>
          <w:sz w:val="24"/>
        </w:rPr>
      </w:pPr>
      <w:bookmarkStart w:id="25" w:name="_Toc320785734"/>
      <w:bookmarkStart w:id="26" w:name="_Toc323311218"/>
      <w:bookmarkStart w:id="27" w:name="_Toc247688795"/>
      <w:r>
        <w:rPr>
          <w:rFonts w:hint="eastAsia" w:ascii="宋体" w:hAnsi="宋体"/>
          <w:b/>
          <w:sz w:val="24"/>
        </w:rPr>
        <w:t>二十二、比较与评价</w:t>
      </w:r>
      <w:bookmarkEnd w:id="25"/>
      <w:bookmarkEnd w:id="26"/>
      <w:bookmarkEnd w:id="27"/>
    </w:p>
    <w:p>
      <w:pPr>
        <w:spacing w:line="360" w:lineRule="auto"/>
        <w:ind w:firstLine="480" w:firstLineChars="200"/>
        <w:rPr>
          <w:rFonts w:ascii="宋体" w:hAnsi="宋体"/>
          <w:sz w:val="24"/>
        </w:rPr>
      </w:pPr>
      <w:r>
        <w:rPr>
          <w:rFonts w:hint="eastAsia" w:ascii="宋体" w:hAnsi="宋体"/>
          <w:sz w:val="24"/>
        </w:rPr>
        <w:t>22.1</w:t>
      </w:r>
      <w:r>
        <w:rPr>
          <w:rFonts w:hint="eastAsia" w:ascii="宋体" w:hAnsi="宋体"/>
          <w:sz w:val="24"/>
        </w:rPr>
        <w:tab/>
      </w:r>
      <w:r>
        <w:rPr>
          <w:rFonts w:hint="eastAsia" w:ascii="宋体" w:hAnsi="宋体"/>
          <w:sz w:val="24"/>
        </w:rPr>
        <w:t>经初审合格的投标文件，评标委员会将根据招标文件确定的评标方法和标准，对其技术部分和商务部分作进一步的比较和评价。</w:t>
      </w:r>
    </w:p>
    <w:p>
      <w:pPr>
        <w:spacing w:line="360" w:lineRule="auto"/>
        <w:ind w:firstLine="480" w:firstLineChars="200"/>
        <w:rPr>
          <w:rFonts w:ascii="宋体" w:hAnsi="宋体"/>
          <w:sz w:val="24"/>
        </w:rPr>
      </w:pPr>
      <w:r>
        <w:rPr>
          <w:rFonts w:hint="eastAsia" w:ascii="宋体" w:hAnsi="宋体"/>
          <w:sz w:val="24"/>
        </w:rPr>
        <w:t>22.2</w:t>
      </w:r>
      <w:r>
        <w:rPr>
          <w:rFonts w:hint="eastAsia" w:ascii="宋体" w:hAnsi="宋体"/>
          <w:sz w:val="24"/>
        </w:rPr>
        <w:tab/>
      </w:r>
      <w:r>
        <w:rPr>
          <w:rFonts w:hint="eastAsia" w:ascii="宋体" w:hAnsi="宋体"/>
          <w:sz w:val="24"/>
        </w:rPr>
        <w:t>备选方案的评审，如招标文件中允许提交备选方案</w:t>
      </w:r>
      <w:r>
        <w:rPr>
          <w:rFonts w:hint="eastAsia" w:ascii="宋体" w:hAnsi="宋体"/>
          <w:i/>
          <w:sz w:val="24"/>
          <w:u w:val="single"/>
        </w:rPr>
        <w:t>（详见第二部分投标人须知资料表）</w:t>
      </w:r>
      <w:r>
        <w:rPr>
          <w:rFonts w:hint="eastAsia" w:ascii="宋体" w:hAnsi="宋体"/>
          <w:sz w:val="24"/>
        </w:rPr>
        <w:t>，评审过程中只考虑主方案。只有当主方案的投标人为第一中标候选供应商或中标供应商，且开标时报出的备选方案满足招标文件要求、报价低于主方案时，采购人才可考虑选用备选方案。</w:t>
      </w:r>
    </w:p>
    <w:p>
      <w:pPr>
        <w:spacing w:line="360" w:lineRule="auto"/>
        <w:rPr>
          <w:rFonts w:ascii="宋体" w:hAnsi="宋体"/>
          <w:b/>
          <w:sz w:val="24"/>
        </w:rPr>
      </w:pPr>
      <w:r>
        <w:rPr>
          <w:rFonts w:hint="eastAsia" w:ascii="宋体" w:hAnsi="宋体"/>
          <w:b/>
          <w:sz w:val="24"/>
        </w:rPr>
        <w:t>二十三、</w:t>
      </w:r>
      <w:bookmarkStart w:id="28" w:name="_Toc520356173"/>
      <w:bookmarkStart w:id="29" w:name="_Toc330891077"/>
      <w:bookmarkStart w:id="30" w:name="_Ref467306874"/>
      <w:bookmarkStart w:id="31" w:name="_Toc195936890"/>
      <w:r>
        <w:rPr>
          <w:rFonts w:hint="eastAsia" w:ascii="宋体" w:hAnsi="宋体"/>
          <w:b/>
          <w:sz w:val="24"/>
        </w:rPr>
        <w:t>接受和拒绝任何或所有投标的权利</w:t>
      </w:r>
      <w:bookmarkEnd w:id="28"/>
      <w:bookmarkEnd w:id="29"/>
      <w:bookmarkEnd w:id="30"/>
      <w:bookmarkEnd w:id="31"/>
    </w:p>
    <w:p>
      <w:pPr>
        <w:spacing w:line="360" w:lineRule="auto"/>
        <w:ind w:firstLine="480" w:firstLineChars="200"/>
        <w:rPr>
          <w:rFonts w:ascii="宋体" w:hAnsi="宋体"/>
          <w:sz w:val="24"/>
        </w:rPr>
      </w:pPr>
      <w:r>
        <w:rPr>
          <w:rFonts w:hint="eastAsia" w:ascii="宋体" w:hAnsi="宋体"/>
          <w:sz w:val="24"/>
        </w:rPr>
        <w:t>1．为维护国家和社会公共利益，采购人保留在授标之前任何时候接受或拒绝任何投标人中标的权利，且对受影响的投标人不承担任何责任。</w:t>
      </w:r>
    </w:p>
    <w:p>
      <w:pPr>
        <w:spacing w:line="360" w:lineRule="auto"/>
        <w:ind w:firstLine="480" w:firstLineChars="200"/>
        <w:rPr>
          <w:rFonts w:ascii="宋体" w:hAnsi="宋体"/>
          <w:sz w:val="24"/>
        </w:rPr>
      </w:pPr>
      <w:bookmarkStart w:id="32" w:name="_Toc167520124"/>
      <w:bookmarkStart w:id="33" w:name="_Toc167520044"/>
      <w:bookmarkStart w:id="34" w:name="_Toc168975137"/>
      <w:bookmarkStart w:id="35" w:name="_Toc167519127"/>
      <w:bookmarkStart w:id="36" w:name="_Toc520356174"/>
      <w:r>
        <w:rPr>
          <w:rFonts w:hint="eastAsia" w:ascii="宋体" w:hAnsi="宋体"/>
          <w:sz w:val="24"/>
        </w:rPr>
        <w:t>2．因不可抗力或中标供应商不能履约等情形，采购人保留与其他候选供应商签订合同的权利。</w:t>
      </w:r>
      <w:bookmarkEnd w:id="32"/>
      <w:bookmarkEnd w:id="33"/>
      <w:bookmarkEnd w:id="34"/>
      <w:bookmarkEnd w:id="35"/>
    </w:p>
    <w:p>
      <w:pPr>
        <w:spacing w:line="360" w:lineRule="auto"/>
        <w:ind w:firstLine="480" w:firstLineChars="200"/>
        <w:rPr>
          <w:rFonts w:ascii="宋体" w:hAnsi="宋体"/>
          <w:sz w:val="24"/>
        </w:rPr>
      </w:pPr>
      <w:r>
        <w:rPr>
          <w:rFonts w:hint="eastAsia" w:ascii="宋体" w:hAnsi="宋体"/>
          <w:sz w:val="24"/>
        </w:rPr>
        <w:t>3．在招标过程中</w:t>
      </w:r>
      <w:r>
        <w:rPr>
          <w:rFonts w:ascii="宋体" w:hAnsi="宋体"/>
          <w:sz w:val="24"/>
        </w:rPr>
        <w:t>出现下列情形之一的，予</w:t>
      </w:r>
      <w:r>
        <w:rPr>
          <w:rFonts w:hint="eastAsia" w:ascii="宋体" w:hAnsi="宋体"/>
          <w:sz w:val="24"/>
        </w:rPr>
        <w:t>以</w:t>
      </w:r>
      <w:r>
        <w:rPr>
          <w:rFonts w:ascii="宋体" w:hAnsi="宋体"/>
          <w:sz w:val="24"/>
        </w:rPr>
        <w:t>废标</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1</w:t>
      </w:r>
      <w:r>
        <w:rPr>
          <w:rFonts w:ascii="宋体" w:hAnsi="宋体"/>
          <w:sz w:val="24"/>
        </w:rPr>
        <w:t>）符合专业条件的供应商或者对招标文件作实质响应的供应商不足三家的；</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出现影响采购公正的违法、违规行为的；</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）投标人的报价均超过了采购预算，采购人不能支付的；</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）因重大变故，采购任务取消的。</w:t>
      </w:r>
      <w:bookmarkStart w:id="37" w:name="_Toc195936891"/>
      <w:bookmarkStart w:id="38" w:name="_Toc330891078"/>
    </w:p>
    <w:p>
      <w:pPr>
        <w:spacing w:line="360" w:lineRule="auto"/>
        <w:rPr>
          <w:rFonts w:ascii="宋体" w:hAnsi="宋体"/>
          <w:b/>
          <w:sz w:val="24"/>
        </w:rPr>
      </w:pPr>
      <w:r>
        <w:rPr>
          <w:rFonts w:hint="eastAsia" w:ascii="宋体" w:hAnsi="宋体"/>
          <w:b/>
          <w:sz w:val="24"/>
        </w:rPr>
        <w:t>二十四、确定中标人</w:t>
      </w:r>
    </w:p>
    <w:p>
      <w:pPr>
        <w:spacing w:line="360" w:lineRule="auto"/>
        <w:ind w:firstLine="480" w:firstLineChars="200"/>
        <w:rPr>
          <w:rFonts w:ascii="宋体" w:hAnsi="宋体"/>
          <w:sz w:val="24"/>
        </w:rPr>
      </w:pPr>
      <w:r>
        <w:rPr>
          <w:rFonts w:hint="eastAsia" w:ascii="宋体" w:hAnsi="宋体"/>
          <w:sz w:val="24"/>
        </w:rPr>
        <w:t>1.评标委员会将根据评标标准，推荐评标排序，或根据采购人的委托，直接确定中标供应商。</w:t>
      </w:r>
    </w:p>
    <w:p>
      <w:pPr>
        <w:spacing w:line="360" w:lineRule="auto"/>
        <w:ind w:firstLine="480" w:firstLineChars="200"/>
        <w:rPr>
          <w:rFonts w:ascii="宋体" w:hAnsi="宋体"/>
          <w:sz w:val="24"/>
        </w:rPr>
      </w:pPr>
      <w:r>
        <w:rPr>
          <w:rFonts w:hint="eastAsia" w:ascii="宋体" w:hAnsi="宋体"/>
          <w:sz w:val="24"/>
        </w:rPr>
        <w:t>2.采购人将根据投标人按照本须知规定递交的资格证明文件和评标委员会认为必要的、合适的其它资料，对投标人的财务、技术和生产能力等进行审查。</w:t>
      </w:r>
      <w:bookmarkStart w:id="39" w:name="_Toc520356172"/>
    </w:p>
    <w:p>
      <w:pPr>
        <w:spacing w:line="360" w:lineRule="auto"/>
        <w:ind w:firstLine="480" w:firstLineChars="200"/>
        <w:rPr>
          <w:rFonts w:ascii="宋体" w:hAnsi="宋体"/>
          <w:sz w:val="24"/>
        </w:rPr>
      </w:pPr>
      <w:r>
        <w:rPr>
          <w:rFonts w:hint="eastAsia" w:ascii="宋体" w:hAnsi="宋体"/>
          <w:sz w:val="24"/>
        </w:rPr>
        <w:t>3．如果审查未通过，采购人将拒绝其中标候选人资格，并按顺序对下一个中标候选人进行能否满意的履行合同作类似的审查。</w:t>
      </w:r>
      <w:bookmarkEnd w:id="39"/>
    </w:p>
    <w:p>
      <w:pPr>
        <w:spacing w:line="360" w:lineRule="auto"/>
        <w:rPr>
          <w:rFonts w:ascii="宋体" w:hAnsi="宋体"/>
          <w:b/>
          <w:sz w:val="24"/>
        </w:rPr>
      </w:pPr>
      <w:r>
        <w:rPr>
          <w:rFonts w:hint="eastAsia" w:ascii="宋体" w:hAnsi="宋体"/>
          <w:b/>
          <w:sz w:val="24"/>
        </w:rPr>
        <w:t>二十五、中标通知书</w:t>
      </w:r>
      <w:bookmarkEnd w:id="36"/>
      <w:bookmarkEnd w:id="37"/>
      <w:bookmarkEnd w:id="38"/>
    </w:p>
    <w:p>
      <w:pPr>
        <w:spacing w:line="360" w:lineRule="auto"/>
        <w:ind w:firstLine="480" w:firstLineChars="200"/>
        <w:rPr>
          <w:rFonts w:ascii="宋体" w:hAnsi="宋体"/>
          <w:sz w:val="24"/>
        </w:rPr>
      </w:pPr>
      <w:r>
        <w:rPr>
          <w:rFonts w:hint="eastAsia" w:ascii="宋体" w:hAnsi="宋体"/>
          <w:sz w:val="24"/>
        </w:rPr>
        <w:t>1．在投标有效期内，中标人确定及发布中标公告的同时，招标采购单位以书面形式向中标人发出中标通知书。</w:t>
      </w:r>
    </w:p>
    <w:p>
      <w:pPr>
        <w:spacing w:line="360" w:lineRule="auto"/>
        <w:ind w:firstLine="480" w:firstLineChars="200"/>
        <w:rPr>
          <w:rFonts w:ascii="宋体" w:hAnsi="宋体"/>
          <w:sz w:val="24"/>
        </w:rPr>
      </w:pPr>
      <w:r>
        <w:rPr>
          <w:rFonts w:hint="eastAsia" w:ascii="宋体" w:hAnsi="宋体"/>
          <w:sz w:val="24"/>
        </w:rPr>
        <w:t>2．中标通知书是合同的组成部分。</w:t>
      </w:r>
    </w:p>
    <w:p>
      <w:pPr>
        <w:spacing w:line="360" w:lineRule="auto"/>
        <w:ind w:firstLine="480" w:firstLineChars="200"/>
        <w:rPr>
          <w:rFonts w:ascii="宋体" w:hAnsi="宋体"/>
          <w:sz w:val="24"/>
        </w:rPr>
      </w:pPr>
      <w:r>
        <w:rPr>
          <w:rFonts w:hint="eastAsia" w:ascii="宋体" w:hAnsi="宋体"/>
          <w:sz w:val="24"/>
        </w:rPr>
        <w:t>3．</w:t>
      </w:r>
      <w:r>
        <w:rPr>
          <w:rFonts w:ascii="宋体" w:hAnsi="宋体" w:cs="Arial"/>
          <w:sz w:val="24"/>
        </w:rPr>
        <w:t>中标人确定后，招标</w:t>
      </w:r>
      <w:r>
        <w:rPr>
          <w:rFonts w:hint="eastAsia" w:ascii="宋体" w:hAnsi="宋体" w:cs="Arial"/>
          <w:sz w:val="24"/>
        </w:rPr>
        <w:t>采购单位</w:t>
      </w:r>
      <w:r>
        <w:rPr>
          <w:rFonts w:ascii="宋体" w:hAnsi="宋体" w:cs="Arial"/>
          <w:sz w:val="24"/>
        </w:rPr>
        <w:t>不</w:t>
      </w:r>
      <w:r>
        <w:rPr>
          <w:rFonts w:hint="eastAsia" w:ascii="宋体" w:hAnsi="宋体" w:cs="Arial"/>
          <w:sz w:val="24"/>
        </w:rPr>
        <w:t>得</w:t>
      </w:r>
      <w:r>
        <w:rPr>
          <w:rFonts w:ascii="宋体" w:hAnsi="宋体" w:cs="Arial"/>
          <w:sz w:val="24"/>
        </w:rPr>
        <w:t>对未中标人就评标过程以及未能中标原因做出任何解释。未中标人不得向评标委员会组成人员或其他有关人员索问评标过程的情况和材料。</w:t>
      </w:r>
      <w:bookmarkStart w:id="40" w:name="_Ref467306377"/>
      <w:bookmarkStart w:id="41" w:name="_Toc520356175"/>
      <w:bookmarkStart w:id="42" w:name="_Ref467306978"/>
      <w:bookmarkStart w:id="43" w:name="_Ref467307062"/>
      <w:bookmarkStart w:id="44" w:name="_Ref467307204"/>
      <w:bookmarkStart w:id="45" w:name="_Toc195936892"/>
      <w:bookmarkStart w:id="46" w:name="_Toc330891079"/>
    </w:p>
    <w:p>
      <w:pPr>
        <w:spacing w:line="360" w:lineRule="auto"/>
        <w:rPr>
          <w:rFonts w:ascii="宋体" w:hAnsi="宋体"/>
          <w:b/>
          <w:sz w:val="24"/>
        </w:rPr>
      </w:pPr>
      <w:r>
        <w:rPr>
          <w:rFonts w:hint="eastAsia" w:ascii="宋体" w:hAnsi="宋体"/>
          <w:b/>
          <w:sz w:val="24"/>
        </w:rPr>
        <w:t>二十六、签订合同</w:t>
      </w:r>
      <w:bookmarkEnd w:id="40"/>
      <w:bookmarkEnd w:id="41"/>
      <w:bookmarkEnd w:id="42"/>
      <w:bookmarkEnd w:id="43"/>
      <w:bookmarkEnd w:id="44"/>
      <w:bookmarkEnd w:id="45"/>
      <w:bookmarkEnd w:id="46"/>
    </w:p>
    <w:p>
      <w:pPr>
        <w:spacing w:line="360" w:lineRule="auto"/>
        <w:ind w:firstLine="480" w:firstLineChars="200"/>
        <w:rPr>
          <w:rFonts w:ascii="宋体" w:hAnsi="宋体"/>
          <w:sz w:val="24"/>
        </w:rPr>
      </w:pPr>
      <w:r>
        <w:rPr>
          <w:rFonts w:hint="eastAsia" w:ascii="宋体" w:hAnsi="宋体"/>
          <w:sz w:val="24"/>
        </w:rPr>
        <w:t>1．中标人应当自发出中标通知书之日起30日内，与买方签订合同。</w:t>
      </w:r>
    </w:p>
    <w:p>
      <w:pPr>
        <w:spacing w:line="360" w:lineRule="auto"/>
        <w:ind w:firstLine="480" w:firstLineChars="200"/>
        <w:rPr>
          <w:rFonts w:ascii="宋体" w:hAnsi="宋体"/>
          <w:sz w:val="24"/>
        </w:rPr>
      </w:pPr>
      <w:r>
        <w:rPr>
          <w:rFonts w:hint="eastAsia" w:ascii="宋体" w:hAnsi="宋体"/>
          <w:sz w:val="24"/>
        </w:rPr>
        <w:t>2</w:t>
      </w:r>
      <w:bookmarkStart w:id="47" w:name="_Ref467306425"/>
      <w:bookmarkStart w:id="48" w:name="_Toc520356176"/>
      <w:bookmarkStart w:id="49" w:name="_Ref467307090"/>
      <w:r>
        <w:rPr>
          <w:rFonts w:hint="eastAsia" w:ascii="宋体" w:hAnsi="宋体"/>
          <w:sz w:val="24"/>
        </w:rPr>
        <w:t>．招标文件、招标补充文件、中标人的投标文件及其澄清文件、中标通知书等，均为签订合同的依据。</w:t>
      </w:r>
    </w:p>
    <w:p>
      <w:pPr>
        <w:spacing w:line="360" w:lineRule="auto"/>
        <w:rPr>
          <w:rFonts w:ascii="宋体" w:hAnsi="宋体"/>
          <w:b/>
          <w:sz w:val="24"/>
        </w:rPr>
      </w:pPr>
      <w:bookmarkStart w:id="50" w:name="_Toc330891080"/>
      <w:bookmarkStart w:id="51" w:name="_Toc195936893"/>
      <w:r>
        <w:rPr>
          <w:rFonts w:hint="eastAsia" w:ascii="宋体" w:hAnsi="宋体"/>
          <w:b/>
          <w:sz w:val="24"/>
        </w:rPr>
        <w:t>二十七、履约保证金</w:t>
      </w:r>
      <w:bookmarkEnd w:id="47"/>
      <w:bookmarkEnd w:id="48"/>
      <w:bookmarkEnd w:id="49"/>
      <w:bookmarkEnd w:id="50"/>
      <w:bookmarkEnd w:id="51"/>
    </w:p>
    <w:p>
      <w:pPr>
        <w:spacing w:before="120" w:line="360" w:lineRule="auto"/>
        <w:ind w:firstLine="480" w:firstLineChars="200"/>
        <w:rPr>
          <w:rFonts w:ascii="宋体" w:hAnsi="宋体" w:cs="Arial"/>
          <w:sz w:val="24"/>
        </w:rPr>
      </w:pPr>
      <w:r>
        <w:rPr>
          <w:rFonts w:hint="eastAsia" w:ascii="宋体" w:hAnsi="宋体"/>
          <w:sz w:val="24"/>
        </w:rPr>
        <w:t>1．本项目不设履约保证金。</w:t>
      </w:r>
    </w:p>
    <w:p>
      <w:pPr>
        <w:spacing w:line="360" w:lineRule="auto"/>
        <w:rPr>
          <w:rFonts w:ascii="宋体" w:hAnsi="宋体"/>
          <w:b/>
          <w:sz w:val="24"/>
        </w:rPr>
      </w:pPr>
      <w:bookmarkStart w:id="52" w:name="_Toc330891081"/>
      <w:r>
        <w:rPr>
          <w:rFonts w:hint="eastAsia" w:ascii="宋体" w:hAnsi="宋体"/>
          <w:b/>
          <w:sz w:val="24"/>
        </w:rPr>
        <w:t>二十八、</w:t>
      </w:r>
      <w:r>
        <w:rPr>
          <w:rFonts w:ascii="宋体" w:hAnsi="宋体"/>
          <w:b/>
          <w:sz w:val="24"/>
        </w:rPr>
        <w:t>质疑与投诉</w:t>
      </w:r>
      <w:bookmarkEnd w:id="52"/>
    </w:p>
    <w:p>
      <w:pPr>
        <w:widowControl/>
        <w:spacing w:line="360" w:lineRule="auto"/>
        <w:ind w:firstLine="480" w:firstLineChars="200"/>
        <w:rPr>
          <w:rFonts w:ascii="宋体" w:hAnsi="宋体"/>
          <w:sz w:val="24"/>
        </w:rPr>
      </w:pPr>
      <w:r>
        <w:rPr>
          <w:rFonts w:hint="eastAsia" w:ascii="宋体" w:hAnsi="宋体"/>
          <w:sz w:val="24"/>
        </w:rPr>
        <w:t>1.</w:t>
      </w:r>
      <w:r>
        <w:rPr>
          <w:rFonts w:ascii="宋体" w:hAnsi="宋体"/>
          <w:sz w:val="24"/>
        </w:rPr>
        <w:t>投标</w:t>
      </w:r>
      <w:r>
        <w:rPr>
          <w:rFonts w:hint="eastAsia" w:ascii="宋体" w:hAnsi="宋体"/>
          <w:sz w:val="24"/>
        </w:rPr>
        <w:t>人</w:t>
      </w:r>
      <w:r>
        <w:rPr>
          <w:rFonts w:ascii="宋体" w:hAnsi="宋体"/>
          <w:sz w:val="24"/>
        </w:rPr>
        <w:t>对中标公告有异议的，应当在中标公告发布之日起</w:t>
      </w:r>
      <w:r>
        <w:rPr>
          <w:rFonts w:hint="eastAsia" w:ascii="宋体" w:hAnsi="宋体"/>
          <w:sz w:val="24"/>
        </w:rPr>
        <w:t>7</w:t>
      </w:r>
      <w:r>
        <w:rPr>
          <w:rFonts w:ascii="宋体" w:hAnsi="宋体"/>
          <w:sz w:val="24"/>
        </w:rPr>
        <w:t>个工作日内，以书面形式向招标</w:t>
      </w:r>
      <w:r>
        <w:rPr>
          <w:rFonts w:hint="eastAsia" w:ascii="宋体" w:hAnsi="宋体"/>
          <w:sz w:val="24"/>
        </w:rPr>
        <w:t>采购单位</w:t>
      </w:r>
      <w:r>
        <w:rPr>
          <w:rFonts w:ascii="宋体" w:hAnsi="宋体"/>
          <w:sz w:val="24"/>
        </w:rPr>
        <w:t>提出质疑。招标</w:t>
      </w:r>
      <w:r>
        <w:rPr>
          <w:rFonts w:hint="eastAsia" w:ascii="宋体" w:hAnsi="宋体"/>
          <w:sz w:val="24"/>
        </w:rPr>
        <w:t>采购单位</w:t>
      </w:r>
      <w:r>
        <w:rPr>
          <w:rFonts w:ascii="宋体" w:hAnsi="宋体"/>
          <w:sz w:val="24"/>
        </w:rPr>
        <w:t>应当在收到投标</w:t>
      </w:r>
      <w:r>
        <w:rPr>
          <w:rFonts w:hint="eastAsia" w:ascii="宋体" w:hAnsi="宋体"/>
          <w:sz w:val="24"/>
        </w:rPr>
        <w:t>人</w:t>
      </w:r>
      <w:r>
        <w:rPr>
          <w:rFonts w:ascii="宋体" w:hAnsi="宋体"/>
          <w:sz w:val="24"/>
        </w:rPr>
        <w:t>书面质疑后</w:t>
      </w:r>
      <w:r>
        <w:rPr>
          <w:rFonts w:hint="eastAsia" w:ascii="宋体" w:hAnsi="宋体"/>
          <w:sz w:val="24"/>
        </w:rPr>
        <w:t>7</w:t>
      </w:r>
      <w:r>
        <w:rPr>
          <w:rFonts w:ascii="宋体" w:hAnsi="宋体"/>
          <w:sz w:val="24"/>
        </w:rPr>
        <w:t>个工作日内，对质疑内容做出答复。</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2.接收质疑函的方式、联系部门、联系电话和通讯地址：</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接收方式：传真或电子邮件或邮寄</w:t>
      </w:r>
    </w:p>
    <w:p>
      <w:pPr>
        <w:adjustRightInd w:val="0"/>
        <w:snapToGrid w:val="0"/>
        <w:spacing w:line="360" w:lineRule="auto"/>
        <w:ind w:firstLine="480" w:firstLineChars="200"/>
        <w:rPr>
          <w:rFonts w:ascii="宋体" w:hAnsi="宋体" w:cs="仿宋_GB2312"/>
          <w:sz w:val="24"/>
        </w:rPr>
      </w:pPr>
      <w:r>
        <w:rPr>
          <w:rFonts w:hint="eastAsia" w:ascii="宋体" w:hAnsi="宋体" w:cs="仿宋_GB2312"/>
          <w:sz w:val="24"/>
        </w:rPr>
        <w:t>联系部门：招标部</w:t>
      </w:r>
    </w:p>
    <w:p>
      <w:pPr>
        <w:adjustRightInd w:val="0"/>
        <w:snapToGrid w:val="0"/>
        <w:spacing w:line="360" w:lineRule="auto"/>
        <w:ind w:firstLine="480" w:firstLineChars="200"/>
        <w:rPr>
          <w:rFonts w:ascii="宋体" w:hAnsi="宋体" w:cs="宋体"/>
          <w:kern w:val="0"/>
          <w:sz w:val="24"/>
        </w:rPr>
      </w:pPr>
      <w:r>
        <w:rPr>
          <w:rFonts w:hint="eastAsia" w:ascii="宋体" w:hAnsi="宋体" w:cs="仿宋_GB2312"/>
          <w:sz w:val="24"/>
        </w:rPr>
        <w:t>联系电话：020-87001523</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传真：010-88517351</w:t>
      </w:r>
    </w:p>
    <w:p>
      <w:pPr>
        <w:adjustRightInd w:val="0"/>
        <w:snapToGrid w:val="0"/>
        <w:spacing w:line="360" w:lineRule="auto"/>
        <w:ind w:firstLine="480" w:firstLineChars="200"/>
        <w:rPr>
          <w:rFonts w:ascii="宋体" w:hAnsi="宋体" w:cs="宋体"/>
          <w:kern w:val="0"/>
          <w:sz w:val="24"/>
          <w:u w:val="single"/>
        </w:rPr>
      </w:pPr>
      <w:r>
        <w:rPr>
          <w:rFonts w:hint="eastAsia" w:ascii="宋体" w:hAnsi="宋体" w:cs="宋体"/>
          <w:kern w:val="0"/>
          <w:sz w:val="24"/>
        </w:rPr>
        <w:t>电子邮箱：ytlin@oitc.com.cn，cjwang@oitc.com.cn</w:t>
      </w:r>
    </w:p>
    <w:p>
      <w:pPr>
        <w:adjustRightInd w:val="0"/>
        <w:snapToGrid w:val="0"/>
        <w:spacing w:line="360" w:lineRule="auto"/>
        <w:ind w:firstLine="480" w:firstLineChars="200"/>
        <w:rPr>
          <w:rFonts w:ascii="宋体" w:hAnsi="宋体" w:cs="仿宋_GB2312"/>
          <w:sz w:val="24"/>
        </w:rPr>
      </w:pPr>
      <w:r>
        <w:rPr>
          <w:rFonts w:hint="eastAsia" w:ascii="宋体" w:hAnsi="宋体" w:cs="宋体"/>
          <w:kern w:val="0"/>
          <w:sz w:val="24"/>
        </w:rPr>
        <w:t>通讯地址：北京市海淀区西三环北路甲2号院科技园6号楼13层01室</w:t>
      </w:r>
    </w:p>
    <w:p>
      <w:pPr>
        <w:widowControl/>
        <w:spacing w:line="360" w:lineRule="auto"/>
        <w:ind w:firstLine="480" w:firstLineChars="200"/>
        <w:rPr>
          <w:rFonts w:ascii="宋体" w:hAnsi="宋体"/>
          <w:sz w:val="24"/>
        </w:rPr>
      </w:pPr>
      <w:r>
        <w:rPr>
          <w:rFonts w:hint="eastAsia" w:ascii="宋体" w:hAnsi="宋体"/>
          <w:sz w:val="24"/>
        </w:rPr>
        <w:t>3.</w:t>
      </w:r>
      <w:r>
        <w:rPr>
          <w:rFonts w:ascii="宋体" w:hAnsi="宋体"/>
          <w:sz w:val="24"/>
        </w:rPr>
        <w:t>质疑供应商提出质疑的范围只限于招标文件、招标过程以及中标结果三个方面的事项。质疑供应商提出的质疑必须认为招标文件、招标过程、招标结果使自己的权益受到损害，并提出受损害的事实和理由。</w:t>
      </w:r>
    </w:p>
    <w:p>
      <w:pPr>
        <w:spacing w:line="360" w:lineRule="auto"/>
        <w:rPr>
          <w:rFonts w:ascii="宋体" w:hAnsi="宋体"/>
          <w:b/>
          <w:sz w:val="24"/>
        </w:rPr>
      </w:pPr>
      <w:r>
        <w:rPr>
          <w:rFonts w:hint="eastAsia" w:ascii="宋体" w:hAnsi="宋体"/>
          <w:b/>
          <w:sz w:val="24"/>
        </w:rPr>
        <w:t>二十九、保密</w:t>
      </w:r>
    </w:p>
    <w:p>
      <w:pPr>
        <w:widowControl/>
        <w:spacing w:line="360" w:lineRule="auto"/>
        <w:ind w:firstLine="480" w:firstLineChars="200"/>
        <w:rPr>
          <w:rFonts w:ascii="宋体" w:hAnsi="宋体"/>
          <w:sz w:val="24"/>
        </w:rPr>
      </w:pPr>
      <w:r>
        <w:rPr>
          <w:rFonts w:hint="eastAsia" w:ascii="宋体" w:hAnsi="宋体"/>
          <w:sz w:val="24"/>
        </w:rPr>
        <w:t>1.</w:t>
      </w:r>
      <w:r>
        <w:rPr>
          <w:rFonts w:ascii="宋体" w:hAnsi="宋体"/>
          <w:sz w:val="24"/>
        </w:rPr>
        <w:t>开标前，采购人和其委托的招标代理机构不得向他人透露已获取招标文件的投标人的名称、数量以及可能影响公平竞争的有关招标投标的其他情况。</w:t>
      </w:r>
    </w:p>
    <w:p>
      <w:pPr>
        <w:widowControl/>
        <w:spacing w:line="360" w:lineRule="auto"/>
        <w:ind w:firstLine="480" w:firstLineChars="200"/>
        <w:rPr>
          <w:rFonts w:ascii="宋体" w:hAnsi="宋体"/>
          <w:sz w:val="24"/>
        </w:rPr>
      </w:pPr>
      <w:r>
        <w:rPr>
          <w:rFonts w:hint="eastAsia" w:ascii="宋体" w:hAnsi="宋体"/>
          <w:sz w:val="24"/>
        </w:rPr>
        <w:t>2.</w:t>
      </w:r>
      <w:r>
        <w:rPr>
          <w:rFonts w:ascii="宋体" w:hAnsi="宋体"/>
          <w:sz w:val="24"/>
        </w:rPr>
        <w:t>参加评标活动的所有人员（包括评标委员会成员、采购人或其委托的招标代理机构的工作人员等）不得透漏对投标文件的评审和比较、中标候选人的推荐情况以及与评标有关的其他情况。</w:t>
      </w:r>
      <w:bookmarkStart w:id="53" w:name="_Toc162409870"/>
      <w:bookmarkEnd w:id="53"/>
      <w:bookmarkStart w:id="54" w:name="_Toc162410010"/>
      <w:bookmarkEnd w:id="54"/>
    </w:p>
    <w:p>
      <w:pPr>
        <w:spacing w:line="360" w:lineRule="auto"/>
        <w:rPr>
          <w:rFonts w:ascii="宋体" w:hAnsi="宋体"/>
          <w:b/>
          <w:sz w:val="24"/>
        </w:rPr>
      </w:pPr>
      <w:bookmarkStart w:id="55" w:name="_Toc162410012"/>
      <w:bookmarkStart w:id="56" w:name="_Toc162409872"/>
      <w:r>
        <w:rPr>
          <w:rFonts w:hint="eastAsia" w:ascii="宋体" w:hAnsi="宋体"/>
          <w:b/>
          <w:sz w:val="24"/>
        </w:rPr>
        <w:t>三十、</w:t>
      </w:r>
      <w:r>
        <w:rPr>
          <w:rFonts w:ascii="宋体" w:hAnsi="宋体"/>
          <w:b/>
          <w:sz w:val="24"/>
        </w:rPr>
        <w:t>解释权</w:t>
      </w:r>
      <w:bookmarkEnd w:id="55"/>
      <w:bookmarkEnd w:id="56"/>
    </w:p>
    <w:p>
      <w:pPr>
        <w:pStyle w:val="20"/>
        <w:spacing w:line="360" w:lineRule="auto"/>
        <w:ind w:firstLine="420" w:firstLineChars="200"/>
        <w:rPr>
          <w:rFonts w:ascii="宋体" w:hAnsi="宋体"/>
          <w:sz w:val="24"/>
          <w:szCs w:val="24"/>
        </w:rPr>
      </w:pPr>
      <w:r>
        <w:rPr>
          <w:rFonts w:ascii="Arial" w:hAnsi="Arial" w:cs="Arial"/>
        </w:rPr>
        <w:t>1</w:t>
      </w:r>
      <w:r>
        <w:rPr>
          <w:rFonts w:hint="eastAsia" w:ascii="宋体" w:hAnsi="宋体"/>
          <w:sz w:val="24"/>
          <w:szCs w:val="24"/>
        </w:rPr>
        <w:t>．</w:t>
      </w:r>
      <w:r>
        <w:rPr>
          <w:rFonts w:ascii="宋体" w:hAnsi="宋体"/>
          <w:sz w:val="24"/>
          <w:szCs w:val="24"/>
        </w:rPr>
        <w:t>本招标文件由</w:t>
      </w:r>
      <w:r>
        <w:rPr>
          <w:rFonts w:hint="eastAsia" w:ascii="宋体" w:hAnsi="宋体"/>
          <w:sz w:val="24"/>
          <w:szCs w:val="24"/>
        </w:rPr>
        <w:t>东方国际招标有限责任公司</w:t>
      </w:r>
      <w:r>
        <w:rPr>
          <w:rFonts w:ascii="宋体" w:hAnsi="宋体"/>
          <w:sz w:val="24"/>
          <w:szCs w:val="24"/>
        </w:rPr>
        <w:t>负责解释。</w:t>
      </w:r>
    </w:p>
    <w:p>
      <w:pPr>
        <w:adjustRightInd w:val="0"/>
        <w:snapToGrid w:val="0"/>
        <w:jc w:val="center"/>
        <w:rPr>
          <w:rFonts w:ascii="宋体" w:hAnsi="宋体"/>
          <w:b/>
          <w:sz w:val="24"/>
        </w:rPr>
      </w:pPr>
    </w:p>
    <w:p>
      <w:pPr>
        <w:adjustRightInd w:val="0"/>
        <w:snapToGrid w:val="0"/>
        <w:rPr>
          <w:rFonts w:ascii="黑体" w:eastAsia="黑体"/>
          <w:b/>
          <w:sz w:val="48"/>
        </w:rPr>
      </w:pPr>
      <w:r>
        <w:rPr>
          <w:rFonts w:ascii="黑体" w:eastAsia="黑体"/>
          <w:b/>
          <w:sz w:val="48"/>
        </w:rPr>
        <w:br w:type="page"/>
      </w:r>
    </w:p>
    <w:p>
      <w:pPr>
        <w:adjustRightInd w:val="0"/>
        <w:snapToGrid w:val="0"/>
        <w:jc w:val="center"/>
        <w:rPr>
          <w:rFonts w:ascii="黑体" w:eastAsia="黑体"/>
          <w:b/>
          <w:sz w:val="48"/>
        </w:rPr>
      </w:pPr>
      <w:bookmarkStart w:id="57" w:name="_Hlk25500008"/>
      <w:bookmarkStart w:id="58" w:name="_Toc399234213"/>
      <w:r>
        <w:rPr>
          <w:rFonts w:hint="eastAsia" w:ascii="黑体" w:eastAsia="黑体"/>
          <w:b/>
          <w:sz w:val="48"/>
        </w:rPr>
        <w:t>第四部分</w:t>
      </w:r>
      <w:bookmarkEnd w:id="57"/>
      <w:r>
        <w:rPr>
          <w:rFonts w:hint="eastAsia" w:ascii="黑体" w:eastAsia="黑体"/>
          <w:b/>
          <w:sz w:val="48"/>
        </w:rPr>
        <w:t>项目范围及要求</w:t>
      </w:r>
    </w:p>
    <w:p>
      <w:pPr>
        <w:spacing w:line="360" w:lineRule="auto"/>
        <w:ind w:firstLine="480" w:firstLineChars="200"/>
        <w:rPr>
          <w:rFonts w:ascii="宋体" w:hAnsi="宋体"/>
          <w:color w:val="000000"/>
          <w:sz w:val="24"/>
        </w:rPr>
      </w:pPr>
      <w:r>
        <w:rPr>
          <w:rFonts w:hint="eastAsia" w:ascii="宋体" w:hAnsi="宋体"/>
          <w:color w:val="000000"/>
          <w:sz w:val="24"/>
        </w:rPr>
        <w:t>鉴于我单位专利申请量中等，技术领域多样，特通过政府采</w:t>
      </w:r>
      <w:r>
        <w:rPr>
          <w:rFonts w:hint="eastAsia" w:ascii="宋体" w:hAnsi="宋体"/>
          <w:sz w:val="24"/>
        </w:rPr>
        <w:t>购方式产生</w:t>
      </w:r>
      <w:r>
        <w:rPr>
          <w:rFonts w:ascii="宋体" w:hAnsi="宋体"/>
          <w:sz w:val="24"/>
        </w:rPr>
        <w:t>1</w:t>
      </w:r>
      <w:r>
        <w:rPr>
          <w:rFonts w:hint="eastAsia" w:ascii="宋体" w:hAnsi="宋体"/>
          <w:sz w:val="24"/>
        </w:rPr>
        <w:t>家知识产</w:t>
      </w:r>
      <w:r>
        <w:rPr>
          <w:rFonts w:hint="eastAsia" w:ascii="宋体" w:hAnsi="宋体"/>
          <w:color w:val="000000"/>
          <w:sz w:val="24"/>
        </w:rPr>
        <w:t>权代理机构进行我单位知识产权代理服务工作。要求投标单位资质优秀、声誉良好、具有科研机构代理经验的优先。</w:t>
      </w:r>
    </w:p>
    <w:p>
      <w:pPr>
        <w:spacing w:line="360" w:lineRule="auto"/>
        <w:ind w:firstLine="480" w:firstLineChars="200"/>
        <w:rPr>
          <w:rFonts w:ascii="宋体" w:hAnsi="宋体"/>
          <w:color w:val="000000"/>
          <w:sz w:val="24"/>
        </w:rPr>
      </w:pPr>
      <w:r>
        <w:rPr>
          <w:rFonts w:hint="eastAsia" w:ascii="宋体" w:hAnsi="宋体"/>
          <w:color w:val="000000"/>
          <w:sz w:val="24"/>
        </w:rPr>
        <w:t>本知识产权代理服务项目费用总预算约</w:t>
      </w:r>
      <w:r>
        <w:rPr>
          <w:rFonts w:ascii="宋体" w:hAnsi="宋体"/>
          <w:color w:val="000000"/>
          <w:sz w:val="24"/>
        </w:rPr>
        <w:t>135</w:t>
      </w:r>
      <w:r>
        <w:rPr>
          <w:rFonts w:hint="eastAsia" w:ascii="宋体" w:hAnsi="宋体"/>
          <w:color w:val="000000"/>
          <w:sz w:val="24"/>
        </w:rPr>
        <w:t>万（含三年），合同履行期限：服务期限为3年，合同一年一签。第二年续签合同前招标人对投标人服务情况进行考核评价，若考核不合格，采购人有权单方面结束合同，且不承担任何违约、赔偿责任。考核合格后可续签一年。服务期限内收费标准不作调整。</w:t>
      </w:r>
    </w:p>
    <w:p>
      <w:pPr>
        <w:spacing w:line="360" w:lineRule="auto"/>
        <w:ind w:firstLine="480" w:firstLineChars="200"/>
        <w:rPr>
          <w:rFonts w:ascii="宋体" w:hAnsi="宋体"/>
          <w:color w:val="000000"/>
          <w:sz w:val="24"/>
        </w:rPr>
      </w:pPr>
    </w:p>
    <w:p>
      <w:pPr>
        <w:spacing w:line="360" w:lineRule="auto"/>
        <w:ind w:firstLine="602" w:firstLineChars="250"/>
        <w:rPr>
          <w:rFonts w:ascii="宋体" w:hAnsi="宋体"/>
          <w:b/>
          <w:sz w:val="24"/>
        </w:rPr>
      </w:pPr>
      <w:r>
        <w:rPr>
          <w:rFonts w:ascii="宋体" w:hAnsi="宋体"/>
          <w:b/>
          <w:sz w:val="24"/>
        </w:rPr>
        <w:t>1</w:t>
      </w:r>
      <w:r>
        <w:rPr>
          <w:rFonts w:hint="eastAsia" w:ascii="宋体" w:hAnsi="宋体"/>
          <w:b/>
          <w:sz w:val="24"/>
        </w:rPr>
        <w:t>、中国专利申请代理工作包括（不限于）</w:t>
      </w:r>
    </w:p>
    <w:p>
      <w:pPr>
        <w:spacing w:line="360" w:lineRule="auto"/>
        <w:ind w:firstLine="840" w:firstLineChars="35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）撰写及提交专利申请文件、审查意见答复建议和正式文本、主动修改文本及要求优先权文件。</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）提出实质审查请求。</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）提出复审请求，撰写及提交复审过程中的各种文件。</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）著录项目变更等手续。</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提交其他各种文件，转达各种官方文件。</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）办理授权登记的各种手续。</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）协助监管和提醒缴纳申请费，授权费，维持费等官方费用，必要时代缴。</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）在每月</w:t>
      </w:r>
      <w:r>
        <w:rPr>
          <w:rFonts w:ascii="宋体" w:hAnsi="宋体"/>
          <w:sz w:val="24"/>
        </w:rPr>
        <w:t>5</w:t>
      </w:r>
      <w:r>
        <w:rPr>
          <w:rFonts w:hint="eastAsia" w:ascii="宋体" w:hAnsi="宋体"/>
          <w:sz w:val="24"/>
        </w:rPr>
        <w:t>日前提交“专利官费（申请费、授权费等）缴纳通知书”，即提交本月应缴纳的申请费、授权费等官费费用明细单和凭证，其中《缴纳申请费通知书》的发文日期截止于上月月底，《办理登记手续通知书》的发文日期截止于上月月底，其他费用缴纳通知书的发文日期截止于上月月底；在每年</w:t>
      </w:r>
      <w:r>
        <w:rPr>
          <w:rFonts w:ascii="宋体" w:hAnsi="宋体"/>
          <w:sz w:val="24"/>
        </w:rPr>
        <w:t>1</w:t>
      </w:r>
      <w:r>
        <w:rPr>
          <w:rFonts w:hint="eastAsia" w:ascii="宋体" w:hAnsi="宋体"/>
          <w:sz w:val="24"/>
        </w:rPr>
        <w:t>月</w:t>
      </w:r>
      <w:r>
        <w:rPr>
          <w:rFonts w:ascii="宋体" w:hAnsi="宋体"/>
          <w:sz w:val="24"/>
        </w:rPr>
        <w:t>5</w:t>
      </w:r>
      <w:r>
        <w:rPr>
          <w:rFonts w:hint="eastAsia" w:ascii="宋体" w:hAnsi="宋体"/>
          <w:sz w:val="24"/>
        </w:rPr>
        <w:t>日前提交“专利官费（维持费）缴纳通知书，即提交今年全年应缴纳的维持费用明细单。</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）案件代理过程中所有文件的电子文档和扫描文档随时发送</w:t>
      </w:r>
      <w:r>
        <w:rPr>
          <w:rFonts w:hint="eastAsia" w:ascii="宋体" w:hAnsi="宋体"/>
          <w:color w:val="000000"/>
          <w:sz w:val="24"/>
        </w:rPr>
        <w:t>我单位</w:t>
      </w:r>
      <w:r>
        <w:rPr>
          <w:rFonts w:hint="eastAsia" w:ascii="宋体" w:hAnsi="宋体"/>
          <w:sz w:val="24"/>
        </w:rPr>
        <w:t>，案件结案后将全部纸质文档原件一并转交</w:t>
      </w:r>
      <w:r>
        <w:rPr>
          <w:rFonts w:hint="eastAsia" w:ascii="宋体" w:hAnsi="宋体"/>
          <w:color w:val="000000"/>
          <w:sz w:val="24"/>
        </w:rPr>
        <w:t>我单位</w:t>
      </w:r>
      <w:r>
        <w:rPr>
          <w:rFonts w:hint="eastAsia" w:ascii="宋体" w:hAnsi="宋体"/>
          <w:sz w:val="24"/>
        </w:rPr>
        <w:t>来存档。</w:t>
      </w:r>
    </w:p>
    <w:p>
      <w:pPr>
        <w:spacing w:line="360" w:lineRule="auto"/>
        <w:ind w:firstLine="602" w:firstLineChars="250"/>
        <w:rPr>
          <w:rFonts w:ascii="宋体" w:hAnsi="宋体"/>
          <w:b/>
          <w:sz w:val="24"/>
        </w:rPr>
      </w:pPr>
      <w:r>
        <w:rPr>
          <w:rFonts w:ascii="宋体" w:hAnsi="宋体"/>
          <w:b/>
          <w:sz w:val="24"/>
        </w:rPr>
        <w:t>2</w:t>
      </w:r>
      <w:r>
        <w:rPr>
          <w:rFonts w:hint="eastAsia" w:ascii="宋体" w:hAnsi="宋体"/>
          <w:b/>
          <w:sz w:val="24"/>
        </w:rPr>
        <w:t>、知识产权管理系统工作（不限于）</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）专利的全生命周期流程管理按照我单位提供的表单进行管理，每月</w:t>
      </w:r>
      <w:r>
        <w:rPr>
          <w:rFonts w:ascii="宋体" w:hAnsi="宋体"/>
          <w:sz w:val="24"/>
        </w:rPr>
        <w:t>1</w:t>
      </w:r>
      <w:r>
        <w:rPr>
          <w:rFonts w:hint="eastAsia" w:ascii="宋体" w:hAnsi="宋体"/>
          <w:sz w:val="24"/>
        </w:rPr>
        <w:t>日向我单位发回表单及表单涉及文件。表单至少包括案件来源、交底书名称、申请文件名称、发明人、申请人、代理人及联系方式——请日、申请号——一通发文日、一通答复日——中通发文日、中通答复日——结案（授权</w:t>
      </w:r>
      <w:r>
        <w:rPr>
          <w:rFonts w:ascii="宋体" w:hAnsi="宋体"/>
          <w:sz w:val="24"/>
        </w:rPr>
        <w:t>\</w:t>
      </w:r>
      <w:r>
        <w:rPr>
          <w:rFonts w:hint="eastAsia" w:ascii="宋体" w:hAnsi="宋体"/>
          <w:sz w:val="24"/>
        </w:rPr>
        <w:t>驳回）。</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）各节点的官方文件均邮件发送我单位、费用信息提交表单进行维护。</w:t>
      </w:r>
    </w:p>
    <w:p>
      <w:pPr>
        <w:spacing w:line="360" w:lineRule="auto"/>
        <w:ind w:firstLine="602" w:firstLineChars="250"/>
        <w:rPr>
          <w:rFonts w:ascii="宋体" w:hAnsi="宋体"/>
          <w:b/>
          <w:sz w:val="24"/>
        </w:rPr>
      </w:pPr>
      <w:r>
        <w:rPr>
          <w:rFonts w:ascii="宋体" w:hAnsi="宋体"/>
          <w:b/>
          <w:sz w:val="24"/>
        </w:rPr>
        <w:t>3</w:t>
      </w:r>
      <w:r>
        <w:rPr>
          <w:rFonts w:hint="eastAsia" w:ascii="宋体" w:hAnsi="宋体"/>
          <w:b/>
          <w:sz w:val="24"/>
        </w:rPr>
        <w:t>、知识产权运营工作（不限于）</w:t>
      </w:r>
    </w:p>
    <w:p>
      <w:pPr>
        <w:spacing w:line="360" w:lineRule="auto"/>
        <w:ind w:firstLine="960" w:firstLineChars="4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）为知识产权运营工作提供法律、技术支撑。</w:t>
      </w:r>
    </w:p>
    <w:p>
      <w:pPr>
        <w:spacing w:line="360" w:lineRule="auto"/>
        <w:ind w:firstLine="960" w:firstLineChars="400"/>
        <w:rPr>
          <w:rFonts w:ascii="宋体" w:hAnsi="宋体"/>
          <w:b/>
          <w:bCs/>
          <w:kern w:val="0"/>
          <w:sz w:val="24"/>
          <w:lang w:val="zh-CN"/>
        </w:rPr>
      </w:pPr>
      <w:r>
        <w:rPr>
          <w:rFonts w:hint="eastAsia" w:ascii="宋体" w:hAnsi="宋体"/>
          <w:sz w:val="24"/>
        </w:rPr>
        <w:t>（</w:t>
      </w:r>
      <w:r>
        <w:rPr>
          <w:rFonts w:ascii="宋体" w:hAnsi="宋体"/>
          <w:sz w:val="24"/>
        </w:rPr>
        <w:t>2</w:t>
      </w:r>
      <w:r>
        <w:rPr>
          <w:rFonts w:hint="eastAsia" w:ascii="宋体" w:hAnsi="宋体"/>
          <w:sz w:val="24"/>
        </w:rPr>
        <w:t>）协助提供知识产权运营优先信息，协助开展知识产权运营和成果转化探索，包含但不限于许可、转让、作价出资、产学研合作、横向委托等。</w:t>
      </w:r>
      <w:bookmarkStart w:id="59" w:name="_Hlk90282659"/>
    </w:p>
    <w:p>
      <w:pPr>
        <w:spacing w:line="360" w:lineRule="auto"/>
        <w:ind w:firstLine="482" w:firstLineChars="200"/>
        <w:rPr>
          <w:rFonts w:ascii="宋体" w:hAnsi="宋体"/>
          <w:b/>
          <w:sz w:val="24"/>
        </w:rPr>
      </w:pPr>
      <w:r>
        <w:rPr>
          <w:rFonts w:ascii="宋体" w:hAnsi="宋体"/>
          <w:b/>
          <w:sz w:val="24"/>
        </w:rPr>
        <w:t xml:space="preserve"> 4</w:t>
      </w:r>
      <w:r>
        <w:rPr>
          <w:rFonts w:hint="eastAsia" w:ascii="宋体" w:hAnsi="宋体"/>
          <w:b/>
          <w:sz w:val="24"/>
        </w:rPr>
        <w:t>、各项费用参考收费标准：</w:t>
      </w:r>
      <w:bookmarkEnd w:id="59"/>
    </w:p>
    <w:tbl>
      <w:tblPr>
        <w:tblStyle w:val="3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9"/>
        <w:gridCol w:w="189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bookmarkStart w:id="60" w:name="_Hlk90282334"/>
            <w:r>
              <w:rPr>
                <w:rFonts w:hint="eastAsia" w:ascii="宋体" w:hAnsi="宋体"/>
                <w:b/>
                <w:bCs/>
                <w:kern w:val="0"/>
                <w:sz w:val="24"/>
              </w:rPr>
              <w:t>单项代理费最高限价(单位：人民币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国内专利申请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序号</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一</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kern w:val="0"/>
                <w:sz w:val="24"/>
              </w:rPr>
            </w:pPr>
            <w:r>
              <w:rPr>
                <w:rFonts w:hint="eastAsia" w:ascii="宋体" w:hAnsi="宋体"/>
                <w:kern w:val="0"/>
                <w:sz w:val="24"/>
              </w:rPr>
              <w:t>发明申请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申请至首次结案（授权或驳回）</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二</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kern w:val="0"/>
                <w:sz w:val="24"/>
              </w:rPr>
            </w:pPr>
            <w:r>
              <w:rPr>
                <w:rFonts w:hint="eastAsia" w:ascii="宋体" w:hAnsi="宋体"/>
                <w:kern w:val="0"/>
                <w:sz w:val="24"/>
              </w:rPr>
              <w:t>实用新型申请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实用新型申请</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2</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实用新型与发明同日申请</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三</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kern w:val="0"/>
                <w:sz w:val="24"/>
              </w:rPr>
            </w:pPr>
            <w:r>
              <w:rPr>
                <w:rFonts w:hint="eastAsia" w:ascii="宋体" w:hAnsi="宋体"/>
                <w:kern w:val="0"/>
                <w:sz w:val="24"/>
              </w:rPr>
              <w:t>外观设计申请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外观设计申请</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序号</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软件著作权</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集成电路布图设计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序号</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单位</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33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集成电路布图设计</w:t>
            </w:r>
          </w:p>
        </w:tc>
        <w:tc>
          <w:tcPr>
            <w:tcW w:w="18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每件</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1000</w:t>
            </w:r>
          </w:p>
        </w:tc>
      </w:tr>
      <w:bookmarkEnd w:id="60"/>
    </w:tbl>
    <w:p>
      <w:pPr>
        <w:spacing w:line="360" w:lineRule="auto"/>
        <w:ind w:firstLine="480" w:firstLineChars="200"/>
        <w:rPr>
          <w:rFonts w:ascii="宋体" w:hAnsi="宋体"/>
          <w:b/>
          <w:sz w:val="24"/>
        </w:rPr>
      </w:pPr>
      <w:r>
        <w:rPr>
          <w:rFonts w:hint="eastAsia" w:ascii="宋体" w:hAnsi="宋体"/>
          <w:bCs/>
          <w:kern w:val="0"/>
          <w:sz w:val="24"/>
        </w:rPr>
        <w:t xml:space="preserve"> </w:t>
      </w:r>
      <w:r>
        <w:rPr>
          <w:rFonts w:ascii="宋体" w:hAnsi="宋体"/>
          <w:b/>
          <w:sz w:val="24"/>
        </w:rPr>
        <w:t xml:space="preserve"> 5</w:t>
      </w:r>
      <w:r>
        <w:rPr>
          <w:rFonts w:hint="eastAsia" w:ascii="宋体" w:hAnsi="宋体"/>
          <w:b/>
          <w:sz w:val="24"/>
        </w:rPr>
        <w:t>、考核标准：</w:t>
      </w:r>
    </w:p>
    <w:tbl>
      <w:tblPr>
        <w:tblStyle w:val="31"/>
        <w:tblW w:w="8260" w:type="dxa"/>
        <w:tblInd w:w="0" w:type="dxa"/>
        <w:tblLayout w:type="autofit"/>
        <w:tblCellMar>
          <w:top w:w="0" w:type="dxa"/>
          <w:left w:w="108" w:type="dxa"/>
          <w:bottom w:w="0" w:type="dxa"/>
          <w:right w:w="108" w:type="dxa"/>
        </w:tblCellMar>
      </w:tblPr>
      <w:tblGrid>
        <w:gridCol w:w="2010"/>
        <w:gridCol w:w="4240"/>
        <w:gridCol w:w="2010"/>
      </w:tblGrid>
      <w:tr>
        <w:tblPrEx>
          <w:tblCellMar>
            <w:top w:w="0" w:type="dxa"/>
            <w:left w:w="108" w:type="dxa"/>
            <w:bottom w:w="0" w:type="dxa"/>
            <w:right w:w="108" w:type="dxa"/>
          </w:tblCellMar>
        </w:tblPrEx>
        <w:trPr>
          <w:trHeight w:val="280" w:hRule="atLeast"/>
        </w:trPr>
        <w:tc>
          <w:tcPr>
            <w:tcW w:w="8260"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定量指标</w:t>
            </w:r>
          </w:p>
        </w:tc>
      </w:tr>
      <w:tr>
        <w:tblPrEx>
          <w:tblCellMar>
            <w:top w:w="0" w:type="dxa"/>
            <w:left w:w="108" w:type="dxa"/>
            <w:bottom w:w="0" w:type="dxa"/>
            <w:right w:w="108" w:type="dxa"/>
          </w:tblCellMar>
        </w:tblPrEx>
        <w:trPr>
          <w:trHeight w:val="280" w:hRule="atLeast"/>
        </w:trPr>
        <w:tc>
          <w:tcPr>
            <w:tcW w:w="20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评价指标</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评价说明</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评价结果</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权利要求数量</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7条核心权利要求+3套独权</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权利要求5-9条</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权利要求不足5条</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实施例数量</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4个以上</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2-3个</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1个</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说明书字数</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8000字以上</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5000-7999字</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5000字以下</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附图数量</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4个以上</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2-3个</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1个</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8260"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定性指标</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技术特征表述</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清楚区分必要技术特征</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独权存在不必要的技术特征</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技术特征遗漏或描述不准确</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权利要求书语言描述</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清楚简要</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存在歧义</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晦涩不清</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84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说明书公开充分</w:t>
            </w: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说明书对发明或者实用新型做出清楚、完整的说明，所属技术领域的技术人员能够实现。</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84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说明书对发明或者实用新型的描述存在歧义或不确定，可能导致本领域技术人员不能实现发明或实用新型的技术方案。</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140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对技术方案的描述不完整或不清楚，本领域技术人员不能根据说明书的描述实现该发明或实用新型的技术方案，或不能解决其技术问题，或不能产生预期的技术效果，或照抄交底书</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独权中上位概括</w:t>
            </w: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全面上位概括</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适当上位概括</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未进行上位概括或照抄交底书</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权利要求布局合理性</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全面上位概括适当上位概括</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未进行上位概括</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充分考虑权利要求的覆盖对象和覆盖范围</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代理人撰稿时效</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符合约定返稿时限</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超过返稿时限5个工作日内（含五日）</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超过返稿时限5个工作日以上</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r>
      <w:tr>
        <w:tblPrEx>
          <w:tblCellMar>
            <w:top w:w="0" w:type="dxa"/>
            <w:left w:w="108" w:type="dxa"/>
            <w:bottom w:w="0" w:type="dxa"/>
            <w:right w:w="108" w:type="dxa"/>
          </w:tblCellMar>
        </w:tblPrEx>
        <w:trPr>
          <w:trHeight w:val="280" w:hRule="atLeast"/>
        </w:trPr>
        <w:tc>
          <w:tcPr>
            <w:tcW w:w="8260" w:type="dxa"/>
            <w:gridSpan w:val="3"/>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申请文本撰写质量评价等级划分质量等级评价标准</w:t>
            </w:r>
          </w:p>
        </w:tc>
      </w:tr>
      <w:tr>
        <w:tblPrEx>
          <w:tblCellMar>
            <w:top w:w="0" w:type="dxa"/>
            <w:left w:w="108" w:type="dxa"/>
            <w:bottom w:w="0" w:type="dxa"/>
            <w:right w:w="108" w:type="dxa"/>
          </w:tblCellMar>
        </w:tblPrEx>
        <w:trPr>
          <w:trHeight w:val="28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高</w:t>
            </w:r>
          </w:p>
        </w:tc>
        <w:tc>
          <w:tcPr>
            <w:tcW w:w="42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评价结果均为“高”级评价</w:t>
            </w:r>
          </w:p>
        </w:tc>
        <w:tc>
          <w:tcPr>
            <w:tcW w:w="201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w:t>
            </w:r>
          </w:p>
        </w:tc>
      </w:tr>
      <w:tr>
        <w:tblPrEx>
          <w:tblCellMar>
            <w:top w:w="0" w:type="dxa"/>
            <w:left w:w="108" w:type="dxa"/>
            <w:bottom w:w="0" w:type="dxa"/>
            <w:right w:w="108" w:type="dxa"/>
          </w:tblCellMar>
        </w:tblPrEx>
        <w:trPr>
          <w:trHeight w:val="28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6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评价结果包含1-2个“中”级评价，且无“低”级评价中</w:t>
            </w:r>
          </w:p>
        </w:tc>
      </w:tr>
      <w:tr>
        <w:tblPrEx>
          <w:tblCellMar>
            <w:top w:w="0" w:type="dxa"/>
            <w:left w:w="108" w:type="dxa"/>
            <w:bottom w:w="0" w:type="dxa"/>
            <w:right w:w="108" w:type="dxa"/>
          </w:tblCellMar>
        </w:tblPrEx>
        <w:trPr>
          <w:trHeight w:val="560" w:hRule="atLeast"/>
        </w:trPr>
        <w:tc>
          <w:tcPr>
            <w:tcW w:w="20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中</w:t>
            </w:r>
          </w:p>
        </w:tc>
        <w:tc>
          <w:tcPr>
            <w:tcW w:w="6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评价结果包含3-5个“中”级评价，且无“低”级评价中</w:t>
            </w:r>
          </w:p>
        </w:tc>
      </w:tr>
      <w:tr>
        <w:tblPrEx>
          <w:tblCellMar>
            <w:top w:w="0" w:type="dxa"/>
            <w:left w:w="108" w:type="dxa"/>
            <w:bottom w:w="0" w:type="dxa"/>
            <w:right w:w="108" w:type="dxa"/>
          </w:tblCellMar>
        </w:tblPrEx>
        <w:trPr>
          <w:trHeight w:val="840" w:hRule="atLeast"/>
        </w:trPr>
        <w:tc>
          <w:tcPr>
            <w:tcW w:w="20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等线" w:eastAsia="仿宋_GB2312" w:cs="宋体"/>
                <w:color w:val="000000"/>
                <w:kern w:val="0"/>
                <w:szCs w:val="21"/>
              </w:rPr>
            </w:pPr>
          </w:p>
        </w:tc>
        <w:tc>
          <w:tcPr>
            <w:tcW w:w="6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评价结果包含1-2个“中”级评价，且1-2个“低”级评价低</w:t>
            </w:r>
          </w:p>
        </w:tc>
      </w:tr>
      <w:tr>
        <w:tblPrEx>
          <w:tblCellMar>
            <w:top w:w="0" w:type="dxa"/>
            <w:left w:w="108" w:type="dxa"/>
            <w:bottom w:w="0" w:type="dxa"/>
            <w:right w:w="108" w:type="dxa"/>
          </w:tblCellMar>
        </w:tblPrEx>
        <w:trPr>
          <w:trHeight w:val="280" w:hRule="atLeast"/>
        </w:trPr>
        <w:tc>
          <w:tcPr>
            <w:tcW w:w="20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低</w:t>
            </w:r>
          </w:p>
        </w:tc>
        <w:tc>
          <w:tcPr>
            <w:tcW w:w="62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其余评价结果</w:t>
            </w:r>
          </w:p>
        </w:tc>
      </w:tr>
    </w:tbl>
    <w:p>
      <w:pPr>
        <w:spacing w:line="360" w:lineRule="auto"/>
        <w:rPr>
          <w:rFonts w:ascii="宋体" w:hAnsi="宋体"/>
          <w:color w:val="000000"/>
          <w:sz w:val="24"/>
        </w:rPr>
      </w:pPr>
      <w:r>
        <w:rPr>
          <w:rFonts w:hint="eastAsia" w:ascii="宋体" w:hAnsi="宋体"/>
          <w:bCs/>
          <w:kern w:val="0"/>
          <w:sz w:val="24"/>
        </w:rPr>
        <w:t>每年对代理所案件进行考核，若高评级多余6</w:t>
      </w:r>
      <w:r>
        <w:rPr>
          <w:rFonts w:ascii="宋体" w:hAnsi="宋体"/>
          <w:bCs/>
          <w:kern w:val="0"/>
          <w:sz w:val="24"/>
        </w:rPr>
        <w:t>0%</w:t>
      </w:r>
      <w:r>
        <w:rPr>
          <w:rFonts w:hint="eastAsia" w:ascii="宋体" w:hAnsi="宋体"/>
          <w:bCs/>
          <w:kern w:val="0"/>
          <w:sz w:val="24"/>
        </w:rPr>
        <w:t>且低评级少于1</w:t>
      </w:r>
      <w:r>
        <w:rPr>
          <w:rFonts w:ascii="宋体" w:hAnsi="宋体"/>
          <w:bCs/>
          <w:kern w:val="0"/>
          <w:sz w:val="24"/>
        </w:rPr>
        <w:t>0%</w:t>
      </w:r>
      <w:r>
        <w:rPr>
          <w:rFonts w:hint="eastAsia" w:ascii="宋体" w:hAnsi="宋体"/>
          <w:bCs/>
          <w:kern w:val="0"/>
          <w:sz w:val="24"/>
        </w:rPr>
        <w:t>，则为</w:t>
      </w:r>
      <w:r>
        <w:rPr>
          <w:rFonts w:hint="eastAsia" w:ascii="宋体" w:hAnsi="宋体"/>
          <w:color w:val="000000"/>
          <w:sz w:val="24"/>
        </w:rPr>
        <w:t>考核合格；若高评级少于</w:t>
      </w:r>
      <w:r>
        <w:rPr>
          <w:rFonts w:ascii="宋体" w:hAnsi="宋体"/>
          <w:color w:val="000000"/>
          <w:sz w:val="24"/>
        </w:rPr>
        <w:t>40%</w:t>
      </w:r>
      <w:r>
        <w:rPr>
          <w:rFonts w:hint="eastAsia" w:ascii="宋体" w:hAnsi="宋体"/>
          <w:color w:val="000000"/>
          <w:sz w:val="24"/>
        </w:rPr>
        <w:t>且低评级多余</w:t>
      </w:r>
      <w:r>
        <w:rPr>
          <w:rFonts w:ascii="宋体" w:hAnsi="宋体"/>
          <w:color w:val="000000"/>
          <w:sz w:val="24"/>
        </w:rPr>
        <w:t>30%</w:t>
      </w:r>
      <w:r>
        <w:rPr>
          <w:rFonts w:hint="eastAsia" w:ascii="宋体" w:hAnsi="宋体"/>
          <w:color w:val="000000"/>
          <w:sz w:val="24"/>
        </w:rPr>
        <w:t>，</w:t>
      </w:r>
      <w:r>
        <w:rPr>
          <w:rFonts w:hint="eastAsia" w:ascii="宋体" w:hAnsi="宋体"/>
          <w:bCs/>
          <w:kern w:val="0"/>
          <w:sz w:val="24"/>
        </w:rPr>
        <w:t>则为</w:t>
      </w:r>
      <w:r>
        <w:rPr>
          <w:rFonts w:hint="eastAsia" w:ascii="宋体" w:hAnsi="宋体"/>
          <w:color w:val="000000"/>
          <w:sz w:val="24"/>
        </w:rPr>
        <w:t>考核不合格；其他情况由双方协商整改方案，协商无果则为考核不合格。</w:t>
      </w:r>
    </w:p>
    <w:p>
      <w:pPr>
        <w:pStyle w:val="2"/>
        <w:rPr>
          <w:rFonts w:ascii="宋体" w:hAnsi="宋体"/>
          <w:bCs/>
          <w:kern w:val="0"/>
          <w:sz w:val="24"/>
        </w:rPr>
      </w:pPr>
    </w:p>
    <w:p>
      <w:pPr>
        <w:spacing w:line="360" w:lineRule="auto"/>
        <w:rPr>
          <w:rFonts w:ascii="宋体" w:hAnsi="宋体"/>
          <w:bCs/>
          <w:kern w:val="0"/>
          <w:sz w:val="24"/>
        </w:rPr>
      </w:pPr>
      <w:bookmarkStart w:id="61" w:name="_Hlk90282365"/>
      <w:r>
        <w:rPr>
          <w:rFonts w:hint="eastAsia" w:ascii="宋体" w:hAnsi="宋体"/>
          <w:bCs/>
          <w:kern w:val="0"/>
          <w:sz w:val="24"/>
        </w:rPr>
        <w:t>商务条款：</w:t>
      </w:r>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★以上报价为独立申请人的代理费报价，国内专利申请代理费采用撰稿、申请以及实审程序统一打包代理费的形式进行协商；官方费用按实际发生的收取。</w:t>
      </w:r>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国外专利申请代理费采用国内机构费用与国外机构费用统一打包的形式协商，国外机构费用为预计款额，该款额应包括所有境外所申请发生的费用，国内代理费实行包干制（不含申请文本的翻译费），单价报价。</w:t>
      </w:r>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★委托代理公司代理专利申请时，代理费标准不得超出本价目表价格；中国专利可以与代理机构签署总委托合同，我单位将根据发明人的意见定期派案。</w:t>
      </w:r>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★以上技术要求及服务内容包括并不限于上述内容，可以根据法律法规以及我单位管理需求变化进行调整，未尽事宜另行协商。</w:t>
      </w:r>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★投标人投标报价超出采购预算的或者超出</w:t>
      </w:r>
      <w:r>
        <w:rPr>
          <w:rFonts w:hint="eastAsia" w:ascii="宋体" w:hAnsi="宋体"/>
          <w:kern w:val="0"/>
          <w:sz w:val="24"/>
        </w:rPr>
        <w:t>单项代理费最高限价的</w:t>
      </w:r>
      <w:r>
        <w:rPr>
          <w:rFonts w:hint="eastAsia" w:ascii="宋体" w:hAnsi="宋体"/>
          <w:bCs/>
          <w:kern w:val="0"/>
          <w:sz w:val="24"/>
        </w:rPr>
        <w:t>，按无效投标处理。</w:t>
      </w:r>
      <w:bookmarkEnd w:id="61"/>
    </w:p>
    <w:p>
      <w:pPr>
        <w:pStyle w:val="67"/>
        <w:numPr>
          <w:ilvl w:val="0"/>
          <w:numId w:val="4"/>
        </w:numPr>
        <w:spacing w:line="360" w:lineRule="auto"/>
        <w:ind w:left="480" w:firstLine="480"/>
        <w:rPr>
          <w:rFonts w:ascii="宋体" w:hAnsi="宋体"/>
          <w:bCs/>
          <w:kern w:val="0"/>
          <w:sz w:val="24"/>
        </w:rPr>
      </w:pPr>
      <w:r>
        <w:rPr>
          <w:rFonts w:hint="eastAsia" w:ascii="宋体" w:hAnsi="宋体"/>
          <w:bCs/>
          <w:kern w:val="0"/>
          <w:sz w:val="24"/>
        </w:rPr>
        <w:t>★以上技术要求及服务内容包括并不限于上述内容，可以根据法律法规以及我单位管理需求变化进行调整，未尽事宜另行协商。</w:t>
      </w:r>
    </w:p>
    <w:p>
      <w:pPr>
        <w:spacing w:line="360" w:lineRule="auto"/>
        <w:rPr>
          <w:rFonts w:ascii="宋体" w:hAnsi="宋体"/>
          <w:bCs/>
          <w:kern w:val="0"/>
          <w:sz w:val="24"/>
        </w:rPr>
      </w:pPr>
    </w:p>
    <w:p>
      <w:pPr>
        <w:rPr>
          <w:rFonts w:ascii="Calibri" w:hAnsi="Calibri"/>
        </w:rPr>
      </w:pPr>
    </w:p>
    <w:p>
      <w:pPr>
        <w:widowControl/>
        <w:jc w:val="left"/>
        <w:rPr>
          <w:rFonts w:ascii="黑体" w:eastAsia="黑体"/>
          <w:b/>
          <w:sz w:val="48"/>
        </w:rPr>
      </w:pPr>
      <w:r>
        <w:rPr>
          <w:rFonts w:ascii="黑体" w:eastAsia="黑体"/>
          <w:b/>
          <w:sz w:val="48"/>
        </w:rPr>
        <w:br w:type="page"/>
      </w:r>
    </w:p>
    <w:p>
      <w:pPr>
        <w:jc w:val="center"/>
        <w:rPr>
          <w:rFonts w:ascii="黑体" w:eastAsia="黑体"/>
          <w:b/>
          <w:sz w:val="48"/>
        </w:rPr>
      </w:pPr>
      <w:r>
        <w:rPr>
          <w:rFonts w:hint="eastAsia" w:ascii="黑体" w:eastAsia="黑体"/>
          <w:b/>
          <w:sz w:val="48"/>
        </w:rPr>
        <w:t>第五部分合同条款</w:t>
      </w:r>
      <w:bookmarkEnd w:id="58"/>
    </w:p>
    <w:p>
      <w:pPr>
        <w:spacing w:line="360" w:lineRule="auto"/>
        <w:jc w:val="center"/>
        <w:rPr>
          <w:rFonts w:ascii="宋体" w:hAnsi="宋体"/>
          <w:sz w:val="24"/>
        </w:rPr>
      </w:pPr>
      <w:bookmarkStart w:id="62" w:name="_Toc399234214"/>
    </w:p>
    <w:p>
      <w:pPr>
        <w:adjustRightInd w:val="0"/>
        <w:snapToGrid w:val="0"/>
        <w:spacing w:line="360" w:lineRule="auto"/>
        <w:jc w:val="center"/>
        <w:rPr>
          <w:rFonts w:ascii="宋体" w:hAnsi="宋体" w:cs="宋体"/>
          <w:b/>
          <w:sz w:val="24"/>
        </w:rPr>
      </w:pPr>
      <w:r>
        <w:rPr>
          <w:rFonts w:hint="eastAsia" w:ascii="宋体" w:hAnsi="宋体" w:cs="宋体"/>
          <w:b/>
          <w:sz w:val="24"/>
        </w:rPr>
        <w:t>合同范本（仅供参考，以中标后双方签订的具体合同为准）</w:t>
      </w:r>
    </w:p>
    <w:p>
      <w:pPr>
        <w:pStyle w:val="30"/>
      </w:pPr>
    </w:p>
    <w:bookmarkEnd w:id="62"/>
    <w:p>
      <w:pPr>
        <w:spacing w:line="360" w:lineRule="auto"/>
        <w:rPr>
          <w:rFonts w:ascii="宋体" w:hAnsi="宋体"/>
          <w:b/>
          <w:sz w:val="24"/>
        </w:rPr>
      </w:pPr>
      <w:r>
        <w:rPr>
          <w:rFonts w:hint="eastAsia" w:ascii="宋体" w:hAnsi="宋体"/>
          <w:sz w:val="24"/>
        </w:rPr>
        <w:t>甲方：</w:t>
      </w:r>
      <w:r>
        <w:rPr>
          <w:rFonts w:hint="eastAsia" w:ascii="宋体" w:hAnsi="宋体"/>
          <w:b/>
          <w:sz w:val="24"/>
        </w:rPr>
        <w:t xml:space="preserve"> </w:t>
      </w:r>
    </w:p>
    <w:p>
      <w:pPr>
        <w:ind w:right="-716" w:rightChars="-341"/>
        <w:rPr>
          <w:rFonts w:ascii="宋体" w:hAnsi="宋体"/>
          <w:sz w:val="24"/>
        </w:rPr>
      </w:pPr>
      <w:r>
        <w:rPr>
          <w:rFonts w:hint="eastAsia" w:ascii="宋体" w:hAnsi="宋体"/>
          <w:sz w:val="24"/>
        </w:rPr>
        <w:t>乙方：</w:t>
      </w:r>
    </w:p>
    <w:p>
      <w:pPr>
        <w:ind w:right="-716" w:rightChars="-341"/>
        <w:rPr>
          <w:rFonts w:ascii="宋体" w:hAnsi="宋体"/>
          <w:sz w:val="24"/>
        </w:rPr>
      </w:pP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为使甲方的技术成果得到充分的法律保护，通过甲、乙双方共同合作，为甲方建立并完善知识产权体系，提高甲方的无形资产价值和竞争力，经甲乙双方协商一致，签订如下合作协议：</w:t>
      </w:r>
    </w:p>
    <w:p>
      <w:pPr>
        <w:spacing w:line="360" w:lineRule="auto"/>
        <w:rPr>
          <w:rFonts w:ascii="宋体" w:hAnsi="宋体"/>
          <w:sz w:val="24"/>
        </w:rPr>
      </w:pPr>
      <w:r>
        <w:rPr>
          <w:rFonts w:hint="eastAsia" w:ascii="宋体" w:hAnsi="宋体"/>
          <w:b/>
          <w:bCs/>
          <w:sz w:val="24"/>
        </w:rPr>
        <w:t>一、代理服务范围</w:t>
      </w:r>
    </w:p>
    <w:p>
      <w:pPr>
        <w:spacing w:line="360" w:lineRule="auto"/>
        <w:rPr>
          <w:rFonts w:ascii="宋体" w:hAnsi="宋体"/>
          <w:sz w:val="24"/>
        </w:rPr>
      </w:pPr>
      <w:r>
        <w:rPr>
          <w:rFonts w:hint="eastAsia" w:ascii="宋体" w:hAnsi="宋体"/>
          <w:sz w:val="24"/>
        </w:rPr>
        <w:t>甲方委托乙方代理甲方的专利申请等知识产权相关事宜。乙方接受甲方聘用，并竭诚为甲方提供全方位的专利等相关知识产权服务。知识产权代理服务主要项目如下：</w:t>
      </w:r>
    </w:p>
    <w:p>
      <w:pPr>
        <w:spacing w:line="360" w:lineRule="auto"/>
        <w:rPr>
          <w:rFonts w:ascii="宋体" w:hAnsi="宋体"/>
          <w:sz w:val="24"/>
        </w:rPr>
      </w:pPr>
      <w:r>
        <w:rPr>
          <w:rFonts w:hint="eastAsia" w:ascii="宋体" w:hAnsi="宋体"/>
          <w:sz w:val="24"/>
        </w:rPr>
        <w:t>创新点的发现与梳理，专利的挖掘与布局；</w:t>
      </w:r>
    </w:p>
    <w:p>
      <w:pPr>
        <w:pStyle w:val="67"/>
        <w:numPr>
          <w:ilvl w:val="0"/>
          <w:numId w:val="5"/>
        </w:numPr>
        <w:spacing w:line="360" w:lineRule="auto"/>
        <w:ind w:firstLineChars="0"/>
        <w:rPr>
          <w:rFonts w:ascii="宋体" w:hAnsi="宋体"/>
          <w:sz w:val="24"/>
        </w:rPr>
      </w:pPr>
      <w:r>
        <w:rPr>
          <w:rFonts w:hint="eastAsia" w:ascii="宋体" w:hAnsi="宋体"/>
          <w:sz w:val="24"/>
        </w:rPr>
        <w:t>专利申请、商标注册、版权登记（包括软件登记、集成电路布图设计登记等）等事务；</w:t>
      </w:r>
    </w:p>
    <w:p>
      <w:pPr>
        <w:pStyle w:val="67"/>
        <w:numPr>
          <w:ilvl w:val="0"/>
          <w:numId w:val="5"/>
        </w:numPr>
        <w:spacing w:line="360" w:lineRule="auto"/>
        <w:ind w:firstLineChars="0"/>
        <w:rPr>
          <w:rFonts w:ascii="宋体" w:hAnsi="宋体"/>
          <w:sz w:val="24"/>
        </w:rPr>
      </w:pPr>
      <w:r>
        <w:rPr>
          <w:rFonts w:hint="eastAsia" w:ascii="宋体" w:hAnsi="宋体"/>
          <w:sz w:val="24"/>
        </w:rPr>
        <w:t>专利检索及侵权分析；</w:t>
      </w:r>
    </w:p>
    <w:p>
      <w:pPr>
        <w:pStyle w:val="67"/>
        <w:numPr>
          <w:ilvl w:val="0"/>
          <w:numId w:val="5"/>
        </w:numPr>
        <w:spacing w:line="360" w:lineRule="auto"/>
        <w:ind w:firstLineChars="0"/>
        <w:rPr>
          <w:rFonts w:ascii="宋体" w:hAnsi="宋体"/>
          <w:sz w:val="24"/>
        </w:rPr>
      </w:pPr>
      <w:r>
        <w:rPr>
          <w:rFonts w:hint="eastAsia" w:ascii="宋体" w:hAnsi="宋体"/>
          <w:sz w:val="24"/>
        </w:rPr>
        <w:t>专利复审、无效以及其它知识产权维权诉讼案件；</w:t>
      </w:r>
    </w:p>
    <w:p>
      <w:pPr>
        <w:pStyle w:val="67"/>
        <w:numPr>
          <w:ilvl w:val="0"/>
          <w:numId w:val="5"/>
        </w:numPr>
        <w:spacing w:line="360" w:lineRule="auto"/>
        <w:ind w:firstLineChars="0"/>
        <w:rPr>
          <w:rFonts w:ascii="宋体" w:hAnsi="宋体"/>
          <w:sz w:val="24"/>
        </w:rPr>
      </w:pPr>
      <w:r>
        <w:rPr>
          <w:rFonts w:hint="eastAsia" w:ascii="宋体" w:hAnsi="宋体"/>
          <w:sz w:val="24"/>
        </w:rPr>
        <w:t>知识产权培训以及科研项目的研发拓展咨询服务；</w:t>
      </w:r>
    </w:p>
    <w:p>
      <w:pPr>
        <w:pStyle w:val="67"/>
        <w:numPr>
          <w:ilvl w:val="0"/>
          <w:numId w:val="5"/>
        </w:numPr>
        <w:spacing w:line="360" w:lineRule="auto"/>
        <w:ind w:firstLineChars="0"/>
        <w:rPr>
          <w:rFonts w:ascii="宋体" w:hAnsi="宋体"/>
          <w:sz w:val="24"/>
        </w:rPr>
      </w:pPr>
      <w:r>
        <w:rPr>
          <w:rFonts w:hint="eastAsia" w:ascii="宋体" w:hAnsi="宋体"/>
          <w:sz w:val="24"/>
        </w:rPr>
        <w:t>提供知识产权后续管理和监控服务；</w:t>
      </w:r>
    </w:p>
    <w:p>
      <w:pPr>
        <w:spacing w:line="360" w:lineRule="auto"/>
        <w:rPr>
          <w:rFonts w:ascii="宋体" w:hAnsi="宋体"/>
          <w:sz w:val="24"/>
        </w:rPr>
      </w:pPr>
      <w:r>
        <w:rPr>
          <w:rFonts w:hint="eastAsia" w:ascii="宋体" w:hAnsi="宋体"/>
          <w:sz w:val="24"/>
        </w:rPr>
        <w:t>其它知识产权服务。</w:t>
      </w:r>
    </w:p>
    <w:p>
      <w:pPr>
        <w:spacing w:line="360" w:lineRule="auto"/>
        <w:rPr>
          <w:rFonts w:ascii="宋体" w:hAnsi="宋体"/>
          <w:b/>
          <w:bCs/>
          <w:sz w:val="24"/>
        </w:rPr>
      </w:pPr>
      <w:r>
        <w:rPr>
          <w:rFonts w:hint="eastAsia" w:ascii="宋体" w:hAnsi="宋体"/>
          <w:b/>
          <w:bCs/>
          <w:sz w:val="24"/>
        </w:rPr>
        <w:t>二、双方义务</w:t>
      </w:r>
    </w:p>
    <w:p>
      <w:pPr>
        <w:spacing w:line="360" w:lineRule="auto"/>
        <w:rPr>
          <w:rFonts w:ascii="宋体" w:hAnsi="宋体"/>
          <w:sz w:val="24"/>
        </w:rPr>
      </w:pPr>
      <w:r>
        <w:rPr>
          <w:rFonts w:hint="eastAsia" w:ascii="宋体" w:hAnsi="宋体"/>
          <w:sz w:val="24"/>
        </w:rPr>
        <w:t>甲方的权利及义务</w:t>
      </w:r>
    </w:p>
    <w:p>
      <w:pPr>
        <w:pStyle w:val="67"/>
        <w:numPr>
          <w:ilvl w:val="0"/>
          <w:numId w:val="6"/>
        </w:numPr>
        <w:spacing w:line="360" w:lineRule="auto"/>
        <w:ind w:firstLineChars="0"/>
        <w:rPr>
          <w:rFonts w:ascii="宋体" w:hAnsi="宋体"/>
          <w:sz w:val="24"/>
        </w:rPr>
      </w:pPr>
      <w:r>
        <w:rPr>
          <w:rFonts w:hint="eastAsia" w:ascii="宋体" w:hAnsi="宋体"/>
          <w:sz w:val="24"/>
        </w:rPr>
        <w:t>甲方有知识产权项目需要委托乙方代理时，通过甲方自有的管理系统或者邮件进行指示，其中应明确给出代理事务的具体项目内容、联系人及联系方式等信息。</w:t>
      </w:r>
    </w:p>
    <w:p>
      <w:pPr>
        <w:pStyle w:val="67"/>
        <w:numPr>
          <w:ilvl w:val="0"/>
          <w:numId w:val="6"/>
        </w:numPr>
        <w:spacing w:line="360" w:lineRule="auto"/>
        <w:ind w:firstLineChars="0"/>
        <w:rPr>
          <w:rFonts w:ascii="宋体" w:hAnsi="宋体"/>
          <w:sz w:val="24"/>
        </w:rPr>
      </w:pPr>
      <w:r>
        <w:rPr>
          <w:rFonts w:hint="eastAsia" w:ascii="宋体" w:hAnsi="宋体"/>
          <w:sz w:val="24"/>
        </w:rPr>
        <w:t>甲方指定案件联系人，并协助乙方完成知识产权代理项目。</w:t>
      </w:r>
    </w:p>
    <w:p>
      <w:pPr>
        <w:pStyle w:val="67"/>
        <w:numPr>
          <w:ilvl w:val="0"/>
          <w:numId w:val="6"/>
        </w:numPr>
        <w:spacing w:line="360" w:lineRule="auto"/>
        <w:ind w:firstLineChars="0"/>
        <w:rPr>
          <w:rFonts w:ascii="宋体" w:hAnsi="宋体"/>
          <w:sz w:val="24"/>
        </w:rPr>
      </w:pPr>
      <w:r>
        <w:rPr>
          <w:rFonts w:hint="eastAsia" w:ascii="宋体" w:hAnsi="宋体"/>
          <w:sz w:val="24"/>
        </w:rPr>
        <w:t>甲方应向乙方提供为完成委托事项所需要的必要的资料和工作支持，向乙方陈述项目的背景和要求，提供技术及相关资料、数据，积极协助、配合乙方办理各项事务。</w:t>
      </w:r>
    </w:p>
    <w:p>
      <w:pPr>
        <w:pStyle w:val="67"/>
        <w:numPr>
          <w:ilvl w:val="0"/>
          <w:numId w:val="6"/>
        </w:numPr>
        <w:spacing w:line="360" w:lineRule="auto"/>
        <w:ind w:firstLineChars="0"/>
        <w:rPr>
          <w:rFonts w:ascii="宋体" w:hAnsi="宋体"/>
          <w:sz w:val="24"/>
        </w:rPr>
      </w:pPr>
      <w:r>
        <w:rPr>
          <w:rFonts w:hint="eastAsia" w:ascii="宋体" w:hAnsi="宋体"/>
          <w:sz w:val="24"/>
        </w:rPr>
        <w:t>甲方如有与本合同服务项目相关的变更事项，应及时以书面形式通知乙方。</w:t>
      </w:r>
    </w:p>
    <w:p>
      <w:pPr>
        <w:pStyle w:val="67"/>
        <w:numPr>
          <w:ilvl w:val="0"/>
          <w:numId w:val="6"/>
        </w:numPr>
        <w:spacing w:line="360" w:lineRule="auto"/>
        <w:ind w:firstLineChars="0"/>
        <w:rPr>
          <w:rFonts w:ascii="宋体" w:hAnsi="宋体"/>
          <w:sz w:val="24"/>
        </w:rPr>
      </w:pPr>
      <w:r>
        <w:rPr>
          <w:rFonts w:hint="eastAsia" w:ascii="宋体" w:hAnsi="宋体"/>
          <w:sz w:val="24"/>
        </w:rPr>
        <w:t>甲方应及时对乙方完成的代理事务给予确认。</w:t>
      </w:r>
    </w:p>
    <w:p>
      <w:pPr>
        <w:pStyle w:val="67"/>
        <w:numPr>
          <w:ilvl w:val="0"/>
          <w:numId w:val="6"/>
        </w:numPr>
        <w:spacing w:line="360" w:lineRule="auto"/>
        <w:ind w:firstLineChars="0"/>
        <w:rPr>
          <w:rFonts w:ascii="宋体" w:hAnsi="宋体"/>
          <w:sz w:val="24"/>
        </w:rPr>
      </w:pPr>
      <w:r>
        <w:rPr>
          <w:rFonts w:hint="eastAsia" w:ascii="宋体" w:hAnsi="宋体"/>
          <w:sz w:val="24"/>
        </w:rPr>
        <w:t>按合同约定向乙方支付知识产权代理费及其它相关的官方费用。</w:t>
      </w:r>
    </w:p>
    <w:p>
      <w:pPr>
        <w:pStyle w:val="67"/>
        <w:numPr>
          <w:ilvl w:val="0"/>
          <w:numId w:val="6"/>
        </w:numPr>
        <w:spacing w:line="360" w:lineRule="auto"/>
        <w:ind w:firstLineChars="0"/>
        <w:rPr>
          <w:rFonts w:ascii="宋体" w:hAnsi="宋体"/>
          <w:sz w:val="24"/>
        </w:rPr>
      </w:pPr>
      <w:r>
        <w:rPr>
          <w:rFonts w:hint="eastAsia" w:ascii="宋体" w:hAnsi="宋体"/>
          <w:sz w:val="24"/>
        </w:rPr>
        <w:t>甲方有权对乙方的工作成果进行检查，并将检查结果告知乙方。</w:t>
      </w:r>
    </w:p>
    <w:p>
      <w:pPr>
        <w:spacing w:line="360" w:lineRule="auto"/>
        <w:rPr>
          <w:rFonts w:ascii="宋体" w:hAnsi="宋体"/>
          <w:sz w:val="24"/>
        </w:rPr>
      </w:pPr>
      <w:r>
        <w:rPr>
          <w:rFonts w:hint="eastAsia" w:ascii="宋体" w:hAnsi="宋体"/>
          <w:sz w:val="24"/>
        </w:rPr>
        <w:t>乙方的权利及义务</w:t>
      </w:r>
    </w:p>
    <w:p>
      <w:pPr>
        <w:pStyle w:val="67"/>
        <w:numPr>
          <w:ilvl w:val="0"/>
          <w:numId w:val="7"/>
        </w:numPr>
        <w:spacing w:line="360" w:lineRule="auto"/>
        <w:ind w:firstLineChars="0"/>
        <w:rPr>
          <w:rFonts w:ascii="宋体" w:hAnsi="宋体"/>
          <w:sz w:val="24"/>
        </w:rPr>
      </w:pPr>
      <w:r>
        <w:rPr>
          <w:rFonts w:hint="eastAsia" w:ascii="宋体" w:hAnsi="宋体"/>
          <w:sz w:val="24"/>
        </w:rPr>
        <w:t>乙方应为甲方指定与办理相关代理事务相匹配的专业代理人，向甲方提供专业的、高素质的代理服务，并指定固定的流程联系人以及案件质量负责人，以便于双方的联系、沟通，联系人需变更时，应及时告知乙方。</w:t>
      </w:r>
    </w:p>
    <w:p>
      <w:pPr>
        <w:pStyle w:val="67"/>
        <w:numPr>
          <w:ilvl w:val="0"/>
          <w:numId w:val="7"/>
        </w:numPr>
        <w:spacing w:line="360" w:lineRule="auto"/>
        <w:ind w:firstLineChars="0"/>
        <w:rPr>
          <w:rFonts w:ascii="宋体" w:hAnsi="宋体"/>
          <w:sz w:val="24"/>
        </w:rPr>
      </w:pPr>
      <w:r>
        <w:rPr>
          <w:rFonts w:hint="eastAsia" w:ascii="宋体" w:hAnsi="宋体"/>
          <w:sz w:val="24"/>
        </w:rPr>
        <w:t>对甲方委托的事宜，乙方可采取电话、邮件、传真以及上门服务的方式，进行及时有效的联系、沟通和处理。</w:t>
      </w:r>
    </w:p>
    <w:p>
      <w:pPr>
        <w:pStyle w:val="67"/>
        <w:numPr>
          <w:ilvl w:val="0"/>
          <w:numId w:val="7"/>
        </w:numPr>
        <w:spacing w:line="360" w:lineRule="auto"/>
        <w:ind w:firstLineChars="0"/>
        <w:rPr>
          <w:rFonts w:ascii="宋体" w:hAnsi="宋体"/>
          <w:sz w:val="24"/>
        </w:rPr>
      </w:pPr>
      <w:r>
        <w:rPr>
          <w:rFonts w:hint="eastAsia" w:ascii="宋体" w:hAnsi="宋体"/>
          <w:sz w:val="24"/>
        </w:rPr>
        <w:t>乙方代理人以及相关工作人员应尽心尽职为甲方处理各项代理事务；乙方代理人需恪守代理人职责，力求凸显高质量的代理水平。</w:t>
      </w:r>
    </w:p>
    <w:p>
      <w:pPr>
        <w:pStyle w:val="67"/>
        <w:numPr>
          <w:ilvl w:val="0"/>
          <w:numId w:val="7"/>
        </w:numPr>
        <w:spacing w:line="360" w:lineRule="auto"/>
        <w:ind w:firstLineChars="0"/>
        <w:rPr>
          <w:rFonts w:ascii="宋体" w:hAnsi="宋体"/>
          <w:sz w:val="24"/>
        </w:rPr>
      </w:pPr>
      <w:r>
        <w:rPr>
          <w:rFonts w:hint="eastAsia" w:ascii="宋体" w:hAnsi="宋体"/>
          <w:sz w:val="24"/>
        </w:rPr>
        <w:t>乙方收到技术交底材料后应对该技术标的进行前案检索，并填写《专利检索记录表》书面告知甲方，甲方认为需重新检索的，乙方需重新检索。</w:t>
      </w:r>
    </w:p>
    <w:p>
      <w:pPr>
        <w:pStyle w:val="67"/>
        <w:numPr>
          <w:ilvl w:val="0"/>
          <w:numId w:val="7"/>
        </w:numPr>
        <w:spacing w:line="360" w:lineRule="auto"/>
        <w:ind w:firstLineChars="0"/>
        <w:rPr>
          <w:rFonts w:ascii="宋体" w:hAnsi="宋体"/>
          <w:sz w:val="24"/>
        </w:rPr>
      </w:pPr>
      <w:r>
        <w:rPr>
          <w:rFonts w:hint="eastAsia" w:ascii="宋体" w:hAnsi="宋体"/>
          <w:sz w:val="24"/>
        </w:rPr>
        <w:t>乙方如需提出实质性改进建议加入申请文件中，需经甲方同意认可。</w:t>
      </w:r>
    </w:p>
    <w:p>
      <w:pPr>
        <w:pStyle w:val="67"/>
        <w:numPr>
          <w:ilvl w:val="0"/>
          <w:numId w:val="7"/>
        </w:numPr>
        <w:spacing w:line="360" w:lineRule="auto"/>
        <w:ind w:firstLineChars="0"/>
        <w:rPr>
          <w:rFonts w:ascii="宋体" w:hAnsi="宋体"/>
          <w:sz w:val="24"/>
        </w:rPr>
      </w:pPr>
      <w:r>
        <w:rPr>
          <w:rFonts w:hint="eastAsia" w:ascii="宋体" w:hAnsi="宋体"/>
          <w:sz w:val="24"/>
        </w:rPr>
        <w:t>对完成的服务项目，乙方应及时交给甲方进行确认。</w:t>
      </w:r>
    </w:p>
    <w:p>
      <w:pPr>
        <w:pStyle w:val="67"/>
        <w:numPr>
          <w:ilvl w:val="0"/>
          <w:numId w:val="7"/>
        </w:numPr>
        <w:spacing w:line="360" w:lineRule="auto"/>
        <w:ind w:firstLineChars="0"/>
        <w:rPr>
          <w:rFonts w:ascii="宋体" w:hAnsi="宋体"/>
          <w:sz w:val="24"/>
        </w:rPr>
      </w:pPr>
      <w:r>
        <w:rPr>
          <w:rFonts w:hint="eastAsia" w:ascii="宋体" w:hAnsi="宋体"/>
          <w:sz w:val="24"/>
        </w:rPr>
        <w:t>乙方每年应向甲方提供至少一次针对研发或市场人员的免费专题培训。</w:t>
      </w:r>
    </w:p>
    <w:p>
      <w:pPr>
        <w:pStyle w:val="67"/>
        <w:numPr>
          <w:ilvl w:val="0"/>
          <w:numId w:val="7"/>
        </w:numPr>
        <w:spacing w:line="360" w:lineRule="auto"/>
        <w:ind w:firstLineChars="0"/>
        <w:rPr>
          <w:rFonts w:ascii="宋体" w:hAnsi="宋体"/>
          <w:sz w:val="24"/>
        </w:rPr>
      </w:pPr>
      <w:r>
        <w:rPr>
          <w:rFonts w:hint="eastAsia" w:ascii="宋体" w:hAnsi="宋体"/>
          <w:sz w:val="24"/>
        </w:rPr>
        <w:t>乙方对甲方的商业秘密和技术秘密负有永久保密的义务，并签订保密协议，在本合同终止后，双方签订的保密协议仍然有效。</w:t>
      </w:r>
    </w:p>
    <w:p>
      <w:pPr>
        <w:pStyle w:val="67"/>
        <w:numPr>
          <w:ilvl w:val="0"/>
          <w:numId w:val="7"/>
        </w:numPr>
        <w:spacing w:line="360" w:lineRule="auto"/>
        <w:ind w:firstLineChars="0"/>
        <w:rPr>
          <w:rFonts w:ascii="宋体" w:hAnsi="宋体"/>
          <w:sz w:val="24"/>
        </w:rPr>
      </w:pPr>
      <w:r>
        <w:rPr>
          <w:rFonts w:hint="eastAsia" w:ascii="宋体" w:hAnsi="宋体"/>
          <w:sz w:val="24"/>
        </w:rPr>
        <w:t>乙方有权对甲方的检查结果进行申诉，最终结果由甲方书面给予确认。</w:t>
      </w:r>
    </w:p>
    <w:p>
      <w:pPr>
        <w:pStyle w:val="67"/>
        <w:numPr>
          <w:ilvl w:val="0"/>
          <w:numId w:val="7"/>
        </w:numPr>
        <w:spacing w:line="360" w:lineRule="auto"/>
        <w:ind w:firstLineChars="0"/>
        <w:rPr>
          <w:rFonts w:ascii="宋体" w:hAnsi="宋体"/>
          <w:sz w:val="24"/>
        </w:rPr>
      </w:pPr>
      <w:r>
        <w:rPr>
          <w:rFonts w:hint="eastAsia" w:ascii="宋体" w:hAnsi="宋体"/>
          <w:sz w:val="24"/>
        </w:rPr>
        <w:t>乙方有义务面向技术运用和知识产权运营开展专利产出工作，在有效合作期内，协助甲方实现至少一批次成果转化或者专利运营，形式包含但不限于许可、转让、作价出资、产学研合作、横向委托等等；或者向甲方提供10条以上有效合作信息。</w:t>
      </w:r>
    </w:p>
    <w:p>
      <w:pPr>
        <w:spacing w:line="360" w:lineRule="auto"/>
        <w:rPr>
          <w:rFonts w:ascii="宋体" w:hAnsi="宋体"/>
          <w:b/>
          <w:bCs/>
          <w:sz w:val="24"/>
        </w:rPr>
      </w:pPr>
      <w:r>
        <w:rPr>
          <w:rFonts w:hint="eastAsia" w:ascii="宋体" w:hAnsi="宋体"/>
          <w:b/>
          <w:bCs/>
          <w:sz w:val="24"/>
        </w:rPr>
        <w:t>三、服务程序及期限</w:t>
      </w:r>
    </w:p>
    <w:p>
      <w:pPr>
        <w:pStyle w:val="67"/>
        <w:numPr>
          <w:ilvl w:val="0"/>
          <w:numId w:val="8"/>
        </w:numPr>
        <w:spacing w:line="360" w:lineRule="auto"/>
        <w:ind w:firstLineChars="0"/>
        <w:rPr>
          <w:rFonts w:ascii="宋体" w:hAnsi="宋体"/>
          <w:sz w:val="24"/>
        </w:rPr>
      </w:pPr>
      <w:r>
        <w:rPr>
          <w:rFonts w:hint="eastAsia" w:ascii="宋体" w:hAnsi="宋体"/>
          <w:sz w:val="24"/>
        </w:rPr>
        <w:t>专利代理服务的流程化管理以甲方管理系统为准，乙方应积极配合甲方维护甲方管理系统中的信息。</w:t>
      </w:r>
    </w:p>
    <w:p>
      <w:pPr>
        <w:pStyle w:val="67"/>
        <w:numPr>
          <w:ilvl w:val="0"/>
          <w:numId w:val="8"/>
        </w:numPr>
        <w:spacing w:line="360" w:lineRule="auto"/>
        <w:ind w:firstLineChars="0"/>
        <w:rPr>
          <w:rFonts w:ascii="宋体" w:hAnsi="宋体"/>
          <w:sz w:val="24"/>
        </w:rPr>
      </w:pPr>
      <w:r>
        <w:rPr>
          <w:rFonts w:hint="eastAsia" w:ascii="宋体" w:hAnsi="宋体"/>
          <w:sz w:val="24"/>
        </w:rPr>
        <w:t>实用新型和发明申请，在甲方提供完整的专利技术交底材料之日起</w:t>
      </w:r>
      <w:r>
        <w:rPr>
          <w:rFonts w:ascii="宋体" w:hAnsi="宋体"/>
          <w:sz w:val="24"/>
        </w:rPr>
        <w:t>20</w:t>
      </w:r>
      <w:r>
        <w:rPr>
          <w:rFonts w:hint="eastAsia" w:ascii="宋体" w:hAnsi="宋体"/>
          <w:sz w:val="24"/>
        </w:rPr>
        <w:t>个自然日内，乙方撰写完成专利申请文件的初稿，乙方经甲方确认专利申请文件后</w:t>
      </w:r>
      <w:r>
        <w:rPr>
          <w:rFonts w:ascii="宋体" w:hAnsi="宋体"/>
          <w:sz w:val="24"/>
        </w:rPr>
        <w:t>3</w:t>
      </w:r>
      <w:r>
        <w:rPr>
          <w:rFonts w:hint="eastAsia" w:ascii="宋体" w:hAnsi="宋体"/>
          <w:sz w:val="24"/>
        </w:rPr>
        <w:t>个工作日内向国家专利局或相关国家和地区的代理机构递交，特殊情况以双方约定为准。</w:t>
      </w:r>
    </w:p>
    <w:p>
      <w:pPr>
        <w:pStyle w:val="67"/>
        <w:numPr>
          <w:ilvl w:val="0"/>
          <w:numId w:val="8"/>
        </w:numPr>
        <w:spacing w:line="360" w:lineRule="auto"/>
        <w:ind w:firstLineChars="0"/>
        <w:rPr>
          <w:rFonts w:ascii="宋体" w:hAnsi="宋体"/>
          <w:sz w:val="24"/>
        </w:rPr>
      </w:pPr>
      <w:r>
        <w:rPr>
          <w:rFonts w:hint="eastAsia" w:ascii="宋体" w:hAnsi="宋体"/>
          <w:sz w:val="24"/>
        </w:rPr>
        <w:t>发明专利答复审查意见，乙方应在收到国家专利局审查意见通知书后及时与发明人沟通准备答复事宜，一通意见在</w:t>
      </w:r>
      <w:r>
        <w:rPr>
          <w:rFonts w:ascii="宋体" w:hAnsi="宋体"/>
          <w:sz w:val="24"/>
        </w:rPr>
        <w:t>2</w:t>
      </w:r>
      <w:r>
        <w:rPr>
          <w:rFonts w:hint="eastAsia" w:ascii="宋体" w:hAnsi="宋体"/>
          <w:sz w:val="24"/>
        </w:rPr>
        <w:t>个月内给出答辩初稿，其他审查意见在</w:t>
      </w:r>
      <w:r>
        <w:rPr>
          <w:rFonts w:ascii="宋体" w:hAnsi="宋体"/>
          <w:sz w:val="24"/>
        </w:rPr>
        <w:t>1</w:t>
      </w:r>
      <w:r>
        <w:rPr>
          <w:rFonts w:hint="eastAsia" w:ascii="宋体" w:hAnsi="宋体"/>
          <w:sz w:val="24"/>
        </w:rPr>
        <w:t>个月内给出答辩初稿。</w:t>
      </w:r>
    </w:p>
    <w:p>
      <w:pPr>
        <w:pStyle w:val="67"/>
        <w:numPr>
          <w:ilvl w:val="0"/>
          <w:numId w:val="8"/>
        </w:numPr>
        <w:spacing w:line="360" w:lineRule="auto"/>
        <w:ind w:firstLineChars="0"/>
        <w:rPr>
          <w:rFonts w:ascii="宋体" w:hAnsi="宋体"/>
          <w:sz w:val="24"/>
        </w:rPr>
      </w:pPr>
      <w:r>
        <w:rPr>
          <w:rFonts w:hint="eastAsia" w:ascii="宋体" w:hAnsi="宋体"/>
          <w:sz w:val="24"/>
        </w:rPr>
        <w:t>其它知识产权代理项目的时限，由双方另行协商确定。</w:t>
      </w:r>
    </w:p>
    <w:p>
      <w:pPr>
        <w:pStyle w:val="67"/>
        <w:numPr>
          <w:ilvl w:val="0"/>
          <w:numId w:val="8"/>
        </w:numPr>
        <w:spacing w:line="360" w:lineRule="auto"/>
        <w:ind w:firstLineChars="0"/>
        <w:rPr>
          <w:rFonts w:ascii="宋体" w:hAnsi="宋体"/>
          <w:sz w:val="24"/>
        </w:rPr>
      </w:pPr>
      <w:r>
        <w:rPr>
          <w:rFonts w:hint="eastAsia" w:ascii="宋体" w:hAnsi="宋体"/>
          <w:sz w:val="24"/>
        </w:rPr>
        <w:t>乙方代理人完成的申请文件初稿需经指定的发明人联系人进行确认，之后提交甲方案件审核人进行审核，需要修改的，乙方应按甲方的意见进行修改，每次修改不得超过</w:t>
      </w:r>
      <w:r>
        <w:rPr>
          <w:rFonts w:ascii="宋体" w:hAnsi="宋体"/>
          <w:sz w:val="24"/>
        </w:rPr>
        <w:t>5</w:t>
      </w:r>
      <w:r>
        <w:rPr>
          <w:rFonts w:hint="eastAsia" w:ascii="宋体" w:hAnsi="宋体"/>
          <w:sz w:val="24"/>
        </w:rPr>
        <w:t>个工作日，乙方在沟通过程中需保存邮件记录。</w:t>
      </w:r>
    </w:p>
    <w:p>
      <w:pPr>
        <w:pStyle w:val="67"/>
        <w:numPr>
          <w:ilvl w:val="0"/>
          <w:numId w:val="8"/>
        </w:numPr>
        <w:spacing w:line="360" w:lineRule="auto"/>
        <w:ind w:firstLineChars="0"/>
        <w:rPr>
          <w:rFonts w:ascii="宋体" w:hAnsi="宋体"/>
          <w:sz w:val="24"/>
        </w:rPr>
      </w:pPr>
      <w:r>
        <w:rPr>
          <w:rFonts w:hint="eastAsia" w:ascii="宋体" w:hAnsi="宋体"/>
          <w:sz w:val="24"/>
        </w:rPr>
        <w:t>申请文件递交后，乙方应当在收到受理通知书后的</w:t>
      </w:r>
      <w:r>
        <w:rPr>
          <w:rFonts w:ascii="宋体" w:hAnsi="宋体"/>
          <w:sz w:val="24"/>
        </w:rPr>
        <w:t>5</w:t>
      </w:r>
      <w:r>
        <w:rPr>
          <w:rFonts w:hint="eastAsia" w:ascii="宋体" w:hAnsi="宋体"/>
          <w:sz w:val="24"/>
        </w:rPr>
        <w:t>个自然日内在向甲方邮件传递所有递交文件（包括申请文件及相关表格、代理委托书等）、受理通知书、缴费通知书。</w:t>
      </w:r>
    </w:p>
    <w:p>
      <w:pPr>
        <w:pStyle w:val="67"/>
        <w:numPr>
          <w:ilvl w:val="0"/>
          <w:numId w:val="8"/>
        </w:numPr>
        <w:spacing w:line="360" w:lineRule="auto"/>
        <w:ind w:firstLineChars="0"/>
        <w:rPr>
          <w:rFonts w:ascii="宋体" w:hAnsi="宋体"/>
          <w:sz w:val="24"/>
        </w:rPr>
      </w:pPr>
      <w:r>
        <w:rPr>
          <w:rFonts w:hint="eastAsia" w:ascii="宋体" w:hAnsi="宋体"/>
          <w:sz w:val="24"/>
        </w:rPr>
        <w:t>甲方所委托专利在申请过程中之相关文件，乙方应妥善保管，按甲方指示定期交付甲方。</w:t>
      </w:r>
    </w:p>
    <w:p>
      <w:pPr>
        <w:pStyle w:val="67"/>
        <w:numPr>
          <w:ilvl w:val="0"/>
          <w:numId w:val="8"/>
        </w:numPr>
        <w:spacing w:line="360" w:lineRule="auto"/>
        <w:ind w:firstLineChars="0"/>
        <w:rPr>
          <w:rFonts w:ascii="宋体" w:hAnsi="宋体"/>
          <w:sz w:val="24"/>
        </w:rPr>
      </w:pPr>
      <w:r>
        <w:rPr>
          <w:rFonts w:hint="eastAsia" w:ascii="宋体" w:hAnsi="宋体"/>
          <w:sz w:val="24"/>
        </w:rPr>
        <w:t>乙方应协助甲方完成专利申请费用的减缓和资助工作，并按甲方指示提供甲方委托专利的信息查询和数据统计服务，包括按甲方指示提供专利证书扫描件。</w:t>
      </w:r>
    </w:p>
    <w:p>
      <w:pPr>
        <w:pStyle w:val="67"/>
        <w:numPr>
          <w:ilvl w:val="0"/>
          <w:numId w:val="8"/>
        </w:numPr>
        <w:spacing w:line="360" w:lineRule="auto"/>
        <w:ind w:firstLineChars="0"/>
        <w:rPr>
          <w:rFonts w:ascii="宋体" w:hAnsi="宋体"/>
          <w:sz w:val="24"/>
        </w:rPr>
      </w:pPr>
      <w:r>
        <w:rPr>
          <w:rFonts w:hint="eastAsia" w:ascii="宋体" w:hAnsi="宋体"/>
          <w:sz w:val="24"/>
        </w:rPr>
        <w:t>甲乙双方可随时解除委托关系，但需书面通知对方，对方书面确认收到解除委托关系书面通知的当天，委托关系解除。委托关系解除后，乙方协助甲方向中国专利局办理解除委托关系和向其他代理机构转委托关系。如果本合同第6.3条规定的预收款已不足，甲方应向乙方补交垫付金额。乙方在委托关系解除后收到的国外官方费用、国外律师费用的帐单，甲方有义务予以支付。在委托关系解除之日，如果本合同第6.3条规定的预收款尚有结余，乙方应在委托关系解除后尽快退回其预收款的余额，最迟在委托关系解除之日起不超过3个月之内退回其预收款的余额。</w:t>
      </w:r>
    </w:p>
    <w:p>
      <w:pPr>
        <w:pStyle w:val="67"/>
        <w:numPr>
          <w:ilvl w:val="0"/>
          <w:numId w:val="8"/>
        </w:numPr>
        <w:spacing w:line="360" w:lineRule="auto"/>
        <w:ind w:firstLineChars="0"/>
        <w:rPr>
          <w:rFonts w:ascii="宋体" w:hAnsi="宋体"/>
          <w:sz w:val="24"/>
        </w:rPr>
      </w:pPr>
      <w:r>
        <w:rPr>
          <w:rFonts w:hint="eastAsia" w:ascii="宋体" w:hAnsi="宋体"/>
          <w:sz w:val="24"/>
        </w:rPr>
        <w:t>甲乙双方的委托协议不因本合同的终止而终止，甲方未解除代理委托关系前，乙方应继续代理甲方的专利事项，包括审查答复、时限监控、年费代缴等事项。</w:t>
      </w:r>
    </w:p>
    <w:p>
      <w:pPr>
        <w:spacing w:line="360" w:lineRule="auto"/>
        <w:rPr>
          <w:rFonts w:ascii="宋体" w:hAnsi="宋体"/>
          <w:b/>
          <w:bCs/>
          <w:sz w:val="24"/>
        </w:rPr>
      </w:pPr>
      <w:r>
        <w:rPr>
          <w:rFonts w:hint="eastAsia" w:ascii="宋体" w:hAnsi="宋体"/>
          <w:b/>
          <w:bCs/>
          <w:sz w:val="24"/>
        </w:rPr>
        <w:t>四、知识产权代理费用</w:t>
      </w:r>
    </w:p>
    <w:p>
      <w:pPr>
        <w:spacing w:line="360" w:lineRule="auto"/>
        <w:rPr>
          <w:rFonts w:ascii="宋体" w:hAnsi="宋体"/>
          <w:sz w:val="24"/>
        </w:rPr>
      </w:pPr>
      <w:r>
        <w:rPr>
          <w:rFonts w:hint="eastAsia" w:ascii="宋体" w:hAnsi="宋体"/>
          <w:sz w:val="24"/>
        </w:rPr>
        <w:t>代理费用按各项费用参考收费标准的价格作为参考报价基础来执行。</w:t>
      </w:r>
    </w:p>
    <w:p>
      <w:pPr>
        <w:spacing w:line="360" w:lineRule="auto"/>
        <w:rPr>
          <w:rFonts w:ascii="宋体" w:hAnsi="宋体"/>
          <w:sz w:val="24"/>
        </w:rPr>
      </w:pPr>
      <w:r>
        <w:rPr>
          <w:rFonts w:hint="eastAsia" w:ascii="宋体" w:hAnsi="宋体"/>
          <w:sz w:val="24"/>
        </w:rPr>
        <w:t>各项费用参考收费标准中未列入到的其它知识产权代理服务项目，比如专利许可、知识产权诉讼等服务的价格，或特殊情况需要协商处理的，双方可另行协商确定。</w:t>
      </w:r>
    </w:p>
    <w:p>
      <w:pPr>
        <w:spacing w:line="360" w:lineRule="auto"/>
        <w:rPr>
          <w:rFonts w:ascii="宋体" w:hAnsi="宋体"/>
          <w:sz w:val="24"/>
        </w:rPr>
      </w:pPr>
      <w:r>
        <w:rPr>
          <w:rFonts w:hint="eastAsia" w:ascii="宋体" w:hAnsi="宋体"/>
          <w:sz w:val="24"/>
        </w:rPr>
        <w:t>代理服务的付款方式为转账，乙方每季度的5日前发送前一季度的所有费用清单至甲方审核，审核无误后乙方应向甲方开出等额发票，甲方在收到发票后的1个月内向乙方支付款项。如有特殊情况，双方另行协商确定。</w:t>
      </w:r>
    </w:p>
    <w:p>
      <w:pPr>
        <w:spacing w:line="360" w:lineRule="auto"/>
        <w:ind w:firstLine="480" w:firstLineChars="200"/>
        <w:rPr>
          <w:rFonts w:ascii="宋体" w:hAnsi="宋体"/>
          <w:sz w:val="24"/>
        </w:rPr>
      </w:pPr>
      <w:r>
        <w:rPr>
          <w:rFonts w:hint="eastAsia" w:ascii="宋体" w:hAnsi="宋体"/>
          <w:sz w:val="24"/>
        </w:rPr>
        <w:t>乙方收款信息如下：</w:t>
      </w:r>
    </w:p>
    <w:p>
      <w:pPr>
        <w:spacing w:line="360" w:lineRule="auto"/>
        <w:ind w:firstLine="480" w:firstLineChars="200"/>
        <w:rPr>
          <w:rFonts w:ascii="宋体" w:hAnsi="宋体"/>
          <w:sz w:val="24"/>
        </w:rPr>
      </w:pPr>
      <w:r>
        <w:rPr>
          <w:rFonts w:hint="eastAsia" w:ascii="宋体" w:hAnsi="宋体"/>
          <w:sz w:val="24"/>
        </w:rPr>
        <w:t xml:space="preserve">账户名称： </w:t>
      </w:r>
    </w:p>
    <w:p>
      <w:pPr>
        <w:spacing w:line="360" w:lineRule="auto"/>
        <w:ind w:firstLine="480" w:firstLineChars="200"/>
        <w:rPr>
          <w:rFonts w:ascii="宋体" w:hAnsi="宋体"/>
          <w:sz w:val="24"/>
        </w:rPr>
      </w:pPr>
      <w:r>
        <w:rPr>
          <w:rFonts w:hint="eastAsia" w:ascii="宋体" w:hAnsi="宋体"/>
          <w:sz w:val="24"/>
        </w:rPr>
        <w:t xml:space="preserve">开户银行： </w:t>
      </w:r>
    </w:p>
    <w:p>
      <w:pPr>
        <w:spacing w:line="360" w:lineRule="auto"/>
        <w:ind w:firstLine="480" w:firstLineChars="200"/>
        <w:rPr>
          <w:rFonts w:ascii="宋体" w:hAnsi="宋体"/>
          <w:sz w:val="24"/>
        </w:rPr>
      </w:pPr>
      <w:r>
        <w:rPr>
          <w:rFonts w:hint="eastAsia" w:ascii="宋体" w:hAnsi="宋体"/>
          <w:sz w:val="24"/>
        </w:rPr>
        <w:t>银行账号：</w:t>
      </w:r>
    </w:p>
    <w:p>
      <w:pPr>
        <w:spacing w:line="360" w:lineRule="auto"/>
        <w:rPr>
          <w:rFonts w:ascii="宋体" w:hAnsi="宋体"/>
          <w:b/>
          <w:bCs/>
          <w:sz w:val="24"/>
        </w:rPr>
      </w:pPr>
      <w:r>
        <w:rPr>
          <w:rFonts w:hint="eastAsia" w:ascii="宋体" w:hAnsi="宋体"/>
          <w:b/>
          <w:bCs/>
          <w:sz w:val="24"/>
        </w:rPr>
        <w:t>五、违约责任</w:t>
      </w:r>
    </w:p>
    <w:p>
      <w:pPr>
        <w:spacing w:line="360" w:lineRule="auto"/>
        <w:rPr>
          <w:rFonts w:ascii="宋体" w:hAnsi="宋体"/>
          <w:sz w:val="24"/>
        </w:rPr>
      </w:pPr>
      <w:r>
        <w:rPr>
          <w:rFonts w:hint="eastAsia" w:ascii="宋体" w:hAnsi="宋体"/>
          <w:sz w:val="24"/>
        </w:rPr>
        <w:t>1、乙方泄露甲方的商业秘密或技术秘密的，甲方保留追究因商业秘密或技术秘密的泄露造成的损失的权利。</w:t>
      </w:r>
    </w:p>
    <w:p>
      <w:pPr>
        <w:spacing w:line="360" w:lineRule="auto"/>
        <w:rPr>
          <w:rFonts w:ascii="宋体" w:hAnsi="宋体"/>
          <w:sz w:val="24"/>
        </w:rPr>
      </w:pPr>
      <w:r>
        <w:rPr>
          <w:rFonts w:hint="eastAsia" w:ascii="宋体" w:hAnsi="宋体"/>
          <w:sz w:val="24"/>
        </w:rPr>
        <w:t>2、甲方不定期对乙方的申请文件、答复文件进行检查，乙方有权进行申诉，如申诉结果仍确定因乙方的原因造成重大疏漏，甲方有权扣除乙方的履约金。扣除标准为该件专利总代理费的100%。</w:t>
      </w:r>
    </w:p>
    <w:p>
      <w:pPr>
        <w:spacing w:line="360" w:lineRule="auto"/>
        <w:rPr>
          <w:rFonts w:ascii="宋体" w:hAnsi="宋体"/>
          <w:sz w:val="24"/>
        </w:rPr>
      </w:pPr>
      <w:r>
        <w:rPr>
          <w:rFonts w:hint="eastAsia" w:ascii="宋体" w:hAnsi="宋体"/>
          <w:sz w:val="24"/>
        </w:rPr>
        <w:t>4、乙方在执行具体项目中不履行本合同约定的义务或履行的义务不符合本合同的约定，应向甲方支付该项目的履约金总额10%的违约金，并赔偿甲方由此受到的实际损失。</w:t>
      </w:r>
    </w:p>
    <w:p>
      <w:pPr>
        <w:spacing w:line="360" w:lineRule="auto"/>
        <w:rPr>
          <w:rFonts w:ascii="宋体" w:hAnsi="宋体"/>
          <w:sz w:val="24"/>
        </w:rPr>
      </w:pPr>
      <w:r>
        <w:rPr>
          <w:rFonts w:hint="eastAsia" w:ascii="宋体" w:hAnsi="宋体"/>
          <w:sz w:val="24"/>
        </w:rPr>
        <w:t>5、乙方未经甲方确认而将申请文件提交的，若甲方认为应对申请文件进行修改，乙方应根据甲方的要求修改，由此带来的费用支出由乙方承担。</w:t>
      </w:r>
    </w:p>
    <w:p>
      <w:pPr>
        <w:spacing w:line="360" w:lineRule="auto"/>
        <w:rPr>
          <w:rFonts w:ascii="宋体" w:hAnsi="宋体"/>
          <w:sz w:val="24"/>
        </w:rPr>
      </w:pPr>
      <w:r>
        <w:rPr>
          <w:rFonts w:hint="eastAsia" w:ascii="宋体" w:hAnsi="宋体"/>
          <w:sz w:val="24"/>
        </w:rPr>
        <w:t>6、在知识产权申请过程中，如果出现“官方审查意见”或“驳回”等有时限要求的情况，乙方应及时通知甲方（以电话、邮件或传真件为据），若因乙方工作失误未及时通知甲方而导致申请失效，乙方应退还甲方所支付乙方的代理费用并赔偿甲方由此受到的损失；甲方对乙方转送的“官方审查意见”不做出回复而使申请失效的，乙方不承担责任。</w:t>
      </w:r>
    </w:p>
    <w:p>
      <w:pPr>
        <w:spacing w:line="360" w:lineRule="auto"/>
        <w:rPr>
          <w:rFonts w:ascii="宋体" w:hAnsi="宋体"/>
          <w:sz w:val="24"/>
        </w:rPr>
      </w:pPr>
      <w:r>
        <w:rPr>
          <w:rFonts w:hint="eastAsia" w:ascii="宋体" w:hAnsi="宋体"/>
          <w:sz w:val="24"/>
        </w:rPr>
        <w:t>7、乙方在合作过程中给甲方传递文件时，如有造成文件丢失或损坏的，乙方应负赔偿责任。情节严重的，甲方有权解除代理合作协议，并由乙方赔偿由此造成的实际损失，如政府资助等。</w:t>
      </w:r>
    </w:p>
    <w:p>
      <w:pPr>
        <w:spacing w:line="360" w:lineRule="auto"/>
        <w:rPr>
          <w:rFonts w:ascii="宋体" w:hAnsi="宋体"/>
          <w:b/>
          <w:bCs/>
          <w:sz w:val="24"/>
        </w:rPr>
      </w:pPr>
      <w:r>
        <w:rPr>
          <w:rFonts w:hint="eastAsia" w:ascii="宋体" w:hAnsi="宋体"/>
          <w:b/>
          <w:bCs/>
          <w:sz w:val="24"/>
        </w:rPr>
        <w:t>六、争议解决</w:t>
      </w:r>
    </w:p>
    <w:p>
      <w:pPr>
        <w:spacing w:line="360" w:lineRule="auto"/>
        <w:ind w:left="142"/>
        <w:rPr>
          <w:rFonts w:ascii="宋体" w:hAnsi="宋体"/>
          <w:b/>
          <w:bCs/>
          <w:sz w:val="24"/>
        </w:rPr>
      </w:pPr>
      <w:r>
        <w:rPr>
          <w:rFonts w:hint="eastAsia" w:ascii="宋体" w:hAnsi="宋体"/>
          <w:sz w:val="24"/>
        </w:rPr>
        <w:t xml:space="preserve">    因履行本合同发生的争议，甲乙双方应先协商解决；协商不成，可以向甲方所在地有管辖权的</w:t>
      </w:r>
      <w:r>
        <w:rPr>
          <w:rFonts w:hint="eastAsia" w:ascii="宋体" w:hAnsi="宋体"/>
          <w:b/>
          <w:bCs/>
          <w:sz w:val="24"/>
        </w:rPr>
        <w:t>人民法院提起诉讼。</w:t>
      </w:r>
    </w:p>
    <w:p>
      <w:pPr>
        <w:spacing w:line="360" w:lineRule="auto"/>
        <w:rPr>
          <w:rFonts w:ascii="宋体" w:hAnsi="宋体"/>
          <w:b/>
          <w:bCs/>
          <w:sz w:val="24"/>
        </w:rPr>
      </w:pPr>
      <w:r>
        <w:rPr>
          <w:rFonts w:hint="eastAsia" w:ascii="宋体" w:hAnsi="宋体"/>
          <w:b/>
          <w:bCs/>
          <w:sz w:val="24"/>
        </w:rPr>
        <w:t>七、合同期限</w:t>
      </w:r>
    </w:p>
    <w:p>
      <w:pPr>
        <w:spacing w:line="360" w:lineRule="auto"/>
        <w:rPr>
          <w:rFonts w:ascii="宋体" w:hAnsi="宋体"/>
          <w:sz w:val="24"/>
        </w:rPr>
      </w:pPr>
      <w:r>
        <w:rPr>
          <w:rFonts w:hint="eastAsia" w:ascii="宋体" w:hAnsi="宋体"/>
          <w:sz w:val="24"/>
        </w:rPr>
        <w:t xml:space="preserve">    本合同有效期为一年，合同期满前一个月，甲方有权提出是否续约。甲方同意续约的，本合同到期后自动续期一年，直到合同满三年。如乙方履约期间的服务存在重大疏漏或乙方不具备履约条件，甲方可提前终止合同。</w:t>
      </w:r>
    </w:p>
    <w:p>
      <w:pPr>
        <w:spacing w:line="360" w:lineRule="auto"/>
        <w:rPr>
          <w:rFonts w:ascii="宋体" w:hAnsi="宋体"/>
          <w:b/>
          <w:bCs/>
          <w:sz w:val="24"/>
        </w:rPr>
      </w:pPr>
      <w:r>
        <w:rPr>
          <w:rFonts w:hint="eastAsia" w:ascii="宋体" w:hAnsi="宋体"/>
          <w:b/>
          <w:bCs/>
          <w:sz w:val="24"/>
        </w:rPr>
        <w:t>八、附则</w:t>
      </w:r>
    </w:p>
    <w:p>
      <w:pPr>
        <w:spacing w:line="360" w:lineRule="auto"/>
        <w:rPr>
          <w:rFonts w:ascii="宋体" w:hAnsi="宋体"/>
          <w:sz w:val="24"/>
        </w:rPr>
      </w:pPr>
      <w:r>
        <w:rPr>
          <w:rFonts w:hint="eastAsia" w:ascii="宋体" w:hAnsi="宋体"/>
          <w:sz w:val="24"/>
        </w:rPr>
        <w:t>1、各项费用收费价格表为本协议附件（</w:t>
      </w:r>
      <w:r>
        <w:rPr>
          <w:rFonts w:hint="eastAsia" w:ascii="宋体" w:hAnsi="宋体"/>
          <w:bCs/>
          <w:sz w:val="24"/>
        </w:rPr>
        <w:t>各项费用收费价格表</w:t>
      </w:r>
      <w:r>
        <w:rPr>
          <w:rFonts w:hint="eastAsia" w:ascii="宋体" w:hAnsi="宋体"/>
          <w:sz w:val="24"/>
        </w:rPr>
        <w:t>）。</w:t>
      </w:r>
    </w:p>
    <w:p>
      <w:pPr>
        <w:spacing w:line="360" w:lineRule="auto"/>
        <w:rPr>
          <w:rFonts w:ascii="宋体" w:hAnsi="宋体"/>
          <w:sz w:val="24"/>
        </w:rPr>
      </w:pPr>
      <w:r>
        <w:rPr>
          <w:rFonts w:hint="eastAsia" w:ascii="宋体" w:hAnsi="宋体"/>
          <w:sz w:val="24"/>
        </w:rPr>
        <w:t>2、本协议未尽事宜，由双方另行协商决定，必要时签订补充合同，补充合同与本协议具有同等法律效力。</w:t>
      </w:r>
    </w:p>
    <w:p>
      <w:pPr>
        <w:spacing w:line="360" w:lineRule="auto"/>
        <w:rPr>
          <w:rFonts w:ascii="宋体" w:hAnsi="宋体"/>
          <w:sz w:val="24"/>
        </w:rPr>
      </w:pPr>
      <w:r>
        <w:rPr>
          <w:rFonts w:hint="eastAsia" w:ascii="宋体" w:hAnsi="宋体"/>
          <w:sz w:val="24"/>
        </w:rPr>
        <w:t>3、本协议经双方签字、盖章后生效，一式肆份，甲方执叁份，乙方执一份，每份均有同等法律效力。</w:t>
      </w:r>
    </w:p>
    <w:p>
      <w:pPr>
        <w:spacing w:line="360" w:lineRule="auto"/>
        <w:rPr>
          <w:rFonts w:ascii="宋体" w:hAnsi="宋体"/>
          <w:sz w:val="24"/>
        </w:rPr>
      </w:pPr>
      <w:r>
        <w:rPr>
          <w:rFonts w:hint="eastAsia" w:ascii="宋体" w:hAnsi="宋体"/>
          <w:sz w:val="24"/>
        </w:rPr>
        <w:t>4、如本协议终止，不影响乙方的保密义务。</w:t>
      </w:r>
    </w:p>
    <w:p>
      <w:pPr>
        <w:ind w:left="-1260" w:leftChars="-600" w:right="-716" w:rightChars="-341"/>
        <w:rPr>
          <w:rFonts w:ascii="宋体" w:hAnsi="宋体"/>
          <w:sz w:val="24"/>
        </w:rPr>
      </w:pPr>
    </w:p>
    <w:p>
      <w:pPr>
        <w:ind w:left="-1260" w:leftChars="-600" w:right="-716" w:rightChars="-341"/>
        <w:rPr>
          <w:rFonts w:ascii="宋体" w:hAnsi="宋体"/>
          <w:sz w:val="24"/>
        </w:rPr>
      </w:pPr>
      <w:r>
        <w:rPr>
          <w:rFonts w:hint="eastAsia" w:ascii="宋体" w:hAnsi="宋体"/>
          <w:sz w:val="24"/>
        </w:rPr>
        <w:t xml:space="preserve">                甲方： </w:t>
      </w:r>
    </w:p>
    <w:p>
      <w:pPr>
        <w:ind w:left="-1260" w:leftChars="-600" w:right="-716" w:rightChars="-341"/>
        <w:rPr>
          <w:rFonts w:ascii="宋体" w:hAnsi="宋体"/>
          <w:sz w:val="24"/>
        </w:rPr>
      </w:pPr>
      <w:r>
        <w:rPr>
          <w:rFonts w:hint="eastAsia" w:ascii="宋体" w:hAnsi="宋体"/>
          <w:sz w:val="24"/>
        </w:rPr>
        <w:t xml:space="preserve"> </w:t>
      </w:r>
    </w:p>
    <w:p>
      <w:pPr>
        <w:ind w:left="-1260" w:leftChars="-600" w:right="-716" w:rightChars="-341"/>
        <w:rPr>
          <w:rFonts w:ascii="宋体" w:hAnsi="宋体"/>
          <w:sz w:val="24"/>
        </w:rPr>
      </w:pPr>
      <w:r>
        <w:rPr>
          <w:rFonts w:hint="eastAsia" w:ascii="宋体" w:hAnsi="宋体"/>
          <w:sz w:val="24"/>
        </w:rPr>
        <w:t xml:space="preserve">                      </w:t>
      </w:r>
    </w:p>
    <w:p>
      <w:pPr>
        <w:ind w:right="-716" w:rightChars="-341"/>
        <w:rPr>
          <w:rFonts w:ascii="宋体" w:hAnsi="宋体"/>
          <w:sz w:val="24"/>
        </w:rPr>
      </w:pPr>
      <w:r>
        <w:rPr>
          <w:rFonts w:hint="eastAsia" w:ascii="宋体" w:hAnsi="宋体"/>
          <w:sz w:val="24"/>
        </w:rPr>
        <w:t xml:space="preserve"> </w:t>
      </w:r>
    </w:p>
    <w:p>
      <w:pPr>
        <w:ind w:left="-1260" w:leftChars="-600" w:right="-716" w:rightChars="-341" w:firstLine="1680" w:firstLineChars="700"/>
        <w:rPr>
          <w:rFonts w:ascii="宋体" w:hAnsi="宋体"/>
          <w:sz w:val="24"/>
        </w:rPr>
      </w:pPr>
      <w:r>
        <w:rPr>
          <w:rFonts w:hint="eastAsia" w:ascii="宋体" w:hAnsi="宋体"/>
          <w:sz w:val="24"/>
        </w:rPr>
        <w:t>（签章）</w:t>
      </w:r>
    </w:p>
    <w:p>
      <w:pPr>
        <w:ind w:left="-141" w:leftChars="-67" w:firstLine="360" w:firstLineChars="150"/>
        <w:rPr>
          <w:rFonts w:ascii="宋体" w:hAnsi="宋体"/>
          <w:sz w:val="24"/>
        </w:rPr>
      </w:pPr>
      <w:r>
        <w:rPr>
          <w:rFonts w:hint="eastAsia" w:ascii="宋体" w:hAnsi="宋体"/>
          <w:sz w:val="24"/>
        </w:rPr>
        <w:t xml:space="preserve"> </w:t>
      </w:r>
    </w:p>
    <w:p>
      <w:pPr>
        <w:ind w:left="-141" w:leftChars="-67" w:firstLine="360" w:firstLineChars="150"/>
        <w:rPr>
          <w:rFonts w:ascii="宋体" w:hAnsi="宋体"/>
          <w:sz w:val="24"/>
        </w:rPr>
      </w:pPr>
      <w:r>
        <w:rPr>
          <w:rFonts w:hint="eastAsia" w:ascii="宋体" w:hAnsi="宋体"/>
          <w:sz w:val="24"/>
        </w:rPr>
        <w:t xml:space="preserve"> </w:t>
      </w:r>
    </w:p>
    <w:p>
      <w:pPr>
        <w:ind w:left="-141" w:leftChars="-67" w:firstLine="360" w:firstLineChars="150"/>
        <w:rPr>
          <w:rFonts w:ascii="宋体" w:hAnsi="宋体"/>
          <w:sz w:val="24"/>
        </w:rPr>
      </w:pPr>
      <w:r>
        <w:rPr>
          <w:rFonts w:hint="eastAsia" w:ascii="宋体" w:hAnsi="宋体"/>
          <w:sz w:val="24"/>
        </w:rPr>
        <w:t>日期：   年   月   日</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ind w:firstLine="600" w:firstLineChars="250"/>
        <w:rPr>
          <w:rFonts w:ascii="宋体" w:hAnsi="宋体"/>
          <w:sz w:val="24"/>
        </w:rPr>
      </w:pPr>
      <w:r>
        <w:rPr>
          <w:rFonts w:hint="eastAsia" w:ascii="宋体" w:hAnsi="宋体"/>
          <w:sz w:val="24"/>
        </w:rPr>
        <w:t xml:space="preserve"> </w:t>
      </w:r>
    </w:p>
    <w:p>
      <w:pPr>
        <w:spacing w:line="360" w:lineRule="auto"/>
        <w:ind w:firstLine="600" w:firstLineChars="250"/>
        <w:rPr>
          <w:rFonts w:ascii="宋体" w:hAnsi="宋体"/>
          <w:sz w:val="24"/>
        </w:rPr>
      </w:pPr>
      <w:r>
        <w:rPr>
          <w:rFonts w:hint="eastAsia" w:ascii="宋体" w:hAnsi="宋体"/>
          <w:sz w:val="24"/>
        </w:rPr>
        <w:t xml:space="preserve"> </w:t>
      </w:r>
    </w:p>
    <w:p>
      <w:pPr>
        <w:ind w:left="-1260" w:leftChars="-600" w:right="-716" w:rightChars="-341" w:firstLine="1680" w:firstLineChars="700"/>
        <w:rPr>
          <w:rFonts w:ascii="宋体" w:hAnsi="宋体"/>
          <w:sz w:val="24"/>
        </w:rPr>
      </w:pPr>
      <w:r>
        <w:rPr>
          <w:rFonts w:hint="eastAsia" w:ascii="宋体" w:hAnsi="宋体"/>
          <w:sz w:val="24"/>
        </w:rPr>
        <w:t>乙方：</w:t>
      </w:r>
    </w:p>
    <w:p>
      <w:pPr>
        <w:ind w:right="-716" w:rightChars="-341"/>
        <w:rPr>
          <w:rFonts w:ascii="宋体" w:hAnsi="宋体"/>
          <w:sz w:val="24"/>
        </w:rPr>
      </w:pPr>
      <w:r>
        <w:rPr>
          <w:rFonts w:hint="eastAsia" w:ascii="宋体" w:hAnsi="宋体"/>
          <w:sz w:val="24"/>
        </w:rPr>
        <w:t xml:space="preserve"> </w:t>
      </w:r>
    </w:p>
    <w:p>
      <w:pPr>
        <w:ind w:left="-1260" w:leftChars="-600" w:right="-716" w:rightChars="-341" w:firstLine="1680" w:firstLineChars="700"/>
        <w:rPr>
          <w:rFonts w:ascii="宋体" w:hAnsi="宋体"/>
          <w:sz w:val="24"/>
        </w:rPr>
      </w:pPr>
      <w:r>
        <w:rPr>
          <w:rFonts w:hint="eastAsia" w:ascii="宋体" w:hAnsi="宋体"/>
          <w:sz w:val="24"/>
        </w:rPr>
        <w:t>（签章）</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日期：   年   月   日</w:t>
      </w:r>
    </w:p>
    <w:p>
      <w:pPr>
        <w:pStyle w:val="30"/>
      </w:pPr>
    </w:p>
    <w:p>
      <w:pPr>
        <w:pStyle w:val="30"/>
      </w:pPr>
    </w:p>
    <w:p>
      <w:pPr>
        <w:pStyle w:val="30"/>
      </w:pPr>
    </w:p>
    <w:p>
      <w:pPr>
        <w:pStyle w:val="30"/>
      </w:pPr>
    </w:p>
    <w:p>
      <w:pPr>
        <w:pStyle w:val="30"/>
      </w:pPr>
    </w:p>
    <w:p>
      <w:pPr>
        <w:jc w:val="left"/>
        <w:rPr>
          <w:rFonts w:ascii="黑体" w:eastAsia="黑体"/>
          <w:b/>
          <w:sz w:val="48"/>
        </w:rPr>
      </w:pPr>
      <w:r>
        <w:rPr>
          <w:rFonts w:hint="eastAsia" w:ascii="黑体" w:eastAsia="黑体"/>
          <w:b/>
          <w:sz w:val="48"/>
        </w:rPr>
        <w:br w:type="page"/>
      </w: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r>
        <w:rPr>
          <w:rFonts w:hint="eastAsia" w:ascii="黑体" w:eastAsia="黑体"/>
          <w:b/>
          <w:sz w:val="48"/>
        </w:rPr>
        <w:t>第六部分评标细则</w:t>
      </w: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pStyle w:val="3"/>
        <w:pageBreakBefore/>
        <w:rPr>
          <w:rFonts w:hAnsi="宋体"/>
          <w:szCs w:val="32"/>
        </w:rPr>
      </w:pPr>
      <w:r>
        <w:rPr>
          <w:rFonts w:hint="eastAsia" w:hAnsi="宋体"/>
          <w:szCs w:val="32"/>
        </w:rPr>
        <w:t>第六部分评标细则</w:t>
      </w:r>
    </w:p>
    <w:p>
      <w:pPr>
        <w:tabs>
          <w:tab w:val="left" w:pos="2340"/>
        </w:tabs>
        <w:adjustRightInd w:val="0"/>
        <w:snapToGrid w:val="0"/>
        <w:spacing w:line="380" w:lineRule="exact"/>
        <w:ind w:firstLine="120" w:firstLineChars="50"/>
        <w:rPr>
          <w:rFonts w:ascii="Arial" w:hAnsi="Arial" w:cs="Arial"/>
          <w:kern w:val="0"/>
          <w:sz w:val="24"/>
          <w:szCs w:val="20"/>
        </w:rPr>
      </w:pPr>
      <w:r>
        <w:rPr>
          <w:rFonts w:hint="eastAsia" w:ascii="Arial" w:hAnsi="Arial" w:cs="Arial"/>
          <w:kern w:val="0"/>
          <w:sz w:val="24"/>
          <w:szCs w:val="20"/>
        </w:rPr>
        <w:t>评标委员会对各投标人的投标文件分别进行评审。评审分为初步审核、综合评议进行：</w:t>
      </w:r>
    </w:p>
    <w:p>
      <w:pPr>
        <w:tabs>
          <w:tab w:val="left" w:pos="2340"/>
        </w:tabs>
        <w:adjustRightInd w:val="0"/>
        <w:snapToGrid w:val="0"/>
        <w:spacing w:line="380" w:lineRule="exact"/>
        <w:ind w:firstLine="120" w:firstLineChars="50"/>
        <w:rPr>
          <w:rFonts w:ascii="Arial" w:hAnsi="Arial" w:cs="Arial"/>
          <w:kern w:val="0"/>
          <w:sz w:val="24"/>
          <w:szCs w:val="20"/>
        </w:rPr>
      </w:pPr>
      <w:r>
        <w:rPr>
          <w:rFonts w:hint="eastAsia" w:ascii="Arial" w:hAnsi="Arial" w:cs="Arial"/>
          <w:kern w:val="0"/>
          <w:sz w:val="24"/>
          <w:szCs w:val="20"/>
        </w:rPr>
        <w:t>1．初步审核</w:t>
      </w:r>
    </w:p>
    <w:p>
      <w:pPr>
        <w:spacing w:line="300" w:lineRule="auto"/>
        <w:ind w:firstLine="480" w:firstLineChars="200"/>
        <w:rPr>
          <w:rFonts w:ascii="宋体" w:hAnsi="宋体"/>
          <w:sz w:val="24"/>
        </w:rPr>
      </w:pPr>
      <w:r>
        <w:rPr>
          <w:rFonts w:hint="eastAsia" w:ascii="宋体" w:hAnsi="宋体"/>
          <w:sz w:val="24"/>
        </w:rPr>
        <w:t>1、资格性检查</w:t>
      </w:r>
    </w:p>
    <w:tbl>
      <w:tblPr>
        <w:tblStyle w:val="31"/>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96"/>
        <w:gridCol w:w="3389"/>
        <w:gridCol w:w="1044"/>
        <w:gridCol w:w="97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1" w:type="dxa"/>
            <w:shd w:val="clear" w:color="auto" w:fill="D9D9D9"/>
            <w:vAlign w:val="center"/>
          </w:tcPr>
          <w:p>
            <w:pPr>
              <w:jc w:val="center"/>
              <w:rPr>
                <w:rFonts w:ascii="宋体" w:hAnsi="宋体" w:cs="宋体"/>
                <w:b/>
                <w:bCs/>
                <w:sz w:val="24"/>
              </w:rPr>
            </w:pPr>
            <w:r>
              <w:rPr>
                <w:rFonts w:hint="eastAsia" w:ascii="宋体" w:hAnsi="宋体" w:cs="宋体"/>
                <w:b/>
                <w:bCs/>
                <w:sz w:val="24"/>
              </w:rPr>
              <w:t>序号</w:t>
            </w:r>
          </w:p>
        </w:tc>
        <w:tc>
          <w:tcPr>
            <w:tcW w:w="5685" w:type="dxa"/>
            <w:gridSpan w:val="2"/>
            <w:shd w:val="clear" w:color="auto" w:fill="D9D9D9"/>
            <w:vAlign w:val="center"/>
          </w:tcPr>
          <w:p>
            <w:pPr>
              <w:ind w:right="-124" w:rightChars="-59"/>
              <w:jc w:val="center"/>
              <w:rPr>
                <w:rFonts w:ascii="宋体" w:hAnsi="宋体" w:cs="宋体"/>
                <w:b/>
                <w:bCs/>
                <w:sz w:val="24"/>
              </w:rPr>
            </w:pPr>
            <w:r>
              <w:rPr>
                <w:rFonts w:hint="eastAsia" w:ascii="宋体" w:hAnsi="宋体" w:cs="宋体"/>
                <w:b/>
                <w:bCs/>
                <w:sz w:val="24"/>
              </w:rPr>
              <w:t>评审内容</w:t>
            </w:r>
          </w:p>
        </w:tc>
        <w:tc>
          <w:tcPr>
            <w:tcW w:w="1044" w:type="dxa"/>
            <w:shd w:val="clear" w:color="auto" w:fill="D9D9D9"/>
            <w:vAlign w:val="center"/>
          </w:tcPr>
          <w:p>
            <w:pPr>
              <w:ind w:right="-124" w:rightChars="-59"/>
              <w:jc w:val="center"/>
              <w:rPr>
                <w:rFonts w:ascii="宋体" w:hAnsi="宋体" w:cs="宋体"/>
                <w:b/>
                <w:bCs/>
                <w:sz w:val="24"/>
              </w:rPr>
            </w:pPr>
            <w:r>
              <w:rPr>
                <w:rFonts w:hint="eastAsia" w:ascii="宋体" w:hAnsi="宋体" w:cs="宋体"/>
                <w:b/>
                <w:bCs/>
                <w:sz w:val="24"/>
              </w:rPr>
              <w:t>投标人1</w:t>
            </w:r>
          </w:p>
        </w:tc>
        <w:tc>
          <w:tcPr>
            <w:tcW w:w="975" w:type="dxa"/>
            <w:shd w:val="clear" w:color="auto" w:fill="D9D9D9"/>
            <w:vAlign w:val="center"/>
          </w:tcPr>
          <w:p>
            <w:pPr>
              <w:ind w:right="-124" w:rightChars="-59"/>
              <w:jc w:val="center"/>
              <w:rPr>
                <w:rFonts w:ascii="宋体" w:hAnsi="宋体" w:cs="宋体"/>
                <w:b/>
                <w:bCs/>
                <w:sz w:val="24"/>
              </w:rPr>
            </w:pPr>
            <w:r>
              <w:rPr>
                <w:rFonts w:hint="eastAsia" w:ascii="宋体" w:hAnsi="宋体" w:cs="宋体"/>
                <w:b/>
                <w:bCs/>
                <w:sz w:val="24"/>
              </w:rPr>
              <w:t>投标人2</w:t>
            </w:r>
          </w:p>
        </w:tc>
        <w:tc>
          <w:tcPr>
            <w:tcW w:w="1050" w:type="dxa"/>
            <w:shd w:val="clear" w:color="auto" w:fill="D9D9D9"/>
            <w:vAlign w:val="center"/>
          </w:tcPr>
          <w:p>
            <w:pPr>
              <w:ind w:right="-124" w:rightChars="-59"/>
              <w:jc w:val="center"/>
              <w:rPr>
                <w:rFonts w:ascii="宋体" w:hAnsi="宋体" w:cs="宋体"/>
                <w:b/>
                <w:bCs/>
                <w:sz w:val="24"/>
              </w:rPr>
            </w:pPr>
            <w:r>
              <w:rPr>
                <w:rFonts w:hint="eastAsia" w:ascii="宋体" w:hAnsi="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restart"/>
            <w:vAlign w:val="center"/>
          </w:tcPr>
          <w:p>
            <w:pPr>
              <w:jc w:val="center"/>
              <w:rPr>
                <w:rFonts w:ascii="宋体" w:hAnsi="宋体" w:cs="宋体"/>
                <w:sz w:val="24"/>
              </w:rPr>
            </w:pPr>
            <w:r>
              <w:rPr>
                <w:rFonts w:hint="eastAsia" w:ascii="宋体" w:hAnsi="宋体" w:cs="宋体"/>
                <w:sz w:val="24"/>
              </w:rPr>
              <w:t>1</w:t>
            </w:r>
          </w:p>
        </w:tc>
        <w:tc>
          <w:tcPr>
            <w:tcW w:w="2296" w:type="dxa"/>
            <w:vMerge w:val="restart"/>
            <w:vAlign w:val="center"/>
          </w:tcPr>
          <w:p>
            <w:pPr>
              <w:rPr>
                <w:rFonts w:ascii="宋体" w:hAnsi="宋体" w:cs="宋体"/>
                <w:sz w:val="24"/>
              </w:rPr>
            </w:pPr>
            <w:r>
              <w:rPr>
                <w:rFonts w:hint="eastAsia" w:ascii="宋体" w:hAnsi="宋体" w:cs="宋体"/>
                <w:kern w:val="28"/>
                <w:sz w:val="24"/>
              </w:rPr>
              <w:t>具备《政府采购法》第二十二条供应商资格条件</w:t>
            </w:r>
          </w:p>
        </w:tc>
        <w:tc>
          <w:tcPr>
            <w:tcW w:w="3389" w:type="dxa"/>
            <w:vAlign w:val="center"/>
          </w:tcPr>
          <w:p>
            <w:pPr>
              <w:rPr>
                <w:rFonts w:ascii="宋体" w:hAnsi="宋体" w:cs="宋体"/>
                <w:sz w:val="24"/>
              </w:rPr>
            </w:pPr>
            <w:r>
              <w:rPr>
                <w:rFonts w:hint="eastAsia" w:ascii="宋体" w:hAnsi="宋体" w:cs="宋体"/>
                <w:sz w:val="24"/>
              </w:rPr>
              <w:t>具有独立承担民事责任的能力；</w:t>
            </w:r>
            <w:r>
              <w:rPr>
                <w:rFonts w:hint="eastAsia" w:ascii="宋体" w:hAnsi="宋体" w:cs="宋体"/>
                <w:kern w:val="0"/>
                <w:sz w:val="24"/>
              </w:rPr>
              <w:t xml:space="preserve"> </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pPr>
              <w:jc w:val="center"/>
              <w:rPr>
                <w:rFonts w:ascii="宋体" w:hAnsi="宋体" w:cs="宋体"/>
                <w:kern w:val="28"/>
                <w:sz w:val="24"/>
              </w:rPr>
            </w:pPr>
          </w:p>
        </w:tc>
        <w:tc>
          <w:tcPr>
            <w:tcW w:w="2296" w:type="dxa"/>
            <w:vMerge w:val="continue"/>
            <w:vAlign w:val="center"/>
          </w:tcPr>
          <w:p>
            <w:pPr>
              <w:rPr>
                <w:rFonts w:ascii="宋体" w:hAnsi="宋体" w:cs="宋体"/>
                <w:kern w:val="28"/>
                <w:sz w:val="24"/>
              </w:rPr>
            </w:pPr>
          </w:p>
        </w:tc>
        <w:tc>
          <w:tcPr>
            <w:tcW w:w="3389" w:type="dxa"/>
            <w:vAlign w:val="center"/>
          </w:tcPr>
          <w:p>
            <w:pPr>
              <w:rPr>
                <w:rFonts w:ascii="宋体" w:hAnsi="宋体" w:cs="宋体"/>
                <w:sz w:val="24"/>
              </w:rPr>
            </w:pPr>
            <w:r>
              <w:rPr>
                <w:rFonts w:hint="eastAsia" w:ascii="宋体" w:hAnsi="宋体" w:cs="宋体"/>
                <w:sz w:val="24"/>
              </w:rPr>
              <w:t xml:space="preserve">具有良好的商业信誉和健全的财务会计制度； </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pPr>
              <w:jc w:val="center"/>
              <w:rPr>
                <w:rFonts w:ascii="宋体" w:hAnsi="宋体" w:cs="宋体"/>
                <w:kern w:val="28"/>
                <w:sz w:val="24"/>
              </w:rPr>
            </w:pPr>
          </w:p>
        </w:tc>
        <w:tc>
          <w:tcPr>
            <w:tcW w:w="2296" w:type="dxa"/>
            <w:vMerge w:val="continue"/>
            <w:vAlign w:val="center"/>
          </w:tcPr>
          <w:p>
            <w:pPr>
              <w:rPr>
                <w:rFonts w:ascii="宋体" w:hAnsi="宋体" w:cs="宋体"/>
                <w:kern w:val="28"/>
                <w:sz w:val="24"/>
              </w:rPr>
            </w:pPr>
          </w:p>
        </w:tc>
        <w:tc>
          <w:tcPr>
            <w:tcW w:w="3389" w:type="dxa"/>
            <w:vAlign w:val="center"/>
          </w:tcPr>
          <w:p>
            <w:pPr>
              <w:rPr>
                <w:rFonts w:ascii="宋体" w:hAnsi="宋体" w:cs="宋体"/>
                <w:sz w:val="24"/>
              </w:rPr>
            </w:pPr>
            <w:r>
              <w:rPr>
                <w:rFonts w:hint="eastAsia" w:ascii="宋体" w:hAnsi="宋体" w:cs="宋体"/>
                <w:sz w:val="24"/>
              </w:rPr>
              <w:t xml:space="preserve">具有履行合同所必需的设备和专业技术能力； </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pPr>
              <w:jc w:val="center"/>
              <w:rPr>
                <w:rFonts w:ascii="宋体" w:hAnsi="宋体" w:cs="宋体"/>
                <w:kern w:val="28"/>
                <w:sz w:val="24"/>
              </w:rPr>
            </w:pPr>
          </w:p>
        </w:tc>
        <w:tc>
          <w:tcPr>
            <w:tcW w:w="2296" w:type="dxa"/>
            <w:vMerge w:val="continue"/>
            <w:vAlign w:val="center"/>
          </w:tcPr>
          <w:p>
            <w:pPr>
              <w:rPr>
                <w:rFonts w:ascii="宋体" w:hAnsi="宋体" w:cs="宋体"/>
                <w:kern w:val="28"/>
                <w:sz w:val="24"/>
              </w:rPr>
            </w:pPr>
          </w:p>
        </w:tc>
        <w:tc>
          <w:tcPr>
            <w:tcW w:w="3389" w:type="dxa"/>
            <w:vAlign w:val="center"/>
          </w:tcPr>
          <w:p>
            <w:pPr>
              <w:rPr>
                <w:rFonts w:ascii="宋体" w:hAnsi="宋体" w:cs="宋体"/>
                <w:sz w:val="24"/>
              </w:rPr>
            </w:pPr>
            <w:r>
              <w:rPr>
                <w:rFonts w:hint="eastAsia" w:ascii="宋体" w:hAnsi="宋体" w:cs="宋体"/>
                <w:sz w:val="24"/>
              </w:rPr>
              <w:t xml:space="preserve">有依法缴纳税收和社会保障资金的良好记录； </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pPr>
              <w:jc w:val="center"/>
              <w:rPr>
                <w:rFonts w:ascii="宋体" w:hAnsi="宋体" w:cs="宋体"/>
                <w:kern w:val="28"/>
                <w:sz w:val="24"/>
              </w:rPr>
            </w:pPr>
          </w:p>
        </w:tc>
        <w:tc>
          <w:tcPr>
            <w:tcW w:w="2296" w:type="dxa"/>
            <w:vMerge w:val="continue"/>
            <w:vAlign w:val="center"/>
          </w:tcPr>
          <w:p>
            <w:pPr>
              <w:rPr>
                <w:rFonts w:ascii="宋体" w:hAnsi="宋体" w:cs="宋体"/>
                <w:kern w:val="28"/>
                <w:sz w:val="24"/>
              </w:rPr>
            </w:pPr>
          </w:p>
        </w:tc>
        <w:tc>
          <w:tcPr>
            <w:tcW w:w="3389" w:type="dxa"/>
            <w:vAlign w:val="center"/>
          </w:tcPr>
          <w:p>
            <w:pPr>
              <w:rPr>
                <w:rFonts w:ascii="宋体" w:hAnsi="宋体" w:cs="宋体"/>
                <w:sz w:val="24"/>
              </w:rPr>
            </w:pPr>
            <w:r>
              <w:rPr>
                <w:rFonts w:hint="eastAsia" w:ascii="宋体" w:hAnsi="宋体" w:cs="宋体"/>
                <w:sz w:val="24"/>
              </w:rPr>
              <w:t xml:space="preserve">参加招标投标活动前三年内，在经营活动中没有重大违法记录； </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01" w:type="dxa"/>
            <w:vMerge w:val="continue"/>
            <w:vAlign w:val="center"/>
          </w:tcPr>
          <w:p>
            <w:pPr>
              <w:jc w:val="center"/>
              <w:rPr>
                <w:rFonts w:ascii="宋体" w:hAnsi="宋体" w:cs="宋体"/>
                <w:kern w:val="28"/>
                <w:sz w:val="24"/>
              </w:rPr>
            </w:pPr>
          </w:p>
        </w:tc>
        <w:tc>
          <w:tcPr>
            <w:tcW w:w="2296" w:type="dxa"/>
            <w:vMerge w:val="continue"/>
            <w:vAlign w:val="center"/>
          </w:tcPr>
          <w:p>
            <w:pPr>
              <w:rPr>
                <w:rFonts w:ascii="宋体" w:hAnsi="宋体" w:cs="宋体"/>
                <w:kern w:val="28"/>
                <w:sz w:val="24"/>
              </w:rPr>
            </w:pPr>
          </w:p>
        </w:tc>
        <w:tc>
          <w:tcPr>
            <w:tcW w:w="3389" w:type="dxa"/>
            <w:vAlign w:val="center"/>
          </w:tcPr>
          <w:p>
            <w:pPr>
              <w:rPr>
                <w:rFonts w:ascii="宋体" w:hAnsi="宋体" w:cs="宋体"/>
                <w:sz w:val="24"/>
              </w:rPr>
            </w:pPr>
            <w:r>
              <w:rPr>
                <w:rFonts w:hint="eastAsia" w:ascii="宋体" w:hAnsi="宋体" w:cs="宋体"/>
                <w:sz w:val="24"/>
              </w:rPr>
              <w:t>法律、行政法规规定的其他条件</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vAlign w:val="center"/>
          </w:tcPr>
          <w:p>
            <w:pPr>
              <w:jc w:val="center"/>
              <w:rPr>
                <w:rFonts w:ascii="宋体" w:hAnsi="宋体" w:cs="宋体"/>
                <w:kern w:val="28"/>
                <w:sz w:val="24"/>
              </w:rPr>
            </w:pPr>
            <w:r>
              <w:rPr>
                <w:rFonts w:hint="eastAsia" w:ascii="宋体" w:hAnsi="宋体" w:cs="宋体"/>
                <w:kern w:val="28"/>
                <w:sz w:val="24"/>
              </w:rPr>
              <w:t>2</w:t>
            </w:r>
          </w:p>
        </w:tc>
        <w:tc>
          <w:tcPr>
            <w:tcW w:w="5685" w:type="dxa"/>
            <w:gridSpan w:val="2"/>
            <w:vAlign w:val="center"/>
          </w:tcPr>
          <w:p>
            <w:pPr>
              <w:rPr>
                <w:rFonts w:ascii="宋体" w:hAnsi="宋体" w:cs="宋体"/>
                <w:sz w:val="24"/>
              </w:rPr>
            </w:pPr>
            <w:r>
              <w:rPr>
                <w:rFonts w:hint="eastAsia" w:ascii="宋体" w:hAnsi="宋体" w:cs="Tahoma"/>
                <w:kern w:val="28"/>
                <w:sz w:val="24"/>
              </w:rPr>
              <w:t>为采购项目提供整体设计、规范编制或者项目管理、监理、检测等服务的供应商，不得参加本项目投标。（投标人提供了“投标人未为本项目提供整体设计、规范编制或者项目管理、监理、检测等服务的声明”，格式自拟，加盖公章。）</w:t>
            </w:r>
          </w:p>
        </w:tc>
        <w:tc>
          <w:tcPr>
            <w:tcW w:w="1044" w:type="dxa"/>
            <w:vAlign w:val="center"/>
          </w:tcPr>
          <w:p>
            <w:pPr>
              <w:rPr>
                <w:rFonts w:ascii="宋体" w:hAnsi="宋体" w:cs="宋体"/>
                <w:kern w:val="28"/>
                <w:sz w:val="24"/>
              </w:rPr>
            </w:pPr>
          </w:p>
        </w:tc>
        <w:tc>
          <w:tcPr>
            <w:tcW w:w="975" w:type="dxa"/>
            <w:vAlign w:val="center"/>
          </w:tcPr>
          <w:p>
            <w:pPr>
              <w:rPr>
                <w:rFonts w:ascii="宋体" w:hAnsi="宋体" w:cs="宋体"/>
                <w:kern w:val="28"/>
                <w:sz w:val="24"/>
              </w:rPr>
            </w:pPr>
          </w:p>
        </w:tc>
        <w:tc>
          <w:tcPr>
            <w:tcW w:w="1050" w:type="dxa"/>
            <w:vAlign w:val="center"/>
          </w:tcPr>
          <w:p>
            <w:pPr>
              <w:rPr>
                <w:rFonts w:ascii="宋体" w:hAnsi="宋体" w:cs="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vAlign w:val="center"/>
          </w:tcPr>
          <w:p>
            <w:pPr>
              <w:jc w:val="center"/>
              <w:rPr>
                <w:rFonts w:ascii="宋体" w:hAnsi="宋体" w:cs="宋体"/>
                <w:kern w:val="28"/>
                <w:sz w:val="24"/>
              </w:rPr>
            </w:pPr>
            <w:r>
              <w:rPr>
                <w:rFonts w:hint="eastAsia" w:ascii="宋体" w:hAnsi="宋体" w:cs="宋体"/>
                <w:kern w:val="28"/>
                <w:sz w:val="24"/>
              </w:rPr>
              <w:t>3</w:t>
            </w:r>
          </w:p>
        </w:tc>
        <w:tc>
          <w:tcPr>
            <w:tcW w:w="5685" w:type="dxa"/>
            <w:gridSpan w:val="2"/>
            <w:vAlign w:val="center"/>
          </w:tcPr>
          <w:p>
            <w:pPr>
              <w:rPr>
                <w:rFonts w:ascii="宋体" w:hAnsi="宋体" w:cs="宋体"/>
                <w:sz w:val="24"/>
              </w:rPr>
            </w:pPr>
            <w:r>
              <w:rPr>
                <w:rFonts w:hint="eastAsia" w:ascii="宋体" w:hAnsi="宋体" w:cs="宋体"/>
                <w:kern w:val="0"/>
                <w:sz w:val="24"/>
              </w:rPr>
              <w:t>投标单位负责人为同一人或者存在直接控股、管理关系的不同供应商，不得参加同一合同项下的政府采购活动。（投标人提供了“投标人控股股东名称、控股公司的名称和存在管理、被管理关系单位名称的说明”</w:t>
            </w:r>
            <w:r>
              <w:rPr>
                <w:rFonts w:ascii="宋体" w:hAnsi="宋体" w:cs="宋体"/>
                <w:kern w:val="0"/>
                <w:sz w:val="24"/>
              </w:rPr>
              <w:t>,</w:t>
            </w:r>
            <w:r>
              <w:rPr>
                <w:rFonts w:hint="eastAsia" w:ascii="宋体" w:hAnsi="宋体" w:cs="宋体"/>
                <w:kern w:val="0"/>
                <w:sz w:val="24"/>
              </w:rPr>
              <w:t>格式自拟，加盖公章。）各投标人之间不存在单位负责人为同一人或者存在控股、管理关系情形。</w:t>
            </w:r>
          </w:p>
        </w:tc>
        <w:tc>
          <w:tcPr>
            <w:tcW w:w="1044" w:type="dxa"/>
            <w:vAlign w:val="center"/>
          </w:tcPr>
          <w:p>
            <w:pPr>
              <w:rPr>
                <w:rFonts w:ascii="宋体" w:hAnsi="宋体" w:cs="宋体"/>
                <w:kern w:val="28"/>
                <w:sz w:val="24"/>
              </w:rPr>
            </w:pPr>
          </w:p>
        </w:tc>
        <w:tc>
          <w:tcPr>
            <w:tcW w:w="975" w:type="dxa"/>
            <w:vAlign w:val="center"/>
          </w:tcPr>
          <w:p>
            <w:pPr>
              <w:rPr>
                <w:rFonts w:ascii="宋体" w:hAnsi="宋体" w:cs="宋体"/>
                <w:kern w:val="28"/>
                <w:sz w:val="24"/>
              </w:rPr>
            </w:pPr>
          </w:p>
        </w:tc>
        <w:tc>
          <w:tcPr>
            <w:tcW w:w="1050" w:type="dxa"/>
            <w:vAlign w:val="center"/>
          </w:tcPr>
          <w:p>
            <w:pPr>
              <w:rPr>
                <w:rFonts w:ascii="宋体" w:hAnsi="宋体" w:cs="宋体"/>
                <w:kern w:val="2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pPr>
              <w:jc w:val="center"/>
              <w:rPr>
                <w:rFonts w:ascii="宋体" w:hAnsi="宋体" w:cs="宋体"/>
                <w:kern w:val="28"/>
                <w:sz w:val="24"/>
              </w:rPr>
            </w:pPr>
            <w:r>
              <w:rPr>
                <w:rFonts w:hint="eastAsia" w:ascii="宋体" w:hAnsi="宋体" w:cs="宋体"/>
                <w:kern w:val="28"/>
                <w:sz w:val="24"/>
              </w:rPr>
              <w:t>4</w:t>
            </w:r>
          </w:p>
        </w:tc>
        <w:tc>
          <w:tcPr>
            <w:tcW w:w="5685" w:type="dxa"/>
            <w:gridSpan w:val="2"/>
            <w:vAlign w:val="center"/>
          </w:tcPr>
          <w:p>
            <w:pPr>
              <w:rPr>
                <w:rFonts w:ascii="宋体" w:hAnsi="宋体" w:cs="宋体"/>
                <w:sz w:val="24"/>
              </w:rPr>
            </w:pPr>
            <w:r>
              <w:rPr>
                <w:rFonts w:hint="eastAsia" w:ascii="宋体" w:hAnsi="宋体" w:cs="宋体"/>
                <w:sz w:val="24"/>
              </w:rPr>
              <w:t>银行出具盖章的资信证明文件或会计师事务所出具盖章的上一年度（202</w:t>
            </w:r>
            <w:r>
              <w:rPr>
                <w:rFonts w:ascii="宋体" w:hAnsi="宋体" w:cs="宋体"/>
                <w:sz w:val="24"/>
              </w:rPr>
              <w:t>1</w:t>
            </w:r>
            <w:r>
              <w:rPr>
                <w:rFonts w:hint="eastAsia" w:ascii="宋体" w:hAnsi="宋体" w:cs="宋体"/>
                <w:sz w:val="24"/>
              </w:rPr>
              <w:t>年度或者2</w:t>
            </w:r>
            <w:r>
              <w:rPr>
                <w:rFonts w:ascii="宋体" w:hAnsi="宋体" w:cs="宋体"/>
                <w:sz w:val="24"/>
              </w:rPr>
              <w:t>020</w:t>
            </w:r>
            <w:r>
              <w:rPr>
                <w:rFonts w:hint="eastAsia" w:ascii="宋体" w:hAnsi="宋体" w:cs="宋体"/>
                <w:sz w:val="24"/>
              </w:rPr>
              <w:t>年度）财务审计报告（投标人必须提供，但由专业担保机构已出具投标担保函的除外）</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pPr>
              <w:jc w:val="center"/>
              <w:rPr>
                <w:rFonts w:ascii="宋体" w:hAnsi="宋体" w:cs="宋体"/>
                <w:kern w:val="28"/>
                <w:sz w:val="24"/>
              </w:rPr>
            </w:pPr>
            <w:r>
              <w:rPr>
                <w:rFonts w:ascii="宋体" w:hAnsi="宋体" w:cs="宋体"/>
                <w:kern w:val="28"/>
                <w:sz w:val="24"/>
              </w:rPr>
              <w:t>5</w:t>
            </w:r>
          </w:p>
        </w:tc>
        <w:tc>
          <w:tcPr>
            <w:tcW w:w="5685" w:type="dxa"/>
            <w:gridSpan w:val="2"/>
            <w:vAlign w:val="center"/>
          </w:tcPr>
          <w:p>
            <w:pPr>
              <w:rPr>
                <w:rFonts w:ascii="宋体" w:hAnsi="宋体" w:cs="宋体"/>
                <w:sz w:val="24"/>
              </w:rPr>
            </w:pPr>
            <w:r>
              <w:rPr>
                <w:rFonts w:hint="eastAsia" w:ascii="宋体" w:hAnsi="宋体" w:cs="宋体"/>
                <w:sz w:val="24"/>
              </w:rPr>
              <w:t>依法缴纳税收的记录（提供投标截止日期之前12个月内任何一期纳税记录复印件并加盖投标人公章，缴纳记录需体现有银行或税务部门印章，自行编写或网页截图无效）（依法免税的供应商，须提供相应文件证明其依法免税）</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pPr>
              <w:jc w:val="center"/>
              <w:rPr>
                <w:rFonts w:ascii="宋体" w:hAnsi="宋体" w:cs="宋体"/>
                <w:sz w:val="24"/>
              </w:rPr>
            </w:pPr>
            <w:r>
              <w:rPr>
                <w:rFonts w:ascii="宋体" w:hAnsi="宋体" w:cs="宋体"/>
                <w:sz w:val="24"/>
              </w:rPr>
              <w:t>6</w:t>
            </w:r>
          </w:p>
        </w:tc>
        <w:tc>
          <w:tcPr>
            <w:tcW w:w="5685" w:type="dxa"/>
            <w:gridSpan w:val="2"/>
            <w:vAlign w:val="center"/>
          </w:tcPr>
          <w:p>
            <w:pPr>
              <w:jc w:val="left"/>
              <w:rPr>
                <w:rFonts w:ascii="宋体" w:hAnsi="宋体" w:cs="宋体"/>
                <w:sz w:val="24"/>
              </w:rPr>
            </w:pPr>
            <w:r>
              <w:rPr>
                <w:rFonts w:hint="eastAsia" w:ascii="宋体" w:hAnsi="宋体" w:cs="宋体"/>
                <w:sz w:val="24"/>
              </w:rPr>
              <w:t>依法缴纳社会保障资金的记录（提供投标截止日期之前12个月内任何一期缴费记录复印件并加盖投标人公章，缴纳记录需体现有银行或税务部门或社保部门印章，自行编写或网页截图无效）（依法不需要缴纳社会保障资金的供应商，须提供相应文件证明其依法不需要缴纳社会保障资金）</w:t>
            </w:r>
          </w:p>
        </w:tc>
        <w:tc>
          <w:tcPr>
            <w:tcW w:w="1044" w:type="dxa"/>
            <w:vAlign w:val="center"/>
          </w:tcPr>
          <w:p>
            <w:pPr>
              <w:jc w:val="left"/>
              <w:rPr>
                <w:rFonts w:ascii="宋体" w:hAnsi="宋体" w:cs="宋体"/>
                <w:sz w:val="24"/>
              </w:rPr>
            </w:pPr>
          </w:p>
        </w:tc>
        <w:tc>
          <w:tcPr>
            <w:tcW w:w="975" w:type="dxa"/>
            <w:vAlign w:val="center"/>
          </w:tcPr>
          <w:p>
            <w:pPr>
              <w:jc w:val="left"/>
              <w:rPr>
                <w:rFonts w:ascii="宋体" w:hAnsi="宋体" w:cs="宋体"/>
                <w:sz w:val="24"/>
              </w:rPr>
            </w:pPr>
          </w:p>
        </w:tc>
        <w:tc>
          <w:tcPr>
            <w:tcW w:w="1050"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01" w:type="dxa"/>
            <w:vAlign w:val="center"/>
          </w:tcPr>
          <w:p>
            <w:pPr>
              <w:jc w:val="center"/>
              <w:rPr>
                <w:rFonts w:ascii="宋体" w:hAnsi="宋体" w:cs="宋体"/>
                <w:sz w:val="24"/>
              </w:rPr>
            </w:pPr>
            <w:r>
              <w:rPr>
                <w:rFonts w:ascii="宋体" w:hAnsi="宋体" w:cs="宋体"/>
                <w:sz w:val="24"/>
              </w:rPr>
              <w:t>7</w:t>
            </w:r>
          </w:p>
        </w:tc>
        <w:tc>
          <w:tcPr>
            <w:tcW w:w="5685" w:type="dxa"/>
            <w:gridSpan w:val="2"/>
            <w:vAlign w:val="center"/>
          </w:tcPr>
          <w:p>
            <w:pPr>
              <w:jc w:val="left"/>
              <w:rPr>
                <w:rFonts w:ascii="宋体" w:hAnsi="宋体" w:cs="宋体"/>
                <w:sz w:val="24"/>
              </w:rPr>
            </w:pPr>
            <w:r>
              <w:rPr>
                <w:rFonts w:hint="eastAsia" w:ascii="宋体" w:hAnsi="宋体" w:cs="宋体"/>
                <w:sz w:val="24"/>
              </w:rPr>
              <w:t>参加政府采购活动前三年内，在经营活动中没有重大违法记录声明。（格式自拟，加盖公章）</w:t>
            </w:r>
          </w:p>
        </w:tc>
        <w:tc>
          <w:tcPr>
            <w:tcW w:w="1044" w:type="dxa"/>
            <w:vAlign w:val="center"/>
          </w:tcPr>
          <w:p>
            <w:pPr>
              <w:jc w:val="left"/>
              <w:rPr>
                <w:rFonts w:ascii="宋体" w:hAnsi="宋体" w:cs="宋体"/>
                <w:sz w:val="24"/>
              </w:rPr>
            </w:pPr>
          </w:p>
        </w:tc>
        <w:tc>
          <w:tcPr>
            <w:tcW w:w="975" w:type="dxa"/>
            <w:vAlign w:val="center"/>
          </w:tcPr>
          <w:p>
            <w:pPr>
              <w:jc w:val="left"/>
              <w:rPr>
                <w:rFonts w:ascii="宋体" w:hAnsi="宋体" w:cs="宋体"/>
                <w:sz w:val="24"/>
              </w:rPr>
            </w:pPr>
          </w:p>
        </w:tc>
        <w:tc>
          <w:tcPr>
            <w:tcW w:w="1050"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1" w:type="dxa"/>
            <w:vAlign w:val="center"/>
          </w:tcPr>
          <w:p>
            <w:pPr>
              <w:jc w:val="center"/>
              <w:rPr>
                <w:rFonts w:ascii="宋体" w:hAnsi="宋体" w:cs="宋体"/>
                <w:sz w:val="24"/>
              </w:rPr>
            </w:pPr>
            <w:r>
              <w:rPr>
                <w:rFonts w:ascii="宋体" w:hAnsi="宋体" w:cs="宋体"/>
                <w:sz w:val="24"/>
              </w:rPr>
              <w:t>8</w:t>
            </w:r>
          </w:p>
        </w:tc>
        <w:tc>
          <w:tcPr>
            <w:tcW w:w="5685" w:type="dxa"/>
            <w:gridSpan w:val="2"/>
            <w:vAlign w:val="center"/>
          </w:tcPr>
          <w:p>
            <w:pPr>
              <w:jc w:val="left"/>
              <w:rPr>
                <w:rFonts w:ascii="宋体" w:hAnsi="宋体" w:cs="宋体"/>
                <w:sz w:val="24"/>
              </w:rPr>
            </w:pPr>
            <w:r>
              <w:rPr>
                <w:rFonts w:hint="eastAsia" w:ascii="宋体" w:hAnsi="宋体" w:cs="宋体"/>
                <w:sz w:val="24"/>
              </w:rPr>
              <w:t>具有良好商业信誉和健全财务会计制度的财务状况的承诺（格式自拟，加盖公章）</w:t>
            </w:r>
          </w:p>
        </w:tc>
        <w:tc>
          <w:tcPr>
            <w:tcW w:w="1044" w:type="dxa"/>
            <w:vAlign w:val="center"/>
          </w:tcPr>
          <w:p>
            <w:pPr>
              <w:jc w:val="left"/>
              <w:rPr>
                <w:rFonts w:ascii="宋体" w:hAnsi="宋体" w:cs="宋体"/>
                <w:sz w:val="24"/>
              </w:rPr>
            </w:pPr>
          </w:p>
        </w:tc>
        <w:tc>
          <w:tcPr>
            <w:tcW w:w="975" w:type="dxa"/>
            <w:vAlign w:val="center"/>
          </w:tcPr>
          <w:p>
            <w:pPr>
              <w:jc w:val="left"/>
              <w:rPr>
                <w:rFonts w:ascii="宋体" w:hAnsi="宋体" w:cs="宋体"/>
                <w:sz w:val="24"/>
              </w:rPr>
            </w:pPr>
          </w:p>
        </w:tc>
        <w:tc>
          <w:tcPr>
            <w:tcW w:w="1050"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Align w:val="center"/>
          </w:tcPr>
          <w:p>
            <w:pPr>
              <w:jc w:val="center"/>
              <w:rPr>
                <w:rFonts w:ascii="宋体" w:hAnsi="宋体" w:cs="宋体"/>
                <w:sz w:val="24"/>
              </w:rPr>
            </w:pPr>
            <w:r>
              <w:rPr>
                <w:rFonts w:ascii="宋体" w:hAnsi="宋体" w:cs="宋体"/>
                <w:sz w:val="24"/>
              </w:rPr>
              <w:t>9</w:t>
            </w:r>
          </w:p>
        </w:tc>
        <w:tc>
          <w:tcPr>
            <w:tcW w:w="5685" w:type="dxa"/>
            <w:gridSpan w:val="2"/>
            <w:vAlign w:val="center"/>
          </w:tcPr>
          <w:p>
            <w:pPr>
              <w:jc w:val="left"/>
              <w:rPr>
                <w:rFonts w:ascii="宋体" w:hAnsi="宋体" w:cs="宋体"/>
                <w:sz w:val="24"/>
              </w:rPr>
            </w:pPr>
            <w:r>
              <w:rPr>
                <w:rFonts w:hint="eastAsia" w:ascii="宋体" w:hAnsi="宋体" w:cs="宋体"/>
                <w:sz w:val="24"/>
              </w:rPr>
              <w:t>具有履行合同所必需的设备和专业技术能力的承诺（格式自拟，加盖公章）</w:t>
            </w:r>
          </w:p>
        </w:tc>
        <w:tc>
          <w:tcPr>
            <w:tcW w:w="1044" w:type="dxa"/>
            <w:vAlign w:val="center"/>
          </w:tcPr>
          <w:p>
            <w:pPr>
              <w:jc w:val="left"/>
              <w:rPr>
                <w:rFonts w:ascii="宋体" w:hAnsi="宋体" w:cs="宋体"/>
                <w:sz w:val="24"/>
              </w:rPr>
            </w:pPr>
          </w:p>
        </w:tc>
        <w:tc>
          <w:tcPr>
            <w:tcW w:w="975" w:type="dxa"/>
            <w:vAlign w:val="center"/>
          </w:tcPr>
          <w:p>
            <w:pPr>
              <w:jc w:val="left"/>
              <w:rPr>
                <w:rFonts w:ascii="宋体" w:hAnsi="宋体" w:cs="宋体"/>
                <w:sz w:val="24"/>
              </w:rPr>
            </w:pPr>
          </w:p>
        </w:tc>
        <w:tc>
          <w:tcPr>
            <w:tcW w:w="1050"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Align w:val="center"/>
          </w:tcPr>
          <w:p>
            <w:pPr>
              <w:jc w:val="center"/>
              <w:rPr>
                <w:rFonts w:ascii="宋体" w:hAnsi="宋体" w:cs="宋体"/>
                <w:sz w:val="24"/>
              </w:rPr>
            </w:pPr>
            <w:r>
              <w:rPr>
                <w:rFonts w:ascii="宋体" w:hAnsi="宋体" w:cs="宋体"/>
                <w:sz w:val="24"/>
              </w:rPr>
              <w:t>10</w:t>
            </w:r>
          </w:p>
        </w:tc>
        <w:tc>
          <w:tcPr>
            <w:tcW w:w="5685" w:type="dxa"/>
            <w:gridSpan w:val="2"/>
            <w:vAlign w:val="center"/>
          </w:tcPr>
          <w:p>
            <w:pPr>
              <w:rPr>
                <w:rFonts w:ascii="宋体" w:hAnsi="宋体" w:cs="宋体"/>
                <w:sz w:val="24"/>
              </w:rPr>
            </w:pPr>
            <w:r>
              <w:rPr>
                <w:rFonts w:hint="eastAsia" w:ascii="宋体" w:hAnsi="宋体" w:cs="宋体"/>
                <w:sz w:val="24"/>
              </w:rPr>
              <w:t>非联合体形式投标</w:t>
            </w:r>
          </w:p>
        </w:tc>
        <w:tc>
          <w:tcPr>
            <w:tcW w:w="1044" w:type="dxa"/>
            <w:vAlign w:val="center"/>
          </w:tcPr>
          <w:p>
            <w:pPr>
              <w:tabs>
                <w:tab w:val="left" w:pos="1134"/>
                <w:tab w:val="left" w:pos="1276"/>
              </w:tabs>
              <w:autoSpaceDE w:val="0"/>
              <w:autoSpaceDN w:val="0"/>
              <w:adjustRightInd w:val="0"/>
              <w:snapToGrid w:val="0"/>
              <w:spacing w:before="50" w:after="50" w:line="360" w:lineRule="exact"/>
              <w:rPr>
                <w:szCs w:val="21"/>
              </w:rPr>
            </w:pPr>
          </w:p>
        </w:tc>
        <w:tc>
          <w:tcPr>
            <w:tcW w:w="975" w:type="dxa"/>
            <w:vAlign w:val="center"/>
          </w:tcPr>
          <w:p>
            <w:pPr>
              <w:tabs>
                <w:tab w:val="left" w:pos="1134"/>
                <w:tab w:val="left" w:pos="1276"/>
              </w:tabs>
              <w:autoSpaceDE w:val="0"/>
              <w:autoSpaceDN w:val="0"/>
              <w:adjustRightInd w:val="0"/>
              <w:snapToGrid w:val="0"/>
              <w:spacing w:before="50" w:after="50" w:line="360" w:lineRule="exact"/>
              <w:rPr>
                <w:szCs w:val="21"/>
              </w:rPr>
            </w:pPr>
          </w:p>
        </w:tc>
        <w:tc>
          <w:tcPr>
            <w:tcW w:w="1050" w:type="dxa"/>
            <w:vAlign w:val="center"/>
          </w:tcPr>
          <w:p>
            <w:pPr>
              <w:tabs>
                <w:tab w:val="left" w:pos="1134"/>
                <w:tab w:val="left" w:pos="1276"/>
              </w:tabs>
              <w:autoSpaceDE w:val="0"/>
              <w:autoSpaceDN w:val="0"/>
              <w:adjustRightInd w:val="0"/>
              <w:snapToGrid w:val="0"/>
              <w:spacing w:before="50" w:after="50"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001" w:type="dxa"/>
            <w:vAlign w:val="center"/>
          </w:tcPr>
          <w:p>
            <w:pPr>
              <w:jc w:val="center"/>
              <w:rPr>
                <w:rFonts w:ascii="宋体" w:hAnsi="宋体" w:cs="宋体"/>
                <w:kern w:val="28"/>
                <w:sz w:val="24"/>
              </w:rPr>
            </w:pPr>
            <w:r>
              <w:rPr>
                <w:rFonts w:hint="eastAsia" w:ascii="宋体" w:hAnsi="宋体" w:cs="宋体"/>
                <w:kern w:val="28"/>
                <w:sz w:val="24"/>
              </w:rPr>
              <w:t>1</w:t>
            </w:r>
            <w:r>
              <w:rPr>
                <w:rFonts w:ascii="宋体" w:hAnsi="宋体" w:cs="宋体"/>
                <w:kern w:val="28"/>
                <w:sz w:val="24"/>
              </w:rPr>
              <w:t>1</w:t>
            </w:r>
          </w:p>
        </w:tc>
        <w:tc>
          <w:tcPr>
            <w:tcW w:w="5685" w:type="dxa"/>
            <w:gridSpan w:val="2"/>
            <w:vAlign w:val="center"/>
          </w:tcPr>
          <w:p>
            <w:pPr>
              <w:rPr>
                <w:rFonts w:ascii="宋体" w:hAnsi="宋体" w:cs="宋体"/>
                <w:sz w:val="24"/>
              </w:rPr>
            </w:pPr>
            <w:r>
              <w:rPr>
                <w:rFonts w:hint="eastAsia" w:ascii="宋体" w:hAnsi="宋体" w:cs="宋体"/>
                <w:sz w:val="24"/>
              </w:rPr>
              <w:t>投标人未被列入“信用中国”网站(www.creditchina.gov.cn)“失信被执行人或重大税收违法案件当事人名单”记录名单；不处于中国政府采购网(www.ccgp.gov.cn)“政府采购严重违法失信行为信息记录”中的禁止参加政府采购活动期间。（以采购代理机构于投标截止时间在“信用中国”网站（www.creditchina.gov.cn）及中国政府采购网（http://www.ccgp.gov.cn/）查询结果为准，如相关失信记录已失效，投标人需提供相关证明资料）</w:t>
            </w:r>
            <w:r>
              <w:rPr>
                <w:rFonts w:hint="eastAsia" w:ascii="宋体" w:hAnsi="宋体" w:cs="宋体"/>
                <w:kern w:val="28"/>
                <w:sz w:val="24"/>
              </w:rPr>
              <w:t>。</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1" w:type="dxa"/>
            <w:vAlign w:val="center"/>
          </w:tcPr>
          <w:p>
            <w:pPr>
              <w:jc w:val="center"/>
              <w:rPr>
                <w:rFonts w:ascii="宋体" w:hAnsi="宋体" w:cs="宋体"/>
                <w:kern w:val="28"/>
                <w:sz w:val="24"/>
              </w:rPr>
            </w:pPr>
            <w:r>
              <w:rPr>
                <w:rFonts w:hint="eastAsia" w:ascii="宋体" w:hAnsi="宋体" w:cs="宋体"/>
                <w:kern w:val="28"/>
                <w:sz w:val="24"/>
              </w:rPr>
              <w:t>1</w:t>
            </w:r>
            <w:r>
              <w:rPr>
                <w:rFonts w:ascii="宋体" w:hAnsi="宋体" w:cs="宋体"/>
                <w:kern w:val="28"/>
                <w:sz w:val="24"/>
              </w:rPr>
              <w:t>2</w:t>
            </w:r>
          </w:p>
        </w:tc>
        <w:tc>
          <w:tcPr>
            <w:tcW w:w="5685" w:type="dxa"/>
            <w:gridSpan w:val="2"/>
            <w:vAlign w:val="center"/>
          </w:tcPr>
          <w:p>
            <w:pPr>
              <w:rPr>
                <w:rFonts w:ascii="宋体" w:hAnsi="宋体" w:cs="宋体"/>
                <w:sz w:val="24"/>
              </w:rPr>
            </w:pPr>
            <w:r>
              <w:rPr>
                <w:rFonts w:hint="eastAsia" w:ascii="宋体" w:hAnsi="宋体" w:cs="宋体"/>
                <w:sz w:val="24"/>
              </w:rPr>
              <w:t>具有中华人民共和国专利代理机构资格（提供：国家知识产权局网站查询截图、代理机构的注册证，营业执照复印件（原件备查））</w:t>
            </w:r>
          </w:p>
        </w:tc>
        <w:tc>
          <w:tcPr>
            <w:tcW w:w="1044" w:type="dxa"/>
            <w:vAlign w:val="center"/>
          </w:tcPr>
          <w:p>
            <w:pPr>
              <w:rPr>
                <w:rFonts w:ascii="宋体" w:hAnsi="宋体" w:cs="宋体"/>
                <w:sz w:val="24"/>
              </w:rPr>
            </w:pPr>
          </w:p>
        </w:tc>
        <w:tc>
          <w:tcPr>
            <w:tcW w:w="975" w:type="dxa"/>
            <w:vAlign w:val="center"/>
          </w:tcPr>
          <w:p>
            <w:pPr>
              <w:rPr>
                <w:rFonts w:ascii="宋体" w:hAnsi="宋体" w:cs="宋体"/>
                <w:sz w:val="24"/>
              </w:rPr>
            </w:pPr>
          </w:p>
        </w:tc>
        <w:tc>
          <w:tcPr>
            <w:tcW w:w="1050"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01" w:type="dxa"/>
            <w:vAlign w:val="center"/>
          </w:tcPr>
          <w:p>
            <w:pPr>
              <w:jc w:val="center"/>
              <w:rPr>
                <w:rFonts w:ascii="宋体" w:hAnsi="宋体" w:cs="宋体"/>
                <w:sz w:val="24"/>
              </w:rPr>
            </w:pPr>
            <w:r>
              <w:rPr>
                <w:rFonts w:hint="eastAsia" w:ascii="宋体" w:hAnsi="宋体" w:cs="宋体"/>
                <w:sz w:val="24"/>
              </w:rPr>
              <w:t>结论</w:t>
            </w:r>
          </w:p>
        </w:tc>
        <w:tc>
          <w:tcPr>
            <w:tcW w:w="5685" w:type="dxa"/>
            <w:gridSpan w:val="2"/>
            <w:vAlign w:val="center"/>
          </w:tcPr>
          <w:p>
            <w:pPr>
              <w:jc w:val="left"/>
              <w:rPr>
                <w:rFonts w:ascii="宋体" w:hAnsi="宋体" w:cs="宋体"/>
                <w:sz w:val="24"/>
              </w:rPr>
            </w:pPr>
          </w:p>
        </w:tc>
        <w:tc>
          <w:tcPr>
            <w:tcW w:w="1044" w:type="dxa"/>
            <w:vAlign w:val="center"/>
          </w:tcPr>
          <w:p>
            <w:pPr>
              <w:jc w:val="left"/>
              <w:rPr>
                <w:rFonts w:ascii="宋体" w:hAnsi="宋体" w:cs="宋体"/>
                <w:sz w:val="24"/>
              </w:rPr>
            </w:pPr>
          </w:p>
        </w:tc>
        <w:tc>
          <w:tcPr>
            <w:tcW w:w="975" w:type="dxa"/>
            <w:vAlign w:val="center"/>
          </w:tcPr>
          <w:p>
            <w:pPr>
              <w:jc w:val="left"/>
              <w:rPr>
                <w:rFonts w:ascii="宋体" w:hAnsi="宋体" w:cs="宋体"/>
                <w:sz w:val="24"/>
              </w:rPr>
            </w:pPr>
          </w:p>
        </w:tc>
        <w:tc>
          <w:tcPr>
            <w:tcW w:w="1050" w:type="dxa"/>
            <w:vAlign w:val="center"/>
          </w:tcPr>
          <w:p>
            <w:pPr>
              <w:jc w:val="left"/>
              <w:rPr>
                <w:rFonts w:ascii="宋体" w:hAnsi="宋体" w:cs="宋体"/>
                <w:sz w:val="24"/>
              </w:rPr>
            </w:pPr>
          </w:p>
        </w:tc>
      </w:tr>
    </w:tbl>
    <w:p>
      <w:pPr>
        <w:spacing w:line="300" w:lineRule="auto"/>
        <w:ind w:firstLine="480" w:firstLineChars="200"/>
        <w:rPr>
          <w:rFonts w:ascii="宋体" w:hAnsi="宋体"/>
          <w:sz w:val="24"/>
        </w:rPr>
      </w:pPr>
      <w:r>
        <w:rPr>
          <w:rFonts w:hint="eastAsia" w:ascii="time of new roman" w:hAnsi="time of new roman"/>
          <w:sz w:val="24"/>
        </w:rPr>
        <w:t>注：</w:t>
      </w:r>
      <w:r>
        <w:rPr>
          <w:rFonts w:hint="eastAsia" w:ascii="宋体" w:hAnsi="宋体"/>
          <w:sz w:val="24"/>
        </w:rPr>
        <w:t>结论栏中填写“合格”表示该投标人投标文件符合招标文件的资格性要求，“不合格”表示该投标人投标文件不符合招标文件的资格性要求。</w:t>
      </w:r>
    </w:p>
    <w:p>
      <w:pPr>
        <w:spacing w:line="300" w:lineRule="auto"/>
        <w:ind w:firstLine="480" w:firstLineChars="200"/>
        <w:rPr>
          <w:rFonts w:ascii="宋体" w:hAnsi="宋体"/>
          <w:sz w:val="24"/>
        </w:rPr>
      </w:pPr>
      <w:r>
        <w:rPr>
          <w:rFonts w:hint="eastAsia" w:ascii="宋体" w:hAnsi="宋体"/>
          <w:sz w:val="24"/>
        </w:rPr>
        <w:t>2、符合性检查</w:t>
      </w:r>
    </w:p>
    <w:tbl>
      <w:tblPr>
        <w:tblStyle w:val="31"/>
        <w:tblW w:w="9875" w:type="dxa"/>
        <w:tblInd w:w="-572" w:type="dxa"/>
        <w:tblLayout w:type="fixed"/>
        <w:tblCellMar>
          <w:top w:w="0" w:type="dxa"/>
          <w:left w:w="0" w:type="dxa"/>
          <w:bottom w:w="0" w:type="dxa"/>
          <w:right w:w="0" w:type="dxa"/>
        </w:tblCellMar>
      </w:tblPr>
      <w:tblGrid>
        <w:gridCol w:w="1022"/>
        <w:gridCol w:w="5435"/>
        <w:gridCol w:w="1140"/>
        <w:gridCol w:w="1155"/>
        <w:gridCol w:w="1123"/>
      </w:tblGrid>
      <w:tr>
        <w:tblPrEx>
          <w:tblCellMar>
            <w:top w:w="0" w:type="dxa"/>
            <w:left w:w="0" w:type="dxa"/>
            <w:bottom w:w="0" w:type="dxa"/>
            <w:right w:w="0" w:type="dxa"/>
          </w:tblCellMar>
        </w:tblPrEx>
        <w:trPr>
          <w:cantSplit/>
          <w:trHeight w:val="867" w:hRule="atLeast"/>
        </w:trPr>
        <w:tc>
          <w:tcPr>
            <w:tcW w:w="1022" w:type="dxa"/>
            <w:tcBorders>
              <w:top w:val="single" w:color="auto" w:sz="4" w:space="0"/>
              <w:left w:val="single" w:color="auto" w:sz="4" w:space="0"/>
              <w:bottom w:val="single" w:color="000000" w:sz="4" w:space="0"/>
              <w:right w:val="single" w:color="auto" w:sz="4" w:space="0"/>
            </w:tcBorders>
            <w:tcMar>
              <w:top w:w="16" w:type="dxa"/>
              <w:left w:w="16" w:type="dxa"/>
              <w:bottom w:w="0" w:type="dxa"/>
              <w:right w:w="16" w:type="dxa"/>
            </w:tcMar>
            <w:vAlign w:val="center"/>
          </w:tcPr>
          <w:p>
            <w:pPr>
              <w:spacing w:line="400" w:lineRule="exact"/>
              <w:ind w:right="-120" w:rightChars="-57"/>
              <w:jc w:val="center"/>
              <w:rPr>
                <w:rFonts w:ascii="宋体" w:hAnsi="宋体" w:cs="宋体"/>
                <w:sz w:val="24"/>
              </w:rPr>
            </w:pPr>
            <w:r>
              <w:rPr>
                <w:rFonts w:hint="eastAsia" w:ascii="宋体" w:hAnsi="宋体" w:cs="宋体"/>
                <w:sz w:val="24"/>
              </w:rPr>
              <w:t>序号</w:t>
            </w:r>
          </w:p>
        </w:tc>
        <w:tc>
          <w:tcPr>
            <w:tcW w:w="5435" w:type="dxa"/>
            <w:tcBorders>
              <w:top w:val="single" w:color="auto" w:sz="4" w:space="0"/>
              <w:left w:val="single" w:color="auto" w:sz="4" w:space="0"/>
              <w:bottom w:val="single" w:color="000000" w:sz="4" w:space="0"/>
              <w:right w:val="single" w:color="000000" w:sz="4" w:space="0"/>
            </w:tcBorders>
            <w:vAlign w:val="center"/>
          </w:tcPr>
          <w:p>
            <w:pPr>
              <w:spacing w:line="400" w:lineRule="exact"/>
              <w:ind w:right="-120" w:rightChars="-57"/>
              <w:jc w:val="center"/>
              <w:rPr>
                <w:rFonts w:ascii="宋体" w:hAnsi="宋体" w:cs="宋体"/>
                <w:sz w:val="24"/>
              </w:rPr>
            </w:pPr>
            <w:r>
              <w:rPr>
                <w:rFonts w:hint="eastAsia" w:ascii="宋体" w:hAnsi="宋体" w:cs="宋体"/>
                <w:sz w:val="24"/>
              </w:rPr>
              <w:t>评审内容</w:t>
            </w:r>
          </w:p>
        </w:tc>
        <w:tc>
          <w:tcPr>
            <w:tcW w:w="1140" w:type="dxa"/>
            <w:tcBorders>
              <w:top w:val="single" w:color="auto" w:sz="4" w:space="0"/>
              <w:left w:val="single" w:color="auto" w:sz="4" w:space="0"/>
              <w:bottom w:val="single" w:color="auto" w:sz="4" w:space="0"/>
              <w:right w:val="single" w:color="000000" w:sz="4" w:space="0"/>
            </w:tcBorders>
            <w:vAlign w:val="center"/>
          </w:tcPr>
          <w:p>
            <w:pPr>
              <w:spacing w:line="400" w:lineRule="exact"/>
              <w:ind w:right="-120" w:rightChars="-57"/>
              <w:jc w:val="center"/>
              <w:rPr>
                <w:rFonts w:ascii="宋体" w:hAnsi="宋体" w:cs="宋体"/>
                <w:sz w:val="24"/>
              </w:rPr>
            </w:pPr>
            <w:r>
              <w:rPr>
                <w:rFonts w:hint="eastAsia" w:ascii="宋体" w:hAnsi="宋体" w:cs="宋体"/>
                <w:color w:val="0C0C0C"/>
              </w:rPr>
              <w:t>投标人1</w:t>
            </w:r>
          </w:p>
        </w:tc>
        <w:tc>
          <w:tcPr>
            <w:tcW w:w="1155" w:type="dxa"/>
            <w:tcBorders>
              <w:top w:val="single" w:color="auto" w:sz="4" w:space="0"/>
              <w:left w:val="single" w:color="auto" w:sz="4" w:space="0"/>
              <w:bottom w:val="single" w:color="auto" w:sz="4" w:space="0"/>
              <w:right w:val="single" w:color="000000" w:sz="4" w:space="0"/>
            </w:tcBorders>
            <w:vAlign w:val="center"/>
          </w:tcPr>
          <w:p>
            <w:pPr>
              <w:spacing w:line="400" w:lineRule="exact"/>
              <w:ind w:right="-120" w:rightChars="-57"/>
              <w:jc w:val="center"/>
              <w:rPr>
                <w:rFonts w:ascii="宋体" w:hAnsi="宋体" w:cs="宋体"/>
                <w:color w:val="0C0C0C"/>
              </w:rPr>
            </w:pPr>
            <w:r>
              <w:rPr>
                <w:rFonts w:hint="eastAsia" w:ascii="宋体" w:hAnsi="宋体" w:cs="宋体"/>
                <w:color w:val="0C0C0C"/>
              </w:rPr>
              <w:t>投标人2</w:t>
            </w:r>
          </w:p>
        </w:tc>
        <w:tc>
          <w:tcPr>
            <w:tcW w:w="1123" w:type="dxa"/>
            <w:tcBorders>
              <w:top w:val="single" w:color="auto" w:sz="4" w:space="0"/>
              <w:left w:val="single" w:color="auto" w:sz="4" w:space="0"/>
              <w:bottom w:val="single" w:color="auto" w:sz="4" w:space="0"/>
              <w:right w:val="single" w:color="000000" w:sz="4" w:space="0"/>
            </w:tcBorders>
            <w:vAlign w:val="center"/>
          </w:tcPr>
          <w:p>
            <w:pPr>
              <w:spacing w:line="400" w:lineRule="exact"/>
              <w:ind w:right="-120" w:rightChars="-57"/>
              <w:jc w:val="center"/>
              <w:rPr>
                <w:rFonts w:ascii="宋体" w:hAnsi="宋体" w:cs="宋体"/>
                <w:color w:val="0C0C0C"/>
              </w:rPr>
            </w:pPr>
            <w:r>
              <w:rPr>
                <w:rFonts w:hint="eastAsia" w:ascii="宋体" w:hAnsi="宋体" w:cs="宋体"/>
                <w:color w:val="0C0C0C"/>
              </w:rPr>
              <w:t>...</w:t>
            </w:r>
          </w:p>
        </w:tc>
      </w:tr>
      <w:tr>
        <w:tblPrEx>
          <w:tblCellMar>
            <w:top w:w="0" w:type="dxa"/>
            <w:left w:w="0" w:type="dxa"/>
            <w:bottom w:w="0" w:type="dxa"/>
            <w:right w:w="0" w:type="dxa"/>
          </w:tblCellMar>
        </w:tblPrEx>
        <w:trPr>
          <w:trHeight w:val="471" w:hRule="atLeast"/>
        </w:trPr>
        <w:tc>
          <w:tcPr>
            <w:tcW w:w="1022"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1</w:t>
            </w:r>
          </w:p>
        </w:tc>
        <w:tc>
          <w:tcPr>
            <w:tcW w:w="5435" w:type="dxa"/>
            <w:tcBorders>
              <w:top w:val="nil"/>
              <w:left w:val="single" w:color="auto" w:sz="4" w:space="0"/>
              <w:bottom w:val="single" w:color="auto" w:sz="4" w:space="0"/>
              <w:right w:val="single" w:color="auto" w:sz="4" w:space="0"/>
            </w:tcBorders>
            <w:vAlign w:val="center"/>
          </w:tcPr>
          <w:p>
            <w:pPr>
              <w:pStyle w:val="61"/>
              <w:widowControl w:val="0"/>
              <w:pBdr>
                <w:bottom w:val="none" w:color="auto" w:sz="0" w:space="0"/>
                <w:right w:val="none" w:color="auto" w:sz="0" w:space="0"/>
              </w:pBdr>
              <w:spacing w:before="0" w:beforeAutospacing="0" w:after="0" w:afterAutospacing="0" w:line="400" w:lineRule="exact"/>
              <w:jc w:val="both"/>
              <w:rPr>
                <w:rFonts w:cs="宋体"/>
                <w:kern w:val="2"/>
                <w:sz w:val="24"/>
                <w:szCs w:val="24"/>
              </w:rPr>
            </w:pPr>
            <w:r>
              <w:rPr>
                <w:rFonts w:hint="eastAsia" w:cs="宋体"/>
                <w:kern w:val="2"/>
                <w:sz w:val="24"/>
                <w:szCs w:val="24"/>
              </w:rPr>
              <w:t>是否满足服务期限需求</w:t>
            </w:r>
          </w:p>
        </w:tc>
        <w:tc>
          <w:tcPr>
            <w:tcW w:w="1140" w:type="dxa"/>
            <w:tcBorders>
              <w:top w:val="single" w:color="auto" w:sz="4" w:space="0"/>
              <w:left w:val="single" w:color="auto" w:sz="4" w:space="0"/>
              <w:bottom w:val="single" w:color="auto" w:sz="4" w:space="0"/>
              <w:right w:val="single" w:color="auto"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kern w:val="2"/>
                <w:sz w:val="24"/>
                <w:szCs w:val="24"/>
              </w:rPr>
            </w:pPr>
          </w:p>
        </w:tc>
        <w:tc>
          <w:tcPr>
            <w:tcW w:w="1155" w:type="dxa"/>
            <w:tcBorders>
              <w:top w:val="single" w:color="auto" w:sz="4" w:space="0"/>
              <w:left w:val="single" w:color="auto" w:sz="4" w:space="0"/>
              <w:bottom w:val="single" w:color="auto" w:sz="4" w:space="0"/>
              <w:right w:val="single" w:color="auto"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kern w:val="2"/>
                <w:sz w:val="24"/>
                <w:szCs w:val="24"/>
              </w:rPr>
            </w:pPr>
          </w:p>
        </w:tc>
        <w:tc>
          <w:tcPr>
            <w:tcW w:w="1123" w:type="dxa"/>
            <w:tcBorders>
              <w:top w:val="single" w:color="auto" w:sz="4" w:space="0"/>
              <w:left w:val="single" w:color="auto" w:sz="4" w:space="0"/>
              <w:bottom w:val="single" w:color="auto" w:sz="4" w:space="0"/>
              <w:right w:val="single" w:color="auto"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kern w:val="2"/>
                <w:sz w:val="24"/>
                <w:szCs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000000"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2</w:t>
            </w:r>
          </w:p>
        </w:tc>
        <w:tc>
          <w:tcPr>
            <w:tcW w:w="5435" w:type="dxa"/>
            <w:tcBorders>
              <w:top w:val="single" w:color="auto" w:sz="4" w:space="0"/>
              <w:left w:val="single" w:color="auto" w:sz="4" w:space="0"/>
              <w:bottom w:val="single" w:color="000000" w:sz="4" w:space="0"/>
              <w:right w:val="single" w:color="000000" w:sz="4" w:space="0"/>
            </w:tcBorders>
            <w:vAlign w:val="center"/>
          </w:tcPr>
          <w:p>
            <w:pPr>
              <w:spacing w:line="400" w:lineRule="exact"/>
              <w:rPr>
                <w:rFonts w:ascii="宋体" w:hAnsi="宋体" w:cs="宋体"/>
                <w:sz w:val="24"/>
              </w:rPr>
            </w:pPr>
            <w:r>
              <w:rPr>
                <w:rFonts w:hint="eastAsia" w:ascii="宋体" w:hAnsi="宋体" w:cs="宋体"/>
                <w:sz w:val="24"/>
              </w:rPr>
              <w:t>是否符合招标文件的签署盖章要求</w:t>
            </w:r>
          </w:p>
        </w:tc>
        <w:tc>
          <w:tcPr>
            <w:tcW w:w="1140" w:type="dxa"/>
            <w:tcBorders>
              <w:top w:val="single" w:color="auto" w:sz="4" w:space="0"/>
              <w:left w:val="single" w:color="auto" w:sz="4" w:space="0"/>
              <w:bottom w:val="single" w:color="000000" w:sz="4" w:space="0"/>
              <w:right w:val="single" w:color="000000" w:sz="4" w:space="0"/>
            </w:tcBorders>
          </w:tcPr>
          <w:p>
            <w:pPr>
              <w:spacing w:line="400" w:lineRule="exact"/>
              <w:rPr>
                <w:rFonts w:ascii="宋体" w:hAnsi="宋体" w:cs="宋体"/>
                <w:sz w:val="24"/>
              </w:rPr>
            </w:pPr>
          </w:p>
        </w:tc>
        <w:tc>
          <w:tcPr>
            <w:tcW w:w="1155" w:type="dxa"/>
            <w:tcBorders>
              <w:top w:val="single" w:color="auto" w:sz="4" w:space="0"/>
              <w:left w:val="single" w:color="auto" w:sz="4" w:space="0"/>
              <w:bottom w:val="single" w:color="000000" w:sz="4" w:space="0"/>
              <w:right w:val="single" w:color="000000" w:sz="4" w:space="0"/>
            </w:tcBorders>
          </w:tcPr>
          <w:p>
            <w:pPr>
              <w:spacing w:line="400" w:lineRule="exact"/>
              <w:rPr>
                <w:rFonts w:ascii="宋体" w:hAnsi="宋体" w:cs="宋体"/>
                <w:sz w:val="24"/>
              </w:rPr>
            </w:pPr>
          </w:p>
        </w:tc>
        <w:tc>
          <w:tcPr>
            <w:tcW w:w="1123" w:type="dxa"/>
            <w:tcBorders>
              <w:top w:val="single" w:color="auto" w:sz="4" w:space="0"/>
              <w:left w:val="single" w:color="auto" w:sz="4" w:space="0"/>
              <w:bottom w:val="single" w:color="000000" w:sz="4" w:space="0"/>
              <w:right w:val="single" w:color="000000" w:sz="4" w:space="0"/>
            </w:tcBorders>
          </w:tcPr>
          <w:p>
            <w:pPr>
              <w:spacing w:line="400" w:lineRule="exact"/>
              <w:rPr>
                <w:rFonts w:ascii="宋体" w:hAnsi="宋体" w:cs="宋体"/>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3</w:t>
            </w:r>
          </w:p>
        </w:tc>
        <w:tc>
          <w:tcPr>
            <w:tcW w:w="5435" w:type="dxa"/>
            <w:tcBorders>
              <w:top w:val="single" w:color="auto" w:sz="4" w:space="0"/>
              <w:left w:val="single" w:color="auto" w:sz="4" w:space="0"/>
              <w:bottom w:val="single" w:color="auto" w:sz="4" w:space="0"/>
              <w:right w:val="single" w:color="000000" w:sz="4" w:space="0"/>
            </w:tcBorders>
            <w:vAlign w:val="center"/>
          </w:tcPr>
          <w:p>
            <w:pPr>
              <w:pStyle w:val="61"/>
              <w:widowControl w:val="0"/>
              <w:pBdr>
                <w:bottom w:val="none" w:color="auto" w:sz="0" w:space="0"/>
                <w:right w:val="none" w:color="auto" w:sz="0" w:space="0"/>
              </w:pBdr>
              <w:spacing w:before="0" w:beforeAutospacing="0" w:after="0" w:afterAutospacing="0" w:line="400" w:lineRule="exact"/>
              <w:jc w:val="both"/>
              <w:rPr>
                <w:rFonts w:cs="宋体"/>
                <w:kern w:val="2"/>
                <w:sz w:val="24"/>
                <w:szCs w:val="24"/>
              </w:rPr>
            </w:pPr>
            <w:r>
              <w:rPr>
                <w:rFonts w:hint="eastAsia" w:cs="宋体"/>
                <w:sz w:val="24"/>
                <w:szCs w:val="24"/>
              </w:rPr>
              <w:t>是否按规定提交足够投标保证金</w:t>
            </w:r>
          </w:p>
        </w:tc>
        <w:tc>
          <w:tcPr>
            <w:tcW w:w="1140" w:type="dxa"/>
            <w:tcBorders>
              <w:top w:val="single" w:color="auto" w:sz="4" w:space="0"/>
              <w:left w:val="single" w:color="auto" w:sz="4" w:space="0"/>
              <w:bottom w:val="single" w:color="auto" w:sz="4" w:space="0"/>
              <w:right w:val="single" w:color="000000"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sz w:val="24"/>
                <w:szCs w:val="24"/>
              </w:rPr>
            </w:pPr>
          </w:p>
        </w:tc>
        <w:tc>
          <w:tcPr>
            <w:tcW w:w="1155" w:type="dxa"/>
            <w:tcBorders>
              <w:top w:val="single" w:color="auto" w:sz="4" w:space="0"/>
              <w:left w:val="single" w:color="auto" w:sz="4" w:space="0"/>
              <w:bottom w:val="single" w:color="auto" w:sz="4" w:space="0"/>
              <w:right w:val="single" w:color="000000"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sz w:val="24"/>
                <w:szCs w:val="24"/>
              </w:rPr>
            </w:pPr>
          </w:p>
        </w:tc>
        <w:tc>
          <w:tcPr>
            <w:tcW w:w="1123" w:type="dxa"/>
            <w:tcBorders>
              <w:top w:val="single" w:color="auto" w:sz="4" w:space="0"/>
              <w:left w:val="single" w:color="auto" w:sz="4" w:space="0"/>
              <w:bottom w:val="single" w:color="auto" w:sz="4" w:space="0"/>
              <w:right w:val="single" w:color="000000" w:sz="4" w:space="0"/>
            </w:tcBorders>
          </w:tcPr>
          <w:p>
            <w:pPr>
              <w:pStyle w:val="61"/>
              <w:widowControl w:val="0"/>
              <w:pBdr>
                <w:bottom w:val="none" w:color="auto" w:sz="0" w:space="0"/>
                <w:right w:val="none" w:color="auto" w:sz="0" w:space="0"/>
              </w:pBdr>
              <w:spacing w:before="0" w:beforeAutospacing="0" w:after="0" w:afterAutospacing="0" w:line="400" w:lineRule="exact"/>
              <w:jc w:val="both"/>
              <w:rPr>
                <w:rFonts w:cs="宋体"/>
                <w:sz w:val="24"/>
                <w:szCs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4</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sz w:val="24"/>
              </w:rPr>
              <w:t>投标有效期是否满</w:t>
            </w:r>
            <w:r>
              <w:rPr>
                <w:rFonts w:ascii="宋体" w:hAnsi="宋体" w:cs="宋体"/>
                <w:sz w:val="24"/>
              </w:rPr>
              <w:t>150</w:t>
            </w:r>
            <w:r>
              <w:rPr>
                <w:rFonts w:hint="eastAsia" w:ascii="宋体" w:hAnsi="宋体" w:cs="宋体"/>
                <w:sz w:val="24"/>
              </w:rPr>
              <w:t>天</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5</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color w:val="000000"/>
                <w:sz w:val="24"/>
              </w:rPr>
              <w:t>是否按规定提交</w:t>
            </w:r>
            <w:r>
              <w:rPr>
                <w:rFonts w:hint="eastAsia" w:ascii="宋体" w:hAnsi="宋体" w:cs="宋体"/>
                <w:sz w:val="24"/>
              </w:rPr>
              <w:t>法定代表人授权书</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color w:val="000000"/>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color w:val="000000"/>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color w:val="000000"/>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6</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sz w:val="24"/>
              </w:rPr>
              <w:t>投标报价是否固定唯一，且投标报价没有超过最高限价</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7</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kern w:val="1"/>
                <w:sz w:val="24"/>
              </w:rPr>
              <w:t>投标文件是否满足项目需求的要求，</w:t>
            </w:r>
            <w:r>
              <w:rPr>
                <w:rFonts w:hint="eastAsia" w:ascii="宋体" w:hAnsi="宋体" w:cs="宋体"/>
                <w:sz w:val="24"/>
              </w:rPr>
              <w:t>且没有重大偏离</w:t>
            </w:r>
            <w:r>
              <w:rPr>
                <w:rFonts w:hint="eastAsia" w:ascii="宋体" w:hAnsi="宋体" w:cs="宋体"/>
                <w:kern w:val="1"/>
                <w:sz w:val="24"/>
              </w:rPr>
              <w:t>（须</w:t>
            </w:r>
            <w:r>
              <w:rPr>
                <w:rFonts w:hint="eastAsia" w:ascii="宋体" w:hAnsi="宋体" w:cs="宋体"/>
                <w:sz w:val="24"/>
              </w:rPr>
              <w:t>满足带★条款</w:t>
            </w:r>
            <w:r>
              <w:rPr>
                <w:rFonts w:hint="eastAsia" w:ascii="宋体" w:hAnsi="宋体" w:cs="宋体"/>
                <w:kern w:val="1"/>
                <w:sz w:val="24"/>
              </w:rPr>
              <w:t>）</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kern w:val="1"/>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kern w:val="1"/>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kern w:val="1"/>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8</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sz w:val="24"/>
              </w:rPr>
              <w:t>投标文件是否没有招标文件中规定的其它无效投标条款的</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r>
      <w:tr>
        <w:tblPrEx>
          <w:tblCellMar>
            <w:top w:w="0" w:type="dxa"/>
            <w:left w:w="0" w:type="dxa"/>
            <w:bottom w:w="0" w:type="dxa"/>
            <w:right w:w="0" w:type="dxa"/>
          </w:tblCellMar>
        </w:tblPrEx>
        <w:trPr>
          <w:trHeight w:val="471" w:hRule="atLeast"/>
        </w:trPr>
        <w:tc>
          <w:tcPr>
            <w:tcW w:w="102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9</w:t>
            </w:r>
          </w:p>
        </w:tc>
        <w:tc>
          <w:tcPr>
            <w:tcW w:w="5435" w:type="dxa"/>
            <w:tcBorders>
              <w:top w:val="single" w:color="auto" w:sz="4" w:space="0"/>
              <w:left w:val="single" w:color="auto" w:sz="4" w:space="0"/>
              <w:bottom w:val="single" w:color="auto" w:sz="4" w:space="0"/>
              <w:right w:val="single" w:color="000000" w:sz="4" w:space="0"/>
            </w:tcBorders>
            <w:vAlign w:val="center"/>
          </w:tcPr>
          <w:p>
            <w:pPr>
              <w:spacing w:line="400" w:lineRule="exact"/>
              <w:rPr>
                <w:rFonts w:ascii="宋体" w:hAnsi="宋体" w:cs="宋体"/>
                <w:sz w:val="24"/>
              </w:rPr>
            </w:pPr>
            <w:r>
              <w:rPr>
                <w:rFonts w:hint="eastAsia" w:ascii="宋体" w:hAnsi="宋体" w:cs="宋体"/>
                <w:sz w:val="24"/>
              </w:rPr>
              <w:t>按有关法律、法规、规章是否不属于投标无效的</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rPr>
                <w:rFonts w:ascii="宋体" w:hAnsi="宋体" w:cs="宋体"/>
                <w:sz w:val="24"/>
              </w:rPr>
            </w:pPr>
          </w:p>
        </w:tc>
      </w:tr>
      <w:tr>
        <w:tblPrEx>
          <w:tblCellMar>
            <w:top w:w="0" w:type="dxa"/>
            <w:left w:w="0" w:type="dxa"/>
            <w:bottom w:w="0" w:type="dxa"/>
            <w:right w:w="0" w:type="dxa"/>
          </w:tblCellMar>
        </w:tblPrEx>
        <w:trPr>
          <w:trHeight w:val="640" w:hRule="atLeast"/>
        </w:trPr>
        <w:tc>
          <w:tcPr>
            <w:tcW w:w="6457" w:type="dxa"/>
            <w:gridSpan w:val="2"/>
            <w:tcBorders>
              <w:top w:val="single" w:color="auto" w:sz="4" w:space="0"/>
              <w:left w:val="single" w:color="auto" w:sz="4" w:space="0"/>
              <w:bottom w:val="single" w:color="auto" w:sz="4" w:space="0"/>
              <w:right w:val="single" w:color="000000" w:sz="4" w:space="0"/>
            </w:tcBorders>
            <w:tcMar>
              <w:top w:w="16" w:type="dxa"/>
              <w:left w:w="16" w:type="dxa"/>
              <w:bottom w:w="0" w:type="dxa"/>
              <w:right w:w="16" w:type="dxa"/>
            </w:tcMar>
            <w:vAlign w:val="center"/>
          </w:tcPr>
          <w:p>
            <w:pPr>
              <w:spacing w:line="400" w:lineRule="exact"/>
              <w:jc w:val="center"/>
              <w:rPr>
                <w:rFonts w:ascii="宋体" w:hAnsi="宋体" w:cs="宋体"/>
                <w:sz w:val="24"/>
              </w:rPr>
            </w:pPr>
            <w:r>
              <w:rPr>
                <w:rFonts w:hint="eastAsia" w:ascii="宋体" w:hAnsi="宋体" w:cs="宋体"/>
                <w:sz w:val="24"/>
              </w:rPr>
              <w:t>结    论</w:t>
            </w:r>
          </w:p>
        </w:tc>
        <w:tc>
          <w:tcPr>
            <w:tcW w:w="1140" w:type="dxa"/>
            <w:tcBorders>
              <w:top w:val="single" w:color="auto" w:sz="4" w:space="0"/>
              <w:left w:val="single" w:color="auto" w:sz="4" w:space="0"/>
              <w:bottom w:val="single" w:color="auto" w:sz="4" w:space="0"/>
              <w:right w:val="single" w:color="000000" w:sz="4" w:space="0"/>
            </w:tcBorders>
          </w:tcPr>
          <w:p>
            <w:pPr>
              <w:spacing w:line="400" w:lineRule="exact"/>
              <w:jc w:val="center"/>
              <w:rPr>
                <w:rFonts w:ascii="宋体" w:hAnsi="宋体" w:cs="宋体"/>
                <w:sz w:val="24"/>
              </w:rPr>
            </w:pPr>
          </w:p>
        </w:tc>
        <w:tc>
          <w:tcPr>
            <w:tcW w:w="1155" w:type="dxa"/>
            <w:tcBorders>
              <w:top w:val="single" w:color="auto" w:sz="4" w:space="0"/>
              <w:left w:val="single" w:color="auto" w:sz="4" w:space="0"/>
              <w:bottom w:val="single" w:color="auto" w:sz="4" w:space="0"/>
              <w:right w:val="single" w:color="000000" w:sz="4" w:space="0"/>
            </w:tcBorders>
          </w:tcPr>
          <w:p>
            <w:pPr>
              <w:spacing w:line="400" w:lineRule="exact"/>
              <w:jc w:val="center"/>
              <w:rPr>
                <w:rFonts w:ascii="宋体" w:hAnsi="宋体" w:cs="宋体"/>
                <w:sz w:val="24"/>
              </w:rPr>
            </w:pPr>
          </w:p>
        </w:tc>
        <w:tc>
          <w:tcPr>
            <w:tcW w:w="1123" w:type="dxa"/>
            <w:tcBorders>
              <w:top w:val="single" w:color="auto" w:sz="4" w:space="0"/>
              <w:left w:val="single" w:color="auto" w:sz="4" w:space="0"/>
              <w:bottom w:val="single" w:color="auto" w:sz="4" w:space="0"/>
              <w:right w:val="single" w:color="000000" w:sz="4" w:space="0"/>
            </w:tcBorders>
          </w:tcPr>
          <w:p>
            <w:pPr>
              <w:spacing w:line="400" w:lineRule="exact"/>
              <w:jc w:val="center"/>
              <w:rPr>
                <w:rFonts w:ascii="宋体" w:hAnsi="宋体" w:cs="宋体"/>
                <w:sz w:val="24"/>
              </w:rPr>
            </w:pPr>
          </w:p>
        </w:tc>
      </w:tr>
    </w:tbl>
    <w:p>
      <w:pPr>
        <w:jc w:val="left"/>
        <w:rPr>
          <w:rFonts w:ascii="宋体" w:hAnsi="宋体"/>
          <w:sz w:val="24"/>
        </w:rPr>
      </w:pPr>
      <w:r>
        <w:rPr>
          <w:rFonts w:hint="eastAsia" w:ascii="time of new roman" w:hAnsi="time of new roman"/>
          <w:sz w:val="24"/>
        </w:rPr>
        <w:t>注：</w:t>
      </w:r>
      <w:r>
        <w:rPr>
          <w:rFonts w:hint="eastAsia" w:ascii="宋体" w:hAnsi="宋体"/>
          <w:sz w:val="24"/>
        </w:rPr>
        <w:t>结论栏中填写“合格”表示该投标人投标文件满足招标文件的符合性要求，“不合格”表示该投标人投标文件不满足招标文件的符合性要求。</w:t>
      </w:r>
    </w:p>
    <w:p>
      <w:pPr>
        <w:jc w:val="left"/>
        <w:rPr>
          <w:rFonts w:ascii="宋体" w:hAnsi="宋体"/>
          <w:sz w:val="24"/>
        </w:rPr>
      </w:pPr>
    </w:p>
    <w:p>
      <w:pPr>
        <w:tabs>
          <w:tab w:val="left" w:pos="2340"/>
        </w:tabs>
        <w:adjustRightInd w:val="0"/>
        <w:snapToGrid w:val="0"/>
        <w:spacing w:line="380" w:lineRule="exact"/>
        <w:ind w:firstLine="120" w:firstLineChars="50"/>
        <w:rPr>
          <w:rFonts w:ascii="宋体" w:hAnsi="宋体"/>
          <w:sz w:val="24"/>
        </w:rPr>
      </w:pPr>
      <w:r>
        <w:rPr>
          <w:rFonts w:hint="eastAsia" w:ascii="宋体" w:hAnsi="宋体"/>
          <w:sz w:val="24"/>
        </w:rPr>
        <w:t>资格性检查和符合性检查均“合格”的，通过投标文件的初审，进入下一步具体评分环节；否则，其投标无效。</w:t>
      </w:r>
    </w:p>
    <w:p>
      <w:pPr>
        <w:tabs>
          <w:tab w:val="left" w:pos="2340"/>
        </w:tabs>
        <w:adjustRightInd w:val="0"/>
        <w:snapToGrid w:val="0"/>
        <w:spacing w:line="380" w:lineRule="exact"/>
        <w:ind w:firstLine="120" w:firstLineChars="50"/>
        <w:rPr>
          <w:rFonts w:ascii="Arial" w:hAnsi="Arial" w:cs="Arial"/>
          <w:kern w:val="0"/>
          <w:sz w:val="24"/>
          <w:szCs w:val="20"/>
        </w:rPr>
      </w:pPr>
      <w:r>
        <w:rPr>
          <w:rFonts w:hint="eastAsia" w:ascii="Arial" w:hAnsi="Arial" w:cs="Arial"/>
          <w:kern w:val="0"/>
          <w:sz w:val="24"/>
          <w:szCs w:val="20"/>
        </w:rPr>
        <w:t>2．综合评议</w:t>
      </w:r>
    </w:p>
    <w:p>
      <w:pPr>
        <w:spacing w:line="360" w:lineRule="auto"/>
        <w:rPr>
          <w:rFonts w:ascii="宋体" w:hAnsi="宋体"/>
          <w:b/>
          <w:bCs/>
          <w:sz w:val="24"/>
        </w:rPr>
      </w:pPr>
      <w:r>
        <w:rPr>
          <w:rFonts w:hint="eastAsia" w:ascii="宋体" w:hAnsi="宋体"/>
          <w:b/>
          <w:bCs/>
          <w:sz w:val="24"/>
        </w:rPr>
        <w:t>附件一：评分标准</w:t>
      </w:r>
    </w:p>
    <w:tbl>
      <w:tblPr>
        <w:tblStyle w:val="3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37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评分项目</w:t>
            </w:r>
          </w:p>
        </w:tc>
        <w:tc>
          <w:tcPr>
            <w:tcW w:w="73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评分细则</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价格</w:t>
            </w:r>
          </w:p>
          <w:p>
            <w:pPr>
              <w:snapToGrid w:val="0"/>
              <w:spacing w:line="360" w:lineRule="auto"/>
              <w:jc w:val="center"/>
              <w:rPr>
                <w:rFonts w:ascii="宋体" w:hAnsi="宋体"/>
                <w:sz w:val="24"/>
              </w:rPr>
            </w:pPr>
            <w:r>
              <w:rPr>
                <w:rFonts w:hint="eastAsia" w:ascii="宋体" w:hAnsi="宋体"/>
                <w:sz w:val="24"/>
              </w:rPr>
              <w:t>部分</w:t>
            </w:r>
          </w:p>
          <w:p>
            <w:pPr>
              <w:snapToGrid w:val="0"/>
              <w:spacing w:line="360" w:lineRule="auto"/>
              <w:jc w:val="center"/>
              <w:rPr>
                <w:rFonts w:ascii="宋体" w:hAnsi="宋体"/>
                <w:sz w:val="24"/>
              </w:rPr>
            </w:pPr>
            <w:r>
              <w:rPr>
                <w:rFonts w:hint="eastAsia" w:ascii="宋体" w:hAnsi="宋体"/>
                <w:sz w:val="24"/>
              </w:rPr>
              <w:t>（10分）</w:t>
            </w: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满足招标文件需求的下浮比例最高的投标报价为评标基准价，其价格为满分。其他合格投标人的价格分统一按照下列公式计算：投标报价得分＝（</w:t>
            </w:r>
            <w:r>
              <w:rPr>
                <w:sz w:val="24"/>
              </w:rPr>
              <w:t>1-</w:t>
            </w:r>
            <w:r>
              <w:rPr>
                <w:rFonts w:hint="eastAsia" w:ascii="宋体" w:hAnsi="宋体"/>
                <w:sz w:val="24"/>
              </w:rPr>
              <w:t>评标基准价下浮比例）</w:t>
            </w:r>
            <w:r>
              <w:rPr>
                <w:sz w:val="24"/>
              </w:rPr>
              <w:t>/</w:t>
            </w:r>
            <w:r>
              <w:rPr>
                <w:rFonts w:hint="eastAsia" w:ascii="宋体" w:hAnsi="宋体"/>
                <w:sz w:val="24"/>
              </w:rPr>
              <w:t>（</w:t>
            </w:r>
            <w:r>
              <w:rPr>
                <w:sz w:val="24"/>
              </w:rPr>
              <w:t>1-</w:t>
            </w:r>
            <w:r>
              <w:rPr>
                <w:rFonts w:hint="eastAsia" w:ascii="宋体" w:hAnsi="宋体"/>
                <w:sz w:val="24"/>
              </w:rPr>
              <w:t>投标报价下浮比例）</w:t>
            </w:r>
            <w:r>
              <w:rPr>
                <w:rFonts w:hint="eastAsia"/>
                <w:sz w:val="24"/>
              </w:rPr>
              <w:t>×</w:t>
            </w:r>
            <w:r>
              <w:rPr>
                <w:sz w:val="24"/>
              </w:rPr>
              <w:t>10</w:t>
            </w:r>
            <w:r>
              <w:rPr>
                <w:rFonts w:hint="eastAsia" w:ascii="宋体" w:hAnsi="宋体"/>
                <w:sz w:val="24"/>
              </w:rPr>
              <w:t>，保留两位有效小数</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42" w:type="dxa"/>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商务</w:t>
            </w:r>
          </w:p>
          <w:p>
            <w:pPr>
              <w:snapToGrid w:val="0"/>
              <w:spacing w:line="360" w:lineRule="auto"/>
              <w:jc w:val="center"/>
              <w:rPr>
                <w:rFonts w:ascii="宋体" w:hAnsi="宋体"/>
                <w:sz w:val="24"/>
              </w:rPr>
            </w:pPr>
            <w:r>
              <w:rPr>
                <w:rFonts w:hint="eastAsia" w:ascii="宋体" w:hAnsi="宋体"/>
                <w:sz w:val="24"/>
              </w:rPr>
              <w:t>部分</w:t>
            </w:r>
          </w:p>
          <w:p>
            <w:pPr>
              <w:snapToGrid w:val="0"/>
              <w:spacing w:line="360" w:lineRule="auto"/>
              <w:jc w:val="center"/>
              <w:rPr>
                <w:rFonts w:ascii="宋体" w:hAnsi="宋体"/>
                <w:sz w:val="24"/>
              </w:rPr>
            </w:pPr>
            <w:r>
              <w:rPr>
                <w:rFonts w:hint="eastAsia" w:ascii="宋体" w:hAnsi="宋体"/>
                <w:sz w:val="24"/>
              </w:rPr>
              <w:t>（12分）</w:t>
            </w: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1、商务条款应答响应情况</w:t>
            </w:r>
          </w:p>
          <w:p>
            <w:pPr>
              <w:spacing w:line="360" w:lineRule="auto"/>
              <w:rPr>
                <w:rFonts w:ascii="宋体" w:hAnsi="宋体"/>
                <w:sz w:val="24"/>
              </w:rPr>
            </w:pPr>
            <w:r>
              <w:rPr>
                <w:rFonts w:hint="eastAsia" w:ascii="宋体" w:hAnsi="宋体"/>
                <w:sz w:val="24"/>
              </w:rPr>
              <w:t>商务条款应答有负偏离得0分，商务条款应答无偏离得1分，有正偏离得2分</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2、投标人的相关业绩（每提供一个在投标截止日起近3年内在相似项目合同案例加</w:t>
            </w:r>
            <w:r>
              <w:rPr>
                <w:rFonts w:ascii="宋体" w:hAnsi="宋体"/>
                <w:sz w:val="24"/>
              </w:rPr>
              <w:t>1</w:t>
            </w:r>
            <w:r>
              <w:rPr>
                <w:rFonts w:hint="eastAsia" w:ascii="宋体" w:hAnsi="宋体"/>
                <w:sz w:val="24"/>
              </w:rPr>
              <w:t>分，最高不超过10分，案例以提供的合同为准，要求必须提供与最终用户签订的合同首页、合同金额所在页、签字盖章页复印件作为证明）</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42" w:type="dxa"/>
            <w:vMerge w:val="restart"/>
            <w:tcBorders>
              <w:top w:val="nil"/>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技术</w:t>
            </w:r>
          </w:p>
          <w:p>
            <w:pPr>
              <w:snapToGrid w:val="0"/>
              <w:spacing w:line="360" w:lineRule="auto"/>
              <w:jc w:val="center"/>
              <w:rPr>
                <w:rFonts w:ascii="宋体" w:hAnsi="宋体"/>
                <w:sz w:val="24"/>
              </w:rPr>
            </w:pPr>
            <w:r>
              <w:rPr>
                <w:rFonts w:hint="eastAsia" w:ascii="宋体" w:hAnsi="宋体"/>
                <w:sz w:val="24"/>
              </w:rPr>
              <w:t>部分</w:t>
            </w:r>
          </w:p>
          <w:p>
            <w:pPr>
              <w:snapToGrid w:val="0"/>
              <w:spacing w:line="360" w:lineRule="auto"/>
              <w:jc w:val="center"/>
              <w:rPr>
                <w:rFonts w:ascii="宋体" w:hAnsi="宋体"/>
                <w:sz w:val="24"/>
              </w:rPr>
            </w:pPr>
            <w:r>
              <w:rPr>
                <w:rFonts w:hint="eastAsia" w:ascii="宋体" w:hAnsi="宋体"/>
                <w:sz w:val="24"/>
              </w:rPr>
              <w:t>（78分）</w:t>
            </w: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1、技术指标条款响应情况</w:t>
            </w:r>
          </w:p>
          <w:p>
            <w:pPr>
              <w:spacing w:line="360" w:lineRule="auto"/>
              <w:rPr>
                <w:rFonts w:ascii="宋体" w:hAnsi="宋体"/>
                <w:sz w:val="24"/>
              </w:rPr>
            </w:pPr>
            <w:r>
              <w:rPr>
                <w:rFonts w:hint="eastAsia" w:ascii="宋体" w:hAnsi="宋体"/>
                <w:sz w:val="24"/>
              </w:rPr>
              <w:t>（1）技术指标评审</w:t>
            </w:r>
            <w:r>
              <w:rPr>
                <w:rFonts w:hint="eastAsia" w:ascii="宋体" w:hAnsi="宋体"/>
                <w:color w:val="0C0C0C"/>
                <w:sz w:val="24"/>
              </w:rPr>
              <w:t>基准分为35分，</w:t>
            </w:r>
            <w:r>
              <w:rPr>
                <w:rFonts w:hint="eastAsia" w:ascii="宋体" w:hAnsi="宋体"/>
                <w:sz w:val="24"/>
              </w:rPr>
              <w:t>评委可根据技术指标的正负偏离情况进行评分，扣完为止；</w:t>
            </w:r>
          </w:p>
          <w:p>
            <w:pPr>
              <w:spacing w:line="360" w:lineRule="auto"/>
              <w:rPr>
                <w:rFonts w:ascii="宋体" w:hAnsi="宋体"/>
                <w:sz w:val="24"/>
              </w:rPr>
            </w:pPr>
            <w:r>
              <w:rPr>
                <w:rFonts w:hint="eastAsia" w:ascii="宋体" w:hAnsi="宋体"/>
                <w:sz w:val="24"/>
              </w:rPr>
              <w:t>（2）标记为“</w:t>
            </w:r>
            <w:r>
              <w:rPr>
                <w:rFonts w:hint="eastAsia" w:ascii="宋体" w:hAnsi="宋体"/>
                <w:bCs/>
                <w:kern w:val="0"/>
                <w:sz w:val="24"/>
              </w:rPr>
              <w:t>★</w:t>
            </w:r>
            <w:r>
              <w:rPr>
                <w:rFonts w:hint="eastAsia" w:ascii="宋体" w:hAnsi="宋体"/>
                <w:sz w:val="24"/>
              </w:rPr>
              <w:t>”的指标是关键技术条款，正偏离不加分，如不满足其投标予以拒绝；</w:t>
            </w:r>
          </w:p>
          <w:p>
            <w:pPr>
              <w:spacing w:line="360" w:lineRule="auto"/>
              <w:rPr>
                <w:rFonts w:ascii="宋体" w:hAnsi="宋体"/>
                <w:sz w:val="24"/>
              </w:rPr>
            </w:pPr>
            <w:r>
              <w:rPr>
                <w:rFonts w:hint="eastAsia" w:ascii="宋体" w:hAnsi="宋体"/>
                <w:sz w:val="24"/>
              </w:rPr>
              <w:t>（</w:t>
            </w:r>
            <w:r>
              <w:rPr>
                <w:rFonts w:hint="eastAsia" w:cs="Calibri"/>
                <w:sz w:val="24"/>
              </w:rPr>
              <w:t>3</w:t>
            </w:r>
            <w:r>
              <w:rPr>
                <w:rFonts w:hint="eastAsia" w:ascii="宋体" w:hAnsi="宋体"/>
                <w:sz w:val="24"/>
              </w:rPr>
              <w:t>）无标记的指标是一般技术条款，总分为</w:t>
            </w:r>
            <w:r>
              <w:rPr>
                <w:sz w:val="24"/>
              </w:rPr>
              <w:t>3</w:t>
            </w:r>
            <w:r>
              <w:rPr>
                <w:rFonts w:hint="eastAsia" w:cs="Calibri"/>
                <w:sz w:val="24"/>
              </w:rPr>
              <w:t>5</w:t>
            </w:r>
            <w:r>
              <w:rPr>
                <w:rFonts w:hint="eastAsia" w:ascii="宋体" w:hAnsi="宋体"/>
                <w:sz w:val="24"/>
              </w:rPr>
              <w:t>分。正偏离不加分，负偏离每项减</w:t>
            </w:r>
            <w:r>
              <w:rPr>
                <w:sz w:val="24"/>
              </w:rPr>
              <w:t>2</w:t>
            </w:r>
            <w:r>
              <w:rPr>
                <w:rFonts w:hint="eastAsia" w:ascii="宋体" w:hAnsi="宋体"/>
                <w:sz w:val="24"/>
              </w:rPr>
              <w:t>分，超过</w:t>
            </w:r>
            <w:r>
              <w:rPr>
                <w:sz w:val="24"/>
              </w:rPr>
              <w:t>18</w:t>
            </w:r>
            <w:r>
              <w:rPr>
                <w:rFonts w:hint="eastAsia" w:ascii="宋体" w:hAnsi="宋体"/>
                <w:sz w:val="24"/>
              </w:rPr>
              <w:t>项（含）负偏离不得分。</w:t>
            </w:r>
          </w:p>
          <w:p>
            <w:pPr>
              <w:snapToGrid w:val="0"/>
              <w:spacing w:line="360" w:lineRule="auto"/>
              <w:rPr>
                <w:rFonts w:ascii="宋体" w:hAnsi="宋体"/>
                <w:sz w:val="24"/>
              </w:rPr>
            </w:pPr>
            <w:r>
              <w:rPr>
                <w:rFonts w:hint="eastAsia" w:ascii="宋体" w:hAnsi="宋体"/>
                <w:sz w:val="24"/>
              </w:rPr>
              <w:t>（4）凡标有最低一级序号的指标项即为一项技术条款，无论是否隶属于上一级编号。</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sz w:val="24"/>
              </w:rPr>
            </w:pPr>
            <w:r>
              <w:rPr>
                <w:rFonts w:hint="eastAsia" w:ascii="宋体" w:hAnsi="宋体"/>
                <w:b/>
                <w:sz w:val="24"/>
              </w:rPr>
              <w:t>2、根据投标人对针对本项目的服务方案、保证措施是否符合国情院情，是否有针对性和创新性，是否完整、详细、可行、有效，具有可操作性及技术性能指标的成熟性、稳定性、先进性以及关键重要部位控制措施是否明确、详尽、合理作为评审依据。</w:t>
            </w:r>
          </w:p>
          <w:p>
            <w:pPr>
              <w:spacing w:line="360" w:lineRule="auto"/>
              <w:rPr>
                <w:rFonts w:ascii="Calibri" w:hAnsi="Calibri"/>
                <w:sz w:val="24"/>
              </w:rPr>
            </w:pPr>
            <w:r>
              <w:rPr>
                <w:rFonts w:hint="eastAsia" w:ascii="宋体" w:hAnsi="宋体"/>
                <w:sz w:val="24"/>
              </w:rPr>
              <w:t>（</w:t>
            </w:r>
            <w:r>
              <w:rPr>
                <w:sz w:val="24"/>
              </w:rPr>
              <w:t>1</w:t>
            </w:r>
            <w:r>
              <w:rPr>
                <w:rFonts w:hint="eastAsia" w:ascii="宋体" w:hAnsi="宋体"/>
                <w:sz w:val="24"/>
              </w:rPr>
              <w:t>）投标人的服务方案具有完整的保证措施，并且详细、可行、有效，具有可操作性、适当的针对性和创新性，得</w:t>
            </w:r>
            <w:r>
              <w:rPr>
                <w:sz w:val="24"/>
              </w:rPr>
              <w:t>15</w:t>
            </w:r>
            <w:r>
              <w:rPr>
                <w:rFonts w:hint="eastAsia" w:ascii="宋体" w:hAnsi="宋体"/>
                <w:sz w:val="24"/>
              </w:rPr>
              <w:t>分；</w:t>
            </w:r>
          </w:p>
          <w:p>
            <w:pPr>
              <w:spacing w:line="360" w:lineRule="auto"/>
              <w:rPr>
                <w:sz w:val="24"/>
              </w:rPr>
            </w:pPr>
            <w:r>
              <w:rPr>
                <w:rFonts w:hint="eastAsia" w:ascii="宋体" w:hAnsi="宋体"/>
                <w:sz w:val="24"/>
              </w:rPr>
              <w:t>（</w:t>
            </w:r>
            <w:r>
              <w:rPr>
                <w:sz w:val="24"/>
              </w:rPr>
              <w:t>2</w:t>
            </w:r>
            <w:r>
              <w:rPr>
                <w:rFonts w:hint="eastAsia" w:ascii="宋体" w:hAnsi="宋体"/>
                <w:sz w:val="24"/>
              </w:rPr>
              <w:t>）投标人的服务方案具有一定的保证措施，并且具有一定的可行性、有效性、操作性的得</w:t>
            </w:r>
            <w:r>
              <w:rPr>
                <w:sz w:val="24"/>
              </w:rPr>
              <w:t>10</w:t>
            </w:r>
            <w:r>
              <w:rPr>
                <w:rFonts w:hint="eastAsia" w:ascii="宋体" w:hAnsi="宋体"/>
                <w:sz w:val="24"/>
              </w:rPr>
              <w:t>分；</w:t>
            </w:r>
          </w:p>
          <w:p>
            <w:pPr>
              <w:spacing w:line="360" w:lineRule="auto"/>
              <w:rPr>
                <w:sz w:val="24"/>
              </w:rPr>
            </w:pPr>
            <w:r>
              <w:rPr>
                <w:rFonts w:hint="eastAsia" w:ascii="宋体" w:hAnsi="宋体"/>
                <w:sz w:val="24"/>
              </w:rPr>
              <w:t>（</w:t>
            </w:r>
            <w:r>
              <w:rPr>
                <w:sz w:val="24"/>
              </w:rPr>
              <w:t>3</w:t>
            </w:r>
            <w:r>
              <w:rPr>
                <w:rFonts w:hint="eastAsia" w:ascii="宋体" w:hAnsi="宋体"/>
                <w:sz w:val="24"/>
              </w:rPr>
              <w:t>）投标人的服务方案具有不完善的保证措施，具有一些可行性、有效性、操作性的得</w:t>
            </w:r>
            <w:r>
              <w:rPr>
                <w:sz w:val="24"/>
              </w:rPr>
              <w:t>5</w:t>
            </w:r>
            <w:r>
              <w:rPr>
                <w:rFonts w:hint="eastAsia" w:ascii="宋体" w:hAnsi="宋体"/>
                <w:sz w:val="24"/>
              </w:rPr>
              <w:t>分；</w:t>
            </w:r>
          </w:p>
          <w:p>
            <w:pPr>
              <w:widowControl/>
              <w:spacing w:line="360" w:lineRule="auto"/>
              <w:jc w:val="left"/>
              <w:rPr>
                <w:rFonts w:ascii="宋体" w:hAnsi="宋体"/>
                <w:sz w:val="24"/>
              </w:rPr>
            </w:pPr>
            <w:r>
              <w:rPr>
                <w:rFonts w:hint="eastAsia" w:ascii="宋体" w:hAnsi="宋体"/>
                <w:sz w:val="24"/>
              </w:rPr>
              <w:t>（</w:t>
            </w:r>
            <w:r>
              <w:rPr>
                <w:sz w:val="24"/>
              </w:rPr>
              <w:t>4</w:t>
            </w:r>
            <w:r>
              <w:rPr>
                <w:rFonts w:hint="eastAsia" w:ascii="宋体" w:hAnsi="宋体"/>
                <w:sz w:val="24"/>
              </w:rPr>
              <w:t>）无服务方案不得分。</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371" w:type="dxa"/>
            <w:tcBorders>
              <w:top w:val="single" w:color="auto" w:sz="4" w:space="0"/>
              <w:left w:val="nil"/>
              <w:bottom w:val="single" w:color="auto" w:sz="4" w:space="0"/>
              <w:right w:val="single" w:color="auto" w:sz="4" w:space="0"/>
            </w:tcBorders>
            <w:vAlign w:val="center"/>
          </w:tcPr>
          <w:p>
            <w:pPr>
              <w:snapToGrid w:val="0"/>
              <w:spacing w:line="360" w:lineRule="auto"/>
              <w:rPr>
                <w:rFonts w:ascii="宋体" w:hAnsi="宋体"/>
                <w:b/>
                <w:bCs/>
                <w:sz w:val="24"/>
              </w:rPr>
            </w:pPr>
            <w:r>
              <w:rPr>
                <w:rFonts w:hint="eastAsia" w:ascii="宋体" w:hAnsi="宋体"/>
                <w:b/>
                <w:bCs/>
                <w:sz w:val="24"/>
              </w:rPr>
              <w:t xml:space="preserve">3、投标人对本项目的重点难点分析及风险评估是否到位,应对措施及合理化建议是否合理可行。 </w:t>
            </w:r>
          </w:p>
          <w:p>
            <w:pPr>
              <w:snapToGrid w:val="0"/>
              <w:spacing w:line="360" w:lineRule="auto"/>
              <w:rPr>
                <w:rFonts w:ascii="宋体" w:hAnsi="宋体"/>
                <w:sz w:val="24"/>
              </w:rPr>
            </w:pPr>
            <w:r>
              <w:rPr>
                <w:rFonts w:hint="eastAsia" w:ascii="宋体" w:hAnsi="宋体"/>
                <w:sz w:val="24"/>
              </w:rPr>
              <w:t xml:space="preserve">（1）方案内容全面，分析到位，针对性强、科学合理、可操作性强得10分 </w:t>
            </w:r>
          </w:p>
          <w:p>
            <w:pPr>
              <w:snapToGrid w:val="0"/>
              <w:spacing w:line="360" w:lineRule="auto"/>
              <w:rPr>
                <w:rFonts w:ascii="宋体" w:hAnsi="宋体"/>
                <w:sz w:val="24"/>
              </w:rPr>
            </w:pPr>
            <w:r>
              <w:rPr>
                <w:rFonts w:hint="eastAsia" w:ascii="宋体" w:hAnsi="宋体"/>
                <w:sz w:val="24"/>
              </w:rPr>
              <w:t>（2）方案内容较全面，分析到位，针对性较强、科学合理，可操作性较强得5分</w:t>
            </w:r>
          </w:p>
          <w:p>
            <w:pPr>
              <w:snapToGrid w:val="0"/>
              <w:spacing w:line="360" w:lineRule="auto"/>
              <w:rPr>
                <w:rFonts w:ascii="宋体" w:hAnsi="宋体"/>
                <w:sz w:val="24"/>
              </w:rPr>
            </w:pPr>
            <w:r>
              <w:rPr>
                <w:rFonts w:hint="eastAsia" w:ascii="宋体" w:hAnsi="宋体"/>
                <w:sz w:val="24"/>
              </w:rPr>
              <w:t xml:space="preserve">（3）方案内容一般全面，针对性一般、能满足科学合理，可操作性一般得1分  </w:t>
            </w:r>
          </w:p>
          <w:p>
            <w:pPr>
              <w:snapToGrid w:val="0"/>
              <w:spacing w:line="360" w:lineRule="auto"/>
              <w:rPr>
                <w:rFonts w:ascii="宋体" w:hAnsi="宋体"/>
                <w:sz w:val="24"/>
              </w:rPr>
            </w:pPr>
            <w:r>
              <w:rPr>
                <w:rFonts w:hint="eastAsia" w:ascii="宋体" w:hAnsi="宋体"/>
                <w:sz w:val="24"/>
              </w:rPr>
              <w:t xml:space="preserve">（4）方案内容不够全面，分析不到位，针对性较差、可操作性较差得0分  </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宋体" w:hAnsi="宋体"/>
                <w:b/>
                <w:bCs/>
                <w:sz w:val="24"/>
              </w:rPr>
            </w:pPr>
            <w:r>
              <w:rPr>
                <w:rFonts w:hint="eastAsia" w:ascii="宋体" w:hAnsi="宋体"/>
                <w:b/>
                <w:bCs/>
                <w:sz w:val="24"/>
              </w:rPr>
              <w:t>4、售后服务方案、应急方案。投标人对本项目的售后服务方案和应急方案，包括但不限于维修响应时间、质保期承诺、安装调试验收安排、突发事件的处理措施、应急预案等进行综合评价：</w:t>
            </w:r>
          </w:p>
          <w:p>
            <w:pPr>
              <w:spacing w:line="360" w:lineRule="auto"/>
              <w:rPr>
                <w:rFonts w:ascii="宋体" w:hAnsi="宋体"/>
                <w:sz w:val="24"/>
              </w:rPr>
            </w:pPr>
            <w:r>
              <w:rPr>
                <w:rFonts w:hint="eastAsia" w:ascii="宋体" w:hAnsi="宋体"/>
                <w:sz w:val="24"/>
              </w:rPr>
              <w:t>（1）售后服务方案完善，针对本项目提出合理、可行的服务方案，突发事件的处理措施和应急预案非常详细切合实际得8分；</w:t>
            </w:r>
          </w:p>
          <w:p>
            <w:pPr>
              <w:spacing w:line="360" w:lineRule="auto"/>
              <w:rPr>
                <w:rFonts w:ascii="宋体" w:hAnsi="宋体"/>
                <w:sz w:val="24"/>
              </w:rPr>
            </w:pPr>
            <w:r>
              <w:rPr>
                <w:rFonts w:hint="eastAsia" w:ascii="宋体" w:hAnsi="宋体"/>
                <w:sz w:val="24"/>
              </w:rPr>
              <w:t>（2）售后服务方案较完善，针对本项目突发事件的处理措施和应急预案较详细较切合实际得4分；</w:t>
            </w:r>
          </w:p>
          <w:p>
            <w:pPr>
              <w:spacing w:line="360" w:lineRule="auto"/>
              <w:rPr>
                <w:rFonts w:ascii="宋体" w:hAnsi="宋体"/>
                <w:sz w:val="24"/>
              </w:rPr>
            </w:pPr>
            <w:r>
              <w:rPr>
                <w:rFonts w:hint="eastAsia" w:ascii="宋体" w:hAnsi="宋体"/>
                <w:sz w:val="24"/>
              </w:rPr>
              <w:t>（3）售后服务方案不够完善，针对本项目突发事件的处理措施和应急预案不够详细，不够切合实际得1分；</w:t>
            </w:r>
          </w:p>
          <w:p>
            <w:pPr>
              <w:spacing w:line="360" w:lineRule="auto"/>
              <w:rPr>
                <w:rFonts w:ascii="宋体" w:hAnsi="宋体"/>
                <w:sz w:val="24"/>
              </w:rPr>
            </w:pPr>
            <w:r>
              <w:rPr>
                <w:rFonts w:hint="eastAsia" w:ascii="宋体" w:hAnsi="宋体"/>
                <w:sz w:val="24"/>
              </w:rPr>
              <w:t>（4）未提供方案或提供了但是完全脱离实际，0</w:t>
            </w:r>
            <w:r>
              <w:rPr>
                <w:rFonts w:hint="eastAsia" w:ascii="宋体" w:hAnsi="宋体"/>
                <w:spacing w:val="-59"/>
                <w:sz w:val="24"/>
              </w:rPr>
              <w:t xml:space="preserve"> </w:t>
            </w:r>
            <w:r>
              <w:rPr>
                <w:rFonts w:hint="eastAsia" w:ascii="宋体" w:hAnsi="宋体"/>
                <w:sz w:val="24"/>
              </w:rPr>
              <w:t>分。</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24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sz w:val="24"/>
              </w:rPr>
            </w:pPr>
          </w:p>
        </w:tc>
        <w:tc>
          <w:tcPr>
            <w:tcW w:w="7371" w:type="dxa"/>
            <w:tcBorders>
              <w:top w:val="single" w:color="auto" w:sz="4" w:space="0"/>
              <w:left w:val="nil"/>
              <w:bottom w:val="single" w:color="auto" w:sz="4" w:space="0"/>
              <w:right w:val="single" w:color="auto" w:sz="4" w:space="0"/>
            </w:tcBorders>
            <w:vAlign w:val="center"/>
          </w:tcPr>
          <w:p>
            <w:pPr>
              <w:spacing w:line="360" w:lineRule="auto"/>
              <w:rPr>
                <w:rFonts w:ascii="Calibri" w:hAnsi="Calibri"/>
                <w:b/>
                <w:sz w:val="24"/>
              </w:rPr>
            </w:pPr>
            <w:r>
              <w:rPr>
                <w:rFonts w:hint="eastAsia" w:cs="Calibri"/>
                <w:b/>
                <w:sz w:val="24"/>
              </w:rPr>
              <w:t>5</w:t>
            </w:r>
            <w:r>
              <w:rPr>
                <w:rFonts w:hint="eastAsia" w:ascii="宋体" w:hAnsi="宋体"/>
                <w:b/>
                <w:sz w:val="24"/>
              </w:rPr>
              <w:t>、针对投标人对本项目的人员配置、岗位设置、职责分工的合理性、与服务需求的契合度以及拟本项目的主要管理人员和工作人员是否具备相关工作经验等因素评分。</w:t>
            </w:r>
          </w:p>
          <w:p>
            <w:pPr>
              <w:spacing w:line="360" w:lineRule="auto"/>
              <w:rPr>
                <w:sz w:val="24"/>
              </w:rPr>
            </w:pPr>
            <w:r>
              <w:rPr>
                <w:rFonts w:hint="eastAsia" w:ascii="宋体" w:hAnsi="宋体"/>
                <w:sz w:val="24"/>
              </w:rPr>
              <w:t>（</w:t>
            </w:r>
            <w:r>
              <w:rPr>
                <w:sz w:val="24"/>
              </w:rPr>
              <w:t>1</w:t>
            </w:r>
            <w:r>
              <w:rPr>
                <w:rFonts w:hint="eastAsia" w:ascii="宋体" w:hAnsi="宋体"/>
                <w:sz w:val="24"/>
              </w:rPr>
              <w:t>）人员配置、岗位设置、职责分工的合理性强、与服务需求的契合度高得</w:t>
            </w:r>
            <w:r>
              <w:rPr>
                <w:sz w:val="24"/>
              </w:rPr>
              <w:t>10</w:t>
            </w:r>
            <w:r>
              <w:rPr>
                <w:rFonts w:hint="eastAsia" w:ascii="宋体" w:hAnsi="宋体"/>
                <w:sz w:val="24"/>
              </w:rPr>
              <w:t>分；</w:t>
            </w:r>
          </w:p>
          <w:p>
            <w:pPr>
              <w:spacing w:line="360" w:lineRule="auto"/>
              <w:rPr>
                <w:sz w:val="24"/>
              </w:rPr>
            </w:pPr>
            <w:r>
              <w:rPr>
                <w:rFonts w:hint="eastAsia" w:ascii="宋体" w:hAnsi="宋体"/>
                <w:sz w:val="24"/>
              </w:rPr>
              <w:t>（</w:t>
            </w:r>
            <w:r>
              <w:rPr>
                <w:sz w:val="24"/>
              </w:rPr>
              <w:t>2</w:t>
            </w:r>
            <w:r>
              <w:rPr>
                <w:rFonts w:hint="eastAsia" w:ascii="宋体" w:hAnsi="宋体"/>
                <w:sz w:val="24"/>
              </w:rPr>
              <w:t>）人员配置、岗位设置、职责分工的合理性较强、与服务需求的契合度较高得</w:t>
            </w:r>
            <w:r>
              <w:rPr>
                <w:sz w:val="24"/>
              </w:rPr>
              <w:t>5</w:t>
            </w:r>
            <w:r>
              <w:rPr>
                <w:rFonts w:hint="eastAsia" w:ascii="宋体" w:hAnsi="宋体"/>
                <w:sz w:val="24"/>
              </w:rPr>
              <w:t>分；</w:t>
            </w:r>
          </w:p>
          <w:p>
            <w:pPr>
              <w:spacing w:line="360" w:lineRule="auto"/>
              <w:rPr>
                <w:sz w:val="24"/>
              </w:rPr>
            </w:pPr>
            <w:r>
              <w:rPr>
                <w:rFonts w:hint="eastAsia" w:ascii="宋体" w:hAnsi="宋体"/>
                <w:sz w:val="24"/>
              </w:rPr>
              <w:t>（</w:t>
            </w:r>
            <w:r>
              <w:rPr>
                <w:sz w:val="24"/>
              </w:rPr>
              <w:t>3</w:t>
            </w:r>
            <w:r>
              <w:rPr>
                <w:rFonts w:hint="eastAsia" w:ascii="宋体" w:hAnsi="宋体"/>
                <w:sz w:val="24"/>
              </w:rPr>
              <w:t>）人员配置、岗位设置、职责分工的合理性较差、与服务需求的契合度不高得</w:t>
            </w:r>
            <w:r>
              <w:rPr>
                <w:sz w:val="24"/>
              </w:rPr>
              <w:t>1</w:t>
            </w:r>
            <w:r>
              <w:rPr>
                <w:rFonts w:hint="eastAsia" w:ascii="宋体" w:hAnsi="宋体"/>
                <w:sz w:val="24"/>
              </w:rPr>
              <w:t>分；</w:t>
            </w:r>
          </w:p>
          <w:p>
            <w:pPr>
              <w:spacing w:line="360" w:lineRule="auto"/>
              <w:rPr>
                <w:rFonts w:ascii="宋体" w:hAnsi="宋体"/>
                <w:b/>
                <w:bCs/>
                <w:sz w:val="24"/>
              </w:rPr>
            </w:pPr>
            <w:r>
              <w:rPr>
                <w:rFonts w:hint="eastAsia" w:ascii="宋体" w:hAnsi="宋体"/>
                <w:sz w:val="24"/>
              </w:rPr>
              <w:t>人员配置、岗位设置、职责分工不具有合理性、与服务需求的契合度差得</w:t>
            </w:r>
            <w:r>
              <w:rPr>
                <w:sz w:val="24"/>
              </w:rPr>
              <w:t>0</w:t>
            </w:r>
            <w:r>
              <w:rPr>
                <w:rFonts w:hint="eastAsia" w:ascii="宋体" w:hAnsi="宋体"/>
                <w:sz w:val="24"/>
              </w:rPr>
              <w:t>分。</w:t>
            </w:r>
          </w:p>
        </w:tc>
        <w:tc>
          <w:tcPr>
            <w:tcW w:w="900" w:type="dxa"/>
            <w:tcBorders>
              <w:top w:val="single" w:color="auto" w:sz="4" w:space="0"/>
              <w:left w:val="nil"/>
              <w:bottom w:val="single" w:color="auto" w:sz="4" w:space="0"/>
              <w:right w:val="single" w:color="auto" w:sz="4" w:space="0"/>
            </w:tcBorders>
            <w:vAlign w:val="center"/>
          </w:tcPr>
          <w:p>
            <w:pPr>
              <w:snapToGrid w:val="0"/>
              <w:spacing w:line="360" w:lineRule="auto"/>
              <w:ind w:left="-3"/>
              <w:jc w:val="center"/>
              <w:rPr>
                <w:rFonts w:ascii="宋体" w:hAnsi="宋体"/>
                <w:sz w:val="24"/>
              </w:rPr>
            </w:pPr>
            <w:r>
              <w:rPr>
                <w:rFonts w:hint="eastAsia" w:ascii="宋体" w:hAnsi="宋体"/>
                <w:sz w:val="24"/>
              </w:rPr>
              <w:t>10</w:t>
            </w:r>
          </w:p>
        </w:tc>
      </w:tr>
    </w:tbl>
    <w:p>
      <w:pPr>
        <w:rPr>
          <w:szCs w:val="21"/>
        </w:rPr>
      </w:pPr>
    </w:p>
    <w:p>
      <w:pPr>
        <w:spacing w:line="360" w:lineRule="auto"/>
        <w:rPr>
          <w:rFonts w:ascii="宋体" w:hAnsi="宋体"/>
          <w:b/>
          <w:sz w:val="24"/>
        </w:rPr>
      </w:pPr>
      <w:r>
        <w:rPr>
          <w:rFonts w:hint="eastAsia" w:ascii="宋体" w:hAnsi="宋体"/>
          <w:b/>
          <w:sz w:val="24"/>
        </w:rPr>
        <w:t>注：</w:t>
      </w:r>
    </w:p>
    <w:p>
      <w:pPr>
        <w:spacing w:line="360" w:lineRule="auto"/>
        <w:rPr>
          <w:rFonts w:ascii="宋体" w:hAnsi="宋体"/>
          <w:sz w:val="24"/>
        </w:rPr>
      </w:pPr>
      <w:bookmarkStart w:id="63" w:name="_Toc399234215"/>
      <w:r>
        <w:rPr>
          <w:rFonts w:hint="eastAsia" w:ascii="宋体" w:hAnsi="宋体"/>
          <w:sz w:val="24"/>
        </w:rPr>
        <w:t>1、</w:t>
      </w:r>
      <w:r>
        <w:rPr>
          <w:rFonts w:ascii="宋体" w:hAnsi="宋体"/>
          <w:sz w:val="24"/>
        </w:rPr>
        <w:t>根据财政部、工业和信息化部</w:t>
      </w:r>
      <w:r>
        <w:rPr>
          <w:rFonts w:hint="eastAsia" w:ascii="宋体" w:hAnsi="宋体"/>
          <w:sz w:val="24"/>
        </w:rPr>
        <w:t>发布</w:t>
      </w:r>
      <w:r>
        <w:rPr>
          <w:rFonts w:ascii="宋体" w:hAnsi="宋体"/>
          <w:sz w:val="24"/>
        </w:rPr>
        <w:t>的《政府采购促进中小企业发展</w:t>
      </w:r>
      <w:r>
        <w:rPr>
          <w:rFonts w:hint="eastAsia" w:ascii="宋体" w:hAnsi="宋体"/>
          <w:sz w:val="24"/>
        </w:rPr>
        <w:t>管理</w:t>
      </w:r>
      <w:r>
        <w:rPr>
          <w:rFonts w:ascii="宋体" w:hAnsi="宋体"/>
          <w:sz w:val="24"/>
        </w:rPr>
        <w:t>办法》</w:t>
      </w:r>
      <w:r>
        <w:rPr>
          <w:rFonts w:hint="eastAsia" w:ascii="宋体" w:hAnsi="宋体"/>
          <w:sz w:val="24"/>
        </w:rPr>
        <w:t>、财政部、司法部发布的《关于政府采购支持监狱企业发展有关问题的通知》及财政部、民政部、中国残疾人联合会发布的《三部门联合发布关于促进残疾人就业政府采购政策的通知》的规定</w:t>
      </w:r>
      <w:r>
        <w:rPr>
          <w:rFonts w:ascii="宋体" w:hAnsi="宋体"/>
          <w:sz w:val="24"/>
        </w:rPr>
        <w:t>，如投标产品被认定为小微型企业</w:t>
      </w:r>
      <w:r>
        <w:rPr>
          <w:rFonts w:hint="eastAsia" w:ascii="宋体" w:hAnsi="宋体"/>
          <w:sz w:val="24"/>
        </w:rPr>
        <w:t>或监狱企业或</w:t>
      </w:r>
      <w:r>
        <w:rPr>
          <w:rFonts w:ascii="宋体" w:hAnsi="宋体"/>
          <w:sz w:val="24"/>
        </w:rPr>
        <w:t>残疾人福利性单位制造的产品（须提供相关证明文件，</w:t>
      </w:r>
      <w:r>
        <w:rPr>
          <w:rFonts w:hint="eastAsia" w:ascii="宋体" w:hAnsi="宋体"/>
          <w:sz w:val="24"/>
        </w:rPr>
        <w:t>小微企业提供</w:t>
      </w:r>
      <w:r>
        <w:rPr>
          <w:rFonts w:ascii="宋体" w:hAnsi="宋体"/>
          <w:sz w:val="24"/>
        </w:rPr>
        <w:t>《中小企业声明函》</w:t>
      </w:r>
      <w:r>
        <w:rPr>
          <w:rFonts w:hint="eastAsia" w:ascii="宋体" w:hAnsi="宋体"/>
          <w:sz w:val="24"/>
        </w:rPr>
        <w:t>，监狱企业提供由省级以上监狱管理局、戒毒管理局</w:t>
      </w:r>
      <w:r>
        <w:rPr>
          <w:rFonts w:ascii="宋体" w:hAnsi="宋体"/>
          <w:sz w:val="24"/>
        </w:rPr>
        <w:t>(含新疆生产建设兵团)</w:t>
      </w:r>
      <w:r>
        <w:rPr>
          <w:rFonts w:hint="eastAsia" w:ascii="宋体" w:hAnsi="宋体"/>
          <w:sz w:val="24"/>
        </w:rPr>
        <w:t>出具的属于监狱企业的证明文件，</w:t>
      </w:r>
      <w:r>
        <w:rPr>
          <w:rFonts w:ascii="宋体" w:hAnsi="宋体"/>
          <w:sz w:val="24"/>
        </w:rPr>
        <w:t>残疾人福利性单位</w:t>
      </w:r>
      <w:r>
        <w:rPr>
          <w:rFonts w:hint="eastAsia" w:ascii="宋体" w:hAnsi="宋体"/>
          <w:sz w:val="24"/>
        </w:rPr>
        <w:t>提供</w:t>
      </w:r>
      <w:r>
        <w:rPr>
          <w:rFonts w:ascii="宋体" w:hAnsi="宋体"/>
          <w:sz w:val="24"/>
        </w:rPr>
        <w:t>《残疾人福利性单位声明函》）</w:t>
      </w:r>
      <w:r>
        <w:rPr>
          <w:rFonts w:hint="eastAsia" w:ascii="宋体" w:hAnsi="宋体"/>
          <w:sz w:val="24"/>
        </w:rPr>
        <w:t>，可在上述第1项价格评分中，对该产品的价格给予6%的扣除，并用扣除后的价格计算价格评分。</w:t>
      </w:r>
    </w:p>
    <w:p>
      <w:pPr>
        <w:spacing w:line="360" w:lineRule="auto"/>
        <w:rPr>
          <w:rFonts w:ascii="宋体" w:hAnsi="宋体"/>
          <w:sz w:val="24"/>
        </w:rPr>
      </w:pPr>
      <w:r>
        <w:rPr>
          <w:rFonts w:hint="eastAsia" w:ascii="宋体" w:hAnsi="宋体"/>
          <w:sz w:val="24"/>
        </w:rPr>
        <w:t>2、对于投标文件中未对招标文件要求做明确响应的技术参数或技术条款视为不满足招标文件要求。</w:t>
      </w:r>
    </w:p>
    <w:p>
      <w:pPr>
        <w:spacing w:line="360" w:lineRule="auto"/>
        <w:rPr>
          <w:rFonts w:ascii="inherit" w:hAnsi="inherit" w:cs="宋体"/>
          <w:kern w:val="0"/>
          <w:sz w:val="24"/>
        </w:rPr>
      </w:pPr>
      <w:r>
        <w:rPr>
          <w:rFonts w:hint="eastAsia" w:ascii="宋体" w:hAnsi="宋体"/>
          <w:sz w:val="24"/>
        </w:rPr>
        <w:t>3、</w:t>
      </w:r>
      <w:r>
        <w:rPr>
          <w:rFonts w:ascii="inherit" w:hAnsi="inherit" w:cs="宋体"/>
          <w:kern w:val="0"/>
          <w:sz w:val="24"/>
        </w:rPr>
        <w:t>提供相同品牌产品且通过资格审查、符合性审查的不同投标人参加同一合同项下同一项</w:t>
      </w:r>
      <w:r>
        <w:rPr>
          <w:rFonts w:hint="eastAsia" w:ascii="inherit" w:hAnsi="inherit" w:cs="宋体"/>
          <w:kern w:val="0"/>
          <w:sz w:val="24"/>
        </w:rPr>
        <w:t>目包</w:t>
      </w:r>
      <w:r>
        <w:rPr>
          <w:rFonts w:ascii="inherit" w:hAnsi="inherit" w:cs="宋体"/>
          <w:kern w:val="0"/>
          <w:sz w:val="24"/>
        </w:rPr>
        <w:t>投标的，按一家投标人计算，评审后得分最高的同品牌投标人获得中标人推荐资格；评审得分相同的，</w:t>
      </w:r>
      <w:r>
        <w:rPr>
          <w:rFonts w:hint="eastAsia" w:ascii="inherit" w:hAnsi="inherit" w:cs="宋体"/>
          <w:kern w:val="0"/>
          <w:sz w:val="24"/>
        </w:rPr>
        <w:t>按投标报价排列，报价最低的</w:t>
      </w:r>
      <w:r>
        <w:rPr>
          <w:rFonts w:ascii="inherit" w:hAnsi="inherit" w:cs="宋体"/>
          <w:kern w:val="0"/>
          <w:sz w:val="24"/>
        </w:rPr>
        <w:t>投标人获得中标人推荐资格</w:t>
      </w:r>
      <w:r>
        <w:rPr>
          <w:rFonts w:hint="eastAsia" w:ascii="inherit" w:hAnsi="inherit" w:cs="宋体"/>
          <w:kern w:val="0"/>
          <w:sz w:val="24"/>
        </w:rPr>
        <w:t>；得分与投标报价均相同的，按技术指标优劣排列，技术得分最高的</w:t>
      </w:r>
      <w:r>
        <w:rPr>
          <w:rFonts w:ascii="inherit" w:hAnsi="inherit" w:cs="宋体"/>
          <w:kern w:val="0"/>
          <w:sz w:val="24"/>
        </w:rPr>
        <w:t>投标人获得中标人推荐资格</w:t>
      </w:r>
      <w:r>
        <w:rPr>
          <w:rFonts w:hint="eastAsia" w:ascii="inherit" w:hAnsi="inherit" w:cs="宋体"/>
          <w:kern w:val="0"/>
          <w:sz w:val="24"/>
        </w:rPr>
        <w:t>。</w:t>
      </w:r>
    </w:p>
    <w:p>
      <w:pPr>
        <w:spacing w:line="360" w:lineRule="auto"/>
        <w:rPr>
          <w:rFonts w:ascii="黑体" w:eastAsia="黑体"/>
          <w:b/>
          <w:sz w:val="48"/>
        </w:rPr>
      </w:pPr>
      <w:r>
        <w:rPr>
          <w:rFonts w:hint="eastAsia" w:ascii="inherit" w:hAnsi="inherit" w:cs="宋体"/>
          <w:kern w:val="0"/>
          <w:sz w:val="24"/>
        </w:rPr>
        <w:t>4、对非单一产品采购的项目包，在各包中确定核心产品，多家投标人提供的核心产品品牌相同的，按前款规定处理。</w:t>
      </w:r>
    </w:p>
    <w:p>
      <w:pPr>
        <w:jc w:val="left"/>
        <w:rPr>
          <w:rFonts w:ascii="黑体" w:eastAsia="黑体"/>
          <w:b/>
          <w:sz w:val="48"/>
        </w:rPr>
      </w:pPr>
    </w:p>
    <w:bookmarkEnd w:id="63"/>
    <w:p>
      <w:pPr>
        <w:jc w:val="center"/>
        <w:rPr>
          <w:rFonts w:ascii="黑体" w:eastAsia="黑体"/>
          <w:b/>
          <w:sz w:val="48"/>
        </w:rPr>
      </w:pPr>
    </w:p>
    <w:p>
      <w:pPr>
        <w:jc w:val="center"/>
        <w:rPr>
          <w:rFonts w:ascii="黑体" w:eastAsia="黑体"/>
          <w:b/>
          <w:sz w:val="48"/>
        </w:rPr>
      </w:pPr>
    </w:p>
    <w:p>
      <w:pPr>
        <w:rPr>
          <w:rFonts w:ascii="黑体" w:eastAsia="黑体"/>
          <w:b/>
          <w:sz w:val="48"/>
        </w:rPr>
      </w:pPr>
      <w:r>
        <w:rPr>
          <w:rFonts w:hint="eastAsia" w:ascii="黑体" w:eastAsia="黑体"/>
          <w:b/>
          <w:sz w:val="48"/>
        </w:rPr>
        <w:br w:type="page"/>
      </w: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r>
        <w:rPr>
          <w:rFonts w:hint="eastAsia" w:ascii="黑体" w:eastAsia="黑体"/>
          <w:b/>
          <w:sz w:val="48"/>
        </w:rPr>
        <w:t>第七部分投标文件格式</w:t>
      </w: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jc w:val="center"/>
        <w:rPr>
          <w:rFonts w:ascii="黑体" w:eastAsia="黑体"/>
          <w:b/>
          <w:sz w:val="48"/>
        </w:rPr>
      </w:pPr>
    </w:p>
    <w:p>
      <w:pPr>
        <w:pStyle w:val="19"/>
        <w:spacing w:line="440" w:lineRule="exact"/>
        <w:rPr>
          <w:rFonts w:hAnsi="宋体"/>
          <w:snapToGrid w:val="0"/>
          <w:sz w:val="28"/>
        </w:rPr>
      </w:pPr>
    </w:p>
    <w:p>
      <w:pPr>
        <w:rPr>
          <w:rFonts w:hAnsi="宋体"/>
          <w:snapToGrid w:val="0"/>
          <w:sz w:val="28"/>
        </w:rPr>
      </w:pPr>
      <w:r>
        <w:rPr>
          <w:rFonts w:hint="eastAsia" w:hAnsi="宋体"/>
          <w:snapToGrid w:val="0"/>
          <w:sz w:val="28"/>
        </w:rPr>
        <w:br w:type="page"/>
      </w:r>
    </w:p>
    <w:p>
      <w:pPr>
        <w:pStyle w:val="19"/>
        <w:spacing w:line="440" w:lineRule="exact"/>
        <w:rPr>
          <w:rFonts w:hAnsi="宋体"/>
          <w:snapToGrid w:val="0"/>
          <w:sz w:val="28"/>
        </w:rPr>
      </w:pPr>
      <w:r>
        <w:rPr>
          <w:rFonts w:hint="eastAsia" w:hAnsi="宋体"/>
          <w:snapToGrid w:val="0"/>
          <w:sz w:val="28"/>
        </w:rPr>
        <w:t>附件一：</w:t>
      </w:r>
    </w:p>
    <w:p>
      <w:pPr>
        <w:pStyle w:val="4"/>
        <w:tabs>
          <w:tab w:val="left" w:pos="5580"/>
        </w:tabs>
        <w:spacing w:line="240" w:lineRule="auto"/>
        <w:rPr>
          <w:rFonts w:ascii="宋体" w:hAnsi="宋体" w:eastAsia="宋体" w:cs="仿宋_GB2312"/>
          <w:sz w:val="24"/>
          <w:szCs w:val="24"/>
        </w:rPr>
      </w:pPr>
      <w:bookmarkStart w:id="64" w:name="_Toc480942349"/>
      <w:bookmarkStart w:id="65" w:name="_Ref467988698"/>
      <w:bookmarkStart w:id="66" w:name="_Toc520356217"/>
      <w:bookmarkStart w:id="67" w:name="_Toc89569911"/>
      <w:r>
        <w:rPr>
          <w:rFonts w:hint="eastAsia" w:ascii="宋体" w:hAnsi="宋体" w:eastAsia="宋体" w:cs="仿宋_GB2312"/>
          <w:sz w:val="24"/>
          <w:szCs w:val="24"/>
        </w:rPr>
        <w:t>附件1  投标</w:t>
      </w:r>
      <w:bookmarkEnd w:id="64"/>
      <w:bookmarkEnd w:id="65"/>
      <w:r>
        <w:rPr>
          <w:rFonts w:hint="eastAsia" w:ascii="宋体" w:hAnsi="宋体" w:eastAsia="宋体" w:cs="仿宋_GB2312"/>
          <w:sz w:val="24"/>
          <w:szCs w:val="24"/>
        </w:rPr>
        <w:t>书</w:t>
      </w:r>
      <w:bookmarkEnd w:id="66"/>
      <w:r>
        <w:rPr>
          <w:rFonts w:hint="eastAsia" w:ascii="宋体" w:hAnsi="宋体" w:eastAsia="宋体" w:cs="仿宋_GB2312"/>
          <w:sz w:val="24"/>
          <w:szCs w:val="24"/>
        </w:rPr>
        <w:t>（格式）</w:t>
      </w:r>
      <w:bookmarkEnd w:id="67"/>
    </w:p>
    <w:p>
      <w:pPr>
        <w:tabs>
          <w:tab w:val="left" w:pos="5580"/>
        </w:tabs>
        <w:spacing w:before="120"/>
        <w:rPr>
          <w:rFonts w:ascii="宋体" w:hAnsi="宋体"/>
          <w:sz w:val="24"/>
        </w:rPr>
      </w:pPr>
    </w:p>
    <w:p>
      <w:pPr>
        <w:tabs>
          <w:tab w:val="left" w:pos="5580"/>
        </w:tabs>
        <w:spacing w:before="120"/>
        <w:rPr>
          <w:rFonts w:ascii="宋体" w:hAnsi="宋体"/>
          <w:sz w:val="24"/>
        </w:rPr>
      </w:pPr>
      <w:r>
        <w:rPr>
          <w:rFonts w:hint="eastAsia" w:ascii="宋体" w:hAnsi="宋体" w:cs="仿宋_GB2312"/>
          <w:sz w:val="24"/>
        </w:rPr>
        <w:t>致：东方国际招标有限责任公司</w:t>
      </w:r>
    </w:p>
    <w:p>
      <w:pPr>
        <w:pStyle w:val="19"/>
        <w:tabs>
          <w:tab w:val="left" w:pos="5580"/>
        </w:tabs>
        <w:ind w:firstLine="480" w:firstLineChars="200"/>
        <w:rPr>
          <w:rFonts w:hAnsi="宋体"/>
          <w:sz w:val="24"/>
          <w:szCs w:val="24"/>
        </w:rPr>
      </w:pPr>
    </w:p>
    <w:p>
      <w:pPr>
        <w:pStyle w:val="19"/>
        <w:tabs>
          <w:tab w:val="left" w:pos="5580"/>
        </w:tabs>
        <w:spacing w:line="360" w:lineRule="exact"/>
        <w:ind w:firstLine="480" w:firstLineChars="200"/>
        <w:rPr>
          <w:rFonts w:hAnsi="宋体"/>
          <w:sz w:val="24"/>
          <w:szCs w:val="24"/>
        </w:rPr>
      </w:pPr>
      <w:r>
        <w:rPr>
          <w:rFonts w:hint="eastAsia" w:hAnsi="宋体" w:cs="仿宋_GB2312"/>
          <w:sz w:val="24"/>
          <w:szCs w:val="24"/>
        </w:rPr>
        <w:t>根据贵方为(</w:t>
      </w:r>
      <w:r>
        <w:rPr>
          <w:rFonts w:hint="eastAsia" w:hAnsi="宋体" w:cs="仿宋_GB2312"/>
          <w:i/>
          <w:iCs/>
          <w:sz w:val="24"/>
          <w:szCs w:val="24"/>
          <w:u w:val="single"/>
        </w:rPr>
        <w:t>项目名称</w:t>
      </w:r>
      <w:r>
        <w:rPr>
          <w:rFonts w:hint="eastAsia" w:hAnsi="宋体" w:cs="仿宋_GB2312"/>
          <w:sz w:val="24"/>
          <w:szCs w:val="24"/>
        </w:rPr>
        <w:t>)项目招标采购服务的投标邀请(</w:t>
      </w:r>
      <w:r>
        <w:rPr>
          <w:rFonts w:hint="eastAsia" w:hAnsi="宋体" w:cs="仿宋_GB2312"/>
          <w:i/>
          <w:iCs/>
          <w:sz w:val="24"/>
          <w:szCs w:val="24"/>
          <w:u w:val="single"/>
        </w:rPr>
        <w:t>招标编号和包号</w:t>
      </w:r>
      <w:r>
        <w:rPr>
          <w:rFonts w:hint="eastAsia" w:hAnsi="宋体" w:cs="仿宋_GB2312"/>
          <w:sz w:val="24"/>
          <w:szCs w:val="24"/>
        </w:rPr>
        <w:t>),签字代表</w:t>
      </w:r>
      <w:r>
        <w:rPr>
          <w:rFonts w:hint="eastAsia" w:hAnsi="宋体" w:cs="仿宋_GB2312"/>
          <w:sz w:val="24"/>
          <w:szCs w:val="24"/>
          <w:u w:val="single"/>
        </w:rPr>
        <w:t xml:space="preserve"> (</w:t>
      </w:r>
      <w:r>
        <w:rPr>
          <w:rFonts w:hint="eastAsia" w:hAnsi="宋体" w:cs="仿宋_GB2312"/>
          <w:i/>
          <w:iCs/>
          <w:sz w:val="24"/>
          <w:szCs w:val="24"/>
          <w:u w:val="single"/>
        </w:rPr>
        <w:t>姓名、职务</w:t>
      </w:r>
      <w:r>
        <w:rPr>
          <w:rFonts w:hint="eastAsia" w:hAnsi="宋体" w:cs="仿宋_GB2312"/>
          <w:sz w:val="24"/>
          <w:szCs w:val="24"/>
        </w:rPr>
        <w:t>)经正式授权并代表投标人（</w:t>
      </w:r>
      <w:r>
        <w:rPr>
          <w:rFonts w:hint="eastAsia" w:hAnsi="宋体" w:cs="仿宋_GB2312"/>
          <w:i/>
          <w:iCs/>
          <w:sz w:val="24"/>
          <w:szCs w:val="24"/>
          <w:u w:val="single"/>
        </w:rPr>
        <w:t>投标人名称、地址</w:t>
      </w:r>
      <w:r>
        <w:rPr>
          <w:rFonts w:hint="eastAsia" w:hAnsi="宋体" w:cs="仿宋_GB2312"/>
          <w:sz w:val="24"/>
          <w:szCs w:val="24"/>
        </w:rPr>
        <w:t>）提交下述文件</w:t>
      </w:r>
    </w:p>
    <w:p>
      <w:pPr>
        <w:pStyle w:val="19"/>
        <w:numPr>
          <w:ilvl w:val="0"/>
          <w:numId w:val="9"/>
        </w:numPr>
        <w:tabs>
          <w:tab w:val="clear" w:pos="768"/>
        </w:tabs>
        <w:spacing w:line="360" w:lineRule="exact"/>
        <w:ind w:left="525" w:firstLine="0"/>
        <w:rPr>
          <w:rFonts w:hAnsi="宋体"/>
          <w:sz w:val="24"/>
          <w:szCs w:val="24"/>
        </w:rPr>
      </w:pPr>
      <w:r>
        <w:rPr>
          <w:rFonts w:hint="eastAsia" w:hAnsi="宋体" w:cs="仿宋_GB2312"/>
          <w:sz w:val="24"/>
          <w:szCs w:val="24"/>
        </w:rPr>
        <w:t>提供投标须知规定的全部投标文件：包括正本</w:t>
      </w:r>
      <w:r>
        <w:rPr>
          <w:rFonts w:hint="eastAsia" w:hAnsi="宋体" w:cs="仿宋_GB2312"/>
          <w:sz w:val="24"/>
          <w:szCs w:val="24"/>
          <w:lang w:val="en-US" w:eastAsia="zh-CN"/>
        </w:rPr>
        <w:t>1</w:t>
      </w:r>
      <w:r>
        <w:rPr>
          <w:rFonts w:hint="eastAsia" w:hAnsi="宋体" w:cs="仿宋_GB2312"/>
          <w:sz w:val="24"/>
          <w:szCs w:val="24"/>
        </w:rPr>
        <w:t>份，副本</w:t>
      </w:r>
      <w:r>
        <w:rPr>
          <w:rFonts w:hint="eastAsia" w:hAnsi="宋体" w:cs="仿宋_GB2312"/>
          <w:sz w:val="24"/>
          <w:szCs w:val="24"/>
          <w:u w:val="single"/>
        </w:rPr>
        <w:t xml:space="preserve"> </w:t>
      </w:r>
      <w:r>
        <w:rPr>
          <w:rFonts w:hAnsi="宋体" w:cs="仿宋_GB2312"/>
          <w:sz w:val="24"/>
          <w:szCs w:val="24"/>
          <w:u w:val="single"/>
        </w:rPr>
        <w:t xml:space="preserve"> </w:t>
      </w:r>
      <w:r>
        <w:rPr>
          <w:rFonts w:hint="eastAsia" w:hAnsi="宋体" w:cs="仿宋_GB2312"/>
          <w:sz w:val="24"/>
          <w:szCs w:val="24"/>
        </w:rPr>
        <w:t>份。</w:t>
      </w:r>
    </w:p>
    <w:p>
      <w:pPr>
        <w:pStyle w:val="19"/>
        <w:numPr>
          <w:ilvl w:val="0"/>
          <w:numId w:val="9"/>
        </w:numPr>
        <w:tabs>
          <w:tab w:val="clear" w:pos="768"/>
        </w:tabs>
        <w:spacing w:line="360" w:lineRule="exact"/>
        <w:ind w:left="840" w:hanging="315"/>
        <w:rPr>
          <w:rFonts w:hAnsi="宋体"/>
          <w:sz w:val="24"/>
          <w:szCs w:val="24"/>
        </w:rPr>
      </w:pPr>
      <w:r>
        <w:rPr>
          <w:rFonts w:hint="eastAsia" w:hAnsi="宋体" w:cs="仿宋_GB2312"/>
          <w:sz w:val="24"/>
          <w:szCs w:val="24"/>
        </w:rPr>
        <w:t>以形式出具的投标保证金，金额为人民币</w:t>
      </w:r>
      <w:r>
        <w:rPr>
          <w:rFonts w:hint="eastAsia" w:hAnsi="宋体" w:cs="仿宋_GB2312"/>
          <w:sz w:val="24"/>
          <w:szCs w:val="24"/>
          <w:u w:val="single"/>
        </w:rPr>
        <w:t>　　　　　　</w:t>
      </w:r>
      <w:r>
        <w:rPr>
          <w:rFonts w:hint="eastAsia" w:hAnsi="宋体" w:cs="仿宋_GB2312"/>
          <w:sz w:val="24"/>
          <w:szCs w:val="24"/>
        </w:rPr>
        <w:t>元。</w:t>
      </w:r>
    </w:p>
    <w:p>
      <w:pPr>
        <w:pStyle w:val="19"/>
        <w:tabs>
          <w:tab w:val="left" w:pos="525"/>
          <w:tab w:val="left" w:pos="945"/>
          <w:tab w:val="left" w:pos="5580"/>
        </w:tabs>
        <w:spacing w:line="360" w:lineRule="exact"/>
        <w:ind w:firstLine="480" w:firstLineChars="200"/>
        <w:rPr>
          <w:rFonts w:hAnsi="宋体"/>
          <w:sz w:val="24"/>
          <w:szCs w:val="24"/>
        </w:rPr>
      </w:pPr>
      <w:r>
        <w:rPr>
          <w:rFonts w:hint="eastAsia" w:hAnsi="宋体" w:cs="仿宋_GB2312"/>
          <w:sz w:val="24"/>
          <w:szCs w:val="24"/>
        </w:rPr>
        <w:t>在此，签字代表宣布同意如下：</w:t>
      </w:r>
    </w:p>
    <w:p>
      <w:pPr>
        <w:pStyle w:val="19"/>
        <w:numPr>
          <w:ilvl w:val="0"/>
          <w:numId w:val="10"/>
        </w:numPr>
        <w:tabs>
          <w:tab w:val="left" w:pos="5580"/>
        </w:tabs>
        <w:spacing w:line="360" w:lineRule="exact"/>
        <w:rPr>
          <w:rFonts w:hAnsi="宋体"/>
          <w:sz w:val="24"/>
          <w:szCs w:val="24"/>
          <w:u w:val="single"/>
        </w:rPr>
      </w:pPr>
      <w:r>
        <w:rPr>
          <w:rFonts w:hint="eastAsia" w:hAnsi="宋体" w:cs="仿宋_GB2312"/>
          <w:sz w:val="24"/>
          <w:szCs w:val="24"/>
        </w:rPr>
        <w:t>所附投标价格表中规定的应提交和交付的服务投标总价为</w:t>
      </w:r>
      <w:r>
        <w:rPr>
          <w:rFonts w:hint="eastAsia" w:hAnsi="宋体" w:cs="仿宋_GB2312"/>
          <w:sz w:val="24"/>
          <w:szCs w:val="24"/>
          <w:u w:val="single"/>
        </w:rPr>
        <w:t>　　　　　　</w:t>
      </w:r>
    </w:p>
    <w:p>
      <w:pPr>
        <w:pStyle w:val="19"/>
        <w:tabs>
          <w:tab w:val="left" w:pos="5580"/>
        </w:tabs>
        <w:spacing w:line="360" w:lineRule="exact"/>
        <w:ind w:left="-2" w:leftChars="-1" w:firstLine="1200" w:firstLineChars="500"/>
        <w:rPr>
          <w:rFonts w:hAnsi="宋体" w:cs="仿宋_GB2312"/>
          <w:i/>
          <w:iCs/>
          <w:sz w:val="24"/>
          <w:szCs w:val="24"/>
          <w:u w:val="single"/>
        </w:rPr>
      </w:pPr>
      <w:r>
        <w:rPr>
          <w:rFonts w:hint="eastAsia" w:hAnsi="宋体" w:cs="仿宋_GB2312"/>
          <w:i/>
          <w:iCs/>
          <w:sz w:val="24"/>
          <w:szCs w:val="24"/>
          <w:u w:val="single"/>
        </w:rPr>
        <w:t>（</w:t>
      </w:r>
      <w:r>
        <w:rPr>
          <w:rFonts w:hint="eastAsia" w:hAnsi="宋体" w:cs="仿宋_GB2312"/>
          <w:b/>
          <w:bCs/>
          <w:i/>
          <w:iCs/>
          <w:sz w:val="24"/>
          <w:szCs w:val="24"/>
          <w:u w:val="single"/>
        </w:rPr>
        <w:t>下浮比例</w:t>
      </w:r>
      <w:r>
        <w:rPr>
          <w:rFonts w:hint="eastAsia" w:hAnsi="宋体" w:cs="仿宋_GB2312"/>
          <w:i/>
          <w:iCs/>
          <w:sz w:val="24"/>
          <w:szCs w:val="24"/>
          <w:u w:val="single"/>
        </w:rPr>
        <w:t>）。</w:t>
      </w:r>
    </w:p>
    <w:p>
      <w:pPr>
        <w:pStyle w:val="19"/>
        <w:numPr>
          <w:ilvl w:val="0"/>
          <w:numId w:val="10"/>
        </w:numPr>
        <w:tabs>
          <w:tab w:val="left" w:pos="5580"/>
        </w:tabs>
        <w:spacing w:line="360" w:lineRule="exact"/>
        <w:rPr>
          <w:rFonts w:hAnsi="宋体"/>
          <w:sz w:val="24"/>
          <w:szCs w:val="24"/>
        </w:rPr>
      </w:pPr>
      <w:r>
        <w:rPr>
          <w:rFonts w:hint="eastAsia" w:hAnsi="宋体" w:cs="仿宋_GB2312"/>
          <w:sz w:val="24"/>
          <w:szCs w:val="24"/>
        </w:rPr>
        <w:t>我方将按招标文件的规定履行合同责任和义务。</w:t>
      </w:r>
    </w:p>
    <w:p>
      <w:pPr>
        <w:pStyle w:val="19"/>
        <w:numPr>
          <w:ilvl w:val="0"/>
          <w:numId w:val="10"/>
        </w:numPr>
        <w:tabs>
          <w:tab w:val="left" w:pos="5580"/>
        </w:tabs>
        <w:spacing w:line="360" w:lineRule="exact"/>
        <w:rPr>
          <w:rFonts w:hAnsi="宋体"/>
          <w:sz w:val="24"/>
          <w:szCs w:val="24"/>
        </w:rPr>
      </w:pPr>
      <w:r>
        <w:rPr>
          <w:rFonts w:hint="eastAsia" w:hAnsi="宋体" w:cs="仿宋_GB2312"/>
          <w:sz w:val="24"/>
          <w:szCs w:val="24"/>
        </w:rPr>
        <w:t>我方已详细审查全部招标文件，包括第</w:t>
      </w:r>
      <w:r>
        <w:rPr>
          <w:rFonts w:hint="eastAsia" w:hAnsi="宋体" w:cs="仿宋_GB2312"/>
          <w:i/>
          <w:iCs/>
          <w:sz w:val="24"/>
          <w:szCs w:val="24"/>
          <w:u w:val="single"/>
        </w:rPr>
        <w:t>号（招标编号、补充通知）（如果有的话</w:t>
      </w:r>
      <w:r>
        <w:rPr>
          <w:rFonts w:hint="eastAsia" w:hAnsi="宋体" w:cs="仿宋_GB2312"/>
          <w:i/>
          <w:iCs/>
          <w:sz w:val="24"/>
          <w:szCs w:val="24"/>
        </w:rPr>
        <w:t>）</w:t>
      </w:r>
      <w:r>
        <w:rPr>
          <w:rFonts w:hint="eastAsia" w:hAnsi="宋体" w:cs="仿宋_GB2312"/>
          <w:sz w:val="24"/>
          <w:szCs w:val="24"/>
        </w:rPr>
        <w:t>。我方完全理解并同意放弃对这方面有不明及误解的权力。</w:t>
      </w:r>
    </w:p>
    <w:p>
      <w:pPr>
        <w:pStyle w:val="19"/>
        <w:numPr>
          <w:ilvl w:val="0"/>
          <w:numId w:val="10"/>
        </w:numPr>
        <w:tabs>
          <w:tab w:val="left" w:pos="5580"/>
        </w:tabs>
        <w:spacing w:line="360" w:lineRule="exact"/>
        <w:rPr>
          <w:rFonts w:hAnsi="宋体"/>
          <w:sz w:val="24"/>
          <w:szCs w:val="24"/>
        </w:rPr>
      </w:pPr>
      <w:r>
        <w:rPr>
          <w:rFonts w:hint="eastAsia" w:hAnsi="宋体" w:cs="仿宋_GB2312"/>
          <w:sz w:val="24"/>
          <w:szCs w:val="24"/>
        </w:rPr>
        <w:t>本投标有效期为自开标日起个</w:t>
      </w:r>
      <w:r>
        <w:rPr>
          <w:rFonts w:hint="eastAsia" w:hAnsi="宋体" w:cs="仿宋_GB2312"/>
          <w:sz w:val="24"/>
          <w:szCs w:val="24"/>
          <w:u w:val="single"/>
        </w:rPr>
        <w:t xml:space="preserve">    </w:t>
      </w:r>
      <w:r>
        <w:rPr>
          <w:rFonts w:hint="eastAsia" w:hAnsi="宋体" w:cs="仿宋_GB2312"/>
          <w:sz w:val="24"/>
          <w:szCs w:val="24"/>
        </w:rPr>
        <w:t>日历日。</w:t>
      </w:r>
    </w:p>
    <w:p>
      <w:pPr>
        <w:pStyle w:val="19"/>
        <w:numPr>
          <w:ilvl w:val="0"/>
          <w:numId w:val="10"/>
        </w:numPr>
        <w:tabs>
          <w:tab w:val="left" w:pos="5580"/>
        </w:tabs>
        <w:spacing w:line="360" w:lineRule="exact"/>
        <w:rPr>
          <w:rFonts w:hAnsi="宋体"/>
          <w:sz w:val="24"/>
          <w:szCs w:val="24"/>
        </w:rPr>
      </w:pPr>
      <w:r>
        <w:rPr>
          <w:rFonts w:hint="eastAsia" w:hAnsi="宋体" w:cs="仿宋_GB2312"/>
          <w:sz w:val="24"/>
          <w:szCs w:val="24"/>
        </w:rPr>
        <w:t>在规定的开标时间后，我方保证遵守招标文件中有关保证金的规定。</w:t>
      </w:r>
    </w:p>
    <w:p>
      <w:pPr>
        <w:pStyle w:val="19"/>
        <w:numPr>
          <w:ilvl w:val="0"/>
          <w:numId w:val="10"/>
        </w:numPr>
        <w:tabs>
          <w:tab w:val="left" w:pos="5580"/>
        </w:tabs>
        <w:spacing w:line="360" w:lineRule="exact"/>
        <w:rPr>
          <w:rFonts w:hAnsi="宋体"/>
          <w:sz w:val="24"/>
          <w:szCs w:val="24"/>
        </w:rPr>
      </w:pPr>
      <w:r>
        <w:rPr>
          <w:rFonts w:hint="eastAsia" w:hAnsi="宋体" w:cs="仿宋_GB2312"/>
          <w:sz w:val="24"/>
          <w:szCs w:val="24"/>
        </w:rPr>
        <w:t>根据投标人须知第1条规定，我方承诺，与买方聘请的为此项目提供咨询服务的公司及任何附属机构均无关联，我方不是买方的附属机构。</w:t>
      </w:r>
    </w:p>
    <w:p>
      <w:pPr>
        <w:pStyle w:val="19"/>
        <w:numPr>
          <w:ilvl w:val="0"/>
          <w:numId w:val="11"/>
        </w:numPr>
        <w:tabs>
          <w:tab w:val="left" w:pos="1140"/>
          <w:tab w:val="left" w:pos="5580"/>
        </w:tabs>
        <w:spacing w:line="360" w:lineRule="exact"/>
        <w:rPr>
          <w:rFonts w:hAnsi="宋体" w:cs="宋体"/>
          <w:sz w:val="24"/>
          <w:szCs w:val="24"/>
        </w:rPr>
      </w:pPr>
      <w:r>
        <w:rPr>
          <w:rFonts w:hint="eastAsia" w:hAnsi="宋体" w:cs="宋体"/>
          <w:sz w:val="24"/>
          <w:szCs w:val="24"/>
        </w:rPr>
        <w:t>我方同意提供按照贵方可能要求的与其投标有关的一切数据或资料。</w:t>
      </w:r>
    </w:p>
    <w:p>
      <w:pPr>
        <w:pStyle w:val="19"/>
        <w:numPr>
          <w:ilvl w:val="0"/>
          <w:numId w:val="11"/>
        </w:numPr>
        <w:tabs>
          <w:tab w:val="left" w:pos="1140"/>
          <w:tab w:val="left" w:pos="5580"/>
        </w:tabs>
        <w:spacing w:line="360" w:lineRule="exact"/>
        <w:rPr>
          <w:rFonts w:hAnsi="宋体" w:cs="宋体"/>
          <w:sz w:val="24"/>
          <w:szCs w:val="24"/>
        </w:rPr>
      </w:pPr>
      <w:r>
        <w:rPr>
          <w:rFonts w:hint="eastAsia" w:hAnsi="宋体" w:cs="宋体"/>
          <w:sz w:val="24"/>
          <w:szCs w:val="24"/>
        </w:rPr>
        <w:t>我司承诺已经完全获悉本招标项目因未实质性响应招标文件而导致投标无效的所有要求。</w:t>
      </w:r>
    </w:p>
    <w:p>
      <w:pPr>
        <w:pStyle w:val="19"/>
        <w:tabs>
          <w:tab w:val="left" w:pos="5580"/>
        </w:tabs>
        <w:ind w:firstLine="480" w:firstLineChars="200"/>
        <w:rPr>
          <w:rFonts w:hAnsi="宋体" w:cs="仿宋_GB2312"/>
          <w:sz w:val="24"/>
          <w:szCs w:val="24"/>
        </w:rPr>
      </w:pPr>
    </w:p>
    <w:p>
      <w:pPr>
        <w:pStyle w:val="19"/>
        <w:tabs>
          <w:tab w:val="left" w:pos="5580"/>
        </w:tabs>
        <w:ind w:firstLine="480" w:firstLineChars="200"/>
        <w:rPr>
          <w:rFonts w:hAnsi="宋体"/>
          <w:sz w:val="24"/>
          <w:szCs w:val="24"/>
        </w:rPr>
      </w:pPr>
      <w:r>
        <w:rPr>
          <w:rFonts w:hint="eastAsia" w:hAnsi="宋体" w:cs="仿宋_GB2312"/>
          <w:sz w:val="24"/>
          <w:szCs w:val="24"/>
        </w:rPr>
        <w:t>与本投标有关的一切正式往来信函请寄：</w:t>
      </w:r>
    </w:p>
    <w:p>
      <w:pPr>
        <w:pStyle w:val="19"/>
        <w:tabs>
          <w:tab w:val="left" w:pos="5580"/>
        </w:tabs>
        <w:ind w:left="420"/>
        <w:rPr>
          <w:rFonts w:hAnsi="宋体"/>
          <w:sz w:val="24"/>
          <w:szCs w:val="24"/>
        </w:rPr>
      </w:pPr>
    </w:p>
    <w:p>
      <w:pPr>
        <w:pStyle w:val="19"/>
        <w:tabs>
          <w:tab w:val="left" w:pos="5580"/>
        </w:tabs>
        <w:ind w:left="420"/>
        <w:rPr>
          <w:rFonts w:hAnsi="宋体" w:cs="仿宋_GB2312"/>
          <w:sz w:val="24"/>
          <w:szCs w:val="24"/>
        </w:rPr>
      </w:pPr>
      <w:r>
        <w:rPr>
          <w:rFonts w:hint="eastAsia" w:hAnsi="宋体" w:cs="仿宋_GB2312"/>
          <w:sz w:val="24"/>
          <w:szCs w:val="24"/>
        </w:rPr>
        <w:t>地址_________________________     传真____________________________</w:t>
      </w:r>
    </w:p>
    <w:p>
      <w:pPr>
        <w:pStyle w:val="19"/>
        <w:tabs>
          <w:tab w:val="left" w:pos="5580"/>
        </w:tabs>
        <w:ind w:left="420"/>
        <w:rPr>
          <w:rFonts w:hAnsi="宋体" w:cs="仿宋_GB2312"/>
          <w:sz w:val="24"/>
          <w:szCs w:val="24"/>
        </w:rPr>
      </w:pPr>
      <w:r>
        <w:rPr>
          <w:rFonts w:hint="eastAsia" w:hAnsi="宋体" w:cs="仿宋_GB2312"/>
          <w:sz w:val="24"/>
          <w:szCs w:val="24"/>
        </w:rPr>
        <w:t>电话_________________________     电子函件________________________</w:t>
      </w:r>
    </w:p>
    <w:p>
      <w:pPr>
        <w:pStyle w:val="19"/>
        <w:tabs>
          <w:tab w:val="left" w:pos="5580"/>
        </w:tabs>
        <w:ind w:left="420"/>
        <w:rPr>
          <w:rFonts w:hAnsi="宋体" w:cs="仿宋_GB2312"/>
          <w:sz w:val="24"/>
          <w:szCs w:val="24"/>
        </w:rPr>
      </w:pPr>
    </w:p>
    <w:p>
      <w:pPr>
        <w:pStyle w:val="19"/>
        <w:tabs>
          <w:tab w:val="left" w:pos="5580"/>
        </w:tabs>
        <w:ind w:left="420"/>
        <w:rPr>
          <w:rFonts w:hAnsi="宋体" w:cs="仿宋_GB2312"/>
          <w:sz w:val="24"/>
          <w:szCs w:val="24"/>
        </w:rPr>
      </w:pPr>
      <w:r>
        <w:rPr>
          <w:rFonts w:hint="eastAsia" w:hAnsi="宋体" w:cs="仿宋_GB2312"/>
          <w:sz w:val="24"/>
          <w:szCs w:val="24"/>
        </w:rPr>
        <w:t>投标人授权代表签字_______________</w:t>
      </w:r>
    </w:p>
    <w:p>
      <w:pPr>
        <w:pStyle w:val="19"/>
        <w:tabs>
          <w:tab w:val="left" w:pos="5580"/>
        </w:tabs>
        <w:ind w:left="420"/>
        <w:rPr>
          <w:rFonts w:hAnsi="宋体" w:cs="仿宋_GB2312"/>
          <w:sz w:val="24"/>
          <w:szCs w:val="24"/>
        </w:rPr>
      </w:pPr>
      <w:r>
        <w:rPr>
          <w:rFonts w:hint="eastAsia" w:hAnsi="宋体" w:cs="仿宋_GB2312"/>
          <w:sz w:val="24"/>
          <w:szCs w:val="24"/>
        </w:rPr>
        <w:t>投标人名称_______________________</w:t>
      </w:r>
    </w:p>
    <w:p>
      <w:pPr>
        <w:pStyle w:val="19"/>
        <w:tabs>
          <w:tab w:val="left" w:pos="5580"/>
        </w:tabs>
        <w:ind w:left="420"/>
        <w:rPr>
          <w:rFonts w:hAnsi="宋体" w:cs="仿宋_GB2312"/>
          <w:sz w:val="24"/>
          <w:szCs w:val="24"/>
        </w:rPr>
      </w:pPr>
    </w:p>
    <w:p>
      <w:pPr>
        <w:pStyle w:val="19"/>
        <w:tabs>
          <w:tab w:val="left" w:pos="5580"/>
        </w:tabs>
        <w:ind w:left="420"/>
        <w:rPr>
          <w:rFonts w:hAnsi="宋体"/>
          <w:sz w:val="24"/>
          <w:szCs w:val="24"/>
          <w:u w:val="single"/>
        </w:rPr>
      </w:pPr>
      <w:r>
        <w:rPr>
          <w:rFonts w:hint="eastAsia" w:hAnsi="宋体" w:cs="仿宋_GB2312"/>
          <w:sz w:val="24"/>
          <w:szCs w:val="24"/>
        </w:rPr>
        <w:t>开户名全称</w:t>
      </w:r>
      <w:r>
        <w:rPr>
          <w:rFonts w:hint="eastAsia" w:hAnsi="宋体" w:cs="仿宋_GB2312"/>
          <w:sz w:val="24"/>
          <w:szCs w:val="24"/>
          <w:u w:val="single"/>
        </w:rPr>
        <w:t>　　　　　　　　　　</w:t>
      </w:r>
    </w:p>
    <w:p>
      <w:pPr>
        <w:pStyle w:val="19"/>
        <w:tabs>
          <w:tab w:val="left" w:pos="5580"/>
        </w:tabs>
        <w:ind w:left="420"/>
        <w:rPr>
          <w:rFonts w:hAnsi="宋体"/>
          <w:sz w:val="24"/>
          <w:szCs w:val="24"/>
        </w:rPr>
      </w:pPr>
      <w:r>
        <w:rPr>
          <w:rFonts w:hint="eastAsia" w:hAnsi="宋体" w:cs="仿宋_GB2312"/>
          <w:sz w:val="24"/>
          <w:szCs w:val="24"/>
        </w:rPr>
        <w:t>开户银行</w:t>
      </w:r>
      <w:r>
        <w:rPr>
          <w:rFonts w:hint="eastAsia" w:hAnsi="宋体" w:cs="仿宋_GB2312"/>
          <w:sz w:val="24"/>
          <w:szCs w:val="24"/>
          <w:u w:val="single"/>
        </w:rPr>
        <w:t>　　　　　　　　　　　</w:t>
      </w:r>
    </w:p>
    <w:p>
      <w:pPr>
        <w:pStyle w:val="19"/>
        <w:tabs>
          <w:tab w:val="left" w:pos="5580"/>
        </w:tabs>
        <w:ind w:left="420"/>
        <w:rPr>
          <w:rFonts w:hAnsi="宋体"/>
          <w:sz w:val="24"/>
          <w:szCs w:val="24"/>
        </w:rPr>
      </w:pPr>
      <w:r>
        <w:rPr>
          <w:rFonts w:hint="eastAsia" w:hAnsi="宋体" w:cs="仿宋_GB2312"/>
          <w:sz w:val="24"/>
          <w:szCs w:val="24"/>
        </w:rPr>
        <w:t>银行帐号</w:t>
      </w:r>
      <w:r>
        <w:rPr>
          <w:rFonts w:hint="eastAsia" w:hAnsi="宋体" w:cs="仿宋_GB2312"/>
          <w:sz w:val="24"/>
          <w:szCs w:val="24"/>
          <w:u w:val="single"/>
        </w:rPr>
        <w:t>　　　　　　　　　　　</w:t>
      </w:r>
    </w:p>
    <w:p>
      <w:pPr>
        <w:pStyle w:val="19"/>
        <w:tabs>
          <w:tab w:val="left" w:pos="5580"/>
        </w:tabs>
        <w:ind w:left="420"/>
        <w:rPr>
          <w:rFonts w:hAnsi="宋体"/>
          <w:sz w:val="24"/>
          <w:szCs w:val="24"/>
        </w:rPr>
      </w:pPr>
      <w:r>
        <w:rPr>
          <w:rFonts w:hint="eastAsia" w:hAnsi="宋体" w:cs="仿宋_GB2312"/>
          <w:sz w:val="24"/>
          <w:szCs w:val="24"/>
        </w:rPr>
        <w:t>投标人公章</w:t>
      </w:r>
      <w:r>
        <w:rPr>
          <w:rFonts w:hint="eastAsia" w:hAnsi="宋体" w:cs="仿宋_GB2312"/>
          <w:sz w:val="24"/>
          <w:szCs w:val="24"/>
          <w:u w:val="single"/>
        </w:rPr>
        <w:t>　　　　　　　　</w:t>
      </w:r>
    </w:p>
    <w:p>
      <w:pPr>
        <w:pStyle w:val="19"/>
        <w:tabs>
          <w:tab w:val="left" w:pos="5580"/>
        </w:tabs>
        <w:ind w:left="420"/>
        <w:rPr>
          <w:rFonts w:hAnsi="宋体" w:cs="仿宋_GB2312"/>
          <w:sz w:val="24"/>
          <w:szCs w:val="24"/>
          <w:u w:val="single"/>
        </w:rPr>
      </w:pPr>
      <w:r>
        <w:rPr>
          <w:rFonts w:hint="eastAsia" w:hAnsi="宋体" w:cs="仿宋_GB2312"/>
          <w:sz w:val="24"/>
          <w:szCs w:val="24"/>
        </w:rPr>
        <w:t>日期</w:t>
      </w:r>
      <w:r>
        <w:rPr>
          <w:rFonts w:hint="eastAsia" w:hAnsi="宋体" w:cs="仿宋_GB2312"/>
          <w:sz w:val="24"/>
          <w:szCs w:val="24"/>
          <w:u w:val="single"/>
        </w:rPr>
        <w:t>　　　　　　　　　　　</w:t>
      </w:r>
    </w:p>
    <w:p>
      <w:pPr>
        <w:autoSpaceDE w:val="0"/>
        <w:autoSpaceDN w:val="0"/>
        <w:adjustRightInd w:val="0"/>
        <w:spacing w:line="360" w:lineRule="auto"/>
        <w:rPr>
          <w:rFonts w:hAnsi="宋体"/>
          <w:snapToGrid w:val="0"/>
          <w:sz w:val="28"/>
        </w:rPr>
      </w:pPr>
      <w:r>
        <w:rPr>
          <w:rFonts w:hAnsi="宋体"/>
          <w:snapToGrid w:val="0"/>
          <w:sz w:val="28"/>
        </w:rPr>
        <w:br w:type="page"/>
      </w:r>
      <w:r>
        <w:rPr>
          <w:rFonts w:hint="eastAsia" w:hAnsi="宋体"/>
          <w:snapToGrid w:val="0"/>
          <w:sz w:val="28"/>
        </w:rPr>
        <w:t>附件二：</w:t>
      </w:r>
    </w:p>
    <w:p>
      <w:pPr>
        <w:pStyle w:val="25"/>
        <w:rPr>
          <w:rFonts w:ascii="宋体" w:eastAsia="宋体"/>
          <w:b/>
          <w:sz w:val="32"/>
          <w:szCs w:val="32"/>
        </w:rPr>
      </w:pPr>
      <w:r>
        <w:rPr>
          <w:rFonts w:hint="eastAsia" w:ascii="宋体" w:eastAsia="宋体"/>
          <w:b/>
          <w:sz w:val="32"/>
          <w:szCs w:val="32"/>
        </w:rPr>
        <w:t>开标一览表</w:t>
      </w:r>
    </w:p>
    <w:p>
      <w:pPr>
        <w:pStyle w:val="19"/>
        <w:spacing w:before="120" w:line="360" w:lineRule="auto"/>
        <w:rPr>
          <w:rFonts w:hAnsi="宋体"/>
          <w:sz w:val="24"/>
        </w:rPr>
      </w:pPr>
    </w:p>
    <w:p>
      <w:pPr>
        <w:pStyle w:val="19"/>
        <w:spacing w:before="120" w:line="360" w:lineRule="auto"/>
        <w:rPr>
          <w:rFonts w:hAnsi="宋体"/>
          <w:sz w:val="24"/>
        </w:rPr>
      </w:pPr>
      <w:r>
        <w:rPr>
          <w:rFonts w:hint="eastAsia" w:hAnsi="宋体"/>
          <w:sz w:val="24"/>
        </w:rPr>
        <w:t xml:space="preserve">招标编号: </w:t>
      </w:r>
      <w:r>
        <w:rPr>
          <w:rFonts w:hint="eastAsia" w:hAnsi="宋体"/>
          <w:sz w:val="24"/>
        </w:rPr>
        <w:tab/>
      </w:r>
      <w:r>
        <w:rPr>
          <w:rFonts w:hint="eastAsia" w:hAnsi="宋体"/>
          <w:sz w:val="24"/>
        </w:rPr>
        <w:tab/>
      </w:r>
    </w:p>
    <w:p>
      <w:pPr>
        <w:pStyle w:val="19"/>
        <w:spacing w:before="120" w:line="360" w:lineRule="auto"/>
        <w:rPr>
          <w:rFonts w:hAnsi="宋体"/>
          <w:sz w:val="24"/>
        </w:rPr>
      </w:pPr>
      <w:r>
        <w:rPr>
          <w:rFonts w:hint="eastAsia" w:hAnsi="宋体"/>
          <w:sz w:val="24"/>
        </w:rPr>
        <w:t>招标项目名称:</w:t>
      </w:r>
    </w:p>
    <w:p>
      <w:pPr>
        <w:pStyle w:val="19"/>
        <w:spacing w:before="120" w:line="360" w:lineRule="auto"/>
        <w:ind w:left="6839" w:hanging="3640"/>
        <w:jc w:val="left"/>
        <w:rPr>
          <w:rFonts w:hAnsi="宋体"/>
          <w:sz w:val="24"/>
        </w:rPr>
      </w:pPr>
    </w:p>
    <w:tbl>
      <w:tblPr>
        <w:tblStyle w:val="31"/>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939"/>
        <w:gridCol w:w="1399"/>
        <w:gridCol w:w="11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519" w:type="dxa"/>
            <w:vAlign w:val="center"/>
          </w:tcPr>
          <w:p>
            <w:pPr>
              <w:pStyle w:val="19"/>
              <w:spacing w:before="120" w:line="22" w:lineRule="atLeast"/>
              <w:jc w:val="center"/>
              <w:rPr>
                <w:rFonts w:hAnsi="宋体"/>
                <w:b/>
                <w:sz w:val="24"/>
                <w:szCs w:val="24"/>
              </w:rPr>
            </w:pPr>
            <w:r>
              <w:rPr>
                <w:rFonts w:hint="eastAsia" w:hAnsi="宋体"/>
                <w:b/>
                <w:sz w:val="24"/>
                <w:szCs w:val="24"/>
              </w:rPr>
              <w:t>项目名称</w:t>
            </w:r>
          </w:p>
        </w:tc>
        <w:tc>
          <w:tcPr>
            <w:tcW w:w="2939" w:type="dxa"/>
            <w:vAlign w:val="center"/>
          </w:tcPr>
          <w:p>
            <w:pPr>
              <w:pStyle w:val="19"/>
              <w:spacing w:before="120" w:line="22" w:lineRule="atLeast"/>
              <w:jc w:val="center"/>
              <w:rPr>
                <w:rFonts w:hAnsi="宋体"/>
                <w:b/>
                <w:sz w:val="24"/>
                <w:szCs w:val="24"/>
              </w:rPr>
            </w:pPr>
            <w:r>
              <w:rPr>
                <w:rFonts w:hint="eastAsia" w:hAnsi="宋体"/>
                <w:b/>
                <w:sz w:val="24"/>
                <w:szCs w:val="24"/>
              </w:rPr>
              <w:t>下浮比例</w:t>
            </w:r>
          </w:p>
        </w:tc>
        <w:tc>
          <w:tcPr>
            <w:tcW w:w="1399" w:type="dxa"/>
            <w:vAlign w:val="center"/>
          </w:tcPr>
          <w:p>
            <w:pPr>
              <w:pStyle w:val="19"/>
              <w:spacing w:before="120" w:line="22" w:lineRule="atLeast"/>
              <w:jc w:val="center"/>
              <w:rPr>
                <w:rFonts w:hAnsi="宋体"/>
                <w:b/>
                <w:sz w:val="24"/>
                <w:szCs w:val="24"/>
              </w:rPr>
            </w:pPr>
            <w:r>
              <w:rPr>
                <w:rFonts w:hint="eastAsia" w:hAnsi="宋体"/>
                <w:b/>
                <w:sz w:val="24"/>
                <w:szCs w:val="24"/>
              </w:rPr>
              <w:t>服务期</w:t>
            </w:r>
          </w:p>
        </w:tc>
        <w:tc>
          <w:tcPr>
            <w:tcW w:w="1120" w:type="dxa"/>
            <w:vAlign w:val="center"/>
          </w:tcPr>
          <w:p>
            <w:pPr>
              <w:pStyle w:val="19"/>
              <w:spacing w:before="120" w:line="22" w:lineRule="atLeast"/>
              <w:jc w:val="center"/>
              <w:rPr>
                <w:rFonts w:hAnsi="宋体"/>
                <w:b/>
                <w:sz w:val="24"/>
                <w:szCs w:val="24"/>
              </w:rPr>
            </w:pPr>
            <w:r>
              <w:rPr>
                <w:rFonts w:hint="eastAsia" w:hAnsi="宋体"/>
                <w:b/>
                <w:sz w:val="24"/>
                <w:szCs w:val="24"/>
              </w:rPr>
              <w:t>投标保证金</w:t>
            </w:r>
          </w:p>
        </w:tc>
        <w:tc>
          <w:tcPr>
            <w:tcW w:w="1120" w:type="dxa"/>
            <w:vAlign w:val="center"/>
          </w:tcPr>
          <w:p>
            <w:pPr>
              <w:pStyle w:val="19"/>
              <w:spacing w:before="120" w:line="22" w:lineRule="atLeast"/>
              <w:jc w:val="center"/>
              <w:rPr>
                <w:rFonts w:hAnsi="宋体"/>
                <w:b/>
                <w:sz w:val="24"/>
                <w:szCs w:val="24"/>
              </w:rPr>
            </w:pPr>
            <w:r>
              <w:rPr>
                <w:rFonts w:hint="eastAsia"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2519" w:type="dxa"/>
            <w:vAlign w:val="center"/>
          </w:tcPr>
          <w:p>
            <w:pPr>
              <w:pStyle w:val="19"/>
              <w:spacing w:before="120" w:line="22" w:lineRule="atLeast"/>
              <w:jc w:val="center"/>
              <w:rPr>
                <w:rFonts w:hAnsi="宋体"/>
                <w:sz w:val="24"/>
                <w:szCs w:val="24"/>
              </w:rPr>
            </w:pPr>
          </w:p>
        </w:tc>
        <w:tc>
          <w:tcPr>
            <w:tcW w:w="2939" w:type="dxa"/>
            <w:vAlign w:val="center"/>
          </w:tcPr>
          <w:p>
            <w:pPr>
              <w:pStyle w:val="19"/>
              <w:spacing w:before="120" w:line="22" w:lineRule="atLeast"/>
              <w:jc w:val="center"/>
              <w:rPr>
                <w:rFonts w:hAnsi="宋体"/>
                <w:sz w:val="24"/>
                <w:szCs w:val="24"/>
              </w:rPr>
            </w:pPr>
          </w:p>
        </w:tc>
        <w:tc>
          <w:tcPr>
            <w:tcW w:w="1399" w:type="dxa"/>
            <w:vAlign w:val="center"/>
          </w:tcPr>
          <w:p>
            <w:pPr>
              <w:pStyle w:val="19"/>
              <w:spacing w:before="120" w:line="22" w:lineRule="atLeast"/>
              <w:jc w:val="center"/>
              <w:rPr>
                <w:rFonts w:hAnsi="宋体"/>
                <w:sz w:val="24"/>
                <w:szCs w:val="24"/>
              </w:rPr>
            </w:pPr>
          </w:p>
        </w:tc>
        <w:tc>
          <w:tcPr>
            <w:tcW w:w="1120" w:type="dxa"/>
            <w:vAlign w:val="center"/>
          </w:tcPr>
          <w:p>
            <w:pPr>
              <w:pStyle w:val="19"/>
              <w:spacing w:before="120" w:line="22" w:lineRule="atLeast"/>
              <w:jc w:val="center"/>
              <w:rPr>
                <w:rFonts w:hAnsi="宋体"/>
                <w:sz w:val="24"/>
                <w:szCs w:val="24"/>
              </w:rPr>
            </w:pPr>
          </w:p>
        </w:tc>
        <w:tc>
          <w:tcPr>
            <w:tcW w:w="1120" w:type="dxa"/>
            <w:vAlign w:val="center"/>
          </w:tcPr>
          <w:p>
            <w:pPr>
              <w:pStyle w:val="19"/>
              <w:spacing w:before="120" w:line="22" w:lineRule="atLeast"/>
              <w:jc w:val="center"/>
              <w:rPr>
                <w:rFonts w:hAnsi="宋体"/>
                <w:sz w:val="24"/>
                <w:szCs w:val="24"/>
              </w:rPr>
            </w:pPr>
          </w:p>
        </w:tc>
      </w:tr>
    </w:tbl>
    <w:p>
      <w:pPr>
        <w:pStyle w:val="19"/>
        <w:spacing w:before="120" w:line="360" w:lineRule="auto"/>
        <w:rPr>
          <w:rFonts w:hAnsi="宋体"/>
          <w:sz w:val="24"/>
        </w:rPr>
      </w:pPr>
    </w:p>
    <w:p>
      <w:pPr>
        <w:pStyle w:val="19"/>
        <w:spacing w:before="120" w:line="360" w:lineRule="auto"/>
        <w:rPr>
          <w:rFonts w:hAnsi="宋体"/>
          <w:sz w:val="24"/>
        </w:rPr>
      </w:pPr>
      <w:r>
        <w:rPr>
          <w:rFonts w:hint="eastAsia" w:hAnsi="宋体"/>
          <w:sz w:val="24"/>
        </w:rPr>
        <w:t>投标人全称(盖章):</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pPr>
        <w:pStyle w:val="19"/>
        <w:spacing w:before="120" w:line="360" w:lineRule="auto"/>
        <w:rPr>
          <w:rFonts w:hAnsi="宋体"/>
          <w:sz w:val="24"/>
        </w:rPr>
      </w:pPr>
    </w:p>
    <w:p>
      <w:pPr>
        <w:pStyle w:val="19"/>
        <w:spacing w:before="120" w:line="360" w:lineRule="auto"/>
        <w:ind w:left="680" w:hanging="680"/>
        <w:rPr>
          <w:rFonts w:hAnsi="宋体"/>
          <w:sz w:val="24"/>
        </w:rPr>
      </w:pPr>
      <w:r>
        <w:rPr>
          <w:rFonts w:hint="eastAsia" w:hAnsi="宋体"/>
          <w:sz w:val="24"/>
        </w:rPr>
        <w:t>授权代表(签字):</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pPr>
        <w:pStyle w:val="19"/>
        <w:spacing w:before="120" w:line="360" w:lineRule="auto"/>
        <w:ind w:left="680" w:hanging="680"/>
        <w:rPr>
          <w:rFonts w:hAnsi="宋体"/>
          <w:sz w:val="24"/>
        </w:rPr>
      </w:pPr>
    </w:p>
    <w:p>
      <w:pPr>
        <w:pStyle w:val="19"/>
        <w:spacing w:before="120" w:line="360" w:lineRule="auto"/>
        <w:ind w:left="680" w:hanging="680"/>
        <w:rPr>
          <w:rFonts w:hAnsi="宋体"/>
          <w:sz w:val="24"/>
          <w:u w:val="single"/>
        </w:rPr>
      </w:pPr>
      <w:r>
        <w:rPr>
          <w:rFonts w:hint="eastAsia" w:hAnsi="宋体"/>
          <w:sz w:val="24"/>
        </w:rPr>
        <w:t>日期:</w:t>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r>
        <w:rPr>
          <w:rFonts w:hint="eastAsia" w:hAnsi="宋体"/>
          <w:sz w:val="24"/>
          <w:u w:val="single"/>
        </w:rPr>
        <w:tab/>
      </w:r>
    </w:p>
    <w:p>
      <w:pPr>
        <w:pStyle w:val="19"/>
        <w:spacing w:before="120" w:line="360" w:lineRule="auto"/>
        <w:ind w:left="680" w:hanging="680"/>
        <w:rPr>
          <w:rFonts w:hAnsi="宋体"/>
          <w:snapToGrid w:val="0"/>
          <w:sz w:val="40"/>
        </w:rPr>
      </w:pPr>
      <w:r>
        <w:rPr>
          <w:rFonts w:hAnsi="宋体"/>
          <w:snapToGrid w:val="0"/>
          <w:sz w:val="28"/>
        </w:rPr>
        <w:br w:type="page"/>
      </w:r>
      <w:r>
        <w:rPr>
          <w:rFonts w:hint="eastAsia" w:hAnsi="宋体"/>
          <w:snapToGrid w:val="0"/>
          <w:sz w:val="28"/>
        </w:rPr>
        <w:t>附件三：</w:t>
      </w:r>
    </w:p>
    <w:p>
      <w:pPr>
        <w:pStyle w:val="25"/>
        <w:rPr>
          <w:rFonts w:ascii="宋体" w:eastAsia="宋体"/>
          <w:b/>
          <w:snapToGrid w:val="0"/>
          <w:sz w:val="32"/>
          <w:szCs w:val="32"/>
        </w:rPr>
      </w:pPr>
      <w:r>
        <w:rPr>
          <w:rFonts w:hint="eastAsia" w:ascii="宋体" w:eastAsia="宋体"/>
          <w:b/>
          <w:snapToGrid w:val="0"/>
          <w:sz w:val="32"/>
          <w:szCs w:val="32"/>
        </w:rPr>
        <w:t>投标报价分项报价表</w:t>
      </w:r>
    </w:p>
    <w:p>
      <w:pPr>
        <w:spacing w:line="360" w:lineRule="auto"/>
        <w:rPr>
          <w:rFonts w:ascii="宋体" w:hAnsi="宋体"/>
          <w:sz w:val="24"/>
        </w:rPr>
      </w:pPr>
      <w:r>
        <w:rPr>
          <w:rFonts w:hint="eastAsia" w:ascii="宋体" w:hAnsi="宋体"/>
          <w:sz w:val="24"/>
        </w:rPr>
        <w:t xml:space="preserve">项目名称： </w:t>
      </w:r>
      <w:r>
        <w:rPr>
          <w:rFonts w:ascii="宋体" w:hAnsi="宋体"/>
          <w:sz w:val="24"/>
        </w:rPr>
        <w:t xml:space="preserve">                  </w:t>
      </w:r>
      <w:r>
        <w:rPr>
          <w:rFonts w:hint="eastAsia" w:ascii="宋体" w:hAnsi="宋体"/>
          <w:sz w:val="24"/>
        </w:rPr>
        <w:t>招标编号：</w:t>
      </w:r>
    </w:p>
    <w:tbl>
      <w:tblPr>
        <w:tblStyle w:val="3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9"/>
        <w:gridCol w:w="1899"/>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单项代理费最高限价(单位：人民币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国内专利申请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项目</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单位</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一</w:t>
            </w:r>
          </w:p>
        </w:tc>
        <w:tc>
          <w:tcPr>
            <w:tcW w:w="79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发明申请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Calibri" w:hAnsi="Calibri"/>
                <w:kern w:val="0"/>
                <w:sz w:val="24"/>
              </w:rPr>
              <w:t>申请至首次结案（授权或驳回）</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二</w:t>
            </w:r>
          </w:p>
        </w:tc>
        <w:tc>
          <w:tcPr>
            <w:tcW w:w="79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实用新型申请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实用新型申请</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实用新型与发明同日申请</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三</w:t>
            </w:r>
          </w:p>
        </w:tc>
        <w:tc>
          <w:tcPr>
            <w:tcW w:w="794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外观设计申请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外观设计申请</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单位</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软件著作权</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集成电路布图设计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项目</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单位</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33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集成电路布图设计</w:t>
            </w:r>
          </w:p>
        </w:tc>
        <w:tc>
          <w:tcPr>
            <w:tcW w:w="1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每件</w:t>
            </w:r>
          </w:p>
        </w:tc>
        <w:tc>
          <w:tcPr>
            <w:tcW w:w="2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kern w:val="0"/>
                <w:sz w:val="24"/>
              </w:rPr>
            </w:pPr>
          </w:p>
        </w:tc>
      </w:tr>
    </w:tbl>
    <w:p>
      <w:pPr>
        <w:spacing w:line="610" w:lineRule="exact"/>
        <w:ind w:firstLine="4320" w:firstLineChars="1800"/>
        <w:rPr>
          <w:rFonts w:ascii="宋体" w:hAnsi="宋体"/>
          <w:snapToGrid w:val="0"/>
          <w:sz w:val="24"/>
        </w:rPr>
      </w:pPr>
      <w:r>
        <w:rPr>
          <w:rFonts w:hint="eastAsia" w:ascii="宋体" w:hAnsi="宋体"/>
          <w:snapToGrid w:val="0"/>
          <w:sz w:val="24"/>
        </w:rPr>
        <w:t>投标人全称（加盖公章）：</w:t>
      </w:r>
    </w:p>
    <w:p>
      <w:pPr>
        <w:spacing w:line="610" w:lineRule="exact"/>
        <w:ind w:firstLine="4320" w:firstLineChars="1800"/>
        <w:rPr>
          <w:rFonts w:ascii="宋体" w:hAnsi="宋体"/>
          <w:snapToGrid w:val="0"/>
          <w:sz w:val="24"/>
        </w:rPr>
      </w:pPr>
      <w:r>
        <w:rPr>
          <w:rFonts w:hint="eastAsia" w:ascii="宋体" w:hAnsi="宋体"/>
          <w:snapToGrid w:val="0"/>
          <w:sz w:val="24"/>
        </w:rPr>
        <w:t>授权代表或法定代表人(签字)：</w:t>
      </w:r>
    </w:p>
    <w:p>
      <w:pPr>
        <w:spacing w:line="610" w:lineRule="exact"/>
        <w:ind w:firstLine="4320" w:firstLineChars="1800"/>
        <w:rPr>
          <w:rFonts w:ascii="宋体" w:hAnsi="宋体"/>
          <w:snapToGrid w:val="0"/>
          <w:sz w:val="24"/>
        </w:rPr>
      </w:pPr>
      <w:r>
        <w:rPr>
          <w:rFonts w:hint="eastAsia" w:ascii="宋体" w:hAnsi="宋体"/>
          <w:snapToGrid w:val="0"/>
          <w:sz w:val="24"/>
        </w:rPr>
        <w:t>日期：</w:t>
      </w:r>
    </w:p>
    <w:p>
      <w:pPr>
        <w:spacing w:after="240" w:line="360" w:lineRule="auto"/>
        <w:rPr>
          <w:rFonts w:hAnsi="宋体"/>
          <w:snapToGrid w:val="0"/>
          <w:sz w:val="28"/>
        </w:rPr>
      </w:pPr>
      <w:r>
        <w:rPr>
          <w:rFonts w:hAnsi="宋体"/>
          <w:snapToGrid w:val="0"/>
          <w:kern w:val="0"/>
          <w:sz w:val="24"/>
        </w:rPr>
        <w:br w:type="page"/>
      </w:r>
      <w:r>
        <w:rPr>
          <w:rFonts w:hint="eastAsia" w:hAnsi="宋体"/>
          <w:snapToGrid w:val="0"/>
          <w:sz w:val="28"/>
        </w:rPr>
        <w:t>附件四：</w:t>
      </w:r>
    </w:p>
    <w:p>
      <w:pPr>
        <w:pStyle w:val="25"/>
        <w:rPr>
          <w:rFonts w:ascii="宋体" w:eastAsia="宋体"/>
          <w:b/>
          <w:snapToGrid w:val="0"/>
          <w:sz w:val="32"/>
          <w:szCs w:val="32"/>
        </w:rPr>
      </w:pPr>
      <w:r>
        <w:rPr>
          <w:rFonts w:hint="eastAsia" w:ascii="宋体" w:eastAsia="宋体"/>
          <w:b/>
          <w:snapToGrid w:val="0"/>
          <w:sz w:val="32"/>
          <w:szCs w:val="32"/>
        </w:rPr>
        <w:t>项目需求逐条应答表</w:t>
      </w:r>
    </w:p>
    <w:p>
      <w:pPr>
        <w:spacing w:line="480" w:lineRule="exact"/>
        <w:ind w:left="618" w:hanging="618"/>
        <w:rPr>
          <w:rFonts w:ascii="宋体"/>
        </w:rPr>
      </w:pPr>
      <w:r>
        <w:rPr>
          <w:rFonts w:hint="eastAsia" w:ascii="宋体"/>
          <w:b/>
        </w:rPr>
        <w:t xml:space="preserve">[说明] </w:t>
      </w:r>
      <w:r>
        <w:rPr>
          <w:rFonts w:hint="eastAsia" w:ascii="宋体"/>
        </w:rPr>
        <w:t>投标人应根据其提供的货物及服务，对照采购文件“第四部分：项目需求”的内容要求，有差异的，则在此表中列明实际响应的内容提要，以便查对。</w:t>
      </w:r>
    </w:p>
    <w:tbl>
      <w:tblPr>
        <w:tblStyle w:val="31"/>
        <w:tblW w:w="8960" w:type="dxa"/>
        <w:tblInd w:w="0" w:type="dxa"/>
        <w:tblLayout w:type="fixed"/>
        <w:tblCellMar>
          <w:top w:w="0" w:type="dxa"/>
          <w:left w:w="30" w:type="dxa"/>
          <w:bottom w:w="0" w:type="dxa"/>
          <w:right w:w="30" w:type="dxa"/>
        </w:tblCellMar>
      </w:tblPr>
      <w:tblGrid>
        <w:gridCol w:w="898"/>
        <w:gridCol w:w="1160"/>
        <w:gridCol w:w="2321"/>
        <w:gridCol w:w="1643"/>
        <w:gridCol w:w="2938"/>
      </w:tblGrid>
      <w:tr>
        <w:tblPrEx>
          <w:tblCellMar>
            <w:top w:w="0" w:type="dxa"/>
            <w:left w:w="30" w:type="dxa"/>
            <w:bottom w:w="0" w:type="dxa"/>
            <w:right w:w="30" w:type="dxa"/>
          </w:tblCellMar>
        </w:tblPrEx>
        <w:trPr>
          <w:cantSplit/>
          <w:trHeight w:val="650" w:hRule="atLeast"/>
        </w:trPr>
        <w:tc>
          <w:tcPr>
            <w:tcW w:w="898" w:type="dxa"/>
            <w:vMerge w:val="restart"/>
            <w:tcBorders>
              <w:top w:val="single" w:color="auto" w:sz="12" w:space="0"/>
              <w:left w:val="single" w:color="auto" w:sz="12" w:space="0"/>
              <w:right w:val="single" w:color="auto" w:sz="6" w:space="0"/>
            </w:tcBorders>
            <w:vAlign w:val="center"/>
          </w:tcPr>
          <w:p>
            <w:pPr>
              <w:autoSpaceDE w:val="0"/>
              <w:autoSpaceDN w:val="0"/>
              <w:spacing w:line="480" w:lineRule="exact"/>
              <w:jc w:val="center"/>
              <w:rPr>
                <w:rFonts w:ascii="宋体"/>
              </w:rPr>
            </w:pPr>
            <w:r>
              <w:rPr>
                <w:rFonts w:hint="eastAsia" w:ascii="宋体"/>
              </w:rPr>
              <w:t>序号</w:t>
            </w:r>
          </w:p>
        </w:tc>
        <w:tc>
          <w:tcPr>
            <w:tcW w:w="3481" w:type="dxa"/>
            <w:gridSpan w:val="2"/>
            <w:tcBorders>
              <w:top w:val="single" w:color="auto" w:sz="12" w:space="0"/>
              <w:left w:val="single" w:color="auto" w:sz="6" w:space="0"/>
              <w:bottom w:val="single" w:color="auto" w:sz="6" w:space="0"/>
            </w:tcBorders>
            <w:vAlign w:val="center"/>
          </w:tcPr>
          <w:p>
            <w:pPr>
              <w:autoSpaceDE w:val="0"/>
              <w:autoSpaceDN w:val="0"/>
              <w:spacing w:line="480" w:lineRule="exact"/>
              <w:jc w:val="center"/>
              <w:rPr>
                <w:rFonts w:ascii="宋体"/>
              </w:rPr>
            </w:pPr>
            <w:r>
              <w:rPr>
                <w:rFonts w:hint="eastAsia" w:ascii="宋体"/>
              </w:rPr>
              <w:t>采购文件要求</w:t>
            </w:r>
          </w:p>
        </w:tc>
        <w:tc>
          <w:tcPr>
            <w:tcW w:w="4581"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spacing w:line="480" w:lineRule="exact"/>
              <w:jc w:val="center"/>
              <w:rPr>
                <w:rFonts w:ascii="宋体"/>
              </w:rPr>
            </w:pPr>
            <w:r>
              <w:rPr>
                <w:rFonts w:hint="eastAsia" w:ascii="宋体"/>
              </w:rPr>
              <w:t>投标文件内容</w:t>
            </w:r>
          </w:p>
        </w:tc>
      </w:tr>
      <w:tr>
        <w:tblPrEx>
          <w:tblCellMar>
            <w:top w:w="0" w:type="dxa"/>
            <w:left w:w="30" w:type="dxa"/>
            <w:bottom w:w="0" w:type="dxa"/>
            <w:right w:w="30" w:type="dxa"/>
          </w:tblCellMar>
        </w:tblPrEx>
        <w:trPr>
          <w:cantSplit/>
          <w:trHeight w:val="923" w:hRule="atLeast"/>
        </w:trPr>
        <w:tc>
          <w:tcPr>
            <w:tcW w:w="898" w:type="dxa"/>
            <w:vMerge w:val="continue"/>
            <w:tcBorders>
              <w:left w:val="single" w:color="auto" w:sz="12" w:space="0"/>
              <w:bottom w:val="single" w:color="auto" w:sz="6" w:space="0"/>
              <w:right w:val="single" w:color="auto" w:sz="6" w:space="0"/>
            </w:tcBorders>
          </w:tcPr>
          <w:p>
            <w:pPr>
              <w:autoSpaceDE w:val="0"/>
              <w:autoSpaceDN w:val="0"/>
              <w:spacing w:line="480" w:lineRule="exact"/>
              <w:jc w:val="center"/>
              <w:rPr>
                <w:rFonts w:ascii="宋体"/>
              </w:rPr>
            </w:pPr>
          </w:p>
        </w:tc>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rPr>
            </w:pPr>
            <w:r>
              <w:rPr>
                <w:rFonts w:hint="eastAsia" w:ascii="宋体"/>
              </w:rPr>
              <w:t>原条目</w:t>
            </w:r>
          </w:p>
        </w:tc>
        <w:tc>
          <w:tcPr>
            <w:tcW w:w="232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rPr>
            </w:pPr>
            <w:r>
              <w:rPr>
                <w:rFonts w:hint="eastAsia" w:ascii="宋体"/>
              </w:rPr>
              <w:t>简要内容</w:t>
            </w:r>
          </w:p>
        </w:tc>
        <w:tc>
          <w:tcPr>
            <w:tcW w:w="16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rPr>
            </w:pPr>
            <w:r>
              <w:rPr>
                <w:rFonts w:hint="eastAsia" w:ascii="宋体"/>
              </w:rPr>
              <w:t>技术响应书条目</w:t>
            </w:r>
          </w:p>
        </w:tc>
        <w:tc>
          <w:tcPr>
            <w:tcW w:w="2938" w:type="dxa"/>
            <w:tcBorders>
              <w:top w:val="single" w:color="auto" w:sz="6" w:space="0"/>
              <w:left w:val="single" w:color="auto" w:sz="6" w:space="0"/>
              <w:bottom w:val="single" w:color="auto" w:sz="6" w:space="0"/>
              <w:right w:val="single" w:color="auto" w:sz="12" w:space="0"/>
            </w:tcBorders>
            <w:vAlign w:val="center"/>
          </w:tcPr>
          <w:p>
            <w:pPr>
              <w:autoSpaceDE w:val="0"/>
              <w:autoSpaceDN w:val="0"/>
              <w:spacing w:line="480" w:lineRule="exact"/>
              <w:jc w:val="center"/>
              <w:rPr>
                <w:rFonts w:hint="eastAsia" w:ascii="宋体" w:eastAsia="宋体"/>
                <w:lang w:eastAsia="zh-CN"/>
              </w:rPr>
            </w:pPr>
            <w:r>
              <w:rPr>
                <w:rFonts w:hint="eastAsia" w:ascii="宋体"/>
              </w:rPr>
              <w:t>实际响应的内容提要</w:t>
            </w:r>
            <w:r>
              <w:rPr>
                <w:rFonts w:hint="eastAsia" w:ascii="宋体"/>
                <w:lang w:eastAsia="zh-CN"/>
              </w:rPr>
              <w:t>（</w:t>
            </w:r>
            <w:r>
              <w:rPr>
                <w:rFonts w:hint="eastAsia" w:ascii="宋体"/>
                <w:lang w:val="en-US" w:eastAsia="zh-CN"/>
              </w:rPr>
              <w:t>正/负偏离/无偏离</w:t>
            </w:r>
            <w:r>
              <w:rPr>
                <w:rFonts w:hint="eastAsia" w:ascii="宋体"/>
                <w:lang w:eastAsia="zh-CN"/>
              </w:rPr>
              <w:t>）</w:t>
            </w: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527"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445" w:hRule="exact"/>
        </w:trPr>
        <w:tc>
          <w:tcPr>
            <w:tcW w:w="898" w:type="dxa"/>
            <w:tcBorders>
              <w:top w:val="single" w:color="auto" w:sz="6" w:space="0"/>
              <w:left w:val="single" w:color="auto" w:sz="12" w:space="0"/>
              <w:bottom w:val="single" w:color="auto" w:sz="6"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6" w:space="0"/>
              <w:right w:val="single" w:color="auto" w:sz="6" w:space="0"/>
            </w:tcBorders>
          </w:tcPr>
          <w:p>
            <w:pPr>
              <w:autoSpaceDE w:val="0"/>
              <w:autoSpaceDN w:val="0"/>
              <w:spacing w:line="480" w:lineRule="exact"/>
              <w:jc w:val="right"/>
              <w:rPr>
                <w:rFonts w:ascii="宋体"/>
              </w:rPr>
            </w:pPr>
          </w:p>
        </w:tc>
        <w:tc>
          <w:tcPr>
            <w:tcW w:w="2938" w:type="dxa"/>
            <w:tcBorders>
              <w:top w:val="single" w:color="auto" w:sz="6" w:space="0"/>
              <w:left w:val="single" w:color="auto" w:sz="6" w:space="0"/>
              <w:bottom w:val="single" w:color="auto" w:sz="6" w:space="0"/>
              <w:right w:val="single" w:color="auto" w:sz="12" w:space="0"/>
            </w:tcBorders>
          </w:tcPr>
          <w:p>
            <w:pPr>
              <w:autoSpaceDE w:val="0"/>
              <w:autoSpaceDN w:val="0"/>
              <w:spacing w:line="480" w:lineRule="exact"/>
              <w:jc w:val="right"/>
              <w:rPr>
                <w:rFonts w:ascii="宋体"/>
              </w:rPr>
            </w:pPr>
          </w:p>
        </w:tc>
      </w:tr>
      <w:tr>
        <w:tblPrEx>
          <w:tblCellMar>
            <w:top w:w="0" w:type="dxa"/>
            <w:left w:w="30" w:type="dxa"/>
            <w:bottom w:w="0" w:type="dxa"/>
            <w:right w:w="30" w:type="dxa"/>
          </w:tblCellMar>
        </w:tblPrEx>
        <w:trPr>
          <w:cantSplit/>
          <w:trHeight w:val="504" w:hRule="exact"/>
        </w:trPr>
        <w:tc>
          <w:tcPr>
            <w:tcW w:w="898" w:type="dxa"/>
            <w:tcBorders>
              <w:top w:val="single" w:color="auto" w:sz="6" w:space="0"/>
              <w:left w:val="single" w:color="auto" w:sz="12" w:space="0"/>
              <w:bottom w:val="single" w:color="auto" w:sz="12" w:space="0"/>
              <w:right w:val="single" w:color="auto" w:sz="6" w:space="0"/>
            </w:tcBorders>
          </w:tcPr>
          <w:p>
            <w:pPr>
              <w:autoSpaceDE w:val="0"/>
              <w:autoSpaceDN w:val="0"/>
              <w:spacing w:line="480" w:lineRule="exact"/>
              <w:jc w:val="right"/>
              <w:rPr>
                <w:rFonts w:ascii="宋体"/>
              </w:rPr>
            </w:pPr>
          </w:p>
        </w:tc>
        <w:tc>
          <w:tcPr>
            <w:tcW w:w="1160" w:type="dxa"/>
            <w:tcBorders>
              <w:top w:val="single" w:color="auto" w:sz="6" w:space="0"/>
              <w:left w:val="single" w:color="auto" w:sz="6" w:space="0"/>
              <w:bottom w:val="single" w:color="auto" w:sz="12" w:space="0"/>
              <w:right w:val="single" w:color="auto" w:sz="6" w:space="0"/>
            </w:tcBorders>
          </w:tcPr>
          <w:p>
            <w:pPr>
              <w:autoSpaceDE w:val="0"/>
              <w:autoSpaceDN w:val="0"/>
              <w:spacing w:line="480" w:lineRule="exact"/>
              <w:jc w:val="right"/>
              <w:rPr>
                <w:rFonts w:ascii="宋体"/>
              </w:rPr>
            </w:pPr>
          </w:p>
        </w:tc>
        <w:tc>
          <w:tcPr>
            <w:tcW w:w="2321" w:type="dxa"/>
            <w:tcBorders>
              <w:top w:val="single" w:color="auto" w:sz="6" w:space="0"/>
              <w:left w:val="single" w:color="auto" w:sz="6" w:space="0"/>
              <w:bottom w:val="single" w:color="auto" w:sz="12" w:space="0"/>
              <w:right w:val="single" w:color="auto" w:sz="6" w:space="0"/>
            </w:tcBorders>
          </w:tcPr>
          <w:p>
            <w:pPr>
              <w:autoSpaceDE w:val="0"/>
              <w:autoSpaceDN w:val="0"/>
              <w:spacing w:line="480" w:lineRule="exact"/>
              <w:jc w:val="right"/>
              <w:rPr>
                <w:rFonts w:ascii="宋体"/>
              </w:rPr>
            </w:pPr>
          </w:p>
        </w:tc>
        <w:tc>
          <w:tcPr>
            <w:tcW w:w="1643" w:type="dxa"/>
            <w:tcBorders>
              <w:top w:val="single" w:color="auto" w:sz="6" w:space="0"/>
              <w:left w:val="single" w:color="auto" w:sz="6" w:space="0"/>
              <w:bottom w:val="single" w:color="auto" w:sz="12" w:space="0"/>
              <w:right w:val="single" w:color="auto" w:sz="6" w:space="0"/>
            </w:tcBorders>
          </w:tcPr>
          <w:p>
            <w:pPr>
              <w:autoSpaceDE w:val="0"/>
              <w:autoSpaceDN w:val="0"/>
              <w:spacing w:line="480" w:lineRule="exact"/>
              <w:jc w:val="right"/>
              <w:outlineLvl w:val="0"/>
              <w:rPr>
                <w:rFonts w:ascii="宋体"/>
              </w:rPr>
            </w:pPr>
          </w:p>
        </w:tc>
        <w:tc>
          <w:tcPr>
            <w:tcW w:w="2938" w:type="dxa"/>
            <w:tcBorders>
              <w:top w:val="single" w:color="auto" w:sz="6" w:space="0"/>
              <w:left w:val="single" w:color="auto" w:sz="6" w:space="0"/>
              <w:bottom w:val="single" w:color="auto" w:sz="12" w:space="0"/>
              <w:right w:val="single" w:color="auto" w:sz="12" w:space="0"/>
            </w:tcBorders>
          </w:tcPr>
          <w:p>
            <w:pPr>
              <w:autoSpaceDE w:val="0"/>
              <w:autoSpaceDN w:val="0"/>
              <w:spacing w:line="480" w:lineRule="exact"/>
              <w:jc w:val="right"/>
              <w:rPr>
                <w:rFonts w:ascii="宋体"/>
              </w:rPr>
            </w:pPr>
          </w:p>
        </w:tc>
      </w:tr>
    </w:tbl>
    <w:p>
      <w:pPr>
        <w:autoSpaceDE w:val="0"/>
        <w:autoSpaceDN w:val="0"/>
        <w:spacing w:line="360" w:lineRule="auto"/>
        <w:ind w:right="471"/>
        <w:textAlignment w:val="bottom"/>
        <w:rPr>
          <w:rFonts w:ascii="宋体" w:hAnsi="宋体" w:cs="Arial"/>
          <w:sz w:val="24"/>
        </w:rPr>
      </w:pPr>
      <w:r>
        <w:rPr>
          <w:rFonts w:hint="eastAsia" w:ascii="宋体" w:hAnsi="宋体" w:cs="Arial"/>
          <w:sz w:val="24"/>
        </w:rPr>
        <w:t>注：</w:t>
      </w:r>
    </w:p>
    <w:p>
      <w:pPr>
        <w:autoSpaceDE w:val="0"/>
        <w:autoSpaceDN w:val="0"/>
        <w:spacing w:line="360" w:lineRule="auto"/>
        <w:ind w:right="471"/>
        <w:textAlignment w:val="bottom"/>
        <w:rPr>
          <w:rFonts w:ascii="宋体" w:hAnsi="宋体" w:cs="Arial"/>
          <w:sz w:val="24"/>
        </w:rPr>
      </w:pPr>
      <w:r>
        <w:rPr>
          <w:rFonts w:hint="eastAsia" w:ascii="宋体" w:hAnsi="宋体" w:cs="Arial"/>
          <w:sz w:val="24"/>
        </w:rPr>
        <w:t>1、本表须针对第四部分：项目范围及要求逐条应答；</w:t>
      </w:r>
    </w:p>
    <w:p>
      <w:pPr>
        <w:autoSpaceDE w:val="0"/>
        <w:autoSpaceDN w:val="0"/>
        <w:spacing w:line="360" w:lineRule="auto"/>
        <w:ind w:right="471"/>
        <w:textAlignment w:val="bottom"/>
        <w:rPr>
          <w:rFonts w:ascii="宋体" w:hAnsi="宋体" w:cs="Arial"/>
          <w:sz w:val="24"/>
        </w:rPr>
      </w:pPr>
      <w:r>
        <w:rPr>
          <w:rFonts w:hint="eastAsia" w:ascii="宋体" w:hAnsi="宋体" w:cs="Arial"/>
          <w:sz w:val="24"/>
        </w:rPr>
        <w:t>2、所应答的技术指标应有具体内容；</w:t>
      </w:r>
    </w:p>
    <w:p>
      <w:pPr>
        <w:autoSpaceDE w:val="0"/>
        <w:autoSpaceDN w:val="0"/>
        <w:spacing w:line="360" w:lineRule="auto"/>
        <w:ind w:right="471"/>
        <w:textAlignment w:val="bottom"/>
        <w:rPr>
          <w:rFonts w:ascii="宋体" w:hAnsi="宋体" w:cs="Arial"/>
          <w:sz w:val="24"/>
        </w:rPr>
      </w:pPr>
      <w:r>
        <w:rPr>
          <w:rFonts w:hint="eastAsia" w:ascii="宋体" w:hAnsi="宋体" w:cs="Arial"/>
          <w:sz w:val="24"/>
        </w:rPr>
        <w:t>3、</w:t>
      </w:r>
      <w:r>
        <w:rPr>
          <w:rFonts w:hint="eastAsia" w:ascii="宋体" w:hAnsi="宋体" w:cs="Arial"/>
          <w:b/>
          <w:bCs/>
          <w:sz w:val="24"/>
        </w:rPr>
        <w:t>无论正负偏离均须对偏离情况作具体说明。</w:t>
      </w:r>
    </w:p>
    <w:p>
      <w:pPr>
        <w:spacing w:line="480" w:lineRule="exact"/>
        <w:ind w:firstLine="403"/>
        <w:rPr>
          <w:rFonts w:ascii="宋体"/>
        </w:rPr>
      </w:pPr>
    </w:p>
    <w:p>
      <w:pPr>
        <w:tabs>
          <w:tab w:val="left" w:pos="676"/>
          <w:tab w:val="left" w:pos="2330"/>
          <w:tab w:val="left" w:pos="9230"/>
        </w:tabs>
        <w:autoSpaceDE w:val="0"/>
        <w:autoSpaceDN w:val="0"/>
        <w:spacing w:line="480" w:lineRule="exact"/>
        <w:rPr>
          <w:rFonts w:ascii="宋体"/>
        </w:rPr>
      </w:pPr>
      <w:r>
        <w:rPr>
          <w:rFonts w:hint="eastAsia" w:ascii="宋体"/>
        </w:rPr>
        <w:t>投标人（公章）：</w:t>
      </w:r>
    </w:p>
    <w:p>
      <w:pPr>
        <w:tabs>
          <w:tab w:val="left" w:pos="676"/>
          <w:tab w:val="left" w:pos="2330"/>
          <w:tab w:val="left" w:pos="9230"/>
        </w:tabs>
        <w:autoSpaceDE w:val="0"/>
        <w:autoSpaceDN w:val="0"/>
        <w:spacing w:line="480" w:lineRule="exact"/>
        <w:ind w:left="4700" w:leftChars="2238"/>
        <w:rPr>
          <w:rFonts w:ascii="宋体"/>
        </w:rPr>
      </w:pPr>
    </w:p>
    <w:p>
      <w:pPr>
        <w:tabs>
          <w:tab w:val="left" w:pos="676"/>
          <w:tab w:val="left" w:pos="2330"/>
          <w:tab w:val="left" w:pos="9230"/>
        </w:tabs>
        <w:autoSpaceDE w:val="0"/>
        <w:autoSpaceDN w:val="0"/>
        <w:spacing w:line="480" w:lineRule="exact"/>
        <w:rPr>
          <w:rFonts w:ascii="宋体"/>
        </w:rPr>
      </w:pPr>
      <w:r>
        <w:rPr>
          <w:rFonts w:hint="eastAsia" w:ascii="宋体"/>
        </w:rPr>
        <w:t>授权代表（签名或盖章）：</w:t>
      </w:r>
    </w:p>
    <w:p>
      <w:pPr>
        <w:tabs>
          <w:tab w:val="left" w:pos="676"/>
          <w:tab w:val="left" w:pos="2330"/>
          <w:tab w:val="left" w:pos="9230"/>
        </w:tabs>
        <w:autoSpaceDE w:val="0"/>
        <w:autoSpaceDN w:val="0"/>
        <w:spacing w:line="480" w:lineRule="exact"/>
        <w:ind w:left="4700" w:leftChars="2238"/>
        <w:rPr>
          <w:rFonts w:ascii="宋体"/>
        </w:rPr>
      </w:pPr>
    </w:p>
    <w:p>
      <w:pPr>
        <w:pStyle w:val="19"/>
        <w:spacing w:line="480" w:lineRule="exact"/>
      </w:pPr>
      <w:r>
        <w:t>日期：</w:t>
      </w:r>
    </w:p>
    <w:p>
      <w:pPr>
        <w:spacing w:after="240" w:line="360" w:lineRule="auto"/>
        <w:rPr>
          <w:rFonts w:ascii="宋体" w:hAnsi="宋体"/>
          <w:snapToGrid w:val="0"/>
          <w:sz w:val="28"/>
          <w:szCs w:val="20"/>
        </w:rPr>
      </w:pPr>
      <w:r>
        <w:br w:type="page"/>
      </w:r>
      <w:r>
        <w:rPr>
          <w:rFonts w:hint="eastAsia" w:ascii="宋体" w:hAnsi="宋体"/>
          <w:snapToGrid w:val="0"/>
          <w:sz w:val="28"/>
          <w:szCs w:val="20"/>
        </w:rPr>
        <w:t>附件五：</w:t>
      </w:r>
    </w:p>
    <w:p>
      <w:pPr>
        <w:pStyle w:val="25"/>
        <w:rPr>
          <w:rFonts w:ascii="宋体" w:eastAsia="宋体"/>
          <w:b/>
          <w:snapToGrid w:val="0"/>
          <w:sz w:val="32"/>
          <w:szCs w:val="32"/>
        </w:rPr>
      </w:pPr>
      <w:r>
        <w:rPr>
          <w:rFonts w:hint="eastAsia" w:ascii="宋体" w:eastAsia="宋体"/>
          <w:b/>
          <w:snapToGrid w:val="0"/>
          <w:sz w:val="32"/>
          <w:szCs w:val="32"/>
        </w:rPr>
        <w:t>商务条款偏离表</w:t>
      </w:r>
    </w:p>
    <w:p/>
    <w:p>
      <w:pPr>
        <w:spacing w:after="240" w:line="360" w:lineRule="auto"/>
        <w:ind w:hanging="119"/>
        <w:rPr>
          <w:rFonts w:ascii="宋体"/>
          <w:u w:val="single"/>
        </w:rPr>
      </w:pPr>
      <w:r>
        <w:rPr>
          <w:rFonts w:hint="eastAsia" w:ascii="宋体"/>
        </w:rPr>
        <w:t>供货商名称：项目编号：</w:t>
      </w:r>
      <w:r>
        <w:rPr>
          <w:rFonts w:hint="eastAsia"/>
        </w:rPr>
        <w:t>包号：</w:t>
      </w:r>
    </w:p>
    <w:tbl>
      <w:tblPr>
        <w:tblStyle w:val="31"/>
        <w:tblW w:w="8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15"/>
        <w:gridCol w:w="2205"/>
        <w:gridCol w:w="2730"/>
        <w:gridCol w:w="13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37" w:hRule="atLeast"/>
        </w:trPr>
        <w:tc>
          <w:tcPr>
            <w:tcW w:w="838" w:type="dxa"/>
          </w:tcPr>
          <w:p>
            <w:pPr>
              <w:spacing w:before="240" w:after="240"/>
              <w:jc w:val="center"/>
              <w:rPr>
                <w:rFonts w:ascii="宋体"/>
              </w:rPr>
            </w:pPr>
            <w:r>
              <w:rPr>
                <w:rFonts w:hint="eastAsia" w:ascii="宋体"/>
              </w:rPr>
              <w:t>序号</w:t>
            </w:r>
          </w:p>
        </w:tc>
        <w:tc>
          <w:tcPr>
            <w:tcW w:w="1815" w:type="dxa"/>
          </w:tcPr>
          <w:p>
            <w:pPr>
              <w:spacing w:before="240" w:after="240"/>
              <w:jc w:val="center"/>
              <w:rPr>
                <w:rFonts w:ascii="宋体"/>
              </w:rPr>
            </w:pPr>
            <w:r>
              <w:rPr>
                <w:rFonts w:hint="eastAsia" w:ascii="宋体"/>
              </w:rPr>
              <w:t>采购文件条目号</w:t>
            </w:r>
          </w:p>
        </w:tc>
        <w:tc>
          <w:tcPr>
            <w:tcW w:w="2205" w:type="dxa"/>
          </w:tcPr>
          <w:p>
            <w:pPr>
              <w:spacing w:before="240" w:after="240"/>
              <w:jc w:val="center"/>
              <w:rPr>
                <w:rFonts w:ascii="宋体"/>
              </w:rPr>
            </w:pPr>
            <w:r>
              <w:rPr>
                <w:rFonts w:hint="eastAsia" w:ascii="宋体"/>
              </w:rPr>
              <w:t>采购文件要求的规格</w:t>
            </w:r>
          </w:p>
        </w:tc>
        <w:tc>
          <w:tcPr>
            <w:tcW w:w="2730" w:type="dxa"/>
          </w:tcPr>
          <w:p>
            <w:pPr>
              <w:spacing w:before="240" w:after="240"/>
              <w:jc w:val="center"/>
              <w:rPr>
                <w:rFonts w:ascii="宋体"/>
              </w:rPr>
            </w:pPr>
            <w:r>
              <w:rPr>
                <w:rFonts w:hint="eastAsia" w:ascii="宋体"/>
              </w:rPr>
              <w:t>响应文件的商务条款</w:t>
            </w:r>
          </w:p>
        </w:tc>
        <w:tc>
          <w:tcPr>
            <w:tcW w:w="1372" w:type="dxa"/>
          </w:tcPr>
          <w:p>
            <w:pPr>
              <w:spacing w:before="240" w:after="240"/>
              <w:jc w:val="center"/>
              <w:rPr>
                <w:rFonts w:ascii="宋体"/>
              </w:rPr>
            </w:pPr>
            <w:r>
              <w:rPr>
                <w:rFonts w:hint="eastAsia" w:ascii="宋体"/>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8" w:type="dxa"/>
          </w:tcPr>
          <w:p>
            <w:pPr>
              <w:spacing w:before="240" w:after="240"/>
              <w:rPr>
                <w:rFonts w:ascii="宋体"/>
              </w:rPr>
            </w:pPr>
          </w:p>
        </w:tc>
        <w:tc>
          <w:tcPr>
            <w:tcW w:w="1815" w:type="dxa"/>
          </w:tcPr>
          <w:p>
            <w:pPr>
              <w:spacing w:before="240" w:after="240"/>
              <w:rPr>
                <w:rFonts w:ascii="宋体"/>
              </w:rPr>
            </w:pPr>
          </w:p>
        </w:tc>
        <w:tc>
          <w:tcPr>
            <w:tcW w:w="2205" w:type="dxa"/>
          </w:tcPr>
          <w:p>
            <w:pPr>
              <w:spacing w:before="240" w:after="240"/>
              <w:rPr>
                <w:rFonts w:ascii="宋体"/>
              </w:rPr>
            </w:pPr>
          </w:p>
        </w:tc>
        <w:tc>
          <w:tcPr>
            <w:tcW w:w="2730" w:type="dxa"/>
          </w:tcPr>
          <w:p>
            <w:pPr>
              <w:spacing w:before="240" w:after="240"/>
              <w:rPr>
                <w:rFonts w:ascii="宋体"/>
              </w:rPr>
            </w:pPr>
          </w:p>
        </w:tc>
        <w:tc>
          <w:tcPr>
            <w:tcW w:w="1372" w:type="dxa"/>
          </w:tcPr>
          <w:p>
            <w:pPr>
              <w:spacing w:before="240" w:after="240"/>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8" w:type="dxa"/>
          </w:tcPr>
          <w:p>
            <w:pPr>
              <w:spacing w:before="240" w:after="240"/>
              <w:rPr>
                <w:rFonts w:ascii="宋体"/>
              </w:rPr>
            </w:pPr>
          </w:p>
        </w:tc>
        <w:tc>
          <w:tcPr>
            <w:tcW w:w="1815" w:type="dxa"/>
          </w:tcPr>
          <w:p>
            <w:pPr>
              <w:spacing w:before="240" w:after="240"/>
              <w:rPr>
                <w:rFonts w:ascii="宋体"/>
              </w:rPr>
            </w:pPr>
          </w:p>
        </w:tc>
        <w:tc>
          <w:tcPr>
            <w:tcW w:w="2205" w:type="dxa"/>
          </w:tcPr>
          <w:p>
            <w:pPr>
              <w:spacing w:before="240" w:after="240"/>
              <w:rPr>
                <w:rFonts w:ascii="宋体"/>
              </w:rPr>
            </w:pPr>
          </w:p>
        </w:tc>
        <w:tc>
          <w:tcPr>
            <w:tcW w:w="2730" w:type="dxa"/>
          </w:tcPr>
          <w:p>
            <w:pPr>
              <w:spacing w:before="240" w:after="240"/>
              <w:rPr>
                <w:rFonts w:ascii="宋体"/>
              </w:rPr>
            </w:pPr>
          </w:p>
        </w:tc>
        <w:tc>
          <w:tcPr>
            <w:tcW w:w="1372" w:type="dxa"/>
          </w:tcPr>
          <w:p>
            <w:pPr>
              <w:spacing w:before="240" w:after="240"/>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8" w:type="dxa"/>
          </w:tcPr>
          <w:p>
            <w:pPr>
              <w:spacing w:before="240" w:after="240"/>
              <w:rPr>
                <w:rFonts w:ascii="宋体"/>
              </w:rPr>
            </w:pPr>
          </w:p>
        </w:tc>
        <w:tc>
          <w:tcPr>
            <w:tcW w:w="1815" w:type="dxa"/>
          </w:tcPr>
          <w:p>
            <w:pPr>
              <w:spacing w:before="240" w:after="240"/>
              <w:rPr>
                <w:rFonts w:ascii="宋体"/>
              </w:rPr>
            </w:pPr>
          </w:p>
        </w:tc>
        <w:tc>
          <w:tcPr>
            <w:tcW w:w="2205" w:type="dxa"/>
          </w:tcPr>
          <w:p>
            <w:pPr>
              <w:spacing w:before="240" w:after="240"/>
              <w:rPr>
                <w:rFonts w:ascii="宋体"/>
              </w:rPr>
            </w:pPr>
          </w:p>
        </w:tc>
        <w:tc>
          <w:tcPr>
            <w:tcW w:w="2730" w:type="dxa"/>
          </w:tcPr>
          <w:p>
            <w:pPr>
              <w:spacing w:before="240" w:after="240"/>
              <w:rPr>
                <w:rFonts w:ascii="宋体"/>
              </w:rPr>
            </w:pPr>
          </w:p>
        </w:tc>
        <w:tc>
          <w:tcPr>
            <w:tcW w:w="1372" w:type="dxa"/>
          </w:tcPr>
          <w:p>
            <w:pPr>
              <w:spacing w:before="240" w:after="240"/>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38" w:type="dxa"/>
          </w:tcPr>
          <w:p>
            <w:pPr>
              <w:spacing w:before="240" w:after="240"/>
              <w:rPr>
                <w:rFonts w:ascii="宋体"/>
              </w:rPr>
            </w:pPr>
          </w:p>
        </w:tc>
        <w:tc>
          <w:tcPr>
            <w:tcW w:w="1815" w:type="dxa"/>
          </w:tcPr>
          <w:p>
            <w:pPr>
              <w:spacing w:before="240" w:after="240"/>
              <w:rPr>
                <w:rFonts w:ascii="宋体"/>
              </w:rPr>
            </w:pPr>
          </w:p>
        </w:tc>
        <w:tc>
          <w:tcPr>
            <w:tcW w:w="2205" w:type="dxa"/>
          </w:tcPr>
          <w:p>
            <w:pPr>
              <w:spacing w:before="240" w:after="240"/>
              <w:rPr>
                <w:rFonts w:ascii="宋体"/>
              </w:rPr>
            </w:pPr>
          </w:p>
        </w:tc>
        <w:tc>
          <w:tcPr>
            <w:tcW w:w="2730" w:type="dxa"/>
          </w:tcPr>
          <w:p>
            <w:pPr>
              <w:spacing w:before="240" w:after="240"/>
              <w:rPr>
                <w:rFonts w:ascii="宋体"/>
              </w:rPr>
            </w:pPr>
          </w:p>
        </w:tc>
        <w:tc>
          <w:tcPr>
            <w:tcW w:w="1372" w:type="dxa"/>
          </w:tcPr>
          <w:p>
            <w:pPr>
              <w:spacing w:before="240" w:after="240"/>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38" w:type="dxa"/>
          </w:tcPr>
          <w:p>
            <w:pPr>
              <w:spacing w:before="240" w:after="240"/>
              <w:rPr>
                <w:rFonts w:ascii="宋体"/>
              </w:rPr>
            </w:pPr>
          </w:p>
        </w:tc>
        <w:tc>
          <w:tcPr>
            <w:tcW w:w="1815" w:type="dxa"/>
          </w:tcPr>
          <w:p>
            <w:pPr>
              <w:spacing w:before="240" w:after="240"/>
              <w:rPr>
                <w:rFonts w:ascii="宋体"/>
              </w:rPr>
            </w:pPr>
          </w:p>
        </w:tc>
        <w:tc>
          <w:tcPr>
            <w:tcW w:w="2205" w:type="dxa"/>
          </w:tcPr>
          <w:p>
            <w:pPr>
              <w:spacing w:before="240" w:after="240"/>
              <w:rPr>
                <w:rFonts w:ascii="宋体"/>
              </w:rPr>
            </w:pPr>
          </w:p>
        </w:tc>
        <w:tc>
          <w:tcPr>
            <w:tcW w:w="2730" w:type="dxa"/>
          </w:tcPr>
          <w:p>
            <w:pPr>
              <w:spacing w:before="240" w:after="240"/>
              <w:rPr>
                <w:rFonts w:ascii="宋体"/>
              </w:rPr>
            </w:pPr>
          </w:p>
        </w:tc>
        <w:tc>
          <w:tcPr>
            <w:tcW w:w="1372" w:type="dxa"/>
          </w:tcPr>
          <w:p>
            <w:pPr>
              <w:spacing w:before="240" w:after="240"/>
              <w:rPr>
                <w:rFonts w:ascii="宋体"/>
              </w:rPr>
            </w:pPr>
          </w:p>
        </w:tc>
      </w:tr>
    </w:tbl>
    <w:p>
      <w:pPr>
        <w:autoSpaceDE w:val="0"/>
        <w:autoSpaceDN w:val="0"/>
        <w:spacing w:line="360" w:lineRule="auto"/>
        <w:textAlignment w:val="bottom"/>
        <w:rPr>
          <w:rFonts w:ascii="宋体" w:hAnsi="宋体" w:cs="Arial"/>
          <w:b/>
          <w:sz w:val="24"/>
        </w:rPr>
      </w:pPr>
      <w:r>
        <w:rPr>
          <w:rFonts w:hint="eastAsia" w:ascii="宋体" w:hAnsi="宋体" w:cs="Arial"/>
          <w:b/>
          <w:sz w:val="24"/>
        </w:rPr>
        <w:t>注：</w:t>
      </w:r>
    </w:p>
    <w:p>
      <w:pPr>
        <w:autoSpaceDE w:val="0"/>
        <w:autoSpaceDN w:val="0"/>
        <w:spacing w:line="360" w:lineRule="auto"/>
        <w:textAlignment w:val="bottom"/>
        <w:rPr>
          <w:rFonts w:ascii="宋体" w:hAnsi="宋体" w:cs="Arial"/>
          <w:b/>
          <w:sz w:val="24"/>
        </w:rPr>
      </w:pPr>
      <w:r>
        <w:rPr>
          <w:rFonts w:hint="eastAsia" w:ascii="宋体" w:hAnsi="宋体" w:cs="Arial"/>
          <w:b/>
          <w:sz w:val="24"/>
        </w:rPr>
        <w:t>1、商务偏离表主要针对招标文件商务条款（包括招标文件中服务期、付款条件、质保期、培训、售后服务等要求）填写；</w:t>
      </w:r>
    </w:p>
    <w:p>
      <w:pPr>
        <w:autoSpaceDE w:val="0"/>
        <w:autoSpaceDN w:val="0"/>
        <w:spacing w:line="360" w:lineRule="auto"/>
        <w:textAlignment w:val="bottom"/>
        <w:rPr>
          <w:rFonts w:ascii="宋体" w:hAnsi="宋体" w:cs="Arial"/>
          <w:b/>
          <w:sz w:val="24"/>
        </w:rPr>
      </w:pPr>
      <w:r>
        <w:rPr>
          <w:rFonts w:hint="eastAsia" w:ascii="宋体" w:hAnsi="宋体" w:cs="Arial"/>
          <w:b/>
          <w:sz w:val="24"/>
        </w:rPr>
        <w:t>2、对招标文件有任何偏离应列明，并标明“其他无偏离”；</w:t>
      </w:r>
    </w:p>
    <w:p>
      <w:pPr>
        <w:autoSpaceDE w:val="0"/>
        <w:autoSpaceDN w:val="0"/>
        <w:spacing w:line="360" w:lineRule="auto"/>
        <w:textAlignment w:val="bottom"/>
        <w:rPr>
          <w:rFonts w:ascii="宋体" w:hAnsi="宋体" w:cs="Arial"/>
          <w:b/>
          <w:sz w:val="24"/>
        </w:rPr>
      </w:pPr>
      <w:r>
        <w:rPr>
          <w:rFonts w:hint="eastAsia" w:ascii="宋体" w:hAnsi="宋体" w:cs="Arial"/>
          <w:b/>
          <w:sz w:val="24"/>
        </w:rPr>
        <w:t>3、对招标文件无偏离应标明“全部无偏离”。</w:t>
      </w:r>
    </w:p>
    <w:p>
      <w:pPr>
        <w:spacing w:line="360" w:lineRule="auto"/>
        <w:rPr>
          <w:rFonts w:ascii="宋体"/>
        </w:rPr>
      </w:pPr>
    </w:p>
    <w:p>
      <w:pPr>
        <w:spacing w:line="360" w:lineRule="auto"/>
        <w:rPr>
          <w:rFonts w:ascii="宋体"/>
        </w:rPr>
      </w:pPr>
      <w:r>
        <w:rPr>
          <w:rFonts w:hint="eastAsia" w:ascii="宋体"/>
        </w:rPr>
        <w:t>供货商名称（加盖公章）</w:t>
      </w:r>
    </w:p>
    <w:p>
      <w:pPr>
        <w:spacing w:line="360" w:lineRule="auto"/>
        <w:rPr>
          <w:rFonts w:ascii="宋体"/>
        </w:rPr>
      </w:pPr>
      <w:r>
        <w:rPr>
          <w:rFonts w:hint="eastAsia" w:ascii="宋体"/>
        </w:rPr>
        <w:t>供货商代表签字</w:t>
      </w:r>
    </w:p>
    <w:p>
      <w:pPr>
        <w:spacing w:line="360" w:lineRule="auto"/>
        <w:rPr>
          <w:rFonts w:ascii="宋体"/>
        </w:rPr>
      </w:pPr>
      <w:r>
        <w:t>日期：</w:t>
      </w:r>
    </w:p>
    <w:p>
      <w:pPr>
        <w:spacing w:line="360" w:lineRule="auto"/>
        <w:rPr>
          <w:rFonts w:ascii="宋体" w:hAnsi="宋体"/>
        </w:rPr>
        <w:sectPr>
          <w:headerReference r:id="rId3" w:type="first"/>
          <w:footerReference r:id="rId4" w:type="first"/>
          <w:pgSz w:w="11906" w:h="16838"/>
          <w:pgMar w:top="1440" w:right="1678" w:bottom="1440" w:left="1560" w:header="851" w:footer="992" w:gutter="0"/>
          <w:cols w:space="720" w:num="1"/>
          <w:titlePg/>
        </w:sectPr>
      </w:pPr>
    </w:p>
    <w:p>
      <w:pPr>
        <w:pStyle w:val="19"/>
        <w:spacing w:line="440" w:lineRule="exact"/>
        <w:rPr>
          <w:rFonts w:hAnsi="宋体"/>
          <w:snapToGrid w:val="0"/>
          <w:sz w:val="28"/>
        </w:rPr>
      </w:pPr>
      <w:r>
        <w:rPr>
          <w:rFonts w:hint="eastAsia" w:hAnsi="宋体"/>
          <w:snapToGrid w:val="0"/>
          <w:sz w:val="28"/>
        </w:rPr>
        <w:t>附件六：</w:t>
      </w:r>
    </w:p>
    <w:p>
      <w:pPr>
        <w:spacing w:line="460" w:lineRule="exact"/>
        <w:rPr>
          <w:rFonts w:ascii="宋体" w:hAnsi="宋体"/>
          <w:snapToGrid w:val="0"/>
          <w:sz w:val="24"/>
        </w:rPr>
      </w:pPr>
    </w:p>
    <w:p>
      <w:pPr>
        <w:pStyle w:val="19"/>
        <w:spacing w:line="440" w:lineRule="exact"/>
        <w:jc w:val="center"/>
        <w:rPr>
          <w:rFonts w:hAnsi="宋体"/>
          <w:b/>
          <w:snapToGrid w:val="0"/>
          <w:sz w:val="32"/>
          <w:szCs w:val="32"/>
        </w:rPr>
      </w:pPr>
      <w:r>
        <w:rPr>
          <w:rFonts w:hint="eastAsia" w:hAnsi="宋体"/>
          <w:b/>
          <w:snapToGrid w:val="0"/>
          <w:sz w:val="32"/>
          <w:szCs w:val="32"/>
        </w:rPr>
        <w:t>法定代表人授权书</w:t>
      </w:r>
    </w:p>
    <w:p>
      <w:pPr>
        <w:pStyle w:val="19"/>
        <w:snapToGrid w:val="0"/>
        <w:spacing w:line="440" w:lineRule="exact"/>
        <w:jc w:val="center"/>
        <w:rPr>
          <w:rFonts w:hAnsi="宋体"/>
          <w:snapToGrid w:val="0"/>
        </w:rPr>
      </w:pPr>
    </w:p>
    <w:p>
      <w:pPr>
        <w:pStyle w:val="19"/>
        <w:snapToGrid w:val="0"/>
        <w:spacing w:line="440" w:lineRule="exact"/>
        <w:rPr>
          <w:rFonts w:hAnsi="宋体"/>
          <w:snapToGrid w:val="0"/>
          <w:sz w:val="24"/>
          <w:u w:val="single"/>
        </w:rPr>
      </w:pPr>
      <w:r>
        <w:rPr>
          <w:rFonts w:hint="eastAsia" w:hAnsi="宋体"/>
          <w:snapToGrid w:val="0"/>
          <w:sz w:val="24"/>
        </w:rPr>
        <w:t>致：</w:t>
      </w:r>
    </w:p>
    <w:p>
      <w:pPr>
        <w:pStyle w:val="19"/>
        <w:snapToGrid w:val="0"/>
        <w:spacing w:line="440" w:lineRule="exact"/>
        <w:rPr>
          <w:rFonts w:hAnsi="宋体"/>
          <w:snapToGrid w:val="0"/>
          <w:sz w:val="24"/>
        </w:rPr>
      </w:pPr>
    </w:p>
    <w:p>
      <w:pPr>
        <w:spacing w:line="360" w:lineRule="auto"/>
        <w:ind w:firstLine="480" w:firstLineChars="200"/>
        <w:rPr>
          <w:rFonts w:ascii="宋体" w:hAnsi="宋体"/>
          <w:sz w:val="24"/>
        </w:rPr>
      </w:pPr>
      <w:r>
        <w:rPr>
          <w:rFonts w:hint="eastAsia" w:ascii="宋体" w:hAnsi="宋体"/>
          <w:sz w:val="24"/>
        </w:rPr>
        <w:t>本授权委托书声明：我（姓名）系（投标人名称）的法定代表人，现授权委托（单位名称）的（姓名）以我公司名义参加</w:t>
      </w:r>
      <w:r>
        <w:rPr>
          <w:rFonts w:hint="eastAsia" w:ascii="宋体" w:hAnsi="宋体"/>
          <w:sz w:val="24"/>
          <w:u w:val="single"/>
        </w:rPr>
        <w:t>（</w:t>
      </w:r>
      <w:r>
        <w:rPr>
          <w:rFonts w:hint="eastAsia" w:ascii="宋体" w:hAnsi="宋体"/>
          <w:sz w:val="24"/>
        </w:rPr>
        <w:t>招标单位）的</w:t>
      </w:r>
      <w:r>
        <w:rPr>
          <w:rFonts w:hint="eastAsia" w:ascii="宋体" w:hAnsi="宋体"/>
          <w:sz w:val="24"/>
          <w:u w:val="single"/>
        </w:rPr>
        <w:t>项目</w:t>
      </w:r>
      <w:r>
        <w:rPr>
          <w:rFonts w:hint="eastAsia" w:ascii="宋体" w:hAnsi="宋体"/>
          <w:sz w:val="24"/>
        </w:rPr>
        <w:t>的投标活动。被委托人在开标、评标、合同谈判过程中所签署的一切文件和处理与之有关的一切事务，我均予以承认。</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此委托！</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法定代表人：（打印）签字或盖章：</w:t>
      </w:r>
    </w:p>
    <w:p>
      <w:pPr>
        <w:spacing w:line="360" w:lineRule="auto"/>
        <w:rPr>
          <w:rFonts w:ascii="宋体" w:hAnsi="宋体"/>
          <w:sz w:val="24"/>
        </w:rPr>
      </w:pPr>
      <w:r>
        <w:rPr>
          <w:rFonts w:hint="eastAsia" w:ascii="宋体" w:hAnsi="宋体"/>
          <w:sz w:val="24"/>
        </w:rPr>
        <w:t>投标人代表：（打印）签字或盖章：</w:t>
      </w:r>
    </w:p>
    <w:p>
      <w:pPr>
        <w:spacing w:line="360" w:lineRule="auto"/>
        <w:rPr>
          <w:rFonts w:ascii="宋体" w:hAnsi="宋体"/>
          <w:sz w:val="24"/>
        </w:rPr>
      </w:pPr>
      <w:r>
        <w:rPr>
          <w:rFonts w:hint="eastAsia" w:ascii="宋体" w:hAnsi="宋体"/>
          <w:sz w:val="24"/>
        </w:rPr>
        <w:t>投标人全称：（打印）投标人公章：</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80"/>
        <w:rPr>
          <w:rFonts w:ascii="宋体" w:hAnsi="宋体"/>
          <w:sz w:val="24"/>
          <w:u w:val="single"/>
        </w:rPr>
      </w:pPr>
      <w:r>
        <w:rPr>
          <w:rFonts w:hint="eastAsia" w:ascii="宋体" w:hAnsi="宋体"/>
          <w:sz w:val="24"/>
        </w:rPr>
        <w:t>日期：年月日</w:t>
      </w:r>
    </w:p>
    <w:p>
      <w:pPr>
        <w:spacing w:line="360" w:lineRule="auto"/>
        <w:rPr>
          <w:rFonts w:ascii="宋体" w:hAnsi="宋体"/>
          <w:sz w:val="24"/>
        </w:rPr>
      </w:pPr>
    </w:p>
    <w:p>
      <w:pPr>
        <w:pStyle w:val="19"/>
        <w:spacing w:line="450" w:lineRule="exact"/>
        <w:rPr>
          <w:rFonts w:hAnsi="宋体"/>
          <w:b/>
          <w:snapToGrid w:val="0"/>
          <w:sz w:val="24"/>
        </w:rPr>
      </w:pPr>
      <w:r>
        <w:rPr>
          <w:rFonts w:hint="eastAsia" w:hAnsi="宋体"/>
          <w:b/>
          <w:snapToGrid w:val="0"/>
          <w:sz w:val="24"/>
        </w:rPr>
        <w:t>★附：法人和被授权人身份证复印件（须加盖投标人公章）</w:t>
      </w:r>
    </w:p>
    <w:p>
      <w:pPr>
        <w:snapToGrid w:val="0"/>
        <w:spacing w:before="50" w:after="120"/>
        <w:rPr>
          <w:rFonts w:ascii="宋体" w:hAnsi="宋体"/>
          <w:sz w:val="24"/>
        </w:rPr>
      </w:pPr>
      <w:r>
        <w:rPr>
          <w:rFonts w:ascii="宋体" w:hAnsi="宋体"/>
          <w:sz w:val="28"/>
        </w:rPr>
        <w:br w:type="page"/>
      </w:r>
      <w:r>
        <w:rPr>
          <w:rFonts w:hint="eastAsia" w:ascii="宋体" w:hAnsi="宋体"/>
          <w:sz w:val="28"/>
        </w:rPr>
        <w:t>附件七：</w:t>
      </w:r>
    </w:p>
    <w:p>
      <w:pPr>
        <w:spacing w:line="360" w:lineRule="auto"/>
        <w:jc w:val="center"/>
        <w:rPr>
          <w:rFonts w:hAnsi="宋体"/>
          <w:b/>
          <w:snapToGrid w:val="0"/>
          <w:sz w:val="32"/>
          <w:szCs w:val="32"/>
        </w:rPr>
      </w:pPr>
      <w:r>
        <w:rPr>
          <w:rFonts w:hint="eastAsia" w:hAnsi="宋体"/>
          <w:b/>
          <w:snapToGrid w:val="0"/>
          <w:sz w:val="32"/>
          <w:szCs w:val="32"/>
        </w:rPr>
        <w:t>投标人资格证明文件</w:t>
      </w:r>
    </w:p>
    <w:p>
      <w:pPr>
        <w:spacing w:line="360" w:lineRule="auto"/>
        <w:rPr>
          <w:rFonts w:ascii="宋体" w:hAnsi="宋体"/>
          <w:b/>
          <w:bCs/>
          <w:color w:val="000000"/>
          <w:sz w:val="24"/>
        </w:rPr>
      </w:pPr>
      <w:r>
        <w:rPr>
          <w:rFonts w:hint="eastAsia" w:ascii="宋体" w:hAnsi="宋体"/>
          <w:b/>
          <w:bCs/>
          <w:color w:val="000000"/>
          <w:sz w:val="24"/>
        </w:rPr>
        <w:t>一、投标人一般性概况</w:t>
      </w:r>
    </w:p>
    <w:p>
      <w:pPr>
        <w:spacing w:line="360" w:lineRule="auto"/>
        <w:ind w:firstLine="480" w:firstLineChars="200"/>
        <w:rPr>
          <w:rFonts w:ascii="宋体" w:hAnsi="宋体"/>
          <w:color w:val="000000"/>
          <w:sz w:val="24"/>
        </w:rPr>
      </w:pPr>
      <w:r>
        <w:rPr>
          <w:rFonts w:hint="eastAsia" w:ascii="宋体" w:hAnsi="宋体"/>
          <w:color w:val="000000"/>
          <w:sz w:val="24"/>
        </w:rPr>
        <w:t>（由投标人自述）</w:t>
      </w:r>
    </w:p>
    <w:p>
      <w:pPr>
        <w:spacing w:line="360" w:lineRule="auto"/>
        <w:rPr>
          <w:rFonts w:ascii="宋体" w:hAnsi="宋体"/>
          <w:b/>
          <w:bCs/>
          <w:color w:val="000000"/>
          <w:sz w:val="24"/>
        </w:rPr>
      </w:pPr>
      <w:r>
        <w:rPr>
          <w:rFonts w:hint="eastAsia" w:ascii="宋体" w:hAnsi="宋体"/>
          <w:b/>
          <w:bCs/>
          <w:color w:val="000000"/>
          <w:sz w:val="24"/>
        </w:rPr>
        <w:t>二、企业情况一览表格式</w:t>
      </w:r>
    </w:p>
    <w:tbl>
      <w:tblPr>
        <w:tblStyle w:val="31"/>
        <w:tblW w:w="954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80"/>
        <w:gridCol w:w="3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color w:val="000000"/>
              </w:rPr>
            </w:pPr>
            <w:r>
              <w:rPr>
                <w:rFonts w:hint="eastAsia"/>
                <w:b/>
                <w:color w:val="000000"/>
              </w:rPr>
              <w:t>企业名称</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法定代表人</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工商注册号</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企业成立时间</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0" w:hRule="atLeast"/>
        </w:trPr>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注册地址</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联系地址</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联系电话/传真</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企业性质</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企业隶属关系或股东</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分支机构/子公司</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7" w:hRule="atLeast"/>
        </w:trPr>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与分支机构的性质隶属关系、地址</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企业规模</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企业经营范围</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558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最近三年牵涉的主要诉讼案件（有或无）</w:t>
            </w:r>
          </w:p>
        </w:tc>
        <w:tc>
          <w:tcPr>
            <w:tcW w:w="3960" w:type="dxa"/>
            <w:tcBorders>
              <w:top w:val="single" w:color="auto" w:sz="6" w:space="0"/>
              <w:left w:val="single" w:color="auto" w:sz="6" w:space="0"/>
              <w:bottom w:val="single" w:color="auto" w:sz="6" w:space="0"/>
              <w:right w:val="single" w:color="auto" w:sz="6" w:space="0"/>
            </w:tcBorders>
            <w:vAlign w:val="center"/>
          </w:tcPr>
          <w:p>
            <w:pPr>
              <w:pStyle w:val="16"/>
              <w:spacing w:line="360" w:lineRule="auto"/>
              <w:rPr>
                <w:b/>
                <w:color w:val="000000"/>
              </w:rPr>
            </w:pPr>
            <w:r>
              <w:rPr>
                <w:rFonts w:hint="eastAsia"/>
                <w:b/>
                <w:color w:val="000000"/>
              </w:rPr>
              <w:t>如有，是何类案件，结论如何</w:t>
            </w:r>
          </w:p>
        </w:tc>
      </w:tr>
    </w:tbl>
    <w:p>
      <w:pPr>
        <w:pStyle w:val="46"/>
        <w:spacing w:before="0" w:after="0" w:line="360" w:lineRule="auto"/>
        <w:jc w:val="both"/>
        <w:rPr>
          <w:rFonts w:ascii="宋体" w:hAnsi="宋体" w:eastAsia="宋体"/>
          <w:color w:val="000000"/>
          <w:sz w:val="24"/>
          <w:szCs w:val="24"/>
        </w:rPr>
      </w:pPr>
      <w:r>
        <w:rPr>
          <w:rFonts w:hint="eastAsia" w:ascii="宋体" w:hAnsi="宋体" w:eastAsia="宋体"/>
          <w:color w:val="000000"/>
          <w:sz w:val="24"/>
          <w:szCs w:val="24"/>
        </w:rPr>
        <w:t xml:space="preserve"> </w:t>
      </w:r>
    </w:p>
    <w:p>
      <w:pPr>
        <w:pStyle w:val="46"/>
        <w:spacing w:before="0" w:after="0" w:line="360" w:lineRule="auto"/>
        <w:jc w:val="both"/>
        <w:rPr>
          <w:rFonts w:ascii="宋体" w:hAnsi="宋体" w:eastAsia="宋体"/>
          <w:b/>
          <w:bCs/>
          <w:color w:val="000000"/>
          <w:sz w:val="24"/>
          <w:szCs w:val="24"/>
        </w:rPr>
      </w:pPr>
      <w:r>
        <w:rPr>
          <w:rFonts w:hint="eastAsia" w:ascii="宋体" w:hAnsi="宋体" w:eastAsia="宋体"/>
          <w:b/>
          <w:bCs/>
          <w:color w:val="000000"/>
          <w:sz w:val="24"/>
          <w:szCs w:val="24"/>
        </w:rPr>
        <w:t>三、财务状况表</w:t>
      </w:r>
    </w:p>
    <w:tbl>
      <w:tblPr>
        <w:tblStyle w:val="31"/>
        <w:tblW w:w="962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88"/>
        <w:gridCol w:w="407"/>
        <w:gridCol w:w="2395"/>
        <w:gridCol w:w="2558"/>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628" w:type="dxa"/>
            <w:gridSpan w:val="5"/>
            <w:tcBorders>
              <w:top w:val="single" w:color="auto" w:sz="4" w:space="0"/>
              <w:left w:val="single" w:color="auto" w:sz="4" w:space="0"/>
              <w:bottom w:val="single" w:color="auto" w:sz="4" w:space="0"/>
              <w:right w:val="single" w:color="auto" w:sz="4" w:space="0"/>
            </w:tcBorders>
          </w:tcPr>
          <w:p>
            <w:pPr>
              <w:pStyle w:val="16"/>
              <w:spacing w:line="360" w:lineRule="auto"/>
              <w:jc w:val="center"/>
              <w:rPr>
                <w:color w:val="000000"/>
              </w:rPr>
            </w:pPr>
            <w:r>
              <w:rPr>
                <w:rFonts w:hint="eastAsia"/>
                <w:b/>
                <w:color w:val="000000"/>
              </w:rPr>
              <w:t>资产和负债状况（万元）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95" w:type="dxa"/>
            <w:gridSpan w:val="2"/>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注册资本</w:t>
            </w:r>
          </w:p>
        </w:tc>
        <w:tc>
          <w:tcPr>
            <w:tcW w:w="2395"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p>
        </w:tc>
        <w:tc>
          <w:tcPr>
            <w:tcW w:w="255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总资产</w:t>
            </w:r>
          </w:p>
        </w:tc>
        <w:tc>
          <w:tcPr>
            <w:tcW w:w="2280" w:type="dxa"/>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95" w:type="dxa"/>
            <w:gridSpan w:val="2"/>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流动资产</w:t>
            </w:r>
          </w:p>
        </w:tc>
        <w:tc>
          <w:tcPr>
            <w:tcW w:w="2395"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p>
        </w:tc>
        <w:tc>
          <w:tcPr>
            <w:tcW w:w="255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长期资产</w:t>
            </w:r>
          </w:p>
        </w:tc>
        <w:tc>
          <w:tcPr>
            <w:tcW w:w="2280" w:type="dxa"/>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395" w:type="dxa"/>
            <w:gridSpan w:val="2"/>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长期负债</w:t>
            </w:r>
          </w:p>
        </w:tc>
        <w:tc>
          <w:tcPr>
            <w:tcW w:w="2395"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p>
        </w:tc>
        <w:tc>
          <w:tcPr>
            <w:tcW w:w="255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短期负债</w:t>
            </w:r>
          </w:p>
        </w:tc>
        <w:tc>
          <w:tcPr>
            <w:tcW w:w="2280" w:type="dxa"/>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628" w:type="dxa"/>
            <w:gridSpan w:val="5"/>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股份组成情况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股东名称（单位或个人）</w:t>
            </w: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790"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c>
          <w:tcPr>
            <w:tcW w:w="4838" w:type="dxa"/>
            <w:gridSpan w:val="2"/>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628" w:type="dxa"/>
            <w:gridSpan w:val="5"/>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8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银行名称</w:t>
            </w:r>
          </w:p>
        </w:tc>
        <w:tc>
          <w:tcPr>
            <w:tcW w:w="7640" w:type="dxa"/>
            <w:gridSpan w:val="4"/>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8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地址</w:t>
            </w:r>
          </w:p>
        </w:tc>
        <w:tc>
          <w:tcPr>
            <w:tcW w:w="7640" w:type="dxa"/>
            <w:gridSpan w:val="4"/>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88" w:type="dxa"/>
            <w:tcBorders>
              <w:top w:val="single" w:color="auto" w:sz="4" w:space="0"/>
              <w:left w:val="single" w:color="auto" w:sz="4" w:space="0"/>
              <w:bottom w:val="single" w:color="auto" w:sz="4" w:space="0"/>
              <w:right w:val="single" w:color="auto" w:sz="4" w:space="0"/>
            </w:tcBorders>
          </w:tcPr>
          <w:p>
            <w:pPr>
              <w:pStyle w:val="16"/>
              <w:spacing w:line="360" w:lineRule="auto"/>
              <w:jc w:val="center"/>
              <w:rPr>
                <w:b/>
                <w:color w:val="000000"/>
              </w:rPr>
            </w:pPr>
            <w:r>
              <w:rPr>
                <w:rFonts w:hint="eastAsia"/>
                <w:b/>
                <w:color w:val="000000"/>
              </w:rPr>
              <w:t>联系电话</w:t>
            </w:r>
          </w:p>
        </w:tc>
        <w:tc>
          <w:tcPr>
            <w:tcW w:w="7640" w:type="dxa"/>
            <w:gridSpan w:val="4"/>
            <w:tcBorders>
              <w:top w:val="single" w:color="auto" w:sz="4" w:space="0"/>
              <w:left w:val="single" w:color="auto" w:sz="4" w:space="0"/>
              <w:bottom w:val="single" w:color="auto" w:sz="4" w:space="0"/>
              <w:right w:val="single" w:color="auto" w:sz="4" w:space="0"/>
            </w:tcBorders>
          </w:tcPr>
          <w:p>
            <w:pPr>
              <w:pStyle w:val="16"/>
              <w:spacing w:line="360" w:lineRule="auto"/>
              <w:rPr>
                <w:b/>
                <w:color w:val="000000"/>
              </w:rPr>
            </w:pPr>
          </w:p>
        </w:tc>
      </w:tr>
    </w:tbl>
    <w:p>
      <w:pPr>
        <w:pStyle w:val="5"/>
        <w:spacing w:line="360" w:lineRule="auto"/>
        <w:ind w:firstLine="480" w:firstLineChars="200"/>
        <w:rPr>
          <w:rFonts w:ascii="Calibri" w:hAnsi="宋体"/>
          <w:color w:val="000000"/>
          <w:kern w:val="2"/>
          <w:sz w:val="21"/>
          <w:szCs w:val="21"/>
          <w:u w:val="single"/>
        </w:rPr>
      </w:pPr>
      <w:r>
        <w:rPr>
          <w:rFonts w:hint="eastAsia" w:hAnsi="宋体"/>
          <w:color w:val="000000"/>
        </w:rPr>
        <w:t>注：上述文件资料，需加盖相关单位公章并需由被授权人签字。</w:t>
      </w:r>
    </w:p>
    <w:p>
      <w:pPr>
        <w:pStyle w:val="46"/>
        <w:spacing w:before="0" w:after="0" w:line="360" w:lineRule="auto"/>
        <w:jc w:val="both"/>
        <w:rPr>
          <w:rFonts w:ascii="宋体" w:hAnsi="宋体" w:eastAsia="宋体"/>
          <w:b/>
          <w:bCs/>
          <w:color w:val="000000"/>
          <w:sz w:val="24"/>
          <w:szCs w:val="24"/>
        </w:rPr>
      </w:pPr>
      <w:r>
        <w:rPr>
          <w:rFonts w:hint="eastAsia" w:ascii="宋体" w:hAnsi="宋体" w:eastAsia="宋体"/>
          <w:b/>
          <w:bCs/>
          <w:color w:val="000000"/>
          <w:sz w:val="24"/>
          <w:szCs w:val="24"/>
        </w:rPr>
        <w:t>四、投标人资格声明</w:t>
      </w:r>
    </w:p>
    <w:p>
      <w:pPr>
        <w:spacing w:line="360" w:lineRule="auto"/>
        <w:rPr>
          <w:rFonts w:ascii="宋体" w:hAnsi="宋体"/>
          <w:color w:val="000000"/>
          <w:sz w:val="24"/>
        </w:rPr>
      </w:pPr>
      <w:r>
        <w:rPr>
          <w:rFonts w:hint="eastAsia" w:ascii="宋体" w:hAnsi="宋体"/>
          <w:color w:val="000000"/>
          <w:sz w:val="24"/>
        </w:rPr>
        <w:t>1、名称及概况</w:t>
      </w:r>
    </w:p>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总部地址：</w:t>
      </w:r>
      <w:r>
        <w:rPr>
          <w:rFonts w:hint="eastAsia" w:ascii="宋体" w:hAnsi="宋体"/>
          <w:color w:val="000000"/>
          <w:sz w:val="24"/>
          <w:u w:val="single"/>
        </w:rPr>
        <w:tab/>
      </w:r>
    </w:p>
    <w:p>
      <w:pPr>
        <w:spacing w:line="360" w:lineRule="auto"/>
        <w:rPr>
          <w:rFonts w:ascii="宋体" w:hAnsi="宋体"/>
          <w:color w:val="000000"/>
          <w:sz w:val="24"/>
          <w:u w:val="single"/>
        </w:rPr>
      </w:pPr>
      <w:r>
        <w:rPr>
          <w:rFonts w:hint="eastAsia" w:ascii="宋体" w:hAnsi="宋体"/>
          <w:color w:val="000000"/>
          <w:sz w:val="24"/>
        </w:rPr>
        <w:t>电话号码：</w:t>
      </w:r>
      <w:r>
        <w:rPr>
          <w:rFonts w:hint="eastAsia" w:ascii="宋体" w:hAnsi="宋体"/>
          <w:color w:val="000000"/>
          <w:sz w:val="24"/>
          <w:u w:val="single"/>
        </w:rPr>
        <w:tab/>
      </w:r>
    </w:p>
    <w:p>
      <w:pPr>
        <w:spacing w:line="360" w:lineRule="auto"/>
        <w:rPr>
          <w:rFonts w:ascii="宋体" w:hAnsi="宋体"/>
          <w:color w:val="000000"/>
          <w:sz w:val="24"/>
          <w:u w:val="single"/>
        </w:rPr>
      </w:pPr>
      <w:r>
        <w:rPr>
          <w:rFonts w:hint="eastAsia" w:ascii="宋体" w:hAnsi="宋体"/>
          <w:color w:val="000000"/>
          <w:sz w:val="24"/>
        </w:rPr>
        <w:t>传真号码：</w:t>
      </w:r>
      <w:r>
        <w:rPr>
          <w:rFonts w:hint="eastAsia" w:ascii="宋体" w:hAnsi="宋体"/>
          <w:color w:val="000000"/>
          <w:sz w:val="24"/>
          <w:u w:val="single"/>
        </w:rPr>
        <w:tab/>
      </w:r>
    </w:p>
    <w:p>
      <w:pPr>
        <w:spacing w:line="360" w:lineRule="auto"/>
        <w:rPr>
          <w:rFonts w:ascii="宋体" w:hAnsi="宋体"/>
          <w:color w:val="000000"/>
          <w:sz w:val="24"/>
          <w:u w:val="single"/>
        </w:rPr>
      </w:pPr>
      <w:r>
        <w:rPr>
          <w:rFonts w:hint="eastAsia" w:ascii="宋体" w:hAnsi="宋体"/>
          <w:color w:val="000000"/>
          <w:sz w:val="24"/>
        </w:rPr>
        <w:t>电子信箱：</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成立和/或注册日期：</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实收资本：</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近期资产负债表（到年月日）</w:t>
      </w:r>
    </w:p>
    <w:p>
      <w:pPr>
        <w:spacing w:line="360" w:lineRule="auto"/>
        <w:rPr>
          <w:rFonts w:ascii="宋体" w:hAnsi="宋体"/>
          <w:color w:val="000000"/>
          <w:sz w:val="24"/>
        </w:rPr>
      </w:pPr>
      <w:r>
        <w:rPr>
          <w:rFonts w:hint="eastAsia" w:ascii="宋体" w:hAnsi="宋体"/>
          <w:color w:val="000000"/>
          <w:sz w:val="24"/>
        </w:rPr>
        <w:t>长期资产：</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流动资产：</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长期负债：</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短期负债：</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净值：</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主要负责人姓名（可选填）：</w:t>
      </w:r>
      <w:r>
        <w:rPr>
          <w:rFonts w:hint="eastAsia" w:ascii="宋体" w:hAnsi="宋体"/>
          <w:color w:val="000000"/>
          <w:sz w:val="24"/>
          <w:u w:val="single"/>
        </w:rPr>
        <w:tab/>
      </w:r>
    </w:p>
    <w:p>
      <w:pPr>
        <w:spacing w:line="360" w:lineRule="auto"/>
        <w:rPr>
          <w:rFonts w:ascii="宋体" w:hAnsi="宋体"/>
          <w:color w:val="000000"/>
          <w:sz w:val="24"/>
        </w:rPr>
      </w:pPr>
      <w:r>
        <w:rPr>
          <w:rFonts w:hint="eastAsia" w:ascii="宋体" w:hAnsi="宋体"/>
          <w:color w:val="000000"/>
          <w:sz w:val="24"/>
        </w:rPr>
        <w:t>2、有关开户银行的名称和地址</w:t>
      </w:r>
    </w:p>
    <w:p>
      <w:pPr>
        <w:ind w:firstLine="1440" w:firstLineChars="600"/>
        <w:rPr>
          <w:rFonts w:ascii="Calibri" w:hAnsi="宋体"/>
          <w:color w:val="000000"/>
          <w:sz w:val="24"/>
        </w:rPr>
      </w:pPr>
      <w:r>
        <w:rPr>
          <w:rFonts w:hint="eastAsia" w:ascii="宋体" w:hAnsi="宋体"/>
          <w:color w:val="000000"/>
          <w:sz w:val="24"/>
        </w:rPr>
        <w:t>名称</w:t>
      </w:r>
      <w:r>
        <w:rPr>
          <w:rFonts w:hint="eastAsia" w:hAnsi="宋体"/>
          <w:color w:val="000000"/>
          <w:sz w:val="24"/>
        </w:rPr>
        <w:tab/>
      </w:r>
      <w:r>
        <w:rPr>
          <w:rFonts w:hint="eastAsia" w:ascii="宋体" w:hAnsi="宋体"/>
          <w:color w:val="000000"/>
          <w:sz w:val="24"/>
        </w:rPr>
        <w:t>地址</w:t>
      </w:r>
    </w:p>
    <w:p>
      <w:pPr>
        <w:rPr>
          <w:rFonts w:hAnsi="宋体"/>
          <w:b/>
          <w:color w:val="000000"/>
          <w:szCs w:val="21"/>
        </w:rPr>
      </w:pPr>
      <w:r>
        <w:rPr>
          <w:rFonts w:hAnsi="宋体"/>
          <w:b/>
          <w:color w:val="000000"/>
        </w:rPr>
        <w:t xml:space="preserve"> </w:t>
      </w:r>
    </w:p>
    <w:p>
      <w:pPr>
        <w:spacing w:line="360" w:lineRule="auto"/>
        <w:rPr>
          <w:rFonts w:ascii="宋体" w:hAnsi="宋体"/>
          <w:color w:val="000000"/>
          <w:sz w:val="24"/>
        </w:rPr>
      </w:pPr>
      <w:r>
        <w:rPr>
          <w:rFonts w:hint="eastAsia" w:ascii="宋体" w:hAnsi="宋体"/>
          <w:color w:val="000000"/>
          <w:sz w:val="24"/>
        </w:rPr>
        <w:t>3、投标人所属的集团公司（如果有的话）</w:t>
      </w:r>
    </w:p>
    <w:p>
      <w:pPr>
        <w:rPr>
          <w:rFonts w:ascii="Calibri" w:hAnsi="宋体"/>
          <w:color w:val="000000"/>
          <w:sz w:val="28"/>
          <w:szCs w:val="28"/>
        </w:rPr>
      </w:pPr>
      <w:r>
        <w:rPr>
          <w:rFonts w:hint="eastAsia" w:ascii="宋体" w:hAnsi="宋体"/>
          <w:color w:val="000000"/>
          <w:sz w:val="28"/>
          <w:szCs w:val="28"/>
        </w:rPr>
        <w:t>集团公司名称</w:t>
      </w:r>
      <w:r>
        <w:rPr>
          <w:rFonts w:hint="eastAsia" w:hAnsi="宋体"/>
          <w:color w:val="000000"/>
          <w:sz w:val="28"/>
          <w:szCs w:val="28"/>
        </w:rPr>
        <w:tab/>
      </w:r>
      <w:r>
        <w:rPr>
          <w:rFonts w:hint="eastAsia" w:ascii="宋体" w:hAnsi="宋体"/>
          <w:color w:val="000000"/>
          <w:sz w:val="28"/>
          <w:szCs w:val="28"/>
        </w:rPr>
        <w:t>集团公司总部地址</w:t>
      </w:r>
    </w:p>
    <w:p>
      <w:pPr>
        <w:rPr>
          <w:rFonts w:hAnsi="宋体"/>
          <w:b/>
          <w:color w:val="000000"/>
          <w:szCs w:val="21"/>
        </w:rPr>
      </w:pPr>
      <w:r>
        <w:rPr>
          <w:rFonts w:hint="eastAsia" w:hAnsi="宋体"/>
          <w:b/>
          <w:color w:val="000000"/>
        </w:rPr>
        <w:tab/>
      </w:r>
    </w:p>
    <w:p>
      <w:pPr>
        <w:spacing w:line="360" w:lineRule="auto"/>
        <w:rPr>
          <w:rFonts w:ascii="宋体" w:hAnsi="宋体"/>
          <w:color w:val="000000"/>
          <w:sz w:val="24"/>
        </w:rPr>
      </w:pPr>
      <w:r>
        <w:rPr>
          <w:rFonts w:hint="eastAsia" w:ascii="宋体" w:hAnsi="宋体"/>
          <w:color w:val="000000"/>
          <w:sz w:val="24"/>
        </w:rPr>
        <w:t>4、其他情况</w:t>
      </w:r>
    </w:p>
    <w:p>
      <w:pPr>
        <w:pStyle w:val="2"/>
      </w:pPr>
    </w:p>
    <w:p>
      <w:pPr>
        <w:widowControl/>
        <w:jc w:val="left"/>
        <w:rPr>
          <w:rFonts w:ascii="宋体"/>
          <w:b/>
          <w:bCs/>
          <w:sz w:val="24"/>
        </w:rPr>
      </w:pPr>
      <w:r>
        <w:rPr>
          <w:rFonts w:hint="eastAsia" w:ascii="宋体" w:hAnsi="宋体"/>
          <w:b/>
          <w:bCs/>
          <w:sz w:val="24"/>
        </w:rPr>
        <w:t>五、知识产权代理机构基本信息表</w:t>
      </w:r>
    </w:p>
    <w:tbl>
      <w:tblPr>
        <w:tblStyle w:val="3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774"/>
        <w:gridCol w:w="1760"/>
        <w:gridCol w:w="177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sz w:val="24"/>
              </w:rPr>
            </w:pPr>
            <w:r>
              <w:rPr>
                <w:rFonts w:hint="eastAsia" w:ascii="宋体" w:hAnsi="宋体"/>
                <w:sz w:val="24"/>
              </w:rPr>
              <w:t>公司名称</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注册地址</w:t>
            </w:r>
          </w:p>
        </w:tc>
        <w:tc>
          <w:tcPr>
            <w:tcW w:w="3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邮政编码</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营业执照号</w:t>
            </w:r>
          </w:p>
        </w:tc>
        <w:tc>
          <w:tcPr>
            <w:tcW w:w="3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成立时间</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公司网址</w:t>
            </w:r>
          </w:p>
        </w:tc>
        <w:tc>
          <w:tcPr>
            <w:tcW w:w="35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注册资金</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联系方式</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联系人</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电话</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邮箱</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传真</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法定代表人</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姓名</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电话</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委托代理人</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姓名</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电话</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公司规模（人数）</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员工总数</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专利代理人</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专利工程师</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流程管理人</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律师</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其他</w:t>
            </w:r>
          </w:p>
        </w:tc>
        <w:tc>
          <w:tcPr>
            <w:tcW w:w="17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业务范围</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其他办公地点</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组织结构</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主要业绩</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ascii="宋体" w:hAnsi="宋体"/>
                <w:sz w:val="24"/>
              </w:rPr>
              <w:t>主要客户</w:t>
            </w:r>
          </w:p>
        </w:tc>
        <w:tc>
          <w:tcPr>
            <w:tcW w:w="70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adjustRightInd w:val="0"/>
        <w:snapToGrid w:val="0"/>
        <w:rPr>
          <w:rFonts w:ascii="Calibri" w:hAnsi="Calibri"/>
          <w:sz w:val="30"/>
          <w:szCs w:val="30"/>
        </w:rPr>
      </w:pPr>
      <w:r>
        <w:rPr>
          <w:sz w:val="30"/>
          <w:szCs w:val="30"/>
        </w:rPr>
        <w:t xml:space="preserve"> </w:t>
      </w:r>
    </w:p>
    <w:p>
      <w:pPr>
        <w:widowControl/>
        <w:jc w:val="left"/>
        <w:rPr>
          <w:rFonts w:ascii="宋体"/>
          <w:b/>
          <w:bCs/>
          <w:sz w:val="24"/>
        </w:rPr>
      </w:pPr>
      <w:r>
        <w:rPr>
          <w:rFonts w:hint="eastAsia" w:ascii="宋体"/>
          <w:b/>
          <w:bCs/>
          <w:sz w:val="24"/>
        </w:rPr>
        <w:br w:type="page"/>
      </w:r>
    </w:p>
    <w:p>
      <w:pPr>
        <w:widowControl/>
        <w:jc w:val="left"/>
        <w:rPr>
          <w:rFonts w:ascii="宋体"/>
          <w:b/>
          <w:bCs/>
          <w:sz w:val="24"/>
        </w:rPr>
      </w:pPr>
      <w:r>
        <w:rPr>
          <w:rFonts w:hint="eastAsia" w:ascii="宋体" w:hAnsi="宋体"/>
          <w:b/>
          <w:bCs/>
          <w:sz w:val="24"/>
        </w:rPr>
        <w:t>六、</w:t>
      </w:r>
      <w:r>
        <w:rPr>
          <w:rFonts w:hint="eastAsia" w:ascii="宋体"/>
          <w:b/>
          <w:bCs/>
          <w:sz w:val="24"/>
        </w:rPr>
        <w:t xml:space="preserve"> </w:t>
      </w:r>
      <w:r>
        <w:rPr>
          <w:rFonts w:hint="eastAsia" w:ascii="宋体" w:hAnsi="宋体"/>
          <w:b/>
          <w:bCs/>
          <w:sz w:val="24"/>
        </w:rPr>
        <w:t>投入到本项目专利代理人及专利工程师情况表</w:t>
      </w:r>
    </w:p>
    <w:tbl>
      <w:tblPr>
        <w:tblStyle w:val="3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11"/>
        <w:gridCol w:w="1011"/>
        <w:gridCol w:w="855"/>
        <w:gridCol w:w="876"/>
        <w:gridCol w:w="1301"/>
        <w:gridCol w:w="718"/>
        <w:gridCol w:w="878"/>
        <w:gridCol w:w="70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宋体"/>
                <w:sz w:val="24"/>
              </w:rPr>
            </w:pPr>
            <w:r>
              <w:rPr>
                <w:rFonts w:hint="eastAsia" w:ascii="宋体" w:hAnsi="宋体"/>
                <w:sz w:val="24"/>
              </w:rPr>
              <w:t>序号</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代理人姓名</w:t>
            </w:r>
          </w:p>
        </w:tc>
        <w:tc>
          <w:tcPr>
            <w:tcW w:w="10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代理人号码</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学历</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专业领域</w:t>
            </w:r>
          </w:p>
        </w:tc>
        <w:tc>
          <w:tcPr>
            <w:tcW w:w="13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从事专利代理工作年限</w:t>
            </w:r>
          </w:p>
        </w:tc>
        <w:tc>
          <w:tcPr>
            <w:tcW w:w="22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近三年代理量</w:t>
            </w: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10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宋体"/>
                <w:sz w:val="24"/>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2019</w:t>
            </w: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2020</w:t>
            </w: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2021</w:t>
            </w: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1</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2</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3</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4</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5</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24"/>
              </w:rPr>
            </w:pPr>
            <w:r>
              <w:rPr>
                <w:rFonts w:hAnsi="宋体"/>
                <w:sz w:val="24"/>
              </w:rPr>
              <w:t>6</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sz w:val="30"/>
                <w:szCs w:val="30"/>
              </w:rPr>
            </w:pPr>
          </w:p>
        </w:tc>
      </w:tr>
    </w:tbl>
    <w:p>
      <w:pPr>
        <w:rPr>
          <w:rFonts w:ascii="Calibri" w:hAnsi="Calibri"/>
          <w:szCs w:val="21"/>
        </w:rPr>
      </w:pPr>
      <w:r>
        <w:t xml:space="preserve"> </w:t>
      </w:r>
    </w:p>
    <w:p>
      <w:r>
        <w:rPr>
          <w:sz w:val="24"/>
        </w:rPr>
        <w:br w:type="page"/>
      </w:r>
    </w:p>
    <w:p>
      <w:pPr>
        <w:pStyle w:val="2"/>
      </w:pPr>
    </w:p>
    <w:p>
      <w:pPr>
        <w:spacing w:line="360" w:lineRule="auto"/>
        <w:ind w:firstLine="562" w:firstLineChars="200"/>
        <w:rPr>
          <w:rFonts w:hAnsi="宋体"/>
          <w:b/>
          <w:sz w:val="28"/>
          <w:szCs w:val="28"/>
        </w:rPr>
      </w:pPr>
      <w:r>
        <w:rPr>
          <w:rFonts w:hint="eastAsia" w:hAnsi="宋体"/>
          <w:b/>
          <w:sz w:val="28"/>
          <w:szCs w:val="28"/>
        </w:rPr>
        <w:t>兹证明上述声明是真实、正确的，并提供了全部能提供的资料和数据，我们同意遵照贵方的要求出示有关证明文件。</w:t>
      </w:r>
    </w:p>
    <w:p>
      <w:pPr>
        <w:spacing w:line="360" w:lineRule="auto"/>
        <w:rPr>
          <w:rFonts w:ascii="宋体" w:hAnsi="宋体"/>
          <w:sz w:val="24"/>
        </w:rPr>
      </w:pPr>
    </w:p>
    <w:p>
      <w:pPr>
        <w:tabs>
          <w:tab w:val="left" w:pos="7725"/>
        </w:tabs>
        <w:spacing w:line="360" w:lineRule="auto"/>
        <w:ind w:firstLine="1680" w:firstLineChars="700"/>
        <w:rPr>
          <w:rFonts w:ascii="宋体" w:hAnsi="宋体"/>
          <w:sz w:val="24"/>
        </w:rPr>
      </w:pPr>
    </w:p>
    <w:p>
      <w:pPr>
        <w:tabs>
          <w:tab w:val="left" w:pos="7725"/>
        </w:tabs>
        <w:spacing w:line="360" w:lineRule="auto"/>
        <w:ind w:firstLine="1680" w:firstLineChars="700"/>
        <w:rPr>
          <w:rFonts w:ascii="宋体" w:hAnsi="宋体"/>
          <w:sz w:val="24"/>
        </w:rPr>
      </w:pPr>
    </w:p>
    <w:p>
      <w:pPr>
        <w:tabs>
          <w:tab w:val="left" w:pos="7725"/>
        </w:tabs>
        <w:spacing w:line="360" w:lineRule="auto"/>
        <w:ind w:firstLine="1680" w:firstLineChars="700"/>
        <w:rPr>
          <w:rFonts w:ascii="宋体" w:hAnsi="宋体"/>
          <w:sz w:val="24"/>
          <w:u w:val="single"/>
        </w:rPr>
      </w:pPr>
      <w:r>
        <w:rPr>
          <w:rFonts w:hint="eastAsia" w:ascii="宋体" w:hAnsi="宋体"/>
          <w:sz w:val="24"/>
        </w:rPr>
        <w:t>投标人名称：</w:t>
      </w:r>
      <w:r>
        <w:rPr>
          <w:rFonts w:hint="eastAsia" w:ascii="宋体" w:hAnsi="宋体"/>
          <w:sz w:val="24"/>
          <w:u w:val="single"/>
        </w:rPr>
        <w:tab/>
      </w:r>
    </w:p>
    <w:p>
      <w:pPr>
        <w:tabs>
          <w:tab w:val="left" w:pos="7725"/>
        </w:tabs>
        <w:spacing w:line="360" w:lineRule="auto"/>
        <w:ind w:firstLine="1680" w:firstLineChars="700"/>
        <w:rPr>
          <w:rFonts w:ascii="宋体" w:hAnsi="宋体"/>
          <w:sz w:val="24"/>
        </w:rPr>
      </w:pPr>
      <w:r>
        <w:rPr>
          <w:rFonts w:hint="eastAsia" w:ascii="宋体" w:hAnsi="宋体"/>
          <w:sz w:val="24"/>
        </w:rPr>
        <w:t>被授权人签字：</w:t>
      </w:r>
      <w:r>
        <w:rPr>
          <w:rFonts w:hint="eastAsia" w:ascii="宋体" w:hAnsi="宋体"/>
          <w:sz w:val="24"/>
          <w:u w:val="single"/>
        </w:rPr>
        <w:tab/>
      </w:r>
    </w:p>
    <w:p>
      <w:pPr>
        <w:tabs>
          <w:tab w:val="left" w:pos="7725"/>
        </w:tabs>
        <w:spacing w:line="360" w:lineRule="auto"/>
        <w:ind w:firstLine="1440" w:firstLineChars="600"/>
        <w:rPr>
          <w:rFonts w:ascii="宋体" w:hAnsi="宋体"/>
          <w:sz w:val="24"/>
        </w:rPr>
      </w:pPr>
      <w:r>
        <w:rPr>
          <w:rFonts w:hint="eastAsia" w:ascii="宋体" w:hAnsi="宋体"/>
          <w:sz w:val="24"/>
        </w:rPr>
        <w:t>被授权人的职务：</w:t>
      </w:r>
      <w:r>
        <w:rPr>
          <w:rFonts w:hint="eastAsia" w:ascii="宋体" w:hAnsi="宋体"/>
          <w:sz w:val="24"/>
          <w:u w:val="single"/>
        </w:rPr>
        <w:tab/>
      </w:r>
    </w:p>
    <w:p>
      <w:pPr>
        <w:spacing w:line="360" w:lineRule="auto"/>
        <w:ind w:firstLine="2640" w:firstLineChars="1100"/>
        <w:rPr>
          <w:rFonts w:ascii="宋体" w:hAnsi="宋体"/>
          <w:sz w:val="24"/>
        </w:rPr>
      </w:pPr>
      <w:r>
        <w:rPr>
          <w:rFonts w:hint="eastAsia" w:ascii="宋体" w:hAnsi="宋体"/>
          <w:sz w:val="24"/>
        </w:rPr>
        <w:t>日期：年月日</w:t>
      </w:r>
    </w:p>
    <w:p>
      <w:pPr>
        <w:tabs>
          <w:tab w:val="left" w:pos="7725"/>
        </w:tabs>
        <w:spacing w:line="360" w:lineRule="auto"/>
        <w:ind w:firstLine="2160" w:firstLineChars="900"/>
        <w:rPr>
          <w:rFonts w:ascii="宋体" w:hAnsi="宋体"/>
          <w:sz w:val="24"/>
        </w:rPr>
      </w:pPr>
      <w:r>
        <w:rPr>
          <w:rFonts w:hint="eastAsia" w:ascii="宋体" w:hAnsi="宋体"/>
          <w:sz w:val="24"/>
        </w:rPr>
        <w:t>电话号码：</w:t>
      </w:r>
      <w:r>
        <w:rPr>
          <w:rFonts w:hint="eastAsia" w:ascii="宋体" w:hAnsi="宋体"/>
          <w:sz w:val="24"/>
          <w:u w:val="single"/>
        </w:rPr>
        <w:tab/>
      </w:r>
    </w:p>
    <w:p>
      <w:pPr>
        <w:tabs>
          <w:tab w:val="left" w:pos="7725"/>
        </w:tabs>
        <w:spacing w:line="360" w:lineRule="auto"/>
        <w:ind w:firstLine="2160" w:firstLineChars="900"/>
        <w:rPr>
          <w:rFonts w:ascii="宋体" w:hAnsi="宋体"/>
          <w:sz w:val="24"/>
        </w:rPr>
      </w:pPr>
      <w:r>
        <w:rPr>
          <w:rFonts w:hint="eastAsia" w:ascii="宋体" w:hAnsi="宋体"/>
          <w:sz w:val="24"/>
        </w:rPr>
        <w:t>传真号码：</w:t>
      </w:r>
      <w:r>
        <w:rPr>
          <w:rFonts w:hint="eastAsia" w:ascii="宋体" w:hAnsi="宋体"/>
          <w:sz w:val="24"/>
          <w:u w:val="single"/>
        </w:rPr>
        <w:tab/>
      </w:r>
    </w:p>
    <w:p>
      <w:pPr>
        <w:tabs>
          <w:tab w:val="left" w:pos="7725"/>
        </w:tabs>
        <w:spacing w:line="360" w:lineRule="auto"/>
        <w:ind w:firstLine="2160" w:firstLineChars="900"/>
        <w:rPr>
          <w:rFonts w:ascii="宋体" w:hAnsi="宋体"/>
          <w:sz w:val="24"/>
        </w:rPr>
      </w:pPr>
      <w:r>
        <w:rPr>
          <w:rFonts w:hint="eastAsia" w:ascii="宋体" w:hAnsi="宋体"/>
          <w:sz w:val="24"/>
        </w:rPr>
        <w:t>电子信箱：</w:t>
      </w:r>
      <w:r>
        <w:rPr>
          <w:rFonts w:hint="eastAsia" w:ascii="宋体" w:hAnsi="宋体"/>
          <w:sz w:val="24"/>
          <w:u w:val="single"/>
        </w:rPr>
        <w:tab/>
      </w:r>
    </w:p>
    <w:p>
      <w:pPr>
        <w:spacing w:line="360" w:lineRule="auto"/>
        <w:rPr>
          <w:rFonts w:ascii="宋体" w:hAnsi="宋体"/>
          <w:sz w:val="24"/>
        </w:rPr>
      </w:pPr>
    </w:p>
    <w:p>
      <w:pPr>
        <w:tabs>
          <w:tab w:val="left" w:pos="7725"/>
        </w:tabs>
        <w:spacing w:line="360" w:lineRule="auto"/>
        <w:ind w:firstLine="2640" w:firstLineChars="1100"/>
        <w:rPr>
          <w:rFonts w:ascii="宋体" w:hAnsi="宋体"/>
          <w:sz w:val="36"/>
        </w:rPr>
      </w:pPr>
      <w:r>
        <w:rPr>
          <w:rFonts w:hint="eastAsia" w:ascii="宋体" w:hAnsi="宋体"/>
          <w:sz w:val="24"/>
        </w:rPr>
        <w:t>公章：</w:t>
      </w:r>
      <w:r>
        <w:rPr>
          <w:rFonts w:hint="eastAsia" w:ascii="宋体" w:hAnsi="宋体"/>
          <w:sz w:val="24"/>
          <w:u w:val="single"/>
        </w:rPr>
        <w:tab/>
      </w:r>
    </w:p>
    <w:p>
      <w:pPr>
        <w:pStyle w:val="48"/>
        <w:spacing w:line="400" w:lineRule="atLeast"/>
        <w:rPr>
          <w:rFonts w:hint="default" w:ascii="宋体" w:hAnsi="宋体"/>
          <w:sz w:val="28"/>
        </w:rPr>
      </w:pPr>
      <w:r>
        <w:rPr>
          <w:rFonts w:hint="default" w:ascii="宋体" w:hAnsi="宋体"/>
          <w:sz w:val="28"/>
        </w:rPr>
        <w:br w:type="page"/>
      </w:r>
      <w:r>
        <w:rPr>
          <w:rFonts w:ascii="宋体" w:hAnsi="宋体"/>
          <w:sz w:val="28"/>
        </w:rPr>
        <w:t>附件八：</w:t>
      </w:r>
    </w:p>
    <w:p>
      <w:pPr>
        <w:pStyle w:val="19"/>
        <w:spacing w:line="440" w:lineRule="exact"/>
        <w:jc w:val="center"/>
        <w:rPr>
          <w:rFonts w:hAnsi="宋体"/>
          <w:b/>
          <w:snapToGrid w:val="0"/>
          <w:sz w:val="32"/>
          <w:szCs w:val="32"/>
        </w:rPr>
      </w:pPr>
      <w:r>
        <w:rPr>
          <w:rFonts w:hAnsi="宋体"/>
          <w:b/>
          <w:snapToGrid w:val="0"/>
          <w:sz w:val="32"/>
          <w:szCs w:val="32"/>
        </w:rPr>
        <w:t>服务方案及工作人员安排计划</w:t>
      </w:r>
    </w:p>
    <w:p>
      <w:pPr>
        <w:pStyle w:val="48"/>
        <w:spacing w:line="400" w:lineRule="atLeast"/>
        <w:jc w:val="center"/>
        <w:rPr>
          <w:rFonts w:hint="default" w:ascii="宋体" w:hAnsi="宋体"/>
          <w:sz w:val="24"/>
          <w:szCs w:val="24"/>
        </w:rPr>
      </w:pPr>
      <w:r>
        <w:rPr>
          <w:rFonts w:ascii="宋体" w:hAnsi="宋体"/>
          <w:sz w:val="24"/>
          <w:szCs w:val="24"/>
        </w:rPr>
        <w:t>（格式自拟）</w:t>
      </w:r>
    </w:p>
    <w:p>
      <w:pPr>
        <w:spacing w:line="430" w:lineRule="exact"/>
        <w:ind w:firstLine="480" w:firstLineChars="200"/>
        <w:rPr>
          <w:rFonts w:ascii="宋体" w:hAnsi="宋体"/>
          <w:sz w:val="24"/>
        </w:rPr>
      </w:pPr>
      <w:r>
        <w:rPr>
          <w:rFonts w:hint="eastAsia" w:ascii="宋体" w:hAnsi="宋体"/>
          <w:sz w:val="24"/>
        </w:rPr>
        <w:t>根据项目要求的服务内容，制定相应的服务方案。各投标人提供的服务整体方案应具有合理性、完整性、配置及措施的先进性、优越性。</w:t>
      </w:r>
    </w:p>
    <w:p>
      <w:pPr>
        <w:spacing w:line="430" w:lineRule="exact"/>
        <w:ind w:firstLine="480" w:firstLineChars="200"/>
        <w:rPr>
          <w:rFonts w:ascii="宋体" w:hAnsi="宋体"/>
          <w:sz w:val="24"/>
        </w:rPr>
      </w:pPr>
      <w:r>
        <w:rPr>
          <w:rFonts w:hint="eastAsia" w:ascii="宋体" w:hAnsi="宋体"/>
          <w:sz w:val="24"/>
        </w:rPr>
        <w:t>根据项目要求，投标人应对工作人员安排作出承诺及提供相应的工作人员安排计划方案内容。</w:t>
      </w:r>
    </w:p>
    <w:p>
      <w:pPr>
        <w:tabs>
          <w:tab w:val="left" w:pos="5580"/>
        </w:tabs>
        <w:spacing w:before="120" w:line="360" w:lineRule="auto"/>
        <w:ind w:firstLine="560" w:firstLineChars="200"/>
        <w:jc w:val="center"/>
        <w:rPr>
          <w:rFonts w:ascii="宋体" w:hAnsi="宋体"/>
          <w:sz w:val="24"/>
        </w:rPr>
      </w:pPr>
      <w:r>
        <w:rPr>
          <w:rFonts w:ascii="宋体" w:hAnsi="宋体"/>
          <w:sz w:val="28"/>
        </w:rPr>
        <w:br w:type="page"/>
      </w:r>
      <w:r>
        <w:rPr>
          <w:rFonts w:hint="eastAsia" w:ascii="宋体" w:hAnsi="宋体"/>
          <w:sz w:val="28"/>
        </w:rPr>
        <w:t>附件九 资格证明文件</w:t>
      </w:r>
    </w:p>
    <w:p>
      <w:pPr>
        <w:tabs>
          <w:tab w:val="left" w:pos="5580"/>
        </w:tabs>
        <w:spacing w:before="120" w:line="360" w:lineRule="auto"/>
        <w:ind w:firstLine="480" w:firstLineChars="200"/>
        <w:rPr>
          <w:rFonts w:ascii="宋体" w:hAnsi="宋体"/>
          <w:sz w:val="24"/>
        </w:rPr>
      </w:pPr>
    </w:p>
    <w:p>
      <w:pPr>
        <w:tabs>
          <w:tab w:val="left" w:pos="5580"/>
        </w:tabs>
        <w:spacing w:before="120" w:line="360" w:lineRule="auto"/>
        <w:ind w:firstLine="480" w:firstLineChars="200"/>
        <w:rPr>
          <w:rFonts w:ascii="宋体" w:hAnsi="宋体"/>
          <w:sz w:val="24"/>
        </w:rPr>
      </w:pPr>
      <w:r>
        <w:rPr>
          <w:rFonts w:hint="eastAsia" w:ascii="宋体" w:hAnsi="宋体"/>
          <w:sz w:val="24"/>
        </w:rPr>
        <w:t>★9-1  法人营业执照（复印件，加盖公章，投标人必须提供）</w:t>
      </w:r>
    </w:p>
    <w:p>
      <w:pPr>
        <w:tabs>
          <w:tab w:val="left" w:pos="5580"/>
        </w:tabs>
        <w:spacing w:before="120" w:line="360" w:lineRule="auto"/>
        <w:ind w:firstLine="480" w:firstLineChars="200"/>
        <w:rPr>
          <w:rFonts w:ascii="宋体" w:hAnsi="宋体"/>
          <w:sz w:val="24"/>
        </w:rPr>
      </w:pPr>
      <w:r>
        <w:rPr>
          <w:rFonts w:hint="eastAsia" w:ascii="宋体" w:hAnsi="宋体"/>
          <w:sz w:val="24"/>
        </w:rPr>
        <w:t>★9-2  中华人民共和国专利代理机构资格证明文件</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3</w:t>
      </w:r>
      <w:r>
        <w:rPr>
          <w:rFonts w:hint="eastAsia" w:ascii="宋体" w:hAnsi="宋体"/>
          <w:sz w:val="24"/>
        </w:rPr>
        <w:t xml:space="preserve">  银行出具盖章的资信证明文件或会计师事务所出具盖章的上一年度（2</w:t>
      </w:r>
      <w:r>
        <w:rPr>
          <w:rFonts w:ascii="宋体" w:hAnsi="宋体"/>
          <w:sz w:val="24"/>
        </w:rPr>
        <w:t>021</w:t>
      </w:r>
      <w:r>
        <w:rPr>
          <w:rFonts w:hint="eastAsia" w:ascii="宋体" w:hAnsi="宋体"/>
          <w:sz w:val="24"/>
        </w:rPr>
        <w:t>年度或2</w:t>
      </w:r>
      <w:r>
        <w:rPr>
          <w:rFonts w:ascii="宋体" w:hAnsi="宋体"/>
          <w:sz w:val="24"/>
        </w:rPr>
        <w:t>020</w:t>
      </w:r>
      <w:r>
        <w:rPr>
          <w:rFonts w:hint="eastAsia" w:ascii="宋体" w:hAnsi="宋体"/>
          <w:sz w:val="24"/>
        </w:rPr>
        <w:t>年度）财务审计报告（投标人必须提供，但由专业担保机构已出具投标担保函的除外）</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4</w:t>
      </w:r>
      <w:r>
        <w:rPr>
          <w:rFonts w:hint="eastAsia" w:ascii="宋体" w:hAnsi="宋体"/>
          <w:sz w:val="24"/>
        </w:rPr>
        <w:t xml:space="preserve">  </w:t>
      </w:r>
      <w:r>
        <w:rPr>
          <w:rFonts w:hint="eastAsia" w:ascii="宋体" w:hAnsi="宋体" w:cs="宋体"/>
          <w:sz w:val="24"/>
        </w:rPr>
        <w:t>依法缴纳税收的记录（提供投标截止日期之前12个月内任何一期纳税记录复印件并加盖投标人公章，缴纳记录需体现有银行或税务部门印章，自行编写或网页截图无效）（依法免税的供应商，须提供相应文件证明其依法免税）</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5</w:t>
      </w:r>
      <w:r>
        <w:rPr>
          <w:rFonts w:hint="eastAsia" w:ascii="宋体" w:hAnsi="宋体" w:cs="宋体"/>
          <w:sz w:val="24"/>
        </w:rPr>
        <w:t>依法缴纳社会保障资金的记录（提供投标截止日期之前12个月内任何一期缴费记录复印件并加盖投标人公章，缴纳记录需体现有银行或税务部门或社保部门印章，自行编写或网页截图无效）（依法不需要缴纳社会保障资金的供应商，须提供相应文件证明其依法不需要缴纳社会保障资金）</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6</w:t>
      </w:r>
      <w:r>
        <w:rPr>
          <w:rFonts w:hint="eastAsia" w:ascii="宋体" w:hAnsi="宋体"/>
          <w:sz w:val="24"/>
        </w:rPr>
        <w:t>参加政府采购活动前三年内，在经营活动中没有重大违法记录声明。（格式自拟，加盖公章）</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7</w:t>
      </w:r>
      <w:r>
        <w:rPr>
          <w:rFonts w:hint="eastAsia" w:ascii="宋体" w:hAnsi="宋体"/>
          <w:sz w:val="24"/>
        </w:rPr>
        <w:t>具有良好商业信誉和健全财务会计制度的财务状况的承诺（格式自拟，加盖公章）</w:t>
      </w:r>
    </w:p>
    <w:p>
      <w:pPr>
        <w:tabs>
          <w:tab w:val="left" w:pos="5580"/>
        </w:tabs>
        <w:spacing w:before="120" w:line="360" w:lineRule="auto"/>
        <w:ind w:firstLine="480" w:firstLineChars="200"/>
        <w:rPr>
          <w:rFonts w:ascii="宋体" w:hAnsi="宋体"/>
          <w:sz w:val="24"/>
        </w:rPr>
      </w:pPr>
      <w:r>
        <w:rPr>
          <w:rFonts w:hint="eastAsia" w:ascii="宋体" w:hAnsi="宋体"/>
          <w:sz w:val="24"/>
        </w:rPr>
        <w:t>★9-</w:t>
      </w:r>
      <w:r>
        <w:rPr>
          <w:rFonts w:ascii="宋体" w:hAnsi="宋体"/>
          <w:sz w:val="24"/>
        </w:rPr>
        <w:t>8</w:t>
      </w:r>
      <w:r>
        <w:rPr>
          <w:rFonts w:hint="eastAsia" w:ascii="宋体" w:hAnsi="宋体"/>
          <w:sz w:val="24"/>
        </w:rPr>
        <w:t>具有履行合同所必需的设备和专业技术能力的承诺（格式自拟，加盖公章）</w:t>
      </w:r>
    </w:p>
    <w:p>
      <w:pPr>
        <w:pStyle w:val="30"/>
        <w:spacing w:line="360" w:lineRule="auto"/>
        <w:ind w:firstLine="0" w:firstLineChars="0"/>
        <w:rPr>
          <w:rFonts w:ascii="宋体" w:hAnsi="宋体"/>
          <w:sz w:val="24"/>
        </w:rPr>
      </w:pPr>
      <w:r>
        <w:rPr>
          <w:rFonts w:hint="eastAsia" w:ascii="宋体" w:hAnsi="宋体"/>
          <w:sz w:val="24"/>
        </w:rPr>
        <w:t>★</w:t>
      </w:r>
      <w:r>
        <w:rPr>
          <w:rFonts w:ascii="宋体" w:hAnsi="宋体"/>
          <w:sz w:val="24"/>
        </w:rPr>
        <w:t>9-9</w:t>
      </w:r>
      <w:r>
        <w:rPr>
          <w:rFonts w:hint="eastAsia" w:ascii="宋体" w:hAnsi="宋体"/>
          <w:sz w:val="24"/>
        </w:rPr>
        <w:t>投标人提供“控股股东名称、控股公司的名称和存在管理、被管理关系的单位名称且不存在以上有关联关系单位同时参加同一项目投标的说明”（格式自拟）</w:t>
      </w:r>
    </w:p>
    <w:p>
      <w:pPr>
        <w:pStyle w:val="30"/>
        <w:spacing w:line="360" w:lineRule="auto"/>
        <w:ind w:firstLine="0" w:firstLineChars="0"/>
        <w:rPr>
          <w:rFonts w:ascii="宋体" w:hAnsi="宋体"/>
          <w:sz w:val="24"/>
        </w:rPr>
      </w:pPr>
      <w:r>
        <w:rPr>
          <w:rFonts w:hint="eastAsia" w:ascii="宋体" w:hAnsi="宋体"/>
          <w:sz w:val="24"/>
        </w:rPr>
        <w:t>★</w:t>
      </w:r>
      <w:r>
        <w:rPr>
          <w:rFonts w:ascii="宋体" w:hAnsi="宋体"/>
          <w:sz w:val="24"/>
        </w:rPr>
        <w:t xml:space="preserve">9-10 </w:t>
      </w:r>
      <w:r>
        <w:rPr>
          <w:rFonts w:hint="eastAsia" w:ascii="宋体" w:hAnsi="宋体"/>
          <w:sz w:val="24"/>
        </w:rPr>
        <w:t>投标人提供未为本项目提供整体设计、规范编制或者项目管理、监理、检测等服务的声明（格式自拟）。</w:t>
      </w:r>
    </w:p>
    <w:p>
      <w:pPr>
        <w:tabs>
          <w:tab w:val="left" w:pos="5580"/>
        </w:tabs>
        <w:spacing w:before="120" w:line="360" w:lineRule="auto"/>
        <w:ind w:firstLine="480" w:firstLineChars="200"/>
        <w:rPr>
          <w:rFonts w:ascii="宋体" w:hAnsi="宋体"/>
          <w:sz w:val="24"/>
        </w:rPr>
      </w:pPr>
      <w:r>
        <w:rPr>
          <w:rFonts w:hint="eastAsia" w:ascii="宋体" w:hAnsi="宋体"/>
          <w:sz w:val="24"/>
        </w:rPr>
        <w:t>9-1</w:t>
      </w:r>
      <w:r>
        <w:rPr>
          <w:rFonts w:ascii="宋体" w:hAnsi="宋体"/>
          <w:sz w:val="24"/>
        </w:rPr>
        <w:t>1</w:t>
      </w:r>
      <w:r>
        <w:rPr>
          <w:rFonts w:hint="eastAsia" w:ascii="宋体" w:hAnsi="宋体"/>
          <w:sz w:val="24"/>
        </w:rPr>
        <w:t xml:space="preserve"> 招标文件要求或投标人认为必要的其它内容（如：质量认证、荣誉证书等）</w:t>
      </w:r>
    </w:p>
    <w:p>
      <w:pPr>
        <w:spacing w:line="430" w:lineRule="exact"/>
        <w:jc w:val="center"/>
        <w:rPr>
          <w:rFonts w:ascii="宋体" w:hAnsi="宋体"/>
          <w:sz w:val="28"/>
        </w:rPr>
      </w:pPr>
      <w:r>
        <w:rPr>
          <w:rFonts w:ascii="宋体" w:hAnsi="宋体"/>
          <w:sz w:val="28"/>
        </w:rPr>
        <w:br w:type="page"/>
      </w:r>
      <w:r>
        <w:rPr>
          <w:rFonts w:hint="eastAsia" w:ascii="宋体" w:hAnsi="宋体"/>
          <w:sz w:val="28"/>
        </w:rPr>
        <w:t>附件九-</w:t>
      </w:r>
      <w:r>
        <w:rPr>
          <w:rFonts w:ascii="宋体" w:hAnsi="宋体"/>
          <w:sz w:val="28"/>
        </w:rPr>
        <w:t>3</w:t>
      </w:r>
      <w:r>
        <w:rPr>
          <w:rFonts w:hint="eastAsia" w:ascii="宋体" w:hAnsi="宋体"/>
          <w:sz w:val="28"/>
        </w:rPr>
        <w:t>：</w:t>
      </w:r>
    </w:p>
    <w:p>
      <w:pPr>
        <w:spacing w:before="120" w:line="400" w:lineRule="atLeast"/>
        <w:rPr>
          <w:rFonts w:ascii="宋体" w:hAnsi="宋体"/>
          <w:sz w:val="28"/>
        </w:rPr>
      </w:pPr>
    </w:p>
    <w:p>
      <w:pPr>
        <w:pStyle w:val="19"/>
        <w:spacing w:line="440" w:lineRule="exact"/>
        <w:jc w:val="center"/>
        <w:rPr>
          <w:rFonts w:hAnsi="宋体"/>
          <w:b/>
          <w:snapToGrid w:val="0"/>
          <w:sz w:val="32"/>
          <w:szCs w:val="32"/>
        </w:rPr>
      </w:pPr>
      <w:r>
        <w:rPr>
          <w:rFonts w:hint="eastAsia" w:hAnsi="宋体"/>
          <w:b/>
          <w:snapToGrid w:val="0"/>
          <w:sz w:val="32"/>
          <w:szCs w:val="32"/>
        </w:rPr>
        <w:t>资信证明文件</w:t>
      </w:r>
    </w:p>
    <w:p>
      <w:pPr>
        <w:tabs>
          <w:tab w:val="left" w:pos="5580"/>
        </w:tabs>
        <w:spacing w:before="120" w:line="360" w:lineRule="auto"/>
        <w:jc w:val="center"/>
        <w:rPr>
          <w:rFonts w:ascii="宋体" w:hAnsi="宋体"/>
          <w:b/>
          <w:sz w:val="24"/>
        </w:rPr>
      </w:pPr>
      <w:r>
        <w:rPr>
          <w:rFonts w:hint="eastAsia" w:ascii="宋体" w:hAnsi="宋体"/>
          <w:sz w:val="24"/>
        </w:rPr>
        <w:t>(</w:t>
      </w:r>
      <w:r>
        <w:rPr>
          <w:rFonts w:hint="eastAsia" w:ascii="宋体" w:hAnsi="宋体"/>
          <w:b/>
          <w:sz w:val="24"/>
        </w:rPr>
        <w:t>会计师事务所出具的上一年度（2</w:t>
      </w:r>
      <w:r>
        <w:rPr>
          <w:rFonts w:ascii="宋体" w:hAnsi="宋体"/>
          <w:b/>
          <w:sz w:val="24"/>
        </w:rPr>
        <w:t>021</w:t>
      </w:r>
      <w:r>
        <w:rPr>
          <w:rFonts w:hint="eastAsia" w:ascii="宋体" w:hAnsi="宋体"/>
          <w:b/>
          <w:sz w:val="24"/>
        </w:rPr>
        <w:t>年或2</w:t>
      </w:r>
      <w:r>
        <w:rPr>
          <w:rFonts w:ascii="宋体" w:hAnsi="宋体"/>
          <w:b/>
          <w:sz w:val="24"/>
        </w:rPr>
        <w:t>020</w:t>
      </w:r>
      <w:r>
        <w:rPr>
          <w:rFonts w:hint="eastAsia" w:ascii="宋体" w:hAnsi="宋体"/>
          <w:b/>
          <w:sz w:val="24"/>
        </w:rPr>
        <w:t>年度）财务审计报告或银行出具的资信证明)</w:t>
      </w:r>
    </w:p>
    <w:p>
      <w:pPr>
        <w:tabs>
          <w:tab w:val="left" w:pos="5580"/>
        </w:tabs>
        <w:spacing w:before="120" w:line="22" w:lineRule="atLeast"/>
        <w:ind w:firstLine="549"/>
        <w:jc w:val="center"/>
        <w:rPr>
          <w:rFonts w:ascii="宋体" w:hAnsi="宋体"/>
          <w:b/>
          <w:sz w:val="24"/>
        </w:rPr>
      </w:pPr>
    </w:p>
    <w:p>
      <w:pPr>
        <w:tabs>
          <w:tab w:val="left" w:pos="5580"/>
        </w:tabs>
        <w:spacing w:before="120" w:line="360" w:lineRule="auto"/>
        <w:ind w:firstLine="480" w:firstLineChars="200"/>
        <w:rPr>
          <w:rFonts w:ascii="宋体" w:hAnsi="宋体"/>
          <w:sz w:val="24"/>
        </w:rPr>
      </w:pPr>
      <w:r>
        <w:rPr>
          <w:rFonts w:hint="eastAsia" w:ascii="宋体" w:hAnsi="宋体"/>
          <w:sz w:val="24"/>
        </w:rPr>
        <w:t>说明：</w:t>
      </w:r>
    </w:p>
    <w:p>
      <w:pPr>
        <w:tabs>
          <w:tab w:val="left" w:pos="5580"/>
        </w:tabs>
        <w:spacing w:before="120" w:line="360" w:lineRule="auto"/>
        <w:ind w:firstLine="480" w:firstLineChars="200"/>
        <w:rPr>
          <w:rFonts w:ascii="宋体" w:hAnsi="宋体"/>
          <w:bCs/>
          <w:sz w:val="24"/>
        </w:rPr>
      </w:pPr>
      <w:r>
        <w:rPr>
          <w:rFonts w:hint="eastAsia" w:ascii="宋体" w:hAnsi="宋体"/>
          <w:sz w:val="24"/>
        </w:rPr>
        <w:t>1、投标人在投标文件中，必须提供本单位上年度经会计师事务所出具的审计报告复印件并加盖</w:t>
      </w:r>
      <w:r>
        <w:rPr>
          <w:rFonts w:hint="eastAsia" w:ascii="宋体" w:hAnsi="宋体"/>
          <w:bCs/>
          <w:sz w:val="24"/>
        </w:rPr>
        <w:t>本单位公章。</w:t>
      </w:r>
    </w:p>
    <w:p>
      <w:pPr>
        <w:tabs>
          <w:tab w:val="left" w:pos="5580"/>
        </w:tabs>
        <w:spacing w:before="120" w:line="360" w:lineRule="auto"/>
        <w:ind w:firstLine="480" w:firstLineChars="200"/>
        <w:rPr>
          <w:rFonts w:ascii="宋体" w:hAnsi="宋体"/>
          <w:sz w:val="24"/>
        </w:rPr>
      </w:pPr>
      <w:r>
        <w:rPr>
          <w:rFonts w:hint="eastAsia" w:ascii="宋体" w:hAnsi="宋体"/>
          <w:sz w:val="24"/>
        </w:rPr>
        <w:t>2、如投标人无法提供上年度审计报告，则需提供在</w:t>
      </w:r>
      <w:r>
        <w:rPr>
          <w:rFonts w:hint="eastAsia" w:ascii="宋体" w:hAnsi="宋体"/>
          <w:b/>
          <w:bCs/>
          <w:sz w:val="24"/>
        </w:rPr>
        <w:t>开标日前3个月内银行开具的资信证明复印件并加盖公章</w:t>
      </w:r>
      <w:r>
        <w:rPr>
          <w:rFonts w:hint="eastAsia" w:ascii="宋体" w:hAnsi="宋体"/>
          <w:sz w:val="24"/>
        </w:rPr>
        <w:t>。评标委员会保留审核原件的权利。</w:t>
      </w:r>
    </w:p>
    <w:p>
      <w:pPr>
        <w:tabs>
          <w:tab w:val="left" w:pos="5580"/>
        </w:tabs>
        <w:spacing w:before="120" w:line="360" w:lineRule="auto"/>
        <w:ind w:firstLine="480" w:firstLineChars="200"/>
        <w:rPr>
          <w:rFonts w:ascii="宋体" w:hAnsi="宋体"/>
          <w:sz w:val="24"/>
        </w:rPr>
      </w:pPr>
      <w:r>
        <w:rPr>
          <w:rFonts w:hint="eastAsia" w:ascii="宋体" w:hAnsi="宋体"/>
          <w:sz w:val="24"/>
        </w:rPr>
        <w:t>3、银行资信证明应能说明该投标人与银行之间业务往来正常，企业信誉良好等。银行出具的存款证明不能替代银行资信证明。</w:t>
      </w:r>
    </w:p>
    <w:p>
      <w:pPr>
        <w:spacing w:line="430" w:lineRule="exact"/>
        <w:rPr>
          <w:rFonts w:ascii="宋体" w:hAnsi="宋体"/>
          <w:sz w:val="28"/>
        </w:rPr>
      </w:pPr>
    </w:p>
    <w:p>
      <w:pPr>
        <w:spacing w:line="430" w:lineRule="exact"/>
        <w:rPr>
          <w:rFonts w:ascii="宋体" w:hAnsi="宋体"/>
          <w:sz w:val="28"/>
        </w:rPr>
      </w:pPr>
      <w:r>
        <w:rPr>
          <w:rFonts w:ascii="宋体" w:hAnsi="宋体"/>
          <w:sz w:val="28"/>
        </w:rPr>
        <w:br w:type="page"/>
      </w:r>
      <w:r>
        <w:rPr>
          <w:rFonts w:hint="eastAsia" w:ascii="宋体" w:hAnsi="宋体"/>
          <w:sz w:val="28"/>
        </w:rPr>
        <w:t>附件十：</w:t>
      </w:r>
    </w:p>
    <w:p>
      <w:pPr>
        <w:pStyle w:val="19"/>
        <w:spacing w:line="440" w:lineRule="exact"/>
        <w:jc w:val="center"/>
        <w:rPr>
          <w:rFonts w:hAnsi="宋体"/>
          <w:snapToGrid w:val="0"/>
          <w:sz w:val="28"/>
          <w:szCs w:val="28"/>
        </w:rPr>
      </w:pPr>
      <w:r>
        <w:rPr>
          <w:rFonts w:hint="eastAsia" w:hAnsi="宋体"/>
          <w:b/>
          <w:snapToGrid w:val="0"/>
          <w:sz w:val="32"/>
          <w:szCs w:val="32"/>
        </w:rPr>
        <w:t>近三年服务业绩情况表</w:t>
      </w:r>
    </w:p>
    <w:p>
      <w:pPr>
        <w:pStyle w:val="19"/>
        <w:spacing w:line="460" w:lineRule="atLeast"/>
        <w:jc w:val="left"/>
        <w:rPr>
          <w:rFonts w:hAnsi="宋体"/>
          <w:snapToGrid w:val="0"/>
          <w:kern w:val="0"/>
          <w:sz w:val="24"/>
        </w:rPr>
      </w:pPr>
    </w:p>
    <w:p>
      <w:pPr>
        <w:pStyle w:val="19"/>
        <w:spacing w:line="460" w:lineRule="atLeast"/>
        <w:jc w:val="left"/>
        <w:rPr>
          <w:rFonts w:hAnsi="宋体"/>
          <w:snapToGrid w:val="0"/>
          <w:kern w:val="0"/>
          <w:sz w:val="24"/>
        </w:rPr>
      </w:pPr>
      <w:r>
        <w:rPr>
          <w:rFonts w:hint="eastAsia" w:hAnsi="宋体"/>
          <w:snapToGrid w:val="0"/>
          <w:kern w:val="0"/>
          <w:sz w:val="24"/>
        </w:rPr>
        <w:t>项目名称：</w:t>
      </w:r>
    </w:p>
    <w:tbl>
      <w:tblPr>
        <w:tblStyle w:val="31"/>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02"/>
        <w:gridCol w:w="1683"/>
        <w:gridCol w:w="1738"/>
        <w:gridCol w:w="127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8" w:type="dxa"/>
            <w:vAlign w:val="center"/>
          </w:tcPr>
          <w:p>
            <w:pPr>
              <w:pStyle w:val="19"/>
              <w:spacing w:line="460" w:lineRule="atLeast"/>
              <w:jc w:val="center"/>
              <w:rPr>
                <w:rFonts w:hAnsi="宋体"/>
                <w:snapToGrid w:val="0"/>
                <w:sz w:val="24"/>
                <w:szCs w:val="24"/>
              </w:rPr>
            </w:pPr>
            <w:r>
              <w:rPr>
                <w:rFonts w:hint="eastAsia" w:hAnsi="宋体"/>
                <w:snapToGrid w:val="0"/>
                <w:sz w:val="24"/>
                <w:szCs w:val="24"/>
              </w:rPr>
              <w:t>序号</w:t>
            </w:r>
          </w:p>
        </w:tc>
        <w:tc>
          <w:tcPr>
            <w:tcW w:w="2202" w:type="dxa"/>
            <w:vAlign w:val="center"/>
          </w:tcPr>
          <w:p>
            <w:pPr>
              <w:pStyle w:val="19"/>
              <w:spacing w:line="460" w:lineRule="atLeast"/>
              <w:jc w:val="center"/>
              <w:rPr>
                <w:rFonts w:hAnsi="宋体"/>
                <w:snapToGrid w:val="0"/>
                <w:sz w:val="24"/>
                <w:szCs w:val="24"/>
              </w:rPr>
            </w:pPr>
            <w:r>
              <w:rPr>
                <w:rFonts w:hint="eastAsia" w:hAnsi="宋体"/>
                <w:snapToGrid w:val="0"/>
                <w:sz w:val="24"/>
                <w:szCs w:val="24"/>
              </w:rPr>
              <w:t>用户单位</w:t>
            </w:r>
          </w:p>
        </w:tc>
        <w:tc>
          <w:tcPr>
            <w:tcW w:w="1683" w:type="dxa"/>
            <w:vAlign w:val="center"/>
          </w:tcPr>
          <w:p>
            <w:pPr>
              <w:pStyle w:val="19"/>
              <w:spacing w:line="460" w:lineRule="atLeast"/>
              <w:ind w:left="-275" w:leftChars="-131"/>
              <w:jc w:val="center"/>
              <w:rPr>
                <w:rFonts w:hAnsi="宋体"/>
                <w:snapToGrid w:val="0"/>
                <w:sz w:val="24"/>
                <w:szCs w:val="24"/>
              </w:rPr>
            </w:pPr>
            <w:r>
              <w:rPr>
                <w:rFonts w:hint="eastAsia" w:hAnsi="宋体"/>
                <w:snapToGrid w:val="0"/>
                <w:sz w:val="24"/>
                <w:szCs w:val="24"/>
              </w:rPr>
              <w:t>项目名称</w:t>
            </w:r>
          </w:p>
        </w:tc>
        <w:tc>
          <w:tcPr>
            <w:tcW w:w="1738" w:type="dxa"/>
            <w:vAlign w:val="center"/>
          </w:tcPr>
          <w:p>
            <w:pPr>
              <w:pStyle w:val="19"/>
              <w:spacing w:line="460" w:lineRule="atLeast"/>
              <w:jc w:val="center"/>
              <w:rPr>
                <w:rFonts w:hAnsi="宋体"/>
                <w:snapToGrid w:val="0"/>
                <w:sz w:val="24"/>
                <w:szCs w:val="24"/>
              </w:rPr>
            </w:pPr>
            <w:r>
              <w:rPr>
                <w:rFonts w:hint="eastAsia" w:hAnsi="宋体"/>
                <w:snapToGrid w:val="0"/>
                <w:sz w:val="24"/>
                <w:szCs w:val="24"/>
              </w:rPr>
              <w:t>合同签订时间</w:t>
            </w:r>
          </w:p>
        </w:tc>
        <w:tc>
          <w:tcPr>
            <w:tcW w:w="1277" w:type="dxa"/>
            <w:vAlign w:val="center"/>
          </w:tcPr>
          <w:p>
            <w:pPr>
              <w:pStyle w:val="19"/>
              <w:spacing w:line="460" w:lineRule="atLeast"/>
              <w:jc w:val="center"/>
              <w:rPr>
                <w:rFonts w:hAnsi="宋体"/>
                <w:snapToGrid w:val="0"/>
                <w:sz w:val="24"/>
                <w:szCs w:val="24"/>
              </w:rPr>
            </w:pPr>
            <w:r>
              <w:rPr>
                <w:rFonts w:hint="eastAsia" w:hAnsi="宋体"/>
                <w:snapToGrid w:val="0"/>
                <w:sz w:val="24"/>
                <w:szCs w:val="24"/>
              </w:rPr>
              <w:t>服务期限</w:t>
            </w:r>
          </w:p>
        </w:tc>
        <w:tc>
          <w:tcPr>
            <w:tcW w:w="1263" w:type="dxa"/>
            <w:vAlign w:val="center"/>
          </w:tcPr>
          <w:p>
            <w:pPr>
              <w:pStyle w:val="19"/>
              <w:spacing w:line="460" w:lineRule="atLeast"/>
              <w:jc w:val="center"/>
              <w:rPr>
                <w:rFonts w:hAnsi="宋体"/>
                <w:snapToGrid w:val="0"/>
                <w:sz w:val="24"/>
                <w:szCs w:val="24"/>
              </w:rPr>
            </w:pPr>
            <w:r>
              <w:rPr>
                <w:rFonts w:hint="eastAsia" w:hAnsi="宋体"/>
                <w:snapToGrid w:val="0"/>
                <w:sz w:val="24"/>
                <w:szCs w:val="24"/>
              </w:rPr>
              <w:t>采购方联系人及电话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98" w:type="dxa"/>
            <w:vAlign w:val="center"/>
          </w:tcPr>
          <w:p>
            <w:pPr>
              <w:pStyle w:val="19"/>
              <w:spacing w:line="460" w:lineRule="atLeast"/>
              <w:jc w:val="center"/>
              <w:rPr>
                <w:rFonts w:hAnsi="宋体"/>
                <w:snapToGrid w:val="0"/>
                <w:sz w:val="24"/>
                <w:szCs w:val="24"/>
              </w:rPr>
            </w:pPr>
            <w:r>
              <w:rPr>
                <w:rFonts w:hint="eastAsia" w:hAnsi="宋体"/>
                <w:snapToGrid w:val="0"/>
                <w:sz w:val="24"/>
                <w:szCs w:val="24"/>
              </w:rPr>
              <w:t>1</w:t>
            </w: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98" w:type="dxa"/>
            <w:vAlign w:val="center"/>
          </w:tcPr>
          <w:p>
            <w:pPr>
              <w:pStyle w:val="19"/>
              <w:spacing w:line="460" w:lineRule="atLeast"/>
              <w:jc w:val="center"/>
              <w:rPr>
                <w:rFonts w:hAnsi="宋体"/>
                <w:snapToGrid w:val="0"/>
                <w:sz w:val="24"/>
                <w:szCs w:val="24"/>
              </w:rPr>
            </w:pPr>
            <w:r>
              <w:rPr>
                <w:rFonts w:hint="eastAsia" w:hAnsi="宋体"/>
                <w:snapToGrid w:val="0"/>
                <w:sz w:val="24"/>
                <w:szCs w:val="24"/>
              </w:rPr>
              <w:t>2</w:t>
            </w: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98" w:type="dxa"/>
            <w:vAlign w:val="center"/>
          </w:tcPr>
          <w:p>
            <w:pPr>
              <w:pStyle w:val="19"/>
              <w:spacing w:line="460" w:lineRule="atLeast"/>
              <w:jc w:val="center"/>
              <w:rPr>
                <w:rFonts w:hAnsi="宋体"/>
                <w:snapToGrid w:val="0"/>
                <w:sz w:val="24"/>
                <w:szCs w:val="24"/>
              </w:rPr>
            </w:pPr>
            <w:r>
              <w:rPr>
                <w:rFonts w:hint="eastAsia" w:hAnsi="宋体"/>
                <w:snapToGrid w:val="0"/>
                <w:sz w:val="24"/>
                <w:szCs w:val="24"/>
              </w:rPr>
              <w:t>3</w:t>
            </w: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98" w:type="dxa"/>
            <w:vAlign w:val="center"/>
          </w:tcPr>
          <w:p>
            <w:pPr>
              <w:pStyle w:val="19"/>
              <w:spacing w:line="460" w:lineRule="atLeast"/>
              <w:rPr>
                <w:rFonts w:hAnsi="宋体"/>
                <w:b/>
                <w:snapToGrid w:val="0"/>
                <w:sz w:val="24"/>
                <w:szCs w:val="24"/>
              </w:rPr>
            </w:pPr>
            <w:r>
              <w:rPr>
                <w:rFonts w:hint="eastAsia" w:hAnsi="宋体"/>
                <w:b/>
                <w:snapToGrid w:val="0"/>
                <w:sz w:val="24"/>
                <w:szCs w:val="24"/>
              </w:rPr>
              <w:t>...</w:t>
            </w: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98" w:type="dxa"/>
            <w:vAlign w:val="center"/>
          </w:tcPr>
          <w:p>
            <w:pPr>
              <w:pStyle w:val="19"/>
              <w:spacing w:line="460" w:lineRule="atLeast"/>
              <w:jc w:val="center"/>
              <w:rPr>
                <w:rFonts w:hAnsi="宋体"/>
                <w:snapToGrid w:val="0"/>
                <w:sz w:val="24"/>
                <w:szCs w:val="24"/>
              </w:rPr>
            </w:pP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8" w:type="dxa"/>
            <w:vAlign w:val="center"/>
          </w:tcPr>
          <w:p>
            <w:pPr>
              <w:pStyle w:val="19"/>
              <w:spacing w:line="460" w:lineRule="atLeast"/>
              <w:jc w:val="center"/>
              <w:rPr>
                <w:rFonts w:hAnsi="宋体"/>
                <w:snapToGrid w:val="0"/>
                <w:sz w:val="24"/>
                <w:szCs w:val="24"/>
              </w:rPr>
            </w:pPr>
          </w:p>
        </w:tc>
        <w:tc>
          <w:tcPr>
            <w:tcW w:w="2202" w:type="dxa"/>
            <w:vAlign w:val="center"/>
          </w:tcPr>
          <w:p>
            <w:pPr>
              <w:pStyle w:val="19"/>
              <w:spacing w:line="460" w:lineRule="atLeast"/>
              <w:jc w:val="center"/>
              <w:rPr>
                <w:rFonts w:hAnsi="宋体"/>
                <w:snapToGrid w:val="0"/>
                <w:sz w:val="24"/>
                <w:szCs w:val="24"/>
              </w:rPr>
            </w:pPr>
          </w:p>
        </w:tc>
        <w:tc>
          <w:tcPr>
            <w:tcW w:w="1683" w:type="dxa"/>
            <w:vAlign w:val="center"/>
          </w:tcPr>
          <w:p>
            <w:pPr>
              <w:pStyle w:val="19"/>
              <w:spacing w:line="460" w:lineRule="atLeast"/>
              <w:jc w:val="center"/>
              <w:rPr>
                <w:rFonts w:hAnsi="宋体"/>
                <w:snapToGrid w:val="0"/>
                <w:sz w:val="24"/>
                <w:szCs w:val="24"/>
              </w:rPr>
            </w:pPr>
          </w:p>
        </w:tc>
        <w:tc>
          <w:tcPr>
            <w:tcW w:w="1738" w:type="dxa"/>
            <w:vAlign w:val="center"/>
          </w:tcPr>
          <w:p>
            <w:pPr>
              <w:pStyle w:val="19"/>
              <w:spacing w:line="460" w:lineRule="atLeast"/>
              <w:jc w:val="center"/>
              <w:rPr>
                <w:rFonts w:hAnsi="宋体"/>
                <w:snapToGrid w:val="0"/>
                <w:sz w:val="24"/>
                <w:szCs w:val="24"/>
              </w:rPr>
            </w:pPr>
          </w:p>
        </w:tc>
        <w:tc>
          <w:tcPr>
            <w:tcW w:w="1277" w:type="dxa"/>
            <w:vAlign w:val="center"/>
          </w:tcPr>
          <w:p>
            <w:pPr>
              <w:pStyle w:val="19"/>
              <w:spacing w:line="460" w:lineRule="atLeast"/>
              <w:jc w:val="center"/>
              <w:rPr>
                <w:rFonts w:hAnsi="宋体"/>
                <w:snapToGrid w:val="0"/>
                <w:sz w:val="24"/>
                <w:szCs w:val="24"/>
              </w:rPr>
            </w:pPr>
          </w:p>
        </w:tc>
        <w:tc>
          <w:tcPr>
            <w:tcW w:w="1263" w:type="dxa"/>
            <w:vAlign w:val="center"/>
          </w:tcPr>
          <w:p>
            <w:pPr>
              <w:pStyle w:val="19"/>
              <w:spacing w:line="460" w:lineRule="atLeast"/>
              <w:jc w:val="center"/>
              <w:rPr>
                <w:rFonts w:hAnsi="宋体"/>
                <w:snapToGrid w:val="0"/>
                <w:sz w:val="24"/>
                <w:szCs w:val="24"/>
              </w:rPr>
            </w:pPr>
          </w:p>
        </w:tc>
      </w:tr>
    </w:tbl>
    <w:p>
      <w:pPr>
        <w:pStyle w:val="19"/>
        <w:spacing w:line="460" w:lineRule="atLeast"/>
        <w:jc w:val="left"/>
        <w:rPr>
          <w:rFonts w:hAnsi="宋体"/>
          <w:snapToGrid w:val="0"/>
          <w:sz w:val="24"/>
        </w:rPr>
      </w:pPr>
      <w:r>
        <w:rPr>
          <w:rFonts w:hint="eastAsia" w:hAnsi="宋体"/>
          <w:b/>
          <w:snapToGrid w:val="0"/>
          <w:sz w:val="24"/>
        </w:rPr>
        <w:t>备注：</w:t>
      </w:r>
      <w:r>
        <w:rPr>
          <w:rFonts w:hint="eastAsia" w:hAnsi="宋体"/>
          <w:b/>
          <w:snapToGrid w:val="0"/>
          <w:spacing w:val="-8"/>
          <w:sz w:val="24"/>
        </w:rPr>
        <w:t>表中所列的业绩请提供加盖投标人公章的合同复印件。</w:t>
      </w:r>
    </w:p>
    <w:p>
      <w:pPr>
        <w:pStyle w:val="19"/>
        <w:spacing w:line="460" w:lineRule="atLeast"/>
        <w:jc w:val="left"/>
        <w:rPr>
          <w:rFonts w:hAnsi="宋体"/>
          <w:snapToGrid w:val="0"/>
          <w:sz w:val="24"/>
        </w:rPr>
      </w:pPr>
    </w:p>
    <w:p>
      <w:pPr>
        <w:pStyle w:val="19"/>
        <w:spacing w:line="460" w:lineRule="atLeast"/>
        <w:jc w:val="left"/>
        <w:rPr>
          <w:rFonts w:hAnsi="宋体"/>
          <w:snapToGrid w:val="0"/>
          <w:sz w:val="24"/>
        </w:rPr>
      </w:pPr>
      <w:r>
        <w:rPr>
          <w:rFonts w:hint="eastAsia" w:hAnsi="宋体"/>
          <w:snapToGrid w:val="0"/>
          <w:sz w:val="24"/>
        </w:rPr>
        <w:t>投标人全称：（加盖公章）</w:t>
      </w:r>
    </w:p>
    <w:p>
      <w:pPr>
        <w:pStyle w:val="19"/>
        <w:spacing w:line="460" w:lineRule="atLeast"/>
        <w:jc w:val="left"/>
        <w:rPr>
          <w:rFonts w:hAnsi="宋体"/>
          <w:snapToGrid w:val="0"/>
          <w:sz w:val="24"/>
        </w:rPr>
      </w:pPr>
      <w:r>
        <w:rPr>
          <w:rFonts w:hint="eastAsia" w:hAnsi="宋体"/>
          <w:snapToGrid w:val="0"/>
          <w:sz w:val="24"/>
        </w:rPr>
        <w:t>授权代表或法定代表人(签字):</w:t>
      </w:r>
    </w:p>
    <w:p>
      <w:pPr>
        <w:pStyle w:val="19"/>
        <w:spacing w:line="460" w:lineRule="atLeast"/>
        <w:jc w:val="left"/>
        <w:rPr>
          <w:rFonts w:hAnsi="宋体"/>
          <w:snapToGrid w:val="0"/>
          <w:sz w:val="24"/>
        </w:rPr>
      </w:pPr>
      <w:r>
        <w:rPr>
          <w:rFonts w:hint="eastAsia" w:hAnsi="宋体"/>
          <w:snapToGrid w:val="0"/>
          <w:sz w:val="24"/>
        </w:rPr>
        <w:t>日期：</w:t>
      </w:r>
    </w:p>
    <w:p>
      <w:pPr>
        <w:spacing w:line="430" w:lineRule="exact"/>
        <w:rPr>
          <w:rFonts w:ascii="宋体" w:hAnsi="宋体"/>
          <w:sz w:val="28"/>
        </w:rPr>
      </w:pPr>
    </w:p>
    <w:p>
      <w:pPr>
        <w:snapToGrid w:val="0"/>
        <w:spacing w:before="50" w:after="120"/>
        <w:rPr>
          <w:rFonts w:ascii="宋体" w:hAnsi="宋体"/>
          <w:sz w:val="28"/>
        </w:rPr>
      </w:pPr>
    </w:p>
    <w:p>
      <w:pPr>
        <w:snapToGrid w:val="0"/>
        <w:spacing w:before="50" w:after="120"/>
        <w:rPr>
          <w:rFonts w:ascii="宋体" w:hAnsi="宋体"/>
          <w:sz w:val="28"/>
        </w:rPr>
      </w:pPr>
      <w:r>
        <w:rPr>
          <w:rFonts w:ascii="宋体" w:hAnsi="宋体"/>
          <w:sz w:val="28"/>
        </w:rPr>
        <w:br w:type="page"/>
      </w:r>
      <w:r>
        <w:rPr>
          <w:rFonts w:hint="eastAsia" w:ascii="宋体" w:hAnsi="宋体"/>
          <w:sz w:val="28"/>
        </w:rPr>
        <w:t>附件十一：</w:t>
      </w:r>
    </w:p>
    <w:p>
      <w:pPr>
        <w:snapToGrid w:val="0"/>
        <w:spacing w:before="50" w:after="120"/>
        <w:ind w:firstLine="840" w:firstLineChars="300"/>
        <w:rPr>
          <w:rFonts w:ascii="宋体" w:hAnsi="宋体"/>
          <w:sz w:val="28"/>
        </w:rPr>
      </w:pPr>
    </w:p>
    <w:p>
      <w:pPr>
        <w:pStyle w:val="19"/>
        <w:spacing w:line="440" w:lineRule="exact"/>
        <w:ind w:firstLine="964"/>
        <w:jc w:val="center"/>
        <w:rPr>
          <w:rFonts w:hAnsi="宋体"/>
          <w:b/>
          <w:snapToGrid w:val="0"/>
          <w:sz w:val="32"/>
          <w:szCs w:val="32"/>
        </w:rPr>
      </w:pPr>
      <w:r>
        <w:rPr>
          <w:rFonts w:hint="eastAsia" w:hAnsi="宋体"/>
          <w:b/>
          <w:snapToGrid w:val="0"/>
          <w:sz w:val="32"/>
          <w:szCs w:val="32"/>
        </w:rPr>
        <w:t>投标人认为有必要提供的其它资料（格式自拟）</w:t>
      </w:r>
    </w:p>
    <w:p>
      <w:pPr>
        <w:snapToGrid w:val="0"/>
        <w:spacing w:before="50" w:after="120"/>
        <w:rPr>
          <w:rFonts w:ascii="宋体" w:hAnsi="宋体"/>
          <w:sz w:val="24"/>
        </w:rPr>
      </w:pPr>
      <w:r>
        <w:rPr>
          <w:rFonts w:ascii="宋体" w:hAnsi="宋体"/>
          <w:sz w:val="24"/>
        </w:rPr>
        <w:br w:type="page"/>
      </w:r>
      <w:r>
        <w:rPr>
          <w:rFonts w:hint="eastAsia" w:ascii="宋体" w:hAnsi="宋体"/>
          <w:sz w:val="28"/>
        </w:rPr>
        <w:t>附件十二：</w:t>
      </w:r>
    </w:p>
    <w:p>
      <w:pPr>
        <w:pStyle w:val="19"/>
        <w:spacing w:line="440" w:lineRule="exact"/>
        <w:jc w:val="center"/>
        <w:rPr>
          <w:rFonts w:hAnsi="宋体"/>
          <w:b/>
          <w:snapToGrid w:val="0"/>
          <w:sz w:val="32"/>
          <w:szCs w:val="32"/>
        </w:rPr>
      </w:pPr>
      <w:r>
        <w:rPr>
          <w:rFonts w:hint="eastAsia" w:hAnsi="宋体"/>
          <w:b/>
          <w:snapToGrid w:val="0"/>
          <w:sz w:val="32"/>
          <w:szCs w:val="32"/>
        </w:rPr>
        <w:t>中标服务费承诺书</w:t>
      </w:r>
    </w:p>
    <w:p>
      <w:pPr>
        <w:widowControl/>
        <w:spacing w:before="100" w:beforeAutospacing="1" w:line="360" w:lineRule="auto"/>
        <w:rPr>
          <w:rFonts w:ascii="宋体" w:hAnsi="宋体" w:cs="Arial"/>
          <w:sz w:val="24"/>
          <w:u w:val="single"/>
        </w:rPr>
      </w:pPr>
      <w:r>
        <w:rPr>
          <w:rFonts w:hint="eastAsia" w:ascii="宋体" w:hAnsi="宋体" w:cs="Arial"/>
          <w:sz w:val="24"/>
          <w:u w:val="single"/>
        </w:rPr>
        <w:t>致：东方国际招标有限责任公司</w:t>
      </w:r>
    </w:p>
    <w:p>
      <w:pPr>
        <w:widowControl/>
        <w:ind w:left="-4" w:leftChars="-2" w:firstLine="480" w:firstLineChars="200"/>
        <w:jc w:val="left"/>
        <w:rPr>
          <w:rFonts w:ascii="宋体" w:hAnsi="宋体" w:cs="Arial"/>
          <w:sz w:val="24"/>
        </w:rPr>
      </w:pPr>
    </w:p>
    <w:p>
      <w:pPr>
        <w:widowControl/>
        <w:spacing w:line="360" w:lineRule="auto"/>
        <w:ind w:left="-4" w:leftChars="-2" w:firstLine="480" w:firstLineChars="200"/>
        <w:jc w:val="left"/>
        <w:rPr>
          <w:rFonts w:ascii="宋体" w:hAnsi="宋体" w:cs="Arial"/>
          <w:sz w:val="24"/>
        </w:rPr>
      </w:pPr>
      <w:r>
        <w:rPr>
          <w:rFonts w:hint="eastAsia" w:ascii="宋体" w:hAnsi="宋体" w:cs="Arial"/>
          <w:sz w:val="24"/>
        </w:rPr>
        <w:t>我们在贵公司组织的项目招标中若获中标（招标编号：），我们保证在合同生效后5个工作日内按招标文件的规定，以支票、汇票、电汇中的一种，向东方国际招标有限责任公司支付中标服务费。</w:t>
      </w:r>
    </w:p>
    <w:p>
      <w:pPr>
        <w:tabs>
          <w:tab w:val="left" w:pos="6060"/>
        </w:tabs>
        <w:spacing w:line="360" w:lineRule="auto"/>
        <w:ind w:firstLine="480"/>
        <w:jc w:val="left"/>
        <w:rPr>
          <w:rFonts w:ascii="宋体" w:hAnsi="宋体" w:cs="Arial"/>
          <w:sz w:val="24"/>
        </w:rPr>
      </w:pPr>
      <w:r>
        <w:rPr>
          <w:rFonts w:ascii="宋体" w:hAnsi="宋体"/>
          <w:sz w:val="24"/>
        </w:rPr>
        <w:t>开户名全称：</w:t>
      </w:r>
      <w:r>
        <w:rPr>
          <w:rFonts w:hint="eastAsia" w:ascii="宋体" w:hAnsi="宋体" w:cs="Arial"/>
          <w:sz w:val="24"/>
        </w:rPr>
        <w:t>东方国际招标有限责任公司</w:t>
      </w:r>
      <w:r>
        <w:rPr>
          <w:rFonts w:ascii="宋体" w:hAnsi="宋体" w:cs="Arial"/>
          <w:sz w:val="24"/>
        </w:rPr>
        <w:tab/>
      </w:r>
    </w:p>
    <w:p>
      <w:pPr>
        <w:spacing w:line="360" w:lineRule="auto"/>
        <w:ind w:firstLine="480"/>
        <w:jc w:val="left"/>
        <w:rPr>
          <w:rFonts w:ascii="宋体" w:hAnsi="宋体" w:cs="Arial"/>
          <w:kern w:val="0"/>
          <w:sz w:val="24"/>
        </w:rPr>
      </w:pPr>
      <w:r>
        <w:rPr>
          <w:rFonts w:ascii="宋体" w:hAnsi="宋体"/>
          <w:sz w:val="24"/>
        </w:rPr>
        <w:t>开户银行：</w:t>
      </w:r>
      <w:r>
        <w:rPr>
          <w:rFonts w:hint="eastAsia" w:ascii="宋体" w:hAnsi="宋体"/>
          <w:sz w:val="24"/>
        </w:rPr>
        <w:t>招商银行北京分行西三环支行</w:t>
      </w:r>
    </w:p>
    <w:p>
      <w:pPr>
        <w:spacing w:line="360" w:lineRule="auto"/>
        <w:ind w:firstLine="480"/>
        <w:jc w:val="left"/>
        <w:rPr>
          <w:rFonts w:ascii="宋体" w:hAnsi="宋体"/>
          <w:sz w:val="24"/>
        </w:rPr>
      </w:pPr>
      <w:r>
        <w:rPr>
          <w:rFonts w:ascii="宋体" w:hAnsi="宋体"/>
          <w:sz w:val="24"/>
        </w:rPr>
        <w:t>帐号：862081657710001</w:t>
      </w:r>
    </w:p>
    <w:p>
      <w:pPr>
        <w:widowControl/>
        <w:spacing w:line="360" w:lineRule="auto"/>
        <w:ind w:left="-4" w:leftChars="-2" w:firstLine="480" w:firstLineChars="200"/>
        <w:jc w:val="left"/>
        <w:rPr>
          <w:rFonts w:ascii="宋体" w:hAnsi="宋体" w:cs="Arial"/>
          <w:sz w:val="24"/>
        </w:rPr>
      </w:pPr>
      <w:r>
        <w:rPr>
          <w:rFonts w:hint="eastAsia" w:ascii="宋体" w:hAnsi="宋体" w:cs="Arial"/>
          <w:sz w:val="24"/>
        </w:rPr>
        <w:t>中标服务费缴费标准和办法按照国家发展和改革委员会颁发的《招标代理服务收费管理暂行办法》即（计价格[2002]1980号）货物招标收费标准</w:t>
      </w:r>
      <w:r>
        <w:rPr>
          <w:rFonts w:ascii="宋体" w:hAnsi="宋体" w:cs="Arial"/>
          <w:sz w:val="24"/>
        </w:rPr>
        <w:t>和国家发展改革委办公厅关于招标代理服务收费有关问题的通知（发改办价格[2003]857号）执行</w:t>
      </w:r>
      <w:r>
        <w:rPr>
          <w:rFonts w:hint="eastAsia" w:ascii="宋体" w:hAnsi="宋体" w:cs="Arial"/>
          <w:sz w:val="24"/>
        </w:rPr>
        <w:t>，计费基数为项目总预算。</w:t>
      </w:r>
    </w:p>
    <w:p>
      <w:pPr>
        <w:widowControl/>
        <w:spacing w:line="400" w:lineRule="atLeast"/>
        <w:rPr>
          <w:rFonts w:ascii="宋体" w:hAnsi="宋体" w:cs="Arial"/>
          <w:sz w:val="24"/>
        </w:rPr>
      </w:pPr>
      <w:r>
        <w:rPr>
          <w:rFonts w:hint="eastAsia" w:ascii="宋体" w:hAnsi="宋体" w:cs="Arial"/>
          <w:sz w:val="24"/>
        </w:rPr>
        <w:t>特此承诺！</w:t>
      </w:r>
    </w:p>
    <w:p>
      <w:pPr>
        <w:widowControl/>
        <w:rPr>
          <w:rFonts w:ascii="宋体" w:hAnsi="宋体" w:cs="Arial"/>
          <w:sz w:val="24"/>
        </w:rPr>
      </w:pPr>
    </w:p>
    <w:p>
      <w:pPr>
        <w:widowControl/>
        <w:spacing w:line="400" w:lineRule="atLeast"/>
        <w:rPr>
          <w:rFonts w:ascii="宋体" w:hAnsi="宋体" w:cs="Arial"/>
          <w:sz w:val="24"/>
        </w:rPr>
      </w:pPr>
      <w:r>
        <w:rPr>
          <w:rFonts w:ascii="宋体" w:hAnsi="宋体" w:cs="Arial"/>
          <w:sz w:val="24"/>
        </w:rPr>
        <w:tab/>
      </w:r>
      <w:r>
        <w:rPr>
          <w:rFonts w:hint="eastAsia" w:ascii="宋体" w:hAnsi="宋体" w:cs="Arial"/>
          <w:sz w:val="24"/>
        </w:rPr>
        <w:t>承诺方法定名称：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pPr>
        <w:widowControl/>
        <w:spacing w:line="400" w:lineRule="atLeast"/>
        <w:rPr>
          <w:rFonts w:ascii="宋体" w:hAnsi="宋体" w:cs="Arial"/>
          <w:sz w:val="24"/>
        </w:rPr>
      </w:pPr>
    </w:p>
    <w:p>
      <w:pPr>
        <w:widowControl/>
        <w:spacing w:line="400" w:lineRule="atLeast"/>
        <w:rPr>
          <w:rFonts w:ascii="宋体" w:hAnsi="宋体" w:cs="Arial"/>
          <w:sz w:val="24"/>
        </w:rPr>
      </w:pPr>
      <w:r>
        <w:rPr>
          <w:rFonts w:ascii="宋体" w:hAnsi="宋体" w:cs="Arial"/>
          <w:sz w:val="24"/>
        </w:rPr>
        <w:tab/>
      </w:r>
      <w:r>
        <w:rPr>
          <w:rFonts w:hint="eastAsia" w:ascii="宋体" w:hAnsi="宋体" w:cs="Arial"/>
          <w:sz w:val="24"/>
        </w:rPr>
        <w:t>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pPr>
        <w:widowControl/>
        <w:spacing w:line="400" w:lineRule="atLeast"/>
        <w:rPr>
          <w:rFonts w:ascii="宋体" w:hAnsi="宋体" w:cs="Arial"/>
          <w:sz w:val="24"/>
        </w:rPr>
      </w:pPr>
    </w:p>
    <w:p>
      <w:pPr>
        <w:widowControl/>
        <w:spacing w:line="400" w:lineRule="atLeast"/>
        <w:rPr>
          <w:rFonts w:ascii="宋体" w:hAnsi="宋体" w:cs="Arial"/>
          <w:sz w:val="24"/>
        </w:rPr>
      </w:pPr>
      <w:r>
        <w:rPr>
          <w:rFonts w:ascii="宋体" w:hAnsi="宋体" w:cs="Arial"/>
          <w:sz w:val="24"/>
        </w:rPr>
        <w:tab/>
      </w:r>
      <w:r>
        <w:rPr>
          <w:rFonts w:hint="eastAsia"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ab/>
      </w:r>
      <w:r>
        <w:rPr>
          <w:rFonts w:ascii="宋体" w:hAnsi="宋体" w:cs="Arial"/>
          <w:sz w:val="24"/>
        </w:rPr>
        <w:tab/>
      </w:r>
      <w:r>
        <w:rPr>
          <w:rFonts w:ascii="宋体" w:hAnsi="宋体" w:cs="Arial"/>
          <w:sz w:val="24"/>
        </w:rPr>
        <w:tab/>
      </w:r>
      <w:r>
        <w:rPr>
          <w:rFonts w:hint="eastAsia" w:ascii="宋体" w:hAnsi="宋体" w:cs="Arial"/>
          <w:sz w:val="24"/>
        </w:rPr>
        <w:t>传真：</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pPr>
        <w:widowControl/>
        <w:spacing w:line="400" w:lineRule="atLeast"/>
        <w:rPr>
          <w:rFonts w:ascii="宋体" w:hAnsi="宋体" w:cs="Arial"/>
          <w:sz w:val="24"/>
        </w:rPr>
      </w:pPr>
    </w:p>
    <w:p>
      <w:pPr>
        <w:widowControl/>
        <w:spacing w:line="400" w:lineRule="atLeast"/>
        <w:rPr>
          <w:rFonts w:ascii="宋体" w:hAnsi="宋体" w:cs="Arial"/>
          <w:sz w:val="24"/>
        </w:rPr>
      </w:pPr>
      <w:r>
        <w:rPr>
          <w:rFonts w:ascii="宋体" w:hAnsi="宋体" w:cs="Arial"/>
          <w:sz w:val="24"/>
        </w:rPr>
        <w:tab/>
      </w:r>
      <w:r>
        <w:rPr>
          <w:rFonts w:hint="eastAsia" w:ascii="宋体" w:hAnsi="宋体" w:cs="Arial"/>
          <w:sz w:val="24"/>
        </w:rPr>
        <w:t>电子函件：</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ab/>
      </w:r>
      <w:r>
        <w:rPr>
          <w:rFonts w:hint="eastAsia" w:ascii="宋体" w:hAnsi="宋体" w:cs="Arial"/>
          <w:sz w:val="24"/>
        </w:rPr>
        <w:t>邮编：</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pPr>
        <w:widowControl/>
        <w:spacing w:line="400" w:lineRule="atLeast"/>
        <w:rPr>
          <w:rFonts w:ascii="宋体" w:hAnsi="宋体" w:cs="Arial"/>
          <w:sz w:val="24"/>
        </w:rPr>
      </w:pPr>
    </w:p>
    <w:p>
      <w:pPr>
        <w:widowControl/>
        <w:spacing w:line="400" w:lineRule="atLeast"/>
        <w:rPr>
          <w:rFonts w:ascii="宋体" w:hAnsi="宋体" w:cs="Arial"/>
          <w:sz w:val="24"/>
        </w:rPr>
      </w:pPr>
      <w:r>
        <w:rPr>
          <w:rFonts w:ascii="宋体" w:hAnsi="宋体" w:cs="Arial"/>
          <w:sz w:val="24"/>
        </w:rPr>
        <w:tab/>
      </w:r>
      <w:r>
        <w:rPr>
          <w:rFonts w:hint="eastAsia" w:ascii="宋体" w:hAnsi="宋体" w:cs="Arial"/>
          <w:sz w:val="24"/>
        </w:rPr>
        <w:t>承诺方授权代表签字：</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hint="eastAsia" w:ascii="宋体" w:hAnsi="宋体" w:cs="Arial"/>
          <w:sz w:val="24"/>
        </w:rPr>
        <w:t>（承诺方盖章）</w:t>
      </w:r>
    </w:p>
    <w:p>
      <w:pPr>
        <w:widowControl/>
        <w:spacing w:line="400" w:lineRule="atLeast"/>
        <w:rPr>
          <w:rFonts w:ascii="宋体" w:hAnsi="宋体" w:cs="Arial"/>
          <w:sz w:val="24"/>
        </w:rPr>
      </w:pPr>
    </w:p>
    <w:p>
      <w:pPr>
        <w:widowControl/>
        <w:spacing w:line="400" w:lineRule="atLeast"/>
        <w:rPr>
          <w:rFonts w:ascii="宋体" w:hAnsi="宋体" w:cs="Arial"/>
          <w:sz w:val="24"/>
          <w:u w:val="single"/>
        </w:rPr>
      </w:pPr>
      <w:r>
        <w:rPr>
          <w:rFonts w:ascii="宋体" w:hAnsi="宋体" w:cs="Arial"/>
          <w:sz w:val="24"/>
        </w:rPr>
        <w:tab/>
      </w:r>
      <w:r>
        <w:rPr>
          <w:rFonts w:hint="eastAsia" w:ascii="宋体" w:hAnsi="宋体" w:cs="Arial"/>
          <w:sz w:val="24"/>
        </w:rPr>
        <w:t>承诺日期：</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pPr>
        <w:widowControl/>
        <w:spacing w:line="400" w:lineRule="atLeast"/>
      </w:pPr>
      <w:r>
        <w:rPr>
          <w:rFonts w:ascii="宋体" w:hAnsi="宋体" w:cs="Arial"/>
          <w:sz w:val="24"/>
          <w:u w:val="single"/>
        </w:rPr>
        <w:br w:type="page"/>
      </w:r>
      <w:r>
        <w:rPr>
          <w:rFonts w:hint="eastAsia" w:ascii="宋体" w:hAnsi="宋体"/>
          <w:sz w:val="28"/>
        </w:rPr>
        <w:t>附件十三：</w:t>
      </w:r>
    </w:p>
    <w:p>
      <w:pPr>
        <w:widowControl/>
        <w:spacing w:line="400" w:lineRule="atLeast"/>
        <w:jc w:val="center"/>
      </w:pPr>
      <w:r>
        <w:rPr>
          <w:rFonts w:ascii="宋体" w:hAnsi="宋体"/>
          <w:b/>
          <w:snapToGrid w:val="0"/>
          <w:sz w:val="32"/>
          <w:szCs w:val="32"/>
        </w:rPr>
        <w:t>中小企业声明函</w:t>
      </w:r>
    </w:p>
    <w:p>
      <w:pPr>
        <w:jc w:val="center"/>
        <w:rPr>
          <w:b/>
          <w:sz w:val="24"/>
        </w:rPr>
      </w:pPr>
      <w:r>
        <w:rPr>
          <w:rFonts w:hint="eastAsia"/>
          <w:b/>
          <w:sz w:val="24"/>
        </w:rPr>
        <w:t>（如为中小企业，应按</w:t>
      </w:r>
      <w:r>
        <w:rPr>
          <w:b/>
          <w:sz w:val="24"/>
        </w:rPr>
        <w:t>《政府采购促进中小企业发展</w:t>
      </w:r>
      <w:r>
        <w:rPr>
          <w:rFonts w:hint="eastAsia"/>
          <w:b/>
          <w:sz w:val="24"/>
        </w:rPr>
        <w:t>管理</w:t>
      </w:r>
      <w:r>
        <w:rPr>
          <w:b/>
          <w:sz w:val="24"/>
        </w:rPr>
        <w:t>办法》</w:t>
      </w:r>
      <w:r>
        <w:rPr>
          <w:rFonts w:hint="eastAsia"/>
          <w:b/>
          <w:sz w:val="24"/>
        </w:rPr>
        <w:t>的规定</w:t>
      </w:r>
      <w:r>
        <w:rPr>
          <w:b/>
          <w:sz w:val="24"/>
        </w:rPr>
        <w:t>提供</w:t>
      </w:r>
      <w:r>
        <w:rPr>
          <w:rFonts w:hint="eastAsia"/>
          <w:b/>
          <w:sz w:val="24"/>
        </w:rPr>
        <w:t>）</w:t>
      </w:r>
    </w:p>
    <w:p>
      <w:pPr>
        <w:pStyle w:val="16"/>
        <w:spacing w:before="55" w:line="302" w:lineRule="auto"/>
        <w:ind w:right="415"/>
        <w:jc w:val="center"/>
        <w:rPr>
          <w:rFonts w:cs="宋体"/>
          <w:bCs/>
          <w:kern w:val="44"/>
        </w:rPr>
      </w:pPr>
      <w:r>
        <w:rPr>
          <w:rFonts w:cs="宋体"/>
          <w:kern w:val="0"/>
        </w:rPr>
        <w:t>　　</w:t>
      </w:r>
      <w:r>
        <w:rPr>
          <w:rFonts w:hint="eastAsia" w:cs="宋体"/>
          <w:b/>
          <w:bCs/>
          <w:kern w:val="44"/>
        </w:rPr>
        <w:t>中小企业声明函（工程、服务）</w:t>
      </w:r>
    </w:p>
    <w:p>
      <w:pPr>
        <w:pStyle w:val="16"/>
        <w:spacing w:before="55" w:line="302" w:lineRule="auto"/>
        <w:ind w:right="415" w:firstLine="640"/>
        <w:rPr>
          <w:rFonts w:cs="宋体"/>
          <w:b/>
          <w:bCs/>
          <w:spacing w:val="-2"/>
        </w:rPr>
      </w:pPr>
      <w:r>
        <w:rPr>
          <w:rFonts w:hint="eastAsia" w:cs="宋体"/>
          <w:bCs/>
          <w:spacing w:val="-2"/>
        </w:rPr>
        <w:t>本公司（联合体）郑重声明，根据《政府采购促进中小企业发展管理办法》（财库﹝2020﹞46 号）的规定，本公司（联合体）参加</w:t>
      </w:r>
      <w:r>
        <w:rPr>
          <w:rFonts w:hint="eastAsia" w:cs="宋体"/>
          <w:bCs/>
          <w:spacing w:val="-2"/>
          <w:u w:val="single"/>
        </w:rPr>
        <w:t>（单位名称）</w:t>
      </w:r>
      <w:r>
        <w:rPr>
          <w:rFonts w:hint="eastAsia" w:cs="宋体"/>
          <w:bCs/>
          <w:spacing w:val="-2"/>
        </w:rPr>
        <w:t>的</w:t>
      </w:r>
      <w:r>
        <w:rPr>
          <w:rFonts w:hint="eastAsia" w:cs="宋体"/>
          <w:bCs/>
          <w:spacing w:val="-2"/>
          <w:u w:val="single"/>
        </w:rPr>
        <w:t>（项目名称）</w:t>
      </w:r>
      <w:r>
        <w:rPr>
          <w:rFonts w:hint="eastAsia" w:cs="宋体"/>
          <w:bCs/>
          <w:spacing w:val="-2"/>
        </w:rPr>
        <w:t>采购活动，工程的施工单位全部为符合政策要求的中小企业（或者：服务全部由符合政策要求的中小企业承接）。相关企业（含联合体中的中小企业、签订分包意向协议的中小企业）的具体情况如下：</w:t>
      </w:r>
    </w:p>
    <w:p>
      <w:pPr>
        <w:pStyle w:val="16"/>
        <w:spacing w:before="55" w:line="302" w:lineRule="auto"/>
        <w:ind w:right="415" w:firstLine="640"/>
        <w:rPr>
          <w:rFonts w:cs="宋体"/>
          <w:b/>
          <w:bCs/>
          <w:spacing w:val="-2"/>
        </w:rPr>
      </w:pPr>
      <w:r>
        <w:rPr>
          <w:rFonts w:hint="eastAsia" w:cs="宋体"/>
          <w:bCs/>
          <w:spacing w:val="-2"/>
        </w:rPr>
        <w:t xml:space="preserve">1. </w:t>
      </w:r>
      <w:r>
        <w:rPr>
          <w:rFonts w:hint="eastAsia" w:cs="宋体"/>
          <w:bCs/>
          <w:spacing w:val="-2"/>
          <w:u w:val="single"/>
        </w:rPr>
        <w:t>（标的名称）</w:t>
      </w:r>
      <w:r>
        <w:rPr>
          <w:rFonts w:hint="eastAsia" w:cs="宋体"/>
          <w:bCs/>
          <w:spacing w:val="-2"/>
        </w:rPr>
        <w:t xml:space="preserve"> ，属于</w:t>
      </w:r>
      <w:r>
        <w:rPr>
          <w:rFonts w:hint="eastAsia" w:cs="宋体"/>
          <w:bCs/>
          <w:spacing w:val="-2"/>
          <w:u w:val="single"/>
        </w:rPr>
        <w:t>（其他未列明行业）</w:t>
      </w:r>
      <w:r>
        <w:rPr>
          <w:rFonts w:hint="eastAsia" w:cs="宋体"/>
          <w:bCs/>
          <w:spacing w:val="-2"/>
        </w:rPr>
        <w:t>；承建（承接）企业为</w:t>
      </w:r>
      <w:r>
        <w:rPr>
          <w:rFonts w:hint="eastAsia" w:cs="宋体"/>
          <w:bCs/>
          <w:spacing w:val="-2"/>
          <w:u w:val="single"/>
        </w:rPr>
        <w:t>（企业名称）</w:t>
      </w:r>
      <w:r>
        <w:rPr>
          <w:rFonts w:hint="eastAsia" w:cs="宋体"/>
          <w:bCs/>
          <w:spacing w:val="-2"/>
        </w:rPr>
        <w:t>，从业人员</w:t>
      </w:r>
      <w:r>
        <w:rPr>
          <w:rFonts w:hint="eastAsia" w:cs="宋体"/>
          <w:bCs/>
          <w:spacing w:val="-2"/>
          <w:u w:val="single"/>
        </w:rPr>
        <w:t xml:space="preserve">   </w:t>
      </w:r>
      <w:r>
        <w:rPr>
          <w:rFonts w:hint="eastAsia" w:cs="宋体"/>
          <w:bCs/>
          <w:spacing w:val="-2"/>
        </w:rPr>
        <w:t>人，营业收入为</w:t>
      </w:r>
      <w:r>
        <w:rPr>
          <w:rFonts w:hint="eastAsia" w:cs="宋体"/>
          <w:bCs/>
          <w:spacing w:val="-2"/>
          <w:u w:val="single"/>
        </w:rPr>
        <w:t xml:space="preserve">   </w:t>
      </w:r>
      <w:r>
        <w:rPr>
          <w:rFonts w:hint="eastAsia" w:cs="宋体"/>
          <w:bCs/>
          <w:spacing w:val="-2"/>
        </w:rPr>
        <w:t>万元，资产总额为</w:t>
      </w:r>
      <w:r>
        <w:rPr>
          <w:rFonts w:hint="eastAsia" w:cs="宋体"/>
          <w:bCs/>
          <w:spacing w:val="-2"/>
          <w:u w:val="single"/>
        </w:rPr>
        <w:t xml:space="preserve">   </w:t>
      </w:r>
      <w:r>
        <w:rPr>
          <w:rFonts w:hint="eastAsia" w:cs="宋体"/>
          <w:bCs/>
          <w:spacing w:val="-2"/>
        </w:rPr>
        <w:t>万元，属于</w:t>
      </w:r>
      <w:r>
        <w:rPr>
          <w:rFonts w:hint="eastAsia" w:cs="宋体"/>
          <w:bCs/>
          <w:spacing w:val="-2"/>
          <w:u w:val="single"/>
        </w:rPr>
        <w:t>（中型企业、小型企业、微型企业）</w:t>
      </w:r>
      <w:r>
        <w:rPr>
          <w:rFonts w:hint="eastAsia" w:cs="宋体"/>
          <w:bCs/>
          <w:spacing w:val="-2"/>
        </w:rPr>
        <w:t>；</w:t>
      </w:r>
    </w:p>
    <w:p>
      <w:pPr>
        <w:pStyle w:val="16"/>
        <w:spacing w:before="55" w:line="302" w:lineRule="auto"/>
        <w:ind w:right="415" w:firstLine="640"/>
        <w:rPr>
          <w:rFonts w:cs="宋体"/>
          <w:b/>
          <w:bCs/>
          <w:spacing w:val="-2"/>
        </w:rPr>
      </w:pPr>
      <w:r>
        <w:rPr>
          <w:rFonts w:hint="eastAsia" w:cs="宋体"/>
          <w:bCs/>
          <w:spacing w:val="-2"/>
        </w:rPr>
        <w:t xml:space="preserve">2. </w:t>
      </w:r>
      <w:r>
        <w:rPr>
          <w:rFonts w:hint="eastAsia" w:cs="宋体"/>
          <w:bCs/>
          <w:spacing w:val="-2"/>
          <w:u w:val="single"/>
        </w:rPr>
        <w:t>（标的名称）</w:t>
      </w:r>
      <w:r>
        <w:rPr>
          <w:rFonts w:hint="eastAsia" w:cs="宋体"/>
          <w:bCs/>
          <w:spacing w:val="-2"/>
        </w:rPr>
        <w:t xml:space="preserve"> ，属于</w:t>
      </w:r>
      <w:r>
        <w:rPr>
          <w:rFonts w:hint="eastAsia" w:cs="宋体"/>
          <w:bCs/>
          <w:spacing w:val="-2"/>
          <w:u w:val="single"/>
        </w:rPr>
        <w:t>（其他未列明行业）</w:t>
      </w:r>
      <w:r>
        <w:rPr>
          <w:rFonts w:hint="eastAsia" w:cs="宋体"/>
          <w:bCs/>
          <w:spacing w:val="-2"/>
        </w:rPr>
        <w:t>；承建（承接）企业为</w:t>
      </w:r>
      <w:r>
        <w:rPr>
          <w:rFonts w:hint="eastAsia" w:cs="宋体"/>
          <w:bCs/>
          <w:spacing w:val="-2"/>
          <w:u w:val="single"/>
        </w:rPr>
        <w:t>（企业名称）</w:t>
      </w:r>
      <w:r>
        <w:rPr>
          <w:rFonts w:hint="eastAsia" w:cs="宋体"/>
          <w:bCs/>
          <w:spacing w:val="-2"/>
        </w:rPr>
        <w:t>，从业人员</w:t>
      </w:r>
      <w:r>
        <w:rPr>
          <w:rFonts w:hint="eastAsia" w:cs="宋体"/>
          <w:bCs/>
          <w:spacing w:val="-2"/>
          <w:u w:val="single"/>
        </w:rPr>
        <w:t xml:space="preserve">   </w:t>
      </w:r>
      <w:r>
        <w:rPr>
          <w:rFonts w:hint="eastAsia" w:cs="宋体"/>
          <w:bCs/>
          <w:spacing w:val="-2"/>
        </w:rPr>
        <w:t>人，营业收入为</w:t>
      </w:r>
      <w:r>
        <w:rPr>
          <w:rFonts w:hint="eastAsia" w:cs="宋体"/>
          <w:bCs/>
          <w:spacing w:val="-2"/>
          <w:u w:val="single"/>
        </w:rPr>
        <w:t xml:space="preserve">   </w:t>
      </w:r>
      <w:r>
        <w:rPr>
          <w:rFonts w:hint="eastAsia" w:cs="宋体"/>
          <w:bCs/>
          <w:spacing w:val="-2"/>
        </w:rPr>
        <w:t>万元，资产总额为</w:t>
      </w:r>
      <w:r>
        <w:rPr>
          <w:rFonts w:hint="eastAsia" w:cs="宋体"/>
          <w:bCs/>
          <w:spacing w:val="-2"/>
          <w:u w:val="single"/>
        </w:rPr>
        <w:t xml:space="preserve">   </w:t>
      </w:r>
      <w:r>
        <w:rPr>
          <w:rFonts w:hint="eastAsia" w:cs="宋体"/>
          <w:bCs/>
          <w:spacing w:val="-2"/>
        </w:rPr>
        <w:t>万元，属于</w:t>
      </w:r>
      <w:r>
        <w:rPr>
          <w:rFonts w:hint="eastAsia" w:cs="宋体"/>
          <w:bCs/>
          <w:spacing w:val="-2"/>
          <w:u w:val="single"/>
        </w:rPr>
        <w:t>（中型企业、小型企业、微型企业）</w:t>
      </w:r>
      <w:r>
        <w:rPr>
          <w:rFonts w:hint="eastAsia" w:cs="宋体"/>
          <w:bCs/>
          <w:spacing w:val="-2"/>
        </w:rPr>
        <w:t>；</w:t>
      </w:r>
    </w:p>
    <w:p>
      <w:pPr>
        <w:pStyle w:val="16"/>
        <w:spacing w:before="55" w:line="302" w:lineRule="auto"/>
        <w:ind w:right="415" w:firstLine="640"/>
        <w:rPr>
          <w:rFonts w:cs="宋体"/>
          <w:b/>
          <w:bCs/>
          <w:spacing w:val="-2"/>
        </w:rPr>
      </w:pPr>
      <w:r>
        <w:rPr>
          <w:rFonts w:hint="eastAsia" w:cs="宋体"/>
          <w:bCs/>
          <w:spacing w:val="-2"/>
        </w:rPr>
        <w:t>……</w:t>
      </w:r>
    </w:p>
    <w:p>
      <w:pPr>
        <w:pStyle w:val="16"/>
        <w:spacing w:before="55" w:line="302" w:lineRule="auto"/>
        <w:ind w:right="415" w:firstLine="640"/>
        <w:rPr>
          <w:rFonts w:cs="宋体"/>
          <w:b/>
          <w:bCs/>
          <w:spacing w:val="-2"/>
        </w:rPr>
      </w:pPr>
      <w:r>
        <w:rPr>
          <w:rFonts w:hint="eastAsia" w:cs="宋体"/>
          <w:bCs/>
          <w:spacing w:val="-2"/>
        </w:rPr>
        <w:t>以上企业，不属于大企业的分支机构，不存在控股股东为大企业的情形，也不存在与大企业的负责人为同一人的情形。</w:t>
      </w:r>
    </w:p>
    <w:p>
      <w:pPr>
        <w:pStyle w:val="16"/>
        <w:spacing w:before="55" w:line="302" w:lineRule="auto"/>
        <w:ind w:right="415" w:firstLine="640"/>
        <w:rPr>
          <w:rFonts w:cs="宋体"/>
          <w:b/>
          <w:bCs/>
          <w:spacing w:val="-2"/>
        </w:rPr>
      </w:pPr>
      <w:r>
        <w:rPr>
          <w:rFonts w:hint="eastAsia" w:cs="宋体"/>
          <w:bCs/>
          <w:spacing w:val="-2"/>
        </w:rPr>
        <w:t>本企业对上述声明内容的真实性负责。如有虚假，将依法承担相应责任。</w:t>
      </w:r>
    </w:p>
    <w:p>
      <w:pPr>
        <w:pStyle w:val="16"/>
        <w:spacing w:before="55" w:line="302" w:lineRule="auto"/>
        <w:ind w:right="415" w:firstLine="640"/>
        <w:rPr>
          <w:rFonts w:cs="宋体"/>
          <w:spacing w:val="-2"/>
        </w:rPr>
      </w:pPr>
    </w:p>
    <w:p>
      <w:pPr>
        <w:pStyle w:val="16"/>
        <w:spacing w:before="55" w:line="302" w:lineRule="auto"/>
        <w:ind w:right="415" w:firstLine="640"/>
        <w:rPr>
          <w:rFonts w:cs="宋体"/>
          <w:spacing w:val="-2"/>
        </w:rPr>
      </w:pPr>
    </w:p>
    <w:p>
      <w:pPr>
        <w:pStyle w:val="16"/>
        <w:spacing w:before="55" w:line="302" w:lineRule="auto"/>
        <w:ind w:right="415" w:firstLine="640"/>
        <w:rPr>
          <w:rFonts w:cs="宋体"/>
          <w:spacing w:val="-2"/>
        </w:rPr>
      </w:pPr>
    </w:p>
    <w:p>
      <w:pPr>
        <w:pStyle w:val="16"/>
        <w:spacing w:before="55" w:line="302" w:lineRule="auto"/>
        <w:ind w:right="415" w:firstLine="640"/>
        <w:rPr>
          <w:rFonts w:cs="宋体"/>
          <w:b/>
          <w:bCs/>
          <w:spacing w:val="-2"/>
        </w:rPr>
      </w:pPr>
    </w:p>
    <w:p>
      <w:pPr>
        <w:pStyle w:val="16"/>
        <w:spacing w:before="55" w:line="302" w:lineRule="auto"/>
        <w:ind w:right="415"/>
        <w:jc w:val="right"/>
        <w:rPr>
          <w:rFonts w:cs="宋体"/>
          <w:b/>
          <w:bCs/>
          <w:spacing w:val="-2"/>
        </w:rPr>
      </w:pPr>
      <w:r>
        <w:rPr>
          <w:rFonts w:hint="eastAsia" w:cs="宋体"/>
          <w:bCs/>
          <w:spacing w:val="-2"/>
        </w:rPr>
        <w:t>企业名称（盖章）：</w:t>
      </w:r>
    </w:p>
    <w:p>
      <w:pPr>
        <w:pStyle w:val="16"/>
        <w:spacing w:before="55" w:line="302" w:lineRule="auto"/>
        <w:ind w:right="415"/>
        <w:jc w:val="right"/>
        <w:rPr>
          <w:rFonts w:cs="宋体"/>
          <w:b/>
          <w:bCs/>
          <w:spacing w:val="-2"/>
        </w:rPr>
      </w:pPr>
      <w:r>
        <w:rPr>
          <w:rFonts w:hint="eastAsia" w:cs="宋体"/>
          <w:bCs/>
          <w:spacing w:val="-2"/>
        </w:rPr>
        <w:t>日期：</w:t>
      </w:r>
    </w:p>
    <w:p>
      <w:pPr>
        <w:pStyle w:val="16"/>
        <w:spacing w:before="55" w:line="302" w:lineRule="auto"/>
        <w:ind w:right="415"/>
        <w:jc w:val="right"/>
        <w:rPr>
          <w:rFonts w:cs="宋体"/>
          <w:spacing w:val="-2"/>
        </w:rPr>
      </w:pPr>
    </w:p>
    <w:p>
      <w:pPr>
        <w:pStyle w:val="16"/>
        <w:spacing w:before="55" w:line="302" w:lineRule="auto"/>
        <w:ind w:right="415"/>
        <w:jc w:val="right"/>
        <w:rPr>
          <w:rFonts w:cs="宋体"/>
          <w:spacing w:val="-2"/>
        </w:rPr>
      </w:pPr>
    </w:p>
    <w:p>
      <w:pPr>
        <w:pStyle w:val="16"/>
        <w:spacing w:before="55" w:line="302" w:lineRule="auto"/>
        <w:ind w:right="415"/>
        <w:jc w:val="right"/>
        <w:rPr>
          <w:rFonts w:cs="宋体"/>
          <w:spacing w:val="-2"/>
        </w:rPr>
      </w:pPr>
    </w:p>
    <w:p>
      <w:pPr>
        <w:widowControl/>
        <w:spacing w:before="100" w:beforeAutospacing="1" w:after="100" w:afterAutospacing="1" w:line="440" w:lineRule="atLeast"/>
        <w:jc w:val="center"/>
        <w:rPr>
          <w:rFonts w:ascii="宋体" w:hAnsi="宋体" w:cs="仿宋_GB2312"/>
          <w:sz w:val="24"/>
        </w:rPr>
      </w:pPr>
      <w:r>
        <w:rPr>
          <w:rFonts w:hint="eastAsia" w:ascii="宋体" w:hAnsi="宋体" w:cs="宋体"/>
          <w:sz w:val="24"/>
        </w:rPr>
        <w:t>从业人员、营业收入、资产总额填报上一年度数据，无上一年度数据的新成立企业可不填报。</w:t>
      </w:r>
      <w:r>
        <w:rPr>
          <w:rFonts w:ascii="宋体" w:hAnsi="宋体" w:cs="仿宋_GB2312"/>
          <w:sz w:val="24"/>
        </w:rPr>
        <w:t>　</w:t>
      </w:r>
    </w:p>
    <w:p>
      <w:r>
        <w:br w:type="page"/>
      </w:r>
      <w:r>
        <w:rPr>
          <w:rFonts w:hint="eastAsia" w:ascii="宋体" w:hAnsi="宋体"/>
          <w:sz w:val="28"/>
          <w:szCs w:val="28"/>
        </w:rPr>
        <w:t>附件十四：</w:t>
      </w:r>
    </w:p>
    <w:p>
      <w:pPr>
        <w:widowControl/>
        <w:spacing w:line="400" w:lineRule="atLeast"/>
        <w:jc w:val="center"/>
        <w:rPr>
          <w:rFonts w:ascii="宋体" w:hAnsi="宋体"/>
          <w:b/>
          <w:snapToGrid w:val="0"/>
          <w:sz w:val="32"/>
          <w:szCs w:val="32"/>
        </w:rPr>
      </w:pPr>
      <w:r>
        <w:rPr>
          <w:rFonts w:ascii="宋体" w:hAnsi="宋体"/>
          <w:b/>
          <w:snapToGrid w:val="0"/>
          <w:sz w:val="32"/>
          <w:szCs w:val="32"/>
        </w:rPr>
        <w:t>残疾人福利性单位声明函</w:t>
      </w:r>
    </w:p>
    <w:p>
      <w:pPr>
        <w:jc w:val="center"/>
        <w:rPr>
          <w:b/>
          <w:sz w:val="24"/>
        </w:rPr>
      </w:pPr>
      <w:r>
        <w:rPr>
          <w:rFonts w:hint="eastAsia"/>
          <w:b/>
          <w:sz w:val="24"/>
        </w:rPr>
        <w:t>（如为</w:t>
      </w:r>
      <w:r>
        <w:rPr>
          <w:b/>
          <w:sz w:val="24"/>
        </w:rPr>
        <w:t>残疾人福利性单位</w:t>
      </w:r>
      <w:r>
        <w:rPr>
          <w:rFonts w:hint="eastAsia"/>
          <w:b/>
          <w:sz w:val="24"/>
        </w:rPr>
        <w:t>，应按《财政部民政部中国残疾人联合会关于促进残疾人就业政府采购政策的通知》（财库〔2017〕 141号）的规定提供）</w:t>
      </w:r>
    </w:p>
    <w:p>
      <w:pPr>
        <w:spacing w:line="588" w:lineRule="exact"/>
        <w:jc w:val="center"/>
        <w:rPr>
          <w:rFonts w:ascii="仿宋_GB2312" w:eastAsia="仿宋_GB2312"/>
          <w:b/>
          <w:spacing w:val="6"/>
          <w:sz w:val="32"/>
          <w:szCs w:val="32"/>
        </w:rPr>
      </w:pPr>
      <w:bookmarkStart w:id="68" w:name="OLE_LINK13"/>
      <w:bookmarkStart w:id="69" w:name="OLE_LINK14"/>
    </w:p>
    <w:p>
      <w:pPr>
        <w:spacing w:line="588" w:lineRule="exact"/>
        <w:jc w:val="center"/>
        <w:rPr>
          <w:rFonts w:ascii="宋体" w:hAnsi="宋体" w:cs="宋体"/>
          <w:kern w:val="0"/>
          <w:sz w:val="24"/>
        </w:rPr>
      </w:pPr>
      <w:r>
        <w:rPr>
          <w:rFonts w:hint="eastAsia" w:ascii="宋体" w:hAnsi="宋体" w:cs="宋体"/>
          <w:kern w:val="0"/>
          <w:sz w:val="24"/>
        </w:rPr>
        <w:t>残疾人福利性单位声明函</w:t>
      </w:r>
      <w:bookmarkEnd w:id="68"/>
      <w:bookmarkEnd w:id="69"/>
    </w:p>
    <w:p>
      <w:pPr>
        <w:spacing w:line="588" w:lineRule="exact"/>
        <w:rPr>
          <w:rFonts w:ascii="宋体" w:hAnsi="宋体" w:cs="宋体"/>
          <w:kern w:val="0"/>
          <w:sz w:val="24"/>
        </w:rPr>
      </w:pPr>
    </w:p>
    <w:p>
      <w:pPr>
        <w:spacing w:line="588" w:lineRule="exact"/>
        <w:ind w:firstLine="480" w:firstLineChars="200"/>
        <w:rPr>
          <w:rFonts w:ascii="宋体" w:hAnsi="宋体" w:cs="宋体"/>
          <w:kern w:val="0"/>
          <w:sz w:val="24"/>
        </w:rPr>
      </w:pPr>
      <w:r>
        <w:rPr>
          <w:rFonts w:hint="eastAsia" w:ascii="宋体" w:hAnsi="宋体" w:cs="宋体"/>
          <w:kern w:val="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rPr>
      </w:pPr>
      <w:r>
        <w:rPr>
          <w:rFonts w:hint="eastAsia" w:ascii="宋体" w:hAnsi="宋体" w:cs="宋体"/>
          <w:kern w:val="0"/>
          <w:sz w:val="24"/>
        </w:rPr>
        <w:t>本单位对上述声明的真实性负责。如有虚假，将依法承担相应责任。</w:t>
      </w:r>
    </w:p>
    <w:p>
      <w:pPr>
        <w:spacing w:line="588" w:lineRule="exact"/>
        <w:ind w:firstLine="480" w:firstLineChars="200"/>
        <w:rPr>
          <w:rFonts w:ascii="宋体" w:hAnsi="宋体" w:cs="宋体"/>
          <w:kern w:val="0"/>
          <w:sz w:val="24"/>
        </w:rPr>
      </w:pPr>
    </w:p>
    <w:p>
      <w:pPr>
        <w:spacing w:line="588" w:lineRule="exact"/>
        <w:ind w:firstLine="480" w:firstLineChars="200"/>
        <w:rPr>
          <w:rFonts w:ascii="宋体" w:hAnsi="宋体" w:cs="宋体"/>
          <w:kern w:val="0"/>
          <w:sz w:val="24"/>
        </w:rPr>
      </w:pPr>
    </w:p>
    <w:p>
      <w:pPr>
        <w:tabs>
          <w:tab w:val="left" w:pos="4860"/>
        </w:tabs>
        <w:spacing w:line="588" w:lineRule="exact"/>
        <w:ind w:right="1560" w:firstLine="480" w:firstLineChars="200"/>
        <w:jc w:val="center"/>
        <w:rPr>
          <w:rFonts w:ascii="宋体" w:hAnsi="宋体" w:cs="宋体"/>
          <w:kern w:val="0"/>
          <w:sz w:val="24"/>
        </w:rPr>
      </w:pPr>
      <w:r>
        <w:rPr>
          <w:rFonts w:hint="eastAsia" w:ascii="宋体" w:hAnsi="宋体" w:cs="宋体"/>
          <w:kern w:val="0"/>
          <w:sz w:val="24"/>
        </w:rPr>
        <w:t>单位名称（盖章）：</w:t>
      </w:r>
    </w:p>
    <w:p>
      <w:pPr>
        <w:tabs>
          <w:tab w:val="left" w:pos="4860"/>
        </w:tabs>
        <w:spacing w:line="588" w:lineRule="exact"/>
        <w:ind w:right="1560" w:firstLine="480" w:firstLineChars="200"/>
        <w:jc w:val="center"/>
        <w:rPr>
          <w:rFonts w:ascii="宋体" w:hAnsi="宋体" w:cs="宋体"/>
          <w:kern w:val="0"/>
          <w:sz w:val="24"/>
        </w:rPr>
      </w:pPr>
      <w:r>
        <w:rPr>
          <w:rFonts w:hint="eastAsia" w:ascii="宋体" w:hAnsi="宋体" w:cs="宋体"/>
          <w:kern w:val="0"/>
          <w:sz w:val="24"/>
        </w:rPr>
        <w:t>日期：</w:t>
      </w:r>
    </w:p>
    <w:p>
      <w:pPr>
        <w:jc w:val="center"/>
        <w:rPr>
          <w:rFonts w:ascii="黑体" w:eastAsia="黑体"/>
          <w:b/>
          <w:sz w:val="48"/>
        </w:rPr>
      </w:pPr>
    </w:p>
    <w:sectPr>
      <w:headerReference r:id="rId5" w:type="default"/>
      <w:footerReference r:id="rId6"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time of new roman">
    <w:altName w:val="宋体"/>
    <w:panose1 w:val="00000000000000000000"/>
    <w:charset w:val="00"/>
    <w:family w:val="roman"/>
    <w:pitch w:val="default"/>
    <w:sig w:usb0="00000000" w:usb1="00000000" w:usb2="00000000" w:usb3="00000000" w:csb0="00040001" w:csb1="00000000"/>
  </w:font>
  <w:font w:name="inherit">
    <w:altName w:val="Microsoft YaHei UI"/>
    <w:panose1 w:val="00000000000000000000"/>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5"/>
      </w:rPr>
    </w:pPr>
  </w:p>
  <w:p>
    <w:pPr>
      <w:pStyle w:val="2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B8D51"/>
    <w:multiLevelType w:val="singleLevel"/>
    <w:tmpl w:val="A10B8D51"/>
    <w:lvl w:ilvl="0" w:tentative="0">
      <w:start w:val="1"/>
      <w:numFmt w:val="decimal"/>
      <w:suff w:val="nothing"/>
      <w:lvlText w:val="%1．"/>
      <w:lvlJc w:val="left"/>
      <w:pPr>
        <w:ind w:left="0" w:firstLine="400"/>
      </w:pPr>
      <w:rPr>
        <w:rFonts w:hint="default"/>
      </w:rPr>
    </w:lvl>
  </w:abstractNum>
  <w:abstractNum w:abstractNumId="1">
    <w:nsid w:val="00000004"/>
    <w:multiLevelType w:val="multilevel"/>
    <w:tmpl w:val="00000004"/>
    <w:lvl w:ilvl="0" w:tentative="0">
      <w:start w:val="1"/>
      <w:numFmt w:val="decimal"/>
      <w:lvlText w:val="（%1）"/>
      <w:lvlJc w:val="left"/>
      <w:pPr>
        <w:tabs>
          <w:tab w:val="left" w:pos="1140"/>
        </w:tabs>
        <w:ind w:left="1140" w:hanging="720"/>
      </w:pPr>
      <w:rPr>
        <w:rFonts w:cs="仿宋_GB2312"/>
        <w:u w:val="none"/>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5"/>
    <w:multiLevelType w:val="multilevel"/>
    <w:tmpl w:val="00000005"/>
    <w:lvl w:ilvl="0" w:tentative="0">
      <w:start w:val="1"/>
      <w:numFmt w:val="decimal"/>
      <w:lvlText w:val="%1．"/>
      <w:lvlJc w:val="left"/>
      <w:pPr>
        <w:tabs>
          <w:tab w:val="left" w:pos="768"/>
        </w:tabs>
        <w:ind w:left="768" w:hanging="360"/>
      </w:pPr>
    </w:lvl>
    <w:lvl w:ilvl="1" w:tentative="0">
      <w:start w:val="1"/>
      <w:numFmt w:val="decimal"/>
      <w:lvlText w:val="%2、"/>
      <w:lvlJc w:val="left"/>
      <w:pPr>
        <w:tabs>
          <w:tab w:val="left" w:pos="1410"/>
        </w:tabs>
        <w:ind w:left="1410" w:hanging="360"/>
      </w:pPr>
    </w:lvl>
    <w:lvl w:ilvl="2" w:tentative="0">
      <w:start w:val="1"/>
      <w:numFmt w:val="lowerRoman"/>
      <w:lvlText w:val="%3."/>
      <w:lvlJc w:val="right"/>
      <w:pPr>
        <w:tabs>
          <w:tab w:val="left" w:pos="1668"/>
        </w:tabs>
        <w:ind w:left="1668" w:hanging="420"/>
      </w:p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3">
    <w:nsid w:val="02302177"/>
    <w:multiLevelType w:val="multilevel"/>
    <w:tmpl w:val="023021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AC4F12"/>
    <w:multiLevelType w:val="multilevel"/>
    <w:tmpl w:val="09AC4F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850627D"/>
    <w:multiLevelType w:val="multilevel"/>
    <w:tmpl w:val="185062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B0B6D9F"/>
    <w:multiLevelType w:val="multilevel"/>
    <w:tmpl w:val="5B0B6D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2200AE"/>
    <w:multiLevelType w:val="multilevel"/>
    <w:tmpl w:val="622200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47F70F7"/>
    <w:multiLevelType w:val="singleLevel"/>
    <w:tmpl w:val="747F70F7"/>
    <w:lvl w:ilvl="0" w:tentative="0">
      <w:start w:val="1"/>
      <w:numFmt w:val="decimal"/>
      <w:suff w:val="nothing"/>
      <w:lvlText w:val="（%1）"/>
      <w:lvlJc w:val="left"/>
    </w:lvl>
  </w:abstractNum>
  <w:num w:numId="1">
    <w:abstractNumId w:val="8"/>
  </w:num>
  <w:num w:numId="2">
    <w:abstractNumId w:val="9"/>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2MbM0MAZCE1MDIyUdpeDU4uLM/DyQApNaAL0RGvIsAAAA"/>
    <w:docVar w:name="commondata" w:val="eyJoZGlkIjoiOGU0NTI4OTI3Mjg4MzljY2MwOTU1NGNlYjk0NTg5ODEifQ=="/>
  </w:docVars>
  <w:rsids>
    <w:rsidRoot w:val="00A253D3"/>
    <w:rsid w:val="00012C4B"/>
    <w:rsid w:val="00025AE0"/>
    <w:rsid w:val="000314EF"/>
    <w:rsid w:val="000353C5"/>
    <w:rsid w:val="00036C82"/>
    <w:rsid w:val="00047C28"/>
    <w:rsid w:val="00051868"/>
    <w:rsid w:val="00051C9E"/>
    <w:rsid w:val="00064249"/>
    <w:rsid w:val="000642AA"/>
    <w:rsid w:val="000649FF"/>
    <w:rsid w:val="000750E7"/>
    <w:rsid w:val="00092085"/>
    <w:rsid w:val="00092A50"/>
    <w:rsid w:val="00096FE7"/>
    <w:rsid w:val="000A2A9F"/>
    <w:rsid w:val="000B6A1F"/>
    <w:rsid w:val="000D398B"/>
    <w:rsid w:val="000E48C8"/>
    <w:rsid w:val="00106949"/>
    <w:rsid w:val="00113260"/>
    <w:rsid w:val="0011556B"/>
    <w:rsid w:val="00120F56"/>
    <w:rsid w:val="00125D2C"/>
    <w:rsid w:val="0015129A"/>
    <w:rsid w:val="00166CD9"/>
    <w:rsid w:val="0017784D"/>
    <w:rsid w:val="00182889"/>
    <w:rsid w:val="00182B6E"/>
    <w:rsid w:val="001905AB"/>
    <w:rsid w:val="00191307"/>
    <w:rsid w:val="00192605"/>
    <w:rsid w:val="00192BA5"/>
    <w:rsid w:val="00195B18"/>
    <w:rsid w:val="001B0534"/>
    <w:rsid w:val="001F75C2"/>
    <w:rsid w:val="00200408"/>
    <w:rsid w:val="00200D7E"/>
    <w:rsid w:val="00203D83"/>
    <w:rsid w:val="0021051E"/>
    <w:rsid w:val="00212997"/>
    <w:rsid w:val="00216371"/>
    <w:rsid w:val="00220263"/>
    <w:rsid w:val="0022642C"/>
    <w:rsid w:val="00233E0C"/>
    <w:rsid w:val="00237400"/>
    <w:rsid w:val="00240F00"/>
    <w:rsid w:val="00260AAE"/>
    <w:rsid w:val="0026333F"/>
    <w:rsid w:val="00264A5C"/>
    <w:rsid w:val="00283013"/>
    <w:rsid w:val="00284E52"/>
    <w:rsid w:val="00294F6B"/>
    <w:rsid w:val="002A6728"/>
    <w:rsid w:val="002A7B0B"/>
    <w:rsid w:val="002B5B82"/>
    <w:rsid w:val="002C48B6"/>
    <w:rsid w:val="002E5EF4"/>
    <w:rsid w:val="002F4309"/>
    <w:rsid w:val="002F5FA4"/>
    <w:rsid w:val="00307E30"/>
    <w:rsid w:val="00324798"/>
    <w:rsid w:val="00332A63"/>
    <w:rsid w:val="00342ACE"/>
    <w:rsid w:val="00352BEB"/>
    <w:rsid w:val="00362229"/>
    <w:rsid w:val="00372A98"/>
    <w:rsid w:val="00376D18"/>
    <w:rsid w:val="00382EC5"/>
    <w:rsid w:val="003A1D64"/>
    <w:rsid w:val="003B0E71"/>
    <w:rsid w:val="003B3556"/>
    <w:rsid w:val="003B4181"/>
    <w:rsid w:val="003B4B66"/>
    <w:rsid w:val="003C347F"/>
    <w:rsid w:val="003C5E07"/>
    <w:rsid w:val="003C5F57"/>
    <w:rsid w:val="003D5630"/>
    <w:rsid w:val="003D56C0"/>
    <w:rsid w:val="003D61F8"/>
    <w:rsid w:val="003E44BD"/>
    <w:rsid w:val="003E72E4"/>
    <w:rsid w:val="003F2F53"/>
    <w:rsid w:val="00412A62"/>
    <w:rsid w:val="00433A99"/>
    <w:rsid w:val="00440269"/>
    <w:rsid w:val="00447F82"/>
    <w:rsid w:val="004507CA"/>
    <w:rsid w:val="004510BD"/>
    <w:rsid w:val="0046383D"/>
    <w:rsid w:val="00465974"/>
    <w:rsid w:val="004705A2"/>
    <w:rsid w:val="004718B9"/>
    <w:rsid w:val="004856DE"/>
    <w:rsid w:val="004B1FCE"/>
    <w:rsid w:val="004B4912"/>
    <w:rsid w:val="004B6A9D"/>
    <w:rsid w:val="004C1720"/>
    <w:rsid w:val="004D7003"/>
    <w:rsid w:val="004E49FC"/>
    <w:rsid w:val="004E6C52"/>
    <w:rsid w:val="004F5F41"/>
    <w:rsid w:val="00501728"/>
    <w:rsid w:val="005017AD"/>
    <w:rsid w:val="0052074E"/>
    <w:rsid w:val="00521A23"/>
    <w:rsid w:val="005359C7"/>
    <w:rsid w:val="00537DAB"/>
    <w:rsid w:val="0054390A"/>
    <w:rsid w:val="00547E0F"/>
    <w:rsid w:val="00560C65"/>
    <w:rsid w:val="00565092"/>
    <w:rsid w:val="00584343"/>
    <w:rsid w:val="0058515A"/>
    <w:rsid w:val="00586357"/>
    <w:rsid w:val="00595DAF"/>
    <w:rsid w:val="005B54AE"/>
    <w:rsid w:val="005C169C"/>
    <w:rsid w:val="005E0F76"/>
    <w:rsid w:val="005F5202"/>
    <w:rsid w:val="00606794"/>
    <w:rsid w:val="0062300E"/>
    <w:rsid w:val="00623FC8"/>
    <w:rsid w:val="00650846"/>
    <w:rsid w:val="00655071"/>
    <w:rsid w:val="006560DE"/>
    <w:rsid w:val="0067454E"/>
    <w:rsid w:val="00684C4C"/>
    <w:rsid w:val="00692559"/>
    <w:rsid w:val="00697B0A"/>
    <w:rsid w:val="006A186A"/>
    <w:rsid w:val="006B01CA"/>
    <w:rsid w:val="006B1477"/>
    <w:rsid w:val="006B76E6"/>
    <w:rsid w:val="006C1FAB"/>
    <w:rsid w:val="006D38DC"/>
    <w:rsid w:val="006E2AD8"/>
    <w:rsid w:val="006F58B0"/>
    <w:rsid w:val="00700ADF"/>
    <w:rsid w:val="0070246F"/>
    <w:rsid w:val="007173FF"/>
    <w:rsid w:val="007321DC"/>
    <w:rsid w:val="00733373"/>
    <w:rsid w:val="00737BE3"/>
    <w:rsid w:val="007410EB"/>
    <w:rsid w:val="007508BA"/>
    <w:rsid w:val="00752FDC"/>
    <w:rsid w:val="00763731"/>
    <w:rsid w:val="007651C8"/>
    <w:rsid w:val="00774573"/>
    <w:rsid w:val="007913A0"/>
    <w:rsid w:val="007975F8"/>
    <w:rsid w:val="007C1148"/>
    <w:rsid w:val="007D054C"/>
    <w:rsid w:val="007F188F"/>
    <w:rsid w:val="0080485B"/>
    <w:rsid w:val="008073A9"/>
    <w:rsid w:val="00807963"/>
    <w:rsid w:val="0081280C"/>
    <w:rsid w:val="008142CD"/>
    <w:rsid w:val="008145FC"/>
    <w:rsid w:val="00817D9C"/>
    <w:rsid w:val="008236CA"/>
    <w:rsid w:val="00836637"/>
    <w:rsid w:val="00844A3C"/>
    <w:rsid w:val="00844D78"/>
    <w:rsid w:val="008466B2"/>
    <w:rsid w:val="00853759"/>
    <w:rsid w:val="00870005"/>
    <w:rsid w:val="00877184"/>
    <w:rsid w:val="008836E7"/>
    <w:rsid w:val="008A3748"/>
    <w:rsid w:val="008A6B9E"/>
    <w:rsid w:val="008C101A"/>
    <w:rsid w:val="008C3EF8"/>
    <w:rsid w:val="008C5FEE"/>
    <w:rsid w:val="008C710E"/>
    <w:rsid w:val="008D5B55"/>
    <w:rsid w:val="008E3E69"/>
    <w:rsid w:val="008E66F7"/>
    <w:rsid w:val="008F4E73"/>
    <w:rsid w:val="00901C99"/>
    <w:rsid w:val="009048E0"/>
    <w:rsid w:val="00907412"/>
    <w:rsid w:val="00910076"/>
    <w:rsid w:val="009115D3"/>
    <w:rsid w:val="009218D6"/>
    <w:rsid w:val="00923BB8"/>
    <w:rsid w:val="009361A9"/>
    <w:rsid w:val="00937EB0"/>
    <w:rsid w:val="00954F6E"/>
    <w:rsid w:val="00961B42"/>
    <w:rsid w:val="00973DF6"/>
    <w:rsid w:val="009914A6"/>
    <w:rsid w:val="00995BD1"/>
    <w:rsid w:val="009A5696"/>
    <w:rsid w:val="009B5675"/>
    <w:rsid w:val="009D3FAC"/>
    <w:rsid w:val="009D4E98"/>
    <w:rsid w:val="009D758D"/>
    <w:rsid w:val="009D7B15"/>
    <w:rsid w:val="009D7DF1"/>
    <w:rsid w:val="00A253D3"/>
    <w:rsid w:val="00A26308"/>
    <w:rsid w:val="00A27970"/>
    <w:rsid w:val="00A27EDD"/>
    <w:rsid w:val="00A30D5B"/>
    <w:rsid w:val="00A3535B"/>
    <w:rsid w:val="00A373E5"/>
    <w:rsid w:val="00A41863"/>
    <w:rsid w:val="00A43A12"/>
    <w:rsid w:val="00A45941"/>
    <w:rsid w:val="00A53D00"/>
    <w:rsid w:val="00A766A0"/>
    <w:rsid w:val="00A85513"/>
    <w:rsid w:val="00A85EE8"/>
    <w:rsid w:val="00A978E0"/>
    <w:rsid w:val="00AB1900"/>
    <w:rsid w:val="00AC02EC"/>
    <w:rsid w:val="00AC3CA8"/>
    <w:rsid w:val="00AD3DEA"/>
    <w:rsid w:val="00AD649A"/>
    <w:rsid w:val="00AF3DEC"/>
    <w:rsid w:val="00B06941"/>
    <w:rsid w:val="00B1566D"/>
    <w:rsid w:val="00B15D5A"/>
    <w:rsid w:val="00B248D8"/>
    <w:rsid w:val="00B324B8"/>
    <w:rsid w:val="00B34D56"/>
    <w:rsid w:val="00B55C65"/>
    <w:rsid w:val="00B62547"/>
    <w:rsid w:val="00B812FC"/>
    <w:rsid w:val="00B8568A"/>
    <w:rsid w:val="00B90AB0"/>
    <w:rsid w:val="00BA4E81"/>
    <w:rsid w:val="00BE13B3"/>
    <w:rsid w:val="00BF1BE0"/>
    <w:rsid w:val="00C03067"/>
    <w:rsid w:val="00C20BCC"/>
    <w:rsid w:val="00C25B0C"/>
    <w:rsid w:val="00C3728A"/>
    <w:rsid w:val="00C42C5C"/>
    <w:rsid w:val="00C434AD"/>
    <w:rsid w:val="00C5112B"/>
    <w:rsid w:val="00C5581D"/>
    <w:rsid w:val="00C63E17"/>
    <w:rsid w:val="00C72F67"/>
    <w:rsid w:val="00C751D5"/>
    <w:rsid w:val="00C7642D"/>
    <w:rsid w:val="00C83411"/>
    <w:rsid w:val="00C8391C"/>
    <w:rsid w:val="00C86B47"/>
    <w:rsid w:val="00C8791D"/>
    <w:rsid w:val="00C928E2"/>
    <w:rsid w:val="00C92901"/>
    <w:rsid w:val="00CA44F2"/>
    <w:rsid w:val="00CB26CB"/>
    <w:rsid w:val="00CC10F6"/>
    <w:rsid w:val="00CC6094"/>
    <w:rsid w:val="00CC7F3B"/>
    <w:rsid w:val="00CD02E7"/>
    <w:rsid w:val="00CD3921"/>
    <w:rsid w:val="00CD410C"/>
    <w:rsid w:val="00CF2501"/>
    <w:rsid w:val="00CF26FB"/>
    <w:rsid w:val="00D02EB2"/>
    <w:rsid w:val="00D13164"/>
    <w:rsid w:val="00D13F4A"/>
    <w:rsid w:val="00D15246"/>
    <w:rsid w:val="00D33904"/>
    <w:rsid w:val="00D3583B"/>
    <w:rsid w:val="00D44678"/>
    <w:rsid w:val="00D53988"/>
    <w:rsid w:val="00D56A8B"/>
    <w:rsid w:val="00D7033A"/>
    <w:rsid w:val="00D80A3C"/>
    <w:rsid w:val="00D87B3E"/>
    <w:rsid w:val="00D91AB1"/>
    <w:rsid w:val="00DA09D9"/>
    <w:rsid w:val="00DA45A0"/>
    <w:rsid w:val="00DB24C2"/>
    <w:rsid w:val="00DD35F0"/>
    <w:rsid w:val="00DE2008"/>
    <w:rsid w:val="00DE2346"/>
    <w:rsid w:val="00DF1C90"/>
    <w:rsid w:val="00E01F67"/>
    <w:rsid w:val="00E11962"/>
    <w:rsid w:val="00E129F1"/>
    <w:rsid w:val="00E14CD6"/>
    <w:rsid w:val="00E21040"/>
    <w:rsid w:val="00E25C92"/>
    <w:rsid w:val="00E264E7"/>
    <w:rsid w:val="00E303D1"/>
    <w:rsid w:val="00E31851"/>
    <w:rsid w:val="00E36E65"/>
    <w:rsid w:val="00E536F9"/>
    <w:rsid w:val="00E60F1B"/>
    <w:rsid w:val="00E61633"/>
    <w:rsid w:val="00E94CFE"/>
    <w:rsid w:val="00EA6ED7"/>
    <w:rsid w:val="00EB1919"/>
    <w:rsid w:val="00EE2678"/>
    <w:rsid w:val="00EE31F2"/>
    <w:rsid w:val="00EF5C72"/>
    <w:rsid w:val="00F1582A"/>
    <w:rsid w:val="00F20587"/>
    <w:rsid w:val="00F311D9"/>
    <w:rsid w:val="00F371DE"/>
    <w:rsid w:val="00F41EA0"/>
    <w:rsid w:val="00F862F0"/>
    <w:rsid w:val="00F869F0"/>
    <w:rsid w:val="00F86A3E"/>
    <w:rsid w:val="00F94D8D"/>
    <w:rsid w:val="00FA13B4"/>
    <w:rsid w:val="00FB3F35"/>
    <w:rsid w:val="00FC6294"/>
    <w:rsid w:val="00FD4FAC"/>
    <w:rsid w:val="00FD72EC"/>
    <w:rsid w:val="00FE038D"/>
    <w:rsid w:val="00FE1174"/>
    <w:rsid w:val="013766AD"/>
    <w:rsid w:val="016C20DE"/>
    <w:rsid w:val="01B110AA"/>
    <w:rsid w:val="01B1212E"/>
    <w:rsid w:val="01C35BE9"/>
    <w:rsid w:val="01C66E8E"/>
    <w:rsid w:val="01CA4AFA"/>
    <w:rsid w:val="02027B40"/>
    <w:rsid w:val="02141344"/>
    <w:rsid w:val="0247242E"/>
    <w:rsid w:val="025832D3"/>
    <w:rsid w:val="02736303"/>
    <w:rsid w:val="028101D8"/>
    <w:rsid w:val="028B6AB1"/>
    <w:rsid w:val="02A30522"/>
    <w:rsid w:val="02B77B6A"/>
    <w:rsid w:val="02DC29F9"/>
    <w:rsid w:val="030466A2"/>
    <w:rsid w:val="031E1021"/>
    <w:rsid w:val="034056B5"/>
    <w:rsid w:val="03543825"/>
    <w:rsid w:val="03622D8B"/>
    <w:rsid w:val="0380599C"/>
    <w:rsid w:val="03E36A9F"/>
    <w:rsid w:val="03E8118A"/>
    <w:rsid w:val="044B688C"/>
    <w:rsid w:val="045667A1"/>
    <w:rsid w:val="04B60A42"/>
    <w:rsid w:val="04BC19C1"/>
    <w:rsid w:val="04D23811"/>
    <w:rsid w:val="050B7F37"/>
    <w:rsid w:val="050D1811"/>
    <w:rsid w:val="051A36E4"/>
    <w:rsid w:val="052B0BCB"/>
    <w:rsid w:val="05405B58"/>
    <w:rsid w:val="05424DEB"/>
    <w:rsid w:val="054677E4"/>
    <w:rsid w:val="05500C0D"/>
    <w:rsid w:val="05904B4D"/>
    <w:rsid w:val="0591356D"/>
    <w:rsid w:val="05AA5D16"/>
    <w:rsid w:val="05AB23A6"/>
    <w:rsid w:val="05B939BA"/>
    <w:rsid w:val="05BF5F0B"/>
    <w:rsid w:val="05C75CC4"/>
    <w:rsid w:val="05DF6377"/>
    <w:rsid w:val="05FA52C1"/>
    <w:rsid w:val="064B6F7C"/>
    <w:rsid w:val="0657626F"/>
    <w:rsid w:val="06BD3691"/>
    <w:rsid w:val="06C63540"/>
    <w:rsid w:val="06DA4FB9"/>
    <w:rsid w:val="06DF2612"/>
    <w:rsid w:val="06EB5214"/>
    <w:rsid w:val="06EB55C5"/>
    <w:rsid w:val="06EE0F46"/>
    <w:rsid w:val="06EF51E6"/>
    <w:rsid w:val="06F43E75"/>
    <w:rsid w:val="06F47A12"/>
    <w:rsid w:val="070965DD"/>
    <w:rsid w:val="072F447F"/>
    <w:rsid w:val="074306EA"/>
    <w:rsid w:val="074A2E82"/>
    <w:rsid w:val="07706BFD"/>
    <w:rsid w:val="07747452"/>
    <w:rsid w:val="078D5853"/>
    <w:rsid w:val="078E79BB"/>
    <w:rsid w:val="079C2020"/>
    <w:rsid w:val="07AD5D89"/>
    <w:rsid w:val="07BE1E45"/>
    <w:rsid w:val="07D85EB5"/>
    <w:rsid w:val="07DD1938"/>
    <w:rsid w:val="08094C77"/>
    <w:rsid w:val="08270D71"/>
    <w:rsid w:val="083C3F2D"/>
    <w:rsid w:val="08576690"/>
    <w:rsid w:val="085B652E"/>
    <w:rsid w:val="085F5F8B"/>
    <w:rsid w:val="086B3957"/>
    <w:rsid w:val="086D060F"/>
    <w:rsid w:val="088C6BC8"/>
    <w:rsid w:val="08AC3093"/>
    <w:rsid w:val="08D20F23"/>
    <w:rsid w:val="090C561B"/>
    <w:rsid w:val="09160352"/>
    <w:rsid w:val="093432D7"/>
    <w:rsid w:val="09545B15"/>
    <w:rsid w:val="095D795A"/>
    <w:rsid w:val="096575BF"/>
    <w:rsid w:val="0985069D"/>
    <w:rsid w:val="09AB3B0A"/>
    <w:rsid w:val="09B0571E"/>
    <w:rsid w:val="09B749A6"/>
    <w:rsid w:val="09BD701E"/>
    <w:rsid w:val="09D213D4"/>
    <w:rsid w:val="09FB38DE"/>
    <w:rsid w:val="0A05263C"/>
    <w:rsid w:val="0A70794F"/>
    <w:rsid w:val="0A852459"/>
    <w:rsid w:val="0A8547B7"/>
    <w:rsid w:val="0A9C56AA"/>
    <w:rsid w:val="0A9F0DCF"/>
    <w:rsid w:val="0AA70621"/>
    <w:rsid w:val="0AA70D66"/>
    <w:rsid w:val="0AAA059B"/>
    <w:rsid w:val="0ACE73D4"/>
    <w:rsid w:val="0AE22D74"/>
    <w:rsid w:val="0AF51037"/>
    <w:rsid w:val="0AF67E66"/>
    <w:rsid w:val="0AFA266D"/>
    <w:rsid w:val="0B026D52"/>
    <w:rsid w:val="0B16264A"/>
    <w:rsid w:val="0B3E0B58"/>
    <w:rsid w:val="0B5F5952"/>
    <w:rsid w:val="0B6D0D74"/>
    <w:rsid w:val="0B811CB8"/>
    <w:rsid w:val="0B8840FE"/>
    <w:rsid w:val="0B93187E"/>
    <w:rsid w:val="0B9B4C1F"/>
    <w:rsid w:val="0B9D3E88"/>
    <w:rsid w:val="0BCC0C6E"/>
    <w:rsid w:val="0BE7057C"/>
    <w:rsid w:val="0BFC3D8B"/>
    <w:rsid w:val="0C012C2E"/>
    <w:rsid w:val="0C0C0F9D"/>
    <w:rsid w:val="0C130F33"/>
    <w:rsid w:val="0C2F6100"/>
    <w:rsid w:val="0C32037D"/>
    <w:rsid w:val="0C5F5A8D"/>
    <w:rsid w:val="0C67107F"/>
    <w:rsid w:val="0C861086"/>
    <w:rsid w:val="0C8D39D8"/>
    <w:rsid w:val="0C90548C"/>
    <w:rsid w:val="0CD64DF5"/>
    <w:rsid w:val="0CDE1A13"/>
    <w:rsid w:val="0D174279"/>
    <w:rsid w:val="0D1D4CEA"/>
    <w:rsid w:val="0D25764E"/>
    <w:rsid w:val="0D2E061D"/>
    <w:rsid w:val="0D5525AE"/>
    <w:rsid w:val="0D7B1091"/>
    <w:rsid w:val="0D846FA9"/>
    <w:rsid w:val="0D904DAA"/>
    <w:rsid w:val="0D931761"/>
    <w:rsid w:val="0D9B0ADF"/>
    <w:rsid w:val="0DB066C4"/>
    <w:rsid w:val="0DEE4E6B"/>
    <w:rsid w:val="0DF92EE5"/>
    <w:rsid w:val="0E045D68"/>
    <w:rsid w:val="0E0D34A0"/>
    <w:rsid w:val="0E24017C"/>
    <w:rsid w:val="0E394634"/>
    <w:rsid w:val="0E3E01D3"/>
    <w:rsid w:val="0E597FE0"/>
    <w:rsid w:val="0E5B7F4F"/>
    <w:rsid w:val="0E5D3E21"/>
    <w:rsid w:val="0EB63B97"/>
    <w:rsid w:val="0EB71A28"/>
    <w:rsid w:val="0ED5287A"/>
    <w:rsid w:val="0EE52016"/>
    <w:rsid w:val="0EE94D5D"/>
    <w:rsid w:val="0F0F5C41"/>
    <w:rsid w:val="0F54449B"/>
    <w:rsid w:val="0F5E6FCB"/>
    <w:rsid w:val="0F796B89"/>
    <w:rsid w:val="0F7B5B8D"/>
    <w:rsid w:val="0F7D26F9"/>
    <w:rsid w:val="0FB8642F"/>
    <w:rsid w:val="0FD40BD5"/>
    <w:rsid w:val="0FE771B0"/>
    <w:rsid w:val="0FF438DD"/>
    <w:rsid w:val="0FFE0C55"/>
    <w:rsid w:val="102F0AEF"/>
    <w:rsid w:val="10446A80"/>
    <w:rsid w:val="10464F1D"/>
    <w:rsid w:val="108D0B5B"/>
    <w:rsid w:val="10A0458C"/>
    <w:rsid w:val="10AD6207"/>
    <w:rsid w:val="10B00CB7"/>
    <w:rsid w:val="10C457E3"/>
    <w:rsid w:val="10C52F38"/>
    <w:rsid w:val="10DE145B"/>
    <w:rsid w:val="10EA08DB"/>
    <w:rsid w:val="10F65294"/>
    <w:rsid w:val="10FB5C25"/>
    <w:rsid w:val="111D1910"/>
    <w:rsid w:val="112376DC"/>
    <w:rsid w:val="1158242C"/>
    <w:rsid w:val="115E2E81"/>
    <w:rsid w:val="11630F39"/>
    <w:rsid w:val="11696328"/>
    <w:rsid w:val="11781135"/>
    <w:rsid w:val="11A84357"/>
    <w:rsid w:val="11CB4861"/>
    <w:rsid w:val="11CD7E2D"/>
    <w:rsid w:val="12144EEF"/>
    <w:rsid w:val="121F775F"/>
    <w:rsid w:val="122761BA"/>
    <w:rsid w:val="122F2CB1"/>
    <w:rsid w:val="123446CC"/>
    <w:rsid w:val="12466644"/>
    <w:rsid w:val="128770C4"/>
    <w:rsid w:val="12B226BF"/>
    <w:rsid w:val="12C15EC2"/>
    <w:rsid w:val="12C92E92"/>
    <w:rsid w:val="12E1230D"/>
    <w:rsid w:val="12FD4A9A"/>
    <w:rsid w:val="131C17E8"/>
    <w:rsid w:val="137705CE"/>
    <w:rsid w:val="138038D6"/>
    <w:rsid w:val="13A6485E"/>
    <w:rsid w:val="13FD147C"/>
    <w:rsid w:val="14063D74"/>
    <w:rsid w:val="140C3764"/>
    <w:rsid w:val="141C32B8"/>
    <w:rsid w:val="14274E2B"/>
    <w:rsid w:val="146E646D"/>
    <w:rsid w:val="149A1F1D"/>
    <w:rsid w:val="14BA01EF"/>
    <w:rsid w:val="14CA6285"/>
    <w:rsid w:val="14ED042A"/>
    <w:rsid w:val="14F20377"/>
    <w:rsid w:val="14F4573B"/>
    <w:rsid w:val="15033479"/>
    <w:rsid w:val="15437C26"/>
    <w:rsid w:val="1550578C"/>
    <w:rsid w:val="156966CC"/>
    <w:rsid w:val="15A23893"/>
    <w:rsid w:val="15A31D0D"/>
    <w:rsid w:val="1606391D"/>
    <w:rsid w:val="16067D52"/>
    <w:rsid w:val="16080EA8"/>
    <w:rsid w:val="16317194"/>
    <w:rsid w:val="16406E2E"/>
    <w:rsid w:val="16571ABC"/>
    <w:rsid w:val="167F1F63"/>
    <w:rsid w:val="16856095"/>
    <w:rsid w:val="16A145F3"/>
    <w:rsid w:val="16A731A1"/>
    <w:rsid w:val="16F55211"/>
    <w:rsid w:val="171942D3"/>
    <w:rsid w:val="172A38DF"/>
    <w:rsid w:val="172D1E1A"/>
    <w:rsid w:val="17781547"/>
    <w:rsid w:val="177F3C3C"/>
    <w:rsid w:val="179520E9"/>
    <w:rsid w:val="17A906BE"/>
    <w:rsid w:val="17AB063B"/>
    <w:rsid w:val="189B49CB"/>
    <w:rsid w:val="18BE150E"/>
    <w:rsid w:val="18C142F9"/>
    <w:rsid w:val="18D476EE"/>
    <w:rsid w:val="18DE15D6"/>
    <w:rsid w:val="190500D5"/>
    <w:rsid w:val="194F1BAF"/>
    <w:rsid w:val="195E174D"/>
    <w:rsid w:val="19A17BC2"/>
    <w:rsid w:val="19AC2F32"/>
    <w:rsid w:val="19E816EE"/>
    <w:rsid w:val="1A201B18"/>
    <w:rsid w:val="1A202673"/>
    <w:rsid w:val="1A2C53B4"/>
    <w:rsid w:val="1A7D325E"/>
    <w:rsid w:val="1A8E779D"/>
    <w:rsid w:val="1A9632D8"/>
    <w:rsid w:val="1AA60743"/>
    <w:rsid w:val="1ACA55E4"/>
    <w:rsid w:val="1ACA7157"/>
    <w:rsid w:val="1AD06887"/>
    <w:rsid w:val="1AEE1087"/>
    <w:rsid w:val="1B5164A1"/>
    <w:rsid w:val="1B5D68E2"/>
    <w:rsid w:val="1B7447B0"/>
    <w:rsid w:val="1B7546BC"/>
    <w:rsid w:val="1B7638C4"/>
    <w:rsid w:val="1B977D20"/>
    <w:rsid w:val="1BDE284F"/>
    <w:rsid w:val="1BF535E1"/>
    <w:rsid w:val="1C0B60CC"/>
    <w:rsid w:val="1C2D7686"/>
    <w:rsid w:val="1C3156DF"/>
    <w:rsid w:val="1C484454"/>
    <w:rsid w:val="1C607416"/>
    <w:rsid w:val="1C766C9A"/>
    <w:rsid w:val="1C853CD9"/>
    <w:rsid w:val="1C9203A5"/>
    <w:rsid w:val="1CB31A96"/>
    <w:rsid w:val="1CB73E31"/>
    <w:rsid w:val="1D361075"/>
    <w:rsid w:val="1D3B78DC"/>
    <w:rsid w:val="1D732F5F"/>
    <w:rsid w:val="1D981253"/>
    <w:rsid w:val="1DAE1228"/>
    <w:rsid w:val="1DD92ACF"/>
    <w:rsid w:val="1E396D1E"/>
    <w:rsid w:val="1E426C33"/>
    <w:rsid w:val="1E4A45FE"/>
    <w:rsid w:val="1E5742DB"/>
    <w:rsid w:val="1E5C59E8"/>
    <w:rsid w:val="1E611B99"/>
    <w:rsid w:val="1E93271C"/>
    <w:rsid w:val="1EC31C60"/>
    <w:rsid w:val="1ECD562E"/>
    <w:rsid w:val="1ED76C1D"/>
    <w:rsid w:val="1EE24CB5"/>
    <w:rsid w:val="1F0A6581"/>
    <w:rsid w:val="1F0F3D95"/>
    <w:rsid w:val="1F223BB7"/>
    <w:rsid w:val="1F29781B"/>
    <w:rsid w:val="1F3C2223"/>
    <w:rsid w:val="1F481174"/>
    <w:rsid w:val="1F770FAB"/>
    <w:rsid w:val="1F7E1D2B"/>
    <w:rsid w:val="1F8D5149"/>
    <w:rsid w:val="1F9262B4"/>
    <w:rsid w:val="1FAA7483"/>
    <w:rsid w:val="1FB134DC"/>
    <w:rsid w:val="1FB13799"/>
    <w:rsid w:val="1FEA50BB"/>
    <w:rsid w:val="1FEB0FAC"/>
    <w:rsid w:val="1FFB42F5"/>
    <w:rsid w:val="200B78C4"/>
    <w:rsid w:val="200E0524"/>
    <w:rsid w:val="20113DB7"/>
    <w:rsid w:val="201600FA"/>
    <w:rsid w:val="201E2795"/>
    <w:rsid w:val="201E3428"/>
    <w:rsid w:val="20221B85"/>
    <w:rsid w:val="203C1586"/>
    <w:rsid w:val="204546AF"/>
    <w:rsid w:val="208148E2"/>
    <w:rsid w:val="20A30FDE"/>
    <w:rsid w:val="20BE3E5F"/>
    <w:rsid w:val="20F16975"/>
    <w:rsid w:val="20F23595"/>
    <w:rsid w:val="20FA52DE"/>
    <w:rsid w:val="21061570"/>
    <w:rsid w:val="212B5973"/>
    <w:rsid w:val="213A65DB"/>
    <w:rsid w:val="21510DC2"/>
    <w:rsid w:val="216D2720"/>
    <w:rsid w:val="217764D3"/>
    <w:rsid w:val="217C4226"/>
    <w:rsid w:val="2182017E"/>
    <w:rsid w:val="2194533B"/>
    <w:rsid w:val="219D7FA7"/>
    <w:rsid w:val="21A43D2E"/>
    <w:rsid w:val="21AF57B7"/>
    <w:rsid w:val="21BA4E5B"/>
    <w:rsid w:val="21BD069A"/>
    <w:rsid w:val="21CB6A67"/>
    <w:rsid w:val="22186A84"/>
    <w:rsid w:val="22186CFE"/>
    <w:rsid w:val="222E1453"/>
    <w:rsid w:val="225A68DA"/>
    <w:rsid w:val="22740FA6"/>
    <w:rsid w:val="22CD5D66"/>
    <w:rsid w:val="22E97131"/>
    <w:rsid w:val="22EA4F38"/>
    <w:rsid w:val="230F6983"/>
    <w:rsid w:val="232A6B3A"/>
    <w:rsid w:val="23407834"/>
    <w:rsid w:val="235854EA"/>
    <w:rsid w:val="236C1E0A"/>
    <w:rsid w:val="236D76DE"/>
    <w:rsid w:val="23724008"/>
    <w:rsid w:val="237500AF"/>
    <w:rsid w:val="23916019"/>
    <w:rsid w:val="239C6A51"/>
    <w:rsid w:val="23A16CE4"/>
    <w:rsid w:val="23A71514"/>
    <w:rsid w:val="23B63441"/>
    <w:rsid w:val="23C57C6A"/>
    <w:rsid w:val="23C93CC5"/>
    <w:rsid w:val="23E47972"/>
    <w:rsid w:val="241A5C1C"/>
    <w:rsid w:val="241D5013"/>
    <w:rsid w:val="24311316"/>
    <w:rsid w:val="244F5552"/>
    <w:rsid w:val="245C25B9"/>
    <w:rsid w:val="245C798F"/>
    <w:rsid w:val="247E3E45"/>
    <w:rsid w:val="24886D00"/>
    <w:rsid w:val="24941A57"/>
    <w:rsid w:val="249B5A8F"/>
    <w:rsid w:val="24A94FB0"/>
    <w:rsid w:val="24BF6158"/>
    <w:rsid w:val="24D1550E"/>
    <w:rsid w:val="251D038D"/>
    <w:rsid w:val="256E372A"/>
    <w:rsid w:val="258A4C3C"/>
    <w:rsid w:val="258B5FD6"/>
    <w:rsid w:val="259528F2"/>
    <w:rsid w:val="25A048BE"/>
    <w:rsid w:val="25A6628B"/>
    <w:rsid w:val="25C94365"/>
    <w:rsid w:val="260372DC"/>
    <w:rsid w:val="26071CD3"/>
    <w:rsid w:val="260F4E1C"/>
    <w:rsid w:val="262B20DB"/>
    <w:rsid w:val="262E74E3"/>
    <w:rsid w:val="263A3E48"/>
    <w:rsid w:val="2640701C"/>
    <w:rsid w:val="266607BF"/>
    <w:rsid w:val="26BF02E4"/>
    <w:rsid w:val="26CE16E2"/>
    <w:rsid w:val="27206D8B"/>
    <w:rsid w:val="273B3040"/>
    <w:rsid w:val="275425D4"/>
    <w:rsid w:val="27592D77"/>
    <w:rsid w:val="277B3F3F"/>
    <w:rsid w:val="27863C94"/>
    <w:rsid w:val="27870A11"/>
    <w:rsid w:val="27A91434"/>
    <w:rsid w:val="27DF0C58"/>
    <w:rsid w:val="27EB3627"/>
    <w:rsid w:val="28130EBD"/>
    <w:rsid w:val="2814399B"/>
    <w:rsid w:val="281A2761"/>
    <w:rsid w:val="281C41E9"/>
    <w:rsid w:val="282B4242"/>
    <w:rsid w:val="28336B48"/>
    <w:rsid w:val="28544BC5"/>
    <w:rsid w:val="285D3B24"/>
    <w:rsid w:val="28882B8D"/>
    <w:rsid w:val="28977AE1"/>
    <w:rsid w:val="28A36332"/>
    <w:rsid w:val="28CE6B59"/>
    <w:rsid w:val="28F873C7"/>
    <w:rsid w:val="291962E0"/>
    <w:rsid w:val="292075A9"/>
    <w:rsid w:val="29226555"/>
    <w:rsid w:val="294E0F12"/>
    <w:rsid w:val="294E750B"/>
    <w:rsid w:val="29891E41"/>
    <w:rsid w:val="29A9176C"/>
    <w:rsid w:val="29B225D7"/>
    <w:rsid w:val="29B408CC"/>
    <w:rsid w:val="29CD70A7"/>
    <w:rsid w:val="2A0D64C4"/>
    <w:rsid w:val="2A2779D3"/>
    <w:rsid w:val="2A2E1E48"/>
    <w:rsid w:val="2A5A7698"/>
    <w:rsid w:val="2A783E54"/>
    <w:rsid w:val="2A9101CD"/>
    <w:rsid w:val="2AC83F5A"/>
    <w:rsid w:val="2AF00A5E"/>
    <w:rsid w:val="2AFD326D"/>
    <w:rsid w:val="2B121E29"/>
    <w:rsid w:val="2B1C4A14"/>
    <w:rsid w:val="2B203A1F"/>
    <w:rsid w:val="2B2B44EB"/>
    <w:rsid w:val="2B420C0A"/>
    <w:rsid w:val="2B781373"/>
    <w:rsid w:val="2B9E1AEF"/>
    <w:rsid w:val="2BCC1FD8"/>
    <w:rsid w:val="2BF02BEE"/>
    <w:rsid w:val="2BF9675C"/>
    <w:rsid w:val="2C0A340F"/>
    <w:rsid w:val="2C1553C3"/>
    <w:rsid w:val="2C1926E2"/>
    <w:rsid w:val="2C23404D"/>
    <w:rsid w:val="2C7433AF"/>
    <w:rsid w:val="2C8D1B69"/>
    <w:rsid w:val="2C975ECD"/>
    <w:rsid w:val="2CA43435"/>
    <w:rsid w:val="2CAB6572"/>
    <w:rsid w:val="2CB06DA1"/>
    <w:rsid w:val="2CE50C48"/>
    <w:rsid w:val="2CEF6624"/>
    <w:rsid w:val="2CF67F63"/>
    <w:rsid w:val="2D023A8B"/>
    <w:rsid w:val="2D0B7DC7"/>
    <w:rsid w:val="2D17663C"/>
    <w:rsid w:val="2D1B1CA7"/>
    <w:rsid w:val="2DA12559"/>
    <w:rsid w:val="2DA144C0"/>
    <w:rsid w:val="2DD91D2C"/>
    <w:rsid w:val="2DE602D5"/>
    <w:rsid w:val="2E0C5B68"/>
    <w:rsid w:val="2E1655FB"/>
    <w:rsid w:val="2E1900C6"/>
    <w:rsid w:val="2E6948C2"/>
    <w:rsid w:val="2E797C18"/>
    <w:rsid w:val="2E974D83"/>
    <w:rsid w:val="2E9913B6"/>
    <w:rsid w:val="2E997FF2"/>
    <w:rsid w:val="2F0A3A54"/>
    <w:rsid w:val="2F0E2497"/>
    <w:rsid w:val="2F2D44D7"/>
    <w:rsid w:val="2F6422C1"/>
    <w:rsid w:val="2F674B58"/>
    <w:rsid w:val="2FEA5D4E"/>
    <w:rsid w:val="2FEB5850"/>
    <w:rsid w:val="2FF96E7F"/>
    <w:rsid w:val="2FFF1F85"/>
    <w:rsid w:val="3011474F"/>
    <w:rsid w:val="30171593"/>
    <w:rsid w:val="30393032"/>
    <w:rsid w:val="30474804"/>
    <w:rsid w:val="304C36AC"/>
    <w:rsid w:val="304F7789"/>
    <w:rsid w:val="306D01BC"/>
    <w:rsid w:val="307357C5"/>
    <w:rsid w:val="3093398A"/>
    <w:rsid w:val="309B7D9B"/>
    <w:rsid w:val="30E86969"/>
    <w:rsid w:val="30FF1D21"/>
    <w:rsid w:val="313A5151"/>
    <w:rsid w:val="3143355C"/>
    <w:rsid w:val="315D068E"/>
    <w:rsid w:val="3171637F"/>
    <w:rsid w:val="317323F1"/>
    <w:rsid w:val="318D26C6"/>
    <w:rsid w:val="31931C10"/>
    <w:rsid w:val="319F67E8"/>
    <w:rsid w:val="31A639F9"/>
    <w:rsid w:val="31C11F33"/>
    <w:rsid w:val="31EF7447"/>
    <w:rsid w:val="320E315E"/>
    <w:rsid w:val="321C318C"/>
    <w:rsid w:val="3238541A"/>
    <w:rsid w:val="323E00E3"/>
    <w:rsid w:val="324549D5"/>
    <w:rsid w:val="32AA5D97"/>
    <w:rsid w:val="32B007AE"/>
    <w:rsid w:val="32EE0A82"/>
    <w:rsid w:val="32EF0C59"/>
    <w:rsid w:val="32F36636"/>
    <w:rsid w:val="32F679F7"/>
    <w:rsid w:val="33101509"/>
    <w:rsid w:val="331E0DC0"/>
    <w:rsid w:val="3328536B"/>
    <w:rsid w:val="332E0814"/>
    <w:rsid w:val="3339073C"/>
    <w:rsid w:val="335C56D4"/>
    <w:rsid w:val="336445EF"/>
    <w:rsid w:val="3373120E"/>
    <w:rsid w:val="337E01F8"/>
    <w:rsid w:val="33803698"/>
    <w:rsid w:val="33AD71A6"/>
    <w:rsid w:val="33BB3682"/>
    <w:rsid w:val="33C31C63"/>
    <w:rsid w:val="33CA5D35"/>
    <w:rsid w:val="33CC2689"/>
    <w:rsid w:val="33D22084"/>
    <w:rsid w:val="33F015AC"/>
    <w:rsid w:val="34034792"/>
    <w:rsid w:val="34215E67"/>
    <w:rsid w:val="344148FA"/>
    <w:rsid w:val="34694EE8"/>
    <w:rsid w:val="3483109B"/>
    <w:rsid w:val="34910181"/>
    <w:rsid w:val="34A64A65"/>
    <w:rsid w:val="34B60F49"/>
    <w:rsid w:val="34B92BC1"/>
    <w:rsid w:val="34BA33C6"/>
    <w:rsid w:val="34BA5BFB"/>
    <w:rsid w:val="34D830FE"/>
    <w:rsid w:val="34F22F9B"/>
    <w:rsid w:val="34F32464"/>
    <w:rsid w:val="34F519AE"/>
    <w:rsid w:val="34FD274A"/>
    <w:rsid w:val="351F214C"/>
    <w:rsid w:val="35510D2E"/>
    <w:rsid w:val="35561C42"/>
    <w:rsid w:val="355F4505"/>
    <w:rsid w:val="35621FB3"/>
    <w:rsid w:val="35911FA2"/>
    <w:rsid w:val="35C83345"/>
    <w:rsid w:val="3601771A"/>
    <w:rsid w:val="360E58DD"/>
    <w:rsid w:val="36260DC7"/>
    <w:rsid w:val="362876FA"/>
    <w:rsid w:val="364640D1"/>
    <w:rsid w:val="364D5B04"/>
    <w:rsid w:val="365C4426"/>
    <w:rsid w:val="3669375F"/>
    <w:rsid w:val="366D6586"/>
    <w:rsid w:val="367147D0"/>
    <w:rsid w:val="368447F4"/>
    <w:rsid w:val="36A03A45"/>
    <w:rsid w:val="36AF1DCE"/>
    <w:rsid w:val="36B030EB"/>
    <w:rsid w:val="36B267C7"/>
    <w:rsid w:val="36C95A0F"/>
    <w:rsid w:val="36CD3B31"/>
    <w:rsid w:val="36D26559"/>
    <w:rsid w:val="36D31C83"/>
    <w:rsid w:val="36D37B9C"/>
    <w:rsid w:val="36E2465E"/>
    <w:rsid w:val="3700320F"/>
    <w:rsid w:val="37105BFE"/>
    <w:rsid w:val="374A4F2F"/>
    <w:rsid w:val="37640FB0"/>
    <w:rsid w:val="376A2364"/>
    <w:rsid w:val="37897412"/>
    <w:rsid w:val="37F41BD7"/>
    <w:rsid w:val="383709BF"/>
    <w:rsid w:val="383736B1"/>
    <w:rsid w:val="383A30AD"/>
    <w:rsid w:val="38470D48"/>
    <w:rsid w:val="38522126"/>
    <w:rsid w:val="38661260"/>
    <w:rsid w:val="3883058F"/>
    <w:rsid w:val="38845122"/>
    <w:rsid w:val="38892AB1"/>
    <w:rsid w:val="3892581E"/>
    <w:rsid w:val="38936C94"/>
    <w:rsid w:val="38995482"/>
    <w:rsid w:val="389D06A5"/>
    <w:rsid w:val="38A60BED"/>
    <w:rsid w:val="38AA76BC"/>
    <w:rsid w:val="38C111F7"/>
    <w:rsid w:val="38C55A8A"/>
    <w:rsid w:val="38ED2A70"/>
    <w:rsid w:val="39302921"/>
    <w:rsid w:val="393F2A0B"/>
    <w:rsid w:val="39441FFE"/>
    <w:rsid w:val="39661A6C"/>
    <w:rsid w:val="39806D60"/>
    <w:rsid w:val="39820A82"/>
    <w:rsid w:val="39F477CC"/>
    <w:rsid w:val="3A06126F"/>
    <w:rsid w:val="3A3572DE"/>
    <w:rsid w:val="3A4D5C42"/>
    <w:rsid w:val="3A5B4D0B"/>
    <w:rsid w:val="3A68451D"/>
    <w:rsid w:val="3A790D4A"/>
    <w:rsid w:val="3A9C4B5C"/>
    <w:rsid w:val="3A9D7538"/>
    <w:rsid w:val="3AB25093"/>
    <w:rsid w:val="3AC67290"/>
    <w:rsid w:val="3AD11582"/>
    <w:rsid w:val="3AE82A93"/>
    <w:rsid w:val="3B2A7A53"/>
    <w:rsid w:val="3B394A36"/>
    <w:rsid w:val="3B6213BE"/>
    <w:rsid w:val="3B6469B6"/>
    <w:rsid w:val="3B675046"/>
    <w:rsid w:val="3BCF2710"/>
    <w:rsid w:val="3BD27501"/>
    <w:rsid w:val="3BE8467D"/>
    <w:rsid w:val="3BF1277F"/>
    <w:rsid w:val="3BF83138"/>
    <w:rsid w:val="3C240F05"/>
    <w:rsid w:val="3C255EF8"/>
    <w:rsid w:val="3C5A761D"/>
    <w:rsid w:val="3C617329"/>
    <w:rsid w:val="3C636941"/>
    <w:rsid w:val="3C90202A"/>
    <w:rsid w:val="3CB75DA3"/>
    <w:rsid w:val="3D0B7866"/>
    <w:rsid w:val="3D16393C"/>
    <w:rsid w:val="3D522888"/>
    <w:rsid w:val="3D5E5EEB"/>
    <w:rsid w:val="3D7B58C0"/>
    <w:rsid w:val="3D990B44"/>
    <w:rsid w:val="3DA43C1F"/>
    <w:rsid w:val="3DBA03C3"/>
    <w:rsid w:val="3DC778A1"/>
    <w:rsid w:val="3DCB4EB0"/>
    <w:rsid w:val="3DE96092"/>
    <w:rsid w:val="3E0D1B58"/>
    <w:rsid w:val="3E266269"/>
    <w:rsid w:val="3E344C4F"/>
    <w:rsid w:val="3E440FDF"/>
    <w:rsid w:val="3E5744E7"/>
    <w:rsid w:val="3E5978E7"/>
    <w:rsid w:val="3E694D89"/>
    <w:rsid w:val="3E915A4F"/>
    <w:rsid w:val="3E924DB6"/>
    <w:rsid w:val="3EA503E1"/>
    <w:rsid w:val="3EA705C0"/>
    <w:rsid w:val="3EB949A0"/>
    <w:rsid w:val="3EC96305"/>
    <w:rsid w:val="3EE7610B"/>
    <w:rsid w:val="3EF12D6D"/>
    <w:rsid w:val="3F0B2DD2"/>
    <w:rsid w:val="3F301F08"/>
    <w:rsid w:val="3F400DBA"/>
    <w:rsid w:val="3F4326A6"/>
    <w:rsid w:val="3F63035F"/>
    <w:rsid w:val="3F6547DA"/>
    <w:rsid w:val="3F781942"/>
    <w:rsid w:val="3F7874C3"/>
    <w:rsid w:val="3F877201"/>
    <w:rsid w:val="3F9C561C"/>
    <w:rsid w:val="3FA06192"/>
    <w:rsid w:val="3FBB2E2B"/>
    <w:rsid w:val="3FBD2A87"/>
    <w:rsid w:val="3FBE4652"/>
    <w:rsid w:val="3FE6788B"/>
    <w:rsid w:val="3FEE2644"/>
    <w:rsid w:val="3FF92612"/>
    <w:rsid w:val="40127A04"/>
    <w:rsid w:val="401E4BDD"/>
    <w:rsid w:val="402B2C97"/>
    <w:rsid w:val="40454F62"/>
    <w:rsid w:val="40741D0F"/>
    <w:rsid w:val="4087530F"/>
    <w:rsid w:val="40E43C65"/>
    <w:rsid w:val="41070F0F"/>
    <w:rsid w:val="41075F7A"/>
    <w:rsid w:val="411A1CCA"/>
    <w:rsid w:val="411E3B77"/>
    <w:rsid w:val="41203A9D"/>
    <w:rsid w:val="41301518"/>
    <w:rsid w:val="413A6227"/>
    <w:rsid w:val="416A41AF"/>
    <w:rsid w:val="418A7134"/>
    <w:rsid w:val="41982497"/>
    <w:rsid w:val="41A44E4A"/>
    <w:rsid w:val="41A45E08"/>
    <w:rsid w:val="41AC074F"/>
    <w:rsid w:val="41B13C53"/>
    <w:rsid w:val="41D64FBE"/>
    <w:rsid w:val="41FA2BA3"/>
    <w:rsid w:val="41FB740A"/>
    <w:rsid w:val="420C1C0D"/>
    <w:rsid w:val="42202E8C"/>
    <w:rsid w:val="423F4DAA"/>
    <w:rsid w:val="427D61FD"/>
    <w:rsid w:val="429D4C36"/>
    <w:rsid w:val="42AA4179"/>
    <w:rsid w:val="42C805F2"/>
    <w:rsid w:val="42D3582D"/>
    <w:rsid w:val="42E24A8E"/>
    <w:rsid w:val="42EE176A"/>
    <w:rsid w:val="42F27526"/>
    <w:rsid w:val="42F813C7"/>
    <w:rsid w:val="431E02ED"/>
    <w:rsid w:val="432702EC"/>
    <w:rsid w:val="43275D7A"/>
    <w:rsid w:val="432875D3"/>
    <w:rsid w:val="4351282F"/>
    <w:rsid w:val="43525542"/>
    <w:rsid w:val="43532964"/>
    <w:rsid w:val="436C0025"/>
    <w:rsid w:val="437523A2"/>
    <w:rsid w:val="438F3ABF"/>
    <w:rsid w:val="43A63047"/>
    <w:rsid w:val="43AE3623"/>
    <w:rsid w:val="43BD07C5"/>
    <w:rsid w:val="43C10FE8"/>
    <w:rsid w:val="43C70DA6"/>
    <w:rsid w:val="43C8150E"/>
    <w:rsid w:val="43D10D64"/>
    <w:rsid w:val="43E20FFA"/>
    <w:rsid w:val="441157BF"/>
    <w:rsid w:val="441E53AA"/>
    <w:rsid w:val="445A56AE"/>
    <w:rsid w:val="445F4E1E"/>
    <w:rsid w:val="446E40F0"/>
    <w:rsid w:val="447B4F7B"/>
    <w:rsid w:val="44F971FA"/>
    <w:rsid w:val="452D5F56"/>
    <w:rsid w:val="45512133"/>
    <w:rsid w:val="455D5DBF"/>
    <w:rsid w:val="45654B4E"/>
    <w:rsid w:val="45673EAD"/>
    <w:rsid w:val="456841A4"/>
    <w:rsid w:val="459771B8"/>
    <w:rsid w:val="459773DC"/>
    <w:rsid w:val="45BE4421"/>
    <w:rsid w:val="45D84913"/>
    <w:rsid w:val="460E5463"/>
    <w:rsid w:val="461E7C35"/>
    <w:rsid w:val="46277622"/>
    <w:rsid w:val="46396468"/>
    <w:rsid w:val="4661438F"/>
    <w:rsid w:val="46614CFC"/>
    <w:rsid w:val="466323DD"/>
    <w:rsid w:val="46993D76"/>
    <w:rsid w:val="46C31916"/>
    <w:rsid w:val="46E43312"/>
    <w:rsid w:val="46FD5785"/>
    <w:rsid w:val="473B73DB"/>
    <w:rsid w:val="4778662F"/>
    <w:rsid w:val="4798117B"/>
    <w:rsid w:val="4799415F"/>
    <w:rsid w:val="47DB7293"/>
    <w:rsid w:val="48142D67"/>
    <w:rsid w:val="4831136B"/>
    <w:rsid w:val="48316506"/>
    <w:rsid w:val="485961B6"/>
    <w:rsid w:val="485D1E53"/>
    <w:rsid w:val="48773E74"/>
    <w:rsid w:val="487C1BE4"/>
    <w:rsid w:val="487D1989"/>
    <w:rsid w:val="4890466D"/>
    <w:rsid w:val="48C02921"/>
    <w:rsid w:val="48EA6DE8"/>
    <w:rsid w:val="491016AD"/>
    <w:rsid w:val="49126884"/>
    <w:rsid w:val="493F6455"/>
    <w:rsid w:val="499B65F0"/>
    <w:rsid w:val="499D5E53"/>
    <w:rsid w:val="49BD0AAC"/>
    <w:rsid w:val="49C54FE1"/>
    <w:rsid w:val="49D62E0A"/>
    <w:rsid w:val="4A442941"/>
    <w:rsid w:val="4A607F98"/>
    <w:rsid w:val="4A891A0B"/>
    <w:rsid w:val="4A8D1FE6"/>
    <w:rsid w:val="4AAB6C3F"/>
    <w:rsid w:val="4AC40A95"/>
    <w:rsid w:val="4B0104B2"/>
    <w:rsid w:val="4B095EEF"/>
    <w:rsid w:val="4B3134DD"/>
    <w:rsid w:val="4B3F3B74"/>
    <w:rsid w:val="4B3F5E92"/>
    <w:rsid w:val="4B4A6893"/>
    <w:rsid w:val="4B685902"/>
    <w:rsid w:val="4B690AD6"/>
    <w:rsid w:val="4B6A2DD3"/>
    <w:rsid w:val="4B9329F2"/>
    <w:rsid w:val="4BAA450D"/>
    <w:rsid w:val="4BC234CA"/>
    <w:rsid w:val="4BF15FE8"/>
    <w:rsid w:val="4C283408"/>
    <w:rsid w:val="4C3954F1"/>
    <w:rsid w:val="4C6A1206"/>
    <w:rsid w:val="4C83624B"/>
    <w:rsid w:val="4C8E7441"/>
    <w:rsid w:val="4CB71F73"/>
    <w:rsid w:val="4CEC54E1"/>
    <w:rsid w:val="4CFC6C47"/>
    <w:rsid w:val="4D064291"/>
    <w:rsid w:val="4D28262A"/>
    <w:rsid w:val="4D5308E8"/>
    <w:rsid w:val="4D957C19"/>
    <w:rsid w:val="4DB25279"/>
    <w:rsid w:val="4DC41987"/>
    <w:rsid w:val="4DCA79E8"/>
    <w:rsid w:val="4DD92E95"/>
    <w:rsid w:val="4DF45AE5"/>
    <w:rsid w:val="4E026D86"/>
    <w:rsid w:val="4E3207AD"/>
    <w:rsid w:val="4E477B91"/>
    <w:rsid w:val="4E4D7D48"/>
    <w:rsid w:val="4E4F12F0"/>
    <w:rsid w:val="4E5B66A2"/>
    <w:rsid w:val="4E7E6256"/>
    <w:rsid w:val="4EA551D1"/>
    <w:rsid w:val="4ED21EDC"/>
    <w:rsid w:val="4ED26255"/>
    <w:rsid w:val="4ED71EB9"/>
    <w:rsid w:val="4F2E7C15"/>
    <w:rsid w:val="4F3B4D0B"/>
    <w:rsid w:val="4F7C0D62"/>
    <w:rsid w:val="4F8A6F44"/>
    <w:rsid w:val="4FA700A1"/>
    <w:rsid w:val="4FB27BAE"/>
    <w:rsid w:val="4FB54989"/>
    <w:rsid w:val="4FBB5F48"/>
    <w:rsid w:val="4FC02405"/>
    <w:rsid w:val="4FC73739"/>
    <w:rsid w:val="4FD0528F"/>
    <w:rsid w:val="4FD2159D"/>
    <w:rsid w:val="4FDE6052"/>
    <w:rsid w:val="4FE10B18"/>
    <w:rsid w:val="4FF52AA0"/>
    <w:rsid w:val="500D3B65"/>
    <w:rsid w:val="501629C0"/>
    <w:rsid w:val="50223439"/>
    <w:rsid w:val="502A1910"/>
    <w:rsid w:val="502C3C0B"/>
    <w:rsid w:val="503E23CF"/>
    <w:rsid w:val="506627BD"/>
    <w:rsid w:val="50AF1112"/>
    <w:rsid w:val="50E5636B"/>
    <w:rsid w:val="51194D40"/>
    <w:rsid w:val="51671C3C"/>
    <w:rsid w:val="518936EF"/>
    <w:rsid w:val="518F324B"/>
    <w:rsid w:val="51C056EC"/>
    <w:rsid w:val="51C95F90"/>
    <w:rsid w:val="51E81AEA"/>
    <w:rsid w:val="51EB5FBF"/>
    <w:rsid w:val="5226398C"/>
    <w:rsid w:val="526B3126"/>
    <w:rsid w:val="527A7E2A"/>
    <w:rsid w:val="5284793C"/>
    <w:rsid w:val="52AC6ABF"/>
    <w:rsid w:val="52CE70E3"/>
    <w:rsid w:val="52ED4441"/>
    <w:rsid w:val="52FE271D"/>
    <w:rsid w:val="53286A3D"/>
    <w:rsid w:val="535743DD"/>
    <w:rsid w:val="53733179"/>
    <w:rsid w:val="538B569C"/>
    <w:rsid w:val="53C812A0"/>
    <w:rsid w:val="53CB191E"/>
    <w:rsid w:val="53D25BCD"/>
    <w:rsid w:val="53DF05AF"/>
    <w:rsid w:val="54186E8D"/>
    <w:rsid w:val="54605748"/>
    <w:rsid w:val="547073E6"/>
    <w:rsid w:val="54D93A1E"/>
    <w:rsid w:val="54DA0BD0"/>
    <w:rsid w:val="54EE1058"/>
    <w:rsid w:val="55061481"/>
    <w:rsid w:val="55292020"/>
    <w:rsid w:val="553429F7"/>
    <w:rsid w:val="556C65C2"/>
    <w:rsid w:val="55716397"/>
    <w:rsid w:val="55867246"/>
    <w:rsid w:val="558E20D7"/>
    <w:rsid w:val="55AF0454"/>
    <w:rsid w:val="55AF5733"/>
    <w:rsid w:val="55B437F7"/>
    <w:rsid w:val="55BC4049"/>
    <w:rsid w:val="55D71AB4"/>
    <w:rsid w:val="56011A0A"/>
    <w:rsid w:val="56036890"/>
    <w:rsid w:val="562C524E"/>
    <w:rsid w:val="5689537F"/>
    <w:rsid w:val="568B7CB8"/>
    <w:rsid w:val="56B12ADA"/>
    <w:rsid w:val="56BF44C7"/>
    <w:rsid w:val="56C26B4C"/>
    <w:rsid w:val="56CE633D"/>
    <w:rsid w:val="57000640"/>
    <w:rsid w:val="570C1108"/>
    <w:rsid w:val="57270560"/>
    <w:rsid w:val="572C1F40"/>
    <w:rsid w:val="57330C6A"/>
    <w:rsid w:val="575B6D09"/>
    <w:rsid w:val="57811DCB"/>
    <w:rsid w:val="578E7FEA"/>
    <w:rsid w:val="57AE2107"/>
    <w:rsid w:val="57DE0E4E"/>
    <w:rsid w:val="58291E11"/>
    <w:rsid w:val="58644B98"/>
    <w:rsid w:val="587700A1"/>
    <w:rsid w:val="5877063A"/>
    <w:rsid w:val="588C5B55"/>
    <w:rsid w:val="58970926"/>
    <w:rsid w:val="58F9269A"/>
    <w:rsid w:val="590926D1"/>
    <w:rsid w:val="59454793"/>
    <w:rsid w:val="595D1459"/>
    <w:rsid w:val="596A381A"/>
    <w:rsid w:val="59710803"/>
    <w:rsid w:val="597E54EB"/>
    <w:rsid w:val="598056F4"/>
    <w:rsid w:val="599362F4"/>
    <w:rsid w:val="59A0629A"/>
    <w:rsid w:val="59AC7C25"/>
    <w:rsid w:val="59C006D9"/>
    <w:rsid w:val="59F61CB8"/>
    <w:rsid w:val="5A4F3038"/>
    <w:rsid w:val="5A681ECC"/>
    <w:rsid w:val="5A9E1D73"/>
    <w:rsid w:val="5AA876B3"/>
    <w:rsid w:val="5AF3252F"/>
    <w:rsid w:val="5B0173D0"/>
    <w:rsid w:val="5B223D5D"/>
    <w:rsid w:val="5B3C0C98"/>
    <w:rsid w:val="5B535CD8"/>
    <w:rsid w:val="5B5A5EC5"/>
    <w:rsid w:val="5B641FC7"/>
    <w:rsid w:val="5B7F0379"/>
    <w:rsid w:val="5B833E00"/>
    <w:rsid w:val="5B835BA9"/>
    <w:rsid w:val="5BB46529"/>
    <w:rsid w:val="5C06165A"/>
    <w:rsid w:val="5C1E4911"/>
    <w:rsid w:val="5C235B91"/>
    <w:rsid w:val="5C323613"/>
    <w:rsid w:val="5C377ABF"/>
    <w:rsid w:val="5C3901D4"/>
    <w:rsid w:val="5C94089D"/>
    <w:rsid w:val="5C962A63"/>
    <w:rsid w:val="5CAB7905"/>
    <w:rsid w:val="5CB52007"/>
    <w:rsid w:val="5CDF54C3"/>
    <w:rsid w:val="5CF3611D"/>
    <w:rsid w:val="5D034B40"/>
    <w:rsid w:val="5D121B72"/>
    <w:rsid w:val="5D1275BA"/>
    <w:rsid w:val="5D234498"/>
    <w:rsid w:val="5D4E54FF"/>
    <w:rsid w:val="5D601EA7"/>
    <w:rsid w:val="5D627363"/>
    <w:rsid w:val="5D941C14"/>
    <w:rsid w:val="5DB72785"/>
    <w:rsid w:val="5DEE7A70"/>
    <w:rsid w:val="5DFB2881"/>
    <w:rsid w:val="5E006236"/>
    <w:rsid w:val="5E022611"/>
    <w:rsid w:val="5E032028"/>
    <w:rsid w:val="5E2236D2"/>
    <w:rsid w:val="5E4122A7"/>
    <w:rsid w:val="5E602C5E"/>
    <w:rsid w:val="5E697E57"/>
    <w:rsid w:val="5E7B6268"/>
    <w:rsid w:val="5E8710AC"/>
    <w:rsid w:val="5E8C16D5"/>
    <w:rsid w:val="5E8C2E4E"/>
    <w:rsid w:val="5EA2671B"/>
    <w:rsid w:val="5EB641F5"/>
    <w:rsid w:val="5ED33003"/>
    <w:rsid w:val="5EDA221B"/>
    <w:rsid w:val="5EE37974"/>
    <w:rsid w:val="5EF828DD"/>
    <w:rsid w:val="5F0D6137"/>
    <w:rsid w:val="5F14205F"/>
    <w:rsid w:val="5F2E2B63"/>
    <w:rsid w:val="5F375262"/>
    <w:rsid w:val="5F3C1622"/>
    <w:rsid w:val="5F4609A9"/>
    <w:rsid w:val="5F8D56CC"/>
    <w:rsid w:val="5FA36BB1"/>
    <w:rsid w:val="5FBF1D42"/>
    <w:rsid w:val="5FF205A6"/>
    <w:rsid w:val="5FFE3F17"/>
    <w:rsid w:val="60150948"/>
    <w:rsid w:val="606501E9"/>
    <w:rsid w:val="609336A2"/>
    <w:rsid w:val="60A46C8F"/>
    <w:rsid w:val="60AC789D"/>
    <w:rsid w:val="60C83F56"/>
    <w:rsid w:val="60D316AA"/>
    <w:rsid w:val="60EA762C"/>
    <w:rsid w:val="610831F1"/>
    <w:rsid w:val="611A3577"/>
    <w:rsid w:val="612339A7"/>
    <w:rsid w:val="61247C41"/>
    <w:rsid w:val="61655CB3"/>
    <w:rsid w:val="616A253B"/>
    <w:rsid w:val="616B7ADC"/>
    <w:rsid w:val="616F6622"/>
    <w:rsid w:val="61721205"/>
    <w:rsid w:val="6181391E"/>
    <w:rsid w:val="6198142E"/>
    <w:rsid w:val="61F63325"/>
    <w:rsid w:val="62386A52"/>
    <w:rsid w:val="625036D7"/>
    <w:rsid w:val="6255416A"/>
    <w:rsid w:val="625B5D36"/>
    <w:rsid w:val="628D6732"/>
    <w:rsid w:val="62B746FC"/>
    <w:rsid w:val="62BB68D6"/>
    <w:rsid w:val="62C85262"/>
    <w:rsid w:val="62D15A86"/>
    <w:rsid w:val="62D6233F"/>
    <w:rsid w:val="630A67DB"/>
    <w:rsid w:val="631046BF"/>
    <w:rsid w:val="63273219"/>
    <w:rsid w:val="632F43CD"/>
    <w:rsid w:val="637F01A7"/>
    <w:rsid w:val="63824F4D"/>
    <w:rsid w:val="63A005D3"/>
    <w:rsid w:val="63AC111D"/>
    <w:rsid w:val="63C669E1"/>
    <w:rsid w:val="63D8427B"/>
    <w:rsid w:val="63E42C5E"/>
    <w:rsid w:val="641432A3"/>
    <w:rsid w:val="642868E4"/>
    <w:rsid w:val="64373063"/>
    <w:rsid w:val="64487C63"/>
    <w:rsid w:val="64514F0B"/>
    <w:rsid w:val="6453347A"/>
    <w:rsid w:val="645C134A"/>
    <w:rsid w:val="646B477D"/>
    <w:rsid w:val="646C0F89"/>
    <w:rsid w:val="648A5788"/>
    <w:rsid w:val="648F08BA"/>
    <w:rsid w:val="64997801"/>
    <w:rsid w:val="64B90295"/>
    <w:rsid w:val="64C60CC3"/>
    <w:rsid w:val="64E4799A"/>
    <w:rsid w:val="64EF15E6"/>
    <w:rsid w:val="650C334B"/>
    <w:rsid w:val="653516AE"/>
    <w:rsid w:val="65373AE6"/>
    <w:rsid w:val="6549061B"/>
    <w:rsid w:val="65587AB5"/>
    <w:rsid w:val="65643D21"/>
    <w:rsid w:val="658500D6"/>
    <w:rsid w:val="65AB2B63"/>
    <w:rsid w:val="65C146AC"/>
    <w:rsid w:val="65C40B5C"/>
    <w:rsid w:val="65E862EF"/>
    <w:rsid w:val="65F545FC"/>
    <w:rsid w:val="65FD1CBF"/>
    <w:rsid w:val="66012595"/>
    <w:rsid w:val="6604718F"/>
    <w:rsid w:val="66214F95"/>
    <w:rsid w:val="664946D9"/>
    <w:rsid w:val="666304FC"/>
    <w:rsid w:val="66911B88"/>
    <w:rsid w:val="66A42ABD"/>
    <w:rsid w:val="66C07ECA"/>
    <w:rsid w:val="66C2537B"/>
    <w:rsid w:val="67127D56"/>
    <w:rsid w:val="67174A33"/>
    <w:rsid w:val="6722776A"/>
    <w:rsid w:val="674A32B8"/>
    <w:rsid w:val="677E430D"/>
    <w:rsid w:val="677E7766"/>
    <w:rsid w:val="679149BF"/>
    <w:rsid w:val="67AF05C2"/>
    <w:rsid w:val="67C629E2"/>
    <w:rsid w:val="67C7187F"/>
    <w:rsid w:val="67DE0E37"/>
    <w:rsid w:val="680502D5"/>
    <w:rsid w:val="68155659"/>
    <w:rsid w:val="68427CFF"/>
    <w:rsid w:val="6845450A"/>
    <w:rsid w:val="685079F2"/>
    <w:rsid w:val="686E033E"/>
    <w:rsid w:val="68806C84"/>
    <w:rsid w:val="688E0752"/>
    <w:rsid w:val="68CF5EAB"/>
    <w:rsid w:val="68E94355"/>
    <w:rsid w:val="68F91FEF"/>
    <w:rsid w:val="69052BFA"/>
    <w:rsid w:val="694E74A4"/>
    <w:rsid w:val="69796518"/>
    <w:rsid w:val="699E557C"/>
    <w:rsid w:val="69B32B4B"/>
    <w:rsid w:val="69BA7CC9"/>
    <w:rsid w:val="69BB6086"/>
    <w:rsid w:val="69C84660"/>
    <w:rsid w:val="69FC0967"/>
    <w:rsid w:val="6A1A7EBC"/>
    <w:rsid w:val="6A201FFA"/>
    <w:rsid w:val="6A2C22EC"/>
    <w:rsid w:val="6A391AC8"/>
    <w:rsid w:val="6A4840BC"/>
    <w:rsid w:val="6A6D4887"/>
    <w:rsid w:val="6A8B5C72"/>
    <w:rsid w:val="6AA638A4"/>
    <w:rsid w:val="6AC05B6D"/>
    <w:rsid w:val="6AC35C05"/>
    <w:rsid w:val="6AC440A0"/>
    <w:rsid w:val="6AEF5BC7"/>
    <w:rsid w:val="6AF01BC5"/>
    <w:rsid w:val="6AF30D05"/>
    <w:rsid w:val="6AFB69BB"/>
    <w:rsid w:val="6B071A4C"/>
    <w:rsid w:val="6B0C0754"/>
    <w:rsid w:val="6B132AAC"/>
    <w:rsid w:val="6B2A0755"/>
    <w:rsid w:val="6B4A5050"/>
    <w:rsid w:val="6B4C5303"/>
    <w:rsid w:val="6B5C4F12"/>
    <w:rsid w:val="6B637864"/>
    <w:rsid w:val="6B7C0A1B"/>
    <w:rsid w:val="6B806B33"/>
    <w:rsid w:val="6B9A6C77"/>
    <w:rsid w:val="6BB347D6"/>
    <w:rsid w:val="6BCF51A7"/>
    <w:rsid w:val="6BCF6F68"/>
    <w:rsid w:val="6BD953AC"/>
    <w:rsid w:val="6BE56507"/>
    <w:rsid w:val="6BF47429"/>
    <w:rsid w:val="6BF927D9"/>
    <w:rsid w:val="6BFF0E91"/>
    <w:rsid w:val="6C1F4A59"/>
    <w:rsid w:val="6C496288"/>
    <w:rsid w:val="6C7E15AA"/>
    <w:rsid w:val="6C7F6E1B"/>
    <w:rsid w:val="6C9F69A2"/>
    <w:rsid w:val="6CB1360C"/>
    <w:rsid w:val="6CC17D7B"/>
    <w:rsid w:val="6CC35EB7"/>
    <w:rsid w:val="6CCC2FF0"/>
    <w:rsid w:val="6CCD2B01"/>
    <w:rsid w:val="6CE973DF"/>
    <w:rsid w:val="6CF87B37"/>
    <w:rsid w:val="6D0E1EBD"/>
    <w:rsid w:val="6D4B0788"/>
    <w:rsid w:val="6D763FF5"/>
    <w:rsid w:val="6D823E94"/>
    <w:rsid w:val="6D894DB4"/>
    <w:rsid w:val="6D9622B6"/>
    <w:rsid w:val="6DA3716F"/>
    <w:rsid w:val="6DB62625"/>
    <w:rsid w:val="6DBF6D5F"/>
    <w:rsid w:val="6DD24A05"/>
    <w:rsid w:val="6DD527D3"/>
    <w:rsid w:val="6DDB44DE"/>
    <w:rsid w:val="6DDC2D5C"/>
    <w:rsid w:val="6DE11877"/>
    <w:rsid w:val="6DFF7513"/>
    <w:rsid w:val="6E0828EC"/>
    <w:rsid w:val="6E0D4148"/>
    <w:rsid w:val="6E0E649D"/>
    <w:rsid w:val="6E217D76"/>
    <w:rsid w:val="6E6C6853"/>
    <w:rsid w:val="6E8C7DCA"/>
    <w:rsid w:val="6E937FF8"/>
    <w:rsid w:val="6EB56C53"/>
    <w:rsid w:val="6ED82E12"/>
    <w:rsid w:val="6EDF1831"/>
    <w:rsid w:val="6EE21C49"/>
    <w:rsid w:val="6EE719CB"/>
    <w:rsid w:val="6F552D13"/>
    <w:rsid w:val="6F5E6064"/>
    <w:rsid w:val="6F7549F5"/>
    <w:rsid w:val="6F927B04"/>
    <w:rsid w:val="6FAE7CEB"/>
    <w:rsid w:val="6FB0362E"/>
    <w:rsid w:val="6FB81DDB"/>
    <w:rsid w:val="6FCC08F5"/>
    <w:rsid w:val="6FEA2888"/>
    <w:rsid w:val="6FF22752"/>
    <w:rsid w:val="700D7AFC"/>
    <w:rsid w:val="70150489"/>
    <w:rsid w:val="702151EC"/>
    <w:rsid w:val="7026044B"/>
    <w:rsid w:val="7026641D"/>
    <w:rsid w:val="703F7139"/>
    <w:rsid w:val="7092209B"/>
    <w:rsid w:val="70E6283E"/>
    <w:rsid w:val="70FD5FF0"/>
    <w:rsid w:val="712A4886"/>
    <w:rsid w:val="71320803"/>
    <w:rsid w:val="71336096"/>
    <w:rsid w:val="71634C45"/>
    <w:rsid w:val="71651DAB"/>
    <w:rsid w:val="716F239A"/>
    <w:rsid w:val="719A5A42"/>
    <w:rsid w:val="71B32155"/>
    <w:rsid w:val="71B52F37"/>
    <w:rsid w:val="71BB07CF"/>
    <w:rsid w:val="71C51BA4"/>
    <w:rsid w:val="71E06BC7"/>
    <w:rsid w:val="71E537D7"/>
    <w:rsid w:val="71E701BB"/>
    <w:rsid w:val="71EA2DCD"/>
    <w:rsid w:val="71EC3D7D"/>
    <w:rsid w:val="71F53CB2"/>
    <w:rsid w:val="72110585"/>
    <w:rsid w:val="721337FA"/>
    <w:rsid w:val="7238752D"/>
    <w:rsid w:val="7241320E"/>
    <w:rsid w:val="72445496"/>
    <w:rsid w:val="7254573A"/>
    <w:rsid w:val="72826C46"/>
    <w:rsid w:val="72881E9D"/>
    <w:rsid w:val="72A26C10"/>
    <w:rsid w:val="72A76E1C"/>
    <w:rsid w:val="72BF6DCC"/>
    <w:rsid w:val="72DF4882"/>
    <w:rsid w:val="73067D98"/>
    <w:rsid w:val="731E4542"/>
    <w:rsid w:val="73230917"/>
    <w:rsid w:val="73335F0A"/>
    <w:rsid w:val="73771CB4"/>
    <w:rsid w:val="73873A95"/>
    <w:rsid w:val="73883034"/>
    <w:rsid w:val="739D2A95"/>
    <w:rsid w:val="73BF3CA2"/>
    <w:rsid w:val="73E26361"/>
    <w:rsid w:val="73E82CDB"/>
    <w:rsid w:val="740A0132"/>
    <w:rsid w:val="74156F6D"/>
    <w:rsid w:val="743F48DF"/>
    <w:rsid w:val="7447658D"/>
    <w:rsid w:val="745D3D9F"/>
    <w:rsid w:val="74626D6A"/>
    <w:rsid w:val="748074FC"/>
    <w:rsid w:val="74C923D0"/>
    <w:rsid w:val="74E541AB"/>
    <w:rsid w:val="74EE4269"/>
    <w:rsid w:val="74F72C1A"/>
    <w:rsid w:val="74F92F15"/>
    <w:rsid w:val="75062EA5"/>
    <w:rsid w:val="752110C2"/>
    <w:rsid w:val="754359F5"/>
    <w:rsid w:val="756F5878"/>
    <w:rsid w:val="75970CA3"/>
    <w:rsid w:val="75A533D2"/>
    <w:rsid w:val="75AC3C1E"/>
    <w:rsid w:val="75AF2A5A"/>
    <w:rsid w:val="75D936CA"/>
    <w:rsid w:val="75DE01BE"/>
    <w:rsid w:val="75EE3AD2"/>
    <w:rsid w:val="760974BF"/>
    <w:rsid w:val="76290C1F"/>
    <w:rsid w:val="76296CD9"/>
    <w:rsid w:val="762A4624"/>
    <w:rsid w:val="768F46D1"/>
    <w:rsid w:val="768F6E43"/>
    <w:rsid w:val="769177F6"/>
    <w:rsid w:val="769673A7"/>
    <w:rsid w:val="769C44D0"/>
    <w:rsid w:val="769F3D77"/>
    <w:rsid w:val="76B97E2E"/>
    <w:rsid w:val="76C753F9"/>
    <w:rsid w:val="76CE76FC"/>
    <w:rsid w:val="76DE495C"/>
    <w:rsid w:val="77134AD6"/>
    <w:rsid w:val="7723671A"/>
    <w:rsid w:val="773878B2"/>
    <w:rsid w:val="773D67FA"/>
    <w:rsid w:val="777171AC"/>
    <w:rsid w:val="778908F8"/>
    <w:rsid w:val="779958F8"/>
    <w:rsid w:val="779C21D9"/>
    <w:rsid w:val="77A31E64"/>
    <w:rsid w:val="77B00CD6"/>
    <w:rsid w:val="77B11D15"/>
    <w:rsid w:val="77B64A11"/>
    <w:rsid w:val="77CA4B83"/>
    <w:rsid w:val="7815347C"/>
    <w:rsid w:val="783F6EC4"/>
    <w:rsid w:val="785908C6"/>
    <w:rsid w:val="785E490B"/>
    <w:rsid w:val="78614DF0"/>
    <w:rsid w:val="786A0CFE"/>
    <w:rsid w:val="78753E9B"/>
    <w:rsid w:val="78820EB8"/>
    <w:rsid w:val="789C44C5"/>
    <w:rsid w:val="78C51C45"/>
    <w:rsid w:val="78EE01B9"/>
    <w:rsid w:val="791E533D"/>
    <w:rsid w:val="792F0922"/>
    <w:rsid w:val="79446DF9"/>
    <w:rsid w:val="795053D1"/>
    <w:rsid w:val="7959383E"/>
    <w:rsid w:val="795A6740"/>
    <w:rsid w:val="7969426F"/>
    <w:rsid w:val="796D4A70"/>
    <w:rsid w:val="797F4285"/>
    <w:rsid w:val="7990303F"/>
    <w:rsid w:val="79B51BAE"/>
    <w:rsid w:val="79E267F3"/>
    <w:rsid w:val="79F5061C"/>
    <w:rsid w:val="7A005C6B"/>
    <w:rsid w:val="7A0E03A3"/>
    <w:rsid w:val="7A127902"/>
    <w:rsid w:val="7A446491"/>
    <w:rsid w:val="7A631767"/>
    <w:rsid w:val="7A65576A"/>
    <w:rsid w:val="7A72660A"/>
    <w:rsid w:val="7A80067E"/>
    <w:rsid w:val="7A94551C"/>
    <w:rsid w:val="7AB12572"/>
    <w:rsid w:val="7AE96595"/>
    <w:rsid w:val="7AF12096"/>
    <w:rsid w:val="7AF73001"/>
    <w:rsid w:val="7B115F01"/>
    <w:rsid w:val="7B38059E"/>
    <w:rsid w:val="7B3C7DFE"/>
    <w:rsid w:val="7B5D6B48"/>
    <w:rsid w:val="7B626576"/>
    <w:rsid w:val="7B662832"/>
    <w:rsid w:val="7B8B45A7"/>
    <w:rsid w:val="7BBC3171"/>
    <w:rsid w:val="7BDC2D2F"/>
    <w:rsid w:val="7BDD1576"/>
    <w:rsid w:val="7BE769E1"/>
    <w:rsid w:val="7BF72CC5"/>
    <w:rsid w:val="7C1F7B38"/>
    <w:rsid w:val="7C3A153D"/>
    <w:rsid w:val="7C3C2310"/>
    <w:rsid w:val="7C484E9D"/>
    <w:rsid w:val="7C4C347E"/>
    <w:rsid w:val="7C4F3F97"/>
    <w:rsid w:val="7C6155A8"/>
    <w:rsid w:val="7C6B4DFE"/>
    <w:rsid w:val="7C833E31"/>
    <w:rsid w:val="7CC62DE2"/>
    <w:rsid w:val="7CCD7A28"/>
    <w:rsid w:val="7CDB3387"/>
    <w:rsid w:val="7CE233A5"/>
    <w:rsid w:val="7D171250"/>
    <w:rsid w:val="7D1E45E1"/>
    <w:rsid w:val="7D401BE2"/>
    <w:rsid w:val="7D65513D"/>
    <w:rsid w:val="7D761D27"/>
    <w:rsid w:val="7D927CA9"/>
    <w:rsid w:val="7D935D11"/>
    <w:rsid w:val="7D965921"/>
    <w:rsid w:val="7D9824B7"/>
    <w:rsid w:val="7D9E21B8"/>
    <w:rsid w:val="7DB3143D"/>
    <w:rsid w:val="7DDB5FC6"/>
    <w:rsid w:val="7DE601B6"/>
    <w:rsid w:val="7E074AF1"/>
    <w:rsid w:val="7E31603D"/>
    <w:rsid w:val="7E320F90"/>
    <w:rsid w:val="7E4A79BD"/>
    <w:rsid w:val="7E525E1A"/>
    <w:rsid w:val="7E6E11E3"/>
    <w:rsid w:val="7E765FD1"/>
    <w:rsid w:val="7E80652C"/>
    <w:rsid w:val="7EA23EE4"/>
    <w:rsid w:val="7ECE2B38"/>
    <w:rsid w:val="7F3032CD"/>
    <w:rsid w:val="7F5230EC"/>
    <w:rsid w:val="7F565BFF"/>
    <w:rsid w:val="7F6379B1"/>
    <w:rsid w:val="7F982AF7"/>
    <w:rsid w:val="7FCB0F04"/>
    <w:rsid w:val="FEDF4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5"/>
    <w:qFormat/>
    <w:uiPriority w:val="0"/>
    <w:pPr>
      <w:keepNext/>
      <w:keepLines/>
      <w:spacing w:before="280" w:after="290" w:line="376" w:lineRule="auto"/>
      <w:outlineLvl w:val="4"/>
    </w:pPr>
    <w:rPr>
      <w:b/>
      <w:sz w:val="28"/>
      <w:szCs w:val="20"/>
    </w:rPr>
  </w:style>
  <w:style w:type="paragraph" w:styleId="9">
    <w:name w:val="heading 6"/>
    <w:basedOn w:val="1"/>
    <w:next w:val="5"/>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5"/>
    <w:qFormat/>
    <w:uiPriority w:val="0"/>
    <w:pPr>
      <w:keepNext/>
      <w:keepLines/>
      <w:spacing w:before="240" w:after="64" w:line="320" w:lineRule="auto"/>
      <w:outlineLvl w:val="6"/>
    </w:pPr>
    <w:rPr>
      <w:b/>
      <w:sz w:val="24"/>
      <w:szCs w:val="20"/>
    </w:rPr>
  </w:style>
  <w:style w:type="paragraph" w:styleId="11">
    <w:name w:val="heading 8"/>
    <w:basedOn w:val="1"/>
    <w:next w:val="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5"/>
    <w:qFormat/>
    <w:uiPriority w:val="0"/>
    <w:pPr>
      <w:keepNext/>
      <w:keepLines/>
      <w:spacing w:before="240" w:after="64" w:line="320" w:lineRule="auto"/>
      <w:outlineLvl w:val="8"/>
    </w:pPr>
    <w:rPr>
      <w:rFonts w:ascii="Arial" w:hAnsi="Arial" w:eastAsia="黑体"/>
      <w:szCs w:val="20"/>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5">
    <w:name w:val="Normal Indent"/>
    <w:basedOn w:val="1"/>
    <w:qFormat/>
    <w:uiPriority w:val="99"/>
    <w:pPr>
      <w:autoSpaceDE w:val="0"/>
      <w:autoSpaceDN w:val="0"/>
      <w:adjustRightInd w:val="0"/>
      <w:ind w:firstLine="420"/>
      <w:jc w:val="left"/>
    </w:pPr>
    <w:rPr>
      <w:rFonts w:ascii="宋体"/>
      <w:kern w:val="0"/>
      <w:sz w:val="24"/>
      <w:szCs w:val="20"/>
    </w:rPr>
  </w:style>
  <w:style w:type="paragraph" w:styleId="13">
    <w:name w:val="Document Map"/>
    <w:basedOn w:val="1"/>
    <w:qFormat/>
    <w:uiPriority w:val="0"/>
    <w:pPr>
      <w:shd w:val="clear" w:color="auto" w:fill="000080"/>
    </w:pPr>
  </w:style>
  <w:style w:type="paragraph" w:styleId="14">
    <w:name w:val="annotation text"/>
    <w:basedOn w:val="1"/>
    <w:link w:val="51"/>
    <w:qFormat/>
    <w:uiPriority w:val="99"/>
    <w:pPr>
      <w:jc w:val="left"/>
    </w:pPr>
  </w:style>
  <w:style w:type="paragraph" w:styleId="15">
    <w:name w:val="Body Text 3"/>
    <w:basedOn w:val="1"/>
    <w:qFormat/>
    <w:uiPriority w:val="0"/>
    <w:pPr>
      <w:widowControl/>
      <w:ind w:right="720"/>
      <w:jc w:val="left"/>
    </w:pPr>
    <w:rPr>
      <w:kern w:val="0"/>
      <w:sz w:val="20"/>
      <w:szCs w:val="20"/>
      <w:lang w:eastAsia="en-US"/>
    </w:rPr>
  </w:style>
  <w:style w:type="paragraph" w:styleId="16">
    <w:name w:val="Body Text"/>
    <w:basedOn w:val="1"/>
    <w:qFormat/>
    <w:uiPriority w:val="0"/>
    <w:pPr>
      <w:tabs>
        <w:tab w:val="left" w:pos="567"/>
      </w:tabs>
      <w:spacing w:before="120" w:line="22" w:lineRule="atLeast"/>
    </w:pPr>
    <w:rPr>
      <w:rFonts w:ascii="宋体" w:hAnsi="宋体"/>
      <w:sz w:val="24"/>
    </w:rPr>
  </w:style>
  <w:style w:type="paragraph" w:styleId="17">
    <w:name w:val="Body Text Indent"/>
    <w:basedOn w:val="1"/>
    <w:next w:val="18"/>
    <w:qFormat/>
    <w:uiPriority w:val="0"/>
    <w:pPr>
      <w:spacing w:after="120"/>
      <w:ind w:left="420" w:leftChars="200"/>
    </w:pPr>
  </w:style>
  <w:style w:type="paragraph" w:styleId="18">
    <w:name w:val="envelope return"/>
    <w:basedOn w:val="1"/>
    <w:qFormat/>
    <w:uiPriority w:val="99"/>
    <w:pPr>
      <w:snapToGrid w:val="0"/>
    </w:pPr>
    <w:rPr>
      <w:rFonts w:ascii="Arial" w:hAnsi="Arial"/>
    </w:rPr>
  </w:style>
  <w:style w:type="paragraph" w:styleId="19">
    <w:name w:val="Plain Text"/>
    <w:basedOn w:val="1"/>
    <w:link w:val="40"/>
    <w:qFormat/>
    <w:uiPriority w:val="0"/>
    <w:rPr>
      <w:rFonts w:ascii="宋体" w:hAnsi="Courier New"/>
      <w:szCs w:val="20"/>
    </w:rPr>
  </w:style>
  <w:style w:type="paragraph" w:styleId="20">
    <w:name w:val="Date"/>
    <w:basedOn w:val="1"/>
    <w:next w:val="1"/>
    <w:link w:val="41"/>
    <w:qFormat/>
    <w:uiPriority w:val="0"/>
    <w:rPr>
      <w:szCs w:val="20"/>
    </w:rPr>
  </w:style>
  <w:style w:type="paragraph" w:styleId="21">
    <w:name w:val="Body Text Indent 2"/>
    <w:basedOn w:val="1"/>
    <w:qFormat/>
    <w:uiPriority w:val="0"/>
    <w:pPr>
      <w:ind w:firstLine="480" w:firstLineChars="200"/>
    </w:pPr>
    <w:rPr>
      <w:rFonts w:ascii="仿宋_GB2312" w:eastAsia="仿宋_GB2312"/>
      <w:sz w:val="24"/>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296"/>
      </w:tabs>
      <w:spacing w:after="192" w:line="400" w:lineRule="exact"/>
      <w:jc w:val="center"/>
    </w:pPr>
    <w:rPr>
      <w:rFonts w:ascii="方正小标宋简体" w:hAnsi="宋体" w:eastAsia="方正小标宋简体"/>
      <w:sz w:val="36"/>
      <w:szCs w:val="20"/>
    </w:rPr>
  </w:style>
  <w:style w:type="paragraph" w:styleId="26">
    <w:name w:val="Body Text 2"/>
    <w:basedOn w:val="1"/>
    <w:qFormat/>
    <w:uiPriority w:val="0"/>
    <w:pPr>
      <w:widowControl/>
    </w:pPr>
    <w:rPr>
      <w:kern w:val="0"/>
      <w:sz w:val="20"/>
      <w:szCs w:val="20"/>
      <w:lang w:eastAsia="en-US"/>
    </w:rPr>
  </w:style>
  <w:style w:type="paragraph" w:styleId="2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8">
    <w:name w:val="Title"/>
    <w:basedOn w:val="1"/>
    <w:qFormat/>
    <w:uiPriority w:val="0"/>
    <w:pPr>
      <w:jc w:val="center"/>
    </w:pPr>
    <w:rPr>
      <w:sz w:val="30"/>
    </w:rPr>
  </w:style>
  <w:style w:type="paragraph" w:styleId="29">
    <w:name w:val="annotation subject"/>
    <w:basedOn w:val="14"/>
    <w:next w:val="14"/>
    <w:link w:val="52"/>
    <w:qFormat/>
    <w:uiPriority w:val="0"/>
    <w:rPr>
      <w:b/>
      <w:bCs/>
    </w:rPr>
  </w:style>
  <w:style w:type="paragraph" w:styleId="30">
    <w:name w:val="Body Text First Indent 2"/>
    <w:basedOn w:val="17"/>
    <w:link w:val="64"/>
    <w:qFormat/>
    <w:uiPriority w:val="99"/>
    <w:pPr>
      <w:ind w:firstLine="420" w:firstLineChars="200"/>
    </w:p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Emphasis"/>
    <w:qFormat/>
    <w:uiPriority w:val="20"/>
    <w:rPr>
      <w:i/>
      <w:iCs/>
    </w:rPr>
  </w:style>
  <w:style w:type="character" w:styleId="37">
    <w:name w:val="Hyperlink"/>
    <w:qFormat/>
    <w:uiPriority w:val="99"/>
    <w:rPr>
      <w:color w:val="0000FF"/>
      <w:u w:val="single"/>
    </w:rPr>
  </w:style>
  <w:style w:type="character" w:styleId="38">
    <w:name w:val="annotation reference"/>
    <w:basedOn w:val="33"/>
    <w:qFormat/>
    <w:uiPriority w:val="0"/>
    <w:rPr>
      <w:sz w:val="21"/>
      <w:szCs w:val="21"/>
    </w:rPr>
  </w:style>
  <w:style w:type="character" w:customStyle="1" w:styleId="39">
    <w:name w:val="Char"/>
    <w:qFormat/>
    <w:uiPriority w:val="0"/>
    <w:rPr>
      <w:rFonts w:ascii="宋体" w:hAnsi="Courier New" w:eastAsia="宋体"/>
      <w:kern w:val="2"/>
      <w:sz w:val="21"/>
      <w:lang w:val="en-US" w:eastAsia="zh-CN" w:bidi="ar-SA"/>
    </w:rPr>
  </w:style>
  <w:style w:type="character" w:customStyle="1" w:styleId="40">
    <w:name w:val="纯文本 字符"/>
    <w:link w:val="19"/>
    <w:qFormat/>
    <w:uiPriority w:val="0"/>
    <w:rPr>
      <w:rFonts w:ascii="宋体" w:hAnsi="Courier New"/>
      <w:kern w:val="2"/>
      <w:sz w:val="21"/>
    </w:rPr>
  </w:style>
  <w:style w:type="character" w:customStyle="1" w:styleId="41">
    <w:name w:val="日期 字符"/>
    <w:link w:val="20"/>
    <w:qFormat/>
    <w:uiPriority w:val="0"/>
    <w:rPr>
      <w:rFonts w:eastAsia="宋体"/>
      <w:kern w:val="2"/>
      <w:sz w:val="21"/>
      <w:lang w:val="en-US" w:eastAsia="zh-CN" w:bidi="ar-SA"/>
    </w:rPr>
  </w:style>
  <w:style w:type="paragraph" w:customStyle="1" w:styleId="42">
    <w:name w:val="文档正文"/>
    <w:basedOn w:val="1"/>
    <w:qFormat/>
    <w:uiPriority w:val="0"/>
    <w:pPr>
      <w:adjustRightInd w:val="0"/>
      <w:spacing w:line="480" w:lineRule="atLeast"/>
      <w:ind w:firstLine="567"/>
      <w:textAlignment w:val="baseline"/>
    </w:pPr>
    <w:rPr>
      <w:rFonts w:ascii="长城仿宋"/>
      <w:kern w:val="0"/>
      <w:sz w:val="24"/>
      <w:szCs w:val="20"/>
    </w:rPr>
  </w:style>
  <w:style w:type="paragraph" w:customStyle="1" w:styleId="43">
    <w:name w:val="正文文本 21"/>
    <w:basedOn w:val="1"/>
    <w:qFormat/>
    <w:uiPriority w:val="0"/>
    <w:pPr>
      <w:adjustRightInd w:val="0"/>
      <w:spacing w:before="120" w:line="360" w:lineRule="auto"/>
      <w:ind w:firstLine="480"/>
      <w:textAlignment w:val="baseline"/>
    </w:pPr>
    <w:rPr>
      <w:sz w:val="24"/>
      <w:szCs w:val="20"/>
    </w:rPr>
  </w:style>
  <w:style w:type="paragraph" w:customStyle="1" w:styleId="44">
    <w:name w:val="Char1"/>
    <w:basedOn w:val="1"/>
    <w:qFormat/>
    <w:uiPriority w:val="0"/>
    <w:rPr>
      <w:rFonts w:ascii="Tahoma" w:hAnsi="Tahoma"/>
      <w:sz w:val="24"/>
      <w:szCs w:val="20"/>
    </w:rPr>
  </w:style>
  <w:style w:type="paragraph" w:customStyle="1" w:styleId="45">
    <w:name w:val="正文文本缩进 21"/>
    <w:basedOn w:val="1"/>
    <w:qFormat/>
    <w:uiPriority w:val="0"/>
    <w:pPr>
      <w:adjustRightInd w:val="0"/>
      <w:spacing w:before="120"/>
      <w:ind w:firstLine="420"/>
      <w:textAlignment w:val="baseline"/>
    </w:pPr>
    <w:rPr>
      <w:sz w:val="24"/>
      <w:szCs w:val="20"/>
    </w:rPr>
  </w:style>
  <w:style w:type="paragraph" w:customStyle="1" w:styleId="46">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纯文本1"/>
    <w:basedOn w:val="1"/>
    <w:qFormat/>
    <w:uiPriority w:val="0"/>
    <w:rPr>
      <w:rFonts w:hint="eastAsia" w:hAnsi="Courier New"/>
      <w:szCs w:val="20"/>
    </w:rPr>
  </w:style>
  <w:style w:type="paragraph" w:customStyle="1" w:styleId="49">
    <w:name w:val="列出段落111"/>
    <w:basedOn w:val="1"/>
    <w:qFormat/>
    <w:uiPriority w:val="0"/>
    <w:pPr>
      <w:ind w:firstLine="420" w:firstLineChars="200"/>
    </w:pPr>
    <w:rPr>
      <w:rFonts w:ascii="Calibri" w:hAnsi="Calibri"/>
      <w:szCs w:val="22"/>
    </w:rPr>
  </w:style>
  <w:style w:type="paragraph" w:customStyle="1" w:styleId="50">
    <w:name w:val="列出段落11"/>
    <w:basedOn w:val="1"/>
    <w:qFormat/>
    <w:uiPriority w:val="0"/>
    <w:pPr>
      <w:ind w:firstLine="420" w:firstLineChars="200"/>
    </w:pPr>
    <w:rPr>
      <w:rFonts w:ascii="Calibri" w:hAnsi="Calibri"/>
      <w:szCs w:val="22"/>
    </w:rPr>
  </w:style>
  <w:style w:type="character" w:customStyle="1" w:styleId="51">
    <w:name w:val="批注文字 字符"/>
    <w:link w:val="14"/>
    <w:qFormat/>
    <w:uiPriority w:val="0"/>
    <w:rPr>
      <w:kern w:val="2"/>
      <w:sz w:val="21"/>
      <w:szCs w:val="24"/>
    </w:rPr>
  </w:style>
  <w:style w:type="character" w:customStyle="1" w:styleId="52">
    <w:name w:val="批注主题 字符"/>
    <w:link w:val="29"/>
    <w:qFormat/>
    <w:uiPriority w:val="0"/>
    <w:rPr>
      <w:b/>
      <w:bCs/>
      <w:kern w:val="2"/>
      <w:sz w:val="21"/>
      <w:szCs w:val="24"/>
    </w:rPr>
  </w:style>
  <w:style w:type="paragraph" w:customStyle="1" w:styleId="5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未处理的提及1"/>
    <w:basedOn w:val="33"/>
    <w:qFormat/>
    <w:uiPriority w:val="99"/>
    <w:rPr>
      <w:color w:val="605E5C"/>
      <w:shd w:val="clear" w:color="auto" w:fill="E1DFDD"/>
    </w:rPr>
  </w:style>
  <w:style w:type="paragraph" w:customStyle="1" w:styleId="55">
    <w:name w:val="目录 11"/>
    <w:basedOn w:val="1"/>
    <w:next w:val="1"/>
    <w:qFormat/>
    <w:uiPriority w:val="0"/>
    <w:pPr>
      <w:spacing w:before="120" w:after="120"/>
      <w:jc w:val="left"/>
    </w:pPr>
    <w:rPr>
      <w:b/>
      <w:bCs/>
      <w:caps/>
      <w:kern w:val="0"/>
      <w:sz w:val="20"/>
      <w:szCs w:val="20"/>
    </w:rPr>
  </w:style>
  <w:style w:type="paragraph" w:customStyle="1" w:styleId="56">
    <w:name w:val="列出段落2"/>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57">
    <w:name w:val="样式1"/>
    <w:basedOn w:val="1"/>
    <w:qFormat/>
    <w:uiPriority w:val="0"/>
    <w:pPr>
      <w:adjustRightInd w:val="0"/>
      <w:spacing w:before="100" w:beforeAutospacing="1" w:after="100" w:afterAutospacing="1"/>
      <w:ind w:left="709" w:hanging="709"/>
      <w:textAlignment w:val="baseline"/>
    </w:pPr>
    <w:rPr>
      <w:rFonts w:ascii="宋体" w:hAnsi="宋体" w:cs="宋体"/>
      <w:kern w:val="0"/>
      <w:szCs w:val="21"/>
    </w:rPr>
  </w:style>
  <w:style w:type="paragraph" w:customStyle="1" w:styleId="58">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9">
    <w:name w:val="Char11"/>
    <w:basedOn w:val="1"/>
    <w:qFormat/>
    <w:uiPriority w:val="0"/>
    <w:rPr>
      <w:rFonts w:ascii="Calibri" w:hAnsi="Calibri"/>
      <w:b/>
      <w:bCs/>
      <w:sz w:val="36"/>
      <w:szCs w:val="32"/>
    </w:rPr>
  </w:style>
  <w:style w:type="character" w:customStyle="1" w:styleId="60">
    <w:name w:val="占位符文本1"/>
    <w:basedOn w:val="33"/>
    <w:qFormat/>
    <w:uiPriority w:val="99"/>
    <w:rPr>
      <w:color w:val="808080"/>
    </w:rPr>
  </w:style>
  <w:style w:type="paragraph" w:customStyle="1" w:styleId="6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64">
    <w:name w:val="正文文本首行缩进 2 字符"/>
    <w:basedOn w:val="33"/>
    <w:link w:val="30"/>
    <w:qFormat/>
    <w:uiPriority w:val="99"/>
    <w:rPr>
      <w:rFonts w:ascii="Times New Roman" w:hAnsi="Times New Roman" w:eastAsia="宋体" w:cs="Times New Roman"/>
      <w:kern w:val="2"/>
      <w:sz w:val="21"/>
      <w:szCs w:val="24"/>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修订2"/>
    <w:hidden/>
    <w:semiHidden/>
    <w:qFormat/>
    <w:uiPriority w:val="99"/>
    <w:rPr>
      <w:rFonts w:ascii="Times New Roman" w:hAnsi="Times New Roman" w:eastAsia="宋体" w:cs="Times New Roman"/>
      <w:kern w:val="2"/>
      <w:sz w:val="21"/>
      <w:szCs w:val="24"/>
      <w:lang w:val="en-US" w:eastAsia="zh-CN" w:bidi="ar-SA"/>
    </w:rPr>
  </w:style>
  <w:style w:type="paragraph" w:styleId="67">
    <w:name w:val="List Paragraph"/>
    <w:basedOn w:val="1"/>
    <w:link w:val="72"/>
    <w:qFormat/>
    <w:uiPriority w:val="34"/>
    <w:pPr>
      <w:ind w:firstLine="420" w:firstLineChars="200"/>
    </w:pPr>
  </w:style>
  <w:style w:type="paragraph" w:customStyle="1" w:styleId="68">
    <w:name w:val="图"/>
    <w:basedOn w:val="1"/>
    <w:qFormat/>
    <w:uiPriority w:val="0"/>
    <w:pPr>
      <w:keepNext/>
      <w:adjustRightInd w:val="0"/>
      <w:spacing w:before="60" w:after="60" w:line="300" w:lineRule="auto"/>
      <w:jc w:val="center"/>
      <w:textAlignment w:val="center"/>
    </w:pPr>
    <w:rPr>
      <w:snapToGrid w:val="0"/>
      <w:spacing w:val="20"/>
      <w:kern w:val="0"/>
      <w:szCs w:val="20"/>
    </w:rPr>
  </w:style>
  <w:style w:type="paragraph" w:customStyle="1" w:styleId="69">
    <w:name w:val="m_正文段落"/>
    <w:basedOn w:val="1"/>
    <w:link w:val="70"/>
    <w:qFormat/>
    <w:uiPriority w:val="0"/>
    <w:pPr>
      <w:spacing w:line="360" w:lineRule="auto"/>
      <w:ind w:firstLine="200" w:firstLineChars="200"/>
    </w:pPr>
    <w:rPr>
      <w:rFonts w:ascii="Arial" w:hAnsi="Arial"/>
      <w:sz w:val="24"/>
    </w:rPr>
  </w:style>
  <w:style w:type="character" w:customStyle="1" w:styleId="70">
    <w:name w:val="m_正文段落 Char"/>
    <w:basedOn w:val="33"/>
    <w:link w:val="69"/>
    <w:qFormat/>
    <w:uiPriority w:val="0"/>
    <w:rPr>
      <w:rFonts w:ascii="Arial" w:hAnsi="Arial"/>
      <w:kern w:val="2"/>
      <w:sz w:val="24"/>
      <w:szCs w:val="24"/>
    </w:rPr>
  </w:style>
  <w:style w:type="paragraph" w:customStyle="1" w:styleId="7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72">
    <w:name w:val="列表段落 字符"/>
    <w:link w:val="67"/>
    <w:qFormat/>
    <w:locked/>
    <w:uiPriority w:val="34"/>
    <w:rPr>
      <w:kern w:val="2"/>
      <w:sz w:val="21"/>
      <w:szCs w:val="24"/>
    </w:rPr>
  </w:style>
  <w:style w:type="paragraph" w:customStyle="1" w:styleId="7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A585-5605-4834-924B-6DB5F78F7BA5}">
  <ds:schemaRefs/>
</ds:datastoreItem>
</file>

<file path=docProps/app.xml><?xml version="1.0" encoding="utf-8"?>
<Properties xmlns="http://schemas.openxmlformats.org/officeDocument/2006/extended-properties" xmlns:vt="http://schemas.openxmlformats.org/officeDocument/2006/docPropsVTypes">
  <Template>Normal</Template>
  <Pages>61</Pages>
  <Words>23522</Words>
  <Characters>24705</Characters>
  <Lines>192</Lines>
  <Paragraphs>54</Paragraphs>
  <TotalTime>27</TotalTime>
  <ScaleCrop>false</ScaleCrop>
  <LinksUpToDate>false</LinksUpToDate>
  <CharactersWithSpaces>25132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2022-05-24T08:54:00Z</dcterms:created>
  <dc:creator>caowuning</dc:creator>
  <cp:lastModifiedBy>DF</cp:lastModifiedBy>
  <cp:lastPrinted>2009-04-21T17:03:00Z</cp:lastPrinted>
  <dcterms:modified xsi:type="dcterms:W3CDTF">2022-06-08T09:22:51Z</dcterms:modified>
  <dc:title>北 京 市 政 府 采 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ABD8641950B941F09B7F3244E8890CAB</vt:lpwstr>
  </property>
</Properties>
</file>