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  <w:lang w:eastAsia="zh-CN"/>
        </w:rPr>
        <w:t>扬州大学附属医院东西区手术室净化空调维修和保养服务项目</w:t>
      </w:r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YDFYSW-20220602号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扬州大学附属医院东西区手术室净化空调维修和保养服务项目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112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pStyle w:val="3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1" w:name="_Toc35393825"/>
      <w:bookmarkStart w:id="12" w:name="_Toc3539365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参加投标的投标人不足3家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无</w:t>
      </w:r>
      <w:bookmarkStart w:id="29" w:name="_GoBack"/>
      <w:bookmarkEnd w:id="29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826"/>
      <w:bookmarkStart w:id="15" w:name="_Toc28359113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114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扬州大学附属医院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扬州市邗江中路368号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胡老师0514—82981199—83118 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828"/>
      <w:bookmarkStart w:id="23" w:name="_Toc35393659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江苏苏维工程管理有限公司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扬州市翠岗路48号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阮玉婷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0514-87986785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35393660"/>
      <w:bookmarkStart w:id="27" w:name="_Toc28359039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阮玉婷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0514-87986785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江苏苏维工程管理有限公司</w:t>
      </w:r>
    </w:p>
    <w:p>
      <w:pPr>
        <w:spacing w:line="360" w:lineRule="auto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2022年7月1日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GNjOWMyZTYwZmY3NzQ1Mjk4NjY2ZTI3ZmJjYTQifQ=="/>
  </w:docVars>
  <w:rsids>
    <w:rsidRoot w:val="69F61133"/>
    <w:rsid w:val="12D04B1D"/>
    <w:rsid w:val="12E93B66"/>
    <w:rsid w:val="2C7E0C0E"/>
    <w:rsid w:val="4BA249A0"/>
    <w:rsid w:val="528A0DE6"/>
    <w:rsid w:val="69F61133"/>
    <w:rsid w:val="6BE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2021-12-16T03:03:00Z</dcterms:created>
  <dc:creator>骑驴追西施</dc:creator>
  <cp:lastModifiedBy>rr</cp:lastModifiedBy>
  <dcterms:modified xsi:type="dcterms:W3CDTF">2022-07-01T01:16:02Z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FE38698124D848B382EF35781A297F6C</vt:lpwstr>
  </property>
</Properties>
</file>