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E2" w:rsidRPr="00825B34" w:rsidRDefault="00A83EE2" w:rsidP="00A83EE2">
      <w:pPr>
        <w:snapToGrid w:val="0"/>
        <w:rPr>
          <w:rStyle w:val="NormalCharacter"/>
          <w:rFonts w:hAnsi="宋体"/>
          <w:sz w:val="24"/>
          <w:u w:val="single"/>
        </w:rPr>
      </w:pPr>
    </w:p>
    <w:p w:rsidR="00A83EE2" w:rsidRPr="00825B34" w:rsidRDefault="00A83EE2" w:rsidP="00A83EE2">
      <w:pPr>
        <w:snapToGrid w:val="0"/>
        <w:ind w:right="893"/>
        <w:jc w:val="center"/>
        <w:textAlignment w:val="bottom"/>
        <w:rPr>
          <w:rStyle w:val="NormalCharacter"/>
          <w:rFonts w:ascii="宋体" w:hAnsi="宋体"/>
          <w:b/>
          <w:sz w:val="24"/>
        </w:rPr>
      </w:pPr>
      <w:r w:rsidRPr="00825B34">
        <w:rPr>
          <w:rStyle w:val="NormalCharacter"/>
          <w:rFonts w:ascii="宋体" w:hAnsi="宋体"/>
          <w:b/>
          <w:sz w:val="24"/>
        </w:rPr>
        <w:t xml:space="preserve">   </w:t>
      </w:r>
    </w:p>
    <w:p w:rsidR="00A83EE2" w:rsidRPr="00825B34" w:rsidRDefault="00A83EE2" w:rsidP="00A83EE2">
      <w:pPr>
        <w:snapToGrid w:val="0"/>
        <w:ind w:right="893"/>
        <w:jc w:val="center"/>
        <w:textAlignment w:val="bottom"/>
        <w:rPr>
          <w:rStyle w:val="NormalCharacter"/>
          <w:rFonts w:ascii="宋体" w:hAnsi="宋体"/>
          <w:b/>
          <w:sz w:val="28"/>
          <w:szCs w:val="28"/>
        </w:rPr>
      </w:pPr>
      <w:r w:rsidRPr="00825B34">
        <w:rPr>
          <w:rStyle w:val="NormalCharacter"/>
          <w:rFonts w:ascii="宋体" w:hAnsi="宋体"/>
          <w:b/>
          <w:sz w:val="28"/>
          <w:szCs w:val="28"/>
        </w:rPr>
        <w:t>第五部分：货物需求一览表及技术规范书</w:t>
      </w:r>
    </w:p>
    <w:p w:rsidR="00A83EE2" w:rsidRPr="00825B34" w:rsidRDefault="00A83EE2" w:rsidP="00A83EE2">
      <w:pPr>
        <w:snapToGrid w:val="0"/>
        <w:ind w:right="893"/>
        <w:jc w:val="center"/>
        <w:textAlignment w:val="bottom"/>
        <w:rPr>
          <w:rStyle w:val="NormalCharacter"/>
          <w:rFonts w:ascii="宋体" w:hAnsi="宋体"/>
          <w:b/>
          <w:sz w:val="28"/>
          <w:szCs w:val="28"/>
        </w:rPr>
      </w:pPr>
      <w:r w:rsidRPr="00825B34">
        <w:rPr>
          <w:rStyle w:val="NormalCharacter"/>
          <w:rFonts w:ascii="宋体" w:hAnsi="宋体"/>
          <w:b/>
          <w:sz w:val="28"/>
          <w:szCs w:val="28"/>
        </w:rPr>
        <w:t xml:space="preserve">   </w:t>
      </w:r>
    </w:p>
    <w:p w:rsidR="00A83EE2" w:rsidRPr="00825B34" w:rsidRDefault="00A83EE2" w:rsidP="00A83EE2">
      <w:pPr>
        <w:snapToGrid w:val="0"/>
        <w:jc w:val="left"/>
        <w:rPr>
          <w:rStyle w:val="NormalCharacter"/>
          <w:sz w:val="28"/>
          <w:szCs w:val="28"/>
        </w:rPr>
      </w:pPr>
    </w:p>
    <w:p w:rsidR="00A83EE2" w:rsidRPr="00825B34" w:rsidRDefault="00A83EE2" w:rsidP="00A83EE2">
      <w:pPr>
        <w:tabs>
          <w:tab w:val="left" w:pos="1560"/>
        </w:tabs>
        <w:snapToGrid w:val="0"/>
        <w:jc w:val="center"/>
        <w:rPr>
          <w:rStyle w:val="NormalCharacter"/>
          <w:rFonts w:ascii="宋体" w:hAnsi="宋体"/>
          <w:b/>
          <w:sz w:val="28"/>
          <w:szCs w:val="28"/>
        </w:rPr>
      </w:pPr>
      <w:r w:rsidRPr="00825B34">
        <w:rPr>
          <w:rStyle w:val="NormalCharacter"/>
          <w:rFonts w:ascii="宋体" w:hAnsi="宋体" w:hint="eastAsia"/>
          <w:b/>
          <w:sz w:val="28"/>
          <w:szCs w:val="28"/>
        </w:rPr>
        <w:t>一、</w:t>
      </w:r>
      <w:r w:rsidRPr="00825B34">
        <w:rPr>
          <w:rStyle w:val="NormalCharacter"/>
          <w:rFonts w:ascii="宋体" w:hAnsi="宋体"/>
          <w:b/>
          <w:sz w:val="28"/>
          <w:szCs w:val="28"/>
        </w:rPr>
        <w:t>货物需求一览表</w:t>
      </w:r>
    </w:p>
    <w:p w:rsidR="00A83EE2" w:rsidRPr="00825B34" w:rsidRDefault="00A83EE2" w:rsidP="00A83EE2">
      <w:pPr>
        <w:snapToGrid w:val="0"/>
        <w:jc w:val="center"/>
        <w:rPr>
          <w:rStyle w:val="NormalCharacter"/>
          <w:rFonts w:ascii="宋体" w:hAnsi="宋体"/>
          <w:b/>
          <w:sz w:val="28"/>
          <w:szCs w:val="28"/>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061"/>
        <w:gridCol w:w="634"/>
        <w:gridCol w:w="3458"/>
        <w:gridCol w:w="1825"/>
        <w:gridCol w:w="902"/>
      </w:tblGrid>
      <w:tr w:rsidR="00A83EE2" w:rsidRPr="00825B34" w:rsidTr="00F7306E">
        <w:trPr>
          <w:trHeight w:val="20"/>
        </w:trPr>
        <w:tc>
          <w:tcPr>
            <w:tcW w:w="0" w:type="auto"/>
            <w:vAlign w:val="center"/>
          </w:tcPr>
          <w:p w:rsidR="00A83EE2" w:rsidRPr="00825B34" w:rsidRDefault="00A83EE2" w:rsidP="00F7306E">
            <w:pPr>
              <w:jc w:val="center"/>
              <w:rPr>
                <w:rFonts w:ascii="宋体" w:hAnsi="宋体"/>
                <w:bCs/>
                <w:sz w:val="24"/>
              </w:rPr>
            </w:pPr>
            <w:proofErr w:type="gramStart"/>
            <w:r w:rsidRPr="00825B34">
              <w:rPr>
                <w:rFonts w:ascii="宋体" w:hAnsi="宋体" w:hint="eastAsia"/>
                <w:bCs/>
                <w:sz w:val="24"/>
              </w:rPr>
              <w:t>包号</w:t>
            </w:r>
            <w:proofErr w:type="gramEnd"/>
          </w:p>
        </w:tc>
        <w:tc>
          <w:tcPr>
            <w:tcW w:w="0" w:type="auto"/>
            <w:vAlign w:val="center"/>
          </w:tcPr>
          <w:p w:rsidR="00A83EE2" w:rsidRPr="00825B34" w:rsidRDefault="00A83EE2" w:rsidP="00F7306E">
            <w:pPr>
              <w:jc w:val="center"/>
              <w:rPr>
                <w:rFonts w:ascii="宋体" w:hAnsi="宋体"/>
                <w:sz w:val="24"/>
              </w:rPr>
            </w:pPr>
            <w:r w:rsidRPr="00825B34">
              <w:rPr>
                <w:rFonts w:ascii="宋体" w:hAnsi="宋体" w:hint="eastAsia"/>
                <w:sz w:val="24"/>
              </w:rPr>
              <w:t>货物名称</w:t>
            </w:r>
          </w:p>
        </w:tc>
        <w:tc>
          <w:tcPr>
            <w:tcW w:w="0" w:type="auto"/>
            <w:vAlign w:val="center"/>
          </w:tcPr>
          <w:p w:rsidR="00A83EE2" w:rsidRPr="00825B34" w:rsidRDefault="00A83EE2" w:rsidP="00F7306E">
            <w:pPr>
              <w:jc w:val="center"/>
              <w:rPr>
                <w:rFonts w:ascii="宋体" w:hAnsi="宋体"/>
                <w:sz w:val="24"/>
              </w:rPr>
            </w:pPr>
            <w:r w:rsidRPr="00825B34">
              <w:rPr>
                <w:rFonts w:ascii="宋体" w:hAnsi="宋体" w:hint="eastAsia"/>
                <w:sz w:val="24"/>
              </w:rPr>
              <w:t>数量</w:t>
            </w:r>
          </w:p>
        </w:tc>
        <w:tc>
          <w:tcPr>
            <w:tcW w:w="3458" w:type="dxa"/>
            <w:vAlign w:val="center"/>
          </w:tcPr>
          <w:p w:rsidR="00A83EE2" w:rsidRPr="00825B34" w:rsidRDefault="00A83EE2" w:rsidP="00F7306E">
            <w:pPr>
              <w:jc w:val="center"/>
              <w:rPr>
                <w:rFonts w:ascii="宋体" w:hAnsi="宋体"/>
                <w:sz w:val="24"/>
              </w:rPr>
            </w:pPr>
            <w:r w:rsidRPr="00825B34">
              <w:rPr>
                <w:rFonts w:ascii="宋体" w:hAnsi="宋体" w:hint="eastAsia"/>
                <w:sz w:val="24"/>
              </w:rPr>
              <w:t>简要技术规格</w:t>
            </w:r>
          </w:p>
        </w:tc>
        <w:tc>
          <w:tcPr>
            <w:tcW w:w="1825" w:type="dxa"/>
            <w:vAlign w:val="center"/>
          </w:tcPr>
          <w:p w:rsidR="00A83EE2" w:rsidRPr="00825B34" w:rsidRDefault="00A83EE2" w:rsidP="00F7306E">
            <w:pPr>
              <w:adjustRightInd w:val="0"/>
              <w:snapToGrid w:val="0"/>
              <w:jc w:val="center"/>
              <w:rPr>
                <w:rFonts w:ascii="宋体" w:hAnsi="宋体"/>
                <w:sz w:val="24"/>
              </w:rPr>
            </w:pPr>
            <w:r w:rsidRPr="00825B34">
              <w:rPr>
                <w:rFonts w:ascii="宋体" w:hAnsi="宋体" w:hint="eastAsia"/>
                <w:sz w:val="24"/>
              </w:rPr>
              <w:t>是否允许采购进口产品</w:t>
            </w:r>
          </w:p>
        </w:tc>
        <w:tc>
          <w:tcPr>
            <w:tcW w:w="902" w:type="dxa"/>
            <w:vAlign w:val="center"/>
          </w:tcPr>
          <w:p w:rsidR="00A83EE2" w:rsidRPr="00825B34" w:rsidRDefault="00A83EE2" w:rsidP="00F7306E">
            <w:pPr>
              <w:jc w:val="center"/>
              <w:rPr>
                <w:rFonts w:ascii="宋体" w:hAnsi="宋体"/>
                <w:sz w:val="24"/>
              </w:rPr>
            </w:pPr>
            <w:r w:rsidRPr="00825B34">
              <w:rPr>
                <w:rFonts w:ascii="宋体" w:hAnsi="宋体"/>
                <w:sz w:val="24"/>
              </w:rPr>
              <w:t>采购</w:t>
            </w:r>
          </w:p>
          <w:p w:rsidR="00A83EE2" w:rsidRPr="00825B34" w:rsidRDefault="00A83EE2" w:rsidP="00F7306E">
            <w:pPr>
              <w:jc w:val="center"/>
              <w:rPr>
                <w:rFonts w:ascii="宋体" w:hAnsi="宋体"/>
                <w:sz w:val="24"/>
              </w:rPr>
            </w:pPr>
            <w:r w:rsidRPr="00825B34">
              <w:rPr>
                <w:rFonts w:ascii="宋体" w:hAnsi="宋体"/>
                <w:sz w:val="24"/>
              </w:rPr>
              <w:t>预算</w:t>
            </w:r>
          </w:p>
        </w:tc>
      </w:tr>
      <w:tr w:rsidR="00A83EE2" w:rsidRPr="00825B34" w:rsidTr="00F73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jc w:val="center"/>
              <w:rPr>
                <w:rFonts w:ascii="宋体" w:hAnsi="宋体"/>
                <w:sz w:val="24"/>
              </w:rPr>
            </w:pPr>
            <w:r w:rsidRPr="00825B34">
              <w:rPr>
                <w:rFonts w:ascii="宋体" w:hAnsi="宋体" w:hint="eastAsia"/>
                <w:bCs/>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jc w:val="center"/>
              <w:rPr>
                <w:rFonts w:ascii="宋体" w:hAnsi="宋体"/>
                <w:sz w:val="24"/>
              </w:rPr>
            </w:pPr>
            <w:r w:rsidRPr="00825B34">
              <w:rPr>
                <w:rFonts w:ascii="宋体" w:hAnsi="宋体" w:cs="宋体" w:hint="eastAsia"/>
                <w:kern w:val="0"/>
                <w:sz w:val="24"/>
              </w:rPr>
              <w:t>纳米药物合成递送系统</w:t>
            </w:r>
          </w:p>
        </w:tc>
        <w:tc>
          <w:tcPr>
            <w:tcW w:w="0" w:type="auto"/>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jc w:val="center"/>
              <w:rPr>
                <w:rFonts w:ascii="宋体" w:hAnsi="宋体"/>
                <w:sz w:val="24"/>
              </w:rPr>
            </w:pPr>
            <w:r w:rsidRPr="00825B34">
              <w:rPr>
                <w:rFonts w:ascii="宋体" w:hAnsi="宋体" w:hint="eastAsia"/>
                <w:sz w:val="24"/>
              </w:rPr>
              <w:t>1套</w:t>
            </w:r>
          </w:p>
        </w:tc>
        <w:tc>
          <w:tcPr>
            <w:tcW w:w="3458" w:type="dxa"/>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rPr>
                <w:rFonts w:ascii="宋体" w:hAnsi="宋体" w:cs="宋体"/>
                <w:kern w:val="0"/>
                <w:sz w:val="24"/>
              </w:rPr>
            </w:pPr>
            <w:r w:rsidRPr="00825B34">
              <w:rPr>
                <w:rFonts w:ascii="宋体" w:hAnsi="宋体" w:cs="宋体"/>
                <w:kern w:val="0"/>
                <w:sz w:val="24"/>
              </w:rPr>
              <w:t>该产品可</w:t>
            </w:r>
            <w:r w:rsidRPr="00825B34">
              <w:rPr>
                <w:rFonts w:ascii="宋体" w:hAnsi="宋体" w:cs="宋体" w:hint="eastAsia"/>
                <w:kern w:val="0"/>
                <w:sz w:val="24"/>
              </w:rPr>
              <w:t>以微流控技术精确控制纳米药物颗粒进行自组装。</w:t>
            </w:r>
          </w:p>
        </w:tc>
        <w:tc>
          <w:tcPr>
            <w:tcW w:w="1825" w:type="dxa"/>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adjustRightInd w:val="0"/>
              <w:snapToGrid w:val="0"/>
              <w:jc w:val="center"/>
              <w:rPr>
                <w:rFonts w:ascii="宋体" w:hAnsi="宋体"/>
                <w:sz w:val="24"/>
              </w:rPr>
            </w:pPr>
            <w:r w:rsidRPr="00825B34">
              <w:rPr>
                <w:rFonts w:ascii="宋体" w:hAnsi="宋体" w:hint="eastAsia"/>
                <w:sz w:val="24"/>
              </w:rPr>
              <w:t>是</w:t>
            </w:r>
          </w:p>
        </w:tc>
        <w:tc>
          <w:tcPr>
            <w:tcW w:w="902" w:type="dxa"/>
            <w:tcBorders>
              <w:top w:val="single" w:sz="4" w:space="0" w:color="auto"/>
              <w:left w:val="single" w:sz="4" w:space="0" w:color="auto"/>
              <w:bottom w:val="single" w:sz="4" w:space="0" w:color="auto"/>
              <w:right w:val="single" w:sz="4" w:space="0" w:color="auto"/>
            </w:tcBorders>
            <w:vAlign w:val="center"/>
          </w:tcPr>
          <w:p w:rsidR="00A83EE2" w:rsidRPr="00825B34" w:rsidRDefault="00A83EE2" w:rsidP="00F7306E">
            <w:pPr>
              <w:jc w:val="center"/>
              <w:rPr>
                <w:rFonts w:ascii="宋体" w:hAnsi="宋体"/>
                <w:sz w:val="24"/>
              </w:rPr>
            </w:pPr>
            <w:r w:rsidRPr="00825B34">
              <w:rPr>
                <w:rFonts w:ascii="宋体" w:hAnsi="宋体"/>
                <w:sz w:val="24"/>
              </w:rPr>
              <w:t>1</w:t>
            </w:r>
            <w:r w:rsidRPr="00825B34">
              <w:rPr>
                <w:rFonts w:ascii="宋体" w:hAnsi="宋体" w:hint="eastAsia"/>
                <w:sz w:val="24"/>
              </w:rPr>
              <w:t>12</w:t>
            </w:r>
          </w:p>
          <w:p w:rsidR="00A83EE2" w:rsidRPr="00825B34" w:rsidRDefault="00A83EE2" w:rsidP="00F7306E">
            <w:pPr>
              <w:jc w:val="center"/>
              <w:rPr>
                <w:rFonts w:ascii="宋体" w:hAnsi="宋体"/>
                <w:sz w:val="24"/>
              </w:rPr>
            </w:pPr>
            <w:r w:rsidRPr="00825B34">
              <w:rPr>
                <w:rFonts w:ascii="宋体" w:hAnsi="宋体" w:hint="eastAsia"/>
                <w:sz w:val="24"/>
              </w:rPr>
              <w:t>万元</w:t>
            </w:r>
          </w:p>
        </w:tc>
      </w:tr>
    </w:tbl>
    <w:p w:rsidR="00A83EE2" w:rsidRPr="00825B34" w:rsidRDefault="00A83EE2" w:rsidP="00A83EE2">
      <w:pPr>
        <w:snapToGrid w:val="0"/>
        <w:jc w:val="center"/>
        <w:rPr>
          <w:rStyle w:val="NormalCharacter"/>
          <w:rFonts w:ascii="宋体" w:hAnsi="宋体"/>
          <w:b/>
          <w:sz w:val="30"/>
          <w:szCs w:val="30"/>
        </w:rPr>
      </w:pPr>
    </w:p>
    <w:p w:rsidR="00A83EE2" w:rsidRPr="00825B34" w:rsidRDefault="00A83EE2" w:rsidP="00A83EE2">
      <w:pPr>
        <w:snapToGrid w:val="0"/>
        <w:rPr>
          <w:rStyle w:val="NormalCharacter"/>
          <w:rFonts w:ascii="Bookman Old Style" w:hAnsi="Bookman Old Style"/>
          <w:sz w:val="24"/>
        </w:rPr>
      </w:pPr>
      <w:r w:rsidRPr="00825B34">
        <w:rPr>
          <w:rStyle w:val="NormalCharacter"/>
          <w:sz w:val="24"/>
        </w:rPr>
        <w:t>注：投标人须对上述投标内容中完整的一包或几包进行投标，</w:t>
      </w:r>
      <w:r w:rsidRPr="00825B34">
        <w:rPr>
          <w:rStyle w:val="NormalCharacter"/>
          <w:rFonts w:ascii="Bookman Old Style" w:hAnsi="Bookman Old Style"/>
          <w:sz w:val="24"/>
        </w:rPr>
        <w:t>不完整的投标将视为非响应性投标予以拒绝。</w:t>
      </w:r>
    </w:p>
    <w:p w:rsidR="00A83EE2" w:rsidRPr="00825B34" w:rsidRDefault="00A83EE2" w:rsidP="00A83EE2">
      <w:pPr>
        <w:snapToGrid w:val="0"/>
        <w:rPr>
          <w:rStyle w:val="NormalCharacter"/>
          <w:rFonts w:ascii="宋体" w:hAnsi="宋体"/>
          <w:szCs w:val="21"/>
        </w:rPr>
      </w:pPr>
    </w:p>
    <w:p w:rsidR="00A83EE2" w:rsidRPr="00825B34" w:rsidRDefault="00A83EE2" w:rsidP="00A83EE2">
      <w:pPr>
        <w:snapToGrid w:val="0"/>
        <w:rPr>
          <w:rStyle w:val="NormalCharacter"/>
          <w:rFonts w:ascii="宋体" w:hAnsi="宋体"/>
          <w:szCs w:val="21"/>
        </w:rPr>
      </w:pPr>
    </w:p>
    <w:p w:rsidR="00A83EE2" w:rsidRPr="00825B34" w:rsidRDefault="00A83EE2" w:rsidP="00A83EE2">
      <w:pPr>
        <w:snapToGrid w:val="0"/>
        <w:rPr>
          <w:rStyle w:val="NormalCharacter"/>
          <w:rFonts w:ascii="宋体" w:hAnsi="宋体"/>
          <w:szCs w:val="21"/>
        </w:rPr>
      </w:pPr>
    </w:p>
    <w:p w:rsidR="00A83EE2" w:rsidRPr="00825B34" w:rsidRDefault="00A83EE2" w:rsidP="00A83EE2">
      <w:pPr>
        <w:snapToGrid w:val="0"/>
        <w:rPr>
          <w:rStyle w:val="NormalCharacter"/>
          <w:rFonts w:ascii="宋体" w:hAnsi="宋体"/>
          <w:b/>
          <w:sz w:val="30"/>
          <w:szCs w:val="30"/>
        </w:rPr>
      </w:pPr>
      <w:r w:rsidRPr="00825B34">
        <w:rPr>
          <w:rStyle w:val="NormalCharacter"/>
          <w:rFonts w:ascii="宋体" w:hAnsi="宋体"/>
          <w:b/>
          <w:sz w:val="30"/>
          <w:szCs w:val="30"/>
        </w:rPr>
        <w:br/>
      </w:r>
    </w:p>
    <w:p w:rsidR="00A83EE2" w:rsidRPr="00825B34" w:rsidRDefault="00A83EE2" w:rsidP="00A83EE2">
      <w:pPr>
        <w:spacing w:line="360" w:lineRule="auto"/>
        <w:ind w:left="600" w:hanging="600"/>
        <w:rPr>
          <w:rFonts w:ascii="宋体" w:hAnsi="宋体"/>
          <w:b/>
          <w:sz w:val="30"/>
          <w:szCs w:val="30"/>
        </w:rPr>
      </w:pPr>
      <w:r w:rsidRPr="00825B34">
        <w:rPr>
          <w:rStyle w:val="NormalCharacter"/>
          <w:rFonts w:ascii="宋体" w:hAnsi="宋体"/>
          <w:b/>
          <w:sz w:val="30"/>
          <w:szCs w:val="30"/>
        </w:rPr>
        <w:br w:type="page"/>
      </w:r>
      <w:r w:rsidRPr="00825B34">
        <w:rPr>
          <w:rFonts w:ascii="宋体" w:hAnsi="宋体" w:hint="eastAsia"/>
          <w:b/>
          <w:sz w:val="30"/>
          <w:szCs w:val="30"/>
        </w:rPr>
        <w:lastRenderedPageBreak/>
        <w:t>二、总</w:t>
      </w:r>
      <w:r w:rsidRPr="00825B34">
        <w:rPr>
          <w:rFonts w:ascii="宋体" w:hAnsi="宋体"/>
          <w:b/>
          <w:sz w:val="30"/>
          <w:szCs w:val="30"/>
        </w:rPr>
        <w:t xml:space="preserve">  </w:t>
      </w:r>
      <w:r w:rsidRPr="00825B34">
        <w:rPr>
          <w:rFonts w:ascii="宋体" w:hAnsi="宋体" w:hint="eastAsia"/>
          <w:b/>
          <w:sz w:val="30"/>
          <w:szCs w:val="30"/>
        </w:rPr>
        <w:t>则</w:t>
      </w:r>
    </w:p>
    <w:p w:rsidR="00A83EE2" w:rsidRPr="00825B34" w:rsidRDefault="00A83EE2" w:rsidP="00A83EE2">
      <w:pPr>
        <w:spacing w:beforeLines="50" w:before="120" w:afterLines="50" w:after="120" w:line="360" w:lineRule="auto"/>
        <w:ind w:left="601" w:hanging="601"/>
        <w:rPr>
          <w:rFonts w:ascii="宋体" w:hAnsi="宋体"/>
          <w:b/>
          <w:sz w:val="28"/>
        </w:rPr>
      </w:pPr>
      <w:r w:rsidRPr="00825B34">
        <w:rPr>
          <w:rFonts w:ascii="宋体" w:hAnsi="宋体"/>
          <w:b/>
          <w:sz w:val="28"/>
        </w:rPr>
        <w:t>1</w:t>
      </w:r>
      <w:r w:rsidRPr="00825B34">
        <w:rPr>
          <w:rFonts w:ascii="宋体" w:hAnsi="宋体" w:hint="eastAsia"/>
          <w:b/>
          <w:sz w:val="28"/>
        </w:rPr>
        <w:t>、投标要求</w:t>
      </w:r>
    </w:p>
    <w:p w:rsidR="00A83EE2" w:rsidRPr="00825B34" w:rsidRDefault="00A83EE2" w:rsidP="00A83EE2">
      <w:pPr>
        <w:widowControl w:val="0"/>
        <w:numPr>
          <w:ilvl w:val="1"/>
          <w:numId w:val="1"/>
        </w:numPr>
        <w:spacing w:line="360" w:lineRule="auto"/>
        <w:ind w:left="420"/>
        <w:textAlignment w:val="auto"/>
        <w:rPr>
          <w:rFonts w:ascii="宋体" w:hAnsi="宋体"/>
          <w:sz w:val="24"/>
        </w:rPr>
      </w:pPr>
      <w:r w:rsidRPr="00825B34">
        <w:rPr>
          <w:rFonts w:ascii="宋体" w:hAnsi="宋体" w:hint="eastAsia"/>
          <w:sz w:val="24"/>
        </w:rPr>
        <w:t>投标人在准备投标书时，务必在所提供的商品的技术规格文件中，标明型号、商标名称、目录号。</w:t>
      </w:r>
    </w:p>
    <w:p w:rsidR="00A83EE2" w:rsidRPr="00825B34" w:rsidRDefault="00A83EE2" w:rsidP="00A83EE2">
      <w:pPr>
        <w:widowControl w:val="0"/>
        <w:numPr>
          <w:ilvl w:val="1"/>
          <w:numId w:val="1"/>
        </w:numPr>
        <w:spacing w:line="360" w:lineRule="auto"/>
        <w:ind w:left="420"/>
        <w:textAlignment w:val="auto"/>
        <w:rPr>
          <w:rFonts w:ascii="宋体" w:hAnsi="宋体"/>
          <w:sz w:val="24"/>
        </w:rPr>
      </w:pPr>
      <w:r w:rsidRPr="00825B34">
        <w:rPr>
          <w:rFonts w:ascii="宋体" w:hAnsi="宋体" w:hint="eastAsia"/>
          <w:sz w:val="24"/>
        </w:rPr>
        <w:t>投标人提供的货物须是成熟的全新的产品，其技术规格应符合采购文件的要求。如与采购文件的技术规格有偏差，应提供技术规格偏差的量值或说明（偏离表）。如投标人有意隐瞒对规格要求的偏差或在开标后提出新的偏差，买方有权扣留其投标保证金或/并拒绝其投标。</w:t>
      </w:r>
    </w:p>
    <w:p w:rsidR="00A83EE2" w:rsidRPr="00825B34" w:rsidRDefault="00A83EE2" w:rsidP="00A83EE2">
      <w:pPr>
        <w:widowControl w:val="0"/>
        <w:numPr>
          <w:ilvl w:val="1"/>
          <w:numId w:val="1"/>
        </w:numPr>
        <w:spacing w:line="360" w:lineRule="auto"/>
        <w:ind w:left="420"/>
        <w:textAlignment w:val="auto"/>
        <w:rPr>
          <w:rFonts w:ascii="宋体" w:hAnsi="宋体"/>
          <w:sz w:val="24"/>
        </w:rPr>
      </w:pPr>
      <w:r w:rsidRPr="00825B34">
        <w:rPr>
          <w:rFonts w:hint="eastAsia"/>
          <w:sz w:val="24"/>
        </w:rPr>
        <w:t>投标人提供的</w:t>
      </w:r>
      <w:r w:rsidRPr="00825B34">
        <w:rPr>
          <w:rFonts w:ascii="宋体" w:hint="eastAsia"/>
          <w:sz w:val="24"/>
        </w:rPr>
        <w:t>产品</w:t>
      </w:r>
      <w:r w:rsidRPr="00825B34">
        <w:rPr>
          <w:rFonts w:hint="eastAsia"/>
          <w:sz w:val="24"/>
        </w:rPr>
        <w:t>样本，必须是“原件”而非复印件，</w:t>
      </w:r>
      <w:r w:rsidRPr="00825B34">
        <w:rPr>
          <w:rFonts w:ascii="宋体" w:hint="eastAsia"/>
          <w:sz w:val="24"/>
        </w:rPr>
        <w:t>图表、简图、电路图以及印刷电路板图等都应</w:t>
      </w:r>
      <w:r w:rsidRPr="00825B34">
        <w:rPr>
          <w:rFonts w:hint="eastAsia"/>
          <w:sz w:val="24"/>
        </w:rPr>
        <w:t>清晰易读。买方有权</w:t>
      </w:r>
      <w:r w:rsidRPr="00825B34">
        <w:rPr>
          <w:rFonts w:ascii="宋体" w:hint="eastAsia"/>
          <w:sz w:val="24"/>
        </w:rPr>
        <w:t>不付任何附加费用</w:t>
      </w:r>
      <w:r w:rsidRPr="00825B34">
        <w:rPr>
          <w:rFonts w:hint="eastAsia"/>
          <w:sz w:val="24"/>
        </w:rPr>
        <w:t>复制这些资料</w:t>
      </w:r>
      <w:r w:rsidRPr="00825B34">
        <w:rPr>
          <w:rFonts w:ascii="宋体" w:hint="eastAsia"/>
          <w:sz w:val="24"/>
        </w:rPr>
        <w:t>以供参考。</w:t>
      </w:r>
    </w:p>
    <w:p w:rsidR="00A83EE2" w:rsidRPr="00825B34" w:rsidRDefault="00A83EE2" w:rsidP="00A83EE2">
      <w:pPr>
        <w:spacing w:beforeLines="50" w:before="120" w:afterLines="50" w:after="120" w:line="360" w:lineRule="auto"/>
        <w:ind w:left="601" w:hanging="601"/>
        <w:rPr>
          <w:rFonts w:ascii="宋体" w:hAnsi="宋体"/>
          <w:b/>
          <w:sz w:val="28"/>
        </w:rPr>
      </w:pPr>
      <w:r w:rsidRPr="00825B34">
        <w:rPr>
          <w:rFonts w:ascii="宋体" w:hAnsi="宋体" w:hint="eastAsia"/>
          <w:b/>
          <w:sz w:val="28"/>
        </w:rPr>
        <w:t>2、评标标准</w:t>
      </w:r>
    </w:p>
    <w:p w:rsidR="00A83EE2" w:rsidRPr="00825B34" w:rsidRDefault="00A83EE2" w:rsidP="00A83EE2">
      <w:pPr>
        <w:widowControl w:val="0"/>
        <w:numPr>
          <w:ilvl w:val="0"/>
          <w:numId w:val="2"/>
        </w:numPr>
        <w:spacing w:line="360" w:lineRule="auto"/>
        <w:textAlignment w:val="auto"/>
        <w:rPr>
          <w:rFonts w:ascii="宋体"/>
          <w:sz w:val="24"/>
        </w:rPr>
      </w:pPr>
      <w:r w:rsidRPr="00825B34">
        <w:rPr>
          <w:rFonts w:hint="eastAsia"/>
          <w:sz w:val="24"/>
        </w:rPr>
        <w:t>除采购文件中指定的附件和专用工具外，</w:t>
      </w:r>
      <w:r w:rsidRPr="00825B34">
        <w:rPr>
          <w:rFonts w:ascii="宋体" w:hint="eastAsia"/>
          <w:sz w:val="24"/>
        </w:rPr>
        <w:t>投标人应提供货物正常使用所需的完好</w:t>
      </w:r>
      <w:r w:rsidRPr="00825B34">
        <w:rPr>
          <w:rFonts w:ascii="宋体"/>
          <w:sz w:val="24"/>
        </w:rPr>
        <w:t>包装等</w:t>
      </w:r>
      <w:r w:rsidRPr="00825B34">
        <w:rPr>
          <w:rFonts w:ascii="宋体" w:hint="eastAsia"/>
          <w:sz w:val="24"/>
        </w:rPr>
        <w:t>其他</w:t>
      </w:r>
      <w:r w:rsidRPr="00825B34">
        <w:rPr>
          <w:rFonts w:ascii="宋体"/>
          <w:sz w:val="24"/>
        </w:rPr>
        <w:t>必要附件</w:t>
      </w:r>
      <w:r w:rsidRPr="00825B34">
        <w:rPr>
          <w:rFonts w:ascii="宋体" w:hint="eastAsia"/>
          <w:sz w:val="24"/>
        </w:rPr>
        <w:t>，相关</w:t>
      </w:r>
      <w:r w:rsidRPr="00825B34">
        <w:rPr>
          <w:rFonts w:ascii="宋体"/>
          <w:sz w:val="24"/>
        </w:rPr>
        <w:t>费用</w:t>
      </w:r>
      <w:r w:rsidRPr="00825B34">
        <w:rPr>
          <w:rFonts w:ascii="宋体" w:hint="eastAsia"/>
          <w:sz w:val="24"/>
        </w:rPr>
        <w:t>需计入投标价中。</w:t>
      </w:r>
      <w:r w:rsidRPr="00825B34">
        <w:rPr>
          <w:rFonts w:ascii="宋体" w:hAnsi="宋体" w:hint="eastAsia"/>
          <w:sz w:val="24"/>
        </w:rPr>
        <w:t>。</w:t>
      </w:r>
    </w:p>
    <w:p w:rsidR="00A83EE2" w:rsidRPr="00825B34" w:rsidRDefault="00A83EE2" w:rsidP="00A83EE2">
      <w:pPr>
        <w:widowControl w:val="0"/>
        <w:numPr>
          <w:ilvl w:val="0"/>
          <w:numId w:val="2"/>
        </w:numPr>
        <w:spacing w:line="360" w:lineRule="auto"/>
        <w:textAlignment w:val="auto"/>
        <w:rPr>
          <w:sz w:val="24"/>
        </w:rPr>
      </w:pPr>
      <w:r w:rsidRPr="00825B34">
        <w:rPr>
          <w:rFonts w:hint="eastAsia"/>
          <w:sz w:val="24"/>
        </w:rPr>
        <w:t>投标人应提供原材料和产品相关检测或加工的主要仪器设备信息。</w:t>
      </w:r>
      <w:r w:rsidRPr="00825B34">
        <w:rPr>
          <w:rFonts w:hint="eastAsia"/>
          <w:sz w:val="24"/>
        </w:rPr>
        <w:t xml:space="preserve"> </w:t>
      </w:r>
    </w:p>
    <w:p w:rsidR="00A83EE2" w:rsidRPr="00825B34" w:rsidRDefault="00A83EE2" w:rsidP="00A83EE2">
      <w:pPr>
        <w:widowControl w:val="0"/>
        <w:numPr>
          <w:ilvl w:val="0"/>
          <w:numId w:val="2"/>
        </w:numPr>
        <w:spacing w:line="360" w:lineRule="auto"/>
        <w:textAlignment w:val="auto"/>
        <w:rPr>
          <w:sz w:val="24"/>
        </w:rPr>
      </w:pPr>
      <w:r w:rsidRPr="00825B34">
        <w:rPr>
          <w:rFonts w:hint="eastAsia"/>
          <w:sz w:val="24"/>
        </w:rPr>
        <w:t>投标人应同时提供本单位或制造商对原材料及产品进行检测的检测报告。</w:t>
      </w:r>
      <w:r w:rsidRPr="00825B34">
        <w:rPr>
          <w:rFonts w:hint="eastAsia"/>
          <w:sz w:val="24"/>
        </w:rPr>
        <w:t xml:space="preserve"> </w:t>
      </w:r>
    </w:p>
    <w:p w:rsidR="00A83EE2" w:rsidRPr="00825B34" w:rsidRDefault="00A83EE2" w:rsidP="00A83EE2">
      <w:pPr>
        <w:widowControl w:val="0"/>
        <w:numPr>
          <w:ilvl w:val="0"/>
          <w:numId w:val="2"/>
        </w:numPr>
        <w:spacing w:line="360" w:lineRule="auto"/>
        <w:textAlignment w:val="auto"/>
        <w:rPr>
          <w:sz w:val="24"/>
        </w:rPr>
      </w:pPr>
      <w:r w:rsidRPr="00825B34">
        <w:rPr>
          <w:rFonts w:hint="eastAsia"/>
          <w:sz w:val="24"/>
        </w:rPr>
        <w:t>投标人应提供本单位及授权其销售金粒的制造商的营业执照。</w:t>
      </w:r>
    </w:p>
    <w:p w:rsidR="00A83EE2" w:rsidRPr="00825B34" w:rsidRDefault="00A83EE2" w:rsidP="00A83EE2">
      <w:pPr>
        <w:widowControl w:val="0"/>
        <w:numPr>
          <w:ilvl w:val="0"/>
          <w:numId w:val="2"/>
        </w:numPr>
        <w:spacing w:line="360" w:lineRule="auto"/>
        <w:textAlignment w:val="auto"/>
        <w:rPr>
          <w:sz w:val="24"/>
        </w:rPr>
      </w:pPr>
      <w:r w:rsidRPr="00825B34">
        <w:rPr>
          <w:rFonts w:hint="eastAsia"/>
          <w:sz w:val="24"/>
        </w:rPr>
        <w:t>代理商经销商需要提供制造商的授权书或合作协议，合作截止时间不应早于自从开标之日起</w:t>
      </w:r>
      <w:r w:rsidRPr="00825B34">
        <w:rPr>
          <w:sz w:val="24"/>
        </w:rPr>
        <w:t>6</w:t>
      </w:r>
      <w:r w:rsidRPr="00825B34">
        <w:rPr>
          <w:rFonts w:hint="eastAsia"/>
          <w:sz w:val="24"/>
        </w:rPr>
        <w:t>个月。</w:t>
      </w:r>
      <w:r w:rsidRPr="00825B34">
        <w:rPr>
          <w:rFonts w:hint="eastAsia"/>
          <w:sz w:val="24"/>
        </w:rPr>
        <w:t xml:space="preserve"> </w:t>
      </w:r>
    </w:p>
    <w:p w:rsidR="00A83EE2" w:rsidRPr="00825B34" w:rsidRDefault="00A83EE2" w:rsidP="00A83EE2">
      <w:pPr>
        <w:widowControl w:val="0"/>
        <w:numPr>
          <w:ilvl w:val="0"/>
          <w:numId w:val="2"/>
        </w:numPr>
        <w:spacing w:line="360" w:lineRule="auto"/>
        <w:textAlignment w:val="auto"/>
        <w:rPr>
          <w:sz w:val="24"/>
        </w:rPr>
      </w:pPr>
      <w:r w:rsidRPr="00825B34">
        <w:rPr>
          <w:rFonts w:hint="eastAsia"/>
          <w:sz w:val="24"/>
        </w:rPr>
        <w:t>在评标过程中，买方有权向投标人索取任何与评标有关的资料，投标人务必在接到此类要求后，在规定时间内予以答复。对于无答复的投标人，买方有权拒绝其投标。</w:t>
      </w:r>
    </w:p>
    <w:p w:rsidR="00A83EE2" w:rsidRPr="00825B34" w:rsidRDefault="00A83EE2" w:rsidP="00A83EE2">
      <w:pPr>
        <w:spacing w:line="360" w:lineRule="auto"/>
        <w:ind w:left="420"/>
        <w:rPr>
          <w:sz w:val="24"/>
        </w:rPr>
      </w:pPr>
    </w:p>
    <w:p w:rsidR="00A83EE2" w:rsidRPr="00825B34" w:rsidRDefault="00A83EE2" w:rsidP="00A83EE2">
      <w:pPr>
        <w:pStyle w:val="a3"/>
        <w:spacing w:line="360" w:lineRule="auto"/>
        <w:ind w:left="410" w:hangingChars="170" w:hanging="410"/>
        <w:rPr>
          <w:rFonts w:hAnsi="宋体"/>
          <w:b/>
          <w:sz w:val="24"/>
          <w:szCs w:val="24"/>
        </w:rPr>
      </w:pPr>
      <w:r w:rsidRPr="00825B34">
        <w:rPr>
          <w:rFonts w:hAnsi="宋体" w:hint="eastAsia"/>
          <w:b/>
          <w:sz w:val="24"/>
          <w:szCs w:val="24"/>
        </w:rPr>
        <w:t>3、本技术规格书中标注“★”号的为关键技术参数，对这些关键技术参数的任何负偏离将导致废标。</w:t>
      </w:r>
    </w:p>
    <w:p w:rsidR="00A83EE2" w:rsidRPr="00825B34" w:rsidRDefault="00A83EE2" w:rsidP="00A83EE2">
      <w:pPr>
        <w:pStyle w:val="a3"/>
        <w:spacing w:line="360" w:lineRule="auto"/>
        <w:rPr>
          <w:rFonts w:hAnsi="宋体"/>
          <w:b/>
          <w:sz w:val="24"/>
          <w:szCs w:val="24"/>
        </w:rPr>
      </w:pPr>
    </w:p>
    <w:p w:rsidR="00A83EE2" w:rsidRPr="00825B34" w:rsidRDefault="00A83EE2" w:rsidP="00A83EE2">
      <w:pPr>
        <w:pStyle w:val="a3"/>
        <w:spacing w:line="360" w:lineRule="auto"/>
        <w:rPr>
          <w:rFonts w:hAnsi="宋体"/>
          <w:b/>
          <w:sz w:val="24"/>
          <w:szCs w:val="24"/>
        </w:rPr>
      </w:pPr>
      <w:r w:rsidRPr="00825B34">
        <w:rPr>
          <w:rFonts w:hAnsi="宋体" w:hint="eastAsia"/>
          <w:b/>
          <w:sz w:val="24"/>
          <w:szCs w:val="24"/>
        </w:rPr>
        <w:t>4、如在具体技术规格中有本总则不一致之处，以具体技术规格中的要求为准。</w:t>
      </w:r>
    </w:p>
    <w:p w:rsidR="00A83EE2" w:rsidRPr="00825B34" w:rsidRDefault="00A83EE2" w:rsidP="00A83EE2">
      <w:pPr>
        <w:spacing w:afterLines="50" w:after="120"/>
        <w:ind w:left="601" w:hanging="601"/>
        <w:rPr>
          <w:rFonts w:ascii="宋体" w:hAnsi="宋体"/>
          <w:b/>
          <w:sz w:val="28"/>
        </w:rPr>
      </w:pPr>
      <w:r w:rsidRPr="00825B34">
        <w:rPr>
          <w:rFonts w:ascii="宋体" w:hAnsi="宋体"/>
          <w:b/>
          <w:sz w:val="28"/>
        </w:rPr>
        <w:br w:type="page"/>
      </w:r>
      <w:r w:rsidRPr="00825B34">
        <w:rPr>
          <w:rFonts w:ascii="宋体" w:hAnsi="宋体" w:hint="eastAsia"/>
          <w:b/>
          <w:sz w:val="28"/>
        </w:rPr>
        <w:lastRenderedPageBreak/>
        <w:t>三、具体技术规格</w:t>
      </w:r>
    </w:p>
    <w:p w:rsidR="00A83EE2" w:rsidRPr="00825B34" w:rsidRDefault="00A83EE2" w:rsidP="00A83EE2">
      <w:pPr>
        <w:spacing w:line="360" w:lineRule="auto"/>
        <w:ind w:firstLineChars="200" w:firstLine="482"/>
        <w:rPr>
          <w:rFonts w:ascii="宋体" w:hAnsi="宋体"/>
          <w:b/>
          <w:sz w:val="24"/>
        </w:rPr>
      </w:pPr>
      <w:r w:rsidRPr="00825B34">
        <w:rPr>
          <w:rFonts w:ascii="宋体" w:hAnsi="宋体" w:hint="eastAsia"/>
          <w:b/>
          <w:sz w:val="24"/>
        </w:rPr>
        <w:t>“为证明所投设备参数的真实性，投标商需提供仪器制造商出具的公开发行的产品宣传彩页，如彩页中技术参数不完整，需提供仪器制造商对彩页中未提及技术参数部分的满足说明，否则视同不满足。”</w:t>
      </w:r>
    </w:p>
    <w:p w:rsidR="00A83EE2" w:rsidRPr="00825B34" w:rsidRDefault="00A83EE2" w:rsidP="00A83EE2">
      <w:pPr>
        <w:spacing w:line="360" w:lineRule="auto"/>
        <w:ind w:firstLineChars="200" w:firstLine="480"/>
        <w:rPr>
          <w:rFonts w:ascii="宋体" w:hAnsi="宋体"/>
          <w:sz w:val="24"/>
        </w:rPr>
      </w:pPr>
    </w:p>
    <w:p w:rsidR="00A83EE2" w:rsidRPr="00825B34" w:rsidRDefault="00A83EE2" w:rsidP="00A83EE2">
      <w:pPr>
        <w:spacing w:line="360" w:lineRule="auto"/>
        <w:jc w:val="center"/>
        <w:rPr>
          <w:sz w:val="24"/>
        </w:rPr>
      </w:pPr>
      <w:r w:rsidRPr="00825B34">
        <w:rPr>
          <w:rFonts w:hint="eastAsia"/>
          <w:sz w:val="24"/>
        </w:rPr>
        <w:t>第一包</w:t>
      </w:r>
      <w:r w:rsidRPr="00825B34">
        <w:rPr>
          <w:rFonts w:hint="eastAsia"/>
          <w:sz w:val="24"/>
        </w:rPr>
        <w:t xml:space="preserve">  </w:t>
      </w:r>
      <w:r w:rsidRPr="00825B34">
        <w:rPr>
          <w:sz w:val="24"/>
        </w:rPr>
        <w:t>纳米药物合成递送系统</w:t>
      </w:r>
    </w:p>
    <w:p w:rsidR="00A83EE2" w:rsidRPr="00825B34" w:rsidRDefault="00A83EE2" w:rsidP="00A83EE2">
      <w:pPr>
        <w:spacing w:line="360" w:lineRule="auto"/>
        <w:ind w:left="480" w:hangingChars="200" w:hanging="480"/>
        <w:rPr>
          <w:rFonts w:ascii="宋体" w:hAnsi="宋体" w:cs="宋体"/>
          <w:b/>
          <w:sz w:val="24"/>
        </w:rPr>
      </w:pPr>
      <w:r w:rsidRPr="00825B34">
        <w:rPr>
          <w:rFonts w:ascii="等线 Light" w:eastAsia="等线 Light" w:hAnsi="等线 Light" w:hint="eastAsia"/>
          <w:b/>
          <w:bCs/>
          <w:sz w:val="24"/>
        </w:rPr>
        <w:t>1.</w:t>
      </w:r>
      <w:r w:rsidRPr="00825B34">
        <w:rPr>
          <w:rFonts w:ascii="等线 Light" w:eastAsia="等线 Light" w:hAnsi="等线 Light"/>
          <w:b/>
          <w:bCs/>
          <w:sz w:val="24"/>
        </w:rPr>
        <w:t xml:space="preserve"> </w:t>
      </w:r>
      <w:r w:rsidRPr="00825B34">
        <w:rPr>
          <w:rFonts w:ascii="宋体" w:hAnsi="宋体" w:cs="宋体" w:hint="eastAsia"/>
          <w:b/>
          <w:sz w:val="24"/>
        </w:rPr>
        <w:t>设备用途</w:t>
      </w:r>
    </w:p>
    <w:p w:rsidR="00A83EE2" w:rsidRPr="00825B34" w:rsidRDefault="00A83EE2" w:rsidP="00A83EE2">
      <w:pPr>
        <w:spacing w:line="360" w:lineRule="auto"/>
        <w:ind w:leftChars="200" w:left="420"/>
        <w:rPr>
          <w:rFonts w:ascii="宋体" w:hAnsi="宋体"/>
          <w:sz w:val="24"/>
        </w:rPr>
      </w:pPr>
      <w:r w:rsidRPr="00825B34">
        <w:rPr>
          <w:rFonts w:ascii="宋体" w:hAnsi="宋体" w:hint="eastAsia"/>
          <w:sz w:val="24"/>
        </w:rPr>
        <w:t>以微流控技术精确控制纳米药物颗粒进行自组装。</w:t>
      </w:r>
    </w:p>
    <w:p w:rsidR="00A83EE2" w:rsidRPr="00825B34" w:rsidRDefault="00A83EE2" w:rsidP="00A83EE2">
      <w:pPr>
        <w:spacing w:line="360" w:lineRule="auto"/>
        <w:ind w:left="482" w:hangingChars="200" w:hanging="482"/>
        <w:rPr>
          <w:rFonts w:ascii="宋体" w:hAnsi="宋体"/>
          <w:b/>
          <w:bCs/>
          <w:sz w:val="24"/>
        </w:rPr>
      </w:pPr>
      <w:r w:rsidRPr="00825B34">
        <w:rPr>
          <w:rFonts w:ascii="宋体" w:hAnsi="宋体" w:hint="eastAsia"/>
          <w:b/>
          <w:bCs/>
          <w:sz w:val="24"/>
        </w:rPr>
        <w:t>2</w:t>
      </w:r>
      <w:r w:rsidRPr="00825B34">
        <w:rPr>
          <w:rFonts w:ascii="宋体" w:hAnsi="宋体"/>
          <w:b/>
          <w:bCs/>
          <w:sz w:val="24"/>
        </w:rPr>
        <w:t xml:space="preserve">. </w:t>
      </w:r>
      <w:r w:rsidRPr="00825B34">
        <w:rPr>
          <w:rFonts w:ascii="宋体" w:hAnsi="宋体" w:hint="eastAsia"/>
          <w:b/>
          <w:bCs/>
          <w:sz w:val="24"/>
        </w:rPr>
        <w:t>技术参数</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★2.1配方制备通道：至少配备2个反应通道和1个稀释通道</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2.2 流速达到或优于：</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2.2.1 稀释通道：0.1-48 mL/min</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2.2.2 样品制备通道：0.1-20 mL/min</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2.3 配方药液收集</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2.3.1 系统可兼容15 mL Falcon圆锥管用于收集初段和末段废液</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#2.3.2系统可兼容15 mL或50ml Falcon圆锥管用于收集中段合格药液</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★2.4 一次合成总量：最低可达到400uL，最高不超过20mL</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2.5 系统可兼容有机溶剂：甲醇，乙醇，丙酮，乙腈，正丙醇，异丙醇，DMSO，DMF</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2.6 系统芯片</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2.6.1 芯片材质为环烯烃类聚合物</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#2.6.2 芯片类型包括专利</w:t>
      </w:r>
      <w:proofErr w:type="spellStart"/>
      <w:r w:rsidRPr="00825B34">
        <w:rPr>
          <w:rFonts w:ascii="宋体" w:hAnsi="宋体" w:hint="eastAsia"/>
          <w:sz w:val="24"/>
        </w:rPr>
        <w:t>NxGen</w:t>
      </w:r>
      <w:proofErr w:type="spellEnd"/>
      <w:r w:rsidRPr="00825B34">
        <w:rPr>
          <w:rFonts w:ascii="宋体" w:hAnsi="宋体" w:hint="eastAsia"/>
          <w:sz w:val="24"/>
        </w:rPr>
        <w:t>™芯片, 带稀释相</w:t>
      </w:r>
      <w:proofErr w:type="spellStart"/>
      <w:r w:rsidRPr="00825B34">
        <w:rPr>
          <w:rFonts w:ascii="宋体" w:hAnsi="宋体" w:hint="eastAsia"/>
          <w:sz w:val="24"/>
        </w:rPr>
        <w:t>NxGen</w:t>
      </w:r>
      <w:proofErr w:type="spellEnd"/>
      <w:r w:rsidRPr="00825B34">
        <w:rPr>
          <w:rFonts w:ascii="宋体" w:hAnsi="宋体" w:hint="eastAsia"/>
          <w:sz w:val="24"/>
        </w:rPr>
        <w:t>™芯片和SHM™芯片</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2.6.3 芯片上流体混合特性：层流</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 操作控制界面</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#2.7.1 触摸操作屏：电脑控制整合在仪器主体中，系统自带操作软件，无需外置电脑控制</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2.7.2 可设置流速比、总流速、初段和末段废液量、注射器规格等操作参数</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#2.7.3 可储存最多10个用户自制定常用操作参数以便快捷调用</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#2.7.4 历史界面可显示之前运行的800个配方清单</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2.7.5 可设置并显示日期和时间</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#2.8 自动报警：当操作错误和发生故障时，系统将会实时显示报警和错误代码</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#2.9 当参数设置有误时，系统通过自动逻辑纠错功能进行提示</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lastRenderedPageBreak/>
        <w:t>★2.10 质保一年（本条投标文件中不用提供证明资料）</w:t>
      </w:r>
    </w:p>
    <w:p w:rsidR="00A83EE2" w:rsidRPr="00825B34" w:rsidRDefault="00A83EE2" w:rsidP="00A83EE2">
      <w:pPr>
        <w:spacing w:line="360" w:lineRule="auto"/>
        <w:ind w:left="413"/>
        <w:rPr>
          <w:rFonts w:ascii="宋体" w:hAnsi="宋体"/>
          <w:sz w:val="24"/>
        </w:rPr>
      </w:pPr>
      <w:r w:rsidRPr="00825B34">
        <w:rPr>
          <w:rFonts w:ascii="宋体" w:hAnsi="宋体" w:hint="eastAsia"/>
          <w:sz w:val="24"/>
        </w:rPr>
        <w:t>2.11 具备较好的可安装性，便于现场安装调试</w:t>
      </w:r>
    </w:p>
    <w:p w:rsidR="00A83EE2" w:rsidRPr="00825B34" w:rsidRDefault="00A83EE2" w:rsidP="00A83EE2">
      <w:pPr>
        <w:tabs>
          <w:tab w:val="left" w:pos="0"/>
        </w:tabs>
        <w:snapToGrid w:val="0"/>
        <w:spacing w:line="360" w:lineRule="auto"/>
        <w:ind w:right="-34"/>
        <w:textAlignment w:val="bottom"/>
        <w:rPr>
          <w:rStyle w:val="NormalCharacter"/>
          <w:rFonts w:ascii="宋体" w:hAnsi="宋体"/>
          <w:szCs w:val="21"/>
        </w:rPr>
      </w:pPr>
      <w:r w:rsidRPr="00825B34">
        <w:rPr>
          <w:rFonts w:ascii="宋体" w:hAnsi="宋体" w:hint="eastAsia"/>
          <w:sz w:val="24"/>
        </w:rPr>
        <w:t>3.交货日期：合同生效后90-120个工作日。</w:t>
      </w:r>
    </w:p>
    <w:p w:rsidR="00A83EE2" w:rsidRPr="00825B34" w:rsidRDefault="00A83EE2" w:rsidP="00A83EE2">
      <w:pPr>
        <w:spacing w:afterLines="50" w:after="120"/>
        <w:ind w:left="601" w:hanging="601"/>
        <w:rPr>
          <w:rStyle w:val="NormalCharacter"/>
          <w:rFonts w:ascii="宋体" w:hAnsi="宋体"/>
          <w:sz w:val="24"/>
        </w:rPr>
      </w:pPr>
      <w:r w:rsidRPr="00825B34">
        <w:rPr>
          <w:rFonts w:ascii="宋体" w:hAnsi="宋体" w:hint="eastAsia"/>
          <w:b/>
          <w:sz w:val="24"/>
        </w:rPr>
        <w:t>★</w:t>
      </w:r>
      <w:r w:rsidRPr="00825B34">
        <w:rPr>
          <w:rStyle w:val="NormalCharacter"/>
          <w:rFonts w:ascii="宋体" w:hAnsi="宋体" w:hint="eastAsia"/>
          <w:sz w:val="24"/>
        </w:rPr>
        <w:t>4、承诺在质保期结束之前负责一次免费移机，并保证验收合格。</w:t>
      </w:r>
    </w:p>
    <w:p w:rsidR="00CE52C8" w:rsidRPr="00A83EE2" w:rsidRDefault="00CE52C8">
      <w:bookmarkStart w:id="0" w:name="_GoBack"/>
      <w:bookmarkEnd w:id="0"/>
    </w:p>
    <w:sectPr w:rsidR="00CE52C8" w:rsidRPr="00A83EE2">
      <w:footerReference w:type="even" r:id="rId6"/>
      <w:footerReference w:type="default" r:id="rId7"/>
      <w:pgSz w:w="11907" w:h="16839"/>
      <w:pgMar w:top="1247" w:right="1304" w:bottom="1134" w:left="1304" w:header="737" w:footer="85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0E" w:rsidRDefault="00A83EE2">
    <w:pPr>
      <w:pStyle w:val="a4"/>
      <w:framePr w:wrap="around" w:hAnchor="text" w:xAlign="center" w:y="1"/>
      <w:rPr>
        <w:rStyle w:val="PageNumber"/>
      </w:rPr>
    </w:pPr>
  </w:p>
  <w:p w:rsidR="00644A0E" w:rsidRDefault="00A83EE2">
    <w:pPr>
      <w:pStyle w:val="a4"/>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0E" w:rsidRDefault="00A83EE2">
    <w:pPr>
      <w:pStyle w:val="a4"/>
      <w:framePr w:wrap="around" w:hAnchor="text" w:xAlign="center" w:y="1"/>
      <w:rPr>
        <w:rStyle w:val="PageNumber"/>
      </w:rPr>
    </w:pPr>
  </w:p>
  <w:p w:rsidR="00644A0E" w:rsidRDefault="00A83EE2">
    <w:pPr>
      <w:pStyle w:val="a4"/>
      <w:rPr>
        <w:rStyle w:val="NormalCharacter"/>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6984"/>
    <w:multiLevelType w:val="multilevel"/>
    <w:tmpl w:val="31996984"/>
    <w:lvl w:ilvl="0">
      <w:start w:val="1"/>
      <w:numFmt w:val="decimal"/>
      <w:lvlText w:val="1.%1"/>
      <w:lvlJc w:val="left"/>
      <w:pPr>
        <w:ind w:left="420" w:hanging="420"/>
      </w:pPr>
      <w:rPr>
        <w:rFonts w:hint="default"/>
        <w:b/>
        <w:i w:val="0"/>
      </w:rPr>
    </w:lvl>
    <w:lvl w:ilvl="1">
      <w:start w:val="1"/>
      <w:numFmt w:val="decimal"/>
      <w:lvlText w:val="1.%2"/>
      <w:lvlJc w:val="left"/>
      <w:pPr>
        <w:ind w:left="840" w:hanging="420"/>
      </w:pPr>
      <w:rPr>
        <w:rFonts w:hint="default"/>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DD2117"/>
    <w:multiLevelType w:val="multilevel"/>
    <w:tmpl w:val="65DD2117"/>
    <w:lvl w:ilvl="0">
      <w:start w:val="1"/>
      <w:numFmt w:val="decimal"/>
      <w:lvlText w:val="2.%1"/>
      <w:lvlJc w:val="left"/>
      <w:pPr>
        <w:ind w:left="420" w:hanging="42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E2"/>
    <w:rsid w:val="00A83EE2"/>
    <w:rsid w:val="00CE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E2"/>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83EE2"/>
    <w:pPr>
      <w:widowControl w:val="0"/>
      <w:adjustRightInd w:val="0"/>
    </w:pPr>
    <w:rPr>
      <w:rFonts w:ascii="宋体" w:eastAsiaTheme="minorEastAsia" w:hAnsi="Courier New" w:cstheme="minorBidi"/>
      <w:szCs w:val="22"/>
    </w:rPr>
  </w:style>
  <w:style w:type="character" w:customStyle="1" w:styleId="Char">
    <w:name w:val="纯文本 Char"/>
    <w:basedOn w:val="a0"/>
    <w:link w:val="a3"/>
    <w:qFormat/>
    <w:rsid w:val="00A83EE2"/>
    <w:rPr>
      <w:rFonts w:ascii="宋体" w:hAnsi="Courier New"/>
    </w:rPr>
  </w:style>
  <w:style w:type="paragraph" w:styleId="a4">
    <w:name w:val="footer"/>
    <w:basedOn w:val="a"/>
    <w:link w:val="Char0"/>
    <w:uiPriority w:val="99"/>
    <w:qFormat/>
    <w:rsid w:val="00A83EE2"/>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qFormat/>
    <w:rsid w:val="00A83EE2"/>
    <w:rPr>
      <w:rFonts w:ascii="Calibri" w:eastAsia="宋体" w:hAnsi="Calibri" w:cs="Times New Roman"/>
      <w:sz w:val="18"/>
      <w:szCs w:val="18"/>
    </w:rPr>
  </w:style>
  <w:style w:type="character" w:customStyle="1" w:styleId="NormalCharacter">
    <w:name w:val="NormalCharacter"/>
    <w:qFormat/>
    <w:rsid w:val="00A83EE2"/>
    <w:rPr>
      <w:rFonts w:ascii="Calibri" w:eastAsia="宋体" w:hAnsi="Calibri"/>
    </w:rPr>
  </w:style>
  <w:style w:type="character" w:customStyle="1" w:styleId="PageNumber">
    <w:name w:val="PageNumber"/>
    <w:qFormat/>
    <w:rsid w:val="00A83EE2"/>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E2"/>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83EE2"/>
    <w:pPr>
      <w:widowControl w:val="0"/>
      <w:adjustRightInd w:val="0"/>
    </w:pPr>
    <w:rPr>
      <w:rFonts w:ascii="宋体" w:eastAsiaTheme="minorEastAsia" w:hAnsi="Courier New" w:cstheme="minorBidi"/>
      <w:szCs w:val="22"/>
    </w:rPr>
  </w:style>
  <w:style w:type="character" w:customStyle="1" w:styleId="Char">
    <w:name w:val="纯文本 Char"/>
    <w:basedOn w:val="a0"/>
    <w:link w:val="a3"/>
    <w:qFormat/>
    <w:rsid w:val="00A83EE2"/>
    <w:rPr>
      <w:rFonts w:ascii="宋体" w:hAnsi="Courier New"/>
    </w:rPr>
  </w:style>
  <w:style w:type="paragraph" w:styleId="a4">
    <w:name w:val="footer"/>
    <w:basedOn w:val="a"/>
    <w:link w:val="Char0"/>
    <w:uiPriority w:val="99"/>
    <w:qFormat/>
    <w:rsid w:val="00A83EE2"/>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qFormat/>
    <w:rsid w:val="00A83EE2"/>
    <w:rPr>
      <w:rFonts w:ascii="Calibri" w:eastAsia="宋体" w:hAnsi="Calibri" w:cs="Times New Roman"/>
      <w:sz w:val="18"/>
      <w:szCs w:val="18"/>
    </w:rPr>
  </w:style>
  <w:style w:type="character" w:customStyle="1" w:styleId="NormalCharacter">
    <w:name w:val="NormalCharacter"/>
    <w:qFormat/>
    <w:rsid w:val="00A83EE2"/>
    <w:rPr>
      <w:rFonts w:ascii="Calibri" w:eastAsia="宋体" w:hAnsi="Calibri"/>
    </w:rPr>
  </w:style>
  <w:style w:type="character" w:customStyle="1" w:styleId="PageNumber">
    <w:name w:val="PageNumber"/>
    <w:qFormat/>
    <w:rsid w:val="00A83EE2"/>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2022-07-01T10:00:00Z</dcterms:created>
  <dcterms:modified xsi:type="dcterms:W3CDTF">2022-07-01T10:00:00Z</dcterms:modified>
</cp:coreProperties>
</file>