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heme="majorEastAsia" w:hAnsiTheme="majorEastAsia" w:eastAsiaTheme="majorEastAsia" w:cstheme="majorEastAsia"/>
          <w:b/>
          <w:bCs/>
          <w:sz w:val="72"/>
          <w:szCs w:val="72"/>
        </w:rPr>
      </w:pPr>
    </w:p>
    <w:p>
      <w:pPr>
        <w:spacing w:line="480" w:lineRule="auto"/>
        <w:jc w:val="center"/>
        <w:rPr>
          <w:rFonts w:ascii="宋体" w:hAnsi="宋体" w:cs="宋体"/>
          <w:b/>
          <w:bCs/>
          <w:sz w:val="48"/>
          <w:szCs w:val="48"/>
        </w:rPr>
      </w:pPr>
      <w:r>
        <w:rPr>
          <w:rFonts w:hint="eastAsia" w:ascii="宋体" w:hAnsi="宋体" w:cs="宋体"/>
          <w:b/>
          <w:bCs/>
          <w:sz w:val="48"/>
          <w:szCs w:val="48"/>
        </w:rPr>
        <w:t>丰城市园区污水处理厂建设工程(丰城市循环经济园区吉岗岭污水处理厂项目)第二批机电安装设备、材料采购项目</w:t>
      </w:r>
    </w:p>
    <w:p>
      <w:pPr>
        <w:spacing w:line="480" w:lineRule="auto"/>
        <w:jc w:val="center"/>
        <w:rPr>
          <w:rFonts w:ascii="宋体" w:hAnsi="宋体" w:cs="宋体"/>
          <w:b/>
          <w:bCs/>
          <w:sz w:val="48"/>
          <w:szCs w:val="48"/>
        </w:rPr>
      </w:pPr>
    </w:p>
    <w:p>
      <w:pPr>
        <w:spacing w:line="480" w:lineRule="auto"/>
        <w:jc w:val="center"/>
        <w:rPr>
          <w:rFonts w:ascii="宋体" w:hAnsi="宋体" w:cs="宋体"/>
          <w:b/>
          <w:bCs/>
          <w:sz w:val="48"/>
          <w:szCs w:val="48"/>
        </w:rPr>
      </w:pPr>
    </w:p>
    <w:p>
      <w:pPr>
        <w:spacing w:line="480" w:lineRule="auto"/>
        <w:jc w:val="center"/>
        <w:rPr>
          <w:rFonts w:ascii="宋体" w:hAnsi="宋体" w:cs="宋体"/>
          <w:b/>
          <w:bCs/>
          <w:sz w:val="52"/>
          <w:szCs w:val="52"/>
        </w:rPr>
      </w:pPr>
      <w:r>
        <w:rPr>
          <w:rFonts w:hint="eastAsia" w:ascii="宋体" w:hAnsi="宋体" w:cs="宋体"/>
          <w:b/>
          <w:bCs/>
          <w:sz w:val="48"/>
          <w:szCs w:val="48"/>
        </w:rPr>
        <w:t>公开招标文件</w:t>
      </w:r>
    </w:p>
    <w:p>
      <w:pPr>
        <w:spacing w:line="480" w:lineRule="auto"/>
        <w:jc w:val="center"/>
        <w:rPr>
          <w:rFonts w:ascii="宋体" w:hAnsi="宋体" w:cs="宋体"/>
          <w:b/>
          <w:bCs/>
          <w:sz w:val="30"/>
          <w:szCs w:val="30"/>
        </w:rPr>
      </w:pPr>
    </w:p>
    <w:p>
      <w:pPr>
        <w:pStyle w:val="21"/>
        <w:rPr>
          <w:rFonts w:hAnsi="宋体" w:cs="宋体"/>
          <w:sz w:val="30"/>
          <w:szCs w:val="30"/>
        </w:rPr>
      </w:pPr>
    </w:p>
    <w:p>
      <w:pPr>
        <w:spacing w:line="480" w:lineRule="auto"/>
        <w:ind w:left="1506" w:hanging="1506" w:hangingChars="500"/>
        <w:jc w:val="left"/>
        <w:rPr>
          <w:rFonts w:ascii="宋体" w:hAnsi="宋体" w:cs="宋体"/>
          <w:b/>
          <w:bCs/>
          <w:sz w:val="30"/>
          <w:szCs w:val="30"/>
        </w:rPr>
      </w:pPr>
      <w:r>
        <w:rPr>
          <w:rFonts w:hint="eastAsia" w:ascii="宋体" w:hAnsi="宋体" w:cs="宋体"/>
          <w:b/>
          <w:bCs/>
          <w:sz w:val="30"/>
          <w:szCs w:val="30"/>
        </w:rPr>
        <w:t>项目名称：</w:t>
      </w:r>
      <w:bookmarkStart w:id="0" w:name="OLE_LINK1"/>
      <w:r>
        <w:rPr>
          <w:rFonts w:hint="eastAsia" w:ascii="宋体" w:hAnsi="宋体" w:cs="宋体"/>
          <w:b/>
          <w:bCs/>
          <w:sz w:val="30"/>
          <w:szCs w:val="30"/>
        </w:rPr>
        <w:t>丰城市园区污水处理厂建设工程(丰城市循环经济园区吉岗岭污水处理厂项目)第二批机电安装设备、材料采购项目</w:t>
      </w:r>
      <w:bookmarkEnd w:id="0"/>
    </w:p>
    <w:p>
      <w:pPr>
        <w:tabs>
          <w:tab w:val="left" w:pos="825"/>
          <w:tab w:val="center" w:pos="4426"/>
          <w:tab w:val="left" w:pos="7770"/>
        </w:tabs>
        <w:spacing w:line="700" w:lineRule="exact"/>
        <w:jc w:val="left"/>
        <w:rPr>
          <w:rFonts w:ascii="宋体" w:hAnsi="宋体" w:cs="宋体"/>
          <w:b/>
          <w:bCs/>
          <w:sz w:val="30"/>
          <w:szCs w:val="30"/>
        </w:rPr>
      </w:pPr>
      <w:r>
        <w:rPr>
          <w:rFonts w:hint="eastAsia" w:ascii="宋体" w:hAnsi="宋体" w:cs="宋体"/>
          <w:b/>
          <w:bCs/>
          <w:sz w:val="30"/>
          <w:szCs w:val="30"/>
        </w:rPr>
        <w:t>招标编号：BC2022-FCG002</w:t>
      </w:r>
    </w:p>
    <w:p>
      <w:pPr>
        <w:pStyle w:val="21"/>
      </w:pPr>
    </w:p>
    <w:p>
      <w:pPr>
        <w:spacing w:line="480" w:lineRule="auto"/>
        <w:jc w:val="left"/>
        <w:rPr>
          <w:rFonts w:ascii="宋体" w:hAnsi="宋体" w:cs="宋体"/>
          <w:b/>
          <w:bCs/>
          <w:sz w:val="30"/>
          <w:szCs w:val="30"/>
        </w:rPr>
      </w:pPr>
      <w:r>
        <w:rPr>
          <w:rFonts w:hint="eastAsia" w:ascii="宋体" w:hAnsi="宋体" w:cs="宋体"/>
          <w:b/>
          <w:bCs/>
          <w:sz w:val="30"/>
          <w:szCs w:val="30"/>
        </w:rPr>
        <w:t>采购单位：</w:t>
      </w:r>
      <w:r>
        <w:rPr>
          <w:rFonts w:hint="eastAsia" w:ascii="宋体" w:hAnsi="宋体" w:cs="宋体"/>
          <w:b/>
          <w:sz w:val="30"/>
          <w:szCs w:val="30"/>
        </w:rPr>
        <w:t>北京建工集团有限责任公司</w:t>
      </w:r>
    </w:p>
    <w:p>
      <w:pPr>
        <w:pStyle w:val="21"/>
      </w:pPr>
    </w:p>
    <w:p>
      <w:pPr>
        <w:spacing w:line="360" w:lineRule="auto"/>
        <w:jc w:val="left"/>
        <w:rPr>
          <w:rFonts w:ascii="宋体" w:hAnsi="宋体" w:cs="宋体"/>
          <w:b/>
          <w:bCs/>
          <w:sz w:val="30"/>
          <w:szCs w:val="30"/>
        </w:rPr>
      </w:pPr>
      <w:r>
        <w:rPr>
          <w:rFonts w:hint="eastAsia" w:ascii="宋体" w:hAnsi="宋体" w:cs="宋体"/>
          <w:b/>
          <w:bCs/>
          <w:sz w:val="30"/>
          <w:szCs w:val="30"/>
        </w:rPr>
        <w:t>采购代理：江西博采招标咨询有限公司</w:t>
      </w:r>
    </w:p>
    <w:p>
      <w:pPr>
        <w:tabs>
          <w:tab w:val="left" w:pos="0"/>
        </w:tabs>
        <w:spacing w:line="600" w:lineRule="exact"/>
        <w:jc w:val="left"/>
        <w:rPr>
          <w:rFonts w:asciiTheme="majorEastAsia" w:hAnsiTheme="majorEastAsia" w:eastAsiaTheme="majorEastAsia" w:cstheme="majorEastAsia"/>
          <w:b/>
          <w:bCs/>
          <w:sz w:val="32"/>
          <w:szCs w:val="32"/>
        </w:rPr>
      </w:pPr>
    </w:p>
    <w:p>
      <w:pPr>
        <w:tabs>
          <w:tab w:val="left" w:pos="0"/>
        </w:tabs>
        <w:spacing w:line="600" w:lineRule="exact"/>
        <w:jc w:val="center"/>
        <w:rPr>
          <w:rFonts w:asciiTheme="majorEastAsia" w:hAnsiTheme="majorEastAsia" w:eastAsiaTheme="majorEastAsia" w:cstheme="majorEastAsia"/>
          <w:b/>
          <w:bCs/>
          <w:sz w:val="32"/>
          <w:szCs w:val="32"/>
        </w:rPr>
      </w:pPr>
    </w:p>
    <w:p>
      <w:pPr>
        <w:tabs>
          <w:tab w:val="left" w:pos="0"/>
        </w:tabs>
        <w:spacing w:line="600" w:lineRule="exact"/>
        <w:jc w:val="center"/>
        <w:rPr>
          <w:rFonts w:asciiTheme="majorEastAsia" w:hAnsiTheme="majorEastAsia" w:eastAsiaTheme="majorEastAsia" w:cstheme="majorEastAsia"/>
          <w:b/>
          <w:bCs/>
          <w:sz w:val="36"/>
          <w:szCs w:val="36"/>
        </w:rPr>
      </w:pPr>
    </w:p>
    <w:p>
      <w:pPr>
        <w:tabs>
          <w:tab w:val="left" w:pos="0"/>
        </w:tabs>
        <w:spacing w:line="60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2022年6月</w:t>
      </w:r>
    </w:p>
    <w:p>
      <w:pPr>
        <w:tabs>
          <w:tab w:val="left" w:pos="0"/>
        </w:tabs>
        <w:spacing w:line="360" w:lineRule="auto"/>
        <w:jc w:val="center"/>
        <w:rPr>
          <w:rFonts w:asciiTheme="majorEastAsia" w:hAnsiTheme="majorEastAsia" w:eastAsiaTheme="majorEastAsia" w:cstheme="majorEastAsia"/>
          <w:b/>
          <w:bCs/>
          <w:sz w:val="52"/>
          <w:szCs w:val="52"/>
        </w:rPr>
        <w:sectPr>
          <w:footerReference r:id="rId7" w:type="first"/>
          <w:headerReference r:id="rId3" w:type="default"/>
          <w:footerReference r:id="rId5" w:type="default"/>
          <w:headerReference r:id="rId4" w:type="even"/>
          <w:footerReference r:id="rId6" w:type="even"/>
          <w:pgSz w:w="11906" w:h="16838"/>
          <w:pgMar w:top="1440" w:right="1286" w:bottom="1440" w:left="1797" w:header="851" w:footer="992" w:gutter="0"/>
          <w:cols w:space="720" w:num="1"/>
          <w:titlePg/>
          <w:docGrid w:type="lines" w:linePitch="312" w:charSpace="0"/>
        </w:sectPr>
      </w:pPr>
    </w:p>
    <w:p>
      <w:pPr>
        <w:tabs>
          <w:tab w:val="left" w:pos="0"/>
        </w:tabs>
        <w:spacing w:line="360" w:lineRule="auto"/>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目  录</w:t>
      </w:r>
    </w:p>
    <w:p>
      <w:pPr>
        <w:pStyle w:val="29"/>
        <w:tabs>
          <w:tab w:val="right" w:leader="dot" w:pos="8823"/>
        </w:tabs>
      </w:pPr>
      <w:r>
        <w:rPr>
          <w:rFonts w:hint="eastAsia" w:asciiTheme="majorEastAsia" w:hAnsiTheme="majorEastAsia" w:eastAsiaTheme="majorEastAsia" w:cstheme="majorEastAsia"/>
          <w:b w:val="0"/>
          <w:bCs w:val="0"/>
        </w:rPr>
        <w:fldChar w:fldCharType="begin"/>
      </w:r>
      <w:r>
        <w:rPr>
          <w:rFonts w:hint="eastAsia" w:asciiTheme="majorEastAsia" w:hAnsiTheme="majorEastAsia" w:eastAsiaTheme="majorEastAsia" w:cstheme="majorEastAsia"/>
          <w:b w:val="0"/>
          <w:bCs w:val="0"/>
        </w:rPr>
        <w:instrText xml:space="preserve">TOC \o "1-4" \h \z \u</w:instrText>
      </w:r>
      <w:r>
        <w:rPr>
          <w:rFonts w:hint="eastAsia" w:asciiTheme="majorEastAsia" w:hAnsiTheme="majorEastAsia" w:eastAsiaTheme="majorEastAsia" w:cstheme="majorEastAsia"/>
          <w:b w:val="0"/>
          <w:bCs w:val="0"/>
        </w:rPr>
        <w:fldChar w:fldCharType="separate"/>
      </w:r>
      <w:r>
        <w:fldChar w:fldCharType="begin"/>
      </w:r>
      <w:r>
        <w:instrText xml:space="preserve"> HYPERLINK \l "_Toc32697" </w:instrText>
      </w:r>
      <w:r>
        <w:fldChar w:fldCharType="separate"/>
      </w:r>
      <w:r>
        <w:rPr>
          <w:rFonts w:hint="eastAsia" w:asciiTheme="majorEastAsia" w:hAnsiTheme="majorEastAsia" w:eastAsiaTheme="majorEastAsia" w:cstheme="majorEastAsia"/>
          <w:szCs w:val="48"/>
        </w:rPr>
        <w:t>第一部分 招标文件</w:t>
      </w:r>
      <w:r>
        <w:tab/>
      </w:r>
      <w:r>
        <w:fldChar w:fldCharType="begin"/>
      </w:r>
      <w:r>
        <w:instrText xml:space="preserve"> PAGEREF _Toc32697 \h </w:instrText>
      </w:r>
      <w:r>
        <w:fldChar w:fldCharType="separate"/>
      </w:r>
      <w:r>
        <w:t>4</w:t>
      </w:r>
      <w:r>
        <w:fldChar w:fldCharType="end"/>
      </w:r>
      <w:r>
        <w:fldChar w:fldCharType="end"/>
      </w:r>
    </w:p>
    <w:p>
      <w:pPr>
        <w:pStyle w:val="29"/>
        <w:tabs>
          <w:tab w:val="right" w:leader="dot" w:pos="8823"/>
        </w:tabs>
      </w:pPr>
      <w:r>
        <w:fldChar w:fldCharType="begin"/>
      </w:r>
      <w:r>
        <w:instrText xml:space="preserve"> HYPERLINK \l "_Toc3246" </w:instrText>
      </w:r>
      <w:r>
        <w:fldChar w:fldCharType="separate"/>
      </w:r>
      <w:r>
        <w:rPr>
          <w:rFonts w:hint="eastAsia" w:asciiTheme="majorEastAsia" w:hAnsiTheme="majorEastAsia" w:eastAsiaTheme="majorEastAsia" w:cstheme="majorEastAsia"/>
        </w:rPr>
        <w:t>第一章 投标邀请</w:t>
      </w:r>
      <w:r>
        <w:tab/>
      </w:r>
      <w:r>
        <w:fldChar w:fldCharType="begin"/>
      </w:r>
      <w:r>
        <w:instrText xml:space="preserve"> PAGEREF _Toc3246 \h </w:instrText>
      </w:r>
      <w:r>
        <w:fldChar w:fldCharType="separate"/>
      </w:r>
      <w:r>
        <w:t>4</w:t>
      </w:r>
      <w:r>
        <w:fldChar w:fldCharType="end"/>
      </w:r>
      <w:r>
        <w:fldChar w:fldCharType="end"/>
      </w:r>
    </w:p>
    <w:p>
      <w:pPr>
        <w:pStyle w:val="33"/>
        <w:tabs>
          <w:tab w:val="right" w:leader="dot" w:pos="8823"/>
          <w:tab w:val="clear" w:pos="720"/>
          <w:tab w:val="clear" w:pos="8820"/>
        </w:tabs>
        <w:rPr>
          <w:rFonts w:eastAsiaTheme="majorEastAsia"/>
        </w:rPr>
      </w:pPr>
      <w:r>
        <w:fldChar w:fldCharType="begin"/>
      </w:r>
      <w:r>
        <w:instrText xml:space="preserve"> HYPERLINK \l "_Toc4929" </w:instrText>
      </w:r>
      <w:r>
        <w:fldChar w:fldCharType="separate"/>
      </w:r>
      <w:r>
        <w:rPr>
          <w:rFonts w:hint="eastAsia" w:ascii="宋体" w:hAnsi="宋体" w:cs="宋体"/>
          <w:szCs w:val="24"/>
        </w:rPr>
        <w:t>1.采购人信息</w:t>
      </w:r>
      <w:r>
        <w:tab/>
      </w:r>
      <w:r>
        <w:fldChar w:fldCharType="end"/>
      </w:r>
      <w:r>
        <w:rPr>
          <w:rFonts w:hint="eastAsia" w:asciiTheme="majorEastAsia" w:hAnsiTheme="majorEastAsia" w:eastAsiaTheme="majorEastAsia" w:cstheme="majorEastAsia"/>
          <w:szCs w:val="24"/>
        </w:rPr>
        <w:t>6</w:t>
      </w:r>
    </w:p>
    <w:p>
      <w:pPr>
        <w:pStyle w:val="33"/>
        <w:tabs>
          <w:tab w:val="right" w:leader="dot" w:pos="8823"/>
          <w:tab w:val="clear" w:pos="720"/>
          <w:tab w:val="clear" w:pos="8820"/>
        </w:tabs>
        <w:rPr>
          <w:rFonts w:eastAsiaTheme="majorEastAsia"/>
        </w:rPr>
      </w:pPr>
      <w:r>
        <w:fldChar w:fldCharType="begin"/>
      </w:r>
      <w:r>
        <w:instrText xml:space="preserve"> HYPERLINK \l "_Toc10791" </w:instrText>
      </w:r>
      <w:r>
        <w:fldChar w:fldCharType="separate"/>
      </w:r>
      <w:r>
        <w:rPr>
          <w:rFonts w:hint="eastAsia" w:ascii="宋体" w:hAnsi="宋体" w:cs="宋体"/>
          <w:szCs w:val="24"/>
        </w:rPr>
        <w:t>2.采购代理机构信息</w:t>
      </w:r>
      <w:r>
        <w:tab/>
      </w:r>
      <w:r>
        <w:fldChar w:fldCharType="end"/>
      </w:r>
      <w:r>
        <w:rPr>
          <w:rFonts w:hint="eastAsia" w:asciiTheme="majorEastAsia" w:hAnsiTheme="majorEastAsia" w:eastAsiaTheme="majorEastAsia" w:cstheme="majorEastAsia"/>
          <w:szCs w:val="24"/>
        </w:rPr>
        <w:t>6</w:t>
      </w:r>
    </w:p>
    <w:p>
      <w:pPr>
        <w:pStyle w:val="33"/>
        <w:tabs>
          <w:tab w:val="right" w:leader="dot" w:pos="8823"/>
          <w:tab w:val="clear" w:pos="720"/>
          <w:tab w:val="clear" w:pos="8820"/>
        </w:tabs>
        <w:rPr>
          <w:rFonts w:eastAsiaTheme="majorEastAsia"/>
        </w:rPr>
      </w:pPr>
      <w:r>
        <w:fldChar w:fldCharType="begin"/>
      </w:r>
      <w:r>
        <w:instrText xml:space="preserve"> HYPERLINK \l "_Toc3268" </w:instrText>
      </w:r>
      <w:r>
        <w:fldChar w:fldCharType="separate"/>
      </w:r>
      <w:r>
        <w:rPr>
          <w:rFonts w:hint="eastAsia" w:ascii="宋体" w:hAnsi="宋体" w:cs="宋体"/>
          <w:szCs w:val="24"/>
        </w:rPr>
        <w:t>3.项目联系方式</w:t>
      </w:r>
      <w:r>
        <w:tab/>
      </w:r>
      <w:r>
        <w:fldChar w:fldCharType="end"/>
      </w:r>
      <w:r>
        <w:rPr>
          <w:rFonts w:hint="eastAsia" w:asciiTheme="majorEastAsia" w:hAnsiTheme="majorEastAsia" w:eastAsiaTheme="majorEastAsia" w:cstheme="majorEastAsia"/>
          <w:szCs w:val="24"/>
        </w:rPr>
        <w:t>6</w:t>
      </w:r>
    </w:p>
    <w:p>
      <w:pPr>
        <w:pStyle w:val="29"/>
        <w:tabs>
          <w:tab w:val="right" w:leader="dot" w:pos="8823"/>
        </w:tabs>
      </w:pPr>
      <w:r>
        <w:fldChar w:fldCharType="begin"/>
      </w:r>
      <w:r>
        <w:instrText xml:space="preserve"> HYPERLINK \l "_Toc14703" </w:instrText>
      </w:r>
      <w:r>
        <w:fldChar w:fldCharType="separate"/>
      </w:r>
      <w:r>
        <w:rPr>
          <w:rFonts w:hint="eastAsia" w:asciiTheme="majorEastAsia" w:hAnsiTheme="majorEastAsia" w:eastAsiaTheme="majorEastAsia" w:cstheme="majorEastAsia"/>
        </w:rPr>
        <w:t>第二章 投标人须知前附表</w:t>
      </w:r>
      <w:r>
        <w:tab/>
      </w:r>
      <w:r>
        <w:rPr>
          <w:rFonts w:hint="eastAsia"/>
        </w:rPr>
        <w:t>7</w:t>
      </w:r>
      <w:r>
        <w:rPr>
          <w:rFonts w:hint="eastAsia"/>
        </w:rPr>
        <w:fldChar w:fldCharType="end"/>
      </w:r>
    </w:p>
    <w:p>
      <w:pPr>
        <w:pStyle w:val="29"/>
        <w:tabs>
          <w:tab w:val="right" w:leader="dot" w:pos="8823"/>
        </w:tabs>
      </w:pPr>
      <w:r>
        <w:fldChar w:fldCharType="begin"/>
      </w:r>
      <w:r>
        <w:instrText xml:space="preserve"> HYPERLINK \l "_Toc5788" </w:instrText>
      </w:r>
      <w:r>
        <w:fldChar w:fldCharType="separate"/>
      </w:r>
      <w:r>
        <w:rPr>
          <w:rFonts w:hint="eastAsia" w:asciiTheme="majorEastAsia" w:hAnsiTheme="majorEastAsia" w:eastAsiaTheme="majorEastAsia" w:cstheme="majorEastAsia"/>
        </w:rPr>
        <w:t>第三章 投标人须知</w:t>
      </w:r>
      <w:r>
        <w:tab/>
      </w:r>
      <w:r>
        <w:fldChar w:fldCharType="begin"/>
      </w:r>
      <w:r>
        <w:instrText xml:space="preserve"> PAGEREF _Toc5788 \h </w:instrText>
      </w:r>
      <w:r>
        <w:fldChar w:fldCharType="separate"/>
      </w:r>
      <w:r>
        <w:t>10</w:t>
      </w:r>
      <w:r>
        <w:fldChar w:fldCharType="end"/>
      </w:r>
      <w:r>
        <w:fldChar w:fldCharType="end"/>
      </w:r>
    </w:p>
    <w:p>
      <w:pPr>
        <w:pStyle w:val="20"/>
        <w:tabs>
          <w:tab w:val="right" w:leader="dot" w:pos="8823"/>
          <w:tab w:val="clear" w:pos="8820"/>
        </w:tabs>
      </w:pPr>
      <w:r>
        <w:fldChar w:fldCharType="begin"/>
      </w:r>
      <w:r>
        <w:instrText xml:space="preserve"> HYPERLINK \l "_Toc29560" </w:instrText>
      </w:r>
      <w:r>
        <w:fldChar w:fldCharType="separate"/>
      </w:r>
      <w:r>
        <w:rPr>
          <w:rFonts w:hint="eastAsia" w:asciiTheme="majorEastAsia" w:hAnsiTheme="majorEastAsia" w:eastAsiaTheme="majorEastAsia" w:cstheme="majorEastAsia"/>
          <w:szCs w:val="36"/>
        </w:rPr>
        <w:t>一、 总  则</w:t>
      </w:r>
      <w:r>
        <w:tab/>
      </w:r>
      <w:r>
        <w:fldChar w:fldCharType="begin"/>
      </w:r>
      <w:r>
        <w:instrText xml:space="preserve"> PAGEREF _Toc29560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"_Toc26089" </w:instrText>
      </w:r>
      <w:r>
        <w:fldChar w:fldCharType="separate"/>
      </w:r>
      <w:r>
        <w:rPr>
          <w:rFonts w:hint="eastAsia" w:asciiTheme="majorEastAsia" w:hAnsiTheme="majorEastAsia" w:eastAsiaTheme="majorEastAsia" w:cstheme="majorEastAsia"/>
        </w:rPr>
        <w:t>1．招标方式</w:t>
      </w:r>
      <w:r>
        <w:tab/>
      </w:r>
      <w:r>
        <w:fldChar w:fldCharType="begin"/>
      </w:r>
      <w:r>
        <w:instrText xml:space="preserve"> PAGEREF _Toc26089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"_Toc248" </w:instrText>
      </w:r>
      <w:r>
        <w:fldChar w:fldCharType="separate"/>
      </w:r>
      <w:r>
        <w:rPr>
          <w:rFonts w:hint="eastAsia" w:asciiTheme="majorEastAsia" w:hAnsiTheme="majorEastAsia" w:eastAsiaTheme="majorEastAsia" w:cstheme="majorEastAsia"/>
        </w:rPr>
        <w:t>2．投标费用</w:t>
      </w:r>
      <w:r>
        <w:tab/>
      </w:r>
      <w:r>
        <w:fldChar w:fldCharType="begin"/>
      </w:r>
      <w:r>
        <w:instrText xml:space="preserve"> PAGEREF _Toc248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"_Toc28756" </w:instrText>
      </w:r>
      <w:r>
        <w:fldChar w:fldCharType="separate"/>
      </w:r>
      <w:r>
        <w:rPr>
          <w:rFonts w:hint="eastAsia" w:asciiTheme="majorEastAsia" w:hAnsiTheme="majorEastAsia" w:eastAsiaTheme="majorEastAsia" w:cstheme="majorEastAsia"/>
        </w:rPr>
        <w:t>3．合格的投标人</w:t>
      </w:r>
      <w:r>
        <w:tab/>
      </w:r>
      <w:r>
        <w:fldChar w:fldCharType="begin"/>
      </w:r>
      <w:r>
        <w:instrText xml:space="preserve"> PAGEREF _Toc28756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"_Toc22932" </w:instrText>
      </w:r>
      <w:r>
        <w:fldChar w:fldCharType="separate"/>
      </w:r>
      <w:r>
        <w:rPr>
          <w:rFonts w:hint="eastAsia" w:asciiTheme="majorEastAsia" w:hAnsiTheme="majorEastAsia" w:eastAsiaTheme="majorEastAsia" w:cstheme="majorEastAsia"/>
          <w:szCs w:val="24"/>
        </w:rPr>
        <w:t>3.1 投标人的资格条件： 详见“第一章 投标邀请”及投标人须知前附表。</w:t>
      </w:r>
      <w:r>
        <w:tab/>
      </w:r>
      <w:r>
        <w:fldChar w:fldCharType="begin"/>
      </w:r>
      <w:r>
        <w:instrText xml:space="preserve"> PAGEREF _Toc22932 \h </w:instrText>
      </w:r>
      <w:r>
        <w:fldChar w:fldCharType="separate"/>
      </w:r>
      <w:r>
        <w:t>10</w:t>
      </w:r>
      <w:r>
        <w:fldChar w:fldCharType="end"/>
      </w:r>
      <w:r>
        <w:fldChar w:fldCharType="end"/>
      </w:r>
    </w:p>
    <w:p>
      <w:pPr>
        <w:pStyle w:val="20"/>
        <w:tabs>
          <w:tab w:val="right" w:leader="dot" w:pos="8823"/>
          <w:tab w:val="clear" w:pos="8820"/>
        </w:tabs>
      </w:pPr>
      <w:r>
        <w:fldChar w:fldCharType="begin"/>
      </w:r>
      <w:r>
        <w:instrText xml:space="preserve"> HYPERLINK \l "_Toc19721" </w:instrText>
      </w:r>
      <w:r>
        <w:fldChar w:fldCharType="separate"/>
      </w:r>
      <w:r>
        <w:rPr>
          <w:rFonts w:hint="eastAsia" w:asciiTheme="majorEastAsia" w:hAnsiTheme="majorEastAsia" w:eastAsiaTheme="majorEastAsia" w:cstheme="majorEastAsia"/>
          <w:szCs w:val="36"/>
        </w:rPr>
        <w:t>二、 招标文件</w:t>
      </w:r>
      <w:r>
        <w:tab/>
      </w:r>
      <w:r>
        <w:fldChar w:fldCharType="begin"/>
      </w:r>
      <w:r>
        <w:instrText xml:space="preserve"> PAGEREF _Toc19721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"_Toc9595" </w:instrText>
      </w:r>
      <w:r>
        <w:fldChar w:fldCharType="separate"/>
      </w:r>
      <w:r>
        <w:rPr>
          <w:rFonts w:hint="eastAsia" w:asciiTheme="majorEastAsia" w:hAnsiTheme="majorEastAsia" w:eastAsiaTheme="majorEastAsia" w:cstheme="majorEastAsia"/>
        </w:rPr>
        <w:t>4．招标文件构成</w:t>
      </w:r>
      <w:r>
        <w:tab/>
      </w:r>
      <w:r>
        <w:fldChar w:fldCharType="begin"/>
      </w:r>
      <w:r>
        <w:instrText xml:space="preserve"> PAGEREF _Toc9595 \h </w:instrText>
      </w:r>
      <w:r>
        <w:fldChar w:fldCharType="separate"/>
      </w:r>
      <w:r>
        <w:t>10</w:t>
      </w:r>
      <w:r>
        <w:fldChar w:fldCharType="end"/>
      </w:r>
      <w:r>
        <w:fldChar w:fldCharType="end"/>
      </w:r>
    </w:p>
    <w:p>
      <w:pPr>
        <w:pStyle w:val="30"/>
        <w:tabs>
          <w:tab w:val="right" w:leader="dot" w:pos="8823"/>
        </w:tabs>
      </w:pPr>
      <w:r>
        <w:fldChar w:fldCharType="begin"/>
      </w:r>
      <w:r>
        <w:instrText xml:space="preserve"> HYPERLINK \l "_Toc614" </w:instrText>
      </w:r>
      <w:r>
        <w:fldChar w:fldCharType="separate"/>
      </w:r>
      <w:r>
        <w:rPr>
          <w:rFonts w:hint="eastAsia" w:asciiTheme="majorEastAsia" w:hAnsiTheme="majorEastAsia" w:eastAsiaTheme="majorEastAsia" w:cstheme="majorEastAsia"/>
        </w:rPr>
        <w:t>5．招标文件的澄清和修改</w:t>
      </w:r>
      <w:r>
        <w:tab/>
      </w:r>
      <w:r>
        <w:fldChar w:fldCharType="begin"/>
      </w:r>
      <w:r>
        <w:instrText xml:space="preserve"> PAGEREF _Toc614 \h </w:instrText>
      </w:r>
      <w:r>
        <w:fldChar w:fldCharType="separate"/>
      </w:r>
      <w:r>
        <w:t>11</w:t>
      </w:r>
      <w:r>
        <w:fldChar w:fldCharType="end"/>
      </w:r>
      <w:r>
        <w:fldChar w:fldCharType="end"/>
      </w:r>
    </w:p>
    <w:p>
      <w:pPr>
        <w:pStyle w:val="30"/>
        <w:tabs>
          <w:tab w:val="right" w:leader="dot" w:pos="8823"/>
        </w:tabs>
      </w:pPr>
      <w:r>
        <w:fldChar w:fldCharType="begin"/>
      </w:r>
      <w:r>
        <w:instrText xml:space="preserve"> HYPERLINK \l "_Toc31956" </w:instrText>
      </w:r>
      <w:r>
        <w:fldChar w:fldCharType="separate"/>
      </w:r>
      <w:r>
        <w:rPr>
          <w:rFonts w:hint="eastAsia" w:asciiTheme="majorEastAsia" w:hAnsiTheme="majorEastAsia" w:eastAsiaTheme="majorEastAsia" w:cstheme="majorEastAsia"/>
        </w:rPr>
        <w:t>6．投标截止时间和开标时间的变更</w:t>
      </w:r>
      <w:r>
        <w:tab/>
      </w:r>
      <w:r>
        <w:fldChar w:fldCharType="begin"/>
      </w:r>
      <w:r>
        <w:instrText xml:space="preserve"> PAGEREF _Toc31956 \h </w:instrText>
      </w:r>
      <w:r>
        <w:fldChar w:fldCharType="separate"/>
      </w:r>
      <w:r>
        <w:t>11</w:t>
      </w:r>
      <w:r>
        <w:fldChar w:fldCharType="end"/>
      </w:r>
      <w:r>
        <w:fldChar w:fldCharType="end"/>
      </w:r>
    </w:p>
    <w:p>
      <w:pPr>
        <w:pStyle w:val="20"/>
        <w:tabs>
          <w:tab w:val="right" w:leader="dot" w:pos="8823"/>
          <w:tab w:val="clear" w:pos="8820"/>
        </w:tabs>
      </w:pPr>
      <w:r>
        <w:fldChar w:fldCharType="begin"/>
      </w:r>
      <w:r>
        <w:instrText xml:space="preserve"> HYPERLINK \l "_Toc20012" </w:instrText>
      </w:r>
      <w:r>
        <w:fldChar w:fldCharType="separate"/>
      </w:r>
      <w:r>
        <w:rPr>
          <w:rFonts w:hint="eastAsia" w:asciiTheme="majorEastAsia" w:hAnsiTheme="majorEastAsia" w:eastAsiaTheme="majorEastAsia" w:cstheme="majorEastAsia"/>
          <w:szCs w:val="36"/>
        </w:rPr>
        <w:t>三、 投标文件的编制</w:t>
      </w:r>
      <w:r>
        <w:tab/>
      </w:r>
      <w:r>
        <w:fldChar w:fldCharType="begin"/>
      </w:r>
      <w:r>
        <w:instrText xml:space="preserve"> PAGEREF _Toc20012 \h </w:instrText>
      </w:r>
      <w:r>
        <w:fldChar w:fldCharType="separate"/>
      </w:r>
      <w:r>
        <w:t>11</w:t>
      </w:r>
      <w:r>
        <w:fldChar w:fldCharType="end"/>
      </w:r>
      <w:r>
        <w:fldChar w:fldCharType="end"/>
      </w:r>
    </w:p>
    <w:p>
      <w:pPr>
        <w:pStyle w:val="30"/>
        <w:tabs>
          <w:tab w:val="right" w:leader="dot" w:pos="8823"/>
        </w:tabs>
      </w:pPr>
      <w:r>
        <w:fldChar w:fldCharType="begin"/>
      </w:r>
      <w:r>
        <w:instrText xml:space="preserve"> HYPERLINK \l "_Toc31662" </w:instrText>
      </w:r>
      <w:r>
        <w:fldChar w:fldCharType="separate"/>
      </w:r>
      <w:r>
        <w:rPr>
          <w:rFonts w:hint="eastAsia" w:asciiTheme="majorEastAsia" w:hAnsiTheme="majorEastAsia" w:eastAsiaTheme="majorEastAsia" w:cstheme="majorEastAsia"/>
        </w:rPr>
        <w:t>7．投标文件构成</w:t>
      </w:r>
      <w:r>
        <w:tab/>
      </w:r>
      <w:r>
        <w:fldChar w:fldCharType="begin"/>
      </w:r>
      <w:r>
        <w:instrText xml:space="preserve"> PAGEREF _Toc31662 \h </w:instrText>
      </w:r>
      <w:r>
        <w:fldChar w:fldCharType="separate"/>
      </w:r>
      <w:r>
        <w:t>11</w:t>
      </w:r>
      <w:r>
        <w:fldChar w:fldCharType="end"/>
      </w:r>
      <w:r>
        <w:fldChar w:fldCharType="end"/>
      </w:r>
    </w:p>
    <w:p>
      <w:pPr>
        <w:pStyle w:val="30"/>
        <w:tabs>
          <w:tab w:val="right" w:leader="dot" w:pos="8823"/>
        </w:tabs>
      </w:pPr>
      <w:r>
        <w:fldChar w:fldCharType="begin"/>
      </w:r>
      <w:r>
        <w:instrText xml:space="preserve"> HYPERLINK \l "_Toc9273" </w:instrText>
      </w:r>
      <w:r>
        <w:fldChar w:fldCharType="separate"/>
      </w:r>
      <w:r>
        <w:rPr>
          <w:rFonts w:hint="eastAsia" w:asciiTheme="majorEastAsia" w:hAnsiTheme="majorEastAsia" w:eastAsiaTheme="majorEastAsia" w:cstheme="majorEastAsia"/>
        </w:rPr>
        <w:t>8．投标文件编制的注意事项</w:t>
      </w:r>
      <w:r>
        <w:tab/>
      </w:r>
      <w:r>
        <w:fldChar w:fldCharType="begin"/>
      </w:r>
      <w:r>
        <w:instrText xml:space="preserve"> PAGEREF _Toc9273 \h </w:instrText>
      </w:r>
      <w:r>
        <w:fldChar w:fldCharType="separate"/>
      </w:r>
      <w:r>
        <w:t>11</w:t>
      </w:r>
      <w:r>
        <w:fldChar w:fldCharType="end"/>
      </w:r>
      <w:r>
        <w:fldChar w:fldCharType="end"/>
      </w:r>
    </w:p>
    <w:p>
      <w:pPr>
        <w:pStyle w:val="30"/>
        <w:tabs>
          <w:tab w:val="right" w:leader="dot" w:pos="8823"/>
        </w:tabs>
      </w:pPr>
      <w:r>
        <w:fldChar w:fldCharType="begin"/>
      </w:r>
      <w:r>
        <w:instrText xml:space="preserve"> HYPERLINK \l "_Toc5712" </w:instrText>
      </w:r>
      <w:r>
        <w:fldChar w:fldCharType="separate"/>
      </w:r>
      <w:r>
        <w:rPr>
          <w:rFonts w:hint="eastAsia" w:asciiTheme="majorEastAsia" w:hAnsiTheme="majorEastAsia" w:eastAsiaTheme="majorEastAsia" w:cstheme="majorEastAsia"/>
        </w:rPr>
        <w:t>9．投标报价</w:t>
      </w:r>
      <w:r>
        <w:tab/>
      </w:r>
      <w:r>
        <w:fldChar w:fldCharType="begin"/>
      </w:r>
      <w:r>
        <w:instrText xml:space="preserve"> PAGEREF _Toc5712 \h </w:instrText>
      </w:r>
      <w:r>
        <w:fldChar w:fldCharType="separate"/>
      </w:r>
      <w:r>
        <w:t>12</w:t>
      </w:r>
      <w:r>
        <w:fldChar w:fldCharType="end"/>
      </w:r>
      <w:r>
        <w:fldChar w:fldCharType="end"/>
      </w:r>
    </w:p>
    <w:p>
      <w:pPr>
        <w:pStyle w:val="30"/>
        <w:tabs>
          <w:tab w:val="right" w:leader="dot" w:pos="8823"/>
        </w:tabs>
      </w:pPr>
      <w:r>
        <w:fldChar w:fldCharType="begin"/>
      </w:r>
      <w:r>
        <w:instrText xml:space="preserve"> HYPERLINK \l "_Toc16405" </w:instrText>
      </w:r>
      <w:r>
        <w:fldChar w:fldCharType="separate"/>
      </w:r>
      <w:r>
        <w:rPr>
          <w:rFonts w:hint="eastAsia" w:asciiTheme="majorEastAsia" w:hAnsiTheme="majorEastAsia" w:eastAsiaTheme="majorEastAsia" w:cstheme="majorEastAsia"/>
        </w:rPr>
        <w:t>10．证明投标人合格资格的文件</w:t>
      </w:r>
      <w:r>
        <w:tab/>
      </w:r>
      <w:r>
        <w:fldChar w:fldCharType="begin"/>
      </w:r>
      <w:r>
        <w:instrText xml:space="preserve"> PAGEREF _Toc16405 \h </w:instrText>
      </w:r>
      <w:r>
        <w:fldChar w:fldCharType="separate"/>
      </w:r>
      <w:r>
        <w:t>12</w:t>
      </w:r>
      <w:r>
        <w:fldChar w:fldCharType="end"/>
      </w:r>
      <w:r>
        <w:fldChar w:fldCharType="end"/>
      </w:r>
    </w:p>
    <w:p>
      <w:pPr>
        <w:pStyle w:val="30"/>
        <w:tabs>
          <w:tab w:val="right" w:leader="dot" w:pos="8823"/>
        </w:tabs>
      </w:pPr>
      <w:r>
        <w:fldChar w:fldCharType="begin"/>
      </w:r>
      <w:r>
        <w:instrText xml:space="preserve"> HYPERLINK \l "_Toc14615" </w:instrText>
      </w:r>
      <w:r>
        <w:fldChar w:fldCharType="separate"/>
      </w:r>
      <w:r>
        <w:rPr>
          <w:rFonts w:hint="eastAsia" w:asciiTheme="majorEastAsia" w:hAnsiTheme="majorEastAsia" w:eastAsiaTheme="majorEastAsia" w:cstheme="majorEastAsia"/>
        </w:rPr>
        <w:t>11、证明货物的合格性和符合招标文件规定的文件</w:t>
      </w:r>
      <w:r>
        <w:tab/>
      </w:r>
      <w:r>
        <w:fldChar w:fldCharType="begin"/>
      </w:r>
      <w:r>
        <w:instrText xml:space="preserve"> PAGEREF _Toc14615 \h </w:instrText>
      </w:r>
      <w:r>
        <w:fldChar w:fldCharType="separate"/>
      </w:r>
      <w:r>
        <w:t>12</w:t>
      </w:r>
      <w:r>
        <w:fldChar w:fldCharType="end"/>
      </w:r>
      <w:r>
        <w:fldChar w:fldCharType="end"/>
      </w:r>
    </w:p>
    <w:p>
      <w:pPr>
        <w:pStyle w:val="30"/>
        <w:tabs>
          <w:tab w:val="right" w:leader="dot" w:pos="8823"/>
        </w:tabs>
      </w:pPr>
      <w:r>
        <w:fldChar w:fldCharType="begin"/>
      </w:r>
      <w:r>
        <w:instrText xml:space="preserve"> HYPERLINK \l "_Toc18387" </w:instrText>
      </w:r>
      <w:r>
        <w:fldChar w:fldCharType="separate"/>
      </w:r>
      <w:r>
        <w:rPr>
          <w:rFonts w:hint="eastAsia" w:asciiTheme="majorEastAsia" w:hAnsiTheme="majorEastAsia" w:eastAsiaTheme="majorEastAsia" w:cstheme="majorEastAsia"/>
        </w:rPr>
        <w:t>12．投标保证金</w:t>
      </w:r>
      <w:r>
        <w:tab/>
      </w:r>
      <w:r>
        <w:fldChar w:fldCharType="begin"/>
      </w:r>
      <w:r>
        <w:instrText xml:space="preserve"> PAGEREF _Toc18387 \h </w:instrText>
      </w:r>
      <w:r>
        <w:fldChar w:fldCharType="separate"/>
      </w:r>
      <w:r>
        <w:t>13</w:t>
      </w:r>
      <w:r>
        <w:fldChar w:fldCharType="end"/>
      </w:r>
      <w:r>
        <w:fldChar w:fldCharType="end"/>
      </w:r>
    </w:p>
    <w:p>
      <w:pPr>
        <w:pStyle w:val="30"/>
        <w:tabs>
          <w:tab w:val="right" w:leader="dot" w:pos="8823"/>
        </w:tabs>
      </w:pPr>
      <w:r>
        <w:fldChar w:fldCharType="begin"/>
      </w:r>
      <w:r>
        <w:instrText xml:space="preserve"> HYPERLINK \l "_Toc22600" </w:instrText>
      </w:r>
      <w:r>
        <w:fldChar w:fldCharType="separate"/>
      </w:r>
      <w:r>
        <w:rPr>
          <w:rFonts w:hint="eastAsia" w:asciiTheme="majorEastAsia" w:hAnsiTheme="majorEastAsia" w:eastAsiaTheme="majorEastAsia" w:cstheme="majorEastAsia"/>
        </w:rPr>
        <w:t>13．投标有效期</w:t>
      </w:r>
      <w:r>
        <w:tab/>
      </w:r>
      <w:r>
        <w:fldChar w:fldCharType="begin"/>
      </w:r>
      <w:r>
        <w:instrText xml:space="preserve"> PAGEREF _Toc22600 \h </w:instrText>
      </w:r>
      <w:r>
        <w:fldChar w:fldCharType="separate"/>
      </w:r>
      <w:r>
        <w:t>13</w:t>
      </w:r>
      <w:r>
        <w:fldChar w:fldCharType="end"/>
      </w:r>
      <w:r>
        <w:fldChar w:fldCharType="end"/>
      </w:r>
    </w:p>
    <w:p>
      <w:pPr>
        <w:pStyle w:val="30"/>
        <w:tabs>
          <w:tab w:val="right" w:leader="dot" w:pos="8823"/>
        </w:tabs>
      </w:pPr>
      <w:r>
        <w:fldChar w:fldCharType="begin"/>
      </w:r>
      <w:r>
        <w:instrText xml:space="preserve"> HYPERLINK \l "_Toc13082" </w:instrText>
      </w:r>
      <w:r>
        <w:fldChar w:fldCharType="separate"/>
      </w:r>
      <w:r>
        <w:rPr>
          <w:rFonts w:hint="eastAsia" w:asciiTheme="majorEastAsia" w:hAnsiTheme="majorEastAsia" w:eastAsiaTheme="majorEastAsia" w:cstheme="majorEastAsia"/>
        </w:rPr>
        <w:t>14．投标文件的签署</w:t>
      </w:r>
      <w:r>
        <w:tab/>
      </w:r>
      <w:r>
        <w:fldChar w:fldCharType="begin"/>
      </w:r>
      <w:r>
        <w:instrText xml:space="preserve"> PAGEREF _Toc13082 \h </w:instrText>
      </w:r>
      <w:r>
        <w:fldChar w:fldCharType="separate"/>
      </w:r>
      <w:r>
        <w:t>13</w:t>
      </w:r>
      <w:r>
        <w:fldChar w:fldCharType="end"/>
      </w:r>
      <w:r>
        <w:fldChar w:fldCharType="end"/>
      </w:r>
    </w:p>
    <w:p>
      <w:pPr>
        <w:pStyle w:val="20"/>
        <w:tabs>
          <w:tab w:val="right" w:leader="dot" w:pos="8823"/>
          <w:tab w:val="clear" w:pos="8820"/>
        </w:tabs>
      </w:pPr>
      <w:r>
        <w:fldChar w:fldCharType="begin"/>
      </w:r>
      <w:r>
        <w:instrText xml:space="preserve"> HYPERLINK \l "_Toc30598" </w:instrText>
      </w:r>
      <w:r>
        <w:fldChar w:fldCharType="separate"/>
      </w:r>
      <w:r>
        <w:rPr>
          <w:rFonts w:hint="eastAsia" w:asciiTheme="majorEastAsia" w:hAnsiTheme="majorEastAsia" w:eastAsiaTheme="majorEastAsia" w:cstheme="majorEastAsia"/>
          <w:szCs w:val="36"/>
        </w:rPr>
        <w:t>四、 投标文件的递交</w:t>
      </w:r>
      <w:r>
        <w:tab/>
      </w:r>
      <w:r>
        <w:fldChar w:fldCharType="begin"/>
      </w:r>
      <w:r>
        <w:instrText xml:space="preserve"> PAGEREF _Toc30598 \h </w:instrText>
      </w:r>
      <w:r>
        <w:fldChar w:fldCharType="separate"/>
      </w:r>
      <w:r>
        <w:t>14</w:t>
      </w:r>
      <w:r>
        <w:fldChar w:fldCharType="end"/>
      </w:r>
      <w:r>
        <w:fldChar w:fldCharType="end"/>
      </w:r>
    </w:p>
    <w:p>
      <w:pPr>
        <w:pStyle w:val="30"/>
        <w:tabs>
          <w:tab w:val="right" w:leader="dot" w:pos="8823"/>
        </w:tabs>
      </w:pPr>
      <w:r>
        <w:fldChar w:fldCharType="begin"/>
      </w:r>
      <w:r>
        <w:instrText xml:space="preserve"> HYPERLINK \l "_Toc32589" </w:instrText>
      </w:r>
      <w:r>
        <w:fldChar w:fldCharType="separate"/>
      </w:r>
      <w:r>
        <w:rPr>
          <w:rFonts w:hint="eastAsia" w:asciiTheme="majorEastAsia" w:hAnsiTheme="majorEastAsia" w:eastAsiaTheme="majorEastAsia" w:cstheme="majorEastAsia"/>
        </w:rPr>
        <w:t>15．投标文件的递交</w:t>
      </w:r>
      <w:r>
        <w:tab/>
      </w:r>
      <w:r>
        <w:fldChar w:fldCharType="begin"/>
      </w:r>
      <w:r>
        <w:instrText xml:space="preserve"> PAGEREF _Toc32589 \h </w:instrText>
      </w:r>
      <w:r>
        <w:fldChar w:fldCharType="separate"/>
      </w:r>
      <w:r>
        <w:t>14</w:t>
      </w:r>
      <w:r>
        <w:fldChar w:fldCharType="end"/>
      </w:r>
      <w:r>
        <w:fldChar w:fldCharType="end"/>
      </w:r>
    </w:p>
    <w:p>
      <w:pPr>
        <w:pStyle w:val="30"/>
        <w:tabs>
          <w:tab w:val="right" w:leader="dot" w:pos="8823"/>
        </w:tabs>
      </w:pPr>
      <w:r>
        <w:fldChar w:fldCharType="begin"/>
      </w:r>
      <w:r>
        <w:instrText xml:space="preserve"> HYPERLINK \l "_Toc11715" </w:instrText>
      </w:r>
      <w:r>
        <w:fldChar w:fldCharType="separate"/>
      </w:r>
      <w:r>
        <w:rPr>
          <w:rFonts w:hint="eastAsia" w:asciiTheme="majorEastAsia" w:hAnsiTheme="majorEastAsia" w:eastAsiaTheme="majorEastAsia" w:cstheme="majorEastAsia"/>
        </w:rPr>
        <w:t>16．投标截止时间</w:t>
      </w:r>
      <w:r>
        <w:tab/>
      </w:r>
      <w:r>
        <w:fldChar w:fldCharType="begin"/>
      </w:r>
      <w:r>
        <w:instrText xml:space="preserve"> PAGEREF _Toc11715 \h </w:instrText>
      </w:r>
      <w:r>
        <w:fldChar w:fldCharType="separate"/>
      </w:r>
      <w:r>
        <w:t>14</w:t>
      </w:r>
      <w:r>
        <w:fldChar w:fldCharType="end"/>
      </w:r>
      <w:r>
        <w:fldChar w:fldCharType="end"/>
      </w:r>
    </w:p>
    <w:p>
      <w:pPr>
        <w:pStyle w:val="30"/>
        <w:tabs>
          <w:tab w:val="right" w:leader="dot" w:pos="8823"/>
        </w:tabs>
      </w:pPr>
      <w:r>
        <w:fldChar w:fldCharType="begin"/>
      </w:r>
      <w:r>
        <w:instrText xml:space="preserve"> HYPERLINK \l "_Toc16946" </w:instrText>
      </w:r>
      <w:r>
        <w:fldChar w:fldCharType="separate"/>
      </w:r>
      <w:r>
        <w:rPr>
          <w:rFonts w:hint="eastAsia" w:asciiTheme="majorEastAsia" w:hAnsiTheme="majorEastAsia" w:eastAsiaTheme="majorEastAsia" w:cstheme="majorEastAsia"/>
        </w:rPr>
        <w:t>17．投标文件的修改和撤回</w:t>
      </w:r>
      <w:r>
        <w:tab/>
      </w:r>
      <w:r>
        <w:fldChar w:fldCharType="begin"/>
      </w:r>
      <w:r>
        <w:instrText xml:space="preserve"> PAGEREF _Toc16946 \h </w:instrText>
      </w:r>
      <w:r>
        <w:fldChar w:fldCharType="separate"/>
      </w:r>
      <w:r>
        <w:t>14</w:t>
      </w:r>
      <w:r>
        <w:fldChar w:fldCharType="end"/>
      </w:r>
      <w:r>
        <w:fldChar w:fldCharType="end"/>
      </w:r>
    </w:p>
    <w:p>
      <w:pPr>
        <w:pStyle w:val="20"/>
        <w:tabs>
          <w:tab w:val="right" w:leader="dot" w:pos="8823"/>
          <w:tab w:val="clear" w:pos="8820"/>
        </w:tabs>
      </w:pPr>
      <w:r>
        <w:fldChar w:fldCharType="begin"/>
      </w:r>
      <w:r>
        <w:instrText xml:space="preserve"> HYPERLINK \l "_Toc4579" </w:instrText>
      </w:r>
      <w:r>
        <w:fldChar w:fldCharType="separate"/>
      </w:r>
      <w:r>
        <w:rPr>
          <w:rFonts w:hint="eastAsia" w:asciiTheme="majorEastAsia" w:hAnsiTheme="majorEastAsia" w:eastAsiaTheme="majorEastAsia" w:cstheme="majorEastAsia"/>
          <w:szCs w:val="36"/>
        </w:rPr>
        <w:t>五、 开标</w:t>
      </w:r>
      <w:r>
        <w:tab/>
      </w:r>
      <w:r>
        <w:fldChar w:fldCharType="begin"/>
      </w:r>
      <w:r>
        <w:instrText xml:space="preserve"> PAGEREF _Toc4579 \h </w:instrText>
      </w:r>
      <w:r>
        <w:fldChar w:fldCharType="separate"/>
      </w:r>
      <w:r>
        <w:t>14</w:t>
      </w:r>
      <w:r>
        <w:fldChar w:fldCharType="end"/>
      </w:r>
      <w:r>
        <w:fldChar w:fldCharType="end"/>
      </w:r>
    </w:p>
    <w:p>
      <w:pPr>
        <w:pStyle w:val="30"/>
        <w:tabs>
          <w:tab w:val="right" w:leader="dot" w:pos="8823"/>
        </w:tabs>
      </w:pPr>
      <w:r>
        <w:fldChar w:fldCharType="begin"/>
      </w:r>
      <w:r>
        <w:instrText xml:space="preserve"> HYPERLINK \l "_Toc30340" </w:instrText>
      </w:r>
      <w:r>
        <w:fldChar w:fldCharType="separate"/>
      </w:r>
      <w:r>
        <w:rPr>
          <w:rFonts w:hint="eastAsia" w:asciiTheme="majorEastAsia" w:hAnsiTheme="majorEastAsia" w:eastAsiaTheme="majorEastAsia" w:cstheme="majorEastAsia"/>
        </w:rPr>
        <w:t>18．开标</w:t>
      </w:r>
      <w:r>
        <w:tab/>
      </w:r>
      <w:r>
        <w:fldChar w:fldCharType="begin"/>
      </w:r>
      <w:r>
        <w:instrText xml:space="preserve"> PAGEREF _Toc30340 \h </w:instrText>
      </w:r>
      <w:r>
        <w:fldChar w:fldCharType="separate"/>
      </w:r>
      <w:r>
        <w:t>14</w:t>
      </w:r>
      <w:r>
        <w:fldChar w:fldCharType="end"/>
      </w:r>
      <w:r>
        <w:fldChar w:fldCharType="end"/>
      </w:r>
    </w:p>
    <w:p>
      <w:pPr>
        <w:pStyle w:val="20"/>
        <w:tabs>
          <w:tab w:val="right" w:leader="dot" w:pos="8823"/>
          <w:tab w:val="clear" w:pos="8820"/>
        </w:tabs>
      </w:pPr>
      <w:r>
        <w:fldChar w:fldCharType="begin"/>
      </w:r>
      <w:r>
        <w:instrText xml:space="preserve"> HYPERLINK \l "_Toc7541" </w:instrText>
      </w:r>
      <w:r>
        <w:fldChar w:fldCharType="separate"/>
      </w:r>
      <w:r>
        <w:rPr>
          <w:rFonts w:hint="eastAsia" w:asciiTheme="majorEastAsia" w:hAnsiTheme="majorEastAsia" w:eastAsiaTheme="majorEastAsia" w:cstheme="majorEastAsia"/>
          <w:szCs w:val="36"/>
        </w:rPr>
        <w:t>六、 评标原则、评标程序及评标方法</w:t>
      </w:r>
      <w:r>
        <w:tab/>
      </w:r>
      <w:r>
        <w:fldChar w:fldCharType="begin"/>
      </w:r>
      <w:r>
        <w:instrText xml:space="preserve"> PAGEREF _Toc7541 \h </w:instrText>
      </w:r>
      <w:r>
        <w:fldChar w:fldCharType="separate"/>
      </w:r>
      <w:r>
        <w:t>15</w:t>
      </w:r>
      <w:r>
        <w:fldChar w:fldCharType="end"/>
      </w:r>
      <w:r>
        <w:fldChar w:fldCharType="end"/>
      </w:r>
    </w:p>
    <w:p>
      <w:pPr>
        <w:pStyle w:val="30"/>
        <w:tabs>
          <w:tab w:val="right" w:leader="dot" w:pos="8823"/>
        </w:tabs>
      </w:pPr>
      <w:r>
        <w:fldChar w:fldCharType="begin"/>
      </w:r>
      <w:r>
        <w:instrText xml:space="preserve"> HYPERLINK \l "_Toc31312" </w:instrText>
      </w:r>
      <w:r>
        <w:fldChar w:fldCharType="separate"/>
      </w:r>
      <w:r>
        <w:rPr>
          <w:rFonts w:hint="eastAsia" w:asciiTheme="majorEastAsia" w:hAnsiTheme="majorEastAsia" w:eastAsiaTheme="majorEastAsia" w:cstheme="majorEastAsia"/>
        </w:rPr>
        <w:t>19．评标原则</w:t>
      </w:r>
      <w:r>
        <w:tab/>
      </w:r>
      <w:r>
        <w:fldChar w:fldCharType="begin"/>
      </w:r>
      <w:r>
        <w:instrText xml:space="preserve"> PAGEREF _Toc31312 \h </w:instrText>
      </w:r>
      <w:r>
        <w:fldChar w:fldCharType="separate"/>
      </w:r>
      <w:r>
        <w:t>15</w:t>
      </w:r>
      <w:r>
        <w:fldChar w:fldCharType="end"/>
      </w:r>
      <w:r>
        <w:fldChar w:fldCharType="end"/>
      </w:r>
    </w:p>
    <w:p>
      <w:pPr>
        <w:pStyle w:val="30"/>
        <w:tabs>
          <w:tab w:val="right" w:leader="dot" w:pos="8823"/>
        </w:tabs>
      </w:pPr>
      <w:r>
        <w:fldChar w:fldCharType="begin"/>
      </w:r>
      <w:r>
        <w:instrText xml:space="preserve"> HYPERLINK \l "_Toc15913" </w:instrText>
      </w:r>
      <w:r>
        <w:fldChar w:fldCharType="separate"/>
      </w:r>
      <w:r>
        <w:rPr>
          <w:rFonts w:hint="eastAsia" w:asciiTheme="majorEastAsia" w:hAnsiTheme="majorEastAsia" w:eastAsiaTheme="majorEastAsia" w:cstheme="majorEastAsia"/>
        </w:rPr>
        <w:t>20．评标程序</w:t>
      </w:r>
      <w:r>
        <w:tab/>
      </w:r>
      <w:r>
        <w:fldChar w:fldCharType="begin"/>
      </w:r>
      <w:r>
        <w:instrText xml:space="preserve"> PAGEREF _Toc15913 \h </w:instrText>
      </w:r>
      <w:r>
        <w:fldChar w:fldCharType="separate"/>
      </w:r>
      <w:r>
        <w:t>15</w:t>
      </w:r>
      <w:r>
        <w:fldChar w:fldCharType="end"/>
      </w:r>
      <w:r>
        <w:fldChar w:fldCharType="end"/>
      </w:r>
    </w:p>
    <w:p>
      <w:pPr>
        <w:pStyle w:val="30"/>
        <w:tabs>
          <w:tab w:val="right" w:leader="dot" w:pos="8823"/>
        </w:tabs>
      </w:pPr>
      <w:r>
        <w:fldChar w:fldCharType="begin"/>
      </w:r>
      <w:r>
        <w:instrText xml:space="preserve"> HYPERLINK \l "_Toc13586" </w:instrText>
      </w:r>
      <w:r>
        <w:fldChar w:fldCharType="separate"/>
      </w:r>
      <w:r>
        <w:rPr>
          <w:rFonts w:hint="eastAsia" w:asciiTheme="majorEastAsia" w:hAnsiTheme="majorEastAsia" w:eastAsiaTheme="majorEastAsia" w:cstheme="majorEastAsia"/>
        </w:rPr>
        <w:t>21．评标方法</w:t>
      </w:r>
      <w:r>
        <w:tab/>
      </w:r>
      <w:r>
        <w:fldChar w:fldCharType="begin"/>
      </w:r>
      <w:r>
        <w:instrText xml:space="preserve"> PAGEREF _Toc13586 \h </w:instrText>
      </w:r>
      <w:r>
        <w:fldChar w:fldCharType="separate"/>
      </w:r>
      <w:r>
        <w:t>17</w:t>
      </w:r>
      <w:r>
        <w:fldChar w:fldCharType="end"/>
      </w:r>
      <w:r>
        <w:fldChar w:fldCharType="end"/>
      </w:r>
    </w:p>
    <w:p>
      <w:pPr>
        <w:pStyle w:val="20"/>
        <w:tabs>
          <w:tab w:val="right" w:leader="dot" w:pos="8823"/>
          <w:tab w:val="clear" w:pos="8820"/>
        </w:tabs>
      </w:pPr>
      <w:r>
        <w:fldChar w:fldCharType="begin"/>
      </w:r>
      <w:r>
        <w:instrText xml:space="preserve"> HYPERLINK \l "_Toc21478" </w:instrText>
      </w:r>
      <w:r>
        <w:fldChar w:fldCharType="separate"/>
      </w:r>
      <w:r>
        <w:rPr>
          <w:rFonts w:hint="eastAsia" w:asciiTheme="majorEastAsia" w:hAnsiTheme="majorEastAsia" w:eastAsiaTheme="majorEastAsia" w:cstheme="majorEastAsia"/>
          <w:szCs w:val="36"/>
        </w:rPr>
        <w:t>七、 授予合同</w:t>
      </w:r>
      <w:r>
        <w:tab/>
      </w:r>
      <w:r>
        <w:fldChar w:fldCharType="begin"/>
      </w:r>
      <w:r>
        <w:instrText xml:space="preserve"> PAGEREF _Toc21478 \h </w:instrText>
      </w:r>
      <w:r>
        <w:fldChar w:fldCharType="separate"/>
      </w:r>
      <w:r>
        <w:t>20</w:t>
      </w:r>
      <w:r>
        <w:fldChar w:fldCharType="end"/>
      </w:r>
      <w:r>
        <w:fldChar w:fldCharType="end"/>
      </w:r>
    </w:p>
    <w:p>
      <w:pPr>
        <w:pStyle w:val="30"/>
        <w:tabs>
          <w:tab w:val="right" w:leader="dot" w:pos="8823"/>
        </w:tabs>
      </w:pPr>
      <w:r>
        <w:fldChar w:fldCharType="begin"/>
      </w:r>
      <w:r>
        <w:instrText xml:space="preserve"> HYPERLINK \l "_Toc19439" </w:instrText>
      </w:r>
      <w:r>
        <w:fldChar w:fldCharType="separate"/>
      </w:r>
      <w:r>
        <w:rPr>
          <w:rFonts w:hint="eastAsia" w:asciiTheme="majorEastAsia" w:hAnsiTheme="majorEastAsia" w:eastAsiaTheme="majorEastAsia" w:cstheme="majorEastAsia"/>
        </w:rPr>
        <w:t>22．确定中标供应商</w:t>
      </w:r>
      <w:r>
        <w:tab/>
      </w:r>
      <w:r>
        <w:fldChar w:fldCharType="begin"/>
      </w:r>
      <w:r>
        <w:instrText xml:space="preserve"> PAGEREF _Toc19439 \h </w:instrText>
      </w:r>
      <w:r>
        <w:fldChar w:fldCharType="separate"/>
      </w:r>
      <w:r>
        <w:t>20</w:t>
      </w:r>
      <w:r>
        <w:fldChar w:fldCharType="end"/>
      </w:r>
      <w:r>
        <w:fldChar w:fldCharType="end"/>
      </w:r>
    </w:p>
    <w:p>
      <w:pPr>
        <w:pStyle w:val="30"/>
        <w:tabs>
          <w:tab w:val="right" w:leader="dot" w:pos="8823"/>
        </w:tabs>
      </w:pPr>
      <w:r>
        <w:fldChar w:fldCharType="begin"/>
      </w:r>
      <w:r>
        <w:instrText xml:space="preserve"> HYPERLINK \l "_Toc2227" </w:instrText>
      </w:r>
      <w:r>
        <w:fldChar w:fldCharType="separate"/>
      </w:r>
      <w:r>
        <w:rPr>
          <w:rFonts w:hint="eastAsia" w:asciiTheme="majorEastAsia" w:hAnsiTheme="majorEastAsia" w:eastAsiaTheme="majorEastAsia" w:cstheme="majorEastAsia"/>
        </w:rPr>
        <w:t>23．中标结果公告</w:t>
      </w:r>
      <w:r>
        <w:tab/>
      </w:r>
      <w:r>
        <w:fldChar w:fldCharType="begin"/>
      </w:r>
      <w:r>
        <w:instrText xml:space="preserve"> PAGEREF _Toc2227 \h </w:instrText>
      </w:r>
      <w:r>
        <w:fldChar w:fldCharType="separate"/>
      </w:r>
      <w:r>
        <w:t>20</w:t>
      </w:r>
      <w:r>
        <w:fldChar w:fldCharType="end"/>
      </w:r>
      <w:r>
        <w:fldChar w:fldCharType="end"/>
      </w:r>
    </w:p>
    <w:p>
      <w:pPr>
        <w:pStyle w:val="30"/>
        <w:tabs>
          <w:tab w:val="right" w:leader="dot" w:pos="8823"/>
        </w:tabs>
      </w:pPr>
      <w:r>
        <w:fldChar w:fldCharType="begin"/>
      </w:r>
      <w:r>
        <w:instrText xml:space="preserve"> HYPERLINK \l "_Toc15485" </w:instrText>
      </w:r>
      <w:r>
        <w:fldChar w:fldCharType="separate"/>
      </w:r>
      <w:r>
        <w:rPr>
          <w:rFonts w:hint="eastAsia" w:asciiTheme="majorEastAsia" w:hAnsiTheme="majorEastAsia" w:eastAsiaTheme="majorEastAsia" w:cstheme="majorEastAsia"/>
        </w:rPr>
        <w:t>25．签订合同</w:t>
      </w:r>
      <w:r>
        <w:tab/>
      </w:r>
      <w:r>
        <w:fldChar w:fldCharType="begin"/>
      </w:r>
      <w:r>
        <w:instrText xml:space="preserve"> PAGEREF _Toc15485 \h </w:instrText>
      </w:r>
      <w:r>
        <w:fldChar w:fldCharType="separate"/>
      </w:r>
      <w:r>
        <w:t>20</w:t>
      </w:r>
      <w:r>
        <w:fldChar w:fldCharType="end"/>
      </w:r>
      <w:r>
        <w:fldChar w:fldCharType="end"/>
      </w:r>
    </w:p>
    <w:p>
      <w:pPr>
        <w:pStyle w:val="20"/>
        <w:tabs>
          <w:tab w:val="right" w:leader="dot" w:pos="8823"/>
          <w:tab w:val="clear" w:pos="8820"/>
        </w:tabs>
      </w:pPr>
      <w:r>
        <w:fldChar w:fldCharType="begin"/>
      </w:r>
      <w:r>
        <w:instrText xml:space="preserve"> HYPERLINK \l "_Toc6353" </w:instrText>
      </w:r>
      <w:r>
        <w:fldChar w:fldCharType="separate"/>
      </w:r>
      <w:r>
        <w:rPr>
          <w:rFonts w:hint="eastAsia" w:asciiTheme="majorEastAsia" w:hAnsiTheme="majorEastAsia" w:eastAsiaTheme="majorEastAsia" w:cstheme="majorEastAsia"/>
          <w:szCs w:val="36"/>
        </w:rPr>
        <w:t>八、 询问、质疑</w:t>
      </w:r>
      <w:r>
        <w:rPr>
          <w:szCs w:val="36"/>
        </w:rPr>
        <w:t>和投诉</w:t>
      </w:r>
      <w:r>
        <w:tab/>
      </w:r>
      <w:r>
        <w:fldChar w:fldCharType="begin"/>
      </w:r>
      <w:r>
        <w:instrText xml:space="preserve"> PAGEREF _Toc6353 \h </w:instrText>
      </w:r>
      <w:r>
        <w:fldChar w:fldCharType="separate"/>
      </w:r>
      <w:r>
        <w:t>21</w:t>
      </w:r>
      <w:r>
        <w:fldChar w:fldCharType="end"/>
      </w:r>
      <w:r>
        <w:fldChar w:fldCharType="end"/>
      </w:r>
    </w:p>
    <w:p>
      <w:pPr>
        <w:pStyle w:val="20"/>
        <w:tabs>
          <w:tab w:val="right" w:leader="dot" w:pos="8823"/>
          <w:tab w:val="clear" w:pos="8820"/>
        </w:tabs>
      </w:pPr>
      <w:r>
        <w:fldChar w:fldCharType="begin"/>
      </w:r>
      <w:r>
        <w:instrText xml:space="preserve"> HYPERLINK \l "_Toc15086" </w:instrText>
      </w:r>
      <w:r>
        <w:fldChar w:fldCharType="separate"/>
      </w:r>
      <w:r>
        <w:rPr>
          <w:rFonts w:hint="eastAsia" w:asciiTheme="majorEastAsia" w:hAnsiTheme="majorEastAsia" w:eastAsiaTheme="majorEastAsia" w:cstheme="majorEastAsia"/>
          <w:szCs w:val="36"/>
        </w:rPr>
        <w:t>九、 其他事项</w:t>
      </w:r>
      <w:r>
        <w:tab/>
      </w:r>
      <w:r>
        <w:fldChar w:fldCharType="begin"/>
      </w:r>
      <w:r>
        <w:instrText xml:space="preserve"> PAGEREF _Toc15086 \h </w:instrText>
      </w:r>
      <w:r>
        <w:fldChar w:fldCharType="separate"/>
      </w:r>
      <w:r>
        <w:t>22</w:t>
      </w:r>
      <w:r>
        <w:fldChar w:fldCharType="end"/>
      </w:r>
      <w:r>
        <w:fldChar w:fldCharType="end"/>
      </w:r>
    </w:p>
    <w:p>
      <w:pPr>
        <w:pStyle w:val="30"/>
        <w:tabs>
          <w:tab w:val="right" w:leader="dot" w:pos="8823"/>
        </w:tabs>
      </w:pPr>
      <w:r>
        <w:fldChar w:fldCharType="begin"/>
      </w:r>
      <w:r>
        <w:instrText xml:space="preserve"> HYPERLINK \l "_Toc5303" </w:instrText>
      </w:r>
      <w:r>
        <w:fldChar w:fldCharType="separate"/>
      </w:r>
      <w:r>
        <w:rPr>
          <w:rFonts w:hint="eastAsia" w:asciiTheme="majorEastAsia" w:hAnsiTheme="majorEastAsia" w:eastAsiaTheme="majorEastAsia" w:cstheme="majorEastAsia"/>
        </w:rPr>
        <w:t>29.解释权</w:t>
      </w:r>
      <w:r>
        <w:tab/>
      </w:r>
      <w:r>
        <w:fldChar w:fldCharType="begin"/>
      </w:r>
      <w:r>
        <w:instrText xml:space="preserve"> PAGEREF _Toc5303 \h </w:instrText>
      </w:r>
      <w:r>
        <w:fldChar w:fldCharType="separate"/>
      </w:r>
      <w:r>
        <w:t>22</w:t>
      </w:r>
      <w:r>
        <w:fldChar w:fldCharType="end"/>
      </w:r>
      <w:r>
        <w:fldChar w:fldCharType="end"/>
      </w:r>
    </w:p>
    <w:p>
      <w:pPr>
        <w:pStyle w:val="30"/>
        <w:tabs>
          <w:tab w:val="right" w:leader="dot" w:pos="8823"/>
        </w:tabs>
      </w:pPr>
      <w:r>
        <w:fldChar w:fldCharType="begin"/>
      </w:r>
      <w:r>
        <w:instrText xml:space="preserve"> HYPERLINK \l "_Toc22189" </w:instrText>
      </w:r>
      <w:r>
        <w:fldChar w:fldCharType="separate"/>
      </w:r>
      <w:r>
        <w:rPr>
          <w:rFonts w:hint="eastAsia"/>
          <w:szCs w:val="24"/>
        </w:rPr>
        <w:t>30.未尽事宜</w:t>
      </w:r>
      <w:r>
        <w:tab/>
      </w:r>
      <w:r>
        <w:fldChar w:fldCharType="begin"/>
      </w:r>
      <w:r>
        <w:instrText xml:space="preserve"> PAGEREF _Toc22189 \h </w:instrText>
      </w:r>
      <w:r>
        <w:fldChar w:fldCharType="separate"/>
      </w:r>
      <w:r>
        <w:t>22</w:t>
      </w:r>
      <w:r>
        <w:fldChar w:fldCharType="end"/>
      </w:r>
      <w:r>
        <w:fldChar w:fldCharType="end"/>
      </w:r>
    </w:p>
    <w:p>
      <w:pPr>
        <w:pStyle w:val="29"/>
        <w:tabs>
          <w:tab w:val="right" w:leader="dot" w:pos="8823"/>
        </w:tabs>
      </w:pPr>
      <w:r>
        <w:fldChar w:fldCharType="begin"/>
      </w:r>
      <w:r>
        <w:instrText xml:space="preserve"> HYPERLINK \l "_Toc13258" </w:instrText>
      </w:r>
      <w:r>
        <w:fldChar w:fldCharType="separate"/>
      </w:r>
      <w:r>
        <w:rPr>
          <w:rFonts w:hint="eastAsia" w:asciiTheme="majorEastAsia" w:hAnsiTheme="majorEastAsia" w:eastAsiaTheme="majorEastAsia" w:cstheme="majorEastAsia"/>
        </w:rPr>
        <w:t>第四章 货物需求一览表</w:t>
      </w:r>
      <w:r>
        <w:tab/>
      </w:r>
      <w:r>
        <w:fldChar w:fldCharType="begin"/>
      </w:r>
      <w:r>
        <w:instrText xml:space="preserve"> PAGEREF _Toc13258 \h </w:instrText>
      </w:r>
      <w:r>
        <w:fldChar w:fldCharType="separate"/>
      </w:r>
      <w:r>
        <w:t>23</w:t>
      </w:r>
      <w:r>
        <w:fldChar w:fldCharType="end"/>
      </w:r>
      <w:r>
        <w:fldChar w:fldCharType="end"/>
      </w:r>
    </w:p>
    <w:p>
      <w:pPr>
        <w:pStyle w:val="20"/>
        <w:tabs>
          <w:tab w:val="right" w:leader="dot" w:pos="8823"/>
          <w:tab w:val="clear" w:pos="8820"/>
        </w:tabs>
      </w:pPr>
      <w:r>
        <w:fldChar w:fldCharType="begin"/>
      </w:r>
      <w:r>
        <w:instrText xml:space="preserve"> HYPERLINK \l "_Toc16543" </w:instrText>
      </w:r>
      <w:r>
        <w:fldChar w:fldCharType="separate"/>
      </w:r>
      <w:r>
        <w:rPr>
          <w:rFonts w:hint="eastAsia" w:asciiTheme="minorEastAsia" w:hAnsiTheme="minorEastAsia" w:eastAsiaTheme="minorEastAsia"/>
          <w:szCs w:val="24"/>
        </w:rPr>
        <w:t>(一) 、采购需求</w:t>
      </w:r>
      <w:r>
        <w:tab/>
      </w:r>
      <w:r>
        <w:fldChar w:fldCharType="begin"/>
      </w:r>
      <w:r>
        <w:instrText xml:space="preserve"> PAGEREF _Toc16543 \h </w:instrText>
      </w:r>
      <w:r>
        <w:fldChar w:fldCharType="separate"/>
      </w:r>
      <w:r>
        <w:t>23</w:t>
      </w:r>
      <w:r>
        <w:fldChar w:fldCharType="end"/>
      </w:r>
      <w:r>
        <w:fldChar w:fldCharType="end"/>
      </w:r>
    </w:p>
    <w:p>
      <w:pPr>
        <w:pStyle w:val="20"/>
        <w:tabs>
          <w:tab w:val="right" w:leader="dot" w:pos="8823"/>
          <w:tab w:val="clear" w:pos="8820"/>
        </w:tabs>
        <w:rPr>
          <w:rFonts w:eastAsiaTheme="majorEastAsia"/>
        </w:rPr>
      </w:pPr>
      <w:r>
        <w:fldChar w:fldCharType="begin"/>
      </w:r>
      <w:r>
        <w:instrText xml:space="preserve"> HYPERLINK \l "_Toc17936" </w:instrText>
      </w:r>
      <w:r>
        <w:fldChar w:fldCharType="separate"/>
      </w:r>
      <w:r>
        <w:rPr>
          <w:rFonts w:hint="eastAsia" w:asciiTheme="minorEastAsia" w:hAnsiTheme="minorEastAsia" w:eastAsiaTheme="minorEastAsia"/>
          <w:szCs w:val="24"/>
        </w:rPr>
        <w:t>（二） 、技术参数要求（技术条款）</w:t>
      </w:r>
      <w:r>
        <w:tab/>
      </w:r>
      <w:r>
        <w:rPr>
          <w:rFonts w:hint="eastAsia"/>
        </w:rPr>
        <w:t>2</w:t>
      </w:r>
      <w:r>
        <w:rPr>
          <w:rFonts w:hint="eastAsia"/>
        </w:rPr>
        <w:fldChar w:fldCharType="end"/>
      </w:r>
      <w:r>
        <w:rPr>
          <w:rFonts w:hint="eastAsia" w:asciiTheme="majorEastAsia" w:hAnsiTheme="majorEastAsia" w:eastAsiaTheme="majorEastAsia" w:cstheme="majorEastAsia"/>
          <w:bCs/>
          <w:szCs w:val="24"/>
        </w:rPr>
        <w:t>3</w:t>
      </w:r>
    </w:p>
    <w:p>
      <w:pPr>
        <w:pStyle w:val="29"/>
        <w:tabs>
          <w:tab w:val="right" w:leader="dot" w:pos="8823"/>
        </w:tabs>
      </w:pPr>
      <w:r>
        <w:fldChar w:fldCharType="begin"/>
      </w:r>
      <w:r>
        <w:instrText xml:space="preserve"> HYPERLINK \l "_Toc10404" </w:instrText>
      </w:r>
      <w:r>
        <w:fldChar w:fldCharType="separate"/>
      </w:r>
      <w:r>
        <w:rPr>
          <w:rFonts w:hint="eastAsia" w:asciiTheme="majorEastAsia" w:hAnsiTheme="majorEastAsia" w:eastAsiaTheme="majorEastAsia" w:cstheme="majorEastAsia"/>
        </w:rPr>
        <w:t>第五章 合同基本条款</w:t>
      </w:r>
      <w:r>
        <w:tab/>
      </w:r>
      <w:r>
        <w:fldChar w:fldCharType="begin"/>
      </w:r>
      <w:r>
        <w:instrText xml:space="preserve"> PAGEREF _Toc10404 \h </w:instrText>
      </w:r>
      <w:r>
        <w:fldChar w:fldCharType="separate"/>
      </w:r>
      <w:r>
        <w:t>34</w:t>
      </w:r>
      <w:r>
        <w:fldChar w:fldCharType="end"/>
      </w:r>
      <w:r>
        <w:fldChar w:fldCharType="end"/>
      </w:r>
    </w:p>
    <w:p>
      <w:pPr>
        <w:pStyle w:val="20"/>
        <w:tabs>
          <w:tab w:val="right" w:leader="dot" w:pos="8823"/>
          <w:tab w:val="clear" w:pos="8820"/>
        </w:tabs>
      </w:pPr>
      <w:r>
        <w:fldChar w:fldCharType="begin"/>
      </w:r>
      <w:r>
        <w:instrText xml:space="preserve"> HYPERLINK \l "_Toc1060" </w:instrText>
      </w:r>
      <w:r>
        <w:fldChar w:fldCharType="separate"/>
      </w:r>
      <w:r>
        <w:rPr>
          <w:rFonts w:asciiTheme="majorEastAsia" w:hAnsiTheme="majorEastAsia" w:eastAsiaTheme="majorEastAsia" w:cstheme="majorEastAsia"/>
          <w:szCs w:val="36"/>
        </w:rPr>
        <w:t xml:space="preserve">一、 </w:t>
      </w:r>
      <w:r>
        <w:rPr>
          <w:rFonts w:hint="eastAsia" w:asciiTheme="majorEastAsia" w:hAnsiTheme="majorEastAsia" w:eastAsiaTheme="majorEastAsia" w:cstheme="majorEastAsia"/>
          <w:szCs w:val="36"/>
        </w:rPr>
        <w:t>说   明</w:t>
      </w:r>
      <w:r>
        <w:tab/>
      </w:r>
      <w:r>
        <w:fldChar w:fldCharType="begin"/>
      </w:r>
      <w:r>
        <w:instrText xml:space="preserve"> PAGEREF _Toc1060 \h </w:instrText>
      </w:r>
      <w:r>
        <w:fldChar w:fldCharType="separate"/>
      </w:r>
      <w:r>
        <w:t>34</w:t>
      </w:r>
      <w:r>
        <w:fldChar w:fldCharType="end"/>
      </w:r>
      <w:r>
        <w:fldChar w:fldCharType="end"/>
      </w:r>
    </w:p>
    <w:p>
      <w:pPr>
        <w:pStyle w:val="20"/>
        <w:tabs>
          <w:tab w:val="right" w:leader="dot" w:pos="8823"/>
          <w:tab w:val="clear" w:pos="8820"/>
        </w:tabs>
      </w:pPr>
      <w:r>
        <w:fldChar w:fldCharType="begin"/>
      </w:r>
      <w:r>
        <w:instrText xml:space="preserve"> HYPERLINK \l "_Toc5147" </w:instrText>
      </w:r>
      <w:r>
        <w:fldChar w:fldCharType="separate"/>
      </w:r>
      <w:r>
        <w:rPr>
          <w:rFonts w:asciiTheme="majorEastAsia" w:hAnsiTheme="majorEastAsia" w:eastAsiaTheme="majorEastAsia" w:cstheme="majorEastAsia"/>
          <w:szCs w:val="36"/>
        </w:rPr>
        <w:t xml:space="preserve">二、 </w:t>
      </w:r>
      <w:r>
        <w:rPr>
          <w:rFonts w:hint="eastAsia" w:asciiTheme="majorEastAsia" w:hAnsiTheme="majorEastAsia" w:eastAsiaTheme="majorEastAsia" w:cstheme="majorEastAsia"/>
          <w:szCs w:val="36"/>
        </w:rPr>
        <w:t>货物条款</w:t>
      </w:r>
      <w:r>
        <w:tab/>
      </w:r>
      <w:r>
        <w:fldChar w:fldCharType="begin"/>
      </w:r>
      <w:r>
        <w:instrText xml:space="preserve"> PAGEREF _Toc5147 \h </w:instrText>
      </w:r>
      <w:r>
        <w:fldChar w:fldCharType="separate"/>
      </w:r>
      <w:r>
        <w:t>34</w:t>
      </w:r>
      <w:r>
        <w:fldChar w:fldCharType="end"/>
      </w:r>
      <w:r>
        <w:fldChar w:fldCharType="end"/>
      </w:r>
    </w:p>
    <w:p>
      <w:pPr>
        <w:pStyle w:val="20"/>
        <w:tabs>
          <w:tab w:val="right" w:leader="dot" w:pos="8823"/>
          <w:tab w:val="clear" w:pos="8820"/>
        </w:tabs>
      </w:pPr>
      <w:r>
        <w:fldChar w:fldCharType="begin"/>
      </w:r>
      <w:r>
        <w:instrText xml:space="preserve"> HYPERLINK \l "_Toc14400" </w:instrText>
      </w:r>
      <w:r>
        <w:fldChar w:fldCharType="separate"/>
      </w:r>
      <w:r>
        <w:rPr>
          <w:rFonts w:asciiTheme="majorEastAsia" w:hAnsiTheme="majorEastAsia" w:eastAsiaTheme="majorEastAsia" w:cstheme="majorEastAsia"/>
          <w:szCs w:val="36"/>
        </w:rPr>
        <w:t xml:space="preserve">三、 </w:t>
      </w:r>
      <w:r>
        <w:rPr>
          <w:rFonts w:hint="eastAsia" w:asciiTheme="majorEastAsia" w:hAnsiTheme="majorEastAsia" w:eastAsiaTheme="majorEastAsia" w:cstheme="majorEastAsia"/>
          <w:szCs w:val="36"/>
        </w:rPr>
        <w:t>技术资料</w:t>
      </w:r>
      <w:r>
        <w:tab/>
      </w:r>
      <w:r>
        <w:fldChar w:fldCharType="begin"/>
      </w:r>
      <w:r>
        <w:instrText xml:space="preserve"> PAGEREF _Toc14400 \h </w:instrText>
      </w:r>
      <w:r>
        <w:fldChar w:fldCharType="separate"/>
      </w:r>
      <w:r>
        <w:t>34</w:t>
      </w:r>
      <w:r>
        <w:fldChar w:fldCharType="end"/>
      </w:r>
      <w:r>
        <w:fldChar w:fldCharType="end"/>
      </w:r>
    </w:p>
    <w:p>
      <w:pPr>
        <w:pStyle w:val="20"/>
        <w:tabs>
          <w:tab w:val="right" w:leader="dot" w:pos="8823"/>
          <w:tab w:val="clear" w:pos="8820"/>
        </w:tabs>
      </w:pPr>
      <w:r>
        <w:fldChar w:fldCharType="begin"/>
      </w:r>
      <w:r>
        <w:instrText xml:space="preserve"> HYPERLINK \l "_Toc23913" </w:instrText>
      </w:r>
      <w:r>
        <w:fldChar w:fldCharType="separate"/>
      </w:r>
      <w:r>
        <w:rPr>
          <w:rFonts w:asciiTheme="majorEastAsia" w:hAnsiTheme="majorEastAsia" w:eastAsiaTheme="majorEastAsia" w:cstheme="majorEastAsia"/>
          <w:szCs w:val="36"/>
        </w:rPr>
        <w:t xml:space="preserve">四、 </w:t>
      </w:r>
      <w:r>
        <w:rPr>
          <w:rFonts w:hint="eastAsia" w:asciiTheme="majorEastAsia" w:hAnsiTheme="majorEastAsia" w:eastAsiaTheme="majorEastAsia" w:cstheme="majorEastAsia"/>
          <w:szCs w:val="36"/>
        </w:rPr>
        <w:t>质量保证、售后服务</w:t>
      </w:r>
      <w:r>
        <w:tab/>
      </w:r>
      <w:r>
        <w:fldChar w:fldCharType="begin"/>
      </w:r>
      <w:r>
        <w:instrText xml:space="preserve"> PAGEREF _Toc23913 \h </w:instrText>
      </w:r>
      <w:r>
        <w:fldChar w:fldCharType="separate"/>
      </w:r>
      <w:r>
        <w:t>34</w:t>
      </w:r>
      <w:r>
        <w:fldChar w:fldCharType="end"/>
      </w:r>
      <w:r>
        <w:fldChar w:fldCharType="end"/>
      </w:r>
    </w:p>
    <w:p>
      <w:pPr>
        <w:pStyle w:val="20"/>
        <w:tabs>
          <w:tab w:val="right" w:leader="dot" w:pos="8823"/>
          <w:tab w:val="clear" w:pos="8820"/>
        </w:tabs>
      </w:pPr>
      <w:r>
        <w:fldChar w:fldCharType="begin"/>
      </w:r>
      <w:r>
        <w:instrText xml:space="preserve"> HYPERLINK \l "_Toc20498" </w:instrText>
      </w:r>
      <w:r>
        <w:fldChar w:fldCharType="separate"/>
      </w:r>
      <w:r>
        <w:rPr>
          <w:rFonts w:asciiTheme="majorEastAsia" w:hAnsiTheme="majorEastAsia" w:eastAsiaTheme="majorEastAsia" w:cstheme="majorEastAsia"/>
          <w:szCs w:val="36"/>
        </w:rPr>
        <w:t xml:space="preserve">五、 </w:t>
      </w:r>
      <w:r>
        <w:rPr>
          <w:rFonts w:hint="eastAsia" w:asciiTheme="majorEastAsia" w:hAnsiTheme="majorEastAsia" w:eastAsiaTheme="majorEastAsia" w:cstheme="majorEastAsia"/>
          <w:szCs w:val="36"/>
        </w:rPr>
        <w:t>验  收</w:t>
      </w:r>
      <w:r>
        <w:tab/>
      </w:r>
      <w:r>
        <w:fldChar w:fldCharType="begin"/>
      </w:r>
      <w:r>
        <w:instrText xml:space="preserve"> PAGEREF _Toc20498 \h </w:instrText>
      </w:r>
      <w:r>
        <w:fldChar w:fldCharType="separate"/>
      </w:r>
      <w:r>
        <w:t>35</w:t>
      </w:r>
      <w:r>
        <w:fldChar w:fldCharType="end"/>
      </w:r>
      <w:r>
        <w:fldChar w:fldCharType="end"/>
      </w:r>
    </w:p>
    <w:p>
      <w:pPr>
        <w:pStyle w:val="20"/>
        <w:tabs>
          <w:tab w:val="right" w:leader="dot" w:pos="8823"/>
          <w:tab w:val="clear" w:pos="8820"/>
        </w:tabs>
      </w:pPr>
      <w:r>
        <w:fldChar w:fldCharType="begin"/>
      </w:r>
      <w:r>
        <w:instrText xml:space="preserve"> HYPERLINK \l "_Toc19672" </w:instrText>
      </w:r>
      <w:r>
        <w:fldChar w:fldCharType="separate"/>
      </w:r>
      <w:r>
        <w:rPr>
          <w:rFonts w:asciiTheme="majorEastAsia" w:hAnsiTheme="majorEastAsia" w:eastAsiaTheme="majorEastAsia" w:cstheme="majorEastAsia"/>
          <w:szCs w:val="36"/>
        </w:rPr>
        <w:t xml:space="preserve">六、 </w:t>
      </w:r>
      <w:r>
        <w:rPr>
          <w:rFonts w:hint="eastAsia" w:asciiTheme="majorEastAsia" w:hAnsiTheme="majorEastAsia" w:eastAsiaTheme="majorEastAsia" w:cstheme="majorEastAsia"/>
          <w:szCs w:val="36"/>
        </w:rPr>
        <w:t>货物包装、发运及运输</w:t>
      </w:r>
      <w:r>
        <w:tab/>
      </w:r>
      <w:r>
        <w:fldChar w:fldCharType="begin"/>
      </w:r>
      <w:r>
        <w:instrText xml:space="preserve"> PAGEREF _Toc19672 \h </w:instrText>
      </w:r>
      <w:r>
        <w:fldChar w:fldCharType="separate"/>
      </w:r>
      <w:r>
        <w:t>35</w:t>
      </w:r>
      <w:r>
        <w:fldChar w:fldCharType="end"/>
      </w:r>
      <w:r>
        <w:fldChar w:fldCharType="end"/>
      </w:r>
    </w:p>
    <w:p>
      <w:pPr>
        <w:pStyle w:val="20"/>
        <w:tabs>
          <w:tab w:val="right" w:leader="dot" w:pos="8823"/>
          <w:tab w:val="clear" w:pos="8820"/>
        </w:tabs>
      </w:pPr>
      <w:r>
        <w:fldChar w:fldCharType="begin"/>
      </w:r>
      <w:r>
        <w:instrText xml:space="preserve"> HYPERLINK \l "_Toc9909" </w:instrText>
      </w:r>
      <w:r>
        <w:fldChar w:fldCharType="separate"/>
      </w:r>
      <w:r>
        <w:rPr>
          <w:rFonts w:asciiTheme="majorEastAsia" w:hAnsiTheme="majorEastAsia" w:eastAsiaTheme="majorEastAsia" w:cstheme="majorEastAsia"/>
          <w:szCs w:val="36"/>
        </w:rPr>
        <w:t xml:space="preserve">七、 </w:t>
      </w:r>
      <w:r>
        <w:rPr>
          <w:rFonts w:hint="eastAsia" w:asciiTheme="majorEastAsia" w:hAnsiTheme="majorEastAsia" w:eastAsiaTheme="majorEastAsia" w:cstheme="majorEastAsia"/>
          <w:szCs w:val="36"/>
        </w:rPr>
        <w:t>交货期及交货方式</w:t>
      </w:r>
      <w:r>
        <w:tab/>
      </w:r>
      <w:r>
        <w:fldChar w:fldCharType="begin"/>
      </w:r>
      <w:r>
        <w:instrText xml:space="preserve"> PAGEREF _Toc9909 \h </w:instrText>
      </w:r>
      <w:r>
        <w:fldChar w:fldCharType="separate"/>
      </w:r>
      <w:r>
        <w:t>35</w:t>
      </w:r>
      <w:r>
        <w:fldChar w:fldCharType="end"/>
      </w:r>
      <w:r>
        <w:fldChar w:fldCharType="end"/>
      </w:r>
    </w:p>
    <w:p>
      <w:pPr>
        <w:pStyle w:val="20"/>
        <w:tabs>
          <w:tab w:val="right" w:leader="dot" w:pos="8823"/>
          <w:tab w:val="clear" w:pos="8820"/>
        </w:tabs>
      </w:pPr>
      <w:r>
        <w:fldChar w:fldCharType="begin"/>
      </w:r>
      <w:r>
        <w:instrText xml:space="preserve"> HYPERLINK \l "_Toc32069" </w:instrText>
      </w:r>
      <w:r>
        <w:fldChar w:fldCharType="separate"/>
      </w:r>
      <w:r>
        <w:rPr>
          <w:rFonts w:asciiTheme="majorEastAsia" w:hAnsiTheme="majorEastAsia" w:eastAsiaTheme="majorEastAsia" w:cstheme="majorEastAsia"/>
          <w:szCs w:val="36"/>
        </w:rPr>
        <w:t xml:space="preserve">八、 </w:t>
      </w:r>
      <w:r>
        <w:rPr>
          <w:rFonts w:hint="eastAsia" w:asciiTheme="majorEastAsia" w:hAnsiTheme="majorEastAsia" w:eastAsiaTheme="majorEastAsia" w:cstheme="majorEastAsia"/>
          <w:szCs w:val="36"/>
        </w:rPr>
        <w:t>付款方式</w:t>
      </w:r>
      <w:r>
        <w:tab/>
      </w:r>
      <w:r>
        <w:fldChar w:fldCharType="begin"/>
      </w:r>
      <w:r>
        <w:instrText xml:space="preserve"> PAGEREF _Toc32069 \h </w:instrText>
      </w:r>
      <w:r>
        <w:fldChar w:fldCharType="separate"/>
      </w:r>
      <w:r>
        <w:t>35</w:t>
      </w:r>
      <w:r>
        <w:fldChar w:fldCharType="end"/>
      </w:r>
      <w:r>
        <w:fldChar w:fldCharType="end"/>
      </w:r>
    </w:p>
    <w:p>
      <w:pPr>
        <w:pStyle w:val="20"/>
        <w:tabs>
          <w:tab w:val="right" w:leader="dot" w:pos="8823"/>
          <w:tab w:val="clear" w:pos="8820"/>
        </w:tabs>
      </w:pPr>
      <w:r>
        <w:fldChar w:fldCharType="begin"/>
      </w:r>
      <w:r>
        <w:instrText xml:space="preserve"> HYPERLINK \l "_Toc3852" </w:instrText>
      </w:r>
      <w:r>
        <w:fldChar w:fldCharType="separate"/>
      </w:r>
      <w:r>
        <w:rPr>
          <w:rFonts w:asciiTheme="majorEastAsia" w:hAnsiTheme="majorEastAsia" w:eastAsiaTheme="majorEastAsia" w:cstheme="majorEastAsia"/>
          <w:szCs w:val="36"/>
        </w:rPr>
        <w:t xml:space="preserve">九、 </w:t>
      </w:r>
      <w:r>
        <w:rPr>
          <w:rFonts w:hint="eastAsia" w:asciiTheme="majorEastAsia" w:hAnsiTheme="majorEastAsia" w:eastAsiaTheme="majorEastAsia" w:cstheme="majorEastAsia"/>
          <w:szCs w:val="36"/>
        </w:rPr>
        <w:t>违约责任</w:t>
      </w:r>
      <w:r>
        <w:tab/>
      </w:r>
      <w:r>
        <w:fldChar w:fldCharType="begin"/>
      </w:r>
      <w:r>
        <w:instrText xml:space="preserve"> PAGEREF _Toc3852 \h </w:instrText>
      </w:r>
      <w:r>
        <w:fldChar w:fldCharType="separate"/>
      </w:r>
      <w:r>
        <w:t>35</w:t>
      </w:r>
      <w:r>
        <w:fldChar w:fldCharType="end"/>
      </w:r>
      <w:r>
        <w:fldChar w:fldCharType="end"/>
      </w:r>
    </w:p>
    <w:p>
      <w:pPr>
        <w:pStyle w:val="20"/>
        <w:tabs>
          <w:tab w:val="right" w:leader="dot" w:pos="8823"/>
          <w:tab w:val="clear" w:pos="8820"/>
        </w:tabs>
      </w:pPr>
      <w:r>
        <w:fldChar w:fldCharType="begin"/>
      </w:r>
      <w:r>
        <w:instrText xml:space="preserve"> HYPERLINK \l "_Toc4989" </w:instrText>
      </w:r>
      <w:r>
        <w:fldChar w:fldCharType="separate"/>
      </w:r>
      <w:r>
        <w:rPr>
          <w:rFonts w:asciiTheme="majorEastAsia" w:hAnsiTheme="majorEastAsia" w:eastAsiaTheme="majorEastAsia" w:cstheme="majorEastAsia"/>
          <w:szCs w:val="36"/>
        </w:rPr>
        <w:t xml:space="preserve">十、 </w:t>
      </w:r>
      <w:r>
        <w:rPr>
          <w:rFonts w:hint="eastAsia" w:asciiTheme="majorEastAsia" w:hAnsiTheme="majorEastAsia" w:eastAsiaTheme="majorEastAsia" w:cstheme="majorEastAsia"/>
          <w:szCs w:val="36"/>
        </w:rPr>
        <w:t>不可抗力事件处理</w:t>
      </w:r>
      <w:r>
        <w:tab/>
      </w:r>
      <w:r>
        <w:fldChar w:fldCharType="begin"/>
      </w:r>
      <w:r>
        <w:instrText xml:space="preserve"> PAGEREF _Toc4989 \h </w:instrText>
      </w:r>
      <w:r>
        <w:fldChar w:fldCharType="separate"/>
      </w:r>
      <w:r>
        <w:t>36</w:t>
      </w:r>
      <w:r>
        <w:fldChar w:fldCharType="end"/>
      </w:r>
      <w:r>
        <w:fldChar w:fldCharType="end"/>
      </w:r>
    </w:p>
    <w:p>
      <w:pPr>
        <w:pStyle w:val="20"/>
        <w:tabs>
          <w:tab w:val="right" w:leader="dot" w:pos="8823"/>
          <w:tab w:val="clear" w:pos="8820"/>
        </w:tabs>
      </w:pPr>
      <w:r>
        <w:fldChar w:fldCharType="begin"/>
      </w:r>
      <w:r>
        <w:instrText xml:space="preserve"> HYPERLINK \l "_Toc10827" </w:instrText>
      </w:r>
      <w:r>
        <w:fldChar w:fldCharType="separate"/>
      </w:r>
      <w:r>
        <w:rPr>
          <w:rFonts w:asciiTheme="majorEastAsia" w:hAnsiTheme="majorEastAsia" w:eastAsiaTheme="majorEastAsia" w:cstheme="majorEastAsia"/>
          <w:szCs w:val="36"/>
        </w:rPr>
        <w:t xml:space="preserve">十一、 </w:t>
      </w:r>
      <w:r>
        <w:rPr>
          <w:rFonts w:hint="eastAsia" w:asciiTheme="majorEastAsia" w:hAnsiTheme="majorEastAsia" w:eastAsiaTheme="majorEastAsia" w:cstheme="majorEastAsia"/>
          <w:szCs w:val="36"/>
        </w:rPr>
        <w:t>仲裁</w:t>
      </w:r>
      <w:r>
        <w:tab/>
      </w:r>
      <w:r>
        <w:fldChar w:fldCharType="begin"/>
      </w:r>
      <w:r>
        <w:instrText xml:space="preserve"> PAGEREF _Toc10827 \h </w:instrText>
      </w:r>
      <w:r>
        <w:fldChar w:fldCharType="separate"/>
      </w:r>
      <w:r>
        <w:t>36</w:t>
      </w:r>
      <w:r>
        <w:fldChar w:fldCharType="end"/>
      </w:r>
      <w:r>
        <w:fldChar w:fldCharType="end"/>
      </w:r>
    </w:p>
    <w:p>
      <w:pPr>
        <w:pStyle w:val="20"/>
        <w:tabs>
          <w:tab w:val="right" w:leader="dot" w:pos="8823"/>
          <w:tab w:val="clear" w:pos="8820"/>
        </w:tabs>
      </w:pPr>
      <w:r>
        <w:fldChar w:fldCharType="begin"/>
      </w:r>
      <w:r>
        <w:instrText xml:space="preserve"> HYPERLINK \l "_Toc17714" </w:instrText>
      </w:r>
      <w:r>
        <w:fldChar w:fldCharType="separate"/>
      </w:r>
      <w:r>
        <w:rPr>
          <w:rFonts w:asciiTheme="majorEastAsia" w:hAnsiTheme="majorEastAsia" w:eastAsiaTheme="majorEastAsia" w:cstheme="majorEastAsia"/>
          <w:szCs w:val="36"/>
        </w:rPr>
        <w:t xml:space="preserve">十二、 </w:t>
      </w:r>
      <w:r>
        <w:rPr>
          <w:rFonts w:hint="eastAsia" w:asciiTheme="majorEastAsia" w:hAnsiTheme="majorEastAsia" w:eastAsiaTheme="majorEastAsia" w:cstheme="majorEastAsia"/>
          <w:szCs w:val="36"/>
        </w:rPr>
        <w:t>合同生效及其它</w:t>
      </w:r>
      <w:r>
        <w:tab/>
      </w:r>
      <w:r>
        <w:fldChar w:fldCharType="begin"/>
      </w:r>
      <w:r>
        <w:instrText xml:space="preserve"> PAGEREF _Toc17714 \h </w:instrText>
      </w:r>
      <w:r>
        <w:fldChar w:fldCharType="separate"/>
      </w:r>
      <w:r>
        <w:t>36</w:t>
      </w:r>
      <w:r>
        <w:fldChar w:fldCharType="end"/>
      </w:r>
      <w:r>
        <w:fldChar w:fldCharType="end"/>
      </w:r>
    </w:p>
    <w:p>
      <w:pPr>
        <w:pStyle w:val="29"/>
        <w:tabs>
          <w:tab w:val="right" w:leader="dot" w:pos="8823"/>
        </w:tabs>
      </w:pPr>
      <w:r>
        <w:fldChar w:fldCharType="begin"/>
      </w:r>
      <w:r>
        <w:instrText xml:space="preserve"> HYPERLINK \l "_Toc13173" </w:instrText>
      </w:r>
      <w:r>
        <w:fldChar w:fldCharType="separate"/>
      </w:r>
      <w:r>
        <w:rPr>
          <w:rFonts w:hint="eastAsia" w:asciiTheme="majorEastAsia" w:hAnsiTheme="majorEastAsia" w:eastAsiaTheme="majorEastAsia" w:cstheme="majorEastAsia"/>
        </w:rPr>
        <w:t>第六章 合同（参考格式）</w:t>
      </w:r>
      <w:r>
        <w:tab/>
      </w:r>
      <w:r>
        <w:fldChar w:fldCharType="begin"/>
      </w:r>
      <w:r>
        <w:instrText xml:space="preserve"> PAGEREF _Toc13173 \h </w:instrText>
      </w:r>
      <w:r>
        <w:fldChar w:fldCharType="separate"/>
      </w:r>
      <w:r>
        <w:t>36</w:t>
      </w:r>
      <w:r>
        <w:fldChar w:fldCharType="end"/>
      </w:r>
      <w:r>
        <w:fldChar w:fldCharType="end"/>
      </w:r>
    </w:p>
    <w:p>
      <w:pPr>
        <w:pStyle w:val="29"/>
        <w:tabs>
          <w:tab w:val="right" w:leader="dot" w:pos="8823"/>
        </w:tabs>
      </w:pPr>
      <w:r>
        <w:fldChar w:fldCharType="begin"/>
      </w:r>
      <w:r>
        <w:instrText xml:space="preserve"> HYPERLINK \l "_Toc21748" </w:instrText>
      </w:r>
      <w:r>
        <w:fldChar w:fldCharType="separate"/>
      </w:r>
      <w:r>
        <w:rPr>
          <w:rFonts w:hint="eastAsia" w:asciiTheme="majorEastAsia" w:hAnsiTheme="majorEastAsia" w:eastAsiaTheme="majorEastAsia" w:cstheme="majorEastAsia"/>
          <w:szCs w:val="48"/>
        </w:rPr>
        <w:t>第二部分 投标文件</w:t>
      </w:r>
      <w:r>
        <w:tab/>
      </w:r>
      <w:r>
        <w:fldChar w:fldCharType="begin"/>
      </w:r>
      <w:r>
        <w:instrText xml:space="preserve"> PAGEREF _Toc21748 \h </w:instrText>
      </w:r>
      <w:r>
        <w:fldChar w:fldCharType="separate"/>
      </w:r>
      <w:r>
        <w:t>121</w:t>
      </w:r>
      <w:r>
        <w:fldChar w:fldCharType="end"/>
      </w:r>
      <w:r>
        <w:fldChar w:fldCharType="end"/>
      </w:r>
    </w:p>
    <w:p>
      <w:pPr>
        <w:pStyle w:val="29"/>
        <w:tabs>
          <w:tab w:val="right" w:leader="dot" w:pos="8823"/>
        </w:tabs>
      </w:pPr>
      <w:r>
        <w:fldChar w:fldCharType="begin"/>
      </w:r>
      <w:r>
        <w:instrText xml:space="preserve"> HYPERLINK \l "_Toc28691" </w:instrText>
      </w:r>
      <w:r>
        <w:fldChar w:fldCharType="separate"/>
      </w:r>
      <w:r>
        <w:rPr>
          <w:rFonts w:hint="eastAsia" w:asciiTheme="majorEastAsia" w:hAnsiTheme="majorEastAsia" w:eastAsiaTheme="majorEastAsia" w:cstheme="majorEastAsia"/>
        </w:rPr>
        <w:t>第七章 附件</w:t>
      </w:r>
      <w:r>
        <w:tab/>
      </w:r>
      <w:r>
        <w:fldChar w:fldCharType="begin"/>
      </w:r>
      <w:r>
        <w:instrText xml:space="preserve"> PAGEREF _Toc28691 \h </w:instrText>
      </w:r>
      <w:r>
        <w:fldChar w:fldCharType="separate"/>
      </w:r>
      <w:r>
        <w:t>122</w:t>
      </w:r>
      <w:r>
        <w:fldChar w:fldCharType="end"/>
      </w:r>
      <w:r>
        <w:fldChar w:fldCharType="end"/>
      </w:r>
    </w:p>
    <w:p>
      <w:pPr>
        <w:pStyle w:val="20"/>
        <w:tabs>
          <w:tab w:val="right" w:leader="dot" w:pos="8823"/>
          <w:tab w:val="clear" w:pos="8820"/>
        </w:tabs>
      </w:pPr>
      <w:r>
        <w:fldChar w:fldCharType="begin"/>
      </w:r>
      <w:r>
        <w:instrText xml:space="preserve"> HYPERLINK \l "_Toc4753" </w:instrText>
      </w:r>
      <w: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szCs w:val="30"/>
        </w:rPr>
        <w:t>投标书</w:t>
      </w:r>
      <w:r>
        <w:tab/>
      </w:r>
      <w:r>
        <w:fldChar w:fldCharType="begin"/>
      </w:r>
      <w:r>
        <w:instrText xml:space="preserve"> PAGEREF _Toc4753 \h </w:instrText>
      </w:r>
      <w:r>
        <w:fldChar w:fldCharType="separate"/>
      </w:r>
      <w:r>
        <w:t>122</w:t>
      </w:r>
      <w:r>
        <w:fldChar w:fldCharType="end"/>
      </w:r>
      <w:r>
        <w:fldChar w:fldCharType="end"/>
      </w:r>
    </w:p>
    <w:p>
      <w:pPr>
        <w:pStyle w:val="20"/>
        <w:tabs>
          <w:tab w:val="right" w:leader="dot" w:pos="8823"/>
          <w:tab w:val="clear" w:pos="8820"/>
        </w:tabs>
      </w:pPr>
      <w:r>
        <w:fldChar w:fldCharType="begin"/>
      </w:r>
      <w:r>
        <w:instrText xml:space="preserve"> HYPERLINK \l "_Toc14202" </w:instrText>
      </w:r>
      <w:r>
        <w:fldChar w:fldCharType="separate"/>
      </w:r>
      <w:r>
        <w:rPr>
          <w:rFonts w:hint="eastAsia" w:asciiTheme="majorEastAsia" w:hAnsiTheme="majorEastAsia" w:eastAsiaTheme="majorEastAsia" w:cstheme="majorEastAsia"/>
          <w:szCs w:val="30"/>
        </w:rPr>
        <w:t>2．开标一览表</w:t>
      </w:r>
      <w:r>
        <w:tab/>
      </w:r>
      <w:r>
        <w:fldChar w:fldCharType="begin"/>
      </w:r>
      <w:r>
        <w:instrText xml:space="preserve"> PAGEREF _Toc14202 \h </w:instrText>
      </w:r>
      <w:r>
        <w:fldChar w:fldCharType="separate"/>
      </w:r>
      <w:r>
        <w:t>123</w:t>
      </w:r>
      <w:r>
        <w:fldChar w:fldCharType="end"/>
      </w:r>
      <w:r>
        <w:fldChar w:fldCharType="end"/>
      </w:r>
    </w:p>
    <w:p>
      <w:pPr>
        <w:pStyle w:val="20"/>
        <w:tabs>
          <w:tab w:val="right" w:leader="dot" w:pos="8823"/>
          <w:tab w:val="clear" w:pos="8820"/>
        </w:tabs>
      </w:pPr>
      <w:r>
        <w:fldChar w:fldCharType="begin"/>
      </w:r>
      <w:r>
        <w:instrText xml:space="preserve"> HYPERLINK \l "_Toc11201" </w:instrText>
      </w:r>
      <w:r>
        <w:fldChar w:fldCharType="separate"/>
      </w:r>
      <w:r>
        <w:rPr>
          <w:rFonts w:hint="eastAsia" w:asciiTheme="majorEastAsia" w:hAnsiTheme="majorEastAsia" w:eastAsiaTheme="majorEastAsia" w:cstheme="majorEastAsia"/>
          <w:szCs w:val="30"/>
        </w:rPr>
        <w:t>3．开标一览表明细</w:t>
      </w:r>
      <w:r>
        <w:tab/>
      </w:r>
      <w:r>
        <w:fldChar w:fldCharType="begin"/>
      </w:r>
      <w:r>
        <w:instrText xml:space="preserve"> PAGEREF _Toc11201 \h </w:instrText>
      </w:r>
      <w:r>
        <w:fldChar w:fldCharType="separate"/>
      </w:r>
      <w:r>
        <w:t>124</w:t>
      </w:r>
      <w:r>
        <w:fldChar w:fldCharType="end"/>
      </w:r>
      <w:r>
        <w:fldChar w:fldCharType="end"/>
      </w:r>
    </w:p>
    <w:p>
      <w:pPr>
        <w:pStyle w:val="20"/>
        <w:tabs>
          <w:tab w:val="right" w:leader="dot" w:pos="8823"/>
          <w:tab w:val="clear" w:pos="8820"/>
        </w:tabs>
      </w:pPr>
      <w:r>
        <w:fldChar w:fldCharType="begin"/>
      </w:r>
      <w:r>
        <w:instrText xml:space="preserve"> HYPERLINK \l "_Toc19795" </w:instrText>
      </w:r>
      <w:r>
        <w:fldChar w:fldCharType="separate"/>
      </w:r>
      <w:r>
        <w:rPr>
          <w:rFonts w:hint="eastAsia" w:asciiTheme="majorEastAsia" w:hAnsiTheme="majorEastAsia" w:eastAsiaTheme="majorEastAsia" w:cstheme="majorEastAsia"/>
          <w:szCs w:val="30"/>
        </w:rPr>
        <w:t>4．分项报价表</w:t>
      </w:r>
      <w:r>
        <w:tab/>
      </w:r>
      <w:r>
        <w:fldChar w:fldCharType="begin"/>
      </w:r>
      <w:r>
        <w:instrText xml:space="preserve"> PAGEREF _Toc19795 \h </w:instrText>
      </w:r>
      <w:r>
        <w:fldChar w:fldCharType="separate"/>
      </w:r>
      <w:r>
        <w:t>125</w:t>
      </w:r>
      <w:r>
        <w:fldChar w:fldCharType="end"/>
      </w:r>
      <w:r>
        <w:fldChar w:fldCharType="end"/>
      </w:r>
    </w:p>
    <w:p>
      <w:pPr>
        <w:pStyle w:val="20"/>
        <w:tabs>
          <w:tab w:val="right" w:leader="dot" w:pos="8823"/>
          <w:tab w:val="clear" w:pos="8820"/>
        </w:tabs>
      </w:pPr>
      <w:r>
        <w:fldChar w:fldCharType="begin"/>
      </w:r>
      <w:r>
        <w:instrText xml:space="preserve"> HYPERLINK \l "_Toc14107" </w:instrText>
      </w:r>
      <w:r>
        <w:fldChar w:fldCharType="separate"/>
      </w:r>
      <w:r>
        <w:rPr>
          <w:rFonts w:hint="eastAsia" w:asciiTheme="majorEastAsia" w:hAnsiTheme="majorEastAsia" w:eastAsiaTheme="majorEastAsia" w:cstheme="majorEastAsia"/>
          <w:szCs w:val="30"/>
        </w:rPr>
        <w:t>5．技术响应偏离表</w:t>
      </w:r>
      <w:r>
        <w:tab/>
      </w:r>
      <w:r>
        <w:fldChar w:fldCharType="begin"/>
      </w:r>
      <w:r>
        <w:instrText xml:space="preserve"> PAGEREF _Toc14107 \h </w:instrText>
      </w:r>
      <w:r>
        <w:fldChar w:fldCharType="separate"/>
      </w:r>
      <w:r>
        <w:t>126</w:t>
      </w:r>
      <w:r>
        <w:fldChar w:fldCharType="end"/>
      </w:r>
      <w:r>
        <w:fldChar w:fldCharType="end"/>
      </w:r>
    </w:p>
    <w:p>
      <w:pPr>
        <w:pStyle w:val="20"/>
        <w:tabs>
          <w:tab w:val="right" w:leader="dot" w:pos="8823"/>
          <w:tab w:val="clear" w:pos="8820"/>
        </w:tabs>
      </w:pPr>
      <w:r>
        <w:fldChar w:fldCharType="begin"/>
      </w:r>
      <w:r>
        <w:instrText xml:space="preserve"> HYPERLINK \l "_Toc28989" </w:instrText>
      </w:r>
      <w:r>
        <w:fldChar w:fldCharType="separate"/>
      </w:r>
      <w:r>
        <w:rPr>
          <w:rFonts w:hint="eastAsia" w:asciiTheme="majorEastAsia" w:hAnsiTheme="majorEastAsia" w:eastAsiaTheme="majorEastAsia" w:cstheme="majorEastAsia"/>
          <w:szCs w:val="30"/>
        </w:rPr>
        <w:t>6．商务响应偏离表</w:t>
      </w:r>
      <w:r>
        <w:tab/>
      </w:r>
      <w:r>
        <w:fldChar w:fldCharType="begin"/>
      </w:r>
      <w:r>
        <w:instrText xml:space="preserve"> PAGEREF _Toc28989 \h </w:instrText>
      </w:r>
      <w:r>
        <w:fldChar w:fldCharType="separate"/>
      </w:r>
      <w:r>
        <w:t>127</w:t>
      </w:r>
      <w:r>
        <w:fldChar w:fldCharType="end"/>
      </w:r>
      <w:r>
        <w:fldChar w:fldCharType="end"/>
      </w:r>
    </w:p>
    <w:p>
      <w:pPr>
        <w:pStyle w:val="20"/>
        <w:tabs>
          <w:tab w:val="right" w:leader="dot" w:pos="8823"/>
          <w:tab w:val="clear" w:pos="8820"/>
        </w:tabs>
      </w:pPr>
      <w:r>
        <w:fldChar w:fldCharType="begin"/>
      </w:r>
      <w:r>
        <w:instrText xml:space="preserve"> HYPERLINK \l "_Toc29587" </w:instrText>
      </w:r>
      <w:r>
        <w:fldChar w:fldCharType="separate"/>
      </w:r>
      <w:r>
        <w:rPr>
          <w:rFonts w:hint="eastAsia" w:asciiTheme="majorEastAsia" w:hAnsiTheme="majorEastAsia" w:eastAsiaTheme="majorEastAsia" w:cstheme="majorEastAsia"/>
          <w:szCs w:val="30"/>
        </w:rPr>
        <w:t>7．</w:t>
      </w:r>
      <w:r>
        <w:rPr>
          <w:rFonts w:hint="eastAsia" w:asciiTheme="majorEastAsia" w:hAnsiTheme="majorEastAsia" w:eastAsiaTheme="majorEastAsia" w:cstheme="majorEastAsia"/>
        </w:rPr>
        <w:t>投标人的资格声明</w:t>
      </w:r>
      <w:r>
        <w:tab/>
      </w:r>
      <w:r>
        <w:fldChar w:fldCharType="begin"/>
      </w:r>
      <w:r>
        <w:instrText xml:space="preserve"> PAGEREF _Toc29587 \h </w:instrText>
      </w:r>
      <w:r>
        <w:fldChar w:fldCharType="separate"/>
      </w:r>
      <w:r>
        <w:t>128</w:t>
      </w:r>
      <w:r>
        <w:fldChar w:fldCharType="end"/>
      </w:r>
      <w:r>
        <w:fldChar w:fldCharType="end"/>
      </w:r>
    </w:p>
    <w:p>
      <w:pPr>
        <w:pStyle w:val="20"/>
        <w:tabs>
          <w:tab w:val="right" w:leader="dot" w:pos="8823"/>
          <w:tab w:val="clear" w:pos="8820"/>
        </w:tabs>
      </w:pPr>
      <w:r>
        <w:fldChar w:fldCharType="begin"/>
      </w:r>
      <w:r>
        <w:instrText xml:space="preserve"> HYPERLINK \l "_Toc21709" </w:instrText>
      </w:r>
      <w:r>
        <w:fldChar w:fldCharType="separate"/>
      </w:r>
      <w:r>
        <w:rPr>
          <w:rFonts w:hint="eastAsia" w:asciiTheme="majorEastAsia" w:hAnsiTheme="majorEastAsia" w:eastAsiaTheme="majorEastAsia" w:cstheme="majorEastAsia"/>
        </w:rPr>
        <w:t>8．资格证明文件（现场资审材料）</w:t>
      </w:r>
      <w:r>
        <w:tab/>
      </w:r>
      <w:r>
        <w:fldChar w:fldCharType="begin"/>
      </w:r>
      <w:r>
        <w:instrText xml:space="preserve"> PAGEREF _Toc21709 \h </w:instrText>
      </w:r>
      <w:r>
        <w:fldChar w:fldCharType="separate"/>
      </w:r>
      <w:r>
        <w:t>129</w:t>
      </w:r>
      <w:r>
        <w:fldChar w:fldCharType="end"/>
      </w:r>
      <w:r>
        <w:fldChar w:fldCharType="end"/>
      </w:r>
    </w:p>
    <w:p>
      <w:pPr>
        <w:pStyle w:val="20"/>
        <w:tabs>
          <w:tab w:val="right" w:leader="dot" w:pos="8823"/>
          <w:tab w:val="clear" w:pos="8820"/>
        </w:tabs>
      </w:pPr>
      <w:r>
        <w:fldChar w:fldCharType="begin"/>
      </w:r>
      <w:r>
        <w:instrText xml:space="preserve"> HYPERLINK \l "_Toc18714" </w:instrText>
      </w:r>
      <w:r>
        <w:fldChar w:fldCharType="separate"/>
      </w:r>
      <w:r>
        <w:rPr>
          <w:rFonts w:hint="eastAsia" w:asciiTheme="majorEastAsia" w:hAnsiTheme="majorEastAsia" w:eastAsiaTheme="majorEastAsia" w:cstheme="majorEastAsia"/>
          <w:szCs w:val="30"/>
        </w:rPr>
        <w:t>9．</w:t>
      </w:r>
      <w:r>
        <w:rPr>
          <w:rFonts w:hint="eastAsia" w:asciiTheme="majorEastAsia" w:hAnsiTheme="majorEastAsia" w:eastAsiaTheme="majorEastAsia" w:cstheme="majorEastAsia"/>
        </w:rPr>
        <w:t>投标货物技术文件</w:t>
      </w:r>
      <w:r>
        <w:tab/>
      </w:r>
      <w:r>
        <w:fldChar w:fldCharType="begin"/>
      </w:r>
      <w:r>
        <w:instrText xml:space="preserve"> PAGEREF _Toc18714 \h </w:instrText>
      </w:r>
      <w:r>
        <w:fldChar w:fldCharType="separate"/>
      </w:r>
      <w:r>
        <w:t>131</w:t>
      </w:r>
      <w:r>
        <w:fldChar w:fldCharType="end"/>
      </w:r>
      <w:r>
        <w:fldChar w:fldCharType="end"/>
      </w:r>
    </w:p>
    <w:p>
      <w:pPr>
        <w:pStyle w:val="20"/>
        <w:tabs>
          <w:tab w:val="right" w:leader="dot" w:pos="8823"/>
          <w:tab w:val="clear" w:pos="8820"/>
        </w:tabs>
      </w:pPr>
      <w:r>
        <w:fldChar w:fldCharType="begin"/>
      </w:r>
      <w:r>
        <w:instrText xml:space="preserve"> HYPERLINK \l "_Toc29235" </w:instrText>
      </w:r>
      <w:r>
        <w:fldChar w:fldCharType="separate"/>
      </w:r>
      <w:r>
        <w:rPr>
          <w:rFonts w:hint="eastAsia" w:asciiTheme="majorEastAsia" w:hAnsiTheme="majorEastAsia" w:eastAsiaTheme="majorEastAsia" w:cstheme="majorEastAsia"/>
        </w:rPr>
        <w:t>10.</w:t>
      </w:r>
      <w:r>
        <w:rPr>
          <w:rFonts w:hint="eastAsia" w:hAnsi="宋体"/>
          <w:position w:val="-3"/>
        </w:rPr>
        <w:t xml:space="preserve"> 为</w:t>
      </w:r>
      <w:r>
        <w:rPr>
          <w:rFonts w:hint="eastAsia" w:hAnsi="宋体"/>
          <w:spacing w:val="3"/>
          <w:position w:val="-3"/>
        </w:rPr>
        <w:t>落</w:t>
      </w:r>
      <w:r>
        <w:rPr>
          <w:rFonts w:hint="eastAsia" w:hAnsi="宋体"/>
          <w:position w:val="-3"/>
        </w:rPr>
        <w:t>实</w:t>
      </w:r>
      <w:r>
        <w:rPr>
          <w:rFonts w:hint="eastAsia" w:hAnsi="宋体"/>
          <w:spacing w:val="3"/>
          <w:position w:val="-3"/>
        </w:rPr>
        <w:t>政</w:t>
      </w:r>
      <w:r>
        <w:rPr>
          <w:rFonts w:hint="eastAsia" w:hAnsi="宋体"/>
          <w:position w:val="-3"/>
        </w:rPr>
        <w:t>府采</w:t>
      </w:r>
      <w:r>
        <w:rPr>
          <w:rFonts w:hint="eastAsia" w:hAnsi="宋体"/>
          <w:spacing w:val="3"/>
          <w:position w:val="-3"/>
        </w:rPr>
        <w:t>购</w:t>
      </w:r>
      <w:r>
        <w:rPr>
          <w:rFonts w:hint="eastAsia" w:hAnsi="宋体"/>
          <w:position w:val="-3"/>
        </w:rPr>
        <w:t>政策供</w:t>
      </w:r>
      <w:r>
        <w:rPr>
          <w:rFonts w:hint="eastAsia" w:hAnsi="宋体"/>
          <w:spacing w:val="3"/>
          <w:position w:val="-3"/>
        </w:rPr>
        <w:t>应</w:t>
      </w:r>
      <w:r>
        <w:rPr>
          <w:rFonts w:hint="eastAsia" w:hAnsi="宋体"/>
          <w:position w:val="-3"/>
        </w:rPr>
        <w:t>商</w:t>
      </w:r>
      <w:r>
        <w:rPr>
          <w:rFonts w:hint="eastAsia" w:hAnsi="宋体"/>
          <w:spacing w:val="3"/>
          <w:position w:val="-3"/>
        </w:rPr>
        <w:t>须</w:t>
      </w:r>
      <w:r>
        <w:rPr>
          <w:rFonts w:hint="eastAsia" w:hAnsi="宋体"/>
          <w:position w:val="-3"/>
        </w:rPr>
        <w:t>提</w:t>
      </w:r>
      <w:r>
        <w:rPr>
          <w:rFonts w:hint="eastAsia" w:hAnsi="宋体"/>
          <w:spacing w:val="3"/>
          <w:position w:val="-3"/>
        </w:rPr>
        <w:t>供</w:t>
      </w:r>
      <w:r>
        <w:rPr>
          <w:rFonts w:hint="eastAsia" w:hAnsi="宋体"/>
          <w:position w:val="-3"/>
        </w:rPr>
        <w:t>的</w:t>
      </w:r>
      <w:r>
        <w:rPr>
          <w:rFonts w:hint="eastAsia" w:hAnsi="宋体"/>
          <w:spacing w:val="3"/>
          <w:position w:val="-3"/>
        </w:rPr>
        <w:t>证</w:t>
      </w:r>
      <w:r>
        <w:rPr>
          <w:rFonts w:hint="eastAsia" w:hAnsi="宋体"/>
          <w:position w:val="-3"/>
        </w:rPr>
        <w:t>明材料</w:t>
      </w:r>
      <w:r>
        <w:tab/>
      </w:r>
      <w:r>
        <w:fldChar w:fldCharType="begin"/>
      </w:r>
      <w:r>
        <w:instrText xml:space="preserve"> PAGEREF _Toc29235 \h </w:instrText>
      </w:r>
      <w:r>
        <w:fldChar w:fldCharType="separate"/>
      </w:r>
      <w:r>
        <w:t>132</w:t>
      </w:r>
      <w:r>
        <w:fldChar w:fldCharType="end"/>
      </w:r>
      <w:r>
        <w:fldChar w:fldCharType="end"/>
      </w:r>
    </w:p>
    <w:p>
      <w:pPr>
        <w:pStyle w:val="20"/>
        <w:tabs>
          <w:tab w:val="right" w:leader="dot" w:pos="8823"/>
          <w:tab w:val="clear" w:pos="8820"/>
        </w:tabs>
      </w:pPr>
      <w:r>
        <w:fldChar w:fldCharType="begin"/>
      </w:r>
      <w:r>
        <w:instrText xml:space="preserve"> HYPERLINK \l "_Toc15129" </w:instrText>
      </w:r>
      <w:r>
        <w:fldChar w:fldCharType="separate"/>
      </w:r>
      <w:r>
        <w:rPr>
          <w:rFonts w:hint="eastAsia" w:asciiTheme="majorEastAsia" w:hAnsiTheme="majorEastAsia" w:eastAsiaTheme="majorEastAsia" w:cstheme="majorEastAsia"/>
          <w:szCs w:val="24"/>
        </w:rPr>
        <w:t>10-1中小企业声明函</w:t>
      </w:r>
      <w:r>
        <w:rPr>
          <w:rFonts w:asciiTheme="majorEastAsia" w:hAnsiTheme="majorEastAsia" w:eastAsiaTheme="majorEastAsia" w:cstheme="majorEastAsia"/>
          <w:szCs w:val="24"/>
        </w:rPr>
        <w:t>(</w:t>
      </w:r>
      <w:r>
        <w:rPr>
          <w:rFonts w:hint="eastAsia" w:asciiTheme="majorEastAsia" w:hAnsiTheme="majorEastAsia" w:eastAsiaTheme="majorEastAsia" w:cstheme="majorEastAsia"/>
          <w:szCs w:val="24"/>
        </w:rPr>
        <w:t>货物）</w:t>
      </w:r>
      <w:r>
        <w:tab/>
      </w:r>
      <w:r>
        <w:fldChar w:fldCharType="begin"/>
      </w:r>
      <w:r>
        <w:instrText xml:space="preserve"> PAGEREF _Toc15129 \h </w:instrText>
      </w:r>
      <w:r>
        <w:fldChar w:fldCharType="separate"/>
      </w:r>
      <w:r>
        <w:t>132</w:t>
      </w:r>
      <w:r>
        <w:fldChar w:fldCharType="end"/>
      </w:r>
      <w:r>
        <w:fldChar w:fldCharType="end"/>
      </w:r>
    </w:p>
    <w:p>
      <w:pPr>
        <w:pStyle w:val="20"/>
        <w:tabs>
          <w:tab w:val="right" w:leader="dot" w:pos="8823"/>
          <w:tab w:val="clear" w:pos="8820"/>
        </w:tabs>
      </w:pPr>
      <w:r>
        <w:fldChar w:fldCharType="begin"/>
      </w:r>
      <w:r>
        <w:instrText xml:space="preserve"> HYPERLINK \l "_Toc20804" </w:instrText>
      </w:r>
      <w:r>
        <w:fldChar w:fldCharType="separate"/>
      </w:r>
      <w:r>
        <w:rPr>
          <w:rFonts w:hint="eastAsia" w:hAnsi="宋体"/>
          <w:szCs w:val="30"/>
        </w:rPr>
        <w:t>11.近三年无重大违法记录承诺函(格式)</w:t>
      </w:r>
      <w:r>
        <w:tab/>
      </w:r>
      <w:r>
        <w:fldChar w:fldCharType="begin"/>
      </w:r>
      <w:r>
        <w:instrText xml:space="preserve"> PAGEREF _Toc20804 \h </w:instrText>
      </w:r>
      <w:r>
        <w:fldChar w:fldCharType="separate"/>
      </w:r>
      <w:r>
        <w:t>134</w:t>
      </w:r>
      <w:r>
        <w:fldChar w:fldCharType="end"/>
      </w:r>
      <w:r>
        <w:fldChar w:fldCharType="end"/>
      </w:r>
    </w:p>
    <w:p>
      <w:pPr>
        <w:pStyle w:val="20"/>
        <w:tabs>
          <w:tab w:val="right" w:leader="dot" w:pos="8823"/>
          <w:tab w:val="clear" w:pos="8820"/>
        </w:tabs>
      </w:pPr>
      <w:r>
        <w:fldChar w:fldCharType="begin"/>
      </w:r>
      <w:r>
        <w:instrText xml:space="preserve"> HYPERLINK \l "_Toc17369" </w:instrText>
      </w:r>
      <w:r>
        <w:fldChar w:fldCharType="separate"/>
      </w:r>
      <w:r>
        <w:rPr>
          <w:rFonts w:hint="eastAsia" w:hAnsi="宋体"/>
          <w:szCs w:val="30"/>
        </w:rPr>
        <w:t>12.履行合同所必需的设备和专业技术能力声明函(格式)</w:t>
      </w:r>
      <w:r>
        <w:tab/>
      </w:r>
      <w:r>
        <w:fldChar w:fldCharType="begin"/>
      </w:r>
      <w:r>
        <w:instrText xml:space="preserve"> PAGEREF _Toc17369 \h </w:instrText>
      </w:r>
      <w:r>
        <w:fldChar w:fldCharType="separate"/>
      </w:r>
      <w:r>
        <w:t>135</w:t>
      </w:r>
      <w:r>
        <w:fldChar w:fldCharType="end"/>
      </w:r>
      <w:r>
        <w:fldChar w:fldCharType="end"/>
      </w:r>
    </w:p>
    <w:p>
      <w:pPr>
        <w:pStyle w:val="33"/>
        <w:tabs>
          <w:tab w:val="right" w:leader="dot" w:pos="8823"/>
          <w:tab w:val="clear" w:pos="720"/>
          <w:tab w:val="clear" w:pos="8820"/>
        </w:tabs>
      </w:pPr>
      <w:r>
        <w:fldChar w:fldCharType="begin"/>
      </w:r>
      <w:r>
        <w:instrText xml:space="preserve"> HYPERLINK \l "_Toc30154" </w:instrText>
      </w:r>
      <w:r>
        <w:fldChar w:fldCharType="separate"/>
      </w:r>
      <w:r>
        <w:rPr>
          <w:rFonts w:hint="eastAsia" w:ascii="宋体" w:hAnsi="宋体" w:cs="宋体"/>
        </w:rPr>
        <w:t>13.其它材料</w:t>
      </w:r>
      <w:r>
        <w:tab/>
      </w:r>
      <w:r>
        <w:fldChar w:fldCharType="begin"/>
      </w:r>
      <w:r>
        <w:instrText xml:space="preserve"> PAGEREF _Toc30154 \h </w:instrText>
      </w:r>
      <w:r>
        <w:fldChar w:fldCharType="separate"/>
      </w:r>
      <w:r>
        <w:t>136</w:t>
      </w:r>
      <w:r>
        <w:fldChar w:fldCharType="end"/>
      </w:r>
      <w:r>
        <w:fldChar w:fldCharType="end"/>
      </w:r>
    </w:p>
    <w:p>
      <w:pPr>
        <w:tabs>
          <w:tab w:val="left" w:pos="0"/>
        </w:tabs>
        <w:spacing w:line="360" w:lineRule="auto"/>
        <w:jc w:val="center"/>
        <w:rPr>
          <w:rFonts w:asciiTheme="majorEastAsia" w:hAnsiTheme="majorEastAsia" w:eastAsiaTheme="majorEastAsia" w:cstheme="majorEastAsia"/>
          <w:b/>
          <w:bCs/>
          <w:sz w:val="52"/>
          <w:szCs w:val="52"/>
        </w:rPr>
        <w:sectPr>
          <w:footerReference r:id="rId9" w:type="first"/>
          <w:footerReference r:id="rId8" w:type="default"/>
          <w:pgSz w:w="11906" w:h="16838"/>
          <w:pgMar w:top="1440" w:right="1286" w:bottom="1440" w:left="1797" w:header="851" w:footer="992" w:gutter="0"/>
          <w:cols w:space="720" w:num="1"/>
          <w:titlePg/>
          <w:docGrid w:type="lines" w:linePitch="312" w:charSpace="0"/>
        </w:sectPr>
      </w:pPr>
      <w:r>
        <w:rPr>
          <w:rFonts w:hint="eastAsia" w:asciiTheme="majorEastAsia" w:hAnsiTheme="majorEastAsia" w:eastAsiaTheme="majorEastAsia" w:cstheme="majorEastAsia"/>
          <w:bCs/>
          <w:szCs w:val="24"/>
        </w:rPr>
        <w:fldChar w:fldCharType="end"/>
      </w:r>
    </w:p>
    <w:p>
      <w:pPr>
        <w:pStyle w:val="4"/>
        <w:spacing w:before="0"/>
        <w:ind w:firstLine="0"/>
        <w:jc w:val="center"/>
        <w:rPr>
          <w:rFonts w:asciiTheme="majorEastAsia" w:hAnsiTheme="majorEastAsia" w:eastAsiaTheme="majorEastAsia" w:cstheme="majorEastAsia"/>
          <w:sz w:val="44"/>
        </w:rPr>
      </w:pPr>
      <w:bookmarkStart w:id="1" w:name="_Hlt533241375"/>
      <w:bookmarkEnd w:id="1"/>
      <w:bookmarkStart w:id="2" w:name="_Hlt526418134"/>
      <w:bookmarkEnd w:id="2"/>
      <w:bookmarkStart w:id="3" w:name="_Hlt519045295"/>
      <w:bookmarkEnd w:id="3"/>
      <w:bookmarkStart w:id="4" w:name="_Toc377982313"/>
      <w:bookmarkStart w:id="5" w:name="_Toc32697"/>
      <w:r>
        <w:rPr>
          <w:rFonts w:hint="eastAsia" w:asciiTheme="majorEastAsia" w:hAnsiTheme="majorEastAsia" w:eastAsiaTheme="majorEastAsia" w:cstheme="majorEastAsia"/>
          <w:sz w:val="48"/>
          <w:szCs w:val="48"/>
        </w:rPr>
        <w:t>第一</w:t>
      </w:r>
      <w:bookmarkStart w:id="6" w:name="_Hlt519045553"/>
      <w:bookmarkEnd w:id="6"/>
      <w:r>
        <w:rPr>
          <w:rFonts w:hint="eastAsia" w:asciiTheme="majorEastAsia" w:hAnsiTheme="majorEastAsia" w:eastAsiaTheme="majorEastAsia" w:cstheme="majorEastAsia"/>
          <w:sz w:val="48"/>
          <w:szCs w:val="48"/>
        </w:rPr>
        <w:t xml:space="preserve">部分 </w:t>
      </w:r>
      <w:bookmarkEnd w:id="4"/>
      <w:bookmarkStart w:id="7" w:name="_Hlt519045420"/>
      <w:bookmarkEnd w:id="7"/>
      <w:bookmarkStart w:id="8" w:name="_Hlt519045482"/>
      <w:bookmarkEnd w:id="8"/>
      <w:r>
        <w:rPr>
          <w:rFonts w:hint="eastAsia" w:asciiTheme="majorEastAsia" w:hAnsiTheme="majorEastAsia" w:eastAsiaTheme="majorEastAsia" w:cstheme="majorEastAsia"/>
          <w:sz w:val="48"/>
          <w:szCs w:val="48"/>
        </w:rPr>
        <w:t>招标文件</w:t>
      </w:r>
      <w:bookmarkEnd w:id="5"/>
    </w:p>
    <w:p>
      <w:pPr>
        <w:pStyle w:val="4"/>
        <w:numPr>
          <w:ilvl w:val="0"/>
          <w:numId w:val="1"/>
        </w:numPr>
        <w:tabs>
          <w:tab w:val="left" w:pos="0"/>
        </w:tabs>
        <w:spacing w:after="240"/>
        <w:jc w:val="center"/>
        <w:rPr>
          <w:rFonts w:asciiTheme="majorEastAsia" w:hAnsiTheme="majorEastAsia" w:eastAsiaTheme="majorEastAsia" w:cstheme="majorEastAsia"/>
          <w:sz w:val="44"/>
        </w:rPr>
      </w:pPr>
      <w:bookmarkStart w:id="9" w:name="_Toc3246"/>
      <w:bookmarkStart w:id="10" w:name="_Toc377982314"/>
      <w:r>
        <w:rPr>
          <w:rFonts w:hint="eastAsia" w:asciiTheme="majorEastAsia" w:hAnsiTheme="majorEastAsia" w:eastAsiaTheme="majorEastAsia" w:cstheme="majorEastAsia"/>
          <w:sz w:val="44"/>
        </w:rPr>
        <w:t>投标邀请</w:t>
      </w:r>
      <w:bookmarkEnd w:id="9"/>
      <w:bookmarkEnd w:id="10"/>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6"/>
              <w:spacing w:before="0" w:beforeAutospacing="0" w:after="0" w:afterAutospacing="0" w:line="440" w:lineRule="atLeast"/>
              <w:rPr>
                <w:rFonts w:ascii="宋体" w:hAnsi="宋体" w:cs="宋体"/>
                <w:color w:val="auto"/>
                <w:sz w:val="24"/>
                <w:szCs w:val="24"/>
              </w:rPr>
            </w:pPr>
            <w:bookmarkStart w:id="11" w:name="_Hlt510343011"/>
            <w:bookmarkStart w:id="12" w:name="_Hlt510342998"/>
            <w:bookmarkStart w:id="13" w:name="_Toc377982315"/>
            <w:bookmarkStart w:id="14" w:name="_Toc147282122"/>
            <w:r>
              <w:rPr>
                <w:rFonts w:hint="eastAsia" w:ascii="宋体" w:hAnsi="宋体" w:cs="宋体"/>
                <w:b/>
                <w:color w:val="auto"/>
                <w:sz w:val="24"/>
                <w:szCs w:val="24"/>
              </w:rPr>
              <w:t>项目概况</w:t>
            </w:r>
            <w:r>
              <w:rPr>
                <w:rFonts w:hint="eastAsia" w:ascii="宋体" w:hAnsi="宋体" w:cs="宋体"/>
                <w:color w:val="auto"/>
                <w:sz w:val="24"/>
                <w:szCs w:val="24"/>
              </w:rPr>
              <w:t xml:space="preserve">  </w:t>
            </w:r>
            <w:r>
              <w:fldChar w:fldCharType="begin"/>
            </w:r>
            <w:r>
              <w:instrText xml:space="preserve"> HYPERLINK "mailto:丰城市园区污水处理厂建设工程(丰城市循环经济园区吉岗岭污水处理厂项目)的潜在供应商应在江西博采招标咨询有限公司（江西省南昌市东湖区胜利路235号1446室）现场获取或邮箱(1290133924@qq.com" </w:instrText>
            </w:r>
            <w:r>
              <w:fldChar w:fldCharType="separate"/>
            </w:r>
            <w:r>
              <w:rPr>
                <w:rFonts w:hint="eastAsia" w:ascii="宋体" w:hAnsi="宋体" w:cs="宋体"/>
                <w:color w:val="auto"/>
                <w:sz w:val="24"/>
                <w:szCs w:val="24"/>
              </w:rPr>
              <w:t>丰城市园区污水处理厂建设工程(丰城市循环经济园区吉岗岭污水处理厂项目)第二批机电安装设备、材料采购项目的潜在供应商应在（</w:t>
            </w:r>
            <w:r>
              <w:rPr>
                <w:rFonts w:hint="eastAsia" w:ascii="宋体" w:hAnsi="宋体" w:cs="Times New Roman"/>
                <w:color w:val="auto"/>
                <w:sz w:val="24"/>
                <w:szCs w:val="24"/>
              </w:rPr>
              <w:t>中国政府采购网官网（http://www.ccgp.gov.cn/）</w:t>
            </w:r>
            <w:r>
              <w:rPr>
                <w:rFonts w:hint="eastAsia" w:ascii="宋体" w:hAnsi="宋体" w:cs="Times New Roman"/>
                <w:color w:val="auto"/>
                <w:sz w:val="24"/>
                <w:szCs w:val="24"/>
              </w:rPr>
              <w:fldChar w:fldCharType="end"/>
            </w:r>
            <w:r>
              <w:rPr>
                <w:rFonts w:hint="eastAsia" w:ascii="宋体" w:hAnsi="宋体" w:cs="宋体"/>
                <w:color w:val="auto"/>
                <w:sz w:val="24"/>
                <w:szCs w:val="24"/>
              </w:rPr>
              <w:t xml:space="preserve"> )获取公开招标文件，并于</w:t>
            </w:r>
            <w:r>
              <w:rPr>
                <w:rFonts w:hint="eastAsia" w:ascii="宋体" w:hAnsi="宋体" w:cs="宋体"/>
                <w:color w:val="auto"/>
                <w:sz w:val="24"/>
                <w:szCs w:val="24"/>
                <w:shd w:val="clear" w:color="FFFFFF" w:fill="D9D9D9"/>
              </w:rPr>
              <w:t xml:space="preserve">2022年 </w:t>
            </w:r>
            <w:r>
              <w:rPr>
                <w:rFonts w:hint="eastAsia" w:ascii="宋体" w:hAnsi="宋体" w:cs="宋体"/>
                <w:color w:val="auto"/>
                <w:sz w:val="24"/>
                <w:szCs w:val="24"/>
                <w:shd w:val="clear" w:color="FFFFFF" w:fill="D9D9D9"/>
                <w:lang w:val="en-US" w:eastAsia="zh-CN"/>
              </w:rPr>
              <w:t>7</w:t>
            </w:r>
            <w:r>
              <w:rPr>
                <w:rFonts w:hint="eastAsia" w:ascii="宋体" w:hAnsi="宋体" w:cs="宋体"/>
                <w:color w:val="auto"/>
                <w:sz w:val="24"/>
                <w:szCs w:val="24"/>
                <w:shd w:val="clear" w:color="FFFFFF" w:fill="D9D9D9"/>
              </w:rPr>
              <w:t>月</w:t>
            </w:r>
            <w:r>
              <w:rPr>
                <w:rFonts w:hint="eastAsia" w:ascii="宋体" w:hAnsi="宋体" w:cs="宋体"/>
                <w:color w:val="auto"/>
                <w:sz w:val="24"/>
                <w:szCs w:val="24"/>
                <w:shd w:val="clear" w:color="FFFFFF" w:fill="D9D9D9"/>
                <w:lang w:val="en-US" w:eastAsia="zh-CN"/>
              </w:rPr>
              <w:t>21</w:t>
            </w:r>
            <w:r>
              <w:rPr>
                <w:rFonts w:hint="eastAsia" w:ascii="宋体" w:hAnsi="宋体" w:cs="宋体"/>
                <w:color w:val="auto"/>
                <w:sz w:val="24"/>
                <w:szCs w:val="24"/>
                <w:shd w:val="clear" w:color="FFFFFF" w:fill="D9D9D9"/>
              </w:rPr>
              <w:t>日14点00分</w:t>
            </w:r>
            <w:r>
              <w:rPr>
                <w:rFonts w:hint="eastAsia" w:ascii="宋体" w:hAnsi="宋体" w:cs="宋体"/>
                <w:color w:val="auto"/>
                <w:sz w:val="24"/>
                <w:szCs w:val="24"/>
              </w:rPr>
              <w:t>（北京时间）前提交纸质投标文件。</w:t>
            </w:r>
          </w:p>
        </w:tc>
      </w:tr>
    </w:tbl>
    <w:p>
      <w:pPr>
        <w:pStyle w:val="36"/>
        <w:spacing w:before="0" w:beforeAutospacing="0" w:after="0" w:afterAutospacing="0" w:line="440" w:lineRule="atLeast"/>
        <w:rPr>
          <w:rFonts w:ascii="宋体" w:hAnsi="宋体" w:cs="宋体"/>
          <w:b/>
          <w:color w:val="auto"/>
          <w:sz w:val="24"/>
          <w:szCs w:val="24"/>
        </w:rPr>
      </w:pPr>
      <w:r>
        <w:rPr>
          <w:rFonts w:hint="eastAsia" w:ascii="宋体" w:hAnsi="宋体" w:cs="宋体"/>
          <w:b/>
          <w:color w:val="auto"/>
          <w:sz w:val="24"/>
          <w:szCs w:val="24"/>
        </w:rPr>
        <w:t>一、项目基本情况：</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招标编号：BC2022-FCG002</w:t>
      </w:r>
    </w:p>
    <w:p>
      <w:pPr>
        <w:spacing w:line="480" w:lineRule="auto"/>
        <w:ind w:left="1200" w:hanging="1200" w:hangingChars="500"/>
        <w:jc w:val="left"/>
        <w:rPr>
          <w:rFonts w:ascii="宋体" w:hAnsi="宋体" w:cs="宋体"/>
          <w:sz w:val="24"/>
          <w:szCs w:val="24"/>
        </w:rPr>
      </w:pPr>
      <w:r>
        <w:rPr>
          <w:rFonts w:hint="eastAsia" w:ascii="宋体" w:hAnsi="宋体" w:cs="宋体"/>
          <w:sz w:val="24"/>
          <w:szCs w:val="24"/>
        </w:rPr>
        <w:t>项目名称：丰城市园区污水处理厂建设工程(丰城市循环经济园区吉岗岭污水处理厂项目)第二批机电安装设备、材料采购项目</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采购方式：公开招标</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预算金额：2213362.00元人民币</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最高限价：2213362.00元人民币</w:t>
      </w:r>
    </w:p>
    <w:p>
      <w:pPr>
        <w:pStyle w:val="36"/>
        <w:spacing w:before="0" w:beforeAutospacing="0" w:after="0" w:afterAutospacing="0" w:line="440" w:lineRule="atLeast"/>
        <w:rPr>
          <w:rFonts w:ascii="宋体" w:hAnsi="宋体" w:cs="宋体"/>
          <w:b/>
          <w:color w:val="auto"/>
          <w:sz w:val="24"/>
          <w:szCs w:val="24"/>
        </w:rPr>
      </w:pPr>
      <w:r>
        <w:rPr>
          <w:rFonts w:hint="eastAsia" w:ascii="宋体" w:hAnsi="宋体" w:cs="宋体"/>
          <w:b/>
          <w:color w:val="auto"/>
          <w:sz w:val="24"/>
          <w:szCs w:val="24"/>
        </w:rPr>
        <w:t>采购需求：</w:t>
      </w:r>
    </w:p>
    <w:tbl>
      <w:tblPr>
        <w:tblStyle w:val="41"/>
        <w:tblW w:w="921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04"/>
        <w:gridCol w:w="1404"/>
        <w:gridCol w:w="1522"/>
        <w:gridCol w:w="19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 w:hRule="atLeast"/>
          <w:tblCellSpacing w:w="0" w:type="dxa"/>
          <w:jc w:val="center"/>
        </w:trPr>
        <w:tc>
          <w:tcPr>
            <w:tcW w:w="3104"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项目名称</w:t>
            </w:r>
          </w:p>
        </w:tc>
        <w:tc>
          <w:tcPr>
            <w:tcW w:w="1404"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数量</w:t>
            </w:r>
          </w:p>
        </w:tc>
        <w:tc>
          <w:tcPr>
            <w:tcW w:w="1522"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单位</w:t>
            </w:r>
          </w:p>
        </w:tc>
        <w:tc>
          <w:tcPr>
            <w:tcW w:w="1905" w:type="dxa"/>
            <w:tcBorders>
              <w:right w:val="single" w:color="auto" w:sz="4" w:space="0"/>
            </w:tcBorders>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采购预算</w:t>
            </w:r>
          </w:p>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（人民币：元）</w:t>
            </w:r>
          </w:p>
        </w:tc>
        <w:tc>
          <w:tcPr>
            <w:tcW w:w="1275" w:type="dxa"/>
            <w:tcBorders>
              <w:right w:val="single" w:color="auto" w:sz="4" w:space="0"/>
            </w:tcBorders>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blCellSpacing w:w="0" w:type="dxa"/>
          <w:jc w:val="center"/>
        </w:trPr>
        <w:tc>
          <w:tcPr>
            <w:tcW w:w="3104" w:type="dxa"/>
            <w:vAlign w:val="center"/>
          </w:tcPr>
          <w:p>
            <w:pPr>
              <w:snapToGrid w:val="0"/>
              <w:spacing w:before="100" w:beforeAutospacing="1" w:after="100" w:afterAutospacing="1" w:line="360" w:lineRule="atLeast"/>
              <w:contextualSpacing/>
              <w:jc w:val="center"/>
              <w:rPr>
                <w:rFonts w:ascii="宋体" w:hAnsi="宋体" w:cs="宋体"/>
                <w:kern w:val="0"/>
                <w:sz w:val="24"/>
                <w:szCs w:val="24"/>
              </w:rPr>
            </w:pPr>
            <w:r>
              <w:rPr>
                <w:rFonts w:hint="eastAsia" w:ascii="宋体" w:hAnsi="宋体" w:cs="宋体"/>
                <w:kern w:val="0"/>
                <w:sz w:val="24"/>
                <w:szCs w:val="24"/>
              </w:rPr>
              <w:t>丰城市园区污水处理厂建设工程(丰城市循环经济园区吉岗岭污水处理厂项目)第二批机电安装设备、材料采购项目</w:t>
            </w:r>
          </w:p>
        </w:tc>
        <w:tc>
          <w:tcPr>
            <w:tcW w:w="1404" w:type="dxa"/>
            <w:vAlign w:val="center"/>
          </w:tcPr>
          <w:p>
            <w:pPr>
              <w:snapToGrid w:val="0"/>
              <w:spacing w:before="100" w:beforeAutospacing="1" w:after="100" w:afterAutospacing="1" w:line="360" w:lineRule="atLeast"/>
              <w:contextualSpacing/>
              <w:jc w:val="center"/>
              <w:rPr>
                <w:rFonts w:ascii="宋体" w:hAnsi="宋体" w:cs="宋体"/>
                <w:kern w:val="0"/>
                <w:sz w:val="24"/>
                <w:szCs w:val="24"/>
              </w:rPr>
            </w:pPr>
            <w:r>
              <w:rPr>
                <w:rFonts w:hint="eastAsia" w:ascii="宋体" w:hAnsi="宋体" w:cs="宋体"/>
                <w:kern w:val="0"/>
                <w:sz w:val="24"/>
                <w:szCs w:val="24"/>
              </w:rPr>
              <w:t>1</w:t>
            </w:r>
          </w:p>
        </w:tc>
        <w:tc>
          <w:tcPr>
            <w:tcW w:w="1522" w:type="dxa"/>
            <w:vAlign w:val="center"/>
          </w:tcPr>
          <w:p>
            <w:pPr>
              <w:snapToGrid w:val="0"/>
              <w:spacing w:before="100" w:beforeAutospacing="1" w:after="100" w:afterAutospacing="1" w:line="360" w:lineRule="atLeast"/>
              <w:contextualSpacing/>
              <w:jc w:val="center"/>
              <w:rPr>
                <w:rFonts w:ascii="宋体" w:hAnsi="宋体" w:cs="宋体"/>
                <w:kern w:val="0"/>
                <w:sz w:val="24"/>
                <w:szCs w:val="24"/>
              </w:rPr>
            </w:pPr>
            <w:r>
              <w:rPr>
                <w:rFonts w:hint="eastAsia" w:ascii="宋体" w:hAnsi="宋体" w:cs="宋体"/>
                <w:kern w:val="0"/>
                <w:sz w:val="24"/>
                <w:szCs w:val="24"/>
              </w:rPr>
              <w:t>批</w:t>
            </w:r>
          </w:p>
        </w:tc>
        <w:tc>
          <w:tcPr>
            <w:tcW w:w="1905" w:type="dxa"/>
            <w:tcBorders>
              <w:right w:val="single" w:color="auto" w:sz="4" w:space="0"/>
            </w:tcBorders>
            <w:vAlign w:val="center"/>
          </w:tcPr>
          <w:p>
            <w:pPr>
              <w:snapToGrid w:val="0"/>
              <w:spacing w:before="100" w:beforeAutospacing="1" w:after="100" w:afterAutospacing="1" w:line="360" w:lineRule="atLeast"/>
              <w:contextualSpacing/>
              <w:rPr>
                <w:rFonts w:ascii="宋体" w:hAnsi="宋体" w:cs="宋体"/>
                <w:kern w:val="0"/>
                <w:sz w:val="24"/>
                <w:szCs w:val="24"/>
              </w:rPr>
            </w:pPr>
            <w:r>
              <w:rPr>
                <w:rFonts w:hint="eastAsia" w:ascii="宋体" w:hAnsi="宋体" w:cs="宋体"/>
                <w:sz w:val="24"/>
                <w:szCs w:val="24"/>
              </w:rPr>
              <w:t>2213362.00元</w:t>
            </w:r>
          </w:p>
        </w:tc>
        <w:tc>
          <w:tcPr>
            <w:tcW w:w="1275" w:type="dxa"/>
            <w:tcBorders>
              <w:right w:val="single" w:color="auto" w:sz="4" w:space="0"/>
            </w:tcBorders>
            <w:vAlign w:val="center"/>
          </w:tcPr>
          <w:p>
            <w:pPr>
              <w:snapToGrid w:val="0"/>
              <w:spacing w:before="100" w:beforeAutospacing="1" w:after="100" w:afterAutospacing="1" w:line="360" w:lineRule="atLeast"/>
              <w:contextualSpacing/>
              <w:jc w:val="center"/>
              <w:rPr>
                <w:rFonts w:ascii="宋体" w:hAnsi="宋体" w:cs="宋体"/>
                <w:kern w:val="0"/>
                <w:sz w:val="24"/>
                <w:szCs w:val="24"/>
              </w:rPr>
            </w:pPr>
            <w:r>
              <w:rPr>
                <w:rFonts w:hint="eastAsia" w:ascii="宋体" w:hAnsi="宋体" w:cs="宋体"/>
                <w:kern w:val="0"/>
                <w:sz w:val="24"/>
                <w:szCs w:val="24"/>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blCellSpacing w:w="0" w:type="dxa"/>
          <w:jc w:val="center"/>
        </w:trPr>
        <w:tc>
          <w:tcPr>
            <w:tcW w:w="9210" w:type="dxa"/>
            <w:gridSpan w:val="5"/>
            <w:tcBorders>
              <w:right w:val="single" w:color="auto" w:sz="4" w:space="0"/>
            </w:tcBorders>
            <w:vAlign w:val="center"/>
          </w:tcPr>
          <w:p>
            <w:pPr>
              <w:snapToGrid w:val="0"/>
              <w:spacing w:before="100" w:beforeAutospacing="1" w:after="100" w:afterAutospacing="1" w:line="360" w:lineRule="atLeast"/>
              <w:contextualSpacing/>
              <w:jc w:val="left"/>
              <w:rPr>
                <w:rFonts w:ascii="宋体" w:hAnsi="宋体" w:cs="宋体"/>
                <w:kern w:val="0"/>
                <w:sz w:val="24"/>
                <w:szCs w:val="24"/>
              </w:rPr>
            </w:pPr>
            <w:r>
              <w:rPr>
                <w:rFonts w:hint="eastAsia" w:ascii="宋体" w:hAnsi="宋体" w:cs="宋体"/>
                <w:kern w:val="0"/>
                <w:sz w:val="24"/>
                <w:szCs w:val="24"/>
              </w:rPr>
              <w:t>采购物品：</w:t>
            </w:r>
            <w:r>
              <w:rPr>
                <w:rFonts w:hint="eastAsia" w:ascii="宋体" w:hAnsi="宋体" w:cs="宋体"/>
                <w:sz w:val="24"/>
                <w:szCs w:val="24"/>
              </w:rPr>
              <w:t>污水处理设备（详见采购文件采购清单）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blCellSpacing w:w="0" w:type="dxa"/>
          <w:jc w:val="center"/>
        </w:trPr>
        <w:tc>
          <w:tcPr>
            <w:tcW w:w="9210" w:type="dxa"/>
            <w:gridSpan w:val="5"/>
            <w:tcBorders>
              <w:right w:val="single" w:color="auto" w:sz="4" w:space="0"/>
            </w:tcBorders>
            <w:vAlign w:val="center"/>
          </w:tcPr>
          <w:p>
            <w:pPr>
              <w:snapToGrid w:val="0"/>
              <w:spacing w:before="100" w:beforeAutospacing="1" w:after="100" w:afterAutospacing="1" w:line="360" w:lineRule="atLeast"/>
              <w:contextualSpacing/>
              <w:jc w:val="left"/>
              <w:rPr>
                <w:rFonts w:ascii="宋体" w:hAnsi="宋体" w:cs="宋体"/>
                <w:kern w:val="0"/>
                <w:sz w:val="24"/>
                <w:szCs w:val="24"/>
              </w:rPr>
            </w:pPr>
            <w:r>
              <w:rPr>
                <w:rFonts w:hint="eastAsia" w:ascii="宋体" w:hAnsi="宋体" w:cs="宋体"/>
                <w:kern w:val="0"/>
                <w:sz w:val="24"/>
                <w:szCs w:val="24"/>
              </w:rPr>
              <w:t>备注：总价包含总承包服务费、材料保管费、税金及一切货到现场交付、单机调试及技术指导、质保期内保修等缺陷责任期前所有费用（包含供货方独立负责系统第三方环保比对验收及环保平台接入并调试）。</w:t>
            </w:r>
          </w:p>
        </w:tc>
      </w:tr>
    </w:tbl>
    <w:p>
      <w:pPr>
        <w:pStyle w:val="40"/>
        <w:rPr>
          <w:rFonts w:ascii="宋体" w:hAnsi="宋体" w:cs="宋体"/>
          <w:sz w:val="24"/>
          <w:szCs w:val="24"/>
        </w:rPr>
      </w:pPr>
      <w:r>
        <w:rPr>
          <w:rFonts w:hint="eastAsia"/>
          <w:b/>
          <w:bCs/>
          <w:sz w:val="24"/>
          <w:szCs w:val="24"/>
        </w:rPr>
        <w:t>注</w:t>
      </w:r>
      <w:r>
        <w:rPr>
          <w:rFonts w:hint="eastAsia"/>
          <w:sz w:val="24"/>
          <w:szCs w:val="24"/>
        </w:rPr>
        <w:t>：</w:t>
      </w:r>
      <w:r>
        <w:rPr>
          <w:rFonts w:hint="eastAsia"/>
          <w:b/>
          <w:sz w:val="24"/>
          <w:szCs w:val="24"/>
        </w:rPr>
        <w:t>本项目除注明外均为国产产品。</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 xml:space="preserve">合同履行期限：按商务要求履行。       </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本项目不接受联合体投标。</w:t>
      </w:r>
    </w:p>
    <w:p>
      <w:pPr>
        <w:pStyle w:val="36"/>
        <w:spacing w:before="0" w:beforeAutospacing="0" w:after="0" w:afterAutospacing="0" w:line="440" w:lineRule="atLeast"/>
        <w:rPr>
          <w:rFonts w:ascii="宋体" w:hAnsi="宋体" w:cs="宋体"/>
          <w:b/>
          <w:color w:val="auto"/>
          <w:sz w:val="24"/>
          <w:szCs w:val="24"/>
        </w:rPr>
      </w:pPr>
      <w:r>
        <w:rPr>
          <w:rFonts w:hint="eastAsia" w:ascii="宋体" w:hAnsi="宋体" w:cs="宋体"/>
          <w:b/>
          <w:color w:val="auto"/>
          <w:sz w:val="24"/>
          <w:szCs w:val="24"/>
        </w:rPr>
        <w:t>二、申请人的资格要求</w:t>
      </w:r>
    </w:p>
    <w:p>
      <w:pPr>
        <w:rPr>
          <w:rFonts w:ascii="宋体" w:hAnsi="宋体" w:cs="宋体"/>
          <w:b/>
          <w:bCs/>
          <w:sz w:val="24"/>
          <w:szCs w:val="24"/>
        </w:rPr>
      </w:pPr>
      <w:r>
        <w:rPr>
          <w:rFonts w:hint="eastAsia" w:ascii="宋体" w:hAnsi="宋体" w:cs="宋体"/>
          <w:b/>
          <w:bCs/>
          <w:sz w:val="24"/>
          <w:szCs w:val="24"/>
        </w:rPr>
        <w:t>1.满足《中华人民共和国政府采购法》第二十二条规定；</w:t>
      </w:r>
    </w:p>
    <w:p>
      <w:pPr>
        <w:autoSpaceDE w:val="0"/>
        <w:autoSpaceDN w:val="0"/>
        <w:adjustRightInd w:val="0"/>
        <w:snapToGrid w:val="0"/>
        <w:spacing w:line="360" w:lineRule="auto"/>
        <w:ind w:left="281" w:leftChars="134"/>
        <w:rPr>
          <w:rFonts w:ascii="宋体" w:hAnsi="宋体" w:cs="宋体"/>
          <w:sz w:val="24"/>
        </w:rPr>
      </w:pPr>
      <w:r>
        <w:rPr>
          <w:rFonts w:hint="eastAsia" w:ascii="宋体" w:hAnsi="宋体" w:cs="宋体"/>
          <w:b/>
          <w:bCs/>
          <w:sz w:val="24"/>
        </w:rPr>
        <w:t>1）</w:t>
      </w:r>
      <w:r>
        <w:rPr>
          <w:rFonts w:hint="eastAsia" w:ascii="宋体" w:hAnsi="宋体" w:cs="宋体"/>
          <w:sz w:val="24"/>
          <w:lang w:val="zh-CN"/>
        </w:rPr>
        <w:t>具有独立承担民事责任能力：</w:t>
      </w:r>
      <w:r>
        <w:rPr>
          <w:rFonts w:hint="eastAsia" w:ascii="宋体" w:hAnsi="宋体" w:cs="宋体"/>
          <w:sz w:val="24"/>
        </w:rPr>
        <w:t>提供多证合一的营业执照或事业单位法人证书复印件加盖公章或自然人身份证明复印件；</w:t>
      </w:r>
      <w:r>
        <w:rPr>
          <w:rFonts w:hint="eastAsia" w:ascii="宋体" w:hAnsi="宋体" w:cs="宋体"/>
          <w:sz w:val="24"/>
          <w:lang w:val="zh-CN"/>
        </w:rPr>
        <w:t>（</w:t>
      </w:r>
      <w:r>
        <w:rPr>
          <w:rFonts w:hint="eastAsia" w:ascii="宋体" w:hAnsi="宋体" w:cs="宋体"/>
          <w:sz w:val="24"/>
        </w:rPr>
        <w:t>复印件加盖公章</w:t>
      </w:r>
      <w:r>
        <w:rPr>
          <w:rFonts w:hint="eastAsia" w:ascii="宋体" w:hAnsi="宋体" w:cs="宋体"/>
          <w:sz w:val="24"/>
          <w:lang w:val="zh-CN"/>
        </w:rPr>
        <w:t>）</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2）</w:t>
      </w:r>
      <w:r>
        <w:rPr>
          <w:rFonts w:hint="eastAsia" w:ascii="宋体" w:hAnsi="宋体" w:cs="宋体"/>
          <w:sz w:val="24"/>
          <w:lang w:val="zh-CN"/>
        </w:rPr>
        <w:t>具有良好的商业信誉和健全的财务会计制度：提供经审计的</w:t>
      </w:r>
      <w:r>
        <w:rPr>
          <w:rFonts w:hint="eastAsia" w:ascii="宋体" w:hAnsi="宋体" w:cs="宋体"/>
          <w:sz w:val="24"/>
        </w:rPr>
        <w:t>2020年度或2021年度</w:t>
      </w:r>
      <w:r>
        <w:rPr>
          <w:rFonts w:hint="eastAsia" w:ascii="宋体" w:hAnsi="宋体" w:cs="宋体"/>
          <w:sz w:val="24"/>
          <w:lang w:val="zh-CN"/>
        </w:rPr>
        <w:t>财务报告复印件加盖公章或</w:t>
      </w:r>
      <w:r>
        <w:rPr>
          <w:rFonts w:hint="eastAsia" w:ascii="宋体" w:hAnsi="宋体" w:cs="宋体"/>
          <w:sz w:val="24"/>
        </w:rPr>
        <w:t>开标前三个月内银行出具的</w:t>
      </w:r>
      <w:r>
        <w:rPr>
          <w:rFonts w:hint="eastAsia" w:ascii="宋体" w:hAnsi="宋体" w:cs="宋体"/>
          <w:sz w:val="24"/>
          <w:lang w:val="zh-CN"/>
        </w:rPr>
        <w:t>资信证明；（</w:t>
      </w:r>
      <w:r>
        <w:rPr>
          <w:rFonts w:hint="eastAsia" w:ascii="宋体" w:hAnsi="宋体" w:cs="宋体"/>
          <w:sz w:val="24"/>
        </w:rPr>
        <w:t>复印件加盖公章</w:t>
      </w:r>
      <w:r>
        <w:rPr>
          <w:rFonts w:hint="eastAsia" w:ascii="宋体" w:hAnsi="宋体" w:cs="宋体"/>
          <w:sz w:val="24"/>
          <w:lang w:val="zh-CN"/>
        </w:rPr>
        <w:t>）</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3）</w:t>
      </w:r>
      <w:r>
        <w:rPr>
          <w:rFonts w:hint="eastAsia" w:ascii="宋体" w:hAnsi="宋体" w:cs="宋体"/>
          <w:sz w:val="24"/>
          <w:lang w:val="zh-CN"/>
        </w:rPr>
        <w:t>具有履行合同所必需的设备和专业技术能力：（提供书面承诺函原件）；</w:t>
      </w:r>
    </w:p>
    <w:p>
      <w:pPr>
        <w:autoSpaceDE w:val="0"/>
        <w:autoSpaceDN w:val="0"/>
        <w:adjustRightInd w:val="0"/>
        <w:snapToGrid w:val="0"/>
        <w:spacing w:line="360" w:lineRule="auto"/>
        <w:ind w:left="281" w:leftChars="134"/>
        <w:rPr>
          <w:rFonts w:ascii="宋体" w:hAnsi="宋体" w:cs="宋体"/>
          <w:sz w:val="24"/>
        </w:rPr>
      </w:pPr>
      <w:r>
        <w:rPr>
          <w:rFonts w:hint="eastAsia" w:ascii="宋体" w:hAnsi="宋体" w:cs="宋体"/>
          <w:b/>
          <w:bCs/>
          <w:sz w:val="24"/>
        </w:rPr>
        <w:t>4）</w:t>
      </w:r>
      <w:r>
        <w:rPr>
          <w:rFonts w:hint="eastAsia" w:ascii="宋体" w:hAnsi="宋体" w:cs="宋体"/>
          <w:sz w:val="24"/>
          <w:lang w:val="zh-CN"/>
        </w:rPr>
        <w:t>具有依法缴纳税收和社会保障资金的良好记录：</w:t>
      </w:r>
      <w:r>
        <w:rPr>
          <w:rFonts w:hint="eastAsia" w:ascii="宋体" w:hAnsi="宋体" w:cs="宋体"/>
          <w:sz w:val="24"/>
        </w:rPr>
        <w:t>投标人提供2022年以来任意一个月依法缴纳税收和社会保障资金的证明材料</w:t>
      </w:r>
      <w:r>
        <w:rPr>
          <w:rFonts w:hint="eastAsia" w:ascii="宋体" w:hAnsi="宋体" w:cs="宋体"/>
          <w:sz w:val="24"/>
          <w:lang w:val="zh-CN"/>
        </w:rPr>
        <w:t>(复印件加盖公章)；</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5）</w:t>
      </w:r>
      <w:r>
        <w:rPr>
          <w:rFonts w:hint="eastAsia" w:ascii="宋体" w:hAnsi="宋体" w:cs="宋体"/>
          <w:sz w:val="24"/>
          <w:lang w:val="zh-CN"/>
        </w:rPr>
        <w:t>参加政府采购活动前三年内，在经营活动中没有重大违法记录：提供书面声明函原件。</w:t>
      </w:r>
    </w:p>
    <w:p>
      <w:pPr>
        <w:autoSpaceDE w:val="0"/>
        <w:autoSpaceDN w:val="0"/>
        <w:adjustRightInd w:val="0"/>
        <w:snapToGrid w:val="0"/>
        <w:spacing w:line="360" w:lineRule="auto"/>
        <w:rPr>
          <w:rFonts w:hint="eastAsia" w:ascii="宋体" w:hAnsi="宋体" w:cs="宋体"/>
          <w:b/>
          <w:bCs/>
          <w:sz w:val="24"/>
          <w:szCs w:val="24"/>
          <w:lang w:val="en-US" w:eastAsia="zh-CN"/>
        </w:rPr>
      </w:pPr>
      <w:r>
        <w:rPr>
          <w:rFonts w:hint="eastAsia" w:ascii="宋体" w:hAnsi="宋体" w:cs="宋体"/>
          <w:b/>
          <w:bCs/>
          <w:sz w:val="24"/>
          <w:szCs w:val="24"/>
        </w:rPr>
        <w:t>2.落实政府采购政策需满足的资格要求：</w:t>
      </w:r>
      <w:r>
        <w:rPr>
          <w:rFonts w:hint="eastAsia" w:ascii="宋体" w:hAnsi="宋体" w:cs="宋体"/>
          <w:b/>
          <w:bCs/>
          <w:sz w:val="24"/>
          <w:szCs w:val="24"/>
          <w:lang w:val="en-US" w:eastAsia="zh-CN"/>
        </w:rPr>
        <w:t>无</w:t>
      </w:r>
    </w:p>
    <w:p>
      <w:pPr>
        <w:pStyle w:val="2"/>
        <w:ind w:left="0" w:leftChars="0" w:firstLine="0" w:firstLineChars="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3、其他补充说明</w:t>
      </w:r>
    </w:p>
    <w:p>
      <w:pPr>
        <w:autoSpaceDE w:val="0"/>
        <w:autoSpaceDN w:val="0"/>
        <w:adjustRightInd w:val="0"/>
        <w:snapToGrid w:val="0"/>
        <w:spacing w:line="360" w:lineRule="auto"/>
        <w:rPr>
          <w:rFonts w:ascii="宋体" w:hAnsi="宋体" w:cs="宋体"/>
          <w:bCs/>
          <w:sz w:val="24"/>
        </w:rPr>
      </w:pPr>
      <w:r>
        <w:rPr>
          <w:rFonts w:hint="eastAsia" w:ascii="宋体" w:hAnsi="宋体" w:cs="宋体"/>
          <w:b/>
          <w:bCs/>
          <w:sz w:val="24"/>
        </w:rPr>
        <w:t>1）</w:t>
      </w:r>
      <w:r>
        <w:rPr>
          <w:rFonts w:hint="eastAsia" w:ascii="宋体" w:hAnsi="宋体" w:cs="宋体"/>
          <w:bCs/>
          <w:sz w:val="24"/>
        </w:rPr>
        <w:t>单位负责人为同一人或者存在直接控股管理关系的不同供应商，不得参加同一合同项下的政府采购活动；若出现同时参加的情形，采购人将依据其获取招标文件的先后时间顺序确定第一个符合资格条件的供应商参加本项目的采购活动。为采购项目提供整体设计、规范编制或者项目管理、监理、检测等服务的供应商，不得再参加该项目的其他采购活动；（告知项，无需提供证明材料）</w:t>
      </w:r>
    </w:p>
    <w:p>
      <w:pPr>
        <w:autoSpaceDE w:val="0"/>
        <w:autoSpaceDN w:val="0"/>
        <w:adjustRightInd w:val="0"/>
        <w:snapToGrid w:val="0"/>
        <w:spacing w:line="360" w:lineRule="auto"/>
        <w:rPr>
          <w:rFonts w:ascii="宋体" w:hAnsi="宋体" w:cs="宋体"/>
          <w:sz w:val="24"/>
        </w:rPr>
      </w:pPr>
      <w:r>
        <w:rPr>
          <w:rFonts w:hint="eastAsia" w:ascii="宋体" w:hAnsi="宋体" w:cs="宋体"/>
          <w:b/>
          <w:bCs/>
          <w:sz w:val="24"/>
        </w:rPr>
        <w:t>2）</w:t>
      </w:r>
      <w:r>
        <w:rPr>
          <w:rFonts w:hint="eastAsia" w:ascii="宋体" w:hAnsi="宋体" w:cs="宋体"/>
          <w:sz w:val="24"/>
        </w:rPr>
        <w:t>投标代理人身份证原件(投标代理人不是法定代表人或企业负责人参加投标的，提供法定代表人或企业负责人授权书原件和授权代理人身份证原件，投标代理人是法定代表人或企业负责人参加投标的，提供法定代表人或企业负责人身份证原件)；；</w:t>
      </w:r>
    </w:p>
    <w:p>
      <w:pPr>
        <w:autoSpaceDE w:val="0"/>
        <w:autoSpaceDN w:val="0"/>
        <w:adjustRightInd w:val="0"/>
        <w:snapToGrid w:val="0"/>
        <w:spacing w:line="360" w:lineRule="auto"/>
        <w:rPr>
          <w:rFonts w:ascii="宋体" w:hAnsi="宋体" w:cs="宋体"/>
          <w:kern w:val="0"/>
          <w:sz w:val="24"/>
        </w:rPr>
      </w:pPr>
      <w:r>
        <w:rPr>
          <w:rFonts w:hint="eastAsia" w:ascii="宋体" w:hAnsi="宋体" w:cs="宋体"/>
          <w:b/>
          <w:bCs/>
          <w:sz w:val="24"/>
        </w:rPr>
        <w:t>3）</w:t>
      </w:r>
      <w:r>
        <w:rPr>
          <w:rFonts w:hint="eastAsia" w:ascii="宋体" w:hAnsi="宋体" w:cs="宋体"/>
          <w:kern w:val="0"/>
          <w:sz w:val="24"/>
        </w:rPr>
        <w:t>投标人提供保证金凭证；(复印件加盖公章)</w:t>
      </w:r>
    </w:p>
    <w:p>
      <w:pPr>
        <w:autoSpaceDE w:val="0"/>
        <w:autoSpaceDN w:val="0"/>
        <w:adjustRightInd w:val="0"/>
        <w:snapToGrid w:val="0"/>
        <w:spacing w:line="360" w:lineRule="auto"/>
        <w:rPr>
          <w:rFonts w:ascii="宋体" w:hAnsi="宋体" w:cs="宋体"/>
          <w:bCs/>
          <w:sz w:val="24"/>
        </w:rPr>
      </w:pPr>
      <w:r>
        <w:rPr>
          <w:rFonts w:hint="eastAsia" w:ascii="宋体" w:hAnsi="宋体" w:cs="宋体"/>
          <w:b/>
          <w:bCs/>
          <w:sz w:val="24"/>
        </w:rPr>
        <w:t>4）</w:t>
      </w:r>
      <w:r>
        <w:rPr>
          <w:rFonts w:hint="eastAsia" w:ascii="宋体" w:hAnsi="宋体" w:cs="宋体"/>
          <w:bCs/>
          <w:sz w:val="24"/>
        </w:rPr>
        <w:t>投标人必须未被“信用中国”网站列入失信被执行人和重大税收违法案件当事人名单的、未被“中国政府采购网”网站列入政府采购严重违法失信行为记录名单（处罚期尚未届满的），开标时现场查询。</w:t>
      </w:r>
    </w:p>
    <w:p>
      <w:pPr>
        <w:pStyle w:val="36"/>
        <w:spacing w:before="0" w:beforeAutospacing="0" w:after="0" w:afterAutospacing="0" w:line="440" w:lineRule="atLeast"/>
        <w:rPr>
          <w:rFonts w:ascii="宋体" w:hAnsi="宋体"/>
          <w:b/>
          <w:color w:val="auto"/>
          <w:sz w:val="24"/>
          <w:szCs w:val="24"/>
        </w:rPr>
      </w:pPr>
      <w:r>
        <w:rPr>
          <w:rFonts w:hint="eastAsia" w:ascii="宋体" w:hAnsi="宋体"/>
          <w:b/>
          <w:color w:val="auto"/>
          <w:sz w:val="24"/>
          <w:szCs w:val="24"/>
        </w:rPr>
        <w:t>三、</w:t>
      </w:r>
      <w:r>
        <w:rPr>
          <w:rFonts w:hint="eastAsia" w:ascii="宋体" w:hAnsi="宋体"/>
          <w:b/>
          <w:bCs/>
          <w:color w:val="auto"/>
          <w:sz w:val="24"/>
          <w:szCs w:val="24"/>
        </w:rPr>
        <w:t>获取招标文件：</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3.1时间：</w:t>
      </w:r>
      <w:r>
        <w:rPr>
          <w:rFonts w:hint="eastAsia" w:ascii="宋体" w:hAnsi="宋体" w:cs="宋体"/>
          <w:color w:val="auto"/>
          <w:sz w:val="24"/>
          <w:szCs w:val="24"/>
          <w:u w:val="single"/>
          <w:shd w:val="clear" w:color="FFFFFF" w:fill="D9D9D9"/>
        </w:rPr>
        <w:t>2022年7月</w:t>
      </w:r>
      <w:r>
        <w:rPr>
          <w:rFonts w:hint="eastAsia" w:ascii="宋体" w:hAnsi="宋体" w:cs="宋体"/>
          <w:color w:val="auto"/>
          <w:sz w:val="24"/>
          <w:szCs w:val="24"/>
          <w:u w:val="single"/>
          <w:shd w:val="clear" w:color="FFFFFF" w:fill="D9D9D9"/>
          <w:lang w:val="en-US" w:eastAsia="zh-CN"/>
        </w:rPr>
        <w:t>0</w:t>
      </w:r>
      <w:r>
        <w:rPr>
          <w:rFonts w:hint="eastAsia" w:ascii="宋体" w:hAnsi="宋体" w:cs="宋体"/>
          <w:color w:val="auto"/>
          <w:sz w:val="24"/>
          <w:szCs w:val="24"/>
          <w:u w:val="single"/>
          <w:shd w:val="clear" w:color="FFFFFF" w:fill="D9D9D9"/>
        </w:rPr>
        <w:t>1日至2022年7月</w:t>
      </w:r>
      <w:r>
        <w:rPr>
          <w:rFonts w:hint="eastAsia" w:ascii="宋体" w:hAnsi="宋体" w:cs="宋体"/>
          <w:color w:val="auto"/>
          <w:sz w:val="24"/>
          <w:szCs w:val="24"/>
          <w:u w:val="single"/>
          <w:shd w:val="clear" w:color="FFFFFF" w:fill="D9D9D9"/>
          <w:lang w:val="en-US" w:eastAsia="zh-CN"/>
        </w:rPr>
        <w:t>07</w:t>
      </w:r>
      <w:r>
        <w:rPr>
          <w:rFonts w:hint="eastAsia" w:ascii="宋体" w:hAnsi="宋体" w:cs="宋体"/>
          <w:color w:val="auto"/>
          <w:sz w:val="24"/>
          <w:szCs w:val="24"/>
          <w:u w:val="single"/>
          <w:shd w:val="clear" w:color="FFFFFF" w:fill="D9D9D9"/>
        </w:rPr>
        <w:t>日</w:t>
      </w:r>
      <w:r>
        <w:rPr>
          <w:rFonts w:hint="eastAsia" w:ascii="宋体" w:hAnsi="宋体" w:cs="宋体"/>
          <w:color w:val="auto"/>
          <w:sz w:val="24"/>
          <w:szCs w:val="24"/>
        </w:rPr>
        <w:t>（提供期限自本公告发布之日起不得少于5个工作日），</w:t>
      </w:r>
      <w:r>
        <w:rPr>
          <w:rFonts w:hint="eastAsia" w:ascii="宋体" w:hAnsi="宋体" w:cs="宋体"/>
          <w:color w:val="auto"/>
          <w:sz w:val="24"/>
          <w:szCs w:val="24"/>
          <w:u w:val="single"/>
        </w:rPr>
        <w:t>每天上午9:00至12:00，下午14:00至18:00（</w:t>
      </w:r>
      <w:r>
        <w:rPr>
          <w:rFonts w:hint="eastAsia" w:ascii="宋体" w:hAnsi="宋体" w:cs="宋体"/>
          <w:color w:val="auto"/>
          <w:sz w:val="24"/>
          <w:szCs w:val="24"/>
        </w:rPr>
        <w:t>北京时间，法定节假日除外 ）</w:t>
      </w:r>
    </w:p>
    <w:p>
      <w:pPr>
        <w:pStyle w:val="36"/>
        <w:spacing w:before="0" w:beforeAutospacing="0" w:after="0" w:afterAutospacing="0" w:line="440" w:lineRule="atLeast"/>
        <w:rPr>
          <w:rFonts w:ascii="宋体" w:hAnsi="宋体" w:cs="宋体"/>
          <w:color w:val="auto"/>
          <w:sz w:val="24"/>
          <w:szCs w:val="24"/>
        </w:rPr>
      </w:pPr>
      <w:r>
        <w:rPr>
          <w:rFonts w:hint="eastAsia" w:ascii="宋体" w:hAnsi="宋体" w:cs="宋体"/>
          <w:color w:val="auto"/>
          <w:sz w:val="24"/>
          <w:szCs w:val="24"/>
        </w:rPr>
        <w:t>3.2地点：</w:t>
      </w:r>
      <w:r>
        <w:rPr>
          <w:rFonts w:hint="eastAsia" w:ascii="宋体" w:hAnsi="宋体" w:cs="Times New Roman"/>
          <w:color w:val="auto"/>
          <w:sz w:val="24"/>
          <w:szCs w:val="24"/>
        </w:rPr>
        <w:t>中国政府采购网官网（http://www.ccgp.gov.cn/）</w:t>
      </w:r>
      <w:r>
        <w:rPr>
          <w:rFonts w:hint="eastAsia" w:ascii="宋体" w:hAnsi="宋体" w:cs="宋体"/>
          <w:color w:val="auto"/>
          <w:sz w:val="24"/>
          <w:szCs w:val="24"/>
        </w:rPr>
        <w:t>。</w:t>
      </w:r>
    </w:p>
    <w:p>
      <w:pPr>
        <w:pStyle w:val="36"/>
        <w:spacing w:before="0" w:beforeAutospacing="0" w:after="0" w:afterAutospacing="0" w:line="500" w:lineRule="exact"/>
        <w:rPr>
          <w:rFonts w:ascii="宋体" w:hAnsi="宋体" w:cs="宋体"/>
          <w:color w:val="auto"/>
          <w:sz w:val="24"/>
          <w:szCs w:val="24"/>
        </w:rPr>
      </w:pPr>
      <w:r>
        <w:rPr>
          <w:rFonts w:hint="eastAsia" w:ascii="宋体" w:hAnsi="宋体" w:cs="宋体"/>
          <w:color w:val="auto"/>
          <w:sz w:val="24"/>
          <w:szCs w:val="24"/>
        </w:rPr>
        <w:t>3.3方式：线上获取。</w:t>
      </w:r>
    </w:p>
    <w:p>
      <w:pPr>
        <w:widowControl/>
        <w:spacing w:line="500" w:lineRule="exact"/>
        <w:ind w:left="316" w:hanging="316"/>
        <w:rPr>
          <w:rFonts w:ascii="宋体" w:hAnsi="宋体" w:cs="宋体"/>
          <w:kern w:val="0"/>
          <w:sz w:val="24"/>
          <w:szCs w:val="24"/>
        </w:rPr>
      </w:pPr>
      <w:r>
        <w:rPr>
          <w:rFonts w:hint="eastAsia" w:ascii="宋体" w:hAnsi="宋体" w:cs="宋体"/>
          <w:b/>
          <w:bCs/>
          <w:kern w:val="0"/>
          <w:sz w:val="24"/>
          <w:szCs w:val="24"/>
        </w:rPr>
        <w:t>四、提交投标文件截止时间、开标时间和地点：</w:t>
      </w:r>
    </w:p>
    <w:p>
      <w:pPr>
        <w:pStyle w:val="2"/>
        <w:spacing w:line="500" w:lineRule="exact"/>
        <w:ind w:left="0" w:firstLine="480"/>
        <w:jc w:val="left"/>
        <w:rPr>
          <w:rFonts w:ascii="宋体" w:hAnsi="宋体" w:cs="宋体"/>
          <w:szCs w:val="24"/>
        </w:rPr>
      </w:pPr>
      <w:r>
        <w:rPr>
          <w:rFonts w:hint="eastAsia" w:ascii="宋体" w:hAnsi="宋体" w:cs="宋体"/>
          <w:szCs w:val="24"/>
          <w:shd w:val="clear" w:color="FFFFFF" w:fill="D9D9D9"/>
        </w:rPr>
        <w:t>2022年</w:t>
      </w:r>
      <w:r>
        <w:rPr>
          <w:rFonts w:hint="eastAsia" w:ascii="宋体" w:hAnsi="宋体" w:cs="宋体"/>
          <w:szCs w:val="24"/>
          <w:shd w:val="clear" w:color="FFFFFF" w:fill="D9D9D9"/>
          <w:lang w:val="en-US" w:eastAsia="zh-CN"/>
        </w:rPr>
        <w:t>7</w:t>
      </w:r>
      <w:r>
        <w:rPr>
          <w:rFonts w:hint="eastAsia" w:ascii="宋体" w:hAnsi="宋体" w:cs="宋体"/>
          <w:szCs w:val="24"/>
          <w:shd w:val="clear" w:color="FFFFFF" w:fill="D9D9D9"/>
        </w:rPr>
        <w:t>月</w:t>
      </w:r>
      <w:r>
        <w:rPr>
          <w:rFonts w:hint="eastAsia" w:ascii="宋体" w:hAnsi="宋体" w:cs="宋体"/>
          <w:szCs w:val="24"/>
          <w:shd w:val="clear" w:color="FFFFFF" w:fill="D9D9D9"/>
          <w:lang w:val="en-US" w:eastAsia="zh-CN"/>
        </w:rPr>
        <w:t>21</w:t>
      </w:r>
      <w:r>
        <w:rPr>
          <w:rFonts w:hint="eastAsia" w:ascii="宋体" w:hAnsi="宋体" w:cs="宋体"/>
          <w:szCs w:val="24"/>
          <w:shd w:val="clear" w:color="FFFFFF" w:fill="D9D9D9"/>
        </w:rPr>
        <w:t>日14点00分</w:t>
      </w:r>
      <w:r>
        <w:rPr>
          <w:rFonts w:hint="eastAsia" w:ascii="宋体" w:hAnsi="宋体" w:cs="宋体"/>
          <w:szCs w:val="24"/>
        </w:rPr>
        <w:t>（北京时间）（从采购文件开始发出之日起至供应商提交首次响应文件截止之日止不得少于20日）</w:t>
      </w:r>
    </w:p>
    <w:p>
      <w:pPr>
        <w:pStyle w:val="2"/>
        <w:spacing w:line="500" w:lineRule="exact"/>
        <w:ind w:left="720" w:hanging="720" w:hangingChars="300"/>
        <w:jc w:val="left"/>
        <w:rPr>
          <w:rFonts w:ascii="宋体" w:hAnsi="宋体" w:cs="宋体"/>
          <w:szCs w:val="24"/>
        </w:rPr>
      </w:pPr>
      <w:r>
        <w:rPr>
          <w:rFonts w:hint="eastAsia" w:ascii="宋体" w:hAnsi="宋体" w:cs="宋体"/>
          <w:szCs w:val="24"/>
        </w:rPr>
        <w:t xml:space="preserve"> 地点：南昌市红谷滩区丰和中大道1318号建设大厦高楼817室.</w:t>
      </w:r>
    </w:p>
    <w:p>
      <w:pPr>
        <w:pStyle w:val="2"/>
        <w:spacing w:line="500" w:lineRule="exact"/>
        <w:ind w:left="0"/>
        <w:jc w:val="left"/>
        <w:rPr>
          <w:rFonts w:ascii="宋体" w:hAnsi="宋体" w:cs="宋体"/>
          <w:b/>
          <w:bCs/>
          <w:szCs w:val="24"/>
        </w:rPr>
      </w:pPr>
      <w:r>
        <w:rPr>
          <w:rFonts w:hint="eastAsia" w:ascii="宋体" w:hAnsi="宋体" w:cs="宋体"/>
          <w:b/>
          <w:bCs/>
          <w:szCs w:val="24"/>
        </w:rPr>
        <w:t>五、开启（开标）</w:t>
      </w:r>
    </w:p>
    <w:p>
      <w:pPr>
        <w:pStyle w:val="2"/>
        <w:spacing w:line="500" w:lineRule="exact"/>
        <w:ind w:left="0"/>
        <w:jc w:val="left"/>
        <w:rPr>
          <w:rFonts w:ascii="宋体" w:hAnsi="宋体" w:cs="宋体"/>
          <w:szCs w:val="24"/>
        </w:rPr>
      </w:pPr>
      <w:r>
        <w:rPr>
          <w:rFonts w:hint="eastAsia" w:ascii="宋体" w:hAnsi="宋体" w:cs="宋体"/>
          <w:szCs w:val="24"/>
        </w:rPr>
        <w:t xml:space="preserve"> 时间：</w:t>
      </w:r>
      <w:r>
        <w:rPr>
          <w:rFonts w:hint="eastAsia" w:ascii="宋体" w:hAnsi="宋体" w:cs="宋体"/>
          <w:szCs w:val="24"/>
          <w:shd w:val="clear" w:color="FFFFFF" w:fill="D9D9D9"/>
        </w:rPr>
        <w:t>2022年0</w:t>
      </w:r>
      <w:r>
        <w:rPr>
          <w:rFonts w:hint="eastAsia" w:ascii="宋体" w:hAnsi="宋体" w:cs="宋体"/>
          <w:szCs w:val="24"/>
          <w:shd w:val="clear" w:color="FFFFFF" w:fill="D9D9D9"/>
          <w:lang w:val="en-US" w:eastAsia="zh-CN"/>
        </w:rPr>
        <w:t>7</w:t>
      </w:r>
      <w:r>
        <w:rPr>
          <w:rFonts w:hint="eastAsia" w:ascii="宋体" w:hAnsi="宋体" w:cs="宋体"/>
          <w:szCs w:val="24"/>
          <w:shd w:val="clear" w:color="FFFFFF" w:fill="D9D9D9"/>
        </w:rPr>
        <w:t>月</w:t>
      </w:r>
      <w:r>
        <w:rPr>
          <w:rFonts w:hint="eastAsia" w:ascii="宋体" w:hAnsi="宋体" w:cs="宋体"/>
          <w:szCs w:val="24"/>
          <w:shd w:val="clear" w:color="FFFFFF" w:fill="D9D9D9"/>
          <w:lang w:val="en-US" w:eastAsia="zh-CN"/>
        </w:rPr>
        <w:t>21</w:t>
      </w:r>
      <w:r>
        <w:rPr>
          <w:rFonts w:hint="eastAsia" w:ascii="宋体" w:hAnsi="宋体" w:cs="宋体"/>
          <w:szCs w:val="24"/>
          <w:shd w:val="clear" w:color="FFFFFF" w:fill="D9D9D9"/>
        </w:rPr>
        <w:t>日14点00分</w:t>
      </w:r>
      <w:r>
        <w:rPr>
          <w:rFonts w:hint="eastAsia" w:ascii="宋体" w:hAnsi="宋体" w:cs="宋体"/>
          <w:szCs w:val="24"/>
        </w:rPr>
        <w:t>（北京时间）</w:t>
      </w:r>
    </w:p>
    <w:p>
      <w:pPr>
        <w:pStyle w:val="2"/>
        <w:spacing w:line="500" w:lineRule="exact"/>
        <w:ind w:left="720" w:hanging="720" w:hangingChars="300"/>
        <w:jc w:val="left"/>
        <w:rPr>
          <w:rFonts w:ascii="宋体" w:hAnsi="宋体" w:cs="宋体"/>
          <w:szCs w:val="24"/>
        </w:rPr>
      </w:pPr>
      <w:r>
        <w:rPr>
          <w:rFonts w:hint="eastAsia" w:ascii="宋体" w:hAnsi="宋体" w:cs="宋体"/>
          <w:szCs w:val="24"/>
        </w:rPr>
        <w:t xml:space="preserve"> 地点：南昌市红谷滩区丰和中大道1318号建设大厦高楼817室.</w:t>
      </w:r>
    </w:p>
    <w:p>
      <w:pPr>
        <w:widowControl/>
        <w:spacing w:line="500" w:lineRule="exact"/>
        <w:ind w:left="316" w:hanging="316"/>
        <w:rPr>
          <w:rFonts w:ascii="宋体" w:hAnsi="宋体" w:cs="宋体"/>
          <w:kern w:val="0"/>
          <w:sz w:val="24"/>
          <w:szCs w:val="24"/>
        </w:rPr>
      </w:pPr>
      <w:r>
        <w:rPr>
          <w:rFonts w:hint="eastAsia" w:ascii="宋体" w:hAnsi="宋体" w:cs="宋体"/>
          <w:b/>
          <w:bCs/>
          <w:kern w:val="0"/>
          <w:sz w:val="24"/>
          <w:szCs w:val="24"/>
        </w:rPr>
        <w:t>六、公告期限：</w:t>
      </w:r>
      <w:r>
        <w:rPr>
          <w:rFonts w:hint="eastAsia" w:ascii="宋体" w:hAnsi="宋体" w:cs="宋体"/>
          <w:kern w:val="0"/>
          <w:sz w:val="24"/>
          <w:szCs w:val="24"/>
        </w:rPr>
        <w:t>自本公告发布之日起5个工作日。</w:t>
      </w:r>
    </w:p>
    <w:p>
      <w:pPr>
        <w:widowControl/>
        <w:spacing w:line="500" w:lineRule="exact"/>
        <w:ind w:left="282" w:hanging="282"/>
        <w:rPr>
          <w:rFonts w:ascii="宋体" w:hAnsi="宋体" w:cs="宋体"/>
          <w:kern w:val="0"/>
          <w:sz w:val="24"/>
          <w:szCs w:val="24"/>
        </w:rPr>
      </w:pPr>
      <w:r>
        <w:rPr>
          <w:rFonts w:hint="eastAsia" w:ascii="宋体" w:hAnsi="宋体" w:cs="宋体"/>
          <w:b/>
          <w:bCs/>
          <w:kern w:val="0"/>
          <w:sz w:val="24"/>
          <w:szCs w:val="24"/>
        </w:rPr>
        <w:t>七、其他补充事宜</w:t>
      </w:r>
    </w:p>
    <w:p>
      <w:pPr>
        <w:spacing w:line="500" w:lineRule="exact"/>
        <w:ind w:right="-319" w:rightChars="-152" w:firstLine="408" w:firstLineChars="170"/>
        <w:rPr>
          <w:rFonts w:ascii="宋体" w:hAnsi="宋体" w:cs="宋体"/>
          <w:sz w:val="24"/>
          <w:szCs w:val="24"/>
        </w:rPr>
      </w:pPr>
      <w:r>
        <w:rPr>
          <w:rFonts w:hint="eastAsia" w:ascii="宋体" w:hAnsi="宋体" w:cs="宋体"/>
          <w:sz w:val="24"/>
          <w:szCs w:val="24"/>
        </w:rPr>
        <w:t>投标人在中国政府采购网下载招标文件并于2022年7月</w:t>
      </w:r>
      <w:r>
        <w:rPr>
          <w:rFonts w:hint="eastAsia" w:ascii="宋体" w:hAnsi="宋体" w:cs="宋体"/>
          <w:sz w:val="24"/>
          <w:szCs w:val="24"/>
          <w:lang w:val="en-US" w:eastAsia="zh-CN"/>
        </w:rPr>
        <w:t>7</w:t>
      </w:r>
      <w:r>
        <w:rPr>
          <w:rFonts w:hint="eastAsia" w:ascii="宋体" w:hAnsi="宋体" w:cs="宋体"/>
          <w:sz w:val="24"/>
          <w:szCs w:val="24"/>
        </w:rPr>
        <w:t>日23：59前将以下报名资料扫描件发送至1290133924@qq.com邮箱，否则报名无效：</w:t>
      </w:r>
    </w:p>
    <w:p>
      <w:pPr>
        <w:numPr>
          <w:ilvl w:val="0"/>
          <w:numId w:val="2"/>
        </w:numPr>
        <w:spacing w:line="500" w:lineRule="exact"/>
        <w:ind w:right="-319" w:rightChars="-152" w:firstLine="408" w:firstLineChars="170"/>
        <w:rPr>
          <w:rFonts w:ascii="宋体" w:hAnsi="宋体" w:cs="宋体"/>
          <w:sz w:val="24"/>
          <w:szCs w:val="24"/>
        </w:rPr>
      </w:pPr>
      <w:r>
        <w:rPr>
          <w:rFonts w:hint="eastAsia" w:ascii="宋体" w:hAnsi="宋体" w:cs="宋体"/>
          <w:sz w:val="24"/>
          <w:szCs w:val="24"/>
        </w:rPr>
        <w:t>多证合一新版营业执照副本</w:t>
      </w:r>
      <w:r>
        <w:rPr>
          <w:rFonts w:hint="eastAsia" w:ascii="宋体" w:hAnsi="宋体" w:cs="宋体"/>
          <w:sz w:val="24"/>
          <w:szCs w:val="24"/>
          <w:lang w:val="en-US" w:eastAsia="zh-CN"/>
        </w:rPr>
        <w:t>扫描件</w:t>
      </w:r>
      <w:r>
        <w:rPr>
          <w:rFonts w:hint="eastAsia" w:ascii="宋体" w:hAnsi="宋体" w:cs="宋体"/>
          <w:sz w:val="24"/>
          <w:szCs w:val="24"/>
        </w:rPr>
        <w:t>；</w:t>
      </w:r>
    </w:p>
    <w:p>
      <w:pPr>
        <w:numPr>
          <w:ilvl w:val="0"/>
          <w:numId w:val="2"/>
        </w:numPr>
        <w:spacing w:line="500" w:lineRule="exact"/>
        <w:ind w:right="-319" w:rightChars="-152" w:firstLine="408" w:firstLineChars="170"/>
        <w:rPr>
          <w:rFonts w:ascii="宋体" w:hAnsi="宋体" w:cs="宋体"/>
          <w:sz w:val="24"/>
          <w:szCs w:val="24"/>
        </w:rPr>
      </w:pPr>
      <w:r>
        <w:rPr>
          <w:rFonts w:hint="eastAsia" w:ascii="宋体" w:hAnsi="宋体" w:cs="宋体"/>
          <w:sz w:val="24"/>
          <w:szCs w:val="24"/>
        </w:rPr>
        <w:t>法定代表人委托书原件</w:t>
      </w:r>
      <w:r>
        <w:rPr>
          <w:rFonts w:hint="eastAsia" w:ascii="宋体" w:hAnsi="宋体" w:cs="宋体"/>
          <w:sz w:val="24"/>
          <w:szCs w:val="24"/>
          <w:lang w:val="en-US" w:eastAsia="zh-CN"/>
        </w:rPr>
        <w:t>扫描件</w:t>
      </w:r>
      <w:r>
        <w:rPr>
          <w:rFonts w:hint="eastAsia" w:ascii="宋体" w:hAnsi="宋体" w:cs="宋体"/>
          <w:sz w:val="24"/>
          <w:szCs w:val="24"/>
        </w:rPr>
        <w:t>、法定代表人身份证及授权代表人身份证</w:t>
      </w:r>
      <w:r>
        <w:rPr>
          <w:rFonts w:hint="eastAsia" w:ascii="宋体" w:hAnsi="宋体" w:cs="宋体"/>
          <w:sz w:val="24"/>
          <w:szCs w:val="24"/>
          <w:lang w:val="en-US" w:eastAsia="zh-CN"/>
        </w:rPr>
        <w:t>扫描件</w:t>
      </w:r>
      <w:r>
        <w:rPr>
          <w:rFonts w:hint="eastAsia" w:ascii="宋体" w:hAnsi="宋体" w:cs="宋体"/>
          <w:sz w:val="24"/>
          <w:szCs w:val="24"/>
        </w:rPr>
        <w:t>；</w:t>
      </w:r>
    </w:p>
    <w:p>
      <w:pPr>
        <w:pStyle w:val="36"/>
        <w:numPr>
          <w:ilvl w:val="0"/>
          <w:numId w:val="2"/>
        </w:numPr>
        <w:spacing w:before="0" w:beforeAutospacing="0" w:after="0" w:afterAutospacing="0" w:line="500" w:lineRule="exact"/>
        <w:ind w:firstLine="408" w:firstLineChars="170"/>
        <w:rPr>
          <w:rFonts w:ascii="宋体" w:hAnsi="宋体" w:cs="宋体"/>
          <w:color w:val="auto"/>
          <w:sz w:val="24"/>
          <w:szCs w:val="24"/>
        </w:rPr>
      </w:pPr>
      <w:r>
        <w:rPr>
          <w:rFonts w:hint="eastAsia" w:ascii="宋体" w:hAnsi="宋体" w:cs="宋体"/>
          <w:color w:val="auto"/>
          <w:sz w:val="24"/>
          <w:szCs w:val="24"/>
        </w:rPr>
        <w:t>招标文件下载截图。</w:t>
      </w:r>
    </w:p>
    <w:p>
      <w:pPr>
        <w:pStyle w:val="36"/>
        <w:numPr>
          <w:ilvl w:val="0"/>
          <w:numId w:val="2"/>
        </w:numPr>
        <w:spacing w:before="0" w:beforeAutospacing="0" w:after="0" w:afterAutospacing="0" w:line="500" w:lineRule="exact"/>
        <w:ind w:firstLine="410" w:firstLineChars="170"/>
        <w:rPr>
          <w:rFonts w:ascii="宋体" w:hAnsi="宋体"/>
          <w:b/>
          <w:color w:val="auto"/>
          <w:sz w:val="24"/>
          <w:szCs w:val="24"/>
        </w:rPr>
      </w:pPr>
      <w:r>
        <w:rPr>
          <w:rFonts w:hint="eastAsia" w:ascii="宋体" w:hAnsi="宋体" w:cs="宋体"/>
          <w:b/>
          <w:bCs/>
          <w:color w:val="auto"/>
          <w:sz w:val="24"/>
          <w:szCs w:val="24"/>
        </w:rPr>
        <w:t xml:space="preserve"> 八．凡</w:t>
      </w:r>
      <w:r>
        <w:rPr>
          <w:rFonts w:hint="eastAsia" w:ascii="宋体" w:hAnsi="宋体"/>
          <w:b/>
          <w:color w:val="auto"/>
          <w:sz w:val="24"/>
          <w:szCs w:val="24"/>
        </w:rPr>
        <w:t>对本次招标提出询问，请按以下方式联系。</w:t>
      </w:r>
    </w:p>
    <w:p>
      <w:pPr>
        <w:pStyle w:val="5"/>
        <w:spacing w:line="500" w:lineRule="exact"/>
        <w:ind w:firstLine="720" w:firstLineChars="300"/>
        <w:jc w:val="left"/>
        <w:rPr>
          <w:rFonts w:ascii="宋体" w:hAnsi="宋体" w:eastAsia="宋体" w:cs="宋体"/>
          <w:b w:val="0"/>
          <w:sz w:val="24"/>
          <w:szCs w:val="24"/>
        </w:rPr>
      </w:pPr>
      <w:bookmarkStart w:id="15" w:name="_Toc35393637"/>
      <w:bookmarkStart w:id="16" w:name="_Toc28359096"/>
      <w:bookmarkStart w:id="17" w:name="_Toc35393806"/>
      <w:bookmarkStart w:id="18" w:name="_Toc28359019"/>
      <w:bookmarkStart w:id="19" w:name="_Toc14703"/>
      <w:r>
        <w:rPr>
          <w:rFonts w:hint="eastAsia" w:ascii="宋体" w:hAnsi="宋体" w:eastAsia="宋体" w:cs="宋体"/>
          <w:b w:val="0"/>
          <w:sz w:val="24"/>
          <w:szCs w:val="24"/>
        </w:rPr>
        <w:t>1.采购人信息</w:t>
      </w:r>
      <w:bookmarkEnd w:id="15"/>
      <w:bookmarkEnd w:id="16"/>
      <w:bookmarkEnd w:id="17"/>
      <w:bookmarkEnd w:id="18"/>
    </w:p>
    <w:p>
      <w:pPr>
        <w:pStyle w:val="5"/>
        <w:spacing w:line="500" w:lineRule="exact"/>
        <w:ind w:firstLine="720" w:firstLineChars="300"/>
        <w:jc w:val="left"/>
        <w:rPr>
          <w:rFonts w:ascii="宋体" w:hAnsi="宋体" w:eastAsia="宋体" w:cs="宋体"/>
          <w:b w:val="0"/>
          <w:bCs w:val="0"/>
          <w:kern w:val="2"/>
          <w:sz w:val="24"/>
          <w:szCs w:val="24"/>
          <w:u w:val="single"/>
        </w:rPr>
      </w:pPr>
      <w:r>
        <w:rPr>
          <w:rFonts w:hint="eastAsia" w:ascii="宋体" w:hAnsi="宋体" w:eastAsia="宋体" w:cs="宋体"/>
          <w:b w:val="0"/>
          <w:bCs w:val="0"/>
          <w:kern w:val="2"/>
          <w:sz w:val="24"/>
          <w:szCs w:val="24"/>
        </w:rPr>
        <w:t>名    称：</w:t>
      </w:r>
      <w:r>
        <w:rPr>
          <w:rFonts w:hint="eastAsia" w:ascii="宋体" w:hAnsi="宋体" w:eastAsia="宋体" w:cs="宋体"/>
          <w:b w:val="0"/>
          <w:bCs w:val="0"/>
          <w:kern w:val="2"/>
          <w:sz w:val="24"/>
          <w:szCs w:val="24"/>
          <w:u w:val="single"/>
        </w:rPr>
        <w:t>北京建工集团有限责任公司</w:t>
      </w:r>
    </w:p>
    <w:p>
      <w:pPr>
        <w:spacing w:line="500" w:lineRule="exact"/>
        <w:ind w:left="2039" w:leftChars="371" w:hanging="1260" w:hangingChars="525"/>
        <w:jc w:val="left"/>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丰城市循环经济园区（三期）纬六路与经三路交叉口东南侧，丰城园区污水处理厂北京建工项目部</w:t>
      </w:r>
    </w:p>
    <w:p>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 xml:space="preserve">　肖经理 </w:t>
      </w:r>
      <w:r>
        <w:rPr>
          <w:rFonts w:hint="eastAsia" w:ascii="宋体" w:hAnsi="宋体"/>
          <w:spacing w:val="2"/>
          <w:kern w:val="0"/>
          <w:sz w:val="24"/>
          <w:szCs w:val="24"/>
          <w:u w:val="single"/>
        </w:rPr>
        <w:t>18772342168</w:t>
      </w:r>
      <w:r>
        <w:rPr>
          <w:rFonts w:hint="eastAsia" w:ascii="宋体" w:hAnsi="宋体" w:cs="宋体"/>
          <w:sz w:val="24"/>
          <w:szCs w:val="24"/>
          <w:u w:val="single"/>
        </w:rPr>
        <w:t xml:space="preserve">       </w:t>
      </w:r>
      <w:r>
        <w:rPr>
          <w:rFonts w:hint="eastAsia" w:ascii="宋体" w:hAnsi="宋体" w:cs="宋体"/>
          <w:sz w:val="24"/>
          <w:szCs w:val="24"/>
        </w:rPr>
        <w:t xml:space="preserve">              </w:t>
      </w:r>
      <w:bookmarkStart w:id="20" w:name="_Toc35393638"/>
      <w:bookmarkStart w:id="21" w:name="_Toc28359020"/>
      <w:bookmarkStart w:id="22" w:name="_Toc35393807"/>
      <w:bookmarkStart w:id="23" w:name="_Toc28359097"/>
    </w:p>
    <w:p>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20"/>
      <w:bookmarkEnd w:id="21"/>
      <w:bookmarkEnd w:id="22"/>
      <w:bookmarkEnd w:id="23"/>
    </w:p>
    <w:p>
      <w:pPr>
        <w:spacing w:line="500" w:lineRule="exact"/>
        <w:ind w:firstLine="720" w:firstLineChars="3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江西博采招标咨询有限公司</w:t>
      </w:r>
    </w:p>
    <w:p>
      <w:pPr>
        <w:spacing w:line="500" w:lineRule="exact"/>
        <w:ind w:firstLine="720" w:firstLineChars="3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南昌市红谷滩区丰和中大道1318号建设大厦高楼817室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联系方式：</w:t>
      </w:r>
      <w:r>
        <w:rPr>
          <w:rFonts w:hint="eastAsia" w:ascii="宋体" w:hAnsi="宋体" w:cs="宋体"/>
          <w:sz w:val="24"/>
          <w:szCs w:val="24"/>
          <w:u w:val="single"/>
        </w:rPr>
        <w:t xml:space="preserve">  18870857680   </w:t>
      </w:r>
    </w:p>
    <w:p>
      <w:pPr>
        <w:pStyle w:val="5"/>
        <w:spacing w:line="500" w:lineRule="exact"/>
        <w:ind w:firstLine="720" w:firstLineChars="300"/>
        <w:jc w:val="left"/>
        <w:rPr>
          <w:rFonts w:ascii="宋体" w:hAnsi="宋体" w:eastAsia="宋体" w:cs="宋体"/>
          <w:b w:val="0"/>
          <w:sz w:val="24"/>
          <w:szCs w:val="24"/>
        </w:rPr>
      </w:pPr>
      <w:bookmarkStart w:id="24" w:name="_Toc35393639"/>
      <w:bookmarkStart w:id="25" w:name="_Toc35393808"/>
      <w:bookmarkStart w:id="26" w:name="_Toc28359021"/>
      <w:bookmarkStart w:id="27" w:name="_Toc28359098"/>
      <w:r>
        <w:rPr>
          <w:rFonts w:hint="eastAsia" w:ascii="宋体" w:hAnsi="宋体" w:eastAsia="宋体" w:cs="宋体"/>
          <w:b w:val="0"/>
          <w:sz w:val="24"/>
          <w:szCs w:val="24"/>
        </w:rPr>
        <w:t>3.项目联系方式</w:t>
      </w:r>
      <w:bookmarkEnd w:id="24"/>
      <w:bookmarkEnd w:id="25"/>
      <w:bookmarkEnd w:id="26"/>
      <w:bookmarkEnd w:id="27"/>
    </w:p>
    <w:p>
      <w:pPr>
        <w:pStyle w:val="21"/>
        <w:spacing w:line="500" w:lineRule="exact"/>
        <w:ind w:firstLine="720" w:firstLineChars="300"/>
        <w:rPr>
          <w:rFonts w:hAnsi="宋体" w:cs="宋体"/>
          <w:sz w:val="24"/>
          <w:szCs w:val="24"/>
        </w:rPr>
      </w:pPr>
      <w:r>
        <w:rPr>
          <w:rFonts w:hint="eastAsia" w:hAnsi="宋体" w:cs="宋体"/>
          <w:sz w:val="24"/>
          <w:szCs w:val="24"/>
        </w:rPr>
        <w:t>项目联系人：</w:t>
      </w:r>
      <w:r>
        <w:rPr>
          <w:rFonts w:hint="eastAsia" w:hAnsi="宋体" w:cs="宋体"/>
          <w:sz w:val="24"/>
          <w:szCs w:val="24"/>
          <w:u w:val="single"/>
        </w:rPr>
        <w:t xml:space="preserve">卢女士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18870857680  </w:t>
      </w:r>
    </w:p>
    <w:p>
      <w:pPr>
        <w:pStyle w:val="4"/>
        <w:numPr>
          <w:ilvl w:val="0"/>
          <w:numId w:val="1"/>
        </w:numPr>
        <w:tabs>
          <w:tab w:val="left" w:pos="0"/>
        </w:tabs>
        <w:spacing w:after="240"/>
        <w:jc w:val="center"/>
        <w:rPr>
          <w:rFonts w:asciiTheme="majorEastAsia" w:hAnsiTheme="majorEastAsia" w:eastAsiaTheme="majorEastAsia" w:cstheme="majorEastAsia"/>
          <w:sz w:val="44"/>
        </w:rPr>
      </w:pPr>
      <w:r>
        <w:rPr>
          <w:rFonts w:hint="eastAsia" w:asciiTheme="majorEastAsia" w:hAnsiTheme="majorEastAsia" w:eastAsiaTheme="majorEastAsia" w:cstheme="majorEastAsia"/>
          <w:sz w:val="44"/>
        </w:rPr>
        <w:t>投标人须</w:t>
      </w:r>
      <w:bookmarkEnd w:id="11"/>
      <w:r>
        <w:rPr>
          <w:rFonts w:hint="eastAsia" w:asciiTheme="majorEastAsia" w:hAnsiTheme="majorEastAsia" w:eastAsiaTheme="majorEastAsia" w:cstheme="majorEastAsia"/>
          <w:sz w:val="44"/>
        </w:rPr>
        <w:t>知前</w:t>
      </w:r>
      <w:bookmarkEnd w:id="12"/>
      <w:r>
        <w:rPr>
          <w:rFonts w:hint="eastAsia" w:asciiTheme="majorEastAsia" w:hAnsiTheme="majorEastAsia" w:eastAsiaTheme="majorEastAsia" w:cstheme="majorEastAsia"/>
          <w:sz w:val="44"/>
        </w:rPr>
        <w:t>附表</w:t>
      </w:r>
      <w:bookmarkEnd w:id="13"/>
      <w:bookmarkEnd w:id="14"/>
      <w:bookmarkEnd w:id="19"/>
    </w:p>
    <w:tbl>
      <w:tblPr>
        <w:tblStyle w:val="41"/>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 w:type="dxa"/>
            <w:vAlign w:val="center"/>
          </w:tcPr>
          <w:p>
            <w:pPr>
              <w:spacing w:line="360" w:lineRule="auto"/>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8476" w:type="dxa"/>
            <w:vAlign w:val="center"/>
          </w:tcPr>
          <w:p>
            <w:pPr>
              <w:spacing w:line="360" w:lineRule="auto"/>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8476" w:type="dxa"/>
            <w:vAlign w:val="center"/>
          </w:tcPr>
          <w:p>
            <w:pPr>
              <w:spacing w:line="360" w:lineRule="auto"/>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项目名称：</w:t>
            </w:r>
            <w:r>
              <w:rPr>
                <w:rFonts w:hint="eastAsia" w:ascii="宋体" w:hAnsi="宋体" w:cs="宋体"/>
                <w:sz w:val="24"/>
                <w:szCs w:val="24"/>
              </w:rPr>
              <w:t>丰城市园区污水处理厂建设工程(丰城市循环经济园区吉岗岭污水处理厂项目)第二批机电安装设备、材料采购项目</w:t>
            </w:r>
          </w:p>
          <w:p>
            <w:pPr>
              <w:spacing w:line="360" w:lineRule="auto"/>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招标编号：</w:t>
            </w:r>
            <w:r>
              <w:rPr>
                <w:rFonts w:hint="eastAsia" w:ascii="宋体" w:hAnsi="宋体" w:cs="宋体" w:eastAsiaTheme="majorEastAsia"/>
                <w:sz w:val="24"/>
                <w:szCs w:val="24"/>
              </w:rPr>
              <w:t>BC2022-FCG002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8476" w:type="dxa"/>
            <w:vAlign w:val="center"/>
          </w:tcPr>
          <w:p>
            <w:pPr>
              <w:widowControl/>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采购人详见“第一章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采购代理机构详见“第一章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投标有效期：从提交投标文件的截止之日起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8476" w:type="dxa"/>
            <w:vAlign w:val="center"/>
          </w:tcPr>
          <w:p>
            <w:pPr>
              <w:spacing w:line="400" w:lineRule="exac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投标保证金金额：人民币</w:t>
            </w:r>
            <w:r>
              <w:rPr>
                <w:rFonts w:hint="eastAsia" w:asciiTheme="majorEastAsia" w:hAnsiTheme="majorEastAsia" w:eastAsiaTheme="majorEastAsia" w:cstheme="majorEastAsia"/>
                <w:b/>
                <w:bCs/>
                <w:kern w:val="0"/>
                <w:sz w:val="24"/>
                <w:szCs w:val="24"/>
                <w:u w:val="single"/>
              </w:rPr>
              <w:t>肆万元</w:t>
            </w:r>
            <w:r>
              <w:rPr>
                <w:rFonts w:hint="eastAsia" w:asciiTheme="majorEastAsia" w:hAnsiTheme="majorEastAsia" w:eastAsiaTheme="majorEastAsia" w:cstheme="majorEastAsia"/>
                <w:kern w:val="0"/>
                <w:sz w:val="24"/>
                <w:szCs w:val="24"/>
              </w:rPr>
              <w:t>整，须足额缴纳，保证金交至以下账户。</w:t>
            </w:r>
          </w:p>
          <w:p>
            <w:pPr>
              <w:widowControl/>
              <w:spacing w:line="440" w:lineRule="exact"/>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开户银行：</w:t>
            </w:r>
            <w:r>
              <w:rPr>
                <w:rFonts w:hint="eastAsia" w:ascii="宋体" w:hAnsi="宋体"/>
                <w:bCs/>
                <w:sz w:val="24"/>
                <w:szCs w:val="24"/>
              </w:rPr>
              <w:t xml:space="preserve">中国银行股份有限公司南昌市八一支行  </w:t>
            </w:r>
          </w:p>
          <w:p>
            <w:pPr>
              <w:widowControl/>
              <w:spacing w:line="440" w:lineRule="exact"/>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账户名称：</w:t>
            </w:r>
            <w:r>
              <w:rPr>
                <w:rFonts w:hint="eastAsia" w:ascii="宋体" w:hAnsi="宋体" w:eastAsiaTheme="majorEastAsia"/>
                <w:bCs/>
                <w:sz w:val="24"/>
                <w:szCs w:val="24"/>
              </w:rPr>
              <w:t>江西博采招标咨询有限公司</w:t>
            </w:r>
          </w:p>
          <w:p>
            <w:pPr>
              <w:tabs>
                <w:tab w:val="left" w:pos="4045"/>
              </w:tabs>
              <w:adjustRightInd w:val="0"/>
              <w:snapToGrid w:val="0"/>
              <w:spacing w:line="400" w:lineRule="exac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银行帐号：</w:t>
            </w:r>
            <w:r>
              <w:rPr>
                <w:rFonts w:hint="eastAsia" w:ascii="宋体" w:hAnsi="宋体" w:eastAsiaTheme="majorEastAsia"/>
                <w:bCs/>
                <w:sz w:val="24"/>
                <w:szCs w:val="24"/>
              </w:rPr>
              <w:t>203747782295</w:t>
            </w:r>
          </w:p>
          <w:p>
            <w:pPr>
              <w:tabs>
                <w:tab w:val="left" w:pos="4045"/>
              </w:tabs>
              <w:adjustRightInd w:val="0"/>
              <w:snapToGrid w:val="0"/>
              <w:spacing w:line="400" w:lineRule="exact"/>
              <w:rPr>
                <w:sz w:val="24"/>
                <w:szCs w:val="24"/>
              </w:rPr>
            </w:pPr>
            <w:r>
              <w:rPr>
                <w:sz w:val="24"/>
                <w:szCs w:val="24"/>
              </w:rPr>
              <w:t>投标保证金递交截止时间：</w:t>
            </w:r>
            <w:r>
              <w:rPr>
                <w:kern w:val="0"/>
                <w:sz w:val="24"/>
                <w:szCs w:val="24"/>
              </w:rPr>
              <w:t>开标日期前一</w:t>
            </w:r>
            <w:r>
              <w:rPr>
                <w:rFonts w:hint="eastAsia"/>
                <w:kern w:val="0"/>
                <w:sz w:val="24"/>
                <w:szCs w:val="24"/>
              </w:rPr>
              <w:t>天</w:t>
            </w:r>
            <w:r>
              <w:rPr>
                <w:sz w:val="24"/>
                <w:szCs w:val="24"/>
              </w:rPr>
              <w:t>1</w:t>
            </w:r>
            <w:r>
              <w:rPr>
                <w:rFonts w:hint="eastAsia"/>
                <w:sz w:val="24"/>
                <w:szCs w:val="24"/>
              </w:rPr>
              <w:t>7</w:t>
            </w:r>
            <w:r>
              <w:rPr>
                <w:sz w:val="24"/>
                <w:szCs w:val="24"/>
              </w:rPr>
              <w:t>:00（北</w:t>
            </w:r>
            <w:r>
              <w:rPr>
                <w:kern w:val="0"/>
                <w:sz w:val="24"/>
                <w:szCs w:val="24"/>
              </w:rPr>
              <w:t>京时间）之前。</w:t>
            </w:r>
            <w:r>
              <w:rPr>
                <w:sz w:val="24"/>
                <w:szCs w:val="24"/>
              </w:rPr>
              <w:t>投标保证金应在投标有效期内保持有效。</w:t>
            </w:r>
          </w:p>
          <w:p>
            <w:pPr>
              <w:spacing w:line="300" w:lineRule="auto"/>
            </w:pPr>
            <w:r>
              <w:rPr>
                <w:rFonts w:hint="eastAsia" w:asciiTheme="majorEastAsia" w:hAnsiTheme="majorEastAsia" w:eastAsiaTheme="majorEastAsia" w:cstheme="majorEastAsia"/>
                <w:kern w:val="0"/>
                <w:sz w:val="24"/>
                <w:szCs w:val="24"/>
              </w:rPr>
              <w:t>注：</w:t>
            </w:r>
            <w:r>
              <w:rPr>
                <w:rFonts w:ascii="宋体" w:hAnsi="宋体"/>
                <w:sz w:val="24"/>
                <w:szCs w:val="24"/>
              </w:rPr>
              <w:t>保证金应当采用</w:t>
            </w:r>
            <w:r>
              <w:rPr>
                <w:rFonts w:hint="eastAsia" w:ascii="宋体" w:hAnsi="宋体"/>
                <w:sz w:val="24"/>
                <w:szCs w:val="24"/>
              </w:rPr>
              <w:t>银行转账、</w:t>
            </w:r>
            <w:r>
              <w:rPr>
                <w:rFonts w:ascii="宋体" w:hAnsi="宋体"/>
                <w:sz w:val="24"/>
                <w:szCs w:val="24"/>
              </w:rPr>
              <w:t>支票、汇票、本票非现金形式交纳。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评标因素和评标方法：综合评分法，详见本招标文件第21、评标方法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中标通知书发放地点：</w:t>
            </w:r>
            <w:r>
              <w:rPr>
                <w:rFonts w:hint="eastAsia" w:ascii="宋体" w:hAnsi="宋体" w:cs="宋体" w:eastAsiaTheme="majorEastAsia"/>
                <w:kern w:val="0"/>
                <w:sz w:val="24"/>
                <w:szCs w:val="24"/>
              </w:rPr>
              <w:t>江西博采招标咨询有限公司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8476" w:type="dxa"/>
            <w:vAlign w:val="center"/>
          </w:tcPr>
          <w:p>
            <w:pPr>
              <w:spacing w:line="460" w:lineRule="exact"/>
              <w:rPr>
                <w:rFonts w:asciiTheme="majorEastAsia" w:hAnsiTheme="majorEastAsia" w:eastAsiaTheme="majorEastAsia" w:cstheme="majorEastAsia"/>
                <w:sz w:val="24"/>
                <w:szCs w:val="24"/>
                <w:lang w:val="en-GB"/>
              </w:rPr>
            </w:pPr>
            <w:r>
              <w:rPr>
                <w:rFonts w:hint="eastAsia" w:asciiTheme="majorEastAsia" w:hAnsiTheme="majorEastAsia" w:eastAsiaTheme="majorEastAsia" w:cstheme="majorEastAsia"/>
                <w:sz w:val="24"/>
                <w:szCs w:val="24"/>
              </w:rPr>
              <w:t>开标地点：详见“第一章 投标邀请”</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szCs w:val="24"/>
                <w:lang w:val="en-GB"/>
              </w:rPr>
              <w:t>开标时间：</w:t>
            </w:r>
            <w:r>
              <w:rPr>
                <w:rFonts w:hint="eastAsia" w:asciiTheme="majorEastAsia" w:hAnsiTheme="majorEastAsia" w:eastAsiaTheme="majorEastAsia" w:cstheme="majorEastAsia"/>
                <w:sz w:val="24"/>
                <w:szCs w:val="24"/>
              </w:rPr>
              <w:t>详见“第一章 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投标人应确保证明文件的真实性、有效性及合法性，否则，由此引起的任何责任都由投标人自行承担。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8476" w:type="dxa"/>
            <w:vAlign w:val="center"/>
          </w:tcPr>
          <w:p>
            <w:pPr>
              <w:spacing w:line="420" w:lineRule="exact"/>
              <w:rPr>
                <w:rFonts w:ascii="宋体" w:hAnsi="宋体" w:cs="宋体"/>
                <w:kern w:val="0"/>
                <w:sz w:val="24"/>
                <w:szCs w:val="24"/>
              </w:rPr>
            </w:pPr>
            <w:r>
              <w:rPr>
                <w:rFonts w:ascii="宋体" w:hAnsi="宋体"/>
                <w:sz w:val="24"/>
              </w:rPr>
              <w:t>本项目采购落实小微企业、监狱企业、 残疾人就业、节能、环保产品等政府采购政策：</w:t>
            </w:r>
            <w:r>
              <w:rPr>
                <w:rFonts w:hint="eastAsia" w:ascii="宋体" w:hAnsi="宋体"/>
                <w:bCs/>
                <w:sz w:val="24"/>
                <w:szCs w:val="24"/>
              </w:rPr>
              <w:t>对小型和微型企业参与本项目投标的企业，执行</w:t>
            </w:r>
            <w:r>
              <w:rPr>
                <w:rFonts w:hint="eastAsia" w:ascii="宋体" w:hAnsi="宋体" w:cs="宋体"/>
                <w:kern w:val="0"/>
                <w:sz w:val="24"/>
                <w:szCs w:val="24"/>
              </w:rPr>
              <w:t>（财库﹝2020﹞46 号）的相关规定，</w:t>
            </w:r>
            <w:r>
              <w:rPr>
                <w:rFonts w:hint="eastAsia" w:ascii="宋体" w:hAnsi="宋体"/>
                <w:bCs/>
                <w:sz w:val="24"/>
                <w:szCs w:val="24"/>
              </w:rPr>
              <w:t>用扣除后的价格参与评审；</w:t>
            </w:r>
          </w:p>
          <w:p>
            <w:pPr>
              <w:spacing w:line="420" w:lineRule="exact"/>
              <w:rPr>
                <w:rFonts w:ascii="宋体" w:hAnsi="宋体" w:cs="宋体"/>
                <w:kern w:val="0"/>
                <w:sz w:val="24"/>
                <w:szCs w:val="24"/>
              </w:rPr>
            </w:pPr>
            <w:r>
              <w:rPr>
                <w:rFonts w:ascii="宋体" w:hAnsi="宋体" w:cs="宋体"/>
                <w:kern w:val="0"/>
                <w:sz w:val="24"/>
                <w:szCs w:val="24"/>
              </w:rPr>
              <w:t>1、促进中小企业发展政策：根据《政府采购促进中小企业发展暂行办法》 规定，本项目供应商为小型或微型企业且所投产品为小型或微型企业生产的，将对该产品的响应报价给予</w:t>
            </w:r>
            <w:r>
              <w:rPr>
                <w:rFonts w:hint="eastAsia" w:ascii="宋体" w:hAnsi="宋体" w:cs="宋体"/>
                <w:kern w:val="0"/>
                <w:sz w:val="24"/>
                <w:szCs w:val="24"/>
                <w:lang w:val="en-US" w:eastAsia="zh-CN"/>
              </w:rPr>
              <w:t>10</w:t>
            </w:r>
            <w:r>
              <w:rPr>
                <w:rFonts w:ascii="宋体" w:hAnsi="宋体" w:cs="宋体"/>
                <w:kern w:val="0"/>
                <w:sz w:val="24"/>
                <w:szCs w:val="24"/>
              </w:rPr>
              <w:t>%的扣除。供应商应出具招标文件要求的《中小企业声明函》给予证明，否则评审时不予认可。供应商应对提交的中小企业声明函的真实性负责，提交的中小企业声明函不真实的，应承担相应的法律责任。</w:t>
            </w:r>
          </w:p>
          <w:p>
            <w:pPr>
              <w:spacing w:line="420" w:lineRule="exact"/>
              <w:rPr>
                <w:rFonts w:ascii="宋体" w:hAnsi="宋体" w:cs="宋体"/>
                <w:kern w:val="0"/>
                <w:sz w:val="24"/>
                <w:szCs w:val="24"/>
              </w:rPr>
            </w:pPr>
            <w:r>
              <w:rPr>
                <w:rFonts w:ascii="宋体" w:hAnsi="宋体" w:cs="宋体"/>
                <w:kern w:val="0"/>
                <w:sz w:val="24"/>
                <w:szCs w:val="24"/>
              </w:rPr>
              <w:t>2、监狱企业扶持政策：供应商如为监狱企业将视同为小型或微型企业，且所投产品为小型或微型企业生产的，将对该产品的响应报价给予</w:t>
            </w:r>
            <w:r>
              <w:rPr>
                <w:rFonts w:hint="eastAsia" w:ascii="宋体" w:hAnsi="宋体" w:cs="宋体"/>
                <w:kern w:val="0"/>
                <w:sz w:val="24"/>
                <w:szCs w:val="24"/>
                <w:lang w:val="en-US" w:eastAsia="zh-CN"/>
              </w:rPr>
              <w:t>10</w:t>
            </w:r>
            <w:r>
              <w:rPr>
                <w:rFonts w:ascii="宋体" w:hAnsi="宋体" w:cs="宋体"/>
                <w:kern w:val="0"/>
                <w:sz w:val="24"/>
                <w:szCs w:val="24"/>
              </w:rPr>
              <w:t>%的扣除。供应 商为监狱企业的，应提供由省级以上监狱管理局、戒毒管理局（含新疆生产建设兵团）出具的属于监狱企业的证明文件。供应商应对提交的属于监狱企业的 证明文件的真实性负责，提交的监狱企业的证明文件不真实的，应承担相应的 法律责任。</w:t>
            </w:r>
          </w:p>
          <w:p>
            <w:pPr>
              <w:spacing w:line="420" w:lineRule="exact"/>
              <w:rPr>
                <w:rFonts w:ascii="宋体" w:hAnsi="宋体" w:cs="宋体"/>
                <w:kern w:val="0"/>
                <w:sz w:val="24"/>
                <w:szCs w:val="24"/>
              </w:rPr>
            </w:pPr>
            <w:r>
              <w:rPr>
                <w:rFonts w:ascii="宋体" w:hAnsi="宋体" w:cs="宋体"/>
                <w:kern w:val="0"/>
                <w:sz w:val="24"/>
                <w:szCs w:val="24"/>
              </w:rPr>
              <w:t>3、残疾人福利性单位扶持政策：供应商如为残疾人福利性单位视同小型、微型企业享受中小企业发展的政府采购政策，应当提供《残疾人福利性单位声明函》。</w:t>
            </w:r>
          </w:p>
          <w:p>
            <w:pPr>
              <w:spacing w:line="420" w:lineRule="exac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政府采购节约能源政策：根据《国务院办公厅关于建立政府强制采购节能产品制度的通知》（国办发[2007]51号）及 《财政部发展改革委生态环境部市场监管总局关于调整优化节能产品、环境标志产品政府采购执行机制的通知 财库〔2019〕9号》的规定。本次采购中如涉及节能产品，将优先采购或强制采购具有节能产品认证证书且符合《关于印发节能产品政府采购品目清单的通知》（财库〔2019〕19号）中附件《节能产品政府采购品目清单》要求的产品。该品目清单以中国政府采购网公布的最新品目清单为准。</w:t>
            </w:r>
          </w:p>
          <w:p>
            <w:pPr>
              <w:spacing w:line="360" w:lineRule="auto"/>
              <w:rPr>
                <w:rFonts w:asciiTheme="majorEastAsia" w:hAnsiTheme="majorEastAsia" w:eastAsiaTheme="majorEastAsia" w:cstheme="majorEastAsia"/>
                <w:sz w:val="24"/>
                <w:szCs w:val="24"/>
              </w:rPr>
            </w:pPr>
            <w:r>
              <w:rPr>
                <w:rFonts w:ascii="宋体" w:hAnsi="宋体" w:cs="宋体"/>
                <w:kern w:val="0"/>
                <w:sz w:val="24"/>
                <w:szCs w:val="24"/>
              </w:rPr>
              <w:t>5.</w:t>
            </w:r>
            <w:r>
              <w:rPr>
                <w:rFonts w:hint="eastAsia" w:ascii="宋体" w:hAnsi="宋体" w:cs="宋体"/>
                <w:kern w:val="0"/>
                <w:sz w:val="24"/>
                <w:szCs w:val="24"/>
              </w:rPr>
              <w:t>政府采购环境保护政策：根据《环境标志产品政府采购实施的意见》（财库[2006]90号）及 《财政部 发展改革委 生态环境部 市场监管总局 关于调整优化节能产品、环境标志产品政府采购执行机制的通知 财库〔2019〕9号》的的规定。本次采购中如涉及环境标志产品，将优先采购具有环境标志产品认证证书且符合《关于印发环境标志产品政府采购品目清单的通知》（财库〔2019〕18号）中附件《环境产品政府采购品目清单》要求的产品。该品目清单以中国政府采购网公布的最新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bookmarkStart w:id="28" w:name="_Hlt519045778"/>
            <w:bookmarkEnd w:id="28"/>
            <w:bookmarkStart w:id="29" w:name="_Hlt509650027"/>
            <w:bookmarkEnd w:id="29"/>
            <w:bookmarkStart w:id="30" w:name="_Toc377982316"/>
            <w:bookmarkStart w:id="31" w:name="_Toc147282123"/>
            <w:r>
              <w:rPr>
                <w:rFonts w:hint="eastAsia" w:asciiTheme="majorEastAsia" w:hAnsiTheme="majorEastAsia" w:eastAsiaTheme="majorEastAsia" w:cstheme="majorEastAsia"/>
                <w:sz w:val="24"/>
                <w:szCs w:val="24"/>
              </w:rPr>
              <w:t>11</w:t>
            </w:r>
          </w:p>
        </w:tc>
        <w:tc>
          <w:tcPr>
            <w:tcW w:w="8476" w:type="dxa"/>
            <w:vAlign w:val="center"/>
          </w:tcPr>
          <w:p>
            <w:pPr>
              <w:spacing w:line="360" w:lineRule="auto"/>
              <w:rPr>
                <w:rFonts w:ascii="宋体" w:hAnsi="宋体" w:cs="宋体"/>
                <w:kern w:val="0"/>
                <w:sz w:val="24"/>
                <w:szCs w:val="24"/>
              </w:rPr>
            </w:pPr>
            <w:r>
              <w:rPr>
                <w:rFonts w:hint="eastAsia" w:ascii="宋体" w:hAnsi="宋体" w:cs="宋体"/>
                <w:kern w:val="0"/>
                <w:sz w:val="24"/>
                <w:szCs w:val="24"/>
              </w:rPr>
              <w:t>（1）向中标单位收取采购代理服务费，采购代理服务费按丰府办发【2020】54号文收取，中标单位在领中标通知书时一次性支付给采购代理公司。</w:t>
            </w:r>
          </w:p>
          <w:p>
            <w:pPr>
              <w:spacing w:line="360" w:lineRule="auto"/>
              <w:rPr>
                <w:rFonts w:asciiTheme="majorEastAsia" w:hAnsiTheme="majorEastAsia" w:cstheme="majorEastAsia"/>
                <w:bCs/>
                <w:sz w:val="24"/>
                <w:szCs w:val="24"/>
              </w:rPr>
            </w:pPr>
            <w:r>
              <w:rPr>
                <w:rFonts w:hint="eastAsia" w:ascii="宋体" w:hAnsi="宋体" w:cs="宋体"/>
                <w:kern w:val="0"/>
                <w:sz w:val="24"/>
                <w:szCs w:val="24"/>
              </w:rPr>
              <w:t>(2)以《中标通知书》中规定的中标总金额作为收费的计算基数。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8476" w:type="dxa"/>
            <w:vAlign w:val="center"/>
          </w:tcPr>
          <w:p>
            <w:pPr>
              <w:spacing w:line="360" w:lineRule="auto"/>
              <w:rPr>
                <w:rFonts w:asciiTheme="majorEastAsia" w:hAnsiTheme="majorEastAsia" w:cstheme="majorEastAsia"/>
                <w:sz w:val="24"/>
                <w:szCs w:val="24"/>
              </w:rPr>
            </w:pPr>
            <w:r>
              <w:rPr>
                <w:rFonts w:hint="eastAsia" w:ascii="宋体" w:hAnsi="宋体" w:cs="宋体"/>
                <w:kern w:val="0"/>
                <w:sz w:val="24"/>
                <w:szCs w:val="24"/>
              </w:rPr>
              <w:t>投标截止时间前现场递交（一正、二副）纸质投标文件及一份电子版（U盘）投标文件。注：投标文件正、副本均须胶装，否则视为无效响应。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质保期；贰年（自工程竣工验收合格之日起计算）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8476" w:type="dxa"/>
            <w:vAlign w:val="center"/>
          </w:tcPr>
          <w:p>
            <w:pPr>
              <w:spacing w:line="360" w:lineRule="auto"/>
              <w:rPr>
                <w:rFonts w:asciiTheme="majorEastAsia" w:hAnsiTheme="majorEastAsia" w:eastAsiaTheme="majorEastAsia" w:cstheme="majorEastAsia"/>
                <w:sz w:val="24"/>
                <w:szCs w:val="24"/>
              </w:rPr>
            </w:pPr>
            <w:r>
              <w:rPr>
                <w:rFonts w:hint="eastAsia" w:ascii="宋体" w:hAnsi="宋体"/>
                <w:kern w:val="0"/>
                <w:sz w:val="24"/>
                <w:szCs w:val="24"/>
              </w:rPr>
              <w:t>质量保证金：</w:t>
            </w:r>
            <w:r>
              <w:rPr>
                <w:rFonts w:hint="eastAsia" w:ascii="宋体" w:hAnsi="宋体" w:cs="宋体"/>
                <w:kern w:val="0"/>
                <w:sz w:val="24"/>
              </w:rPr>
              <w:t>按货物合同总价的3%收取，待质保期满24个月后一个月内一次性无息支付中标人扣除招标人代为维修发生的费用（如有）后的全部款项</w:t>
            </w:r>
            <w:r>
              <w:rPr>
                <w:rFonts w:hint="eastAsia"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8476" w:type="dxa"/>
            <w:vAlign w:val="center"/>
          </w:tcPr>
          <w:p>
            <w:pPr>
              <w:spacing w:line="360" w:lineRule="auto"/>
              <w:rPr>
                <w:rFonts w:ascii="宋体" w:hAnsi="宋体"/>
                <w:kern w:val="0"/>
                <w:sz w:val="24"/>
                <w:szCs w:val="24"/>
              </w:rPr>
            </w:pPr>
            <w:r>
              <w:rPr>
                <w:rFonts w:hint="eastAsia" w:ascii="宋体" w:hAnsi="宋体"/>
                <w:kern w:val="0"/>
                <w:sz w:val="24"/>
                <w:szCs w:val="24"/>
              </w:rPr>
              <w:t>评审标准和方法：综合评分法。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5" w:type="dxa"/>
            <w:vAlign w:val="center"/>
          </w:tcPr>
          <w:p>
            <w:pPr>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8476" w:type="dxa"/>
            <w:vAlign w:val="center"/>
          </w:tcPr>
          <w:p>
            <w:pPr>
              <w:spacing w:line="360" w:lineRule="auto"/>
              <w:rPr>
                <w:rFonts w:ascii="宋体" w:hAnsi="宋体"/>
                <w:kern w:val="0"/>
                <w:sz w:val="24"/>
                <w:szCs w:val="24"/>
              </w:rPr>
            </w:pPr>
            <w:r>
              <w:rPr>
                <w:rFonts w:hint="eastAsia" w:ascii="宋体" w:hAnsi="宋体"/>
                <w:kern w:val="0"/>
                <w:sz w:val="24"/>
                <w:szCs w:val="24"/>
              </w:rPr>
              <w:t>本项目采购公告、变更公告及中标结果公示发布媒介：中国政府采购网官网（http://www.ccgp.gov.cn/），公告报名招标文件领取时间(自本公告发布之日起不少于5个工作日),中标结果公示（中标公告期限为1个工作日）。</w:t>
            </w:r>
          </w:p>
        </w:tc>
      </w:tr>
    </w:tbl>
    <w:p>
      <w:pPr>
        <w:rPr>
          <w:rFonts w:asciiTheme="majorEastAsia" w:hAnsiTheme="majorEastAsia" w:eastAsiaTheme="majorEastAsia" w:cstheme="majorEastAsia"/>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286" w:bottom="1440" w:left="1797" w:header="851" w:footer="992" w:gutter="0"/>
          <w:cols w:space="720" w:num="1"/>
          <w:titlePg/>
          <w:docGrid w:type="lines" w:linePitch="312" w:charSpace="0"/>
        </w:sectPr>
      </w:pPr>
    </w:p>
    <w:p>
      <w:pPr>
        <w:pStyle w:val="4"/>
        <w:numPr>
          <w:ilvl w:val="0"/>
          <w:numId w:val="1"/>
        </w:numPr>
        <w:tabs>
          <w:tab w:val="left" w:pos="0"/>
          <w:tab w:val="clear" w:pos="1440"/>
        </w:tabs>
        <w:spacing w:after="240"/>
        <w:ind w:left="840" w:firstLine="0"/>
        <w:jc w:val="center"/>
        <w:rPr>
          <w:rFonts w:asciiTheme="majorEastAsia" w:hAnsiTheme="majorEastAsia" w:eastAsiaTheme="majorEastAsia" w:cstheme="majorEastAsia"/>
          <w:sz w:val="44"/>
        </w:rPr>
      </w:pPr>
      <w:bookmarkStart w:id="32" w:name="_Toc5788"/>
      <w:r>
        <w:rPr>
          <w:rFonts w:hint="eastAsia" w:asciiTheme="majorEastAsia" w:hAnsiTheme="majorEastAsia" w:eastAsiaTheme="majorEastAsia" w:cstheme="majorEastAsia"/>
          <w:sz w:val="44"/>
        </w:rPr>
        <w:t>投标人须知</w:t>
      </w:r>
      <w:bookmarkEnd w:id="30"/>
      <w:bookmarkEnd w:id="31"/>
      <w:bookmarkEnd w:id="32"/>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33" w:name="_Hlt509649722"/>
      <w:bookmarkEnd w:id="33"/>
      <w:bookmarkStart w:id="34" w:name="_Hlt509649998"/>
      <w:bookmarkEnd w:id="34"/>
      <w:bookmarkStart w:id="35" w:name="_Hlt509650686"/>
      <w:bookmarkEnd w:id="35"/>
      <w:bookmarkStart w:id="36" w:name="_Hlt509650126"/>
      <w:bookmarkEnd w:id="36"/>
      <w:bookmarkStart w:id="37" w:name="_Hlt509650955"/>
      <w:bookmarkEnd w:id="37"/>
      <w:bookmarkStart w:id="38" w:name="_Hlt526418143"/>
      <w:bookmarkEnd w:id="38"/>
      <w:bookmarkStart w:id="39" w:name="_Toc377982317"/>
      <w:bookmarkStart w:id="40" w:name="_Toc29560"/>
      <w:bookmarkStart w:id="41" w:name="_Toc147282124"/>
      <w:r>
        <w:rPr>
          <w:rFonts w:hint="eastAsia" w:asciiTheme="majorEastAsia" w:hAnsiTheme="majorEastAsia" w:eastAsiaTheme="majorEastAsia" w:cstheme="majorEastAsia"/>
          <w:b w:val="0"/>
          <w:sz w:val="36"/>
          <w:szCs w:val="36"/>
        </w:rPr>
        <w:t>总  则</w:t>
      </w:r>
      <w:bookmarkEnd w:id="39"/>
      <w:bookmarkEnd w:id="40"/>
      <w:bookmarkEnd w:id="41"/>
    </w:p>
    <w:p>
      <w:pPr>
        <w:pStyle w:val="7"/>
        <w:spacing w:after="0" w:line="320" w:lineRule="exact"/>
        <w:rPr>
          <w:rFonts w:asciiTheme="majorEastAsia" w:hAnsiTheme="majorEastAsia" w:eastAsiaTheme="majorEastAsia" w:cstheme="majorEastAsia"/>
          <w:b w:val="0"/>
        </w:rPr>
      </w:pPr>
      <w:bookmarkStart w:id="42" w:name="_Toc26089"/>
      <w:bookmarkStart w:id="43" w:name="_Toc28403"/>
      <w:bookmarkStart w:id="44" w:name="_Toc377982318"/>
      <w:r>
        <w:rPr>
          <w:rFonts w:hint="eastAsia" w:asciiTheme="majorEastAsia" w:hAnsiTheme="majorEastAsia" w:eastAsiaTheme="majorEastAsia" w:cstheme="majorEastAsia"/>
          <w:b w:val="0"/>
        </w:rPr>
        <w:t>1．招标方式</w:t>
      </w:r>
      <w:bookmarkEnd w:id="42"/>
      <w:bookmarkEnd w:id="43"/>
      <w:bookmarkEnd w:id="44"/>
    </w:p>
    <w:p>
      <w:pPr>
        <w:spacing w:line="320" w:lineRule="exact"/>
        <w:ind w:firstLine="48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1.1本次招标采取</w:t>
      </w:r>
      <w:r>
        <w:rPr>
          <w:rFonts w:hint="eastAsia" w:asciiTheme="majorEastAsia" w:hAnsiTheme="majorEastAsia" w:eastAsiaTheme="majorEastAsia" w:cstheme="majorEastAsia"/>
          <w:b/>
          <w:sz w:val="24"/>
          <w:szCs w:val="24"/>
          <w:u w:val="single"/>
        </w:rPr>
        <w:t>公开招标</w:t>
      </w:r>
      <w:r>
        <w:rPr>
          <w:rFonts w:hint="eastAsia" w:asciiTheme="majorEastAsia" w:hAnsiTheme="majorEastAsia" w:eastAsiaTheme="majorEastAsia" w:cstheme="majorEastAsia"/>
          <w:sz w:val="24"/>
          <w:szCs w:val="24"/>
        </w:rPr>
        <w:t>方式。</w:t>
      </w:r>
    </w:p>
    <w:p>
      <w:pPr>
        <w:pStyle w:val="7"/>
        <w:spacing w:after="0" w:line="320" w:lineRule="exact"/>
        <w:rPr>
          <w:rFonts w:asciiTheme="majorEastAsia" w:hAnsiTheme="majorEastAsia" w:eastAsiaTheme="majorEastAsia" w:cstheme="majorEastAsia"/>
          <w:b w:val="0"/>
        </w:rPr>
      </w:pPr>
      <w:bookmarkStart w:id="45" w:name="_Toc377982319"/>
      <w:bookmarkStart w:id="46" w:name="_Toc26551"/>
      <w:bookmarkStart w:id="47" w:name="_Toc248"/>
      <w:r>
        <w:rPr>
          <w:rFonts w:hint="eastAsia" w:asciiTheme="majorEastAsia" w:hAnsiTheme="majorEastAsia" w:eastAsiaTheme="majorEastAsia" w:cstheme="majorEastAsia"/>
          <w:b w:val="0"/>
        </w:rPr>
        <w:t>2．投标费用</w:t>
      </w:r>
      <w:bookmarkEnd w:id="45"/>
      <w:bookmarkEnd w:id="46"/>
      <w:bookmarkEnd w:id="47"/>
    </w:p>
    <w:p>
      <w:pPr>
        <w:spacing w:line="320" w:lineRule="exact"/>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2.1无论投标结果如何，投标人应自行承担其编制与递交投标文件所涉及的一切费用。</w:t>
      </w:r>
    </w:p>
    <w:p>
      <w:pPr>
        <w:pStyle w:val="7"/>
        <w:spacing w:after="0" w:line="320" w:lineRule="exact"/>
        <w:rPr>
          <w:rFonts w:asciiTheme="majorEastAsia" w:hAnsiTheme="majorEastAsia" w:eastAsiaTheme="majorEastAsia" w:cstheme="majorEastAsia"/>
          <w:b w:val="0"/>
        </w:rPr>
      </w:pPr>
      <w:bookmarkStart w:id="48" w:name="_Toc377982320"/>
      <w:bookmarkStart w:id="49" w:name="_Toc28756"/>
      <w:bookmarkStart w:id="50" w:name="_Toc18561"/>
      <w:r>
        <w:rPr>
          <w:rFonts w:hint="eastAsia" w:asciiTheme="majorEastAsia" w:hAnsiTheme="majorEastAsia" w:eastAsiaTheme="majorEastAsia" w:cstheme="majorEastAsia"/>
          <w:b w:val="0"/>
        </w:rPr>
        <w:t>3．合格的投标人</w:t>
      </w:r>
      <w:bookmarkEnd w:id="48"/>
      <w:bookmarkEnd w:id="49"/>
      <w:bookmarkEnd w:id="50"/>
    </w:p>
    <w:p>
      <w:pPr>
        <w:pStyle w:val="7"/>
        <w:spacing w:after="0" w:line="320" w:lineRule="exact"/>
        <w:ind w:firstLine="360" w:firstLineChars="150"/>
        <w:rPr>
          <w:rFonts w:asciiTheme="majorEastAsia" w:hAnsiTheme="majorEastAsia" w:eastAsiaTheme="majorEastAsia" w:cstheme="majorEastAsia"/>
          <w:b w:val="0"/>
          <w:bCs w:val="0"/>
          <w:kern w:val="2"/>
          <w:sz w:val="24"/>
          <w:szCs w:val="24"/>
        </w:rPr>
      </w:pPr>
      <w:bookmarkStart w:id="51" w:name="_Toc22932"/>
      <w:r>
        <w:rPr>
          <w:rFonts w:hint="eastAsia" w:asciiTheme="majorEastAsia" w:hAnsiTheme="majorEastAsia" w:eastAsiaTheme="majorEastAsia" w:cstheme="majorEastAsia"/>
          <w:b w:val="0"/>
          <w:bCs w:val="0"/>
          <w:kern w:val="2"/>
          <w:sz w:val="24"/>
          <w:szCs w:val="24"/>
        </w:rPr>
        <w:t>3.1 投标人的资格条件： 详见“第一章 投标邀请”及投标人须知前附表。</w:t>
      </w:r>
      <w:bookmarkEnd w:id="51"/>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52" w:name="_Hlt509649678"/>
      <w:bookmarkEnd w:id="52"/>
      <w:bookmarkStart w:id="53" w:name="_Hlt509650936"/>
      <w:bookmarkEnd w:id="53"/>
      <w:bookmarkStart w:id="54" w:name="_Hlt509650961"/>
      <w:bookmarkEnd w:id="54"/>
      <w:bookmarkStart w:id="55" w:name="_Hlt509650929"/>
      <w:bookmarkEnd w:id="55"/>
      <w:bookmarkStart w:id="56" w:name="_Hlt509650116"/>
      <w:bookmarkEnd w:id="56"/>
      <w:bookmarkStart w:id="57" w:name="_Hlt509649795"/>
      <w:bookmarkEnd w:id="57"/>
      <w:bookmarkStart w:id="58" w:name="_Hlt509650103"/>
      <w:bookmarkEnd w:id="58"/>
      <w:bookmarkStart w:id="59" w:name="_Hlt509649330"/>
      <w:bookmarkEnd w:id="59"/>
      <w:bookmarkStart w:id="60" w:name="_Hlt509650690"/>
      <w:bookmarkEnd w:id="60"/>
      <w:bookmarkStart w:id="61" w:name="_Hlt509650932"/>
      <w:bookmarkEnd w:id="61"/>
      <w:bookmarkStart w:id="62" w:name="_Hlt509649669"/>
      <w:bookmarkEnd w:id="62"/>
      <w:bookmarkStart w:id="63" w:name="_Hlt509649645"/>
      <w:bookmarkEnd w:id="63"/>
      <w:bookmarkStart w:id="64" w:name="_Hlt526418153"/>
      <w:bookmarkEnd w:id="64"/>
      <w:bookmarkStart w:id="65" w:name="_Hlt509650333"/>
      <w:bookmarkEnd w:id="65"/>
      <w:bookmarkStart w:id="66" w:name="_Toc377982321"/>
      <w:bookmarkStart w:id="67" w:name="_Toc147282125"/>
      <w:bookmarkStart w:id="68" w:name="_Toc19721"/>
      <w:r>
        <w:rPr>
          <w:rFonts w:hint="eastAsia" w:asciiTheme="majorEastAsia" w:hAnsiTheme="majorEastAsia" w:eastAsiaTheme="majorEastAsia" w:cstheme="majorEastAsia"/>
          <w:b w:val="0"/>
          <w:sz w:val="36"/>
          <w:szCs w:val="36"/>
        </w:rPr>
        <w:t>招标文件</w:t>
      </w:r>
      <w:bookmarkEnd w:id="66"/>
      <w:bookmarkEnd w:id="67"/>
      <w:bookmarkEnd w:id="68"/>
      <w:bookmarkStart w:id="69" w:name="_Hlt509649930"/>
      <w:bookmarkEnd w:id="69"/>
      <w:bookmarkStart w:id="70" w:name="_Hlt509650361"/>
      <w:bookmarkEnd w:id="70"/>
      <w:bookmarkStart w:id="71" w:name="_Hlt509649791"/>
      <w:bookmarkEnd w:id="71"/>
    </w:p>
    <w:p>
      <w:pPr>
        <w:pStyle w:val="7"/>
        <w:spacing w:after="0" w:line="360" w:lineRule="auto"/>
        <w:rPr>
          <w:rFonts w:asciiTheme="majorEastAsia" w:hAnsiTheme="majorEastAsia" w:eastAsiaTheme="majorEastAsia" w:cstheme="majorEastAsia"/>
          <w:b w:val="0"/>
        </w:rPr>
      </w:pPr>
      <w:bookmarkStart w:id="72" w:name="_Hlt509650734"/>
      <w:bookmarkEnd w:id="72"/>
      <w:bookmarkStart w:id="73" w:name="_Toc377982322"/>
      <w:bookmarkStart w:id="74" w:name="_Toc11293"/>
      <w:bookmarkStart w:id="75" w:name="_Toc9595"/>
      <w:r>
        <w:rPr>
          <w:rFonts w:hint="eastAsia" w:asciiTheme="majorEastAsia" w:hAnsiTheme="majorEastAsia" w:eastAsiaTheme="majorEastAsia" w:cstheme="majorEastAsia"/>
          <w:b w:val="0"/>
        </w:rPr>
        <w:t>4．招标文件构成</w:t>
      </w:r>
      <w:bookmarkEnd w:id="73"/>
      <w:bookmarkEnd w:id="74"/>
      <w:bookmarkEnd w:id="75"/>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  招标文件包括以下两部分：</w:t>
      </w:r>
    </w:p>
    <w:p>
      <w:pPr>
        <w:spacing w:line="360" w:lineRule="auto"/>
        <w:ind w:firstLine="482"/>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第一部分招标文件</w:t>
      </w:r>
    </w:p>
    <w:p>
      <w:pPr>
        <w:spacing w:line="360" w:lineRule="auto"/>
        <w:ind w:firstLine="480"/>
        <w:rPr>
          <w:rFonts w:asciiTheme="majorEastAsia" w:hAnsiTheme="majorEastAsia" w:eastAsiaTheme="majorEastAsia" w:cstheme="majorEastAsia"/>
          <w:sz w:val="24"/>
          <w:szCs w:val="24"/>
        </w:rPr>
      </w:pPr>
      <w:bookmarkStart w:id="76" w:name="_Hlt509650925"/>
      <w:bookmarkEnd w:id="76"/>
      <w:r>
        <w:rPr>
          <w:rFonts w:hint="eastAsia" w:asciiTheme="majorEastAsia" w:hAnsiTheme="majorEastAsia" w:eastAsiaTheme="majorEastAsia" w:cstheme="majorEastAsia"/>
          <w:sz w:val="24"/>
          <w:szCs w:val="24"/>
        </w:rPr>
        <w:t>第一章 投标邀请</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投标人须知前附表</w:t>
      </w:r>
      <w:bookmarkStart w:id="77" w:name="_Hlt509650265"/>
      <w:bookmarkEnd w:id="77"/>
      <w:bookmarkStart w:id="78" w:name="_Hlt509650237"/>
      <w:bookmarkEnd w:id="78"/>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第三章 投标人须知</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第四章 货物需求一览表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第五章 合同条款</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第六章 合同格式</w:t>
      </w:r>
    </w:p>
    <w:p>
      <w:pPr>
        <w:spacing w:line="360" w:lineRule="auto"/>
        <w:ind w:firstLine="482"/>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第二部分投标文件格式</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第七章 附件</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1、投标书</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2、开标一览表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3、开标一览表明细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4、分项报价表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5、技术响应偏离表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6、商务响应偏离表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7、投标人的资格声明</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8、资格证明文件</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9、投标货物技术文件</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10、中小企业相关证明</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11、其他材料</w:t>
      </w:r>
    </w:p>
    <w:p>
      <w:pPr>
        <w:pStyle w:val="7"/>
        <w:spacing w:after="0" w:line="360" w:lineRule="auto"/>
        <w:rPr>
          <w:rFonts w:asciiTheme="majorEastAsia" w:hAnsiTheme="majorEastAsia" w:eastAsiaTheme="majorEastAsia" w:cstheme="majorEastAsia"/>
          <w:b w:val="0"/>
        </w:rPr>
      </w:pPr>
      <w:bookmarkStart w:id="79" w:name="_Toc377982323"/>
      <w:bookmarkStart w:id="80" w:name="_Toc1796"/>
      <w:bookmarkStart w:id="81" w:name="_Toc614"/>
      <w:r>
        <w:rPr>
          <w:rFonts w:hint="eastAsia" w:asciiTheme="majorEastAsia" w:hAnsiTheme="majorEastAsia" w:eastAsiaTheme="majorEastAsia" w:cstheme="majorEastAsia"/>
          <w:b w:val="0"/>
        </w:rPr>
        <w:t>5．招标文件的澄清和修改</w:t>
      </w:r>
      <w:bookmarkEnd w:id="79"/>
      <w:bookmarkEnd w:id="80"/>
      <w:bookmarkEnd w:id="81"/>
    </w:p>
    <w:p>
      <w:pPr>
        <w:spacing w:line="360" w:lineRule="auto"/>
        <w:ind w:firstLine="480"/>
        <w:rPr>
          <w:sz w:val="24"/>
          <w:szCs w:val="24"/>
        </w:rPr>
      </w:pPr>
      <w:r>
        <w:rPr>
          <w:sz w:val="24"/>
          <w:szCs w:val="24"/>
        </w:rPr>
        <w:t>5.1 投标截止时间十五日前，采购人及采购代理机构可主动对已发出的招标文件进行必要的澄清或修改，该澄清或修改的内容为招标文件的组成部分，经采购人确认</w:t>
      </w:r>
      <w:r>
        <w:rPr>
          <w:rFonts w:hint="eastAsia"/>
          <w:sz w:val="24"/>
          <w:szCs w:val="24"/>
        </w:rPr>
        <w:t>的</w:t>
      </w:r>
      <w:r>
        <w:rPr>
          <w:sz w:val="24"/>
          <w:szCs w:val="24"/>
        </w:rPr>
        <w:t>澄清或修改</w:t>
      </w:r>
      <w:r>
        <w:rPr>
          <w:rFonts w:hint="eastAsia"/>
          <w:sz w:val="24"/>
          <w:szCs w:val="24"/>
        </w:rPr>
        <w:t>后的文件</w:t>
      </w:r>
      <w:r>
        <w:rPr>
          <w:sz w:val="24"/>
          <w:szCs w:val="24"/>
        </w:rPr>
        <w:t>将</w:t>
      </w:r>
      <w:r>
        <w:rPr>
          <w:rFonts w:hint="eastAsia"/>
          <w:sz w:val="24"/>
          <w:szCs w:val="24"/>
        </w:rPr>
        <w:t>及明通知给已报名的投标单位</w:t>
      </w:r>
      <w:r>
        <w:rPr>
          <w:sz w:val="24"/>
          <w:szCs w:val="24"/>
        </w:rPr>
        <w:t>。</w:t>
      </w:r>
    </w:p>
    <w:p>
      <w:pPr>
        <w:spacing w:line="360" w:lineRule="auto"/>
        <w:ind w:firstLine="480"/>
        <w:rPr>
          <w:sz w:val="24"/>
          <w:szCs w:val="24"/>
        </w:rPr>
      </w:pPr>
      <w:r>
        <w:rPr>
          <w:sz w:val="24"/>
          <w:szCs w:val="24"/>
        </w:rPr>
        <w:t>5.</w:t>
      </w:r>
      <w:r>
        <w:rPr>
          <w:rFonts w:hint="eastAsia"/>
          <w:sz w:val="24"/>
          <w:szCs w:val="24"/>
        </w:rPr>
        <w:t>2</w:t>
      </w:r>
      <w:r>
        <w:rPr>
          <w:sz w:val="24"/>
          <w:szCs w:val="24"/>
        </w:rPr>
        <w:t>为使投标人在编写投标文件时有充分时间把补充通知的内容考虑进去，采购代理机构可以酌情延长投标截止日期。</w:t>
      </w:r>
    </w:p>
    <w:p>
      <w:pPr>
        <w:spacing w:line="360" w:lineRule="auto"/>
        <w:ind w:firstLine="480"/>
        <w:rPr>
          <w:sz w:val="24"/>
          <w:szCs w:val="24"/>
        </w:rPr>
      </w:pPr>
      <w:r>
        <w:rPr>
          <w:sz w:val="24"/>
          <w:szCs w:val="24"/>
        </w:rPr>
        <w:t>5.</w:t>
      </w:r>
      <w:r>
        <w:rPr>
          <w:rFonts w:hint="eastAsia"/>
          <w:sz w:val="24"/>
          <w:szCs w:val="24"/>
        </w:rPr>
        <w:t>3</w:t>
      </w:r>
      <w:r>
        <w:rPr>
          <w:sz w:val="24"/>
          <w:szCs w:val="24"/>
        </w:rPr>
        <w:t>更正函以</w:t>
      </w:r>
      <w:r>
        <w:rPr>
          <w:rFonts w:hint="eastAsia"/>
          <w:sz w:val="24"/>
          <w:szCs w:val="24"/>
        </w:rPr>
        <w:t>电话、短信或以电子邮件</w:t>
      </w:r>
      <w:r>
        <w:rPr>
          <w:sz w:val="24"/>
          <w:szCs w:val="24"/>
        </w:rPr>
        <w:t>的形式通知所有已</w:t>
      </w:r>
      <w:r>
        <w:rPr>
          <w:rFonts w:hint="eastAsia"/>
          <w:sz w:val="24"/>
          <w:szCs w:val="24"/>
        </w:rPr>
        <w:t>领取</w:t>
      </w:r>
      <w:r>
        <w:rPr>
          <w:sz w:val="24"/>
          <w:szCs w:val="24"/>
        </w:rPr>
        <w:t>招标文件的</w:t>
      </w:r>
      <w:r>
        <w:rPr>
          <w:rFonts w:hint="eastAsia"/>
          <w:sz w:val="24"/>
          <w:szCs w:val="24"/>
        </w:rPr>
        <w:t>投标</w:t>
      </w:r>
      <w:r>
        <w:rPr>
          <w:sz w:val="24"/>
          <w:szCs w:val="24"/>
        </w:rPr>
        <w:t>供应商。</w:t>
      </w:r>
    </w:p>
    <w:p>
      <w:pPr>
        <w:pStyle w:val="7"/>
        <w:spacing w:after="0" w:line="360" w:lineRule="auto"/>
        <w:rPr>
          <w:rFonts w:asciiTheme="majorEastAsia" w:hAnsiTheme="majorEastAsia" w:eastAsiaTheme="majorEastAsia" w:cstheme="majorEastAsia"/>
          <w:b w:val="0"/>
        </w:rPr>
      </w:pPr>
      <w:bookmarkStart w:id="82" w:name="_Toc31956"/>
      <w:bookmarkStart w:id="83" w:name="_Toc4990"/>
      <w:bookmarkStart w:id="84" w:name="_Toc377982324"/>
      <w:r>
        <w:rPr>
          <w:rFonts w:hint="eastAsia" w:asciiTheme="majorEastAsia" w:hAnsiTheme="majorEastAsia" w:eastAsiaTheme="majorEastAsia" w:cstheme="majorEastAsia"/>
          <w:b w:val="0"/>
        </w:rPr>
        <w:t>6．投标截止时间和开标时间的变更</w:t>
      </w:r>
      <w:bookmarkEnd w:id="82"/>
      <w:bookmarkEnd w:id="83"/>
      <w:bookmarkEnd w:id="84"/>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6.1如需变更投标截止时间和开标时间，应在投标截止日三天前，在中国政府采购网（http://www.ccgp.gov.cn/）媒体上发布更正公告。</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6.2更正函</w:t>
      </w:r>
      <w:r>
        <w:rPr>
          <w:sz w:val="24"/>
          <w:szCs w:val="24"/>
        </w:rPr>
        <w:t>以</w:t>
      </w:r>
      <w:r>
        <w:rPr>
          <w:rFonts w:hint="eastAsia"/>
          <w:sz w:val="24"/>
          <w:szCs w:val="24"/>
        </w:rPr>
        <w:t>电话、短信或以电子邮件</w:t>
      </w:r>
      <w:r>
        <w:rPr>
          <w:sz w:val="24"/>
          <w:szCs w:val="24"/>
        </w:rPr>
        <w:t>的形式通知所有已</w:t>
      </w:r>
      <w:r>
        <w:rPr>
          <w:rFonts w:hint="eastAsia"/>
          <w:sz w:val="24"/>
          <w:szCs w:val="24"/>
        </w:rPr>
        <w:t>领取</w:t>
      </w:r>
      <w:r>
        <w:rPr>
          <w:sz w:val="24"/>
          <w:szCs w:val="24"/>
        </w:rPr>
        <w:t>招标文件的</w:t>
      </w:r>
      <w:r>
        <w:rPr>
          <w:rFonts w:hint="eastAsia"/>
          <w:sz w:val="24"/>
          <w:szCs w:val="24"/>
        </w:rPr>
        <w:t>投标</w:t>
      </w:r>
      <w:r>
        <w:rPr>
          <w:sz w:val="24"/>
          <w:szCs w:val="24"/>
        </w:rPr>
        <w:t>供应商</w:t>
      </w:r>
      <w:r>
        <w:rPr>
          <w:rFonts w:hint="eastAsia" w:asciiTheme="majorEastAsia" w:hAnsiTheme="majorEastAsia" w:eastAsiaTheme="majorEastAsia" w:cstheme="majorEastAsia"/>
          <w:sz w:val="24"/>
          <w:szCs w:val="24"/>
        </w:rPr>
        <w:t>。</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85" w:name="_Hlt509649724"/>
      <w:bookmarkEnd w:id="85"/>
      <w:bookmarkStart w:id="86" w:name="_Hlt510342861"/>
      <w:bookmarkEnd w:id="86"/>
      <w:bookmarkStart w:id="87" w:name="_Hlt509650697"/>
      <w:bookmarkEnd w:id="87"/>
      <w:bookmarkStart w:id="88" w:name="_Toc147282126"/>
      <w:bookmarkStart w:id="89" w:name="_Toc377982325"/>
      <w:bookmarkStart w:id="90" w:name="_Toc20012"/>
      <w:r>
        <w:rPr>
          <w:rFonts w:hint="eastAsia" w:asciiTheme="majorEastAsia" w:hAnsiTheme="majorEastAsia" w:eastAsiaTheme="majorEastAsia" w:cstheme="majorEastAsia"/>
          <w:b w:val="0"/>
          <w:sz w:val="36"/>
          <w:szCs w:val="36"/>
        </w:rPr>
        <w:t>投标文件的编制</w:t>
      </w:r>
      <w:bookmarkEnd w:id="88"/>
      <w:bookmarkEnd w:id="89"/>
      <w:bookmarkEnd w:id="90"/>
    </w:p>
    <w:p>
      <w:pPr>
        <w:pStyle w:val="7"/>
        <w:spacing w:after="0" w:line="360" w:lineRule="auto"/>
        <w:rPr>
          <w:rFonts w:asciiTheme="majorEastAsia" w:hAnsiTheme="majorEastAsia" w:eastAsiaTheme="majorEastAsia" w:cstheme="majorEastAsia"/>
          <w:b w:val="0"/>
        </w:rPr>
      </w:pPr>
      <w:bookmarkStart w:id="91" w:name="_Toc377982326"/>
      <w:bookmarkStart w:id="92" w:name="_Toc29842"/>
      <w:bookmarkStart w:id="93" w:name="_Toc31662"/>
      <w:r>
        <w:rPr>
          <w:rFonts w:hint="eastAsia" w:asciiTheme="majorEastAsia" w:hAnsiTheme="majorEastAsia" w:eastAsiaTheme="majorEastAsia" w:cstheme="majorEastAsia"/>
          <w:b w:val="0"/>
        </w:rPr>
        <w:t>7．投标文件构成</w:t>
      </w:r>
      <w:bookmarkEnd w:id="91"/>
      <w:bookmarkEnd w:id="92"/>
      <w:bookmarkEnd w:id="93"/>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7.1见本招标文件中投标文件格式。</w:t>
      </w:r>
    </w:p>
    <w:p>
      <w:pPr>
        <w:pStyle w:val="7"/>
        <w:spacing w:after="0" w:line="360" w:lineRule="auto"/>
        <w:rPr>
          <w:rFonts w:asciiTheme="majorEastAsia" w:hAnsiTheme="majorEastAsia" w:eastAsiaTheme="majorEastAsia" w:cstheme="majorEastAsia"/>
          <w:b w:val="0"/>
        </w:rPr>
      </w:pPr>
      <w:bookmarkStart w:id="94" w:name="_Toc9273"/>
      <w:bookmarkStart w:id="95" w:name="_Toc377982327"/>
      <w:bookmarkStart w:id="96" w:name="_Toc3240"/>
      <w:r>
        <w:rPr>
          <w:rFonts w:hint="eastAsia" w:asciiTheme="majorEastAsia" w:hAnsiTheme="majorEastAsia" w:eastAsiaTheme="majorEastAsia" w:cstheme="majorEastAsia"/>
          <w:b w:val="0"/>
        </w:rPr>
        <w:t>8．投标文件编制的注意事项</w:t>
      </w:r>
      <w:bookmarkEnd w:id="94"/>
      <w:bookmarkEnd w:id="95"/>
      <w:bookmarkEnd w:id="96"/>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8.1投标人应认真、仔细阅读招标文件中所有的事项、格式、条件、条款和规范等要求。</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8.2投标人应按招标文件提供的投标函、开标一览表、分项报价表等格式详细完整地填写各项内容。</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8.3投标文件必须按招标文件规定序号或顺序编制，按规定格式填写投标文件，并可按同样格式扩展。</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8.4除非有特殊要求，招标文件不单独提供招标货物使用地的自然环境、气候条件、公用设施等情况，投标人被视为熟悉上述与履行合同有关的一切情况。</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bookmarkStart w:id="97" w:name="_Hlt509650345"/>
      <w:bookmarkEnd w:id="97"/>
      <w:r>
        <w:rPr>
          <w:rFonts w:hint="eastAsia" w:asciiTheme="majorEastAsia" w:hAnsiTheme="majorEastAsia" w:eastAsiaTheme="majorEastAsia" w:cstheme="majorEastAsia"/>
          <w:sz w:val="24"/>
          <w:szCs w:val="24"/>
        </w:rPr>
        <w:t>5投标文件及往来函件均须用中文书写。</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8.6投标文件中所使用的计量单位, 除招标文件中有特殊要求外，应采用国家法定计量单位。</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8.7 投标文件必须按照本招标文件规定的投标文件格式制作，并对投标文件进行盖章或签字。</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8.8投标人应按照招标文件的要求，规范、明确、准时的提交投标文件。如果没有按照招标文件的要求提交全部资料并保证所提供全部资料的真实性，或没有对招标文件做出实质性响应，其风险应由投标人自行承担。根据有关条款规定，其投标有可能被拒绝。</w:t>
      </w:r>
    </w:p>
    <w:p>
      <w:pPr>
        <w:pStyle w:val="7"/>
        <w:spacing w:after="0" w:line="360" w:lineRule="auto"/>
        <w:rPr>
          <w:rFonts w:asciiTheme="majorEastAsia" w:hAnsiTheme="majorEastAsia" w:eastAsiaTheme="majorEastAsia" w:cstheme="majorEastAsia"/>
        </w:rPr>
      </w:pPr>
      <w:bookmarkStart w:id="98" w:name="_Toc5712"/>
      <w:bookmarkStart w:id="99" w:name="_Toc14021"/>
      <w:bookmarkStart w:id="100" w:name="_Toc377982328"/>
      <w:r>
        <w:rPr>
          <w:rFonts w:hint="eastAsia" w:asciiTheme="majorEastAsia" w:hAnsiTheme="majorEastAsia" w:eastAsiaTheme="majorEastAsia" w:cstheme="majorEastAsia"/>
          <w:b w:val="0"/>
        </w:rPr>
        <w:t>9．投标报价</w:t>
      </w:r>
      <w:bookmarkEnd w:id="98"/>
      <w:bookmarkEnd w:id="99"/>
      <w:bookmarkEnd w:id="100"/>
    </w:p>
    <w:p>
      <w:pPr>
        <w:spacing w:line="360" w:lineRule="auto"/>
        <w:ind w:firstLine="480"/>
      </w:pPr>
      <w:r>
        <w:rPr>
          <w:rFonts w:hint="eastAsia" w:asciiTheme="majorEastAsia" w:hAnsiTheme="majorEastAsia" w:eastAsiaTheme="majorEastAsia" w:cstheme="majorEastAsia"/>
          <w:sz w:val="24"/>
          <w:szCs w:val="24"/>
        </w:rPr>
        <w:t>9.1投标人应就《货物需求一览表》中的内容以“包”为报价的基本单位分包报价和作完整、唯一报价。包内所有项目和货物明细清单均应报价（免费赠送的除外），否则按照不完全响应处理。</w:t>
      </w:r>
    </w:p>
    <w:p>
      <w:pPr>
        <w:spacing w:line="460" w:lineRule="exact"/>
        <w:ind w:firstLine="42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9.2</w:t>
      </w:r>
      <w:r>
        <w:rPr>
          <w:rFonts w:hint="eastAsia" w:ascii="宋体" w:hAnsi="宋体" w:cs="宋体"/>
          <w:b/>
          <w:sz w:val="24"/>
          <w:szCs w:val="24"/>
        </w:rPr>
        <w:t>本项目所有投标均以人民币报价，报价内容包括</w:t>
      </w:r>
      <w:r>
        <w:rPr>
          <w:rFonts w:hint="eastAsia" w:asciiTheme="majorEastAsia" w:hAnsiTheme="majorEastAsia" w:eastAsiaTheme="majorEastAsia" w:cstheme="majorEastAsia"/>
          <w:b/>
          <w:sz w:val="24"/>
          <w:szCs w:val="24"/>
        </w:rPr>
        <w:t>所投设备的备品备件、专用工具费用</w:t>
      </w:r>
      <w:r>
        <w:rPr>
          <w:rFonts w:hint="eastAsia" w:ascii="宋体" w:hAnsi="宋体" w:cs="宋体"/>
          <w:b/>
          <w:sz w:val="24"/>
          <w:szCs w:val="24"/>
        </w:rPr>
        <w:t>及附属服务</w:t>
      </w:r>
      <w:r>
        <w:rPr>
          <w:rFonts w:hint="eastAsia" w:asciiTheme="majorEastAsia" w:hAnsiTheme="majorEastAsia" w:eastAsiaTheme="majorEastAsia" w:cstheme="majorEastAsia"/>
          <w:b/>
          <w:sz w:val="24"/>
          <w:szCs w:val="24"/>
        </w:rPr>
        <w:t>、</w:t>
      </w:r>
      <w:r>
        <w:rPr>
          <w:rFonts w:hint="eastAsia" w:ascii="宋体" w:hAnsi="宋体" w:cs="宋体"/>
          <w:b/>
          <w:sz w:val="24"/>
          <w:szCs w:val="24"/>
        </w:rPr>
        <w:t>标准附件、技术服务、</w:t>
      </w:r>
      <w:r>
        <w:rPr>
          <w:rFonts w:hint="eastAsia" w:asciiTheme="majorEastAsia" w:hAnsiTheme="majorEastAsia" w:eastAsiaTheme="majorEastAsia" w:cstheme="majorEastAsia"/>
          <w:b/>
          <w:sz w:val="24"/>
          <w:szCs w:val="24"/>
        </w:rPr>
        <w:t>税费及包装、运至最终目的地的运输、保险、现场装卸、检测验收、调试、培训和交付等工作所发生的费用</w:t>
      </w:r>
      <w:r>
        <w:rPr>
          <w:rFonts w:hint="eastAsia" w:ascii="宋体" w:hAnsi="宋体" w:cs="宋体"/>
          <w:b/>
          <w:sz w:val="24"/>
          <w:szCs w:val="24"/>
        </w:rPr>
        <w:t>以及可能涉及到线材管材、辅料的增减，完全由投标人承担</w:t>
      </w:r>
      <w:r>
        <w:rPr>
          <w:rFonts w:hint="eastAsia" w:asciiTheme="majorEastAsia" w:hAnsiTheme="majorEastAsia" w:eastAsiaTheme="majorEastAsia" w:cstheme="majorEastAsia"/>
          <w:b/>
          <w:sz w:val="24"/>
          <w:szCs w:val="24"/>
        </w:rPr>
        <w:t>。</w:t>
      </w:r>
    </w:p>
    <w:p>
      <w:pPr>
        <w:spacing w:line="460" w:lineRule="exact"/>
        <w:ind w:firstLine="420"/>
        <w:rPr>
          <w:rFonts w:asciiTheme="majorEastAsia" w:hAnsiTheme="majorEastAsia" w:eastAsiaTheme="majorEastAsia" w:cstheme="majorEastAsia"/>
          <w:sz w:val="24"/>
          <w:szCs w:val="24"/>
        </w:rPr>
      </w:pP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9.3在开标一览表明细中，投标人应详细标明所提供的货物名称、单位、数量、价格、制造商、品牌型号等。</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9.4除非合同条款中另有规定，否则，投标人所报价格在合同实施期间不因市场变化因素而变动。</w:t>
      </w:r>
    </w:p>
    <w:p>
      <w:pPr>
        <w:spacing w:line="360" w:lineRule="auto"/>
        <w:ind w:firstLine="480"/>
      </w:pPr>
      <w:r>
        <w:rPr>
          <w:rFonts w:hint="eastAsia" w:asciiTheme="majorEastAsia" w:hAnsiTheme="majorEastAsia" w:eastAsiaTheme="majorEastAsia" w:cstheme="majorEastAsia"/>
          <w:sz w:val="24"/>
          <w:szCs w:val="24"/>
        </w:rPr>
        <w:t>9.5如果因投标人原因引起的报价失误，同时又被招标时所接受，其后果由投标人自行负责。</w:t>
      </w:r>
    </w:p>
    <w:p>
      <w:pPr>
        <w:pStyle w:val="7"/>
        <w:spacing w:after="0" w:line="360" w:lineRule="auto"/>
        <w:rPr>
          <w:rFonts w:asciiTheme="majorEastAsia" w:hAnsiTheme="majorEastAsia" w:eastAsiaTheme="majorEastAsia" w:cstheme="majorEastAsia"/>
          <w:b w:val="0"/>
        </w:rPr>
      </w:pPr>
      <w:bookmarkStart w:id="101" w:name="_Toc377982329"/>
      <w:bookmarkStart w:id="102" w:name="_Toc16405"/>
      <w:bookmarkStart w:id="103" w:name="_Toc6204"/>
      <w:r>
        <w:rPr>
          <w:rFonts w:hint="eastAsia" w:asciiTheme="majorEastAsia" w:hAnsiTheme="majorEastAsia" w:eastAsiaTheme="majorEastAsia" w:cstheme="majorEastAsia"/>
          <w:b w:val="0"/>
        </w:rPr>
        <w:t>10．证明投标人合格资格的文件</w:t>
      </w:r>
      <w:bookmarkEnd w:id="101"/>
      <w:bookmarkEnd w:id="102"/>
      <w:bookmarkEnd w:id="103"/>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10.1投标人应提供证明其合格资格的证明文件(</w:t>
      </w:r>
      <w:r>
        <w:rPr>
          <w:rFonts w:hint="eastAsia" w:asciiTheme="majorEastAsia" w:hAnsiTheme="majorEastAsia" w:eastAsiaTheme="majorEastAsia" w:cstheme="majorEastAsia"/>
          <w:b/>
          <w:sz w:val="24"/>
          <w:szCs w:val="24"/>
        </w:rPr>
        <w:t>详见本招标文件第七章附件中：资格证明文件</w:t>
      </w:r>
      <w:r>
        <w:rPr>
          <w:rFonts w:hint="eastAsia" w:asciiTheme="majorEastAsia" w:hAnsiTheme="majorEastAsia" w:eastAsiaTheme="majorEastAsia" w:cstheme="majorEastAsia"/>
          <w:sz w:val="24"/>
          <w:szCs w:val="24"/>
        </w:rPr>
        <w:t>)。</w:t>
      </w:r>
    </w:p>
    <w:p>
      <w:pPr>
        <w:pStyle w:val="7"/>
        <w:spacing w:after="0" w:line="360" w:lineRule="auto"/>
        <w:rPr>
          <w:rFonts w:asciiTheme="majorEastAsia" w:hAnsiTheme="majorEastAsia" w:eastAsiaTheme="majorEastAsia" w:cstheme="majorEastAsia"/>
          <w:b w:val="0"/>
        </w:rPr>
      </w:pPr>
      <w:bookmarkStart w:id="104" w:name="_Toc377982330"/>
      <w:bookmarkStart w:id="105" w:name="_Toc28575"/>
      <w:bookmarkStart w:id="106" w:name="_Toc14615"/>
      <w:r>
        <w:rPr>
          <w:rFonts w:hint="eastAsia" w:asciiTheme="majorEastAsia" w:hAnsiTheme="majorEastAsia" w:eastAsiaTheme="majorEastAsia" w:cstheme="majorEastAsia"/>
          <w:b w:val="0"/>
        </w:rPr>
        <w:t>11、证明货物的合格性和符合招标文件规定的文件</w:t>
      </w:r>
      <w:bookmarkEnd w:id="104"/>
      <w:bookmarkEnd w:id="105"/>
      <w:bookmarkEnd w:id="106"/>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 按照规定，投标人应提交根据合同要求提供的所有货物及其辅助服务的合格性以及符合招标文件规定的证明文件（可以是手册、图纸、样本和资料）等，并作为其投标文件的一部分。包括：</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⑴货物主要性能的详细描述；</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⑵保证所投货物正常、安全、连续运行期间所需的所有备品、备件及专用工具的详细清单；</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⑶对照招标文件技术规格，逐条说明所提供货物和服务已对招标文件的技术规格作出了实质性响应，或申明与技术规格的偏差和例外。特别对于有具体参数要求的指标，投标人必须提供所投设备的具体参数；</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⑷商务条款的偏差和例外。</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 本招标文件第四章“货物需求一览表”中技术标准和要求中所指出的设计、工艺、材料和设备的标准、参考的商标或样本目录等的资料仅说明并没有限制性。投标人在投标中可提出改进设计、替代标准，但这些替代标准要优于或相当于技术规格中要求的标准，以满足采购人的需要。</w:t>
      </w:r>
    </w:p>
    <w:p>
      <w:pPr>
        <w:pStyle w:val="7"/>
        <w:spacing w:after="0" w:line="360" w:lineRule="auto"/>
        <w:rPr>
          <w:rFonts w:asciiTheme="majorEastAsia" w:hAnsiTheme="majorEastAsia" w:eastAsiaTheme="majorEastAsia" w:cstheme="majorEastAsia"/>
          <w:b w:val="0"/>
        </w:rPr>
      </w:pPr>
      <w:bookmarkStart w:id="107" w:name="_Toc377982331"/>
      <w:bookmarkStart w:id="108" w:name="_Toc18387"/>
      <w:bookmarkStart w:id="109" w:name="_Toc25740"/>
      <w:r>
        <w:rPr>
          <w:rFonts w:hint="eastAsia" w:asciiTheme="majorEastAsia" w:hAnsiTheme="majorEastAsia" w:eastAsiaTheme="majorEastAsia" w:cstheme="majorEastAsia"/>
          <w:b w:val="0"/>
        </w:rPr>
        <w:t>12．投标保证金</w:t>
      </w:r>
      <w:bookmarkEnd w:id="107"/>
      <w:bookmarkEnd w:id="108"/>
      <w:bookmarkEnd w:id="109"/>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 投标人应按第二章《投标人须知前附表》要求提交投标保证金，作为投标的一部分。</w:t>
      </w:r>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12.2在开标时，对于未按要求提交投标保证金的投标人，招标代理机构将视其为非响应性投标而予以拒绝。</w:t>
      </w:r>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12.3招标代理机构将在中标通知书发出后五个工作日内退还未中标投标单位的投标保证金，在采购合同签订后五个工作日内退还中标投标单位的投标保证金，不计利息；</w:t>
      </w:r>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12.4 下列任何情况发生时，投标保证金将不予退还：</w:t>
      </w:r>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(1)投标人在投标有效期内撤回其投标；</w:t>
      </w:r>
    </w:p>
    <w:p>
      <w:pPr>
        <w:spacing w:line="360" w:lineRule="auto"/>
        <w:ind w:firstLine="54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(2)中标人在规定期限内未能根据规定签订合同；</w:t>
      </w:r>
    </w:p>
    <w:p>
      <w:pPr>
        <w:spacing w:line="360" w:lineRule="auto"/>
        <w:ind w:firstLine="102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(3)提供虚假材料，骗取中标的。</w:t>
      </w:r>
    </w:p>
    <w:p>
      <w:pPr>
        <w:pStyle w:val="7"/>
        <w:spacing w:after="0" w:line="360" w:lineRule="auto"/>
        <w:rPr>
          <w:rFonts w:asciiTheme="majorEastAsia" w:hAnsiTheme="majorEastAsia" w:eastAsiaTheme="majorEastAsia" w:cstheme="majorEastAsia"/>
          <w:b w:val="0"/>
        </w:rPr>
      </w:pPr>
      <w:bookmarkStart w:id="110" w:name="_Toc377982332"/>
      <w:bookmarkStart w:id="111" w:name="_Toc2359"/>
      <w:bookmarkStart w:id="112" w:name="_Toc22600"/>
      <w:r>
        <w:rPr>
          <w:rFonts w:hint="eastAsia" w:asciiTheme="majorEastAsia" w:hAnsiTheme="majorEastAsia" w:eastAsiaTheme="majorEastAsia" w:cstheme="majorEastAsia"/>
          <w:b w:val="0"/>
        </w:rPr>
        <w:t>13．投标有效期</w:t>
      </w:r>
      <w:bookmarkEnd w:id="110"/>
      <w:bookmarkEnd w:id="111"/>
      <w:bookmarkEnd w:id="112"/>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 投标有效期为采购代理机构规定的开标之日后</w:t>
      </w:r>
      <w:r>
        <w:rPr>
          <w:rFonts w:hint="eastAsia" w:asciiTheme="majorEastAsia" w:hAnsiTheme="majorEastAsia" w:eastAsiaTheme="majorEastAsia" w:cstheme="majorEastAsia"/>
          <w:sz w:val="24"/>
          <w:szCs w:val="24"/>
          <w:u w:val="single"/>
        </w:rPr>
        <w:t xml:space="preserve"> 90 </w:t>
      </w:r>
      <w:r>
        <w:rPr>
          <w:rFonts w:hint="eastAsia" w:asciiTheme="majorEastAsia" w:hAnsiTheme="majorEastAsia" w:eastAsiaTheme="majorEastAsia" w:cstheme="majorEastAsia"/>
          <w:sz w:val="24"/>
          <w:szCs w:val="24"/>
        </w:rPr>
        <w:t>天。投标有效期不足的投标将被视为非响应性投标作无效投标处理。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在原定投标有效期满之前，如果出现特殊情况，采购代理机构可以书面形式提出延长投标有效期的要求。投标人以书面形式予以答复，投标人可以拒绝这种要求。同意延长投标有效期的投标人不允许修改其投标文件的实质性内容，且需要相应地延长投标保证金的有效期。</w:t>
      </w:r>
    </w:p>
    <w:p>
      <w:pPr>
        <w:pStyle w:val="7"/>
        <w:spacing w:after="0" w:line="360" w:lineRule="auto"/>
        <w:rPr>
          <w:rFonts w:asciiTheme="majorEastAsia" w:hAnsiTheme="majorEastAsia" w:eastAsiaTheme="majorEastAsia" w:cstheme="majorEastAsia"/>
          <w:b w:val="0"/>
        </w:rPr>
      </w:pPr>
      <w:bookmarkStart w:id="113" w:name="_Toc13082"/>
      <w:bookmarkStart w:id="114" w:name="_Toc377982333"/>
      <w:bookmarkStart w:id="115" w:name="_Toc29399"/>
      <w:r>
        <w:rPr>
          <w:rFonts w:hint="eastAsia" w:asciiTheme="majorEastAsia" w:hAnsiTheme="majorEastAsia" w:eastAsiaTheme="majorEastAsia" w:cstheme="majorEastAsia"/>
          <w:b w:val="0"/>
        </w:rPr>
        <w:t>14．投标文件的签署</w:t>
      </w:r>
      <w:bookmarkEnd w:id="113"/>
      <w:bookmarkEnd w:id="114"/>
      <w:bookmarkEnd w:id="115"/>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依招标文件要求投标文件由投标人法定代表人亲自签署或经其正式授权并对投标人有合同约束力的人签字并加盖法人单位公章。如为正式授权代表签字的，授权代表须将以“授权证书”附在投标文件内，法人授权书则必须有法定代表人的印章或签名。</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14.2 除投标人对错处做必要修改外，投标文件不得行间插字、涂改或增删，如有修改错漏处，必须由投标人签字和盖章。</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14.3 电报、电话、传真形式的投标概不接受。</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14.4投标文件应有签字或签章。</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16" w:name="_Hlt509650572"/>
      <w:bookmarkEnd w:id="116"/>
      <w:bookmarkStart w:id="117" w:name="_Toc377982334"/>
      <w:bookmarkStart w:id="118" w:name="_Toc30598"/>
      <w:bookmarkStart w:id="119" w:name="_Toc147282127"/>
      <w:r>
        <w:rPr>
          <w:rFonts w:hint="eastAsia" w:asciiTheme="majorEastAsia" w:hAnsiTheme="majorEastAsia" w:eastAsiaTheme="majorEastAsia" w:cstheme="majorEastAsia"/>
          <w:b w:val="0"/>
          <w:sz w:val="36"/>
          <w:szCs w:val="36"/>
        </w:rPr>
        <w:t>投标文件的递交</w:t>
      </w:r>
      <w:bookmarkEnd w:id="117"/>
      <w:bookmarkEnd w:id="118"/>
      <w:bookmarkEnd w:id="119"/>
      <w:bookmarkStart w:id="120" w:name="_Hlt509649414"/>
      <w:bookmarkEnd w:id="120"/>
    </w:p>
    <w:p>
      <w:pPr>
        <w:pStyle w:val="7"/>
        <w:spacing w:after="0" w:line="360" w:lineRule="auto"/>
        <w:rPr>
          <w:rFonts w:asciiTheme="majorEastAsia" w:hAnsiTheme="majorEastAsia" w:eastAsiaTheme="majorEastAsia" w:cstheme="majorEastAsia"/>
          <w:b w:val="0"/>
        </w:rPr>
      </w:pPr>
      <w:bookmarkStart w:id="121" w:name="_Toc32130"/>
      <w:bookmarkStart w:id="122" w:name="_Toc377982335"/>
      <w:bookmarkStart w:id="123" w:name="_Toc32589"/>
      <w:r>
        <w:rPr>
          <w:rFonts w:hint="eastAsia" w:asciiTheme="majorEastAsia" w:hAnsiTheme="majorEastAsia" w:eastAsiaTheme="majorEastAsia" w:cstheme="majorEastAsia"/>
          <w:b w:val="0"/>
        </w:rPr>
        <w:t>15．投标文件的</w:t>
      </w:r>
      <w:bookmarkEnd w:id="121"/>
      <w:bookmarkEnd w:id="122"/>
      <w:r>
        <w:rPr>
          <w:rFonts w:hint="eastAsia" w:asciiTheme="majorEastAsia" w:hAnsiTheme="majorEastAsia" w:eastAsiaTheme="majorEastAsia" w:cstheme="majorEastAsia"/>
          <w:b w:val="0"/>
        </w:rPr>
        <w:t>递交</w:t>
      </w:r>
      <w:bookmarkEnd w:id="123"/>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15.1投标文件必须在投标截止时间前送达到本项目规定的开标地点，否则视为无效投标。采购代理机构将拒绝在其规定的投标截止时间后递交的任何投标文件。</w:t>
      </w:r>
      <w:bookmarkStart w:id="124" w:name="_Hlt509650747"/>
      <w:bookmarkEnd w:id="124"/>
    </w:p>
    <w:p>
      <w:pPr>
        <w:pStyle w:val="7"/>
        <w:spacing w:after="0" w:line="360" w:lineRule="auto"/>
        <w:rPr>
          <w:rFonts w:asciiTheme="majorEastAsia" w:hAnsiTheme="majorEastAsia" w:eastAsiaTheme="majorEastAsia" w:cstheme="majorEastAsia"/>
          <w:b w:val="0"/>
        </w:rPr>
      </w:pPr>
      <w:bookmarkStart w:id="125" w:name="_Toc377982336"/>
      <w:bookmarkStart w:id="126" w:name="_Toc11715"/>
      <w:bookmarkStart w:id="127" w:name="_Toc9701"/>
      <w:r>
        <w:rPr>
          <w:rFonts w:hint="eastAsia" w:asciiTheme="majorEastAsia" w:hAnsiTheme="majorEastAsia" w:eastAsiaTheme="majorEastAsia" w:cstheme="majorEastAsia"/>
          <w:b w:val="0"/>
        </w:rPr>
        <w:t>16．投标截止时间</w:t>
      </w:r>
      <w:bookmarkEnd w:id="125"/>
      <w:bookmarkEnd w:id="126"/>
      <w:bookmarkEnd w:id="127"/>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16.1投标文件必须在投标截止时间前递交到本项目规定的开标地点，否则视为无效投标。采购代理机构将拒绝在规定的投标截止时间后递交的任何投标文件。</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16.2采购代理机构可按规定以补充通知（中国政府采购网上公布）的方式，酌情延长递交投标文件的截止日期。在上述情况下，采购代理机构和投标人在投标截止期方面的全部权利、责任和义务，将适用于延长后新的投标截止期。</w:t>
      </w:r>
    </w:p>
    <w:p>
      <w:pPr>
        <w:widowControl/>
        <w:ind w:firstLine="420"/>
        <w:jc w:val="left"/>
        <w:rPr>
          <w:rFonts w:ascii="宋体" w:hAnsi="宋体" w:cs="宋体"/>
          <w:kern w:val="0"/>
          <w:sz w:val="24"/>
          <w:szCs w:val="24"/>
        </w:rPr>
      </w:pPr>
      <w:r>
        <w:rPr>
          <w:rFonts w:hint="eastAsia" w:asciiTheme="majorEastAsia" w:hAnsiTheme="majorEastAsia" w:eastAsiaTheme="majorEastAsia" w:cstheme="majorEastAsia"/>
          <w:b/>
          <w:bCs/>
          <w:sz w:val="24"/>
          <w:szCs w:val="24"/>
        </w:rPr>
        <w:t>16.3</w:t>
      </w:r>
      <w:r>
        <w:rPr>
          <w:rFonts w:hint="eastAsia" w:ascii="宋体" w:hAnsi="宋体" w:cs="宋体"/>
          <w:b/>
          <w:bCs/>
          <w:kern w:val="0"/>
          <w:sz w:val="24"/>
          <w:szCs w:val="24"/>
        </w:rPr>
        <w:t>中标供应商在领取中标通知书时须再提交一套完整的与开标当天内容一致的纸质副本投标文件用与采购人签定合同</w:t>
      </w:r>
      <w:r>
        <w:rPr>
          <w:rFonts w:hint="eastAsia" w:ascii="宋体" w:hAnsi="宋体" w:cs="宋体"/>
          <w:kern w:val="0"/>
          <w:sz w:val="24"/>
          <w:szCs w:val="24"/>
        </w:rPr>
        <w:t>。</w:t>
      </w:r>
    </w:p>
    <w:p>
      <w:pPr>
        <w:spacing w:line="460" w:lineRule="exact"/>
        <w:ind w:firstLine="420"/>
      </w:pPr>
      <w:r>
        <w:rPr>
          <w:rFonts w:hint="eastAsia" w:ascii="宋体" w:hAnsi="宋体" w:cs="宋体"/>
          <w:sz w:val="24"/>
          <w:szCs w:val="24"/>
        </w:rPr>
        <w:t>16.4该纸质投标文件作为备案材料和签订合同依据的一部分。</w:t>
      </w:r>
    </w:p>
    <w:p>
      <w:pPr>
        <w:pStyle w:val="7"/>
        <w:spacing w:after="0" w:line="360" w:lineRule="auto"/>
        <w:rPr>
          <w:rFonts w:asciiTheme="majorEastAsia" w:hAnsiTheme="majorEastAsia" w:eastAsiaTheme="majorEastAsia" w:cstheme="majorEastAsia"/>
          <w:b w:val="0"/>
        </w:rPr>
      </w:pPr>
      <w:bookmarkStart w:id="128" w:name="_Toc377982337"/>
      <w:bookmarkStart w:id="129" w:name="_Toc23132"/>
      <w:bookmarkStart w:id="130" w:name="_Toc16946"/>
      <w:r>
        <w:rPr>
          <w:rFonts w:hint="eastAsia" w:asciiTheme="majorEastAsia" w:hAnsiTheme="majorEastAsia" w:eastAsiaTheme="majorEastAsia" w:cstheme="majorEastAsia"/>
          <w:b w:val="0"/>
        </w:rPr>
        <w:t>17．投标文件的修改和撤回</w:t>
      </w:r>
      <w:bookmarkEnd w:id="128"/>
      <w:bookmarkEnd w:id="129"/>
      <w:bookmarkEnd w:id="130"/>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 在规定的投标截止时间前，投标人对投标文件进行修改或撤回其投标。</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17.2已在规定时间内领取招标文件的供应商在递交投标文件的截止时间三日前，未书面通知代理机构而放弃投标的，不得再参加该项目的采购活动。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17.3在投标截止日期与招标文件规定的有效期终止日之间的这段时间内，投标人不能撤回其投标，否则投标无效。</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31" w:name="_Hlt509649294"/>
      <w:bookmarkEnd w:id="131"/>
      <w:bookmarkStart w:id="132" w:name="_Hlt509649412"/>
      <w:bookmarkEnd w:id="132"/>
      <w:bookmarkStart w:id="133" w:name="_Toc377982338"/>
      <w:bookmarkStart w:id="134" w:name="_Toc147282128"/>
      <w:bookmarkStart w:id="135" w:name="_Toc4579"/>
      <w:r>
        <w:rPr>
          <w:rFonts w:hint="eastAsia" w:asciiTheme="majorEastAsia" w:hAnsiTheme="majorEastAsia" w:eastAsiaTheme="majorEastAsia" w:cstheme="majorEastAsia"/>
          <w:b w:val="0"/>
          <w:sz w:val="36"/>
          <w:szCs w:val="36"/>
        </w:rPr>
        <w:t>开标</w:t>
      </w:r>
      <w:bookmarkEnd w:id="133"/>
      <w:bookmarkEnd w:id="134"/>
      <w:bookmarkEnd w:id="135"/>
    </w:p>
    <w:p>
      <w:pPr>
        <w:pStyle w:val="7"/>
        <w:spacing w:after="0" w:line="360" w:lineRule="auto"/>
        <w:rPr>
          <w:rFonts w:asciiTheme="majorEastAsia" w:hAnsiTheme="majorEastAsia" w:eastAsiaTheme="majorEastAsia" w:cstheme="majorEastAsia"/>
          <w:b w:val="0"/>
        </w:rPr>
      </w:pPr>
      <w:bookmarkStart w:id="136" w:name="_Toc30340"/>
      <w:bookmarkStart w:id="137" w:name="_Toc14354"/>
      <w:bookmarkStart w:id="138" w:name="_Toc377982339"/>
      <w:r>
        <w:rPr>
          <w:rFonts w:hint="eastAsia" w:asciiTheme="majorEastAsia" w:hAnsiTheme="majorEastAsia" w:eastAsiaTheme="majorEastAsia" w:cstheme="majorEastAsia"/>
          <w:b w:val="0"/>
        </w:rPr>
        <w:t>18．开标</w:t>
      </w:r>
      <w:bookmarkEnd w:id="136"/>
      <w:bookmarkEnd w:id="137"/>
      <w:bookmarkEnd w:id="138"/>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w:t>
      </w:r>
      <w:bookmarkStart w:id="139" w:name="_Hlt509650722"/>
      <w:bookmarkEnd w:id="139"/>
      <w:r>
        <w:rPr>
          <w:rFonts w:hint="eastAsia" w:asciiTheme="majorEastAsia" w:hAnsiTheme="majorEastAsia" w:eastAsiaTheme="majorEastAsia" w:cstheme="majorEastAsia"/>
          <w:sz w:val="24"/>
          <w:szCs w:val="24"/>
        </w:rPr>
        <w:t>采购代理机构将在“招标公告”及“投标邀请”规定的时间和地点组织政府采购公开招标开标。开标时邀请所有投标人代表参加。参加开标的代表须携带投标文件参加，并应签名以证明其出席。</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18.2投标截止时间前投标人未递交投标文件的，其投标无效。</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18.3在采购人委托的监察人员监督下，按江西省政府采购开评标管理办法要求的程序进行开标、唱标。开标时，宣读投标人名称、投标价格、价格折扣、招标文件允许提供的备选方案和投标文件的其他主要内容；未宣读的投标人名称、投标价格、价格折扣、招标文件允许提供的备选方案，在评标时将不予承认。</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18.4开标时，开标一览表内容与投标文件中有关明细内容不一致的，将以开标一览表为准并修正投标文件中有关明细内容，如投标单位不同意以上修正，则其投标将作无效投标处理。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18.5采购代理机构将做开标记录，记录的内容应包括按规定在开标时宣读的全部内容。</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18.6如在开标时出现以下意外情况。</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（1）无法保证采购活动正常进行的。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故障当日（工作时间内）可排除的，政府采购恢复进行；如故障当日无法排除的，采购活动终止，重新组织采购活动。</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40" w:name="_Toc7541"/>
      <w:bookmarkStart w:id="141" w:name="_Toc377982340"/>
      <w:r>
        <w:rPr>
          <w:rFonts w:hint="eastAsia" w:asciiTheme="majorEastAsia" w:hAnsiTheme="majorEastAsia" w:eastAsiaTheme="majorEastAsia" w:cstheme="majorEastAsia"/>
          <w:b w:val="0"/>
          <w:sz w:val="36"/>
          <w:szCs w:val="36"/>
        </w:rPr>
        <w:t>评标原则、评标程序及评标方法</w:t>
      </w:r>
      <w:bookmarkEnd w:id="140"/>
      <w:bookmarkEnd w:id="141"/>
    </w:p>
    <w:p>
      <w:pPr>
        <w:pStyle w:val="7"/>
        <w:spacing w:after="0" w:line="360" w:lineRule="auto"/>
        <w:rPr>
          <w:rFonts w:asciiTheme="majorEastAsia" w:hAnsiTheme="majorEastAsia" w:eastAsiaTheme="majorEastAsia" w:cstheme="majorEastAsia"/>
          <w:b w:val="0"/>
        </w:rPr>
      </w:pPr>
      <w:bookmarkStart w:id="142" w:name="_Toc22581"/>
      <w:bookmarkStart w:id="143" w:name="_Toc31312"/>
      <w:bookmarkStart w:id="144" w:name="_Toc417464188"/>
      <w:bookmarkStart w:id="145" w:name="_Toc377982341"/>
      <w:r>
        <w:rPr>
          <w:rFonts w:hint="eastAsia" w:asciiTheme="majorEastAsia" w:hAnsiTheme="majorEastAsia" w:eastAsiaTheme="majorEastAsia" w:cstheme="majorEastAsia"/>
          <w:b w:val="0"/>
        </w:rPr>
        <w:t>19．评标原则</w:t>
      </w:r>
      <w:bookmarkEnd w:id="142"/>
      <w:bookmarkEnd w:id="143"/>
      <w:bookmarkEnd w:id="144"/>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19.1本次评标专家共由5人组成评标委员会，其中由采购人或采购代理在江西省专家评委综合库中随机推荐或随机抽取4名评委专家，委派采购人代表1人。</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19.2以招标文件、投标文件及相关的法律法规为评审依据，评标委员会判断投标文件的响应性仅基于投标文件本身而不靠外部证据，但投标有不真实不正确的内容时除外。</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19.3在投标文件的审查、澄清、评价和比较以及授予合同的过程中，投标人对采购代理机构、采购人或评标委员会成员施加影响的任何行为，一经发现都将导致取消其投标资格。</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19.4评标专家组成员和有关工作人员不得透露对投标文件的评审、比较和中标候选人的推荐情况以及与评标有关的其他情况。</w:t>
      </w:r>
    </w:p>
    <w:p>
      <w:pPr>
        <w:pStyle w:val="7"/>
        <w:spacing w:after="0" w:line="360" w:lineRule="auto"/>
        <w:rPr>
          <w:rFonts w:asciiTheme="majorEastAsia" w:hAnsiTheme="majorEastAsia" w:eastAsiaTheme="majorEastAsia" w:cstheme="majorEastAsia"/>
          <w:b w:val="0"/>
        </w:rPr>
      </w:pPr>
      <w:bookmarkStart w:id="146" w:name="_Toc15913"/>
      <w:bookmarkStart w:id="147" w:name="_Toc417464189"/>
      <w:bookmarkStart w:id="148" w:name="_Toc22648"/>
      <w:r>
        <w:rPr>
          <w:rFonts w:hint="eastAsia" w:asciiTheme="majorEastAsia" w:hAnsiTheme="majorEastAsia" w:eastAsiaTheme="majorEastAsia" w:cstheme="majorEastAsia"/>
          <w:b w:val="0"/>
        </w:rPr>
        <w:t>20．评标程序</w:t>
      </w:r>
      <w:bookmarkEnd w:id="146"/>
      <w:bookmarkEnd w:id="147"/>
      <w:bookmarkEnd w:id="148"/>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20.1评标专家在评标前，由采购代理机构宣布评标纪律和评标原则，并请各评标专家遵照执行。评标专家签署《评标专家承诺书》后，推选评标委员会召集人。</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20.2投标文件的初审。初审分为资格性检查和符合性检查：</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⑴资格性检查。招标代理机构将依据法律法规和招标文件的规定，对投标文件中的资格证明进行审查，以确定投标供应商是否具备投标资格。</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⑵符合性检查。依据招标文件的规定，从投标文件的有效性、完整性和对招标文件的响应程度、有无计算错误进行审查，以确定是否对招标文件的实质性要求作出响应。</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20.3投标人不得通过修正或撤消不合要求的偏离或保留从而使投标成为实质上响应的投标。</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20.4对不同文字文本投标文件的解释发生异议的，以中文文本为准。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20.5无效投标：投标文件属下列情况之一的，应当在资格性、符合性检查时按照无效投标处理。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（1）未按本招标文件的规定格式制作投标（响应）文件的；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（2）未在规定的投标（响应）截止时间前递交投标（响应）文件的；</w:t>
      </w:r>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（3）不具备招标文件中规定资格要求的；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（4）未按招标文件规定交纳投标保证金的；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（5）投标文件中投标人资质与现场提交的资料不一致的；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（6）投标文件没有按照招标文件规定要求签署、盖章的；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（7）投标价格不固定的或投标报价超过已公布的政府采购预算价的；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（8）投标有效期响应不足的；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（9）投标文件的响应与事实不符或虚假报价的；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（10）未响应招标文件中规定的技术与商务条款要求的；</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（11）其他被评标委员会认定无效的情况。</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20.6 初审中，算术计算错误将按以下方法更正：</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⑴投标文件的大写金额和小写金额不一致的，以大写金额为准；总价金额与按单价汇总金额不一致的，以单价金额计算结果为准；单价金额小数点有明显错位的，应以总价为准，并修改单价；</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⑵如果用文字表示的数值与数字表示的数值不一致，以文字表示的数值为准；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⑶如果投标人不同意对其错误的更正，其投标将作无效投标处理。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20.7投标文件的澄清：为有助于投标的审查、评价和比较，对投标文件中含义不明确、同类问题表述不一致或者有明显文字和计算错误的内容，评标委员会可以书面形式（应当由评标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20.8比较与评价：按招标文件中规定的评标方法和标准，对资格性检查和符合性检查合格的投标文件进行技术和商务评估，综合比较与评价。</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20.9推荐中标候选人：评标委员会推荐中标候选人排序。采用百分制综合打分，按评审后得分由高到低确定排名顺序及中标供应商；得分相同的，按投标报价由低到高顺序排列；得分且投标报价相同的，按技术指标优劣顺序排列。</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20.10编写评标报告：评标报告是评标委员会根据全体评标专家签字的原始评标记录和统计结果，对投标人的评标名次排序，推荐中标候选供应商编写的。其主要内容包括：招标公告刊登的媒体名称、开标日期和地点；领取招标文件的投标人名单和评标专家组成员名单；评标方法和标准；开标记录和评标情况及说明，包括投标无效投标人名单及原因；评标结果和中标候选供应商排序表；评标委员会的授标建议。</w:t>
      </w:r>
      <w:bookmarkStart w:id="149" w:name="_Toc417464190"/>
    </w:p>
    <w:p>
      <w:pPr>
        <w:pStyle w:val="7"/>
        <w:spacing w:after="0" w:line="360" w:lineRule="auto"/>
        <w:rPr>
          <w:rFonts w:asciiTheme="majorEastAsia" w:hAnsiTheme="majorEastAsia" w:eastAsiaTheme="majorEastAsia" w:cstheme="majorEastAsia"/>
          <w:b w:val="0"/>
        </w:rPr>
      </w:pPr>
      <w:bookmarkStart w:id="150" w:name="_Toc12925"/>
      <w:bookmarkStart w:id="151" w:name="_Toc13586"/>
      <w:r>
        <w:rPr>
          <w:rFonts w:hint="eastAsia" w:asciiTheme="majorEastAsia" w:hAnsiTheme="majorEastAsia" w:eastAsiaTheme="majorEastAsia" w:cstheme="majorEastAsia"/>
          <w:b w:val="0"/>
        </w:rPr>
        <w:t>21．评标方法</w:t>
      </w:r>
      <w:bookmarkEnd w:id="149"/>
      <w:bookmarkEnd w:id="150"/>
      <w:bookmarkEnd w:id="151"/>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21.1 评标委员会将按照规定,仅对确定为实质上响应招标文件要求的投标文件进行评价和比较。</w:t>
      </w:r>
    </w:p>
    <w:p>
      <w:pPr>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21.2 评标方法：</w:t>
      </w:r>
      <w:r>
        <w:rPr>
          <w:rFonts w:hint="eastAsia" w:asciiTheme="majorEastAsia" w:hAnsiTheme="majorEastAsia" w:eastAsiaTheme="majorEastAsia" w:cstheme="majorEastAsia"/>
          <w:b/>
          <w:sz w:val="24"/>
          <w:szCs w:val="24"/>
          <w:u w:val="single"/>
        </w:rPr>
        <w:t>综合评分法</w:t>
      </w:r>
      <w:r>
        <w:rPr>
          <w:rFonts w:hint="eastAsia" w:asciiTheme="majorEastAsia" w:hAnsiTheme="majorEastAsia" w:eastAsiaTheme="majorEastAsia" w:cstheme="majorEastAsia"/>
          <w:b/>
          <w:sz w:val="24"/>
          <w:szCs w:val="24"/>
        </w:rPr>
        <w:t>。</w:t>
      </w:r>
    </w:p>
    <w:p>
      <w:pPr>
        <w:widowControl/>
        <w:shd w:val="clear" w:color="auto" w:fill="FFFFFF"/>
        <w:spacing w:before="100" w:beforeAutospacing="1" w:after="100" w:afterAutospacing="1" w:line="360" w:lineRule="auto"/>
        <w:ind w:firstLine="48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投标人的投标文件最大限度地满足招标文件实质性要求的前提下，评标委员会根据综合评分法原则进行评分，由价格分权值30%、技术评议分权值40%，商务评议分权值30%组成，满分为100分。具体内容详见下表评分标准：</w:t>
      </w:r>
    </w:p>
    <w:tbl>
      <w:tblPr>
        <w:tblStyle w:val="41"/>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37"/>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24" w:type="dxa"/>
            <w:noWrap/>
            <w:vAlign w:val="center"/>
          </w:tcPr>
          <w:p>
            <w:pPr>
              <w:tabs>
                <w:tab w:val="left" w:pos="426"/>
              </w:tabs>
              <w:jc w:val="center"/>
              <w:rPr>
                <w:rFonts w:ascii="宋体" w:hAnsi="宋体" w:cs="宋体"/>
                <w:sz w:val="24"/>
                <w:szCs w:val="24"/>
              </w:rPr>
            </w:pPr>
            <w:r>
              <w:rPr>
                <w:rFonts w:hint="eastAsia" w:ascii="宋体" w:hAnsi="宋体" w:cs="宋体"/>
                <w:b/>
                <w:bCs/>
                <w:sz w:val="24"/>
                <w:szCs w:val="24"/>
              </w:rPr>
              <w:t>评分项</w:t>
            </w:r>
          </w:p>
        </w:tc>
        <w:tc>
          <w:tcPr>
            <w:tcW w:w="1237" w:type="dxa"/>
            <w:noWrap/>
            <w:vAlign w:val="center"/>
          </w:tcPr>
          <w:p>
            <w:pPr>
              <w:tabs>
                <w:tab w:val="left" w:pos="426"/>
              </w:tabs>
              <w:jc w:val="center"/>
              <w:rPr>
                <w:rFonts w:ascii="宋体" w:hAnsi="宋体" w:cs="宋体"/>
                <w:sz w:val="24"/>
                <w:szCs w:val="24"/>
              </w:rPr>
            </w:pPr>
            <w:r>
              <w:rPr>
                <w:rFonts w:hint="eastAsia" w:ascii="宋体" w:hAnsi="宋体" w:cs="宋体"/>
                <w:b/>
                <w:bCs/>
                <w:sz w:val="24"/>
                <w:szCs w:val="24"/>
              </w:rPr>
              <w:t>分值比例</w:t>
            </w:r>
          </w:p>
        </w:tc>
        <w:tc>
          <w:tcPr>
            <w:tcW w:w="7644" w:type="dxa"/>
            <w:noWrap/>
            <w:vAlign w:val="center"/>
          </w:tcPr>
          <w:p>
            <w:pPr>
              <w:tabs>
                <w:tab w:val="left" w:pos="426"/>
              </w:tabs>
              <w:jc w:val="center"/>
              <w:rPr>
                <w:rFonts w:ascii="宋体" w:hAnsi="宋体" w:cs="宋体"/>
                <w:sz w:val="24"/>
                <w:szCs w:val="24"/>
              </w:rPr>
            </w:pPr>
            <w:r>
              <w:rPr>
                <w:rFonts w:hint="eastAsia" w:ascii="宋体" w:hAnsi="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4" w:type="dxa"/>
            <w:noWrap/>
            <w:vAlign w:val="center"/>
          </w:tcPr>
          <w:p>
            <w:pPr>
              <w:tabs>
                <w:tab w:val="left" w:pos="426"/>
              </w:tabs>
              <w:spacing w:line="360" w:lineRule="auto"/>
              <w:jc w:val="center"/>
              <w:rPr>
                <w:rFonts w:ascii="宋体" w:hAnsi="宋体" w:cs="宋体"/>
                <w:sz w:val="24"/>
                <w:szCs w:val="24"/>
              </w:rPr>
            </w:pPr>
            <w:r>
              <w:rPr>
                <w:rFonts w:hint="eastAsia" w:ascii="宋体" w:hAnsi="宋体" w:cs="宋体"/>
                <w:b/>
                <w:bCs/>
                <w:sz w:val="24"/>
                <w:szCs w:val="24"/>
              </w:rPr>
              <w:t>价格部分</w:t>
            </w:r>
          </w:p>
          <w:p>
            <w:pPr>
              <w:tabs>
                <w:tab w:val="left" w:pos="426"/>
              </w:tabs>
              <w:spacing w:line="360" w:lineRule="auto"/>
              <w:jc w:val="center"/>
              <w:rPr>
                <w:rFonts w:ascii="宋体" w:hAnsi="宋体" w:cs="宋体"/>
                <w:sz w:val="24"/>
                <w:szCs w:val="24"/>
              </w:rPr>
            </w:pPr>
            <w:r>
              <w:rPr>
                <w:rFonts w:hint="eastAsia" w:ascii="宋体" w:hAnsi="宋体" w:cs="宋体"/>
                <w:sz w:val="24"/>
                <w:szCs w:val="24"/>
              </w:rPr>
              <w:t>30分</w:t>
            </w:r>
          </w:p>
        </w:tc>
        <w:tc>
          <w:tcPr>
            <w:tcW w:w="1237" w:type="dxa"/>
            <w:noWrap/>
            <w:vAlign w:val="center"/>
          </w:tcPr>
          <w:p>
            <w:pPr>
              <w:tabs>
                <w:tab w:val="left" w:pos="426"/>
              </w:tabs>
              <w:spacing w:line="360" w:lineRule="auto"/>
              <w:jc w:val="center"/>
              <w:rPr>
                <w:rFonts w:ascii="宋体" w:hAnsi="宋体" w:cs="宋体"/>
                <w:sz w:val="24"/>
                <w:szCs w:val="24"/>
              </w:rPr>
            </w:pPr>
            <w:r>
              <w:rPr>
                <w:rFonts w:hint="eastAsia" w:ascii="宋体" w:hAnsi="宋体" w:cs="宋体"/>
                <w:sz w:val="24"/>
                <w:szCs w:val="24"/>
              </w:rPr>
              <w:t>基准价法计算</w:t>
            </w:r>
          </w:p>
          <w:p>
            <w:pPr>
              <w:tabs>
                <w:tab w:val="left" w:pos="426"/>
              </w:tabs>
              <w:spacing w:line="360" w:lineRule="auto"/>
              <w:jc w:val="center"/>
              <w:rPr>
                <w:rFonts w:ascii="宋体" w:hAnsi="宋体" w:cs="宋体"/>
                <w:sz w:val="24"/>
                <w:szCs w:val="24"/>
              </w:rPr>
            </w:pPr>
            <w:r>
              <w:rPr>
                <w:rFonts w:hint="eastAsia" w:ascii="宋体" w:hAnsi="宋体" w:cs="宋体"/>
                <w:sz w:val="24"/>
                <w:szCs w:val="24"/>
              </w:rPr>
              <w:t>（30分）</w:t>
            </w:r>
          </w:p>
        </w:tc>
        <w:tc>
          <w:tcPr>
            <w:tcW w:w="7644" w:type="dxa"/>
            <w:noWrap/>
            <w:vAlign w:val="center"/>
          </w:tcPr>
          <w:p>
            <w:pPr>
              <w:spacing w:line="360" w:lineRule="auto"/>
              <w:rPr>
                <w:rFonts w:ascii="宋体" w:hAnsi="宋体" w:cs="宋体"/>
                <w:sz w:val="24"/>
                <w:szCs w:val="24"/>
              </w:rPr>
            </w:pPr>
            <w:r>
              <w:rPr>
                <w:rFonts w:hint="eastAsia" w:ascii="宋体" w:hAnsi="宋体" w:cs="宋体"/>
                <w:sz w:val="24"/>
                <w:szCs w:val="24"/>
              </w:rPr>
              <w:t>价格得分满分为30分：价格分采用低价优先法计算，即满足招标文件要求且投标价格最低的投标报价为评标基准价，其价格分为满分。其他投标供应商的价格分统一按下列公式计算：投标报价得分=（评标基准价／投标报价）×30%×100，计算分数时四舍五入取小数点后两位。</w:t>
            </w: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bCs/>
                <w:sz w:val="24"/>
                <w:szCs w:val="24"/>
              </w:rPr>
            </w:pPr>
            <w:r>
              <w:rPr>
                <w:rFonts w:hint="eastAsia" w:ascii="宋体" w:hAnsi="宋体" w:cs="宋体"/>
                <w:sz w:val="24"/>
                <w:szCs w:val="24"/>
              </w:rPr>
              <w:t>（1）对小型和微型企业产品的价格给予</w:t>
            </w:r>
            <w:r>
              <w:rPr>
                <w:rFonts w:hint="eastAsia" w:ascii="宋体" w:hAnsi="宋体" w:cs="宋体"/>
                <w:sz w:val="24"/>
                <w:szCs w:val="24"/>
                <w:lang w:val="en-US" w:eastAsia="zh-CN"/>
              </w:rPr>
              <w:t>10</w:t>
            </w:r>
            <w:r>
              <w:rPr>
                <w:rFonts w:hint="eastAsia" w:ascii="宋体" w:hAnsi="宋体" w:cs="宋体"/>
                <w:sz w:val="24"/>
                <w:szCs w:val="24"/>
              </w:rPr>
              <w:t>%的扣除，用扣除后的价格参与评审。</w:t>
            </w:r>
          </w:p>
          <w:p>
            <w:pPr>
              <w:spacing w:line="360" w:lineRule="auto"/>
              <w:rPr>
                <w:rFonts w:ascii="宋体" w:hAnsi="宋体" w:cs="宋体"/>
                <w:sz w:val="24"/>
                <w:szCs w:val="24"/>
              </w:rPr>
            </w:pPr>
            <w:r>
              <w:rPr>
                <w:rFonts w:hint="eastAsia" w:ascii="宋体" w:hAnsi="宋体" w:cs="宋体"/>
                <w:sz w:val="24"/>
                <w:szCs w:val="24"/>
              </w:rPr>
              <w:t>（2）监狱企业视同小型、微型企业，享受评审中价格扣除等政府促进中小企业发展的政府采购政策。</w:t>
            </w:r>
          </w:p>
          <w:p>
            <w:pPr>
              <w:tabs>
                <w:tab w:val="left" w:pos="426"/>
              </w:tabs>
              <w:spacing w:line="360" w:lineRule="auto"/>
              <w:jc w:val="left"/>
              <w:rPr>
                <w:rFonts w:ascii="宋体" w:hAnsi="宋体" w:cs="宋体"/>
                <w:sz w:val="24"/>
                <w:szCs w:val="24"/>
              </w:rPr>
            </w:pPr>
            <w:r>
              <w:rPr>
                <w:rFonts w:hint="eastAsia" w:ascii="宋体" w:hAnsi="宋体" w:cs="宋体"/>
                <w:sz w:val="24"/>
                <w:szCs w:val="24"/>
              </w:rPr>
              <w:t>（3）残疾人福利性单位视同小型、微型企业，享受评审中价格扣除等政府促进中小企业发展的政府采购政策；福利性单位属于小型、微型企业的，不重复享受政策。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24" w:type="dxa"/>
            <w:vMerge w:val="restart"/>
            <w:noWrap/>
            <w:vAlign w:val="center"/>
          </w:tcPr>
          <w:p>
            <w:pPr>
              <w:tabs>
                <w:tab w:val="left" w:pos="426"/>
              </w:tabs>
              <w:spacing w:line="360" w:lineRule="auto"/>
              <w:jc w:val="center"/>
              <w:rPr>
                <w:rFonts w:ascii="宋体" w:hAnsi="宋体" w:cs="宋体"/>
                <w:sz w:val="24"/>
                <w:szCs w:val="24"/>
              </w:rPr>
            </w:pPr>
            <w:r>
              <w:rPr>
                <w:rFonts w:hint="eastAsia" w:ascii="宋体" w:hAnsi="宋体" w:cs="宋体"/>
                <w:sz w:val="24"/>
                <w:szCs w:val="24"/>
              </w:rPr>
              <w:t>技术部分</w:t>
            </w:r>
          </w:p>
          <w:p>
            <w:pPr>
              <w:tabs>
                <w:tab w:val="left" w:pos="426"/>
              </w:tabs>
              <w:spacing w:line="360" w:lineRule="auto"/>
              <w:jc w:val="center"/>
              <w:rPr>
                <w:rFonts w:ascii="宋体" w:hAnsi="宋体" w:cs="宋体"/>
                <w:color w:val="FF0000"/>
                <w:sz w:val="24"/>
                <w:szCs w:val="24"/>
              </w:rPr>
            </w:pPr>
            <w:r>
              <w:rPr>
                <w:rFonts w:hint="eastAsia" w:ascii="宋体" w:hAnsi="宋体" w:cs="宋体"/>
                <w:sz w:val="24"/>
                <w:szCs w:val="24"/>
              </w:rPr>
              <w:t>40分</w:t>
            </w:r>
          </w:p>
        </w:tc>
        <w:tc>
          <w:tcPr>
            <w:tcW w:w="1237" w:type="dxa"/>
            <w:tcBorders>
              <w:bottom w:val="single" w:color="auto" w:sz="4" w:space="0"/>
            </w:tcBorders>
            <w:noWrap/>
            <w:vAlign w:val="center"/>
          </w:tcPr>
          <w:p>
            <w:pPr>
              <w:tabs>
                <w:tab w:val="left" w:pos="426"/>
              </w:tabs>
              <w:spacing w:line="360" w:lineRule="auto"/>
              <w:jc w:val="center"/>
              <w:rPr>
                <w:rFonts w:ascii="宋体" w:hAnsi="宋体" w:cs="宋体"/>
                <w:bCs/>
                <w:kern w:val="0"/>
                <w:sz w:val="24"/>
                <w:szCs w:val="24"/>
              </w:rPr>
            </w:pPr>
            <w:r>
              <w:rPr>
                <w:rFonts w:hint="eastAsia" w:ascii="宋体" w:hAnsi="宋体" w:cs="宋体"/>
                <w:bCs/>
                <w:kern w:val="0"/>
                <w:sz w:val="24"/>
                <w:szCs w:val="24"/>
              </w:rPr>
              <w:t>技术参数分20分</w:t>
            </w:r>
          </w:p>
        </w:tc>
        <w:tc>
          <w:tcPr>
            <w:tcW w:w="7644" w:type="dxa"/>
            <w:noWrap/>
            <w:vAlign w:val="center"/>
          </w:tcPr>
          <w:p>
            <w:pPr>
              <w:pStyle w:val="144"/>
              <w:numPr>
                <w:ilvl w:val="0"/>
                <w:numId w:val="4"/>
              </w:numPr>
              <w:spacing w:line="360" w:lineRule="auto"/>
              <w:jc w:val="both"/>
              <w:rPr>
                <w:rFonts w:hAnsi="宋体"/>
                <w:color w:val="auto"/>
                <w:kern w:val="2"/>
              </w:rPr>
            </w:pPr>
            <w:r>
              <w:rPr>
                <w:rFonts w:hint="eastAsia" w:hAnsi="宋体"/>
                <w:color w:val="auto"/>
                <w:kern w:val="2"/>
              </w:rPr>
              <w:t>技术参数优越性（20分）：</w:t>
            </w:r>
          </w:p>
          <w:p>
            <w:pPr>
              <w:pStyle w:val="144"/>
              <w:spacing w:line="360" w:lineRule="auto"/>
              <w:jc w:val="both"/>
              <w:rPr>
                <w:rFonts w:hAnsi="宋体"/>
                <w:color w:val="auto"/>
                <w:kern w:val="2"/>
              </w:rPr>
            </w:pPr>
            <w:r>
              <w:rPr>
                <w:rFonts w:hint="eastAsia" w:hAnsi="宋体"/>
                <w:color w:val="auto"/>
                <w:kern w:val="2"/>
              </w:rPr>
              <w:t>采购需求及技术参数带“</w:t>
            </w:r>
            <w:r>
              <w:rPr>
                <w:rFonts w:hint="eastAsia" w:hAnsi="宋体"/>
                <w:color w:val="auto"/>
              </w:rPr>
              <w:t>★</w:t>
            </w:r>
            <w:r>
              <w:rPr>
                <w:rFonts w:hint="eastAsia" w:hAnsi="宋体"/>
                <w:color w:val="auto"/>
                <w:kern w:val="2"/>
              </w:rPr>
              <w:t>”每有一项不满足扣2分，扣完为止。</w:t>
            </w:r>
          </w:p>
          <w:p>
            <w:pPr>
              <w:pStyle w:val="144"/>
              <w:spacing w:line="360" w:lineRule="auto"/>
              <w:jc w:val="both"/>
              <w:rPr>
                <w:rFonts w:hAnsi="宋体"/>
                <w:color w:val="auto"/>
                <w:kern w:val="2"/>
              </w:rPr>
            </w:pPr>
            <w:r>
              <w:rPr>
                <w:rFonts w:hint="eastAsia" w:hAnsi="宋体"/>
                <w:b/>
                <w:bCs/>
                <w:color w:val="auto"/>
                <w:kern w:val="2"/>
              </w:rPr>
              <w:t>评审依据：</w:t>
            </w:r>
            <w:r>
              <w:rPr>
                <w:rFonts w:hint="eastAsia" w:hAnsi="宋体"/>
                <w:b/>
                <w:bCs/>
                <w:color w:val="auto"/>
              </w:rPr>
              <w:t>提供生产厂家针对此项目的技术参数确认函加盖生产单位公章，并提供生产单位出具的原厂供售后服务承诺函，原件现场备查，若未提供，本项不得分</w:t>
            </w:r>
            <w:r>
              <w:rPr>
                <w:rFonts w:hint="eastAsia" w:hAnsi="宋体"/>
                <w:color w:val="auto"/>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24" w:type="dxa"/>
            <w:vMerge w:val="continue"/>
            <w:tcBorders>
              <w:right w:val="single" w:color="auto" w:sz="4" w:space="0"/>
            </w:tcBorders>
            <w:noWrap/>
            <w:vAlign w:val="center"/>
          </w:tcPr>
          <w:p>
            <w:pPr>
              <w:tabs>
                <w:tab w:val="left" w:pos="426"/>
              </w:tabs>
              <w:snapToGrid w:val="0"/>
              <w:spacing w:line="360" w:lineRule="auto"/>
              <w:jc w:val="center"/>
              <w:rPr>
                <w:rFonts w:ascii="宋体" w:hAnsi="宋体" w:cs="宋体"/>
                <w:sz w:val="24"/>
                <w:szCs w:val="24"/>
              </w:rPr>
            </w:pPr>
          </w:p>
        </w:tc>
        <w:tc>
          <w:tcPr>
            <w:tcW w:w="1237" w:type="dxa"/>
            <w:tcBorders>
              <w:top w:val="single" w:color="auto" w:sz="4" w:space="0"/>
              <w:left w:val="single" w:color="auto" w:sz="4" w:space="0"/>
              <w:right w:val="single" w:color="auto" w:sz="4" w:space="0"/>
            </w:tcBorders>
            <w:shd w:val="clear" w:color="auto" w:fill="FFFFFF"/>
            <w:noWrap/>
            <w:vAlign w:val="center"/>
          </w:tcPr>
          <w:p>
            <w:pPr>
              <w:tabs>
                <w:tab w:val="left" w:pos="426"/>
              </w:tabs>
              <w:spacing w:line="360" w:lineRule="auto"/>
              <w:jc w:val="center"/>
              <w:rPr>
                <w:rFonts w:ascii="宋体" w:hAnsi="宋体" w:cs="宋体"/>
                <w:bCs/>
                <w:kern w:val="0"/>
                <w:sz w:val="24"/>
                <w:szCs w:val="24"/>
              </w:rPr>
            </w:pPr>
            <w:r>
              <w:rPr>
                <w:rFonts w:hint="eastAsia" w:ascii="宋体" w:hAnsi="宋体" w:cs="宋体"/>
                <w:bCs/>
                <w:kern w:val="0"/>
                <w:sz w:val="24"/>
                <w:szCs w:val="24"/>
              </w:rPr>
              <w:t>安装调试方案10分</w:t>
            </w:r>
          </w:p>
        </w:tc>
        <w:tc>
          <w:tcPr>
            <w:tcW w:w="7644" w:type="dxa"/>
            <w:tcBorders>
              <w:left w:val="single" w:color="auto" w:sz="4" w:space="0"/>
            </w:tcBorders>
            <w:shd w:val="clear" w:color="auto" w:fill="FFFFFF"/>
            <w:noWrap/>
            <w:vAlign w:val="center"/>
          </w:tcPr>
          <w:p>
            <w:pPr>
              <w:pStyle w:val="144"/>
              <w:spacing w:line="360" w:lineRule="auto"/>
              <w:jc w:val="both"/>
              <w:rPr>
                <w:rFonts w:hAnsi="宋体"/>
                <w:color w:val="auto"/>
                <w:kern w:val="2"/>
              </w:rPr>
            </w:pPr>
            <w:r>
              <w:rPr>
                <w:rFonts w:hint="eastAsia" w:hAnsi="宋体"/>
                <w:color w:val="auto"/>
                <w:kern w:val="2"/>
              </w:rPr>
              <w:t>设备安装调试施工进度计划:</w:t>
            </w:r>
          </w:p>
          <w:p>
            <w:pPr>
              <w:pStyle w:val="144"/>
              <w:spacing w:line="360" w:lineRule="auto"/>
              <w:jc w:val="both"/>
              <w:rPr>
                <w:rFonts w:hAnsi="宋体"/>
                <w:color w:val="auto"/>
                <w:kern w:val="2"/>
              </w:rPr>
            </w:pPr>
            <w:r>
              <w:rPr>
                <w:rFonts w:hint="eastAsia" w:hAnsi="宋体"/>
                <w:color w:val="auto"/>
                <w:kern w:val="2"/>
              </w:rPr>
              <w:t>1、设备安装调试进度计划完善，施工时间合理、人员配备齐全得10分；</w:t>
            </w:r>
          </w:p>
          <w:p>
            <w:pPr>
              <w:pStyle w:val="144"/>
              <w:spacing w:line="360" w:lineRule="auto"/>
              <w:jc w:val="both"/>
              <w:rPr>
                <w:rFonts w:hAnsi="宋体"/>
                <w:color w:val="auto"/>
                <w:kern w:val="2"/>
              </w:rPr>
            </w:pPr>
            <w:r>
              <w:rPr>
                <w:rFonts w:hint="eastAsia" w:hAnsi="宋体"/>
                <w:color w:val="auto"/>
                <w:kern w:val="2"/>
              </w:rPr>
              <w:t>2、设备安装调试进度计划较完善，施工时间较合理、人员配备基本齐全得5分；</w:t>
            </w:r>
          </w:p>
          <w:p>
            <w:pPr>
              <w:pStyle w:val="144"/>
              <w:spacing w:line="360" w:lineRule="auto"/>
              <w:jc w:val="both"/>
              <w:rPr>
                <w:rFonts w:hAnsi="宋体"/>
                <w:color w:val="auto"/>
                <w:kern w:val="2"/>
              </w:rPr>
            </w:pPr>
            <w:r>
              <w:rPr>
                <w:rFonts w:hint="eastAsia" w:hAnsi="宋体"/>
                <w:color w:val="auto"/>
                <w:kern w:val="2"/>
              </w:rPr>
              <w:t>3、设备安装调试进度计划不完善，施工时间不合理、人员配备不齐全得0分；</w:t>
            </w:r>
          </w:p>
          <w:p>
            <w:pPr>
              <w:pStyle w:val="144"/>
              <w:spacing w:line="360" w:lineRule="auto"/>
              <w:jc w:val="both"/>
              <w:rPr>
                <w:rFonts w:hAnsi="宋体"/>
              </w:rPr>
            </w:pPr>
            <w:r>
              <w:rPr>
                <w:rFonts w:hint="eastAsia" w:hAnsi="宋体"/>
                <w:b/>
                <w:bCs/>
                <w:color w:val="auto"/>
                <w:kern w:val="2"/>
              </w:rPr>
              <w:t>评审依据：投标人提供的设备安装调试方案。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24" w:type="dxa"/>
            <w:vMerge w:val="continue"/>
            <w:tcBorders>
              <w:right w:val="single" w:color="auto" w:sz="4" w:space="0"/>
            </w:tcBorders>
            <w:noWrap/>
            <w:vAlign w:val="center"/>
          </w:tcPr>
          <w:p>
            <w:pPr>
              <w:tabs>
                <w:tab w:val="left" w:pos="426"/>
              </w:tabs>
              <w:snapToGrid w:val="0"/>
              <w:spacing w:line="360" w:lineRule="auto"/>
              <w:jc w:val="center"/>
              <w:rPr>
                <w:rFonts w:ascii="宋体" w:hAnsi="宋体" w:cs="宋体"/>
                <w:sz w:val="24"/>
                <w:szCs w:val="24"/>
              </w:rPr>
            </w:pPr>
          </w:p>
        </w:tc>
        <w:tc>
          <w:tcPr>
            <w:tcW w:w="1237" w:type="dxa"/>
            <w:tcBorders>
              <w:top w:val="single" w:color="auto" w:sz="4" w:space="0"/>
              <w:left w:val="single" w:color="auto" w:sz="4" w:space="0"/>
              <w:right w:val="single" w:color="auto" w:sz="4" w:space="0"/>
            </w:tcBorders>
            <w:shd w:val="clear" w:color="auto" w:fill="FFFFFF"/>
            <w:noWrap/>
            <w:vAlign w:val="center"/>
          </w:tcPr>
          <w:p>
            <w:pPr>
              <w:pStyle w:val="144"/>
              <w:spacing w:line="360" w:lineRule="auto"/>
              <w:jc w:val="center"/>
              <w:rPr>
                <w:rFonts w:hAnsi="宋体"/>
                <w:color w:val="auto"/>
                <w:kern w:val="2"/>
              </w:rPr>
            </w:pPr>
            <w:r>
              <w:rPr>
                <w:rFonts w:hint="eastAsia" w:hAnsi="宋体"/>
                <w:color w:val="auto"/>
                <w:kern w:val="2"/>
              </w:rPr>
              <w:t>施工组织措施10分</w:t>
            </w:r>
          </w:p>
        </w:tc>
        <w:tc>
          <w:tcPr>
            <w:tcW w:w="7644" w:type="dxa"/>
            <w:tcBorders>
              <w:left w:val="single" w:color="auto" w:sz="4" w:space="0"/>
            </w:tcBorders>
            <w:shd w:val="clear" w:color="auto" w:fill="FFFFFF"/>
            <w:noWrap/>
            <w:vAlign w:val="center"/>
          </w:tcPr>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确保工程质量、安全、工期的技术组织措施得当。应有专门的质量技术管理班子和制度，有效保证技术质量，达到承诺的质量标准。应有专门的安全管理人员和制度，且人员配备合理，制度健全，各道工序安全技术措施针对性强，符合实际且满足有关安全技术标准要求。在施工工艺、施工方法、材料选用、劳动力安排、技术等方面有保证工期的具体措施且措施得当。有控制工期的施工进度计划。应有施工总进度表或施工网络图，各项计划图表编制完善，安排科学合理。比较评分优得10分、良得5分、一般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24" w:type="dxa"/>
            <w:vMerge w:val="restart"/>
            <w:shd w:val="clear" w:color="auto" w:fill="auto"/>
            <w:noWrap/>
            <w:vAlign w:val="center"/>
          </w:tcPr>
          <w:p>
            <w:pPr>
              <w:tabs>
                <w:tab w:val="left" w:pos="426"/>
              </w:tabs>
              <w:spacing w:line="360" w:lineRule="auto"/>
              <w:jc w:val="center"/>
              <w:rPr>
                <w:rFonts w:ascii="宋体" w:hAnsi="宋体" w:cs="宋体"/>
                <w:sz w:val="24"/>
                <w:szCs w:val="24"/>
              </w:rPr>
            </w:pPr>
            <w:r>
              <w:rPr>
                <w:rFonts w:hint="eastAsia" w:ascii="宋体" w:hAnsi="宋体" w:cs="宋体"/>
                <w:sz w:val="24"/>
                <w:szCs w:val="24"/>
              </w:rPr>
              <w:t>商务部分</w:t>
            </w:r>
          </w:p>
          <w:p>
            <w:pPr>
              <w:tabs>
                <w:tab w:val="left" w:pos="426"/>
              </w:tabs>
              <w:spacing w:line="360" w:lineRule="auto"/>
              <w:jc w:val="center"/>
              <w:rPr>
                <w:rFonts w:ascii="宋体" w:hAnsi="宋体" w:cs="宋体"/>
                <w:b/>
                <w:bCs/>
                <w:color w:val="FF0000"/>
                <w:sz w:val="24"/>
                <w:szCs w:val="24"/>
              </w:rPr>
            </w:pPr>
            <w:r>
              <w:rPr>
                <w:rFonts w:hint="eastAsia" w:ascii="宋体" w:hAnsi="宋体" w:cs="宋体"/>
                <w:sz w:val="24"/>
                <w:szCs w:val="24"/>
              </w:rPr>
              <w:t>30分</w:t>
            </w:r>
          </w:p>
        </w:tc>
        <w:tc>
          <w:tcPr>
            <w:tcW w:w="1237" w:type="dxa"/>
            <w:shd w:val="clear" w:color="auto" w:fill="FFFFFF"/>
            <w:noWrap/>
            <w:vAlign w:val="center"/>
          </w:tcPr>
          <w:p>
            <w:pPr>
              <w:tabs>
                <w:tab w:val="left" w:pos="426"/>
              </w:tabs>
              <w:spacing w:line="360" w:lineRule="auto"/>
              <w:jc w:val="center"/>
              <w:rPr>
                <w:rFonts w:ascii="宋体" w:hAnsi="宋体" w:cs="宋体"/>
                <w:bCs/>
                <w:kern w:val="0"/>
                <w:sz w:val="24"/>
                <w:szCs w:val="24"/>
              </w:rPr>
            </w:pPr>
            <w:r>
              <w:rPr>
                <w:rFonts w:hint="eastAsia" w:ascii="宋体" w:hAnsi="宋体" w:cs="宋体"/>
                <w:bCs/>
                <w:kern w:val="0"/>
                <w:sz w:val="24"/>
                <w:szCs w:val="24"/>
              </w:rPr>
              <w:t>业绩分</w:t>
            </w:r>
          </w:p>
          <w:p>
            <w:pPr>
              <w:tabs>
                <w:tab w:val="left" w:pos="426"/>
              </w:tabs>
              <w:spacing w:line="360" w:lineRule="auto"/>
              <w:jc w:val="center"/>
              <w:rPr>
                <w:rFonts w:ascii="宋体" w:hAnsi="宋体" w:cs="宋体"/>
                <w:bCs/>
                <w:kern w:val="0"/>
                <w:sz w:val="24"/>
                <w:szCs w:val="24"/>
              </w:rPr>
            </w:pPr>
            <w:r>
              <w:rPr>
                <w:rFonts w:hint="eastAsia" w:ascii="宋体" w:hAnsi="宋体" w:cs="宋体"/>
                <w:bCs/>
                <w:kern w:val="0"/>
                <w:sz w:val="24"/>
                <w:szCs w:val="24"/>
              </w:rPr>
              <w:t>10分</w:t>
            </w:r>
          </w:p>
        </w:tc>
        <w:tc>
          <w:tcPr>
            <w:tcW w:w="7644" w:type="dxa"/>
            <w:shd w:val="clear" w:color="auto" w:fill="FFFFFF"/>
            <w:noWrap/>
          </w:tcPr>
          <w:p>
            <w:pPr>
              <w:adjustRightInd w:val="0"/>
              <w:snapToGrid w:val="0"/>
              <w:spacing w:line="360" w:lineRule="auto"/>
              <w:jc w:val="left"/>
              <w:rPr>
                <w:rFonts w:ascii="宋体" w:hAnsi="宋体" w:cs="宋体"/>
                <w:sz w:val="24"/>
                <w:szCs w:val="24"/>
              </w:rPr>
            </w:pPr>
            <w:r>
              <w:rPr>
                <w:rFonts w:hint="eastAsia" w:ascii="宋体" w:hAnsi="宋体" w:cs="宋体"/>
                <w:sz w:val="24"/>
                <w:szCs w:val="24"/>
              </w:rPr>
              <w:t>投标人提供拥有类似主要设备（在线检测设备）项目业绩，每提供一个得2分，最高10分。</w:t>
            </w:r>
          </w:p>
          <w:p>
            <w:pPr>
              <w:adjustRightInd w:val="0"/>
              <w:snapToGrid w:val="0"/>
              <w:spacing w:line="360" w:lineRule="auto"/>
              <w:jc w:val="left"/>
              <w:rPr>
                <w:rFonts w:ascii="宋体" w:hAnsi="宋体" w:cs="宋体"/>
                <w:sz w:val="24"/>
                <w:szCs w:val="24"/>
              </w:rPr>
            </w:pPr>
            <w:r>
              <w:rPr>
                <w:rFonts w:hint="eastAsia" w:ascii="宋体" w:hAnsi="宋体" w:cs="宋体"/>
                <w:b/>
                <w:bCs/>
                <w:sz w:val="24"/>
                <w:szCs w:val="24"/>
              </w:rPr>
              <w:t>评审依据：提供合同及发票或中标通知书复印件加盖公章进行评审，原件现场备查，不提供不得分。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24" w:type="dxa"/>
            <w:vMerge w:val="continue"/>
            <w:shd w:val="clear" w:color="auto" w:fill="auto"/>
            <w:noWrap/>
            <w:vAlign w:val="center"/>
          </w:tcPr>
          <w:p>
            <w:pPr>
              <w:tabs>
                <w:tab w:val="left" w:pos="426"/>
              </w:tabs>
              <w:snapToGrid w:val="0"/>
              <w:spacing w:line="360" w:lineRule="auto"/>
              <w:jc w:val="center"/>
              <w:rPr>
                <w:rFonts w:ascii="宋体" w:hAnsi="宋体" w:cs="宋体"/>
                <w:color w:val="FF0000"/>
                <w:sz w:val="24"/>
                <w:szCs w:val="24"/>
              </w:rPr>
            </w:pPr>
          </w:p>
        </w:tc>
        <w:tc>
          <w:tcPr>
            <w:tcW w:w="1237" w:type="dxa"/>
            <w:shd w:val="clear" w:color="auto" w:fill="FFFFFF"/>
            <w:noWrap/>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企业综合实力15分</w:t>
            </w:r>
          </w:p>
        </w:tc>
        <w:tc>
          <w:tcPr>
            <w:tcW w:w="7644" w:type="dxa"/>
            <w:shd w:val="clear" w:color="auto" w:fill="FFFFFF"/>
            <w:noWrap/>
            <w:vAlign w:val="center"/>
          </w:tcPr>
          <w:p>
            <w:pPr>
              <w:adjustRightInd w:val="0"/>
              <w:snapToGrid w:val="0"/>
              <w:spacing w:line="360" w:lineRule="auto"/>
              <w:jc w:val="left"/>
              <w:rPr>
                <w:rFonts w:ascii="宋体" w:hAnsi="宋体" w:cs="宋体"/>
                <w:sz w:val="24"/>
                <w:szCs w:val="24"/>
              </w:rPr>
            </w:pPr>
            <w:r>
              <w:rPr>
                <w:rFonts w:hint="eastAsia" w:ascii="宋体" w:hAnsi="宋体" w:cs="宋体"/>
                <w:sz w:val="24"/>
                <w:szCs w:val="24"/>
              </w:rPr>
              <w:t>1、体系认证：</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投标人获得ISO9001质量管理体系认证、ISO14001环境管理体系认证、OHSAS18001（或ISO45001）职业健康安全管理体系认证（认证范围需同时包括仪器仪表及环保设备））的得10分。</w:t>
            </w:r>
          </w:p>
          <w:p>
            <w:pPr>
              <w:adjustRightInd w:val="0"/>
              <w:snapToGrid w:val="0"/>
              <w:spacing w:line="360" w:lineRule="auto"/>
              <w:jc w:val="left"/>
              <w:rPr>
                <w:rFonts w:ascii="宋体" w:hAnsi="宋体" w:cs="宋体"/>
                <w:b/>
                <w:bCs/>
                <w:sz w:val="24"/>
                <w:szCs w:val="24"/>
              </w:rPr>
            </w:pPr>
            <w:r>
              <w:rPr>
                <w:rFonts w:hint="eastAsia" w:ascii="宋体" w:hAnsi="宋体" w:cs="宋体"/>
                <w:b/>
                <w:bCs/>
                <w:sz w:val="24"/>
                <w:szCs w:val="24"/>
              </w:rPr>
              <w:t>评审依据：提供投标人体系认证证书复印件加盖投标人公章，原件现场备查，不提供不得分。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2、信用认证</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投标人获得AAA级信用认证的加5分。</w:t>
            </w:r>
          </w:p>
          <w:p>
            <w:pPr>
              <w:adjustRightInd w:val="0"/>
              <w:snapToGrid w:val="0"/>
              <w:spacing w:line="360" w:lineRule="auto"/>
              <w:jc w:val="left"/>
            </w:pPr>
            <w:r>
              <w:rPr>
                <w:rFonts w:hint="eastAsia" w:ascii="宋体" w:hAnsi="宋体" w:cs="宋体"/>
                <w:b/>
                <w:bCs/>
                <w:sz w:val="24"/>
                <w:szCs w:val="24"/>
              </w:rPr>
              <w:t>评审依据：提供投标人AAA认证证书复印件加盖投标人公章，原件现场备查，不提供不得分。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4" w:type="dxa"/>
            <w:vMerge w:val="continue"/>
            <w:shd w:val="clear" w:color="auto" w:fill="auto"/>
            <w:noWrap/>
            <w:vAlign w:val="center"/>
          </w:tcPr>
          <w:p>
            <w:pPr>
              <w:tabs>
                <w:tab w:val="left" w:pos="426"/>
              </w:tabs>
              <w:snapToGrid w:val="0"/>
              <w:spacing w:line="360" w:lineRule="auto"/>
              <w:jc w:val="center"/>
              <w:rPr>
                <w:rFonts w:ascii="宋体" w:hAnsi="宋体" w:cs="宋体"/>
                <w:color w:val="FF0000"/>
                <w:sz w:val="24"/>
                <w:szCs w:val="24"/>
              </w:rPr>
            </w:pPr>
          </w:p>
        </w:tc>
        <w:tc>
          <w:tcPr>
            <w:tcW w:w="1237" w:type="dxa"/>
            <w:shd w:val="clear" w:color="auto" w:fill="FFFFFF"/>
            <w:noWrap/>
            <w:vAlign w:val="center"/>
          </w:tcPr>
          <w:p>
            <w:pPr>
              <w:snapToGrid w:val="0"/>
              <w:spacing w:line="360" w:lineRule="auto"/>
              <w:jc w:val="center"/>
              <w:rPr>
                <w:rFonts w:ascii="宋体" w:hAnsi="宋体" w:cs="宋体"/>
                <w:bCs/>
                <w:kern w:val="0"/>
                <w:sz w:val="24"/>
                <w:szCs w:val="24"/>
              </w:rPr>
            </w:pPr>
            <w:r>
              <w:rPr>
                <w:rFonts w:hint="eastAsia" w:ascii="宋体" w:hAnsi="宋体" w:cs="宋体"/>
                <w:bCs/>
                <w:kern w:val="0"/>
                <w:sz w:val="24"/>
                <w:szCs w:val="24"/>
              </w:rPr>
              <w:t>售后服务5分</w:t>
            </w:r>
          </w:p>
        </w:tc>
        <w:tc>
          <w:tcPr>
            <w:tcW w:w="7644" w:type="dxa"/>
            <w:shd w:val="clear" w:color="auto" w:fill="FFFFFF"/>
            <w:noWrap/>
          </w:tcPr>
          <w:p>
            <w:pPr>
              <w:adjustRightInd w:val="0"/>
              <w:snapToGrid w:val="0"/>
              <w:spacing w:line="360" w:lineRule="auto"/>
              <w:jc w:val="left"/>
              <w:rPr>
                <w:rFonts w:ascii="宋体" w:hAnsi="宋体" w:cs="宋体"/>
                <w:sz w:val="24"/>
                <w:szCs w:val="24"/>
              </w:rPr>
            </w:pPr>
            <w:r>
              <w:rPr>
                <w:rFonts w:hint="eastAsia" w:ascii="宋体" w:hAnsi="宋体" w:cs="宋体"/>
                <w:sz w:val="24"/>
                <w:szCs w:val="24"/>
              </w:rPr>
              <w:t>售后服务认证（5分）：</w:t>
            </w:r>
          </w:p>
          <w:p>
            <w:pPr>
              <w:adjustRightInd w:val="0"/>
              <w:snapToGrid w:val="0"/>
              <w:spacing w:line="360" w:lineRule="auto"/>
              <w:jc w:val="left"/>
              <w:rPr>
                <w:rFonts w:ascii="宋体" w:hAnsi="宋体" w:cs="宋体"/>
                <w:b/>
                <w:bCs/>
                <w:kern w:val="0"/>
                <w:sz w:val="24"/>
                <w:szCs w:val="24"/>
              </w:rPr>
            </w:pPr>
            <w:r>
              <w:rPr>
                <w:rFonts w:hint="eastAsia" w:ascii="宋体" w:hAnsi="宋体" w:cs="宋体"/>
                <w:sz w:val="24"/>
                <w:szCs w:val="24"/>
              </w:rPr>
              <w:t>投标人获得售后服务认证证书（认证范围需同时包括仪器仪表及环保设备）：三-四星级得2分，五星级及以上得5分。凭中国国家认证认可监督管理委员会认可的“售后服务认证证书”原件并扫其二位码查询截图佐证评议，否则不得分。</w:t>
            </w:r>
          </w:p>
        </w:tc>
      </w:tr>
    </w:tbl>
    <w:p>
      <w:pPr>
        <w:spacing w:before="156"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21.3评分说明：</w:t>
      </w:r>
    </w:p>
    <w:p>
      <w:pPr>
        <w:spacing w:line="440" w:lineRule="exact"/>
        <w:rPr>
          <w:rFonts w:asciiTheme="majorEastAsia" w:hAnsiTheme="majorEastAsia" w:eastAsiaTheme="majorEastAsia" w:cstheme="majorEastAsia"/>
          <w:b/>
          <w:sz w:val="24"/>
          <w:szCs w:val="24"/>
        </w:rPr>
      </w:pPr>
      <w:r>
        <w:rPr>
          <w:rFonts w:hint="eastAsia" w:ascii="宋体" w:hAnsi="宋体"/>
          <w:sz w:val="24"/>
          <w:szCs w:val="24"/>
        </w:rPr>
        <w:t>（1）根据《政府采购促进中小企业发展暂行办法》规定，本项目供应商为小型或微型企业且提供本企业产品的、或者本项目供应商为小型或微型企业且由其他小型或微型企业提供主要产品的，将对认定为小型或微型提供的产品价格给予</w:t>
      </w:r>
      <w:r>
        <w:rPr>
          <w:rFonts w:hint="eastAsia" w:ascii="宋体" w:hAnsi="宋体"/>
          <w:sz w:val="24"/>
          <w:szCs w:val="24"/>
          <w:lang w:val="en-US" w:eastAsia="zh-CN"/>
        </w:rPr>
        <w:t>10</w:t>
      </w:r>
      <w:r>
        <w:rPr>
          <w:rFonts w:hint="eastAsia" w:ascii="宋体" w:hAnsi="宋体"/>
          <w:sz w:val="24"/>
          <w:szCs w:val="24"/>
        </w:rPr>
        <w:t>%的扣除。供应商按照采购文件中规定的格式自行出具《中小企业声明函》（如所投产品不是供应商制造的，所投产品制造商需按照招标文件中规定的格式自行出具《中小企业声明函》），否则评标时不予认可。供应商应对提交的中小企业声明函的真实性负责，提交的中小企业声明函不真实的，应承担相应的法律责任。</w:t>
      </w:r>
    </w:p>
    <w:p>
      <w:pPr>
        <w:spacing w:line="360" w:lineRule="auto"/>
        <w:rPr>
          <w:rFonts w:ascii="宋体" w:hAnsi="宋体"/>
          <w:b/>
          <w:sz w:val="24"/>
          <w:szCs w:val="24"/>
        </w:rPr>
      </w:pPr>
      <w:r>
        <w:rPr>
          <w:rFonts w:hint="eastAsia" w:ascii="宋体" w:hAnsi="宋体"/>
          <w:sz w:val="24"/>
          <w:szCs w:val="24"/>
        </w:rPr>
        <w:t>（2）</w:t>
      </w:r>
      <w:r>
        <w:rPr>
          <w:rFonts w:hint="eastAsia" w:ascii="宋体" w:hAnsi="宋体" w:cs="宋体"/>
          <w:sz w:val="24"/>
          <w:szCs w:val="24"/>
        </w:rPr>
        <w:t>监狱企业视同小型和微型企业，享受同等优惠政策，但监狱企业必须在投标文件中提供其上级主管部门出具的有效证明材料</w:t>
      </w:r>
      <w:r>
        <w:rPr>
          <w:rFonts w:hint="eastAsia" w:ascii="宋体" w:hAnsi="宋体"/>
          <w:sz w:val="24"/>
          <w:szCs w:val="24"/>
        </w:rPr>
        <w:t>。（证明原件开标现场核查，未提供原件的不得进行价格扣除）。</w:t>
      </w:r>
    </w:p>
    <w:p>
      <w:pPr>
        <w:spacing w:line="360" w:lineRule="auto"/>
        <w:rPr>
          <w:rFonts w:ascii="宋体" w:hAnsi="宋体"/>
          <w:b/>
          <w:sz w:val="24"/>
          <w:szCs w:val="24"/>
        </w:rPr>
      </w:pPr>
      <w:r>
        <w:rPr>
          <w:rFonts w:hint="eastAsia" w:ascii="宋体" w:hAnsi="宋体"/>
          <w:sz w:val="24"/>
          <w:szCs w:val="24"/>
        </w:rPr>
        <w:t>（3）</w:t>
      </w:r>
      <w:r>
        <w:rPr>
          <w:rFonts w:hint="eastAsia" w:ascii="宋体" w:hAnsi="宋体" w:cs="宋体"/>
          <w:kern w:val="0"/>
          <w:sz w:val="24"/>
          <w:szCs w:val="24"/>
        </w:rPr>
        <w:t>残疾人福利性企业</w:t>
      </w:r>
      <w:r>
        <w:rPr>
          <w:rFonts w:hint="eastAsia" w:ascii="宋体" w:hAnsi="宋体" w:cs="宋体"/>
          <w:sz w:val="24"/>
          <w:szCs w:val="24"/>
        </w:rPr>
        <w:t>视同小型和微型企业，享受同等优惠政策，但必须在投标文件中提供其上级主管部门出具的有效证明材料</w:t>
      </w:r>
      <w:r>
        <w:rPr>
          <w:rFonts w:hint="eastAsia" w:ascii="宋体" w:hAnsi="宋体"/>
          <w:sz w:val="24"/>
          <w:szCs w:val="24"/>
        </w:rPr>
        <w:t>。（证明原件开标现场核查，未提供原件的不得进行价格扣除）。</w:t>
      </w:r>
    </w:p>
    <w:p>
      <w:pPr>
        <w:spacing w:line="360" w:lineRule="auto"/>
        <w:rPr>
          <w:rFonts w:ascii="宋体" w:hAnsi="宋体"/>
          <w:sz w:val="24"/>
          <w:szCs w:val="24"/>
        </w:rPr>
      </w:pPr>
      <w:r>
        <w:rPr>
          <w:rFonts w:hint="eastAsia" w:ascii="宋体" w:hAnsi="宋体"/>
          <w:sz w:val="24"/>
          <w:szCs w:val="24"/>
        </w:rPr>
        <w:t>（4）</w:t>
      </w:r>
      <w:r>
        <w:rPr>
          <w:rFonts w:ascii="宋体" w:hAnsi="宋体"/>
          <w:sz w:val="24"/>
          <w:szCs w:val="24"/>
        </w:rPr>
        <w:t>禁止采购国家明令淘汰的用能产品、设备。禁止生产、进口、销售国家明令淘汰或者不符合强制性能源效率标准的用能产品、设备；禁止使用国家明令淘汰的用能设备、生产工艺。</w:t>
      </w:r>
      <w:r>
        <w:rPr>
          <w:rFonts w:hint="eastAsia" w:ascii="宋体" w:hAnsi="宋体"/>
          <w:sz w:val="24"/>
          <w:szCs w:val="24"/>
        </w:rPr>
        <w:t>严格执行节能产品政府优先采购和强制采购制度。政府采购属于节能清单【中国政府采购网（http://www.ccgp.gov.cn/）、中国环境资源信息网（http://www.cern.gov.cn/）、中国节能节水认证网（http://www.cecp.org.cn/）为节能清单公告媒体】中产品时，在技术、服务等指标同等条件下，应当优先采购节能清单所列的节能产品。节能清单中的产品有效时间以国家节能产品认证证书有效截止日期为准，超过认证证书有效截止日期的自动失效。</w:t>
      </w:r>
    </w:p>
    <w:p>
      <w:pPr>
        <w:spacing w:line="360" w:lineRule="auto"/>
        <w:rPr>
          <w:rFonts w:ascii="宋体" w:hAnsi="宋体"/>
          <w:sz w:val="24"/>
          <w:szCs w:val="24"/>
        </w:rPr>
      </w:pPr>
      <w:r>
        <w:rPr>
          <w:rFonts w:hint="eastAsia" w:ascii="宋体" w:hAnsi="宋体"/>
          <w:sz w:val="24"/>
          <w:szCs w:val="24"/>
        </w:rPr>
        <w:t>（5）优先采购列入</w:t>
      </w:r>
      <w:r>
        <w:rPr>
          <w:rFonts w:ascii="宋体" w:hAnsi="宋体"/>
          <w:sz w:val="24"/>
          <w:szCs w:val="24"/>
        </w:rPr>
        <w:t>“环境标志产品政府采购清单”</w:t>
      </w:r>
      <w:r>
        <w:rPr>
          <w:rFonts w:hint="eastAsia" w:ascii="宋体" w:hAnsi="宋体"/>
          <w:sz w:val="24"/>
          <w:szCs w:val="24"/>
        </w:rPr>
        <w:t>【中国政府采购网（</w:t>
      </w:r>
      <w:r>
        <w:fldChar w:fldCharType="begin"/>
      </w:r>
      <w:r>
        <w:instrText xml:space="preserve"> HYPERLINK "http://www.shui5.cn/php/r.php?url=http%3A%2F%2Fwww.ccgp.gov.cn%2F" </w:instrText>
      </w:r>
      <w:r>
        <w:fldChar w:fldCharType="separate"/>
      </w:r>
      <w:r>
        <w:rPr>
          <w:rStyle w:val="53"/>
          <w:rFonts w:hint="eastAsia" w:hAnsi="宋体"/>
          <w:color w:val="auto"/>
          <w:sz w:val="24"/>
          <w:szCs w:val="24"/>
        </w:rPr>
        <w:t>http://www.ccgp.gov.cn/</w:t>
      </w:r>
      <w:r>
        <w:rPr>
          <w:rStyle w:val="53"/>
          <w:rFonts w:hint="eastAsia" w:hAnsi="宋体"/>
          <w:color w:val="auto"/>
          <w:sz w:val="24"/>
          <w:szCs w:val="24"/>
        </w:rPr>
        <w:fldChar w:fldCharType="end"/>
      </w:r>
      <w:r>
        <w:rPr>
          <w:rFonts w:hint="eastAsia" w:ascii="宋体" w:hAnsi="宋体"/>
          <w:sz w:val="24"/>
          <w:szCs w:val="24"/>
        </w:rPr>
        <w:t>）、国家环境保护总局网（</w:t>
      </w:r>
      <w:r>
        <w:rPr>
          <w:rFonts w:hint="eastAsia"/>
        </w:rPr>
        <w:fldChar w:fldCharType="begin"/>
      </w:r>
      <w:r>
        <w:instrText xml:space="preserve"> HYPERLINK "http://www.shui5.cn/php/r.php?url=http%3A%2F%2Fwww.sepa.gov.cn%2F" </w:instrText>
      </w:r>
      <w:r>
        <w:rPr>
          <w:rFonts w:hint="eastAsia"/>
        </w:rPr>
        <w:fldChar w:fldCharType="separate"/>
      </w:r>
      <w:r>
        <w:rPr>
          <w:rStyle w:val="53"/>
          <w:rFonts w:hint="eastAsia" w:hAnsi="宋体"/>
          <w:color w:val="auto"/>
          <w:sz w:val="24"/>
          <w:szCs w:val="24"/>
        </w:rPr>
        <w:t>http://www.sepa.gov.cn/</w:t>
      </w:r>
      <w:r>
        <w:rPr>
          <w:rStyle w:val="53"/>
          <w:rFonts w:hint="eastAsia" w:hAnsi="宋体"/>
          <w:color w:val="auto"/>
          <w:sz w:val="24"/>
          <w:szCs w:val="24"/>
        </w:rPr>
        <w:fldChar w:fldCharType="end"/>
      </w:r>
      <w:r>
        <w:rPr>
          <w:rFonts w:hint="eastAsia" w:ascii="宋体" w:hAnsi="宋体"/>
          <w:sz w:val="24"/>
          <w:szCs w:val="24"/>
        </w:rPr>
        <w:t>）、中国绿色采购网（</w:t>
      </w:r>
      <w:r>
        <w:rPr>
          <w:rFonts w:hint="eastAsia"/>
        </w:rPr>
        <w:fldChar w:fldCharType="begin"/>
      </w:r>
      <w:r>
        <w:instrText xml:space="preserve"> HYPERLINK "http://www.shui5.cn/php/r.php?url=http%3A%2F%2Fwww.cgpn.cn%2F" </w:instrText>
      </w:r>
      <w:r>
        <w:rPr>
          <w:rFonts w:hint="eastAsia"/>
        </w:rPr>
        <w:fldChar w:fldCharType="separate"/>
      </w:r>
      <w:r>
        <w:rPr>
          <w:rStyle w:val="53"/>
          <w:rFonts w:hint="eastAsia" w:hAnsi="宋体"/>
          <w:color w:val="auto"/>
          <w:sz w:val="24"/>
          <w:szCs w:val="24"/>
        </w:rPr>
        <w:t>http://www.cgpn.cn/</w:t>
      </w:r>
      <w:r>
        <w:rPr>
          <w:rStyle w:val="53"/>
          <w:rFonts w:hint="eastAsia" w:hAnsi="宋体"/>
          <w:color w:val="auto"/>
          <w:sz w:val="24"/>
          <w:szCs w:val="24"/>
        </w:rPr>
        <w:fldChar w:fldCharType="end"/>
      </w:r>
      <w:r>
        <w:rPr>
          <w:rFonts w:hint="eastAsia" w:ascii="宋体" w:hAnsi="宋体"/>
          <w:sz w:val="24"/>
          <w:szCs w:val="24"/>
        </w:rPr>
        <w:t>）为清单的公告媒体】的环境标志产品，不得采购危害环境及人体健康的产品。产品属于清单中品目的，在性能、技术、服务等指标同等条件下，应当优先采购清单中的产品。清单中的产品有效时间以中国环境标志产品认证证书有效截止日期为准，超过认证证书有效截止日期的自动失效。</w:t>
      </w:r>
    </w:p>
    <w:p>
      <w:pPr>
        <w:spacing w:line="440" w:lineRule="exact"/>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21.4投标人的投标文件在全部满足招标文件实质性要求前提下，评标委员会依据统一的价格要素评定最低报价，以提出最低报价的投标人作为中标候选供应商或者中标供应商。投标报价相同的，由评标委员会根据投标文件编制及投标文件中技术和商务响应程度独立进行综合评议，综合评议优者优先进行顺序排列。</w:t>
      </w:r>
    </w:p>
    <w:p>
      <w:pPr>
        <w:spacing w:line="44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21.5投标人应如实填写偏离情况，如果投标人的投标承诺明显不符合招标要求却在偏离情况中作“满足”、“无偏离”、“正偏离”等满足招标要求的承诺时，经评委认定后视为无效投标。</w:t>
      </w:r>
      <w:bookmarkEnd w:id="145"/>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52" w:name="_Toc377982344"/>
      <w:bookmarkStart w:id="153" w:name="_Toc21478"/>
      <w:bookmarkStart w:id="154" w:name="_Toc147282129"/>
      <w:bookmarkStart w:id="155" w:name="_Toc516969091"/>
      <w:r>
        <w:rPr>
          <w:rFonts w:hint="eastAsia" w:asciiTheme="majorEastAsia" w:hAnsiTheme="majorEastAsia" w:eastAsiaTheme="majorEastAsia" w:cstheme="majorEastAsia"/>
          <w:b w:val="0"/>
          <w:sz w:val="36"/>
          <w:szCs w:val="36"/>
        </w:rPr>
        <w:t>授予合同</w:t>
      </w:r>
      <w:bookmarkEnd w:id="152"/>
      <w:bookmarkEnd w:id="153"/>
    </w:p>
    <w:bookmarkEnd w:id="154"/>
    <w:bookmarkEnd w:id="155"/>
    <w:p>
      <w:pPr>
        <w:pStyle w:val="7"/>
        <w:spacing w:after="0" w:line="360" w:lineRule="auto"/>
        <w:rPr>
          <w:rFonts w:asciiTheme="majorEastAsia" w:hAnsiTheme="majorEastAsia" w:eastAsiaTheme="majorEastAsia" w:cstheme="majorEastAsia"/>
          <w:b w:val="0"/>
        </w:rPr>
      </w:pPr>
      <w:bookmarkStart w:id="156" w:name="_Toc19439"/>
      <w:bookmarkStart w:id="157" w:name="_Toc4920"/>
      <w:bookmarkStart w:id="158" w:name="_Toc377982345"/>
      <w:r>
        <w:rPr>
          <w:rFonts w:hint="eastAsia" w:asciiTheme="majorEastAsia" w:hAnsiTheme="majorEastAsia" w:eastAsiaTheme="majorEastAsia" w:cstheme="majorEastAsia"/>
          <w:b w:val="0"/>
        </w:rPr>
        <w:t>22．确定中标供应商</w:t>
      </w:r>
      <w:bookmarkEnd w:id="156"/>
      <w:bookmarkEnd w:id="157"/>
      <w:bookmarkEnd w:id="158"/>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22.1原则上把合同授予实质上响应招标文件要求的评分排名最前的中标候选供应商。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22.2不一定接受最低价的投标人为中标供应商。</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22.3采购代理机构在评标结束后5个工作日内将评标报告送采购人。采购人在收到评标报告后5个工作日内，按照评标报告推荐的中标候选供应商顺序确定中标供应商，也可以事先授权评标委员会直接确定中标供应商。</w:t>
      </w:r>
    </w:p>
    <w:p>
      <w:pPr>
        <w:pStyle w:val="7"/>
        <w:spacing w:after="0" w:line="360" w:lineRule="auto"/>
        <w:rPr>
          <w:rFonts w:asciiTheme="majorEastAsia" w:hAnsiTheme="majorEastAsia" w:eastAsiaTheme="majorEastAsia" w:cstheme="majorEastAsia"/>
          <w:b w:val="0"/>
        </w:rPr>
      </w:pPr>
      <w:bookmarkStart w:id="159" w:name="_Toc9320"/>
      <w:bookmarkStart w:id="160" w:name="_Toc2227"/>
      <w:bookmarkStart w:id="161" w:name="_Toc377982346"/>
      <w:r>
        <w:rPr>
          <w:rFonts w:hint="eastAsia" w:asciiTheme="majorEastAsia" w:hAnsiTheme="majorEastAsia" w:eastAsiaTheme="majorEastAsia" w:cstheme="majorEastAsia"/>
          <w:b w:val="0"/>
        </w:rPr>
        <w:t>23．中标结果公告</w:t>
      </w:r>
      <w:bookmarkEnd w:id="159"/>
      <w:bookmarkEnd w:id="160"/>
      <w:bookmarkEnd w:id="161"/>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23.1采购代理机构根据采购人确定的中标供应商，将在指定的政府采购信息发布媒体上中国政府采购网（http://www.ccgp.gov.cn/）进行中标结果公告，公告期为一个工作日。</w:t>
      </w:r>
      <w:bookmarkStart w:id="162" w:name="_Toc5628"/>
      <w:bookmarkStart w:id="163" w:name="_Toc377982347"/>
    </w:p>
    <w:p>
      <w:pPr>
        <w:spacing w:line="360" w:lineRule="auto"/>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24．中标通知书</w:t>
      </w:r>
      <w:bookmarkEnd w:id="162"/>
      <w:bookmarkEnd w:id="163"/>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24.1中标结果公告期满后，或质疑人对质疑答复后在15个工作日内未向同级财政部门提起投诉的，采购代理机构向中标供应商发出中标通知书。</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24.2中标通知书发出后，采购人改变中标结果，中标供应商放弃中标的，应承担相应的法律责任。</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24.3采购代理机构将不对中标和未中标的原因作任何解释。</w:t>
      </w:r>
    </w:p>
    <w:p>
      <w:pPr>
        <w:pStyle w:val="7"/>
        <w:spacing w:after="0" w:line="360" w:lineRule="auto"/>
        <w:rPr>
          <w:rFonts w:asciiTheme="majorEastAsia" w:hAnsiTheme="majorEastAsia" w:eastAsiaTheme="majorEastAsia" w:cstheme="majorEastAsia"/>
          <w:b w:val="0"/>
        </w:rPr>
      </w:pPr>
      <w:bookmarkStart w:id="164" w:name="_Toc17028"/>
      <w:bookmarkStart w:id="165" w:name="_Toc15485"/>
      <w:bookmarkStart w:id="166" w:name="_Toc377982348"/>
      <w:r>
        <w:rPr>
          <w:rFonts w:hint="eastAsia" w:asciiTheme="majorEastAsia" w:hAnsiTheme="majorEastAsia" w:eastAsiaTheme="majorEastAsia" w:cstheme="majorEastAsia"/>
          <w:b w:val="0"/>
        </w:rPr>
        <w:t>25．签订合同</w:t>
      </w:r>
      <w:bookmarkEnd w:id="164"/>
      <w:bookmarkEnd w:id="165"/>
      <w:bookmarkEnd w:id="166"/>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25.1中标供应商应在中标通知书发出之日起30日内（具体时间、地点见中标通知书）与采购人签订合同。招标文件、中标供应商的投标文件及澄清文件等，均作为合同的附件。</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25.2采购人保留以书面形式要求合同的乙方对其所投设备的装运方式、交货地点及服务等作适当调整的权利。乙方必须在接到甲方的变更要求后及时根据本条款提出的调整内容做出同意与否的答复。</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25.3合同履行中，采购人需追加与合同标的相同的货物、工程或者服务的，在不改变合同其他条款的前提下，可以与供应商协商签订补充合同，但所有补充合同的采购金额不得超过原合同采购金额的百分之十。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25.4中标供应商因不可抗力或者自身原因不能履行政府采购合同的，采购人可以与排位在中标供应商之后第一位的中标候选供应商签订政府采购合同，以此类推。</w:t>
      </w:r>
    </w:p>
    <w:p>
      <w:pPr>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25.5中标供应商中标后无正当理由不与采购人签订合同的，采购代理机构应将有关情况报财政部门，接受相关处理；情节严重的，由财政部门将其列入不良行为记录名单，在一至三年内禁止参加政府采购活动，并予以公开通报。</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67" w:name="_Toc6353"/>
      <w:r>
        <w:rPr>
          <w:rFonts w:hint="eastAsia" w:asciiTheme="majorEastAsia" w:hAnsiTheme="majorEastAsia" w:eastAsiaTheme="majorEastAsia" w:cstheme="majorEastAsia"/>
          <w:b w:val="0"/>
          <w:sz w:val="36"/>
          <w:szCs w:val="36"/>
        </w:rPr>
        <w:t>询问、质疑</w:t>
      </w:r>
      <w:r>
        <w:rPr>
          <w:rFonts w:ascii="Times New Roman"/>
          <w:b w:val="0"/>
          <w:sz w:val="36"/>
          <w:szCs w:val="36"/>
        </w:rPr>
        <w:t>和投诉</w:t>
      </w:r>
      <w:bookmarkEnd w:id="167"/>
    </w:p>
    <w:p>
      <w:pPr>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26.询问</w:t>
      </w:r>
    </w:p>
    <w:p>
      <w:pPr>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26.1 投标人对政府采购活动事项有疑问的，可以向采购人或者采购代理机构提出询问，采</w:t>
      </w:r>
    </w:p>
    <w:p>
      <w:pPr>
        <w:ind w:firstLine="465"/>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购代理机构应当在 7 个工作日内对投标人依法提出询问做出答复。</w:t>
      </w:r>
    </w:p>
    <w:p>
      <w:pPr>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27.质疑</w:t>
      </w:r>
    </w:p>
    <w:p>
      <w:pPr>
        <w:pStyle w:val="2"/>
        <w:rPr>
          <w:rFonts w:asciiTheme="minorEastAsia" w:hAnsiTheme="minorEastAsia" w:eastAsiaTheme="minorEastAsia"/>
          <w:szCs w:val="24"/>
        </w:rPr>
      </w:pPr>
      <w:r>
        <w:rPr>
          <w:rFonts w:hint="eastAsia" w:asciiTheme="minorEastAsia" w:hAnsiTheme="minorEastAsia" w:eastAsiaTheme="minorEastAsia"/>
          <w:szCs w:val="24"/>
        </w:rPr>
        <w:t>27.1 投标人认为招标文件、招标过程、中标结果使自己的权益受到损害的，可以在知道或者应知其权益受到损害之日起 7 个工作日内，以书面形式向采购人、采购代理机构提出质疑。</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1）对可以质疑的招标文件提出质疑的，为收到招标文件之日或者招标文件公告期限届满之日起 7 个工作日内；</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2）对招标过程提出质疑的，为各招标程序环节结束之日起 7 个工作日内；</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3）对中标结果提出质疑的，为中标结果公告期限届满之日起 7 个工作日内。</w:t>
      </w:r>
    </w:p>
    <w:p>
      <w:pPr>
        <w:pStyle w:val="2"/>
        <w:rPr>
          <w:rFonts w:asciiTheme="minorEastAsia" w:hAnsiTheme="minorEastAsia" w:eastAsiaTheme="minorEastAsia"/>
          <w:szCs w:val="24"/>
        </w:rPr>
      </w:pPr>
      <w:r>
        <w:rPr>
          <w:rFonts w:hint="eastAsia" w:asciiTheme="minorEastAsia" w:hAnsiTheme="minorEastAsia" w:eastAsiaTheme="minorEastAsia"/>
          <w:szCs w:val="24"/>
        </w:rPr>
        <w:t>27.2 投标人应在法定质疑期内一次性提出针对同一采购程序环节的质疑。</w:t>
      </w:r>
    </w:p>
    <w:p>
      <w:pPr>
        <w:pStyle w:val="2"/>
        <w:rPr>
          <w:rFonts w:asciiTheme="minorEastAsia" w:hAnsiTheme="minorEastAsia" w:eastAsiaTheme="minorEastAsia"/>
          <w:szCs w:val="24"/>
        </w:rPr>
      </w:pPr>
      <w:r>
        <w:rPr>
          <w:rFonts w:hint="eastAsia" w:asciiTheme="minorEastAsia" w:hAnsiTheme="minorEastAsia" w:eastAsiaTheme="minorEastAsia"/>
          <w:szCs w:val="24"/>
        </w:rPr>
        <w:t>27.3 提出质疑的投标人应当是参与所质疑项目采购活动的投标人。</w:t>
      </w:r>
    </w:p>
    <w:p>
      <w:pPr>
        <w:pStyle w:val="2"/>
        <w:rPr>
          <w:rFonts w:asciiTheme="minorEastAsia" w:hAnsiTheme="minorEastAsia" w:eastAsiaTheme="minorEastAsia"/>
          <w:szCs w:val="24"/>
        </w:rPr>
      </w:pPr>
      <w:r>
        <w:rPr>
          <w:rFonts w:hint="eastAsia" w:asciiTheme="minorEastAsia" w:hAnsiTheme="minorEastAsia" w:eastAsiaTheme="minorEastAsia"/>
          <w:szCs w:val="24"/>
        </w:rPr>
        <w:t>27.4 潜在投标人已依法获取其可质疑的招标文件的，可以对该文件提出质疑。</w:t>
      </w:r>
    </w:p>
    <w:p>
      <w:pPr>
        <w:pStyle w:val="2"/>
        <w:rPr>
          <w:rFonts w:asciiTheme="minorEastAsia" w:hAnsiTheme="minorEastAsia" w:eastAsiaTheme="minorEastAsia"/>
          <w:szCs w:val="24"/>
        </w:rPr>
      </w:pPr>
      <w:r>
        <w:rPr>
          <w:rFonts w:hint="eastAsia" w:asciiTheme="minorEastAsia" w:hAnsiTheme="minorEastAsia" w:eastAsiaTheme="minorEastAsia"/>
          <w:szCs w:val="24"/>
        </w:rPr>
        <w:t>27.5 投标人提出质疑应当提交质疑函和必要的证明材料。质疑函应当包括下列内容：</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（一）投标人的姓名或者名称、地址、邮编、联系人及联系电话；</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（二）质疑项目的名称、编号；</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（三）具体、明确的质疑事项和与质疑事项相关的请求；</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（四）事实依据；</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（五）必要的法律依据；</w:t>
      </w:r>
    </w:p>
    <w:p>
      <w:pPr>
        <w:pStyle w:val="2"/>
        <w:rPr>
          <w:rFonts w:asciiTheme="minorEastAsia" w:hAnsiTheme="minorEastAsia" w:eastAsiaTheme="minorEastAsia"/>
          <w:szCs w:val="24"/>
        </w:rPr>
      </w:pPr>
      <w:r>
        <w:rPr>
          <w:rFonts w:hint="eastAsia" w:asciiTheme="minorEastAsia" w:hAnsiTheme="minorEastAsia" w:eastAsiaTheme="minorEastAsia"/>
          <w:szCs w:val="24"/>
        </w:rPr>
        <w:t>（六）提出质疑的</w:t>
      </w:r>
      <w:r>
        <w:rPr>
          <w:rFonts w:hint="eastAsia" w:asciiTheme="minorEastAsia" w:hAnsiTheme="minorEastAsia" w:eastAsiaTheme="minorEastAsia"/>
          <w:szCs w:val="24"/>
          <w:lang w:val="en-US" w:eastAsia="zh-CN"/>
        </w:rPr>
        <w:t>注意事项及送达方式</w:t>
      </w:r>
      <w:r>
        <w:rPr>
          <w:rFonts w:hint="eastAsia" w:asciiTheme="minorEastAsia" w:hAnsiTheme="minorEastAsia" w:eastAsiaTheme="minorEastAsia"/>
          <w:szCs w:val="24"/>
        </w:rPr>
        <w:t>。</w:t>
      </w:r>
      <w:bookmarkStart w:id="1081" w:name="_GoBack"/>
      <w:bookmarkEnd w:id="1081"/>
    </w:p>
    <w:p>
      <w:pPr>
        <w:pStyle w:val="2"/>
        <w:rPr>
          <w:rFonts w:asciiTheme="minorEastAsia" w:hAnsiTheme="minorEastAsia" w:eastAsiaTheme="minorEastAsia"/>
          <w:szCs w:val="24"/>
        </w:rPr>
      </w:pPr>
      <w:r>
        <w:rPr>
          <w:rFonts w:hint="eastAsia" w:asciiTheme="minorEastAsia" w:hAnsiTheme="minorEastAsia" w:eastAsiaTheme="minorEastAsia"/>
          <w:szCs w:val="24"/>
        </w:rPr>
        <w:t>投标人为自然人的，应当由本人签字；投标人为法人或者其他组织的，应当由法定代</w:t>
      </w:r>
    </w:p>
    <w:p>
      <w:pPr>
        <w:pStyle w:val="2"/>
        <w:rPr>
          <w:rFonts w:asciiTheme="minorEastAsia" w:hAnsiTheme="minorEastAsia" w:eastAsiaTheme="minorEastAsia"/>
          <w:szCs w:val="24"/>
        </w:rPr>
      </w:pPr>
      <w:r>
        <w:rPr>
          <w:rFonts w:hint="eastAsia" w:asciiTheme="minorEastAsia" w:hAnsiTheme="minorEastAsia" w:eastAsiaTheme="minorEastAsia"/>
          <w:szCs w:val="24"/>
        </w:rPr>
        <w:t>表人、主要负责人，或者其授权代表签字或者盖章，并加盖公章。供应商的书面质疑函须由其法定代表人或授权代表直接送达采购代理机构，不接受其他送达方式。</w:t>
      </w:r>
    </w:p>
    <w:p>
      <w:pPr>
        <w:pStyle w:val="2"/>
        <w:rPr>
          <w:rFonts w:asciiTheme="minorEastAsia" w:hAnsiTheme="minorEastAsia" w:eastAsiaTheme="minorEastAsia"/>
          <w:szCs w:val="24"/>
        </w:rPr>
      </w:pPr>
      <w:r>
        <w:rPr>
          <w:rFonts w:hint="eastAsia" w:asciiTheme="minorEastAsia" w:hAnsiTheme="minorEastAsia" w:eastAsiaTheme="minorEastAsia"/>
          <w:szCs w:val="24"/>
        </w:rPr>
        <w:t xml:space="preserve">    对不在采购代理机构现场购买的招标文件质疑的，须同时提供下载招标文件的凭证。</w:t>
      </w:r>
    </w:p>
    <w:p>
      <w:pPr>
        <w:rPr>
          <w:rFonts w:asciiTheme="majorEastAsia" w:hAnsiTheme="majorEastAsia" w:eastAsiaTheme="majorEastAsia" w:cstheme="majorEastAsia"/>
          <w:bCs/>
          <w:kern w:val="0"/>
          <w:sz w:val="28"/>
          <w:szCs w:val="28"/>
        </w:rPr>
      </w:pPr>
      <w:bookmarkStart w:id="168" w:name="_Toc8334190"/>
      <w:r>
        <w:rPr>
          <w:rFonts w:hint="eastAsia" w:asciiTheme="majorEastAsia" w:hAnsiTheme="majorEastAsia" w:eastAsiaTheme="majorEastAsia" w:cstheme="majorEastAsia"/>
          <w:bCs/>
          <w:kern w:val="0"/>
          <w:sz w:val="28"/>
          <w:szCs w:val="28"/>
        </w:rPr>
        <w:t>28.投诉</w:t>
      </w:r>
      <w:bookmarkEnd w:id="168"/>
    </w:p>
    <w:p>
      <w:pPr>
        <w:spacing w:line="360" w:lineRule="auto"/>
        <w:ind w:firstLine="480" w:firstLineChars="200"/>
        <w:rPr>
          <w:sz w:val="24"/>
          <w:szCs w:val="24"/>
        </w:rPr>
      </w:pPr>
      <w:r>
        <w:rPr>
          <w:sz w:val="24"/>
          <w:szCs w:val="24"/>
        </w:rPr>
        <w:t>投标人提出质疑后对采购代理机构答复不满意或采购代理机构未在规定时间内做出书面答复的，可在采购代理机构发出质疑答复函之日起或答复期满 15个工作日内向同级财政部门提出投诉。投诉事项及程序按《政府采购投标人投诉</w:t>
      </w:r>
      <w:r>
        <w:rPr>
          <w:rFonts w:ascii="宋体" w:hAnsi="宋体"/>
          <w:sz w:val="24"/>
        </w:rPr>
        <w:t>处理办法》及相关规定执行</w:t>
      </w:r>
      <w:r>
        <w:rPr>
          <w:rFonts w:hint="eastAsia" w:ascii="宋体" w:hAnsi="宋体"/>
          <w:sz w:val="24"/>
        </w:rPr>
        <w:t>。</w:t>
      </w:r>
    </w:p>
    <w:p>
      <w:pPr>
        <w:pStyle w:val="6"/>
        <w:numPr>
          <w:ilvl w:val="0"/>
          <w:numId w:val="3"/>
        </w:numPr>
        <w:tabs>
          <w:tab w:val="left" w:pos="0"/>
          <w:tab w:val="clear" w:pos="4020"/>
        </w:tabs>
        <w:spacing w:line="360" w:lineRule="auto"/>
        <w:ind w:left="0" w:firstLine="0"/>
        <w:rPr>
          <w:rFonts w:asciiTheme="majorEastAsia" w:hAnsiTheme="majorEastAsia" w:eastAsiaTheme="majorEastAsia" w:cstheme="majorEastAsia"/>
          <w:b w:val="0"/>
          <w:sz w:val="36"/>
          <w:szCs w:val="36"/>
        </w:rPr>
      </w:pPr>
      <w:bookmarkStart w:id="169" w:name="_Toc377982349"/>
      <w:bookmarkStart w:id="170" w:name="_Toc15086"/>
      <w:r>
        <w:rPr>
          <w:rFonts w:hint="eastAsia" w:asciiTheme="majorEastAsia" w:hAnsiTheme="majorEastAsia" w:eastAsiaTheme="majorEastAsia" w:cstheme="majorEastAsia"/>
          <w:b w:val="0"/>
          <w:sz w:val="36"/>
          <w:szCs w:val="36"/>
        </w:rPr>
        <w:t>其他事项</w:t>
      </w:r>
      <w:bookmarkEnd w:id="169"/>
      <w:bookmarkEnd w:id="170"/>
    </w:p>
    <w:p>
      <w:pPr>
        <w:pStyle w:val="7"/>
        <w:spacing w:after="0" w:line="360" w:lineRule="auto"/>
        <w:ind w:firstLine="140" w:firstLineChars="50"/>
        <w:rPr>
          <w:rFonts w:asciiTheme="majorEastAsia" w:hAnsiTheme="majorEastAsia" w:eastAsiaTheme="majorEastAsia" w:cstheme="majorEastAsia"/>
          <w:b w:val="0"/>
        </w:rPr>
      </w:pPr>
      <w:bookmarkStart w:id="171" w:name="_Toc377982351"/>
      <w:bookmarkStart w:id="172" w:name="_Toc18761"/>
      <w:bookmarkStart w:id="173" w:name="_Toc23126"/>
      <w:bookmarkStart w:id="174" w:name="_Toc5303"/>
      <w:r>
        <w:rPr>
          <w:rFonts w:hint="eastAsia" w:asciiTheme="majorEastAsia" w:hAnsiTheme="majorEastAsia" w:eastAsiaTheme="majorEastAsia" w:cstheme="majorEastAsia"/>
          <w:b w:val="0"/>
        </w:rPr>
        <w:t>29.解释权</w:t>
      </w:r>
      <w:bookmarkEnd w:id="171"/>
      <w:bookmarkEnd w:id="172"/>
      <w:bookmarkEnd w:id="173"/>
      <w:bookmarkEnd w:id="174"/>
    </w:p>
    <w:p>
      <w:pPr>
        <w:spacing w:line="360" w:lineRule="auto"/>
        <w:ind w:firstLine="480"/>
        <w:rPr>
          <w:sz w:val="24"/>
          <w:szCs w:val="24"/>
        </w:rPr>
      </w:pPr>
      <w:r>
        <w:rPr>
          <w:rFonts w:hint="eastAsia"/>
          <w:sz w:val="24"/>
          <w:szCs w:val="24"/>
        </w:rPr>
        <w:t>29.1本招标文件的解释权属于采购代理机构。</w:t>
      </w:r>
    </w:p>
    <w:p>
      <w:pPr>
        <w:pStyle w:val="7"/>
        <w:spacing w:after="0" w:line="360" w:lineRule="auto"/>
        <w:ind w:firstLine="120" w:firstLineChars="50"/>
        <w:rPr>
          <w:rFonts w:ascii="Times New Roman" w:hAnsi="Times New Roman" w:eastAsia="宋体"/>
          <w:b w:val="0"/>
          <w:bCs w:val="0"/>
          <w:kern w:val="2"/>
          <w:sz w:val="24"/>
          <w:szCs w:val="24"/>
        </w:rPr>
      </w:pPr>
      <w:bookmarkStart w:id="175" w:name="_Toc1442"/>
      <w:bookmarkStart w:id="176" w:name="_Toc377982352"/>
      <w:bookmarkStart w:id="177" w:name="_Toc22189"/>
      <w:bookmarkStart w:id="178" w:name="_Toc9524"/>
      <w:r>
        <w:rPr>
          <w:rFonts w:hint="eastAsia" w:ascii="Times New Roman" w:hAnsi="Times New Roman" w:eastAsia="宋体"/>
          <w:b w:val="0"/>
          <w:bCs w:val="0"/>
          <w:kern w:val="2"/>
          <w:sz w:val="24"/>
          <w:szCs w:val="24"/>
        </w:rPr>
        <w:t>30.未尽事宜</w:t>
      </w:r>
      <w:bookmarkEnd w:id="175"/>
      <w:bookmarkEnd w:id="176"/>
      <w:bookmarkEnd w:id="177"/>
      <w:bookmarkEnd w:id="178"/>
    </w:p>
    <w:p>
      <w:pPr>
        <w:pStyle w:val="2"/>
        <w:ind w:firstLine="240" w:firstLineChars="100"/>
        <w:rPr>
          <w:rFonts w:asciiTheme="minorEastAsia" w:hAnsiTheme="minorEastAsia" w:eastAsiaTheme="minorEastAsia"/>
          <w:szCs w:val="24"/>
        </w:rPr>
      </w:pPr>
      <w:r>
        <w:rPr>
          <w:rFonts w:hint="eastAsia" w:asciiTheme="minorEastAsia" w:hAnsiTheme="minorEastAsia" w:eastAsiaTheme="minorEastAsia"/>
          <w:szCs w:val="24"/>
        </w:rPr>
        <w:t>30.1本项目参照《中华人民共和国政府采购法》及其他有关法律法规的规定执行。</w:t>
      </w:r>
      <w:r>
        <w:rPr>
          <w:rFonts w:asciiTheme="minorEastAsia" w:hAnsiTheme="minorEastAsia" w:eastAsiaTheme="minorEastAsia"/>
          <w:szCs w:val="24"/>
        </w:rPr>
        <w:br w:type="page"/>
      </w:r>
    </w:p>
    <w:p>
      <w:pPr>
        <w:pStyle w:val="2"/>
        <w:ind w:firstLine="240" w:firstLineChars="100"/>
        <w:rPr>
          <w:rFonts w:asciiTheme="minorEastAsia" w:hAnsiTheme="minorEastAsia" w:eastAsiaTheme="minorEastAsia"/>
          <w:szCs w:val="24"/>
        </w:rPr>
        <w:sectPr>
          <w:pgSz w:w="11906" w:h="16838"/>
          <w:pgMar w:top="1134" w:right="566" w:bottom="1134" w:left="993" w:header="851" w:footer="992" w:gutter="0"/>
          <w:cols w:space="720" w:num="1"/>
          <w:titlePg/>
          <w:docGrid w:linePitch="312" w:charSpace="0"/>
        </w:sectPr>
      </w:pPr>
    </w:p>
    <w:p>
      <w:pPr>
        <w:ind w:firstLine="3213" w:firstLineChars="1000"/>
        <w:rPr>
          <w:rFonts w:ascii="宋体" w:hAnsi="宋体" w:cs="宋体"/>
          <w:b/>
          <w:bCs/>
          <w:sz w:val="32"/>
          <w:szCs w:val="32"/>
        </w:rPr>
      </w:pPr>
      <w:bookmarkStart w:id="179" w:name="_Toc521612450"/>
      <w:r>
        <w:rPr>
          <w:rFonts w:hint="eastAsia" w:ascii="宋体" w:hAnsi="宋体" w:cs="宋体"/>
          <w:b/>
          <w:bCs/>
          <w:kern w:val="1"/>
          <w:sz w:val="32"/>
          <w:szCs w:val="32"/>
        </w:rPr>
        <w:t>第四章 、</w:t>
      </w:r>
      <w:bookmarkEnd w:id="179"/>
      <w:r>
        <w:rPr>
          <w:rFonts w:hint="eastAsia" w:ascii="宋体" w:hAnsi="宋体" w:cs="宋体"/>
          <w:b/>
          <w:bCs/>
          <w:sz w:val="32"/>
          <w:szCs w:val="32"/>
        </w:rPr>
        <w:t>货物需求一览表</w:t>
      </w:r>
    </w:p>
    <w:p>
      <w:pPr>
        <w:rPr>
          <w:rFonts w:ascii="宋体" w:hAnsi="宋体" w:cs="宋体"/>
        </w:rPr>
      </w:pPr>
    </w:p>
    <w:p>
      <w:pPr>
        <w:spacing w:line="360" w:lineRule="auto"/>
        <w:rPr>
          <w:rFonts w:ascii="宋体" w:hAnsi="宋体" w:cs="宋体"/>
          <w:b/>
          <w:bCs/>
          <w:sz w:val="24"/>
          <w:szCs w:val="24"/>
        </w:rPr>
      </w:pPr>
      <w:r>
        <w:rPr>
          <w:rFonts w:hint="eastAsia" w:ascii="宋体" w:hAnsi="宋体" w:cs="宋体"/>
          <w:b/>
          <w:bCs/>
          <w:sz w:val="24"/>
          <w:szCs w:val="24"/>
        </w:rPr>
        <w:t>(一)采购需求</w:t>
      </w:r>
    </w:p>
    <w:tbl>
      <w:tblPr>
        <w:tblStyle w:val="41"/>
        <w:tblW w:w="104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12"/>
        <w:gridCol w:w="1467"/>
        <w:gridCol w:w="1590"/>
        <w:gridCol w:w="199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blCellSpacing w:w="0" w:type="dxa"/>
          <w:jc w:val="center"/>
        </w:trPr>
        <w:tc>
          <w:tcPr>
            <w:tcW w:w="3512"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采购名称</w:t>
            </w:r>
          </w:p>
        </w:tc>
        <w:tc>
          <w:tcPr>
            <w:tcW w:w="1467"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数量</w:t>
            </w:r>
          </w:p>
        </w:tc>
        <w:tc>
          <w:tcPr>
            <w:tcW w:w="1590" w:type="dxa"/>
            <w:vAlign w:val="center"/>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单位</w:t>
            </w:r>
          </w:p>
        </w:tc>
        <w:tc>
          <w:tcPr>
            <w:tcW w:w="1990" w:type="dxa"/>
            <w:tcBorders>
              <w:right w:val="single" w:color="auto" w:sz="4" w:space="0"/>
            </w:tcBorders>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采购预算</w:t>
            </w:r>
          </w:p>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（人民币：元）</w:t>
            </w:r>
          </w:p>
        </w:tc>
        <w:tc>
          <w:tcPr>
            <w:tcW w:w="1859" w:type="dxa"/>
            <w:tcBorders>
              <w:right w:val="single" w:color="auto" w:sz="4" w:space="0"/>
            </w:tcBorders>
          </w:tcPr>
          <w:p>
            <w:pPr>
              <w:pStyle w:val="36"/>
              <w:spacing w:before="0" w:beforeAutospacing="0" w:after="0" w:afterAutospacing="0" w:line="440" w:lineRule="atLeast"/>
              <w:jc w:val="center"/>
              <w:rPr>
                <w:rFonts w:ascii="宋体" w:hAnsi="宋体" w:cs="宋体"/>
                <w:color w:val="auto"/>
                <w:sz w:val="24"/>
                <w:szCs w:val="24"/>
              </w:rPr>
            </w:pPr>
            <w:r>
              <w:rPr>
                <w:rFonts w:hint="eastAsia" w:ascii="宋体" w:hAnsi="宋体" w:cs="宋体"/>
                <w:color w:val="auto"/>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tblCellSpacing w:w="0" w:type="dxa"/>
          <w:jc w:val="center"/>
        </w:trPr>
        <w:tc>
          <w:tcPr>
            <w:tcW w:w="3512" w:type="dxa"/>
            <w:vAlign w:val="center"/>
          </w:tcPr>
          <w:p>
            <w:pPr>
              <w:snapToGrid w:val="0"/>
              <w:spacing w:before="100" w:beforeAutospacing="1" w:after="100" w:afterAutospacing="1" w:line="360" w:lineRule="auto"/>
              <w:contextualSpacing/>
              <w:jc w:val="center"/>
              <w:rPr>
                <w:rFonts w:ascii="宋体" w:hAnsi="宋体" w:cs="宋体"/>
                <w:kern w:val="0"/>
                <w:sz w:val="24"/>
                <w:szCs w:val="24"/>
              </w:rPr>
            </w:pPr>
            <w:r>
              <w:rPr>
                <w:rFonts w:hint="eastAsia" w:ascii="宋体" w:hAnsi="宋体" w:cs="宋体"/>
                <w:sz w:val="24"/>
                <w:szCs w:val="24"/>
              </w:rPr>
              <w:t>丰城市园区污水处理厂建设工程(丰城市循环经济园区吉岗岭污水处理厂项目)第二批机电安装设备、材料采购项目</w:t>
            </w:r>
          </w:p>
        </w:tc>
        <w:tc>
          <w:tcPr>
            <w:tcW w:w="1467" w:type="dxa"/>
            <w:vAlign w:val="center"/>
          </w:tcPr>
          <w:p>
            <w:pPr>
              <w:snapToGrid w:val="0"/>
              <w:spacing w:before="100" w:beforeAutospacing="1" w:after="100" w:afterAutospacing="1" w:line="360" w:lineRule="auto"/>
              <w:contextualSpacing/>
              <w:jc w:val="center"/>
              <w:rPr>
                <w:rFonts w:ascii="宋体" w:hAnsi="宋体" w:cs="宋体"/>
                <w:kern w:val="0"/>
                <w:sz w:val="24"/>
                <w:szCs w:val="24"/>
              </w:rPr>
            </w:pPr>
            <w:r>
              <w:rPr>
                <w:rFonts w:hint="eastAsia" w:ascii="宋体" w:hAnsi="宋体" w:cs="宋体"/>
                <w:kern w:val="0"/>
                <w:sz w:val="24"/>
                <w:szCs w:val="24"/>
              </w:rPr>
              <w:t>1</w:t>
            </w:r>
          </w:p>
        </w:tc>
        <w:tc>
          <w:tcPr>
            <w:tcW w:w="1590" w:type="dxa"/>
            <w:vAlign w:val="center"/>
          </w:tcPr>
          <w:p>
            <w:pPr>
              <w:snapToGrid w:val="0"/>
              <w:spacing w:before="100" w:beforeAutospacing="1" w:after="100" w:afterAutospacing="1" w:line="360" w:lineRule="auto"/>
              <w:contextualSpacing/>
              <w:jc w:val="center"/>
              <w:rPr>
                <w:rFonts w:ascii="宋体" w:hAnsi="宋体" w:cs="宋体"/>
              </w:rPr>
            </w:pPr>
            <w:r>
              <w:rPr>
                <w:rFonts w:hint="eastAsia" w:ascii="宋体" w:hAnsi="宋体" w:cs="宋体"/>
              </w:rPr>
              <w:t>批</w:t>
            </w:r>
          </w:p>
        </w:tc>
        <w:tc>
          <w:tcPr>
            <w:tcW w:w="1990" w:type="dxa"/>
            <w:tcBorders>
              <w:right w:val="single" w:color="auto" w:sz="4" w:space="0"/>
            </w:tcBorders>
            <w:vAlign w:val="center"/>
          </w:tcPr>
          <w:p>
            <w:pPr>
              <w:snapToGrid w:val="0"/>
              <w:spacing w:before="100" w:beforeAutospacing="1" w:after="100" w:afterAutospacing="1" w:line="360" w:lineRule="auto"/>
              <w:contextualSpacing/>
              <w:rPr>
                <w:rFonts w:ascii="宋体" w:hAnsi="宋体" w:cs="宋体"/>
                <w:kern w:val="0"/>
                <w:sz w:val="24"/>
                <w:szCs w:val="24"/>
              </w:rPr>
            </w:pPr>
            <w:r>
              <w:rPr>
                <w:rFonts w:hint="eastAsia" w:ascii="宋体" w:hAnsi="宋体" w:cs="宋体"/>
                <w:sz w:val="24"/>
                <w:szCs w:val="24"/>
              </w:rPr>
              <w:t>2213362.00元</w:t>
            </w:r>
          </w:p>
        </w:tc>
        <w:tc>
          <w:tcPr>
            <w:tcW w:w="1859" w:type="dxa"/>
            <w:tcBorders>
              <w:right w:val="single" w:color="auto" w:sz="4" w:space="0"/>
            </w:tcBorders>
            <w:vAlign w:val="center"/>
          </w:tcPr>
          <w:p>
            <w:pPr>
              <w:snapToGrid w:val="0"/>
              <w:spacing w:before="100" w:beforeAutospacing="1" w:after="100" w:afterAutospacing="1" w:line="360" w:lineRule="auto"/>
              <w:contextualSpacing/>
              <w:jc w:val="center"/>
              <w:rPr>
                <w:rFonts w:ascii="宋体" w:hAnsi="宋体" w:cs="宋体"/>
                <w:kern w:val="0"/>
                <w:sz w:val="24"/>
                <w:szCs w:val="24"/>
              </w:rPr>
            </w:pPr>
            <w:r>
              <w:rPr>
                <w:rFonts w:hint="eastAsia" w:ascii="宋体" w:hAnsi="宋体" w:cs="宋体"/>
                <w:kern w:val="0"/>
                <w:sz w:val="24"/>
                <w:szCs w:val="24"/>
              </w:rPr>
              <w:t>详见采购文件</w:t>
            </w:r>
          </w:p>
        </w:tc>
      </w:tr>
    </w:tbl>
    <w:p>
      <w:pPr>
        <w:spacing w:line="360" w:lineRule="auto"/>
        <w:jc w:val="left"/>
        <w:rPr>
          <w:rFonts w:ascii="宋体" w:hAnsi="宋体" w:cs="宋体"/>
          <w:b/>
          <w:bCs/>
          <w:sz w:val="24"/>
          <w:szCs w:val="24"/>
        </w:rPr>
      </w:pPr>
      <w:r>
        <w:rPr>
          <w:rFonts w:hint="eastAsia" w:ascii="宋体" w:hAnsi="宋体" w:cs="宋体"/>
          <w:b/>
          <w:bCs/>
          <w:sz w:val="24"/>
          <w:szCs w:val="24"/>
        </w:rPr>
        <w:t>注：除注明外均为国产品牌。</w:t>
      </w:r>
    </w:p>
    <w:p>
      <w:pPr>
        <w:numPr>
          <w:ilvl w:val="0"/>
          <w:numId w:val="5"/>
        </w:numPr>
        <w:spacing w:line="360" w:lineRule="auto"/>
        <w:rPr>
          <w:rFonts w:ascii="宋体" w:hAnsi="宋体" w:cs="宋体"/>
          <w:b/>
          <w:bCs/>
          <w:sz w:val="24"/>
          <w:szCs w:val="24"/>
        </w:rPr>
      </w:pPr>
      <w:r>
        <w:rPr>
          <w:rFonts w:hint="eastAsia" w:ascii="宋体" w:hAnsi="宋体" w:cs="宋体"/>
          <w:b/>
          <w:bCs/>
          <w:sz w:val="24"/>
          <w:szCs w:val="24"/>
        </w:rPr>
        <w:t>技术参数要求</w:t>
      </w:r>
    </w:p>
    <w:tbl>
      <w:tblPr>
        <w:tblStyle w:val="4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33"/>
        <w:gridCol w:w="3111"/>
        <w:gridCol w:w="1103"/>
        <w:gridCol w:w="75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33"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材料设备名称</w:t>
            </w:r>
          </w:p>
        </w:tc>
        <w:tc>
          <w:tcPr>
            <w:tcW w:w="3111"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规格型号</w:t>
            </w:r>
          </w:p>
        </w:tc>
        <w:tc>
          <w:tcPr>
            <w:tcW w:w="1103"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单位</w:t>
            </w:r>
          </w:p>
        </w:tc>
        <w:tc>
          <w:tcPr>
            <w:tcW w:w="756"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数量</w:t>
            </w:r>
          </w:p>
        </w:tc>
        <w:tc>
          <w:tcPr>
            <w:tcW w:w="2073" w:type="dxa"/>
            <w:vAlign w:val="center"/>
          </w:tcPr>
          <w:p>
            <w:pPr>
              <w:spacing w:line="270" w:lineRule="exact"/>
              <w:jc w:val="center"/>
              <w:rPr>
                <w:rFonts w:ascii="宋体" w:hAnsi="宋体" w:cs="宋体"/>
                <w:b/>
                <w:kern w:val="0"/>
                <w:sz w:val="24"/>
                <w:szCs w:val="24"/>
              </w:rPr>
            </w:pPr>
            <w:r>
              <w:rPr>
                <w:rFonts w:hint="eastAsia" w:ascii="宋体" w:hAnsi="宋体" w:cs="宋体"/>
                <w:b/>
                <w:kern w:val="0"/>
                <w:sz w:val="24"/>
                <w:szCs w:val="24"/>
              </w:rPr>
              <w:t>技术质量要求和使用部位说明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w:t>
            </w:r>
          </w:p>
        </w:tc>
        <w:tc>
          <w:tcPr>
            <w:tcW w:w="2133" w:type="dxa"/>
            <w:vAlign w:val="center"/>
          </w:tcPr>
          <w:p>
            <w:pPr>
              <w:jc w:val="center"/>
              <w:rPr>
                <w:rFonts w:ascii="宋体" w:hAnsi="宋体" w:cs="宋体"/>
                <w:sz w:val="24"/>
                <w:szCs w:val="24"/>
              </w:rPr>
            </w:pPr>
            <w:r>
              <w:rPr>
                <w:rFonts w:hint="eastAsia" w:ascii="宋体" w:hAnsi="宋体" w:cs="宋体"/>
                <w:sz w:val="24"/>
                <w:szCs w:val="24"/>
              </w:rPr>
              <w:t>在线总磷分析仪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w:t>
            </w:r>
          </w:p>
        </w:tc>
        <w:tc>
          <w:tcPr>
            <w:tcW w:w="2133" w:type="dxa"/>
            <w:vAlign w:val="center"/>
          </w:tcPr>
          <w:p>
            <w:pPr>
              <w:jc w:val="center"/>
              <w:rPr>
                <w:rFonts w:ascii="宋体" w:hAnsi="宋体" w:cs="宋体"/>
                <w:sz w:val="24"/>
                <w:szCs w:val="24"/>
              </w:rPr>
            </w:pPr>
            <w:r>
              <w:rPr>
                <w:rFonts w:hint="eastAsia" w:ascii="宋体" w:hAnsi="宋体" w:cs="宋体"/>
                <w:sz w:val="24"/>
                <w:szCs w:val="24"/>
              </w:rPr>
              <w:t>在线总磷分析仪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w:t>
            </w:r>
          </w:p>
        </w:tc>
        <w:tc>
          <w:tcPr>
            <w:tcW w:w="2133" w:type="dxa"/>
            <w:vAlign w:val="center"/>
          </w:tcPr>
          <w:p>
            <w:pPr>
              <w:jc w:val="center"/>
              <w:rPr>
                <w:rFonts w:ascii="宋体" w:hAnsi="宋体" w:cs="宋体"/>
                <w:sz w:val="24"/>
                <w:szCs w:val="24"/>
              </w:rPr>
            </w:pPr>
            <w:r>
              <w:rPr>
                <w:rFonts w:hint="eastAsia" w:ascii="宋体" w:hAnsi="宋体" w:cs="宋体"/>
                <w:sz w:val="24"/>
                <w:szCs w:val="24"/>
              </w:rPr>
              <w:t>在线总氮分析仪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4</w:t>
            </w:r>
          </w:p>
        </w:tc>
        <w:tc>
          <w:tcPr>
            <w:tcW w:w="2133" w:type="dxa"/>
            <w:vAlign w:val="center"/>
          </w:tcPr>
          <w:p>
            <w:pPr>
              <w:jc w:val="center"/>
              <w:rPr>
                <w:rFonts w:ascii="宋体" w:hAnsi="宋体" w:cs="宋体"/>
                <w:sz w:val="24"/>
                <w:szCs w:val="24"/>
              </w:rPr>
            </w:pPr>
            <w:r>
              <w:rPr>
                <w:rFonts w:hint="eastAsia" w:ascii="宋体" w:hAnsi="宋体" w:cs="宋体"/>
                <w:sz w:val="24"/>
                <w:szCs w:val="24"/>
              </w:rPr>
              <w:t>在线COD分析仪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5</w:t>
            </w:r>
          </w:p>
        </w:tc>
        <w:tc>
          <w:tcPr>
            <w:tcW w:w="2133" w:type="dxa"/>
            <w:vAlign w:val="center"/>
          </w:tcPr>
          <w:p>
            <w:pPr>
              <w:jc w:val="center"/>
              <w:rPr>
                <w:rFonts w:ascii="宋体" w:hAnsi="宋体" w:cs="宋体"/>
                <w:sz w:val="24"/>
                <w:szCs w:val="24"/>
              </w:rPr>
            </w:pPr>
            <w:r>
              <w:rPr>
                <w:rFonts w:hint="eastAsia" w:ascii="宋体" w:hAnsi="宋体" w:cs="宋体"/>
                <w:sz w:val="24"/>
                <w:szCs w:val="24"/>
              </w:rPr>
              <w:t>在线总氮分析仪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6</w:t>
            </w:r>
          </w:p>
        </w:tc>
        <w:tc>
          <w:tcPr>
            <w:tcW w:w="2133" w:type="dxa"/>
            <w:vAlign w:val="center"/>
          </w:tcPr>
          <w:p>
            <w:pPr>
              <w:jc w:val="center"/>
              <w:rPr>
                <w:rFonts w:ascii="宋体" w:hAnsi="宋体" w:cs="宋体"/>
                <w:sz w:val="24"/>
                <w:szCs w:val="24"/>
              </w:rPr>
            </w:pPr>
            <w:r>
              <w:rPr>
                <w:rFonts w:hint="eastAsia" w:ascii="宋体" w:hAnsi="宋体" w:cs="宋体"/>
                <w:sz w:val="24"/>
                <w:szCs w:val="24"/>
              </w:rPr>
              <w:t>在线氨氮分析仪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测量范围:0~100mg/L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7</w:t>
            </w:r>
          </w:p>
        </w:tc>
        <w:tc>
          <w:tcPr>
            <w:tcW w:w="2133" w:type="dxa"/>
            <w:vAlign w:val="center"/>
          </w:tcPr>
          <w:p>
            <w:pPr>
              <w:jc w:val="center"/>
              <w:rPr>
                <w:rFonts w:ascii="宋体" w:hAnsi="宋体" w:cs="宋体"/>
                <w:sz w:val="24"/>
                <w:szCs w:val="24"/>
              </w:rPr>
            </w:pPr>
            <w:r>
              <w:rPr>
                <w:rFonts w:hint="eastAsia" w:ascii="宋体" w:hAnsi="宋体" w:cs="宋体"/>
                <w:sz w:val="24"/>
                <w:szCs w:val="24"/>
              </w:rPr>
              <w:t>在线氨氮分析仪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测量范围：0~100mg/L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8</w:t>
            </w:r>
          </w:p>
        </w:tc>
        <w:tc>
          <w:tcPr>
            <w:tcW w:w="2133" w:type="dxa"/>
            <w:vAlign w:val="center"/>
          </w:tcPr>
          <w:p>
            <w:pPr>
              <w:jc w:val="center"/>
              <w:rPr>
                <w:rFonts w:ascii="宋体" w:hAnsi="宋体" w:cs="宋体"/>
                <w:sz w:val="24"/>
                <w:szCs w:val="24"/>
              </w:rPr>
            </w:pPr>
            <w:r>
              <w:rPr>
                <w:rFonts w:hint="eastAsia" w:ascii="宋体" w:hAnsi="宋体" w:cs="宋体"/>
                <w:sz w:val="24"/>
                <w:szCs w:val="24"/>
              </w:rPr>
              <w:t>进水在线监测数据采集仪</w:t>
            </w:r>
          </w:p>
        </w:tc>
        <w:tc>
          <w:tcPr>
            <w:tcW w:w="3111" w:type="dxa"/>
            <w:vAlign w:val="center"/>
          </w:tcPr>
          <w:p>
            <w:pPr>
              <w:jc w:val="center"/>
              <w:rPr>
                <w:rFonts w:ascii="宋体" w:hAnsi="宋体" w:cs="宋体"/>
                <w:sz w:val="24"/>
                <w:szCs w:val="24"/>
              </w:rPr>
            </w:pPr>
            <w:r>
              <w:rPr>
                <w:rFonts w:hint="eastAsia" w:ascii="宋体" w:hAnsi="宋体" w:cs="宋体"/>
                <w:sz w:val="24"/>
                <w:szCs w:val="24"/>
              </w:rPr>
              <w:t>K37A</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9</w:t>
            </w:r>
          </w:p>
        </w:tc>
        <w:tc>
          <w:tcPr>
            <w:tcW w:w="2133" w:type="dxa"/>
            <w:vAlign w:val="center"/>
          </w:tcPr>
          <w:p>
            <w:pPr>
              <w:jc w:val="center"/>
              <w:rPr>
                <w:rFonts w:ascii="宋体" w:hAnsi="宋体" w:cs="宋体"/>
                <w:sz w:val="24"/>
                <w:szCs w:val="24"/>
              </w:rPr>
            </w:pPr>
            <w:r>
              <w:rPr>
                <w:rFonts w:hint="eastAsia" w:ascii="宋体" w:hAnsi="宋体" w:cs="宋体"/>
                <w:sz w:val="24"/>
                <w:szCs w:val="24"/>
              </w:rPr>
              <w:t>COD分析仪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测量范围:0~2000mg/L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10</w:t>
            </w:r>
          </w:p>
        </w:tc>
        <w:tc>
          <w:tcPr>
            <w:tcW w:w="2133" w:type="dxa"/>
            <w:vAlign w:val="center"/>
          </w:tcPr>
          <w:p>
            <w:pPr>
              <w:jc w:val="center"/>
              <w:rPr>
                <w:rFonts w:ascii="宋体" w:hAnsi="宋体" w:cs="宋体"/>
                <w:sz w:val="24"/>
                <w:szCs w:val="24"/>
              </w:rPr>
            </w:pPr>
            <w:r>
              <w:rPr>
                <w:rFonts w:hint="eastAsia" w:ascii="宋体" w:hAnsi="宋体" w:cs="宋体"/>
                <w:sz w:val="24"/>
                <w:szCs w:val="24"/>
              </w:rPr>
              <w:t>悬浮物分析仪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测量范围：0~500mg/L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11</w:t>
            </w:r>
          </w:p>
        </w:tc>
        <w:tc>
          <w:tcPr>
            <w:tcW w:w="2133" w:type="dxa"/>
            <w:vAlign w:val="center"/>
          </w:tcPr>
          <w:p>
            <w:pPr>
              <w:jc w:val="center"/>
              <w:rPr>
                <w:rFonts w:ascii="宋体" w:hAnsi="宋体" w:cs="宋体"/>
                <w:sz w:val="24"/>
                <w:szCs w:val="24"/>
              </w:rPr>
            </w:pPr>
            <w:r>
              <w:rPr>
                <w:rFonts w:hint="eastAsia" w:ascii="宋体" w:hAnsi="宋体" w:cs="宋体"/>
                <w:sz w:val="24"/>
                <w:szCs w:val="24"/>
              </w:rPr>
              <w:t>悬浮物分析仪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测量范围：0~500mg/L</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12</w:t>
            </w:r>
          </w:p>
        </w:tc>
        <w:tc>
          <w:tcPr>
            <w:tcW w:w="2133" w:type="dxa"/>
            <w:vAlign w:val="center"/>
          </w:tcPr>
          <w:p>
            <w:pPr>
              <w:jc w:val="center"/>
              <w:rPr>
                <w:rFonts w:ascii="宋体" w:hAnsi="宋体" w:cs="宋体"/>
                <w:sz w:val="24"/>
                <w:szCs w:val="24"/>
              </w:rPr>
            </w:pPr>
            <w:r>
              <w:rPr>
                <w:rFonts w:hint="eastAsia" w:ascii="宋体" w:hAnsi="宋体" w:cs="宋体"/>
                <w:sz w:val="24"/>
                <w:szCs w:val="24"/>
              </w:rPr>
              <w:t>浮球液位开关/浮球液位计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LS0701/0702/0801</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3</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13</w:t>
            </w:r>
          </w:p>
        </w:tc>
        <w:tc>
          <w:tcPr>
            <w:tcW w:w="2133" w:type="dxa"/>
            <w:vAlign w:val="center"/>
          </w:tcPr>
          <w:p>
            <w:pPr>
              <w:jc w:val="center"/>
              <w:rPr>
                <w:rFonts w:ascii="宋体" w:hAnsi="宋体" w:cs="宋体"/>
                <w:sz w:val="24"/>
                <w:szCs w:val="24"/>
              </w:rPr>
            </w:pPr>
            <w:r>
              <w:rPr>
                <w:rFonts w:hint="eastAsia" w:ascii="宋体" w:hAnsi="宋体" w:cs="宋体"/>
                <w:sz w:val="24"/>
                <w:szCs w:val="24"/>
              </w:rPr>
              <w:t>缆式浮球液位开关/浮球液位计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LS1301</w:t>
            </w:r>
          </w:p>
        </w:tc>
        <w:tc>
          <w:tcPr>
            <w:tcW w:w="1103" w:type="dxa"/>
            <w:vAlign w:val="center"/>
          </w:tcPr>
          <w:p>
            <w:pPr>
              <w:jc w:val="center"/>
              <w:rPr>
                <w:rFonts w:ascii="宋体" w:hAnsi="宋体" w:cs="宋体"/>
                <w:sz w:val="24"/>
                <w:szCs w:val="24"/>
              </w:rPr>
            </w:pPr>
            <w:r>
              <w:rPr>
                <w:rFonts w:hint="eastAsia" w:ascii="宋体" w:hAnsi="宋体" w:cs="宋体"/>
                <w:sz w:val="24"/>
                <w:szCs w:val="24"/>
              </w:rPr>
              <w:t>支</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14</w:t>
            </w:r>
          </w:p>
        </w:tc>
        <w:tc>
          <w:tcPr>
            <w:tcW w:w="2133" w:type="dxa"/>
            <w:vAlign w:val="center"/>
          </w:tcPr>
          <w:p>
            <w:pPr>
              <w:jc w:val="center"/>
              <w:rPr>
                <w:rFonts w:ascii="宋体" w:hAnsi="宋体" w:cs="宋体"/>
                <w:sz w:val="24"/>
                <w:szCs w:val="24"/>
              </w:rPr>
            </w:pPr>
            <w:r>
              <w:rPr>
                <w:rFonts w:hint="eastAsia" w:ascii="宋体" w:hAnsi="宋体" w:cs="宋体"/>
                <w:sz w:val="24"/>
                <w:szCs w:val="24"/>
              </w:rPr>
              <w:t>浮球液位计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 0-2m ,带信号输出</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15</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里程:0-5m,输出信号4-20mA</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5</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16</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液位控制范围:0-5m,测量精度%%p0.3%FS电源:AC220V,信号输出:二线制,4-20mA</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4</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17</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液位控制范围:0-5m,测量精度%%p0.3%FS电源:AC220V,信号输出:二线制,4-20mA</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18</w:t>
            </w:r>
          </w:p>
        </w:tc>
        <w:tc>
          <w:tcPr>
            <w:tcW w:w="2133" w:type="dxa"/>
            <w:vAlign w:val="center"/>
          </w:tcPr>
          <w:p>
            <w:pPr>
              <w:jc w:val="center"/>
              <w:rPr>
                <w:rFonts w:ascii="宋体" w:hAnsi="宋体" w:cs="宋体"/>
                <w:sz w:val="24"/>
                <w:szCs w:val="24"/>
              </w:rPr>
            </w:pPr>
            <w:r>
              <w:rPr>
                <w:rFonts w:hint="eastAsia" w:ascii="宋体" w:hAnsi="宋体" w:cs="宋体"/>
                <w:sz w:val="24"/>
                <w:szCs w:val="24"/>
              </w:rPr>
              <w:t>浮球液位计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里程:0-1m</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19</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0~10m</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7</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20</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0~10m 测量精度±0.3%</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21</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 0-10m ,一体式</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22</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液位控制范围:0-10m,测量精度%%p0.3%FS电源:AC220V,信号输出:二线制,4-20mA</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23</w:t>
            </w:r>
          </w:p>
        </w:tc>
        <w:tc>
          <w:tcPr>
            <w:tcW w:w="2133" w:type="dxa"/>
            <w:vAlign w:val="center"/>
          </w:tcPr>
          <w:p>
            <w:pPr>
              <w:jc w:val="center"/>
              <w:rPr>
                <w:rFonts w:ascii="宋体" w:hAnsi="宋体" w:cs="宋体"/>
                <w:sz w:val="24"/>
                <w:szCs w:val="24"/>
              </w:rPr>
            </w:pPr>
            <w:r>
              <w:rPr>
                <w:rFonts w:hint="eastAsia" w:ascii="宋体" w:hAnsi="宋体" w:cs="宋体"/>
                <w:sz w:val="24"/>
                <w:szCs w:val="24"/>
              </w:rPr>
              <w:t>浮球连续式液位计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里程:0-5m,输出信号4-20mA</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24</w:t>
            </w:r>
          </w:p>
        </w:tc>
        <w:tc>
          <w:tcPr>
            <w:tcW w:w="2133" w:type="dxa"/>
            <w:vAlign w:val="center"/>
          </w:tcPr>
          <w:p>
            <w:pPr>
              <w:jc w:val="center"/>
              <w:rPr>
                <w:rFonts w:ascii="宋体" w:hAnsi="宋体" w:cs="宋体"/>
                <w:sz w:val="24"/>
                <w:szCs w:val="24"/>
              </w:rPr>
            </w:pPr>
            <w:r>
              <w:rPr>
                <w:rFonts w:hint="eastAsia" w:ascii="宋体" w:hAnsi="宋体" w:cs="宋体"/>
                <w:sz w:val="24"/>
                <w:szCs w:val="24"/>
              </w:rPr>
              <w:t>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液位控制范围: 0-5m ,一体式</w:t>
            </w:r>
          </w:p>
        </w:tc>
        <w:tc>
          <w:tcPr>
            <w:tcW w:w="1103" w:type="dxa"/>
            <w:vAlign w:val="center"/>
          </w:tcPr>
          <w:p>
            <w:pPr>
              <w:jc w:val="center"/>
              <w:rPr>
                <w:rFonts w:ascii="宋体" w:hAnsi="宋体" w:cs="宋体"/>
                <w:sz w:val="24"/>
                <w:szCs w:val="24"/>
              </w:rPr>
            </w:pPr>
            <w:r>
              <w:rPr>
                <w:rFonts w:hint="eastAsia" w:ascii="宋体" w:hAnsi="宋体" w:cs="宋体"/>
                <w:sz w:val="24"/>
                <w:szCs w:val="24"/>
              </w:rPr>
              <w:t>个</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25</w:t>
            </w:r>
          </w:p>
        </w:tc>
        <w:tc>
          <w:tcPr>
            <w:tcW w:w="2133" w:type="dxa"/>
            <w:vAlign w:val="center"/>
          </w:tcPr>
          <w:p>
            <w:pPr>
              <w:jc w:val="center"/>
              <w:rPr>
                <w:rFonts w:ascii="宋体" w:hAnsi="宋体" w:cs="宋体"/>
                <w:sz w:val="24"/>
                <w:szCs w:val="24"/>
              </w:rPr>
            </w:pPr>
            <w:r>
              <w:rPr>
                <w:rFonts w:hint="eastAsia" w:ascii="宋体" w:hAnsi="宋体" w:cs="宋体"/>
                <w:sz w:val="24"/>
                <w:szCs w:val="24"/>
              </w:rPr>
              <w:t>浮球液位计</w:t>
            </w:r>
          </w:p>
        </w:tc>
        <w:tc>
          <w:tcPr>
            <w:tcW w:w="3111" w:type="dxa"/>
            <w:vAlign w:val="center"/>
          </w:tcPr>
          <w:p>
            <w:pPr>
              <w:jc w:val="center"/>
              <w:rPr>
                <w:rFonts w:ascii="宋体" w:hAnsi="宋体" w:cs="宋体"/>
                <w:sz w:val="24"/>
                <w:szCs w:val="24"/>
              </w:rPr>
            </w:pPr>
            <w:r>
              <w:rPr>
                <w:rFonts w:hint="eastAsia" w:ascii="宋体" w:hAnsi="宋体" w:cs="宋体"/>
                <w:sz w:val="24"/>
                <w:szCs w:val="24"/>
              </w:rPr>
              <w:t>LS1301，0~2m带信号输出</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26</w:t>
            </w:r>
          </w:p>
        </w:tc>
        <w:tc>
          <w:tcPr>
            <w:tcW w:w="2133" w:type="dxa"/>
            <w:vAlign w:val="center"/>
          </w:tcPr>
          <w:p>
            <w:pPr>
              <w:jc w:val="center"/>
              <w:rPr>
                <w:rFonts w:ascii="宋体" w:hAnsi="宋体" w:cs="宋体"/>
                <w:sz w:val="24"/>
                <w:szCs w:val="24"/>
              </w:rPr>
            </w:pPr>
            <w:r>
              <w:rPr>
                <w:rFonts w:hint="eastAsia" w:ascii="宋体" w:hAnsi="宋体" w:cs="宋体"/>
                <w:sz w:val="24"/>
                <w:szCs w:val="24"/>
              </w:rPr>
              <w:t>在线pH仪</w:t>
            </w:r>
          </w:p>
        </w:tc>
        <w:tc>
          <w:tcPr>
            <w:tcW w:w="3111" w:type="dxa"/>
            <w:vAlign w:val="center"/>
          </w:tcPr>
          <w:p>
            <w:pPr>
              <w:jc w:val="center"/>
              <w:rPr>
                <w:rFonts w:ascii="宋体" w:hAnsi="宋体" w:cs="宋体"/>
                <w:sz w:val="24"/>
                <w:szCs w:val="24"/>
              </w:rPr>
            </w:pPr>
            <w:r>
              <w:rPr>
                <w:rFonts w:hint="eastAsia" w:ascii="宋体" w:hAnsi="宋体" w:cs="宋体"/>
                <w:sz w:val="24"/>
                <w:szCs w:val="24"/>
              </w:rPr>
              <w:t>量程:0-14,带4-20mA信号输出,供电电源:220VAC</w:t>
            </w:r>
            <w:r>
              <w:rPr>
                <w:rFonts w:hint="eastAsia" w:ascii="宋体" w:hAnsi="宋体" w:cs="宋体"/>
                <w:sz w:val="24"/>
                <w:szCs w:val="24"/>
              </w:rPr>
              <w:br w:type="textWrapping"/>
            </w:r>
            <w:r>
              <w:rPr>
                <w:rFonts w:hint="eastAsia" w:ascii="宋体" w:hAnsi="宋体" w:cs="宋体"/>
                <w:sz w:val="24"/>
                <w:szCs w:val="24"/>
              </w:rPr>
              <w:t>%%p10%,50Hz%%p5</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4</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27</w:t>
            </w:r>
          </w:p>
        </w:tc>
        <w:tc>
          <w:tcPr>
            <w:tcW w:w="2133" w:type="dxa"/>
            <w:vAlign w:val="center"/>
          </w:tcPr>
          <w:p>
            <w:pPr>
              <w:jc w:val="center"/>
              <w:rPr>
                <w:rFonts w:ascii="宋体" w:hAnsi="宋体" w:cs="宋体"/>
                <w:sz w:val="24"/>
                <w:szCs w:val="24"/>
              </w:rPr>
            </w:pPr>
            <w:r>
              <w:rPr>
                <w:rFonts w:hint="eastAsia" w:ascii="宋体" w:hAnsi="宋体" w:cs="宋体"/>
                <w:sz w:val="24"/>
                <w:szCs w:val="24"/>
              </w:rPr>
              <w:t>在线ORP仪</w:t>
            </w:r>
          </w:p>
        </w:tc>
        <w:tc>
          <w:tcPr>
            <w:tcW w:w="3111" w:type="dxa"/>
            <w:vAlign w:val="center"/>
          </w:tcPr>
          <w:p>
            <w:pPr>
              <w:jc w:val="center"/>
              <w:rPr>
                <w:rFonts w:ascii="宋体" w:hAnsi="宋体" w:cs="宋体"/>
                <w:sz w:val="24"/>
                <w:szCs w:val="24"/>
              </w:rPr>
            </w:pPr>
            <w:r>
              <w:rPr>
                <w:rFonts w:hint="eastAsia" w:ascii="宋体" w:hAnsi="宋体" w:cs="宋体"/>
                <w:sz w:val="24"/>
                <w:szCs w:val="24"/>
              </w:rPr>
              <w:t>量程:-1500~1500mV带4-20mA信号输出,供电电源:220VAC%%p10%,50Hz%%p5</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4</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28</w:t>
            </w:r>
          </w:p>
        </w:tc>
        <w:tc>
          <w:tcPr>
            <w:tcW w:w="2133" w:type="dxa"/>
            <w:vAlign w:val="center"/>
          </w:tcPr>
          <w:p>
            <w:pPr>
              <w:jc w:val="center"/>
              <w:rPr>
                <w:rFonts w:ascii="宋体" w:hAnsi="宋体" w:cs="宋体"/>
                <w:sz w:val="24"/>
                <w:szCs w:val="24"/>
              </w:rPr>
            </w:pPr>
            <w:r>
              <w:rPr>
                <w:rFonts w:hint="eastAsia" w:ascii="宋体" w:hAnsi="宋体" w:cs="宋体"/>
                <w:sz w:val="24"/>
                <w:szCs w:val="24"/>
              </w:rPr>
              <w:t>pH/T测量仪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测量范围：0~14pH</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29</w:t>
            </w:r>
          </w:p>
        </w:tc>
        <w:tc>
          <w:tcPr>
            <w:tcW w:w="2133" w:type="dxa"/>
            <w:vAlign w:val="center"/>
          </w:tcPr>
          <w:p>
            <w:pPr>
              <w:jc w:val="center"/>
              <w:rPr>
                <w:rFonts w:ascii="宋体" w:hAnsi="宋体" w:cs="宋体"/>
                <w:sz w:val="24"/>
                <w:szCs w:val="24"/>
              </w:rPr>
            </w:pPr>
            <w:r>
              <w:rPr>
                <w:rFonts w:hint="eastAsia" w:ascii="宋体" w:hAnsi="宋体" w:cs="宋体"/>
                <w:sz w:val="24"/>
                <w:szCs w:val="24"/>
              </w:rPr>
              <w:t>pH/T测量仪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测量范围：0~14pH，0~50℃，</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6</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30</w:t>
            </w:r>
          </w:p>
        </w:tc>
        <w:tc>
          <w:tcPr>
            <w:tcW w:w="2133" w:type="dxa"/>
            <w:vAlign w:val="center"/>
          </w:tcPr>
          <w:p>
            <w:pPr>
              <w:jc w:val="center"/>
              <w:rPr>
                <w:rFonts w:ascii="宋体" w:hAnsi="宋体" w:cs="宋体"/>
                <w:sz w:val="24"/>
                <w:szCs w:val="24"/>
              </w:rPr>
            </w:pPr>
            <w:r>
              <w:rPr>
                <w:rFonts w:hint="eastAsia" w:ascii="宋体" w:hAnsi="宋体" w:cs="宋体"/>
                <w:sz w:val="24"/>
                <w:szCs w:val="24"/>
              </w:rPr>
              <w:t>电磁流量计</w:t>
            </w:r>
          </w:p>
        </w:tc>
        <w:tc>
          <w:tcPr>
            <w:tcW w:w="3111" w:type="dxa"/>
            <w:vAlign w:val="center"/>
          </w:tcPr>
          <w:p>
            <w:pPr>
              <w:jc w:val="center"/>
              <w:rPr>
                <w:rFonts w:ascii="宋体" w:hAnsi="宋体" w:cs="宋体"/>
                <w:sz w:val="24"/>
                <w:szCs w:val="24"/>
              </w:rPr>
            </w:pPr>
            <w:r>
              <w:rPr>
                <w:rFonts w:hint="eastAsia" w:ascii="宋体" w:hAnsi="宋体" w:cs="宋体"/>
                <w:sz w:val="24"/>
                <w:szCs w:val="24"/>
              </w:rPr>
              <w:t>dn150</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31</w:t>
            </w:r>
          </w:p>
        </w:tc>
        <w:tc>
          <w:tcPr>
            <w:tcW w:w="2133" w:type="dxa"/>
            <w:vAlign w:val="center"/>
          </w:tcPr>
          <w:p>
            <w:pPr>
              <w:jc w:val="center"/>
              <w:rPr>
                <w:rFonts w:ascii="宋体" w:hAnsi="宋体" w:cs="宋体"/>
                <w:sz w:val="24"/>
                <w:szCs w:val="24"/>
              </w:rPr>
            </w:pPr>
            <w:r>
              <w:rPr>
                <w:rFonts w:hint="eastAsia" w:ascii="宋体" w:hAnsi="宋体" w:cs="宋体"/>
                <w:sz w:val="24"/>
                <w:szCs w:val="24"/>
              </w:rPr>
              <w:t>电磁流量计</w:t>
            </w:r>
          </w:p>
        </w:tc>
        <w:tc>
          <w:tcPr>
            <w:tcW w:w="3111" w:type="dxa"/>
            <w:vAlign w:val="center"/>
          </w:tcPr>
          <w:p>
            <w:pPr>
              <w:jc w:val="center"/>
              <w:rPr>
                <w:rFonts w:ascii="宋体" w:hAnsi="宋体" w:cs="宋体"/>
                <w:sz w:val="24"/>
                <w:szCs w:val="24"/>
              </w:rPr>
            </w:pPr>
            <w:r>
              <w:rPr>
                <w:rFonts w:hint="eastAsia" w:ascii="宋体" w:hAnsi="宋体" w:cs="宋体"/>
                <w:sz w:val="24"/>
                <w:szCs w:val="24"/>
              </w:rPr>
              <w:t>DN300,Q=127~1270m3/h,4~20mA信号输出,就地显示,电源:220V</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32</w:t>
            </w:r>
          </w:p>
        </w:tc>
        <w:tc>
          <w:tcPr>
            <w:tcW w:w="2133" w:type="dxa"/>
            <w:vAlign w:val="center"/>
          </w:tcPr>
          <w:p>
            <w:pPr>
              <w:jc w:val="center"/>
              <w:rPr>
                <w:rFonts w:ascii="宋体" w:hAnsi="宋体" w:cs="宋体"/>
                <w:sz w:val="24"/>
                <w:szCs w:val="24"/>
              </w:rPr>
            </w:pPr>
            <w:r>
              <w:rPr>
                <w:rFonts w:hint="eastAsia" w:ascii="宋体" w:hAnsi="宋体" w:cs="宋体"/>
                <w:sz w:val="24"/>
                <w:szCs w:val="24"/>
              </w:rPr>
              <w:t>电磁流量计</w:t>
            </w:r>
          </w:p>
        </w:tc>
        <w:tc>
          <w:tcPr>
            <w:tcW w:w="3111" w:type="dxa"/>
            <w:vAlign w:val="center"/>
          </w:tcPr>
          <w:p>
            <w:pPr>
              <w:jc w:val="center"/>
              <w:rPr>
                <w:rFonts w:ascii="宋体" w:hAnsi="宋体" w:cs="宋体"/>
                <w:sz w:val="24"/>
                <w:szCs w:val="24"/>
              </w:rPr>
            </w:pPr>
            <w:r>
              <w:rPr>
                <w:rFonts w:hint="eastAsia" w:ascii="宋体" w:hAnsi="宋体" w:cs="宋体"/>
                <w:sz w:val="24"/>
                <w:szCs w:val="24"/>
              </w:rPr>
              <w:t>DN300</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4</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33</w:t>
            </w:r>
          </w:p>
        </w:tc>
        <w:tc>
          <w:tcPr>
            <w:tcW w:w="2133" w:type="dxa"/>
            <w:vAlign w:val="center"/>
          </w:tcPr>
          <w:p>
            <w:pPr>
              <w:jc w:val="center"/>
              <w:rPr>
                <w:rFonts w:ascii="宋体" w:hAnsi="宋体" w:cs="宋体"/>
                <w:sz w:val="24"/>
                <w:szCs w:val="24"/>
              </w:rPr>
            </w:pPr>
            <w:r>
              <w:rPr>
                <w:rFonts w:hint="eastAsia" w:ascii="宋体" w:hAnsi="宋体" w:cs="宋体"/>
                <w:sz w:val="24"/>
                <w:szCs w:val="24"/>
              </w:rPr>
              <w:t>电磁流量计DN400</w:t>
            </w:r>
          </w:p>
        </w:tc>
        <w:tc>
          <w:tcPr>
            <w:tcW w:w="3111" w:type="dxa"/>
            <w:vAlign w:val="center"/>
          </w:tcPr>
          <w:p>
            <w:pPr>
              <w:jc w:val="center"/>
              <w:rPr>
                <w:rFonts w:ascii="宋体" w:hAnsi="宋体" w:cs="宋体"/>
                <w:sz w:val="24"/>
                <w:szCs w:val="24"/>
              </w:rPr>
            </w:pPr>
            <w:r>
              <w:rPr>
                <w:rFonts w:hint="eastAsia" w:ascii="宋体" w:hAnsi="宋体" w:cs="宋体"/>
                <w:sz w:val="24"/>
                <w:szCs w:val="24"/>
              </w:rPr>
              <w:t>Q=127~1270m3 /h ,分体式</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34</w:t>
            </w:r>
          </w:p>
        </w:tc>
        <w:tc>
          <w:tcPr>
            <w:tcW w:w="2133" w:type="dxa"/>
            <w:vAlign w:val="center"/>
          </w:tcPr>
          <w:p>
            <w:pPr>
              <w:jc w:val="center"/>
              <w:rPr>
                <w:rFonts w:ascii="宋体" w:hAnsi="宋体" w:cs="宋体"/>
                <w:sz w:val="24"/>
                <w:szCs w:val="24"/>
              </w:rPr>
            </w:pPr>
            <w:r>
              <w:rPr>
                <w:rFonts w:hint="eastAsia" w:ascii="宋体" w:hAnsi="宋体" w:cs="宋体"/>
                <w:sz w:val="24"/>
                <w:szCs w:val="24"/>
              </w:rPr>
              <w:t>超声波明渠流量计巴氏计量槽配套</w:t>
            </w:r>
          </w:p>
        </w:tc>
        <w:tc>
          <w:tcPr>
            <w:tcW w:w="3111" w:type="dxa"/>
            <w:vAlign w:val="center"/>
          </w:tcPr>
          <w:p>
            <w:pPr>
              <w:jc w:val="center"/>
              <w:rPr>
                <w:rFonts w:ascii="宋体" w:hAnsi="宋体" w:cs="宋体"/>
                <w:sz w:val="24"/>
                <w:szCs w:val="24"/>
              </w:rPr>
            </w:pPr>
            <w:r>
              <w:rPr>
                <w:rFonts w:hint="eastAsia" w:ascii="宋体" w:hAnsi="宋体" w:cs="宋体"/>
                <w:sz w:val="24"/>
                <w:szCs w:val="24"/>
              </w:rPr>
              <w:t>Q=20000m3/d</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35</w:t>
            </w:r>
          </w:p>
        </w:tc>
        <w:tc>
          <w:tcPr>
            <w:tcW w:w="2133" w:type="dxa"/>
            <w:vAlign w:val="center"/>
          </w:tcPr>
          <w:p>
            <w:pPr>
              <w:jc w:val="center"/>
              <w:rPr>
                <w:rFonts w:ascii="宋体" w:hAnsi="宋体" w:cs="宋体"/>
                <w:sz w:val="24"/>
                <w:szCs w:val="24"/>
              </w:rPr>
            </w:pPr>
            <w:r>
              <w:rPr>
                <w:rFonts w:hint="eastAsia" w:ascii="宋体" w:hAnsi="宋体" w:cs="宋体"/>
                <w:sz w:val="24"/>
                <w:szCs w:val="24"/>
              </w:rPr>
              <w:t>pH测量仪</w:t>
            </w:r>
          </w:p>
        </w:tc>
        <w:tc>
          <w:tcPr>
            <w:tcW w:w="3111" w:type="dxa"/>
            <w:vAlign w:val="center"/>
          </w:tcPr>
          <w:p>
            <w:pPr>
              <w:jc w:val="center"/>
              <w:rPr>
                <w:rFonts w:ascii="宋体" w:hAnsi="宋体" w:cs="宋体"/>
                <w:sz w:val="24"/>
                <w:szCs w:val="24"/>
              </w:rPr>
            </w:pPr>
            <w:r>
              <w:rPr>
                <w:rFonts w:hint="eastAsia" w:ascii="宋体" w:hAnsi="宋体" w:cs="宋体"/>
                <w:sz w:val="24"/>
                <w:szCs w:val="24"/>
              </w:rPr>
              <w:t>测量范围：0~14pH</w:t>
            </w:r>
          </w:p>
        </w:tc>
        <w:tc>
          <w:tcPr>
            <w:tcW w:w="1103" w:type="dxa"/>
            <w:vAlign w:val="center"/>
          </w:tcPr>
          <w:p>
            <w:pPr>
              <w:jc w:val="center"/>
              <w:rPr>
                <w:rFonts w:ascii="宋体" w:hAnsi="宋体" w:cs="宋体"/>
                <w:sz w:val="24"/>
                <w:szCs w:val="24"/>
              </w:rPr>
            </w:pPr>
            <w:r>
              <w:rPr>
                <w:rFonts w:hint="eastAsia" w:ascii="宋体" w:hAnsi="宋体" w:cs="宋体"/>
                <w:sz w:val="24"/>
                <w:szCs w:val="24"/>
              </w:rPr>
              <w:t>套</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36</w:t>
            </w:r>
          </w:p>
        </w:tc>
        <w:tc>
          <w:tcPr>
            <w:tcW w:w="2133" w:type="dxa"/>
            <w:vAlign w:val="center"/>
          </w:tcPr>
          <w:p>
            <w:pPr>
              <w:jc w:val="center"/>
              <w:rPr>
                <w:rFonts w:ascii="宋体" w:hAnsi="宋体" w:cs="宋体"/>
                <w:sz w:val="24"/>
                <w:szCs w:val="24"/>
              </w:rPr>
            </w:pPr>
            <w:r>
              <w:rPr>
                <w:rFonts w:hint="eastAsia" w:ascii="宋体" w:hAnsi="宋体" w:cs="宋体"/>
                <w:sz w:val="24"/>
                <w:szCs w:val="24"/>
              </w:rPr>
              <w:t>在线溶解氧仪</w:t>
            </w:r>
          </w:p>
        </w:tc>
        <w:tc>
          <w:tcPr>
            <w:tcW w:w="3111" w:type="dxa"/>
            <w:vAlign w:val="center"/>
          </w:tcPr>
          <w:p>
            <w:pPr>
              <w:jc w:val="center"/>
              <w:rPr>
                <w:rFonts w:ascii="宋体" w:hAnsi="宋体" w:cs="宋体"/>
                <w:sz w:val="24"/>
                <w:szCs w:val="24"/>
              </w:rPr>
            </w:pPr>
            <w:r>
              <w:rPr>
                <w:rFonts w:hint="eastAsia" w:ascii="宋体" w:hAnsi="宋体" w:cs="宋体"/>
                <w:sz w:val="24"/>
                <w:szCs w:val="24"/>
              </w:rPr>
              <w:t>量程:0-20mg/l,带4-20mA信号输出,供电电源:220VAC</w:t>
            </w:r>
            <w:r>
              <w:rPr>
                <w:rFonts w:hint="eastAsia" w:ascii="宋体" w:hAnsi="宋体" w:cs="宋体"/>
                <w:sz w:val="24"/>
                <w:szCs w:val="24"/>
              </w:rPr>
              <w:br w:type="textWrapping"/>
            </w:r>
            <w:r>
              <w:rPr>
                <w:rFonts w:hint="eastAsia" w:ascii="宋体" w:hAnsi="宋体" w:cs="宋体"/>
                <w:sz w:val="24"/>
                <w:szCs w:val="24"/>
              </w:rPr>
              <w:t>%%p10%,</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2</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spacing w:line="380" w:lineRule="exact"/>
              <w:jc w:val="center"/>
              <w:rPr>
                <w:rFonts w:ascii="宋体" w:hAnsi="宋体" w:cs="宋体"/>
                <w:kern w:val="0"/>
                <w:sz w:val="24"/>
                <w:szCs w:val="24"/>
              </w:rPr>
            </w:pPr>
            <w:r>
              <w:rPr>
                <w:rFonts w:hint="eastAsia" w:ascii="宋体" w:hAnsi="宋体" w:cs="宋体"/>
                <w:kern w:val="0"/>
                <w:sz w:val="24"/>
                <w:szCs w:val="24"/>
              </w:rPr>
              <w:t>37</w:t>
            </w:r>
          </w:p>
        </w:tc>
        <w:tc>
          <w:tcPr>
            <w:tcW w:w="2133" w:type="dxa"/>
            <w:vAlign w:val="center"/>
          </w:tcPr>
          <w:p>
            <w:pPr>
              <w:jc w:val="center"/>
              <w:rPr>
                <w:rFonts w:ascii="宋体" w:hAnsi="宋体" w:cs="宋体"/>
                <w:sz w:val="24"/>
                <w:szCs w:val="24"/>
              </w:rPr>
            </w:pPr>
            <w:r>
              <w:rPr>
                <w:rFonts w:hint="eastAsia" w:ascii="宋体" w:hAnsi="宋体" w:cs="宋体"/>
                <w:sz w:val="24"/>
                <w:szCs w:val="24"/>
              </w:rPr>
              <w:t>电磁流量计DN600</w:t>
            </w:r>
          </w:p>
        </w:tc>
        <w:tc>
          <w:tcPr>
            <w:tcW w:w="3111" w:type="dxa"/>
            <w:vAlign w:val="center"/>
          </w:tcPr>
          <w:p>
            <w:pPr>
              <w:jc w:val="center"/>
              <w:rPr>
                <w:rFonts w:ascii="宋体" w:hAnsi="宋体" w:cs="宋体"/>
                <w:sz w:val="24"/>
                <w:szCs w:val="24"/>
              </w:rPr>
            </w:pPr>
            <w:r>
              <w:rPr>
                <w:rFonts w:hint="eastAsia" w:ascii="宋体" w:hAnsi="宋体" w:cs="宋体"/>
                <w:sz w:val="24"/>
                <w:szCs w:val="24"/>
              </w:rPr>
              <w:t>Q=127~1270m3 /h ,分体式</w:t>
            </w:r>
          </w:p>
        </w:tc>
        <w:tc>
          <w:tcPr>
            <w:tcW w:w="1103" w:type="dxa"/>
            <w:vAlign w:val="center"/>
          </w:tcPr>
          <w:p>
            <w:pPr>
              <w:jc w:val="center"/>
              <w:rPr>
                <w:rFonts w:ascii="宋体" w:hAnsi="宋体" w:cs="宋体"/>
                <w:sz w:val="24"/>
                <w:szCs w:val="24"/>
              </w:rPr>
            </w:pPr>
            <w:r>
              <w:rPr>
                <w:rFonts w:hint="eastAsia" w:ascii="宋体" w:hAnsi="宋体" w:cs="宋体"/>
                <w:sz w:val="24"/>
                <w:szCs w:val="24"/>
              </w:rPr>
              <w:t>台</w:t>
            </w:r>
          </w:p>
        </w:tc>
        <w:tc>
          <w:tcPr>
            <w:tcW w:w="756" w:type="dxa"/>
            <w:vAlign w:val="center"/>
          </w:tcPr>
          <w:p>
            <w:pPr>
              <w:jc w:val="center"/>
              <w:rPr>
                <w:rFonts w:ascii="宋体" w:hAnsi="宋体" w:cs="宋体"/>
                <w:sz w:val="24"/>
                <w:szCs w:val="24"/>
              </w:rPr>
            </w:pPr>
            <w:r>
              <w:rPr>
                <w:rFonts w:hint="eastAsia" w:ascii="宋体" w:hAnsi="宋体" w:cs="宋体"/>
                <w:sz w:val="24"/>
                <w:szCs w:val="24"/>
              </w:rPr>
              <w:t>1</w:t>
            </w:r>
          </w:p>
        </w:tc>
        <w:tc>
          <w:tcPr>
            <w:tcW w:w="2073" w:type="dxa"/>
            <w:vAlign w:val="center"/>
          </w:tcPr>
          <w:p>
            <w:pPr>
              <w:jc w:val="center"/>
              <w:rPr>
                <w:rFonts w:ascii="宋体" w:hAnsi="宋体" w:cs="宋体"/>
                <w:sz w:val="24"/>
                <w:szCs w:val="24"/>
              </w:rPr>
            </w:pPr>
            <w:r>
              <w:rPr>
                <w:rFonts w:hint="eastAsia" w:ascii="宋体" w:hAnsi="宋体" w:cs="宋体"/>
                <w:kern w:val="0"/>
                <w:sz w:val="24"/>
                <w:szCs w:val="24"/>
              </w:rPr>
              <w:t>进口品牌</w:t>
            </w:r>
          </w:p>
        </w:tc>
      </w:tr>
    </w:tbl>
    <w:p>
      <w:pPr>
        <w:rPr>
          <w:rFonts w:ascii="宋体" w:hAnsi="宋体" w:cs="宋体"/>
          <w:b/>
          <w:bCs/>
        </w:rPr>
      </w:pPr>
    </w:p>
    <w:p>
      <w:pPr>
        <w:spacing w:line="360" w:lineRule="auto"/>
        <w:rPr>
          <w:rFonts w:ascii="宋体" w:hAnsi="宋体" w:cs="宋体"/>
          <w:b/>
          <w:bCs/>
          <w:sz w:val="24"/>
          <w:szCs w:val="24"/>
        </w:rPr>
      </w:pPr>
      <w:r>
        <w:rPr>
          <w:rFonts w:hint="eastAsia" w:ascii="宋体" w:hAnsi="宋体" w:cs="宋体"/>
          <w:b/>
          <w:bCs/>
          <w:sz w:val="24"/>
          <w:szCs w:val="24"/>
        </w:rPr>
        <w:t>注：以上技术条款为必须满足项，否则作无效标处理。</w:t>
      </w: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2、技术要求</w:t>
      </w:r>
    </w:p>
    <w:p>
      <w:pPr>
        <w:spacing w:line="288" w:lineRule="auto"/>
        <w:rPr>
          <w:rFonts w:ascii="宋体" w:hAnsi="宋体" w:cs="宋体"/>
          <w:sz w:val="24"/>
          <w:szCs w:val="24"/>
        </w:rPr>
      </w:pPr>
      <w:r>
        <w:rPr>
          <w:rFonts w:hint="eastAsia" w:ascii="宋体" w:hAnsi="宋体" w:cs="宋体"/>
          <w:sz w:val="24"/>
          <w:szCs w:val="24"/>
        </w:rPr>
        <w:t>总则：</w:t>
      </w:r>
    </w:p>
    <w:p>
      <w:pPr>
        <w:pStyle w:val="217"/>
        <w:numPr>
          <w:ilvl w:val="0"/>
          <w:numId w:val="6"/>
        </w:numPr>
        <w:ind w:firstLineChars="0"/>
        <w:rPr>
          <w:rFonts w:ascii="宋体" w:hAnsi="宋体" w:cs="宋体"/>
          <w:szCs w:val="24"/>
        </w:rPr>
      </w:pPr>
      <w:r>
        <w:rPr>
          <w:rFonts w:hint="eastAsia" w:ascii="宋体" w:hAnsi="宋体" w:cs="宋体"/>
          <w:szCs w:val="24"/>
        </w:rPr>
        <w:t>★在线COD、氨氮、总磷、总氮、在线分析仪表（ph/T、浊度） 都应具有CCEP中国环境保护产品认证证书并提供检测报告，并符合最新环保验收标准，采用进口品牌产品。</w:t>
      </w:r>
    </w:p>
    <w:p>
      <w:pPr>
        <w:pStyle w:val="217"/>
        <w:ind w:left="360" w:firstLine="480"/>
        <w:rPr>
          <w:rFonts w:ascii="宋体" w:hAnsi="宋体" w:cs="宋体"/>
          <w:szCs w:val="24"/>
        </w:rPr>
      </w:pPr>
      <w:r>
        <w:rPr>
          <w:rFonts w:ascii="宋体" w:hAnsi="宋体" w:cs="宋体"/>
          <w:szCs w:val="24"/>
        </w:rPr>
        <w:t>1</w:t>
      </w:r>
      <w:r>
        <w:rPr>
          <w:rFonts w:hint="eastAsia" w:ascii="宋体" w:hAnsi="宋体" w:cs="宋体"/>
          <w:szCs w:val="24"/>
        </w:rPr>
        <w:t>、</w:t>
      </w:r>
      <w:r>
        <w:rPr>
          <w:rFonts w:ascii="宋体" w:hAnsi="宋体" w:cs="宋体"/>
          <w:szCs w:val="24"/>
        </w:rPr>
        <w:t>在线COD分析仪：原理-国标重铬酸钾法，具有CCEP（中国环境保护产品认证）且满足HJ377-2019要求，并提供中环协官网查询结果为佐证。</w:t>
      </w:r>
    </w:p>
    <w:p>
      <w:pPr>
        <w:pStyle w:val="217"/>
        <w:ind w:left="360" w:firstLine="480"/>
        <w:rPr>
          <w:rFonts w:ascii="宋体" w:hAnsi="宋体" w:cs="宋体"/>
          <w:szCs w:val="24"/>
        </w:rPr>
      </w:pPr>
      <w:r>
        <w:rPr>
          <w:rFonts w:ascii="宋体" w:hAnsi="宋体" w:cs="宋体"/>
          <w:szCs w:val="24"/>
        </w:rPr>
        <w:t>2</w:t>
      </w:r>
      <w:r>
        <w:rPr>
          <w:rFonts w:hint="eastAsia" w:ascii="宋体" w:hAnsi="宋体" w:cs="宋体"/>
          <w:szCs w:val="24"/>
        </w:rPr>
        <w:t>、</w:t>
      </w:r>
      <w:r>
        <w:rPr>
          <w:rFonts w:ascii="宋体" w:hAnsi="宋体" w:cs="宋体"/>
          <w:szCs w:val="24"/>
        </w:rPr>
        <w:t>在线氨氮分析仪：原理-国标水杨酸或纳氏试剂比色法，具有CCEP（中国环境保护产品认证）且满足HJ101-2019要求，并提供中环协官网查询结果为佐证。</w:t>
      </w:r>
    </w:p>
    <w:p>
      <w:pPr>
        <w:pStyle w:val="217"/>
        <w:ind w:left="360" w:firstLine="480"/>
        <w:rPr>
          <w:rFonts w:ascii="宋体" w:hAnsi="宋体" w:cs="宋体"/>
          <w:szCs w:val="24"/>
        </w:rPr>
      </w:pPr>
      <w:r>
        <w:rPr>
          <w:rFonts w:ascii="宋体" w:hAnsi="宋体" w:cs="宋体"/>
          <w:szCs w:val="24"/>
        </w:rPr>
        <w:t>3、在线总磷、总氮分析仪：原理：国标比色法，具有CCEP(中国环境保护产品认证)，且满足HJ102-2003、HJ103-2003要求，并提供中环协官网查询结果为佐证。</w:t>
      </w:r>
    </w:p>
    <w:p>
      <w:pPr>
        <w:pStyle w:val="217"/>
        <w:numPr>
          <w:ilvl w:val="0"/>
          <w:numId w:val="6"/>
        </w:numPr>
        <w:ind w:firstLineChars="0"/>
        <w:rPr>
          <w:rFonts w:ascii="宋体" w:hAnsi="宋体" w:cs="宋体"/>
          <w:szCs w:val="24"/>
        </w:rPr>
      </w:pPr>
      <w:r>
        <w:rPr>
          <w:rFonts w:hint="eastAsia" w:ascii="宋体" w:hAnsi="宋体" w:cs="宋体"/>
          <w:szCs w:val="24"/>
        </w:rPr>
        <w:t>所有大表应具有统一的分析仪表标准操作系统，操作维护简单；</w:t>
      </w:r>
    </w:p>
    <w:p>
      <w:pPr>
        <w:pStyle w:val="217"/>
        <w:numPr>
          <w:ilvl w:val="0"/>
          <w:numId w:val="6"/>
        </w:numPr>
        <w:ind w:firstLineChars="0"/>
        <w:rPr>
          <w:rFonts w:ascii="宋体" w:hAnsi="宋体" w:cs="宋体"/>
          <w:szCs w:val="24"/>
        </w:rPr>
      </w:pPr>
      <w:r>
        <w:rPr>
          <w:rFonts w:hint="eastAsia" w:ascii="宋体" w:hAnsi="宋体" w:cs="宋体"/>
          <w:szCs w:val="24"/>
        </w:rPr>
        <w:t>仪表需要平台化，模块化设计，仪器部件通用，减少备件数量，降低运维护成本；</w:t>
      </w:r>
    </w:p>
    <w:p>
      <w:pPr>
        <w:pStyle w:val="217"/>
        <w:numPr>
          <w:ilvl w:val="0"/>
          <w:numId w:val="6"/>
        </w:numPr>
        <w:ind w:firstLineChars="0"/>
        <w:rPr>
          <w:rFonts w:ascii="宋体" w:hAnsi="宋体" w:cs="宋体"/>
          <w:szCs w:val="24"/>
        </w:rPr>
      </w:pPr>
      <w:r>
        <w:rPr>
          <w:rFonts w:hint="eastAsia" w:ascii="宋体" w:hAnsi="宋体" w:cs="宋体"/>
          <w:szCs w:val="24"/>
        </w:rPr>
        <w:t>所有大表均可外接个数字传感器（如：PH，电导率，浊度等），快速升级为测量站；</w:t>
      </w:r>
    </w:p>
    <w:p>
      <w:pPr>
        <w:pStyle w:val="217"/>
        <w:numPr>
          <w:ilvl w:val="0"/>
          <w:numId w:val="6"/>
        </w:numPr>
        <w:ind w:firstLineChars="0"/>
        <w:rPr>
          <w:rFonts w:ascii="宋体" w:hAnsi="宋体" w:cs="宋体"/>
          <w:szCs w:val="24"/>
        </w:rPr>
      </w:pPr>
      <w:r>
        <w:rPr>
          <w:rFonts w:hint="eastAsia" w:ascii="宋体" w:hAnsi="宋体" w:cs="宋体"/>
          <w:szCs w:val="24"/>
        </w:rPr>
        <w:t xml:space="preserve">完全满足生态环境部技术规范：内置标样核查功能，并能根据核查结果自动完成校准和复核；                                                                          </w:t>
      </w:r>
    </w:p>
    <w:p>
      <w:pPr>
        <w:pStyle w:val="217"/>
        <w:ind w:firstLine="482"/>
        <w:rPr>
          <w:rFonts w:ascii="宋体" w:hAnsi="宋体" w:cs="宋体"/>
          <w:b/>
          <w:bCs/>
          <w:szCs w:val="24"/>
        </w:rPr>
      </w:pPr>
      <w:bookmarkStart w:id="180" w:name="_Toc149970212"/>
      <w:bookmarkStart w:id="181" w:name="_Toc149969377"/>
      <w:bookmarkStart w:id="182" w:name="_Toc48415625"/>
      <w:bookmarkStart w:id="183" w:name="_Toc149975986"/>
      <w:bookmarkStart w:id="184" w:name="_Toc22971695"/>
      <w:bookmarkStart w:id="185" w:name="_Toc135706268"/>
      <w:bookmarkStart w:id="186" w:name="_Toc80436659"/>
      <w:bookmarkStart w:id="187" w:name="_Toc135655395"/>
      <w:bookmarkStart w:id="188" w:name="_Toc135706438"/>
      <w:bookmarkStart w:id="189" w:name="_Toc97696182"/>
      <w:bookmarkStart w:id="190" w:name="_Toc73847832"/>
      <w:r>
        <w:rPr>
          <w:rFonts w:hint="eastAsia" w:ascii="宋体" w:hAnsi="宋体" w:cs="宋体"/>
          <w:b/>
          <w:bCs/>
          <w:szCs w:val="24"/>
        </w:rPr>
        <w:t>1、</w:t>
      </w:r>
      <w:bookmarkEnd w:id="180"/>
      <w:bookmarkEnd w:id="181"/>
      <w:bookmarkEnd w:id="182"/>
      <w:bookmarkEnd w:id="183"/>
      <w:bookmarkEnd w:id="184"/>
      <w:r>
        <w:rPr>
          <w:rFonts w:hint="eastAsia" w:ascii="宋体" w:hAnsi="宋体" w:cs="宋体"/>
          <w:b/>
          <w:bCs/>
          <w:szCs w:val="24"/>
        </w:rPr>
        <w:t>在线氨氮分析仪</w:t>
      </w:r>
    </w:p>
    <w:p>
      <w:pPr>
        <w:pStyle w:val="217"/>
        <w:ind w:firstLine="480"/>
        <w:rPr>
          <w:rFonts w:ascii="宋体" w:hAnsi="宋体" w:cs="宋体"/>
          <w:szCs w:val="24"/>
        </w:rPr>
      </w:pPr>
      <w:r>
        <w:rPr>
          <w:rFonts w:hint="eastAsia" w:ascii="宋体" w:hAnsi="宋体" w:cs="宋体"/>
          <w:szCs w:val="24"/>
        </w:rPr>
        <w:t>1） 安装位置：</w:t>
      </w:r>
    </w:p>
    <w:p>
      <w:pPr>
        <w:pStyle w:val="217"/>
        <w:ind w:firstLine="480"/>
        <w:rPr>
          <w:rFonts w:ascii="宋体" w:hAnsi="宋体" w:cs="宋体"/>
          <w:szCs w:val="24"/>
        </w:rPr>
      </w:pPr>
      <w:r>
        <w:rPr>
          <w:rFonts w:hint="eastAsia" w:ascii="宋体" w:hAnsi="宋体" w:cs="宋体"/>
          <w:szCs w:val="24"/>
        </w:rPr>
        <w:t>2） ★形式：由取样式在线氨氮分析仪带pH/T和浊度探头组合而成</w:t>
      </w:r>
    </w:p>
    <w:p>
      <w:pPr>
        <w:pStyle w:val="217"/>
        <w:ind w:firstLine="480"/>
        <w:rPr>
          <w:rFonts w:ascii="宋体" w:hAnsi="宋体" w:cs="宋体"/>
          <w:szCs w:val="24"/>
        </w:rPr>
      </w:pPr>
      <w:r>
        <w:rPr>
          <w:rFonts w:hint="eastAsia" w:ascii="宋体" w:hAnsi="宋体" w:cs="宋体"/>
          <w:szCs w:val="24"/>
        </w:rPr>
        <w:t>3） ★工作原理：</w:t>
      </w:r>
    </w:p>
    <w:p>
      <w:pPr>
        <w:pStyle w:val="217"/>
        <w:ind w:firstLine="480"/>
        <w:rPr>
          <w:rFonts w:ascii="宋体" w:hAnsi="宋体" w:cs="宋体"/>
          <w:szCs w:val="24"/>
        </w:rPr>
      </w:pPr>
      <w:r>
        <w:rPr>
          <w:rFonts w:hint="eastAsia" w:ascii="宋体" w:hAnsi="宋体" w:cs="宋体"/>
          <w:szCs w:val="24"/>
        </w:rPr>
        <w:t>氨氮：</w:t>
      </w:r>
      <w:r>
        <w:rPr>
          <w:rFonts w:ascii="宋体" w:hAnsi="宋体" w:cs="宋体"/>
          <w:szCs w:val="24"/>
        </w:rPr>
        <w:t>国标水杨酸或纳氏试剂比色法</w:t>
      </w:r>
    </w:p>
    <w:p>
      <w:pPr>
        <w:pStyle w:val="217"/>
        <w:ind w:firstLine="480"/>
        <w:rPr>
          <w:rFonts w:ascii="宋体" w:hAnsi="宋体" w:cs="宋体"/>
          <w:szCs w:val="24"/>
        </w:rPr>
      </w:pPr>
      <w:r>
        <w:rPr>
          <w:rFonts w:hint="eastAsia" w:ascii="宋体" w:hAnsi="宋体" w:cs="宋体"/>
          <w:szCs w:val="24"/>
        </w:rPr>
        <w:t>pH/T：智能玻璃复合电极，PT100温度补偿</w:t>
      </w:r>
    </w:p>
    <w:p>
      <w:pPr>
        <w:pStyle w:val="217"/>
        <w:ind w:firstLine="480"/>
        <w:rPr>
          <w:rFonts w:ascii="宋体" w:hAnsi="宋体" w:cs="宋体"/>
          <w:szCs w:val="24"/>
        </w:rPr>
      </w:pPr>
      <w:r>
        <w:rPr>
          <w:rFonts w:hint="eastAsia" w:ascii="宋体" w:hAnsi="宋体" w:cs="宋体"/>
          <w:szCs w:val="24"/>
        </w:rPr>
        <w:t>4） 测量范围：</w:t>
      </w:r>
    </w:p>
    <w:p>
      <w:pPr>
        <w:pStyle w:val="217"/>
        <w:ind w:firstLine="480"/>
        <w:rPr>
          <w:rFonts w:ascii="宋体" w:hAnsi="宋体" w:cs="宋体"/>
          <w:szCs w:val="24"/>
        </w:rPr>
      </w:pPr>
      <w:r>
        <w:rPr>
          <w:rFonts w:hint="eastAsia" w:ascii="宋体" w:hAnsi="宋体" w:cs="宋体"/>
          <w:szCs w:val="24"/>
        </w:rPr>
        <w:t>氨氮：0~100mg/L可调；pH：0～14；T：-20</w:t>
      </w:r>
      <w:r>
        <w:rPr>
          <w:rFonts w:hint="eastAsia" w:ascii="宋体" w:hAnsi="宋体" w:cs="宋体"/>
          <w:szCs w:val="24"/>
        </w:rPr>
        <w:sym w:font="Symbol" w:char="F0B0"/>
      </w:r>
      <w:r>
        <w:rPr>
          <w:rFonts w:hint="eastAsia" w:ascii="宋体" w:hAnsi="宋体" w:cs="宋体"/>
          <w:szCs w:val="24"/>
        </w:rPr>
        <w:t>C～100</w:t>
      </w:r>
      <w:r>
        <w:rPr>
          <w:rFonts w:hint="eastAsia" w:ascii="宋体" w:hAnsi="宋体" w:cs="宋体"/>
          <w:szCs w:val="24"/>
        </w:rPr>
        <w:sym w:font="Symbol" w:char="F0B0"/>
      </w:r>
      <w:r>
        <w:rPr>
          <w:rFonts w:hint="eastAsia" w:ascii="宋体" w:hAnsi="宋体" w:cs="宋体"/>
          <w:szCs w:val="24"/>
        </w:rPr>
        <w:t>C；</w:t>
      </w:r>
    </w:p>
    <w:p>
      <w:pPr>
        <w:pStyle w:val="217"/>
        <w:ind w:firstLine="480"/>
        <w:rPr>
          <w:rFonts w:ascii="宋体" w:hAnsi="宋体" w:cs="宋体"/>
          <w:szCs w:val="24"/>
        </w:rPr>
      </w:pPr>
      <w:r>
        <w:rPr>
          <w:rFonts w:hint="eastAsia" w:ascii="宋体" w:hAnsi="宋体" w:cs="宋体"/>
          <w:szCs w:val="24"/>
        </w:rPr>
        <w:t>5） 精度：氨氮：</w:t>
      </w:r>
    </w:p>
    <w:p>
      <w:pPr>
        <w:pStyle w:val="217"/>
        <w:ind w:firstLine="480"/>
        <w:rPr>
          <w:rFonts w:ascii="宋体" w:hAnsi="宋体" w:cs="宋体"/>
          <w:szCs w:val="24"/>
        </w:rPr>
      </w:pPr>
      <w:r>
        <w:rPr>
          <w:rFonts w:hint="eastAsia" w:ascii="宋体" w:hAnsi="宋体" w:cs="宋体"/>
          <w:szCs w:val="24"/>
        </w:rPr>
        <w:t>氨氮：显示值的± 2% + 0.05 mg/l (ppm) NH4-N</w:t>
      </w:r>
    </w:p>
    <w:p>
      <w:pPr>
        <w:pStyle w:val="217"/>
        <w:ind w:firstLine="480"/>
        <w:rPr>
          <w:rFonts w:ascii="宋体" w:hAnsi="宋体" w:cs="宋体"/>
          <w:szCs w:val="24"/>
        </w:rPr>
      </w:pPr>
      <w:r>
        <w:rPr>
          <w:rFonts w:hint="eastAsia" w:ascii="宋体" w:hAnsi="宋体" w:cs="宋体"/>
          <w:szCs w:val="24"/>
        </w:rPr>
        <w:t>pH/T：≤0.1%Fs</w:t>
      </w:r>
    </w:p>
    <w:p>
      <w:pPr>
        <w:pStyle w:val="217"/>
        <w:ind w:firstLine="480"/>
        <w:rPr>
          <w:rFonts w:ascii="宋体" w:hAnsi="宋体" w:cs="宋体"/>
          <w:szCs w:val="24"/>
        </w:rPr>
      </w:pPr>
      <w:r>
        <w:rPr>
          <w:rFonts w:hint="eastAsia" w:ascii="宋体" w:hAnsi="宋体" w:cs="宋体"/>
          <w:szCs w:val="24"/>
        </w:rPr>
        <w:t>6）重复性：</w:t>
      </w:r>
    </w:p>
    <w:p>
      <w:pPr>
        <w:pStyle w:val="217"/>
        <w:ind w:firstLine="480"/>
        <w:rPr>
          <w:rFonts w:ascii="宋体" w:hAnsi="宋体" w:cs="宋体"/>
          <w:szCs w:val="24"/>
        </w:rPr>
      </w:pPr>
      <w:r>
        <w:rPr>
          <w:rFonts w:hint="eastAsia" w:ascii="宋体" w:hAnsi="宋体" w:cs="宋体"/>
          <w:szCs w:val="24"/>
        </w:rPr>
        <w:t>氨氮：显示值的± 2% + 0.05 mg/l (ppm) NH4-N</w:t>
      </w:r>
    </w:p>
    <w:p>
      <w:pPr>
        <w:pStyle w:val="217"/>
        <w:ind w:firstLine="480"/>
        <w:rPr>
          <w:rFonts w:ascii="宋体" w:hAnsi="宋体" w:cs="宋体"/>
          <w:szCs w:val="24"/>
        </w:rPr>
      </w:pPr>
      <w:r>
        <w:rPr>
          <w:rFonts w:hint="eastAsia" w:ascii="宋体" w:hAnsi="宋体" w:cs="宋体"/>
          <w:szCs w:val="24"/>
        </w:rPr>
        <w:t>7） ★输出：4路4~20mA；及MODBUS485通信</w:t>
      </w:r>
    </w:p>
    <w:p>
      <w:pPr>
        <w:pStyle w:val="217"/>
        <w:ind w:firstLine="480"/>
        <w:rPr>
          <w:rFonts w:ascii="宋体" w:hAnsi="宋体" w:cs="宋体"/>
          <w:szCs w:val="24"/>
        </w:rPr>
      </w:pPr>
      <w:r>
        <w:rPr>
          <w:rFonts w:hint="eastAsia" w:ascii="宋体" w:hAnsi="宋体" w:cs="宋体"/>
          <w:szCs w:val="24"/>
        </w:rPr>
        <w:t>8） 测量间隔：大于15分钟随意可调</w:t>
      </w:r>
    </w:p>
    <w:p>
      <w:pPr>
        <w:pStyle w:val="217"/>
        <w:ind w:firstLine="480"/>
        <w:rPr>
          <w:rFonts w:ascii="宋体" w:hAnsi="宋体" w:cs="宋体"/>
          <w:szCs w:val="24"/>
        </w:rPr>
      </w:pPr>
      <w:r>
        <w:rPr>
          <w:rFonts w:hint="eastAsia" w:ascii="宋体" w:hAnsi="宋体" w:cs="宋体"/>
          <w:szCs w:val="24"/>
        </w:rPr>
        <w:t xml:space="preserve">9） 供电：220VAC </w:t>
      </w:r>
    </w:p>
    <w:p>
      <w:pPr>
        <w:pStyle w:val="217"/>
        <w:ind w:firstLine="480"/>
        <w:rPr>
          <w:rFonts w:ascii="宋体" w:hAnsi="宋体" w:cs="宋体"/>
          <w:szCs w:val="24"/>
        </w:rPr>
      </w:pPr>
      <w:r>
        <w:rPr>
          <w:rFonts w:hint="eastAsia" w:ascii="宋体" w:hAnsi="宋体" w:cs="宋体"/>
          <w:szCs w:val="24"/>
        </w:rPr>
        <w:t>10）环境温度：5－40</w:t>
      </w:r>
      <w:r>
        <w:rPr>
          <w:rFonts w:hint="eastAsia" w:ascii="宋体" w:hAnsi="宋体" w:cs="宋体"/>
          <w:szCs w:val="24"/>
        </w:rPr>
        <w:sym w:font="Symbol" w:char="F0B0"/>
      </w:r>
      <w:r>
        <w:rPr>
          <w:rFonts w:hint="eastAsia" w:ascii="宋体" w:hAnsi="宋体" w:cs="宋体"/>
          <w:szCs w:val="24"/>
        </w:rPr>
        <w:t>C</w:t>
      </w:r>
    </w:p>
    <w:p>
      <w:pPr>
        <w:spacing w:line="360" w:lineRule="auto"/>
        <w:ind w:firstLine="480" w:firstLineChars="200"/>
        <w:rPr>
          <w:rFonts w:ascii="宋体" w:hAnsi="宋体" w:cs="宋体"/>
          <w:sz w:val="24"/>
          <w:szCs w:val="24"/>
        </w:rPr>
      </w:pPr>
      <w:r>
        <w:rPr>
          <w:rFonts w:hint="eastAsia" w:ascii="宋体" w:hAnsi="宋体" w:cs="宋体"/>
          <w:sz w:val="24"/>
          <w:szCs w:val="24"/>
        </w:rPr>
        <w:t>11）★变送器：220VAC 50/60Hz ；通用型变送器；可编程，靠飞梭旋钮和按键完成操作，可接受传感器上传的数字信号；</w:t>
      </w:r>
    </w:p>
    <w:p>
      <w:pPr>
        <w:spacing w:line="360" w:lineRule="auto"/>
        <w:ind w:firstLine="480" w:firstLineChars="200"/>
        <w:rPr>
          <w:rFonts w:ascii="宋体" w:hAnsi="宋体" w:cs="宋体"/>
          <w:sz w:val="24"/>
          <w:szCs w:val="24"/>
        </w:rPr>
      </w:pPr>
      <w:r>
        <w:rPr>
          <w:rFonts w:hint="eastAsia" w:ascii="宋体" w:hAnsi="宋体" w:cs="宋体"/>
          <w:sz w:val="24"/>
          <w:szCs w:val="24"/>
        </w:rPr>
        <w:t>12）★pH/T探头：防护等级IP68，Memosens智能数字电极，电极自带智能芯片并可存储日常的标定数据，传输数字信号，电极与专用电缆间无金属触点连接，可试验室预标定，探头自带电缆应大于5米</w:t>
      </w:r>
    </w:p>
    <w:p>
      <w:pPr>
        <w:spacing w:line="360" w:lineRule="auto"/>
        <w:ind w:firstLine="480" w:firstLineChars="200"/>
        <w:rPr>
          <w:rFonts w:ascii="宋体" w:hAnsi="宋体" w:cs="宋体"/>
          <w:sz w:val="24"/>
          <w:szCs w:val="24"/>
        </w:rPr>
      </w:pPr>
      <w:r>
        <w:rPr>
          <w:rFonts w:hint="eastAsia" w:ascii="宋体" w:hAnsi="宋体" w:cs="宋体"/>
          <w:sz w:val="24"/>
          <w:szCs w:val="24"/>
        </w:rPr>
        <w:t>13）中文LCD大屏图形显示，能同时显示氨氮、pH、温度</w:t>
      </w:r>
    </w:p>
    <w:p>
      <w:pPr>
        <w:spacing w:line="360" w:lineRule="auto"/>
        <w:ind w:firstLine="480" w:firstLineChars="200"/>
        <w:rPr>
          <w:rFonts w:ascii="宋体" w:hAnsi="宋体" w:cs="宋体"/>
          <w:sz w:val="24"/>
          <w:szCs w:val="24"/>
        </w:rPr>
      </w:pPr>
      <w:r>
        <w:rPr>
          <w:rFonts w:hint="eastAsia" w:ascii="宋体" w:hAnsi="宋体" w:cs="宋体"/>
          <w:sz w:val="24"/>
          <w:szCs w:val="24"/>
        </w:rPr>
        <w:t>14）内置标样核查功能，并能根据核查结果自动完成校准和复核。</w:t>
      </w:r>
    </w:p>
    <w:p>
      <w:pPr>
        <w:spacing w:line="360" w:lineRule="auto"/>
        <w:ind w:firstLine="480" w:firstLineChars="200"/>
        <w:rPr>
          <w:rFonts w:ascii="宋体" w:hAnsi="宋体" w:cs="宋体"/>
          <w:sz w:val="24"/>
          <w:szCs w:val="24"/>
        </w:rPr>
      </w:pPr>
      <w:r>
        <w:rPr>
          <w:rFonts w:hint="eastAsia" w:ascii="宋体" w:hAnsi="宋体" w:cs="宋体"/>
          <w:sz w:val="24"/>
          <w:szCs w:val="24"/>
        </w:rPr>
        <w:t>15）每套设备配置要求：主机1套、所需的正常可使用3个月以上的配套试剂1批、一年维护包1套。</w:t>
      </w:r>
    </w:p>
    <w:bookmarkEnd w:id="185"/>
    <w:bookmarkEnd w:id="186"/>
    <w:bookmarkEnd w:id="187"/>
    <w:bookmarkEnd w:id="188"/>
    <w:bookmarkEnd w:id="189"/>
    <w:bookmarkEnd w:id="190"/>
    <w:p>
      <w:pPr>
        <w:pStyle w:val="217"/>
        <w:ind w:firstLine="482"/>
        <w:rPr>
          <w:rFonts w:ascii="宋体" w:hAnsi="宋体" w:cs="宋体"/>
          <w:b/>
          <w:bCs/>
          <w:szCs w:val="24"/>
        </w:rPr>
      </w:pPr>
      <w:r>
        <w:rPr>
          <w:rFonts w:hint="eastAsia" w:ascii="宋体" w:hAnsi="宋体" w:cs="宋体"/>
          <w:b/>
          <w:bCs/>
          <w:szCs w:val="24"/>
        </w:rPr>
        <w:t>2、在线总磷分析仪</w:t>
      </w:r>
    </w:p>
    <w:p>
      <w:pPr>
        <w:pStyle w:val="217"/>
        <w:ind w:firstLine="480"/>
        <w:rPr>
          <w:rFonts w:ascii="宋体" w:hAnsi="宋体" w:cs="宋体"/>
          <w:szCs w:val="24"/>
        </w:rPr>
      </w:pPr>
      <w:r>
        <w:rPr>
          <w:rFonts w:hint="eastAsia" w:ascii="宋体" w:hAnsi="宋体" w:cs="宋体"/>
          <w:szCs w:val="24"/>
        </w:rPr>
        <w:t>1） 安装位置：</w:t>
      </w:r>
    </w:p>
    <w:p>
      <w:pPr>
        <w:pStyle w:val="217"/>
        <w:ind w:firstLine="480"/>
        <w:rPr>
          <w:rFonts w:ascii="宋体" w:hAnsi="宋体" w:cs="宋体"/>
          <w:szCs w:val="24"/>
        </w:rPr>
      </w:pPr>
      <w:r>
        <w:rPr>
          <w:rFonts w:hint="eastAsia" w:ascii="宋体" w:hAnsi="宋体" w:cs="宋体"/>
          <w:szCs w:val="24"/>
        </w:rPr>
        <w:t>2） 形式：整套测量系统包括：分析仪主机，试剂、标液和清洗液；独立的原厂预处理装置。</w:t>
      </w:r>
    </w:p>
    <w:p>
      <w:pPr>
        <w:pStyle w:val="217"/>
        <w:ind w:firstLine="480"/>
        <w:rPr>
          <w:rFonts w:ascii="宋体" w:hAnsi="宋体" w:cs="宋体"/>
          <w:szCs w:val="24"/>
        </w:rPr>
      </w:pPr>
      <w:r>
        <w:rPr>
          <w:rFonts w:hint="eastAsia" w:ascii="宋体" w:hAnsi="宋体" w:cs="宋体"/>
          <w:szCs w:val="24"/>
        </w:rPr>
        <w:t>3）★ 工作原理：</w:t>
      </w:r>
    </w:p>
    <w:p>
      <w:pPr>
        <w:pStyle w:val="217"/>
        <w:ind w:firstLine="480"/>
        <w:rPr>
          <w:rFonts w:ascii="宋体" w:hAnsi="宋体" w:cs="宋体"/>
          <w:szCs w:val="24"/>
        </w:rPr>
      </w:pPr>
      <w:r>
        <w:rPr>
          <w:rFonts w:hint="eastAsia" w:ascii="宋体" w:hAnsi="宋体" w:cs="宋体"/>
          <w:szCs w:val="24"/>
        </w:rPr>
        <w:t>总磷：</w:t>
      </w:r>
      <w:r>
        <w:rPr>
          <w:rFonts w:ascii="宋体" w:hAnsi="宋体" w:cs="宋体"/>
          <w:szCs w:val="24"/>
        </w:rPr>
        <w:t>国标比色法</w:t>
      </w:r>
    </w:p>
    <w:p>
      <w:pPr>
        <w:pStyle w:val="217"/>
        <w:ind w:firstLine="480"/>
        <w:rPr>
          <w:rFonts w:ascii="宋体" w:hAnsi="宋体" w:cs="宋体"/>
          <w:szCs w:val="24"/>
        </w:rPr>
      </w:pPr>
      <w:r>
        <w:rPr>
          <w:rFonts w:hint="eastAsia" w:ascii="宋体" w:hAnsi="宋体" w:cs="宋体"/>
          <w:szCs w:val="24"/>
        </w:rPr>
        <w:t>4） 测量范围：</w:t>
      </w:r>
    </w:p>
    <w:p>
      <w:pPr>
        <w:pStyle w:val="217"/>
        <w:ind w:firstLine="480"/>
        <w:rPr>
          <w:rFonts w:ascii="宋体" w:hAnsi="宋体" w:cs="宋体"/>
          <w:szCs w:val="24"/>
        </w:rPr>
      </w:pPr>
      <w:r>
        <w:rPr>
          <w:rFonts w:hint="eastAsia" w:ascii="宋体" w:hAnsi="宋体" w:cs="宋体"/>
          <w:szCs w:val="24"/>
        </w:rPr>
        <w:t>总磷：0~20mg/L；</w:t>
      </w:r>
    </w:p>
    <w:p>
      <w:pPr>
        <w:pStyle w:val="217"/>
        <w:ind w:firstLine="480"/>
        <w:rPr>
          <w:rFonts w:ascii="宋体" w:hAnsi="宋体" w:cs="宋体"/>
          <w:szCs w:val="24"/>
        </w:rPr>
      </w:pPr>
      <w:r>
        <w:rPr>
          <w:rFonts w:hint="eastAsia" w:ascii="宋体" w:hAnsi="宋体" w:cs="宋体"/>
          <w:szCs w:val="24"/>
        </w:rPr>
        <w:t>5） 精度：总磷：测量值的±3%；</w:t>
      </w:r>
    </w:p>
    <w:p>
      <w:pPr>
        <w:pStyle w:val="217"/>
        <w:ind w:firstLine="480"/>
        <w:rPr>
          <w:rFonts w:ascii="宋体" w:hAnsi="宋体" w:cs="宋体"/>
          <w:szCs w:val="24"/>
        </w:rPr>
      </w:pPr>
      <w:r>
        <w:rPr>
          <w:rFonts w:hint="eastAsia" w:ascii="宋体" w:hAnsi="宋体" w:cs="宋体"/>
          <w:szCs w:val="24"/>
        </w:rPr>
        <w:t>6）重复性：</w:t>
      </w:r>
    </w:p>
    <w:p>
      <w:pPr>
        <w:pStyle w:val="217"/>
        <w:ind w:firstLine="480"/>
        <w:rPr>
          <w:rFonts w:ascii="宋体" w:hAnsi="宋体" w:cs="宋体"/>
          <w:szCs w:val="24"/>
        </w:rPr>
      </w:pPr>
      <w:r>
        <w:rPr>
          <w:rFonts w:hint="eastAsia" w:ascii="宋体" w:hAnsi="宋体" w:cs="宋体"/>
          <w:szCs w:val="24"/>
        </w:rPr>
        <w:t>总磷测量值的± 2% + 0.01 mg/l (ppm) P</w:t>
      </w:r>
    </w:p>
    <w:p>
      <w:pPr>
        <w:pStyle w:val="217"/>
        <w:ind w:firstLine="480"/>
        <w:rPr>
          <w:rFonts w:ascii="宋体" w:hAnsi="宋体" w:cs="宋体"/>
          <w:szCs w:val="24"/>
        </w:rPr>
      </w:pPr>
      <w:r>
        <w:rPr>
          <w:rFonts w:hint="eastAsia" w:ascii="宋体" w:hAnsi="宋体" w:cs="宋体"/>
          <w:szCs w:val="24"/>
        </w:rPr>
        <w:t>DO：测量值±0.5%</w:t>
      </w:r>
    </w:p>
    <w:p>
      <w:pPr>
        <w:pStyle w:val="217"/>
        <w:ind w:firstLine="480"/>
        <w:rPr>
          <w:rFonts w:ascii="宋体" w:hAnsi="宋体" w:cs="宋体"/>
          <w:szCs w:val="24"/>
        </w:rPr>
      </w:pPr>
      <w:r>
        <w:rPr>
          <w:rFonts w:hint="eastAsia" w:ascii="宋体" w:hAnsi="宋体" w:cs="宋体"/>
          <w:szCs w:val="24"/>
        </w:rPr>
        <w:t>7） 输出： MODBUS485通信以及2路4-20mA输出</w:t>
      </w:r>
    </w:p>
    <w:p>
      <w:pPr>
        <w:pStyle w:val="217"/>
        <w:ind w:firstLine="480"/>
        <w:rPr>
          <w:rFonts w:ascii="宋体" w:hAnsi="宋体" w:cs="宋体"/>
          <w:szCs w:val="24"/>
        </w:rPr>
      </w:pPr>
      <w:r>
        <w:rPr>
          <w:rFonts w:hint="eastAsia" w:ascii="宋体" w:hAnsi="宋体" w:cs="宋体"/>
          <w:szCs w:val="24"/>
        </w:rPr>
        <w:t>8） 测量间隔：★满足生态环境部技术规范要求不超过一小时；连续测量(约 30 min，1 min 消解时间，可设置，33 min...24 h)</w:t>
      </w:r>
    </w:p>
    <w:p>
      <w:pPr>
        <w:pStyle w:val="217"/>
        <w:ind w:firstLine="480"/>
        <w:rPr>
          <w:rFonts w:ascii="宋体" w:hAnsi="宋体" w:cs="宋体"/>
          <w:szCs w:val="24"/>
        </w:rPr>
      </w:pPr>
      <w:r>
        <w:rPr>
          <w:rFonts w:hint="eastAsia" w:ascii="宋体" w:hAnsi="宋体" w:cs="宋体"/>
          <w:szCs w:val="24"/>
        </w:rPr>
        <w:t xml:space="preserve">9） 供电：220VAC </w:t>
      </w:r>
    </w:p>
    <w:p>
      <w:pPr>
        <w:pStyle w:val="217"/>
        <w:ind w:firstLine="480"/>
        <w:rPr>
          <w:rFonts w:ascii="宋体" w:hAnsi="宋体" w:cs="宋体"/>
          <w:szCs w:val="24"/>
        </w:rPr>
      </w:pPr>
      <w:r>
        <w:rPr>
          <w:rFonts w:hint="eastAsia" w:ascii="宋体" w:hAnsi="宋体" w:cs="宋体"/>
          <w:szCs w:val="24"/>
        </w:rPr>
        <w:t>10）环境温度：5－40</w:t>
      </w:r>
      <w:r>
        <w:rPr>
          <w:rFonts w:hint="eastAsia" w:ascii="宋体" w:hAnsi="宋体" w:cs="宋体"/>
          <w:szCs w:val="24"/>
        </w:rPr>
        <w:sym w:font="Symbol" w:char="F0B0"/>
      </w:r>
      <w:r>
        <w:rPr>
          <w:rFonts w:hint="eastAsia" w:ascii="宋体" w:hAnsi="宋体" w:cs="宋体"/>
          <w:szCs w:val="24"/>
        </w:rPr>
        <w:t>C</w:t>
      </w:r>
    </w:p>
    <w:p>
      <w:pPr>
        <w:spacing w:line="360" w:lineRule="auto"/>
        <w:ind w:firstLine="480" w:firstLineChars="200"/>
        <w:rPr>
          <w:rFonts w:ascii="宋体" w:hAnsi="宋体" w:cs="宋体"/>
          <w:sz w:val="24"/>
          <w:szCs w:val="24"/>
        </w:rPr>
      </w:pPr>
      <w:r>
        <w:rPr>
          <w:rFonts w:hint="eastAsia" w:ascii="宋体" w:hAnsi="宋体" w:cs="宋体"/>
          <w:sz w:val="24"/>
          <w:szCs w:val="24"/>
        </w:rPr>
        <w:t>11）★变送器：220VAC 50/60Hz ；通用型变送器；可编程，靠飞梭旋钮和按键完成操作，可接受传感器上传的数字信号；</w:t>
      </w:r>
    </w:p>
    <w:p>
      <w:pPr>
        <w:spacing w:line="360" w:lineRule="auto"/>
        <w:ind w:firstLine="480" w:firstLineChars="200"/>
        <w:rPr>
          <w:rFonts w:ascii="宋体" w:hAnsi="宋体" w:cs="宋体"/>
          <w:sz w:val="24"/>
          <w:szCs w:val="24"/>
        </w:rPr>
      </w:pPr>
      <w:r>
        <w:rPr>
          <w:rFonts w:hint="eastAsia" w:ascii="宋体" w:hAnsi="宋体" w:cs="宋体"/>
          <w:sz w:val="24"/>
          <w:szCs w:val="24"/>
        </w:rPr>
        <w:t>12）中文LCD大屏图形显示，能同时显示总磷和溶解氧读数</w:t>
      </w:r>
    </w:p>
    <w:p>
      <w:pPr>
        <w:pStyle w:val="217"/>
        <w:ind w:firstLine="480"/>
        <w:rPr>
          <w:rFonts w:ascii="宋体" w:hAnsi="宋体" w:cs="宋体"/>
          <w:szCs w:val="24"/>
        </w:rPr>
      </w:pPr>
      <w:r>
        <w:rPr>
          <w:rFonts w:hint="eastAsia" w:ascii="宋体" w:hAnsi="宋体" w:cs="宋体"/>
          <w:szCs w:val="24"/>
        </w:rPr>
        <w:t>13）总磷标定：自动标定</w:t>
      </w:r>
    </w:p>
    <w:p>
      <w:pPr>
        <w:spacing w:line="360" w:lineRule="auto"/>
        <w:ind w:firstLine="480" w:firstLineChars="200"/>
        <w:rPr>
          <w:rFonts w:ascii="宋体" w:hAnsi="宋体" w:cs="宋体"/>
          <w:sz w:val="24"/>
          <w:szCs w:val="24"/>
        </w:rPr>
      </w:pPr>
      <w:r>
        <w:rPr>
          <w:rFonts w:hint="eastAsia" w:ascii="宋体" w:hAnsi="宋体" w:cs="宋体"/>
          <w:sz w:val="24"/>
          <w:szCs w:val="24"/>
        </w:rPr>
        <w:t>14）★总磷水样预处理系统：独立的拥有专利的原厂自抽取式预处理从外部容器中取样。</w:t>
      </w:r>
    </w:p>
    <w:p>
      <w:pPr>
        <w:spacing w:line="360" w:lineRule="auto"/>
        <w:ind w:firstLine="480" w:firstLineChars="200"/>
        <w:rPr>
          <w:rFonts w:ascii="宋体" w:hAnsi="宋体" w:cs="宋体"/>
          <w:sz w:val="24"/>
          <w:szCs w:val="24"/>
        </w:rPr>
      </w:pPr>
      <w:r>
        <w:rPr>
          <w:rFonts w:hint="eastAsia" w:ascii="宋体" w:hAnsi="宋体" w:cs="宋体"/>
          <w:sz w:val="24"/>
          <w:szCs w:val="24"/>
        </w:rPr>
        <w:t>15）内置标样核查功能，并能根据核查结果自动完成校准和复核。</w:t>
      </w:r>
    </w:p>
    <w:p>
      <w:pPr>
        <w:spacing w:line="360" w:lineRule="auto"/>
        <w:ind w:firstLine="480" w:firstLineChars="200"/>
        <w:rPr>
          <w:rFonts w:ascii="宋体" w:hAnsi="宋体" w:cs="宋体"/>
          <w:sz w:val="24"/>
          <w:szCs w:val="24"/>
        </w:rPr>
      </w:pPr>
      <w:r>
        <w:rPr>
          <w:rFonts w:hint="eastAsia" w:ascii="宋体" w:hAnsi="宋体" w:cs="宋体"/>
          <w:sz w:val="24"/>
          <w:szCs w:val="24"/>
        </w:rPr>
        <w:t>16）每套设备配置要求：主机1套、所需的正常可使用3个月以上的配套试剂1批、一年维护包1套。</w:t>
      </w:r>
    </w:p>
    <w:p>
      <w:pPr>
        <w:pStyle w:val="217"/>
        <w:ind w:firstLine="482"/>
        <w:rPr>
          <w:rFonts w:ascii="宋体" w:hAnsi="宋体" w:cs="宋体"/>
          <w:b/>
          <w:bCs/>
          <w:szCs w:val="24"/>
        </w:rPr>
      </w:pPr>
      <w:r>
        <w:rPr>
          <w:rFonts w:hint="eastAsia" w:ascii="宋体" w:hAnsi="宋体" w:cs="宋体"/>
          <w:b/>
          <w:bCs/>
          <w:szCs w:val="24"/>
        </w:rPr>
        <w:t>3、在线COD分析仪</w:t>
      </w:r>
    </w:p>
    <w:p>
      <w:pPr>
        <w:pStyle w:val="217"/>
        <w:ind w:firstLine="480"/>
        <w:rPr>
          <w:rFonts w:ascii="宋体" w:hAnsi="宋体" w:cs="宋体"/>
          <w:szCs w:val="24"/>
        </w:rPr>
      </w:pPr>
      <w:r>
        <w:rPr>
          <w:rFonts w:hint="eastAsia" w:ascii="宋体" w:hAnsi="宋体" w:cs="宋体"/>
          <w:szCs w:val="24"/>
        </w:rPr>
        <w:t>1） 安装位置：</w:t>
      </w:r>
    </w:p>
    <w:p>
      <w:pPr>
        <w:pStyle w:val="217"/>
        <w:ind w:firstLine="480"/>
        <w:rPr>
          <w:rFonts w:ascii="宋体" w:hAnsi="宋体" w:cs="宋体"/>
          <w:szCs w:val="24"/>
        </w:rPr>
      </w:pPr>
      <w:r>
        <w:rPr>
          <w:rFonts w:hint="eastAsia" w:ascii="宋体" w:hAnsi="宋体" w:cs="宋体"/>
          <w:szCs w:val="24"/>
        </w:rPr>
        <w:t>2） ★形式：由取样式在线COD分析仪带电导率探头组合而成</w:t>
      </w:r>
    </w:p>
    <w:p>
      <w:pPr>
        <w:pStyle w:val="217"/>
        <w:ind w:firstLine="480"/>
        <w:rPr>
          <w:rFonts w:ascii="宋体" w:hAnsi="宋体" w:cs="宋体"/>
          <w:szCs w:val="24"/>
        </w:rPr>
      </w:pPr>
      <w:r>
        <w:rPr>
          <w:rFonts w:hint="eastAsia" w:ascii="宋体" w:hAnsi="宋体" w:cs="宋体"/>
          <w:szCs w:val="24"/>
        </w:rPr>
        <w:t>3） ★工作原理：</w:t>
      </w:r>
    </w:p>
    <w:p>
      <w:pPr>
        <w:pStyle w:val="217"/>
        <w:ind w:firstLine="480"/>
        <w:rPr>
          <w:rFonts w:ascii="宋体" w:hAnsi="宋体" w:cs="宋体"/>
          <w:szCs w:val="24"/>
        </w:rPr>
      </w:pPr>
      <w:r>
        <w:rPr>
          <w:rFonts w:hint="eastAsia" w:ascii="宋体" w:hAnsi="宋体" w:cs="宋体"/>
          <w:szCs w:val="24"/>
        </w:rPr>
        <w:t>COD：采样式，</w:t>
      </w:r>
      <w:r>
        <w:rPr>
          <w:rFonts w:ascii="宋体" w:hAnsi="宋体" w:cs="宋体"/>
          <w:szCs w:val="24"/>
        </w:rPr>
        <w:t>国标重铬酸钾法</w:t>
      </w:r>
    </w:p>
    <w:p>
      <w:pPr>
        <w:pStyle w:val="217"/>
        <w:ind w:firstLine="480"/>
        <w:rPr>
          <w:rFonts w:ascii="宋体" w:hAnsi="宋体" w:cs="宋体"/>
          <w:szCs w:val="24"/>
        </w:rPr>
      </w:pPr>
      <w:r>
        <w:rPr>
          <w:rFonts w:hint="eastAsia" w:ascii="宋体" w:hAnsi="宋体" w:cs="宋体"/>
          <w:szCs w:val="24"/>
        </w:rPr>
        <w:t>浊度：传感器基于90°散射光原理工作，符合ISO 7027 标准，满足此标准的所有要求。</w:t>
      </w:r>
    </w:p>
    <w:p>
      <w:pPr>
        <w:pStyle w:val="217"/>
        <w:ind w:firstLine="480"/>
        <w:rPr>
          <w:rFonts w:ascii="宋体" w:hAnsi="宋体" w:cs="宋体"/>
          <w:szCs w:val="24"/>
        </w:rPr>
      </w:pPr>
      <w:r>
        <w:rPr>
          <w:rFonts w:hint="eastAsia" w:ascii="宋体" w:hAnsi="宋体" w:cs="宋体"/>
          <w:szCs w:val="24"/>
        </w:rPr>
        <w:t>4） 测量范围：</w:t>
      </w:r>
    </w:p>
    <w:p>
      <w:pPr>
        <w:pStyle w:val="217"/>
        <w:ind w:firstLine="468" w:firstLineChars="195"/>
        <w:rPr>
          <w:rFonts w:ascii="宋体" w:hAnsi="宋体" w:cs="宋体"/>
          <w:szCs w:val="24"/>
        </w:rPr>
      </w:pPr>
      <w:r>
        <w:rPr>
          <w:rFonts w:hint="eastAsia" w:ascii="宋体" w:hAnsi="宋体" w:cs="宋体"/>
          <w:szCs w:val="24"/>
        </w:rPr>
        <w:t>COD：</w:t>
      </w:r>
      <w:r>
        <w:rPr>
          <w:rFonts w:ascii="宋体" w:hAnsi="宋体" w:cs="宋体"/>
          <w:szCs w:val="24"/>
        </w:rPr>
        <w:t>0</w:t>
      </w:r>
      <w:r>
        <w:rPr>
          <w:rFonts w:hint="eastAsia" w:ascii="宋体" w:hAnsi="宋体" w:cs="宋体"/>
          <w:szCs w:val="24"/>
        </w:rPr>
        <w:t>~2000mg/L可调； 浊度：0.0015～4000FNU</w:t>
      </w:r>
    </w:p>
    <w:p>
      <w:pPr>
        <w:pStyle w:val="217"/>
        <w:ind w:firstLine="480"/>
        <w:rPr>
          <w:rFonts w:ascii="宋体" w:hAnsi="宋体" w:cs="宋体"/>
          <w:szCs w:val="24"/>
        </w:rPr>
      </w:pPr>
      <w:r>
        <w:rPr>
          <w:rFonts w:hint="eastAsia" w:ascii="宋体" w:hAnsi="宋体" w:cs="宋体"/>
          <w:szCs w:val="24"/>
        </w:rPr>
        <w:t>5） 精度：COD：±10%；浊度：</w:t>
      </w:r>
      <w:r>
        <w:rPr>
          <w:rFonts w:hint="eastAsia" w:ascii="宋体" w:hAnsi="宋体" w:cs="宋体"/>
          <w:kern w:val="0"/>
          <w:szCs w:val="24"/>
        </w:rPr>
        <w:t>&lt;测量值的2%或0.1FNU，取大者</w:t>
      </w:r>
    </w:p>
    <w:p>
      <w:pPr>
        <w:pStyle w:val="217"/>
        <w:ind w:firstLine="480"/>
        <w:rPr>
          <w:rFonts w:ascii="宋体" w:hAnsi="宋体" w:cs="宋体"/>
          <w:szCs w:val="24"/>
        </w:rPr>
      </w:pPr>
      <w:r>
        <w:rPr>
          <w:rFonts w:hint="eastAsia" w:ascii="宋体" w:hAnsi="宋体" w:cs="宋体"/>
          <w:szCs w:val="24"/>
        </w:rPr>
        <w:t>6）重复性：</w:t>
      </w:r>
    </w:p>
    <w:p>
      <w:pPr>
        <w:pStyle w:val="217"/>
        <w:ind w:firstLine="480"/>
        <w:rPr>
          <w:rFonts w:ascii="宋体" w:hAnsi="宋体" w:cs="宋体"/>
          <w:szCs w:val="24"/>
        </w:rPr>
      </w:pPr>
      <w:r>
        <w:rPr>
          <w:rFonts w:hint="eastAsia" w:ascii="宋体" w:hAnsi="宋体" w:cs="宋体"/>
          <w:szCs w:val="24"/>
        </w:rPr>
        <w:t>COD：测量值的± 5%；浊度：&lt; 测量值的0.5 %</w:t>
      </w:r>
    </w:p>
    <w:p>
      <w:pPr>
        <w:pStyle w:val="217"/>
        <w:ind w:firstLine="480"/>
        <w:rPr>
          <w:rFonts w:ascii="宋体" w:hAnsi="宋体" w:cs="宋体"/>
          <w:szCs w:val="24"/>
        </w:rPr>
      </w:pPr>
      <w:r>
        <w:rPr>
          <w:rFonts w:hint="eastAsia" w:ascii="宋体" w:hAnsi="宋体" w:cs="宋体"/>
          <w:szCs w:val="24"/>
        </w:rPr>
        <w:t>7） 输出： MODBUS485通信以及2路4-20mA输出</w:t>
      </w:r>
    </w:p>
    <w:p>
      <w:pPr>
        <w:pStyle w:val="217"/>
        <w:ind w:firstLine="480"/>
        <w:rPr>
          <w:rFonts w:ascii="宋体" w:hAnsi="宋体" w:cs="宋体"/>
          <w:szCs w:val="24"/>
        </w:rPr>
      </w:pPr>
      <w:r>
        <w:rPr>
          <w:rFonts w:hint="eastAsia" w:ascii="宋体" w:hAnsi="宋体" w:cs="宋体"/>
          <w:szCs w:val="24"/>
        </w:rPr>
        <w:t>8） 测量间隔：COD：连续测量(约 55min，可设置，30 min...24 h)</w:t>
      </w:r>
    </w:p>
    <w:p>
      <w:pPr>
        <w:pStyle w:val="217"/>
        <w:ind w:firstLine="480"/>
        <w:rPr>
          <w:rFonts w:ascii="宋体" w:hAnsi="宋体" w:cs="宋体"/>
          <w:szCs w:val="24"/>
        </w:rPr>
      </w:pPr>
      <w:r>
        <w:rPr>
          <w:rFonts w:hint="eastAsia" w:ascii="宋体" w:hAnsi="宋体" w:cs="宋体"/>
          <w:szCs w:val="24"/>
        </w:rPr>
        <w:t xml:space="preserve">9） 供电：220VAC </w:t>
      </w:r>
    </w:p>
    <w:p>
      <w:pPr>
        <w:pStyle w:val="217"/>
        <w:ind w:firstLine="480"/>
        <w:rPr>
          <w:rFonts w:ascii="宋体" w:hAnsi="宋体" w:cs="宋体"/>
          <w:szCs w:val="24"/>
        </w:rPr>
      </w:pPr>
      <w:r>
        <w:rPr>
          <w:rFonts w:hint="eastAsia" w:ascii="宋体" w:hAnsi="宋体" w:cs="宋体"/>
          <w:szCs w:val="24"/>
        </w:rPr>
        <w:t>10）环境温度：5－40</w:t>
      </w:r>
      <w:r>
        <w:rPr>
          <w:rFonts w:hint="eastAsia" w:ascii="宋体" w:hAnsi="宋体" w:cs="宋体"/>
          <w:szCs w:val="24"/>
        </w:rPr>
        <w:sym w:font="Symbol" w:char="F0B0"/>
      </w:r>
      <w:r>
        <w:rPr>
          <w:rFonts w:hint="eastAsia" w:ascii="宋体" w:hAnsi="宋体" w:cs="宋体"/>
          <w:szCs w:val="24"/>
        </w:rPr>
        <w:t>C</w:t>
      </w:r>
    </w:p>
    <w:p>
      <w:pPr>
        <w:spacing w:line="360" w:lineRule="auto"/>
        <w:ind w:firstLine="480" w:firstLineChars="200"/>
        <w:rPr>
          <w:rFonts w:ascii="宋体" w:hAnsi="宋体" w:cs="宋体"/>
          <w:sz w:val="24"/>
          <w:szCs w:val="24"/>
        </w:rPr>
      </w:pPr>
      <w:r>
        <w:rPr>
          <w:rFonts w:hint="eastAsia" w:ascii="宋体" w:hAnsi="宋体" w:cs="宋体"/>
          <w:sz w:val="24"/>
          <w:szCs w:val="24"/>
        </w:rPr>
        <w:t>11）★变送器：220VAC 50/60Hz ；通用型变送器；可编程，靠飞梭旋钮和按键完成操作，可接受传感器上传的数字信号；</w:t>
      </w:r>
    </w:p>
    <w:p>
      <w:pPr>
        <w:spacing w:line="360" w:lineRule="auto"/>
        <w:ind w:firstLine="480" w:firstLineChars="200"/>
        <w:rPr>
          <w:rFonts w:ascii="宋体" w:hAnsi="宋体" w:cs="宋体"/>
          <w:sz w:val="24"/>
          <w:szCs w:val="24"/>
        </w:rPr>
      </w:pPr>
      <w:r>
        <w:rPr>
          <w:rFonts w:hint="eastAsia" w:ascii="宋体" w:hAnsi="宋体" w:cs="宋体"/>
          <w:sz w:val="24"/>
          <w:szCs w:val="24"/>
        </w:rPr>
        <w:t>12）★浊度探头：防护等级IP68，Memosens智能数字电极，电极自带智能芯片并可存储日常的标定数据，传输数字信号，可试验室预标定，探头自带电缆应大于5米</w:t>
      </w:r>
    </w:p>
    <w:p>
      <w:pPr>
        <w:spacing w:line="360" w:lineRule="auto"/>
        <w:ind w:firstLine="480" w:firstLineChars="200"/>
        <w:rPr>
          <w:rFonts w:ascii="宋体" w:hAnsi="宋体" w:cs="宋体"/>
          <w:sz w:val="24"/>
          <w:szCs w:val="24"/>
        </w:rPr>
      </w:pPr>
      <w:r>
        <w:rPr>
          <w:rFonts w:hint="eastAsia" w:ascii="宋体" w:hAnsi="宋体" w:cs="宋体"/>
          <w:sz w:val="24"/>
          <w:szCs w:val="24"/>
        </w:rPr>
        <w:t>13）中文LCD大屏图形显示，能同时显示COD和浊度读数</w:t>
      </w:r>
    </w:p>
    <w:p>
      <w:pPr>
        <w:pStyle w:val="217"/>
        <w:ind w:firstLine="480"/>
        <w:rPr>
          <w:rFonts w:ascii="宋体" w:hAnsi="宋体" w:cs="宋体"/>
          <w:szCs w:val="24"/>
        </w:rPr>
      </w:pPr>
      <w:r>
        <w:rPr>
          <w:rFonts w:hint="eastAsia" w:ascii="宋体" w:hAnsi="宋体" w:cs="宋体"/>
          <w:szCs w:val="24"/>
        </w:rPr>
        <w:t>14）COD标定：自动标定</w:t>
      </w:r>
    </w:p>
    <w:p>
      <w:pPr>
        <w:spacing w:line="360" w:lineRule="auto"/>
        <w:ind w:firstLine="480" w:firstLineChars="200"/>
        <w:rPr>
          <w:rFonts w:ascii="宋体" w:hAnsi="宋体" w:cs="宋体"/>
          <w:sz w:val="24"/>
          <w:szCs w:val="24"/>
        </w:rPr>
      </w:pPr>
      <w:r>
        <w:rPr>
          <w:rFonts w:hint="eastAsia" w:ascii="宋体" w:hAnsi="宋体" w:cs="宋体"/>
          <w:sz w:val="24"/>
          <w:szCs w:val="24"/>
        </w:rPr>
        <w:t>15）★COD水样预处理系统：独立的拥有专利的原厂自抽取式预处理从外部容器中取样；</w:t>
      </w:r>
    </w:p>
    <w:p>
      <w:pPr>
        <w:spacing w:line="360" w:lineRule="auto"/>
        <w:ind w:firstLine="480" w:firstLineChars="200"/>
        <w:rPr>
          <w:rFonts w:ascii="宋体" w:hAnsi="宋体" w:cs="宋体"/>
          <w:sz w:val="24"/>
          <w:szCs w:val="24"/>
        </w:rPr>
      </w:pPr>
      <w:r>
        <w:rPr>
          <w:rFonts w:hint="eastAsia" w:ascii="宋体" w:hAnsi="宋体" w:cs="宋体"/>
          <w:sz w:val="24"/>
          <w:szCs w:val="24"/>
        </w:rPr>
        <w:t>16）内置标样核查功能，并能根据核查结果自动完成校准和复核。</w:t>
      </w:r>
    </w:p>
    <w:p>
      <w:pPr>
        <w:spacing w:line="360" w:lineRule="auto"/>
        <w:ind w:firstLine="480" w:firstLineChars="200"/>
        <w:rPr>
          <w:rFonts w:ascii="宋体" w:hAnsi="宋体" w:cs="宋体"/>
          <w:sz w:val="24"/>
          <w:szCs w:val="24"/>
        </w:rPr>
      </w:pPr>
      <w:r>
        <w:rPr>
          <w:rFonts w:hint="eastAsia" w:ascii="宋体" w:hAnsi="宋体" w:cs="宋体"/>
          <w:sz w:val="24"/>
          <w:szCs w:val="24"/>
        </w:rPr>
        <w:t>17）每套设备配置要求：主机1套、所需的正常可使用3个月以上的配套试剂1批、一年维护包1套。</w:t>
      </w:r>
    </w:p>
    <w:p>
      <w:pPr>
        <w:pStyle w:val="217"/>
        <w:ind w:firstLine="482"/>
        <w:rPr>
          <w:rFonts w:ascii="宋体" w:hAnsi="宋体" w:cs="宋体"/>
          <w:b/>
          <w:bCs/>
          <w:szCs w:val="24"/>
        </w:rPr>
      </w:pPr>
      <w:r>
        <w:rPr>
          <w:rFonts w:hint="eastAsia" w:ascii="宋体" w:hAnsi="宋体" w:cs="宋体"/>
          <w:b/>
          <w:bCs/>
          <w:szCs w:val="24"/>
        </w:rPr>
        <w:t>4、在线总氮分析仪</w:t>
      </w:r>
    </w:p>
    <w:p>
      <w:pPr>
        <w:pStyle w:val="217"/>
        <w:ind w:firstLine="480"/>
        <w:rPr>
          <w:rFonts w:ascii="宋体" w:hAnsi="宋体" w:cs="宋体"/>
          <w:szCs w:val="24"/>
        </w:rPr>
      </w:pPr>
      <w:r>
        <w:rPr>
          <w:rFonts w:hint="eastAsia" w:ascii="宋体" w:hAnsi="宋体" w:cs="宋体"/>
          <w:szCs w:val="24"/>
        </w:rPr>
        <w:t>1、安装位置</w:t>
      </w:r>
    </w:p>
    <w:p>
      <w:pPr>
        <w:pStyle w:val="217"/>
        <w:ind w:firstLine="480"/>
        <w:rPr>
          <w:rFonts w:ascii="宋体" w:hAnsi="宋体" w:cs="宋体"/>
          <w:szCs w:val="24"/>
        </w:rPr>
      </w:pPr>
      <w:r>
        <w:rPr>
          <w:rFonts w:hint="eastAsia" w:ascii="宋体" w:hAnsi="宋体" w:cs="宋体"/>
          <w:szCs w:val="24"/>
        </w:rPr>
        <w:t>2、产品适用：适用于污染源污水排口的水质参数总氮在线监测。</w:t>
      </w:r>
    </w:p>
    <w:p>
      <w:pPr>
        <w:pStyle w:val="217"/>
        <w:ind w:firstLine="480"/>
        <w:rPr>
          <w:rFonts w:ascii="宋体" w:hAnsi="宋体" w:cs="宋体"/>
          <w:szCs w:val="24"/>
        </w:rPr>
      </w:pPr>
      <w:r>
        <w:rPr>
          <w:rFonts w:hint="eastAsia" w:ascii="宋体" w:hAnsi="宋体" w:cs="宋体"/>
          <w:szCs w:val="24"/>
        </w:rPr>
        <w:t xml:space="preserve">3、符合国家标准： </w:t>
      </w:r>
    </w:p>
    <w:p>
      <w:pPr>
        <w:pStyle w:val="217"/>
        <w:ind w:firstLine="480"/>
        <w:rPr>
          <w:rFonts w:ascii="宋体" w:hAnsi="宋体" w:cs="宋体"/>
          <w:szCs w:val="24"/>
        </w:rPr>
      </w:pPr>
      <w:r>
        <w:rPr>
          <w:rFonts w:hint="eastAsia" w:ascii="宋体" w:hAnsi="宋体" w:cs="宋体"/>
          <w:szCs w:val="24"/>
        </w:rPr>
        <w:t>（HJ/T 102-2003） 总氮水质自动分析仪技术要求</w:t>
      </w:r>
    </w:p>
    <w:p>
      <w:pPr>
        <w:pStyle w:val="217"/>
        <w:ind w:firstLine="480"/>
        <w:rPr>
          <w:rFonts w:ascii="宋体" w:hAnsi="宋体" w:cs="宋体"/>
          <w:szCs w:val="24"/>
        </w:rPr>
      </w:pPr>
      <w:r>
        <w:rPr>
          <w:rFonts w:hint="eastAsia" w:ascii="宋体" w:hAnsi="宋体" w:cs="宋体"/>
          <w:szCs w:val="24"/>
        </w:rPr>
        <w:t>4、测量原理：</w:t>
      </w:r>
      <w:r>
        <w:rPr>
          <w:rFonts w:ascii="宋体" w:hAnsi="宋体" w:cs="宋体"/>
          <w:szCs w:val="24"/>
        </w:rPr>
        <w:t>国标比色法</w:t>
      </w:r>
      <w:r>
        <w:rPr>
          <w:rFonts w:hint="eastAsia" w:ascii="宋体" w:hAnsi="宋体" w:cs="宋体"/>
          <w:szCs w:val="24"/>
        </w:rPr>
        <w:t>；</w:t>
      </w:r>
    </w:p>
    <w:p>
      <w:pPr>
        <w:pStyle w:val="217"/>
        <w:ind w:firstLine="480"/>
        <w:rPr>
          <w:rFonts w:ascii="宋体" w:hAnsi="宋体" w:cs="宋体"/>
          <w:szCs w:val="24"/>
        </w:rPr>
      </w:pPr>
      <w:r>
        <w:rPr>
          <w:rFonts w:hint="eastAsia" w:ascii="宋体" w:hAnsi="宋体" w:cs="宋体"/>
          <w:szCs w:val="24"/>
        </w:rPr>
        <w:t>5、量  程：0~200mg/L 可调；</w:t>
      </w:r>
    </w:p>
    <w:p>
      <w:pPr>
        <w:pStyle w:val="217"/>
        <w:ind w:firstLine="480"/>
        <w:rPr>
          <w:rFonts w:ascii="宋体" w:hAnsi="宋体" w:cs="宋体"/>
          <w:szCs w:val="24"/>
        </w:rPr>
      </w:pPr>
      <w:r>
        <w:rPr>
          <w:rFonts w:hint="eastAsia" w:ascii="宋体" w:hAnsi="宋体" w:cs="宋体"/>
          <w:szCs w:val="24"/>
        </w:rPr>
        <w:t>6、测量精度：0.05～10 mg/L：± 0.05 mg/L或读数值的±5%；</w:t>
      </w:r>
    </w:p>
    <w:p>
      <w:pPr>
        <w:pStyle w:val="217"/>
        <w:ind w:firstLine="480"/>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 xml:space="preserve"> 0.5～50 mg/L ：± 0.5 mg/L或读数值的±5%；</w:t>
      </w:r>
    </w:p>
    <w:p>
      <w:pPr>
        <w:pStyle w:val="217"/>
        <w:ind w:firstLine="480"/>
        <w:rPr>
          <w:rFonts w:ascii="宋体" w:hAnsi="宋体" w:cs="宋体"/>
          <w:szCs w:val="24"/>
        </w:rPr>
      </w:pP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 xml:space="preserve"> 1～200 mg/L ：± 1 mg/L或读数值的±5%；</w:t>
      </w:r>
    </w:p>
    <w:p>
      <w:pPr>
        <w:pStyle w:val="217"/>
        <w:ind w:firstLine="480"/>
        <w:rPr>
          <w:rFonts w:ascii="宋体" w:hAnsi="宋体" w:cs="宋体"/>
          <w:szCs w:val="24"/>
        </w:rPr>
      </w:pPr>
      <w:r>
        <w:rPr>
          <w:rFonts w:hint="eastAsia" w:ascii="宋体" w:hAnsi="宋体" w:cs="宋体"/>
          <w:szCs w:val="24"/>
        </w:rPr>
        <w:t>7、检出限：0.05mg/L；</w:t>
      </w:r>
    </w:p>
    <w:p>
      <w:pPr>
        <w:pStyle w:val="217"/>
        <w:ind w:firstLine="480"/>
        <w:rPr>
          <w:rFonts w:ascii="宋体" w:hAnsi="宋体" w:cs="宋体"/>
          <w:szCs w:val="24"/>
        </w:rPr>
      </w:pPr>
      <w:r>
        <w:rPr>
          <w:rFonts w:hint="eastAsia" w:ascii="宋体" w:hAnsi="宋体" w:cs="宋体"/>
          <w:szCs w:val="24"/>
        </w:rPr>
        <w:t>8、消解温度：120℃</w:t>
      </w:r>
    </w:p>
    <w:p>
      <w:pPr>
        <w:pStyle w:val="217"/>
        <w:ind w:firstLine="480"/>
        <w:rPr>
          <w:rFonts w:ascii="宋体" w:hAnsi="宋体" w:cs="宋体"/>
          <w:szCs w:val="24"/>
        </w:rPr>
      </w:pPr>
      <w:r>
        <w:rPr>
          <w:rFonts w:hint="eastAsia" w:ascii="宋体" w:hAnsi="宋体" w:cs="宋体"/>
          <w:szCs w:val="24"/>
        </w:rPr>
        <w:t>9、消解时间：30分钟可调；</w:t>
      </w:r>
    </w:p>
    <w:p>
      <w:pPr>
        <w:pStyle w:val="217"/>
        <w:ind w:firstLine="480"/>
        <w:rPr>
          <w:rFonts w:ascii="宋体" w:hAnsi="宋体" w:cs="宋体"/>
          <w:szCs w:val="24"/>
        </w:rPr>
      </w:pPr>
      <w:r>
        <w:rPr>
          <w:rFonts w:hint="eastAsia" w:ascii="宋体" w:hAnsi="宋体" w:cs="宋体"/>
          <w:szCs w:val="24"/>
        </w:rPr>
        <w:t>10、测量间隔：★满足生态环境部技术规范要求不超过一小时；连续（约55分钟）；可以在55分钟到24小时之间设置；</w:t>
      </w:r>
    </w:p>
    <w:p>
      <w:pPr>
        <w:pStyle w:val="217"/>
        <w:ind w:firstLine="480"/>
        <w:rPr>
          <w:rFonts w:ascii="宋体" w:hAnsi="宋体" w:cs="宋体"/>
          <w:szCs w:val="24"/>
        </w:rPr>
      </w:pPr>
      <w:r>
        <w:rPr>
          <w:rFonts w:hint="eastAsia" w:ascii="宋体" w:hAnsi="宋体" w:cs="宋体"/>
          <w:szCs w:val="24"/>
        </w:rPr>
        <w:t>11、环境温湿度：环境温度5-40℃；环境湿度：10-95%，无冷凝；</w:t>
      </w:r>
    </w:p>
    <w:p>
      <w:pPr>
        <w:pStyle w:val="217"/>
        <w:ind w:firstLine="480"/>
        <w:rPr>
          <w:rFonts w:ascii="宋体" w:hAnsi="宋体" w:cs="宋体"/>
          <w:szCs w:val="24"/>
        </w:rPr>
      </w:pPr>
      <w:r>
        <w:rPr>
          <w:rFonts w:hint="eastAsia" w:ascii="宋体" w:hAnsi="宋体" w:cs="宋体"/>
          <w:szCs w:val="24"/>
        </w:rPr>
        <w:t>12、自动清洗：有</w:t>
      </w:r>
    </w:p>
    <w:p>
      <w:pPr>
        <w:pStyle w:val="217"/>
        <w:ind w:firstLine="480"/>
        <w:rPr>
          <w:rFonts w:ascii="宋体" w:hAnsi="宋体" w:cs="宋体"/>
          <w:szCs w:val="24"/>
        </w:rPr>
      </w:pPr>
      <w:r>
        <w:rPr>
          <w:rFonts w:hint="eastAsia" w:ascii="宋体" w:hAnsi="宋体" w:cs="宋体"/>
          <w:szCs w:val="24"/>
        </w:rPr>
        <w:t>13、模拟输出信号：4～20 mA(2路)，有源输出，电气隔离；数字通信：Modbus RS485，</w:t>
      </w:r>
    </w:p>
    <w:p>
      <w:pPr>
        <w:pStyle w:val="217"/>
        <w:ind w:firstLine="480"/>
        <w:rPr>
          <w:rFonts w:ascii="宋体" w:hAnsi="宋体" w:cs="宋体"/>
          <w:szCs w:val="24"/>
        </w:rPr>
      </w:pPr>
      <w:r>
        <w:rPr>
          <w:rFonts w:hint="eastAsia" w:ascii="宋体" w:hAnsi="宋体" w:cs="宋体"/>
          <w:szCs w:val="24"/>
        </w:rPr>
        <w:t>14、电源： 200-240VAC，50/60 Hz；</w:t>
      </w:r>
    </w:p>
    <w:p>
      <w:pPr>
        <w:spacing w:line="360" w:lineRule="auto"/>
        <w:ind w:firstLine="480" w:firstLineChars="200"/>
        <w:rPr>
          <w:rFonts w:ascii="宋体" w:hAnsi="宋体" w:cs="宋体"/>
          <w:sz w:val="24"/>
          <w:szCs w:val="24"/>
        </w:rPr>
      </w:pPr>
      <w:r>
        <w:rPr>
          <w:rFonts w:hint="eastAsia" w:ascii="宋体" w:hAnsi="宋体" w:cs="宋体"/>
          <w:sz w:val="24"/>
          <w:szCs w:val="24"/>
        </w:rPr>
        <w:t>15、内置标样核查功能，并能根据核查结果自动完成校准和复核。</w:t>
      </w:r>
    </w:p>
    <w:p>
      <w:pPr>
        <w:spacing w:line="360" w:lineRule="auto"/>
        <w:ind w:firstLine="480" w:firstLineChars="200"/>
        <w:rPr>
          <w:rFonts w:ascii="宋体" w:hAnsi="宋体" w:cs="宋体"/>
          <w:sz w:val="24"/>
          <w:szCs w:val="24"/>
        </w:rPr>
      </w:pPr>
      <w:r>
        <w:rPr>
          <w:rFonts w:hint="eastAsia" w:ascii="宋体" w:hAnsi="宋体" w:cs="宋体"/>
          <w:sz w:val="24"/>
          <w:szCs w:val="24"/>
        </w:rPr>
        <w:t>16、每套设备配置要求：主机1套、所需的正常可使用3个月以上的配套试剂1批、一年维护包1套。</w:t>
      </w:r>
    </w:p>
    <w:p>
      <w:pPr>
        <w:rPr>
          <w:rFonts w:ascii="宋体" w:hAnsi="宋体" w:cs="宋体"/>
          <w:bCs/>
          <w:sz w:val="24"/>
          <w:szCs w:val="24"/>
        </w:rPr>
      </w:pPr>
      <w:bookmarkStart w:id="191" w:name="_Toc377982356"/>
      <w:bookmarkStart w:id="192" w:name="_Toc417464203"/>
      <w:r>
        <w:rPr>
          <w:rFonts w:hint="eastAsia" w:ascii="宋体" w:hAnsi="宋体" w:cs="宋体"/>
          <w:bCs/>
          <w:sz w:val="22"/>
          <w:szCs w:val="22"/>
        </w:rPr>
        <w:t>（三）、</w:t>
      </w:r>
      <w:r>
        <w:rPr>
          <w:rFonts w:hint="eastAsia" w:ascii="宋体" w:hAnsi="宋体" w:cs="宋体"/>
          <w:b/>
          <w:sz w:val="24"/>
          <w:szCs w:val="24"/>
        </w:rPr>
        <w:t>商务</w:t>
      </w:r>
      <w:bookmarkEnd w:id="191"/>
      <w:bookmarkEnd w:id="192"/>
      <w:r>
        <w:rPr>
          <w:rFonts w:hint="eastAsia" w:ascii="宋体" w:hAnsi="宋体" w:cs="宋体"/>
          <w:b/>
          <w:sz w:val="24"/>
          <w:szCs w:val="24"/>
        </w:rPr>
        <w:t>条款</w:t>
      </w:r>
    </w:p>
    <w:p>
      <w:pPr>
        <w:spacing w:before="120" w:beforeLines="50" w:line="360" w:lineRule="auto"/>
        <w:rPr>
          <w:rFonts w:ascii="宋体" w:hAnsi="宋体" w:cs="宋体"/>
          <w:b/>
          <w:sz w:val="24"/>
          <w:szCs w:val="24"/>
        </w:rPr>
      </w:pPr>
      <w:r>
        <w:rPr>
          <w:rFonts w:hint="eastAsia" w:ascii="宋体" w:hAnsi="宋体" w:cs="宋体"/>
          <w:b/>
          <w:sz w:val="24"/>
          <w:szCs w:val="24"/>
        </w:rPr>
        <w:t>（1）计价方式：</w:t>
      </w:r>
    </w:p>
    <w:p>
      <w:pPr>
        <w:spacing w:line="360" w:lineRule="auto"/>
        <w:ind w:firstLine="480" w:firstLineChars="200"/>
        <w:rPr>
          <w:rFonts w:ascii="宋体" w:hAnsi="宋体" w:cs="宋体"/>
          <w:sz w:val="24"/>
          <w:szCs w:val="24"/>
        </w:rPr>
      </w:pPr>
      <w:r>
        <w:rPr>
          <w:rFonts w:hint="eastAsia" w:ascii="宋体" w:hAnsi="宋体" w:cs="宋体"/>
          <w:sz w:val="24"/>
          <w:szCs w:val="24"/>
        </w:rPr>
        <w:t>采购单价实行固定单价计价，即在本合同有效期内单价不变。</w:t>
      </w:r>
    </w:p>
    <w:p>
      <w:pPr>
        <w:spacing w:line="360" w:lineRule="auto"/>
        <w:rPr>
          <w:rFonts w:ascii="宋体" w:hAnsi="宋体" w:cs="宋体"/>
          <w:b/>
          <w:sz w:val="24"/>
          <w:szCs w:val="24"/>
        </w:rPr>
      </w:pPr>
      <w:r>
        <w:rPr>
          <w:rFonts w:hint="eastAsia" w:ascii="宋体" w:hAnsi="宋体" w:cs="宋体"/>
          <w:b/>
          <w:sz w:val="24"/>
          <w:szCs w:val="24"/>
        </w:rPr>
        <w:t>（2）质保期及售后服务：</w:t>
      </w:r>
    </w:p>
    <w:p>
      <w:pPr>
        <w:spacing w:line="360" w:lineRule="auto"/>
        <w:ind w:firstLine="480" w:firstLineChars="200"/>
        <w:rPr>
          <w:rFonts w:ascii="宋体" w:hAnsi="宋体" w:cs="宋体"/>
          <w:sz w:val="24"/>
          <w:szCs w:val="24"/>
        </w:rPr>
      </w:pPr>
      <w:r>
        <w:rPr>
          <w:rFonts w:hint="eastAsia" w:ascii="宋体" w:hAnsi="宋体" w:cs="宋体"/>
          <w:sz w:val="24"/>
          <w:szCs w:val="24"/>
        </w:rPr>
        <w:t>投标人须委派专业工程师提供所有投标产品的维修服务，并提供贰年的免费质保期及上门服务。质保期外，若货物存在不符合国家相关规定标准和行业质量规定标准的质量问题不受前述质保期限的限制，招标人可随时提出异议，中标人负责按本条的约定对相关质量问题负责。</w:t>
      </w:r>
    </w:p>
    <w:p>
      <w:pPr>
        <w:spacing w:line="360" w:lineRule="auto"/>
        <w:rPr>
          <w:rFonts w:ascii="宋体" w:hAnsi="宋体" w:cs="宋体"/>
          <w:sz w:val="24"/>
          <w:szCs w:val="24"/>
        </w:rPr>
      </w:pPr>
      <w:r>
        <w:rPr>
          <w:rFonts w:hint="eastAsia" w:ascii="宋体" w:hAnsi="宋体" w:cs="宋体"/>
          <w:b/>
          <w:sz w:val="24"/>
          <w:szCs w:val="24"/>
        </w:rPr>
        <w:t>（3）付款方式</w:t>
      </w:r>
    </w:p>
    <w:p>
      <w:pPr>
        <w:tabs>
          <w:tab w:val="left" w:pos="3626"/>
        </w:tabs>
        <w:spacing w:line="360" w:lineRule="auto"/>
        <w:ind w:firstLine="480" w:firstLineChars="200"/>
        <w:rPr>
          <w:rFonts w:ascii="宋体" w:hAnsi="宋体" w:cs="宋体"/>
          <w:spacing w:val="2"/>
          <w:position w:val="-3"/>
          <w:sz w:val="24"/>
          <w:szCs w:val="24"/>
        </w:rPr>
      </w:pPr>
      <w:r>
        <w:rPr>
          <w:rFonts w:hint="eastAsia" w:ascii="宋体" w:hAnsi="宋体" w:cs="宋体"/>
          <w:kern w:val="0"/>
          <w:sz w:val="24"/>
          <w:szCs w:val="24"/>
        </w:rPr>
        <w:t>本合同无预付款，全部设备及材料到场交付后且项目竣工验收合格支付至总价的97%，剩余3%在设备及材料质保期满24个月后一个月内一次性无息支付中标人扣除招标人代为维修发生的费用（如有）后的全部款项。</w:t>
      </w:r>
    </w:p>
    <w:p>
      <w:pPr>
        <w:spacing w:line="360" w:lineRule="auto"/>
        <w:rPr>
          <w:rFonts w:ascii="宋体" w:hAnsi="宋体" w:cs="宋体"/>
          <w:b/>
          <w:sz w:val="24"/>
          <w:szCs w:val="24"/>
        </w:rPr>
      </w:pPr>
      <w:r>
        <w:rPr>
          <w:rFonts w:hint="eastAsia" w:ascii="宋体" w:hAnsi="宋体" w:cs="宋体"/>
          <w:b/>
          <w:sz w:val="24"/>
          <w:szCs w:val="24"/>
        </w:rPr>
        <w:t>（4） 交货时间及地点</w:t>
      </w:r>
    </w:p>
    <w:p>
      <w:pPr>
        <w:spacing w:line="360" w:lineRule="auto"/>
        <w:rPr>
          <w:rFonts w:ascii="宋体" w:hAnsi="宋体" w:cs="宋体"/>
          <w:sz w:val="24"/>
          <w:szCs w:val="24"/>
        </w:rPr>
      </w:pPr>
      <w:r>
        <w:rPr>
          <w:rFonts w:hint="eastAsia" w:ascii="宋体" w:hAnsi="宋体" w:cs="宋体"/>
          <w:sz w:val="24"/>
          <w:szCs w:val="24"/>
        </w:rPr>
        <w:t xml:space="preserve">     交货时间：合同正式签订后</w:t>
      </w:r>
      <w:r>
        <w:rPr>
          <w:rFonts w:hint="eastAsia" w:ascii="宋体" w:hAnsi="宋体" w:cs="宋体"/>
          <w:kern w:val="0"/>
          <w:sz w:val="24"/>
          <w:szCs w:val="24"/>
        </w:rPr>
        <w:t>，所有货物在10日内到货，</w:t>
      </w:r>
      <w:r>
        <w:rPr>
          <w:rFonts w:hint="eastAsia" w:ascii="宋体" w:hAnsi="宋体" w:cs="宋体"/>
          <w:sz w:val="24"/>
          <w:szCs w:val="24"/>
        </w:rPr>
        <w:t>并调试完成。</w:t>
      </w:r>
    </w:p>
    <w:p>
      <w:pPr>
        <w:spacing w:line="360" w:lineRule="auto"/>
        <w:ind w:firstLine="600" w:firstLineChars="250"/>
        <w:rPr>
          <w:rFonts w:ascii="宋体" w:hAnsi="宋体" w:cs="宋体"/>
          <w:sz w:val="24"/>
          <w:szCs w:val="24"/>
        </w:rPr>
      </w:pPr>
      <w:r>
        <w:rPr>
          <w:rFonts w:hint="eastAsia" w:ascii="宋体" w:hAnsi="宋体" w:cs="宋体"/>
          <w:sz w:val="24"/>
          <w:szCs w:val="24"/>
        </w:rPr>
        <w:t>交货地点：丰城市循环园区吉岗岭污水处理厂。</w:t>
      </w:r>
    </w:p>
    <w:p>
      <w:pPr>
        <w:spacing w:line="360" w:lineRule="auto"/>
        <w:rPr>
          <w:rFonts w:ascii="宋体" w:hAnsi="宋体" w:cs="宋体"/>
          <w:b/>
          <w:sz w:val="24"/>
          <w:szCs w:val="24"/>
        </w:rPr>
      </w:pPr>
      <w:r>
        <w:rPr>
          <w:rFonts w:hint="eastAsia" w:ascii="宋体" w:hAnsi="宋体" w:cs="宋体"/>
          <w:b/>
          <w:sz w:val="24"/>
          <w:szCs w:val="24"/>
        </w:rPr>
        <w:t>（4）安装调试及货物验收</w:t>
      </w:r>
    </w:p>
    <w:p>
      <w:pPr>
        <w:spacing w:line="360" w:lineRule="auto"/>
        <w:ind w:firstLine="600" w:firstLineChars="250"/>
        <w:rPr>
          <w:rFonts w:ascii="宋体" w:hAnsi="宋体" w:cs="宋体"/>
          <w:sz w:val="24"/>
          <w:szCs w:val="24"/>
        </w:rPr>
      </w:pPr>
      <w:bookmarkStart w:id="193" w:name="_Toc262549615"/>
      <w:r>
        <w:rPr>
          <w:rFonts w:hint="eastAsia" w:ascii="宋体" w:hAnsi="宋体" w:cs="宋体"/>
          <w:sz w:val="24"/>
          <w:szCs w:val="24"/>
        </w:rPr>
        <w:t>（1）供应商提供的货物安装后在采购人指定的所在地验收，验收时供应商必须在场。设备按国家行业标准、招标文件、投标文件等有关内容进行验收；货物质量达到合同约定要求，各项指标符合技术参数；实行现场验收，采购人组成验收小组（业主、监理、总承包单位、运营单位等相关人员）按国家有关规定、规范进行验收，必要时邀请相关的专业人员或机构参与验收。验收不合格的不予签收，后果由供应商负责。</w:t>
      </w:r>
    </w:p>
    <w:p>
      <w:pPr>
        <w:spacing w:line="360" w:lineRule="auto"/>
        <w:ind w:firstLine="600" w:firstLineChars="250"/>
        <w:rPr>
          <w:rFonts w:ascii="宋体" w:hAnsi="宋体" w:cs="宋体"/>
          <w:sz w:val="24"/>
          <w:szCs w:val="24"/>
        </w:rPr>
      </w:pPr>
      <w:r>
        <w:rPr>
          <w:rFonts w:hint="eastAsia" w:ascii="宋体" w:hAnsi="宋体" w:cs="宋体"/>
          <w:sz w:val="24"/>
          <w:szCs w:val="24"/>
        </w:rPr>
        <w:t>（2）货物安装、调试过程中，供应商应作详细检验记录。安装调试检验结果应符合制造厂产品标准和招标文件的规定，检验记录应真实并提供给采购人。</w:t>
      </w:r>
    </w:p>
    <w:p>
      <w:pPr>
        <w:spacing w:line="360" w:lineRule="auto"/>
        <w:ind w:firstLine="600" w:firstLineChars="250"/>
        <w:rPr>
          <w:rFonts w:ascii="宋体" w:hAnsi="宋体" w:cs="宋体"/>
          <w:sz w:val="24"/>
          <w:szCs w:val="24"/>
        </w:rPr>
      </w:pPr>
      <w:r>
        <w:rPr>
          <w:rFonts w:hint="eastAsia" w:ascii="宋体" w:hAnsi="宋体" w:cs="宋体"/>
          <w:sz w:val="24"/>
          <w:szCs w:val="24"/>
        </w:rPr>
        <w:t>（3）供应商交货前应对货物作出全面检查，应整理列出货物清单、操作手册、使用说明书等随货物交采购人，作为采购人收货验收的依据。</w:t>
      </w:r>
    </w:p>
    <w:p>
      <w:pPr>
        <w:spacing w:line="360" w:lineRule="auto"/>
        <w:ind w:firstLine="600" w:firstLineChars="250"/>
        <w:rPr>
          <w:rFonts w:ascii="宋体" w:hAnsi="宋体" w:cs="宋体"/>
          <w:sz w:val="24"/>
          <w:szCs w:val="24"/>
        </w:rPr>
      </w:pPr>
      <w:r>
        <w:rPr>
          <w:rFonts w:hint="eastAsia" w:ascii="宋体" w:hAnsi="宋体" w:cs="宋体"/>
          <w:sz w:val="24"/>
          <w:szCs w:val="24"/>
        </w:rPr>
        <w:t>（4）采购人不再支付投标报价以外任何费用。</w:t>
      </w:r>
      <w:bookmarkEnd w:id="193"/>
    </w:p>
    <w:p>
      <w:pPr>
        <w:spacing w:line="360" w:lineRule="auto"/>
        <w:ind w:firstLine="600" w:firstLineChars="250"/>
        <w:rPr>
          <w:rFonts w:ascii="宋体" w:hAnsi="宋体" w:cs="宋体"/>
          <w:sz w:val="24"/>
          <w:szCs w:val="24"/>
        </w:rPr>
      </w:pPr>
      <w:r>
        <w:rPr>
          <w:rFonts w:hint="eastAsia" w:ascii="宋体" w:hAnsi="宋体" w:cs="宋体"/>
          <w:sz w:val="24"/>
          <w:szCs w:val="24"/>
        </w:rPr>
        <w:t>（5）质量验收：参照国家验收标准及招标人品质检验标准，提供产品合格证、出厂检验报告、第三方监督检测报告等。</w:t>
      </w:r>
    </w:p>
    <w:p>
      <w:pPr>
        <w:spacing w:line="360" w:lineRule="auto"/>
        <w:ind w:firstLine="600" w:firstLineChars="250"/>
        <w:rPr>
          <w:rFonts w:ascii="宋体" w:hAnsi="宋体" w:cs="宋体"/>
          <w:sz w:val="24"/>
          <w:szCs w:val="24"/>
        </w:rPr>
      </w:pPr>
      <w:r>
        <w:rPr>
          <w:rFonts w:hint="eastAsia" w:ascii="宋体" w:hAnsi="宋体" w:cs="宋体"/>
          <w:sz w:val="24"/>
          <w:szCs w:val="24"/>
        </w:rPr>
        <w:t>（6）中标人所交产品品种、型号、规格、质量不符合要求的，甲方有权不予接收，中标人应及时将不合格的产品运出施工现场，并承担给甲方造成的一切损失。</w:t>
      </w:r>
    </w:p>
    <w:p>
      <w:pPr>
        <w:spacing w:line="360" w:lineRule="auto"/>
        <w:ind w:firstLine="600" w:firstLineChars="250"/>
        <w:rPr>
          <w:rFonts w:ascii="宋体" w:hAnsi="宋体" w:cs="宋体"/>
          <w:sz w:val="24"/>
          <w:szCs w:val="24"/>
        </w:rPr>
      </w:pPr>
      <w:r>
        <w:rPr>
          <w:rFonts w:hint="eastAsia" w:ascii="宋体" w:hAnsi="宋体" w:cs="宋体"/>
          <w:sz w:val="24"/>
          <w:szCs w:val="24"/>
        </w:rPr>
        <w:t>（7）中标人逾期交货，招标人有权追偿相应的违约金，从逾期当日开始中标人每天按逾期交付部分金额5‰支付违约金，如果中标人给招标人造成的实际损失高于违约金，对高出违约金的部分中标人应予以赔偿。</w:t>
      </w:r>
    </w:p>
    <w:p>
      <w:pPr>
        <w:pStyle w:val="144"/>
        <w:spacing w:line="560" w:lineRule="exact"/>
        <w:rPr>
          <w:rFonts w:hAnsi="宋体"/>
          <w:b/>
          <w:color w:val="auto"/>
          <w:kern w:val="2"/>
        </w:rPr>
      </w:pPr>
      <w:r>
        <w:rPr>
          <w:rFonts w:hint="eastAsia" w:hAnsi="宋体"/>
          <w:b/>
          <w:color w:val="auto"/>
          <w:kern w:val="2"/>
        </w:rPr>
        <w:t xml:space="preserve">（5）安全要求 </w:t>
      </w:r>
    </w:p>
    <w:p>
      <w:pPr>
        <w:pStyle w:val="144"/>
        <w:spacing w:line="560" w:lineRule="exact"/>
        <w:rPr>
          <w:rFonts w:hAnsi="宋体"/>
          <w:color w:val="auto"/>
          <w:kern w:val="2"/>
        </w:rPr>
      </w:pPr>
      <w:r>
        <w:rPr>
          <w:rFonts w:hint="eastAsia" w:hAnsi="宋体"/>
          <w:color w:val="auto"/>
          <w:kern w:val="2"/>
        </w:rPr>
        <w:t>1、合同履行期间，中标人应当遵守国家和工程所在地及招标人有关安全生产的要求。</w:t>
      </w:r>
    </w:p>
    <w:p>
      <w:pPr>
        <w:pStyle w:val="144"/>
        <w:spacing w:line="560" w:lineRule="exact"/>
        <w:rPr>
          <w:rFonts w:hAnsi="宋体"/>
          <w:color w:val="auto"/>
          <w:kern w:val="2"/>
        </w:rPr>
      </w:pPr>
      <w:r>
        <w:rPr>
          <w:rFonts w:hint="eastAsia" w:hAnsi="宋体"/>
          <w:color w:val="auto"/>
          <w:kern w:val="2"/>
        </w:rPr>
        <w:t>2、中标人必须在安全施工范围内采取必要的安全防护措施，消除事故隐患。</w:t>
      </w:r>
    </w:p>
    <w:p>
      <w:pPr>
        <w:pStyle w:val="144"/>
        <w:spacing w:line="560" w:lineRule="exact"/>
        <w:rPr>
          <w:rFonts w:hAnsi="宋体"/>
          <w:color w:val="auto"/>
          <w:kern w:val="2"/>
        </w:rPr>
      </w:pPr>
      <w:r>
        <w:rPr>
          <w:rFonts w:hint="eastAsia" w:hAnsi="宋体"/>
          <w:color w:val="auto"/>
          <w:kern w:val="2"/>
        </w:rPr>
        <w:t>3、中标人必须加强施工现场安全管理，教育施工人员严格遵守操作规程，安全、文明施工、做好人身安全防护，确保施工人员和施工材料、设备的安全，如因中标人安全管理措施不力、违章施工，违反操作规程或者中标人施工人员的过错等因素造成事故的或致第三方伤害的，由此发生的费用和安全责任，由中标人全部承担，与招标人无关，若因此给招标人造成任何损失的，由中标人全额赔偿。</w:t>
      </w:r>
    </w:p>
    <w:p>
      <w:pPr>
        <w:pStyle w:val="144"/>
        <w:spacing w:line="560" w:lineRule="exact"/>
        <w:rPr>
          <w:rFonts w:hAnsi="宋体"/>
          <w:color w:val="auto"/>
          <w:kern w:val="2"/>
        </w:rPr>
      </w:pPr>
      <w:r>
        <w:rPr>
          <w:rFonts w:hint="eastAsia" w:hAnsi="宋体"/>
          <w:color w:val="auto"/>
          <w:kern w:val="2"/>
        </w:rPr>
        <w:t>4、中标人必须遵守招标人安全管理的相关规定，服从招标人统一管理，保证施工场地的清洁及施工期间施工现场的整洁，否则应当自行承担由此产生的全部损失和责任。</w:t>
      </w:r>
    </w:p>
    <w:p>
      <w:pPr>
        <w:pStyle w:val="144"/>
        <w:spacing w:line="560" w:lineRule="exact"/>
        <w:rPr>
          <w:rFonts w:hAnsi="宋体"/>
          <w:b/>
          <w:color w:val="auto"/>
          <w:kern w:val="2"/>
        </w:rPr>
      </w:pPr>
      <w:r>
        <w:rPr>
          <w:rFonts w:hint="eastAsia" w:hAnsi="宋体"/>
          <w:b/>
          <w:color w:val="auto"/>
          <w:kern w:val="2"/>
        </w:rPr>
        <w:t xml:space="preserve">（6）售后服务 </w:t>
      </w:r>
    </w:p>
    <w:p>
      <w:pPr>
        <w:pStyle w:val="144"/>
        <w:spacing w:line="560" w:lineRule="exact"/>
        <w:ind w:left="959" w:leftChars="228" w:hanging="480" w:hangingChars="200"/>
        <w:rPr>
          <w:rFonts w:hAnsi="宋体"/>
          <w:color w:val="auto"/>
          <w:kern w:val="2"/>
        </w:rPr>
      </w:pPr>
      <w:r>
        <w:rPr>
          <w:rFonts w:hint="eastAsia" w:hAnsi="宋体"/>
          <w:color w:val="auto"/>
          <w:kern w:val="2"/>
        </w:rPr>
        <w:t>1、提供免费服务电话，报修响应时间≤2小时，维修工程师到达现场时间≤24小时及全方位技术支持。</w:t>
      </w:r>
    </w:p>
    <w:p>
      <w:pPr>
        <w:pStyle w:val="144"/>
        <w:spacing w:line="560" w:lineRule="exact"/>
        <w:ind w:firstLine="480" w:firstLineChars="200"/>
        <w:rPr>
          <w:rFonts w:hAnsi="宋体"/>
          <w:color w:val="auto"/>
          <w:kern w:val="2"/>
        </w:rPr>
      </w:pPr>
      <w:r>
        <w:rPr>
          <w:rFonts w:hint="eastAsia" w:hAnsi="宋体"/>
          <w:color w:val="auto"/>
          <w:kern w:val="2"/>
        </w:rPr>
        <w:t>2、提供的货物须为全新且符合国家标准。</w:t>
      </w:r>
    </w:p>
    <w:p>
      <w:pPr>
        <w:pStyle w:val="144"/>
        <w:spacing w:line="560" w:lineRule="exact"/>
        <w:ind w:firstLine="480" w:firstLineChars="200"/>
        <w:rPr>
          <w:rFonts w:hAnsi="宋体"/>
          <w:color w:val="auto"/>
          <w:kern w:val="2"/>
        </w:rPr>
      </w:pPr>
      <w:r>
        <w:rPr>
          <w:rFonts w:hint="eastAsia" w:hAnsi="宋体"/>
          <w:color w:val="auto"/>
          <w:kern w:val="2"/>
        </w:rPr>
        <w:t xml:space="preserve">3、质保期内，所有货物维修均为免费，质保期满后，双方协议续保。续保费用不得高于正常维护费用。 </w:t>
      </w:r>
    </w:p>
    <w:p>
      <w:pPr>
        <w:pStyle w:val="144"/>
        <w:spacing w:line="560" w:lineRule="exact"/>
        <w:ind w:firstLine="480" w:firstLineChars="200"/>
        <w:rPr>
          <w:rFonts w:hAnsi="宋体"/>
          <w:color w:val="auto"/>
          <w:kern w:val="2"/>
        </w:rPr>
      </w:pPr>
      <w:r>
        <w:rPr>
          <w:rFonts w:hint="eastAsia" w:hAnsi="宋体"/>
          <w:color w:val="auto"/>
          <w:kern w:val="2"/>
        </w:rPr>
        <w:t xml:space="preserve">4、质保期内，所有设备维修服务均为上门服务，由此产生的费用均不得再额外收取。 </w:t>
      </w:r>
    </w:p>
    <w:p>
      <w:pPr>
        <w:pStyle w:val="144"/>
        <w:spacing w:line="560" w:lineRule="exact"/>
        <w:ind w:firstLine="480" w:firstLineChars="200"/>
        <w:rPr>
          <w:rFonts w:hAnsi="宋体"/>
          <w:color w:val="auto"/>
          <w:kern w:val="2"/>
        </w:rPr>
      </w:pPr>
      <w:r>
        <w:rPr>
          <w:rFonts w:hint="eastAsia" w:hAnsi="宋体"/>
          <w:color w:val="auto"/>
          <w:kern w:val="2"/>
        </w:rPr>
        <w:t>5、提供设备产品的中文技术资料及相应技术文档。</w:t>
      </w:r>
    </w:p>
    <w:p>
      <w:pPr>
        <w:pStyle w:val="144"/>
        <w:spacing w:line="560" w:lineRule="exact"/>
        <w:ind w:firstLine="480" w:firstLineChars="200"/>
        <w:rPr>
          <w:rFonts w:hAnsi="宋体"/>
          <w:color w:val="auto"/>
          <w:kern w:val="2"/>
        </w:rPr>
      </w:pPr>
      <w:r>
        <w:rPr>
          <w:rFonts w:hint="eastAsia" w:hAnsi="宋体"/>
          <w:color w:val="auto"/>
          <w:kern w:val="2"/>
        </w:rPr>
        <w:t>6、投标人投标文件承诺的其他售后服务。</w:t>
      </w:r>
    </w:p>
    <w:p>
      <w:pPr>
        <w:pStyle w:val="144"/>
        <w:spacing w:line="560" w:lineRule="exact"/>
        <w:ind w:firstLine="480" w:firstLineChars="200"/>
        <w:rPr>
          <w:rFonts w:hAnsi="宋体"/>
          <w:color w:val="auto"/>
          <w:kern w:val="2"/>
        </w:rPr>
      </w:pPr>
      <w:r>
        <w:rPr>
          <w:rFonts w:hint="eastAsia" w:hAnsi="宋体"/>
          <w:color w:val="auto"/>
          <w:kern w:val="2"/>
        </w:rPr>
        <w:t>7、投标人需提供主要设备生产厂家本项目的原厂售后服务承诺函。</w:t>
      </w:r>
    </w:p>
    <w:p>
      <w:pPr>
        <w:pStyle w:val="144"/>
        <w:spacing w:line="560" w:lineRule="exact"/>
        <w:rPr>
          <w:rFonts w:hAnsi="宋体"/>
          <w:color w:val="auto"/>
          <w:kern w:val="2"/>
        </w:rPr>
      </w:pPr>
      <w:r>
        <w:rPr>
          <w:rFonts w:hint="eastAsia" w:hAnsi="宋体"/>
          <w:b/>
          <w:color w:val="auto"/>
          <w:kern w:val="2"/>
        </w:rPr>
        <w:t>（7）其他要求</w:t>
      </w:r>
      <w:r>
        <w:rPr>
          <w:rFonts w:hint="eastAsia" w:hAnsi="宋体"/>
          <w:color w:val="auto"/>
          <w:kern w:val="2"/>
        </w:rPr>
        <w:t xml:space="preserve">： </w:t>
      </w:r>
    </w:p>
    <w:p>
      <w:pPr>
        <w:pStyle w:val="144"/>
        <w:spacing w:line="560" w:lineRule="exact"/>
        <w:ind w:firstLine="480" w:firstLineChars="200"/>
        <w:rPr>
          <w:rFonts w:hAnsi="宋体"/>
          <w:color w:val="auto"/>
          <w:kern w:val="2"/>
        </w:rPr>
      </w:pPr>
      <w:r>
        <w:rPr>
          <w:rFonts w:hint="eastAsia" w:hAnsi="宋体"/>
          <w:color w:val="auto"/>
          <w:kern w:val="2"/>
        </w:rPr>
        <w:t xml:space="preserve">1、所投产品必须符合招标文件要求，否则视为无效响应。 </w:t>
      </w:r>
    </w:p>
    <w:p>
      <w:pPr>
        <w:pStyle w:val="144"/>
        <w:spacing w:line="560" w:lineRule="exact"/>
        <w:ind w:firstLine="480" w:firstLineChars="200"/>
        <w:rPr>
          <w:rFonts w:hAnsi="宋体"/>
          <w:color w:val="auto"/>
          <w:kern w:val="2"/>
        </w:rPr>
      </w:pPr>
      <w:r>
        <w:rPr>
          <w:rFonts w:hint="eastAsia" w:hAnsi="宋体"/>
          <w:color w:val="auto"/>
          <w:kern w:val="2"/>
        </w:rPr>
        <w:t>2、招标文件要求的履约保证金、付款方式、质保期、交货期等条款必须完全满足，否则，视为无效响应。</w:t>
      </w:r>
    </w:p>
    <w:p>
      <w:pPr>
        <w:pStyle w:val="144"/>
        <w:spacing w:line="560" w:lineRule="exact"/>
        <w:ind w:firstLine="480" w:firstLineChars="200"/>
        <w:rPr>
          <w:rFonts w:hAnsi="宋体"/>
          <w:color w:val="auto"/>
          <w:kern w:val="2"/>
        </w:rPr>
      </w:pPr>
      <w:r>
        <w:rPr>
          <w:rFonts w:hint="eastAsia" w:hAnsi="宋体"/>
          <w:color w:val="auto"/>
          <w:kern w:val="2"/>
        </w:rPr>
        <w:t>3、所投产品若发生版权或专利权纠纷，由成交供应商承担一切责任。</w:t>
      </w:r>
    </w:p>
    <w:p>
      <w:pPr>
        <w:pStyle w:val="144"/>
        <w:spacing w:line="560" w:lineRule="exact"/>
        <w:ind w:firstLine="480" w:firstLineChars="200"/>
        <w:rPr>
          <w:rFonts w:hAnsi="宋体"/>
          <w:color w:val="auto"/>
          <w:kern w:val="2"/>
        </w:rPr>
      </w:pPr>
      <w:r>
        <w:rPr>
          <w:rFonts w:hint="eastAsia" w:hAnsi="宋体"/>
          <w:color w:val="auto"/>
          <w:kern w:val="2"/>
        </w:rPr>
        <w:t>4、</w:t>
      </w:r>
      <w:r>
        <w:rPr>
          <w:rFonts w:hint="eastAsia" w:hAnsi="宋体"/>
          <w:color w:val="auto"/>
        </w:rPr>
        <w:t>供货方独立负责系统第三方环保比对验收及环保平台接入并调试。</w:t>
      </w:r>
    </w:p>
    <w:p>
      <w:pPr>
        <w:rPr>
          <w:rFonts w:ascii="宋体" w:hAnsi="宋体" w:cs="宋体"/>
        </w:rPr>
      </w:pPr>
    </w:p>
    <w:p>
      <w:pPr>
        <w:ind w:firstLine="602" w:firstLineChars="250"/>
        <w:rPr>
          <w:rFonts w:ascii="宋体" w:hAnsi="宋体" w:cs="宋体"/>
          <w:b/>
          <w:bCs/>
        </w:rPr>
      </w:pPr>
      <w:r>
        <w:rPr>
          <w:rFonts w:hint="eastAsia" w:ascii="宋体" w:hAnsi="宋体" w:cs="宋体"/>
          <w:b/>
          <w:bCs/>
          <w:sz w:val="24"/>
          <w:szCs w:val="24"/>
        </w:rPr>
        <w:t>注：以上商务条款为必须满足项，否则作无效标处理。</w:t>
      </w:r>
    </w:p>
    <w:p>
      <w:pPr>
        <w:tabs>
          <w:tab w:val="left" w:pos="3626"/>
        </w:tabs>
        <w:spacing w:line="360" w:lineRule="auto"/>
        <w:ind w:firstLine="480"/>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Cs w:val="24"/>
        </w:rPr>
      </w:pPr>
    </w:p>
    <w:p>
      <w:pPr>
        <w:rPr>
          <w:rFonts w:asciiTheme="majorEastAsia" w:hAnsiTheme="majorEastAsia" w:eastAsiaTheme="majorEastAsia" w:cstheme="majorEastAsia"/>
          <w:sz w:val="24"/>
          <w:szCs w:val="24"/>
        </w:rPr>
      </w:pPr>
    </w:p>
    <w:p>
      <w:pPr>
        <w:pStyle w:val="2"/>
        <w:rPr>
          <w:rFonts w:asciiTheme="majorEastAsia" w:hAnsiTheme="majorEastAsia" w:eastAsiaTheme="majorEastAsia" w:cstheme="majorEastAsia"/>
          <w:szCs w:val="24"/>
        </w:rPr>
      </w:pPr>
    </w:p>
    <w:p>
      <w:pPr>
        <w:pStyle w:val="4"/>
        <w:tabs>
          <w:tab w:val="left" w:pos="0"/>
        </w:tabs>
        <w:spacing w:after="240"/>
        <w:ind w:left="840" w:firstLine="2168" w:firstLineChars="600"/>
        <w:rPr>
          <w:rFonts w:ascii="宋体" w:hAnsi="宋体" w:cs="宋体"/>
          <w:sz w:val="44"/>
        </w:rPr>
      </w:pPr>
      <w:bookmarkStart w:id="194" w:name="_Toc21748"/>
      <w:bookmarkStart w:id="195" w:name="_Toc377982359"/>
      <w:r>
        <w:rPr>
          <w:rFonts w:hint="eastAsia" w:ascii="宋体" w:hAnsi="宋体" w:cs="宋体"/>
          <w:sz w:val="36"/>
          <w:szCs w:val="36"/>
        </w:rPr>
        <w:t>第五章、</w:t>
      </w:r>
      <w:bookmarkStart w:id="196" w:name="_Toc10404"/>
      <w:r>
        <w:rPr>
          <w:rFonts w:hint="eastAsia" w:ascii="宋体" w:hAnsi="宋体" w:cs="宋体"/>
          <w:sz w:val="36"/>
          <w:szCs w:val="36"/>
        </w:rPr>
        <w:t>合同</w:t>
      </w:r>
      <w:bookmarkEnd w:id="196"/>
      <w:r>
        <w:rPr>
          <w:rFonts w:hint="eastAsia" w:ascii="宋体" w:hAnsi="宋体" w:cs="宋体"/>
          <w:sz w:val="36"/>
          <w:szCs w:val="36"/>
        </w:rPr>
        <w:t>范本</w:t>
      </w:r>
    </w:p>
    <w:p>
      <w:pPr>
        <w:rPr>
          <w:rFonts w:ascii="宋体" w:hAnsi="宋体" w:cs="宋体"/>
          <w:b/>
          <w:bCs/>
          <w:sz w:val="44"/>
          <w:szCs w:val="44"/>
        </w:rPr>
      </w:pPr>
      <w:r>
        <w:rPr>
          <w:rFonts w:hint="eastAsia" w:ascii="宋体" w:hAnsi="宋体" w:cs="宋体"/>
          <w:b/>
          <w:bCs/>
          <w:sz w:val="44"/>
          <w:szCs w:val="44"/>
        </w:rPr>
        <w:br w:type="page"/>
      </w:r>
    </w:p>
    <w:p>
      <w:pPr>
        <w:pStyle w:val="5"/>
        <w:keepNext w:val="0"/>
        <w:keepLines w:val="0"/>
        <w:tabs>
          <w:tab w:val="left" w:pos="0"/>
        </w:tabs>
        <w:spacing w:line="360" w:lineRule="auto"/>
        <w:rPr>
          <w:rFonts w:ascii="宋体" w:hAnsi="宋体" w:eastAsia="宋体" w:cs="宋体"/>
          <w:sz w:val="44"/>
          <w:szCs w:val="44"/>
        </w:rPr>
      </w:pPr>
    </w:p>
    <w:p>
      <w:pPr>
        <w:pStyle w:val="5"/>
        <w:keepNext w:val="0"/>
        <w:keepLines w:val="0"/>
        <w:tabs>
          <w:tab w:val="left" w:pos="0"/>
        </w:tabs>
        <w:spacing w:line="360" w:lineRule="auto"/>
        <w:rPr>
          <w:rFonts w:ascii="宋体" w:hAnsi="宋体" w:eastAsia="宋体" w:cs="宋体"/>
          <w:sz w:val="44"/>
          <w:szCs w:val="44"/>
        </w:rPr>
      </w:pPr>
      <w:r>
        <w:rPr>
          <w:rFonts w:hint="eastAsia" w:ascii="宋体" w:hAnsi="宋体" w:eastAsia="宋体" w:cs="宋体"/>
          <w:sz w:val="44"/>
          <w:szCs w:val="44"/>
        </w:rPr>
        <w:t>丰城市园区污水处理厂建设工程</w:t>
      </w:r>
    </w:p>
    <w:p>
      <w:pPr>
        <w:pStyle w:val="5"/>
        <w:keepNext w:val="0"/>
        <w:keepLines w:val="0"/>
        <w:tabs>
          <w:tab w:val="left" w:pos="0"/>
        </w:tabs>
        <w:spacing w:line="360" w:lineRule="auto"/>
        <w:rPr>
          <w:rFonts w:ascii="宋体" w:hAnsi="宋体" w:eastAsia="宋体" w:cs="宋体"/>
        </w:rPr>
      </w:pPr>
      <w:r>
        <w:rPr>
          <w:rFonts w:hint="eastAsia" w:ascii="宋体" w:hAnsi="宋体" w:eastAsia="宋体" w:cs="宋体"/>
          <w:sz w:val="44"/>
          <w:szCs w:val="44"/>
        </w:rPr>
        <w:t>吉岗岭污水处理厂供货合同（二）</w:t>
      </w:r>
    </w:p>
    <w:p>
      <w:pPr>
        <w:pStyle w:val="5"/>
        <w:keepNext w:val="0"/>
        <w:keepLines w:val="0"/>
        <w:tabs>
          <w:tab w:val="left" w:pos="0"/>
        </w:tabs>
        <w:spacing w:before="240" w:beforeLines="100"/>
        <w:rPr>
          <w:rFonts w:ascii="仿宋" w:hAnsi="仿宋" w:eastAsia="仿宋" w:cs="仿宋"/>
          <w:sz w:val="28"/>
        </w:rPr>
      </w:pPr>
    </w:p>
    <w:p/>
    <w:p/>
    <w:p/>
    <w:p/>
    <w:p/>
    <w:p/>
    <w:p/>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tabs>
          <w:tab w:val="left" w:pos="540"/>
        </w:tabs>
        <w:spacing w:line="360" w:lineRule="auto"/>
        <w:rPr>
          <w:rFonts w:ascii="仿宋" w:hAnsi="仿宋" w:eastAsia="仿宋" w:cs="仿宋"/>
          <w:sz w:val="24"/>
          <w:szCs w:val="24"/>
        </w:rPr>
      </w:pPr>
    </w:p>
    <w:p>
      <w:pPr>
        <w:spacing w:line="360" w:lineRule="auto"/>
        <w:ind w:firstLine="1372" w:firstLineChars="490"/>
        <w:rPr>
          <w:rFonts w:ascii="宋体" w:hAnsi="宋体" w:cs="Arial"/>
          <w:sz w:val="28"/>
          <w:szCs w:val="28"/>
          <w:u w:val="single"/>
        </w:rPr>
      </w:pPr>
      <w:r>
        <w:rPr>
          <w:rFonts w:hint="eastAsia" w:ascii="宋体" w:hAnsi="宋体" w:cs="Arial"/>
          <w:sz w:val="28"/>
          <w:szCs w:val="28"/>
        </w:rPr>
        <w:t>建设单位：</w:t>
      </w:r>
      <w:r>
        <w:rPr>
          <w:rFonts w:ascii="宋体" w:hAnsi="宋体" w:cs="Arial"/>
          <w:sz w:val="28"/>
          <w:szCs w:val="28"/>
          <w:u w:val="single"/>
        </w:rPr>
        <w:t xml:space="preserve"> </w:t>
      </w:r>
      <w:r>
        <w:rPr>
          <w:rFonts w:hint="eastAsia" w:ascii="宋体" w:hAnsi="宋体" w:cs="Arial"/>
          <w:sz w:val="28"/>
          <w:szCs w:val="28"/>
          <w:u w:val="single"/>
        </w:rPr>
        <w:t xml:space="preserve">丰城市创投发展有限公司        </w:t>
      </w:r>
    </w:p>
    <w:p>
      <w:pPr>
        <w:spacing w:line="360" w:lineRule="auto"/>
        <w:ind w:firstLine="1372" w:firstLineChars="490"/>
        <w:rPr>
          <w:rFonts w:ascii="宋体" w:hAnsi="宋体" w:cs="Arial"/>
          <w:sz w:val="28"/>
          <w:szCs w:val="28"/>
        </w:rPr>
      </w:pPr>
      <w:r>
        <w:rPr>
          <w:rFonts w:hint="eastAsia" w:ascii="宋体" w:hAnsi="宋体" w:cs="Arial"/>
          <w:sz w:val="28"/>
          <w:szCs w:val="28"/>
        </w:rPr>
        <w:t>总承包人：</w:t>
      </w:r>
      <w:r>
        <w:rPr>
          <w:rFonts w:ascii="宋体" w:hAnsi="宋体" w:cs="Arial"/>
          <w:sz w:val="28"/>
          <w:szCs w:val="28"/>
          <w:u w:val="single"/>
        </w:rPr>
        <w:t xml:space="preserve"> </w:t>
      </w:r>
      <w:r>
        <w:rPr>
          <w:rFonts w:hint="eastAsia" w:ascii="宋体" w:hAnsi="宋体" w:cs="Arial"/>
          <w:sz w:val="28"/>
          <w:szCs w:val="28"/>
          <w:u w:val="single"/>
        </w:rPr>
        <w:t xml:space="preserve">北京建工集团有限责任公司      </w:t>
      </w:r>
    </w:p>
    <w:p>
      <w:pPr>
        <w:spacing w:line="360" w:lineRule="auto"/>
        <w:ind w:firstLine="1372" w:firstLineChars="490"/>
        <w:rPr>
          <w:rFonts w:ascii="宋体" w:hAnsi="宋体" w:cs="Arial"/>
          <w:sz w:val="28"/>
          <w:szCs w:val="28"/>
          <w:u w:val="single"/>
        </w:rPr>
      </w:pPr>
      <w:r>
        <w:rPr>
          <w:rFonts w:hint="eastAsia" w:ascii="宋体" w:hAnsi="宋体"/>
          <w:sz w:val="28"/>
          <w:szCs w:val="28"/>
        </w:rPr>
        <w:t>供 应 商</w:t>
      </w:r>
      <w:r>
        <w:rPr>
          <w:rFonts w:hint="eastAsia" w:ascii="宋体" w:hAnsi="宋体" w:cs="Arial"/>
          <w:sz w:val="28"/>
          <w:szCs w:val="28"/>
        </w:rPr>
        <w:t>：</w:t>
      </w:r>
      <w:r>
        <w:rPr>
          <w:rFonts w:hint="eastAsia" w:ascii="宋体" w:hAnsi="宋体" w:cs="Arial"/>
          <w:sz w:val="28"/>
          <w:szCs w:val="28"/>
          <w:u w:val="single"/>
        </w:rPr>
        <w:t xml:space="preserve">                               </w:t>
      </w:r>
    </w:p>
    <w:p>
      <w:pPr>
        <w:spacing w:line="360" w:lineRule="auto"/>
        <w:ind w:firstLine="1372" w:firstLineChars="490"/>
        <w:rPr>
          <w:rFonts w:ascii="宋体" w:hAnsi="宋体" w:cs="Arial"/>
          <w:sz w:val="28"/>
          <w:szCs w:val="28"/>
          <w:u w:val="single"/>
        </w:rPr>
      </w:pPr>
      <w:r>
        <w:rPr>
          <w:rFonts w:hint="eastAsia" w:ascii="宋体" w:hAnsi="宋体" w:cs="Arial"/>
          <w:sz w:val="28"/>
          <w:szCs w:val="28"/>
        </w:rPr>
        <w:t>签订日期：</w:t>
      </w:r>
      <w:r>
        <w:rPr>
          <w:rFonts w:hint="eastAsia" w:ascii="宋体" w:hAnsi="宋体" w:cs="Arial"/>
          <w:sz w:val="28"/>
          <w:szCs w:val="28"/>
          <w:u w:val="single"/>
        </w:rPr>
        <w:t xml:space="preserve">  2022年   月  日              </w:t>
      </w:r>
    </w:p>
    <w:p>
      <w:pPr>
        <w:rPr>
          <w:rFonts w:ascii="宋体" w:hAnsi="宋体" w:cs="Arial"/>
          <w:sz w:val="28"/>
          <w:szCs w:val="28"/>
          <w:u w:val="single"/>
        </w:rPr>
      </w:pPr>
      <w:r>
        <w:rPr>
          <w:rFonts w:hint="eastAsia" w:ascii="宋体" w:hAnsi="宋体" w:cs="Arial"/>
          <w:sz w:val="28"/>
          <w:szCs w:val="28"/>
          <w:u w:val="single"/>
        </w:rPr>
        <w:br w:type="page"/>
      </w:r>
    </w:p>
    <w:p>
      <w:pPr>
        <w:pStyle w:val="2"/>
      </w:pPr>
    </w:p>
    <w:p>
      <w:bookmarkStart w:id="197" w:name="_Toc5889112"/>
    </w:p>
    <w:p>
      <w:pPr>
        <w:pStyle w:val="6"/>
        <w:keepNext w:val="0"/>
        <w:keepLines w:val="0"/>
        <w:spacing w:before="0" w:after="0" w:line="360" w:lineRule="auto"/>
        <w:ind w:left="495"/>
        <w:rPr>
          <w:rFonts w:ascii="仿宋" w:hAnsi="仿宋" w:eastAsia="仿宋" w:cs="仿宋"/>
          <w:sz w:val="24"/>
          <w:szCs w:val="24"/>
        </w:rPr>
      </w:pPr>
      <w:r>
        <w:rPr>
          <w:rFonts w:hint="eastAsia" w:ascii="仿宋" w:hAnsi="仿宋" w:eastAsia="仿宋" w:cs="仿宋"/>
          <w:sz w:val="24"/>
          <w:szCs w:val="24"/>
        </w:rPr>
        <w:t>一、合同协议书</w:t>
      </w:r>
    </w:p>
    <w:p>
      <w:bookmarkStart w:id="198" w:name="_Toc27122190"/>
    </w:p>
    <w:bookmarkEnd w:id="197"/>
    <w:bookmarkEnd w:id="198"/>
    <w:p>
      <w:pPr>
        <w:jc w:val="center"/>
        <w:rPr>
          <w:rFonts w:ascii="仿宋" w:hAnsi="仿宋" w:eastAsia="仿宋" w:cs="仿宋"/>
          <w:sz w:val="10"/>
          <w:szCs w:val="10"/>
        </w:rPr>
      </w:pPr>
    </w:p>
    <w:p>
      <w:pPr>
        <w:spacing w:line="360" w:lineRule="auto"/>
        <w:ind w:firstLine="155" w:firstLineChars="74"/>
        <w:rPr>
          <w:rFonts w:ascii="仿宋" w:hAnsi="仿宋" w:eastAsia="仿宋" w:cs="仿宋"/>
        </w:rPr>
      </w:pPr>
    </w:p>
    <w:p>
      <w:pPr>
        <w:rPr>
          <w:rFonts w:ascii="仿宋" w:hAnsi="仿宋" w:eastAsia="仿宋" w:cs="仿宋"/>
          <w:b/>
          <w:sz w:val="24"/>
        </w:rPr>
      </w:pPr>
    </w:p>
    <w:p>
      <w:pPr>
        <w:spacing w:line="360" w:lineRule="auto"/>
        <w:rPr>
          <w:rFonts w:ascii="仿宋" w:hAnsi="仿宋" w:eastAsia="仿宋" w:cs="仿宋"/>
          <w:sz w:val="24"/>
          <w:szCs w:val="24"/>
        </w:rPr>
      </w:pPr>
      <w:r>
        <w:rPr>
          <w:rFonts w:hint="eastAsia" w:ascii="仿宋" w:hAnsi="仿宋" w:eastAsia="仿宋" w:cs="仿宋"/>
          <w:b/>
          <w:sz w:val="24"/>
          <w:szCs w:val="24"/>
        </w:rPr>
        <w:t>建设单位：</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丰城市创投发展有限公司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法定注册地址：</w:t>
      </w:r>
      <w:r>
        <w:rPr>
          <w:rFonts w:hint="eastAsia" w:ascii="仿宋" w:hAnsi="仿宋" w:eastAsia="仿宋" w:cs="Arial"/>
          <w:color w:val="000000"/>
          <w:sz w:val="24"/>
          <w:szCs w:val="24"/>
          <w:u w:val="single"/>
        </w:rPr>
        <w:t>江西省宜春市丰城市龙津大道商会大厦3楼</w:t>
      </w:r>
    </w:p>
    <w:p>
      <w:pPr>
        <w:spacing w:line="360" w:lineRule="auto"/>
        <w:rPr>
          <w:rFonts w:ascii="仿宋" w:hAnsi="仿宋" w:eastAsia="仿宋" w:cs="仿宋"/>
          <w:sz w:val="24"/>
          <w:szCs w:val="24"/>
          <w:u w:val="single"/>
        </w:rPr>
      </w:pPr>
      <w:r>
        <w:rPr>
          <w:rFonts w:hint="eastAsia" w:ascii="仿宋" w:hAnsi="仿宋" w:eastAsia="仿宋" w:cs="仿宋"/>
          <w:sz w:val="24"/>
          <w:szCs w:val="24"/>
        </w:rPr>
        <w:t>法定代表人  ：</w:t>
      </w:r>
      <w:r>
        <w:rPr>
          <w:rFonts w:hint="eastAsia" w:ascii="仿宋" w:hAnsi="仿宋" w:eastAsia="仿宋" w:cs="仿宋"/>
          <w:sz w:val="24"/>
          <w:szCs w:val="24"/>
          <w:u w:val="single"/>
        </w:rPr>
        <w:t xml:space="preserve">         傅强                         </w:t>
      </w:r>
    </w:p>
    <w:p>
      <w:pPr>
        <w:rPr>
          <w:rFonts w:ascii="仿宋" w:hAnsi="仿宋" w:eastAsia="仿宋" w:cs="仿宋"/>
          <w:sz w:val="24"/>
          <w:szCs w:val="24"/>
          <w:u w:val="single"/>
        </w:rPr>
      </w:pPr>
    </w:p>
    <w:p>
      <w:pPr>
        <w:spacing w:line="360" w:lineRule="auto"/>
        <w:rPr>
          <w:rFonts w:ascii="仿宋" w:hAnsi="仿宋" w:eastAsia="仿宋" w:cs="仿宋"/>
          <w:sz w:val="24"/>
          <w:szCs w:val="24"/>
        </w:rPr>
      </w:pPr>
      <w:r>
        <w:rPr>
          <w:rFonts w:hint="eastAsia" w:ascii="仿宋" w:hAnsi="仿宋" w:eastAsia="仿宋" w:cs="仿宋"/>
          <w:b/>
          <w:sz w:val="24"/>
          <w:szCs w:val="24"/>
        </w:rPr>
        <w:t>总承包人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北京建工集团有限责任公司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法定注册地址：</w:t>
      </w:r>
      <w:r>
        <w:rPr>
          <w:rFonts w:hint="eastAsia" w:ascii="仿宋" w:hAnsi="仿宋" w:eastAsia="仿宋" w:cs="仿宋"/>
          <w:sz w:val="24"/>
          <w:szCs w:val="24"/>
          <w:u w:val="single"/>
        </w:rPr>
        <w:t xml:space="preserve">北京市西城区广莲路1号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法定代表人  ：</w:t>
      </w:r>
      <w:r>
        <w:rPr>
          <w:rFonts w:hint="eastAsia" w:ascii="仿宋" w:hAnsi="仿宋" w:eastAsia="仿宋" w:cs="仿宋"/>
          <w:sz w:val="24"/>
          <w:szCs w:val="24"/>
          <w:u w:val="single"/>
        </w:rPr>
        <w:t xml:space="preserve">        樊军               </w:t>
      </w:r>
    </w:p>
    <w:p>
      <w:pPr>
        <w:rPr>
          <w:rFonts w:ascii="仿宋" w:hAnsi="仿宋" w:eastAsia="仿宋" w:cs="仿宋"/>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 xml:space="preserve">供应商：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法定注册地址：</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法定代表人  ：</w:t>
      </w:r>
      <w:r>
        <w:rPr>
          <w:rFonts w:hint="eastAsia" w:ascii="仿宋" w:hAnsi="仿宋" w:eastAsia="仿宋" w:cs="仿宋"/>
          <w:sz w:val="24"/>
          <w:szCs w:val="24"/>
          <w:u w:val="single"/>
        </w:rPr>
        <w:t xml:space="preserve">                         </w:t>
      </w:r>
    </w:p>
    <w:p>
      <w:pPr>
        <w:rPr>
          <w:rFonts w:ascii="仿宋" w:hAnsi="仿宋" w:eastAsia="仿宋" w:cs="仿宋"/>
          <w:sz w:val="24"/>
          <w:szCs w:val="24"/>
        </w:rPr>
      </w:pPr>
    </w:p>
    <w:p>
      <w:pPr>
        <w:spacing w:line="360" w:lineRule="auto"/>
        <w:ind w:firstLine="412" w:firstLineChars="172"/>
        <w:rPr>
          <w:rFonts w:ascii="仿宋" w:hAnsi="仿宋" w:eastAsia="仿宋" w:cs="仿宋"/>
          <w:sz w:val="24"/>
          <w:szCs w:val="24"/>
        </w:rPr>
      </w:pPr>
      <w:r>
        <w:rPr>
          <w:rFonts w:hint="eastAsia" w:ascii="仿宋" w:hAnsi="仿宋" w:eastAsia="仿宋" w:cs="仿宋"/>
          <w:sz w:val="24"/>
          <w:szCs w:val="24"/>
        </w:rPr>
        <w:t>依照《中华人民共和国民法典》、《中华人民共和国建筑法》等相关法律、法规、规章和规范性文件的规定，三方就本建设工程施工事项协商一致，达成如下协议：</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一、工程概况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整体工程名称：</w:t>
      </w:r>
      <w:r>
        <w:rPr>
          <w:rFonts w:hint="eastAsia" w:ascii="仿宋" w:hAnsi="仿宋" w:eastAsia="仿宋" w:cs="仿宋"/>
          <w:sz w:val="24"/>
          <w:szCs w:val="24"/>
          <w:u w:val="single"/>
        </w:rPr>
        <w:t>丰城市园区污水处理厂建设工程</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工程地点：</w:t>
      </w:r>
      <w:r>
        <w:rPr>
          <w:rFonts w:hint="eastAsia" w:ascii="仿宋" w:hAnsi="仿宋" w:eastAsia="仿宋" w:cs="仿宋"/>
          <w:sz w:val="24"/>
          <w:szCs w:val="24"/>
          <w:u w:val="single"/>
        </w:rPr>
        <w:t xml:space="preserve">丰城市循环园区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工程规模：</w:t>
      </w:r>
      <w:r>
        <w:rPr>
          <w:rFonts w:hint="eastAsia" w:ascii="仿宋" w:hAnsi="仿宋" w:eastAsia="仿宋" w:cs="仿宋"/>
          <w:sz w:val="24"/>
          <w:szCs w:val="24"/>
          <w:u w:val="single"/>
        </w:rPr>
        <w:t>子项目1：丰城市园区污水处理厂建设工程（丰城市循环经济园区吉岗岭污水处理厂项目），新建1.5万吨/天处理能力的工业污水处理厂，新建尾水管道约7km，执行一级A排放标准；</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二、供货范围</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u w:val="single"/>
        </w:rPr>
        <w:t xml:space="preserve"> “丰城市园区污水处理厂建设工程（丰城市循环经济园区吉岗岭污水处理厂项目）第二批机电安装设备及材料采购”项目，具体以清单为准。</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三、合同价款</w:t>
      </w:r>
    </w:p>
    <w:p>
      <w:pPr>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合同总金额（大写）：</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rPr>
        <w:t>（人民币）</w:t>
      </w:r>
    </w:p>
    <w:p>
      <w:pPr>
        <w:spacing w:line="360" w:lineRule="auto"/>
        <w:ind w:firstLine="1928" w:firstLineChars="800"/>
        <w:rPr>
          <w:rFonts w:ascii="仿宋" w:hAnsi="仿宋" w:eastAsia="仿宋" w:cs="仿宋"/>
          <w:color w:val="000000"/>
          <w:sz w:val="24"/>
          <w:szCs w:val="24"/>
        </w:rPr>
      </w:pPr>
      <w:r>
        <w:rPr>
          <w:rFonts w:hint="eastAsia" w:ascii="仿宋" w:hAnsi="仿宋" w:eastAsia="仿宋" w:cs="仿宋"/>
          <w:b/>
          <w:color w:val="000000"/>
          <w:sz w:val="24"/>
          <w:szCs w:val="24"/>
        </w:rPr>
        <w:t>小写 ：</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rPr>
        <w:t>元</w:t>
      </w:r>
    </w:p>
    <w:p>
      <w:pPr>
        <w:spacing w:line="360" w:lineRule="auto"/>
        <w:ind w:firstLine="480" w:firstLineChars="200"/>
        <w:rPr>
          <w:rFonts w:ascii="仿宋" w:hAnsi="仿宋" w:eastAsia="仿宋" w:cs="仿宋"/>
          <w:color w:val="000000"/>
          <w:sz w:val="24"/>
          <w:szCs w:val="24"/>
          <w:shd w:val="clear" w:color="auto" w:fill="FFC000"/>
        </w:rPr>
      </w:pPr>
      <w:r>
        <w:rPr>
          <w:rFonts w:hint="eastAsia" w:ascii="仿宋" w:hAnsi="仿宋" w:eastAsia="仿宋" w:cs="仿宋"/>
          <w:color w:val="000000"/>
          <w:sz w:val="24"/>
          <w:szCs w:val="24"/>
        </w:rPr>
        <w:t>其中</w:t>
      </w:r>
      <w:r>
        <w:rPr>
          <w:rFonts w:ascii="仿宋" w:hAnsi="仿宋" w:eastAsia="仿宋" w:cs="仿宋"/>
          <w:color w:val="000000"/>
          <w:sz w:val="24"/>
          <w:szCs w:val="24"/>
        </w:rPr>
        <w:t>：合</w:t>
      </w:r>
      <w:r>
        <w:rPr>
          <w:rFonts w:hint="eastAsia" w:ascii="仿宋" w:hAnsi="仿宋" w:eastAsia="仿宋" w:cs="仿宋"/>
          <w:color w:val="000000"/>
          <w:sz w:val="24"/>
          <w:szCs w:val="24"/>
        </w:rPr>
        <w:t>同除税价款</w:t>
      </w:r>
      <w:r>
        <w:rPr>
          <w:rFonts w:ascii="仿宋" w:hAnsi="仿宋" w:eastAsia="仿宋" w:cs="仿宋"/>
          <w:color w:val="000000"/>
          <w:sz w:val="24"/>
          <w:szCs w:val="24"/>
        </w:rPr>
        <w:t>：</w:t>
      </w:r>
      <w:r>
        <w:rPr>
          <w:rFonts w:hint="eastAsia" w:ascii="仿宋" w:hAnsi="仿宋" w:eastAsia="仿宋" w:cs="仿宋"/>
          <w:b/>
          <w:color w:val="000000"/>
          <w:sz w:val="24"/>
          <w:szCs w:val="24"/>
          <w:u w:val="single"/>
        </w:rPr>
        <w:t xml:space="preserve">              </w:t>
      </w:r>
      <w:r>
        <w:rPr>
          <w:rFonts w:hint="eastAsia" w:ascii="仿宋" w:hAnsi="仿宋" w:eastAsia="仿宋" w:cs="仿宋"/>
          <w:color w:val="000000"/>
          <w:sz w:val="24"/>
          <w:szCs w:val="24"/>
        </w:rPr>
        <w:t>元（人民币）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      增值税</w:t>
      </w:r>
      <w:r>
        <w:rPr>
          <w:rFonts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元（人民币）增值税</w:t>
      </w:r>
      <w:r>
        <w:rPr>
          <w:rFonts w:ascii="仿宋" w:hAnsi="仿宋" w:eastAsia="仿宋" w:cs="仿宋"/>
          <w:color w:val="000000"/>
          <w:sz w:val="24"/>
          <w:szCs w:val="24"/>
        </w:rPr>
        <w:t>率：</w:t>
      </w:r>
      <w:r>
        <w:rPr>
          <w:rFonts w:hint="eastAsia" w:ascii="仿宋" w:hAnsi="仿宋" w:eastAsia="仿宋" w:cs="仿宋"/>
          <w:color w:val="000000"/>
          <w:sz w:val="24"/>
          <w:szCs w:val="24"/>
          <w:u w:val="single"/>
        </w:rPr>
        <w:t xml:space="preserve"> </w:t>
      </w:r>
      <w:r>
        <w:rPr>
          <w:rFonts w:ascii="仿宋" w:hAnsi="仿宋" w:eastAsia="仿宋" w:cs="仿宋"/>
          <w:color w:val="000000"/>
          <w:sz w:val="24"/>
          <w:szCs w:val="24"/>
          <w:u w:val="single"/>
        </w:rPr>
        <w:t>13%</w:t>
      </w:r>
      <w:r>
        <w:rPr>
          <w:rFonts w:hint="eastAsia" w:ascii="仿宋" w:hAnsi="仿宋" w:eastAsia="仿宋" w:cs="仿宋"/>
          <w:color w:val="000000"/>
          <w:sz w:val="24"/>
          <w:szCs w:val="24"/>
          <w:u w:val="single"/>
        </w:rPr>
        <w:t xml:space="preserve"> </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四、供货周期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供货周期：合同正式签订后，所有货物在10日内到货，并调试完成。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计划开始日期：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2022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计划到货日期：</w:t>
      </w:r>
      <w:r>
        <w:rPr>
          <w:rFonts w:hint="eastAsia" w:ascii="仿宋" w:hAnsi="仿宋" w:eastAsia="仿宋" w:cs="仿宋"/>
          <w:sz w:val="24"/>
          <w:szCs w:val="24"/>
          <w:u w:val="single"/>
        </w:rPr>
        <w:t xml:space="preserve">  2022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五、合同文件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本协议书与下列文件一起构成合同文件：</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中标通知书；</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供应商递交并为总承包人所接受的澄清文件或承诺函件（如果有）；</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合同条款；</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合同附件；</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技术标准和要求；</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合同图纸；</w:t>
      </w:r>
    </w:p>
    <w:p>
      <w:pPr>
        <w:numPr>
          <w:ilvl w:val="0"/>
          <w:numId w:val="7"/>
        </w:numPr>
        <w:tabs>
          <w:tab w:val="left" w:pos="993"/>
        </w:tabs>
        <w:spacing w:line="360" w:lineRule="auto"/>
        <w:ind w:left="993" w:hanging="426"/>
        <w:rPr>
          <w:rFonts w:ascii="仿宋" w:hAnsi="仿宋" w:eastAsia="仿宋" w:cs="仿宋"/>
          <w:sz w:val="24"/>
          <w:szCs w:val="24"/>
        </w:rPr>
      </w:pPr>
      <w:r>
        <w:rPr>
          <w:rFonts w:hint="eastAsia" w:ascii="仿宋" w:hAnsi="仿宋" w:eastAsia="仿宋" w:cs="仿宋"/>
          <w:sz w:val="24"/>
          <w:szCs w:val="24"/>
        </w:rPr>
        <w:t>已标价的工程量清单；</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三方在本合同履行中所共同签署或认可的符合现行法律、法规、规章及规范性文件，且符合本合同实质性约定的指令、洽商、纪要或同类性质的文件，均构成合同文件的有效补充。</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六、供应商</w:t>
      </w:r>
      <w:r>
        <w:rPr>
          <w:rFonts w:hint="eastAsia" w:ascii="仿宋" w:hAnsi="仿宋" w:eastAsia="仿宋" w:cs="仿宋"/>
          <w:b/>
          <w:sz w:val="24"/>
          <w:szCs w:val="24"/>
        </w:rPr>
        <w:t>承诺按照本协议约定进行供货并在质量保证期内对所供货物承担质量保证责任。</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七、</w:t>
      </w:r>
      <w:r>
        <w:rPr>
          <w:rFonts w:hint="eastAsia" w:ascii="仿宋" w:hAnsi="仿宋" w:eastAsia="仿宋" w:cs="Arial"/>
          <w:b/>
          <w:bCs/>
          <w:sz w:val="24"/>
          <w:szCs w:val="24"/>
        </w:rPr>
        <w:t>本工程由北京建工集团有限责任公司（总承包人）依据总承包合同约定对暂估价设备及材料采购依法公开招标，丰城市创投发展有限公司（建设单位）全程参与并监督，并共同确定中标单位，总承包人（北京建工集团有限责任公司）负责机电安装设备及材料采购的具体事项，建设单位（丰城市创投发展有限公司）负责按总承包合同约定的条件、期限和方式向总承包人支付合同价款。</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八、</w:t>
      </w:r>
      <w:r>
        <w:rPr>
          <w:rFonts w:hint="eastAsia" w:ascii="仿宋" w:hAnsi="仿宋" w:eastAsia="仿宋" w:cs="仿宋"/>
          <w:b/>
          <w:sz w:val="24"/>
          <w:szCs w:val="24"/>
        </w:rPr>
        <w:t>合同未尽事宜，三方另行签订补充协议，补充协议是合同的组成部分。</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九、合同份数</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本协议一式</w:t>
      </w:r>
      <w:r>
        <w:rPr>
          <w:rFonts w:hint="eastAsia" w:ascii="仿宋" w:hAnsi="仿宋" w:eastAsia="仿宋" w:cs="仿宋"/>
          <w:sz w:val="24"/>
          <w:szCs w:val="24"/>
          <w:u w:val="single"/>
        </w:rPr>
        <w:t xml:space="preserve"> 壹拾 </w:t>
      </w:r>
      <w:r>
        <w:rPr>
          <w:rFonts w:hint="eastAsia" w:ascii="仿宋" w:hAnsi="仿宋" w:eastAsia="仿宋" w:cs="仿宋"/>
          <w:sz w:val="24"/>
          <w:szCs w:val="24"/>
        </w:rPr>
        <w:t>份，均具有同等法律效力，建设单位执</w:t>
      </w:r>
      <w:r>
        <w:rPr>
          <w:rFonts w:hint="eastAsia" w:ascii="仿宋" w:hAnsi="仿宋" w:eastAsia="仿宋" w:cs="仿宋"/>
          <w:sz w:val="24"/>
          <w:szCs w:val="24"/>
          <w:u w:val="single"/>
        </w:rPr>
        <w:t xml:space="preserve"> 肆 </w:t>
      </w:r>
      <w:r>
        <w:rPr>
          <w:rFonts w:hint="eastAsia" w:ascii="仿宋" w:hAnsi="仿宋" w:eastAsia="仿宋" w:cs="仿宋"/>
          <w:sz w:val="24"/>
          <w:szCs w:val="24"/>
        </w:rPr>
        <w:t>份，总承包人执</w:t>
      </w:r>
      <w:r>
        <w:rPr>
          <w:rFonts w:hint="eastAsia" w:ascii="仿宋" w:hAnsi="仿宋" w:eastAsia="仿宋" w:cs="仿宋"/>
          <w:sz w:val="24"/>
          <w:szCs w:val="24"/>
          <w:u w:val="single"/>
        </w:rPr>
        <w:t xml:space="preserve"> 肆 </w:t>
      </w:r>
      <w:r>
        <w:rPr>
          <w:rFonts w:hint="eastAsia" w:ascii="仿宋" w:hAnsi="仿宋" w:eastAsia="仿宋" w:cs="仿宋"/>
          <w:sz w:val="24"/>
          <w:szCs w:val="24"/>
        </w:rPr>
        <w:t>份，供应商执</w:t>
      </w:r>
      <w:r>
        <w:rPr>
          <w:rFonts w:hint="eastAsia" w:ascii="仿宋" w:hAnsi="仿宋" w:eastAsia="仿宋" w:cs="仿宋"/>
          <w:sz w:val="24"/>
          <w:szCs w:val="24"/>
          <w:u w:val="single"/>
        </w:rPr>
        <w:t xml:space="preserve"> 贰 </w:t>
      </w:r>
      <w:r>
        <w:rPr>
          <w:rFonts w:hint="eastAsia" w:ascii="仿宋" w:hAnsi="仿宋" w:eastAsia="仿宋" w:cs="仿宋"/>
          <w:sz w:val="24"/>
          <w:szCs w:val="24"/>
        </w:rPr>
        <w:t>份。</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十、合同生效</w:t>
      </w:r>
    </w:p>
    <w:p>
      <w:pPr>
        <w:tabs>
          <w:tab w:val="left" w:pos="5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ascii="仿宋" w:hAnsi="仿宋" w:eastAsia="仿宋" w:cs="仿宋"/>
          <w:sz w:val="24"/>
          <w:szCs w:val="24"/>
          <w:u w:val="single"/>
        </w:rPr>
        <w:t>202</w:t>
      </w:r>
      <w:r>
        <w:rPr>
          <w:rFonts w:hint="eastAsia" w:ascii="仿宋" w:hAnsi="仿宋" w:eastAsia="仿宋" w:cs="仿宋"/>
          <w:sz w:val="24"/>
          <w:szCs w:val="24"/>
          <w:u w:val="single"/>
        </w:rPr>
        <w:t xml:space="preserve">2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tabs>
          <w:tab w:val="left" w:pos="5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江西省丰城市      </w:t>
      </w:r>
    </w:p>
    <w:p>
      <w:pPr>
        <w:tabs>
          <w:tab w:val="left" w:pos="5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三方约定</w:t>
      </w:r>
      <w:r>
        <w:rPr>
          <w:rFonts w:hint="eastAsia" w:ascii="仿宋" w:hAnsi="仿宋" w:eastAsia="仿宋" w:cs="仿宋"/>
          <w:sz w:val="24"/>
          <w:szCs w:val="24"/>
          <w:u w:val="single"/>
        </w:rPr>
        <w:t xml:space="preserve">    经三方法定代表人或授权代表签字并盖章    </w:t>
      </w:r>
      <w:r>
        <w:rPr>
          <w:rFonts w:hint="eastAsia" w:ascii="仿宋" w:hAnsi="仿宋" w:eastAsia="仿宋" w:cs="仿宋"/>
          <w:sz w:val="24"/>
          <w:szCs w:val="24"/>
        </w:rPr>
        <w:t>后本合同生效。</w:t>
      </w:r>
    </w:p>
    <w:p>
      <w:pPr>
        <w:tabs>
          <w:tab w:val="left" w:pos="540"/>
        </w:tabs>
        <w:spacing w:line="360" w:lineRule="auto"/>
        <w:ind w:firstLine="480" w:firstLineChars="200"/>
        <w:rPr>
          <w:rFonts w:ascii="仿宋" w:hAnsi="仿宋" w:eastAsia="仿宋" w:cs="仿宋"/>
          <w:sz w:val="24"/>
          <w:szCs w:val="24"/>
        </w:rPr>
      </w:pPr>
    </w:p>
    <w:tbl>
      <w:tblPr>
        <w:tblStyle w:val="41"/>
        <w:tblW w:w="9897" w:type="dxa"/>
        <w:tblInd w:w="0" w:type="dxa"/>
        <w:tblLayout w:type="fixed"/>
        <w:tblCellMar>
          <w:top w:w="0" w:type="dxa"/>
          <w:left w:w="108" w:type="dxa"/>
          <w:bottom w:w="0" w:type="dxa"/>
          <w:right w:w="108" w:type="dxa"/>
        </w:tblCellMar>
      </w:tblPr>
      <w:tblGrid>
        <w:gridCol w:w="3041"/>
        <w:gridCol w:w="3346"/>
        <w:gridCol w:w="3467"/>
        <w:gridCol w:w="29"/>
        <w:gridCol w:w="14"/>
      </w:tblGrid>
      <w:tr>
        <w:tblPrEx>
          <w:tblCellMar>
            <w:top w:w="0" w:type="dxa"/>
            <w:left w:w="108" w:type="dxa"/>
            <w:bottom w:w="0" w:type="dxa"/>
            <w:right w:w="108" w:type="dxa"/>
          </w:tblCellMar>
        </w:tblPrEx>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建设单位：（盖章）</w:t>
            </w:r>
          </w:p>
        </w:tc>
        <w:tc>
          <w:tcPr>
            <w:tcW w:w="3346" w:type="dxa"/>
          </w:tcPr>
          <w:p>
            <w:pPr>
              <w:spacing w:line="600" w:lineRule="exact"/>
              <w:ind w:left="-73" w:leftChars="-35" w:firstLine="75" w:firstLineChars="31"/>
              <w:rPr>
                <w:rFonts w:ascii="仿宋" w:hAnsi="仿宋" w:eastAsia="仿宋" w:cs="仿宋"/>
                <w:b/>
                <w:sz w:val="24"/>
                <w:szCs w:val="24"/>
              </w:rPr>
            </w:pPr>
            <w:r>
              <w:rPr>
                <w:rFonts w:hint="eastAsia" w:ascii="仿宋" w:hAnsi="仿宋" w:eastAsia="仿宋" w:cs="仿宋"/>
                <w:b/>
                <w:sz w:val="24"/>
                <w:szCs w:val="24"/>
              </w:rPr>
              <w:t>总承包人：（盖章）</w:t>
            </w:r>
          </w:p>
        </w:tc>
        <w:tc>
          <w:tcPr>
            <w:tcW w:w="3510" w:type="dxa"/>
            <w:gridSpan w:val="3"/>
          </w:tcPr>
          <w:p>
            <w:pPr>
              <w:spacing w:line="600" w:lineRule="exact"/>
              <w:jc w:val="left"/>
              <w:rPr>
                <w:rFonts w:ascii="仿宋" w:hAnsi="仿宋" w:eastAsia="仿宋" w:cs="仿宋"/>
                <w:b/>
                <w:sz w:val="24"/>
                <w:szCs w:val="24"/>
              </w:rPr>
            </w:pPr>
            <w:r>
              <w:rPr>
                <w:rFonts w:hint="eastAsia" w:ascii="仿宋" w:hAnsi="仿宋" w:eastAsia="仿宋" w:cs="仿宋"/>
                <w:b/>
                <w:sz w:val="24"/>
                <w:szCs w:val="24"/>
              </w:rPr>
              <w:t>供应商：（盖章）</w:t>
            </w:r>
          </w:p>
          <w:p>
            <w:pPr>
              <w:spacing w:line="600" w:lineRule="exact"/>
              <w:ind w:right="2054" w:rightChars="978"/>
              <w:rPr>
                <w:rFonts w:ascii="仿宋" w:hAnsi="仿宋" w:eastAsia="仿宋" w:cs="仿宋"/>
                <w:b/>
                <w:sz w:val="24"/>
                <w:szCs w:val="24"/>
              </w:rPr>
            </w:pPr>
          </w:p>
        </w:tc>
      </w:tr>
      <w:tr>
        <w:tblPrEx>
          <w:tblCellMar>
            <w:top w:w="0" w:type="dxa"/>
            <w:left w:w="108" w:type="dxa"/>
            <w:bottom w:w="0" w:type="dxa"/>
            <w:right w:w="108" w:type="dxa"/>
          </w:tblCellMar>
        </w:tblPrEx>
        <w:trPr>
          <w:gridAfter w:val="2"/>
          <w:wAfter w:w="43"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住所：</w:t>
            </w:r>
            <w:r>
              <w:rPr>
                <w:rFonts w:hint="eastAsia" w:ascii="宋体" w:hAnsi="宋体" w:cs="Arial"/>
                <w:b/>
                <w:color w:val="000000"/>
              </w:rPr>
              <w:t xml:space="preserve"> </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住所：</w:t>
            </w:r>
          </w:p>
        </w:tc>
        <w:tc>
          <w:tcPr>
            <w:tcW w:w="3467" w:type="dxa"/>
          </w:tcPr>
          <w:p>
            <w:pPr>
              <w:spacing w:line="600" w:lineRule="exact"/>
              <w:rPr>
                <w:rFonts w:ascii="仿宋" w:hAnsi="仿宋" w:eastAsia="仿宋" w:cs="仿宋"/>
                <w:b/>
                <w:sz w:val="24"/>
                <w:szCs w:val="24"/>
              </w:rPr>
            </w:pPr>
            <w:r>
              <w:rPr>
                <w:rFonts w:hint="eastAsia" w:ascii="仿宋" w:hAnsi="仿宋" w:eastAsia="仿宋" w:cs="仿宋"/>
                <w:b/>
                <w:sz w:val="24"/>
                <w:szCs w:val="24"/>
              </w:rPr>
              <w:t>住所：</w:t>
            </w: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法定代表人或委托代理人：（签字或盖章）</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法定代表人或委托代理人：（签字或盖章）</w:t>
            </w:r>
          </w:p>
        </w:tc>
        <w:tc>
          <w:tcPr>
            <w:tcW w:w="3496" w:type="dxa"/>
            <w:gridSpan w:val="2"/>
          </w:tcPr>
          <w:p>
            <w:pPr>
              <w:spacing w:line="600" w:lineRule="exact"/>
              <w:rPr>
                <w:rFonts w:ascii="仿宋" w:hAnsi="仿宋" w:eastAsia="仿宋" w:cs="仿宋"/>
                <w:b/>
                <w:sz w:val="24"/>
                <w:szCs w:val="24"/>
              </w:rPr>
            </w:pPr>
            <w:r>
              <w:rPr>
                <w:rFonts w:hint="eastAsia" w:ascii="仿宋" w:hAnsi="仿宋" w:eastAsia="仿宋" w:cs="仿宋"/>
                <w:b/>
                <w:sz w:val="24"/>
                <w:szCs w:val="24"/>
              </w:rPr>
              <w:t>法定代表人或委托代理人：</w:t>
            </w:r>
          </w:p>
          <w:p>
            <w:pPr>
              <w:spacing w:line="600" w:lineRule="exact"/>
              <w:rPr>
                <w:rFonts w:ascii="仿宋" w:hAnsi="仿宋" w:eastAsia="仿宋" w:cs="仿宋"/>
                <w:b/>
                <w:sz w:val="24"/>
                <w:szCs w:val="24"/>
              </w:rPr>
            </w:pPr>
            <w:r>
              <w:rPr>
                <w:rFonts w:hint="eastAsia" w:ascii="仿宋" w:hAnsi="仿宋" w:eastAsia="仿宋" w:cs="仿宋"/>
                <w:b/>
                <w:sz w:val="24"/>
                <w:szCs w:val="24"/>
              </w:rPr>
              <w:t>（签字或盖章）</w:t>
            </w: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p>
        </w:tc>
        <w:tc>
          <w:tcPr>
            <w:tcW w:w="3346" w:type="dxa"/>
          </w:tcPr>
          <w:p>
            <w:pPr>
              <w:spacing w:line="600" w:lineRule="exact"/>
              <w:rPr>
                <w:rFonts w:ascii="仿宋" w:hAnsi="仿宋" w:eastAsia="仿宋" w:cs="仿宋"/>
                <w:b/>
                <w:sz w:val="24"/>
                <w:szCs w:val="24"/>
              </w:rPr>
            </w:pPr>
          </w:p>
        </w:tc>
        <w:tc>
          <w:tcPr>
            <w:tcW w:w="3496" w:type="dxa"/>
            <w:gridSpan w:val="2"/>
          </w:tcPr>
          <w:p>
            <w:pPr>
              <w:spacing w:line="600" w:lineRule="exact"/>
              <w:rPr>
                <w:rFonts w:ascii="仿宋" w:hAnsi="仿宋" w:eastAsia="仿宋" w:cs="仿宋"/>
                <w:b/>
                <w:sz w:val="24"/>
                <w:szCs w:val="24"/>
              </w:rPr>
            </w:pPr>
          </w:p>
          <w:p>
            <w:pPr>
              <w:spacing w:line="600" w:lineRule="exact"/>
              <w:rPr>
                <w:rFonts w:ascii="仿宋" w:hAnsi="仿宋" w:eastAsia="仿宋" w:cs="仿宋"/>
                <w:b/>
                <w:sz w:val="24"/>
                <w:szCs w:val="24"/>
              </w:rPr>
            </w:pP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联系电话：</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联系电话：</w:t>
            </w:r>
          </w:p>
        </w:tc>
        <w:tc>
          <w:tcPr>
            <w:tcW w:w="3496" w:type="dxa"/>
            <w:gridSpan w:val="2"/>
          </w:tcPr>
          <w:p>
            <w:pPr>
              <w:spacing w:line="600" w:lineRule="exact"/>
              <w:rPr>
                <w:rFonts w:ascii="仿宋" w:hAnsi="仿宋" w:eastAsia="仿宋" w:cs="仿宋"/>
                <w:b/>
                <w:sz w:val="24"/>
                <w:szCs w:val="24"/>
              </w:rPr>
            </w:pPr>
            <w:r>
              <w:rPr>
                <w:rFonts w:hint="eastAsia" w:ascii="仿宋" w:hAnsi="仿宋" w:eastAsia="仿宋" w:cs="仿宋"/>
                <w:b/>
                <w:sz w:val="24"/>
                <w:szCs w:val="24"/>
              </w:rPr>
              <w:t>联系电话：</w:t>
            </w:r>
          </w:p>
          <w:p>
            <w:pPr>
              <w:spacing w:line="600" w:lineRule="exact"/>
              <w:rPr>
                <w:rFonts w:ascii="仿宋" w:hAnsi="仿宋" w:eastAsia="仿宋" w:cs="仿宋"/>
                <w:b/>
                <w:sz w:val="24"/>
                <w:szCs w:val="24"/>
              </w:rPr>
            </w:pP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开户银行：</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开户银行：</w:t>
            </w:r>
          </w:p>
        </w:tc>
        <w:tc>
          <w:tcPr>
            <w:tcW w:w="3496" w:type="dxa"/>
            <w:gridSpan w:val="2"/>
          </w:tcPr>
          <w:p>
            <w:pPr>
              <w:spacing w:line="600" w:lineRule="exact"/>
              <w:rPr>
                <w:rFonts w:ascii="仿宋" w:hAnsi="仿宋" w:eastAsia="仿宋" w:cs="仿宋"/>
                <w:b/>
                <w:sz w:val="24"/>
                <w:szCs w:val="24"/>
              </w:rPr>
            </w:pPr>
            <w:r>
              <w:rPr>
                <w:rFonts w:hint="eastAsia" w:ascii="仿宋" w:hAnsi="仿宋" w:eastAsia="仿宋" w:cs="仿宋"/>
                <w:b/>
                <w:sz w:val="24"/>
                <w:szCs w:val="24"/>
              </w:rPr>
              <w:t>开户银行：</w:t>
            </w: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帐号：</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帐号：</w:t>
            </w:r>
          </w:p>
        </w:tc>
        <w:tc>
          <w:tcPr>
            <w:tcW w:w="3496" w:type="dxa"/>
            <w:gridSpan w:val="2"/>
          </w:tcPr>
          <w:p>
            <w:pPr>
              <w:spacing w:line="600" w:lineRule="exact"/>
              <w:rPr>
                <w:rFonts w:ascii="仿宋" w:hAnsi="仿宋" w:eastAsia="仿宋" w:cs="仿宋"/>
                <w:b/>
                <w:sz w:val="24"/>
                <w:szCs w:val="24"/>
              </w:rPr>
            </w:pPr>
            <w:r>
              <w:rPr>
                <w:rFonts w:hint="eastAsia" w:ascii="仿宋" w:hAnsi="仿宋" w:eastAsia="仿宋" w:cs="仿宋"/>
                <w:b/>
                <w:sz w:val="24"/>
                <w:szCs w:val="24"/>
              </w:rPr>
              <w:t>帐号：</w:t>
            </w:r>
          </w:p>
        </w:tc>
      </w:tr>
      <w:tr>
        <w:tblPrEx>
          <w:tblCellMar>
            <w:top w:w="0" w:type="dxa"/>
            <w:left w:w="108" w:type="dxa"/>
            <w:bottom w:w="0" w:type="dxa"/>
            <w:right w:w="108" w:type="dxa"/>
          </w:tblCellMar>
        </w:tblPrEx>
        <w:trPr>
          <w:gridAfter w:val="1"/>
          <w:wAfter w:w="14" w:type="dxa"/>
        </w:trPr>
        <w:tc>
          <w:tcPr>
            <w:tcW w:w="3041" w:type="dxa"/>
          </w:tcPr>
          <w:p>
            <w:pPr>
              <w:spacing w:line="600" w:lineRule="exact"/>
              <w:rPr>
                <w:rFonts w:ascii="仿宋" w:hAnsi="仿宋" w:eastAsia="仿宋" w:cs="仿宋"/>
                <w:b/>
                <w:sz w:val="24"/>
                <w:szCs w:val="24"/>
              </w:rPr>
            </w:pPr>
            <w:r>
              <w:rPr>
                <w:rFonts w:hint="eastAsia" w:ascii="仿宋" w:hAnsi="仿宋" w:eastAsia="仿宋" w:cs="仿宋"/>
                <w:b/>
                <w:sz w:val="24"/>
                <w:szCs w:val="24"/>
              </w:rPr>
              <w:t>邮政编码：</w:t>
            </w:r>
          </w:p>
        </w:tc>
        <w:tc>
          <w:tcPr>
            <w:tcW w:w="3346" w:type="dxa"/>
          </w:tcPr>
          <w:p>
            <w:pPr>
              <w:spacing w:line="600" w:lineRule="exact"/>
              <w:rPr>
                <w:rFonts w:ascii="仿宋" w:hAnsi="仿宋" w:eastAsia="仿宋" w:cs="仿宋"/>
                <w:b/>
                <w:sz w:val="24"/>
                <w:szCs w:val="24"/>
              </w:rPr>
            </w:pPr>
            <w:r>
              <w:rPr>
                <w:rFonts w:hint="eastAsia" w:ascii="仿宋" w:hAnsi="仿宋" w:eastAsia="仿宋" w:cs="仿宋"/>
                <w:b/>
                <w:sz w:val="24"/>
                <w:szCs w:val="24"/>
              </w:rPr>
              <w:t>邮政编码：</w:t>
            </w:r>
          </w:p>
        </w:tc>
        <w:tc>
          <w:tcPr>
            <w:tcW w:w="3496" w:type="dxa"/>
            <w:gridSpan w:val="2"/>
          </w:tcPr>
          <w:p>
            <w:pPr>
              <w:spacing w:line="600" w:lineRule="exact"/>
              <w:rPr>
                <w:rFonts w:ascii="仿宋" w:hAnsi="仿宋" w:eastAsia="仿宋" w:cs="仿宋"/>
                <w:b/>
                <w:sz w:val="24"/>
                <w:szCs w:val="24"/>
              </w:rPr>
            </w:pPr>
            <w:r>
              <w:rPr>
                <w:rFonts w:hint="eastAsia" w:ascii="仿宋" w:hAnsi="仿宋" w:eastAsia="仿宋" w:cs="仿宋"/>
                <w:b/>
                <w:sz w:val="24"/>
                <w:szCs w:val="24"/>
              </w:rPr>
              <w:t>邮政编码：</w:t>
            </w:r>
          </w:p>
        </w:tc>
      </w:tr>
    </w:tbl>
    <w:p>
      <w:pPr>
        <w:tabs>
          <w:tab w:val="left" w:pos="540"/>
        </w:tabs>
        <w:spacing w:line="360" w:lineRule="auto"/>
        <w:rPr>
          <w:rFonts w:ascii="仿宋" w:hAnsi="仿宋" w:eastAsia="仿宋" w:cs="仿宋"/>
          <w:sz w:val="24"/>
          <w:szCs w:val="24"/>
        </w:rPr>
      </w:pPr>
    </w:p>
    <w:p>
      <w:pPr>
        <w:jc w:val="center"/>
        <w:rPr>
          <w:rStyle w:val="218"/>
          <w:rFonts w:ascii="仿宋" w:hAnsi="仿宋" w:eastAsia="仿宋" w:cs="仿宋"/>
          <w:bCs w:val="0"/>
          <w:sz w:val="24"/>
          <w:szCs w:val="24"/>
        </w:rPr>
      </w:pPr>
      <w:bookmarkStart w:id="199" w:name="_Toc27122191"/>
      <w:bookmarkStart w:id="200" w:name="_Toc375218719"/>
      <w:bookmarkStart w:id="201" w:name="_Toc381358645"/>
      <w:r>
        <w:rPr>
          <w:rStyle w:val="218"/>
          <w:rFonts w:ascii="仿宋" w:hAnsi="仿宋" w:eastAsia="仿宋" w:cs="仿宋"/>
          <w:bCs w:val="0"/>
          <w:sz w:val="24"/>
          <w:szCs w:val="24"/>
        </w:rPr>
        <w:br w:type="page"/>
      </w:r>
      <w:r>
        <w:rPr>
          <w:rStyle w:val="218"/>
          <w:rFonts w:hint="eastAsia" w:ascii="仿宋" w:hAnsi="仿宋" w:eastAsia="仿宋" w:cs="仿宋"/>
          <w:bCs w:val="0"/>
          <w:sz w:val="24"/>
          <w:szCs w:val="24"/>
        </w:rPr>
        <w:t>二、合同条款通用部分</w:t>
      </w:r>
      <w:bookmarkEnd w:id="199"/>
      <w:bookmarkEnd w:id="200"/>
      <w:bookmarkEnd w:id="201"/>
    </w:p>
    <w:p>
      <w:pPr>
        <w:pStyle w:val="6"/>
        <w:keepNext w:val="0"/>
        <w:keepLines w:val="0"/>
        <w:numPr>
          <w:ilvl w:val="1"/>
          <w:numId w:val="0"/>
        </w:numPr>
        <w:tabs>
          <w:tab w:val="left" w:pos="1200"/>
          <w:tab w:val="left" w:pos="2835"/>
        </w:tabs>
        <w:adjustRightInd w:val="0"/>
        <w:spacing w:before="240" w:beforeLines="100" w:after="240" w:afterLines="100" w:line="360" w:lineRule="auto"/>
        <w:textAlignment w:val="baseline"/>
        <w:rPr>
          <w:rStyle w:val="218"/>
          <w:rFonts w:ascii="仿宋" w:hAnsi="仿宋" w:eastAsia="仿宋" w:cs="仿宋"/>
          <w:b/>
          <w:bCs/>
          <w:sz w:val="24"/>
          <w:szCs w:val="24"/>
        </w:rPr>
      </w:pPr>
      <w:bookmarkStart w:id="202" w:name="_Toc218048783"/>
      <w:bookmarkStart w:id="203" w:name="_Toc381358646"/>
      <w:bookmarkStart w:id="204" w:name="_Toc217443919"/>
      <w:bookmarkStart w:id="205" w:name="_Toc256955330"/>
      <w:bookmarkStart w:id="206" w:name="_Toc375218720"/>
      <w:bookmarkStart w:id="207" w:name="_Toc218048963"/>
      <w:bookmarkStart w:id="208" w:name="_Toc27122192"/>
      <w:bookmarkStart w:id="209" w:name="_Toc201377865"/>
      <w:r>
        <w:rPr>
          <w:rStyle w:val="218"/>
          <w:rFonts w:hint="eastAsia" w:ascii="仿宋" w:hAnsi="仿宋" w:eastAsia="仿宋" w:cs="仿宋"/>
          <w:b/>
          <w:bCs/>
          <w:sz w:val="24"/>
          <w:szCs w:val="24"/>
        </w:rPr>
        <w:t>1.一般规定</w:t>
      </w:r>
      <w:bookmarkEnd w:id="202"/>
      <w:bookmarkEnd w:id="203"/>
      <w:bookmarkEnd w:id="204"/>
      <w:bookmarkEnd w:id="205"/>
      <w:bookmarkEnd w:id="206"/>
      <w:bookmarkEnd w:id="207"/>
      <w:bookmarkEnd w:id="208"/>
    </w:p>
    <w:p>
      <w:pPr>
        <w:pStyle w:val="6"/>
        <w:keepNext w:val="0"/>
        <w:keepLines w:val="0"/>
        <w:numPr>
          <w:ilvl w:val="1"/>
          <w:numId w:val="0"/>
        </w:numPr>
        <w:tabs>
          <w:tab w:val="left" w:pos="1200"/>
          <w:tab w:val="left" w:pos="2835"/>
        </w:tabs>
        <w:adjustRightInd w:val="0"/>
        <w:spacing w:before="0" w:line="360" w:lineRule="auto"/>
        <w:jc w:val="left"/>
        <w:textAlignment w:val="baseline"/>
        <w:rPr>
          <w:rFonts w:ascii="仿宋" w:hAnsi="仿宋" w:eastAsia="仿宋" w:cs="仿宋"/>
          <w:sz w:val="24"/>
          <w:szCs w:val="24"/>
        </w:rPr>
      </w:pPr>
      <w:bookmarkStart w:id="210" w:name="_Toc375218721"/>
      <w:bookmarkStart w:id="211" w:name="_Toc27122193"/>
      <w:r>
        <w:rPr>
          <w:rFonts w:hint="eastAsia" w:ascii="仿宋" w:hAnsi="仿宋" w:eastAsia="仿宋" w:cs="仿宋"/>
          <w:sz w:val="24"/>
          <w:szCs w:val="24"/>
        </w:rPr>
        <w:t>1.1 词语定义</w:t>
      </w:r>
      <w:bookmarkEnd w:id="210"/>
      <w:bookmarkEnd w:id="211"/>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w:t>
      </w:r>
      <w:r>
        <w:rPr>
          <w:rFonts w:hint="eastAsia" w:ascii="仿宋" w:hAnsi="仿宋" w:eastAsia="仿宋" w:cs="仿宋"/>
          <w:b/>
          <w:sz w:val="24"/>
          <w:szCs w:val="24"/>
        </w:rPr>
        <w:t>合同条款专用部分</w:t>
      </w:r>
      <w:r>
        <w:rPr>
          <w:rFonts w:hint="eastAsia" w:ascii="仿宋" w:hAnsi="仿宋" w:eastAsia="仿宋" w:cs="仿宋"/>
          <w:sz w:val="24"/>
          <w:szCs w:val="24"/>
        </w:rPr>
        <w:t>另有约定，本合同中下列措词及用语应当具有本条款所赋予的含义。</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1.1.1工程与货物</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1.1.1.1整体工程：指合同协议书载明的，总承包人采购并由供应商提供货物用于其建设并构成其组成部分的建设工程。</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1.1.1.2采购项目：指总承包人在合同协议书中约定的建设工程货物的采购事项。</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1.1.1.3货物：指供应商按照供货合同约定向总承包人提供的，构成整体工程不可分割的组成部分，且为实现整体工程基本功能所必须的工程设备、材料。</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1.1.1.4服务：指供货合同约定供应商应当承担的技术服务和售后服务等与供货有关的辅助工作。</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1.1.1.5供货地点：指由总承包人指定的其所购买的货物运达的场所或者合同条款专用部分约定的其他场所。</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1.1.1.6供货周期：指合同协议书中约定的供应商完成采购项目的期限。</w:t>
      </w:r>
    </w:p>
    <w:p>
      <w:pPr>
        <w:tabs>
          <w:tab w:val="left" w:pos="1406"/>
        </w:tabs>
        <w:spacing w:line="360" w:lineRule="auto"/>
        <w:ind w:firstLine="820" w:firstLineChars="342"/>
        <w:rPr>
          <w:rFonts w:ascii="仿宋" w:hAnsi="仿宋" w:eastAsia="仿宋" w:cs="仿宋"/>
          <w:b/>
          <w:sz w:val="24"/>
          <w:szCs w:val="24"/>
        </w:rPr>
      </w:pPr>
      <w:r>
        <w:rPr>
          <w:rFonts w:hint="eastAsia" w:ascii="仿宋" w:hAnsi="仿宋" w:eastAsia="仿宋" w:cs="仿宋"/>
          <w:sz w:val="24"/>
          <w:szCs w:val="24"/>
        </w:rPr>
        <w:t>1.1.1.7质量保证期：指供应商按照国家相关法律、法规、规章、规范性文件及供货合同约定，全面履行货物质量保证的期限。</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1.1.2合同</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1.1.2.1供货合同：指建设单位、总承包人和供应商三方当事人共同签署约定双方权利义务的文件。</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1.1.2.2合同文件：指合同协议书中所约定的构成供货合同的所有文件。</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1.1.2.3合同协议书：指由建设单位、总承包人和供应商共同签署的用于明确当事人合同关系的文件。</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1.1.2.4中标通知书：指总承包人通知供应商中标的函件。</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1.1.2.5投标函：指构成合同文件组成部分的由供应商填写并签署的投标函。</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1.1.2.6投标函附录：指附在投标函后构成合同文件的投标函附录。</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1.1.2.7合同条款通用部分：指根据有关法律、法规规定，通用于房屋建筑和市政基础设施建设项目货物采购活动，明确合同当事人主要权利义务的文件。</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1.1.2.8合同条款专用部分：指构合同当事人根据供货合同实际需要对合同条款通用部分相关内容的具体约定、补充和修订。</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1.1.2.9投标报价表：指构成合同文件组成部分的，由供应商按照规定的格式和要求填写并标明价格的投标报价表。</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1.1.2.10技术响应资料：指构成合同文件组成部分的，由供应商按照规定的格式和要求填写的技术响应资料。</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1.1.2.11技术标准和要求：指根据采购项目的的实际情况，用以明确采购内容及范围、技术标准、技术要求、服务要求、相关图纸等内容的文件。</w:t>
      </w:r>
    </w:p>
    <w:p>
      <w:pPr>
        <w:tabs>
          <w:tab w:val="left" w:pos="1406"/>
        </w:tabs>
        <w:spacing w:line="360" w:lineRule="auto"/>
        <w:ind w:firstLine="820" w:firstLineChars="342"/>
        <w:rPr>
          <w:rFonts w:ascii="仿宋" w:hAnsi="仿宋" w:eastAsia="仿宋" w:cs="仿宋"/>
          <w:b/>
          <w:sz w:val="24"/>
          <w:szCs w:val="24"/>
        </w:rPr>
      </w:pPr>
      <w:r>
        <w:rPr>
          <w:rFonts w:hint="eastAsia" w:ascii="仿宋" w:hAnsi="仿宋" w:eastAsia="仿宋" w:cs="仿宋"/>
          <w:sz w:val="24"/>
          <w:szCs w:val="24"/>
        </w:rPr>
        <w:t>1.1.2.12其他合同文件：指经合同三方当事人确认构成合同文件的其他文件。</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1.1.3合同当事人</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1.1.3.1建设单位：指合同协议书中载明的，具有支付合同价款能力的当事人以及取得该当事人资格的合法继承人</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1.1.3.2总承包人：指合同协议书中载明的，具有采购约定货物及服务的主体资格，并取得该当事人资格的合法继承人。</w:t>
      </w:r>
    </w:p>
    <w:p>
      <w:pPr>
        <w:tabs>
          <w:tab w:val="left" w:pos="1406"/>
        </w:tabs>
        <w:spacing w:line="360" w:lineRule="auto"/>
        <w:ind w:firstLine="820" w:firstLineChars="342"/>
        <w:rPr>
          <w:rFonts w:ascii="仿宋" w:hAnsi="仿宋" w:eastAsia="仿宋" w:cs="仿宋"/>
          <w:b/>
          <w:sz w:val="24"/>
          <w:szCs w:val="24"/>
        </w:rPr>
      </w:pPr>
      <w:r>
        <w:rPr>
          <w:rFonts w:hint="eastAsia" w:ascii="仿宋" w:hAnsi="仿宋" w:eastAsia="仿宋" w:cs="仿宋"/>
          <w:sz w:val="24"/>
          <w:szCs w:val="24"/>
        </w:rPr>
        <w:t>1.1.3.3供应商：指合同协议书中载明的，具有提供约定货物及服务的主体资格的当事人以及取得该当事人资格的合法继承人。</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1.1.4其他</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1.1.4.1天：除特别指明外，指日历天。合同中按天计算时间的，开始当天不计入，从次日开始计算。期限最后一天的截止时间为当天24:00。</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1.1.4.2签约合同价款：指建设单位、总承包人和供应商在本供货合同协议书中约定的签约合同价款，</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1.1.4.3合同价款：指建设单位用以支付供应商按照合同文件约定完成采购范围内全部工作并承担质量保证责任的款项，包括签约合同价款以及根据合同文件约定对其进行的调整。</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1.1.4.4违约责任：指合同一方不履行合同义务或履行合同义务不符合约定所应当承担的责任。</w:t>
      </w:r>
    </w:p>
    <w:p>
      <w:pPr>
        <w:tabs>
          <w:tab w:val="left" w:pos="1406"/>
        </w:tabs>
        <w:spacing w:line="360" w:lineRule="auto"/>
        <w:ind w:firstLine="820" w:firstLineChars="342"/>
        <w:rPr>
          <w:rFonts w:ascii="仿宋" w:hAnsi="仿宋" w:eastAsia="仿宋" w:cs="仿宋"/>
          <w:sz w:val="24"/>
          <w:szCs w:val="24"/>
        </w:rPr>
      </w:pPr>
      <w:r>
        <w:rPr>
          <w:rFonts w:hint="eastAsia" w:ascii="仿宋" w:hAnsi="仿宋" w:eastAsia="仿宋" w:cs="仿宋"/>
          <w:sz w:val="24"/>
          <w:szCs w:val="24"/>
        </w:rPr>
        <w:t>1.1.4.5不可抗力：指不能预见、不能避免且不能克服的客观情况。</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1.1.5</w:t>
      </w:r>
      <w:r>
        <w:rPr>
          <w:rFonts w:hint="eastAsia" w:ascii="仿宋" w:hAnsi="仿宋" w:eastAsia="仿宋" w:cs="仿宋"/>
          <w:sz w:val="24"/>
          <w:szCs w:val="24"/>
        </w:rPr>
        <w:t>本合同涉及的其他词语定义见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12" w:name="_Toc27122194"/>
      <w:bookmarkStart w:id="213" w:name="_Toc375218722"/>
      <w:r>
        <w:rPr>
          <w:rFonts w:hint="eastAsia" w:ascii="仿宋" w:hAnsi="仿宋" w:eastAsia="仿宋" w:cs="仿宋"/>
          <w:sz w:val="24"/>
          <w:szCs w:val="24"/>
        </w:rPr>
        <w:t>1.2解释</w:t>
      </w:r>
      <w:bookmarkEnd w:id="212"/>
      <w:bookmarkEnd w:id="21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凡指当事人或当事人各方的词语，均指具有相应民事权利能力和民事行为能力的法人或其他组织，即建设单位、总承包人和供应商。</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本供货合同条款及其他合同文件中出现的标题只起索引和内容提示作用，标题本身不构成合同文件的一部分，在对合同文件进行解释时不应当考虑。</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除非有特别指明是合同条款专用部分，凡合同文件中对合同条款编号的引用，无论是否已指明是合同条款通用部分，均是指合同条款通用部分，包括合同条款专用部分中对其的补充和修订。</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14" w:name="_Toc375218723"/>
      <w:bookmarkStart w:id="215" w:name="_Toc27122195"/>
      <w:r>
        <w:rPr>
          <w:rFonts w:hint="eastAsia" w:ascii="仿宋" w:hAnsi="仿宋" w:eastAsia="仿宋" w:cs="仿宋"/>
          <w:sz w:val="24"/>
          <w:szCs w:val="24"/>
        </w:rPr>
        <w:t>1.3书面形式</w:t>
      </w:r>
      <w:bookmarkEnd w:id="214"/>
      <w:bookmarkEnd w:id="21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书面形式，是指手写、打字或印刷等可以有形地表现所载内容的形式。</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合同文件另有约定，上述第1.1.2.2目所包含合同文件均应当是书面形式，合同文件中的任何条款所述及的由任何人所发出或颁发的任何通知、批准、证明、证书、指示、要求、请求、同意、意见、确定和决定等，均应当是书面形式。</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除非合同文件另有约定，任何书面形式的通知、指示、同意、批准、证书及决定等，应当由人工送达并取得书面签收，或通过邮寄并保存邮局的邮寄证明，并不应当被无故扣押或拖延。</w:t>
      </w:r>
    </w:p>
    <w:p>
      <w:pPr>
        <w:tabs>
          <w:tab w:val="left" w:pos="1406"/>
        </w:tabs>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此类书面表达的通知、指示、同意、批准、证书及决定等的送达地址等</w:t>
      </w:r>
      <w:r>
        <w:rPr>
          <w:rFonts w:hint="eastAsia" w:ascii="仿宋" w:hAnsi="仿宋" w:eastAsia="仿宋" w:cs="仿宋"/>
          <w:bCs/>
          <w:sz w:val="24"/>
          <w:szCs w:val="24"/>
        </w:rPr>
        <w:t>见</w:t>
      </w:r>
      <w:r>
        <w:rPr>
          <w:rFonts w:hint="eastAsia" w:ascii="仿宋" w:hAnsi="仿宋" w:eastAsia="仿宋" w:cs="仿宋"/>
          <w:b/>
          <w:bCs/>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16" w:name="_Toc27122196"/>
      <w:bookmarkStart w:id="217" w:name="_Toc218048784"/>
      <w:bookmarkStart w:id="218" w:name="_Toc217443920"/>
      <w:bookmarkStart w:id="219" w:name="_Toc256955331"/>
      <w:bookmarkStart w:id="220" w:name="_Toc375218724"/>
      <w:bookmarkStart w:id="221" w:name="_Toc218048964"/>
      <w:r>
        <w:rPr>
          <w:rFonts w:hint="eastAsia" w:ascii="仿宋" w:hAnsi="仿宋" w:eastAsia="仿宋" w:cs="仿宋"/>
          <w:sz w:val="24"/>
          <w:szCs w:val="24"/>
        </w:rPr>
        <w:t>1.4语言和文字</w:t>
      </w:r>
      <w:bookmarkEnd w:id="216"/>
      <w:bookmarkEnd w:id="217"/>
      <w:bookmarkEnd w:id="218"/>
      <w:bookmarkEnd w:id="219"/>
      <w:bookmarkEnd w:id="220"/>
      <w:bookmarkEnd w:id="221"/>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22" w:name="_Toc256955332"/>
      <w:bookmarkStart w:id="223" w:name="_Toc217443921"/>
      <w:bookmarkStart w:id="224" w:name="_Toc218048965"/>
      <w:bookmarkStart w:id="225" w:name="_Toc375218725"/>
      <w:bookmarkStart w:id="226" w:name="_Toc27122197"/>
      <w:bookmarkStart w:id="227" w:name="_Toc218048785"/>
      <w:r>
        <w:rPr>
          <w:rFonts w:hint="eastAsia" w:ascii="仿宋" w:hAnsi="仿宋" w:eastAsia="仿宋" w:cs="仿宋"/>
          <w:sz w:val="24"/>
          <w:szCs w:val="24"/>
        </w:rPr>
        <w:t>1.5合同文件的组成及解释顺序</w:t>
      </w:r>
      <w:bookmarkEnd w:id="222"/>
      <w:bookmarkEnd w:id="223"/>
      <w:bookmarkEnd w:id="224"/>
      <w:bookmarkEnd w:id="225"/>
      <w:bookmarkEnd w:id="226"/>
      <w:bookmarkEnd w:id="22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构成本供货合同的合同文件之间应当能相互说明和相互补充。除非合同文件另有约定，合同文件的组成及解释顺序如下：</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合同协议书；</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中标通知书；</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投标函及其附录；</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合同条款专用部分；</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合同条款通用部分；</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投标报价表；</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技术响应资料；</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技术标准和要求；</w:t>
      </w:r>
    </w:p>
    <w:p>
      <w:pPr>
        <w:numPr>
          <w:ilvl w:val="0"/>
          <w:numId w:val="8"/>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其他合同文件，见</w:t>
      </w:r>
      <w:r>
        <w:rPr>
          <w:rFonts w:hint="eastAsia" w:ascii="仿宋" w:hAnsi="仿宋" w:eastAsia="仿宋" w:cs="仿宋"/>
          <w:b/>
          <w:sz w:val="24"/>
          <w:szCs w:val="24"/>
        </w:rPr>
        <w:t>合同条款专用部分</w:t>
      </w:r>
      <w:r>
        <w:rPr>
          <w:rFonts w:hint="eastAsia" w:ascii="仿宋" w:hAnsi="仿宋" w:eastAsia="仿宋" w:cs="仿宋"/>
          <w:sz w:val="24"/>
          <w:szCs w:val="24"/>
        </w:rPr>
        <w:t>规定。</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三方在本供货合同履行中所共同签署或认可的符合现行法律、法规、规章及规范性文件，且符合本供货合同实质性约定的指令、洽商、纪要或同类性质的文件，均构成合同文件的有效补充。</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28" w:name="_Toc217443922"/>
      <w:bookmarkStart w:id="229" w:name="_Toc375218726"/>
      <w:bookmarkStart w:id="230" w:name="_Toc218048966"/>
      <w:bookmarkStart w:id="231" w:name="_Toc256955333"/>
      <w:bookmarkStart w:id="232" w:name="_Toc27122198"/>
      <w:bookmarkStart w:id="233" w:name="_Toc218048786"/>
      <w:r>
        <w:rPr>
          <w:rFonts w:hint="eastAsia" w:ascii="仿宋" w:hAnsi="仿宋" w:eastAsia="仿宋" w:cs="仿宋"/>
          <w:sz w:val="24"/>
          <w:szCs w:val="24"/>
        </w:rPr>
        <w:t>1.6适用法律和法规</w:t>
      </w:r>
      <w:bookmarkEnd w:id="228"/>
      <w:bookmarkEnd w:id="229"/>
      <w:bookmarkEnd w:id="230"/>
      <w:bookmarkEnd w:id="231"/>
      <w:bookmarkEnd w:id="232"/>
      <w:bookmarkEnd w:id="23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本供货合同适用国家法律、行政法规及江西省地方法规。除非合同文件另有约定，国家及江西省建设行政主管部门制定的规章和规范性文件也适用于本供货合同。</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34" w:name="_Toc27122199"/>
      <w:bookmarkStart w:id="235" w:name="_Toc375218727"/>
      <w:r>
        <w:rPr>
          <w:rFonts w:hint="eastAsia" w:ascii="仿宋" w:hAnsi="仿宋" w:eastAsia="仿宋" w:cs="仿宋"/>
          <w:sz w:val="24"/>
          <w:szCs w:val="24"/>
        </w:rPr>
        <w:t>1.7技术标准和要求</w:t>
      </w:r>
      <w:bookmarkEnd w:id="234"/>
      <w:bookmarkEnd w:id="23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供应商按照合同文件约定的“技术标准和要求”执行。除已在技术响应资料中明示并取得总承包人认可的偏差外，供应商如果更改本采购项目“技术标准和要求”，应当事先获得总承包人书面形式认可。</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如果“技术标准和要求”中出现国外规范或标准，总承包人应当向供应商提供中文译本，除非合同文件另有约定，与此有关的购买和翻译等费用由总承包人承担。</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如果“技术标准和要求”各条款相互之间存在矛盾，供应商应当遵循较严格的规定，相关费用已包括在合同价款内。</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Fonts w:ascii="仿宋" w:hAnsi="仿宋" w:eastAsia="仿宋" w:cs="仿宋"/>
          <w:sz w:val="24"/>
          <w:szCs w:val="24"/>
        </w:rPr>
      </w:pPr>
      <w:bookmarkStart w:id="236" w:name="_Toc218048968"/>
      <w:bookmarkStart w:id="237" w:name="_Toc256955335"/>
      <w:bookmarkStart w:id="238" w:name="_Toc218048788"/>
      <w:bookmarkStart w:id="239" w:name="_Toc375218728"/>
      <w:bookmarkStart w:id="240" w:name="_Toc27122200"/>
      <w:bookmarkStart w:id="241" w:name="_Toc217443924"/>
      <w:r>
        <w:rPr>
          <w:rFonts w:hint="eastAsia" w:ascii="仿宋" w:hAnsi="仿宋" w:eastAsia="仿宋" w:cs="仿宋"/>
          <w:sz w:val="24"/>
          <w:szCs w:val="24"/>
        </w:rPr>
        <w:t>1.8图纸</w:t>
      </w:r>
      <w:bookmarkEnd w:id="236"/>
      <w:bookmarkEnd w:id="237"/>
      <w:bookmarkEnd w:id="238"/>
      <w:bookmarkEnd w:id="239"/>
      <w:bookmarkEnd w:id="240"/>
      <w:bookmarkEnd w:id="241"/>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1.8.1图纸</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总承包人应当按照合同文件约定向供应商提供图纸，提供图纸的日期及图纸套数见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总承包人所提供的图纸套数无法满足需要时，由供应商自费复制。</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如果购买或复制标准图纸，购买或复制标准图纸的责任及费用由供应商承担。</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1.8.2图纸误期和误期的费用</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由于总承包人未能按时向供应商提供图纸，已经或将要对供货周期造成影响时，供应商可以书面形式通知总承包人，说明所缺图纸的具体细节、对供货周期的影响以及提供图纸的最晚时间。总承包人仍然未能向供应商提供所需图纸，应当依据实际延误情况延长供货周期并为供应商追加由此而发生的额外费用。</w:t>
      </w:r>
    </w:p>
    <w:p>
      <w:pPr>
        <w:tabs>
          <w:tab w:val="left" w:pos="1406"/>
        </w:tabs>
        <w:spacing w:line="360" w:lineRule="auto"/>
        <w:ind w:firstLine="412" w:firstLineChars="171"/>
        <w:rPr>
          <w:rFonts w:ascii="仿宋" w:hAnsi="仿宋" w:eastAsia="仿宋" w:cs="仿宋"/>
          <w:b/>
          <w:sz w:val="24"/>
          <w:szCs w:val="24"/>
        </w:rPr>
      </w:pPr>
      <w:r>
        <w:rPr>
          <w:rFonts w:hint="eastAsia" w:ascii="仿宋" w:hAnsi="仿宋" w:eastAsia="仿宋" w:cs="仿宋"/>
          <w:b/>
          <w:sz w:val="24"/>
          <w:szCs w:val="24"/>
        </w:rPr>
        <w:t>1.8.3</w:t>
      </w:r>
      <w:r>
        <w:rPr>
          <w:rFonts w:hint="eastAsia" w:ascii="仿宋" w:hAnsi="仿宋" w:eastAsia="仿宋" w:cs="仿宋"/>
          <w:sz w:val="24"/>
          <w:szCs w:val="24"/>
        </w:rPr>
        <w:t>其他规定见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42" w:name="_Toc256955336"/>
      <w:bookmarkStart w:id="243" w:name="_Toc27122201"/>
      <w:bookmarkStart w:id="244" w:name="_Toc375218729"/>
      <w:bookmarkStart w:id="245" w:name="_Toc381358647"/>
      <w:r>
        <w:rPr>
          <w:rStyle w:val="218"/>
          <w:rFonts w:hint="eastAsia" w:ascii="仿宋" w:hAnsi="仿宋" w:eastAsia="仿宋" w:cs="仿宋"/>
          <w:b/>
          <w:bCs/>
          <w:sz w:val="24"/>
          <w:szCs w:val="24"/>
        </w:rPr>
        <w:t>2.建设单位、总承包人</w:t>
      </w:r>
      <w:bookmarkEnd w:id="242"/>
      <w:r>
        <w:rPr>
          <w:rStyle w:val="218"/>
          <w:rFonts w:hint="eastAsia" w:ascii="仿宋" w:hAnsi="仿宋" w:eastAsia="仿宋" w:cs="仿宋"/>
          <w:b/>
          <w:bCs/>
          <w:sz w:val="24"/>
          <w:szCs w:val="24"/>
        </w:rPr>
        <w:t>义务</w:t>
      </w:r>
      <w:bookmarkEnd w:id="243"/>
      <w:bookmarkEnd w:id="244"/>
      <w:bookmarkEnd w:id="24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2.1建设单位应当按照合同文件的约定全面履行合同义务，并承担相应的费用。其义务包括：</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（1）按照合同文件的约定履行付款义务。</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2.2总承包人应当按照合同文件的约定全面履行合同义务，并承担相应的费用。其义务包括：</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（1）在履行合同过程中应当遵守任何适用的法律、法规、规章和规范性文件，并保证供应商免于承担因总承包人违反法律、法规、规章和规范性文件而引起的任何责任。</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（2）按照合同文件的约定回复、审批或确认供应商提出的任何询问或申请。未在合同文件约定的时间内回复、审批或确认的，应当视为已获得总承包人批准。</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（3）应当按照合同文件约定向供应商提供图纸。</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（4）其他义务见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46" w:name="_Toc375218730"/>
      <w:bookmarkStart w:id="247" w:name="_Toc381358648"/>
      <w:bookmarkStart w:id="248" w:name="_Toc27122202"/>
      <w:r>
        <w:rPr>
          <w:rStyle w:val="218"/>
          <w:rFonts w:hint="eastAsia" w:ascii="仿宋" w:hAnsi="仿宋" w:eastAsia="仿宋" w:cs="仿宋"/>
          <w:b/>
          <w:bCs/>
          <w:sz w:val="24"/>
          <w:szCs w:val="24"/>
        </w:rPr>
        <w:t>3.供应商义务</w:t>
      </w:r>
      <w:bookmarkEnd w:id="246"/>
      <w:bookmarkEnd w:id="247"/>
      <w:bookmarkEnd w:id="248"/>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供应商应当按照合同文件约定全面履行合同义务，并承担相应的费用。其义务包括：</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（1）在履行合同过程中应当遵守任何适用的法律、法规、规章和规范性文件。</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（2）应当严格按照本合同文件约定供货及提供相关服务。</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（3）应当对本采购项目货物的质量负全面责任，但属于非供应商原因造成的本采购项目的缺陷和质量事故的责任除外。</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（4）应当按照合同文件约定的工作内容和供货周期要求，编制采购项目供货计划。</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（5）总承包人按照合同文件约定所发出的所有指令，供应商应当予以执行。</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（6）总承包人应当以书面形式发出指令。总承包人以口头形式发出的指令，供应商有权拒绝执行，但三方另有约定的除外。</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（7）负责本采购项目与其他项目技术支持、试验测试、设计联络、协调管理、调试、图纸资料、技术文件管理方面的工作。</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合同文件约定需总承包人审批、认可的货物（包括样本、文件或工作），供应商应当按照合同文件约定提交总承包人。总承包人应当及时向供应商出具相关审批意见。审批意见应当以书面形式发出，未以书面形式发出审批意见或超过合同文件约定时间的，以供应商发出的文件为准。总承包人的任何批准、不批准或修改建议皆不会减轻或免除供应商按照合同文件而承担的责任。</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（9）应当审阅所有合同文件。发现合同文件有歧义或需要补齐、补正有关内容的，应当及时告知总承包人。</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（10）其他义务见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49" w:name="_Toc255490660"/>
      <w:bookmarkEnd w:id="249"/>
      <w:bookmarkStart w:id="250" w:name="_Toc255490659"/>
      <w:bookmarkEnd w:id="250"/>
      <w:bookmarkStart w:id="251" w:name="_Toc255490670"/>
      <w:bookmarkEnd w:id="251"/>
      <w:bookmarkStart w:id="252" w:name="_Toc255490673"/>
      <w:bookmarkEnd w:id="252"/>
      <w:bookmarkStart w:id="253" w:name="_Toc255490662"/>
      <w:bookmarkEnd w:id="253"/>
      <w:bookmarkStart w:id="254" w:name="_Toc255490663"/>
      <w:bookmarkEnd w:id="254"/>
      <w:bookmarkStart w:id="255" w:name="_Toc255490664"/>
      <w:bookmarkEnd w:id="255"/>
      <w:bookmarkStart w:id="256" w:name="_Toc255490658"/>
      <w:bookmarkEnd w:id="256"/>
      <w:bookmarkStart w:id="257" w:name="_Toc255490668"/>
      <w:bookmarkEnd w:id="257"/>
      <w:bookmarkStart w:id="258" w:name="_Toc255490661"/>
      <w:bookmarkEnd w:id="258"/>
      <w:bookmarkStart w:id="259" w:name="_Toc255490674"/>
      <w:bookmarkEnd w:id="259"/>
      <w:bookmarkStart w:id="260" w:name="_Toc255490675"/>
      <w:bookmarkEnd w:id="260"/>
      <w:bookmarkStart w:id="261" w:name="_Toc255490672"/>
      <w:bookmarkEnd w:id="261"/>
      <w:bookmarkStart w:id="262" w:name="_Toc255490671"/>
      <w:bookmarkEnd w:id="262"/>
      <w:bookmarkStart w:id="263" w:name="_Toc255490666"/>
      <w:bookmarkEnd w:id="263"/>
      <w:bookmarkStart w:id="264" w:name="_Toc255490667"/>
      <w:bookmarkEnd w:id="264"/>
      <w:bookmarkStart w:id="265" w:name="_Toc255490665"/>
      <w:bookmarkEnd w:id="265"/>
      <w:bookmarkStart w:id="266" w:name="_Toc381358649"/>
      <w:bookmarkStart w:id="267" w:name="_Toc256955338"/>
      <w:bookmarkStart w:id="268" w:name="_Toc375218731"/>
      <w:bookmarkStart w:id="269" w:name="_Toc27122203"/>
      <w:r>
        <w:rPr>
          <w:rStyle w:val="218"/>
          <w:rFonts w:hint="eastAsia" w:ascii="仿宋" w:hAnsi="仿宋" w:eastAsia="仿宋" w:cs="仿宋"/>
          <w:b/>
          <w:bCs/>
          <w:sz w:val="24"/>
          <w:szCs w:val="24"/>
        </w:rPr>
        <w:t>4.采购项目供货计划</w:t>
      </w:r>
      <w:bookmarkEnd w:id="266"/>
      <w:bookmarkEnd w:id="267"/>
      <w:bookmarkEnd w:id="268"/>
      <w:bookmarkEnd w:id="269"/>
    </w:p>
    <w:p>
      <w:pPr>
        <w:pStyle w:val="6"/>
        <w:keepNext w:val="0"/>
        <w:keepLines w:val="0"/>
        <w:numPr>
          <w:ilvl w:val="1"/>
          <w:numId w:val="0"/>
        </w:numPr>
        <w:tabs>
          <w:tab w:val="left" w:pos="1200"/>
          <w:tab w:val="left" w:pos="2835"/>
        </w:tabs>
        <w:adjustRightInd w:val="0"/>
        <w:spacing w:before="0" w:line="360" w:lineRule="auto"/>
        <w:jc w:val="left"/>
        <w:textAlignment w:val="baseline"/>
        <w:rPr>
          <w:rFonts w:ascii="仿宋" w:hAnsi="仿宋" w:eastAsia="仿宋" w:cs="仿宋"/>
          <w:sz w:val="24"/>
          <w:szCs w:val="24"/>
        </w:rPr>
      </w:pPr>
      <w:bookmarkStart w:id="270" w:name="_Toc375218732"/>
      <w:bookmarkStart w:id="271" w:name="_Toc27122204"/>
      <w:r>
        <w:rPr>
          <w:rFonts w:hint="eastAsia" w:ascii="仿宋" w:hAnsi="仿宋" w:eastAsia="仿宋" w:cs="仿宋"/>
          <w:sz w:val="24"/>
          <w:szCs w:val="24"/>
        </w:rPr>
        <w:t>4.1供货计划的提交</w:t>
      </w:r>
      <w:bookmarkEnd w:id="270"/>
      <w:bookmarkEnd w:id="271"/>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4.1.1除非合同文件另有约定，供应商应在合同文件约定的时间内，按照总承包人同意的格式和详细程度，提交供货计划，并获得总承包人批准。该供货计划不得对随投标文件提交的采购项目供货计划相应内容做出实质性变动。</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4.1.2供货计划提交时间见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line="360" w:lineRule="auto"/>
        <w:jc w:val="left"/>
        <w:textAlignment w:val="baseline"/>
        <w:rPr>
          <w:rFonts w:ascii="仿宋" w:hAnsi="仿宋" w:eastAsia="仿宋" w:cs="仿宋"/>
          <w:sz w:val="24"/>
          <w:szCs w:val="24"/>
        </w:rPr>
      </w:pPr>
      <w:bookmarkStart w:id="272" w:name="_Toc27122205"/>
      <w:bookmarkStart w:id="273" w:name="_Toc375218733"/>
      <w:r>
        <w:rPr>
          <w:rFonts w:hint="eastAsia" w:ascii="仿宋" w:hAnsi="仿宋" w:eastAsia="仿宋" w:cs="仿宋"/>
          <w:sz w:val="24"/>
          <w:szCs w:val="24"/>
        </w:rPr>
        <w:t>4.2供货计划的修订</w:t>
      </w:r>
      <w:bookmarkEnd w:id="272"/>
      <w:bookmarkEnd w:id="27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当实际供货进度与已批准的供货计划存在偏差时，或当供应商发现其本身货物供应存在延误可能时，供应商应当对供货计划进行修订，并将修订后的供货计划报总承包人批准，总承包人的批准不会减轻或免除供应商的责任。</w:t>
      </w:r>
    </w:p>
    <w:p>
      <w:pPr>
        <w:pStyle w:val="6"/>
        <w:keepNext w:val="0"/>
        <w:keepLines w:val="0"/>
        <w:numPr>
          <w:ilvl w:val="1"/>
          <w:numId w:val="0"/>
        </w:numPr>
        <w:tabs>
          <w:tab w:val="left" w:pos="1200"/>
          <w:tab w:val="left" w:pos="2835"/>
        </w:tabs>
        <w:adjustRightInd w:val="0"/>
        <w:spacing w:before="0" w:line="360" w:lineRule="auto"/>
        <w:jc w:val="left"/>
        <w:textAlignment w:val="baseline"/>
        <w:rPr>
          <w:rFonts w:ascii="仿宋" w:hAnsi="仿宋" w:eastAsia="仿宋" w:cs="仿宋"/>
          <w:sz w:val="24"/>
          <w:szCs w:val="24"/>
        </w:rPr>
      </w:pPr>
      <w:bookmarkStart w:id="274" w:name="_Toc375218734"/>
      <w:bookmarkStart w:id="275" w:name="_Toc27122206"/>
      <w:r>
        <w:rPr>
          <w:rFonts w:hint="eastAsia" w:ascii="仿宋" w:hAnsi="仿宋" w:eastAsia="仿宋" w:cs="仿宋"/>
          <w:sz w:val="24"/>
          <w:szCs w:val="24"/>
        </w:rPr>
        <w:t>4.3进度计划的保证</w:t>
      </w:r>
      <w:bookmarkEnd w:id="274"/>
      <w:bookmarkEnd w:id="27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供应商应当按照经总承包人批准的供货计划（包括修订）供货，并承担相应费用。</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76" w:name="_Toc375218735"/>
      <w:bookmarkStart w:id="277" w:name="_Toc27122207"/>
      <w:bookmarkStart w:id="278" w:name="_Toc256955339"/>
      <w:bookmarkStart w:id="279" w:name="_Toc381358650"/>
      <w:r>
        <w:rPr>
          <w:rStyle w:val="218"/>
          <w:rFonts w:hint="eastAsia" w:ascii="仿宋" w:hAnsi="仿宋" w:eastAsia="仿宋" w:cs="仿宋"/>
          <w:b/>
          <w:bCs/>
          <w:sz w:val="24"/>
          <w:szCs w:val="24"/>
        </w:rPr>
        <w:t>5.供货周期</w:t>
      </w:r>
      <w:bookmarkEnd w:id="276"/>
      <w:bookmarkEnd w:id="277"/>
      <w:bookmarkEnd w:id="278"/>
      <w:bookmarkEnd w:id="279"/>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具体供货周期见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80" w:name="_Toc381358651"/>
      <w:bookmarkStart w:id="281" w:name="_Toc256955340"/>
      <w:bookmarkStart w:id="282" w:name="_Toc375218736"/>
      <w:bookmarkStart w:id="283" w:name="_Toc27122208"/>
      <w:r>
        <w:rPr>
          <w:rStyle w:val="218"/>
          <w:rFonts w:hint="eastAsia" w:ascii="仿宋" w:hAnsi="仿宋" w:eastAsia="仿宋" w:cs="仿宋"/>
          <w:b/>
          <w:bCs/>
          <w:sz w:val="24"/>
          <w:szCs w:val="24"/>
        </w:rPr>
        <w:t>6.供货周期延误</w:t>
      </w:r>
      <w:bookmarkEnd w:id="280"/>
      <w:bookmarkEnd w:id="281"/>
      <w:bookmarkEnd w:id="282"/>
      <w:bookmarkEnd w:id="283"/>
    </w:p>
    <w:p>
      <w:pPr>
        <w:pStyle w:val="6"/>
        <w:keepNext w:val="0"/>
        <w:keepLines w:val="0"/>
        <w:numPr>
          <w:ilvl w:val="1"/>
          <w:numId w:val="0"/>
        </w:numPr>
        <w:tabs>
          <w:tab w:val="left" w:pos="1200"/>
          <w:tab w:val="left" w:pos="2835"/>
        </w:tabs>
        <w:adjustRightInd w:val="0"/>
        <w:spacing w:before="0" w:line="360" w:lineRule="auto"/>
        <w:ind w:left="1202" w:hanging="1202"/>
        <w:jc w:val="left"/>
        <w:textAlignment w:val="baseline"/>
        <w:rPr>
          <w:rFonts w:ascii="仿宋" w:hAnsi="仿宋" w:eastAsia="仿宋" w:cs="仿宋"/>
          <w:sz w:val="24"/>
          <w:szCs w:val="24"/>
        </w:rPr>
      </w:pPr>
      <w:bookmarkStart w:id="284" w:name="_Toc375218737"/>
      <w:bookmarkStart w:id="285" w:name="_Toc27122209"/>
      <w:r>
        <w:rPr>
          <w:rFonts w:hint="eastAsia" w:ascii="仿宋" w:hAnsi="仿宋" w:eastAsia="仿宋" w:cs="仿宋"/>
          <w:sz w:val="24"/>
          <w:szCs w:val="24"/>
        </w:rPr>
        <w:t>6.1非供应商造成的延误</w:t>
      </w:r>
      <w:bookmarkEnd w:id="284"/>
      <w:bookmarkEnd w:id="28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6.1.1在履行合同过程中，本项下述原因导致属于可证明的供货周期延误时，应当延长供货周期，但供应商应当通过调整工作安排尽量减少损失。</w:t>
      </w:r>
    </w:p>
    <w:p>
      <w:pPr>
        <w:numPr>
          <w:ilvl w:val="0"/>
          <w:numId w:val="9"/>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本供货合同约定的变更事项；</w:t>
      </w:r>
    </w:p>
    <w:p>
      <w:pPr>
        <w:numPr>
          <w:ilvl w:val="0"/>
          <w:numId w:val="9"/>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不可抗力；</w:t>
      </w:r>
    </w:p>
    <w:p>
      <w:pPr>
        <w:numPr>
          <w:ilvl w:val="0"/>
          <w:numId w:val="9"/>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无法合理事先预见的现场自然条件或环境；</w:t>
      </w:r>
    </w:p>
    <w:p>
      <w:pPr>
        <w:numPr>
          <w:ilvl w:val="0"/>
          <w:numId w:val="9"/>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由总承包人原因造成的延误、干扰或阻碍；</w:t>
      </w:r>
    </w:p>
    <w:p>
      <w:pPr>
        <w:numPr>
          <w:ilvl w:val="0"/>
          <w:numId w:val="9"/>
        </w:numPr>
        <w:tabs>
          <w:tab w:val="left" w:pos="900"/>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在事前无法合理预见，并且按照合同约定不应当由供应商代其承担责任的第三方造成的延误、干扰或阻碍；</w:t>
      </w:r>
    </w:p>
    <w:p>
      <w:pPr>
        <w:numPr>
          <w:ilvl w:val="0"/>
          <w:numId w:val="9"/>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其他允许延长供货周期的情况见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6.1.2供应商为了获准上述延长的供货周期，除非合同文件另有约定，应当在合同文件约定的时间内以书面形式通知总承包人确认，否则总承包人可不必就延长供货周期事宜做出任何决定。提交书面报告的时间见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line="360" w:lineRule="auto"/>
        <w:ind w:left="1202" w:hanging="1202"/>
        <w:jc w:val="left"/>
        <w:textAlignment w:val="baseline"/>
        <w:rPr>
          <w:rFonts w:ascii="仿宋" w:hAnsi="仿宋" w:eastAsia="仿宋" w:cs="仿宋"/>
          <w:sz w:val="24"/>
          <w:szCs w:val="24"/>
        </w:rPr>
      </w:pPr>
      <w:bookmarkStart w:id="286" w:name="_Toc27122210"/>
      <w:bookmarkStart w:id="287" w:name="_Toc375218738"/>
      <w:r>
        <w:rPr>
          <w:rFonts w:hint="eastAsia" w:ascii="仿宋" w:hAnsi="仿宋" w:eastAsia="仿宋" w:cs="仿宋"/>
          <w:sz w:val="24"/>
          <w:szCs w:val="24"/>
        </w:rPr>
        <w:t>6.2供应商造成的</w:t>
      </w:r>
      <w:r>
        <w:rPr>
          <w:rFonts w:hint="eastAsia" w:ascii="仿宋" w:hAnsi="仿宋" w:eastAsia="仿宋" w:cs="仿宋"/>
          <w:bCs w:val="0"/>
          <w:sz w:val="24"/>
          <w:szCs w:val="24"/>
        </w:rPr>
        <w:t>供货周期</w:t>
      </w:r>
      <w:r>
        <w:rPr>
          <w:rFonts w:hint="eastAsia" w:ascii="仿宋" w:hAnsi="仿宋" w:eastAsia="仿宋" w:cs="仿宋"/>
          <w:sz w:val="24"/>
          <w:szCs w:val="24"/>
        </w:rPr>
        <w:t>延误</w:t>
      </w:r>
      <w:bookmarkEnd w:id="286"/>
      <w:bookmarkEnd w:id="28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供应商原因造成的供货周期延误，均由供应商承担相关责任，供货周期不予顺延。</w:t>
      </w:r>
    </w:p>
    <w:p>
      <w:pPr>
        <w:pStyle w:val="6"/>
        <w:keepNext w:val="0"/>
        <w:keepLines w:val="0"/>
        <w:numPr>
          <w:ilvl w:val="1"/>
          <w:numId w:val="0"/>
        </w:numPr>
        <w:tabs>
          <w:tab w:val="left" w:pos="1200"/>
          <w:tab w:val="left" w:pos="2835"/>
        </w:tabs>
        <w:adjustRightInd w:val="0"/>
        <w:spacing w:before="0" w:line="360" w:lineRule="auto"/>
        <w:ind w:left="1202" w:hanging="1202"/>
        <w:jc w:val="left"/>
        <w:textAlignment w:val="baseline"/>
        <w:rPr>
          <w:rFonts w:ascii="仿宋" w:hAnsi="仿宋" w:eastAsia="仿宋" w:cs="仿宋"/>
          <w:sz w:val="24"/>
          <w:szCs w:val="24"/>
        </w:rPr>
      </w:pPr>
      <w:bookmarkStart w:id="288" w:name="_Toc375218739"/>
      <w:bookmarkStart w:id="289" w:name="_Toc27122211"/>
      <w:r>
        <w:rPr>
          <w:rFonts w:hint="eastAsia" w:ascii="仿宋" w:hAnsi="仿宋" w:eastAsia="仿宋" w:cs="仿宋"/>
          <w:bCs w:val="0"/>
          <w:sz w:val="24"/>
          <w:szCs w:val="24"/>
        </w:rPr>
        <w:t>6.3供货周期</w:t>
      </w:r>
      <w:r>
        <w:rPr>
          <w:rFonts w:hint="eastAsia" w:ascii="仿宋" w:hAnsi="仿宋" w:eastAsia="仿宋" w:cs="仿宋"/>
          <w:sz w:val="24"/>
          <w:szCs w:val="24"/>
        </w:rPr>
        <w:t>延误的违约处理</w:t>
      </w:r>
      <w:bookmarkEnd w:id="288"/>
      <w:bookmarkEnd w:id="289"/>
    </w:p>
    <w:p>
      <w:pPr>
        <w:tabs>
          <w:tab w:val="left" w:pos="1406"/>
        </w:tabs>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6.3.1如果供应商未能在供货周期内或按照合同文件约定延长了的时间内完成本供货合同，供应商应当按照合同文件约定向总承包人支付误期违约金，误期违约金总额不得超过合同文件约定的误期违约金的最高限额。本供货合同约定的误期违约金及误期违约金的最高限额见</w:t>
      </w:r>
      <w:r>
        <w:rPr>
          <w:rFonts w:hint="eastAsia" w:ascii="仿宋" w:hAnsi="仿宋" w:eastAsia="仿宋" w:cs="仿宋"/>
          <w:b/>
          <w:sz w:val="24"/>
          <w:szCs w:val="24"/>
        </w:rPr>
        <w:t>合同条款专用部分。</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6.3.2误期违约金将从按照合同应当支付或将会支付给供应商的款项中扣除，或要求供应商偿还。</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6.3.3如果总承包人提供切实证据，证明供应商按照本条支付给总承包人的误期违约金总额不足以弥补因误期供货给总承包人造成的直接损失，并且该损失是供应商在订立合同时预见到或应当预见到的，供应商应当另行向总承包人支付赔偿金。</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90" w:name="_Toc381358652"/>
      <w:bookmarkStart w:id="291" w:name="_Toc375218740"/>
      <w:bookmarkStart w:id="292" w:name="_Toc256955341"/>
      <w:bookmarkStart w:id="293" w:name="_Toc27122212"/>
      <w:bookmarkStart w:id="294" w:name="_Toc218048802"/>
      <w:bookmarkStart w:id="295" w:name="_Toc218048982"/>
      <w:bookmarkStart w:id="296" w:name="_Toc217443938"/>
      <w:r>
        <w:rPr>
          <w:rStyle w:val="218"/>
          <w:rFonts w:hint="eastAsia" w:ascii="仿宋" w:hAnsi="仿宋" w:eastAsia="仿宋" w:cs="仿宋"/>
          <w:b/>
          <w:bCs/>
          <w:sz w:val="24"/>
          <w:szCs w:val="24"/>
        </w:rPr>
        <w:t>7.包装</w:t>
      </w:r>
      <w:bookmarkEnd w:id="290"/>
      <w:bookmarkEnd w:id="291"/>
      <w:bookmarkEnd w:id="292"/>
      <w:bookmarkEnd w:id="29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7.1供应商提供的货物包装应符合本合同文件“技术标准和要求”的约定，并承担相应费用，此费用已包含在合同价款内。</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7.2包装应足以承受转运过程中的野蛮装卸，暴露于恶劣气温，盐分大和降雨环境，以及露天存放。包装箱的尺寸及重量应考虑货物最终目的地的远近程度以及在所有转运地点缺乏重型装卸设施的情况。</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7.3供应商应保证货物在没有任何损坏和腐蚀的情况下安全运抵合同文件约定的供货地点。供应商应承担由于其包装或防护措施不妥而引起货物锈蚀、损坏和丢失的任何损失的责任或费用。</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7.4其他包装约定见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297" w:name="_Toc381358653"/>
      <w:bookmarkStart w:id="298" w:name="_Toc375218741"/>
      <w:bookmarkStart w:id="299" w:name="_Toc256955342"/>
      <w:bookmarkStart w:id="300" w:name="_Toc27122213"/>
      <w:r>
        <w:rPr>
          <w:rStyle w:val="218"/>
          <w:rFonts w:hint="eastAsia" w:ascii="仿宋" w:hAnsi="仿宋" w:eastAsia="仿宋" w:cs="仿宋"/>
          <w:b/>
          <w:bCs/>
          <w:sz w:val="24"/>
          <w:szCs w:val="24"/>
        </w:rPr>
        <w:t>8.服务</w:t>
      </w:r>
      <w:bookmarkEnd w:id="297"/>
      <w:bookmarkEnd w:id="298"/>
      <w:bookmarkEnd w:id="299"/>
      <w:bookmarkEnd w:id="300"/>
    </w:p>
    <w:p>
      <w:pPr>
        <w:pStyle w:val="6"/>
        <w:keepNext w:val="0"/>
        <w:keepLines w:val="0"/>
        <w:numPr>
          <w:ilvl w:val="1"/>
          <w:numId w:val="0"/>
        </w:numPr>
        <w:tabs>
          <w:tab w:val="left" w:pos="1200"/>
        </w:tabs>
        <w:adjustRightInd w:val="0"/>
        <w:spacing w:before="0" w:line="360" w:lineRule="auto"/>
        <w:ind w:left="1200" w:hanging="1200"/>
        <w:jc w:val="left"/>
        <w:textAlignment w:val="baseline"/>
        <w:rPr>
          <w:rFonts w:ascii="仿宋" w:hAnsi="仿宋" w:eastAsia="仿宋" w:cs="仿宋"/>
          <w:sz w:val="24"/>
          <w:szCs w:val="24"/>
        </w:rPr>
      </w:pPr>
      <w:bookmarkStart w:id="301" w:name="_Toc375218742"/>
      <w:bookmarkStart w:id="302" w:name="_Toc27122214"/>
      <w:r>
        <w:rPr>
          <w:rFonts w:hint="eastAsia" w:ascii="仿宋" w:hAnsi="仿宋" w:eastAsia="仿宋" w:cs="仿宋"/>
          <w:sz w:val="24"/>
          <w:szCs w:val="24"/>
        </w:rPr>
        <w:t>8.1技术服务</w:t>
      </w:r>
      <w:bookmarkEnd w:id="301"/>
      <w:bookmarkEnd w:id="302"/>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供应商提供的技术服务应符合本合同文件的约定，并承担相应费用，此费用已包含在合同价款内。</w:t>
      </w:r>
    </w:p>
    <w:p>
      <w:pPr>
        <w:pStyle w:val="6"/>
        <w:keepNext w:val="0"/>
        <w:keepLines w:val="0"/>
        <w:numPr>
          <w:ilvl w:val="1"/>
          <w:numId w:val="0"/>
        </w:numPr>
        <w:tabs>
          <w:tab w:val="left" w:pos="1200"/>
        </w:tabs>
        <w:adjustRightInd w:val="0"/>
        <w:spacing w:before="0" w:line="360" w:lineRule="auto"/>
        <w:ind w:left="1200" w:hanging="1200"/>
        <w:jc w:val="left"/>
        <w:textAlignment w:val="baseline"/>
        <w:rPr>
          <w:rFonts w:ascii="仿宋" w:hAnsi="仿宋" w:eastAsia="仿宋" w:cs="仿宋"/>
          <w:sz w:val="24"/>
          <w:szCs w:val="24"/>
        </w:rPr>
      </w:pPr>
      <w:bookmarkStart w:id="303" w:name="_Toc375218743"/>
      <w:bookmarkStart w:id="304" w:name="_Toc27122215"/>
      <w:r>
        <w:rPr>
          <w:rFonts w:hint="eastAsia" w:ascii="仿宋" w:hAnsi="仿宋" w:eastAsia="仿宋" w:cs="仿宋"/>
          <w:sz w:val="24"/>
          <w:szCs w:val="24"/>
        </w:rPr>
        <w:t>8.2运输</w:t>
      </w:r>
      <w:bookmarkEnd w:id="303"/>
      <w:bookmarkEnd w:id="304"/>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供应商提供的货物的运输应符合本合同文件的约定，并承担相应费用，此费用已包含在合同价款内。</w:t>
      </w:r>
    </w:p>
    <w:p>
      <w:pPr>
        <w:pStyle w:val="6"/>
        <w:keepNext w:val="0"/>
        <w:keepLines w:val="0"/>
        <w:numPr>
          <w:ilvl w:val="1"/>
          <w:numId w:val="0"/>
        </w:numPr>
        <w:tabs>
          <w:tab w:val="left" w:pos="1200"/>
        </w:tabs>
        <w:adjustRightInd w:val="0"/>
        <w:spacing w:before="0" w:line="360" w:lineRule="auto"/>
        <w:ind w:left="1200" w:hanging="1200"/>
        <w:jc w:val="left"/>
        <w:textAlignment w:val="baseline"/>
        <w:rPr>
          <w:rFonts w:ascii="仿宋" w:hAnsi="仿宋" w:eastAsia="仿宋" w:cs="仿宋"/>
          <w:sz w:val="24"/>
          <w:szCs w:val="24"/>
        </w:rPr>
      </w:pPr>
      <w:bookmarkStart w:id="305" w:name="_Toc375218744"/>
      <w:bookmarkStart w:id="306" w:name="_Toc27122216"/>
      <w:r>
        <w:rPr>
          <w:rFonts w:hint="eastAsia" w:ascii="仿宋" w:hAnsi="仿宋" w:eastAsia="仿宋" w:cs="仿宋"/>
          <w:sz w:val="24"/>
          <w:szCs w:val="24"/>
        </w:rPr>
        <w:t>8.3售后服务</w:t>
      </w:r>
      <w:bookmarkEnd w:id="305"/>
      <w:bookmarkEnd w:id="306"/>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供应商提供的售后服务应符合本合同文件的约定，并承担相应费用，此费用已包含在合同价款内。</w:t>
      </w:r>
    </w:p>
    <w:p>
      <w:pPr>
        <w:pStyle w:val="6"/>
        <w:keepNext w:val="0"/>
        <w:keepLines w:val="0"/>
        <w:numPr>
          <w:ilvl w:val="1"/>
          <w:numId w:val="0"/>
        </w:numPr>
        <w:tabs>
          <w:tab w:val="left" w:pos="1200"/>
        </w:tabs>
        <w:adjustRightInd w:val="0"/>
        <w:spacing w:before="0" w:line="360" w:lineRule="auto"/>
        <w:ind w:left="1200" w:hanging="1200"/>
        <w:jc w:val="left"/>
        <w:textAlignment w:val="baseline"/>
        <w:rPr>
          <w:rFonts w:ascii="仿宋" w:hAnsi="仿宋" w:eastAsia="仿宋" w:cs="仿宋"/>
          <w:sz w:val="24"/>
          <w:szCs w:val="24"/>
        </w:rPr>
      </w:pPr>
      <w:bookmarkStart w:id="307" w:name="_Toc27122217"/>
      <w:bookmarkStart w:id="308" w:name="_Toc375218745"/>
      <w:r>
        <w:rPr>
          <w:rFonts w:hint="eastAsia" w:ascii="仿宋" w:hAnsi="仿宋" w:eastAsia="仿宋" w:cs="仿宋"/>
          <w:sz w:val="24"/>
          <w:szCs w:val="24"/>
        </w:rPr>
        <w:t>8.4其他约定</w:t>
      </w:r>
      <w:bookmarkEnd w:id="307"/>
      <w:bookmarkEnd w:id="308"/>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309" w:name="_Toc119786534"/>
      <w:bookmarkStart w:id="310" w:name="_Toc68407804"/>
      <w:bookmarkStart w:id="311" w:name="_Toc256955343"/>
      <w:bookmarkStart w:id="312" w:name="_Toc20726474"/>
      <w:bookmarkStart w:id="313" w:name="_Toc118061579"/>
      <w:bookmarkStart w:id="314" w:name="_Toc68417397"/>
      <w:bookmarkStart w:id="315" w:name="_Toc27122218"/>
      <w:bookmarkStart w:id="316" w:name="_Toc121182366"/>
      <w:bookmarkStart w:id="317" w:name="_Toc381358654"/>
      <w:bookmarkStart w:id="318" w:name="_Toc118890574"/>
      <w:bookmarkStart w:id="319" w:name="_Toc224045264"/>
      <w:bookmarkStart w:id="320" w:name="_Toc72583548"/>
      <w:bookmarkStart w:id="321" w:name="_Toc375218746"/>
      <w:bookmarkStart w:id="322" w:name="_Toc70094741"/>
      <w:bookmarkStart w:id="323" w:name="_Toc121308096"/>
      <w:bookmarkStart w:id="324" w:name="_Toc121830639"/>
      <w:r>
        <w:rPr>
          <w:rStyle w:val="218"/>
          <w:rFonts w:hint="eastAsia" w:ascii="仿宋" w:hAnsi="仿宋" w:eastAsia="仿宋" w:cs="仿宋"/>
          <w:b/>
          <w:bCs/>
          <w:sz w:val="24"/>
          <w:szCs w:val="24"/>
        </w:rPr>
        <w:t>9.备品备件、易损件/消耗性材料</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9.1供应商提供的备品备件、易损件/消耗性材料（含与备品备件、易损件/消耗性材料有关的材料和资料）应符合民法典的约定，并承担相应费用，此费用已包含在合同价款内。</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9.2其他约定见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325" w:name="_Toc256955345"/>
      <w:bookmarkStart w:id="326" w:name="_Toc381358655"/>
      <w:bookmarkStart w:id="327" w:name="_Toc27122219"/>
      <w:bookmarkStart w:id="328" w:name="_Toc375218747"/>
      <w:r>
        <w:rPr>
          <w:rStyle w:val="218"/>
          <w:rFonts w:hint="eastAsia" w:ascii="仿宋" w:hAnsi="仿宋" w:eastAsia="仿宋" w:cs="仿宋"/>
          <w:b/>
          <w:bCs/>
          <w:sz w:val="24"/>
          <w:szCs w:val="24"/>
        </w:rPr>
        <w:t>10.检验</w:t>
      </w:r>
      <w:bookmarkEnd w:id="294"/>
      <w:bookmarkEnd w:id="295"/>
      <w:bookmarkEnd w:id="296"/>
      <w:r>
        <w:rPr>
          <w:rStyle w:val="218"/>
          <w:rFonts w:hint="eastAsia" w:ascii="仿宋" w:hAnsi="仿宋" w:eastAsia="仿宋" w:cs="仿宋"/>
          <w:b/>
          <w:bCs/>
          <w:sz w:val="24"/>
          <w:szCs w:val="24"/>
        </w:rPr>
        <w:t>和测试</w:t>
      </w:r>
      <w:bookmarkEnd w:id="325"/>
      <w:bookmarkEnd w:id="326"/>
      <w:bookmarkEnd w:id="327"/>
      <w:bookmarkEnd w:id="328"/>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10.1总承包人有权检验和测试本供货合同约定货物，以确认符合合同文件的要求，除非合同文件另有约定，此费用已包含在合同价款内。</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10.2检验和测试的方法及标准应符合本合同文件“技术标准和要求”的约定，检验和测试时间、地点见合同条款专用部分。</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10.3如果任何被检验和测试的货物不能满足技术要求的，总承包人可以拒绝接受该货物，供应商应更换被拒绝的货物，或者免费进行必要的修改以满足技术要求。</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10.4发货前，供应商应对货物的质量、规格、性能、数量和重量等进行准确而全面的检验，并出具一份证明货物符合合同文件约定的证书。该证书将作为提交付款单据的一部分，但有关质量、规格、性能、数量或重要的检验不应视为最终检验。供应商检验的结果和详细要求应在质量证书中加以说明，并由总承包人予以确认。</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10.5总承包人在货物到达合同文件约定的供货地点后，对货物进行检验，检验应当有书面记录和专人签字，经检验合格并获得总承包人批准后，方可用于永久工程。</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10.6总承包人在货物到达合同文件约定的供货地点后，对货物进行检验的权利不会因为在启运前通过了总承包人检验而受到限制或放弃。</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10.7其他检验和测试约定见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329" w:name="_Toc375218748"/>
      <w:bookmarkStart w:id="330" w:name="_Toc27122220"/>
      <w:bookmarkStart w:id="331" w:name="_Toc217443940"/>
      <w:bookmarkStart w:id="332" w:name="_Toc218048984"/>
      <w:bookmarkStart w:id="333" w:name="_Toc256955346"/>
      <w:bookmarkStart w:id="334" w:name="_Toc218048804"/>
      <w:bookmarkStart w:id="335" w:name="_Toc381358656"/>
      <w:r>
        <w:rPr>
          <w:rStyle w:val="218"/>
          <w:rFonts w:hint="eastAsia" w:ascii="仿宋" w:hAnsi="仿宋" w:eastAsia="仿宋" w:cs="仿宋"/>
          <w:b/>
          <w:bCs/>
          <w:sz w:val="24"/>
          <w:szCs w:val="24"/>
        </w:rPr>
        <w:t>11.样品</w:t>
      </w:r>
      <w:bookmarkEnd w:id="329"/>
      <w:bookmarkEnd w:id="330"/>
      <w:bookmarkEnd w:id="331"/>
      <w:bookmarkEnd w:id="332"/>
      <w:bookmarkEnd w:id="333"/>
      <w:bookmarkEnd w:id="334"/>
      <w:bookmarkEnd w:id="335"/>
    </w:p>
    <w:p>
      <w:pPr>
        <w:pStyle w:val="6"/>
        <w:keepNext w:val="0"/>
        <w:keepLines w:val="0"/>
        <w:numPr>
          <w:ilvl w:val="1"/>
          <w:numId w:val="0"/>
        </w:numPr>
        <w:tabs>
          <w:tab w:val="left" w:pos="1200"/>
          <w:tab w:val="left" w:pos="2835"/>
          <w:tab w:val="left" w:pos="6840"/>
        </w:tabs>
        <w:adjustRightInd w:val="0"/>
        <w:spacing w:before="0" w:after="0" w:line="360" w:lineRule="auto"/>
        <w:ind w:left="1202" w:hanging="1202"/>
        <w:jc w:val="left"/>
        <w:textAlignment w:val="baseline"/>
        <w:rPr>
          <w:rFonts w:ascii="仿宋" w:hAnsi="仿宋" w:eastAsia="仿宋" w:cs="仿宋"/>
          <w:sz w:val="24"/>
          <w:szCs w:val="24"/>
        </w:rPr>
      </w:pPr>
      <w:bookmarkStart w:id="336" w:name="_Toc27122221"/>
      <w:bookmarkStart w:id="337" w:name="_Toc375218749"/>
      <w:r>
        <w:rPr>
          <w:rFonts w:hint="eastAsia" w:ascii="仿宋" w:hAnsi="仿宋" w:eastAsia="仿宋" w:cs="仿宋"/>
          <w:sz w:val="24"/>
          <w:szCs w:val="24"/>
        </w:rPr>
        <w:t>11.1样品费用</w:t>
      </w:r>
      <w:bookmarkEnd w:id="336"/>
      <w:bookmarkEnd w:id="33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样品的提供应符合</w:t>
      </w:r>
      <w:r>
        <w:rPr>
          <w:rFonts w:hint="eastAsia" w:ascii="仿宋" w:hAnsi="仿宋" w:eastAsia="仿宋" w:cs="仿宋"/>
          <w:b/>
          <w:sz w:val="24"/>
          <w:szCs w:val="24"/>
        </w:rPr>
        <w:t>技术标准和要求</w:t>
      </w:r>
      <w:r>
        <w:rPr>
          <w:rFonts w:hint="eastAsia" w:ascii="仿宋" w:hAnsi="仿宋" w:eastAsia="仿宋" w:cs="仿宋"/>
          <w:sz w:val="24"/>
          <w:szCs w:val="24"/>
        </w:rPr>
        <w:t>的约定，并承担相应费用，此费用已包含在合同价款内。</w:t>
      </w:r>
    </w:p>
    <w:p>
      <w:pPr>
        <w:pStyle w:val="6"/>
        <w:keepNext w:val="0"/>
        <w:keepLines w:val="0"/>
        <w:numPr>
          <w:ilvl w:val="1"/>
          <w:numId w:val="0"/>
        </w:numPr>
        <w:tabs>
          <w:tab w:val="left" w:pos="1200"/>
          <w:tab w:val="left" w:pos="2835"/>
          <w:tab w:val="left" w:pos="6840"/>
        </w:tabs>
        <w:adjustRightInd w:val="0"/>
        <w:spacing w:before="0" w:after="0" w:line="360" w:lineRule="auto"/>
        <w:ind w:left="1202" w:hanging="1202"/>
        <w:jc w:val="left"/>
        <w:textAlignment w:val="baseline"/>
        <w:rPr>
          <w:rFonts w:ascii="仿宋" w:hAnsi="仿宋" w:eastAsia="仿宋" w:cs="仿宋"/>
          <w:sz w:val="24"/>
          <w:szCs w:val="24"/>
        </w:rPr>
      </w:pPr>
      <w:bookmarkStart w:id="338" w:name="_Toc27122222"/>
      <w:bookmarkStart w:id="339" w:name="_Toc375218750"/>
      <w:r>
        <w:rPr>
          <w:rFonts w:hint="eastAsia" w:ascii="仿宋" w:hAnsi="仿宋" w:eastAsia="仿宋" w:cs="仿宋"/>
          <w:sz w:val="24"/>
          <w:szCs w:val="24"/>
        </w:rPr>
        <w:t>11.2样品报送</w:t>
      </w:r>
      <w:bookmarkEnd w:id="338"/>
      <w:bookmarkEnd w:id="339"/>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11.2.1对于在合同文件中约定的所有需要报送样品的货物，供应商应按照“技术标准和要求”中约定的时间提交，向总承包人提交样品并附上必要的说明书、证书、出厂报告、性能介绍、使用说明等相关资料供检验。</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11.2.2应当按照总承包人要求报送样品送达的地点和样品的数量或尺寸。除非合同文件另有约定，供应商在报送样品时应当按照总承包人同意的格式填写并递交样品报送单。总承包人应当及时签收样品。</w:t>
      </w:r>
    </w:p>
    <w:p>
      <w:pPr>
        <w:pStyle w:val="6"/>
        <w:keepNext w:val="0"/>
        <w:keepLines w:val="0"/>
        <w:numPr>
          <w:ilvl w:val="1"/>
          <w:numId w:val="0"/>
        </w:numPr>
        <w:tabs>
          <w:tab w:val="left" w:pos="1200"/>
          <w:tab w:val="left" w:pos="2835"/>
          <w:tab w:val="left" w:pos="6840"/>
        </w:tabs>
        <w:adjustRightInd w:val="0"/>
        <w:spacing w:before="0" w:after="0" w:line="360" w:lineRule="auto"/>
        <w:ind w:left="1202" w:hanging="1202"/>
        <w:jc w:val="left"/>
        <w:textAlignment w:val="baseline"/>
        <w:rPr>
          <w:rFonts w:ascii="仿宋" w:hAnsi="仿宋" w:eastAsia="仿宋" w:cs="仿宋"/>
          <w:sz w:val="24"/>
          <w:szCs w:val="24"/>
        </w:rPr>
      </w:pPr>
      <w:bookmarkStart w:id="340" w:name="_Toc27122223"/>
      <w:bookmarkStart w:id="341" w:name="_Toc375218751"/>
      <w:r>
        <w:rPr>
          <w:rFonts w:hint="eastAsia" w:ascii="仿宋" w:hAnsi="仿宋" w:eastAsia="仿宋" w:cs="仿宋"/>
          <w:sz w:val="24"/>
          <w:szCs w:val="24"/>
        </w:rPr>
        <w:t>11.3样品批复</w:t>
      </w:r>
      <w:bookmarkEnd w:id="340"/>
      <w:bookmarkEnd w:id="341"/>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11.3.1总承包人应当在收到供应商报送的样品后，经总承包人批准后，就此样品给出书面批复，通知供应商对此样品所做出的决定或指令。供应商应当根据总承包人的书面批复和指令进行下一步工作。</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11.3.2如果总承包人未能在收到样品后给出书面批复或指令，供应商应当就此以书面形式通知总承包人尽快批复。如果总承包人在收到此类通知后在合同条款专用部分约定的时间内仍未对样品进行批复，则视为总承包人已批准。</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Style w:val="218"/>
          <w:rFonts w:ascii="仿宋" w:hAnsi="仿宋" w:eastAsia="仿宋" w:cs="仿宋"/>
          <w:b/>
          <w:bCs/>
          <w:sz w:val="24"/>
          <w:szCs w:val="24"/>
        </w:rPr>
      </w:pPr>
      <w:bookmarkStart w:id="342" w:name="_Toc255490735"/>
      <w:bookmarkEnd w:id="342"/>
      <w:bookmarkStart w:id="343" w:name="_Toc255490701"/>
      <w:bookmarkEnd w:id="343"/>
      <w:bookmarkStart w:id="344" w:name="_Toc256434237"/>
      <w:bookmarkEnd w:id="344"/>
      <w:bookmarkStart w:id="345" w:name="_Toc255490785"/>
      <w:bookmarkEnd w:id="345"/>
      <w:bookmarkStart w:id="346" w:name="_Toc255490749"/>
      <w:bookmarkEnd w:id="346"/>
      <w:bookmarkStart w:id="347" w:name="_Toc256955372"/>
      <w:bookmarkEnd w:id="347"/>
      <w:bookmarkStart w:id="348" w:name="_Toc255490713"/>
      <w:bookmarkEnd w:id="348"/>
      <w:bookmarkStart w:id="349" w:name="_Toc255490694"/>
      <w:bookmarkEnd w:id="349"/>
      <w:bookmarkStart w:id="350" w:name="_Toc256434250"/>
      <w:bookmarkEnd w:id="350"/>
      <w:bookmarkStart w:id="351" w:name="_Toc256434261"/>
      <w:bookmarkEnd w:id="351"/>
      <w:bookmarkStart w:id="352" w:name="_Toc255490716"/>
      <w:bookmarkEnd w:id="352"/>
      <w:bookmarkStart w:id="353" w:name="_Toc255490687"/>
      <w:bookmarkEnd w:id="353"/>
      <w:bookmarkStart w:id="354" w:name="_Toc255490724"/>
      <w:bookmarkEnd w:id="354"/>
      <w:bookmarkStart w:id="355" w:name="_Toc256955367"/>
      <w:bookmarkEnd w:id="355"/>
      <w:bookmarkStart w:id="356" w:name="_Toc255490731"/>
      <w:bookmarkEnd w:id="356"/>
      <w:bookmarkStart w:id="357" w:name="_Toc255490689"/>
      <w:bookmarkEnd w:id="357"/>
      <w:bookmarkStart w:id="358" w:name="_Toc255490778"/>
      <w:bookmarkEnd w:id="358"/>
      <w:bookmarkStart w:id="359" w:name="_Toc255490776"/>
      <w:bookmarkEnd w:id="359"/>
      <w:bookmarkStart w:id="360" w:name="_Toc255490775"/>
      <w:bookmarkEnd w:id="360"/>
      <w:bookmarkStart w:id="361" w:name="_Toc256434259"/>
      <w:bookmarkEnd w:id="361"/>
      <w:bookmarkStart w:id="362" w:name="_Toc256955347"/>
      <w:bookmarkEnd w:id="362"/>
      <w:bookmarkStart w:id="363" w:name="_Toc255490764"/>
      <w:bookmarkEnd w:id="363"/>
      <w:bookmarkStart w:id="364" w:name="_Toc255490691"/>
      <w:bookmarkEnd w:id="364"/>
      <w:bookmarkStart w:id="365" w:name="_Toc255490746"/>
      <w:bookmarkEnd w:id="365"/>
      <w:bookmarkStart w:id="366" w:name="_Toc255490710"/>
      <w:bookmarkEnd w:id="366"/>
      <w:bookmarkStart w:id="367" w:name="_Toc256955361"/>
      <w:bookmarkEnd w:id="367"/>
      <w:bookmarkStart w:id="368" w:name="_Toc255490699"/>
      <w:bookmarkEnd w:id="368"/>
      <w:bookmarkStart w:id="369" w:name="_Toc256955376"/>
      <w:bookmarkEnd w:id="369"/>
      <w:bookmarkStart w:id="370" w:name="_Toc255490792"/>
      <w:bookmarkEnd w:id="370"/>
      <w:bookmarkStart w:id="371" w:name="_Toc255490753"/>
      <w:bookmarkEnd w:id="371"/>
      <w:bookmarkStart w:id="372" w:name="_Toc255490757"/>
      <w:bookmarkEnd w:id="372"/>
      <w:bookmarkStart w:id="373" w:name="_Toc255490770"/>
      <w:bookmarkEnd w:id="373"/>
      <w:bookmarkStart w:id="374" w:name="_Toc255490703"/>
      <w:bookmarkEnd w:id="374"/>
      <w:bookmarkStart w:id="375" w:name="_Toc255490761"/>
      <w:bookmarkEnd w:id="375"/>
      <w:bookmarkStart w:id="376" w:name="_Toc256955373"/>
      <w:bookmarkEnd w:id="376"/>
      <w:bookmarkStart w:id="377" w:name="_Toc256434260"/>
      <w:bookmarkEnd w:id="377"/>
      <w:bookmarkStart w:id="378" w:name="_Toc256955371"/>
      <w:bookmarkEnd w:id="378"/>
      <w:bookmarkStart w:id="379" w:name="_Toc256955375"/>
      <w:bookmarkEnd w:id="379"/>
      <w:bookmarkStart w:id="380" w:name="_Toc256434248"/>
      <w:bookmarkEnd w:id="380"/>
      <w:bookmarkStart w:id="381" w:name="_Toc255490801"/>
      <w:bookmarkEnd w:id="381"/>
      <w:bookmarkStart w:id="382" w:name="_Toc255490763"/>
      <w:bookmarkEnd w:id="382"/>
      <w:bookmarkStart w:id="383" w:name="_Toc255490802"/>
      <w:bookmarkEnd w:id="383"/>
      <w:bookmarkStart w:id="384" w:name="_Toc256955348"/>
      <w:bookmarkEnd w:id="384"/>
      <w:bookmarkStart w:id="385" w:name="_Toc255490769"/>
      <w:bookmarkEnd w:id="385"/>
      <w:bookmarkStart w:id="386" w:name="_Toc255490686"/>
      <w:bookmarkEnd w:id="386"/>
      <w:bookmarkStart w:id="387" w:name="_Toc255490780"/>
      <w:bookmarkEnd w:id="387"/>
      <w:bookmarkStart w:id="388" w:name="_Toc255490788"/>
      <w:bookmarkEnd w:id="388"/>
      <w:bookmarkStart w:id="389" w:name="_Toc255490685"/>
      <w:bookmarkEnd w:id="389"/>
      <w:bookmarkStart w:id="390" w:name="_Toc256955358"/>
      <w:bookmarkEnd w:id="390"/>
      <w:bookmarkStart w:id="391" w:name="_Toc256434239"/>
      <w:bookmarkEnd w:id="391"/>
      <w:bookmarkStart w:id="392" w:name="_Toc255490772"/>
      <w:bookmarkEnd w:id="392"/>
      <w:bookmarkStart w:id="393" w:name="_Toc256955353"/>
      <w:bookmarkEnd w:id="393"/>
      <w:bookmarkStart w:id="394" w:name="_Toc256955377"/>
      <w:bookmarkEnd w:id="394"/>
      <w:bookmarkStart w:id="395" w:name="_Toc255490697"/>
      <w:bookmarkEnd w:id="395"/>
      <w:bookmarkStart w:id="396" w:name="_Toc255490760"/>
      <w:bookmarkEnd w:id="396"/>
      <w:bookmarkStart w:id="397" w:name="_Toc255490745"/>
      <w:bookmarkEnd w:id="397"/>
      <w:bookmarkStart w:id="398" w:name="_Toc256434263"/>
      <w:bookmarkEnd w:id="398"/>
      <w:bookmarkStart w:id="399" w:name="_Toc255490768"/>
      <w:bookmarkEnd w:id="399"/>
      <w:bookmarkStart w:id="400" w:name="_Toc255490794"/>
      <w:bookmarkEnd w:id="400"/>
      <w:bookmarkStart w:id="401" w:name="_Toc255490771"/>
      <w:bookmarkEnd w:id="401"/>
      <w:bookmarkStart w:id="402" w:name="_Toc256955368"/>
      <w:bookmarkEnd w:id="402"/>
      <w:bookmarkStart w:id="403" w:name="_Toc255490712"/>
      <w:bookmarkEnd w:id="403"/>
      <w:bookmarkStart w:id="404" w:name="_Toc255490704"/>
      <w:bookmarkEnd w:id="404"/>
      <w:bookmarkStart w:id="405" w:name="_Toc255490752"/>
      <w:bookmarkEnd w:id="405"/>
      <w:bookmarkStart w:id="406" w:name="_Toc255490739"/>
      <w:bookmarkEnd w:id="406"/>
      <w:bookmarkStart w:id="407" w:name="_Toc256434249"/>
      <w:bookmarkEnd w:id="407"/>
      <w:bookmarkStart w:id="408" w:name="_Toc256434265"/>
      <w:bookmarkEnd w:id="408"/>
      <w:bookmarkStart w:id="409" w:name="_Toc256434235"/>
      <w:bookmarkEnd w:id="409"/>
      <w:bookmarkStart w:id="410" w:name="_Toc255490779"/>
      <w:bookmarkEnd w:id="410"/>
      <w:bookmarkStart w:id="411" w:name="_Toc256955352"/>
      <w:bookmarkEnd w:id="411"/>
      <w:bookmarkStart w:id="412" w:name="_Toc255490790"/>
      <w:bookmarkEnd w:id="412"/>
      <w:bookmarkStart w:id="413" w:name="_Toc255490756"/>
      <w:bookmarkEnd w:id="413"/>
      <w:bookmarkStart w:id="414" w:name="_Toc255490765"/>
      <w:bookmarkEnd w:id="414"/>
      <w:bookmarkStart w:id="415" w:name="_Toc255490798"/>
      <w:bookmarkEnd w:id="415"/>
      <w:bookmarkStart w:id="416" w:name="_Toc255490796"/>
      <w:bookmarkEnd w:id="416"/>
      <w:bookmarkStart w:id="417" w:name="_Toc256955360"/>
      <w:bookmarkEnd w:id="417"/>
      <w:bookmarkStart w:id="418" w:name="_Toc255490732"/>
      <w:bookmarkEnd w:id="418"/>
      <w:bookmarkStart w:id="419" w:name="_Toc255490742"/>
      <w:bookmarkEnd w:id="419"/>
      <w:bookmarkStart w:id="420" w:name="_Toc255490747"/>
      <w:bookmarkEnd w:id="420"/>
      <w:bookmarkStart w:id="421" w:name="_Toc255490707"/>
      <w:bookmarkEnd w:id="421"/>
      <w:bookmarkStart w:id="422" w:name="_Toc255490722"/>
      <w:bookmarkEnd w:id="422"/>
      <w:bookmarkStart w:id="423" w:name="_Toc256434251"/>
      <w:bookmarkEnd w:id="423"/>
      <w:bookmarkStart w:id="424" w:name="_Toc256955355"/>
      <w:bookmarkEnd w:id="424"/>
      <w:bookmarkStart w:id="425" w:name="_Toc255490773"/>
      <w:bookmarkEnd w:id="425"/>
      <w:bookmarkStart w:id="426" w:name="_Toc255490767"/>
      <w:bookmarkEnd w:id="426"/>
      <w:bookmarkStart w:id="427" w:name="_Toc256434241"/>
      <w:bookmarkEnd w:id="427"/>
      <w:bookmarkStart w:id="428" w:name="_Toc256434264"/>
      <w:bookmarkEnd w:id="428"/>
      <w:bookmarkStart w:id="429" w:name="_Toc255490692"/>
      <w:bookmarkEnd w:id="429"/>
      <w:bookmarkStart w:id="430" w:name="_Toc255490795"/>
      <w:bookmarkEnd w:id="430"/>
      <w:bookmarkStart w:id="431" w:name="_Toc255490800"/>
      <w:bookmarkEnd w:id="431"/>
      <w:bookmarkStart w:id="432" w:name="_Toc255490762"/>
      <w:bookmarkEnd w:id="432"/>
      <w:bookmarkStart w:id="433" w:name="_Toc256955364"/>
      <w:bookmarkEnd w:id="433"/>
      <w:bookmarkStart w:id="434" w:name="_Toc255490726"/>
      <w:bookmarkEnd w:id="434"/>
      <w:bookmarkStart w:id="435" w:name="_Toc255490714"/>
      <w:bookmarkEnd w:id="435"/>
      <w:bookmarkStart w:id="436" w:name="_Toc256434240"/>
      <w:bookmarkEnd w:id="436"/>
      <w:bookmarkStart w:id="437" w:name="_Toc256955362"/>
      <w:bookmarkEnd w:id="437"/>
      <w:bookmarkStart w:id="438" w:name="_Toc255490748"/>
      <w:bookmarkEnd w:id="438"/>
      <w:bookmarkStart w:id="439" w:name="_Toc256434253"/>
      <w:bookmarkEnd w:id="439"/>
      <w:bookmarkStart w:id="440" w:name="_Toc255490797"/>
      <w:bookmarkEnd w:id="440"/>
      <w:bookmarkStart w:id="441" w:name="_Toc255490755"/>
      <w:bookmarkEnd w:id="441"/>
      <w:bookmarkStart w:id="442" w:name="_Toc255490740"/>
      <w:bookmarkEnd w:id="442"/>
      <w:bookmarkStart w:id="443" w:name="_Toc255490783"/>
      <w:bookmarkEnd w:id="443"/>
      <w:bookmarkStart w:id="444" w:name="_Toc255490804"/>
      <w:bookmarkEnd w:id="444"/>
      <w:bookmarkStart w:id="445" w:name="_Toc255490787"/>
      <w:bookmarkEnd w:id="445"/>
      <w:bookmarkStart w:id="446" w:name="_Toc255490736"/>
      <w:bookmarkEnd w:id="446"/>
      <w:bookmarkStart w:id="447" w:name="_Toc255490750"/>
      <w:bookmarkEnd w:id="447"/>
      <w:bookmarkStart w:id="448" w:name="_Toc256955349"/>
      <w:bookmarkEnd w:id="448"/>
      <w:bookmarkStart w:id="449" w:name="_Toc255490743"/>
      <w:bookmarkEnd w:id="449"/>
      <w:bookmarkStart w:id="450" w:name="_Toc255490744"/>
      <w:bookmarkEnd w:id="450"/>
      <w:bookmarkStart w:id="451" w:name="_Toc255490727"/>
      <w:bookmarkEnd w:id="451"/>
      <w:bookmarkStart w:id="452" w:name="_Toc255490803"/>
      <w:bookmarkEnd w:id="452"/>
      <w:bookmarkStart w:id="453" w:name="_Toc256434254"/>
      <w:bookmarkEnd w:id="453"/>
      <w:bookmarkStart w:id="454" w:name="_Toc255490723"/>
      <w:bookmarkEnd w:id="454"/>
      <w:bookmarkStart w:id="455" w:name="_Toc255490793"/>
      <w:bookmarkEnd w:id="455"/>
      <w:bookmarkStart w:id="456" w:name="_Toc255490695"/>
      <w:bookmarkEnd w:id="456"/>
      <w:bookmarkStart w:id="457" w:name="_Toc255490777"/>
      <w:bookmarkEnd w:id="457"/>
      <w:bookmarkStart w:id="458" w:name="_Toc256434252"/>
      <w:bookmarkEnd w:id="458"/>
      <w:bookmarkStart w:id="459" w:name="_Toc255490738"/>
      <w:bookmarkEnd w:id="459"/>
      <w:bookmarkStart w:id="460" w:name="_Toc256955359"/>
      <w:bookmarkEnd w:id="460"/>
      <w:bookmarkStart w:id="461" w:name="_Toc255490717"/>
      <w:bookmarkEnd w:id="461"/>
      <w:bookmarkStart w:id="462" w:name="_Toc255490733"/>
      <w:bookmarkEnd w:id="462"/>
      <w:bookmarkStart w:id="463" w:name="_Toc256434257"/>
      <w:bookmarkEnd w:id="463"/>
      <w:bookmarkStart w:id="464" w:name="_Toc255490782"/>
      <w:bookmarkEnd w:id="464"/>
      <w:bookmarkStart w:id="465" w:name="_Toc255490718"/>
      <w:bookmarkEnd w:id="465"/>
      <w:bookmarkStart w:id="466" w:name="_Toc256955356"/>
      <w:bookmarkEnd w:id="466"/>
      <w:bookmarkStart w:id="467" w:name="_Toc256434246"/>
      <w:bookmarkEnd w:id="467"/>
      <w:bookmarkStart w:id="468" w:name="_Toc255490751"/>
      <w:bookmarkEnd w:id="468"/>
      <w:bookmarkStart w:id="469" w:name="_Toc256434242"/>
      <w:bookmarkEnd w:id="469"/>
      <w:bookmarkStart w:id="470" w:name="_Toc255490705"/>
      <w:bookmarkEnd w:id="470"/>
      <w:bookmarkStart w:id="471" w:name="_Toc255490799"/>
      <w:bookmarkEnd w:id="471"/>
      <w:bookmarkStart w:id="472" w:name="_Toc255490702"/>
      <w:bookmarkEnd w:id="472"/>
      <w:bookmarkStart w:id="473" w:name="_Toc255490696"/>
      <w:bookmarkEnd w:id="473"/>
      <w:bookmarkStart w:id="474" w:name="_Toc256434255"/>
      <w:bookmarkEnd w:id="474"/>
      <w:bookmarkStart w:id="475" w:name="_Toc255490730"/>
      <w:bookmarkEnd w:id="475"/>
      <w:bookmarkStart w:id="476" w:name="_Toc256434256"/>
      <w:bookmarkEnd w:id="476"/>
      <w:bookmarkStart w:id="477" w:name="_Toc255490721"/>
      <w:bookmarkEnd w:id="477"/>
      <w:bookmarkStart w:id="478" w:name="_Toc255490758"/>
      <w:bookmarkEnd w:id="478"/>
      <w:bookmarkStart w:id="479" w:name="_Toc255490709"/>
      <w:bookmarkEnd w:id="479"/>
      <w:bookmarkStart w:id="480" w:name="_Toc256434238"/>
      <w:bookmarkEnd w:id="480"/>
      <w:bookmarkStart w:id="481" w:name="_Toc255490737"/>
      <w:bookmarkEnd w:id="481"/>
      <w:bookmarkStart w:id="482" w:name="_Toc255490729"/>
      <w:bookmarkEnd w:id="482"/>
      <w:bookmarkStart w:id="483" w:name="_Toc256955350"/>
      <w:bookmarkEnd w:id="483"/>
      <w:bookmarkStart w:id="484" w:name="_Toc256434247"/>
      <w:bookmarkEnd w:id="484"/>
      <w:bookmarkStart w:id="485" w:name="_Toc256955369"/>
      <w:bookmarkEnd w:id="485"/>
      <w:bookmarkStart w:id="486" w:name="_Toc256434258"/>
      <w:bookmarkEnd w:id="486"/>
      <w:bookmarkStart w:id="487" w:name="_Toc256955357"/>
      <w:bookmarkEnd w:id="487"/>
      <w:bookmarkStart w:id="488" w:name="_Toc255490789"/>
      <w:bookmarkEnd w:id="488"/>
      <w:bookmarkStart w:id="489" w:name="_Toc256955351"/>
      <w:bookmarkEnd w:id="489"/>
      <w:bookmarkStart w:id="490" w:name="_Toc256955354"/>
      <w:bookmarkEnd w:id="490"/>
      <w:bookmarkStart w:id="491" w:name="_Toc255490791"/>
      <w:bookmarkEnd w:id="491"/>
      <w:bookmarkStart w:id="492" w:name="_Toc256955374"/>
      <w:bookmarkEnd w:id="492"/>
      <w:bookmarkStart w:id="493" w:name="_Toc255490720"/>
      <w:bookmarkEnd w:id="493"/>
      <w:bookmarkStart w:id="494" w:name="_Toc255490719"/>
      <w:bookmarkEnd w:id="494"/>
      <w:bookmarkStart w:id="495" w:name="_Toc255490734"/>
      <w:bookmarkEnd w:id="495"/>
      <w:bookmarkStart w:id="496" w:name="_Toc255490728"/>
      <w:bookmarkEnd w:id="496"/>
      <w:bookmarkStart w:id="497" w:name="_Toc256434262"/>
      <w:bookmarkEnd w:id="497"/>
      <w:bookmarkStart w:id="498" w:name="_Toc255490693"/>
      <w:bookmarkEnd w:id="498"/>
      <w:bookmarkStart w:id="499" w:name="_Toc255490688"/>
      <w:bookmarkEnd w:id="499"/>
      <w:bookmarkStart w:id="500" w:name="_Toc255490715"/>
      <w:bookmarkEnd w:id="500"/>
      <w:bookmarkStart w:id="501" w:name="_Toc256955366"/>
      <w:bookmarkEnd w:id="501"/>
      <w:bookmarkStart w:id="502" w:name="_Toc256434244"/>
      <w:bookmarkEnd w:id="502"/>
      <w:bookmarkStart w:id="503" w:name="_Toc256955363"/>
      <w:bookmarkEnd w:id="503"/>
      <w:bookmarkStart w:id="504" w:name="_Toc255490698"/>
      <w:bookmarkEnd w:id="504"/>
      <w:bookmarkStart w:id="505" w:name="_Toc255490700"/>
      <w:bookmarkEnd w:id="505"/>
      <w:bookmarkStart w:id="506" w:name="_Toc256955370"/>
      <w:bookmarkEnd w:id="506"/>
      <w:bookmarkStart w:id="507" w:name="_Toc256434236"/>
      <w:bookmarkEnd w:id="507"/>
      <w:bookmarkStart w:id="508" w:name="_Toc255490741"/>
      <w:bookmarkEnd w:id="508"/>
      <w:bookmarkStart w:id="509" w:name="_Toc256434243"/>
      <w:bookmarkEnd w:id="509"/>
      <w:bookmarkStart w:id="510" w:name="_Toc256434245"/>
      <w:bookmarkEnd w:id="510"/>
      <w:bookmarkStart w:id="511" w:name="_Toc255490766"/>
      <w:bookmarkEnd w:id="511"/>
      <w:bookmarkStart w:id="512" w:name="_Toc255490759"/>
      <w:bookmarkEnd w:id="512"/>
      <w:bookmarkStart w:id="513" w:name="_Toc256955365"/>
      <w:bookmarkEnd w:id="513"/>
      <w:bookmarkStart w:id="514" w:name="_Toc255490754"/>
      <w:bookmarkEnd w:id="514"/>
      <w:bookmarkStart w:id="515" w:name="_Toc255490774"/>
      <w:bookmarkEnd w:id="515"/>
      <w:bookmarkStart w:id="516" w:name="_Toc255490708"/>
      <w:bookmarkEnd w:id="516"/>
      <w:bookmarkStart w:id="517" w:name="_Toc255490725"/>
      <w:bookmarkEnd w:id="517"/>
      <w:bookmarkStart w:id="518" w:name="_Toc255490784"/>
      <w:bookmarkEnd w:id="518"/>
      <w:bookmarkStart w:id="519" w:name="_Toc255490786"/>
      <w:bookmarkEnd w:id="519"/>
      <w:bookmarkStart w:id="520" w:name="_Toc255490781"/>
      <w:bookmarkEnd w:id="520"/>
      <w:bookmarkStart w:id="521" w:name="_Toc255490711"/>
      <w:bookmarkEnd w:id="521"/>
      <w:bookmarkStart w:id="522" w:name="_Toc256955378"/>
      <w:bookmarkStart w:id="523" w:name="_Toc381358657"/>
      <w:bookmarkStart w:id="524" w:name="_Toc375218752"/>
      <w:bookmarkStart w:id="525" w:name="_Toc27122224"/>
      <w:bookmarkStart w:id="526" w:name="_Toc218048812"/>
      <w:bookmarkStart w:id="527" w:name="_Toc217443948"/>
      <w:bookmarkStart w:id="528" w:name="_Toc218048992"/>
      <w:r>
        <w:rPr>
          <w:rStyle w:val="218"/>
          <w:rFonts w:hint="eastAsia" w:ascii="仿宋" w:hAnsi="仿宋" w:eastAsia="仿宋" w:cs="仿宋"/>
          <w:b/>
          <w:bCs/>
          <w:sz w:val="24"/>
          <w:szCs w:val="24"/>
        </w:rPr>
        <w:t>12.合同价款</w:t>
      </w:r>
      <w:bookmarkEnd w:id="522"/>
      <w:bookmarkEnd w:id="523"/>
      <w:bookmarkEnd w:id="524"/>
      <w:bookmarkEnd w:id="525"/>
      <w:bookmarkEnd w:id="526"/>
      <w:bookmarkEnd w:id="527"/>
      <w:bookmarkEnd w:id="528"/>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29" w:name="_Toc27122225"/>
      <w:bookmarkStart w:id="530" w:name="_Toc375218753"/>
      <w:r>
        <w:rPr>
          <w:rFonts w:hint="eastAsia" w:ascii="仿宋" w:hAnsi="仿宋" w:eastAsia="仿宋" w:cs="仿宋"/>
          <w:sz w:val="24"/>
          <w:szCs w:val="24"/>
        </w:rPr>
        <w:t>12.1计价和支付货币</w:t>
      </w:r>
      <w:bookmarkEnd w:id="529"/>
      <w:bookmarkEnd w:id="530"/>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除非合同文件另有约定，本供货合同下的计价、支付和结算均以人民币为计价货币。</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31" w:name="_Toc375218754"/>
      <w:bookmarkStart w:id="532" w:name="_Toc27122226"/>
      <w:r>
        <w:rPr>
          <w:rFonts w:hint="eastAsia" w:ascii="仿宋" w:hAnsi="仿宋" w:eastAsia="仿宋" w:cs="仿宋"/>
          <w:sz w:val="24"/>
          <w:szCs w:val="24"/>
        </w:rPr>
        <w:t>12.2合同价款</w:t>
      </w:r>
      <w:bookmarkEnd w:id="531"/>
      <w:bookmarkEnd w:id="532"/>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本供货合同采用的合同价款的约定方式见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33" w:name="_Toc375218755"/>
      <w:bookmarkStart w:id="534" w:name="_Toc27122227"/>
      <w:r>
        <w:rPr>
          <w:rFonts w:hint="eastAsia" w:ascii="仿宋" w:hAnsi="仿宋" w:eastAsia="仿宋" w:cs="仿宋"/>
          <w:sz w:val="24"/>
          <w:szCs w:val="24"/>
        </w:rPr>
        <w:t>12.3合同价款的调整</w:t>
      </w:r>
      <w:bookmarkEnd w:id="533"/>
      <w:bookmarkEnd w:id="534"/>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合同协议书中约定的签约合同价款在下述因素影响下可按照下述规定予以调整：</w:t>
      </w:r>
    </w:p>
    <w:p>
      <w:pPr>
        <w:numPr>
          <w:ilvl w:val="0"/>
          <w:numId w:val="10"/>
        </w:numPr>
        <w:tabs>
          <w:tab w:val="left" w:pos="900"/>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本供货合同签订后，法律、法规、规章和规范性文件发生变化，且这种变化对合同价款具有强制性调整作用时，合同价款按照相关法律、法规、规章和规范性文件予以调整；</w:t>
      </w:r>
    </w:p>
    <w:p>
      <w:pPr>
        <w:numPr>
          <w:ilvl w:val="0"/>
          <w:numId w:val="10"/>
        </w:numPr>
        <w:tabs>
          <w:tab w:val="left" w:pos="900"/>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发生变更时，按照第13条和14条约定调整合同价款。</w:t>
      </w:r>
    </w:p>
    <w:p>
      <w:pPr>
        <w:numPr>
          <w:ilvl w:val="0"/>
          <w:numId w:val="10"/>
        </w:numPr>
        <w:tabs>
          <w:tab w:val="left" w:pos="900"/>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其他调整因素及方法见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535" w:name="_Toc218048993"/>
      <w:bookmarkStart w:id="536" w:name="_Toc27122228"/>
      <w:bookmarkStart w:id="537" w:name="_Toc217443949"/>
      <w:bookmarkStart w:id="538" w:name="_Toc218048813"/>
      <w:bookmarkStart w:id="539" w:name="_Toc375218756"/>
      <w:bookmarkStart w:id="540" w:name="_Toc381358658"/>
      <w:bookmarkStart w:id="541" w:name="_Toc256955379"/>
      <w:r>
        <w:rPr>
          <w:rStyle w:val="218"/>
          <w:rFonts w:hint="eastAsia" w:ascii="仿宋" w:hAnsi="仿宋" w:eastAsia="仿宋" w:cs="仿宋"/>
          <w:b/>
          <w:bCs/>
          <w:sz w:val="24"/>
          <w:szCs w:val="24"/>
        </w:rPr>
        <w:t>13变更</w:t>
      </w:r>
      <w:bookmarkEnd w:id="535"/>
      <w:bookmarkEnd w:id="536"/>
      <w:bookmarkEnd w:id="537"/>
      <w:bookmarkEnd w:id="538"/>
      <w:bookmarkEnd w:id="539"/>
      <w:bookmarkEnd w:id="540"/>
      <w:bookmarkEnd w:id="541"/>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42" w:name="_Toc375218757"/>
      <w:bookmarkStart w:id="543" w:name="_Toc27122229"/>
      <w:r>
        <w:rPr>
          <w:rFonts w:hint="eastAsia" w:ascii="仿宋" w:hAnsi="仿宋" w:eastAsia="仿宋" w:cs="仿宋"/>
          <w:sz w:val="24"/>
          <w:szCs w:val="24"/>
        </w:rPr>
        <w:t>13.1变更</w:t>
      </w:r>
      <w:bookmarkEnd w:id="542"/>
      <w:bookmarkEnd w:id="54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如果总承包人认为有必要对本采购项目做出变更并经建设单位同意，则总承包人有权发出指令要求供应商进行下述工作，供应商应当遵照执行：</w:t>
      </w:r>
    </w:p>
    <w:p>
      <w:pPr>
        <w:numPr>
          <w:ilvl w:val="0"/>
          <w:numId w:val="11"/>
        </w:numPr>
        <w:tabs>
          <w:tab w:val="left" w:pos="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增加或减少本供货合同中所包括的任何货物的数量；</w:t>
      </w:r>
    </w:p>
    <w:p>
      <w:pPr>
        <w:numPr>
          <w:ilvl w:val="0"/>
          <w:numId w:val="11"/>
        </w:numPr>
        <w:tabs>
          <w:tab w:val="left" w:pos="18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改变本供货合同中所包括的任何货物的性质、质量、规格或类型；</w:t>
      </w:r>
    </w:p>
    <w:p>
      <w:pPr>
        <w:numPr>
          <w:ilvl w:val="0"/>
          <w:numId w:val="11"/>
        </w:numPr>
        <w:tabs>
          <w:tab w:val="left" w:pos="18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改变本供货合同中所包括的任何货物的供货地点；</w:t>
      </w:r>
    </w:p>
    <w:p>
      <w:pPr>
        <w:numPr>
          <w:ilvl w:val="0"/>
          <w:numId w:val="11"/>
        </w:numPr>
        <w:tabs>
          <w:tab w:val="left" w:pos="18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改变本供货合同中所包括的任何货物的供货周期及供货计划；</w:t>
      </w:r>
    </w:p>
    <w:p>
      <w:pPr>
        <w:numPr>
          <w:ilvl w:val="0"/>
          <w:numId w:val="11"/>
        </w:numPr>
        <w:tabs>
          <w:tab w:val="left" w:pos="18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改变本供货合同中所包括的任何货物的服务；</w:t>
      </w:r>
    </w:p>
    <w:p>
      <w:pPr>
        <w:numPr>
          <w:ilvl w:val="0"/>
          <w:numId w:val="11"/>
        </w:numPr>
        <w:tabs>
          <w:tab w:val="left" w:pos="18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其他指令要求见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44" w:name="_Toc27122230"/>
      <w:bookmarkStart w:id="545" w:name="_Toc375218758"/>
      <w:r>
        <w:rPr>
          <w:rFonts w:hint="eastAsia" w:ascii="仿宋" w:hAnsi="仿宋" w:eastAsia="仿宋" w:cs="仿宋"/>
          <w:sz w:val="24"/>
          <w:szCs w:val="24"/>
        </w:rPr>
        <w:t>13.2变更的影响</w:t>
      </w:r>
      <w:bookmarkEnd w:id="544"/>
      <w:bookmarkEnd w:id="54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变更不应当以任何方式使合同失效，但所有变更对工程合同价款的影响应当按照本供货合同约定进行变更计价。如果总承包人发出指令进行供货变更完全是因为：</w:t>
      </w:r>
    </w:p>
    <w:p>
      <w:pPr>
        <w:numPr>
          <w:ilvl w:val="0"/>
          <w:numId w:val="12"/>
        </w:numPr>
        <w:tabs>
          <w:tab w:val="left" w:pos="72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供应商的违约或毁约；</w:t>
      </w:r>
    </w:p>
    <w:p>
      <w:pPr>
        <w:numPr>
          <w:ilvl w:val="0"/>
          <w:numId w:val="12"/>
        </w:numPr>
        <w:tabs>
          <w:tab w:val="left" w:pos="72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供应商自身的方便；</w:t>
      </w:r>
    </w:p>
    <w:p>
      <w:pPr>
        <w:numPr>
          <w:ilvl w:val="0"/>
          <w:numId w:val="12"/>
        </w:numPr>
        <w:tabs>
          <w:tab w:val="left" w:pos="72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供应商其他的原因。</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则由于上述原因引起的变更的费用应当由供应商承担。</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46" w:name="_Toc27122231"/>
      <w:bookmarkStart w:id="547" w:name="_Toc375218759"/>
      <w:r>
        <w:rPr>
          <w:rFonts w:hint="eastAsia" w:ascii="仿宋" w:hAnsi="仿宋" w:eastAsia="仿宋" w:cs="仿宋"/>
          <w:sz w:val="24"/>
          <w:szCs w:val="24"/>
        </w:rPr>
        <w:t>13.3变更的指令</w:t>
      </w:r>
      <w:bookmarkEnd w:id="546"/>
      <w:bookmarkEnd w:id="54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13.3.1无总承包人发出的书面指令，供应商不得做出任何供货变更。因供应商擅自变更设计发生的费用和由此导致总承包人的直接损失，由供应商承担，延误的供货周期不予顺延。</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13.3.2如果工作内容的增加或减少不是由于变更造成，而是由于工作内容与招标时存在差异，则总承包人不必为此发出增加或减少工作内容的指令，该情况不属于本条所指的变更。</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48" w:name="_Toc375218760"/>
      <w:bookmarkStart w:id="549" w:name="_Toc27122232"/>
      <w:r>
        <w:rPr>
          <w:rFonts w:hint="eastAsia" w:ascii="仿宋" w:hAnsi="仿宋" w:eastAsia="仿宋" w:cs="仿宋"/>
          <w:sz w:val="24"/>
          <w:szCs w:val="24"/>
        </w:rPr>
        <w:t>13.4供应商提出的合理化建议</w:t>
      </w:r>
      <w:bookmarkEnd w:id="548"/>
      <w:bookmarkEnd w:id="549"/>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13.4.1除非合同文件另有约定，在合同履行过程中供应商可以书面形式向总承包人提出合理化建议。总承包人发出的对供应商的合理化建议的批准或认可，并不表示供应商的合理化建议构成本供货合同下所指的变更，也不表明总承包人将承担任何责任。只有在下列条件全部满足的前提下，供应商的合理化建议才能构成本条所指的变更：</w:t>
      </w:r>
    </w:p>
    <w:p>
      <w:pPr>
        <w:numPr>
          <w:ilvl w:val="0"/>
          <w:numId w:val="13"/>
        </w:numPr>
        <w:tabs>
          <w:tab w:val="left" w:pos="993"/>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供应商的合理化建议被证明是出于有利于</w:t>
      </w:r>
      <w:r>
        <w:rPr>
          <w:rFonts w:hint="eastAsia" w:ascii="仿宋" w:hAnsi="仿宋" w:eastAsia="仿宋" w:cs="仿宋"/>
          <w:bCs/>
          <w:sz w:val="24"/>
          <w:szCs w:val="24"/>
        </w:rPr>
        <w:t>总承包人</w:t>
      </w:r>
      <w:r>
        <w:rPr>
          <w:rFonts w:hint="eastAsia" w:ascii="仿宋" w:hAnsi="仿宋" w:eastAsia="仿宋" w:cs="仿宋"/>
          <w:sz w:val="24"/>
          <w:szCs w:val="24"/>
        </w:rPr>
        <w:t>实现其本供货合同的目的和利益，或者是由于</w:t>
      </w:r>
      <w:r>
        <w:rPr>
          <w:rFonts w:hint="eastAsia" w:ascii="仿宋" w:hAnsi="仿宋" w:eastAsia="仿宋" w:cs="仿宋"/>
          <w:b/>
          <w:sz w:val="24"/>
          <w:szCs w:val="24"/>
        </w:rPr>
        <w:t>技术标准和要求</w:t>
      </w:r>
      <w:r>
        <w:rPr>
          <w:rFonts w:hint="eastAsia" w:ascii="仿宋" w:hAnsi="仿宋" w:eastAsia="仿宋" w:cs="仿宋"/>
          <w:sz w:val="24"/>
          <w:szCs w:val="24"/>
        </w:rPr>
        <w:t>及相关设计图纸等有合同约束力的文件中错误或明显不合理或明显不可行；</w:t>
      </w:r>
    </w:p>
    <w:p>
      <w:pPr>
        <w:numPr>
          <w:ilvl w:val="0"/>
          <w:numId w:val="13"/>
        </w:numPr>
        <w:tabs>
          <w:tab w:val="left" w:pos="993"/>
          <w:tab w:val="clear" w:pos="1911"/>
        </w:tabs>
        <w:spacing w:line="360" w:lineRule="auto"/>
        <w:ind w:left="0" w:firstLine="360"/>
        <w:rPr>
          <w:rFonts w:ascii="仿宋" w:hAnsi="仿宋" w:eastAsia="仿宋" w:cs="仿宋"/>
          <w:sz w:val="24"/>
          <w:szCs w:val="24"/>
        </w:rPr>
      </w:pPr>
      <w:r>
        <w:rPr>
          <w:rFonts w:hint="eastAsia" w:ascii="仿宋" w:hAnsi="仿宋" w:eastAsia="仿宋" w:cs="仿宋"/>
          <w:sz w:val="24"/>
          <w:szCs w:val="24"/>
        </w:rPr>
        <w:t>供应商的合理化建议所涉及的工作并非供应商自身的质量缺陷、材料采购不力、技术力量不足、或供货周期延误等原因。</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按照上述规定，由总承包人发出的书面形式（并经建设单位确认）确认为变更的合理化建议将构成合同条款约定的变更，其计价应当按照第14条的有关约定执行。</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50" w:name="_Toc27122233"/>
      <w:bookmarkStart w:id="551" w:name="_Toc375218761"/>
      <w:r>
        <w:rPr>
          <w:rFonts w:hint="eastAsia" w:ascii="仿宋" w:hAnsi="仿宋" w:eastAsia="仿宋" w:cs="仿宋"/>
          <w:sz w:val="24"/>
          <w:szCs w:val="24"/>
        </w:rPr>
        <w:t>13.5其他要求</w:t>
      </w:r>
      <w:bookmarkEnd w:id="550"/>
      <w:bookmarkEnd w:id="551"/>
    </w:p>
    <w:p>
      <w:pPr>
        <w:tabs>
          <w:tab w:val="left" w:pos="1406"/>
        </w:tabs>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120" w:afterLines="50" w:line="360" w:lineRule="auto"/>
        <w:jc w:val="left"/>
        <w:textAlignment w:val="baseline"/>
        <w:rPr>
          <w:rStyle w:val="218"/>
          <w:rFonts w:ascii="仿宋" w:hAnsi="仿宋" w:eastAsia="仿宋" w:cs="仿宋"/>
          <w:b/>
          <w:bCs/>
          <w:sz w:val="24"/>
          <w:szCs w:val="24"/>
        </w:rPr>
      </w:pPr>
      <w:bookmarkStart w:id="552" w:name="_Toc27122234"/>
      <w:bookmarkStart w:id="553" w:name="_Toc218048814"/>
      <w:bookmarkStart w:id="554" w:name="_Toc375218762"/>
      <w:bookmarkStart w:id="555" w:name="_Toc218048994"/>
      <w:bookmarkStart w:id="556" w:name="_Toc381358659"/>
      <w:bookmarkStart w:id="557" w:name="_Toc256955380"/>
      <w:bookmarkStart w:id="558" w:name="_Toc217443950"/>
      <w:r>
        <w:rPr>
          <w:rStyle w:val="218"/>
          <w:rFonts w:hint="eastAsia" w:ascii="仿宋" w:hAnsi="仿宋" w:eastAsia="仿宋" w:cs="仿宋"/>
          <w:b/>
          <w:bCs/>
          <w:sz w:val="24"/>
          <w:szCs w:val="24"/>
        </w:rPr>
        <w:t>14.变更的计价</w:t>
      </w:r>
      <w:bookmarkEnd w:id="552"/>
      <w:bookmarkEnd w:id="553"/>
      <w:bookmarkEnd w:id="554"/>
      <w:bookmarkEnd w:id="555"/>
      <w:bookmarkEnd w:id="556"/>
      <w:bookmarkEnd w:id="557"/>
      <w:bookmarkEnd w:id="558"/>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59" w:name="_Toc375218763"/>
      <w:bookmarkStart w:id="560" w:name="_Toc27122235"/>
      <w:r>
        <w:rPr>
          <w:rFonts w:hint="eastAsia" w:ascii="仿宋" w:hAnsi="仿宋" w:eastAsia="仿宋" w:cs="仿宋"/>
          <w:sz w:val="24"/>
          <w:szCs w:val="24"/>
        </w:rPr>
        <w:t>14.1变更的计价</w:t>
      </w:r>
      <w:bookmarkEnd w:id="559"/>
      <w:bookmarkEnd w:id="560"/>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除非合同文件另有约定，上述的所有变更需要按照本条要求予以确定其价格的追加或扣减项目，按照以下原则进行计价：</w:t>
      </w:r>
    </w:p>
    <w:p>
      <w:pPr>
        <w:numPr>
          <w:ilvl w:val="0"/>
          <w:numId w:val="14"/>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对合同中已有适用项目的，按合同已列明的单价计算调整合同价格；</w:t>
      </w:r>
    </w:p>
    <w:p>
      <w:pPr>
        <w:numPr>
          <w:ilvl w:val="0"/>
          <w:numId w:val="14"/>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对与合同中已有类似项目的，参照已有项目在合同中列明的单价确定单价；</w:t>
      </w:r>
    </w:p>
    <w:p>
      <w:pPr>
        <w:numPr>
          <w:ilvl w:val="0"/>
          <w:numId w:val="14"/>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合同中没有相同或类似项目的，合同三方另行协商确定单价；</w:t>
      </w:r>
    </w:p>
    <w:p>
      <w:pPr>
        <w:numPr>
          <w:ilvl w:val="0"/>
          <w:numId w:val="14"/>
        </w:numPr>
        <w:tabs>
          <w:tab w:val="left" w:pos="900"/>
          <w:tab w:val="clear" w:pos="1911"/>
        </w:tabs>
        <w:spacing w:line="360" w:lineRule="auto"/>
        <w:ind w:hanging="1551"/>
        <w:rPr>
          <w:rFonts w:ascii="仿宋" w:hAnsi="仿宋" w:eastAsia="仿宋" w:cs="仿宋"/>
          <w:sz w:val="24"/>
          <w:szCs w:val="24"/>
        </w:rPr>
      </w:pPr>
      <w:r>
        <w:rPr>
          <w:rFonts w:hint="eastAsia" w:ascii="仿宋" w:hAnsi="仿宋" w:eastAsia="仿宋" w:cs="仿宋"/>
          <w:sz w:val="24"/>
          <w:szCs w:val="24"/>
        </w:rPr>
        <w:t>其他要求见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61" w:name="_Toc27122236"/>
      <w:bookmarkStart w:id="562" w:name="_Toc375218764"/>
      <w:r>
        <w:rPr>
          <w:rFonts w:hint="eastAsia" w:ascii="仿宋" w:hAnsi="仿宋" w:eastAsia="仿宋" w:cs="仿宋"/>
          <w:sz w:val="24"/>
          <w:szCs w:val="24"/>
        </w:rPr>
        <w:t>14.2变更计价的程序</w:t>
      </w:r>
      <w:bookmarkEnd w:id="561"/>
      <w:bookmarkEnd w:id="562"/>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14.2.1在变更工作确定后，供应商认为变更工作涉及合同价款调整的，应在</w:t>
      </w:r>
      <w:r>
        <w:rPr>
          <w:rFonts w:hint="eastAsia" w:ascii="仿宋" w:hAnsi="仿宋" w:eastAsia="仿宋" w:cs="仿宋"/>
          <w:b/>
          <w:sz w:val="24"/>
          <w:szCs w:val="24"/>
        </w:rPr>
        <w:t>合同条款专用部分</w:t>
      </w:r>
      <w:r>
        <w:rPr>
          <w:rFonts w:hint="eastAsia" w:ascii="仿宋" w:hAnsi="仿宋" w:eastAsia="仿宋" w:cs="仿宋"/>
          <w:sz w:val="24"/>
          <w:szCs w:val="24"/>
        </w:rPr>
        <w:t>约定的时间内，向总承包人提出调整合同价款的申请并附相关证明文件。</w:t>
      </w:r>
      <w:r>
        <w:rPr>
          <w:rFonts w:hint="eastAsia" w:ascii="仿宋" w:hAnsi="仿宋" w:eastAsia="仿宋"/>
          <w:sz w:val="24"/>
          <w:szCs w:val="24"/>
        </w:rPr>
        <w:t>由建设单位、</w:t>
      </w:r>
      <w:r>
        <w:rPr>
          <w:rFonts w:hint="eastAsia" w:ascii="仿宋" w:hAnsi="仿宋" w:eastAsia="仿宋" w:cs="仿宋"/>
          <w:sz w:val="24"/>
          <w:szCs w:val="24"/>
        </w:rPr>
        <w:t>总承包人</w:t>
      </w:r>
      <w:r>
        <w:rPr>
          <w:rFonts w:hint="eastAsia" w:ascii="仿宋" w:hAnsi="仿宋" w:eastAsia="仿宋"/>
          <w:sz w:val="24"/>
          <w:szCs w:val="24"/>
        </w:rPr>
        <w:t>和供应商协商确认具体金额。</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14.2.2变更工作确定后，若供应商未在第14.2.1项约定的时间内提出调整合同价款申请，则总承包人可根据自己所掌握资料和信息自行确定是否调整合同价款和调整的具体金额。</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14.2.3按照指令完成变更及调整合同价款不得影响工程的连续供货。在合同价款结算时三方仍有争议，则按照第22条的约定解决争议。</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14.2.4除非合同文件另有约定，供应商不得以三方之间未能就变更工作的计价达成一致而拒绝实施变更工作。</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63" w:name="_Toc27122237"/>
      <w:bookmarkStart w:id="564" w:name="_Toc375218765"/>
      <w:r>
        <w:rPr>
          <w:rFonts w:hint="eastAsia" w:ascii="仿宋" w:hAnsi="仿宋" w:eastAsia="仿宋" w:cs="仿宋"/>
          <w:sz w:val="24"/>
          <w:szCs w:val="24"/>
        </w:rPr>
        <w:t>14.3其他要求</w:t>
      </w:r>
      <w:bookmarkEnd w:id="563"/>
      <w:bookmarkEnd w:id="564"/>
    </w:p>
    <w:p>
      <w:pPr>
        <w:tabs>
          <w:tab w:val="left" w:pos="1406"/>
        </w:tabs>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565" w:name="_Toc256955381"/>
      <w:bookmarkStart w:id="566" w:name="_Toc218048815"/>
      <w:bookmarkStart w:id="567" w:name="_Toc217443951"/>
      <w:bookmarkStart w:id="568" w:name="_Toc381358660"/>
      <w:bookmarkStart w:id="569" w:name="_Toc218048995"/>
      <w:bookmarkStart w:id="570" w:name="_Toc27122238"/>
      <w:bookmarkStart w:id="571" w:name="_Toc375218766"/>
      <w:r>
        <w:rPr>
          <w:rStyle w:val="218"/>
          <w:rFonts w:hint="eastAsia" w:ascii="仿宋" w:hAnsi="仿宋" w:eastAsia="仿宋" w:cs="仿宋"/>
          <w:b/>
          <w:bCs/>
          <w:sz w:val="24"/>
          <w:szCs w:val="24"/>
        </w:rPr>
        <w:t>15.支付</w:t>
      </w:r>
      <w:bookmarkEnd w:id="565"/>
      <w:bookmarkEnd w:id="566"/>
      <w:bookmarkEnd w:id="567"/>
      <w:bookmarkEnd w:id="568"/>
      <w:bookmarkEnd w:id="569"/>
      <w:bookmarkEnd w:id="570"/>
      <w:bookmarkEnd w:id="571"/>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72" w:name="_Toc27122239"/>
      <w:bookmarkStart w:id="573" w:name="_Toc375218767"/>
      <w:r>
        <w:rPr>
          <w:rFonts w:hint="eastAsia" w:ascii="仿宋" w:hAnsi="仿宋" w:eastAsia="仿宋" w:cs="仿宋"/>
          <w:sz w:val="24"/>
          <w:szCs w:val="24"/>
        </w:rPr>
        <w:t>15.1预付款</w:t>
      </w:r>
      <w:bookmarkEnd w:id="572"/>
      <w:bookmarkEnd w:id="573"/>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15.1.1除非合同文件另有约定，总承包人应当在本供货合同签订后在合同文件约定的时间内，向供应商以无息的方式预付合同文件约定的预付款，预付额度和支付时间见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15.1.2预付款的抵扣起始时间和方式见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74" w:name="_Toc27122240"/>
      <w:bookmarkStart w:id="575" w:name="_Toc375218768"/>
      <w:r>
        <w:rPr>
          <w:rFonts w:hint="eastAsia" w:ascii="仿宋" w:hAnsi="仿宋" w:eastAsia="仿宋" w:cs="仿宋"/>
          <w:sz w:val="24"/>
          <w:szCs w:val="24"/>
        </w:rPr>
        <w:t>15.2货款</w:t>
      </w:r>
      <w:bookmarkEnd w:id="574"/>
      <w:bookmarkEnd w:id="575"/>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15.2.1货款的付款周期、条件和金额</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货款的付款周期、条件和金额见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15.2.2货款申请</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供应商应根据15.2.1项规定的付款周期和条件，按照总承包人同意的格式，向总承包人提交货款申请，说明供应商认为其有权得到的款额，同时提交必要的证明文件。</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15.2.3货款支付</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总承包人在收到供应商按照15.2.2项提交的货款申请后，总承包人应在</w:t>
      </w:r>
      <w:r>
        <w:rPr>
          <w:rFonts w:hint="eastAsia" w:ascii="仿宋" w:hAnsi="仿宋" w:eastAsia="仿宋" w:cs="仿宋"/>
          <w:b/>
          <w:sz w:val="24"/>
          <w:szCs w:val="24"/>
        </w:rPr>
        <w:t>合同条款专用部分</w:t>
      </w:r>
      <w:r>
        <w:rPr>
          <w:rFonts w:hint="eastAsia" w:ascii="仿宋" w:hAnsi="仿宋" w:eastAsia="仿宋" w:cs="仿宋"/>
          <w:sz w:val="24"/>
          <w:szCs w:val="24"/>
        </w:rPr>
        <w:t>约定的期限内并采用</w:t>
      </w:r>
      <w:r>
        <w:rPr>
          <w:rFonts w:hint="eastAsia" w:ascii="仿宋" w:hAnsi="仿宋" w:eastAsia="仿宋" w:cs="仿宋"/>
          <w:b/>
          <w:sz w:val="24"/>
          <w:szCs w:val="24"/>
        </w:rPr>
        <w:t>合同条款专用部分</w:t>
      </w:r>
      <w:r>
        <w:rPr>
          <w:rFonts w:hint="eastAsia" w:ascii="仿宋" w:hAnsi="仿宋" w:eastAsia="仿宋" w:cs="仿宋"/>
          <w:sz w:val="24"/>
          <w:szCs w:val="24"/>
        </w:rPr>
        <w:t>约定的方式，按照其审核确认的应付货款和应当抵扣的货款（如有）向供应商进行支付。</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76" w:name="_Toc27122241"/>
      <w:bookmarkStart w:id="577" w:name="_Toc375218769"/>
      <w:r>
        <w:rPr>
          <w:rFonts w:hint="eastAsia" w:ascii="仿宋" w:hAnsi="仿宋" w:eastAsia="仿宋" w:cs="仿宋"/>
          <w:sz w:val="24"/>
          <w:szCs w:val="24"/>
        </w:rPr>
        <w:t>15.3质量保证金</w:t>
      </w:r>
      <w:bookmarkEnd w:id="576"/>
      <w:bookmarkEnd w:id="57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15.3.1在按照本供货合同约定做合同价款结算支付时，总承包人将从结算尾款中扣留出一笔金额作为整体工程的“质量保证金”。</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15.3.2质量保证金的额度、支付时间和方式见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78" w:name="_Toc375218770"/>
      <w:bookmarkStart w:id="579" w:name="_Toc27122242"/>
      <w:r>
        <w:rPr>
          <w:rFonts w:hint="eastAsia" w:ascii="仿宋" w:hAnsi="仿宋" w:eastAsia="仿宋" w:cs="仿宋"/>
          <w:sz w:val="24"/>
          <w:szCs w:val="24"/>
        </w:rPr>
        <w:t>15.4延期支付</w:t>
      </w:r>
      <w:bookmarkEnd w:id="578"/>
      <w:bookmarkEnd w:id="579"/>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15.4.1总承包人未按照第15.1款的约定支付预付款，供应商应当及时向总承包人发出书面催款通知。</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15.4.2总承包人未按照第15.2款的约定支付货款，供应商应当及时向总承包人发出书面催款通知。</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15.4.3总承包人未按照第15.3款的约定支付质量保证金，供应商应当及时向总承包人发出书面催款通知。</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580" w:name="_Toc375218772"/>
      <w:bookmarkStart w:id="581" w:name="_Toc27122243"/>
      <w:bookmarkStart w:id="582" w:name="_Toc256955382"/>
      <w:bookmarkStart w:id="583" w:name="_Toc381358661"/>
      <w:r>
        <w:rPr>
          <w:rStyle w:val="218"/>
          <w:rFonts w:hint="eastAsia" w:ascii="仿宋" w:hAnsi="仿宋" w:eastAsia="仿宋" w:cs="仿宋"/>
          <w:b/>
          <w:bCs/>
          <w:sz w:val="24"/>
          <w:szCs w:val="24"/>
        </w:rPr>
        <w:t>16．质量保证</w:t>
      </w:r>
      <w:bookmarkEnd w:id="580"/>
      <w:bookmarkEnd w:id="581"/>
      <w:bookmarkEnd w:id="582"/>
      <w:bookmarkEnd w:id="583"/>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84" w:name="_Toc375218773"/>
      <w:bookmarkStart w:id="585" w:name="_Toc27122244"/>
      <w:r>
        <w:rPr>
          <w:rFonts w:hint="eastAsia" w:ascii="仿宋" w:hAnsi="仿宋" w:eastAsia="仿宋" w:cs="仿宋"/>
          <w:sz w:val="24"/>
          <w:szCs w:val="24"/>
        </w:rPr>
        <w:t>16.1正常质量保证期</w:t>
      </w:r>
      <w:bookmarkEnd w:id="584"/>
      <w:bookmarkEnd w:id="585"/>
      <w:r>
        <w:rPr>
          <w:rFonts w:hint="eastAsia" w:ascii="仿宋" w:hAnsi="仿宋" w:eastAsia="仿宋" w:cs="仿宋"/>
          <w:sz w:val="24"/>
          <w:szCs w:val="24"/>
        </w:rPr>
        <w:t xml:space="preserve"> </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16.1.1正常质量保证期的期限见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16.1.2在正常质量保证期内，供应商应对在正常质量保证期内出现或产生的缺陷，根据本供货合同第17.2.1项的规定向总承包人承担责任，并满足总承包人的要求，除非该缺陷是由于总承包人不遵守供应商的说明而操作及保养货物造成的。</w:t>
      </w:r>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16.1.3若部分货物在保证期内需要更换、重新设计、修改或更新，这部分货物的保证期自三方确认的修复完成日起重新计算。</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86" w:name="_Toc375218774"/>
      <w:bookmarkStart w:id="587" w:name="_Toc27122245"/>
      <w:r>
        <w:rPr>
          <w:rFonts w:hint="eastAsia" w:ascii="仿宋" w:hAnsi="仿宋" w:eastAsia="仿宋" w:cs="仿宋"/>
          <w:sz w:val="24"/>
          <w:szCs w:val="24"/>
        </w:rPr>
        <w:t>16.2质量保证延长期</w:t>
      </w:r>
      <w:bookmarkEnd w:id="586"/>
      <w:bookmarkEnd w:id="587"/>
    </w:p>
    <w:p>
      <w:pPr>
        <w:tabs>
          <w:tab w:val="left" w:pos="140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除依照本供货合同第16.1款规定的正常保证期责任外，供应商应对主要部件在其相应的质量保证延长期内提供延长质量保证，并对之承担责任。具体要求见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16.3</w:t>
      </w:r>
      <w:r>
        <w:rPr>
          <w:rFonts w:hint="eastAsia" w:ascii="仿宋" w:hAnsi="仿宋" w:eastAsia="仿宋" w:cs="仿宋"/>
          <w:sz w:val="24"/>
          <w:szCs w:val="24"/>
        </w:rPr>
        <w:t>供应商收到通知后应按照合同文件约定的时间内以合理的速度免费维修或更换有缺陷的货物，使系统、设备和材料的相应部分恢复到合同文件约定的状态和规格。被修理或更换的货物或部件从出厂地至最终目的地的运保费由供应商承担。供应商收到通知后进行免费维修或更换有缺陷的货物的时间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16.4</w:t>
      </w:r>
      <w:r>
        <w:rPr>
          <w:rFonts w:hint="eastAsia" w:ascii="仿宋" w:hAnsi="仿宋" w:eastAsia="仿宋" w:cs="仿宋"/>
          <w:sz w:val="24"/>
          <w:szCs w:val="24"/>
        </w:rPr>
        <w:t>如果供应商收到通知后应按照第16.3款规定的时间内没有以合理的速度弥补缺陷，总承包人可采取必要的补救措施，但其风险和费用将由供应商承担，总承包人根据合同文件的约定对供应商行使的其他权力不受影响。</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16.5</w:t>
      </w:r>
      <w:r>
        <w:rPr>
          <w:rFonts w:hint="eastAsia" w:ascii="仿宋" w:hAnsi="仿宋" w:eastAsia="仿宋" w:cs="仿宋"/>
          <w:sz w:val="24"/>
          <w:szCs w:val="24"/>
        </w:rPr>
        <w:t>如果任何缺损部分供应商不能按照第16.3款规定的期限或三方商定的合理期限内修补，则总承包人可在通知供应商后自行修补缺损，其费用和风险由供应商承担，但不影响合同文件约定的供应商责任；经供应商认可，总承包人可对细小缺陷进行修理或调整，但由此产生的全部费用由供应商承担。</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16.6</w:t>
      </w:r>
      <w:r>
        <w:rPr>
          <w:rFonts w:hint="eastAsia" w:ascii="仿宋" w:hAnsi="仿宋" w:eastAsia="仿宋" w:cs="仿宋"/>
          <w:sz w:val="24"/>
          <w:szCs w:val="24"/>
        </w:rPr>
        <w:t>供应商保证在现场现有条件下，合同项下的货物在正常操作情况下不会因供应商在设计和制造过程中的缺陷、错误或材料选用及制造工艺上的缺陷而产生故障。若由于货物在设计制造工艺上的缺陷（包括潜在缺陷）而导致安全事故，给总承包人造成所有的损失应由供应商赔偿。</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16.7</w:t>
      </w:r>
      <w:r>
        <w:rPr>
          <w:rFonts w:hint="eastAsia" w:ascii="仿宋" w:hAnsi="仿宋" w:eastAsia="仿宋" w:cs="仿宋"/>
          <w:sz w:val="24"/>
          <w:szCs w:val="24"/>
        </w:rPr>
        <w:t>供应商还应保证合同项下所提供的服务，应按合同文件约定进行并保证不存在因供应商的过失、错误或疏忽而产生的缺陷。</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16.8</w:t>
      </w:r>
      <w:r>
        <w:rPr>
          <w:rFonts w:hint="eastAsia" w:ascii="仿宋" w:hAnsi="仿宋" w:eastAsia="仿宋" w:cs="仿宋"/>
          <w:sz w:val="24"/>
          <w:szCs w:val="24"/>
        </w:rPr>
        <w:t>供应商所供的货物必须已得到中华人民共和国有关部门授予的在中华人民共和国使用的许可，否则，一切责任由供应商负责。</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588" w:name="_Toc27122246"/>
      <w:bookmarkStart w:id="589" w:name="_Toc256955383"/>
      <w:bookmarkStart w:id="590" w:name="_Toc381358662"/>
      <w:bookmarkStart w:id="591" w:name="_Toc375218775"/>
      <w:bookmarkStart w:id="592" w:name="_Toc217443956"/>
      <w:bookmarkStart w:id="593" w:name="_Toc218049000"/>
      <w:bookmarkStart w:id="594" w:name="_Toc218048820"/>
      <w:r>
        <w:rPr>
          <w:rStyle w:val="218"/>
          <w:rFonts w:hint="eastAsia" w:ascii="仿宋" w:hAnsi="仿宋" w:eastAsia="仿宋" w:cs="仿宋"/>
          <w:b/>
          <w:bCs/>
          <w:sz w:val="24"/>
          <w:szCs w:val="24"/>
        </w:rPr>
        <w:t>17.违约</w:t>
      </w:r>
      <w:bookmarkEnd w:id="588"/>
      <w:bookmarkEnd w:id="589"/>
      <w:bookmarkEnd w:id="590"/>
      <w:bookmarkEnd w:id="591"/>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595" w:name="_Toc27122248"/>
      <w:bookmarkStart w:id="596" w:name="_Toc375218777"/>
      <w:r>
        <w:rPr>
          <w:rFonts w:hint="eastAsia" w:ascii="仿宋" w:hAnsi="仿宋" w:eastAsia="仿宋" w:cs="仿宋"/>
          <w:sz w:val="24"/>
          <w:szCs w:val="24"/>
        </w:rPr>
        <w:t>17.1供应商违约</w:t>
      </w:r>
      <w:bookmarkEnd w:id="595"/>
      <w:bookmarkEnd w:id="596"/>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17.1.1建设单位、总承包人有权解除合同</w:t>
      </w:r>
    </w:p>
    <w:p>
      <w:pPr>
        <w:tabs>
          <w:tab w:val="left" w:pos="1406"/>
        </w:tabs>
        <w:spacing w:line="360" w:lineRule="auto"/>
        <w:ind w:left="1050" w:leftChars="500"/>
        <w:rPr>
          <w:rFonts w:ascii="仿宋" w:hAnsi="仿宋" w:eastAsia="仿宋" w:cs="仿宋"/>
          <w:sz w:val="24"/>
          <w:szCs w:val="24"/>
        </w:rPr>
      </w:pPr>
      <w:r>
        <w:rPr>
          <w:rFonts w:hint="eastAsia" w:ascii="仿宋" w:hAnsi="仿宋" w:eastAsia="仿宋" w:cs="仿宋"/>
          <w:sz w:val="24"/>
          <w:szCs w:val="24"/>
        </w:rPr>
        <w:t>如果供应商发生下述情况之一，建设单位或总承包人可向供应商发出拟解除合同的书面形式通知。如果在供应商收到建设单位或</w:t>
      </w:r>
      <w:r>
        <w:rPr>
          <w:rFonts w:hint="eastAsia" w:ascii="仿宋" w:hAnsi="仿宋" w:eastAsia="仿宋" w:cs="仿宋"/>
          <w:bCs/>
          <w:sz w:val="24"/>
          <w:szCs w:val="24"/>
        </w:rPr>
        <w:t>总承包人</w:t>
      </w:r>
      <w:r>
        <w:rPr>
          <w:rFonts w:hint="eastAsia" w:ascii="仿宋" w:hAnsi="仿宋" w:eastAsia="仿宋" w:cs="仿宋"/>
          <w:sz w:val="24"/>
          <w:szCs w:val="24"/>
        </w:rPr>
        <w:t>发出的上述通知后，按合同文件约定的时间内仍然持续该等过失，则建设单位或</w:t>
      </w:r>
      <w:r>
        <w:rPr>
          <w:rFonts w:hint="eastAsia" w:ascii="仿宋" w:hAnsi="仿宋" w:eastAsia="仿宋" w:cs="仿宋"/>
          <w:bCs/>
          <w:sz w:val="24"/>
          <w:szCs w:val="24"/>
        </w:rPr>
        <w:t>总承包人</w:t>
      </w:r>
      <w:r>
        <w:rPr>
          <w:rFonts w:hint="eastAsia" w:ascii="仿宋" w:hAnsi="仿宋" w:eastAsia="仿宋" w:cs="仿宋"/>
          <w:sz w:val="24"/>
          <w:szCs w:val="24"/>
        </w:rPr>
        <w:t>有权解除本供货合同：</w:t>
      </w:r>
    </w:p>
    <w:p>
      <w:pPr>
        <w:numPr>
          <w:ilvl w:val="0"/>
          <w:numId w:val="15"/>
        </w:numPr>
        <w:spacing w:line="360" w:lineRule="auto"/>
        <w:rPr>
          <w:rFonts w:ascii="仿宋" w:hAnsi="仿宋" w:eastAsia="仿宋" w:cs="仿宋"/>
          <w:sz w:val="24"/>
          <w:szCs w:val="24"/>
        </w:rPr>
      </w:pPr>
      <w:r>
        <w:rPr>
          <w:rFonts w:hint="eastAsia" w:ascii="仿宋" w:hAnsi="仿宋" w:eastAsia="仿宋" w:cs="仿宋"/>
          <w:sz w:val="24"/>
          <w:szCs w:val="24"/>
        </w:rPr>
        <w:t xml:space="preserve">明确表示或者以行为表明不履行合同主要义务，又不遵照总承包人的要求在约定的合理时间内改正此类过失或违约行为； </w:t>
      </w:r>
    </w:p>
    <w:p>
      <w:pPr>
        <w:numPr>
          <w:ilvl w:val="0"/>
          <w:numId w:val="15"/>
        </w:numPr>
        <w:spacing w:line="360" w:lineRule="auto"/>
        <w:rPr>
          <w:rFonts w:ascii="仿宋" w:hAnsi="仿宋" w:eastAsia="仿宋" w:cs="仿宋"/>
          <w:sz w:val="24"/>
          <w:szCs w:val="24"/>
        </w:rPr>
      </w:pPr>
      <w:r>
        <w:rPr>
          <w:rFonts w:hint="eastAsia" w:ascii="仿宋" w:hAnsi="仿宋" w:eastAsia="仿宋" w:cs="仿宋"/>
          <w:sz w:val="24"/>
          <w:szCs w:val="24"/>
        </w:rPr>
        <w:t>将本供货合同进行转包、分包的；</w:t>
      </w:r>
    </w:p>
    <w:p>
      <w:pPr>
        <w:numPr>
          <w:ilvl w:val="0"/>
          <w:numId w:val="15"/>
        </w:numPr>
        <w:spacing w:line="360" w:lineRule="auto"/>
        <w:rPr>
          <w:rFonts w:ascii="仿宋" w:hAnsi="仿宋" w:eastAsia="仿宋" w:cs="仿宋"/>
          <w:sz w:val="24"/>
          <w:szCs w:val="24"/>
        </w:rPr>
      </w:pPr>
      <w:r>
        <w:rPr>
          <w:rFonts w:hint="eastAsia" w:ascii="仿宋" w:hAnsi="仿宋" w:eastAsia="仿宋" w:cs="仿宋"/>
          <w:sz w:val="24"/>
          <w:szCs w:val="24"/>
        </w:rPr>
        <w:t>已供货物的质量不合格，并拒绝修复的。</w:t>
      </w:r>
    </w:p>
    <w:p>
      <w:pPr>
        <w:tabs>
          <w:tab w:val="left" w:pos="1406"/>
        </w:tabs>
        <w:spacing w:line="360" w:lineRule="auto"/>
        <w:ind w:left="1050" w:leftChars="500"/>
        <w:rPr>
          <w:rFonts w:ascii="仿宋" w:hAnsi="仿宋" w:eastAsia="仿宋" w:cs="仿宋"/>
          <w:sz w:val="24"/>
          <w:szCs w:val="24"/>
        </w:rPr>
      </w:pPr>
      <w:r>
        <w:rPr>
          <w:rFonts w:hint="eastAsia" w:ascii="仿宋" w:hAnsi="仿宋" w:eastAsia="仿宋" w:cs="仿宋"/>
          <w:sz w:val="24"/>
          <w:szCs w:val="24"/>
        </w:rPr>
        <w:t>如果供应商破产、无力偿还债务、发生非重组重建或合并时、失去政府所颁发的实施本供货合同工作所必须的资质或资格，则建设单位、总承包人有权立即解除本供货合同。</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17.1.2合同解除后的支付</w:t>
      </w:r>
    </w:p>
    <w:p>
      <w:pPr>
        <w:tabs>
          <w:tab w:val="left" w:pos="1406"/>
        </w:tabs>
        <w:spacing w:line="360" w:lineRule="auto"/>
        <w:ind w:left="1050" w:leftChars="500"/>
        <w:rPr>
          <w:rFonts w:ascii="仿宋" w:hAnsi="仿宋" w:eastAsia="仿宋" w:cs="仿宋"/>
          <w:sz w:val="24"/>
          <w:szCs w:val="24"/>
        </w:rPr>
      </w:pPr>
      <w:r>
        <w:rPr>
          <w:rFonts w:hint="eastAsia" w:ascii="仿宋" w:hAnsi="仿宋" w:eastAsia="仿宋" w:cs="仿宋"/>
          <w:sz w:val="24"/>
          <w:szCs w:val="24"/>
        </w:rPr>
        <w:t>建设单位、总承包人根据第17.1.1项解除合同后，应与供应商协商确定：</w:t>
      </w:r>
    </w:p>
    <w:p>
      <w:pPr>
        <w:numPr>
          <w:ilvl w:val="0"/>
          <w:numId w:val="16"/>
        </w:numPr>
        <w:tabs>
          <w:tab w:val="left" w:pos="1560"/>
          <w:tab w:val="clear" w:pos="1911"/>
        </w:tabs>
        <w:spacing w:line="360" w:lineRule="auto"/>
        <w:ind w:left="993" w:firstLine="0"/>
        <w:rPr>
          <w:rFonts w:ascii="仿宋" w:hAnsi="仿宋" w:eastAsia="仿宋" w:cs="仿宋"/>
          <w:sz w:val="24"/>
          <w:szCs w:val="24"/>
        </w:rPr>
      </w:pPr>
      <w:r>
        <w:rPr>
          <w:rFonts w:hint="eastAsia" w:ascii="仿宋" w:hAnsi="仿宋" w:eastAsia="仿宋" w:cs="仿宋"/>
          <w:sz w:val="24"/>
          <w:szCs w:val="24"/>
        </w:rPr>
        <w:t>在上述解除合同时，供应商就其按照合同文件约定实际供货货值，已合理得到或理应得到的款额；</w:t>
      </w:r>
    </w:p>
    <w:p>
      <w:pPr>
        <w:numPr>
          <w:ilvl w:val="0"/>
          <w:numId w:val="16"/>
        </w:numPr>
        <w:tabs>
          <w:tab w:val="left" w:pos="1560"/>
          <w:tab w:val="clear" w:pos="1911"/>
        </w:tabs>
        <w:spacing w:line="360" w:lineRule="auto"/>
        <w:ind w:left="993" w:firstLine="0"/>
        <w:rPr>
          <w:rFonts w:ascii="仿宋" w:hAnsi="仿宋" w:eastAsia="仿宋" w:cs="仿宋"/>
          <w:sz w:val="24"/>
          <w:szCs w:val="24"/>
        </w:rPr>
      </w:pPr>
      <w:r>
        <w:rPr>
          <w:rFonts w:hint="eastAsia" w:ascii="仿宋" w:hAnsi="仿宋" w:eastAsia="仿宋" w:cs="仿宋"/>
          <w:sz w:val="24"/>
          <w:szCs w:val="24"/>
        </w:rPr>
        <w:t>供应商应当赔偿建设单位、</w:t>
      </w:r>
      <w:r>
        <w:rPr>
          <w:rFonts w:hint="eastAsia" w:ascii="仿宋" w:hAnsi="仿宋" w:eastAsia="仿宋" w:cs="仿宋"/>
          <w:bCs/>
          <w:sz w:val="24"/>
          <w:szCs w:val="24"/>
        </w:rPr>
        <w:t>总承包人</w:t>
      </w:r>
      <w:r>
        <w:rPr>
          <w:rFonts w:hint="eastAsia" w:ascii="仿宋" w:hAnsi="仿宋" w:eastAsia="仿宋" w:cs="仿宋"/>
          <w:sz w:val="24"/>
          <w:szCs w:val="24"/>
        </w:rPr>
        <w:t>因终止合同所导致的任何直接损失；</w:t>
      </w:r>
    </w:p>
    <w:p>
      <w:pPr>
        <w:tabs>
          <w:tab w:val="left" w:pos="1560"/>
        </w:tabs>
        <w:spacing w:line="360" w:lineRule="auto"/>
        <w:ind w:left="993"/>
        <w:rPr>
          <w:rFonts w:ascii="仿宋" w:hAnsi="仿宋" w:eastAsia="仿宋" w:cs="仿宋"/>
          <w:sz w:val="24"/>
          <w:szCs w:val="24"/>
        </w:rPr>
      </w:pPr>
      <w:r>
        <w:rPr>
          <w:rFonts w:hint="eastAsia" w:ascii="仿宋" w:hAnsi="仿宋" w:eastAsia="仿宋" w:cs="仿宋"/>
          <w:sz w:val="24"/>
          <w:szCs w:val="24"/>
        </w:rPr>
        <w:t>当上述供应商合理得到或理应得到款额扣除其应赔偿建设单位、总承包人的直接损失后的金额超过了总承包人已经向供应商累计支付的全部款额时，超出部分金额成为供应商归还给总承包人</w:t>
      </w:r>
      <w:r>
        <w:rPr>
          <w:rFonts w:hint="eastAsia" w:ascii="仿宋" w:hAnsi="仿宋" w:eastAsia="仿宋" w:cs="仿宋"/>
          <w:bCs/>
          <w:sz w:val="24"/>
          <w:szCs w:val="24"/>
        </w:rPr>
        <w:t>的债权。</w:t>
      </w:r>
    </w:p>
    <w:p>
      <w:pPr>
        <w:tabs>
          <w:tab w:val="left" w:pos="1560"/>
        </w:tabs>
        <w:spacing w:line="360" w:lineRule="auto"/>
        <w:ind w:left="993"/>
        <w:rPr>
          <w:rFonts w:ascii="仿宋" w:hAnsi="仿宋" w:eastAsia="仿宋" w:cs="仿宋"/>
          <w:sz w:val="24"/>
          <w:szCs w:val="24"/>
        </w:rPr>
      </w:pPr>
      <w:r>
        <w:rPr>
          <w:rFonts w:hint="eastAsia" w:ascii="仿宋" w:hAnsi="仿宋" w:eastAsia="仿宋" w:cs="仿宋"/>
          <w:sz w:val="24"/>
          <w:szCs w:val="24"/>
        </w:rPr>
        <w:t>总承包人行使终止合同的权利，并不影响其拥有的其他权利或补偿。</w:t>
      </w:r>
    </w:p>
    <w:bookmarkEnd w:id="592"/>
    <w:bookmarkEnd w:id="593"/>
    <w:bookmarkEnd w:id="594"/>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597" w:name="_Toc255490820"/>
      <w:bookmarkEnd w:id="597"/>
      <w:bookmarkStart w:id="598" w:name="_Toc255490853"/>
      <w:bookmarkEnd w:id="598"/>
      <w:bookmarkStart w:id="599" w:name="_Toc255490852"/>
      <w:bookmarkEnd w:id="599"/>
      <w:bookmarkStart w:id="600" w:name="_Toc255490828"/>
      <w:bookmarkEnd w:id="600"/>
      <w:bookmarkStart w:id="601" w:name="_Toc255490821"/>
      <w:bookmarkEnd w:id="601"/>
      <w:bookmarkStart w:id="602" w:name="_Toc255490835"/>
      <w:bookmarkEnd w:id="602"/>
      <w:bookmarkStart w:id="603" w:name="_Toc255490830"/>
      <w:bookmarkEnd w:id="603"/>
      <w:bookmarkStart w:id="604" w:name="_Toc255490833"/>
      <w:bookmarkEnd w:id="604"/>
      <w:bookmarkStart w:id="605" w:name="_Toc255490823"/>
      <w:bookmarkEnd w:id="605"/>
      <w:bookmarkStart w:id="606" w:name="_Toc255490847"/>
      <w:bookmarkEnd w:id="606"/>
      <w:bookmarkStart w:id="607" w:name="_Toc255490816"/>
      <w:bookmarkEnd w:id="607"/>
      <w:bookmarkStart w:id="608" w:name="_Toc255490825"/>
      <w:bookmarkEnd w:id="608"/>
      <w:bookmarkStart w:id="609" w:name="_Toc255490844"/>
      <w:bookmarkEnd w:id="609"/>
      <w:bookmarkStart w:id="610" w:name="_Toc255490841"/>
      <w:bookmarkEnd w:id="610"/>
      <w:bookmarkStart w:id="611" w:name="_Toc255490815"/>
      <w:bookmarkEnd w:id="611"/>
      <w:bookmarkStart w:id="612" w:name="_Toc255490826"/>
      <w:bookmarkEnd w:id="612"/>
      <w:bookmarkStart w:id="613" w:name="_Toc255490824"/>
      <w:bookmarkEnd w:id="613"/>
      <w:bookmarkStart w:id="614" w:name="_Toc255490843"/>
      <w:bookmarkEnd w:id="614"/>
      <w:bookmarkStart w:id="615" w:name="_Toc255490814"/>
      <w:bookmarkEnd w:id="615"/>
      <w:bookmarkStart w:id="616" w:name="_Toc255490829"/>
      <w:bookmarkEnd w:id="616"/>
      <w:bookmarkStart w:id="617" w:name="_Toc255490840"/>
      <w:bookmarkEnd w:id="617"/>
      <w:bookmarkStart w:id="618" w:name="_Toc255490839"/>
      <w:bookmarkEnd w:id="618"/>
      <w:bookmarkStart w:id="619" w:name="_Toc255490838"/>
      <w:bookmarkEnd w:id="619"/>
      <w:bookmarkStart w:id="620" w:name="_Toc255490817"/>
      <w:bookmarkEnd w:id="620"/>
      <w:bookmarkStart w:id="621" w:name="_Toc255490849"/>
      <w:bookmarkEnd w:id="621"/>
      <w:bookmarkStart w:id="622" w:name="_Toc255490848"/>
      <w:bookmarkEnd w:id="622"/>
      <w:bookmarkStart w:id="623" w:name="_Toc255490851"/>
      <w:bookmarkEnd w:id="623"/>
      <w:bookmarkStart w:id="624" w:name="_Toc255490836"/>
      <w:bookmarkEnd w:id="624"/>
      <w:bookmarkStart w:id="625" w:name="_Toc255490818"/>
      <w:bookmarkEnd w:id="625"/>
      <w:bookmarkStart w:id="626" w:name="_Toc255490846"/>
      <w:bookmarkEnd w:id="626"/>
      <w:bookmarkStart w:id="627" w:name="_Toc255490842"/>
      <w:bookmarkEnd w:id="627"/>
      <w:bookmarkStart w:id="628" w:name="_Toc255490827"/>
      <w:bookmarkEnd w:id="628"/>
      <w:bookmarkStart w:id="629" w:name="_Toc255490813"/>
      <w:bookmarkEnd w:id="629"/>
      <w:bookmarkStart w:id="630" w:name="_Toc255490850"/>
      <w:bookmarkEnd w:id="630"/>
      <w:bookmarkStart w:id="631" w:name="_Toc255490819"/>
      <w:bookmarkEnd w:id="631"/>
      <w:bookmarkStart w:id="632" w:name="_Toc255490822"/>
      <w:bookmarkEnd w:id="632"/>
      <w:bookmarkStart w:id="633" w:name="_Toc255490832"/>
      <w:bookmarkEnd w:id="633"/>
      <w:bookmarkStart w:id="634" w:name="_Toc255490831"/>
      <w:bookmarkEnd w:id="634"/>
      <w:bookmarkStart w:id="635" w:name="_Toc255490834"/>
      <w:bookmarkEnd w:id="635"/>
      <w:bookmarkStart w:id="636" w:name="_Toc255490845"/>
      <w:bookmarkEnd w:id="636"/>
      <w:bookmarkStart w:id="637" w:name="_Toc256955384"/>
      <w:bookmarkStart w:id="638" w:name="_Toc375218778"/>
      <w:bookmarkStart w:id="639" w:name="_Toc381358663"/>
      <w:bookmarkStart w:id="640" w:name="_Toc27122249"/>
      <w:r>
        <w:rPr>
          <w:rStyle w:val="218"/>
          <w:rFonts w:hint="eastAsia" w:ascii="仿宋" w:hAnsi="仿宋" w:eastAsia="仿宋" w:cs="仿宋"/>
          <w:b/>
          <w:bCs/>
          <w:sz w:val="24"/>
          <w:szCs w:val="24"/>
        </w:rPr>
        <w:t>18.索赔</w:t>
      </w:r>
      <w:bookmarkEnd w:id="637"/>
      <w:bookmarkEnd w:id="638"/>
      <w:bookmarkEnd w:id="639"/>
      <w:bookmarkEnd w:id="640"/>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641" w:name="_Toc27122251"/>
      <w:bookmarkStart w:id="642" w:name="_Toc375218780"/>
      <w:r>
        <w:rPr>
          <w:rFonts w:hint="eastAsia" w:ascii="仿宋" w:hAnsi="仿宋" w:eastAsia="仿宋" w:cs="仿宋"/>
          <w:sz w:val="24"/>
          <w:szCs w:val="24"/>
        </w:rPr>
        <w:t>18.1总承包人的索赔</w:t>
      </w:r>
      <w:bookmarkEnd w:id="641"/>
      <w:bookmarkEnd w:id="642"/>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18.1.1如果供应商未能按照本合同约定履行义务或供应商所履行的义务存在错误给总承包人造成损失，总承包人可按照以下约定向供应商提出索赔。</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18.1.2总承包人索赔的提出：</w:t>
      </w:r>
    </w:p>
    <w:p>
      <w:pPr>
        <w:numPr>
          <w:ilvl w:val="0"/>
          <w:numId w:val="17"/>
        </w:numPr>
        <w:tabs>
          <w:tab w:val="left" w:pos="993"/>
          <w:tab w:val="clear" w:pos="1911"/>
        </w:tabs>
        <w:spacing w:line="360" w:lineRule="auto"/>
        <w:ind w:left="0" w:firstLine="324" w:firstLineChars="135"/>
        <w:rPr>
          <w:rFonts w:ascii="仿宋" w:hAnsi="仿宋" w:eastAsia="仿宋" w:cs="仿宋"/>
          <w:sz w:val="24"/>
          <w:szCs w:val="24"/>
        </w:rPr>
      </w:pPr>
      <w:r>
        <w:rPr>
          <w:rFonts w:hint="eastAsia" w:ascii="仿宋" w:hAnsi="仿宋" w:eastAsia="仿宋" w:cs="仿宋"/>
          <w:sz w:val="24"/>
          <w:szCs w:val="24"/>
        </w:rPr>
        <w:t>总承包人应当在知道或应当知道索赔事件发生后，按照合同文件时间约定的时间内，向供应商提交索赔报告，索赔报告应当详细说明索赔理由以及有权得到的索赔金额和（或）延长的缺陷责任期，并附必要的记录和证明材料；总承包人向供应商提交索赔报告的时间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numPr>
          <w:ilvl w:val="0"/>
          <w:numId w:val="17"/>
        </w:numPr>
        <w:tabs>
          <w:tab w:val="left" w:pos="993"/>
          <w:tab w:val="clear" w:pos="1911"/>
        </w:tabs>
        <w:spacing w:line="360" w:lineRule="auto"/>
        <w:ind w:left="0" w:firstLine="324" w:firstLineChars="135"/>
        <w:rPr>
          <w:rFonts w:ascii="仿宋" w:hAnsi="仿宋" w:eastAsia="仿宋" w:cs="仿宋"/>
          <w:sz w:val="24"/>
          <w:szCs w:val="24"/>
        </w:rPr>
      </w:pPr>
      <w:r>
        <w:rPr>
          <w:rFonts w:hint="eastAsia" w:ascii="仿宋" w:hAnsi="仿宋" w:eastAsia="仿宋" w:cs="仿宋"/>
          <w:sz w:val="24"/>
          <w:szCs w:val="24"/>
        </w:rPr>
        <w:t>索赔事件具有连续影响的，总承包人应当按照合理时间间隔继续提交延续索赔报告，说明连续影响的实际情况和记录，列出累计的索赔金额和（或）缺陷责任期延长天数；</w:t>
      </w:r>
    </w:p>
    <w:p>
      <w:pPr>
        <w:numPr>
          <w:ilvl w:val="0"/>
          <w:numId w:val="17"/>
        </w:numPr>
        <w:tabs>
          <w:tab w:val="left" w:pos="993"/>
          <w:tab w:val="clear" w:pos="1911"/>
        </w:tabs>
        <w:spacing w:line="360" w:lineRule="auto"/>
        <w:ind w:left="0" w:firstLine="324" w:firstLineChars="135"/>
        <w:rPr>
          <w:rFonts w:ascii="仿宋" w:hAnsi="仿宋" w:eastAsia="仿宋" w:cs="仿宋"/>
          <w:sz w:val="24"/>
          <w:szCs w:val="24"/>
        </w:rPr>
      </w:pPr>
      <w:r>
        <w:rPr>
          <w:rFonts w:hint="eastAsia" w:ascii="仿宋" w:hAnsi="仿宋" w:eastAsia="仿宋" w:cs="仿宋"/>
          <w:sz w:val="24"/>
          <w:szCs w:val="24"/>
        </w:rPr>
        <w:t>在索赔事件影响结束后，按照合同文件时间约定的时间内，总承包人应当向供应商提交最终索赔报告，说明最终要求索赔的金额和延长的缺陷责任期，并附必要的记录和证明材料。总承包人向供应商提交最终索赔报告的时间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18.1.3总承包人索赔的处理：</w:t>
      </w:r>
    </w:p>
    <w:p>
      <w:pPr>
        <w:numPr>
          <w:ilvl w:val="0"/>
          <w:numId w:val="18"/>
        </w:numPr>
        <w:tabs>
          <w:tab w:val="left" w:pos="993"/>
          <w:tab w:val="clear" w:pos="1911"/>
        </w:tabs>
        <w:spacing w:line="360" w:lineRule="auto"/>
        <w:ind w:left="0" w:firstLine="284"/>
        <w:rPr>
          <w:rFonts w:ascii="仿宋" w:hAnsi="仿宋" w:eastAsia="仿宋" w:cs="仿宋"/>
          <w:sz w:val="24"/>
          <w:szCs w:val="24"/>
        </w:rPr>
      </w:pPr>
      <w:r>
        <w:rPr>
          <w:rFonts w:hint="eastAsia" w:ascii="仿宋" w:hAnsi="仿宋" w:eastAsia="仿宋" w:cs="仿宋"/>
          <w:sz w:val="24"/>
          <w:szCs w:val="24"/>
        </w:rPr>
        <w:t>供应商收到总承包人提交的索赔报告后，应当及时审查索赔报告的内容、查验总承包人的记录和证明材料，必要时供应商可要求总承包人提交全部原始记录副本。</w:t>
      </w:r>
    </w:p>
    <w:p>
      <w:pPr>
        <w:numPr>
          <w:ilvl w:val="0"/>
          <w:numId w:val="18"/>
        </w:numPr>
        <w:tabs>
          <w:tab w:val="left" w:pos="993"/>
          <w:tab w:val="clear" w:pos="1911"/>
        </w:tabs>
        <w:spacing w:line="360" w:lineRule="auto"/>
        <w:ind w:left="0" w:firstLine="284"/>
        <w:rPr>
          <w:rFonts w:ascii="仿宋" w:hAnsi="仿宋" w:eastAsia="仿宋" w:cs="仿宋"/>
          <w:sz w:val="24"/>
          <w:szCs w:val="24"/>
        </w:rPr>
      </w:pPr>
      <w:r>
        <w:rPr>
          <w:rFonts w:hint="eastAsia" w:ascii="仿宋" w:hAnsi="仿宋" w:eastAsia="仿宋" w:cs="仿宋"/>
          <w:sz w:val="24"/>
          <w:szCs w:val="24"/>
        </w:rPr>
        <w:t>供应商应当按照合同文件约定对总承包人提出的索赔金额和（或）延长的缺陷责任期的要求进行审核和确认，并在收到上述索赔报告或有关索赔的进一步证明材料后，按照合同文件时间约定的时间内，将索赔处理结果答复总承包人。索赔处理结果答复时间的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numPr>
          <w:ilvl w:val="0"/>
          <w:numId w:val="18"/>
        </w:numPr>
        <w:tabs>
          <w:tab w:val="left" w:pos="993"/>
          <w:tab w:val="clear" w:pos="1911"/>
        </w:tabs>
        <w:spacing w:line="360" w:lineRule="auto"/>
        <w:ind w:left="0" w:firstLine="284"/>
        <w:rPr>
          <w:rFonts w:ascii="仿宋" w:hAnsi="仿宋" w:eastAsia="仿宋" w:cs="仿宋"/>
          <w:sz w:val="24"/>
          <w:szCs w:val="24"/>
        </w:rPr>
      </w:pPr>
      <w:r>
        <w:rPr>
          <w:rFonts w:hint="eastAsia" w:ascii="仿宋" w:hAnsi="仿宋" w:eastAsia="仿宋" w:cs="仿宋"/>
          <w:sz w:val="24"/>
          <w:szCs w:val="24"/>
        </w:rPr>
        <w:t>如果供应商在收到上述索赔报告或有关索赔的进一步证明材料后，按照第18.2.3（2）目约定的时间内未答复总承包人处理结果的，则视同供应商接受了总承包人的索赔要求。</w:t>
      </w:r>
    </w:p>
    <w:p>
      <w:pPr>
        <w:numPr>
          <w:ilvl w:val="0"/>
          <w:numId w:val="18"/>
        </w:numPr>
        <w:tabs>
          <w:tab w:val="left" w:pos="993"/>
          <w:tab w:val="clear" w:pos="1911"/>
        </w:tabs>
        <w:spacing w:line="360" w:lineRule="auto"/>
        <w:ind w:left="0" w:firstLine="284"/>
        <w:rPr>
          <w:rFonts w:ascii="仿宋" w:hAnsi="仿宋" w:eastAsia="仿宋" w:cs="仿宋"/>
          <w:sz w:val="24"/>
          <w:szCs w:val="24"/>
        </w:rPr>
      </w:pPr>
      <w:r>
        <w:rPr>
          <w:rFonts w:hint="eastAsia" w:ascii="仿宋" w:hAnsi="仿宋" w:eastAsia="仿宋" w:cs="仿宋"/>
          <w:sz w:val="24"/>
          <w:szCs w:val="24"/>
        </w:rPr>
        <w:t>总承包人接受索赔处理结果的，按照第18.2.5项的约定完成赔付，总承包人不接受索赔处理结果的，按照第22条的约定解决争议。</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18.1.4供应商应当付给总承包人的索赔金额可从总承包人拟支付给供应商的合同价款中扣除，或由供应商以其他方式支付给总承包人。当拟支付给供应商的合同价款已不足以满足索赔金额时，供应商应当在接受索赔处理结果后，按照合同文件时间约定的时间内，将其差额赔偿给总承包人。差额赔偿时间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643" w:name="_Toc375218781"/>
      <w:bookmarkStart w:id="644" w:name="_Toc27122252"/>
      <w:r>
        <w:rPr>
          <w:rFonts w:hint="eastAsia" w:ascii="仿宋" w:hAnsi="仿宋" w:eastAsia="仿宋" w:cs="仿宋"/>
          <w:sz w:val="24"/>
          <w:szCs w:val="24"/>
        </w:rPr>
        <w:t>18.2非索赔事项</w:t>
      </w:r>
      <w:bookmarkEnd w:id="643"/>
      <w:bookmarkEnd w:id="644"/>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以下事项按照相关条款处理，并不视作本条款所述之索赔：</w:t>
      </w:r>
    </w:p>
    <w:p>
      <w:pPr>
        <w:numPr>
          <w:ilvl w:val="0"/>
          <w:numId w:val="19"/>
        </w:numPr>
        <w:tabs>
          <w:tab w:val="left" w:pos="1134"/>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变更对合同价款的增减按照第13条和第14条的约定办理；</w:t>
      </w:r>
    </w:p>
    <w:p>
      <w:pPr>
        <w:numPr>
          <w:ilvl w:val="0"/>
          <w:numId w:val="19"/>
        </w:numPr>
        <w:tabs>
          <w:tab w:val="left" w:pos="1134"/>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保险事宜索赔按照保险条款处理。</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645" w:name="_Toc256955415"/>
      <w:bookmarkEnd w:id="645"/>
      <w:bookmarkStart w:id="646" w:name="_Toc256955419"/>
      <w:bookmarkEnd w:id="646"/>
      <w:bookmarkStart w:id="647" w:name="_Toc256955397"/>
      <w:bookmarkEnd w:id="647"/>
      <w:bookmarkStart w:id="648" w:name="_Toc256434287"/>
      <w:bookmarkEnd w:id="648"/>
      <w:bookmarkStart w:id="649" w:name="_Toc256434278"/>
      <w:bookmarkEnd w:id="649"/>
      <w:bookmarkStart w:id="650" w:name="_Toc256434314"/>
      <w:bookmarkEnd w:id="650"/>
      <w:bookmarkStart w:id="651" w:name="_Toc256955426"/>
      <w:bookmarkEnd w:id="651"/>
      <w:bookmarkStart w:id="652" w:name="_Toc256434312"/>
      <w:bookmarkEnd w:id="652"/>
      <w:bookmarkStart w:id="653" w:name="_Toc256955422"/>
      <w:bookmarkEnd w:id="653"/>
      <w:bookmarkStart w:id="654" w:name="_Toc256955390"/>
      <w:bookmarkEnd w:id="654"/>
      <w:bookmarkStart w:id="655" w:name="_Toc256955392"/>
      <w:bookmarkEnd w:id="655"/>
      <w:bookmarkStart w:id="656" w:name="_Toc256955401"/>
      <w:bookmarkEnd w:id="656"/>
      <w:bookmarkStart w:id="657" w:name="_Toc256955406"/>
      <w:bookmarkEnd w:id="657"/>
      <w:bookmarkStart w:id="658" w:name="_Toc256955427"/>
      <w:bookmarkEnd w:id="658"/>
      <w:bookmarkStart w:id="659" w:name="_Toc256955423"/>
      <w:bookmarkEnd w:id="659"/>
      <w:bookmarkStart w:id="660" w:name="_Toc256955402"/>
      <w:bookmarkEnd w:id="660"/>
      <w:bookmarkStart w:id="661" w:name="_Toc256434305"/>
      <w:bookmarkEnd w:id="661"/>
      <w:bookmarkStart w:id="662" w:name="_Toc256955408"/>
      <w:bookmarkEnd w:id="662"/>
      <w:bookmarkStart w:id="663" w:name="_Toc256434296"/>
      <w:bookmarkEnd w:id="663"/>
      <w:bookmarkStart w:id="664" w:name="_Toc256955417"/>
      <w:bookmarkEnd w:id="664"/>
      <w:bookmarkStart w:id="665" w:name="_Toc256434302"/>
      <w:bookmarkEnd w:id="665"/>
      <w:bookmarkStart w:id="666" w:name="_Toc256955414"/>
      <w:bookmarkEnd w:id="666"/>
      <w:bookmarkStart w:id="667" w:name="_Toc256434294"/>
      <w:bookmarkEnd w:id="667"/>
      <w:bookmarkStart w:id="668" w:name="_Toc256434279"/>
      <w:bookmarkEnd w:id="668"/>
      <w:bookmarkStart w:id="669" w:name="_Toc256955396"/>
      <w:bookmarkEnd w:id="669"/>
      <w:bookmarkStart w:id="670" w:name="_Toc256955424"/>
      <w:bookmarkEnd w:id="670"/>
      <w:bookmarkStart w:id="671" w:name="_Toc256955425"/>
      <w:bookmarkEnd w:id="671"/>
      <w:bookmarkStart w:id="672" w:name="_Toc256434309"/>
      <w:bookmarkEnd w:id="672"/>
      <w:bookmarkStart w:id="673" w:name="_Toc256434297"/>
      <w:bookmarkEnd w:id="673"/>
      <w:bookmarkStart w:id="674" w:name="_Toc256434315"/>
      <w:bookmarkEnd w:id="674"/>
      <w:bookmarkStart w:id="675" w:name="_Toc256955411"/>
      <w:bookmarkEnd w:id="675"/>
      <w:bookmarkStart w:id="676" w:name="_Toc256434311"/>
      <w:bookmarkEnd w:id="676"/>
      <w:bookmarkStart w:id="677" w:name="_Toc256434313"/>
      <w:bookmarkEnd w:id="677"/>
      <w:bookmarkStart w:id="678" w:name="_Toc256434308"/>
      <w:bookmarkEnd w:id="678"/>
      <w:bookmarkStart w:id="679" w:name="_Toc256434300"/>
      <w:bookmarkEnd w:id="679"/>
      <w:bookmarkStart w:id="680" w:name="_Toc256434286"/>
      <w:bookmarkEnd w:id="680"/>
      <w:bookmarkStart w:id="681" w:name="_Toc256434281"/>
      <w:bookmarkEnd w:id="681"/>
      <w:bookmarkStart w:id="682" w:name="_Toc256434274"/>
      <w:bookmarkEnd w:id="682"/>
      <w:bookmarkStart w:id="683" w:name="_Toc256955394"/>
      <w:bookmarkEnd w:id="683"/>
      <w:bookmarkStart w:id="684" w:name="_Toc256434275"/>
      <w:bookmarkEnd w:id="684"/>
      <w:bookmarkStart w:id="685" w:name="_Toc256955407"/>
      <w:bookmarkEnd w:id="685"/>
      <w:bookmarkStart w:id="686" w:name="_Toc256955395"/>
      <w:bookmarkEnd w:id="686"/>
      <w:bookmarkStart w:id="687" w:name="_Toc256955403"/>
      <w:bookmarkEnd w:id="687"/>
      <w:bookmarkStart w:id="688" w:name="_Toc256434280"/>
      <w:bookmarkEnd w:id="688"/>
      <w:bookmarkStart w:id="689" w:name="_Toc256434304"/>
      <w:bookmarkEnd w:id="689"/>
      <w:bookmarkStart w:id="690" w:name="_Toc256434283"/>
      <w:bookmarkEnd w:id="690"/>
      <w:bookmarkStart w:id="691" w:name="_Toc256434301"/>
      <w:bookmarkEnd w:id="691"/>
      <w:bookmarkStart w:id="692" w:name="_Toc256434277"/>
      <w:bookmarkEnd w:id="692"/>
      <w:bookmarkStart w:id="693" w:name="_Toc256434307"/>
      <w:bookmarkEnd w:id="693"/>
      <w:bookmarkStart w:id="694" w:name="_Toc256955410"/>
      <w:bookmarkEnd w:id="694"/>
      <w:bookmarkStart w:id="695" w:name="_Toc256955421"/>
      <w:bookmarkEnd w:id="695"/>
      <w:bookmarkStart w:id="696" w:name="_Toc256434273"/>
      <w:bookmarkEnd w:id="696"/>
      <w:bookmarkStart w:id="697" w:name="_Toc256434282"/>
      <w:bookmarkEnd w:id="697"/>
      <w:bookmarkStart w:id="698" w:name="_Toc256955404"/>
      <w:bookmarkEnd w:id="698"/>
      <w:bookmarkStart w:id="699" w:name="_Toc256434291"/>
      <w:bookmarkEnd w:id="699"/>
      <w:bookmarkStart w:id="700" w:name="_Toc256955412"/>
      <w:bookmarkEnd w:id="700"/>
      <w:bookmarkStart w:id="701" w:name="_Toc256955400"/>
      <w:bookmarkEnd w:id="701"/>
      <w:bookmarkStart w:id="702" w:name="_Toc256434295"/>
      <w:bookmarkEnd w:id="702"/>
      <w:bookmarkStart w:id="703" w:name="_Toc256434285"/>
      <w:bookmarkEnd w:id="703"/>
      <w:bookmarkStart w:id="704" w:name="_Toc256434303"/>
      <w:bookmarkEnd w:id="704"/>
      <w:bookmarkStart w:id="705" w:name="_Toc256955398"/>
      <w:bookmarkEnd w:id="705"/>
      <w:bookmarkStart w:id="706" w:name="_Toc256434290"/>
      <w:bookmarkEnd w:id="706"/>
      <w:bookmarkStart w:id="707" w:name="_Toc256955385"/>
      <w:bookmarkEnd w:id="707"/>
      <w:bookmarkStart w:id="708" w:name="_Toc256434298"/>
      <w:bookmarkEnd w:id="708"/>
      <w:bookmarkStart w:id="709" w:name="_Toc256955405"/>
      <w:bookmarkEnd w:id="709"/>
      <w:bookmarkStart w:id="710" w:name="_Toc256955418"/>
      <w:bookmarkEnd w:id="710"/>
      <w:bookmarkStart w:id="711" w:name="_Toc256955409"/>
      <w:bookmarkEnd w:id="711"/>
      <w:bookmarkStart w:id="712" w:name="_Toc256955399"/>
      <w:bookmarkEnd w:id="712"/>
      <w:bookmarkStart w:id="713" w:name="_Toc256955393"/>
      <w:bookmarkEnd w:id="713"/>
      <w:bookmarkStart w:id="714" w:name="_Toc256955386"/>
      <w:bookmarkEnd w:id="714"/>
      <w:bookmarkStart w:id="715" w:name="_Toc256434289"/>
      <w:bookmarkEnd w:id="715"/>
      <w:bookmarkStart w:id="716" w:name="_Toc256434276"/>
      <w:bookmarkEnd w:id="716"/>
      <w:bookmarkStart w:id="717" w:name="_Toc256955413"/>
      <w:bookmarkEnd w:id="717"/>
      <w:bookmarkStart w:id="718" w:name="_Toc256955389"/>
      <w:bookmarkEnd w:id="718"/>
      <w:bookmarkStart w:id="719" w:name="_Toc256955391"/>
      <w:bookmarkEnd w:id="719"/>
      <w:bookmarkStart w:id="720" w:name="_Toc256955388"/>
      <w:bookmarkEnd w:id="720"/>
      <w:bookmarkStart w:id="721" w:name="_Toc256955416"/>
      <w:bookmarkEnd w:id="721"/>
      <w:bookmarkStart w:id="722" w:name="_Toc256434293"/>
      <w:bookmarkEnd w:id="722"/>
      <w:bookmarkStart w:id="723" w:name="_Toc256434288"/>
      <w:bookmarkEnd w:id="723"/>
      <w:bookmarkStart w:id="724" w:name="_Toc256434284"/>
      <w:bookmarkEnd w:id="724"/>
      <w:bookmarkStart w:id="725" w:name="_Toc256434299"/>
      <w:bookmarkEnd w:id="725"/>
      <w:bookmarkStart w:id="726" w:name="_Toc256955387"/>
      <w:bookmarkEnd w:id="726"/>
      <w:bookmarkStart w:id="727" w:name="_Toc256955420"/>
      <w:bookmarkEnd w:id="727"/>
      <w:bookmarkStart w:id="728" w:name="_Toc256434306"/>
      <w:bookmarkEnd w:id="728"/>
      <w:bookmarkStart w:id="729" w:name="_Toc256434310"/>
      <w:bookmarkEnd w:id="729"/>
      <w:bookmarkStart w:id="730" w:name="_Toc256434292"/>
      <w:bookmarkEnd w:id="730"/>
      <w:bookmarkStart w:id="731" w:name="_Toc217443958"/>
      <w:bookmarkStart w:id="732" w:name="_Toc218049002"/>
      <w:bookmarkStart w:id="733" w:name="_Toc218048822"/>
      <w:bookmarkStart w:id="734" w:name="_Toc256955428"/>
      <w:bookmarkStart w:id="735" w:name="_Toc375218782"/>
      <w:bookmarkStart w:id="736" w:name="_Toc27122253"/>
      <w:bookmarkStart w:id="737" w:name="_Toc381358664"/>
      <w:r>
        <w:rPr>
          <w:rStyle w:val="218"/>
          <w:rFonts w:hint="eastAsia" w:ascii="仿宋" w:hAnsi="仿宋" w:eastAsia="仿宋" w:cs="仿宋"/>
          <w:b/>
          <w:bCs/>
          <w:sz w:val="24"/>
          <w:szCs w:val="24"/>
        </w:rPr>
        <w:t>19.保险</w:t>
      </w:r>
      <w:bookmarkEnd w:id="731"/>
      <w:bookmarkEnd w:id="732"/>
      <w:bookmarkEnd w:id="733"/>
      <w:bookmarkEnd w:id="734"/>
      <w:bookmarkEnd w:id="735"/>
      <w:bookmarkEnd w:id="736"/>
      <w:bookmarkEnd w:id="737"/>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38" w:name="_Toc375218783"/>
      <w:bookmarkStart w:id="739" w:name="_Toc27122254"/>
      <w:r>
        <w:rPr>
          <w:rFonts w:hint="eastAsia" w:ascii="仿宋" w:hAnsi="仿宋" w:eastAsia="仿宋" w:cs="仿宋"/>
          <w:sz w:val="24"/>
          <w:szCs w:val="24"/>
        </w:rPr>
        <w:t>19.1人身财产损伤和总承包人的保障</w:t>
      </w:r>
      <w:bookmarkEnd w:id="738"/>
      <w:bookmarkEnd w:id="739"/>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供应商应当对与本采购项目实施期间发生的因本供货合同履行过程中所导致的人身伤亡及财产损坏承担费用、责任、损失、索赔或诉讼的法律责任，并应当保障总承包人免于承担该等责任。</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40" w:name="_Toc27122255"/>
      <w:bookmarkStart w:id="741" w:name="_Toc375218784"/>
      <w:r>
        <w:rPr>
          <w:rFonts w:hint="eastAsia" w:ascii="仿宋" w:hAnsi="仿宋" w:eastAsia="仿宋" w:cs="仿宋"/>
          <w:sz w:val="24"/>
          <w:szCs w:val="24"/>
        </w:rPr>
        <w:t>19.2运输险及存仓保险</w:t>
      </w:r>
      <w:bookmarkEnd w:id="740"/>
      <w:bookmarkEnd w:id="741"/>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供应商应当负责其供应的货物在运送途中直至运抵现场的安全；如果认为有需要，供应商应当自行购买有关保险。</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42" w:name="_Toc27122256"/>
      <w:bookmarkStart w:id="743" w:name="_Toc375218785"/>
      <w:r>
        <w:rPr>
          <w:rFonts w:hint="eastAsia" w:ascii="仿宋" w:hAnsi="仿宋" w:eastAsia="仿宋" w:cs="仿宋"/>
          <w:sz w:val="24"/>
          <w:szCs w:val="24"/>
        </w:rPr>
        <w:t>19.3第三者责任险</w:t>
      </w:r>
      <w:bookmarkEnd w:id="742"/>
      <w:bookmarkEnd w:id="743"/>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19.3.1供应商负责办理第三者责任险，并将生效后的投保保险单和收据的复印件立即交给总承包人备案。</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19.3.3供应商被视为已清楚明确保险单内的一切条款，并会积极遵循保险条款和承保人关于解决索赔、追讨损失和防止意外的一切合理要求，和自费负责因其未能遵循所导致的后果。</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19.3.4保险期如果因供应商的过失而需延长，由此而增加的保险费均由供应商负担。</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19.3.5如果本采购项目或与本采购项目有关的人员或第三者受到损伤或发生事故，供应商应当立即通知总承包人，并以书面形式详述经过。</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44" w:name="_Toc375218786"/>
      <w:bookmarkStart w:id="745" w:name="_Toc27122257"/>
      <w:r>
        <w:rPr>
          <w:rFonts w:hint="eastAsia" w:ascii="仿宋" w:hAnsi="仿宋" w:eastAsia="仿宋" w:cs="仿宋"/>
          <w:sz w:val="24"/>
          <w:szCs w:val="24"/>
        </w:rPr>
        <w:t>19.4其他商业保险</w:t>
      </w:r>
      <w:bookmarkEnd w:id="744"/>
      <w:bookmarkEnd w:id="745"/>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供应商必须为从事危险作业的职工办理意外伤害保险，支付保险费。为了分散或降低风险，供应商可办理其他商业保险，其费用由供应商自行负担。</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19.5</w:t>
      </w:r>
      <w:r>
        <w:rPr>
          <w:rFonts w:hint="eastAsia" w:ascii="仿宋" w:hAnsi="仿宋" w:eastAsia="仿宋" w:cs="仿宋"/>
          <w:sz w:val="24"/>
          <w:szCs w:val="24"/>
        </w:rPr>
        <w:t>保险事故发生时，供应商有义务采取必要的控制措施，防止损失扩大和蔓延，并应第一时间内通知总承包人及投保的保险公司，及办理相关保险索赔事宜。</w:t>
      </w:r>
    </w:p>
    <w:p>
      <w:pPr>
        <w:tabs>
          <w:tab w:val="left" w:pos="1406"/>
        </w:tabs>
        <w:spacing w:line="360" w:lineRule="auto"/>
        <w:rPr>
          <w:rFonts w:ascii="仿宋" w:hAnsi="仿宋" w:eastAsia="仿宋" w:cs="仿宋"/>
          <w:sz w:val="24"/>
          <w:szCs w:val="24"/>
        </w:rPr>
      </w:pPr>
      <w:r>
        <w:rPr>
          <w:rFonts w:hint="eastAsia" w:ascii="仿宋" w:hAnsi="仿宋" w:eastAsia="仿宋" w:cs="仿宋"/>
          <w:b/>
          <w:sz w:val="24"/>
          <w:szCs w:val="24"/>
        </w:rPr>
        <w:t>19.6</w:t>
      </w:r>
      <w:r>
        <w:rPr>
          <w:rFonts w:hint="eastAsia" w:ascii="仿宋" w:hAnsi="仿宋" w:eastAsia="仿宋" w:cs="仿宋"/>
          <w:sz w:val="24"/>
          <w:szCs w:val="24"/>
        </w:rPr>
        <w:t>保险事故发生时，供应商有义务妥善保管受损的货物。如因供应商保管不善造成受损的货物缺失或加剧损坏，从而导致保险公司拒赔或减少赔付时，供应商应向总承包人赔偿该拒赔或减赔部分的财产损失。</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46" w:name="_Toc27122258"/>
      <w:r>
        <w:rPr>
          <w:rFonts w:hint="eastAsia" w:ascii="仿宋" w:hAnsi="仿宋" w:eastAsia="仿宋" w:cs="仿宋"/>
          <w:sz w:val="24"/>
          <w:szCs w:val="24"/>
        </w:rPr>
        <w:t>19.7关于保险的其他要求</w:t>
      </w:r>
      <w:bookmarkEnd w:id="746"/>
    </w:p>
    <w:p>
      <w:pPr>
        <w:tabs>
          <w:tab w:val="left" w:pos="1406"/>
        </w:tabs>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747" w:name="_Toc217443959"/>
      <w:bookmarkStart w:id="748" w:name="_Toc375218787"/>
      <w:bookmarkStart w:id="749" w:name="_Toc27122259"/>
      <w:bookmarkStart w:id="750" w:name="_Toc218049003"/>
      <w:bookmarkStart w:id="751" w:name="_Toc218048823"/>
      <w:bookmarkStart w:id="752" w:name="_Toc256955429"/>
      <w:bookmarkStart w:id="753" w:name="_Toc381358665"/>
      <w:r>
        <w:rPr>
          <w:rStyle w:val="218"/>
          <w:rFonts w:hint="eastAsia" w:ascii="仿宋" w:hAnsi="仿宋" w:eastAsia="仿宋" w:cs="仿宋"/>
          <w:b/>
          <w:bCs/>
          <w:sz w:val="24"/>
          <w:szCs w:val="24"/>
        </w:rPr>
        <w:t>20.保证担保</w:t>
      </w:r>
      <w:bookmarkEnd w:id="747"/>
      <w:bookmarkEnd w:id="748"/>
      <w:bookmarkEnd w:id="749"/>
      <w:bookmarkEnd w:id="750"/>
      <w:bookmarkEnd w:id="751"/>
      <w:bookmarkEnd w:id="752"/>
      <w:bookmarkEnd w:id="753"/>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54" w:name="_Toc27122260"/>
      <w:bookmarkStart w:id="755" w:name="_Toc375218788"/>
      <w:r>
        <w:rPr>
          <w:rFonts w:hint="eastAsia" w:ascii="仿宋" w:hAnsi="仿宋" w:eastAsia="仿宋" w:cs="仿宋"/>
          <w:sz w:val="24"/>
          <w:szCs w:val="24"/>
        </w:rPr>
        <w:t>20.1预付款保证担保</w:t>
      </w:r>
      <w:bookmarkEnd w:id="754"/>
      <w:bookmarkEnd w:id="755"/>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20.1.1如果合同文件约定，总承包人向供应商支付预付款时，供应商应当向总承包人提交同等金额的预付款保证担保，供应商应当在总承包人支付预付款的同时向总承包人提交预付款保证担保。供应商办理预付款保证担保的费用已包括在合同价款内。总承包人是否要求供应商提交预付款保证担保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20.1.2供应商不能按照合同文件约定使用预付款的，总承包人有权要求保证人承担保证担保责任。</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20.1.3预付款保证担保的有效期截至预付款全额返还或抵扣完之日。</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56" w:name="_Toc27122261"/>
      <w:bookmarkStart w:id="757" w:name="_Toc375218789"/>
      <w:r>
        <w:rPr>
          <w:rFonts w:hint="eastAsia" w:ascii="仿宋" w:hAnsi="仿宋" w:eastAsia="仿宋" w:cs="仿宋"/>
          <w:sz w:val="24"/>
          <w:szCs w:val="24"/>
        </w:rPr>
        <w:t>20.2履约保证担保</w:t>
      </w:r>
      <w:bookmarkEnd w:id="756"/>
      <w:bookmarkEnd w:id="757"/>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20.2.1如果合同文件约定，供应商应当向总承包人提交履约保证担保，供应商应当在签订合同时，向总承包人提交履约保证担保。供应商办理履约保证担保的费用已包括在签约合同价款内。总承包人是否要求供应商提交履约保证担保及其额度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20.2.2履约保证担保有效期应当截止至本合同文件约定的截止日期内。即便本采购项目的供货周期延长，供应商也应当延长担保有效期。履约保证担保有效期的截止时间见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20.2.3供应商不能按照合同文件履行其义务的，总承包人有权要求保证人承担保证担保责任。总承包人向保证人提出索赔之前，应当以书面形式通知供应商，说明其违约情况。如果总承包人索赔的理由是因货物质量问题，总承包人还应当同时提交供应商出具的确认货物质量问题的证明文件，或者具有法定资质的检测机构出具的检测报告。</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20.2.4其他约定见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58" w:name="_Toc375218791"/>
      <w:bookmarkStart w:id="759" w:name="_Toc27122263"/>
      <w:r>
        <w:rPr>
          <w:rFonts w:hint="eastAsia" w:ascii="仿宋" w:hAnsi="仿宋" w:eastAsia="仿宋" w:cs="仿宋"/>
          <w:sz w:val="24"/>
          <w:szCs w:val="24"/>
        </w:rPr>
        <w:t>20.3质量保证金保证担保</w:t>
      </w:r>
      <w:bookmarkEnd w:id="758"/>
      <w:bookmarkEnd w:id="759"/>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20.3.1如果合同文件约定，总承包人要求供应商向总承包人出具质量保证金保证担保的方式来取代在合同价款结算付款中扣留一定比例质量保证金的方式，供应商应当向总承包人提交为供应商开具的质量保证金保证担保。总承包人是否要求供应商提交质量保证金保证担保及其保证担保期限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20.3.2供应商不履行质量保证责任时，总承包人有权要求保证人承担质量保证担保责任。</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60" w:name="_Toc375218792"/>
      <w:bookmarkStart w:id="761" w:name="_Toc27122264"/>
      <w:r>
        <w:rPr>
          <w:rFonts w:hint="eastAsia" w:ascii="仿宋" w:hAnsi="仿宋" w:eastAsia="仿宋" w:cs="仿宋"/>
          <w:sz w:val="24"/>
          <w:szCs w:val="24"/>
        </w:rPr>
        <w:t>20.4相关约定</w:t>
      </w:r>
      <w:bookmarkEnd w:id="760"/>
      <w:bookmarkEnd w:id="761"/>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20.4.1保证人应当是依法设立的有资格的银行业金融机构或者专业担保公司。</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20.4.2货款支付保证担保和履约保证担保、货款支付保证担保和预付款保证担保不得为同一保证人。</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20.4.3保证担保均以保函的形式出具。保证人应当在保函中明确赔付方及期限。</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20.4.4保证担保的保证方式为连带保证担保，责任条件为有条件担保。</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20.4.5保函应当为不可撤销保函，在保函约定的有效期届满之前，除因本供货合同中止执行、解除或法律法规规定的情况外，保证人、债务人和债权人不得以任何理由撤保。</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20.4.6保函约定的有效期已届满，或保函约定的担保金额已被债权人全部索赔，但债务人尚未实际履行完合同约定的义务时，债务人应当按照约定重新提交保函。</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762" w:name="_Toc381358666"/>
      <w:bookmarkStart w:id="763" w:name="_Toc256955430"/>
      <w:bookmarkStart w:id="764" w:name="_Toc27122265"/>
      <w:bookmarkStart w:id="765" w:name="_Toc218048824"/>
      <w:bookmarkStart w:id="766" w:name="_Toc375218793"/>
      <w:bookmarkStart w:id="767" w:name="_Toc218049004"/>
      <w:bookmarkStart w:id="768" w:name="_Toc217443960"/>
      <w:r>
        <w:rPr>
          <w:rStyle w:val="218"/>
          <w:rFonts w:hint="eastAsia" w:ascii="仿宋" w:hAnsi="仿宋" w:eastAsia="仿宋" w:cs="仿宋"/>
          <w:b/>
          <w:bCs/>
          <w:sz w:val="24"/>
          <w:szCs w:val="24"/>
        </w:rPr>
        <w:t>21.不可抗力</w:t>
      </w:r>
      <w:bookmarkEnd w:id="762"/>
      <w:bookmarkEnd w:id="763"/>
      <w:bookmarkEnd w:id="764"/>
      <w:bookmarkEnd w:id="765"/>
      <w:bookmarkEnd w:id="766"/>
      <w:bookmarkEnd w:id="767"/>
      <w:bookmarkEnd w:id="768"/>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69" w:name="_Toc375218794"/>
      <w:bookmarkStart w:id="770" w:name="_Toc27122266"/>
      <w:r>
        <w:rPr>
          <w:rFonts w:hint="eastAsia" w:ascii="仿宋" w:hAnsi="仿宋" w:eastAsia="仿宋" w:cs="仿宋"/>
          <w:sz w:val="24"/>
          <w:szCs w:val="24"/>
        </w:rPr>
        <w:t>21.1不可抗力</w:t>
      </w:r>
      <w:bookmarkEnd w:id="769"/>
      <w:bookmarkEnd w:id="770"/>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 xml:space="preserve">21.1.1不可抗力一般包括以下的情况： </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国家权威部门发布且被界定为灾害的瘟疫、地震、洪水、风灾、雪灾等；</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战争；</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离子辐射或放射性污染；</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以音速或超音速飞行的飞机或其他飞行装置产生的压力波，飞行器坠落；</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动乱、暴乱、骚乱或混乱，但完全局限在总承包人及其供应商内部的事件除外；</w:t>
      </w:r>
    </w:p>
    <w:p>
      <w:pPr>
        <w:numPr>
          <w:ilvl w:val="0"/>
          <w:numId w:val="20"/>
        </w:numPr>
        <w:tabs>
          <w:tab w:val="left" w:pos="54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因适用法律的变更或任何适用的后继法律的颁布所导致本供货合同的履行不再合法。</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21.1.1如果在合同生效日期后发生不可抗力事件，从而阻止合同义务的履行，在该不可抗力影响的范围内，总承包人和供应商均不应当被认为违约或毁约。但如果总承包人或供应商延迟履行其合同义务以后发生不可抗力事件，则不能免除其相应的责任。</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71" w:name="_Toc27122267"/>
      <w:bookmarkStart w:id="772" w:name="_Toc375218795"/>
      <w:r>
        <w:rPr>
          <w:rFonts w:hint="eastAsia" w:ascii="仿宋" w:hAnsi="仿宋" w:eastAsia="仿宋" w:cs="仿宋"/>
          <w:bCs w:val="0"/>
          <w:sz w:val="24"/>
          <w:szCs w:val="24"/>
        </w:rPr>
        <w:t>21.2总承包人</w:t>
      </w:r>
      <w:r>
        <w:rPr>
          <w:rFonts w:hint="eastAsia" w:ascii="仿宋" w:hAnsi="仿宋" w:eastAsia="仿宋" w:cs="仿宋"/>
          <w:sz w:val="24"/>
          <w:szCs w:val="24"/>
        </w:rPr>
        <w:t>和供应商的义务</w:t>
      </w:r>
      <w:bookmarkEnd w:id="771"/>
      <w:bookmarkEnd w:id="772"/>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21.2.1如果总承包人认为某一事件已构成不可抗力并可能影响其履行义务，则在此事件发生时，应当及时通知供应商，并且只要合理可行，应当尽力继续履行其合同中的义务。总承包人还应当将他的建议通知供应商，目的在于完成供货以及减少总承包人和供应商任何损失。</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21.2.2如果供应商认为某一事件已构成不可抗力并可能影响其履行义务，则在此事件发生时，应当及时通知总承包人，并且只要合理可行，应当尽力继续履行其供货合同中的义务。供应商还应当将他的建议通知总承包人，包括任何合理的履约替代方法。但未经总承包人的同意，供应商不得实施此类建议。</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73" w:name="_Toc27122268"/>
      <w:bookmarkStart w:id="774" w:name="_Toc375218796"/>
      <w:r>
        <w:rPr>
          <w:rFonts w:hint="eastAsia" w:ascii="仿宋" w:hAnsi="仿宋" w:eastAsia="仿宋" w:cs="仿宋"/>
          <w:sz w:val="24"/>
          <w:szCs w:val="24"/>
        </w:rPr>
        <w:t>21.3不可抗力发生情况下的付款</w:t>
      </w:r>
      <w:bookmarkEnd w:id="773"/>
      <w:bookmarkEnd w:id="774"/>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如果由于不可抗力的发生造成整体工程的损失和损害，供应商有权要求总承包人将该事件发生前按照合同所完成的货款及时支付给供应商。</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75" w:name="_Toc375218797"/>
      <w:bookmarkStart w:id="776" w:name="_Toc27122269"/>
      <w:r>
        <w:rPr>
          <w:rFonts w:hint="eastAsia" w:ascii="仿宋" w:hAnsi="仿宋" w:eastAsia="仿宋" w:cs="仿宋"/>
          <w:sz w:val="24"/>
          <w:szCs w:val="24"/>
        </w:rPr>
        <w:t>21.4不可抗力造成损害的责任划分</w:t>
      </w:r>
      <w:bookmarkEnd w:id="775"/>
      <w:bookmarkEnd w:id="776"/>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除非合同文件另有约定，不可抗力导致的人员伤亡、财产损失、费用增加和（或）供货周期延误等后果，由合同三方按照以下原则承担：</w:t>
      </w:r>
    </w:p>
    <w:p>
      <w:pPr>
        <w:numPr>
          <w:ilvl w:val="0"/>
          <w:numId w:val="21"/>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已运至供货场地的货物的损害，以及因工程损害造成的第三者人员伤亡和财产损失由总承包人承担；</w:t>
      </w:r>
    </w:p>
    <w:p>
      <w:pPr>
        <w:numPr>
          <w:ilvl w:val="0"/>
          <w:numId w:val="21"/>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bCs/>
          <w:sz w:val="24"/>
          <w:szCs w:val="24"/>
        </w:rPr>
        <w:t>总承包人</w:t>
      </w:r>
      <w:r>
        <w:rPr>
          <w:rFonts w:hint="eastAsia" w:ascii="仿宋" w:hAnsi="仿宋" w:eastAsia="仿宋" w:cs="仿宋"/>
          <w:sz w:val="24"/>
          <w:szCs w:val="24"/>
        </w:rPr>
        <w:t>和供应商各自承担其人员伤亡和其他财产损失及其相关费用；</w:t>
      </w:r>
    </w:p>
    <w:p>
      <w:pPr>
        <w:numPr>
          <w:ilvl w:val="0"/>
          <w:numId w:val="21"/>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供应商的停工损失由供应商承担；</w:t>
      </w:r>
    </w:p>
    <w:p>
      <w:pPr>
        <w:numPr>
          <w:ilvl w:val="0"/>
          <w:numId w:val="21"/>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不能按期供货的，应当合理延长供货周期，供应商不需支付逾期违约金。</w:t>
      </w:r>
      <w:r>
        <w:rPr>
          <w:rFonts w:hint="eastAsia" w:ascii="仿宋" w:hAnsi="仿宋" w:eastAsia="仿宋" w:cs="仿宋"/>
          <w:bCs/>
          <w:sz w:val="24"/>
          <w:szCs w:val="24"/>
        </w:rPr>
        <w:t>总承包人</w:t>
      </w:r>
      <w:r>
        <w:rPr>
          <w:rFonts w:hint="eastAsia" w:ascii="仿宋" w:hAnsi="仿宋" w:eastAsia="仿宋" w:cs="仿宋"/>
          <w:sz w:val="24"/>
          <w:szCs w:val="24"/>
        </w:rPr>
        <w:t>要求提前供货的，供应商应当采取提前供货措施。</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77" w:name="_Toc27122270"/>
      <w:bookmarkStart w:id="778" w:name="_Toc375218798"/>
      <w:r>
        <w:rPr>
          <w:rFonts w:hint="eastAsia" w:ascii="仿宋" w:hAnsi="仿宋" w:eastAsia="仿宋" w:cs="仿宋"/>
          <w:sz w:val="24"/>
          <w:szCs w:val="24"/>
        </w:rPr>
        <w:t>21.5避免和减少不可抗力损失</w:t>
      </w:r>
      <w:bookmarkEnd w:id="777"/>
      <w:bookmarkEnd w:id="778"/>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不可抗力发生后，总承包人和供应商均应当采取措施尽量避免和减少损失的扩大，任何一方未采取有效措施导致损失扩大的，应当对扩大的损失承担责任。</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79" w:name="_Toc27122271"/>
      <w:bookmarkStart w:id="780" w:name="_Toc375218799"/>
      <w:r>
        <w:rPr>
          <w:rFonts w:hint="eastAsia" w:ascii="仿宋" w:hAnsi="仿宋" w:eastAsia="仿宋" w:cs="仿宋"/>
          <w:sz w:val="24"/>
          <w:szCs w:val="24"/>
        </w:rPr>
        <w:t>21.6因不可抗力解除合同</w:t>
      </w:r>
      <w:bookmarkEnd w:id="779"/>
      <w:bookmarkEnd w:id="780"/>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21.6.1如果不可抗力事件的发生时间持续超过合同文件约定的时间，则尽管批准了供货周期延长，合同三方仍均可向对方发出解除合同的通知，在该通知送达对方时，本供货合同自动解除。不可抗力事件发生持续超过时间的具体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21.6.2合同解除后，供应商应对已供货的货物由供应商负责退货或解除供货合同，因未及时退货造成的损失由供应商承担。</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781" w:name="_Toc218048825"/>
      <w:bookmarkStart w:id="782" w:name="_Toc218049005"/>
      <w:bookmarkStart w:id="783" w:name="_Toc27122272"/>
      <w:bookmarkStart w:id="784" w:name="_Toc381358667"/>
      <w:bookmarkStart w:id="785" w:name="_Toc217443961"/>
      <w:bookmarkStart w:id="786" w:name="_Toc256955431"/>
      <w:bookmarkStart w:id="787" w:name="_Toc375218800"/>
      <w:r>
        <w:rPr>
          <w:rStyle w:val="218"/>
          <w:rFonts w:hint="eastAsia" w:ascii="仿宋" w:hAnsi="仿宋" w:eastAsia="仿宋" w:cs="仿宋"/>
          <w:b/>
          <w:bCs/>
          <w:sz w:val="24"/>
          <w:szCs w:val="24"/>
        </w:rPr>
        <w:t>22.争议</w:t>
      </w:r>
      <w:bookmarkEnd w:id="781"/>
      <w:bookmarkEnd w:id="782"/>
      <w:bookmarkEnd w:id="783"/>
      <w:bookmarkEnd w:id="784"/>
      <w:bookmarkEnd w:id="785"/>
      <w:bookmarkEnd w:id="786"/>
      <w:bookmarkEnd w:id="787"/>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88" w:name="_Toc375218801"/>
      <w:bookmarkStart w:id="789" w:name="_Toc27122273"/>
      <w:r>
        <w:rPr>
          <w:rFonts w:hint="eastAsia" w:ascii="仿宋" w:hAnsi="仿宋" w:eastAsia="仿宋" w:cs="仿宋"/>
          <w:sz w:val="24"/>
          <w:szCs w:val="24"/>
        </w:rPr>
        <w:t>22.1争议解决方式</w:t>
      </w:r>
      <w:bookmarkEnd w:id="788"/>
      <w:bookmarkEnd w:id="789"/>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 xml:space="preserve">如果总承包人和供应商由于本供货合同的履行而发生任何争议时，三方可先通过友好协商或者邀请第三方调解此类争议。任何一方不愿通过协商或调解解决争议或通过协商或调解仍不能解决争议，则三方中任何一方均可按照合同文件约定的以下一种方式解决争议： </w:t>
      </w:r>
    </w:p>
    <w:p>
      <w:pPr>
        <w:numPr>
          <w:ilvl w:val="0"/>
          <w:numId w:val="22"/>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第一种解决方式：三方达成仲裁协议，向约定的仲裁委员会申请仲裁；</w:t>
      </w:r>
    </w:p>
    <w:p>
      <w:pPr>
        <w:numPr>
          <w:ilvl w:val="0"/>
          <w:numId w:val="22"/>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第二种解决方式：向有管辖权的人民法院起诉。</w:t>
      </w:r>
    </w:p>
    <w:p>
      <w:pPr>
        <w:tabs>
          <w:tab w:val="left" w:pos="360"/>
          <w:tab w:val="left" w:pos="1406"/>
        </w:tabs>
        <w:spacing w:line="360" w:lineRule="auto"/>
        <w:ind w:left="1148" w:leftChars="172" w:hanging="787" w:hangingChars="328"/>
        <w:rPr>
          <w:rFonts w:ascii="仿宋" w:hAnsi="仿宋" w:eastAsia="仿宋" w:cs="仿宋"/>
          <w:b/>
          <w:sz w:val="24"/>
          <w:szCs w:val="24"/>
        </w:rPr>
      </w:pPr>
      <w:r>
        <w:rPr>
          <w:rFonts w:hint="eastAsia" w:ascii="仿宋" w:hAnsi="仿宋" w:eastAsia="仿宋" w:cs="仿宋"/>
          <w:sz w:val="24"/>
          <w:szCs w:val="24"/>
        </w:rPr>
        <w:t>争议的解决方式见</w:t>
      </w:r>
      <w:r>
        <w:rPr>
          <w:rFonts w:hint="eastAsia" w:ascii="仿宋" w:hAnsi="仿宋" w:eastAsia="仿宋" w:cs="仿宋"/>
          <w:b/>
          <w:sz w:val="24"/>
          <w:szCs w:val="24"/>
        </w:rPr>
        <w:t>合同条款专用部分。</w:t>
      </w:r>
    </w:p>
    <w:p>
      <w:pPr>
        <w:pStyle w:val="6"/>
        <w:keepNext w:val="0"/>
        <w:keepLines w:val="0"/>
        <w:numPr>
          <w:ilvl w:val="1"/>
          <w:numId w:val="0"/>
        </w:numPr>
        <w:tabs>
          <w:tab w:val="left" w:pos="1200"/>
          <w:tab w:val="left" w:pos="2835"/>
        </w:tabs>
        <w:adjustRightInd w:val="0"/>
        <w:spacing w:before="0" w:after="0" w:line="360" w:lineRule="auto"/>
        <w:ind w:left="1202" w:hanging="1202"/>
        <w:jc w:val="left"/>
        <w:textAlignment w:val="baseline"/>
        <w:rPr>
          <w:rFonts w:ascii="仿宋" w:hAnsi="仿宋" w:eastAsia="仿宋" w:cs="仿宋"/>
          <w:sz w:val="24"/>
          <w:szCs w:val="24"/>
        </w:rPr>
      </w:pPr>
      <w:bookmarkStart w:id="790" w:name="_Toc27122274"/>
      <w:bookmarkStart w:id="791" w:name="_Toc375218802"/>
      <w:r>
        <w:rPr>
          <w:rFonts w:hint="eastAsia" w:ascii="仿宋" w:hAnsi="仿宋" w:eastAsia="仿宋" w:cs="仿宋"/>
          <w:sz w:val="24"/>
          <w:szCs w:val="24"/>
        </w:rPr>
        <w:t>22.2发生争议时合同的履行</w:t>
      </w:r>
      <w:bookmarkEnd w:id="790"/>
      <w:bookmarkEnd w:id="791"/>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发生争议后，除非出现下列情况的，总承包人和供应商都应当继续履行合同：</w:t>
      </w:r>
    </w:p>
    <w:p>
      <w:pPr>
        <w:numPr>
          <w:ilvl w:val="0"/>
          <w:numId w:val="23"/>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单方违约导致本供货合同确已无法履行，三方协议停止供货；</w:t>
      </w:r>
    </w:p>
    <w:p>
      <w:pPr>
        <w:numPr>
          <w:ilvl w:val="0"/>
          <w:numId w:val="23"/>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不可抗力导致本供货合同无法履行；</w:t>
      </w:r>
    </w:p>
    <w:p>
      <w:pPr>
        <w:numPr>
          <w:ilvl w:val="0"/>
          <w:numId w:val="23"/>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调解要求停止供货，且为三方接受；</w:t>
      </w:r>
    </w:p>
    <w:p>
      <w:pPr>
        <w:numPr>
          <w:ilvl w:val="0"/>
          <w:numId w:val="23"/>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仲裁机构要求停止供货；</w:t>
      </w:r>
    </w:p>
    <w:p>
      <w:pPr>
        <w:numPr>
          <w:ilvl w:val="0"/>
          <w:numId w:val="23"/>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法院要求停止供货。</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792" w:name="_Toc218049006"/>
      <w:bookmarkStart w:id="793" w:name="_Toc256955432"/>
      <w:bookmarkStart w:id="794" w:name="_Toc27122275"/>
      <w:bookmarkStart w:id="795" w:name="_Toc375218803"/>
      <w:bookmarkStart w:id="796" w:name="_Toc381358668"/>
      <w:bookmarkStart w:id="797" w:name="_Toc217443962"/>
      <w:bookmarkStart w:id="798" w:name="_Toc218048826"/>
      <w:r>
        <w:rPr>
          <w:rStyle w:val="218"/>
          <w:rFonts w:hint="eastAsia" w:ascii="仿宋" w:hAnsi="仿宋" w:eastAsia="仿宋" w:cs="仿宋"/>
          <w:b/>
          <w:bCs/>
          <w:sz w:val="24"/>
          <w:szCs w:val="24"/>
        </w:rPr>
        <w:t>23.专利权</w:t>
      </w:r>
      <w:bookmarkEnd w:id="792"/>
      <w:bookmarkEnd w:id="793"/>
      <w:bookmarkEnd w:id="794"/>
      <w:bookmarkEnd w:id="795"/>
      <w:bookmarkEnd w:id="796"/>
      <w:bookmarkEnd w:id="797"/>
      <w:bookmarkEnd w:id="798"/>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23.1供应商应保证其拥有货物及服务的知识产权，并保证建设单位在中华人民共和国使用货物及服务或其任何一部分时，免受第三方提出侵犯其任何专利、注册的设计、版权、商标或商品名称或其他知识产权及工业设计权的起诉及索赔。</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23.2合同价已包括所有应支付的，对专利权、版权、使用权、设计或其他知识产权而需要向其他方支付的版税等费用。</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23.3应供应商要求并在由其承担费用的情况下，总承包人应当协助供应商对任何上述索赔和诉讼进行争辩，供应商应当偿付给总承包人由此而导致的全部合理的开支。</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799" w:name="_Toc27122276"/>
      <w:bookmarkStart w:id="800" w:name="_Toc381358669"/>
      <w:bookmarkStart w:id="801" w:name="_Toc217443964"/>
      <w:bookmarkStart w:id="802" w:name="_Toc218048828"/>
      <w:bookmarkStart w:id="803" w:name="_Toc375218804"/>
      <w:bookmarkStart w:id="804" w:name="_Toc256955433"/>
      <w:bookmarkStart w:id="805" w:name="_Toc218049008"/>
      <w:r>
        <w:rPr>
          <w:rStyle w:val="218"/>
          <w:rFonts w:hint="eastAsia" w:ascii="仿宋" w:hAnsi="仿宋" w:eastAsia="仿宋" w:cs="仿宋"/>
          <w:b/>
          <w:bCs/>
          <w:sz w:val="24"/>
          <w:szCs w:val="24"/>
        </w:rPr>
        <w:t>24.严禁贿赂</w:t>
      </w:r>
      <w:bookmarkEnd w:id="799"/>
      <w:bookmarkEnd w:id="800"/>
      <w:bookmarkEnd w:id="801"/>
      <w:bookmarkEnd w:id="802"/>
      <w:bookmarkEnd w:id="803"/>
      <w:bookmarkEnd w:id="804"/>
      <w:bookmarkEnd w:id="805"/>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如果总承包人或供应商、代理人或服务人员给予或提出给予任何人以任何贿赂、礼品、小费或佣金作为引诱或报酬，以达到下列目的或企图：</w:t>
      </w:r>
    </w:p>
    <w:p>
      <w:pPr>
        <w:numPr>
          <w:ilvl w:val="0"/>
          <w:numId w:val="24"/>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使该人员采取或不采取与该合同有关的任何行动；</w:t>
      </w:r>
    </w:p>
    <w:p>
      <w:pPr>
        <w:numPr>
          <w:ilvl w:val="0"/>
          <w:numId w:val="24"/>
        </w:numPr>
        <w:tabs>
          <w:tab w:val="left" w:pos="360"/>
          <w:tab w:val="clear" w:pos="1911"/>
        </w:tabs>
        <w:spacing w:line="360" w:lineRule="auto"/>
        <w:ind w:left="360" w:firstLine="0"/>
        <w:rPr>
          <w:rFonts w:ascii="仿宋" w:hAnsi="仿宋" w:eastAsia="仿宋" w:cs="仿宋"/>
          <w:sz w:val="24"/>
          <w:szCs w:val="24"/>
        </w:rPr>
      </w:pPr>
      <w:r>
        <w:rPr>
          <w:rFonts w:hint="eastAsia" w:ascii="仿宋" w:hAnsi="仿宋" w:eastAsia="仿宋" w:cs="仿宋"/>
          <w:sz w:val="24"/>
          <w:szCs w:val="24"/>
        </w:rPr>
        <w:t>使该人员对与该合同有关的任何人员表示赞同或不赞同。</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在证据确凿的情况下，供应商或总承包人可在向对方发出通知后14天内终止合同。终止合同的决定并不影响提出终止合同的一方按照合同所拥有的所有其他权益。</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806" w:name="_Toc218048829"/>
      <w:bookmarkStart w:id="807" w:name="_Toc256955434"/>
      <w:bookmarkStart w:id="808" w:name="_Toc375218805"/>
      <w:bookmarkStart w:id="809" w:name="_Toc381358670"/>
      <w:bookmarkStart w:id="810" w:name="_Toc217443965"/>
      <w:bookmarkStart w:id="811" w:name="_Toc27122277"/>
      <w:bookmarkStart w:id="812" w:name="_Toc218049009"/>
      <w:r>
        <w:rPr>
          <w:rStyle w:val="218"/>
          <w:rFonts w:hint="eastAsia" w:ascii="仿宋" w:hAnsi="仿宋" w:eastAsia="仿宋" w:cs="仿宋"/>
          <w:b/>
          <w:bCs/>
          <w:sz w:val="24"/>
          <w:szCs w:val="24"/>
        </w:rPr>
        <w:t>25.保密</w:t>
      </w:r>
      <w:bookmarkEnd w:id="806"/>
      <w:bookmarkEnd w:id="807"/>
      <w:bookmarkEnd w:id="808"/>
      <w:bookmarkEnd w:id="809"/>
      <w:bookmarkEnd w:id="810"/>
      <w:bookmarkEnd w:id="811"/>
      <w:bookmarkEnd w:id="812"/>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合同三方都应当履行对本供货合同的保密义务，未征得对方事先的书面同意，另一方不得在任何经营活动中、技术文献或其他地方发表或披露本供货合同或其任何细节。更不得把全部或部分的与本供货合同有关的资料翻印外传。</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813" w:name="_Toc218049010"/>
      <w:bookmarkStart w:id="814" w:name="_Toc381358671"/>
      <w:bookmarkStart w:id="815" w:name="_Toc375218806"/>
      <w:bookmarkStart w:id="816" w:name="_Toc27122278"/>
      <w:bookmarkStart w:id="817" w:name="_Toc256955435"/>
      <w:bookmarkStart w:id="818" w:name="_Toc218048830"/>
      <w:bookmarkStart w:id="819" w:name="_Toc217443966"/>
      <w:r>
        <w:rPr>
          <w:rStyle w:val="218"/>
          <w:rFonts w:hint="eastAsia" w:ascii="仿宋" w:hAnsi="仿宋" w:eastAsia="仿宋" w:cs="仿宋"/>
          <w:b/>
          <w:bCs/>
          <w:sz w:val="24"/>
          <w:szCs w:val="24"/>
        </w:rPr>
        <w:t>26.合同文件的修改</w:t>
      </w:r>
      <w:bookmarkEnd w:id="813"/>
      <w:bookmarkEnd w:id="814"/>
      <w:bookmarkEnd w:id="815"/>
      <w:bookmarkEnd w:id="816"/>
      <w:bookmarkEnd w:id="817"/>
      <w:bookmarkEnd w:id="818"/>
      <w:bookmarkEnd w:id="819"/>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即使由于任何原因使得本供货合同中的某些条款或约定无效或无法履行，这种情况也不应当影响到本供货合同中其他条款或约定的有效性，也不应当在任何方面使得本供货合同完全失效。</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如果发生上述情况，并且合同三方均认为有必要对已无效或无法履行的条款或约定进行修改时，三方均应当本着不改变本供货合同的最终目的，并最大限度地保证本供货合同的最终目的不受影响的原则，完成相关条款的修订。任何情况下，三方修订合同时不得再行订立背离本供货合同实质性内容的其他协议。</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820" w:name="_Toc381358672"/>
      <w:bookmarkStart w:id="821" w:name="_Toc256955436"/>
      <w:bookmarkStart w:id="822" w:name="_Toc27122279"/>
      <w:bookmarkStart w:id="823" w:name="_Toc218048831"/>
      <w:bookmarkStart w:id="824" w:name="_Toc218049011"/>
      <w:bookmarkStart w:id="825" w:name="_Toc375218807"/>
      <w:bookmarkStart w:id="826" w:name="_Toc217443967"/>
      <w:r>
        <w:rPr>
          <w:rStyle w:val="218"/>
          <w:rFonts w:hint="eastAsia" w:ascii="仿宋" w:hAnsi="仿宋" w:eastAsia="仿宋" w:cs="仿宋"/>
          <w:b/>
          <w:bCs/>
          <w:sz w:val="24"/>
          <w:szCs w:val="24"/>
        </w:rPr>
        <w:t>27.文件版权</w:t>
      </w:r>
      <w:bookmarkEnd w:id="820"/>
      <w:bookmarkEnd w:id="821"/>
      <w:bookmarkEnd w:id="822"/>
      <w:bookmarkEnd w:id="823"/>
      <w:bookmarkEnd w:id="824"/>
      <w:bookmarkEnd w:id="825"/>
      <w:bookmarkEnd w:id="826"/>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总承包人颁发给供应商的图纸、技术规范和反映总承包人关于本供货合同的要求或其他类似性质的文件的版权属于总承包人拥有，供应商可因实施本供货合同的目的而复制、使用此类文件，但不能用于与本供货合同无关的其他事项。在征得总承包人书面同意前，供应商不得为了实施其他目的而复制、使用总承包人的文件或将之提供给任何第三方。</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供应商为实施整体工程所编制的供货文件的版权属于供应商所拥有，总承包人可因实施整体工程复制、使用此类文件，但不能用于其他无关的事项。在征得供应商书面同意前，总承包人不得为了实施其他目的而复制、使用供应商的此类文件或将之提供给任何第三方。</w:t>
      </w:r>
    </w:p>
    <w:p>
      <w:pPr>
        <w:pStyle w:val="6"/>
        <w:keepNext w:val="0"/>
        <w:keepLines w:val="0"/>
        <w:numPr>
          <w:ilvl w:val="1"/>
          <w:numId w:val="0"/>
        </w:numPr>
        <w:tabs>
          <w:tab w:val="left" w:pos="1200"/>
          <w:tab w:val="left" w:pos="2835"/>
        </w:tabs>
        <w:adjustRightInd w:val="0"/>
        <w:spacing w:before="240" w:beforeLines="100" w:after="0" w:line="360" w:lineRule="auto"/>
        <w:ind w:left="1202" w:hanging="1202"/>
        <w:jc w:val="left"/>
        <w:textAlignment w:val="baseline"/>
        <w:rPr>
          <w:rStyle w:val="218"/>
          <w:rFonts w:ascii="仿宋" w:hAnsi="仿宋" w:eastAsia="仿宋" w:cs="仿宋"/>
          <w:b/>
          <w:bCs/>
          <w:sz w:val="24"/>
          <w:szCs w:val="24"/>
        </w:rPr>
      </w:pPr>
      <w:bookmarkStart w:id="827" w:name="_Toc381358673"/>
      <w:bookmarkStart w:id="828" w:name="_Toc217443968"/>
      <w:bookmarkStart w:id="829" w:name="_Toc218049012"/>
      <w:bookmarkStart w:id="830" w:name="_Toc256955437"/>
      <w:bookmarkStart w:id="831" w:name="_Toc27122280"/>
      <w:bookmarkStart w:id="832" w:name="_Toc375218808"/>
      <w:bookmarkStart w:id="833" w:name="_Toc218048832"/>
      <w:r>
        <w:rPr>
          <w:rStyle w:val="218"/>
          <w:rFonts w:hint="eastAsia" w:ascii="仿宋" w:hAnsi="仿宋" w:eastAsia="仿宋" w:cs="仿宋"/>
          <w:b/>
          <w:bCs/>
          <w:sz w:val="24"/>
          <w:szCs w:val="24"/>
        </w:rPr>
        <w:t>28.合同效力及份数</w:t>
      </w:r>
      <w:bookmarkEnd w:id="827"/>
      <w:bookmarkEnd w:id="828"/>
      <w:bookmarkEnd w:id="829"/>
      <w:bookmarkEnd w:id="830"/>
      <w:bookmarkEnd w:id="831"/>
      <w:bookmarkEnd w:id="832"/>
      <w:bookmarkEnd w:id="833"/>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本供货合同自各方签字盖章之日起成立，生效条件或期限见合同协议书相关约定。三方各自履行完合同义务后自动失效。</w:t>
      </w:r>
    </w:p>
    <w:p>
      <w:pPr>
        <w:tabs>
          <w:tab w:val="left" w:pos="1406"/>
        </w:tabs>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合同正本叁份，建设单位、总承包人、供应商各执一份；副本份数的约定见</w:t>
      </w:r>
      <w:r>
        <w:rPr>
          <w:rFonts w:hint="eastAsia" w:ascii="仿宋" w:hAnsi="仿宋" w:eastAsia="仿宋" w:cs="仿宋"/>
          <w:b/>
          <w:sz w:val="24"/>
          <w:szCs w:val="24"/>
        </w:rPr>
        <w:t>合同条款专用部分</w:t>
      </w:r>
      <w:r>
        <w:rPr>
          <w:rFonts w:hint="eastAsia" w:ascii="仿宋" w:hAnsi="仿宋" w:eastAsia="仿宋" w:cs="仿宋"/>
          <w:sz w:val="24"/>
          <w:szCs w:val="24"/>
        </w:rPr>
        <w:t>。</w:t>
      </w:r>
      <w:bookmarkEnd w:id="209"/>
    </w:p>
    <w:p>
      <w:pPr>
        <w:rPr>
          <w:rFonts w:ascii="仿宋" w:hAnsi="仿宋" w:eastAsia="仿宋" w:cs="仿宋"/>
          <w:sz w:val="24"/>
          <w:szCs w:val="24"/>
        </w:rPr>
      </w:pPr>
      <w:r>
        <w:rPr>
          <w:rFonts w:hint="eastAsia" w:ascii="仿宋" w:hAnsi="仿宋" w:eastAsia="仿宋" w:cs="仿宋"/>
          <w:sz w:val="24"/>
          <w:szCs w:val="24"/>
        </w:rPr>
        <w:br w:type="page"/>
      </w:r>
    </w:p>
    <w:p>
      <w:pPr>
        <w:tabs>
          <w:tab w:val="left" w:pos="0"/>
        </w:tabs>
        <w:ind w:hanging="630"/>
        <w:jc w:val="center"/>
        <w:rPr>
          <w:rFonts w:ascii="仿宋" w:hAnsi="仿宋" w:eastAsia="仿宋"/>
          <w:b/>
          <w:sz w:val="24"/>
          <w:szCs w:val="24"/>
        </w:rPr>
      </w:pPr>
      <w:bookmarkStart w:id="834" w:name="_Toc381358674"/>
      <w:bookmarkStart w:id="835" w:name="_Toc27122281"/>
      <w:bookmarkStart w:id="836" w:name="_Toc375218809"/>
      <w:r>
        <w:rPr>
          <w:rStyle w:val="218"/>
          <w:rFonts w:hint="eastAsia" w:ascii="仿宋" w:hAnsi="仿宋" w:eastAsia="仿宋" w:cs="仿宋"/>
          <w:bCs w:val="0"/>
          <w:sz w:val="24"/>
          <w:szCs w:val="24"/>
        </w:rPr>
        <w:t>三、合同条款专用部分</w:t>
      </w:r>
      <w:bookmarkEnd w:id="834"/>
      <w:bookmarkEnd w:id="835"/>
      <w:bookmarkEnd w:id="836"/>
    </w:p>
    <w:p>
      <w:pPr>
        <w:pStyle w:val="5"/>
        <w:keepNext w:val="0"/>
        <w:spacing w:before="120" w:after="120" w:line="360" w:lineRule="auto"/>
        <w:rPr>
          <w:rStyle w:val="218"/>
          <w:rFonts w:ascii="仿宋" w:hAnsi="仿宋" w:eastAsia="仿宋" w:cs="仿宋"/>
          <w:b w:val="0"/>
          <w:bCs w:val="0"/>
          <w:sz w:val="24"/>
          <w:szCs w:val="24"/>
        </w:rPr>
      </w:pPr>
    </w:p>
    <w:p>
      <w:pPr>
        <w:tabs>
          <w:tab w:val="left" w:pos="0"/>
        </w:tabs>
        <w:ind w:hanging="630"/>
        <w:jc w:val="center"/>
        <w:rPr>
          <w:rFonts w:ascii="仿宋" w:hAnsi="仿宋" w:eastAsia="仿宋" w:cs="仿宋"/>
          <w:b/>
          <w:sz w:val="24"/>
          <w:szCs w:val="24"/>
        </w:rPr>
      </w:pPr>
    </w:p>
    <w:p>
      <w:pPr>
        <w:pStyle w:val="5"/>
        <w:keepNext w:val="0"/>
        <w:spacing w:before="120" w:after="120" w:line="240" w:lineRule="auto"/>
        <w:jc w:val="left"/>
        <w:rPr>
          <w:rStyle w:val="218"/>
          <w:rFonts w:ascii="仿宋" w:hAnsi="仿宋" w:eastAsia="仿宋" w:cs="仿宋"/>
          <w:b w:val="0"/>
          <w:bCs w:val="0"/>
          <w:sz w:val="24"/>
          <w:szCs w:val="24"/>
        </w:rPr>
      </w:pPr>
      <w:bookmarkStart w:id="837" w:name="_Toc256955766"/>
      <w:bookmarkStart w:id="838" w:name="_Toc255494563"/>
      <w:bookmarkStart w:id="839" w:name="_Toc381358675"/>
      <w:bookmarkStart w:id="840" w:name="_Toc218049013"/>
      <w:bookmarkStart w:id="841" w:name="_Toc375218810"/>
      <w:bookmarkStart w:id="842" w:name="_Toc27122282"/>
      <w:bookmarkStart w:id="843" w:name="_Toc217443411"/>
      <w:bookmarkStart w:id="844" w:name="_Toc218048833"/>
      <w:bookmarkStart w:id="845" w:name="_Toc139194405"/>
      <w:bookmarkStart w:id="846" w:name="_Toc152696792"/>
      <w:bookmarkStart w:id="847" w:name="_Toc138638817"/>
      <w:bookmarkStart w:id="848" w:name="_Toc153629149"/>
      <w:bookmarkStart w:id="849" w:name="_Toc138323411"/>
      <w:bookmarkStart w:id="850" w:name="_Toc153629207"/>
      <w:bookmarkStart w:id="851" w:name="_Toc153270596"/>
      <w:r>
        <w:rPr>
          <w:rStyle w:val="218"/>
          <w:rFonts w:hint="eastAsia" w:ascii="仿宋" w:hAnsi="仿宋" w:eastAsia="仿宋" w:cs="仿宋"/>
          <w:b w:val="0"/>
          <w:bCs w:val="0"/>
          <w:sz w:val="24"/>
          <w:szCs w:val="24"/>
        </w:rPr>
        <w:t>1.一般规定</w:t>
      </w:r>
      <w:bookmarkEnd w:id="837"/>
      <w:bookmarkEnd w:id="838"/>
      <w:bookmarkEnd w:id="839"/>
      <w:bookmarkEnd w:id="840"/>
      <w:bookmarkEnd w:id="841"/>
      <w:bookmarkEnd w:id="842"/>
      <w:bookmarkEnd w:id="843"/>
      <w:bookmarkEnd w:id="844"/>
    </w:p>
    <w:p>
      <w:pPr>
        <w:tabs>
          <w:tab w:val="left" w:pos="1260"/>
        </w:tabs>
        <w:spacing w:line="360" w:lineRule="auto"/>
        <w:rPr>
          <w:rFonts w:ascii="仿宋" w:hAnsi="仿宋" w:eastAsia="仿宋" w:cs="仿宋"/>
          <w:sz w:val="24"/>
          <w:szCs w:val="24"/>
        </w:rPr>
      </w:pPr>
      <w:r>
        <w:rPr>
          <w:rFonts w:hint="eastAsia" w:ascii="仿宋" w:hAnsi="仿宋" w:eastAsia="仿宋" w:cs="仿宋"/>
          <w:sz w:val="24"/>
          <w:szCs w:val="24"/>
        </w:rPr>
        <w:t>1.1.5 其他词语定义</w:t>
      </w:r>
    </w:p>
    <w:p>
      <w:pPr>
        <w:tabs>
          <w:tab w:val="left" w:pos="1260"/>
        </w:tabs>
        <w:spacing w:line="360" w:lineRule="auto"/>
        <w:ind w:left="567" w:leftChars="270"/>
        <w:rPr>
          <w:rFonts w:ascii="仿宋" w:hAnsi="仿宋" w:eastAsia="仿宋" w:cs="仿宋"/>
          <w:sz w:val="24"/>
          <w:szCs w:val="24"/>
        </w:rPr>
      </w:pPr>
      <w:r>
        <w:rPr>
          <w:rFonts w:hint="eastAsia" w:ascii="仿宋" w:hAnsi="仿宋" w:eastAsia="仿宋" w:cs="仿宋"/>
          <w:sz w:val="24"/>
          <w:szCs w:val="24"/>
          <w:u w:val="single"/>
        </w:rPr>
        <w:t xml:space="preserve">            </w:t>
      </w:r>
    </w:p>
    <w:p>
      <w:pPr>
        <w:tabs>
          <w:tab w:val="left" w:pos="1260"/>
        </w:tabs>
        <w:spacing w:line="360" w:lineRule="auto"/>
        <w:rPr>
          <w:rFonts w:ascii="仿宋" w:hAnsi="仿宋" w:eastAsia="仿宋" w:cs="仿宋"/>
          <w:b/>
          <w:sz w:val="24"/>
          <w:szCs w:val="24"/>
        </w:rPr>
      </w:pPr>
      <w:r>
        <w:rPr>
          <w:rFonts w:hint="eastAsia" w:ascii="仿宋" w:hAnsi="仿宋" w:eastAsia="仿宋" w:cs="仿宋"/>
          <w:b/>
          <w:sz w:val="24"/>
          <w:szCs w:val="24"/>
        </w:rPr>
        <w:t>1.3书面形式</w:t>
      </w:r>
    </w:p>
    <w:p>
      <w:pPr>
        <w:tabs>
          <w:tab w:val="left" w:pos="1260"/>
        </w:tabs>
        <w:spacing w:line="360" w:lineRule="auto"/>
        <w:rPr>
          <w:rFonts w:ascii="仿宋" w:hAnsi="仿宋" w:eastAsia="仿宋" w:cs="仿宋"/>
          <w:sz w:val="24"/>
          <w:szCs w:val="24"/>
        </w:rPr>
      </w:pPr>
      <w:r>
        <w:rPr>
          <w:rFonts w:hint="eastAsia" w:ascii="仿宋" w:hAnsi="仿宋" w:eastAsia="仿宋" w:cs="仿宋"/>
          <w:sz w:val="24"/>
          <w:szCs w:val="24"/>
        </w:rPr>
        <w:t>1.3.4建设单位书面形式接收地址、传真号码、邮寄地址和电子传送地址：</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传真号码：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邮寄地址：</w:t>
      </w:r>
      <w:r>
        <w:rPr>
          <w:rFonts w:hint="eastAsia" w:ascii="仿宋" w:hAnsi="仿宋" w:eastAsia="仿宋" w:cs="仿宋"/>
          <w:sz w:val="24"/>
          <w:szCs w:val="24"/>
          <w:u w:val="single"/>
        </w:rPr>
        <w:t xml:space="preserve">         </w:t>
      </w:r>
      <w:r>
        <w:rPr>
          <w:rFonts w:hint="eastAsia" w:ascii="仿宋" w:hAnsi="仿宋" w:eastAsia="仿宋" w:cs="Arial"/>
          <w:color w:val="000000"/>
          <w:sz w:val="24"/>
          <w:szCs w:val="24"/>
          <w:u w:val="single"/>
        </w:rPr>
        <w:t xml:space="preserve">   </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r>
        <w:rPr>
          <w:rFonts w:hint="eastAsia" w:ascii="仿宋" w:hAnsi="仿宋" w:eastAsia="仿宋" w:cs="Arial"/>
          <w:color w:val="000000"/>
          <w:sz w:val="24"/>
          <w:szCs w:val="24"/>
          <w:u w:val="single"/>
        </w:rPr>
        <w:t xml:space="preserve">    </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电子邮箱地址：</w:t>
      </w:r>
      <w:r>
        <w:rPr>
          <w:rFonts w:hint="eastAsia" w:ascii="仿宋" w:hAnsi="仿宋" w:eastAsia="仿宋" w:cs="仿宋"/>
          <w:sz w:val="24"/>
          <w:szCs w:val="24"/>
          <w:u w:val="single"/>
        </w:rPr>
        <w:t xml:space="preserve">                                                    </w:t>
      </w:r>
    </w:p>
    <w:p>
      <w:pPr>
        <w:tabs>
          <w:tab w:val="left" w:pos="1260"/>
        </w:tabs>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总承包人书面形式接收地址、传真号码、邮寄地址和电子传送地址：</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传真号码：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邮寄地址：</w:t>
      </w:r>
      <w:r>
        <w:rPr>
          <w:rFonts w:hint="eastAsia" w:ascii="仿宋" w:hAnsi="仿宋" w:eastAsia="仿宋" w:cs="仿宋"/>
          <w:sz w:val="24"/>
          <w:szCs w:val="24"/>
          <w:u w:val="single"/>
        </w:rPr>
        <w:t xml:space="preserve">       </w:t>
      </w:r>
      <w:r>
        <w:rPr>
          <w:rFonts w:hint="eastAsia" w:ascii="宋体" w:hAnsi="宋体" w:eastAsia="仿宋" w:cs="Arial"/>
          <w:color w:val="000000"/>
          <w:u w:val="single"/>
        </w:rPr>
        <w:t xml:space="preserve"> </w:t>
      </w:r>
      <w:r>
        <w:rPr>
          <w:rFonts w:ascii="仿宋" w:hAnsi="仿宋" w:eastAsia="仿宋" w:cs="Arial"/>
          <w:color w:val="000000"/>
          <w:sz w:val="24"/>
          <w:szCs w:val="24"/>
          <w:u w:val="single"/>
        </w:rPr>
        <w:t xml:space="preserve">    </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r>
        <w:rPr>
          <w:rFonts w:hint="eastAsia" w:ascii="宋体" w:hAnsi="宋体" w:eastAsia="仿宋" w:cs="Arial"/>
          <w:color w:val="000000"/>
          <w:u w:val="single"/>
        </w:rPr>
        <w:t xml:space="preserve"> </w:t>
      </w:r>
      <w:r>
        <w:rPr>
          <w:rFonts w:ascii="仿宋" w:hAnsi="仿宋" w:eastAsia="仿宋" w:cs="Arial"/>
          <w:color w:val="000000"/>
          <w:sz w:val="24"/>
          <w:szCs w:val="24"/>
          <w:u w:val="single"/>
        </w:rPr>
        <w:t xml:space="preserve">   </w:t>
      </w:r>
      <w:r>
        <w:rPr>
          <w:rFonts w:hint="eastAsia" w:ascii="仿宋" w:hAnsi="仿宋" w:eastAsia="仿宋" w:cs="仿宋"/>
          <w:sz w:val="24"/>
          <w:szCs w:val="24"/>
          <w:u w:val="single"/>
        </w:rPr>
        <w:t xml:space="preserve">                                                </w:t>
      </w:r>
    </w:p>
    <w:p>
      <w:pPr>
        <w:numPr>
          <w:ilvl w:val="0"/>
          <w:numId w:val="25"/>
        </w:numPr>
        <w:tabs>
          <w:tab w:val="left" w:pos="720"/>
          <w:tab w:val="clear" w:pos="1588"/>
        </w:tabs>
        <w:spacing w:line="360" w:lineRule="auto"/>
        <w:ind w:left="720" w:hanging="180"/>
        <w:rPr>
          <w:rFonts w:ascii="仿宋" w:hAnsi="仿宋" w:eastAsia="仿宋" w:cs="仿宋"/>
          <w:sz w:val="24"/>
          <w:szCs w:val="24"/>
        </w:rPr>
      </w:pPr>
      <w:r>
        <w:rPr>
          <w:rFonts w:hint="eastAsia" w:ascii="仿宋" w:hAnsi="仿宋" w:eastAsia="仿宋" w:cs="仿宋"/>
          <w:sz w:val="24"/>
          <w:szCs w:val="24"/>
        </w:rPr>
        <w:t>电子邮箱地址：</w:t>
      </w:r>
      <w:r>
        <w:rPr>
          <w:rFonts w:hint="eastAsia" w:ascii="仿宋" w:hAnsi="仿宋" w:eastAsia="仿宋" w:cs="仿宋"/>
          <w:sz w:val="24"/>
          <w:szCs w:val="24"/>
          <w:u w:val="single"/>
        </w:rPr>
        <w:t xml:space="preserve">                                                    </w:t>
      </w:r>
    </w:p>
    <w:p>
      <w:pPr>
        <w:tabs>
          <w:tab w:val="left" w:pos="1406"/>
        </w:tabs>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供应商书面形式接收地址、传真号码、邮寄地址和电子传送地址：</w:t>
      </w:r>
    </w:p>
    <w:p>
      <w:pPr>
        <w:numPr>
          <w:ilvl w:val="0"/>
          <w:numId w:val="26"/>
        </w:numPr>
        <w:tabs>
          <w:tab w:val="left" w:pos="720"/>
          <w:tab w:val="clear" w:pos="1588"/>
        </w:tabs>
        <w:spacing w:line="360" w:lineRule="auto"/>
        <w:ind w:hanging="595"/>
        <w:rPr>
          <w:rFonts w:ascii="仿宋" w:hAnsi="仿宋" w:eastAsia="仿宋" w:cs="仿宋"/>
          <w:sz w:val="24"/>
          <w:szCs w:val="24"/>
        </w:rPr>
      </w:pPr>
      <w:r>
        <w:rPr>
          <w:rFonts w:hint="eastAsia" w:ascii="仿宋" w:hAnsi="仿宋" w:eastAsia="仿宋" w:cs="仿宋"/>
          <w:sz w:val="24"/>
          <w:szCs w:val="24"/>
        </w:rPr>
        <w:t>传真号码：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p>
    <w:p>
      <w:pPr>
        <w:numPr>
          <w:ilvl w:val="0"/>
          <w:numId w:val="26"/>
        </w:numPr>
        <w:tabs>
          <w:tab w:val="left" w:pos="720"/>
          <w:tab w:val="clear" w:pos="1588"/>
        </w:tabs>
        <w:spacing w:line="360" w:lineRule="auto"/>
        <w:ind w:hanging="595"/>
        <w:rPr>
          <w:rFonts w:ascii="仿宋" w:hAnsi="仿宋" w:eastAsia="仿宋" w:cs="仿宋"/>
          <w:sz w:val="24"/>
          <w:szCs w:val="24"/>
        </w:rPr>
      </w:pPr>
      <w:r>
        <w:rPr>
          <w:rFonts w:hint="eastAsia" w:ascii="仿宋" w:hAnsi="仿宋" w:eastAsia="仿宋" w:cs="仿宋"/>
          <w:sz w:val="24"/>
          <w:szCs w:val="24"/>
        </w:rPr>
        <w:t>邮寄地址：</w:t>
      </w:r>
      <w:r>
        <w:rPr>
          <w:rFonts w:hint="eastAsia" w:ascii="仿宋" w:hAnsi="仿宋" w:eastAsia="仿宋" w:cs="仿宋"/>
          <w:sz w:val="24"/>
          <w:szCs w:val="24"/>
          <w:u w:val="single"/>
        </w:rPr>
        <w:t xml:space="preserve">                                           </w:t>
      </w:r>
    </w:p>
    <w:p>
      <w:pPr>
        <w:numPr>
          <w:ilvl w:val="0"/>
          <w:numId w:val="26"/>
        </w:numPr>
        <w:tabs>
          <w:tab w:val="left" w:pos="720"/>
          <w:tab w:val="clear" w:pos="1588"/>
        </w:tabs>
        <w:spacing w:line="360" w:lineRule="auto"/>
        <w:ind w:hanging="595"/>
        <w:rPr>
          <w:rFonts w:ascii="仿宋" w:hAnsi="仿宋" w:eastAsia="仿宋" w:cs="仿宋"/>
          <w:sz w:val="24"/>
          <w:szCs w:val="24"/>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p>
    <w:p>
      <w:pPr>
        <w:numPr>
          <w:ilvl w:val="0"/>
          <w:numId w:val="26"/>
        </w:numPr>
        <w:tabs>
          <w:tab w:val="left" w:pos="720"/>
          <w:tab w:val="clear" w:pos="1588"/>
        </w:tabs>
        <w:spacing w:line="360" w:lineRule="auto"/>
        <w:ind w:hanging="595"/>
        <w:rPr>
          <w:rFonts w:ascii="仿宋" w:hAnsi="仿宋" w:eastAsia="仿宋" w:cs="仿宋"/>
          <w:sz w:val="24"/>
          <w:szCs w:val="24"/>
        </w:rPr>
      </w:pPr>
      <w:r>
        <w:rPr>
          <w:rFonts w:hint="eastAsia" w:ascii="仿宋" w:hAnsi="仿宋" w:eastAsia="仿宋" w:cs="仿宋"/>
          <w:sz w:val="24"/>
          <w:szCs w:val="24"/>
        </w:rPr>
        <w:t>电子邮箱地址：</w:t>
      </w:r>
      <w:r>
        <w:rPr>
          <w:rFonts w:hint="eastAsia" w:ascii="仿宋" w:hAnsi="仿宋" w:eastAsia="仿宋" w:cs="仿宋"/>
          <w:sz w:val="24"/>
          <w:szCs w:val="24"/>
          <w:u w:val="single"/>
        </w:rPr>
        <w:t xml:space="preserve">                                       </w:t>
      </w:r>
    </w:p>
    <w:p>
      <w:pPr>
        <w:tabs>
          <w:tab w:val="left" w:pos="1260"/>
        </w:tabs>
        <w:spacing w:line="360" w:lineRule="auto"/>
        <w:rPr>
          <w:rFonts w:ascii="仿宋" w:hAnsi="仿宋" w:eastAsia="仿宋" w:cs="仿宋"/>
          <w:b/>
          <w:sz w:val="24"/>
          <w:szCs w:val="24"/>
        </w:rPr>
      </w:pPr>
      <w:bookmarkStart w:id="852" w:name="_Toc375218811"/>
      <w:r>
        <w:rPr>
          <w:rFonts w:hint="eastAsia" w:ascii="仿宋" w:hAnsi="仿宋" w:eastAsia="仿宋" w:cs="仿宋"/>
          <w:b/>
          <w:sz w:val="24"/>
          <w:szCs w:val="24"/>
        </w:rPr>
        <w:t>1.5合同文件的组成及解释顺序</w:t>
      </w:r>
      <w:bookmarkEnd w:id="852"/>
    </w:p>
    <w:p>
      <w:pPr>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（9）其他合同文件：</w:t>
      </w:r>
      <w:r>
        <w:rPr>
          <w:rFonts w:hint="eastAsia" w:ascii="仿宋" w:hAnsi="仿宋" w:eastAsia="仿宋" w:cs="仿宋"/>
          <w:sz w:val="24"/>
          <w:szCs w:val="24"/>
          <w:u w:val="single"/>
        </w:rPr>
        <w:t xml:space="preserve">          </w:t>
      </w:r>
    </w:p>
    <w:p>
      <w:pPr>
        <w:tabs>
          <w:tab w:val="left" w:pos="1260"/>
        </w:tabs>
        <w:spacing w:line="360" w:lineRule="auto"/>
        <w:rPr>
          <w:rFonts w:ascii="仿宋" w:hAnsi="仿宋" w:eastAsia="仿宋" w:cs="仿宋"/>
          <w:b/>
          <w:sz w:val="24"/>
          <w:szCs w:val="24"/>
        </w:rPr>
      </w:pPr>
      <w:bookmarkStart w:id="853" w:name="_Toc218048834"/>
      <w:bookmarkStart w:id="854" w:name="_Toc217443412"/>
      <w:bookmarkStart w:id="855" w:name="_Toc218049014"/>
      <w:bookmarkStart w:id="856" w:name="_Toc255494564"/>
      <w:bookmarkStart w:id="857" w:name="_Toc375218812"/>
      <w:bookmarkStart w:id="858" w:name="_Toc256955767"/>
      <w:r>
        <w:rPr>
          <w:rFonts w:hint="eastAsia" w:ascii="仿宋" w:hAnsi="仿宋" w:eastAsia="仿宋" w:cs="仿宋"/>
          <w:b/>
          <w:sz w:val="24"/>
          <w:szCs w:val="24"/>
        </w:rPr>
        <w:t>1.8图纸</w:t>
      </w:r>
      <w:bookmarkEnd w:id="853"/>
      <w:bookmarkEnd w:id="854"/>
      <w:bookmarkEnd w:id="855"/>
      <w:bookmarkEnd w:id="856"/>
      <w:bookmarkEnd w:id="857"/>
      <w:bookmarkEnd w:id="858"/>
    </w:p>
    <w:p>
      <w:pPr>
        <w:spacing w:line="360" w:lineRule="auto"/>
        <w:rPr>
          <w:rFonts w:ascii="仿宋" w:hAnsi="仿宋" w:eastAsia="仿宋" w:cs="仿宋"/>
          <w:sz w:val="24"/>
          <w:szCs w:val="24"/>
        </w:rPr>
      </w:pPr>
      <w:r>
        <w:rPr>
          <w:rFonts w:hint="eastAsia" w:ascii="仿宋" w:hAnsi="仿宋" w:eastAsia="仿宋" w:cs="仿宋"/>
          <w:sz w:val="24"/>
          <w:szCs w:val="24"/>
        </w:rPr>
        <w:t>1.8.1图纸</w:t>
      </w:r>
    </w:p>
    <w:p>
      <w:pPr>
        <w:tabs>
          <w:tab w:val="left" w:pos="1406"/>
        </w:tabs>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总承包人应当向供应商提供图纸的日期及图纸套数：</w:t>
      </w:r>
    </w:p>
    <w:p>
      <w:pPr>
        <w:numPr>
          <w:ilvl w:val="0"/>
          <w:numId w:val="27"/>
        </w:numPr>
        <w:tabs>
          <w:tab w:val="left" w:pos="900"/>
          <w:tab w:val="clear" w:pos="1588"/>
        </w:tabs>
        <w:spacing w:line="360" w:lineRule="auto"/>
        <w:ind w:left="540" w:firstLine="0"/>
        <w:rPr>
          <w:rFonts w:ascii="仿宋" w:hAnsi="仿宋" w:eastAsia="仿宋" w:cs="仿宋"/>
          <w:sz w:val="24"/>
          <w:szCs w:val="24"/>
        </w:rPr>
      </w:pPr>
      <w:r>
        <w:rPr>
          <w:rFonts w:hint="eastAsia" w:ascii="仿宋" w:hAnsi="仿宋" w:eastAsia="仿宋" w:cs="仿宋"/>
          <w:sz w:val="24"/>
          <w:szCs w:val="24"/>
        </w:rPr>
        <w:t>提供时间：</w:t>
      </w:r>
      <w:r>
        <w:rPr>
          <w:rFonts w:hint="eastAsia" w:ascii="仿宋" w:hAnsi="仿宋" w:eastAsia="仿宋" w:cs="仿宋"/>
          <w:sz w:val="24"/>
          <w:szCs w:val="24"/>
          <w:u w:val="single"/>
        </w:rPr>
        <w:t xml:space="preserve"> 合同签订后7日历天   </w:t>
      </w:r>
    </w:p>
    <w:p>
      <w:pPr>
        <w:numPr>
          <w:ilvl w:val="0"/>
          <w:numId w:val="27"/>
        </w:numPr>
        <w:tabs>
          <w:tab w:val="left" w:pos="900"/>
          <w:tab w:val="clear" w:pos="1588"/>
        </w:tabs>
        <w:spacing w:line="360" w:lineRule="auto"/>
        <w:ind w:left="540" w:firstLine="0"/>
        <w:rPr>
          <w:rFonts w:ascii="仿宋" w:hAnsi="仿宋" w:eastAsia="仿宋" w:cs="仿宋"/>
          <w:sz w:val="24"/>
          <w:szCs w:val="24"/>
        </w:rPr>
      </w:pPr>
      <w:r>
        <w:rPr>
          <w:rFonts w:hint="eastAsia" w:ascii="仿宋" w:hAnsi="仿宋" w:eastAsia="仿宋" w:cs="仿宋"/>
          <w:sz w:val="24"/>
          <w:szCs w:val="24"/>
        </w:rPr>
        <w:t>提供套数：</w:t>
      </w:r>
      <w:r>
        <w:rPr>
          <w:rFonts w:hint="eastAsia" w:ascii="仿宋" w:hAnsi="仿宋" w:eastAsia="仿宋" w:cs="仿宋"/>
          <w:sz w:val="24"/>
          <w:szCs w:val="24"/>
          <w:u w:val="single"/>
        </w:rPr>
        <w:t xml:space="preserve">   1套    </w:t>
      </w:r>
    </w:p>
    <w:p>
      <w:pPr>
        <w:spacing w:line="360" w:lineRule="auto"/>
        <w:rPr>
          <w:rFonts w:ascii="仿宋" w:hAnsi="仿宋" w:eastAsia="仿宋" w:cs="仿宋"/>
          <w:sz w:val="24"/>
          <w:szCs w:val="24"/>
          <w:u w:val="single"/>
        </w:rPr>
      </w:pPr>
      <w:r>
        <w:rPr>
          <w:rFonts w:hint="eastAsia" w:ascii="仿宋" w:hAnsi="仿宋" w:eastAsia="仿宋" w:cs="仿宋"/>
          <w:sz w:val="24"/>
          <w:szCs w:val="24"/>
        </w:rPr>
        <w:t>1.8.3其他规定：</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p>
    <w:p>
      <w:pPr>
        <w:pStyle w:val="5"/>
        <w:keepNext w:val="0"/>
        <w:spacing w:before="120" w:after="120" w:line="240" w:lineRule="auto"/>
        <w:jc w:val="both"/>
        <w:rPr>
          <w:rFonts w:ascii="仿宋" w:hAnsi="仿宋" w:eastAsia="仿宋" w:cs="仿宋"/>
          <w:b w:val="0"/>
          <w:bCs w:val="0"/>
          <w:kern w:val="2"/>
          <w:sz w:val="24"/>
          <w:szCs w:val="24"/>
        </w:rPr>
      </w:pPr>
      <w:bookmarkStart w:id="859" w:name="_Toc217443413"/>
      <w:bookmarkStart w:id="860" w:name="_Toc218048835"/>
      <w:bookmarkStart w:id="861" w:name="_Toc218049015"/>
      <w:bookmarkStart w:id="862" w:name="_Toc381358676"/>
      <w:bookmarkStart w:id="863" w:name="_Toc256955768"/>
      <w:bookmarkStart w:id="864" w:name="_Toc255494565"/>
      <w:bookmarkStart w:id="865" w:name="_Toc375218813"/>
      <w:bookmarkStart w:id="866" w:name="_Toc27122283"/>
      <w:r>
        <w:rPr>
          <w:rFonts w:hint="eastAsia" w:ascii="仿宋" w:hAnsi="仿宋" w:eastAsia="仿宋" w:cs="仿宋"/>
          <w:b w:val="0"/>
          <w:bCs w:val="0"/>
          <w:kern w:val="2"/>
          <w:sz w:val="24"/>
          <w:szCs w:val="24"/>
        </w:rPr>
        <w:t>2．</w:t>
      </w:r>
      <w:bookmarkEnd w:id="859"/>
      <w:bookmarkEnd w:id="860"/>
      <w:bookmarkEnd w:id="861"/>
      <w:r>
        <w:rPr>
          <w:rFonts w:hint="eastAsia" w:ascii="仿宋" w:hAnsi="仿宋" w:eastAsia="仿宋" w:cs="仿宋"/>
          <w:b w:val="0"/>
          <w:bCs w:val="0"/>
          <w:kern w:val="2"/>
          <w:sz w:val="24"/>
          <w:szCs w:val="24"/>
        </w:rPr>
        <w:t>建设单位、总承包人义务</w:t>
      </w:r>
      <w:bookmarkEnd w:id="862"/>
      <w:bookmarkEnd w:id="863"/>
      <w:bookmarkEnd w:id="864"/>
      <w:bookmarkEnd w:id="865"/>
      <w:bookmarkEnd w:id="866"/>
    </w:p>
    <w:p>
      <w:pPr>
        <w:spacing w:line="360" w:lineRule="auto"/>
        <w:ind w:left="1135"/>
        <w:rPr>
          <w:rFonts w:ascii="仿宋" w:hAnsi="仿宋" w:eastAsia="仿宋" w:cs="仿宋"/>
          <w:sz w:val="24"/>
          <w:szCs w:val="24"/>
        </w:rPr>
      </w:pPr>
      <w:r>
        <w:rPr>
          <w:rFonts w:hint="eastAsia" w:ascii="仿宋" w:hAnsi="仿宋" w:eastAsia="仿宋" w:cs="仿宋"/>
          <w:sz w:val="24"/>
          <w:szCs w:val="24"/>
        </w:rPr>
        <w:t>2.（4）其他义务：</w:t>
      </w:r>
      <w:r>
        <w:rPr>
          <w:rFonts w:hint="eastAsia" w:ascii="仿宋" w:hAnsi="仿宋" w:eastAsia="仿宋" w:cs="仿宋"/>
          <w:b/>
          <w:bCs/>
          <w:sz w:val="24"/>
          <w:szCs w:val="24"/>
          <w:u w:val="single"/>
        </w:rPr>
        <w:t xml:space="preserve">              </w:t>
      </w:r>
    </w:p>
    <w:p>
      <w:pPr>
        <w:pStyle w:val="5"/>
        <w:keepNext w:val="0"/>
        <w:spacing w:before="120" w:after="120" w:line="240" w:lineRule="auto"/>
        <w:jc w:val="both"/>
        <w:rPr>
          <w:rStyle w:val="218"/>
          <w:rFonts w:ascii="仿宋" w:hAnsi="仿宋" w:eastAsia="仿宋" w:cs="仿宋"/>
          <w:b w:val="0"/>
          <w:bCs w:val="0"/>
          <w:sz w:val="24"/>
          <w:szCs w:val="24"/>
        </w:rPr>
      </w:pPr>
      <w:bookmarkStart w:id="867" w:name="_Toc217443414"/>
      <w:bookmarkStart w:id="868" w:name="_Toc218049016"/>
      <w:bookmarkStart w:id="869" w:name="_Toc218048836"/>
      <w:bookmarkStart w:id="870" w:name="_Toc256955769"/>
      <w:bookmarkStart w:id="871" w:name="_Toc27122284"/>
      <w:bookmarkStart w:id="872" w:name="_Toc375218814"/>
      <w:bookmarkStart w:id="873" w:name="_Toc381358677"/>
      <w:bookmarkStart w:id="874" w:name="_Toc255494566"/>
      <w:r>
        <w:rPr>
          <w:rStyle w:val="218"/>
          <w:rFonts w:hint="eastAsia" w:ascii="仿宋" w:hAnsi="仿宋" w:eastAsia="仿宋" w:cs="仿宋"/>
          <w:b w:val="0"/>
          <w:bCs w:val="0"/>
          <w:sz w:val="24"/>
          <w:szCs w:val="24"/>
        </w:rPr>
        <w:t>3．</w:t>
      </w:r>
      <w:bookmarkEnd w:id="867"/>
      <w:bookmarkEnd w:id="868"/>
      <w:bookmarkEnd w:id="869"/>
      <w:r>
        <w:rPr>
          <w:rStyle w:val="218"/>
          <w:rFonts w:hint="eastAsia" w:ascii="仿宋" w:hAnsi="仿宋" w:eastAsia="仿宋" w:cs="仿宋"/>
          <w:b w:val="0"/>
          <w:bCs w:val="0"/>
          <w:sz w:val="24"/>
          <w:szCs w:val="24"/>
        </w:rPr>
        <w:t>供应商义务</w:t>
      </w:r>
      <w:bookmarkEnd w:id="870"/>
      <w:bookmarkEnd w:id="871"/>
      <w:bookmarkEnd w:id="872"/>
      <w:bookmarkEnd w:id="873"/>
      <w:bookmarkEnd w:id="874"/>
    </w:p>
    <w:p>
      <w:pPr>
        <w:spacing w:line="360" w:lineRule="auto"/>
        <w:ind w:left="1135"/>
        <w:rPr>
          <w:rFonts w:ascii="仿宋" w:hAnsi="仿宋" w:eastAsia="仿宋" w:cs="仿宋"/>
          <w:sz w:val="24"/>
          <w:szCs w:val="24"/>
        </w:rPr>
      </w:pPr>
      <w:r>
        <w:rPr>
          <w:rFonts w:hint="eastAsia" w:ascii="仿宋" w:hAnsi="仿宋" w:eastAsia="仿宋" w:cs="仿宋"/>
          <w:sz w:val="24"/>
          <w:szCs w:val="24"/>
        </w:rPr>
        <w:t>3.（10）</w:t>
      </w:r>
      <w:bookmarkStart w:id="875" w:name="_Toc256955770"/>
      <w:r>
        <w:rPr>
          <w:rFonts w:hint="eastAsia" w:ascii="仿宋" w:hAnsi="仿宋" w:eastAsia="仿宋" w:cs="仿宋"/>
          <w:sz w:val="24"/>
          <w:szCs w:val="24"/>
        </w:rPr>
        <w:t>其他义务：</w:t>
      </w:r>
      <w:r>
        <w:rPr>
          <w:rFonts w:hint="eastAsia" w:ascii="仿宋" w:hAnsi="仿宋" w:eastAsia="仿宋" w:cs="仿宋"/>
          <w:b/>
          <w:bCs/>
          <w:sz w:val="24"/>
          <w:szCs w:val="24"/>
          <w:u w:val="single"/>
        </w:rPr>
        <w:t xml:space="preserve">              </w:t>
      </w:r>
    </w:p>
    <w:p>
      <w:pPr>
        <w:pStyle w:val="5"/>
        <w:keepNext w:val="0"/>
        <w:spacing w:before="120" w:after="120" w:line="240" w:lineRule="auto"/>
        <w:jc w:val="both"/>
        <w:rPr>
          <w:rStyle w:val="218"/>
          <w:rFonts w:ascii="仿宋" w:hAnsi="仿宋" w:eastAsia="仿宋" w:cs="仿宋"/>
          <w:b w:val="0"/>
          <w:bCs w:val="0"/>
          <w:sz w:val="24"/>
          <w:szCs w:val="24"/>
        </w:rPr>
      </w:pPr>
      <w:bookmarkStart w:id="876" w:name="_Toc375218815"/>
      <w:bookmarkStart w:id="877" w:name="_Toc27122285"/>
      <w:bookmarkStart w:id="878" w:name="_Toc381358678"/>
      <w:r>
        <w:rPr>
          <w:rStyle w:val="218"/>
          <w:rFonts w:hint="eastAsia" w:ascii="仿宋" w:hAnsi="仿宋" w:eastAsia="仿宋" w:cs="仿宋"/>
          <w:b w:val="0"/>
          <w:bCs w:val="0"/>
          <w:sz w:val="24"/>
          <w:szCs w:val="24"/>
        </w:rPr>
        <w:t>4.  采购项目供货计划</w:t>
      </w:r>
      <w:bookmarkEnd w:id="875"/>
      <w:bookmarkEnd w:id="876"/>
      <w:bookmarkEnd w:id="877"/>
      <w:bookmarkEnd w:id="878"/>
    </w:p>
    <w:p>
      <w:pPr>
        <w:tabs>
          <w:tab w:val="left" w:pos="1260"/>
        </w:tabs>
        <w:spacing w:line="360" w:lineRule="auto"/>
        <w:rPr>
          <w:rFonts w:ascii="仿宋" w:hAnsi="仿宋" w:eastAsia="仿宋" w:cs="仿宋"/>
          <w:b/>
          <w:sz w:val="24"/>
          <w:szCs w:val="24"/>
        </w:rPr>
      </w:pPr>
      <w:bookmarkStart w:id="879" w:name="_Toc375218816"/>
      <w:r>
        <w:rPr>
          <w:rFonts w:hint="eastAsia" w:ascii="仿宋" w:hAnsi="仿宋" w:eastAsia="仿宋" w:cs="仿宋"/>
          <w:b/>
          <w:sz w:val="24"/>
          <w:szCs w:val="24"/>
        </w:rPr>
        <w:t>4.1.2供货计划提交时间</w:t>
      </w:r>
      <w:bookmarkEnd w:id="879"/>
      <w:r>
        <w:rPr>
          <w:rFonts w:hint="eastAsia" w:ascii="仿宋" w:hAnsi="仿宋" w:eastAsia="仿宋" w:cs="仿宋"/>
          <w:b/>
          <w:sz w:val="24"/>
          <w:szCs w:val="24"/>
        </w:rPr>
        <w:t xml:space="preserve"> </w:t>
      </w:r>
    </w:p>
    <w:p>
      <w:pPr>
        <w:spacing w:line="360" w:lineRule="auto"/>
        <w:ind w:left="-2" w:leftChars="-1" w:firstLine="2"/>
        <w:rPr>
          <w:rFonts w:ascii="仿宋" w:hAnsi="仿宋" w:eastAsia="仿宋" w:cs="仿宋"/>
          <w:sz w:val="24"/>
          <w:szCs w:val="24"/>
          <w:u w:val="single"/>
        </w:rPr>
      </w:pPr>
      <w:r>
        <w:rPr>
          <w:rFonts w:hint="eastAsia" w:ascii="仿宋" w:hAnsi="仿宋" w:eastAsia="仿宋" w:cs="仿宋"/>
          <w:sz w:val="24"/>
          <w:szCs w:val="24"/>
          <w:u w:val="single"/>
        </w:rPr>
        <w:t xml:space="preserve">    合同签订后7日历天内     </w:t>
      </w:r>
    </w:p>
    <w:p>
      <w:pPr>
        <w:spacing w:line="360" w:lineRule="auto"/>
        <w:rPr>
          <w:rFonts w:ascii="仿宋" w:hAnsi="仿宋" w:eastAsia="仿宋" w:cs="仿宋"/>
          <w:sz w:val="24"/>
          <w:szCs w:val="24"/>
        </w:rPr>
      </w:pPr>
    </w:p>
    <w:p>
      <w:pPr>
        <w:pStyle w:val="5"/>
        <w:keepNext w:val="0"/>
        <w:spacing w:before="120" w:after="120" w:line="240" w:lineRule="auto"/>
        <w:jc w:val="both"/>
        <w:rPr>
          <w:rStyle w:val="218"/>
          <w:rFonts w:ascii="仿宋" w:hAnsi="仿宋" w:eastAsia="仿宋" w:cs="仿宋"/>
          <w:b w:val="0"/>
          <w:bCs w:val="0"/>
          <w:sz w:val="24"/>
          <w:szCs w:val="24"/>
        </w:rPr>
      </w:pPr>
      <w:bookmarkStart w:id="880" w:name="_Toc218048838"/>
      <w:bookmarkStart w:id="881" w:name="_Toc217443416"/>
      <w:bookmarkStart w:id="882" w:name="_Toc218049018"/>
      <w:bookmarkStart w:id="883" w:name="_Toc255494568"/>
      <w:bookmarkStart w:id="884" w:name="_Toc256955771"/>
      <w:bookmarkStart w:id="885" w:name="_Toc381358679"/>
      <w:bookmarkStart w:id="886" w:name="_Toc27122286"/>
      <w:bookmarkStart w:id="887" w:name="_Toc375218817"/>
      <w:r>
        <w:rPr>
          <w:rStyle w:val="218"/>
          <w:rFonts w:hint="eastAsia" w:ascii="仿宋" w:hAnsi="仿宋" w:eastAsia="仿宋" w:cs="仿宋"/>
          <w:b w:val="0"/>
          <w:bCs w:val="0"/>
          <w:sz w:val="24"/>
          <w:szCs w:val="24"/>
        </w:rPr>
        <w:t>5．</w:t>
      </w:r>
      <w:bookmarkEnd w:id="880"/>
      <w:bookmarkEnd w:id="881"/>
      <w:bookmarkEnd w:id="882"/>
      <w:r>
        <w:rPr>
          <w:rStyle w:val="218"/>
          <w:rFonts w:hint="eastAsia" w:ascii="仿宋" w:hAnsi="仿宋" w:eastAsia="仿宋" w:cs="仿宋"/>
          <w:b w:val="0"/>
          <w:bCs w:val="0"/>
          <w:sz w:val="24"/>
          <w:szCs w:val="24"/>
        </w:rPr>
        <w:t>供货周期</w:t>
      </w:r>
      <w:bookmarkEnd w:id="883"/>
      <w:bookmarkEnd w:id="884"/>
      <w:bookmarkEnd w:id="885"/>
      <w:bookmarkEnd w:id="886"/>
      <w:bookmarkEnd w:id="887"/>
      <w:r>
        <w:rPr>
          <w:rStyle w:val="218"/>
          <w:rFonts w:hint="eastAsia" w:ascii="仿宋" w:hAnsi="仿宋" w:eastAsia="仿宋" w:cs="仿宋"/>
          <w:b w:val="0"/>
          <w:bCs w:val="0"/>
          <w:sz w:val="24"/>
          <w:szCs w:val="24"/>
        </w:rPr>
        <w:t xml:space="preserve"> </w:t>
      </w:r>
    </w:p>
    <w:p>
      <w:pPr>
        <w:tabs>
          <w:tab w:val="left" w:pos="1260"/>
        </w:tabs>
        <w:spacing w:line="360" w:lineRule="auto"/>
        <w:rPr>
          <w:rFonts w:ascii="仿宋" w:hAnsi="仿宋" w:eastAsia="仿宋" w:cs="仿宋"/>
          <w:b/>
          <w:sz w:val="24"/>
          <w:szCs w:val="24"/>
        </w:rPr>
      </w:pPr>
      <w:bookmarkStart w:id="888" w:name="_Toc375218818"/>
      <w:r>
        <w:rPr>
          <w:rFonts w:hint="eastAsia" w:ascii="仿宋" w:hAnsi="仿宋" w:eastAsia="仿宋" w:cs="仿宋"/>
          <w:b/>
          <w:sz w:val="24"/>
          <w:szCs w:val="24"/>
        </w:rPr>
        <w:t>具体供货周期</w:t>
      </w:r>
      <w:bookmarkEnd w:id="888"/>
    </w:p>
    <w:p>
      <w:pPr>
        <w:spacing w:line="360" w:lineRule="auto"/>
        <w:rPr>
          <w:rFonts w:ascii="仿宋" w:hAnsi="仿宋" w:eastAsia="仿宋" w:cs="仿宋"/>
          <w:sz w:val="24"/>
          <w:szCs w:val="24"/>
        </w:rPr>
      </w:pPr>
      <w:r>
        <w:rPr>
          <w:rFonts w:hint="eastAsia" w:ascii="仿宋" w:hAnsi="仿宋" w:eastAsia="仿宋" w:cs="仿宋"/>
          <w:b/>
          <w:bCs/>
          <w:sz w:val="24"/>
          <w:szCs w:val="24"/>
          <w:u w:val="single"/>
        </w:rPr>
        <w:t xml:space="preserve">   </w:t>
      </w:r>
      <w:r>
        <w:rPr>
          <w:rFonts w:hint="eastAsia" w:ascii="仿宋" w:hAnsi="仿宋" w:eastAsia="仿宋" w:cs="仿宋"/>
          <w:bCs/>
          <w:sz w:val="24"/>
          <w:szCs w:val="24"/>
          <w:u w:val="single"/>
        </w:rPr>
        <w:t>见合同协议书</w:t>
      </w:r>
      <w:r>
        <w:rPr>
          <w:rFonts w:hint="eastAsia" w:ascii="仿宋" w:hAnsi="仿宋" w:eastAsia="仿宋" w:cs="仿宋"/>
          <w:b/>
          <w:bCs/>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pStyle w:val="5"/>
        <w:keepNext w:val="0"/>
        <w:spacing w:before="120" w:after="120" w:line="240" w:lineRule="auto"/>
        <w:jc w:val="both"/>
        <w:rPr>
          <w:rStyle w:val="218"/>
          <w:rFonts w:ascii="仿宋" w:hAnsi="仿宋" w:eastAsia="仿宋" w:cs="仿宋"/>
          <w:b w:val="0"/>
          <w:bCs w:val="0"/>
          <w:sz w:val="24"/>
          <w:szCs w:val="24"/>
        </w:rPr>
      </w:pPr>
      <w:bookmarkStart w:id="889" w:name="_Toc27122287"/>
      <w:bookmarkStart w:id="890" w:name="_Toc217443419"/>
      <w:bookmarkStart w:id="891" w:name="_Toc381358680"/>
      <w:bookmarkStart w:id="892" w:name="_Toc218048841"/>
      <w:bookmarkStart w:id="893" w:name="_Toc218049021"/>
      <w:bookmarkStart w:id="894" w:name="_Toc256955772"/>
      <w:bookmarkStart w:id="895" w:name="_Toc375218819"/>
      <w:bookmarkStart w:id="896" w:name="_Toc255494569"/>
      <w:r>
        <w:rPr>
          <w:rStyle w:val="218"/>
          <w:rFonts w:hint="eastAsia" w:ascii="仿宋" w:hAnsi="仿宋" w:eastAsia="仿宋" w:cs="仿宋"/>
          <w:b w:val="0"/>
          <w:bCs w:val="0"/>
          <w:sz w:val="24"/>
          <w:szCs w:val="24"/>
        </w:rPr>
        <w:t>6．供货周期延误</w:t>
      </w:r>
      <w:bookmarkEnd w:id="889"/>
      <w:bookmarkEnd w:id="890"/>
      <w:bookmarkEnd w:id="891"/>
      <w:bookmarkEnd w:id="892"/>
      <w:bookmarkEnd w:id="893"/>
      <w:bookmarkEnd w:id="894"/>
      <w:bookmarkEnd w:id="895"/>
      <w:bookmarkEnd w:id="896"/>
    </w:p>
    <w:p>
      <w:pPr>
        <w:tabs>
          <w:tab w:val="left" w:pos="1260"/>
        </w:tabs>
        <w:spacing w:line="360" w:lineRule="auto"/>
        <w:rPr>
          <w:rFonts w:ascii="仿宋" w:hAnsi="仿宋" w:eastAsia="仿宋" w:cs="仿宋"/>
          <w:b/>
          <w:sz w:val="24"/>
          <w:szCs w:val="24"/>
        </w:rPr>
      </w:pPr>
      <w:bookmarkStart w:id="897" w:name="_Toc375218820"/>
      <w:r>
        <w:rPr>
          <w:rFonts w:hint="eastAsia" w:ascii="仿宋" w:hAnsi="仿宋" w:eastAsia="仿宋" w:cs="仿宋"/>
          <w:b/>
          <w:sz w:val="24"/>
          <w:szCs w:val="24"/>
        </w:rPr>
        <w:t>6.1非供应商造成的延误</w:t>
      </w:r>
      <w:bookmarkEnd w:id="897"/>
    </w:p>
    <w:p>
      <w:pPr>
        <w:spacing w:line="360" w:lineRule="auto"/>
        <w:rPr>
          <w:rFonts w:ascii="仿宋" w:hAnsi="仿宋" w:eastAsia="仿宋" w:cs="仿宋"/>
          <w:bCs/>
          <w:sz w:val="24"/>
          <w:szCs w:val="24"/>
        </w:rPr>
      </w:pPr>
      <w:r>
        <w:rPr>
          <w:rFonts w:hint="eastAsia" w:ascii="仿宋" w:hAnsi="仿宋" w:eastAsia="仿宋" w:cs="仿宋"/>
          <w:bCs/>
          <w:sz w:val="24"/>
          <w:szCs w:val="24"/>
        </w:rPr>
        <w:t>6.1.1（6）其他允许延长供货周期的情况：</w:t>
      </w:r>
      <w:r>
        <w:rPr>
          <w:rFonts w:hint="eastAsia" w:ascii="仿宋" w:hAnsi="仿宋" w:eastAsia="仿宋" w:cs="仿宋"/>
          <w:b/>
          <w:bCs/>
          <w:sz w:val="24"/>
          <w:szCs w:val="24"/>
          <w:u w:val="single"/>
        </w:rPr>
        <w:t xml:space="preserve">            </w:t>
      </w:r>
    </w:p>
    <w:p>
      <w:pPr>
        <w:spacing w:line="360" w:lineRule="auto"/>
        <w:rPr>
          <w:rFonts w:ascii="仿宋" w:hAnsi="仿宋" w:eastAsia="仿宋" w:cs="仿宋"/>
          <w:b/>
          <w:bCs/>
          <w:kern w:val="0"/>
          <w:sz w:val="24"/>
          <w:szCs w:val="24"/>
          <w:lang w:bidi="en-US"/>
        </w:rPr>
      </w:pPr>
      <w:r>
        <w:rPr>
          <w:rFonts w:hint="eastAsia" w:ascii="仿宋" w:hAnsi="仿宋" w:eastAsia="仿宋" w:cs="仿宋"/>
          <w:bCs/>
          <w:sz w:val="24"/>
          <w:szCs w:val="24"/>
        </w:rPr>
        <w:t>6.1.2提交书面报告的时间：</w:t>
      </w:r>
      <w:r>
        <w:rPr>
          <w:rFonts w:hint="eastAsia" w:ascii="仿宋" w:hAnsi="仿宋" w:eastAsia="仿宋" w:cs="仿宋"/>
          <w:b/>
          <w:bCs/>
          <w:sz w:val="24"/>
          <w:szCs w:val="24"/>
          <w:u w:val="single"/>
        </w:rPr>
        <w:t xml:space="preserve"> </w:t>
      </w:r>
      <w:r>
        <w:rPr>
          <w:rFonts w:hint="eastAsia" w:ascii="仿宋" w:hAnsi="仿宋" w:eastAsia="仿宋" w:cs="仿宋"/>
          <w:sz w:val="24"/>
          <w:szCs w:val="24"/>
          <w:u w:val="single"/>
        </w:rPr>
        <w:t>满足条件后7日历天内</w:t>
      </w:r>
      <w:r>
        <w:rPr>
          <w:rFonts w:hint="eastAsia" w:ascii="仿宋" w:hAnsi="仿宋" w:eastAsia="仿宋" w:cs="仿宋"/>
          <w:b/>
          <w:bCs/>
          <w:sz w:val="24"/>
          <w:szCs w:val="24"/>
          <w:u w:val="single"/>
        </w:rPr>
        <w:t xml:space="preserve"> </w:t>
      </w:r>
      <w:r>
        <w:rPr>
          <w:rFonts w:hint="eastAsia" w:ascii="仿宋" w:hAnsi="仿宋" w:eastAsia="仿宋" w:cs="仿宋"/>
          <w:bCs/>
          <w:sz w:val="24"/>
          <w:szCs w:val="24"/>
        </w:rPr>
        <w:t xml:space="preserve">        </w:t>
      </w:r>
      <w:r>
        <w:rPr>
          <w:rFonts w:hint="eastAsia" w:ascii="仿宋" w:hAnsi="仿宋" w:eastAsia="仿宋" w:cs="仿宋"/>
          <w:b/>
          <w:bCs/>
          <w:kern w:val="0"/>
          <w:sz w:val="24"/>
          <w:szCs w:val="24"/>
          <w:lang w:bidi="en-US"/>
        </w:rPr>
        <w:t xml:space="preserve">                                          </w:t>
      </w:r>
    </w:p>
    <w:p>
      <w:pPr>
        <w:pStyle w:val="6"/>
        <w:keepNext w:val="0"/>
        <w:keepLines w:val="0"/>
        <w:tabs>
          <w:tab w:val="left" w:pos="1260"/>
        </w:tabs>
        <w:spacing w:line="360" w:lineRule="auto"/>
        <w:jc w:val="both"/>
        <w:rPr>
          <w:rFonts w:ascii="仿宋" w:hAnsi="仿宋" w:eastAsia="仿宋" w:cs="仿宋"/>
          <w:sz w:val="24"/>
          <w:szCs w:val="24"/>
        </w:rPr>
      </w:pPr>
      <w:bookmarkStart w:id="898" w:name="_Toc27122288"/>
      <w:bookmarkStart w:id="899" w:name="_Toc375218821"/>
      <w:r>
        <w:rPr>
          <w:rFonts w:hint="eastAsia" w:ascii="仿宋" w:hAnsi="仿宋" w:eastAsia="仿宋" w:cs="仿宋"/>
          <w:sz w:val="24"/>
          <w:szCs w:val="24"/>
        </w:rPr>
        <w:t>6.3 供货周期延误的违约处理</w:t>
      </w:r>
      <w:bookmarkEnd w:id="898"/>
      <w:bookmarkEnd w:id="899"/>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6.3.1误期违约金及误期违约金的最高限额：                                    </w:t>
      </w:r>
    </w:p>
    <w:p>
      <w:pPr>
        <w:spacing w:line="360" w:lineRule="auto"/>
        <w:rPr>
          <w:rFonts w:ascii="仿宋" w:hAnsi="仿宋" w:eastAsia="仿宋" w:cs="仿宋"/>
          <w:bCs/>
          <w:strike/>
          <w:sz w:val="24"/>
          <w:szCs w:val="24"/>
        </w:rPr>
      </w:pPr>
      <w:r>
        <w:rPr>
          <w:rFonts w:hint="eastAsia" w:ascii="仿宋" w:hAnsi="仿宋" w:eastAsia="仿宋" w:cs="仿宋"/>
          <w:bCs/>
          <w:sz w:val="24"/>
          <w:szCs w:val="24"/>
        </w:rPr>
        <w:t xml:space="preserve"> </w:t>
      </w:r>
      <w:r>
        <w:rPr>
          <w:rFonts w:hint="eastAsia" w:ascii="仿宋" w:hAnsi="仿宋" w:eastAsia="仿宋" w:cs="仿宋"/>
          <w:b/>
          <w:bCs/>
          <w:sz w:val="24"/>
          <w:szCs w:val="24"/>
          <w:u w:val="single"/>
        </w:rPr>
        <w:t xml:space="preserve">    </w:t>
      </w:r>
      <w:r>
        <w:rPr>
          <w:rFonts w:hint="eastAsia" w:ascii="仿宋" w:hAnsi="仿宋" w:eastAsia="仿宋" w:cs="仿宋"/>
          <w:bCs/>
          <w:sz w:val="24"/>
          <w:szCs w:val="24"/>
          <w:u w:val="single"/>
        </w:rPr>
        <w:t xml:space="preserve">  不超过合同价款的5%      </w:t>
      </w:r>
    </w:p>
    <w:p>
      <w:pPr>
        <w:spacing w:line="360" w:lineRule="auto"/>
        <w:ind w:left="1135"/>
        <w:rPr>
          <w:rFonts w:ascii="仿宋" w:hAnsi="仿宋" w:eastAsia="仿宋" w:cs="仿宋"/>
          <w:sz w:val="24"/>
          <w:szCs w:val="24"/>
          <w:u w:val="single"/>
        </w:rPr>
      </w:pPr>
    </w:p>
    <w:p>
      <w:pPr>
        <w:pStyle w:val="5"/>
        <w:keepNext w:val="0"/>
        <w:spacing w:before="120" w:after="120" w:line="240" w:lineRule="auto"/>
        <w:jc w:val="both"/>
        <w:rPr>
          <w:rStyle w:val="218"/>
          <w:rFonts w:ascii="仿宋" w:hAnsi="仿宋" w:eastAsia="仿宋" w:cs="仿宋"/>
          <w:b w:val="0"/>
          <w:bCs w:val="0"/>
          <w:sz w:val="24"/>
          <w:szCs w:val="24"/>
        </w:rPr>
      </w:pPr>
      <w:bookmarkStart w:id="900" w:name="_Toc217443420"/>
      <w:bookmarkStart w:id="901" w:name="_Toc218048842"/>
      <w:bookmarkStart w:id="902" w:name="_Toc218049022"/>
      <w:bookmarkStart w:id="903" w:name="_Toc375218822"/>
      <w:bookmarkStart w:id="904" w:name="_Toc27122289"/>
      <w:bookmarkStart w:id="905" w:name="_Toc256955773"/>
      <w:bookmarkStart w:id="906" w:name="_Toc255494570"/>
      <w:bookmarkStart w:id="907" w:name="_Toc381358681"/>
      <w:r>
        <w:rPr>
          <w:rStyle w:val="218"/>
          <w:rFonts w:hint="eastAsia" w:ascii="仿宋" w:hAnsi="仿宋" w:eastAsia="仿宋" w:cs="仿宋"/>
          <w:b w:val="0"/>
          <w:bCs w:val="0"/>
          <w:sz w:val="24"/>
          <w:szCs w:val="24"/>
        </w:rPr>
        <w:t>7．</w:t>
      </w:r>
      <w:bookmarkEnd w:id="900"/>
      <w:bookmarkEnd w:id="901"/>
      <w:bookmarkEnd w:id="902"/>
      <w:r>
        <w:rPr>
          <w:rStyle w:val="218"/>
          <w:rFonts w:hint="eastAsia" w:ascii="仿宋" w:hAnsi="仿宋" w:eastAsia="仿宋" w:cs="仿宋"/>
          <w:b w:val="0"/>
          <w:bCs w:val="0"/>
          <w:sz w:val="24"/>
          <w:szCs w:val="24"/>
        </w:rPr>
        <w:t>包装</w:t>
      </w:r>
      <w:bookmarkEnd w:id="903"/>
      <w:bookmarkEnd w:id="904"/>
      <w:bookmarkEnd w:id="905"/>
      <w:bookmarkEnd w:id="906"/>
      <w:bookmarkEnd w:id="907"/>
    </w:p>
    <w:p>
      <w:pPr>
        <w:pStyle w:val="6"/>
        <w:keepNext w:val="0"/>
        <w:keepLines w:val="0"/>
        <w:tabs>
          <w:tab w:val="left" w:pos="1260"/>
        </w:tabs>
        <w:spacing w:line="360" w:lineRule="auto"/>
        <w:jc w:val="both"/>
        <w:rPr>
          <w:rFonts w:ascii="仿宋" w:hAnsi="仿宋" w:eastAsia="仿宋" w:cs="仿宋"/>
          <w:sz w:val="24"/>
          <w:szCs w:val="24"/>
        </w:rPr>
      </w:pPr>
      <w:bookmarkStart w:id="908" w:name="_Toc27122290"/>
      <w:bookmarkStart w:id="909" w:name="_Toc375218823"/>
      <w:r>
        <w:rPr>
          <w:rFonts w:hint="eastAsia" w:ascii="仿宋" w:hAnsi="仿宋" w:eastAsia="仿宋" w:cs="仿宋"/>
          <w:sz w:val="24"/>
          <w:szCs w:val="24"/>
        </w:rPr>
        <w:t>7.4其他包装约定</w:t>
      </w:r>
      <w:bookmarkEnd w:id="908"/>
      <w:bookmarkEnd w:id="909"/>
    </w:p>
    <w:p>
      <w:pPr>
        <w:spacing w:line="360" w:lineRule="auto"/>
        <w:ind w:left="2" w:hanging="2" w:hangingChars="1"/>
        <w:rPr>
          <w:rFonts w:ascii="仿宋" w:hAnsi="仿宋" w:eastAsia="仿宋" w:cs="仿宋"/>
          <w:sz w:val="24"/>
          <w:szCs w:val="24"/>
        </w:rPr>
      </w:pPr>
      <w:r>
        <w:rPr>
          <w:rFonts w:hint="eastAsia" w:ascii="仿宋" w:hAnsi="仿宋" w:eastAsia="仿宋" w:cs="仿宋"/>
          <w:sz w:val="24"/>
          <w:szCs w:val="24"/>
          <w:u w:val="single"/>
        </w:rPr>
        <w:t xml:space="preserve">  供应商负责回收现场遗留包装物并清运出现场  </w:t>
      </w:r>
      <w:r>
        <w:rPr>
          <w:rFonts w:hint="eastAsia" w:ascii="仿宋" w:hAnsi="仿宋" w:eastAsia="仿宋" w:cs="仿宋"/>
          <w:sz w:val="24"/>
          <w:szCs w:val="24"/>
        </w:rPr>
        <w:t xml:space="preserve"> </w:t>
      </w:r>
    </w:p>
    <w:p>
      <w:pPr>
        <w:pStyle w:val="5"/>
        <w:keepNext w:val="0"/>
        <w:spacing w:before="120" w:after="120" w:line="240" w:lineRule="auto"/>
        <w:jc w:val="both"/>
        <w:rPr>
          <w:rStyle w:val="218"/>
          <w:rFonts w:ascii="仿宋" w:hAnsi="仿宋" w:eastAsia="仿宋" w:cs="仿宋"/>
          <w:b w:val="0"/>
          <w:bCs w:val="0"/>
          <w:sz w:val="24"/>
          <w:szCs w:val="24"/>
        </w:rPr>
      </w:pPr>
      <w:bookmarkStart w:id="910" w:name="_Toc218049024"/>
      <w:bookmarkStart w:id="911" w:name="_Toc218048844"/>
      <w:bookmarkStart w:id="912" w:name="_Toc217443422"/>
      <w:bookmarkStart w:id="913" w:name="_Toc381358682"/>
      <w:bookmarkStart w:id="914" w:name="_Toc255494572"/>
      <w:bookmarkStart w:id="915" w:name="_Toc256955774"/>
      <w:bookmarkStart w:id="916" w:name="_Toc27122291"/>
      <w:bookmarkStart w:id="917" w:name="_Toc375218824"/>
      <w:r>
        <w:rPr>
          <w:rStyle w:val="218"/>
          <w:rFonts w:hint="eastAsia" w:ascii="仿宋" w:hAnsi="仿宋" w:eastAsia="仿宋" w:cs="仿宋"/>
          <w:b w:val="0"/>
          <w:bCs w:val="0"/>
          <w:sz w:val="24"/>
          <w:szCs w:val="24"/>
        </w:rPr>
        <w:t>8．</w:t>
      </w:r>
      <w:bookmarkEnd w:id="910"/>
      <w:bookmarkEnd w:id="911"/>
      <w:bookmarkEnd w:id="912"/>
      <w:r>
        <w:rPr>
          <w:rStyle w:val="218"/>
          <w:rFonts w:hint="eastAsia" w:ascii="仿宋" w:hAnsi="仿宋" w:eastAsia="仿宋" w:cs="仿宋"/>
          <w:b w:val="0"/>
          <w:bCs w:val="0"/>
          <w:sz w:val="24"/>
          <w:szCs w:val="24"/>
        </w:rPr>
        <w:t>服务</w:t>
      </w:r>
      <w:bookmarkEnd w:id="913"/>
      <w:bookmarkEnd w:id="914"/>
      <w:bookmarkEnd w:id="915"/>
      <w:bookmarkEnd w:id="916"/>
      <w:bookmarkEnd w:id="917"/>
    </w:p>
    <w:p>
      <w:pPr>
        <w:pStyle w:val="6"/>
        <w:keepNext w:val="0"/>
        <w:keepLines w:val="0"/>
        <w:numPr>
          <w:ilvl w:val="1"/>
          <w:numId w:val="0"/>
        </w:numPr>
        <w:tabs>
          <w:tab w:val="left" w:pos="1200"/>
        </w:tabs>
        <w:adjustRightInd w:val="0"/>
        <w:spacing w:before="0" w:line="360" w:lineRule="auto"/>
        <w:ind w:left="1200" w:hanging="1200"/>
        <w:jc w:val="both"/>
        <w:textAlignment w:val="baseline"/>
        <w:rPr>
          <w:rFonts w:ascii="仿宋" w:hAnsi="仿宋" w:eastAsia="仿宋" w:cs="仿宋"/>
          <w:sz w:val="24"/>
          <w:szCs w:val="24"/>
        </w:rPr>
      </w:pPr>
      <w:bookmarkStart w:id="918" w:name="_Toc27122292"/>
      <w:bookmarkStart w:id="919" w:name="_Toc375218825"/>
      <w:r>
        <w:rPr>
          <w:rFonts w:hint="eastAsia" w:ascii="仿宋" w:hAnsi="仿宋" w:eastAsia="仿宋" w:cs="仿宋"/>
          <w:sz w:val="24"/>
          <w:szCs w:val="24"/>
        </w:rPr>
        <w:t>8.1技术服务</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供应商应委派专业技术工程师对本采购项目进行现场技术指导，并提供免费咨询服务，直至工程缺陷责任期终止。</w:t>
      </w:r>
    </w:p>
    <w:p>
      <w:pPr>
        <w:pStyle w:val="6"/>
        <w:keepNext w:val="0"/>
        <w:keepLines w:val="0"/>
        <w:numPr>
          <w:ilvl w:val="1"/>
          <w:numId w:val="0"/>
        </w:numPr>
        <w:tabs>
          <w:tab w:val="left" w:pos="1200"/>
        </w:tabs>
        <w:adjustRightInd w:val="0"/>
        <w:spacing w:before="0" w:line="360" w:lineRule="auto"/>
        <w:ind w:left="1200" w:hanging="1200"/>
        <w:jc w:val="both"/>
        <w:textAlignment w:val="baseline"/>
        <w:rPr>
          <w:rFonts w:ascii="仿宋" w:hAnsi="仿宋" w:eastAsia="仿宋" w:cs="仿宋"/>
          <w:sz w:val="24"/>
          <w:szCs w:val="24"/>
        </w:rPr>
      </w:pPr>
      <w:r>
        <w:rPr>
          <w:rFonts w:hint="eastAsia" w:ascii="仿宋" w:hAnsi="仿宋" w:eastAsia="仿宋" w:cs="仿宋"/>
          <w:sz w:val="24"/>
          <w:szCs w:val="24"/>
        </w:rPr>
        <w:t>8.2运输</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供应商提供的货物的运输应符合道路交通、运政、环保等行政部门要求打包、装车、运输等，供应商承担运输过程因供应商原因出现的各类罚款。</w:t>
      </w:r>
    </w:p>
    <w:p>
      <w:pPr>
        <w:pStyle w:val="6"/>
        <w:keepNext w:val="0"/>
        <w:keepLines w:val="0"/>
        <w:numPr>
          <w:ilvl w:val="1"/>
          <w:numId w:val="0"/>
        </w:numPr>
        <w:tabs>
          <w:tab w:val="left" w:pos="1200"/>
        </w:tabs>
        <w:adjustRightInd w:val="0"/>
        <w:spacing w:before="0" w:line="360" w:lineRule="auto"/>
        <w:ind w:left="1200" w:hanging="1200"/>
        <w:jc w:val="both"/>
        <w:textAlignment w:val="baseline"/>
        <w:rPr>
          <w:rFonts w:ascii="仿宋" w:hAnsi="仿宋" w:eastAsia="仿宋" w:cs="仿宋"/>
          <w:sz w:val="24"/>
          <w:szCs w:val="24"/>
        </w:rPr>
      </w:pPr>
      <w:r>
        <w:rPr>
          <w:rFonts w:hint="eastAsia" w:ascii="仿宋" w:hAnsi="仿宋" w:eastAsia="仿宋" w:cs="仿宋"/>
          <w:sz w:val="24"/>
          <w:szCs w:val="24"/>
        </w:rPr>
        <w:t>8.3售后服务</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8.3.1  提供免费服务电话，报修响应时间≤2小时，维修工程师到达现场时间≤24小时及全方位技术支持。</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8.3.2  质保期内，所有货物维修均为免费，质保期满后，双方协议续保。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8.3.3  质保期内，所有设备维修服务均为上门服务，由此产生的费用均不得再额外收取。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8.3.4   提供设备产品的中文技术资料及相应技术文档。</w:t>
      </w:r>
    </w:p>
    <w:p>
      <w:pPr>
        <w:pStyle w:val="2"/>
        <w:ind w:left="0"/>
        <w:rPr>
          <w:rFonts w:ascii="仿宋" w:hAnsi="仿宋" w:eastAsia="仿宋" w:cs="仿宋"/>
          <w:kern w:val="2"/>
          <w:szCs w:val="24"/>
          <w:u w:val="single"/>
        </w:rPr>
      </w:pPr>
      <w:r>
        <w:rPr>
          <w:rFonts w:hint="eastAsia" w:ascii="仿宋" w:hAnsi="仿宋" w:eastAsia="仿宋" w:cs="仿宋"/>
          <w:kern w:val="2"/>
          <w:szCs w:val="24"/>
          <w:u w:val="single"/>
        </w:rPr>
        <w:t>8.3.5   投标人需提供主要设备生产厂家本项目的原厂售后服务承诺函。</w:t>
      </w:r>
    </w:p>
    <w:p>
      <w:pPr>
        <w:pStyle w:val="6"/>
        <w:keepNext w:val="0"/>
        <w:keepLines w:val="0"/>
        <w:tabs>
          <w:tab w:val="left" w:pos="1260"/>
        </w:tabs>
        <w:spacing w:line="360" w:lineRule="auto"/>
        <w:jc w:val="both"/>
        <w:rPr>
          <w:rFonts w:ascii="仿宋" w:hAnsi="仿宋" w:eastAsia="仿宋" w:cs="仿宋"/>
          <w:sz w:val="24"/>
          <w:szCs w:val="24"/>
          <w:u w:val="single"/>
        </w:rPr>
      </w:pPr>
      <w:r>
        <w:rPr>
          <w:rFonts w:hint="eastAsia" w:ascii="仿宋" w:hAnsi="仿宋" w:eastAsia="仿宋" w:cs="仿宋"/>
          <w:sz w:val="24"/>
          <w:szCs w:val="24"/>
        </w:rPr>
        <w:t>8.4其他约定</w:t>
      </w:r>
      <w:bookmarkEnd w:id="918"/>
      <w:bookmarkEnd w:id="919"/>
    </w:p>
    <w:p>
      <w:pPr>
        <w:spacing w:line="360" w:lineRule="auto"/>
        <w:rPr>
          <w:rFonts w:ascii="仿宋" w:hAnsi="仿宋" w:eastAsia="仿宋" w:cs="仿宋"/>
          <w:sz w:val="24"/>
          <w:szCs w:val="24"/>
        </w:rPr>
      </w:pPr>
      <w:r>
        <w:rPr>
          <w:rFonts w:hint="eastAsia" w:ascii="仿宋" w:hAnsi="仿宋" w:eastAsia="仿宋" w:cs="仿宋"/>
          <w:bCs/>
          <w:sz w:val="24"/>
          <w:szCs w:val="24"/>
          <w:u w:val="single"/>
        </w:rPr>
        <w:t xml:space="preserve">                       </w:t>
      </w:r>
      <w:r>
        <w:rPr>
          <w:rFonts w:hint="eastAsia" w:ascii="仿宋" w:hAnsi="仿宋" w:eastAsia="仿宋" w:cs="仿宋"/>
          <w:sz w:val="24"/>
          <w:szCs w:val="24"/>
        </w:rPr>
        <w:t xml:space="preserve"> </w:t>
      </w:r>
    </w:p>
    <w:p>
      <w:pPr>
        <w:rPr>
          <w:rFonts w:ascii="仿宋" w:hAnsi="仿宋" w:eastAsia="仿宋" w:cs="仿宋"/>
          <w:sz w:val="24"/>
          <w:szCs w:val="24"/>
          <w:lang w:bidi="en-US"/>
        </w:rPr>
      </w:pPr>
    </w:p>
    <w:p>
      <w:pPr>
        <w:pStyle w:val="5"/>
        <w:keepNext w:val="0"/>
        <w:spacing w:before="120" w:after="120" w:line="240" w:lineRule="auto"/>
        <w:jc w:val="both"/>
        <w:rPr>
          <w:rStyle w:val="218"/>
          <w:rFonts w:ascii="仿宋" w:hAnsi="仿宋" w:eastAsia="仿宋" w:cs="仿宋"/>
          <w:b w:val="0"/>
          <w:bCs w:val="0"/>
          <w:sz w:val="24"/>
          <w:szCs w:val="24"/>
        </w:rPr>
      </w:pPr>
      <w:bookmarkStart w:id="920" w:name="_Toc375218826"/>
      <w:bookmarkStart w:id="921" w:name="_Toc27122293"/>
      <w:bookmarkStart w:id="922" w:name="_Toc381358683"/>
      <w:bookmarkStart w:id="923" w:name="_Toc255490682"/>
      <w:bookmarkStart w:id="924" w:name="_Toc256955775"/>
      <w:r>
        <w:rPr>
          <w:rStyle w:val="218"/>
          <w:rFonts w:hint="eastAsia" w:ascii="仿宋" w:hAnsi="仿宋" w:eastAsia="仿宋" w:cs="仿宋"/>
          <w:b w:val="0"/>
          <w:bCs w:val="0"/>
          <w:sz w:val="24"/>
          <w:szCs w:val="24"/>
        </w:rPr>
        <w:t>9.备品备件、易损件/消耗性材料</w:t>
      </w:r>
      <w:bookmarkEnd w:id="920"/>
      <w:bookmarkEnd w:id="921"/>
      <w:bookmarkEnd w:id="922"/>
      <w:bookmarkEnd w:id="923"/>
      <w:bookmarkEnd w:id="924"/>
    </w:p>
    <w:p>
      <w:pPr>
        <w:pStyle w:val="6"/>
        <w:keepNext w:val="0"/>
        <w:keepLines w:val="0"/>
        <w:tabs>
          <w:tab w:val="left" w:pos="1260"/>
        </w:tabs>
        <w:spacing w:line="360" w:lineRule="auto"/>
        <w:jc w:val="both"/>
        <w:rPr>
          <w:rFonts w:ascii="仿宋" w:hAnsi="仿宋" w:eastAsia="仿宋" w:cs="仿宋"/>
          <w:sz w:val="24"/>
          <w:szCs w:val="24"/>
        </w:rPr>
      </w:pPr>
      <w:bookmarkStart w:id="925" w:name="_Toc27122294"/>
      <w:bookmarkStart w:id="926" w:name="_Toc375218827"/>
      <w:r>
        <w:rPr>
          <w:rFonts w:hint="eastAsia" w:ascii="仿宋" w:hAnsi="仿宋" w:eastAsia="仿宋" w:cs="仿宋"/>
          <w:sz w:val="24"/>
          <w:szCs w:val="24"/>
        </w:rPr>
        <w:t>9.2其他约定</w:t>
      </w:r>
      <w:bookmarkEnd w:id="925"/>
      <w:bookmarkEnd w:id="926"/>
    </w:p>
    <w:p>
      <w:pPr>
        <w:spacing w:line="360" w:lineRule="auto"/>
        <w:rPr>
          <w:rFonts w:ascii="仿宋" w:hAnsi="仿宋" w:eastAsia="仿宋" w:cs="仿宋"/>
          <w:b/>
          <w:bCs/>
          <w:sz w:val="24"/>
          <w:szCs w:val="24"/>
          <w:u w:val="single"/>
        </w:rPr>
      </w:pPr>
      <w:r>
        <w:rPr>
          <w:rFonts w:hint="eastAsia" w:ascii="仿宋" w:hAnsi="仿宋" w:eastAsia="仿宋" w:cs="仿宋"/>
          <w:bCs/>
          <w:sz w:val="24"/>
          <w:szCs w:val="24"/>
          <w:u w:val="single"/>
        </w:rPr>
        <w:t xml:space="preserve">            </w:t>
      </w:r>
      <w:r>
        <w:rPr>
          <w:rFonts w:hint="eastAsia" w:ascii="仿宋" w:hAnsi="仿宋" w:eastAsia="仿宋" w:cs="仿宋"/>
          <w:b/>
          <w:bCs/>
          <w:sz w:val="24"/>
          <w:szCs w:val="24"/>
          <w:u w:val="single"/>
        </w:rPr>
        <w:t xml:space="preserve">           </w:t>
      </w:r>
    </w:p>
    <w:p>
      <w:pPr>
        <w:spacing w:line="360" w:lineRule="auto"/>
        <w:rPr>
          <w:rFonts w:ascii="仿宋" w:hAnsi="仿宋" w:eastAsia="仿宋" w:cs="仿宋"/>
          <w:bCs/>
          <w:sz w:val="24"/>
          <w:szCs w:val="24"/>
        </w:rPr>
      </w:pPr>
    </w:p>
    <w:p>
      <w:pPr>
        <w:pStyle w:val="5"/>
        <w:keepNext w:val="0"/>
        <w:spacing w:before="120" w:after="120" w:line="240" w:lineRule="auto"/>
        <w:jc w:val="both"/>
        <w:rPr>
          <w:rStyle w:val="218"/>
          <w:rFonts w:ascii="仿宋" w:hAnsi="仿宋" w:eastAsia="仿宋" w:cs="仿宋"/>
          <w:b w:val="0"/>
          <w:bCs w:val="0"/>
          <w:sz w:val="24"/>
          <w:szCs w:val="24"/>
        </w:rPr>
      </w:pPr>
      <w:bookmarkStart w:id="927" w:name="_Toc218049025"/>
      <w:bookmarkStart w:id="928" w:name="_Toc217443424"/>
      <w:bookmarkStart w:id="929" w:name="_Toc218048845"/>
      <w:bookmarkStart w:id="930" w:name="_Toc27122295"/>
      <w:bookmarkStart w:id="931" w:name="_Toc381358684"/>
      <w:bookmarkStart w:id="932" w:name="_Toc256955776"/>
      <w:bookmarkStart w:id="933" w:name="_Toc375218828"/>
      <w:bookmarkStart w:id="934" w:name="_Toc255494573"/>
      <w:r>
        <w:rPr>
          <w:rStyle w:val="218"/>
          <w:rFonts w:hint="eastAsia" w:ascii="仿宋" w:hAnsi="仿宋" w:eastAsia="仿宋" w:cs="仿宋"/>
          <w:b w:val="0"/>
          <w:bCs w:val="0"/>
          <w:sz w:val="24"/>
          <w:szCs w:val="24"/>
        </w:rPr>
        <w:t>10．</w:t>
      </w:r>
      <w:bookmarkEnd w:id="927"/>
      <w:bookmarkEnd w:id="928"/>
      <w:bookmarkEnd w:id="929"/>
      <w:r>
        <w:rPr>
          <w:rStyle w:val="218"/>
          <w:rFonts w:hint="eastAsia" w:ascii="仿宋" w:hAnsi="仿宋" w:eastAsia="仿宋" w:cs="仿宋"/>
          <w:b w:val="0"/>
          <w:bCs w:val="0"/>
          <w:sz w:val="24"/>
          <w:szCs w:val="24"/>
        </w:rPr>
        <w:t>检验和测试</w:t>
      </w:r>
      <w:bookmarkEnd w:id="930"/>
      <w:bookmarkEnd w:id="931"/>
      <w:bookmarkEnd w:id="932"/>
      <w:bookmarkEnd w:id="933"/>
      <w:bookmarkEnd w:id="934"/>
    </w:p>
    <w:p>
      <w:pPr>
        <w:pStyle w:val="6"/>
        <w:keepNext w:val="0"/>
        <w:keepLines w:val="0"/>
        <w:tabs>
          <w:tab w:val="left" w:pos="1260"/>
        </w:tabs>
        <w:spacing w:line="360" w:lineRule="auto"/>
        <w:jc w:val="both"/>
        <w:rPr>
          <w:rFonts w:ascii="仿宋" w:hAnsi="仿宋" w:eastAsia="仿宋" w:cs="仿宋"/>
          <w:sz w:val="24"/>
          <w:szCs w:val="24"/>
        </w:rPr>
      </w:pPr>
      <w:bookmarkStart w:id="935" w:name="_Toc27122296"/>
      <w:bookmarkStart w:id="936" w:name="_Toc375218829"/>
      <w:r>
        <w:rPr>
          <w:rFonts w:hint="eastAsia" w:ascii="仿宋" w:hAnsi="仿宋" w:eastAsia="仿宋" w:cs="仿宋"/>
          <w:sz w:val="24"/>
          <w:szCs w:val="24"/>
        </w:rPr>
        <w:t>10.2检验和测试时间和地点</w:t>
      </w:r>
      <w:bookmarkEnd w:id="935"/>
      <w:bookmarkEnd w:id="936"/>
    </w:p>
    <w:p>
      <w:pPr>
        <w:spacing w:line="360" w:lineRule="auto"/>
        <w:rPr>
          <w:rFonts w:ascii="仿宋" w:hAnsi="仿宋" w:eastAsia="仿宋" w:cs="仿宋"/>
          <w:sz w:val="24"/>
          <w:szCs w:val="24"/>
        </w:rPr>
      </w:pPr>
      <w:r>
        <w:rPr>
          <w:rFonts w:hint="eastAsia" w:ascii="仿宋" w:hAnsi="仿宋" w:eastAsia="仿宋" w:cs="仿宋"/>
          <w:sz w:val="24"/>
          <w:szCs w:val="24"/>
        </w:rPr>
        <w:t>检验和测试时间：</w:t>
      </w:r>
      <w:r>
        <w:rPr>
          <w:rFonts w:hint="eastAsia" w:ascii="仿宋" w:hAnsi="仿宋" w:eastAsia="仿宋" w:cs="仿宋"/>
          <w:sz w:val="24"/>
          <w:szCs w:val="24"/>
          <w:u w:val="single"/>
        </w:rPr>
        <w:t xml:space="preserve">   货物到达指定交货现场3天内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检验和测试地点：</w:t>
      </w:r>
      <w:r>
        <w:rPr>
          <w:rFonts w:hint="eastAsia" w:ascii="仿宋" w:hAnsi="仿宋" w:eastAsia="仿宋" w:cs="仿宋"/>
          <w:sz w:val="24"/>
          <w:szCs w:val="24"/>
          <w:u w:val="single"/>
        </w:rPr>
        <w:t xml:space="preserve">  江西省丰城市循环园区吉岗岭污水处理厂   </w:t>
      </w:r>
    </w:p>
    <w:p>
      <w:pPr>
        <w:pStyle w:val="6"/>
        <w:keepNext w:val="0"/>
        <w:keepLines w:val="0"/>
        <w:tabs>
          <w:tab w:val="left" w:pos="1260"/>
        </w:tabs>
        <w:spacing w:line="360" w:lineRule="auto"/>
        <w:jc w:val="both"/>
        <w:rPr>
          <w:rFonts w:ascii="仿宋" w:hAnsi="仿宋" w:eastAsia="仿宋" w:cs="仿宋"/>
          <w:sz w:val="24"/>
          <w:szCs w:val="24"/>
        </w:rPr>
      </w:pPr>
      <w:bookmarkStart w:id="937" w:name="_Toc375218830"/>
      <w:bookmarkStart w:id="938" w:name="_Toc27122297"/>
      <w:r>
        <w:rPr>
          <w:rFonts w:hint="eastAsia" w:ascii="仿宋" w:hAnsi="仿宋" w:eastAsia="仿宋" w:cs="仿宋"/>
          <w:sz w:val="24"/>
          <w:szCs w:val="24"/>
        </w:rPr>
        <w:t>10.7其他检验和测试约定</w:t>
      </w:r>
      <w:bookmarkEnd w:id="937"/>
      <w:bookmarkEnd w:id="938"/>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检验和测试方法应满足规范、设计及环保验收要求  </w:t>
      </w:r>
    </w:p>
    <w:p>
      <w:pPr>
        <w:spacing w:line="360" w:lineRule="auto"/>
        <w:rPr>
          <w:rFonts w:ascii="仿宋" w:hAnsi="仿宋" w:eastAsia="仿宋" w:cs="仿宋"/>
          <w:sz w:val="24"/>
          <w:szCs w:val="24"/>
          <w:u w:val="single"/>
        </w:rPr>
      </w:pPr>
      <w:bookmarkStart w:id="939" w:name="_Toc256955777"/>
      <w:bookmarkStart w:id="940" w:name="_Toc255494574"/>
      <w:bookmarkStart w:id="941" w:name="_Toc217443426"/>
      <w:bookmarkStart w:id="942" w:name="_Toc218048847"/>
      <w:bookmarkStart w:id="943" w:name="_Toc218049027"/>
      <w:bookmarkStart w:id="944" w:name="_Toc375218831"/>
    </w:p>
    <w:p>
      <w:pPr>
        <w:pStyle w:val="5"/>
        <w:keepNext w:val="0"/>
        <w:spacing w:before="120" w:after="120" w:line="240" w:lineRule="auto"/>
        <w:jc w:val="both"/>
        <w:rPr>
          <w:rStyle w:val="218"/>
          <w:rFonts w:ascii="仿宋" w:hAnsi="仿宋" w:eastAsia="仿宋" w:cs="仿宋"/>
          <w:b w:val="0"/>
          <w:bCs w:val="0"/>
          <w:sz w:val="24"/>
          <w:szCs w:val="24"/>
        </w:rPr>
      </w:pPr>
      <w:bookmarkStart w:id="945" w:name="_Toc27122298"/>
      <w:bookmarkStart w:id="946" w:name="_Toc381358685"/>
      <w:r>
        <w:rPr>
          <w:rStyle w:val="218"/>
          <w:rFonts w:hint="eastAsia" w:ascii="仿宋" w:hAnsi="仿宋" w:eastAsia="仿宋" w:cs="仿宋"/>
          <w:b w:val="0"/>
          <w:bCs w:val="0"/>
          <w:sz w:val="24"/>
          <w:szCs w:val="24"/>
        </w:rPr>
        <w:t>12．合同价款</w:t>
      </w:r>
      <w:bookmarkEnd w:id="939"/>
      <w:bookmarkEnd w:id="940"/>
      <w:bookmarkEnd w:id="941"/>
      <w:bookmarkEnd w:id="942"/>
      <w:bookmarkEnd w:id="943"/>
      <w:bookmarkEnd w:id="944"/>
      <w:bookmarkEnd w:id="945"/>
      <w:bookmarkEnd w:id="946"/>
    </w:p>
    <w:p>
      <w:pPr>
        <w:pStyle w:val="6"/>
        <w:keepNext w:val="0"/>
        <w:keepLines w:val="0"/>
        <w:tabs>
          <w:tab w:val="left" w:pos="1260"/>
        </w:tabs>
        <w:spacing w:line="360" w:lineRule="auto"/>
        <w:jc w:val="both"/>
        <w:rPr>
          <w:rFonts w:ascii="仿宋" w:hAnsi="仿宋" w:eastAsia="仿宋" w:cs="仿宋"/>
          <w:sz w:val="24"/>
          <w:szCs w:val="24"/>
        </w:rPr>
      </w:pPr>
      <w:bookmarkStart w:id="947" w:name="_Toc27122299"/>
      <w:bookmarkStart w:id="948" w:name="_Toc375218832"/>
      <w:r>
        <w:rPr>
          <w:rFonts w:hint="eastAsia" w:ascii="仿宋" w:hAnsi="仿宋" w:eastAsia="仿宋" w:cs="仿宋"/>
          <w:sz w:val="24"/>
          <w:szCs w:val="24"/>
        </w:rPr>
        <w:t>12.2合同价款</w:t>
      </w:r>
      <w:bookmarkEnd w:id="947"/>
      <w:bookmarkEnd w:id="948"/>
    </w:p>
    <w:p>
      <w:pPr>
        <w:spacing w:line="360" w:lineRule="auto"/>
        <w:rPr>
          <w:rFonts w:ascii="仿宋" w:hAnsi="仿宋" w:eastAsia="仿宋" w:cs="仿宋"/>
          <w:sz w:val="24"/>
          <w:szCs w:val="24"/>
          <w:u w:val="single"/>
        </w:rPr>
      </w:pPr>
      <w:r>
        <w:rPr>
          <w:rFonts w:hint="eastAsia" w:ascii="仿宋" w:hAnsi="仿宋" w:eastAsia="仿宋" w:cs="仿宋"/>
          <w:sz w:val="24"/>
          <w:szCs w:val="24"/>
        </w:rPr>
        <w:t>本供货合同采用的合同价款约定</w:t>
      </w:r>
      <w:r>
        <w:rPr>
          <w:rFonts w:hint="eastAsia" w:ascii="仿宋" w:hAnsi="仿宋" w:eastAsia="仿宋" w:cs="仿宋"/>
          <w:bCs/>
          <w:sz w:val="24"/>
          <w:szCs w:val="24"/>
        </w:rPr>
        <w:t>方式为：</w:t>
      </w:r>
      <w:r>
        <w:rPr>
          <w:rFonts w:hint="eastAsia" w:ascii="仿宋" w:hAnsi="仿宋" w:eastAsia="仿宋" w:cs="仿宋"/>
          <w:bCs/>
          <w:sz w:val="24"/>
          <w:szCs w:val="24"/>
          <w:u w:val="single"/>
        </w:rPr>
        <w:t xml:space="preserve"> 固定单价合同，即在本合同有效期内单价不变。    </w:t>
      </w:r>
    </w:p>
    <w:p>
      <w:pPr>
        <w:pStyle w:val="6"/>
        <w:keepNext w:val="0"/>
        <w:keepLines w:val="0"/>
        <w:tabs>
          <w:tab w:val="left" w:pos="1260"/>
        </w:tabs>
        <w:spacing w:line="360" w:lineRule="auto"/>
        <w:jc w:val="both"/>
        <w:rPr>
          <w:rFonts w:ascii="仿宋" w:hAnsi="仿宋" w:eastAsia="仿宋" w:cs="仿宋"/>
          <w:sz w:val="24"/>
          <w:szCs w:val="24"/>
        </w:rPr>
      </w:pPr>
      <w:bookmarkStart w:id="949" w:name="_Toc27122300"/>
      <w:bookmarkStart w:id="950" w:name="_Toc375218833"/>
      <w:r>
        <w:rPr>
          <w:rFonts w:hint="eastAsia" w:ascii="仿宋" w:hAnsi="仿宋" w:eastAsia="仿宋" w:cs="仿宋"/>
          <w:sz w:val="24"/>
          <w:szCs w:val="24"/>
        </w:rPr>
        <w:t>12.3合同价款的调整</w:t>
      </w:r>
      <w:bookmarkEnd w:id="949"/>
      <w:bookmarkEnd w:id="950"/>
    </w:p>
    <w:p>
      <w:pPr>
        <w:spacing w:line="360" w:lineRule="auto"/>
        <w:rPr>
          <w:rFonts w:ascii="仿宋" w:hAnsi="仿宋" w:eastAsia="仿宋" w:cs="仿宋"/>
          <w:sz w:val="24"/>
          <w:szCs w:val="24"/>
        </w:rPr>
      </w:pPr>
      <w:r>
        <w:rPr>
          <w:rFonts w:hint="eastAsia" w:ascii="仿宋" w:hAnsi="仿宋" w:eastAsia="仿宋" w:cs="仿宋"/>
          <w:sz w:val="24"/>
          <w:szCs w:val="24"/>
        </w:rPr>
        <w:t xml:space="preserve">（3）其他调整因素及方法：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w:t>
      </w:r>
    </w:p>
    <w:p>
      <w:pPr>
        <w:spacing w:line="360" w:lineRule="auto"/>
        <w:ind w:firstLine="2056" w:firstLineChars="857"/>
        <w:rPr>
          <w:rFonts w:ascii="仿宋" w:hAnsi="仿宋" w:eastAsia="仿宋" w:cs="仿宋"/>
          <w:sz w:val="24"/>
          <w:szCs w:val="24"/>
          <w:u w:val="single"/>
        </w:rPr>
      </w:pPr>
    </w:p>
    <w:p>
      <w:pPr>
        <w:pStyle w:val="5"/>
        <w:keepNext w:val="0"/>
        <w:spacing w:before="120" w:after="120" w:line="240" w:lineRule="auto"/>
        <w:jc w:val="both"/>
        <w:rPr>
          <w:rStyle w:val="218"/>
          <w:rFonts w:ascii="仿宋" w:hAnsi="仿宋" w:eastAsia="仿宋" w:cs="仿宋"/>
          <w:b w:val="0"/>
          <w:bCs w:val="0"/>
          <w:sz w:val="24"/>
          <w:szCs w:val="24"/>
        </w:rPr>
      </w:pPr>
      <w:bookmarkStart w:id="951" w:name="_Toc256955778"/>
      <w:bookmarkStart w:id="952" w:name="_Toc27122301"/>
      <w:bookmarkStart w:id="953" w:name="_Toc218049028"/>
      <w:bookmarkStart w:id="954" w:name="_Toc218048848"/>
      <w:bookmarkStart w:id="955" w:name="_Toc255494575"/>
      <w:bookmarkStart w:id="956" w:name="_Toc375218834"/>
      <w:bookmarkStart w:id="957" w:name="_Toc381358686"/>
      <w:bookmarkStart w:id="958" w:name="_Toc217443427"/>
      <w:r>
        <w:rPr>
          <w:rStyle w:val="218"/>
          <w:rFonts w:hint="eastAsia" w:ascii="仿宋" w:hAnsi="仿宋" w:eastAsia="仿宋" w:cs="仿宋"/>
          <w:b w:val="0"/>
          <w:bCs w:val="0"/>
          <w:sz w:val="24"/>
          <w:szCs w:val="24"/>
        </w:rPr>
        <w:t>13．变更</w:t>
      </w:r>
      <w:bookmarkEnd w:id="951"/>
      <w:bookmarkEnd w:id="952"/>
      <w:bookmarkEnd w:id="953"/>
      <w:bookmarkEnd w:id="954"/>
      <w:bookmarkEnd w:id="955"/>
      <w:bookmarkEnd w:id="956"/>
      <w:bookmarkEnd w:id="957"/>
      <w:bookmarkEnd w:id="958"/>
    </w:p>
    <w:p>
      <w:pPr>
        <w:pStyle w:val="6"/>
        <w:keepNext w:val="0"/>
        <w:keepLines w:val="0"/>
        <w:tabs>
          <w:tab w:val="left" w:pos="1260"/>
        </w:tabs>
        <w:spacing w:line="360" w:lineRule="auto"/>
        <w:jc w:val="both"/>
        <w:rPr>
          <w:rFonts w:ascii="仿宋" w:hAnsi="仿宋" w:eastAsia="仿宋" w:cs="仿宋"/>
          <w:sz w:val="24"/>
          <w:szCs w:val="24"/>
        </w:rPr>
      </w:pPr>
      <w:bookmarkStart w:id="959" w:name="_Toc27122302"/>
      <w:bookmarkStart w:id="960" w:name="_Toc375218835"/>
      <w:r>
        <w:rPr>
          <w:rFonts w:hint="eastAsia" w:ascii="仿宋" w:hAnsi="仿宋" w:eastAsia="仿宋" w:cs="仿宋"/>
          <w:sz w:val="24"/>
          <w:szCs w:val="24"/>
        </w:rPr>
        <w:t>13.1变更</w:t>
      </w:r>
      <w:bookmarkEnd w:id="959"/>
      <w:bookmarkEnd w:id="960"/>
    </w:p>
    <w:p>
      <w:pPr>
        <w:spacing w:line="360" w:lineRule="auto"/>
        <w:rPr>
          <w:rFonts w:ascii="仿宋" w:hAnsi="仿宋" w:eastAsia="仿宋" w:cs="仿宋"/>
          <w:sz w:val="24"/>
          <w:szCs w:val="24"/>
          <w:u w:val="single"/>
        </w:rPr>
      </w:pPr>
      <w:r>
        <w:rPr>
          <w:rFonts w:hint="eastAsia" w:ascii="仿宋" w:hAnsi="仿宋" w:eastAsia="仿宋" w:cs="仿宋"/>
          <w:sz w:val="24"/>
          <w:szCs w:val="24"/>
        </w:rPr>
        <w:t>其他指令要求：</w:t>
      </w:r>
      <w:r>
        <w:rPr>
          <w:rFonts w:hint="eastAsia" w:ascii="仿宋" w:hAnsi="仿宋" w:eastAsia="仿宋" w:cs="仿宋"/>
          <w:sz w:val="24"/>
          <w:szCs w:val="24"/>
          <w:u w:val="single"/>
        </w:rPr>
        <w:t xml:space="preserve">          </w:t>
      </w:r>
    </w:p>
    <w:p>
      <w:pPr>
        <w:pStyle w:val="6"/>
        <w:keepNext w:val="0"/>
        <w:keepLines w:val="0"/>
        <w:tabs>
          <w:tab w:val="left" w:pos="1260"/>
        </w:tabs>
        <w:spacing w:line="360" w:lineRule="auto"/>
        <w:jc w:val="both"/>
        <w:rPr>
          <w:rFonts w:ascii="仿宋" w:hAnsi="仿宋" w:eastAsia="仿宋" w:cs="仿宋"/>
          <w:sz w:val="24"/>
          <w:szCs w:val="24"/>
        </w:rPr>
      </w:pPr>
      <w:bookmarkStart w:id="961" w:name="_Toc27122304"/>
      <w:bookmarkStart w:id="962" w:name="_Toc375218837"/>
      <w:r>
        <w:rPr>
          <w:rFonts w:hint="eastAsia" w:ascii="仿宋" w:hAnsi="仿宋" w:eastAsia="仿宋" w:cs="仿宋"/>
          <w:sz w:val="24"/>
          <w:szCs w:val="24"/>
        </w:rPr>
        <w:t>13.5其他要求</w:t>
      </w:r>
      <w:bookmarkEnd w:id="961"/>
      <w:bookmarkEnd w:id="962"/>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        </w:t>
      </w:r>
    </w:p>
    <w:p>
      <w:pPr>
        <w:spacing w:line="360" w:lineRule="auto"/>
        <w:ind w:left="1135"/>
        <w:rPr>
          <w:rFonts w:ascii="仿宋" w:hAnsi="仿宋" w:eastAsia="仿宋" w:cs="仿宋"/>
          <w:sz w:val="24"/>
          <w:szCs w:val="24"/>
          <w:u w:val="single"/>
        </w:rPr>
      </w:pPr>
    </w:p>
    <w:p>
      <w:pPr>
        <w:pStyle w:val="5"/>
        <w:keepNext w:val="0"/>
        <w:spacing w:before="120" w:after="120" w:line="240" w:lineRule="auto"/>
        <w:jc w:val="both"/>
        <w:rPr>
          <w:rStyle w:val="218"/>
          <w:rFonts w:ascii="仿宋" w:hAnsi="仿宋" w:eastAsia="仿宋" w:cs="仿宋"/>
          <w:b w:val="0"/>
          <w:bCs w:val="0"/>
          <w:sz w:val="24"/>
          <w:szCs w:val="24"/>
        </w:rPr>
      </w:pPr>
      <w:bookmarkStart w:id="963" w:name="_Toc217443428"/>
      <w:bookmarkStart w:id="964" w:name="_Toc381358687"/>
      <w:bookmarkStart w:id="965" w:name="_Toc27122305"/>
      <w:bookmarkStart w:id="966" w:name="_Toc218048849"/>
      <w:bookmarkStart w:id="967" w:name="_Toc218049029"/>
      <w:bookmarkStart w:id="968" w:name="_Toc375218838"/>
      <w:bookmarkStart w:id="969" w:name="_Toc255494576"/>
      <w:bookmarkStart w:id="970" w:name="_Toc256955779"/>
      <w:r>
        <w:rPr>
          <w:rStyle w:val="218"/>
          <w:rFonts w:hint="eastAsia" w:ascii="仿宋" w:hAnsi="仿宋" w:eastAsia="仿宋" w:cs="仿宋"/>
          <w:b w:val="0"/>
          <w:bCs w:val="0"/>
          <w:sz w:val="24"/>
          <w:szCs w:val="24"/>
        </w:rPr>
        <w:t>14.变更的计价</w:t>
      </w:r>
      <w:bookmarkEnd w:id="963"/>
      <w:bookmarkEnd w:id="964"/>
      <w:bookmarkEnd w:id="965"/>
      <w:bookmarkEnd w:id="966"/>
      <w:bookmarkEnd w:id="967"/>
      <w:bookmarkEnd w:id="968"/>
      <w:bookmarkEnd w:id="969"/>
      <w:bookmarkEnd w:id="970"/>
    </w:p>
    <w:p>
      <w:pPr>
        <w:pStyle w:val="6"/>
        <w:keepNext w:val="0"/>
        <w:keepLines w:val="0"/>
        <w:tabs>
          <w:tab w:val="left" w:pos="1260"/>
        </w:tabs>
        <w:spacing w:line="360" w:lineRule="auto"/>
        <w:jc w:val="both"/>
        <w:rPr>
          <w:rFonts w:ascii="仿宋" w:hAnsi="仿宋" w:eastAsia="仿宋" w:cs="仿宋"/>
          <w:sz w:val="24"/>
          <w:szCs w:val="24"/>
        </w:rPr>
      </w:pPr>
      <w:bookmarkStart w:id="971" w:name="_Toc27122306"/>
      <w:bookmarkStart w:id="972" w:name="_Toc375218839"/>
      <w:r>
        <w:rPr>
          <w:rFonts w:hint="eastAsia" w:ascii="仿宋" w:hAnsi="仿宋" w:eastAsia="仿宋" w:cs="仿宋"/>
          <w:sz w:val="24"/>
          <w:szCs w:val="24"/>
        </w:rPr>
        <w:t>14.1变更的计价</w:t>
      </w:r>
      <w:bookmarkEnd w:id="971"/>
      <w:bookmarkEnd w:id="972"/>
    </w:p>
    <w:p>
      <w:pPr>
        <w:numPr>
          <w:ilvl w:val="0"/>
          <w:numId w:val="28"/>
        </w:numPr>
        <w:tabs>
          <w:tab w:val="left" w:pos="540"/>
          <w:tab w:val="clear" w:pos="1588"/>
        </w:tabs>
        <w:spacing w:line="360" w:lineRule="auto"/>
        <w:ind w:left="360" w:firstLine="0"/>
        <w:rPr>
          <w:rFonts w:ascii="仿宋" w:hAnsi="仿宋" w:eastAsia="仿宋" w:cs="仿宋"/>
          <w:sz w:val="24"/>
          <w:szCs w:val="24"/>
          <w:u w:val="single"/>
        </w:rPr>
      </w:pPr>
      <w:r>
        <w:rPr>
          <w:rFonts w:hint="eastAsia" w:ascii="仿宋" w:hAnsi="仿宋" w:eastAsia="仿宋" w:cs="仿宋"/>
          <w:sz w:val="24"/>
          <w:szCs w:val="24"/>
        </w:rPr>
        <w:t>其他要求：</w:t>
      </w:r>
      <w:r>
        <w:rPr>
          <w:rFonts w:hint="eastAsia" w:ascii="仿宋" w:hAnsi="仿宋" w:eastAsia="仿宋" w:cs="仿宋"/>
          <w:sz w:val="24"/>
          <w:szCs w:val="24"/>
          <w:u w:val="single"/>
        </w:rPr>
        <w:t xml:space="preserve">      </w:t>
      </w:r>
    </w:p>
    <w:p>
      <w:pPr>
        <w:pStyle w:val="6"/>
        <w:keepNext w:val="0"/>
        <w:keepLines w:val="0"/>
        <w:tabs>
          <w:tab w:val="left" w:pos="1260"/>
        </w:tabs>
        <w:spacing w:line="360" w:lineRule="auto"/>
        <w:jc w:val="both"/>
        <w:rPr>
          <w:rFonts w:ascii="仿宋" w:hAnsi="仿宋" w:eastAsia="仿宋" w:cs="仿宋"/>
          <w:sz w:val="24"/>
          <w:szCs w:val="24"/>
        </w:rPr>
      </w:pPr>
      <w:bookmarkStart w:id="973" w:name="_Toc375218840"/>
      <w:bookmarkStart w:id="974" w:name="_Toc27122307"/>
      <w:r>
        <w:rPr>
          <w:rFonts w:hint="eastAsia" w:ascii="仿宋" w:hAnsi="仿宋" w:eastAsia="仿宋" w:cs="仿宋"/>
          <w:sz w:val="24"/>
          <w:szCs w:val="24"/>
        </w:rPr>
        <w:t>14.2变更计价的程序</w:t>
      </w:r>
      <w:bookmarkEnd w:id="973"/>
      <w:bookmarkEnd w:id="974"/>
    </w:p>
    <w:p>
      <w:pPr>
        <w:spacing w:line="360" w:lineRule="auto"/>
        <w:ind w:left="141" w:leftChars="67"/>
        <w:rPr>
          <w:rFonts w:ascii="仿宋" w:hAnsi="仿宋" w:eastAsia="仿宋" w:cs="仿宋"/>
          <w:sz w:val="24"/>
          <w:szCs w:val="24"/>
        </w:rPr>
      </w:pPr>
      <w:r>
        <w:rPr>
          <w:rFonts w:hint="eastAsia" w:ascii="仿宋" w:hAnsi="仿宋" w:eastAsia="仿宋" w:cs="仿宋"/>
          <w:sz w:val="24"/>
          <w:szCs w:val="24"/>
        </w:rPr>
        <w:t>14.2.1   供应商提出调整合同价申请及相关证明文件的时间：</w:t>
      </w:r>
      <w:r>
        <w:rPr>
          <w:rFonts w:hint="eastAsia" w:ascii="仿宋" w:hAnsi="仿宋" w:eastAsia="仿宋" w:cs="仿宋"/>
          <w:sz w:val="24"/>
          <w:szCs w:val="24"/>
          <w:u w:val="single"/>
        </w:rPr>
        <w:t>变更工作确认后14日历天内。</w:t>
      </w:r>
    </w:p>
    <w:p>
      <w:pPr>
        <w:spacing w:line="360" w:lineRule="auto"/>
        <w:rPr>
          <w:rFonts w:ascii="仿宋" w:hAnsi="仿宋" w:eastAsia="仿宋" w:cs="仿宋"/>
          <w:sz w:val="24"/>
          <w:szCs w:val="24"/>
        </w:rPr>
      </w:pPr>
      <w:r>
        <w:rPr>
          <w:rFonts w:hint="eastAsia" w:ascii="仿宋" w:hAnsi="仿宋" w:eastAsia="仿宋" w:cs="仿宋"/>
          <w:sz w:val="24"/>
          <w:szCs w:val="24"/>
        </w:rPr>
        <w:t>建设单位针对调整合同价款申请进行确认或提出协商意见的时间：</w:t>
      </w:r>
      <w:r>
        <w:rPr>
          <w:rFonts w:hint="eastAsia" w:ascii="仿宋" w:hAnsi="仿宋" w:eastAsia="仿宋" w:cs="仿宋"/>
          <w:sz w:val="24"/>
          <w:szCs w:val="24"/>
          <w:u w:val="single"/>
        </w:rPr>
        <w:t>收到申请后14日历天内。</w:t>
      </w:r>
    </w:p>
    <w:p>
      <w:pPr>
        <w:pStyle w:val="6"/>
        <w:keepNext w:val="0"/>
        <w:keepLines w:val="0"/>
        <w:tabs>
          <w:tab w:val="left" w:pos="1260"/>
        </w:tabs>
        <w:spacing w:line="360" w:lineRule="auto"/>
        <w:jc w:val="both"/>
        <w:rPr>
          <w:rFonts w:ascii="仿宋" w:hAnsi="仿宋" w:eastAsia="仿宋" w:cs="仿宋"/>
          <w:sz w:val="24"/>
          <w:szCs w:val="24"/>
        </w:rPr>
      </w:pPr>
      <w:bookmarkStart w:id="975" w:name="_Toc27122308"/>
      <w:bookmarkStart w:id="976" w:name="_Toc375218841"/>
      <w:r>
        <w:rPr>
          <w:rFonts w:hint="eastAsia" w:ascii="仿宋" w:hAnsi="仿宋" w:eastAsia="仿宋" w:cs="仿宋"/>
          <w:sz w:val="24"/>
          <w:szCs w:val="24"/>
        </w:rPr>
        <w:t>14.3其他要求</w:t>
      </w:r>
      <w:bookmarkEnd w:id="975"/>
      <w:bookmarkEnd w:id="976"/>
    </w:p>
    <w:p>
      <w:pPr>
        <w:spacing w:line="360" w:lineRule="auto"/>
        <w:rPr>
          <w:rFonts w:ascii="仿宋" w:hAnsi="仿宋" w:eastAsia="仿宋" w:cs="仿宋"/>
          <w:bCs/>
          <w:sz w:val="24"/>
          <w:szCs w:val="24"/>
          <w:u w:val="single"/>
        </w:rPr>
      </w:pPr>
      <w:r>
        <w:rPr>
          <w:rFonts w:hint="eastAsia" w:ascii="仿宋" w:hAnsi="仿宋" w:eastAsia="仿宋" w:cs="仿宋"/>
          <w:bCs/>
          <w:sz w:val="24"/>
          <w:szCs w:val="24"/>
          <w:u w:val="single"/>
        </w:rPr>
        <w:t xml:space="preserve">            </w:t>
      </w:r>
    </w:p>
    <w:p>
      <w:pPr>
        <w:spacing w:line="360" w:lineRule="auto"/>
        <w:rPr>
          <w:rFonts w:ascii="仿宋" w:hAnsi="仿宋" w:eastAsia="仿宋" w:cs="仿宋"/>
          <w:bCs/>
          <w:sz w:val="24"/>
          <w:szCs w:val="24"/>
          <w:u w:val="single"/>
        </w:rPr>
      </w:pPr>
    </w:p>
    <w:p>
      <w:pPr>
        <w:pStyle w:val="5"/>
        <w:keepNext w:val="0"/>
        <w:spacing w:before="120" w:after="120" w:line="240" w:lineRule="auto"/>
        <w:jc w:val="both"/>
        <w:rPr>
          <w:rStyle w:val="218"/>
          <w:rFonts w:ascii="仿宋" w:hAnsi="仿宋" w:eastAsia="仿宋" w:cs="仿宋"/>
          <w:b w:val="0"/>
          <w:bCs w:val="0"/>
          <w:sz w:val="24"/>
          <w:szCs w:val="24"/>
        </w:rPr>
      </w:pPr>
      <w:bookmarkStart w:id="977" w:name="_Toc256955780"/>
      <w:bookmarkStart w:id="978" w:name="_Toc217443429"/>
      <w:bookmarkStart w:id="979" w:name="_Toc255494577"/>
      <w:bookmarkStart w:id="980" w:name="_Toc27122309"/>
      <w:bookmarkStart w:id="981" w:name="_Toc375218842"/>
      <w:bookmarkStart w:id="982" w:name="_Toc218049030"/>
      <w:bookmarkStart w:id="983" w:name="_Toc218048850"/>
      <w:bookmarkStart w:id="984" w:name="_Toc381358688"/>
      <w:r>
        <w:rPr>
          <w:rStyle w:val="218"/>
          <w:rFonts w:hint="eastAsia" w:ascii="仿宋" w:hAnsi="仿宋" w:eastAsia="仿宋" w:cs="仿宋"/>
          <w:b w:val="0"/>
          <w:bCs w:val="0"/>
          <w:sz w:val="24"/>
          <w:szCs w:val="24"/>
        </w:rPr>
        <w:t>15．支付</w:t>
      </w:r>
      <w:bookmarkEnd w:id="977"/>
      <w:bookmarkEnd w:id="978"/>
      <w:bookmarkEnd w:id="979"/>
      <w:bookmarkEnd w:id="980"/>
      <w:bookmarkEnd w:id="981"/>
      <w:bookmarkEnd w:id="982"/>
      <w:bookmarkEnd w:id="983"/>
      <w:bookmarkEnd w:id="984"/>
    </w:p>
    <w:p>
      <w:pPr>
        <w:pStyle w:val="6"/>
        <w:keepNext w:val="0"/>
        <w:keepLines w:val="0"/>
        <w:tabs>
          <w:tab w:val="left" w:pos="1260"/>
        </w:tabs>
        <w:spacing w:line="360" w:lineRule="auto"/>
        <w:jc w:val="both"/>
        <w:rPr>
          <w:rFonts w:ascii="仿宋" w:hAnsi="仿宋" w:eastAsia="仿宋" w:cs="仿宋"/>
          <w:sz w:val="24"/>
          <w:szCs w:val="24"/>
        </w:rPr>
      </w:pPr>
      <w:bookmarkStart w:id="985" w:name="_Toc27122310"/>
      <w:bookmarkStart w:id="986" w:name="_Toc375218843"/>
      <w:r>
        <w:rPr>
          <w:rFonts w:hint="eastAsia" w:ascii="仿宋" w:hAnsi="仿宋" w:eastAsia="仿宋" w:cs="仿宋"/>
          <w:sz w:val="24"/>
          <w:szCs w:val="24"/>
        </w:rPr>
        <w:t>15.1预付款</w:t>
      </w:r>
      <w:bookmarkEnd w:id="985"/>
      <w:bookmarkEnd w:id="986"/>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bCs/>
          <w:sz w:val="24"/>
          <w:szCs w:val="24"/>
        </w:rPr>
        <w:t>15.1.1  预付款预付额度及支付时间：</w:t>
      </w:r>
      <w:r>
        <w:rPr>
          <w:rFonts w:hint="eastAsia" w:ascii="仿宋" w:hAnsi="仿宋" w:eastAsia="仿宋" w:cs="仿宋"/>
          <w:bCs/>
          <w:sz w:val="24"/>
          <w:szCs w:val="24"/>
          <w:u w:val="single"/>
        </w:rPr>
        <w:t xml:space="preserve">    无预付款     </w:t>
      </w:r>
    </w:p>
    <w:p>
      <w:pPr>
        <w:spacing w:line="360" w:lineRule="auto"/>
        <w:rPr>
          <w:rFonts w:ascii="仿宋" w:hAnsi="仿宋" w:eastAsia="仿宋" w:cs="仿宋"/>
          <w:bCs/>
          <w:sz w:val="24"/>
          <w:szCs w:val="24"/>
        </w:rPr>
      </w:pPr>
      <w:r>
        <w:rPr>
          <w:rFonts w:hint="eastAsia" w:ascii="仿宋" w:hAnsi="仿宋" w:eastAsia="仿宋" w:cs="仿宋"/>
          <w:bCs/>
          <w:sz w:val="24"/>
          <w:szCs w:val="24"/>
        </w:rPr>
        <w:t>15.1.2  预付款抵扣起始时间和抵扣方式：</w:t>
      </w:r>
      <w:r>
        <w:rPr>
          <w:rFonts w:hint="eastAsia" w:ascii="仿宋" w:hAnsi="仿宋" w:eastAsia="仿宋" w:cs="仿宋"/>
          <w:bCs/>
          <w:sz w:val="24"/>
          <w:szCs w:val="24"/>
          <w:u w:val="single"/>
        </w:rPr>
        <w:t xml:space="preserve">              </w:t>
      </w:r>
    </w:p>
    <w:p>
      <w:pPr>
        <w:pStyle w:val="6"/>
        <w:keepNext w:val="0"/>
        <w:keepLines w:val="0"/>
        <w:tabs>
          <w:tab w:val="left" w:pos="1260"/>
        </w:tabs>
        <w:spacing w:line="360" w:lineRule="auto"/>
        <w:jc w:val="both"/>
        <w:rPr>
          <w:rFonts w:ascii="仿宋" w:hAnsi="仿宋" w:eastAsia="仿宋" w:cs="仿宋"/>
          <w:sz w:val="24"/>
          <w:szCs w:val="24"/>
        </w:rPr>
      </w:pPr>
      <w:bookmarkStart w:id="987" w:name="_Toc375218844"/>
      <w:bookmarkStart w:id="988" w:name="_Toc27122311"/>
      <w:r>
        <w:rPr>
          <w:rFonts w:hint="eastAsia" w:ascii="仿宋" w:hAnsi="仿宋" w:eastAsia="仿宋" w:cs="仿宋"/>
          <w:sz w:val="24"/>
          <w:szCs w:val="24"/>
        </w:rPr>
        <w:t>15.2货款</w:t>
      </w:r>
      <w:bookmarkEnd w:id="987"/>
      <w:bookmarkEnd w:id="988"/>
    </w:p>
    <w:p>
      <w:pPr>
        <w:spacing w:line="360" w:lineRule="auto"/>
        <w:rPr>
          <w:rFonts w:ascii="仿宋" w:hAnsi="仿宋" w:eastAsia="仿宋" w:cs="仿宋"/>
          <w:sz w:val="24"/>
          <w:szCs w:val="24"/>
        </w:rPr>
      </w:pPr>
      <w:r>
        <w:rPr>
          <w:rFonts w:hint="eastAsia" w:ascii="仿宋" w:hAnsi="仿宋" w:eastAsia="仿宋" w:cs="仿宋"/>
          <w:bCs/>
          <w:sz w:val="24"/>
          <w:szCs w:val="24"/>
        </w:rPr>
        <w:t>15.2.1货款的付款周期、条件和金额：</w:t>
      </w:r>
      <w:r>
        <w:rPr>
          <w:rFonts w:hint="eastAsia" w:ascii="仿宋" w:hAnsi="仿宋" w:eastAsia="仿宋" w:cs="仿宋"/>
          <w:bCs/>
          <w:sz w:val="24"/>
          <w:szCs w:val="24"/>
          <w:u w:val="single"/>
        </w:rPr>
        <w:t>本合同无预付款，全部设备及材料到场交付后且项目竣工验收合格支付至总价的97%，剩余3%在设备及材料质保期满24个月后一个月内一次性无息支付中标人扣除招标人代为维修发生的费用（如有）后的全部款项。</w:t>
      </w:r>
      <w:r>
        <w:rPr>
          <w:rFonts w:hint="eastAsia" w:ascii="仿宋" w:hAnsi="仿宋" w:eastAsia="仿宋"/>
          <w:bCs/>
          <w:sz w:val="24"/>
          <w:szCs w:val="24"/>
        </w:rPr>
        <w:t>供应商未提供发票的，总承包人有权拒绝支付款项，且不承担违约责任。</w:t>
      </w:r>
    </w:p>
    <w:p>
      <w:pPr>
        <w:spacing w:line="360" w:lineRule="auto"/>
        <w:rPr>
          <w:rFonts w:ascii="仿宋" w:hAnsi="仿宋" w:eastAsia="仿宋" w:cs="仿宋"/>
          <w:bCs/>
          <w:sz w:val="24"/>
          <w:szCs w:val="24"/>
        </w:rPr>
      </w:pPr>
      <w:r>
        <w:rPr>
          <w:rFonts w:hint="eastAsia" w:ascii="仿宋" w:hAnsi="仿宋" w:eastAsia="仿宋" w:cs="仿宋"/>
          <w:bCs/>
          <w:sz w:val="24"/>
          <w:szCs w:val="24"/>
        </w:rPr>
        <w:t>15.2.3货款的支付：</w:t>
      </w:r>
    </w:p>
    <w:p>
      <w:pPr>
        <w:numPr>
          <w:ilvl w:val="0"/>
          <w:numId w:val="29"/>
        </w:numPr>
        <w:tabs>
          <w:tab w:val="left" w:pos="540"/>
          <w:tab w:val="clear" w:pos="1191"/>
        </w:tabs>
        <w:spacing w:line="360" w:lineRule="auto"/>
        <w:ind w:left="1135" w:hanging="775"/>
        <w:rPr>
          <w:rFonts w:ascii="仿宋" w:hAnsi="仿宋" w:eastAsia="仿宋" w:cs="仿宋"/>
          <w:sz w:val="24"/>
          <w:szCs w:val="24"/>
        </w:rPr>
      </w:pPr>
      <w:r>
        <w:rPr>
          <w:rFonts w:hint="eastAsia" w:ascii="仿宋" w:hAnsi="仿宋" w:eastAsia="仿宋" w:cs="仿宋"/>
          <w:bCs/>
          <w:sz w:val="24"/>
          <w:szCs w:val="24"/>
        </w:rPr>
        <w:t>货款支付时限：</w:t>
      </w:r>
      <w:r>
        <w:rPr>
          <w:rFonts w:hint="eastAsia" w:ascii="仿宋" w:hAnsi="仿宋" w:eastAsia="仿宋" w:cs="仿宋"/>
          <w:bCs/>
          <w:sz w:val="24"/>
          <w:szCs w:val="24"/>
          <w:u w:val="single"/>
        </w:rPr>
        <w:t xml:space="preserve">    见专用条款15.2.1   </w:t>
      </w:r>
    </w:p>
    <w:p>
      <w:pPr>
        <w:numPr>
          <w:ilvl w:val="0"/>
          <w:numId w:val="29"/>
        </w:numPr>
        <w:tabs>
          <w:tab w:val="left" w:pos="540"/>
          <w:tab w:val="clear" w:pos="1191"/>
        </w:tabs>
        <w:spacing w:line="360" w:lineRule="auto"/>
        <w:ind w:left="1135" w:hanging="775"/>
        <w:rPr>
          <w:rFonts w:ascii="仿宋" w:hAnsi="仿宋" w:eastAsia="仿宋" w:cs="仿宋"/>
          <w:sz w:val="24"/>
          <w:szCs w:val="24"/>
        </w:rPr>
      </w:pPr>
      <w:r>
        <w:rPr>
          <w:rFonts w:hint="eastAsia" w:ascii="仿宋" w:hAnsi="仿宋" w:eastAsia="仿宋" w:cs="仿宋"/>
          <w:bCs/>
          <w:sz w:val="24"/>
          <w:szCs w:val="24"/>
        </w:rPr>
        <w:t>货款支付方式：</w:t>
      </w:r>
      <w:r>
        <w:rPr>
          <w:rFonts w:hint="eastAsia" w:ascii="仿宋" w:hAnsi="仿宋" w:eastAsia="仿宋" w:cs="仿宋"/>
          <w:bCs/>
          <w:sz w:val="24"/>
          <w:szCs w:val="24"/>
          <w:u w:val="single"/>
        </w:rPr>
        <w:t xml:space="preserve">    电汇      </w:t>
      </w:r>
    </w:p>
    <w:p>
      <w:pPr>
        <w:pStyle w:val="6"/>
        <w:keepNext w:val="0"/>
        <w:keepLines w:val="0"/>
        <w:tabs>
          <w:tab w:val="left" w:pos="1260"/>
        </w:tabs>
        <w:spacing w:line="360" w:lineRule="auto"/>
        <w:jc w:val="both"/>
        <w:rPr>
          <w:rFonts w:ascii="仿宋" w:hAnsi="仿宋" w:eastAsia="仿宋" w:cs="仿宋"/>
          <w:sz w:val="24"/>
          <w:szCs w:val="24"/>
        </w:rPr>
      </w:pPr>
      <w:bookmarkStart w:id="989" w:name="_Toc27122312"/>
      <w:bookmarkStart w:id="990" w:name="_Toc375218845"/>
      <w:r>
        <w:rPr>
          <w:rFonts w:hint="eastAsia" w:ascii="仿宋" w:hAnsi="仿宋" w:eastAsia="仿宋" w:cs="仿宋"/>
          <w:sz w:val="24"/>
          <w:szCs w:val="24"/>
        </w:rPr>
        <w:t>15.3质量保证金</w:t>
      </w:r>
      <w:bookmarkEnd w:id="989"/>
      <w:bookmarkEnd w:id="990"/>
    </w:p>
    <w:p>
      <w:pPr>
        <w:spacing w:line="360" w:lineRule="auto"/>
        <w:rPr>
          <w:rFonts w:ascii="仿宋" w:hAnsi="仿宋" w:eastAsia="仿宋" w:cs="仿宋"/>
          <w:bCs/>
          <w:sz w:val="24"/>
          <w:szCs w:val="24"/>
        </w:rPr>
      </w:pPr>
      <w:r>
        <w:rPr>
          <w:rFonts w:hint="eastAsia" w:ascii="仿宋" w:hAnsi="仿宋" w:eastAsia="仿宋" w:cs="仿宋"/>
          <w:bCs/>
          <w:sz w:val="24"/>
          <w:szCs w:val="24"/>
        </w:rPr>
        <w:t>15.3.2质量保证金：</w:t>
      </w:r>
    </w:p>
    <w:p>
      <w:pPr>
        <w:numPr>
          <w:ilvl w:val="0"/>
          <w:numId w:val="30"/>
        </w:numPr>
        <w:tabs>
          <w:tab w:val="clear" w:pos="1588"/>
        </w:tabs>
        <w:spacing w:line="360" w:lineRule="auto"/>
        <w:ind w:hanging="775"/>
        <w:rPr>
          <w:rFonts w:ascii="仿宋" w:hAnsi="仿宋" w:eastAsia="仿宋" w:cs="仿宋"/>
          <w:sz w:val="24"/>
          <w:szCs w:val="24"/>
        </w:rPr>
      </w:pPr>
      <w:r>
        <w:rPr>
          <w:rFonts w:hint="eastAsia" w:ascii="仿宋" w:hAnsi="仿宋" w:eastAsia="仿宋" w:cs="仿宋"/>
          <w:sz w:val="24"/>
          <w:szCs w:val="24"/>
        </w:rPr>
        <w:t>质量保证金的额度：</w:t>
      </w:r>
      <w:r>
        <w:rPr>
          <w:rFonts w:hint="eastAsia" w:ascii="仿宋" w:hAnsi="仿宋" w:eastAsia="仿宋" w:cs="仿宋"/>
          <w:bCs/>
          <w:sz w:val="24"/>
          <w:szCs w:val="24"/>
          <w:u w:val="single"/>
        </w:rPr>
        <w:t xml:space="preserve">   3%    </w:t>
      </w:r>
    </w:p>
    <w:p>
      <w:pPr>
        <w:numPr>
          <w:ilvl w:val="0"/>
          <w:numId w:val="30"/>
        </w:numPr>
        <w:tabs>
          <w:tab w:val="clear" w:pos="1588"/>
        </w:tabs>
        <w:spacing w:line="360" w:lineRule="auto"/>
        <w:ind w:hanging="775"/>
        <w:rPr>
          <w:rFonts w:ascii="仿宋" w:hAnsi="仿宋" w:eastAsia="仿宋" w:cs="仿宋"/>
          <w:sz w:val="24"/>
          <w:szCs w:val="24"/>
        </w:rPr>
      </w:pPr>
      <w:r>
        <w:rPr>
          <w:rFonts w:hint="eastAsia" w:ascii="仿宋" w:hAnsi="仿宋" w:eastAsia="仿宋" w:cs="仿宋"/>
          <w:sz w:val="24"/>
          <w:szCs w:val="24"/>
        </w:rPr>
        <w:t>质量保证金的支付时间：</w:t>
      </w:r>
      <w:r>
        <w:rPr>
          <w:rFonts w:hint="eastAsia" w:ascii="仿宋" w:hAnsi="仿宋" w:eastAsia="仿宋" w:cs="仿宋"/>
          <w:bCs/>
          <w:sz w:val="24"/>
          <w:szCs w:val="24"/>
          <w:u w:val="single"/>
        </w:rPr>
        <w:t xml:space="preserve"> 质保期结束后30日历天内  </w:t>
      </w:r>
    </w:p>
    <w:p>
      <w:pPr>
        <w:numPr>
          <w:ilvl w:val="0"/>
          <w:numId w:val="30"/>
        </w:numPr>
        <w:tabs>
          <w:tab w:val="clear" w:pos="1588"/>
        </w:tabs>
        <w:spacing w:line="360" w:lineRule="auto"/>
        <w:ind w:hanging="775"/>
        <w:rPr>
          <w:rFonts w:ascii="仿宋" w:hAnsi="仿宋" w:eastAsia="仿宋" w:cs="仿宋"/>
          <w:sz w:val="24"/>
          <w:szCs w:val="24"/>
        </w:rPr>
      </w:pPr>
      <w:r>
        <w:rPr>
          <w:rFonts w:hint="eastAsia" w:ascii="仿宋" w:hAnsi="仿宋" w:eastAsia="仿宋" w:cs="仿宋"/>
          <w:sz w:val="24"/>
          <w:szCs w:val="24"/>
        </w:rPr>
        <w:t>质量保证金的支付方式:</w:t>
      </w:r>
      <w:r>
        <w:rPr>
          <w:rFonts w:hint="eastAsia" w:ascii="仿宋" w:hAnsi="仿宋" w:eastAsia="仿宋" w:cs="仿宋"/>
          <w:bCs/>
          <w:sz w:val="24"/>
          <w:szCs w:val="24"/>
          <w:u w:val="single"/>
        </w:rPr>
        <w:t xml:space="preserve">  </w:t>
      </w:r>
      <w:r>
        <w:rPr>
          <w:rFonts w:hint="eastAsia" w:ascii="仿宋" w:hAnsi="仿宋" w:eastAsia="仿宋"/>
          <w:bCs/>
          <w:sz w:val="24"/>
          <w:szCs w:val="24"/>
          <w:u w:val="single"/>
        </w:rPr>
        <w:t>无任何质量问题，</w:t>
      </w:r>
      <w:r>
        <w:rPr>
          <w:rFonts w:hint="eastAsia" w:ascii="仿宋" w:hAnsi="仿宋" w:eastAsia="仿宋" w:cs="仿宋"/>
          <w:bCs/>
          <w:sz w:val="24"/>
          <w:szCs w:val="24"/>
          <w:u w:val="single"/>
        </w:rPr>
        <w:t xml:space="preserve">一次性无息支付全部扣留的质量保证金     </w:t>
      </w:r>
    </w:p>
    <w:p>
      <w:pPr>
        <w:spacing w:line="360" w:lineRule="auto"/>
        <w:ind w:left="1135"/>
        <w:rPr>
          <w:rFonts w:ascii="仿宋" w:hAnsi="仿宋" w:eastAsia="仿宋" w:cs="仿宋"/>
          <w:sz w:val="24"/>
          <w:szCs w:val="24"/>
        </w:rPr>
      </w:pPr>
    </w:p>
    <w:p>
      <w:pPr>
        <w:pStyle w:val="5"/>
        <w:keepNext w:val="0"/>
        <w:spacing w:before="120" w:after="120" w:line="240" w:lineRule="auto"/>
        <w:jc w:val="both"/>
        <w:rPr>
          <w:rStyle w:val="218"/>
          <w:rFonts w:ascii="仿宋" w:hAnsi="仿宋" w:eastAsia="仿宋" w:cs="仿宋"/>
          <w:b w:val="0"/>
          <w:bCs w:val="0"/>
          <w:sz w:val="24"/>
          <w:szCs w:val="24"/>
        </w:rPr>
      </w:pPr>
      <w:bookmarkStart w:id="991" w:name="_Toc218048851"/>
      <w:bookmarkStart w:id="992" w:name="_Toc217443430"/>
      <w:bookmarkStart w:id="993" w:name="_Toc218049031"/>
      <w:bookmarkStart w:id="994" w:name="_Toc381358689"/>
      <w:bookmarkStart w:id="995" w:name="_Toc256955781"/>
      <w:bookmarkStart w:id="996" w:name="_Toc375218847"/>
      <w:bookmarkStart w:id="997" w:name="_Toc27122313"/>
      <w:bookmarkStart w:id="998" w:name="_Toc255494578"/>
      <w:r>
        <w:rPr>
          <w:rStyle w:val="218"/>
          <w:rFonts w:hint="eastAsia" w:ascii="仿宋" w:hAnsi="仿宋" w:eastAsia="仿宋" w:cs="仿宋"/>
          <w:b w:val="0"/>
          <w:bCs w:val="0"/>
          <w:sz w:val="24"/>
          <w:szCs w:val="24"/>
        </w:rPr>
        <w:t>16．</w:t>
      </w:r>
      <w:bookmarkEnd w:id="991"/>
      <w:bookmarkEnd w:id="992"/>
      <w:bookmarkEnd w:id="993"/>
      <w:r>
        <w:rPr>
          <w:rStyle w:val="218"/>
          <w:rFonts w:hint="eastAsia" w:ascii="仿宋" w:hAnsi="仿宋" w:eastAsia="仿宋" w:cs="仿宋"/>
          <w:b w:val="0"/>
          <w:bCs w:val="0"/>
          <w:sz w:val="24"/>
          <w:szCs w:val="24"/>
        </w:rPr>
        <w:t>质量保证</w:t>
      </w:r>
      <w:bookmarkEnd w:id="994"/>
      <w:bookmarkEnd w:id="995"/>
      <w:bookmarkEnd w:id="996"/>
      <w:bookmarkEnd w:id="997"/>
      <w:bookmarkEnd w:id="998"/>
      <w:r>
        <w:rPr>
          <w:rStyle w:val="218"/>
          <w:rFonts w:hint="eastAsia" w:ascii="仿宋" w:hAnsi="仿宋" w:eastAsia="仿宋" w:cs="仿宋"/>
          <w:b w:val="0"/>
          <w:bCs w:val="0"/>
          <w:sz w:val="24"/>
          <w:szCs w:val="24"/>
        </w:rPr>
        <w:t xml:space="preserve"> </w:t>
      </w:r>
    </w:p>
    <w:p>
      <w:pPr>
        <w:pStyle w:val="6"/>
        <w:keepNext w:val="0"/>
        <w:keepLines w:val="0"/>
        <w:tabs>
          <w:tab w:val="left" w:pos="1260"/>
        </w:tabs>
        <w:spacing w:line="360" w:lineRule="auto"/>
        <w:jc w:val="both"/>
        <w:rPr>
          <w:rFonts w:ascii="仿宋" w:hAnsi="仿宋" w:eastAsia="仿宋" w:cs="仿宋"/>
          <w:sz w:val="24"/>
          <w:szCs w:val="24"/>
        </w:rPr>
      </w:pPr>
      <w:bookmarkStart w:id="999" w:name="_Toc27122314"/>
      <w:bookmarkStart w:id="1000" w:name="_Toc375218848"/>
      <w:r>
        <w:rPr>
          <w:rFonts w:hint="eastAsia" w:ascii="仿宋" w:hAnsi="仿宋" w:eastAsia="仿宋" w:cs="仿宋"/>
          <w:sz w:val="24"/>
          <w:szCs w:val="24"/>
        </w:rPr>
        <w:t>16.1正常质量保证期</w:t>
      </w:r>
      <w:bookmarkEnd w:id="999"/>
      <w:bookmarkEnd w:id="1000"/>
    </w:p>
    <w:p>
      <w:pPr>
        <w:spacing w:line="360" w:lineRule="auto"/>
        <w:ind w:firstLine="720" w:firstLineChars="300"/>
        <w:rPr>
          <w:rFonts w:ascii="仿宋" w:hAnsi="仿宋" w:eastAsia="仿宋" w:cs="仿宋"/>
          <w:bCs/>
          <w:sz w:val="24"/>
          <w:szCs w:val="24"/>
        </w:rPr>
      </w:pPr>
      <w:r>
        <w:rPr>
          <w:rFonts w:hint="eastAsia" w:ascii="仿宋" w:hAnsi="仿宋" w:eastAsia="仿宋" w:cs="仿宋"/>
          <w:bCs/>
          <w:sz w:val="24"/>
          <w:szCs w:val="24"/>
        </w:rPr>
        <w:t>16.1.1正常质量保证期的期限：</w:t>
      </w:r>
      <w:r>
        <w:rPr>
          <w:rFonts w:hint="eastAsia" w:ascii="仿宋" w:hAnsi="仿宋" w:eastAsia="仿宋" w:cs="仿宋"/>
          <w:bCs/>
          <w:sz w:val="24"/>
          <w:szCs w:val="24"/>
          <w:u w:val="single"/>
        </w:rPr>
        <w:t xml:space="preserve"> 24个月 </w:t>
      </w:r>
    </w:p>
    <w:p>
      <w:pPr>
        <w:spacing w:line="360" w:lineRule="auto"/>
        <w:ind w:firstLine="720" w:firstLineChars="300"/>
        <w:rPr>
          <w:rFonts w:ascii="仿宋" w:hAnsi="仿宋" w:eastAsia="仿宋" w:cs="仿宋"/>
          <w:bCs/>
          <w:sz w:val="24"/>
          <w:szCs w:val="24"/>
        </w:rPr>
      </w:pPr>
      <w:r>
        <w:rPr>
          <w:rFonts w:hint="eastAsia" w:ascii="仿宋" w:hAnsi="仿宋" w:eastAsia="仿宋" w:cs="仿宋"/>
          <w:bCs/>
          <w:sz w:val="24"/>
          <w:szCs w:val="24"/>
        </w:rPr>
        <w:t>16.1.2质量保证期内，供应商应当提供24小时维修保养服务。如果出现一般故障，供应商须在总承包人通知后24小时内赶到现场，并于赶到现场之日起2日内完成维修服务；重大质量问题，供应商须在总承包人通知后12小时内赶到现场，并于4小时内完成维修服务。如果供应商未在上述时间内到场进行维修，则总承包人有权委托第三方进行维修，维修费用直接从质保金中双倍扣除，不足部分由供应商承担；经总承包人通知累计2次以上（含2次），供应商不履行维修保养义务的，质保金不予退还。</w:t>
      </w:r>
    </w:p>
    <w:p>
      <w:pPr>
        <w:pStyle w:val="6"/>
        <w:keepNext w:val="0"/>
        <w:keepLines w:val="0"/>
        <w:tabs>
          <w:tab w:val="left" w:pos="1260"/>
        </w:tabs>
        <w:spacing w:line="360" w:lineRule="auto"/>
        <w:jc w:val="both"/>
        <w:rPr>
          <w:rFonts w:ascii="仿宋" w:hAnsi="仿宋" w:eastAsia="仿宋" w:cs="仿宋"/>
          <w:sz w:val="24"/>
          <w:szCs w:val="24"/>
        </w:rPr>
      </w:pPr>
      <w:bookmarkStart w:id="1001" w:name="_Toc27122315"/>
      <w:bookmarkStart w:id="1002" w:name="_Toc375218849"/>
      <w:r>
        <w:rPr>
          <w:rFonts w:hint="eastAsia" w:ascii="仿宋" w:hAnsi="仿宋" w:eastAsia="仿宋" w:cs="仿宋"/>
          <w:sz w:val="24"/>
          <w:szCs w:val="24"/>
        </w:rPr>
        <w:t>16.2质量保证延长期</w:t>
      </w:r>
      <w:bookmarkEnd w:id="1001"/>
      <w:bookmarkEnd w:id="1002"/>
    </w:p>
    <w:p>
      <w:pPr>
        <w:spacing w:line="360" w:lineRule="auto"/>
        <w:ind w:firstLine="600" w:firstLineChars="250"/>
        <w:rPr>
          <w:rFonts w:ascii="仿宋" w:hAnsi="仿宋" w:eastAsia="仿宋" w:cs="仿宋"/>
          <w:bCs/>
          <w:sz w:val="24"/>
          <w:szCs w:val="24"/>
          <w:u w:val="single"/>
        </w:rPr>
      </w:pPr>
      <w:r>
        <w:rPr>
          <w:rFonts w:hint="eastAsia" w:ascii="仿宋" w:hAnsi="仿宋" w:eastAsia="仿宋" w:cs="仿宋"/>
          <w:bCs/>
          <w:sz w:val="24"/>
          <w:szCs w:val="24"/>
        </w:rPr>
        <w:t>具体要求：</w:t>
      </w:r>
      <w:r>
        <w:rPr>
          <w:rFonts w:hint="eastAsia" w:ascii="仿宋" w:hAnsi="仿宋" w:eastAsia="仿宋" w:cs="仿宋"/>
          <w:bCs/>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16.3 供应商收到通知后进行免费维修或更换有缺陷的货物的时间：</w:t>
      </w:r>
      <w:r>
        <w:rPr>
          <w:rFonts w:hint="eastAsia" w:ascii="仿宋" w:hAnsi="仿宋" w:eastAsia="仿宋" w:cs="仿宋"/>
          <w:sz w:val="24"/>
          <w:szCs w:val="24"/>
          <w:u w:val="single"/>
        </w:rPr>
        <w:t xml:space="preserve"> 同专用条款第16.1.2条  </w:t>
      </w:r>
    </w:p>
    <w:p>
      <w:pPr>
        <w:spacing w:line="360" w:lineRule="auto"/>
        <w:rPr>
          <w:rFonts w:ascii="仿宋" w:hAnsi="仿宋" w:eastAsia="仿宋" w:cs="仿宋"/>
          <w:sz w:val="24"/>
          <w:szCs w:val="24"/>
          <w:u w:val="single"/>
        </w:rPr>
      </w:pPr>
    </w:p>
    <w:p>
      <w:pPr>
        <w:pStyle w:val="5"/>
        <w:keepNext w:val="0"/>
        <w:spacing w:before="120" w:after="120" w:line="240" w:lineRule="auto"/>
        <w:jc w:val="both"/>
        <w:rPr>
          <w:rStyle w:val="218"/>
          <w:rFonts w:ascii="仿宋" w:hAnsi="仿宋" w:eastAsia="仿宋" w:cs="仿宋"/>
          <w:b w:val="0"/>
          <w:bCs w:val="0"/>
          <w:sz w:val="24"/>
          <w:szCs w:val="24"/>
        </w:rPr>
      </w:pPr>
      <w:bookmarkStart w:id="1003" w:name="_Toc375218850"/>
      <w:bookmarkStart w:id="1004" w:name="_Toc27122316"/>
      <w:bookmarkStart w:id="1005" w:name="_Toc381358690"/>
      <w:bookmarkStart w:id="1006" w:name="_Toc256955782"/>
      <w:bookmarkStart w:id="1007" w:name="_Toc218048852"/>
      <w:bookmarkStart w:id="1008" w:name="_Toc217443431"/>
      <w:bookmarkStart w:id="1009" w:name="_Toc218049032"/>
      <w:bookmarkStart w:id="1010" w:name="_Toc255494579"/>
      <w:r>
        <w:rPr>
          <w:rStyle w:val="218"/>
          <w:rFonts w:hint="eastAsia" w:ascii="仿宋" w:hAnsi="仿宋" w:eastAsia="仿宋" w:cs="仿宋"/>
          <w:b w:val="0"/>
          <w:bCs w:val="0"/>
          <w:sz w:val="24"/>
          <w:szCs w:val="24"/>
        </w:rPr>
        <w:t>17.违约</w:t>
      </w:r>
      <w:bookmarkEnd w:id="1003"/>
      <w:bookmarkEnd w:id="1004"/>
      <w:bookmarkEnd w:id="1005"/>
      <w:bookmarkEnd w:id="1006"/>
    </w:p>
    <w:p>
      <w:pPr>
        <w:spacing w:line="360" w:lineRule="auto"/>
        <w:rPr>
          <w:rFonts w:ascii="仿宋" w:hAnsi="仿宋" w:eastAsia="仿宋"/>
          <w:b/>
          <w:bCs/>
          <w:sz w:val="24"/>
          <w:szCs w:val="24"/>
        </w:rPr>
      </w:pPr>
      <w:r>
        <w:rPr>
          <w:rFonts w:hint="eastAsia" w:ascii="仿宋" w:hAnsi="仿宋" w:eastAsia="仿宋"/>
          <w:b/>
          <w:bCs/>
          <w:sz w:val="24"/>
          <w:szCs w:val="24"/>
        </w:rPr>
        <w:t>17.1供应商违约</w:t>
      </w:r>
    </w:p>
    <w:p>
      <w:pPr>
        <w:spacing w:line="360" w:lineRule="auto"/>
        <w:rPr>
          <w:rFonts w:ascii="仿宋" w:hAnsi="仿宋" w:eastAsia="仿宋"/>
          <w:bCs/>
          <w:sz w:val="24"/>
          <w:szCs w:val="24"/>
        </w:rPr>
      </w:pPr>
      <w:r>
        <w:rPr>
          <w:rFonts w:hint="eastAsia" w:ascii="仿宋" w:hAnsi="仿宋" w:eastAsia="仿宋"/>
          <w:bCs/>
          <w:sz w:val="24"/>
          <w:szCs w:val="24"/>
        </w:rPr>
        <w:t>17.1.1供应商未按期交货的，每延期一日，应向总承包人支付合同价款万分之五的违约金；逾期超过10天的，总承包人有权解除合同，供应商除退还总承包人已经支付的款项外，还应向总承包人支付相当于设备总价5%的违约金。</w:t>
      </w:r>
    </w:p>
    <w:p>
      <w:pPr>
        <w:spacing w:line="360" w:lineRule="auto"/>
        <w:rPr>
          <w:rFonts w:ascii="仿宋" w:hAnsi="仿宋" w:eastAsia="仿宋"/>
          <w:bCs/>
          <w:sz w:val="24"/>
          <w:szCs w:val="24"/>
        </w:rPr>
      </w:pPr>
      <w:r>
        <w:rPr>
          <w:rFonts w:hint="eastAsia" w:ascii="仿宋" w:hAnsi="仿宋" w:eastAsia="仿宋"/>
          <w:bCs/>
          <w:sz w:val="24"/>
          <w:szCs w:val="24"/>
        </w:rPr>
        <w:t>17.1.2因产品质量问题致使没有一次性通过当地质量技术监督部门验收合格或当地特种设备检验检测机构检验合格的，供应商应立即免费更换设备、向总承包人交付本合同规定的合格产品，且供应商还应向总承包人支付相当于设备总价5%的违约金；供应商逾期5天未交付合格产品或者因产品质量问题致使第二次无法通过当地质量技术监督部门验收合格或当地特种设备检验检测机构检验合格的，总承包人有权解除本合同，供应商除应当返还已收取的合同价款外，还应当向总承包人支付相当于设备总价10%的违约金。</w:t>
      </w:r>
    </w:p>
    <w:p>
      <w:pPr>
        <w:spacing w:line="360" w:lineRule="auto"/>
        <w:rPr>
          <w:rFonts w:ascii="仿宋" w:hAnsi="仿宋" w:eastAsia="仿宋" w:cs="仿宋"/>
          <w:bCs/>
          <w:sz w:val="24"/>
          <w:szCs w:val="24"/>
        </w:rPr>
      </w:pPr>
      <w:r>
        <w:rPr>
          <w:rFonts w:hint="eastAsia" w:ascii="仿宋" w:hAnsi="仿宋" w:eastAsia="仿宋"/>
          <w:bCs/>
          <w:sz w:val="24"/>
          <w:szCs w:val="24"/>
        </w:rPr>
        <w:t>17.1.3在质保期内，供应商未按要求进行维修或更换的，供应商应向总承包人支付违约金10000元/次，总承包人有权交由第三方进行维修，由此产生的费用和损失亦由供应商承担。</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p>
    <w:p>
      <w:pPr>
        <w:pStyle w:val="5"/>
        <w:keepNext w:val="0"/>
        <w:spacing w:before="120" w:after="120" w:line="240" w:lineRule="auto"/>
        <w:jc w:val="both"/>
        <w:rPr>
          <w:rStyle w:val="218"/>
          <w:rFonts w:ascii="仿宋" w:hAnsi="仿宋" w:eastAsia="仿宋" w:cs="仿宋"/>
          <w:b w:val="0"/>
          <w:bCs w:val="0"/>
          <w:sz w:val="24"/>
          <w:szCs w:val="24"/>
        </w:rPr>
      </w:pPr>
      <w:bookmarkStart w:id="1011" w:name="_Toc256955783"/>
      <w:bookmarkStart w:id="1012" w:name="_Toc381358691"/>
      <w:bookmarkStart w:id="1013" w:name="_Toc27122318"/>
      <w:bookmarkStart w:id="1014" w:name="_Toc375218852"/>
      <w:r>
        <w:rPr>
          <w:rStyle w:val="218"/>
          <w:rFonts w:hint="eastAsia" w:ascii="仿宋" w:hAnsi="仿宋" w:eastAsia="仿宋" w:cs="仿宋"/>
          <w:b w:val="0"/>
          <w:bCs w:val="0"/>
          <w:sz w:val="24"/>
          <w:szCs w:val="24"/>
        </w:rPr>
        <w:t>18.索赔</w:t>
      </w:r>
      <w:bookmarkEnd w:id="1011"/>
      <w:bookmarkEnd w:id="1012"/>
      <w:bookmarkEnd w:id="1013"/>
      <w:bookmarkEnd w:id="1014"/>
    </w:p>
    <w:p>
      <w:pPr>
        <w:pStyle w:val="6"/>
        <w:keepNext w:val="0"/>
        <w:keepLines w:val="0"/>
        <w:tabs>
          <w:tab w:val="left" w:pos="1260"/>
        </w:tabs>
        <w:spacing w:line="360" w:lineRule="auto"/>
        <w:jc w:val="both"/>
        <w:rPr>
          <w:rFonts w:ascii="仿宋" w:hAnsi="仿宋" w:eastAsia="仿宋" w:cs="仿宋"/>
          <w:sz w:val="24"/>
          <w:szCs w:val="24"/>
        </w:rPr>
      </w:pPr>
      <w:bookmarkStart w:id="1015" w:name="_Toc375218853"/>
      <w:bookmarkStart w:id="1016" w:name="_Toc27122319"/>
      <w:r>
        <w:rPr>
          <w:rFonts w:hint="eastAsia" w:ascii="仿宋" w:hAnsi="仿宋" w:eastAsia="仿宋" w:cs="仿宋"/>
          <w:sz w:val="24"/>
          <w:szCs w:val="24"/>
        </w:rPr>
        <w:t>18.1总承包人索赔</w:t>
      </w:r>
      <w:bookmarkEnd w:id="1015"/>
      <w:bookmarkEnd w:id="1016"/>
    </w:p>
    <w:p>
      <w:pPr>
        <w:spacing w:line="360" w:lineRule="auto"/>
        <w:ind w:left="1440" w:hanging="1440" w:hangingChars="600"/>
        <w:rPr>
          <w:rFonts w:ascii="仿宋" w:hAnsi="仿宋" w:eastAsia="仿宋" w:cs="仿宋"/>
          <w:bCs/>
          <w:sz w:val="24"/>
          <w:szCs w:val="24"/>
        </w:rPr>
      </w:pPr>
      <w:r>
        <w:rPr>
          <w:rFonts w:hint="eastAsia" w:ascii="仿宋" w:hAnsi="仿宋" w:eastAsia="仿宋" w:cs="仿宋"/>
          <w:bCs/>
          <w:sz w:val="24"/>
          <w:szCs w:val="24"/>
        </w:rPr>
        <w:t>18.1.2总承包人索赔的提出</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（1）总承包人向供应商提交索赔报告的时间：</w:t>
      </w:r>
      <w:r>
        <w:rPr>
          <w:rFonts w:hint="eastAsia" w:ascii="仿宋" w:hAnsi="仿宋" w:eastAsia="仿宋" w:cs="仿宋"/>
          <w:sz w:val="24"/>
          <w:szCs w:val="24"/>
          <w:u w:val="single"/>
        </w:rPr>
        <w:t>索赔事件发生后7日内</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（3）总承包人向供应商提交最终索赔报告的时间：</w:t>
      </w:r>
      <w:r>
        <w:rPr>
          <w:rFonts w:hint="eastAsia" w:ascii="仿宋" w:hAnsi="仿宋" w:eastAsia="仿宋" w:cs="仿宋"/>
          <w:sz w:val="24"/>
          <w:szCs w:val="24"/>
          <w:u w:val="single"/>
        </w:rPr>
        <w:t>索赔事件最终结束后7日内</w:t>
      </w:r>
    </w:p>
    <w:p>
      <w:pPr>
        <w:spacing w:line="360" w:lineRule="auto"/>
        <w:rPr>
          <w:rFonts w:ascii="仿宋" w:hAnsi="仿宋" w:eastAsia="仿宋" w:cs="仿宋"/>
          <w:bCs/>
          <w:sz w:val="24"/>
          <w:szCs w:val="24"/>
        </w:rPr>
      </w:pPr>
      <w:r>
        <w:rPr>
          <w:rFonts w:hint="eastAsia" w:ascii="仿宋" w:hAnsi="仿宋" w:eastAsia="仿宋" w:cs="仿宋"/>
          <w:sz w:val="24"/>
          <w:szCs w:val="24"/>
        </w:rPr>
        <w:t>18.1.3</w:t>
      </w:r>
      <w:r>
        <w:rPr>
          <w:rFonts w:hint="eastAsia" w:ascii="仿宋" w:hAnsi="仿宋" w:eastAsia="仿宋" w:cs="仿宋"/>
          <w:bCs/>
          <w:sz w:val="24"/>
          <w:szCs w:val="24"/>
        </w:rPr>
        <w:t>总承包人索赔的处理：</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（2）索赔处理结果答复时间：</w:t>
      </w:r>
      <w:r>
        <w:rPr>
          <w:rFonts w:hint="eastAsia" w:ascii="仿宋" w:hAnsi="仿宋" w:eastAsia="仿宋" w:cs="仿宋"/>
          <w:sz w:val="24"/>
          <w:szCs w:val="24"/>
          <w:u w:val="single"/>
        </w:rPr>
        <w:t xml:space="preserve">  供应商收到总承包人索赔报告7日内 </w:t>
      </w:r>
    </w:p>
    <w:p>
      <w:pPr>
        <w:spacing w:line="360" w:lineRule="auto"/>
        <w:rPr>
          <w:rFonts w:ascii="仿宋" w:hAnsi="仿宋" w:eastAsia="仿宋" w:cs="仿宋"/>
          <w:sz w:val="24"/>
          <w:szCs w:val="24"/>
          <w:u w:val="single"/>
        </w:rPr>
      </w:pPr>
      <w:r>
        <w:rPr>
          <w:rFonts w:hint="eastAsia" w:ascii="仿宋" w:hAnsi="仿宋" w:eastAsia="仿宋" w:cs="仿宋"/>
          <w:sz w:val="24"/>
          <w:szCs w:val="24"/>
        </w:rPr>
        <w:t>18.1.4</w:t>
      </w:r>
      <w:r>
        <w:rPr>
          <w:rFonts w:hint="eastAsia" w:ascii="仿宋" w:hAnsi="仿宋" w:eastAsia="仿宋" w:cs="仿宋"/>
          <w:bCs/>
          <w:sz w:val="24"/>
          <w:szCs w:val="24"/>
        </w:rPr>
        <w:t>差额赔偿时间</w:t>
      </w:r>
      <w:r>
        <w:rPr>
          <w:rFonts w:hint="eastAsia" w:ascii="仿宋" w:hAnsi="仿宋" w:eastAsia="仿宋" w:cs="仿宋"/>
          <w:sz w:val="24"/>
          <w:szCs w:val="24"/>
        </w:rPr>
        <w:t>：</w:t>
      </w:r>
      <w:r>
        <w:rPr>
          <w:rFonts w:hint="eastAsia" w:ascii="仿宋" w:hAnsi="仿宋" w:eastAsia="仿宋" w:cs="仿宋"/>
          <w:sz w:val="24"/>
          <w:szCs w:val="24"/>
          <w:u w:val="single"/>
        </w:rPr>
        <w:t xml:space="preserve">   30日内   </w:t>
      </w:r>
    </w:p>
    <w:p>
      <w:pPr>
        <w:pStyle w:val="6"/>
        <w:keepNext w:val="0"/>
        <w:keepLines w:val="0"/>
        <w:tabs>
          <w:tab w:val="left" w:pos="1260"/>
        </w:tabs>
        <w:spacing w:line="360" w:lineRule="auto"/>
        <w:jc w:val="both"/>
        <w:rPr>
          <w:rFonts w:ascii="仿宋" w:hAnsi="仿宋" w:eastAsia="仿宋" w:cs="仿宋"/>
          <w:sz w:val="24"/>
          <w:szCs w:val="24"/>
        </w:rPr>
      </w:pPr>
      <w:r>
        <w:rPr>
          <w:rFonts w:hint="eastAsia" w:ascii="仿宋" w:hAnsi="仿宋" w:eastAsia="仿宋" w:cs="仿宋"/>
          <w:sz w:val="24"/>
          <w:szCs w:val="24"/>
        </w:rPr>
        <w:t>18.2供应商索赔</w:t>
      </w:r>
    </w:p>
    <w:p>
      <w:pPr>
        <w:spacing w:line="360" w:lineRule="auto"/>
        <w:rPr>
          <w:rFonts w:ascii="仿宋" w:hAnsi="仿宋" w:eastAsia="仿宋" w:cs="仿宋"/>
          <w:sz w:val="24"/>
          <w:szCs w:val="24"/>
        </w:rPr>
      </w:pPr>
      <w:r>
        <w:rPr>
          <w:rFonts w:hint="eastAsia" w:ascii="仿宋" w:hAnsi="仿宋" w:eastAsia="仿宋" w:cs="仿宋"/>
          <w:sz w:val="24"/>
          <w:szCs w:val="24"/>
        </w:rPr>
        <w:t>18.2.2</w:t>
      </w:r>
      <w:r>
        <w:rPr>
          <w:rFonts w:hint="eastAsia" w:ascii="仿宋" w:hAnsi="仿宋" w:eastAsia="仿宋" w:cs="仿宋"/>
          <w:bCs/>
          <w:sz w:val="24"/>
          <w:szCs w:val="24"/>
        </w:rPr>
        <w:t>供应商索赔的提出：</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（1）供应商向总承包人提交索赔报告的时间：</w:t>
      </w:r>
      <w:r>
        <w:rPr>
          <w:rFonts w:hint="eastAsia" w:ascii="仿宋" w:hAnsi="仿宋" w:eastAsia="仿宋" w:cs="仿宋"/>
          <w:sz w:val="24"/>
          <w:szCs w:val="24"/>
          <w:u w:val="single"/>
        </w:rPr>
        <w:t xml:space="preserve">索赔事件发生后7日内  </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（3）供应商向总承包人提交最终索赔报告的时间：</w:t>
      </w:r>
      <w:r>
        <w:rPr>
          <w:rFonts w:hint="eastAsia" w:ascii="仿宋" w:hAnsi="仿宋" w:eastAsia="仿宋" w:cs="仿宋"/>
          <w:sz w:val="24"/>
          <w:szCs w:val="24"/>
          <w:u w:val="single"/>
        </w:rPr>
        <w:t>索赔事件最终结束后7日内</w:t>
      </w:r>
    </w:p>
    <w:p>
      <w:pPr>
        <w:spacing w:line="360" w:lineRule="auto"/>
        <w:rPr>
          <w:rFonts w:ascii="仿宋" w:hAnsi="仿宋" w:eastAsia="仿宋" w:cs="仿宋"/>
          <w:bCs/>
          <w:sz w:val="24"/>
          <w:szCs w:val="24"/>
        </w:rPr>
      </w:pPr>
      <w:r>
        <w:rPr>
          <w:rFonts w:hint="eastAsia" w:ascii="仿宋" w:hAnsi="仿宋" w:eastAsia="仿宋" w:cs="仿宋"/>
          <w:sz w:val="24"/>
          <w:szCs w:val="24"/>
        </w:rPr>
        <w:t>18.2.3</w:t>
      </w:r>
      <w:r>
        <w:rPr>
          <w:rFonts w:hint="eastAsia" w:ascii="仿宋" w:hAnsi="仿宋" w:eastAsia="仿宋" w:cs="仿宋"/>
          <w:bCs/>
          <w:sz w:val="24"/>
          <w:szCs w:val="24"/>
        </w:rPr>
        <w:t>供应商索赔的处理：</w:t>
      </w:r>
    </w:p>
    <w:p>
      <w:pPr>
        <w:spacing w:line="360" w:lineRule="auto"/>
        <w:ind w:firstLine="1440" w:firstLineChars="600"/>
        <w:rPr>
          <w:rFonts w:ascii="仿宋" w:hAnsi="仿宋" w:eastAsia="仿宋" w:cs="仿宋"/>
          <w:sz w:val="24"/>
          <w:szCs w:val="24"/>
          <w:u w:val="single"/>
        </w:rPr>
      </w:pPr>
      <w:r>
        <w:rPr>
          <w:rFonts w:hint="eastAsia" w:ascii="仿宋" w:hAnsi="仿宋" w:eastAsia="仿宋" w:cs="仿宋"/>
          <w:sz w:val="24"/>
          <w:szCs w:val="24"/>
        </w:rPr>
        <w:t>（2）索赔处理结果答复时间：</w:t>
      </w:r>
      <w:r>
        <w:rPr>
          <w:rFonts w:hint="eastAsia" w:ascii="仿宋" w:hAnsi="仿宋" w:eastAsia="仿宋" w:cs="仿宋"/>
          <w:sz w:val="24"/>
          <w:szCs w:val="24"/>
          <w:u w:val="single"/>
        </w:rPr>
        <w:t xml:space="preserve">  总承包人收到供应商索赔报告7日内 </w:t>
      </w:r>
    </w:p>
    <w:bookmarkEnd w:id="1007"/>
    <w:bookmarkEnd w:id="1008"/>
    <w:bookmarkEnd w:id="1009"/>
    <w:bookmarkEnd w:id="1010"/>
    <w:p>
      <w:pPr>
        <w:pStyle w:val="5"/>
        <w:keepNext w:val="0"/>
        <w:spacing w:before="120" w:after="120" w:line="240" w:lineRule="auto"/>
        <w:jc w:val="both"/>
        <w:rPr>
          <w:rStyle w:val="218"/>
          <w:rFonts w:ascii="仿宋" w:hAnsi="仿宋" w:eastAsia="仿宋" w:cs="仿宋"/>
          <w:b w:val="0"/>
          <w:bCs w:val="0"/>
          <w:sz w:val="24"/>
          <w:szCs w:val="24"/>
        </w:rPr>
      </w:pPr>
      <w:bookmarkStart w:id="1017" w:name="_Toc381358692"/>
      <w:bookmarkStart w:id="1018" w:name="_Toc27122320"/>
      <w:bookmarkStart w:id="1019" w:name="_Toc218048855"/>
      <w:bookmarkStart w:id="1020" w:name="_Toc255494581"/>
      <w:bookmarkStart w:id="1021" w:name="_Toc218049035"/>
      <w:bookmarkStart w:id="1022" w:name="_Toc375218854"/>
      <w:bookmarkStart w:id="1023" w:name="_Toc256955784"/>
      <w:bookmarkStart w:id="1024" w:name="_Toc217443434"/>
      <w:r>
        <w:rPr>
          <w:rStyle w:val="218"/>
          <w:rFonts w:hint="eastAsia" w:ascii="仿宋" w:hAnsi="仿宋" w:eastAsia="仿宋" w:cs="仿宋"/>
          <w:b w:val="0"/>
          <w:bCs w:val="0"/>
          <w:sz w:val="24"/>
          <w:szCs w:val="24"/>
        </w:rPr>
        <w:t>19．保险</w:t>
      </w:r>
      <w:bookmarkEnd w:id="1017"/>
      <w:bookmarkEnd w:id="1018"/>
    </w:p>
    <w:p>
      <w:pPr>
        <w:pStyle w:val="6"/>
        <w:keepNext w:val="0"/>
        <w:keepLines w:val="0"/>
        <w:tabs>
          <w:tab w:val="left" w:pos="1260"/>
        </w:tabs>
        <w:spacing w:line="360" w:lineRule="auto"/>
        <w:jc w:val="both"/>
        <w:rPr>
          <w:rFonts w:ascii="仿宋" w:hAnsi="仿宋" w:eastAsia="仿宋" w:cs="仿宋"/>
          <w:sz w:val="24"/>
          <w:szCs w:val="24"/>
        </w:rPr>
      </w:pPr>
      <w:bookmarkStart w:id="1025" w:name="_Toc27122321"/>
      <w:r>
        <w:rPr>
          <w:rFonts w:hint="eastAsia" w:ascii="仿宋" w:hAnsi="仿宋" w:eastAsia="仿宋" w:cs="仿宋"/>
          <w:sz w:val="24"/>
          <w:szCs w:val="24"/>
        </w:rPr>
        <w:t>19.7 关于保险的其他要求</w:t>
      </w:r>
      <w:bookmarkEnd w:id="1025"/>
    </w:p>
    <w:p>
      <w:pPr>
        <w:spacing w:line="360" w:lineRule="auto"/>
        <w:rPr>
          <w:rFonts w:ascii="仿宋" w:hAnsi="仿宋" w:eastAsia="仿宋" w:cs="仿宋"/>
          <w:bCs/>
          <w:sz w:val="24"/>
          <w:szCs w:val="24"/>
          <w:u w:val="single"/>
        </w:rPr>
      </w:pPr>
      <w:r>
        <w:rPr>
          <w:rFonts w:hint="eastAsia" w:ascii="仿宋" w:hAnsi="仿宋" w:eastAsia="仿宋" w:cs="仿宋"/>
          <w:bCs/>
          <w:sz w:val="24"/>
          <w:szCs w:val="24"/>
          <w:u w:val="single"/>
        </w:rPr>
        <w:t xml:space="preserve">              </w:t>
      </w:r>
    </w:p>
    <w:p>
      <w:pPr>
        <w:rPr>
          <w:rFonts w:ascii="仿宋" w:hAnsi="仿宋" w:eastAsia="仿宋" w:cs="仿宋"/>
          <w:sz w:val="24"/>
          <w:szCs w:val="24"/>
        </w:rPr>
      </w:pPr>
    </w:p>
    <w:p>
      <w:pPr>
        <w:pStyle w:val="5"/>
        <w:keepNext w:val="0"/>
        <w:spacing w:before="120" w:after="120" w:line="240" w:lineRule="auto"/>
        <w:jc w:val="both"/>
        <w:rPr>
          <w:rStyle w:val="218"/>
          <w:rFonts w:ascii="仿宋" w:hAnsi="仿宋" w:eastAsia="仿宋" w:cs="仿宋"/>
          <w:b w:val="0"/>
          <w:bCs w:val="0"/>
          <w:sz w:val="24"/>
          <w:szCs w:val="24"/>
        </w:rPr>
      </w:pPr>
      <w:bookmarkStart w:id="1026" w:name="_Toc381358693"/>
      <w:bookmarkStart w:id="1027" w:name="_Toc27122322"/>
      <w:r>
        <w:rPr>
          <w:rStyle w:val="218"/>
          <w:rFonts w:hint="eastAsia" w:ascii="仿宋" w:hAnsi="仿宋" w:eastAsia="仿宋" w:cs="仿宋"/>
          <w:b w:val="0"/>
          <w:bCs w:val="0"/>
          <w:sz w:val="24"/>
          <w:szCs w:val="24"/>
        </w:rPr>
        <w:t>20．保证担保</w:t>
      </w:r>
      <w:bookmarkEnd w:id="1019"/>
      <w:bookmarkEnd w:id="1020"/>
      <w:bookmarkEnd w:id="1021"/>
      <w:bookmarkEnd w:id="1022"/>
      <w:bookmarkEnd w:id="1023"/>
      <w:bookmarkEnd w:id="1024"/>
      <w:bookmarkEnd w:id="1026"/>
      <w:bookmarkEnd w:id="1027"/>
    </w:p>
    <w:p>
      <w:pPr>
        <w:pStyle w:val="6"/>
        <w:keepNext w:val="0"/>
        <w:keepLines w:val="0"/>
        <w:tabs>
          <w:tab w:val="left" w:pos="1260"/>
        </w:tabs>
        <w:spacing w:line="360" w:lineRule="auto"/>
        <w:jc w:val="both"/>
        <w:rPr>
          <w:rFonts w:ascii="仿宋" w:hAnsi="仿宋" w:eastAsia="仿宋" w:cs="仿宋"/>
          <w:sz w:val="24"/>
          <w:szCs w:val="24"/>
        </w:rPr>
      </w:pPr>
      <w:bookmarkStart w:id="1028" w:name="_Toc27122323"/>
      <w:bookmarkStart w:id="1029" w:name="_Toc375218855"/>
      <w:r>
        <w:rPr>
          <w:rFonts w:hint="eastAsia" w:ascii="仿宋" w:hAnsi="仿宋" w:eastAsia="仿宋" w:cs="仿宋"/>
          <w:sz w:val="24"/>
          <w:szCs w:val="24"/>
        </w:rPr>
        <w:t>20.1预付款保证担保</w:t>
      </w:r>
      <w:bookmarkEnd w:id="1028"/>
      <w:bookmarkEnd w:id="1029"/>
    </w:p>
    <w:p>
      <w:pPr>
        <w:spacing w:line="360" w:lineRule="auto"/>
        <w:ind w:left="1440" w:hanging="1440" w:hangingChars="600"/>
        <w:rPr>
          <w:rFonts w:ascii="仿宋" w:hAnsi="仿宋" w:eastAsia="仿宋" w:cs="仿宋"/>
          <w:bCs/>
          <w:sz w:val="24"/>
          <w:szCs w:val="24"/>
        </w:rPr>
      </w:pPr>
      <w:r>
        <w:rPr>
          <w:rFonts w:hint="eastAsia" w:ascii="仿宋" w:hAnsi="仿宋" w:eastAsia="仿宋" w:cs="仿宋"/>
          <w:bCs/>
          <w:sz w:val="24"/>
          <w:szCs w:val="24"/>
        </w:rPr>
        <w:t>20.1.1总承包人向供应商支付预付款时，总承包人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（要求/不要求）供应商同时提交银行预付款保证担保。</w:t>
      </w:r>
      <w:r>
        <w:rPr>
          <w:rFonts w:hint="eastAsia" w:ascii="仿宋" w:hAnsi="仿宋" w:eastAsia="仿宋" w:cs="仿宋"/>
          <w:sz w:val="24"/>
          <w:szCs w:val="24"/>
        </w:rPr>
        <w:t xml:space="preserve">    </w:t>
      </w:r>
    </w:p>
    <w:p>
      <w:pPr>
        <w:pStyle w:val="6"/>
        <w:keepNext w:val="0"/>
        <w:keepLines w:val="0"/>
        <w:tabs>
          <w:tab w:val="left" w:pos="1260"/>
        </w:tabs>
        <w:spacing w:before="100" w:after="100" w:line="360" w:lineRule="auto"/>
        <w:jc w:val="both"/>
        <w:rPr>
          <w:rFonts w:ascii="仿宋" w:hAnsi="仿宋" w:eastAsia="仿宋" w:cs="仿宋"/>
          <w:sz w:val="24"/>
          <w:szCs w:val="24"/>
        </w:rPr>
      </w:pPr>
      <w:bookmarkStart w:id="1030" w:name="_Toc375218856"/>
      <w:bookmarkStart w:id="1031" w:name="_Toc27122324"/>
      <w:r>
        <w:rPr>
          <w:rFonts w:hint="eastAsia" w:ascii="仿宋" w:hAnsi="仿宋" w:eastAsia="仿宋" w:cs="仿宋"/>
          <w:sz w:val="24"/>
          <w:szCs w:val="24"/>
        </w:rPr>
        <w:t>20.2履约保证担保</w:t>
      </w:r>
      <w:bookmarkEnd w:id="1030"/>
      <w:bookmarkEnd w:id="1031"/>
    </w:p>
    <w:p>
      <w:pPr>
        <w:spacing w:line="360" w:lineRule="auto"/>
        <w:ind w:left="1440" w:hanging="1440" w:hangingChars="600"/>
        <w:rPr>
          <w:rFonts w:ascii="仿宋" w:hAnsi="仿宋" w:eastAsia="仿宋" w:cs="仿宋"/>
          <w:bCs/>
          <w:sz w:val="24"/>
          <w:szCs w:val="24"/>
        </w:rPr>
      </w:pPr>
      <w:r>
        <w:rPr>
          <w:rFonts w:hint="eastAsia" w:ascii="仿宋" w:hAnsi="仿宋" w:eastAsia="仿宋" w:cs="仿宋"/>
          <w:bCs/>
          <w:sz w:val="24"/>
          <w:szCs w:val="24"/>
        </w:rPr>
        <w:t>20.2.1      总承包人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（要求/不要求）供应商提交履约保证担保，要求供应商提交履约保证担保时，履约保证担保的金额：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spacing w:line="360" w:lineRule="auto"/>
        <w:ind w:left="1440" w:hanging="1440" w:hangingChars="600"/>
        <w:rPr>
          <w:rFonts w:ascii="仿宋" w:hAnsi="仿宋" w:eastAsia="仿宋" w:cs="仿宋"/>
          <w:bCs/>
          <w:sz w:val="24"/>
          <w:szCs w:val="24"/>
        </w:rPr>
      </w:pPr>
      <w:r>
        <w:rPr>
          <w:rFonts w:hint="eastAsia" w:ascii="仿宋" w:hAnsi="仿宋" w:eastAsia="仿宋" w:cs="仿宋"/>
          <w:bCs/>
          <w:sz w:val="24"/>
          <w:szCs w:val="24"/>
        </w:rPr>
        <w:t>20.2.2      履约保证担保有效期的截止时间：</w:t>
      </w:r>
      <w:r>
        <w:rPr>
          <w:rFonts w:hint="eastAsia" w:ascii="仿宋" w:hAnsi="仿宋" w:eastAsia="仿宋" w:cs="仿宋"/>
          <w:bCs/>
          <w:sz w:val="24"/>
          <w:szCs w:val="24"/>
          <w:u w:val="single"/>
        </w:rPr>
        <w:t xml:space="preserve">             </w:t>
      </w:r>
    </w:p>
    <w:p>
      <w:pPr>
        <w:spacing w:line="360" w:lineRule="auto"/>
        <w:ind w:left="1440" w:hanging="1440" w:hangingChars="600"/>
        <w:rPr>
          <w:rFonts w:ascii="仿宋" w:hAnsi="仿宋" w:eastAsia="仿宋" w:cs="仿宋"/>
          <w:bCs/>
          <w:sz w:val="24"/>
          <w:szCs w:val="24"/>
        </w:rPr>
      </w:pPr>
      <w:r>
        <w:rPr>
          <w:rFonts w:hint="eastAsia" w:ascii="仿宋" w:hAnsi="仿宋" w:eastAsia="仿宋" w:cs="仿宋"/>
          <w:bCs/>
          <w:sz w:val="24"/>
          <w:szCs w:val="24"/>
        </w:rPr>
        <w:t>20.2.4      其他约定：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6"/>
        <w:keepNext w:val="0"/>
        <w:keepLines w:val="0"/>
        <w:tabs>
          <w:tab w:val="left" w:pos="1260"/>
        </w:tabs>
        <w:spacing w:before="100" w:after="100" w:line="360" w:lineRule="auto"/>
        <w:jc w:val="both"/>
        <w:rPr>
          <w:rFonts w:ascii="仿宋" w:hAnsi="仿宋" w:eastAsia="仿宋" w:cs="仿宋"/>
          <w:bCs w:val="0"/>
          <w:sz w:val="24"/>
          <w:szCs w:val="24"/>
        </w:rPr>
      </w:pPr>
      <w:bookmarkStart w:id="1032" w:name="_Toc375218858"/>
      <w:bookmarkStart w:id="1033" w:name="_Toc27122326"/>
      <w:r>
        <w:rPr>
          <w:rFonts w:hint="eastAsia" w:ascii="仿宋" w:hAnsi="仿宋" w:eastAsia="仿宋" w:cs="仿宋"/>
          <w:bCs w:val="0"/>
          <w:sz w:val="24"/>
          <w:szCs w:val="24"/>
        </w:rPr>
        <w:t>20.3质量保证金保证担保</w:t>
      </w:r>
      <w:bookmarkEnd w:id="1032"/>
      <w:bookmarkEnd w:id="1033"/>
    </w:p>
    <w:p>
      <w:pPr>
        <w:spacing w:line="360" w:lineRule="auto"/>
        <w:ind w:left="1296" w:hanging="1296" w:hangingChars="540"/>
        <w:rPr>
          <w:rFonts w:ascii="仿宋" w:hAnsi="仿宋" w:eastAsia="仿宋" w:cs="仿宋"/>
          <w:bCs/>
          <w:sz w:val="24"/>
          <w:szCs w:val="24"/>
        </w:rPr>
      </w:pPr>
      <w:r>
        <w:rPr>
          <w:rFonts w:hint="eastAsia" w:ascii="仿宋" w:hAnsi="仿宋" w:eastAsia="仿宋" w:cs="仿宋"/>
          <w:bCs/>
          <w:sz w:val="24"/>
          <w:szCs w:val="24"/>
        </w:rPr>
        <w:t>20.3.1      总承包人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（要求/不要求）供应商提交质量保证金保证担保，要求供应商提交质量保证金保证担保时，保证金保证担保的期限：</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5"/>
        <w:keepNext w:val="0"/>
        <w:spacing w:before="120" w:after="120" w:line="240" w:lineRule="auto"/>
        <w:jc w:val="both"/>
        <w:rPr>
          <w:rStyle w:val="218"/>
          <w:rFonts w:ascii="仿宋" w:hAnsi="仿宋" w:eastAsia="仿宋" w:cs="仿宋"/>
          <w:b w:val="0"/>
          <w:bCs w:val="0"/>
          <w:sz w:val="24"/>
          <w:szCs w:val="24"/>
        </w:rPr>
      </w:pPr>
      <w:bookmarkStart w:id="1034" w:name="_Toc256955785"/>
      <w:bookmarkStart w:id="1035" w:name="_Toc381358694"/>
      <w:bookmarkStart w:id="1036" w:name="_Toc375218859"/>
      <w:bookmarkStart w:id="1037" w:name="_Toc27122327"/>
      <w:bookmarkStart w:id="1038" w:name="_Toc255494582"/>
      <w:bookmarkStart w:id="1039" w:name="_Toc218048856"/>
      <w:bookmarkStart w:id="1040" w:name="_Toc217443435"/>
      <w:bookmarkStart w:id="1041" w:name="_Toc218049036"/>
      <w:r>
        <w:rPr>
          <w:rStyle w:val="218"/>
          <w:rFonts w:hint="eastAsia" w:ascii="仿宋" w:hAnsi="仿宋" w:eastAsia="仿宋" w:cs="仿宋"/>
          <w:b w:val="0"/>
          <w:bCs w:val="0"/>
          <w:sz w:val="24"/>
          <w:szCs w:val="24"/>
        </w:rPr>
        <w:t>21.不可抗力</w:t>
      </w:r>
      <w:bookmarkEnd w:id="1034"/>
      <w:bookmarkEnd w:id="1035"/>
      <w:bookmarkEnd w:id="1036"/>
      <w:bookmarkEnd w:id="1037"/>
    </w:p>
    <w:p>
      <w:pPr>
        <w:pStyle w:val="6"/>
        <w:keepNext w:val="0"/>
        <w:keepLines w:val="0"/>
        <w:tabs>
          <w:tab w:val="left" w:pos="1260"/>
        </w:tabs>
        <w:spacing w:before="100" w:after="100" w:line="360" w:lineRule="auto"/>
        <w:jc w:val="both"/>
        <w:rPr>
          <w:rFonts w:ascii="仿宋" w:hAnsi="仿宋" w:eastAsia="仿宋" w:cs="仿宋"/>
          <w:bCs w:val="0"/>
          <w:sz w:val="24"/>
          <w:szCs w:val="24"/>
        </w:rPr>
      </w:pPr>
      <w:bookmarkStart w:id="1042" w:name="_Toc375218860"/>
      <w:bookmarkStart w:id="1043" w:name="_Toc27122328"/>
      <w:r>
        <w:rPr>
          <w:rFonts w:hint="eastAsia" w:ascii="仿宋" w:hAnsi="仿宋" w:eastAsia="仿宋" w:cs="仿宋"/>
          <w:bCs w:val="0"/>
          <w:sz w:val="24"/>
          <w:szCs w:val="24"/>
        </w:rPr>
        <w:t>21.6因不可抗力解除合同</w:t>
      </w:r>
      <w:bookmarkEnd w:id="1042"/>
      <w:bookmarkEnd w:id="1043"/>
    </w:p>
    <w:p>
      <w:pPr>
        <w:rPr>
          <w:rFonts w:ascii="仿宋" w:hAnsi="仿宋" w:eastAsia="仿宋" w:cs="仿宋"/>
          <w:sz w:val="24"/>
          <w:szCs w:val="24"/>
          <w:u w:val="single"/>
        </w:rPr>
      </w:pPr>
      <w:r>
        <w:rPr>
          <w:rFonts w:hint="eastAsia" w:ascii="仿宋" w:hAnsi="仿宋" w:eastAsia="仿宋" w:cs="仿宋"/>
          <w:bCs/>
          <w:sz w:val="24"/>
          <w:szCs w:val="24"/>
        </w:rPr>
        <w:t>21.6.1不可抗力事件发生持续超过时间的具体约定：</w:t>
      </w:r>
      <w:r>
        <w:rPr>
          <w:rFonts w:hint="eastAsia" w:ascii="仿宋" w:hAnsi="仿宋" w:eastAsia="仿宋" w:cs="仿宋"/>
          <w:bCs/>
          <w:sz w:val="24"/>
          <w:szCs w:val="24"/>
          <w:u w:val="single"/>
        </w:rPr>
        <w:t xml:space="preserve">  合同结束之日   </w:t>
      </w:r>
    </w:p>
    <w:p>
      <w:pPr>
        <w:pStyle w:val="5"/>
        <w:keepNext w:val="0"/>
        <w:spacing w:before="120" w:after="120" w:line="240" w:lineRule="auto"/>
        <w:jc w:val="both"/>
        <w:rPr>
          <w:rStyle w:val="218"/>
          <w:rFonts w:ascii="仿宋" w:hAnsi="仿宋" w:eastAsia="仿宋" w:cs="仿宋"/>
          <w:b w:val="0"/>
          <w:bCs w:val="0"/>
          <w:sz w:val="24"/>
          <w:szCs w:val="24"/>
        </w:rPr>
      </w:pPr>
      <w:bookmarkStart w:id="1044" w:name="_Toc381358695"/>
      <w:bookmarkStart w:id="1045" w:name="_Toc256955786"/>
      <w:bookmarkStart w:id="1046" w:name="_Toc27122329"/>
      <w:bookmarkStart w:id="1047" w:name="_Toc375218861"/>
      <w:r>
        <w:rPr>
          <w:rStyle w:val="218"/>
          <w:rFonts w:hint="eastAsia" w:ascii="仿宋" w:hAnsi="仿宋" w:eastAsia="仿宋" w:cs="仿宋"/>
          <w:b w:val="0"/>
          <w:bCs w:val="0"/>
          <w:sz w:val="24"/>
          <w:szCs w:val="24"/>
        </w:rPr>
        <w:t>22．争议</w:t>
      </w:r>
      <w:bookmarkEnd w:id="1038"/>
      <w:bookmarkEnd w:id="1039"/>
      <w:bookmarkEnd w:id="1040"/>
      <w:bookmarkEnd w:id="1041"/>
      <w:bookmarkEnd w:id="1044"/>
      <w:bookmarkEnd w:id="1045"/>
      <w:bookmarkEnd w:id="1046"/>
      <w:bookmarkEnd w:id="1047"/>
    </w:p>
    <w:p>
      <w:pPr>
        <w:pStyle w:val="6"/>
        <w:keepNext w:val="0"/>
        <w:keepLines w:val="0"/>
        <w:tabs>
          <w:tab w:val="left" w:pos="1260"/>
        </w:tabs>
        <w:spacing w:before="100" w:after="100" w:line="360" w:lineRule="auto"/>
        <w:jc w:val="both"/>
        <w:rPr>
          <w:rFonts w:ascii="仿宋" w:hAnsi="仿宋" w:eastAsia="仿宋" w:cs="仿宋"/>
          <w:bCs w:val="0"/>
          <w:sz w:val="24"/>
          <w:szCs w:val="24"/>
        </w:rPr>
      </w:pPr>
      <w:bookmarkStart w:id="1048" w:name="_Toc27122330"/>
      <w:bookmarkStart w:id="1049" w:name="_Toc375218862"/>
      <w:r>
        <w:rPr>
          <w:rFonts w:hint="eastAsia" w:ascii="仿宋" w:hAnsi="仿宋" w:eastAsia="仿宋" w:cs="仿宋"/>
          <w:bCs w:val="0"/>
          <w:sz w:val="24"/>
          <w:szCs w:val="24"/>
        </w:rPr>
        <w:t>22.1争议解决方式</w:t>
      </w:r>
      <w:bookmarkEnd w:id="1048"/>
      <w:bookmarkEnd w:id="1049"/>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本供货合同的争议解决方式约定采用如下第（2）种方式：</w:t>
      </w:r>
    </w:p>
    <w:p>
      <w:pPr>
        <w:numPr>
          <w:ilvl w:val="0"/>
          <w:numId w:val="31"/>
        </w:numPr>
        <w:spacing w:line="360" w:lineRule="auto"/>
        <w:rPr>
          <w:rFonts w:ascii="仿宋" w:hAnsi="仿宋" w:eastAsia="仿宋" w:cs="仿宋"/>
          <w:sz w:val="24"/>
          <w:szCs w:val="24"/>
        </w:rPr>
      </w:pPr>
      <w:r>
        <w:rPr>
          <w:rFonts w:hint="eastAsia" w:ascii="仿宋" w:hAnsi="仿宋" w:eastAsia="仿宋" w:cs="仿宋"/>
          <w:sz w:val="24"/>
          <w:szCs w:val="24"/>
        </w:rPr>
        <w:t>向</w:t>
      </w:r>
      <w:r>
        <w:rPr>
          <w:rFonts w:hint="eastAsia" w:ascii="仿宋" w:hAnsi="仿宋" w:eastAsia="仿宋" w:cs="仿宋"/>
          <w:sz w:val="24"/>
          <w:szCs w:val="24"/>
          <w:u w:val="single"/>
        </w:rPr>
        <w:t xml:space="preserve">   三方约定的    </w:t>
      </w:r>
      <w:r>
        <w:rPr>
          <w:rFonts w:hint="eastAsia" w:ascii="仿宋" w:hAnsi="仿宋" w:eastAsia="仿宋" w:cs="仿宋"/>
          <w:sz w:val="24"/>
          <w:szCs w:val="24"/>
        </w:rPr>
        <w:t>仲裁委员会申请仲裁；</w:t>
      </w:r>
    </w:p>
    <w:p>
      <w:pPr>
        <w:numPr>
          <w:ilvl w:val="0"/>
          <w:numId w:val="31"/>
        </w:numPr>
        <w:spacing w:line="360" w:lineRule="auto"/>
        <w:rPr>
          <w:rFonts w:ascii="仿宋" w:hAnsi="仿宋" w:eastAsia="仿宋" w:cs="仿宋"/>
          <w:sz w:val="24"/>
          <w:szCs w:val="24"/>
        </w:rPr>
      </w:pPr>
      <w:r>
        <w:rPr>
          <w:rFonts w:hint="eastAsia" w:ascii="仿宋" w:hAnsi="仿宋" w:eastAsia="仿宋" w:cs="仿宋"/>
          <w:sz w:val="24"/>
          <w:szCs w:val="24"/>
        </w:rPr>
        <w:t>向</w:t>
      </w:r>
      <w:r>
        <w:rPr>
          <w:rFonts w:hint="eastAsia" w:ascii="仿宋" w:hAnsi="仿宋" w:eastAsia="仿宋" w:cs="仿宋"/>
          <w:sz w:val="24"/>
          <w:szCs w:val="24"/>
          <w:u w:val="single"/>
        </w:rPr>
        <w:t xml:space="preserve">   工程所在地   </w:t>
      </w:r>
      <w:r>
        <w:rPr>
          <w:rFonts w:hint="eastAsia" w:ascii="仿宋" w:hAnsi="仿宋" w:eastAsia="仿宋" w:cs="仿宋"/>
          <w:sz w:val="24"/>
          <w:szCs w:val="24"/>
        </w:rPr>
        <w:t>人民法院起诉。</w:t>
      </w:r>
    </w:p>
    <w:p>
      <w:pPr>
        <w:pStyle w:val="5"/>
        <w:keepNext w:val="0"/>
        <w:spacing w:before="120" w:after="120" w:line="240" w:lineRule="auto"/>
        <w:jc w:val="both"/>
        <w:rPr>
          <w:rStyle w:val="218"/>
          <w:rFonts w:ascii="仿宋" w:hAnsi="仿宋" w:eastAsia="仿宋" w:cs="仿宋"/>
          <w:b w:val="0"/>
          <w:bCs w:val="0"/>
          <w:sz w:val="24"/>
          <w:szCs w:val="24"/>
        </w:rPr>
      </w:pPr>
      <w:bookmarkStart w:id="1050" w:name="_Toc218048857"/>
      <w:bookmarkStart w:id="1051" w:name="_Toc255494583"/>
      <w:bookmarkStart w:id="1052" w:name="_Toc381358696"/>
      <w:bookmarkStart w:id="1053" w:name="_Toc218049037"/>
      <w:bookmarkStart w:id="1054" w:name="_Toc217443436"/>
      <w:bookmarkStart w:id="1055" w:name="_Toc27122331"/>
      <w:bookmarkStart w:id="1056" w:name="_Toc375218863"/>
      <w:bookmarkStart w:id="1057" w:name="_Toc256955787"/>
      <w:r>
        <w:rPr>
          <w:rStyle w:val="218"/>
          <w:rFonts w:hint="eastAsia" w:ascii="仿宋" w:hAnsi="仿宋" w:eastAsia="仿宋" w:cs="仿宋"/>
          <w:b w:val="0"/>
          <w:bCs w:val="0"/>
          <w:sz w:val="24"/>
          <w:szCs w:val="24"/>
        </w:rPr>
        <w:t>28．合同效力及份数</w:t>
      </w:r>
      <w:bookmarkEnd w:id="1050"/>
      <w:bookmarkEnd w:id="1051"/>
      <w:bookmarkEnd w:id="1052"/>
      <w:bookmarkEnd w:id="1053"/>
      <w:bookmarkEnd w:id="1054"/>
      <w:bookmarkEnd w:id="1055"/>
      <w:bookmarkEnd w:id="1056"/>
      <w:bookmarkEnd w:id="1057"/>
      <w:bookmarkStart w:id="1058" w:name="_Toc218048858"/>
      <w:r>
        <w:rPr>
          <w:rStyle w:val="218"/>
          <w:rFonts w:hint="eastAsia" w:ascii="仿宋" w:hAnsi="仿宋" w:eastAsia="仿宋" w:cs="仿宋"/>
          <w:b w:val="0"/>
          <w:bCs w:val="0"/>
          <w:sz w:val="24"/>
          <w:szCs w:val="24"/>
        </w:rPr>
        <w:t>：</w:t>
      </w:r>
    </w:p>
    <w:p>
      <w:pPr>
        <w:spacing w:line="460" w:lineRule="exact"/>
        <w:ind w:firstLine="600" w:firstLineChars="250"/>
        <w:rPr>
          <w:rFonts w:ascii="仿宋" w:hAnsi="仿宋" w:eastAsia="仿宋" w:cs="仿宋"/>
          <w:bCs/>
          <w:sz w:val="24"/>
          <w:szCs w:val="24"/>
        </w:rPr>
      </w:pPr>
      <w:r>
        <w:rPr>
          <w:rFonts w:hint="eastAsia" w:ascii="仿宋" w:hAnsi="仿宋" w:eastAsia="仿宋" w:cs="仿宋"/>
          <w:bCs/>
          <w:sz w:val="24"/>
          <w:szCs w:val="24"/>
        </w:rPr>
        <w:t>合同份数</w:t>
      </w:r>
      <w:r>
        <w:rPr>
          <w:rFonts w:hint="eastAsia" w:ascii="仿宋" w:hAnsi="仿宋" w:eastAsia="仿宋" w:cs="仿宋"/>
          <w:bCs/>
          <w:sz w:val="24"/>
          <w:szCs w:val="24"/>
          <w:u w:val="single"/>
        </w:rPr>
        <w:t xml:space="preserve"> 10 </w:t>
      </w:r>
      <w:r>
        <w:rPr>
          <w:rFonts w:hint="eastAsia" w:ascii="仿宋" w:hAnsi="仿宋" w:eastAsia="仿宋" w:cs="仿宋"/>
          <w:bCs/>
          <w:sz w:val="24"/>
          <w:szCs w:val="24"/>
        </w:rPr>
        <w:t>份。</w:t>
      </w:r>
    </w:p>
    <w:p>
      <w:pPr>
        <w:pStyle w:val="5"/>
        <w:keepNext w:val="0"/>
        <w:spacing w:before="120" w:after="120" w:line="240" w:lineRule="auto"/>
        <w:jc w:val="both"/>
        <w:rPr>
          <w:rStyle w:val="218"/>
          <w:rFonts w:ascii="仿宋" w:hAnsi="仿宋" w:eastAsia="仿宋" w:cs="仿宋"/>
          <w:b w:val="0"/>
          <w:bCs w:val="0"/>
          <w:sz w:val="24"/>
          <w:szCs w:val="24"/>
        </w:rPr>
      </w:pPr>
      <w:bookmarkStart w:id="1059" w:name="_Toc256955788"/>
      <w:bookmarkStart w:id="1060" w:name="_Toc27122332"/>
      <w:bookmarkStart w:id="1061" w:name="_Toc375218864"/>
      <w:bookmarkStart w:id="1062" w:name="_Toc255494584"/>
      <w:bookmarkStart w:id="1063" w:name="_Toc381358697"/>
      <w:r>
        <w:rPr>
          <w:rStyle w:val="218"/>
          <w:rFonts w:hint="eastAsia" w:ascii="仿宋" w:hAnsi="仿宋" w:eastAsia="仿宋" w:cs="仿宋"/>
          <w:b w:val="0"/>
          <w:bCs w:val="0"/>
          <w:sz w:val="24"/>
          <w:szCs w:val="24"/>
        </w:rPr>
        <w:t>29.补充条款</w:t>
      </w:r>
      <w:bookmarkEnd w:id="1058"/>
      <w:bookmarkEnd w:id="1059"/>
      <w:bookmarkEnd w:id="1060"/>
      <w:bookmarkEnd w:id="1061"/>
      <w:bookmarkEnd w:id="1062"/>
      <w:bookmarkEnd w:id="1063"/>
    </w:p>
    <w:p>
      <w:pPr>
        <w:spacing w:line="360" w:lineRule="auto"/>
        <w:rPr>
          <w:rFonts w:ascii="仿宋" w:hAnsi="仿宋" w:eastAsia="仿宋" w:cs="仿宋"/>
          <w:bCs/>
          <w:sz w:val="24"/>
          <w:szCs w:val="24"/>
          <w:u w:val="single"/>
        </w:rPr>
      </w:pPr>
      <w:r>
        <w:rPr>
          <w:rFonts w:hint="eastAsia" w:ascii="仿宋" w:hAnsi="仿宋" w:eastAsia="仿宋" w:cs="仿宋"/>
          <w:bCs/>
          <w:sz w:val="24"/>
          <w:szCs w:val="24"/>
          <w:u w:val="single"/>
        </w:rPr>
        <w:t>1、</w:t>
      </w:r>
      <w:bookmarkEnd w:id="845"/>
      <w:bookmarkEnd w:id="846"/>
      <w:bookmarkEnd w:id="847"/>
      <w:bookmarkEnd w:id="848"/>
      <w:bookmarkEnd w:id="849"/>
      <w:bookmarkEnd w:id="850"/>
      <w:bookmarkEnd w:id="851"/>
      <w:r>
        <w:rPr>
          <w:rFonts w:hint="eastAsia" w:ascii="仿宋" w:hAnsi="仿宋" w:eastAsia="仿宋" w:cs="仿宋"/>
          <w:bCs/>
          <w:sz w:val="24"/>
          <w:szCs w:val="24"/>
          <w:u w:val="single"/>
        </w:rPr>
        <w:t>合同价款包含总承包服务费、配合费、材料保管费、税金及一切货到现场交付、单机调试及技术指导、质保期内保修等缺陷责任期前所有费用。</w:t>
      </w:r>
    </w:p>
    <w:p>
      <w:pPr>
        <w:spacing w:line="360" w:lineRule="auto"/>
        <w:rPr>
          <w:rFonts w:ascii="仿宋" w:hAnsi="仿宋" w:eastAsia="仿宋" w:cs="仿宋"/>
          <w:b/>
          <w:bCs/>
          <w:sz w:val="28"/>
          <w:szCs w:val="28"/>
        </w:rPr>
      </w:pPr>
      <w:r>
        <w:rPr>
          <w:rFonts w:hint="eastAsia" w:ascii="仿宋" w:hAnsi="仿宋" w:eastAsia="仿宋" w:cs="仿宋"/>
          <w:bCs/>
          <w:sz w:val="24"/>
          <w:szCs w:val="24"/>
          <w:u w:val="single"/>
        </w:rPr>
        <w:br w:type="page"/>
      </w:r>
      <w:r>
        <w:rPr>
          <w:rFonts w:hint="eastAsia" w:ascii="仿宋" w:hAnsi="仿宋" w:eastAsia="仿宋" w:cs="仿宋"/>
          <w:b/>
          <w:bCs/>
          <w:sz w:val="28"/>
          <w:szCs w:val="28"/>
        </w:rPr>
        <w:t>附件一：</w:t>
      </w:r>
    </w:p>
    <w:p>
      <w:pPr>
        <w:spacing w:line="360" w:lineRule="auto"/>
        <w:jc w:val="center"/>
        <w:rPr>
          <w:rFonts w:ascii="仿宋" w:hAnsi="仿宋" w:eastAsia="仿宋" w:cs="仿宋"/>
          <w:b/>
          <w:bCs/>
          <w:sz w:val="28"/>
          <w:szCs w:val="28"/>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中标通知书</w:t>
      </w:r>
    </w:p>
    <w:p>
      <w:pPr>
        <w:rPr>
          <w:sz w:val="24"/>
          <w:szCs w:val="32"/>
        </w:rPr>
      </w:pPr>
    </w:p>
    <w:p>
      <w:pPr>
        <w:rPr>
          <w:rFonts w:ascii="仿宋" w:hAnsi="仿宋" w:eastAsia="仿宋" w:cs="仿宋"/>
          <w:sz w:val="24"/>
          <w:szCs w:val="32"/>
        </w:rPr>
      </w:pPr>
      <w:r>
        <w:rPr>
          <w:rFonts w:hint="eastAsia" w:ascii="仿宋" w:hAnsi="仿宋" w:eastAsia="仿宋" w:cs="仿宋"/>
          <w:color w:val="000000"/>
          <w:kern w:val="0"/>
          <w:sz w:val="24"/>
          <w:lang w:bidi="ar"/>
        </w:rPr>
        <w:t>***有限公司</w:t>
      </w:r>
      <w:r>
        <w:rPr>
          <w:rFonts w:hint="eastAsia" w:ascii="仿宋" w:hAnsi="仿宋" w:eastAsia="仿宋" w:cs="仿宋"/>
          <w:sz w:val="24"/>
          <w:szCs w:val="32"/>
        </w:rPr>
        <w:t>:</w:t>
      </w:r>
    </w:p>
    <w:p>
      <w:pPr>
        <w:rPr>
          <w:rFonts w:ascii="仿宋" w:hAnsi="仿宋" w:eastAsia="仿宋" w:cs="仿宋"/>
          <w:sz w:val="24"/>
          <w:szCs w:val="32"/>
        </w:rPr>
      </w:pPr>
    </w:p>
    <w:p>
      <w:pPr>
        <w:ind w:firstLine="480" w:firstLineChars="200"/>
        <w:rPr>
          <w:rFonts w:ascii="仿宋" w:hAnsi="仿宋" w:eastAsia="仿宋" w:cs="仿宋"/>
          <w:sz w:val="24"/>
          <w:szCs w:val="32"/>
        </w:rPr>
      </w:pPr>
      <w:r>
        <w:rPr>
          <w:rFonts w:hint="eastAsia" w:ascii="仿宋" w:hAnsi="仿宋" w:eastAsia="仿宋" w:cs="仿宋"/>
          <w:sz w:val="24"/>
          <w:szCs w:val="32"/>
        </w:rPr>
        <w:t>***有限公司受北京建工集团有限责任公司的委托，对丰城市园区污水处理厂建设工程(丰城市循环经济园区吉岗岭污水处理厂项目)第二批机电安装设备、材料采购项目(采购编号:</w:t>
      </w:r>
      <w:r>
        <w:rPr>
          <w:rFonts w:hint="eastAsia" w:ascii="仿宋" w:hAnsi="仿宋" w:eastAsia="仿宋" w:cs="仿宋"/>
          <w:sz w:val="24"/>
          <w:szCs w:val="32"/>
          <w:lang w:val="zh-CN"/>
        </w:rPr>
        <w:t>BC2022-FCG00</w:t>
      </w:r>
      <w:r>
        <w:rPr>
          <w:rFonts w:hint="eastAsia" w:ascii="仿宋" w:hAnsi="仿宋" w:eastAsia="仿宋" w:cs="仿宋"/>
          <w:sz w:val="24"/>
          <w:szCs w:val="32"/>
        </w:rPr>
        <w:t>2</w:t>
      </w:r>
      <w:r>
        <w:rPr>
          <w:rFonts w:hint="eastAsia" w:ascii="仿宋" w:hAnsi="仿宋" w:eastAsia="仿宋" w:cs="仿宋"/>
          <w:sz w:val="24"/>
          <w:szCs w:val="32"/>
          <w:lang w:val="zh-CN"/>
        </w:rPr>
        <w:t xml:space="preserve"> </w:t>
      </w:r>
      <w:r>
        <w:rPr>
          <w:rFonts w:hint="eastAsia" w:ascii="仿宋" w:hAnsi="仿宋" w:eastAsia="仿宋" w:cs="仿宋"/>
          <w:sz w:val="24"/>
          <w:szCs w:val="32"/>
        </w:rPr>
        <w:t>)进行公开招标。经评标委员会评定，采购方确定，中标结果如下:</w:t>
      </w:r>
    </w:p>
    <w:p>
      <w:pPr>
        <w:ind w:firstLine="480" w:firstLineChars="200"/>
        <w:rPr>
          <w:rFonts w:ascii="仿宋" w:hAnsi="仿宋" w:eastAsia="仿宋" w:cs="仿宋"/>
          <w:sz w:val="24"/>
          <w:szCs w:val="32"/>
        </w:rPr>
      </w:pPr>
    </w:p>
    <w:tbl>
      <w:tblPr>
        <w:tblStyle w:val="42"/>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179"/>
        <w:gridCol w:w="525"/>
        <w:gridCol w:w="633"/>
        <w:gridCol w:w="233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38" w:type="dxa"/>
            <w:vAlign w:val="center"/>
          </w:tcPr>
          <w:p>
            <w:pPr>
              <w:jc w:val="center"/>
              <w:rPr>
                <w:rFonts w:ascii="仿宋" w:hAnsi="仿宋" w:eastAsia="仿宋" w:cs="仿宋"/>
                <w:sz w:val="24"/>
                <w:szCs w:val="32"/>
              </w:rPr>
            </w:pPr>
            <w:r>
              <w:rPr>
                <w:rFonts w:hint="eastAsia" w:ascii="仿宋" w:hAnsi="仿宋" w:eastAsia="仿宋" w:cs="仿宋"/>
                <w:sz w:val="24"/>
                <w:szCs w:val="32"/>
              </w:rPr>
              <w:t>项目编号</w:t>
            </w:r>
          </w:p>
        </w:tc>
        <w:tc>
          <w:tcPr>
            <w:tcW w:w="2179" w:type="dxa"/>
            <w:vAlign w:val="center"/>
          </w:tcPr>
          <w:p>
            <w:pPr>
              <w:jc w:val="center"/>
              <w:rPr>
                <w:rFonts w:ascii="仿宋" w:hAnsi="仿宋" w:eastAsia="仿宋" w:cs="仿宋"/>
                <w:sz w:val="24"/>
                <w:szCs w:val="32"/>
              </w:rPr>
            </w:pPr>
            <w:r>
              <w:rPr>
                <w:rFonts w:hint="eastAsia" w:ascii="仿宋" w:hAnsi="仿宋" w:eastAsia="仿宋" w:cs="仿宋"/>
                <w:sz w:val="24"/>
                <w:szCs w:val="32"/>
              </w:rPr>
              <w:t>货物名称</w:t>
            </w:r>
          </w:p>
        </w:tc>
        <w:tc>
          <w:tcPr>
            <w:tcW w:w="525" w:type="dxa"/>
            <w:vAlign w:val="center"/>
          </w:tcPr>
          <w:p>
            <w:pPr>
              <w:jc w:val="center"/>
              <w:rPr>
                <w:rFonts w:ascii="仿宋" w:hAnsi="仿宋" w:eastAsia="仿宋" w:cs="仿宋"/>
                <w:sz w:val="24"/>
                <w:szCs w:val="32"/>
              </w:rPr>
            </w:pPr>
            <w:r>
              <w:rPr>
                <w:rFonts w:hint="eastAsia" w:ascii="仿宋" w:hAnsi="仿宋" w:eastAsia="仿宋" w:cs="仿宋"/>
                <w:sz w:val="24"/>
                <w:szCs w:val="32"/>
              </w:rPr>
              <w:t>单位</w:t>
            </w:r>
          </w:p>
        </w:tc>
        <w:tc>
          <w:tcPr>
            <w:tcW w:w="633" w:type="dxa"/>
            <w:vAlign w:val="center"/>
          </w:tcPr>
          <w:p>
            <w:pPr>
              <w:jc w:val="center"/>
              <w:rPr>
                <w:rFonts w:ascii="仿宋" w:hAnsi="仿宋" w:eastAsia="仿宋" w:cs="仿宋"/>
                <w:sz w:val="24"/>
                <w:szCs w:val="32"/>
              </w:rPr>
            </w:pPr>
            <w:r>
              <w:rPr>
                <w:rFonts w:hint="eastAsia" w:ascii="仿宋" w:hAnsi="仿宋" w:eastAsia="仿宋" w:cs="仿宋"/>
                <w:sz w:val="24"/>
                <w:szCs w:val="32"/>
              </w:rPr>
              <w:t>数</w:t>
            </w:r>
          </w:p>
          <w:p>
            <w:pPr>
              <w:jc w:val="center"/>
              <w:rPr>
                <w:rFonts w:ascii="仿宋" w:hAnsi="仿宋" w:eastAsia="仿宋" w:cs="仿宋"/>
                <w:sz w:val="24"/>
                <w:szCs w:val="32"/>
              </w:rPr>
            </w:pPr>
            <w:r>
              <w:rPr>
                <w:rFonts w:hint="eastAsia" w:ascii="仿宋" w:hAnsi="仿宋" w:eastAsia="仿宋" w:cs="仿宋"/>
                <w:sz w:val="24"/>
                <w:szCs w:val="32"/>
              </w:rPr>
              <w:t>量</w:t>
            </w:r>
          </w:p>
        </w:tc>
        <w:tc>
          <w:tcPr>
            <w:tcW w:w="2339" w:type="dxa"/>
            <w:vAlign w:val="center"/>
          </w:tcPr>
          <w:p>
            <w:pPr>
              <w:ind w:firstLine="720" w:firstLineChars="300"/>
              <w:rPr>
                <w:rFonts w:ascii="仿宋" w:hAnsi="仿宋" w:eastAsia="仿宋" w:cs="仿宋"/>
                <w:sz w:val="24"/>
                <w:szCs w:val="32"/>
              </w:rPr>
            </w:pPr>
            <w:r>
              <w:rPr>
                <w:rFonts w:hint="eastAsia" w:ascii="仿宋" w:hAnsi="仿宋" w:eastAsia="仿宋" w:cs="仿宋"/>
                <w:sz w:val="24"/>
                <w:szCs w:val="32"/>
              </w:rPr>
              <w:t>中标单位</w:t>
            </w:r>
          </w:p>
        </w:tc>
        <w:tc>
          <w:tcPr>
            <w:tcW w:w="2098" w:type="dxa"/>
            <w:vAlign w:val="center"/>
          </w:tcPr>
          <w:p>
            <w:pPr>
              <w:jc w:val="center"/>
              <w:rPr>
                <w:rFonts w:ascii="仿宋" w:hAnsi="仿宋" w:eastAsia="仿宋" w:cs="仿宋"/>
                <w:sz w:val="24"/>
                <w:szCs w:val="32"/>
              </w:rPr>
            </w:pPr>
            <w:r>
              <w:rPr>
                <w:rFonts w:hint="eastAsia" w:ascii="仿宋" w:hAnsi="仿宋" w:eastAsia="仿宋" w:cs="仿宋"/>
                <w:sz w:val="24"/>
                <w:szCs w:val="32"/>
              </w:rPr>
              <w:t>中标金额（元）/折扣率（%）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938" w:type="dxa"/>
            <w:vAlign w:val="center"/>
          </w:tcPr>
          <w:p>
            <w:pPr>
              <w:jc w:val="center"/>
              <w:rPr>
                <w:rFonts w:ascii="仿宋" w:hAnsi="仿宋" w:eastAsia="仿宋" w:cs="仿宋"/>
                <w:sz w:val="24"/>
                <w:szCs w:val="32"/>
              </w:rPr>
            </w:pPr>
            <w:r>
              <w:rPr>
                <w:rFonts w:hint="eastAsia" w:ascii="仿宋" w:hAnsi="仿宋" w:eastAsia="仿宋" w:cs="仿宋"/>
                <w:sz w:val="24"/>
                <w:szCs w:val="32"/>
                <w:lang w:val="zh-CN"/>
              </w:rPr>
              <w:t>BC2022-FCG00</w:t>
            </w:r>
            <w:r>
              <w:rPr>
                <w:rFonts w:hint="eastAsia" w:ascii="仿宋" w:hAnsi="仿宋" w:eastAsia="仿宋" w:cs="仿宋"/>
                <w:sz w:val="24"/>
                <w:szCs w:val="32"/>
              </w:rPr>
              <w:t>2</w:t>
            </w:r>
          </w:p>
        </w:tc>
        <w:tc>
          <w:tcPr>
            <w:tcW w:w="2179" w:type="dxa"/>
            <w:vAlign w:val="center"/>
          </w:tcPr>
          <w:p>
            <w:pPr>
              <w:jc w:val="center"/>
              <w:rPr>
                <w:rFonts w:ascii="仿宋" w:hAnsi="仿宋" w:eastAsia="仿宋" w:cs="仿宋"/>
                <w:sz w:val="24"/>
                <w:szCs w:val="32"/>
              </w:rPr>
            </w:pPr>
            <w:r>
              <w:rPr>
                <w:rFonts w:hint="eastAsia" w:ascii="仿宋" w:hAnsi="仿宋" w:eastAsia="仿宋" w:cs="仿宋"/>
                <w:color w:val="000000"/>
                <w:kern w:val="0"/>
                <w:sz w:val="24"/>
                <w:lang w:bidi="ar"/>
              </w:rPr>
              <w:t>丰城市园区污水处理厂建设工程(丰城市循环经济园区吉岗岭污水处理厂项目)第二批机电安装设备、材料采购项目</w:t>
            </w:r>
          </w:p>
        </w:tc>
        <w:tc>
          <w:tcPr>
            <w:tcW w:w="525" w:type="dxa"/>
            <w:vAlign w:val="center"/>
          </w:tcPr>
          <w:p>
            <w:pPr>
              <w:jc w:val="center"/>
              <w:rPr>
                <w:rFonts w:ascii="仿宋" w:hAnsi="仿宋" w:eastAsia="仿宋" w:cs="仿宋"/>
                <w:sz w:val="24"/>
                <w:szCs w:val="32"/>
              </w:rPr>
            </w:pPr>
            <w:r>
              <w:rPr>
                <w:rFonts w:hint="eastAsia" w:ascii="仿宋" w:hAnsi="仿宋" w:eastAsia="仿宋" w:cs="仿宋"/>
                <w:sz w:val="24"/>
                <w:szCs w:val="32"/>
              </w:rPr>
              <w:t>批</w:t>
            </w:r>
          </w:p>
        </w:tc>
        <w:tc>
          <w:tcPr>
            <w:tcW w:w="633" w:type="dxa"/>
            <w:vAlign w:val="center"/>
          </w:tcPr>
          <w:p>
            <w:pPr>
              <w:jc w:val="center"/>
              <w:rPr>
                <w:rFonts w:ascii="仿宋" w:hAnsi="仿宋" w:eastAsia="仿宋" w:cs="仿宋"/>
                <w:sz w:val="24"/>
                <w:szCs w:val="32"/>
              </w:rPr>
            </w:pPr>
            <w:r>
              <w:rPr>
                <w:rFonts w:hint="eastAsia" w:ascii="仿宋" w:hAnsi="仿宋" w:eastAsia="仿宋" w:cs="仿宋"/>
                <w:sz w:val="24"/>
                <w:szCs w:val="32"/>
              </w:rPr>
              <w:t>1</w:t>
            </w:r>
          </w:p>
        </w:tc>
        <w:tc>
          <w:tcPr>
            <w:tcW w:w="2339" w:type="dxa"/>
            <w:vAlign w:val="center"/>
          </w:tcPr>
          <w:p>
            <w:pPr>
              <w:rPr>
                <w:rFonts w:ascii="仿宋" w:hAnsi="仿宋" w:eastAsia="仿宋" w:cs="仿宋"/>
                <w:sz w:val="24"/>
                <w:szCs w:val="32"/>
              </w:rPr>
            </w:pPr>
          </w:p>
        </w:tc>
        <w:tc>
          <w:tcPr>
            <w:tcW w:w="2098" w:type="dxa"/>
            <w:vAlign w:val="center"/>
          </w:tcPr>
          <w:p>
            <w:pPr>
              <w:jc w:val="center"/>
              <w:rPr>
                <w:rFonts w:ascii="仿宋" w:hAnsi="仿宋" w:eastAsia="仿宋" w:cs="仿宋"/>
                <w:sz w:val="24"/>
                <w:szCs w:val="32"/>
              </w:rPr>
            </w:pPr>
          </w:p>
        </w:tc>
      </w:tr>
    </w:tbl>
    <w:p>
      <w:pPr>
        <w:rPr>
          <w:rFonts w:ascii="仿宋" w:hAnsi="仿宋" w:eastAsia="仿宋" w:cs="仿宋"/>
          <w:sz w:val="24"/>
          <w:szCs w:val="32"/>
        </w:rPr>
      </w:pPr>
    </w:p>
    <w:p>
      <w:pPr>
        <w:ind w:firstLine="480" w:firstLineChars="200"/>
        <w:rPr>
          <w:rFonts w:ascii="仿宋" w:hAnsi="仿宋" w:eastAsia="仿宋" w:cs="仿宋"/>
          <w:sz w:val="24"/>
          <w:szCs w:val="32"/>
        </w:rPr>
      </w:pPr>
      <w:r>
        <w:rPr>
          <w:rFonts w:hint="eastAsia" w:ascii="仿宋" w:hAnsi="仿宋" w:eastAsia="仿宋" w:cs="仿宋"/>
          <w:sz w:val="24"/>
          <w:szCs w:val="32"/>
        </w:rPr>
        <w:t>请在收到本通知书之日起三十日内与采购单位签订采购合同，无正当理由拒不签订采购合同，将取消中标资格。</w:t>
      </w:r>
    </w:p>
    <w:p>
      <w:pPr>
        <w:rPr>
          <w:rFonts w:ascii="仿宋" w:hAnsi="仿宋" w:eastAsia="仿宋" w:cs="仿宋"/>
          <w:sz w:val="24"/>
          <w:szCs w:val="32"/>
        </w:rPr>
      </w:pPr>
    </w:p>
    <w:p>
      <w:pPr>
        <w:rPr>
          <w:rFonts w:ascii="仿宋" w:hAnsi="仿宋" w:eastAsia="仿宋" w:cs="仿宋"/>
          <w:sz w:val="24"/>
          <w:szCs w:val="32"/>
        </w:rPr>
      </w:pPr>
    </w:p>
    <w:p>
      <w:pPr>
        <w:rPr>
          <w:rFonts w:ascii="仿宋" w:hAnsi="仿宋" w:eastAsia="仿宋" w:cs="仿宋"/>
          <w:sz w:val="24"/>
          <w:szCs w:val="32"/>
        </w:rPr>
      </w:pPr>
      <w:r>
        <w:rPr>
          <w:rFonts w:hint="eastAsia" w:ascii="仿宋" w:hAnsi="仿宋" w:eastAsia="仿宋" w:cs="仿宋"/>
          <w:sz w:val="24"/>
          <w:szCs w:val="32"/>
        </w:rPr>
        <w:t>招标代理机构（盖章）：                           招标单位机构（盖章）：</w:t>
      </w:r>
    </w:p>
    <w:p>
      <w:pPr>
        <w:rPr>
          <w:rFonts w:ascii="仿宋" w:hAnsi="仿宋" w:eastAsia="仿宋" w:cs="仿宋"/>
          <w:sz w:val="24"/>
          <w:szCs w:val="32"/>
        </w:rPr>
      </w:pPr>
      <w:r>
        <w:rPr>
          <w:rFonts w:hint="eastAsia" w:ascii="仿宋" w:hAnsi="仿宋" w:eastAsia="仿宋" w:cs="仿宋"/>
          <w:sz w:val="24"/>
          <w:szCs w:val="32"/>
        </w:rPr>
        <w:t>***有限公司                                      北京建工集团有限责任公司</w:t>
      </w:r>
    </w:p>
    <w:p>
      <w:pPr>
        <w:rPr>
          <w:rFonts w:ascii="仿宋" w:hAnsi="仿宋" w:eastAsia="仿宋" w:cs="仿宋"/>
          <w:sz w:val="24"/>
          <w:szCs w:val="32"/>
        </w:rPr>
      </w:pPr>
      <w:r>
        <w:rPr>
          <w:rFonts w:hint="eastAsia" w:ascii="仿宋" w:hAnsi="仿宋" w:eastAsia="仿宋" w:cs="仿宋"/>
          <w:sz w:val="24"/>
          <w:szCs w:val="32"/>
        </w:rPr>
        <w:t>日期：                                           日期：</w:t>
      </w: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rPr>
          <w:rFonts w:ascii="仿宋" w:hAnsi="仿宋" w:eastAsia="仿宋" w:cs="仿宋"/>
          <w:b/>
          <w:bCs/>
          <w:sz w:val="28"/>
          <w:szCs w:val="28"/>
        </w:rPr>
      </w:pPr>
      <w:r>
        <w:rPr>
          <w:rFonts w:hint="eastAsia" w:ascii="仿宋" w:hAnsi="仿宋" w:eastAsia="仿宋" w:cs="仿宋"/>
          <w:b/>
          <w:bCs/>
          <w:sz w:val="28"/>
          <w:szCs w:val="28"/>
        </w:rPr>
        <w:br w:type="page"/>
      </w:r>
    </w:p>
    <w:p>
      <w:pPr>
        <w:tabs>
          <w:tab w:val="left" w:pos="3266"/>
        </w:tabs>
        <w:rPr>
          <w:rFonts w:asciiTheme="majorEastAsia" w:hAnsiTheme="majorEastAsia" w:eastAsiaTheme="majorEastAsia" w:cstheme="majorEastAsia"/>
          <w:sz w:val="48"/>
          <w:szCs w:val="48"/>
        </w:rPr>
      </w:pPr>
      <w:r>
        <w:rPr>
          <w:rFonts w:hint="eastAsia" w:ascii="仿宋" w:hAnsi="仿宋" w:eastAsia="仿宋" w:cs="仿宋"/>
          <w:b/>
          <w:bCs/>
          <w:sz w:val="28"/>
          <w:szCs w:val="28"/>
        </w:rPr>
        <w:t>附件二：已标价工程量清单</w:t>
      </w:r>
    </w:p>
    <w:p>
      <w:pPr>
        <w:pStyle w:val="2"/>
        <w:rPr>
          <w:rFonts w:asciiTheme="majorEastAsia" w:hAnsiTheme="majorEastAsia" w:eastAsiaTheme="majorEastAsia" w:cstheme="majorEastAsia"/>
          <w:sz w:val="48"/>
          <w:szCs w:val="48"/>
        </w:rPr>
      </w:pPr>
    </w:p>
    <w:p>
      <w:pPr>
        <w:rPr>
          <w:rFonts w:asciiTheme="majorEastAsia" w:hAnsiTheme="majorEastAsia" w:eastAsiaTheme="majorEastAsia" w:cstheme="majorEastAsia"/>
          <w:sz w:val="48"/>
          <w:szCs w:val="48"/>
        </w:rPr>
      </w:pPr>
    </w:p>
    <w:p>
      <w:pPr>
        <w:pStyle w:val="2"/>
      </w:pPr>
    </w:p>
    <w:p>
      <w:pP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br w:type="page"/>
      </w:r>
    </w:p>
    <w:p>
      <w:pPr>
        <w:pStyle w:val="4"/>
        <w:spacing w:before="0"/>
        <w:ind w:firstLine="0"/>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第二部分 投标文件</w:t>
      </w:r>
      <w:bookmarkEnd w:id="194"/>
      <w:bookmarkEnd w:id="195"/>
    </w:p>
    <w:p>
      <w:pPr>
        <w:spacing w:line="1000" w:lineRule="exact"/>
        <w:jc w:val="center"/>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投　标　文　件</w:t>
      </w:r>
    </w:p>
    <w:p>
      <w:pPr>
        <w:jc w:val="center"/>
        <w:rPr>
          <w:rFonts w:asciiTheme="majorEastAsia" w:hAnsiTheme="majorEastAsia" w:eastAsiaTheme="majorEastAsia" w:cstheme="majorEastAsia"/>
          <w:b/>
          <w:bCs/>
          <w:sz w:val="36"/>
          <w:szCs w:val="36"/>
        </w:rPr>
      </w:pPr>
    </w:p>
    <w:p>
      <w:pPr>
        <w:pStyle w:val="2"/>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pStyle w:val="2"/>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rPr>
      </w:pPr>
    </w:p>
    <w:p>
      <w:pPr>
        <w:pStyle w:val="2"/>
        <w:rPr>
          <w:rFonts w:asciiTheme="majorEastAsia" w:hAnsiTheme="majorEastAsia" w:eastAsiaTheme="majorEastAsia" w:cstheme="majorEastAsia"/>
        </w:rPr>
      </w:pPr>
    </w:p>
    <w:p>
      <w:pPr>
        <w:tabs>
          <w:tab w:val="left" w:pos="825"/>
          <w:tab w:val="center" w:pos="4426"/>
        </w:tabs>
        <w:spacing w:line="700" w:lineRule="exact"/>
        <w:ind w:left="3131" w:leftChars="379" w:hanging="2335" w:hangingChars="646"/>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bCs/>
          <w:sz w:val="36"/>
          <w:szCs w:val="36"/>
        </w:rPr>
        <w:t>项目名称：</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p>
    <w:p>
      <w:pPr>
        <w:ind w:firstLine="723"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招标编号：</w:t>
      </w:r>
    </w:p>
    <w:p>
      <w:pPr>
        <w:ind w:firstLine="142"/>
        <w:rPr>
          <w:rFonts w:asciiTheme="majorEastAsia" w:hAnsiTheme="majorEastAsia" w:eastAsiaTheme="majorEastAsia" w:cstheme="majorEastAsia"/>
          <w:b/>
          <w:sz w:val="44"/>
        </w:rPr>
      </w:pPr>
    </w:p>
    <w:p>
      <w:pPr>
        <w:spacing w:after="156" w:line="1000" w:lineRule="exact"/>
        <w:rPr>
          <w:rFonts w:asciiTheme="majorEastAsia" w:hAnsiTheme="majorEastAsia" w:eastAsiaTheme="majorEastAsia" w:cstheme="majorEastAsia"/>
          <w:b/>
          <w:sz w:val="44"/>
          <w:szCs w:val="44"/>
        </w:rPr>
      </w:pPr>
    </w:p>
    <w:p>
      <w:pPr>
        <w:spacing w:after="156"/>
        <w:ind w:firstLine="964" w:firstLineChars="300"/>
        <w:rPr>
          <w:rFonts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 标 人：</w:t>
      </w:r>
    </w:p>
    <w:p>
      <w:pPr>
        <w:spacing w:after="156"/>
        <w:jc w:val="center"/>
        <w:rPr>
          <w:rFonts w:asciiTheme="majorEastAsia" w:hAnsiTheme="majorEastAsia" w:eastAsiaTheme="majorEastAsia" w:cstheme="majorEastAsia"/>
          <w:b/>
          <w:sz w:val="32"/>
        </w:rPr>
      </w:pPr>
    </w:p>
    <w:p>
      <w:pPr>
        <w:spacing w:after="156"/>
        <w:jc w:val="center"/>
        <w:rPr>
          <w:rFonts w:asciiTheme="majorEastAsia" w:hAnsiTheme="majorEastAsia" w:eastAsiaTheme="majorEastAsia" w:cstheme="majorEastAsia"/>
          <w:b/>
          <w:sz w:val="32"/>
        </w:rPr>
      </w:pPr>
      <w:r>
        <w:rPr>
          <w:rFonts w:hint="eastAsia" w:asciiTheme="majorEastAsia" w:hAnsiTheme="majorEastAsia" w:eastAsiaTheme="majorEastAsia" w:cstheme="majorEastAsia"/>
          <w:b/>
          <w:sz w:val="32"/>
        </w:rPr>
        <w:t xml:space="preserve">               年 月 日</w:t>
      </w:r>
    </w:p>
    <w:p>
      <w:pPr>
        <w:spacing w:line="360" w:lineRule="auto"/>
        <w:ind w:firstLine="540"/>
        <w:jc w:val="center"/>
        <w:rPr>
          <w:rFonts w:asciiTheme="majorEastAsia" w:hAnsiTheme="majorEastAsia" w:eastAsiaTheme="majorEastAsia" w:cstheme="majorEastAsia"/>
          <w:sz w:val="24"/>
          <w:szCs w:val="24"/>
        </w:rPr>
      </w:pPr>
    </w:p>
    <w:p>
      <w:pPr>
        <w:pStyle w:val="4"/>
        <w:tabs>
          <w:tab w:val="left" w:pos="0"/>
        </w:tabs>
        <w:spacing w:after="240"/>
        <w:ind w:firstLine="0"/>
        <w:rPr>
          <w:rFonts w:asciiTheme="majorEastAsia" w:hAnsiTheme="majorEastAsia" w:eastAsiaTheme="majorEastAsia" w:cstheme="majorEastAsia"/>
          <w:sz w:val="44"/>
        </w:rPr>
      </w:pPr>
      <w:bookmarkStart w:id="1064" w:name="_Toc28691"/>
      <w:bookmarkStart w:id="1065" w:name="_Toc377982360"/>
      <w:r>
        <w:rPr>
          <w:rFonts w:hint="eastAsia" w:asciiTheme="majorEastAsia" w:hAnsiTheme="majorEastAsia" w:eastAsiaTheme="majorEastAsia" w:cstheme="majorEastAsia"/>
          <w:sz w:val="44"/>
        </w:rPr>
        <w:t>附件</w:t>
      </w:r>
      <w:bookmarkEnd w:id="1064"/>
      <w:bookmarkEnd w:id="1065"/>
    </w:p>
    <w:p>
      <w:pPr>
        <w:pStyle w:val="6"/>
        <w:spacing w:line="360" w:lineRule="auto"/>
        <w:rPr>
          <w:rFonts w:asciiTheme="majorEastAsia" w:hAnsiTheme="majorEastAsia" w:eastAsiaTheme="majorEastAsia" w:cstheme="majorEastAsia"/>
          <w:sz w:val="30"/>
          <w:szCs w:val="30"/>
        </w:rPr>
      </w:pPr>
      <w:bookmarkStart w:id="1066" w:name="_Toc377982361"/>
      <w:bookmarkStart w:id="1067" w:name="_Toc456012475"/>
      <w:bookmarkStart w:id="1068" w:name="_Toc11635"/>
      <w:bookmarkStart w:id="1069" w:name="_Toc4753"/>
      <w:bookmarkStart w:id="1070" w:name="_Toc178705054"/>
      <w:bookmarkStart w:id="1071" w:name="_Toc182285110"/>
      <w:r>
        <w:rPr>
          <w:rFonts w:hint="eastAsia" w:asciiTheme="majorEastAsia" w:hAnsiTheme="majorEastAsia" w:eastAsiaTheme="majorEastAsia" w:cstheme="majorEastAsia"/>
        </w:rPr>
        <w:t>1．</w:t>
      </w:r>
      <w:r>
        <w:rPr>
          <w:rFonts w:hint="eastAsia" w:asciiTheme="majorEastAsia" w:hAnsiTheme="majorEastAsia" w:eastAsiaTheme="majorEastAsia" w:cstheme="majorEastAsia"/>
          <w:sz w:val="30"/>
          <w:szCs w:val="30"/>
        </w:rPr>
        <w:t>投标书</w:t>
      </w:r>
      <w:bookmarkEnd w:id="1066"/>
      <w:bookmarkEnd w:id="1067"/>
      <w:bookmarkEnd w:id="1068"/>
      <w:bookmarkEnd w:id="1069"/>
    </w:p>
    <w:p>
      <w:pPr>
        <w:spacing w:line="360" w:lineRule="auto"/>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致：（采购代理机构）</w:t>
      </w:r>
    </w:p>
    <w:p>
      <w:pPr>
        <w:spacing w:line="360" w:lineRule="auto"/>
        <w:ind w:firstLine="540"/>
        <w:rPr>
          <w:rFonts w:asciiTheme="majorEastAsia" w:hAnsiTheme="majorEastAsia" w:eastAsiaTheme="majorEastAsia" w:cstheme="majorEastAsia"/>
          <w:sz w:val="24"/>
          <w:szCs w:val="24"/>
        </w:rPr>
      </w:pP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根据贵方“采购项目”</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（招标编号）投标邀请或招标公告，正式授权下述签字人（姓名）代表投标人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（投标人全称），提交投标文件。</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据此函，签字人兹宣布同意如下：</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（1）按招标文件规定提供交付的货物（包括安装调试等工作）投标总价为（大写）元人民币。</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（2）我们已详细审核全部招标文件，包括招标文件修改书（如果有的话），参考资料及有关附件，我们知道必须放弃提出含糊不清或误解的问题的权利。</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（3）我们同意从投标人须知规定的开标日期起遵循本投标文件，并在投标人须知规定的投标有效期之前均具有约束力。</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（4）如果在开标后规定的投标有效期内撤回投标，我们的投标保证金可不被退还。</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（5）同意向贵方提供贵方可能另外要求的与其投标有关的任何证据或资料。</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（6）我们完全理解贵方不一定接受最低报价的投标。</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（7）我们根据招标文件的规定，严格履行合同的责任和义务,并保证于甲方要求的日期内完成货物调试，并交付甲方验收、使用。</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（8）与本投标有关的信息请寄：</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投标人名称（公章）：</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通讯地址： </w:t>
      </w:r>
    </w:p>
    <w:p>
      <w:pPr>
        <w:spacing w:line="360" w:lineRule="auto"/>
        <w:ind w:firstLine="54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                              传    真：</w:t>
      </w:r>
    </w:p>
    <w:p>
      <w:pPr>
        <w:adjustRightInd w:val="0"/>
        <w:snapToGrid w:val="0"/>
        <w:spacing w:line="30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kern w:val="0"/>
          <w:sz w:val="24"/>
          <w:szCs w:val="24"/>
        </w:rPr>
        <w:t xml:space="preserve">法人代表或授权代表（签字）：      </w:t>
      </w:r>
      <w:r>
        <w:rPr>
          <w:rFonts w:hint="eastAsia" w:asciiTheme="majorEastAsia" w:hAnsiTheme="majorEastAsia" w:eastAsiaTheme="majorEastAsia" w:cstheme="majorEastAsia"/>
          <w:sz w:val="24"/>
          <w:szCs w:val="24"/>
        </w:rPr>
        <w:t xml:space="preserve">       日    期：</w:t>
      </w:r>
    </w:p>
    <w:bookmarkEnd w:id="1070"/>
    <w:bookmarkEnd w:id="1071"/>
    <w:p>
      <w:pPr>
        <w:spacing w:line="360" w:lineRule="auto"/>
        <w:rPr>
          <w:rFonts w:asciiTheme="majorEastAsia" w:hAnsiTheme="majorEastAsia" w:eastAsiaTheme="majorEastAsia" w:cstheme="majorEastAsia"/>
          <w:sz w:val="24"/>
          <w:szCs w:val="24"/>
        </w:rPr>
        <w:sectPr>
          <w:headerReference r:id="rId17" w:type="first"/>
          <w:footerReference r:id="rId19" w:type="first"/>
          <w:headerReference r:id="rId16" w:type="default"/>
          <w:footerReference r:id="rId18" w:type="default"/>
          <w:pgSz w:w="11906" w:h="16838"/>
          <w:pgMar w:top="1134" w:right="1134" w:bottom="1134" w:left="1134" w:header="851" w:footer="992" w:gutter="0"/>
          <w:cols w:space="720" w:num="1"/>
          <w:titlePg/>
          <w:docGrid w:linePitch="312" w:charSpace="0"/>
        </w:sectPr>
      </w:pPr>
    </w:p>
    <w:p>
      <w:pPr>
        <w:pStyle w:val="6"/>
        <w:spacing w:line="360" w:lineRule="auto"/>
        <w:rPr>
          <w:rFonts w:asciiTheme="majorEastAsia" w:hAnsiTheme="majorEastAsia" w:eastAsiaTheme="majorEastAsia" w:cstheme="majorEastAsia"/>
          <w:sz w:val="30"/>
          <w:szCs w:val="30"/>
        </w:rPr>
      </w:pPr>
      <w:bookmarkStart w:id="1072" w:name="_Toc377982362"/>
      <w:bookmarkStart w:id="1073" w:name="_Toc14202"/>
      <w:bookmarkStart w:id="1074" w:name="_Toc26020"/>
      <w:bookmarkStart w:id="1075" w:name="_Toc456012476"/>
      <w:r>
        <w:rPr>
          <w:rFonts w:hint="eastAsia" w:asciiTheme="majorEastAsia" w:hAnsiTheme="majorEastAsia" w:eastAsiaTheme="majorEastAsia" w:cstheme="majorEastAsia"/>
          <w:sz w:val="30"/>
          <w:szCs w:val="30"/>
        </w:rPr>
        <w:t>2．</w:t>
      </w:r>
      <w:bookmarkEnd w:id="1072"/>
      <w:bookmarkStart w:id="1076" w:name="_Toc377982363"/>
      <w:r>
        <w:rPr>
          <w:rFonts w:hint="eastAsia" w:asciiTheme="majorEastAsia" w:hAnsiTheme="majorEastAsia" w:eastAsiaTheme="majorEastAsia" w:cstheme="majorEastAsia"/>
          <w:sz w:val="30"/>
          <w:szCs w:val="30"/>
        </w:rPr>
        <w:t>开标一览表</w:t>
      </w:r>
      <w:bookmarkEnd w:id="1073"/>
      <w:bookmarkEnd w:id="1074"/>
      <w:bookmarkEnd w:id="1075"/>
      <w:bookmarkEnd w:id="1076"/>
    </w:p>
    <w:p>
      <w:pPr>
        <w:spacing w:line="460" w:lineRule="exact"/>
        <w:rPr>
          <w:rFonts w:asciiTheme="majorEastAsia" w:hAnsiTheme="majorEastAsia" w:eastAsiaTheme="majorEastAsia" w:cstheme="majorEastAsia"/>
          <w:bCs/>
          <w:snapToGrid w:val="0"/>
          <w:kern w:val="0"/>
          <w:sz w:val="24"/>
          <w:szCs w:val="24"/>
          <w:u w:val="single"/>
        </w:rPr>
      </w:pPr>
      <w:r>
        <w:rPr>
          <w:rFonts w:hint="eastAsia" w:asciiTheme="majorEastAsia" w:hAnsiTheme="majorEastAsia" w:eastAsiaTheme="majorEastAsia" w:cstheme="majorEastAsia"/>
          <w:bCs/>
          <w:snapToGrid w:val="0"/>
          <w:kern w:val="0"/>
          <w:sz w:val="24"/>
          <w:szCs w:val="24"/>
        </w:rPr>
        <w:t>项目名称：</w:t>
      </w:r>
    </w:p>
    <w:p>
      <w:pPr>
        <w:spacing w:line="460" w:lineRule="exact"/>
        <w:rPr>
          <w:rFonts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Cs/>
          <w:snapToGrid w:val="0"/>
          <w:kern w:val="0"/>
          <w:sz w:val="24"/>
          <w:szCs w:val="24"/>
        </w:rPr>
        <w:t>招标编号：</w:t>
      </w:r>
    </w:p>
    <w:tbl>
      <w:tblPr>
        <w:tblStyle w:val="41"/>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标题</w:t>
            </w:r>
          </w:p>
        </w:tc>
        <w:tc>
          <w:tcPr>
            <w:tcW w:w="481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投标报价（小写）</w:t>
            </w:r>
          </w:p>
        </w:tc>
        <w:tc>
          <w:tcPr>
            <w:tcW w:w="481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投标报价（大写）</w:t>
            </w:r>
          </w:p>
        </w:tc>
        <w:tc>
          <w:tcPr>
            <w:tcW w:w="4819" w:type="dxa"/>
            <w:vAlign w:val="center"/>
          </w:tcPr>
          <w:p>
            <w:pPr>
              <w:adjustRightInd w:val="0"/>
              <w:snapToGrid w:val="0"/>
              <w:spacing w:line="500" w:lineRule="exact"/>
              <w:jc w:val="left"/>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億仟萬佰萬拾萬萬仟佰拾元角分</w:t>
            </w:r>
          </w:p>
          <w:p>
            <w:pPr>
              <w:adjustRightInd w:val="0"/>
              <w:snapToGrid w:val="0"/>
              <w:spacing w:line="500" w:lineRule="exact"/>
              <w:jc w:val="left"/>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kern w:val="0"/>
                <w:sz w:val="24"/>
                <w:szCs w:val="24"/>
              </w:rPr>
              <w:t>(提示：零壹贰叁肆伍陆柒捌玖,全部必填，无值补零)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6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交货期</w:t>
            </w:r>
          </w:p>
        </w:tc>
        <w:tc>
          <w:tcPr>
            <w:tcW w:w="4819" w:type="dxa"/>
            <w:vAlign w:val="center"/>
          </w:tcPr>
          <w:p>
            <w:pPr>
              <w:adjustRightInd w:val="0"/>
              <w:snapToGrid w:val="0"/>
              <w:spacing w:line="500" w:lineRule="exact"/>
              <w:jc w:val="center"/>
              <w:rPr>
                <w:rFonts w:asciiTheme="majorEastAsia" w:hAnsiTheme="majorEastAsia" w:eastAsiaTheme="majorEastAsia" w:cstheme="majorEastAsia"/>
                <w:snapToGrid w:val="0"/>
                <w:kern w:val="0"/>
                <w:sz w:val="24"/>
                <w:szCs w:val="24"/>
              </w:rPr>
            </w:pPr>
          </w:p>
        </w:tc>
      </w:tr>
    </w:tbl>
    <w:p>
      <w:pPr>
        <w:adjustRightInd w:val="0"/>
        <w:snapToGrid w:val="0"/>
        <w:spacing w:line="300" w:lineRule="auto"/>
        <w:rPr>
          <w:rFonts w:asciiTheme="majorEastAsia" w:hAnsiTheme="majorEastAsia" w:eastAsiaTheme="majorEastAsia" w:cstheme="majorEastAsia"/>
          <w:snapToGrid w:val="0"/>
          <w:kern w:val="0"/>
          <w:sz w:val="24"/>
          <w:szCs w:val="24"/>
        </w:rPr>
      </w:pPr>
    </w:p>
    <w:p>
      <w:pPr>
        <w:adjustRightInd w:val="0"/>
        <w:snapToGrid w:val="0"/>
        <w:spacing w:line="300" w:lineRule="auto"/>
        <w:rPr>
          <w:rFonts w:asciiTheme="majorEastAsia" w:hAnsiTheme="majorEastAsia" w:eastAsiaTheme="majorEastAsia" w:cstheme="majorEastAsia"/>
          <w:snapToGrid w:val="0"/>
          <w:kern w:val="0"/>
          <w:sz w:val="24"/>
          <w:szCs w:val="24"/>
        </w:rPr>
      </w:pPr>
    </w:p>
    <w:p>
      <w:pPr>
        <w:adjustRightInd w:val="0"/>
        <w:snapToGrid w:val="0"/>
        <w:spacing w:line="300" w:lineRule="auto"/>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投标人名称（盖章）：</w:t>
      </w:r>
    </w:p>
    <w:p>
      <w:pPr>
        <w:adjustRightInd w:val="0"/>
        <w:snapToGrid w:val="0"/>
        <w:spacing w:line="300" w:lineRule="auto"/>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法人代表或授权代表（签字）：</w:t>
      </w:r>
    </w:p>
    <w:p>
      <w:pPr>
        <w:pStyle w:val="29"/>
        <w:rPr>
          <w:rFonts w:asciiTheme="majorEastAsia" w:hAnsiTheme="majorEastAsia" w:eastAsiaTheme="majorEastAsia" w:cstheme="majorEastAsia"/>
        </w:rPr>
      </w:pPr>
    </w:p>
    <w:p>
      <w:pPr>
        <w:adjustRightInd w:val="0"/>
        <w:snapToGrid w:val="0"/>
        <w:spacing w:line="300" w:lineRule="auto"/>
        <w:ind w:firstLine="6480"/>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年    月    日</w:t>
      </w:r>
    </w:p>
    <w:p>
      <w:pPr>
        <w:adjustRightInd w:val="0"/>
        <w:snapToGrid w:val="0"/>
        <w:spacing w:line="300" w:lineRule="auto"/>
        <w:ind w:firstLine="1050"/>
        <w:rPr>
          <w:rFonts w:asciiTheme="majorEastAsia" w:hAnsiTheme="majorEastAsia" w:eastAsiaTheme="majorEastAsia" w:cstheme="majorEastAsia"/>
          <w:snapToGrid w:val="0"/>
          <w:kern w:val="0"/>
        </w:rPr>
      </w:pPr>
    </w:p>
    <w:p>
      <w:pPr>
        <w:adjustRightInd w:val="0"/>
        <w:snapToGrid w:val="0"/>
        <w:spacing w:line="300" w:lineRule="auto"/>
        <w:ind w:firstLine="1050"/>
        <w:rPr>
          <w:rFonts w:asciiTheme="majorEastAsia" w:hAnsiTheme="majorEastAsia" w:eastAsiaTheme="majorEastAsia" w:cstheme="majorEastAsia"/>
          <w:snapToGrid w:val="0"/>
          <w:kern w:val="0"/>
        </w:rPr>
      </w:pPr>
    </w:p>
    <w:p>
      <w:pPr>
        <w:adjustRightInd w:val="0"/>
        <w:snapToGrid w:val="0"/>
        <w:spacing w:line="300" w:lineRule="auto"/>
        <w:ind w:firstLine="1050"/>
        <w:rPr>
          <w:rFonts w:asciiTheme="majorEastAsia" w:hAnsiTheme="majorEastAsia" w:eastAsiaTheme="majorEastAsia" w:cstheme="majorEastAsia"/>
          <w:snapToGrid w:val="0"/>
          <w:kern w:val="0"/>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pPr>
    </w:p>
    <w:p>
      <w:pPr>
        <w:jc w:val="right"/>
        <w:rPr>
          <w:rFonts w:asciiTheme="majorEastAsia" w:hAnsiTheme="majorEastAsia" w:eastAsiaTheme="majorEastAsia" w:cstheme="majorEastAsia"/>
        </w:rPr>
      </w:pPr>
    </w:p>
    <w:p>
      <w:pPr>
        <w:rPr>
          <w:rFonts w:asciiTheme="majorEastAsia" w:hAnsiTheme="majorEastAsia" w:eastAsiaTheme="majorEastAsia" w:cstheme="majorEastAsia"/>
        </w:rPr>
      </w:pPr>
    </w:p>
    <w:p>
      <w:pPr>
        <w:rPr>
          <w:rFonts w:asciiTheme="majorEastAsia" w:hAnsiTheme="majorEastAsia" w:eastAsiaTheme="majorEastAsia" w:cstheme="majorEastAsia"/>
        </w:rPr>
        <w:sectPr>
          <w:pgSz w:w="11906" w:h="16838"/>
          <w:pgMar w:top="1134" w:right="1134" w:bottom="1134" w:left="1134" w:header="851" w:footer="992" w:gutter="0"/>
          <w:cols w:space="720" w:num="1"/>
          <w:docGrid w:linePitch="312" w:charSpace="0"/>
        </w:sectPr>
      </w:pPr>
    </w:p>
    <w:p>
      <w:pPr>
        <w:pStyle w:val="6"/>
        <w:spacing w:line="360" w:lineRule="auto"/>
        <w:rPr>
          <w:rFonts w:asciiTheme="majorEastAsia" w:hAnsiTheme="majorEastAsia" w:eastAsiaTheme="majorEastAsia" w:cstheme="majorEastAsia"/>
          <w:sz w:val="30"/>
          <w:szCs w:val="30"/>
        </w:rPr>
      </w:pPr>
      <w:bookmarkStart w:id="1077" w:name="_Toc456012477"/>
      <w:bookmarkStart w:id="1078" w:name="_Toc377982364"/>
      <w:bookmarkStart w:id="1079" w:name="_Toc11201"/>
      <w:bookmarkStart w:id="1080" w:name="_Toc24455"/>
      <w:r>
        <w:rPr>
          <w:rFonts w:hint="eastAsia" w:asciiTheme="majorEastAsia" w:hAnsiTheme="majorEastAsia" w:eastAsiaTheme="majorEastAsia" w:cstheme="majorEastAsia"/>
          <w:sz w:val="30"/>
          <w:szCs w:val="30"/>
        </w:rPr>
        <w:t>3．开标一览表明细</w:t>
      </w:r>
      <w:bookmarkEnd w:id="1077"/>
      <w:bookmarkEnd w:id="1078"/>
      <w:bookmarkEnd w:id="1079"/>
      <w:bookmarkEnd w:id="1080"/>
    </w:p>
    <w:p>
      <w:pPr>
        <w:spacing w:line="360" w:lineRule="auto"/>
        <w:rPr>
          <w:rFonts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Cs/>
          <w:snapToGrid w:val="0"/>
          <w:kern w:val="0"/>
          <w:sz w:val="24"/>
          <w:szCs w:val="24"/>
        </w:rPr>
        <w:t>项目名称：</w:t>
      </w:r>
    </w:p>
    <w:p>
      <w:pPr>
        <w:spacing w:line="360" w:lineRule="auto"/>
        <w:ind w:left="945" w:hanging="945"/>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Cs/>
          <w:snapToGrid w:val="0"/>
          <w:kern w:val="0"/>
          <w:sz w:val="24"/>
          <w:szCs w:val="24"/>
        </w:rPr>
        <w:t>招标编号：</w:t>
      </w:r>
    </w:p>
    <w:tbl>
      <w:tblPr>
        <w:tblStyle w:val="41"/>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036"/>
        <w:gridCol w:w="1300"/>
        <w:gridCol w:w="932"/>
        <w:gridCol w:w="421"/>
        <w:gridCol w:w="582"/>
        <w:gridCol w:w="1020"/>
        <w:gridCol w:w="1086"/>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3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货 物 名 称</w:t>
            </w:r>
          </w:p>
        </w:tc>
        <w:tc>
          <w:tcPr>
            <w:tcW w:w="103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rPr>
            </w:pPr>
            <w:r>
              <w:rPr>
                <w:rFonts w:hint="eastAsia" w:ascii="宋体" w:hAnsi="宋体" w:cs="宋体"/>
              </w:rPr>
              <w:t>品牌</w:t>
            </w:r>
          </w:p>
          <w:p>
            <w:pPr>
              <w:pStyle w:val="2"/>
              <w:ind w:left="0"/>
            </w:pPr>
            <w:r>
              <w:rPr>
                <w:rFonts w:hint="eastAsia"/>
              </w:rPr>
              <w:t>型号</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主要制造商</w:t>
            </w:r>
          </w:p>
        </w:tc>
        <w:tc>
          <w:tcPr>
            <w:tcW w:w="93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数量</w:t>
            </w:r>
          </w:p>
        </w:tc>
        <w:tc>
          <w:tcPr>
            <w:tcW w:w="100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单项</w:t>
            </w:r>
          </w:p>
          <w:p>
            <w:pPr>
              <w:spacing w:line="460" w:lineRule="exact"/>
              <w:jc w:val="center"/>
              <w:rPr>
                <w:rFonts w:ascii="宋体" w:hAnsi="宋体" w:cs="宋体"/>
              </w:rPr>
            </w:pPr>
            <w:r>
              <w:rPr>
                <w:rFonts w:hint="eastAsia" w:ascii="宋体" w:hAnsi="宋体" w:cs="宋体"/>
              </w:rPr>
              <w:t xml:space="preserve">总价 </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是否为小微企</w:t>
            </w:r>
          </w:p>
          <w:p>
            <w:pPr>
              <w:spacing w:line="460" w:lineRule="exact"/>
              <w:jc w:val="center"/>
              <w:rPr>
                <w:rFonts w:ascii="宋体" w:hAnsi="宋体" w:cs="宋体"/>
              </w:rPr>
            </w:pPr>
            <w:r>
              <w:rPr>
                <w:rFonts w:hint="eastAsia" w:ascii="宋体" w:hAnsi="宋体" w:cs="宋体"/>
              </w:rPr>
              <w:t>业产品</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r>
              <w:rPr>
                <w:rFonts w:hint="eastAsia" w:ascii="宋体" w:hAnsi="宋体" w:cs="宋体"/>
              </w:rPr>
              <w:t>属小微企业产品总价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0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3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93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03"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c>
          <w:tcPr>
            <w:tcW w:w="108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063" w:type="dxa"/>
            <w:gridSpan w:val="5"/>
            <w:tcBorders>
              <w:top w:val="single" w:color="auto" w:sz="4" w:space="0"/>
              <w:left w:val="single" w:color="auto" w:sz="4" w:space="0"/>
              <w:bottom w:val="single" w:color="auto" w:sz="4" w:space="0"/>
              <w:right w:val="single" w:color="auto" w:sz="4" w:space="0"/>
            </w:tcBorders>
            <w:vAlign w:val="bottom"/>
          </w:tcPr>
          <w:p>
            <w:pPr>
              <w:spacing w:line="460" w:lineRule="exact"/>
              <w:rPr>
                <w:rFonts w:ascii="宋体" w:hAnsi="宋体" w:cs="宋体"/>
                <w:sz w:val="24"/>
                <w:szCs w:val="24"/>
              </w:rPr>
            </w:pPr>
            <w:r>
              <w:rPr>
                <w:rFonts w:hint="eastAsia" w:ascii="宋体" w:hAnsi="宋体" w:cs="宋体"/>
                <w:sz w:val="24"/>
                <w:szCs w:val="24"/>
              </w:rPr>
              <w:t>总计（大写人民币）</w:t>
            </w:r>
          </w:p>
        </w:tc>
        <w:tc>
          <w:tcPr>
            <w:tcW w:w="3777" w:type="dxa"/>
            <w:gridSpan w:val="4"/>
            <w:tcBorders>
              <w:top w:val="single" w:color="auto" w:sz="4" w:space="0"/>
              <w:left w:val="single" w:color="auto" w:sz="4" w:space="0"/>
              <w:bottom w:val="single" w:color="auto" w:sz="4" w:space="0"/>
              <w:right w:val="single" w:color="auto" w:sz="4" w:space="0"/>
            </w:tcBorders>
            <w:vAlign w:val="bottom"/>
          </w:tcPr>
          <w:p>
            <w:pPr>
              <w:spacing w:line="460" w:lineRule="exact"/>
              <w:ind w:firstLine="120" w:firstLineChars="50"/>
              <w:jc w:val="center"/>
              <w:rPr>
                <w:rFonts w:ascii="宋体" w:hAnsi="宋体" w:cs="宋体"/>
                <w:sz w:val="24"/>
                <w:szCs w:val="24"/>
              </w:rPr>
            </w:pPr>
            <w:r>
              <w:rPr>
                <w:rFonts w:hint="eastAsia" w:ascii="宋体" w:hAnsi="宋体" w:cs="宋体"/>
                <w:sz w:val="24"/>
                <w:szCs w:val="24"/>
              </w:rPr>
              <w:t>（￥）</w:t>
            </w:r>
          </w:p>
        </w:tc>
      </w:tr>
    </w:tbl>
    <w:p>
      <w:pPr>
        <w:adjustRightInd w:val="0"/>
        <w:snapToGrid w:val="0"/>
        <w:rPr>
          <w:rFonts w:asciiTheme="majorEastAsia" w:hAnsiTheme="majorEastAsia" w:eastAsiaTheme="majorEastAsia" w:cstheme="majorEastAsia"/>
          <w:snapToGrid w:val="0"/>
          <w:kern w:val="0"/>
          <w:sz w:val="24"/>
          <w:szCs w:val="24"/>
        </w:rPr>
      </w:pPr>
    </w:p>
    <w:p>
      <w:pPr>
        <w:adjustRightInd w:val="0"/>
        <w:snapToGrid w:val="0"/>
        <w:rPr>
          <w:rFonts w:ascii="宋体" w:hAnsi="宋体" w:cs="宋体"/>
          <w:sz w:val="24"/>
          <w:szCs w:val="24"/>
        </w:rPr>
      </w:pPr>
      <w:r>
        <w:rPr>
          <w:rFonts w:hint="eastAsia" w:asciiTheme="majorEastAsia" w:hAnsiTheme="majorEastAsia" w:eastAsiaTheme="majorEastAsia" w:cstheme="majorEastAsia"/>
          <w:snapToGrid w:val="0"/>
          <w:kern w:val="0"/>
          <w:sz w:val="24"/>
          <w:szCs w:val="24"/>
        </w:rPr>
        <w:t>说明：</w:t>
      </w:r>
      <w:r>
        <w:rPr>
          <w:rFonts w:hint="eastAsia" w:ascii="宋体" w:hAnsi="宋体" w:cs="宋体"/>
          <w:sz w:val="24"/>
          <w:szCs w:val="24"/>
        </w:rPr>
        <w:t xml:space="preserve"> 1.如果按单价计算的结果与总价不一致,以单价为准修正总价。</w:t>
      </w:r>
    </w:p>
    <w:p>
      <w:pPr>
        <w:adjustRightInd w:val="0"/>
        <w:snapToGrid w:val="0"/>
        <w:rPr>
          <w:rFonts w:ascii="宋体" w:hAnsi="宋体" w:cs="宋体"/>
          <w:sz w:val="24"/>
          <w:szCs w:val="24"/>
        </w:rPr>
      </w:pPr>
      <w:r>
        <w:rPr>
          <w:rFonts w:hint="eastAsia" w:ascii="宋体" w:hAnsi="宋体" w:cs="宋体"/>
          <w:sz w:val="24"/>
          <w:szCs w:val="24"/>
        </w:rPr>
        <w:t>2．本表相关内容应当与《开标一览表》一致，否则以《开标一览表》内容为准。空格不够可加格填写。</w:t>
      </w:r>
    </w:p>
    <w:p>
      <w:pPr>
        <w:rPr>
          <w:sz w:val="24"/>
          <w:szCs w:val="24"/>
        </w:rPr>
      </w:pPr>
      <w:r>
        <w:rPr>
          <w:rFonts w:hint="eastAsia"/>
          <w:sz w:val="24"/>
          <w:szCs w:val="24"/>
        </w:rPr>
        <w:t>3.如果不提供详细分项报价将视为没有实质性响应招标文件，将否决其投标。</w:t>
      </w:r>
    </w:p>
    <w:p/>
    <w:p>
      <w:pPr>
        <w:pStyle w:val="2"/>
      </w:pPr>
    </w:p>
    <w:p>
      <w:pPr>
        <w:pStyle w:val="2"/>
      </w:pPr>
    </w:p>
    <w:p>
      <w:pPr>
        <w:adjustRightInd w:val="0"/>
        <w:snapToGrid w:val="0"/>
        <w:spacing w:line="360" w:lineRule="auto"/>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投标人名称（盖章）：</w:t>
      </w:r>
    </w:p>
    <w:p>
      <w:pPr>
        <w:adjustRightInd w:val="0"/>
        <w:snapToGrid w:val="0"/>
        <w:spacing w:line="300" w:lineRule="auto"/>
        <w:rPr>
          <w:rFonts w:asciiTheme="majorEastAsia" w:hAnsiTheme="majorEastAsia" w:eastAsiaTheme="majorEastAsia" w:cstheme="majorEastAsia"/>
          <w:snapToGrid w:val="0"/>
          <w:kern w:val="0"/>
          <w:sz w:val="24"/>
          <w:szCs w:val="24"/>
        </w:rPr>
      </w:pPr>
      <w:r>
        <w:rPr>
          <w:rFonts w:hint="eastAsia" w:asciiTheme="majorEastAsia" w:hAnsiTheme="majorEastAsia" w:eastAsiaTheme="majorEastAsia" w:cstheme="majorEastAsia"/>
          <w:snapToGrid w:val="0"/>
          <w:kern w:val="0"/>
          <w:sz w:val="24"/>
          <w:szCs w:val="24"/>
        </w:rPr>
        <w:t>法人代表或授权代表（签字）：</w:t>
      </w:r>
    </w:p>
    <w:p>
      <w:pPr>
        <w:sectPr>
          <w:pgSz w:w="11906" w:h="16838"/>
          <w:pgMar w:top="1134" w:right="1134" w:bottom="1134" w:left="1134" w:header="851" w:footer="992" w:gutter="0"/>
          <w:cols w:space="720" w:num="1"/>
          <w:docGrid w:linePitch="312" w:charSpace="0"/>
        </w:sectPr>
      </w:pPr>
    </w:p>
    <w:p>
      <w:pPr>
        <w:pStyle w:val="6"/>
        <w:spacing w:line="360" w:lineRule="auto"/>
        <w:rPr>
          <w:rFonts w:hAnsi="宋体" w:cs="宋体"/>
          <w:sz w:val="30"/>
          <w:szCs w:val="30"/>
        </w:rPr>
      </w:pPr>
      <w:r>
        <w:rPr>
          <w:rFonts w:hint="eastAsia" w:hAnsi="宋体" w:cs="宋体"/>
          <w:sz w:val="30"/>
          <w:szCs w:val="30"/>
        </w:rPr>
        <w:t>4．技术响应偏离表</w:t>
      </w:r>
    </w:p>
    <w:p>
      <w:pPr>
        <w:adjustRightInd w:val="0"/>
        <w:snapToGrid w:val="0"/>
        <w:spacing w:before="120" w:after="120" w:line="400" w:lineRule="exact"/>
        <w:ind w:left="1200" w:hanging="1200"/>
        <w:rPr>
          <w:rFonts w:ascii="宋体" w:hAnsi="宋体" w:cs="宋体"/>
          <w:bCs/>
          <w:snapToGrid w:val="0"/>
          <w:kern w:val="0"/>
          <w:sz w:val="24"/>
          <w:szCs w:val="24"/>
          <w:u w:val="single"/>
        </w:rPr>
      </w:pPr>
      <w:r>
        <w:rPr>
          <w:rFonts w:hint="eastAsia" w:ascii="宋体" w:hAnsi="宋体" w:cs="宋体"/>
          <w:bCs/>
          <w:snapToGrid w:val="0"/>
          <w:kern w:val="0"/>
          <w:sz w:val="24"/>
          <w:szCs w:val="24"/>
        </w:rPr>
        <w:t>项目名称：</w:t>
      </w:r>
    </w:p>
    <w:p>
      <w:pPr>
        <w:spacing w:line="460" w:lineRule="exact"/>
        <w:rPr>
          <w:rFonts w:ascii="宋体" w:hAnsi="宋体" w:cs="宋体"/>
          <w:bCs/>
          <w:snapToGrid w:val="0"/>
          <w:kern w:val="0"/>
          <w:sz w:val="24"/>
          <w:szCs w:val="24"/>
          <w:u w:val="single"/>
        </w:rPr>
      </w:pPr>
      <w:r>
        <w:rPr>
          <w:rFonts w:hint="eastAsia" w:ascii="宋体" w:hAnsi="宋体" w:cs="宋体"/>
          <w:bCs/>
          <w:snapToGrid w:val="0"/>
          <w:kern w:val="0"/>
          <w:sz w:val="24"/>
          <w:szCs w:val="24"/>
        </w:rPr>
        <w:t>招标编号：</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410"/>
        <w:gridCol w:w="2632"/>
        <w:gridCol w:w="149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trPr>
        <w:tc>
          <w:tcPr>
            <w:tcW w:w="817" w:type="dxa"/>
            <w:vAlign w:val="center"/>
          </w:tcPr>
          <w:p>
            <w:pPr>
              <w:jc w:val="left"/>
              <w:rPr>
                <w:rFonts w:ascii="宋体" w:hAnsi="宋体" w:cs="宋体"/>
                <w:sz w:val="24"/>
                <w:szCs w:val="24"/>
              </w:rPr>
            </w:pPr>
            <w:r>
              <w:rPr>
                <w:rFonts w:hint="eastAsia" w:ascii="宋体" w:hAnsi="宋体" w:cs="宋体"/>
                <w:sz w:val="24"/>
                <w:szCs w:val="24"/>
              </w:rPr>
              <w:t>序号</w:t>
            </w:r>
          </w:p>
        </w:tc>
        <w:tc>
          <w:tcPr>
            <w:tcW w:w="1276" w:type="dxa"/>
            <w:vAlign w:val="center"/>
          </w:tcPr>
          <w:p>
            <w:pPr>
              <w:jc w:val="center"/>
              <w:rPr>
                <w:rFonts w:ascii="宋体" w:hAnsi="宋体" w:cs="宋体"/>
                <w:sz w:val="24"/>
                <w:szCs w:val="24"/>
              </w:rPr>
            </w:pPr>
            <w:r>
              <w:rPr>
                <w:rFonts w:hint="eastAsia" w:ascii="宋体" w:hAnsi="宋体" w:cs="宋体"/>
                <w:sz w:val="24"/>
                <w:szCs w:val="24"/>
              </w:rPr>
              <w:t>货物名称</w:t>
            </w:r>
          </w:p>
        </w:tc>
        <w:tc>
          <w:tcPr>
            <w:tcW w:w="2410" w:type="dxa"/>
            <w:vAlign w:val="center"/>
          </w:tcPr>
          <w:p>
            <w:pPr>
              <w:jc w:val="center"/>
              <w:rPr>
                <w:rFonts w:ascii="宋体" w:hAnsi="宋体" w:cs="宋体"/>
                <w:sz w:val="24"/>
                <w:szCs w:val="24"/>
              </w:rPr>
            </w:pPr>
            <w:r>
              <w:rPr>
                <w:rFonts w:hint="eastAsia" w:ascii="宋体" w:hAnsi="宋体" w:cs="宋体"/>
                <w:sz w:val="24"/>
                <w:szCs w:val="24"/>
              </w:rPr>
              <w:t>招标文件的技术规格</w:t>
            </w:r>
          </w:p>
        </w:tc>
        <w:tc>
          <w:tcPr>
            <w:tcW w:w="2632" w:type="dxa"/>
            <w:vAlign w:val="center"/>
          </w:tcPr>
          <w:p>
            <w:pPr>
              <w:jc w:val="center"/>
              <w:rPr>
                <w:rFonts w:ascii="宋体" w:hAnsi="宋体" w:cs="宋体"/>
                <w:sz w:val="24"/>
                <w:szCs w:val="24"/>
              </w:rPr>
            </w:pPr>
            <w:r>
              <w:rPr>
                <w:rFonts w:hint="eastAsia" w:ascii="宋体" w:hAnsi="宋体" w:cs="宋体"/>
                <w:sz w:val="24"/>
                <w:szCs w:val="24"/>
              </w:rPr>
              <w:t>投标文件的技术规格</w:t>
            </w:r>
          </w:p>
        </w:tc>
        <w:tc>
          <w:tcPr>
            <w:tcW w:w="1490" w:type="dxa"/>
            <w:vAlign w:val="center"/>
          </w:tcPr>
          <w:p>
            <w:pPr>
              <w:jc w:val="center"/>
              <w:rPr>
                <w:rFonts w:ascii="宋体" w:hAnsi="宋体" w:cs="宋体"/>
                <w:sz w:val="24"/>
                <w:szCs w:val="24"/>
              </w:rPr>
            </w:pPr>
            <w:r>
              <w:rPr>
                <w:rFonts w:hint="eastAsia" w:ascii="宋体" w:hAnsi="宋体" w:cs="宋体"/>
                <w:sz w:val="24"/>
                <w:szCs w:val="24"/>
              </w:rPr>
              <w:t>响应/偏离</w:t>
            </w:r>
          </w:p>
        </w:tc>
        <w:tc>
          <w:tcPr>
            <w:tcW w:w="1229" w:type="dxa"/>
            <w:vAlign w:val="center"/>
          </w:tcPr>
          <w:p>
            <w:pPr>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817" w:type="dxa"/>
          </w:tcPr>
          <w:p>
            <w:pPr>
              <w:rPr>
                <w:rFonts w:ascii="宋体" w:hAnsi="宋体" w:cs="宋体"/>
                <w:sz w:val="24"/>
              </w:rPr>
            </w:pPr>
          </w:p>
        </w:tc>
        <w:tc>
          <w:tcPr>
            <w:tcW w:w="1276" w:type="dxa"/>
          </w:tcPr>
          <w:p>
            <w:pPr>
              <w:rPr>
                <w:rFonts w:ascii="宋体" w:hAnsi="宋体" w:cs="宋体"/>
                <w:sz w:val="24"/>
              </w:rPr>
            </w:pPr>
          </w:p>
        </w:tc>
        <w:tc>
          <w:tcPr>
            <w:tcW w:w="2410" w:type="dxa"/>
          </w:tcPr>
          <w:p>
            <w:pPr>
              <w:rPr>
                <w:rFonts w:ascii="宋体" w:hAnsi="宋体" w:cs="宋体"/>
                <w:sz w:val="24"/>
              </w:rPr>
            </w:pPr>
          </w:p>
        </w:tc>
        <w:tc>
          <w:tcPr>
            <w:tcW w:w="2632" w:type="dxa"/>
          </w:tcPr>
          <w:p>
            <w:pPr>
              <w:rPr>
                <w:rFonts w:ascii="宋体" w:hAnsi="宋体" w:cs="宋体"/>
                <w:sz w:val="24"/>
              </w:rPr>
            </w:pPr>
          </w:p>
        </w:tc>
        <w:tc>
          <w:tcPr>
            <w:tcW w:w="1490" w:type="dxa"/>
          </w:tcPr>
          <w:p>
            <w:pPr>
              <w:rPr>
                <w:rFonts w:ascii="宋体" w:hAnsi="宋体" w:cs="宋体"/>
                <w:sz w:val="24"/>
              </w:rPr>
            </w:pPr>
          </w:p>
        </w:tc>
        <w:tc>
          <w:tcPr>
            <w:tcW w:w="1229" w:type="dxa"/>
          </w:tcPr>
          <w:p>
            <w:pPr>
              <w:rPr>
                <w:rFonts w:ascii="宋体" w:hAnsi="宋体" w:cs="宋体"/>
                <w:sz w:val="24"/>
              </w:rPr>
            </w:pPr>
          </w:p>
        </w:tc>
      </w:tr>
    </w:tbl>
    <w:p>
      <w:pPr>
        <w:spacing w:line="400" w:lineRule="exact"/>
        <w:rPr>
          <w:rFonts w:ascii="宋体" w:hAnsi="宋体" w:cs="宋体"/>
          <w:snapToGrid w:val="0"/>
          <w:kern w:val="0"/>
          <w:sz w:val="24"/>
          <w:szCs w:val="24"/>
        </w:rPr>
      </w:pPr>
    </w:p>
    <w:p>
      <w:pPr>
        <w:spacing w:line="400" w:lineRule="exact"/>
        <w:rPr>
          <w:rFonts w:ascii="宋体" w:hAnsi="宋体" w:cs="宋体"/>
          <w:snapToGrid w:val="0"/>
          <w:kern w:val="0"/>
          <w:sz w:val="24"/>
          <w:szCs w:val="24"/>
        </w:rPr>
      </w:pPr>
    </w:p>
    <w:p>
      <w:pPr>
        <w:spacing w:line="400" w:lineRule="exact"/>
        <w:rPr>
          <w:rFonts w:ascii="宋体" w:hAnsi="宋体" w:cs="宋体"/>
          <w:sz w:val="24"/>
        </w:rPr>
      </w:pPr>
      <w:r>
        <w:rPr>
          <w:rFonts w:hint="eastAsia" w:ascii="宋体" w:hAnsi="宋体" w:cs="宋体"/>
          <w:snapToGrid w:val="0"/>
          <w:kern w:val="0"/>
          <w:sz w:val="24"/>
          <w:szCs w:val="24"/>
        </w:rPr>
        <w:t>投标人名称（盖章）：</w:t>
      </w:r>
    </w:p>
    <w:p>
      <w:pPr>
        <w:adjustRightInd w:val="0"/>
        <w:snapToGrid w:val="0"/>
        <w:spacing w:line="300" w:lineRule="auto"/>
        <w:rPr>
          <w:rFonts w:ascii="宋体" w:hAnsi="宋体" w:cs="宋体"/>
          <w:snapToGrid w:val="0"/>
          <w:kern w:val="0"/>
          <w:sz w:val="24"/>
          <w:szCs w:val="24"/>
        </w:rPr>
      </w:pPr>
      <w:r>
        <w:rPr>
          <w:rFonts w:hint="eastAsia" w:ascii="宋体" w:hAnsi="宋体" w:cs="宋体"/>
          <w:snapToGrid w:val="0"/>
          <w:kern w:val="0"/>
          <w:sz w:val="24"/>
          <w:szCs w:val="24"/>
        </w:rPr>
        <w:t>法人代表或授权代表（签字）：</w:t>
      </w:r>
    </w:p>
    <w:p>
      <w:pPr>
        <w:spacing w:line="400" w:lineRule="exact"/>
        <w:rPr>
          <w:rFonts w:ascii="宋体" w:hAnsi="宋体" w:cs="宋体"/>
          <w:sz w:val="24"/>
          <w:u w:val="single"/>
        </w:rPr>
      </w:pPr>
    </w:p>
    <w:p>
      <w:pPr>
        <w:spacing w:line="400" w:lineRule="exact"/>
        <w:rPr>
          <w:rFonts w:ascii="宋体" w:hAnsi="宋体" w:cs="宋体"/>
          <w:sz w:val="24"/>
          <w:u w:val="single"/>
        </w:rPr>
      </w:pPr>
    </w:p>
    <w:p>
      <w:pPr>
        <w:spacing w:line="400" w:lineRule="exact"/>
        <w:rPr>
          <w:rFonts w:ascii="宋体" w:hAnsi="宋体" w:cs="宋体"/>
          <w:sz w:val="24"/>
          <w:u w:val="single"/>
        </w:rPr>
      </w:pPr>
    </w:p>
    <w:p>
      <w:pPr>
        <w:spacing w:line="400" w:lineRule="exact"/>
        <w:rPr>
          <w:rFonts w:ascii="宋体" w:hAnsi="宋体" w:cs="宋体"/>
          <w:sz w:val="24"/>
          <w:u w:val="single"/>
        </w:rPr>
      </w:pPr>
    </w:p>
    <w:p>
      <w:pPr>
        <w:spacing w:line="400" w:lineRule="exact"/>
        <w:rPr>
          <w:rFonts w:ascii="宋体" w:hAnsi="宋体" w:cs="宋体"/>
          <w:sz w:val="24"/>
          <w:u w:val="single"/>
        </w:rPr>
      </w:pPr>
    </w:p>
    <w:p>
      <w:pPr>
        <w:pStyle w:val="6"/>
        <w:spacing w:line="360" w:lineRule="auto"/>
        <w:rPr>
          <w:rFonts w:hAnsi="宋体" w:cs="宋体"/>
          <w:sz w:val="30"/>
          <w:szCs w:val="30"/>
        </w:rPr>
      </w:pPr>
    </w:p>
    <w:p>
      <w:pPr>
        <w:pStyle w:val="6"/>
        <w:spacing w:line="360" w:lineRule="auto"/>
        <w:rPr>
          <w:rFonts w:hAnsi="宋体" w:cs="宋体"/>
          <w:sz w:val="28"/>
        </w:rPr>
      </w:pPr>
      <w:r>
        <w:rPr>
          <w:rFonts w:hint="eastAsia" w:hAnsi="宋体" w:cs="宋体"/>
          <w:sz w:val="30"/>
          <w:szCs w:val="30"/>
        </w:rPr>
        <w:t>5．商务响应偏离表</w:t>
      </w:r>
    </w:p>
    <w:p>
      <w:pPr>
        <w:adjustRightInd w:val="0"/>
        <w:snapToGrid w:val="0"/>
        <w:spacing w:before="120" w:after="120" w:line="300" w:lineRule="auto"/>
        <w:ind w:left="1200" w:hanging="1200"/>
        <w:rPr>
          <w:rFonts w:ascii="宋体" w:hAnsi="宋体" w:cs="宋体"/>
          <w:bCs/>
          <w:snapToGrid w:val="0"/>
          <w:kern w:val="0"/>
          <w:sz w:val="24"/>
          <w:szCs w:val="24"/>
        </w:rPr>
      </w:pPr>
      <w:r>
        <w:rPr>
          <w:rFonts w:hint="eastAsia" w:ascii="宋体" w:hAnsi="宋体" w:cs="宋体"/>
          <w:bCs/>
          <w:snapToGrid w:val="0"/>
          <w:kern w:val="0"/>
          <w:sz w:val="24"/>
          <w:szCs w:val="24"/>
        </w:rPr>
        <w:t>项目名称：</w:t>
      </w:r>
    </w:p>
    <w:p>
      <w:pPr>
        <w:spacing w:line="460" w:lineRule="exact"/>
        <w:rPr>
          <w:rFonts w:ascii="宋体" w:hAnsi="宋体" w:cs="宋体"/>
          <w:b/>
          <w:bCs/>
          <w:sz w:val="24"/>
          <w:szCs w:val="24"/>
          <w:u w:val="single"/>
        </w:rPr>
      </w:pPr>
      <w:r>
        <w:rPr>
          <w:rFonts w:hint="eastAsia" w:ascii="宋体" w:hAnsi="宋体" w:cs="宋体"/>
          <w:bCs/>
          <w:snapToGrid w:val="0"/>
          <w:kern w:val="0"/>
          <w:sz w:val="24"/>
          <w:szCs w:val="24"/>
        </w:rPr>
        <w:t>招标编号：</w:t>
      </w:r>
    </w:p>
    <w:tbl>
      <w:tblPr>
        <w:tblStyle w:val="41"/>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75"/>
        <w:gridCol w:w="2410"/>
        <w:gridCol w:w="2409"/>
        <w:gridCol w:w="141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9" w:type="dxa"/>
            <w:vAlign w:val="center"/>
          </w:tcPr>
          <w:p>
            <w:pPr>
              <w:jc w:val="left"/>
              <w:rPr>
                <w:rFonts w:ascii="宋体" w:hAnsi="宋体" w:cs="宋体"/>
                <w:sz w:val="24"/>
                <w:szCs w:val="24"/>
              </w:rPr>
            </w:pPr>
            <w:r>
              <w:rPr>
                <w:rFonts w:hint="eastAsia" w:ascii="宋体" w:hAnsi="宋体" w:cs="宋体"/>
                <w:sz w:val="24"/>
                <w:szCs w:val="24"/>
              </w:rPr>
              <w:t>序号</w:t>
            </w:r>
          </w:p>
        </w:tc>
        <w:tc>
          <w:tcPr>
            <w:tcW w:w="1375" w:type="dxa"/>
            <w:vAlign w:val="center"/>
          </w:tcPr>
          <w:p>
            <w:pPr>
              <w:widowControl/>
              <w:jc w:val="center"/>
              <w:rPr>
                <w:rFonts w:ascii="宋体" w:hAnsi="宋体" w:cs="宋体"/>
                <w:sz w:val="24"/>
                <w:szCs w:val="24"/>
              </w:rPr>
            </w:pPr>
            <w:r>
              <w:rPr>
                <w:rFonts w:hint="eastAsia" w:ascii="宋体" w:hAnsi="宋体" w:cs="宋体"/>
                <w:sz w:val="24"/>
                <w:szCs w:val="24"/>
              </w:rPr>
              <w:t>招标文件条目号</w:t>
            </w:r>
          </w:p>
        </w:tc>
        <w:tc>
          <w:tcPr>
            <w:tcW w:w="2410" w:type="dxa"/>
            <w:vAlign w:val="center"/>
          </w:tcPr>
          <w:p>
            <w:pPr>
              <w:jc w:val="center"/>
              <w:rPr>
                <w:rFonts w:ascii="宋体" w:hAnsi="宋体" w:cs="宋体"/>
                <w:sz w:val="24"/>
                <w:szCs w:val="24"/>
              </w:rPr>
            </w:pPr>
            <w:r>
              <w:rPr>
                <w:rFonts w:hint="eastAsia" w:ascii="宋体" w:hAnsi="宋体" w:cs="宋体"/>
                <w:sz w:val="24"/>
                <w:szCs w:val="24"/>
              </w:rPr>
              <w:t>招标文件的商务条款</w:t>
            </w:r>
          </w:p>
        </w:tc>
        <w:tc>
          <w:tcPr>
            <w:tcW w:w="2409" w:type="dxa"/>
            <w:vAlign w:val="center"/>
          </w:tcPr>
          <w:p>
            <w:pPr>
              <w:jc w:val="center"/>
              <w:rPr>
                <w:rFonts w:ascii="宋体" w:hAnsi="宋体" w:cs="宋体"/>
                <w:sz w:val="24"/>
                <w:szCs w:val="24"/>
              </w:rPr>
            </w:pPr>
            <w:r>
              <w:rPr>
                <w:rFonts w:hint="eastAsia" w:ascii="宋体" w:hAnsi="宋体" w:cs="宋体"/>
                <w:sz w:val="24"/>
                <w:szCs w:val="24"/>
              </w:rPr>
              <w:t>投标文件的商务条款</w:t>
            </w:r>
          </w:p>
        </w:tc>
        <w:tc>
          <w:tcPr>
            <w:tcW w:w="1418" w:type="dxa"/>
            <w:vAlign w:val="center"/>
          </w:tcPr>
          <w:p>
            <w:pPr>
              <w:jc w:val="center"/>
              <w:rPr>
                <w:rFonts w:ascii="宋体" w:hAnsi="宋体" w:cs="宋体"/>
                <w:sz w:val="24"/>
                <w:szCs w:val="24"/>
              </w:rPr>
            </w:pPr>
            <w:r>
              <w:rPr>
                <w:rFonts w:hint="eastAsia" w:ascii="宋体" w:hAnsi="宋体" w:cs="宋体"/>
                <w:sz w:val="24"/>
                <w:szCs w:val="24"/>
              </w:rPr>
              <w:t>响应/偏离</w:t>
            </w:r>
          </w:p>
        </w:tc>
        <w:tc>
          <w:tcPr>
            <w:tcW w:w="819" w:type="dxa"/>
            <w:vAlign w:val="center"/>
          </w:tcPr>
          <w:p>
            <w:pPr>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79" w:type="dxa"/>
            <w:vAlign w:val="center"/>
          </w:tcPr>
          <w:p>
            <w:pPr>
              <w:spacing w:line="432" w:lineRule="auto"/>
              <w:rPr>
                <w:rFonts w:ascii="宋体" w:hAnsi="宋体" w:cs="宋体"/>
                <w:sz w:val="24"/>
              </w:rPr>
            </w:pPr>
          </w:p>
        </w:tc>
        <w:tc>
          <w:tcPr>
            <w:tcW w:w="1375" w:type="dxa"/>
            <w:vAlign w:val="center"/>
          </w:tcPr>
          <w:p>
            <w:pPr>
              <w:spacing w:line="432" w:lineRule="auto"/>
              <w:rPr>
                <w:rFonts w:ascii="宋体" w:hAnsi="宋体" w:cs="宋体"/>
                <w:sz w:val="24"/>
              </w:rPr>
            </w:pPr>
          </w:p>
        </w:tc>
        <w:tc>
          <w:tcPr>
            <w:tcW w:w="2410" w:type="dxa"/>
            <w:vAlign w:val="center"/>
          </w:tcPr>
          <w:p>
            <w:pPr>
              <w:spacing w:line="432" w:lineRule="auto"/>
              <w:rPr>
                <w:rFonts w:ascii="宋体" w:hAnsi="宋体" w:cs="宋体"/>
                <w:sz w:val="24"/>
              </w:rPr>
            </w:pPr>
          </w:p>
        </w:tc>
        <w:tc>
          <w:tcPr>
            <w:tcW w:w="2409" w:type="dxa"/>
            <w:vAlign w:val="center"/>
          </w:tcPr>
          <w:p>
            <w:pPr>
              <w:spacing w:line="432" w:lineRule="auto"/>
              <w:rPr>
                <w:rFonts w:ascii="宋体" w:hAnsi="宋体" w:cs="宋体"/>
                <w:sz w:val="24"/>
              </w:rPr>
            </w:pPr>
          </w:p>
        </w:tc>
        <w:tc>
          <w:tcPr>
            <w:tcW w:w="1418" w:type="dxa"/>
            <w:vAlign w:val="center"/>
          </w:tcPr>
          <w:p>
            <w:pPr>
              <w:spacing w:line="432" w:lineRule="auto"/>
              <w:rPr>
                <w:rFonts w:ascii="宋体" w:hAnsi="宋体" w:cs="宋体"/>
                <w:sz w:val="24"/>
              </w:rPr>
            </w:pPr>
          </w:p>
        </w:tc>
        <w:tc>
          <w:tcPr>
            <w:tcW w:w="819" w:type="dxa"/>
            <w:vAlign w:val="center"/>
          </w:tcPr>
          <w:p>
            <w:pPr>
              <w:spacing w:line="432" w:lineRule="auto"/>
              <w:rPr>
                <w:rFonts w:ascii="宋体" w:hAnsi="宋体" w:cs="宋体"/>
                <w:sz w:val="24"/>
              </w:rPr>
            </w:pPr>
          </w:p>
        </w:tc>
      </w:tr>
    </w:tbl>
    <w:p>
      <w:pPr>
        <w:ind w:firstLine="420"/>
        <w:rPr>
          <w:rFonts w:ascii="宋体" w:hAnsi="宋体" w:cs="宋体"/>
          <w:kern w:val="0"/>
        </w:rPr>
      </w:pPr>
    </w:p>
    <w:p>
      <w:pPr>
        <w:spacing w:line="400" w:lineRule="exact"/>
        <w:rPr>
          <w:rFonts w:ascii="宋体" w:hAnsi="宋体" w:cs="宋体"/>
          <w:sz w:val="24"/>
          <w:szCs w:val="24"/>
        </w:rPr>
      </w:pPr>
      <w:r>
        <w:rPr>
          <w:rFonts w:hint="eastAsia" w:ascii="宋体" w:hAnsi="宋体" w:cs="宋体"/>
          <w:snapToGrid w:val="0"/>
          <w:kern w:val="0"/>
          <w:sz w:val="24"/>
          <w:szCs w:val="24"/>
        </w:rPr>
        <w:t>投标人名称（盖章）：</w:t>
      </w:r>
    </w:p>
    <w:p>
      <w:pPr>
        <w:adjustRightInd w:val="0"/>
        <w:snapToGrid w:val="0"/>
        <w:spacing w:line="300" w:lineRule="auto"/>
        <w:rPr>
          <w:rFonts w:ascii="宋体" w:hAnsi="宋体" w:cs="宋体"/>
          <w:snapToGrid w:val="0"/>
          <w:kern w:val="0"/>
          <w:sz w:val="24"/>
          <w:szCs w:val="24"/>
        </w:rPr>
      </w:pPr>
      <w:r>
        <w:rPr>
          <w:rFonts w:hint="eastAsia" w:ascii="宋体" w:hAnsi="宋体" w:cs="宋体"/>
          <w:snapToGrid w:val="0"/>
          <w:kern w:val="0"/>
          <w:sz w:val="24"/>
          <w:szCs w:val="24"/>
        </w:rPr>
        <w:t>法人代表或授权代表（签字）：</w:t>
      </w:r>
    </w:p>
    <w:p>
      <w:pPr>
        <w:spacing w:line="400" w:lineRule="exact"/>
        <w:rPr>
          <w:rFonts w:ascii="宋体" w:hAnsi="宋体" w:cs="宋体"/>
          <w:sz w:val="24"/>
          <w:szCs w:val="24"/>
          <w:u w:val="single"/>
        </w:rPr>
      </w:pPr>
    </w:p>
    <w:p>
      <w:pPr>
        <w:spacing w:line="400" w:lineRule="exact"/>
        <w:rPr>
          <w:rFonts w:ascii="宋体" w:hAnsi="宋体" w:cs="宋体"/>
          <w:sz w:val="24"/>
          <w:szCs w:val="24"/>
          <w:u w:val="single"/>
        </w:rPr>
      </w:pPr>
    </w:p>
    <w:p>
      <w:pPr>
        <w:spacing w:line="400" w:lineRule="exact"/>
        <w:rPr>
          <w:rFonts w:ascii="宋体" w:hAnsi="宋体" w:cs="宋体"/>
          <w:sz w:val="24"/>
          <w:szCs w:val="24"/>
          <w:u w:val="single"/>
        </w:rPr>
      </w:pPr>
    </w:p>
    <w:p>
      <w:pPr>
        <w:spacing w:line="400" w:lineRule="exact"/>
        <w:rPr>
          <w:rFonts w:ascii="宋体" w:hAnsi="宋体" w:cs="宋体"/>
          <w:sz w:val="24"/>
          <w:szCs w:val="24"/>
          <w:u w:val="single"/>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6"/>
        <w:spacing w:line="360" w:lineRule="auto"/>
        <w:rPr>
          <w:rFonts w:hAnsi="宋体" w:cs="宋体"/>
        </w:rPr>
      </w:pPr>
      <w:r>
        <w:rPr>
          <w:rFonts w:hint="eastAsia" w:hAnsi="宋体" w:cs="宋体"/>
          <w:sz w:val="30"/>
          <w:szCs w:val="30"/>
        </w:rPr>
        <w:t>6．</w:t>
      </w:r>
      <w:r>
        <w:rPr>
          <w:rFonts w:hint="eastAsia" w:hAnsi="宋体" w:cs="宋体"/>
        </w:rPr>
        <w:t>投标人的资格声明</w:t>
      </w:r>
    </w:p>
    <w:p>
      <w:pPr>
        <w:ind w:firstLine="560"/>
        <w:rPr>
          <w:rFonts w:ascii="宋体" w:hAnsi="宋体" w:cs="宋体"/>
        </w:rPr>
      </w:pPr>
      <w:r>
        <w:rPr>
          <w:rFonts w:hint="eastAsia" w:ascii="宋体" w:hAnsi="宋体" w:cs="宋体"/>
        </w:rPr>
        <w:t>致：（采购代理机构）</w:t>
      </w:r>
    </w:p>
    <w:p>
      <w:pPr>
        <w:ind w:firstLine="560"/>
        <w:rPr>
          <w:rFonts w:ascii="宋体" w:hAnsi="宋体" w:cs="宋体"/>
        </w:rPr>
      </w:pPr>
      <w:r>
        <w:rPr>
          <w:rFonts w:hint="eastAsia" w:ascii="宋体" w:hAnsi="宋体" w:cs="宋体"/>
        </w:rPr>
        <w:t>就我方全部所知，兹证明上述声明是真实、准确的，并已提供了全部现有资料和数据，我方同意根据贵方要求出示文件予以证实。</w:t>
      </w:r>
    </w:p>
    <w:p>
      <w:pPr>
        <w:ind w:firstLine="560"/>
        <w:rPr>
          <w:rFonts w:ascii="宋体" w:hAnsi="宋体" w:cs="宋体"/>
          <w:b/>
          <w:sz w:val="28"/>
          <w:szCs w:val="28"/>
        </w:rPr>
      </w:pPr>
      <w:r>
        <w:rPr>
          <w:rFonts w:hint="eastAsia" w:ascii="宋体" w:hAnsi="宋体" w:cs="宋体"/>
          <w:b/>
          <w:bCs/>
        </w:rPr>
        <w:t>填表须知：投标人应完整填写本表，而且保证所有填写内容是真实和准确的。</w:t>
      </w:r>
    </w:p>
    <w:tbl>
      <w:tblPr>
        <w:tblStyle w:val="41"/>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91"/>
        <w:gridCol w:w="289"/>
        <w:gridCol w:w="1400"/>
        <w:gridCol w:w="840"/>
        <w:gridCol w:w="636"/>
        <w:gridCol w:w="708"/>
        <w:gridCol w:w="709"/>
        <w:gridCol w:w="284"/>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单位名称</w:t>
            </w:r>
          </w:p>
        </w:tc>
        <w:tc>
          <w:tcPr>
            <w:tcW w:w="7410" w:type="dxa"/>
            <w:gridSpan w:val="9"/>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详细地址</w:t>
            </w:r>
          </w:p>
        </w:tc>
        <w:tc>
          <w:tcPr>
            <w:tcW w:w="7410" w:type="dxa"/>
            <w:gridSpan w:val="9"/>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主管部门</w:t>
            </w:r>
          </w:p>
        </w:tc>
        <w:tc>
          <w:tcPr>
            <w:tcW w:w="1680" w:type="dxa"/>
            <w:gridSpan w:val="2"/>
            <w:vAlign w:val="center"/>
          </w:tcPr>
          <w:p>
            <w:pPr>
              <w:spacing w:line="320" w:lineRule="exact"/>
              <w:jc w:val="center"/>
              <w:rPr>
                <w:rFonts w:ascii="宋体" w:hAnsi="宋体" w:cs="宋体"/>
              </w:rPr>
            </w:pPr>
          </w:p>
        </w:tc>
        <w:tc>
          <w:tcPr>
            <w:tcW w:w="1400" w:type="dxa"/>
            <w:vAlign w:val="center"/>
          </w:tcPr>
          <w:p>
            <w:pPr>
              <w:spacing w:line="320" w:lineRule="exact"/>
              <w:jc w:val="center"/>
              <w:rPr>
                <w:rFonts w:ascii="宋体" w:hAnsi="宋体" w:cs="宋体"/>
              </w:rPr>
            </w:pPr>
            <w:r>
              <w:rPr>
                <w:rFonts w:hint="eastAsia" w:ascii="宋体" w:hAnsi="宋体" w:cs="宋体"/>
              </w:rPr>
              <w:t>法人代表</w:t>
            </w:r>
          </w:p>
        </w:tc>
        <w:tc>
          <w:tcPr>
            <w:tcW w:w="2184" w:type="dxa"/>
            <w:gridSpan w:val="3"/>
            <w:vAlign w:val="center"/>
          </w:tcPr>
          <w:p>
            <w:pPr>
              <w:spacing w:line="320" w:lineRule="exact"/>
              <w:jc w:val="center"/>
              <w:rPr>
                <w:rFonts w:ascii="宋体" w:hAnsi="宋体" w:cs="宋体"/>
              </w:rPr>
            </w:pPr>
          </w:p>
        </w:tc>
        <w:tc>
          <w:tcPr>
            <w:tcW w:w="993" w:type="dxa"/>
            <w:gridSpan w:val="2"/>
            <w:vAlign w:val="center"/>
          </w:tcPr>
          <w:p>
            <w:pPr>
              <w:spacing w:line="320" w:lineRule="exact"/>
              <w:jc w:val="center"/>
              <w:rPr>
                <w:rFonts w:ascii="宋体" w:hAnsi="宋体" w:cs="宋体"/>
              </w:rPr>
            </w:pPr>
            <w:r>
              <w:rPr>
                <w:rFonts w:hint="eastAsia" w:ascii="宋体" w:hAnsi="宋体" w:cs="宋体"/>
              </w:rPr>
              <w:t>职务</w:t>
            </w:r>
          </w:p>
        </w:tc>
        <w:tc>
          <w:tcPr>
            <w:tcW w:w="1153" w:type="dxa"/>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经济类型</w:t>
            </w:r>
          </w:p>
        </w:tc>
        <w:tc>
          <w:tcPr>
            <w:tcW w:w="1680" w:type="dxa"/>
            <w:gridSpan w:val="2"/>
            <w:vAlign w:val="center"/>
          </w:tcPr>
          <w:p>
            <w:pPr>
              <w:spacing w:line="320" w:lineRule="exact"/>
              <w:jc w:val="center"/>
              <w:rPr>
                <w:rFonts w:ascii="宋体" w:hAnsi="宋体" w:cs="宋体"/>
              </w:rPr>
            </w:pPr>
          </w:p>
        </w:tc>
        <w:tc>
          <w:tcPr>
            <w:tcW w:w="1400" w:type="dxa"/>
            <w:vAlign w:val="center"/>
          </w:tcPr>
          <w:p>
            <w:pPr>
              <w:spacing w:line="320" w:lineRule="exact"/>
              <w:jc w:val="center"/>
              <w:rPr>
                <w:rFonts w:ascii="宋体" w:hAnsi="宋体" w:cs="宋体"/>
              </w:rPr>
            </w:pPr>
            <w:r>
              <w:rPr>
                <w:rFonts w:hint="eastAsia" w:ascii="宋体" w:hAnsi="宋体" w:cs="宋体"/>
              </w:rPr>
              <w:t>授权代表</w:t>
            </w:r>
          </w:p>
        </w:tc>
        <w:tc>
          <w:tcPr>
            <w:tcW w:w="2184" w:type="dxa"/>
            <w:gridSpan w:val="3"/>
            <w:vAlign w:val="center"/>
          </w:tcPr>
          <w:p>
            <w:pPr>
              <w:spacing w:line="320" w:lineRule="exact"/>
              <w:jc w:val="center"/>
              <w:rPr>
                <w:rFonts w:ascii="宋体" w:hAnsi="宋体" w:cs="宋体"/>
              </w:rPr>
            </w:pPr>
          </w:p>
        </w:tc>
        <w:tc>
          <w:tcPr>
            <w:tcW w:w="993" w:type="dxa"/>
            <w:gridSpan w:val="2"/>
            <w:vAlign w:val="center"/>
          </w:tcPr>
          <w:p>
            <w:pPr>
              <w:spacing w:line="320" w:lineRule="exact"/>
              <w:jc w:val="center"/>
              <w:rPr>
                <w:rFonts w:ascii="宋体" w:hAnsi="宋体" w:cs="宋体"/>
              </w:rPr>
            </w:pPr>
            <w:r>
              <w:rPr>
                <w:rFonts w:hint="eastAsia" w:ascii="宋体" w:hAnsi="宋体" w:cs="宋体"/>
              </w:rPr>
              <w:t>职务</w:t>
            </w:r>
          </w:p>
        </w:tc>
        <w:tc>
          <w:tcPr>
            <w:tcW w:w="1153" w:type="dxa"/>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邮政编码</w:t>
            </w:r>
          </w:p>
        </w:tc>
        <w:tc>
          <w:tcPr>
            <w:tcW w:w="1680" w:type="dxa"/>
            <w:gridSpan w:val="2"/>
            <w:vAlign w:val="center"/>
          </w:tcPr>
          <w:p>
            <w:pPr>
              <w:spacing w:line="320" w:lineRule="exact"/>
              <w:jc w:val="center"/>
              <w:rPr>
                <w:rFonts w:ascii="宋体" w:hAnsi="宋体" w:cs="宋体"/>
              </w:rPr>
            </w:pPr>
          </w:p>
        </w:tc>
        <w:tc>
          <w:tcPr>
            <w:tcW w:w="1400" w:type="dxa"/>
            <w:vAlign w:val="center"/>
          </w:tcPr>
          <w:p>
            <w:pPr>
              <w:spacing w:line="320" w:lineRule="exact"/>
              <w:jc w:val="center"/>
              <w:rPr>
                <w:rFonts w:ascii="宋体" w:hAnsi="宋体" w:cs="宋体"/>
              </w:rPr>
            </w:pPr>
            <w:r>
              <w:rPr>
                <w:rFonts w:hint="eastAsia" w:ascii="宋体" w:hAnsi="宋体" w:cs="宋体"/>
              </w:rPr>
              <w:t>电    话</w:t>
            </w:r>
          </w:p>
        </w:tc>
        <w:tc>
          <w:tcPr>
            <w:tcW w:w="2184" w:type="dxa"/>
            <w:gridSpan w:val="3"/>
            <w:vAlign w:val="center"/>
          </w:tcPr>
          <w:p>
            <w:pPr>
              <w:spacing w:line="320" w:lineRule="exact"/>
              <w:jc w:val="center"/>
              <w:rPr>
                <w:rFonts w:ascii="宋体" w:hAnsi="宋体" w:cs="宋体"/>
              </w:rPr>
            </w:pPr>
          </w:p>
        </w:tc>
        <w:tc>
          <w:tcPr>
            <w:tcW w:w="993" w:type="dxa"/>
            <w:gridSpan w:val="2"/>
            <w:vAlign w:val="center"/>
          </w:tcPr>
          <w:p>
            <w:pPr>
              <w:spacing w:line="320" w:lineRule="exact"/>
              <w:jc w:val="center"/>
              <w:rPr>
                <w:rFonts w:ascii="宋体" w:hAnsi="宋体" w:cs="宋体"/>
              </w:rPr>
            </w:pPr>
            <w:r>
              <w:rPr>
                <w:rFonts w:hint="eastAsia" w:ascii="宋体" w:hAnsi="宋体" w:cs="宋体"/>
              </w:rPr>
              <w:t>传真</w:t>
            </w:r>
          </w:p>
        </w:tc>
        <w:tc>
          <w:tcPr>
            <w:tcW w:w="1153" w:type="dxa"/>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企业经营能力及情况</w:t>
            </w:r>
          </w:p>
        </w:tc>
        <w:tc>
          <w:tcPr>
            <w:tcW w:w="7410" w:type="dxa"/>
            <w:gridSpan w:val="9"/>
            <w:vAlign w:val="center"/>
          </w:tcPr>
          <w:p>
            <w:pPr>
              <w:spacing w:line="32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21" w:type="dxa"/>
            <w:vAlign w:val="center"/>
          </w:tcPr>
          <w:p>
            <w:pPr>
              <w:spacing w:line="320" w:lineRule="exact"/>
              <w:jc w:val="center"/>
              <w:rPr>
                <w:rFonts w:ascii="宋体" w:hAnsi="宋体" w:cs="宋体"/>
              </w:rPr>
            </w:pPr>
            <w:r>
              <w:rPr>
                <w:rFonts w:hint="eastAsia" w:ascii="宋体" w:hAnsi="宋体" w:cs="宋体"/>
              </w:rPr>
              <w:t>近三年以来与用户成交的此类项目</w:t>
            </w:r>
          </w:p>
        </w:tc>
        <w:tc>
          <w:tcPr>
            <w:tcW w:w="7410" w:type="dxa"/>
            <w:gridSpan w:val="9"/>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421" w:type="dxa"/>
            <w:vMerge w:val="restart"/>
            <w:textDirection w:val="tbRlV"/>
            <w:vAlign w:val="center"/>
          </w:tcPr>
          <w:p>
            <w:pPr>
              <w:spacing w:line="320" w:lineRule="exact"/>
              <w:jc w:val="center"/>
              <w:rPr>
                <w:rFonts w:ascii="宋体" w:hAnsi="宋体" w:cs="宋体"/>
              </w:rPr>
            </w:pPr>
            <w:r>
              <w:rPr>
                <w:rFonts w:hint="eastAsia" w:ascii="宋体" w:hAnsi="宋体" w:cs="宋体"/>
              </w:rPr>
              <w:t>单位概况</w:t>
            </w:r>
          </w:p>
        </w:tc>
        <w:tc>
          <w:tcPr>
            <w:tcW w:w="1391" w:type="dxa"/>
            <w:vMerge w:val="restart"/>
            <w:vAlign w:val="center"/>
          </w:tcPr>
          <w:p>
            <w:pPr>
              <w:spacing w:line="320" w:lineRule="exact"/>
              <w:jc w:val="center"/>
              <w:rPr>
                <w:rFonts w:ascii="宋体" w:hAnsi="宋体" w:cs="宋体"/>
              </w:rPr>
            </w:pPr>
            <w:r>
              <w:rPr>
                <w:rFonts w:hint="eastAsia" w:ascii="宋体" w:hAnsi="宋体" w:cs="宋体"/>
              </w:rPr>
              <w:t>员工总数</w:t>
            </w:r>
          </w:p>
        </w:tc>
        <w:tc>
          <w:tcPr>
            <w:tcW w:w="1689" w:type="dxa"/>
            <w:gridSpan w:val="2"/>
            <w:vMerge w:val="restart"/>
            <w:vAlign w:val="center"/>
          </w:tcPr>
          <w:p>
            <w:pPr>
              <w:spacing w:line="320" w:lineRule="exact"/>
              <w:jc w:val="right"/>
              <w:rPr>
                <w:rFonts w:ascii="宋体" w:hAnsi="宋体" w:cs="宋体"/>
              </w:rPr>
            </w:pPr>
            <w:r>
              <w:rPr>
                <w:rFonts w:hint="eastAsia" w:ascii="宋体" w:hAnsi="宋体" w:cs="宋体"/>
              </w:rPr>
              <w:t>人</w:t>
            </w:r>
          </w:p>
        </w:tc>
        <w:tc>
          <w:tcPr>
            <w:tcW w:w="4330" w:type="dxa"/>
            <w:gridSpan w:val="6"/>
            <w:vAlign w:val="center"/>
          </w:tcPr>
          <w:p>
            <w:pPr>
              <w:spacing w:line="320" w:lineRule="exact"/>
              <w:jc w:val="center"/>
              <w:rPr>
                <w:rFonts w:ascii="宋体" w:hAnsi="宋体" w:cs="宋体"/>
              </w:rPr>
            </w:pPr>
            <w:r>
              <w:rPr>
                <w:rFonts w:hint="eastAsia" w:ascii="宋体" w:hAnsi="宋体" w:cs="宋体"/>
              </w:rPr>
              <w:t>销售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421" w:type="dxa"/>
            <w:vMerge w:val="continue"/>
            <w:vAlign w:val="center"/>
          </w:tcPr>
          <w:p>
            <w:pPr>
              <w:ind w:firstLine="560"/>
              <w:rPr>
                <w:rFonts w:ascii="宋体" w:hAnsi="宋体" w:cs="宋体"/>
              </w:rPr>
            </w:pPr>
          </w:p>
        </w:tc>
        <w:tc>
          <w:tcPr>
            <w:tcW w:w="1391" w:type="dxa"/>
            <w:vMerge w:val="continue"/>
            <w:vAlign w:val="center"/>
          </w:tcPr>
          <w:p>
            <w:pPr>
              <w:ind w:firstLine="560"/>
              <w:rPr>
                <w:rFonts w:ascii="宋体" w:hAnsi="宋体" w:cs="宋体"/>
              </w:rPr>
            </w:pPr>
          </w:p>
        </w:tc>
        <w:tc>
          <w:tcPr>
            <w:tcW w:w="1689" w:type="dxa"/>
            <w:gridSpan w:val="2"/>
            <w:vMerge w:val="continue"/>
            <w:vAlign w:val="center"/>
          </w:tcPr>
          <w:p>
            <w:pPr>
              <w:ind w:firstLine="560"/>
              <w:rPr>
                <w:rFonts w:ascii="宋体" w:hAnsi="宋体" w:cs="宋体"/>
              </w:rPr>
            </w:pPr>
          </w:p>
        </w:tc>
        <w:tc>
          <w:tcPr>
            <w:tcW w:w="4330" w:type="dxa"/>
            <w:gridSpan w:val="6"/>
            <w:vAlign w:val="center"/>
          </w:tcPr>
          <w:p>
            <w:pPr>
              <w:spacing w:line="320" w:lineRule="exact"/>
              <w:jc w:val="center"/>
              <w:rPr>
                <w:rFonts w:ascii="宋体" w:hAnsi="宋体" w:cs="宋体"/>
              </w:rPr>
            </w:pPr>
            <w:r>
              <w:rPr>
                <w:rFonts w:hint="eastAsia" w:ascii="宋体" w:hAnsi="宋体" w:cs="宋体"/>
              </w:rPr>
              <w:t>工程技术人员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21" w:type="dxa"/>
            <w:vMerge w:val="continue"/>
            <w:vAlign w:val="center"/>
          </w:tcPr>
          <w:p>
            <w:pPr>
              <w:ind w:firstLine="560"/>
              <w:rPr>
                <w:rFonts w:ascii="宋体" w:hAnsi="宋体" w:cs="宋体"/>
              </w:rPr>
            </w:pPr>
          </w:p>
        </w:tc>
        <w:tc>
          <w:tcPr>
            <w:tcW w:w="1391" w:type="dxa"/>
            <w:vMerge w:val="restart"/>
            <w:vAlign w:val="center"/>
          </w:tcPr>
          <w:p>
            <w:pPr>
              <w:spacing w:line="320" w:lineRule="exact"/>
              <w:jc w:val="center"/>
              <w:rPr>
                <w:rFonts w:ascii="宋体" w:hAnsi="宋体" w:cs="宋体"/>
              </w:rPr>
            </w:pPr>
            <w:r>
              <w:rPr>
                <w:rFonts w:hint="eastAsia" w:ascii="宋体" w:hAnsi="宋体" w:cs="宋体"/>
              </w:rPr>
              <w:t>流动资金</w:t>
            </w:r>
          </w:p>
        </w:tc>
        <w:tc>
          <w:tcPr>
            <w:tcW w:w="1689" w:type="dxa"/>
            <w:gridSpan w:val="2"/>
            <w:vMerge w:val="restart"/>
            <w:vAlign w:val="center"/>
          </w:tcPr>
          <w:p>
            <w:pPr>
              <w:spacing w:line="320" w:lineRule="exact"/>
              <w:jc w:val="right"/>
              <w:rPr>
                <w:rFonts w:ascii="宋体" w:hAnsi="宋体" w:cs="宋体"/>
              </w:rPr>
            </w:pPr>
            <w:r>
              <w:rPr>
                <w:rFonts w:hint="eastAsia" w:ascii="宋体" w:hAnsi="宋体" w:cs="宋体"/>
              </w:rPr>
              <w:t>万元</w:t>
            </w:r>
          </w:p>
        </w:tc>
        <w:tc>
          <w:tcPr>
            <w:tcW w:w="840" w:type="dxa"/>
            <w:vMerge w:val="restart"/>
            <w:vAlign w:val="center"/>
          </w:tcPr>
          <w:p>
            <w:pPr>
              <w:spacing w:line="320" w:lineRule="exact"/>
              <w:jc w:val="center"/>
              <w:rPr>
                <w:rFonts w:ascii="宋体" w:hAnsi="宋体" w:cs="宋体"/>
              </w:rPr>
            </w:pPr>
            <w:r>
              <w:rPr>
                <w:rFonts w:hint="eastAsia" w:ascii="宋体" w:hAnsi="宋体" w:cs="宋体"/>
              </w:rPr>
              <w:t>资金</w:t>
            </w:r>
          </w:p>
          <w:p>
            <w:pPr>
              <w:spacing w:line="320" w:lineRule="exact"/>
              <w:jc w:val="center"/>
              <w:rPr>
                <w:rFonts w:ascii="宋体" w:hAnsi="宋体" w:cs="宋体"/>
              </w:rPr>
            </w:pPr>
            <w:r>
              <w:rPr>
                <w:rFonts w:hint="eastAsia" w:ascii="宋体" w:hAnsi="宋体" w:cs="宋体"/>
              </w:rPr>
              <w:t>来源</w:t>
            </w:r>
          </w:p>
        </w:tc>
        <w:tc>
          <w:tcPr>
            <w:tcW w:w="1344" w:type="dxa"/>
            <w:gridSpan w:val="2"/>
            <w:vAlign w:val="center"/>
          </w:tcPr>
          <w:p>
            <w:pPr>
              <w:spacing w:line="320" w:lineRule="exact"/>
              <w:jc w:val="center"/>
              <w:rPr>
                <w:rFonts w:ascii="宋体" w:hAnsi="宋体" w:cs="宋体"/>
              </w:rPr>
            </w:pPr>
            <w:r>
              <w:rPr>
                <w:rFonts w:hint="eastAsia" w:ascii="宋体" w:hAnsi="宋体" w:cs="宋体"/>
              </w:rPr>
              <w:t>自有资金</w:t>
            </w:r>
          </w:p>
        </w:tc>
        <w:tc>
          <w:tcPr>
            <w:tcW w:w="2146" w:type="dxa"/>
            <w:gridSpan w:val="3"/>
            <w:vAlign w:val="center"/>
          </w:tcPr>
          <w:p>
            <w:pPr>
              <w:spacing w:line="320" w:lineRule="exact"/>
              <w:jc w:val="right"/>
              <w:rPr>
                <w:rFonts w:ascii="宋体" w:hAnsi="宋体" w:cs="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21" w:type="dxa"/>
            <w:vMerge w:val="continue"/>
            <w:vAlign w:val="center"/>
          </w:tcPr>
          <w:p>
            <w:pPr>
              <w:ind w:firstLine="560"/>
              <w:rPr>
                <w:rFonts w:ascii="宋体" w:hAnsi="宋体" w:cs="宋体"/>
              </w:rPr>
            </w:pPr>
          </w:p>
        </w:tc>
        <w:tc>
          <w:tcPr>
            <w:tcW w:w="1391" w:type="dxa"/>
            <w:vMerge w:val="continue"/>
            <w:vAlign w:val="center"/>
          </w:tcPr>
          <w:p>
            <w:pPr>
              <w:ind w:firstLine="560"/>
              <w:rPr>
                <w:rFonts w:ascii="宋体" w:hAnsi="宋体" w:cs="宋体"/>
              </w:rPr>
            </w:pPr>
          </w:p>
        </w:tc>
        <w:tc>
          <w:tcPr>
            <w:tcW w:w="1689" w:type="dxa"/>
            <w:gridSpan w:val="2"/>
            <w:vMerge w:val="continue"/>
            <w:vAlign w:val="center"/>
          </w:tcPr>
          <w:p>
            <w:pPr>
              <w:ind w:firstLine="560"/>
              <w:rPr>
                <w:rFonts w:ascii="宋体" w:hAnsi="宋体" w:cs="宋体"/>
              </w:rPr>
            </w:pPr>
          </w:p>
        </w:tc>
        <w:tc>
          <w:tcPr>
            <w:tcW w:w="840" w:type="dxa"/>
            <w:vMerge w:val="continue"/>
            <w:vAlign w:val="center"/>
          </w:tcPr>
          <w:p>
            <w:pPr>
              <w:ind w:firstLine="560"/>
              <w:rPr>
                <w:rFonts w:ascii="宋体" w:hAnsi="宋体" w:cs="宋体"/>
              </w:rPr>
            </w:pPr>
          </w:p>
        </w:tc>
        <w:tc>
          <w:tcPr>
            <w:tcW w:w="1344" w:type="dxa"/>
            <w:gridSpan w:val="2"/>
            <w:vAlign w:val="center"/>
          </w:tcPr>
          <w:p>
            <w:pPr>
              <w:spacing w:line="320" w:lineRule="exact"/>
              <w:jc w:val="center"/>
              <w:rPr>
                <w:rFonts w:ascii="宋体" w:hAnsi="宋体" w:cs="宋体"/>
              </w:rPr>
            </w:pPr>
            <w:r>
              <w:rPr>
                <w:rFonts w:hint="eastAsia" w:ascii="宋体" w:hAnsi="宋体" w:cs="宋体"/>
              </w:rPr>
              <w:t>银行贷款</w:t>
            </w:r>
          </w:p>
        </w:tc>
        <w:tc>
          <w:tcPr>
            <w:tcW w:w="2146" w:type="dxa"/>
            <w:gridSpan w:val="3"/>
            <w:vAlign w:val="center"/>
          </w:tcPr>
          <w:p>
            <w:pPr>
              <w:spacing w:line="320" w:lineRule="exact"/>
              <w:jc w:val="right"/>
              <w:rPr>
                <w:rFonts w:ascii="宋体" w:hAnsi="宋体" w:cs="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21" w:type="dxa"/>
            <w:vMerge w:val="continue"/>
            <w:vAlign w:val="center"/>
          </w:tcPr>
          <w:p>
            <w:pPr>
              <w:ind w:firstLine="560"/>
              <w:rPr>
                <w:rFonts w:ascii="宋体" w:hAnsi="宋体" w:cs="宋体"/>
              </w:rPr>
            </w:pPr>
          </w:p>
        </w:tc>
        <w:tc>
          <w:tcPr>
            <w:tcW w:w="1391" w:type="dxa"/>
            <w:vMerge w:val="restart"/>
            <w:vAlign w:val="center"/>
          </w:tcPr>
          <w:p>
            <w:pPr>
              <w:spacing w:line="320" w:lineRule="exact"/>
              <w:jc w:val="center"/>
              <w:rPr>
                <w:rFonts w:ascii="宋体" w:hAnsi="宋体" w:cs="宋体"/>
              </w:rPr>
            </w:pPr>
            <w:r>
              <w:rPr>
                <w:rFonts w:hint="eastAsia" w:ascii="宋体" w:hAnsi="宋体" w:cs="宋体"/>
              </w:rPr>
              <w:t>固定资产</w:t>
            </w:r>
          </w:p>
        </w:tc>
        <w:tc>
          <w:tcPr>
            <w:tcW w:w="1689" w:type="dxa"/>
            <w:gridSpan w:val="2"/>
            <w:vAlign w:val="center"/>
          </w:tcPr>
          <w:p>
            <w:pPr>
              <w:spacing w:line="320" w:lineRule="exact"/>
              <w:jc w:val="center"/>
              <w:rPr>
                <w:rFonts w:ascii="宋体" w:hAnsi="宋体" w:cs="宋体"/>
              </w:rPr>
            </w:pPr>
            <w:r>
              <w:rPr>
                <w:rFonts w:hint="eastAsia" w:ascii="宋体" w:hAnsi="宋体" w:cs="宋体"/>
              </w:rPr>
              <w:t>原值  万元</w:t>
            </w:r>
          </w:p>
        </w:tc>
        <w:tc>
          <w:tcPr>
            <w:tcW w:w="840" w:type="dxa"/>
            <w:vMerge w:val="restart"/>
            <w:vAlign w:val="center"/>
          </w:tcPr>
          <w:p>
            <w:pPr>
              <w:spacing w:line="320" w:lineRule="exact"/>
              <w:jc w:val="center"/>
              <w:rPr>
                <w:rFonts w:ascii="宋体" w:hAnsi="宋体" w:cs="宋体"/>
              </w:rPr>
            </w:pPr>
            <w:r>
              <w:rPr>
                <w:rFonts w:hint="eastAsia" w:ascii="宋体" w:hAnsi="宋体" w:cs="宋体"/>
              </w:rPr>
              <w:t>资金</w:t>
            </w:r>
          </w:p>
          <w:p>
            <w:pPr>
              <w:spacing w:line="320" w:lineRule="exact"/>
              <w:jc w:val="center"/>
              <w:rPr>
                <w:rFonts w:ascii="宋体" w:hAnsi="宋体" w:cs="宋体"/>
              </w:rPr>
            </w:pPr>
            <w:r>
              <w:rPr>
                <w:rFonts w:hint="eastAsia" w:ascii="宋体" w:hAnsi="宋体" w:cs="宋体"/>
              </w:rPr>
              <w:t>性质</w:t>
            </w:r>
          </w:p>
        </w:tc>
        <w:tc>
          <w:tcPr>
            <w:tcW w:w="1344" w:type="dxa"/>
            <w:gridSpan w:val="2"/>
            <w:vAlign w:val="center"/>
          </w:tcPr>
          <w:p>
            <w:pPr>
              <w:spacing w:line="320" w:lineRule="exact"/>
              <w:jc w:val="center"/>
              <w:rPr>
                <w:rFonts w:ascii="宋体" w:hAnsi="宋体" w:cs="宋体"/>
              </w:rPr>
            </w:pPr>
            <w:r>
              <w:rPr>
                <w:rFonts w:hint="eastAsia" w:ascii="宋体" w:hAnsi="宋体" w:cs="宋体"/>
              </w:rPr>
              <w:t>生产性</w:t>
            </w:r>
          </w:p>
        </w:tc>
        <w:tc>
          <w:tcPr>
            <w:tcW w:w="2146" w:type="dxa"/>
            <w:gridSpan w:val="3"/>
            <w:vAlign w:val="center"/>
          </w:tcPr>
          <w:p>
            <w:pPr>
              <w:spacing w:line="320" w:lineRule="exact"/>
              <w:jc w:val="right"/>
              <w:rPr>
                <w:rFonts w:ascii="宋体" w:hAnsi="宋体" w:cs="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421" w:type="dxa"/>
            <w:vMerge w:val="continue"/>
            <w:vAlign w:val="center"/>
          </w:tcPr>
          <w:p>
            <w:pPr>
              <w:ind w:firstLine="560"/>
              <w:rPr>
                <w:rFonts w:ascii="宋体" w:hAnsi="宋体" w:cs="宋体"/>
              </w:rPr>
            </w:pPr>
          </w:p>
        </w:tc>
        <w:tc>
          <w:tcPr>
            <w:tcW w:w="1391" w:type="dxa"/>
            <w:vMerge w:val="continue"/>
            <w:vAlign w:val="center"/>
          </w:tcPr>
          <w:p>
            <w:pPr>
              <w:ind w:firstLine="560"/>
              <w:rPr>
                <w:rFonts w:ascii="宋体" w:hAnsi="宋体" w:cs="宋体"/>
              </w:rPr>
            </w:pPr>
          </w:p>
        </w:tc>
        <w:tc>
          <w:tcPr>
            <w:tcW w:w="1689" w:type="dxa"/>
            <w:gridSpan w:val="2"/>
            <w:vAlign w:val="center"/>
          </w:tcPr>
          <w:p>
            <w:pPr>
              <w:spacing w:line="320" w:lineRule="exact"/>
              <w:jc w:val="center"/>
              <w:rPr>
                <w:rFonts w:ascii="宋体" w:hAnsi="宋体" w:cs="宋体"/>
              </w:rPr>
            </w:pPr>
            <w:r>
              <w:rPr>
                <w:rFonts w:hint="eastAsia" w:ascii="宋体" w:hAnsi="宋体" w:cs="宋体"/>
              </w:rPr>
              <w:t>净值  万元</w:t>
            </w:r>
          </w:p>
        </w:tc>
        <w:tc>
          <w:tcPr>
            <w:tcW w:w="840" w:type="dxa"/>
            <w:vMerge w:val="continue"/>
            <w:vAlign w:val="center"/>
          </w:tcPr>
          <w:p>
            <w:pPr>
              <w:ind w:firstLine="560"/>
              <w:rPr>
                <w:rFonts w:ascii="宋体" w:hAnsi="宋体" w:cs="宋体"/>
              </w:rPr>
            </w:pPr>
          </w:p>
        </w:tc>
        <w:tc>
          <w:tcPr>
            <w:tcW w:w="1344" w:type="dxa"/>
            <w:gridSpan w:val="2"/>
            <w:vAlign w:val="center"/>
          </w:tcPr>
          <w:p>
            <w:pPr>
              <w:spacing w:line="320" w:lineRule="exact"/>
              <w:jc w:val="center"/>
              <w:rPr>
                <w:rFonts w:ascii="宋体" w:hAnsi="宋体" w:cs="宋体"/>
              </w:rPr>
            </w:pPr>
            <w:r>
              <w:rPr>
                <w:rFonts w:hint="eastAsia" w:ascii="宋体" w:hAnsi="宋体" w:cs="宋体"/>
              </w:rPr>
              <w:t>非生产性</w:t>
            </w:r>
          </w:p>
        </w:tc>
        <w:tc>
          <w:tcPr>
            <w:tcW w:w="2146" w:type="dxa"/>
            <w:gridSpan w:val="3"/>
            <w:vAlign w:val="center"/>
          </w:tcPr>
          <w:p>
            <w:pPr>
              <w:spacing w:line="320" w:lineRule="exact"/>
              <w:jc w:val="right"/>
              <w:rPr>
                <w:rFonts w:ascii="宋体" w:hAnsi="宋体" w:cs="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421" w:type="dxa"/>
            <w:vMerge w:val="restart"/>
            <w:vAlign w:val="center"/>
          </w:tcPr>
          <w:p>
            <w:pPr>
              <w:spacing w:line="320" w:lineRule="exact"/>
              <w:jc w:val="center"/>
              <w:rPr>
                <w:rFonts w:ascii="宋体" w:hAnsi="宋体" w:cs="宋体"/>
              </w:rPr>
            </w:pPr>
            <w:r>
              <w:rPr>
                <w:rFonts w:hint="eastAsia" w:ascii="宋体" w:hAnsi="宋体" w:cs="宋体"/>
              </w:rPr>
              <w:t>企业财务</w:t>
            </w:r>
          </w:p>
          <w:p>
            <w:pPr>
              <w:spacing w:line="320" w:lineRule="exact"/>
              <w:jc w:val="center"/>
              <w:rPr>
                <w:rFonts w:ascii="宋体" w:hAnsi="宋体" w:cs="宋体"/>
              </w:rPr>
            </w:pPr>
            <w:r>
              <w:rPr>
                <w:rFonts w:hint="eastAsia" w:ascii="宋体" w:hAnsi="宋体" w:cs="宋体"/>
              </w:rPr>
              <w:t>状况</w:t>
            </w:r>
          </w:p>
        </w:tc>
        <w:tc>
          <w:tcPr>
            <w:tcW w:w="1391" w:type="dxa"/>
            <w:vAlign w:val="center"/>
          </w:tcPr>
          <w:p>
            <w:pPr>
              <w:spacing w:line="320" w:lineRule="exact"/>
              <w:jc w:val="center"/>
              <w:rPr>
                <w:rFonts w:ascii="宋体" w:hAnsi="宋体" w:cs="宋体"/>
              </w:rPr>
            </w:pPr>
            <w:r>
              <w:rPr>
                <w:rFonts w:hint="eastAsia" w:ascii="宋体" w:hAnsi="宋体" w:cs="宋体"/>
              </w:rPr>
              <w:t>年  度</w:t>
            </w:r>
          </w:p>
        </w:tc>
        <w:tc>
          <w:tcPr>
            <w:tcW w:w="1689" w:type="dxa"/>
            <w:gridSpan w:val="2"/>
            <w:vAlign w:val="center"/>
          </w:tcPr>
          <w:p>
            <w:pPr>
              <w:spacing w:line="320" w:lineRule="exact"/>
              <w:jc w:val="center"/>
              <w:rPr>
                <w:rFonts w:ascii="宋体" w:hAnsi="宋体" w:cs="宋体"/>
              </w:rPr>
            </w:pPr>
            <w:r>
              <w:rPr>
                <w:rFonts w:hint="eastAsia" w:ascii="宋体" w:hAnsi="宋体" w:cs="宋体"/>
              </w:rPr>
              <w:t>收入总额</w:t>
            </w:r>
          </w:p>
        </w:tc>
        <w:tc>
          <w:tcPr>
            <w:tcW w:w="1476" w:type="dxa"/>
            <w:gridSpan w:val="2"/>
            <w:vAlign w:val="center"/>
          </w:tcPr>
          <w:p>
            <w:pPr>
              <w:spacing w:line="320" w:lineRule="exact"/>
              <w:jc w:val="center"/>
              <w:rPr>
                <w:rFonts w:ascii="宋体" w:hAnsi="宋体" w:cs="宋体"/>
              </w:rPr>
            </w:pPr>
            <w:r>
              <w:rPr>
                <w:rFonts w:hint="eastAsia" w:ascii="宋体" w:hAnsi="宋体" w:cs="宋体"/>
              </w:rPr>
              <w:t>利润总额</w:t>
            </w:r>
          </w:p>
        </w:tc>
        <w:tc>
          <w:tcPr>
            <w:tcW w:w="1417" w:type="dxa"/>
            <w:gridSpan w:val="2"/>
            <w:vAlign w:val="center"/>
          </w:tcPr>
          <w:p>
            <w:pPr>
              <w:spacing w:line="320" w:lineRule="exact"/>
              <w:jc w:val="center"/>
              <w:rPr>
                <w:rFonts w:ascii="宋体" w:hAnsi="宋体" w:cs="宋体"/>
              </w:rPr>
            </w:pPr>
            <w:r>
              <w:rPr>
                <w:rFonts w:hint="eastAsia" w:ascii="宋体" w:hAnsi="宋体" w:cs="宋体"/>
              </w:rPr>
              <w:t>税后利润</w:t>
            </w:r>
          </w:p>
        </w:tc>
        <w:tc>
          <w:tcPr>
            <w:tcW w:w="1437" w:type="dxa"/>
            <w:gridSpan w:val="2"/>
            <w:vAlign w:val="center"/>
          </w:tcPr>
          <w:p>
            <w:pPr>
              <w:spacing w:line="320" w:lineRule="exact"/>
              <w:jc w:val="center"/>
              <w:rPr>
                <w:rFonts w:ascii="宋体" w:hAnsi="宋体" w:cs="宋体"/>
              </w:rPr>
            </w:pPr>
            <w:r>
              <w:rPr>
                <w:rFonts w:hint="eastAsia" w:ascii="宋体" w:hAnsi="宋体" w:cs="宋体"/>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21" w:type="dxa"/>
            <w:vMerge w:val="continue"/>
            <w:vAlign w:val="center"/>
          </w:tcPr>
          <w:p>
            <w:pPr>
              <w:ind w:firstLine="560"/>
              <w:rPr>
                <w:rFonts w:ascii="宋体" w:hAnsi="宋体" w:cs="宋体"/>
              </w:rPr>
            </w:pPr>
          </w:p>
        </w:tc>
        <w:tc>
          <w:tcPr>
            <w:tcW w:w="1391" w:type="dxa"/>
            <w:vAlign w:val="center"/>
          </w:tcPr>
          <w:p>
            <w:pPr>
              <w:spacing w:line="320" w:lineRule="exact"/>
              <w:jc w:val="center"/>
              <w:rPr>
                <w:rFonts w:ascii="宋体" w:hAnsi="宋体" w:cs="宋体"/>
              </w:rPr>
            </w:pPr>
            <w:r>
              <w:rPr>
                <w:rFonts w:hint="eastAsia" w:ascii="宋体" w:hAnsi="宋体" w:cs="宋体"/>
              </w:rPr>
              <w:t>2019年</w:t>
            </w:r>
          </w:p>
        </w:tc>
        <w:tc>
          <w:tcPr>
            <w:tcW w:w="1689" w:type="dxa"/>
            <w:gridSpan w:val="2"/>
            <w:vAlign w:val="center"/>
          </w:tcPr>
          <w:p>
            <w:pPr>
              <w:spacing w:line="320" w:lineRule="exact"/>
              <w:jc w:val="center"/>
              <w:rPr>
                <w:rFonts w:ascii="宋体" w:hAnsi="宋体" w:cs="宋体"/>
              </w:rPr>
            </w:pPr>
          </w:p>
        </w:tc>
        <w:tc>
          <w:tcPr>
            <w:tcW w:w="1476" w:type="dxa"/>
            <w:gridSpan w:val="2"/>
            <w:vAlign w:val="center"/>
          </w:tcPr>
          <w:p>
            <w:pPr>
              <w:spacing w:line="320" w:lineRule="exact"/>
              <w:jc w:val="center"/>
              <w:rPr>
                <w:rFonts w:ascii="宋体" w:hAnsi="宋体" w:cs="宋体"/>
              </w:rPr>
            </w:pPr>
          </w:p>
        </w:tc>
        <w:tc>
          <w:tcPr>
            <w:tcW w:w="1417" w:type="dxa"/>
            <w:gridSpan w:val="2"/>
            <w:vAlign w:val="center"/>
          </w:tcPr>
          <w:p>
            <w:pPr>
              <w:spacing w:line="320" w:lineRule="exact"/>
              <w:jc w:val="center"/>
              <w:rPr>
                <w:rFonts w:ascii="宋体" w:hAnsi="宋体" w:cs="宋体"/>
              </w:rPr>
            </w:pPr>
          </w:p>
        </w:tc>
        <w:tc>
          <w:tcPr>
            <w:tcW w:w="1437" w:type="dxa"/>
            <w:gridSpan w:val="2"/>
            <w:vAlign w:val="center"/>
          </w:tcPr>
          <w:p>
            <w:pPr>
              <w:spacing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421" w:type="dxa"/>
            <w:vMerge w:val="continue"/>
            <w:vAlign w:val="center"/>
          </w:tcPr>
          <w:p>
            <w:pPr>
              <w:ind w:firstLine="560"/>
              <w:rPr>
                <w:rFonts w:ascii="宋体" w:hAnsi="宋体" w:cs="宋体"/>
              </w:rPr>
            </w:pPr>
          </w:p>
        </w:tc>
        <w:tc>
          <w:tcPr>
            <w:tcW w:w="1391" w:type="dxa"/>
            <w:vAlign w:val="center"/>
          </w:tcPr>
          <w:p>
            <w:pPr>
              <w:spacing w:line="320" w:lineRule="exact"/>
              <w:jc w:val="center"/>
              <w:rPr>
                <w:rFonts w:ascii="宋体" w:hAnsi="宋体" w:cs="宋体"/>
              </w:rPr>
            </w:pPr>
            <w:r>
              <w:rPr>
                <w:rFonts w:hint="eastAsia" w:ascii="宋体" w:hAnsi="宋体" w:cs="宋体"/>
              </w:rPr>
              <w:t>2020年</w:t>
            </w:r>
          </w:p>
        </w:tc>
        <w:tc>
          <w:tcPr>
            <w:tcW w:w="1689" w:type="dxa"/>
            <w:gridSpan w:val="2"/>
            <w:vAlign w:val="center"/>
          </w:tcPr>
          <w:p>
            <w:pPr>
              <w:spacing w:line="320" w:lineRule="exact"/>
              <w:jc w:val="center"/>
              <w:rPr>
                <w:rFonts w:ascii="宋体" w:hAnsi="宋体" w:cs="宋体"/>
              </w:rPr>
            </w:pPr>
          </w:p>
        </w:tc>
        <w:tc>
          <w:tcPr>
            <w:tcW w:w="1476" w:type="dxa"/>
            <w:gridSpan w:val="2"/>
            <w:vAlign w:val="center"/>
          </w:tcPr>
          <w:p>
            <w:pPr>
              <w:spacing w:line="320" w:lineRule="exact"/>
              <w:jc w:val="center"/>
              <w:rPr>
                <w:rFonts w:ascii="宋体" w:hAnsi="宋体" w:cs="宋体"/>
              </w:rPr>
            </w:pPr>
          </w:p>
        </w:tc>
        <w:tc>
          <w:tcPr>
            <w:tcW w:w="1417" w:type="dxa"/>
            <w:gridSpan w:val="2"/>
            <w:vAlign w:val="center"/>
          </w:tcPr>
          <w:p>
            <w:pPr>
              <w:spacing w:line="320" w:lineRule="exact"/>
              <w:jc w:val="center"/>
              <w:rPr>
                <w:rFonts w:ascii="宋体" w:hAnsi="宋体" w:cs="宋体"/>
              </w:rPr>
            </w:pPr>
          </w:p>
        </w:tc>
        <w:tc>
          <w:tcPr>
            <w:tcW w:w="1437" w:type="dxa"/>
            <w:gridSpan w:val="2"/>
            <w:vAlign w:val="center"/>
          </w:tcPr>
          <w:p>
            <w:pPr>
              <w:spacing w:line="320" w:lineRule="exact"/>
              <w:jc w:val="center"/>
              <w:rPr>
                <w:rFonts w:ascii="宋体" w:hAnsi="宋体" w:cs="宋体"/>
              </w:rPr>
            </w:pPr>
          </w:p>
        </w:tc>
      </w:tr>
    </w:tbl>
    <w:p>
      <w:pPr>
        <w:spacing w:before="120" w:line="500" w:lineRule="exact"/>
        <w:ind w:firstLine="480"/>
        <w:rPr>
          <w:rFonts w:ascii="宋体" w:hAnsi="宋体" w:cs="宋体"/>
          <w:sz w:val="24"/>
          <w:szCs w:val="24"/>
        </w:rPr>
      </w:pPr>
    </w:p>
    <w:p>
      <w:pPr>
        <w:pStyle w:val="40"/>
        <w:ind w:firstLine="0"/>
        <w:rPr>
          <w:rFonts w:ascii="宋体" w:hAnsi="宋体" w:cs="宋体"/>
        </w:rPr>
      </w:pPr>
    </w:p>
    <w:p>
      <w:pPr>
        <w:pStyle w:val="40"/>
        <w:rPr>
          <w:rFonts w:ascii="宋体" w:hAnsi="宋体" w:cs="宋体"/>
        </w:rPr>
      </w:pPr>
    </w:p>
    <w:p>
      <w:pPr>
        <w:pStyle w:val="6"/>
        <w:ind w:firstLine="1285" w:firstLineChars="400"/>
        <w:jc w:val="both"/>
        <w:rPr>
          <w:rFonts w:hAnsi="宋体" w:cs="宋体"/>
        </w:rPr>
      </w:pPr>
      <w:r>
        <w:rPr>
          <w:rFonts w:hint="eastAsia" w:hAnsi="宋体" w:cs="宋体"/>
        </w:rPr>
        <w:t>7、资格证明文件（招标公告要求的资审材料）</w:t>
      </w:r>
    </w:p>
    <w:p>
      <w:pPr>
        <w:autoSpaceDE w:val="0"/>
        <w:autoSpaceDN w:val="0"/>
        <w:adjustRightInd w:val="0"/>
        <w:snapToGrid w:val="0"/>
        <w:spacing w:line="360" w:lineRule="auto"/>
        <w:ind w:left="281" w:leftChars="134"/>
        <w:rPr>
          <w:rFonts w:ascii="宋体" w:hAnsi="宋体" w:cs="宋体"/>
          <w:sz w:val="24"/>
        </w:rPr>
      </w:pPr>
      <w:r>
        <w:rPr>
          <w:rFonts w:hint="eastAsia" w:ascii="宋体" w:hAnsi="宋体" w:cs="宋体"/>
          <w:b/>
          <w:bCs/>
          <w:sz w:val="24"/>
        </w:rPr>
        <w:t>1）</w:t>
      </w:r>
      <w:r>
        <w:rPr>
          <w:rFonts w:hint="eastAsia" w:ascii="宋体" w:hAnsi="宋体" w:cs="宋体"/>
          <w:sz w:val="24"/>
          <w:lang w:val="zh-CN"/>
        </w:rPr>
        <w:t>具有独立承担民事责任能力：</w:t>
      </w:r>
      <w:r>
        <w:rPr>
          <w:rFonts w:hint="eastAsia" w:ascii="宋体" w:hAnsi="宋体" w:cs="宋体"/>
          <w:sz w:val="24"/>
        </w:rPr>
        <w:t>提供多证合一的营业执照或事业单位法人证书复印件加盖公章或自然人身份证明复印件；</w:t>
      </w:r>
      <w:r>
        <w:rPr>
          <w:rFonts w:hint="eastAsia" w:ascii="宋体" w:hAnsi="宋体" w:cs="宋体"/>
          <w:sz w:val="24"/>
          <w:lang w:val="zh-CN"/>
        </w:rPr>
        <w:t>（</w:t>
      </w:r>
      <w:r>
        <w:rPr>
          <w:rFonts w:hint="eastAsia" w:ascii="宋体" w:hAnsi="宋体" w:cs="宋体"/>
          <w:sz w:val="24"/>
        </w:rPr>
        <w:t>复印件加盖公章</w:t>
      </w:r>
      <w:r>
        <w:rPr>
          <w:rFonts w:hint="eastAsia" w:ascii="宋体" w:hAnsi="宋体" w:cs="宋体"/>
          <w:sz w:val="24"/>
          <w:lang w:val="zh-CN"/>
        </w:rPr>
        <w:t>）</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2）</w:t>
      </w:r>
      <w:r>
        <w:rPr>
          <w:rFonts w:hint="eastAsia" w:ascii="宋体" w:hAnsi="宋体" w:cs="宋体"/>
          <w:sz w:val="24"/>
          <w:lang w:val="zh-CN"/>
        </w:rPr>
        <w:t>具有良好的商业信誉和健全的财务会计制度：提供经审计的</w:t>
      </w:r>
      <w:r>
        <w:rPr>
          <w:rFonts w:hint="eastAsia" w:ascii="宋体" w:hAnsi="宋体" w:cs="宋体"/>
          <w:sz w:val="24"/>
          <w:lang w:eastAsia="zh-CN"/>
        </w:rPr>
        <w:t>2020年度或2021年度</w:t>
      </w:r>
      <w:r>
        <w:rPr>
          <w:rFonts w:hint="eastAsia" w:ascii="宋体" w:hAnsi="宋体" w:cs="宋体"/>
          <w:sz w:val="24"/>
          <w:lang w:val="zh-CN"/>
        </w:rPr>
        <w:t>财务报告复印件加盖公章或</w:t>
      </w:r>
      <w:r>
        <w:rPr>
          <w:rFonts w:hint="eastAsia" w:ascii="宋体" w:hAnsi="宋体" w:cs="宋体"/>
          <w:sz w:val="24"/>
        </w:rPr>
        <w:t>开标前三个月内银行出具的</w:t>
      </w:r>
      <w:r>
        <w:rPr>
          <w:rFonts w:hint="eastAsia" w:ascii="宋体" w:hAnsi="宋体" w:cs="宋体"/>
          <w:sz w:val="24"/>
          <w:lang w:val="zh-CN"/>
        </w:rPr>
        <w:t>资信证明；（</w:t>
      </w:r>
      <w:r>
        <w:rPr>
          <w:rFonts w:hint="eastAsia" w:ascii="宋体" w:hAnsi="宋体" w:cs="宋体"/>
          <w:sz w:val="24"/>
        </w:rPr>
        <w:t>复印件加盖公章</w:t>
      </w:r>
      <w:r>
        <w:rPr>
          <w:rFonts w:hint="eastAsia" w:ascii="宋体" w:hAnsi="宋体" w:cs="宋体"/>
          <w:sz w:val="24"/>
          <w:lang w:val="zh-CN"/>
        </w:rPr>
        <w:t>）</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3）</w:t>
      </w:r>
      <w:r>
        <w:rPr>
          <w:rFonts w:hint="eastAsia" w:ascii="宋体" w:hAnsi="宋体" w:cs="宋体"/>
          <w:sz w:val="24"/>
          <w:lang w:val="zh-CN"/>
        </w:rPr>
        <w:t>具有履行合同所必需的设备和专业技术能力：（提供书面承诺函原件）；</w:t>
      </w:r>
    </w:p>
    <w:p>
      <w:pPr>
        <w:autoSpaceDE w:val="0"/>
        <w:autoSpaceDN w:val="0"/>
        <w:adjustRightInd w:val="0"/>
        <w:snapToGrid w:val="0"/>
        <w:spacing w:line="360" w:lineRule="auto"/>
        <w:ind w:left="281" w:leftChars="134"/>
        <w:rPr>
          <w:rFonts w:ascii="宋体" w:hAnsi="宋体" w:cs="宋体"/>
          <w:sz w:val="24"/>
        </w:rPr>
      </w:pPr>
      <w:r>
        <w:rPr>
          <w:rFonts w:hint="eastAsia" w:ascii="宋体" w:hAnsi="宋体" w:cs="宋体"/>
          <w:b/>
          <w:bCs/>
          <w:sz w:val="24"/>
        </w:rPr>
        <w:t>4）</w:t>
      </w:r>
      <w:r>
        <w:rPr>
          <w:rFonts w:hint="eastAsia" w:ascii="宋体" w:hAnsi="宋体" w:cs="宋体"/>
          <w:sz w:val="24"/>
          <w:lang w:val="zh-CN"/>
        </w:rPr>
        <w:t>具有依法缴纳税收和社会保障资金的良好记录：</w:t>
      </w:r>
      <w:r>
        <w:rPr>
          <w:rFonts w:hint="eastAsia" w:ascii="宋体" w:hAnsi="宋体" w:cs="宋体"/>
          <w:sz w:val="24"/>
        </w:rPr>
        <w:t>投标人提供2022年以来任意一个月依法缴纳税收和社会保障资金的证明材料</w:t>
      </w:r>
      <w:r>
        <w:rPr>
          <w:rFonts w:hint="eastAsia" w:ascii="宋体" w:hAnsi="宋体" w:cs="宋体"/>
          <w:sz w:val="24"/>
          <w:lang w:val="zh-CN"/>
        </w:rPr>
        <w:t>(复印件加盖公章)；</w:t>
      </w:r>
    </w:p>
    <w:p>
      <w:pPr>
        <w:autoSpaceDE w:val="0"/>
        <w:autoSpaceDN w:val="0"/>
        <w:adjustRightInd w:val="0"/>
        <w:snapToGrid w:val="0"/>
        <w:spacing w:line="360" w:lineRule="auto"/>
        <w:ind w:left="281" w:leftChars="134"/>
        <w:rPr>
          <w:rFonts w:ascii="宋体" w:hAnsi="宋体" w:cs="宋体"/>
          <w:sz w:val="24"/>
          <w:lang w:val="zh-CN"/>
        </w:rPr>
      </w:pPr>
      <w:r>
        <w:rPr>
          <w:rFonts w:hint="eastAsia" w:ascii="宋体" w:hAnsi="宋体" w:cs="宋体"/>
          <w:b/>
          <w:bCs/>
          <w:sz w:val="24"/>
        </w:rPr>
        <w:t>5）</w:t>
      </w:r>
      <w:r>
        <w:rPr>
          <w:rFonts w:hint="eastAsia" w:ascii="宋体" w:hAnsi="宋体" w:cs="宋体"/>
          <w:sz w:val="24"/>
          <w:lang w:val="zh-CN"/>
        </w:rPr>
        <w:t>参加政府采购活动前三年内，在经营活动中没有重大违法记录：提供书面声明函原件。</w:t>
      </w:r>
    </w:p>
    <w:p>
      <w:pPr>
        <w:autoSpaceDE w:val="0"/>
        <w:autoSpaceDN w:val="0"/>
        <w:adjustRightInd w:val="0"/>
        <w:snapToGrid w:val="0"/>
        <w:spacing w:line="360" w:lineRule="auto"/>
        <w:ind w:firstLine="240" w:firstLineChars="100"/>
        <w:rPr>
          <w:rFonts w:ascii="宋体" w:hAnsi="宋体" w:cs="宋体"/>
          <w:sz w:val="24"/>
        </w:rPr>
      </w:pPr>
      <w:r>
        <w:rPr>
          <w:rFonts w:hint="eastAsia" w:ascii="宋体" w:hAnsi="宋体" w:cs="宋体"/>
          <w:sz w:val="24"/>
        </w:rPr>
        <w:t>6）投标代理人身份证原件(投标代理人不是法定代表人或企业负责人参加投标的，提供法定代表人或企业负责人授权书原件和授权代理人身份证原件，投标代理人是法定代表人或企业负责人参加投标的，提供法定代表人或企业负责人身份证原件)；</w:t>
      </w:r>
    </w:p>
    <w:p>
      <w:pPr>
        <w:autoSpaceDE w:val="0"/>
        <w:autoSpaceDN w:val="0"/>
        <w:adjustRightInd w:val="0"/>
        <w:snapToGrid w:val="0"/>
        <w:spacing w:line="360" w:lineRule="auto"/>
        <w:ind w:firstLine="241" w:firstLineChars="100"/>
        <w:rPr>
          <w:rFonts w:ascii="宋体" w:hAnsi="宋体" w:cs="宋体"/>
          <w:kern w:val="0"/>
          <w:sz w:val="24"/>
        </w:rPr>
      </w:pPr>
      <w:r>
        <w:rPr>
          <w:rFonts w:hint="eastAsia" w:ascii="宋体" w:hAnsi="宋体" w:cs="宋体"/>
          <w:b/>
          <w:bCs/>
          <w:sz w:val="24"/>
        </w:rPr>
        <w:t>7）</w:t>
      </w:r>
      <w:r>
        <w:rPr>
          <w:rFonts w:hint="eastAsia" w:ascii="宋体" w:hAnsi="宋体" w:cs="宋体"/>
          <w:kern w:val="0"/>
          <w:sz w:val="24"/>
        </w:rPr>
        <w:t>投标人提供保证金凭证；(复印件加盖公章)</w:t>
      </w:r>
    </w:p>
    <w:p>
      <w:pPr>
        <w:autoSpaceDE w:val="0"/>
        <w:autoSpaceDN w:val="0"/>
        <w:adjustRightInd w:val="0"/>
        <w:snapToGrid w:val="0"/>
        <w:spacing w:line="360" w:lineRule="auto"/>
        <w:ind w:left="239" w:leftChars="114"/>
        <w:rPr>
          <w:rFonts w:ascii="宋体" w:hAnsi="宋体" w:cs="宋体"/>
          <w:bCs/>
          <w:sz w:val="24"/>
        </w:rPr>
      </w:pPr>
      <w:r>
        <w:rPr>
          <w:rFonts w:hint="eastAsia" w:ascii="宋体" w:hAnsi="宋体" w:cs="宋体"/>
          <w:b/>
          <w:bCs/>
          <w:sz w:val="24"/>
        </w:rPr>
        <w:t>8）</w:t>
      </w:r>
      <w:r>
        <w:rPr>
          <w:rFonts w:hint="eastAsia" w:ascii="宋体" w:hAnsi="宋体" w:cs="宋体"/>
          <w:bCs/>
          <w:sz w:val="24"/>
        </w:rPr>
        <w:t>投标人必须未被“信用中国”网站列入失信被执行人和重大税收违法案件当事人名单的、未被“中国政府采购网”网站列入政府采购严重违法失信行为记录名单（处罚期尚未届满的），开标时现场查询。</w:t>
      </w:r>
    </w:p>
    <w:p>
      <w:pPr>
        <w:spacing w:line="360" w:lineRule="auto"/>
        <w:rPr>
          <w:rFonts w:ascii="宋体" w:hAnsi="宋体" w:cs="宋体"/>
          <w:b/>
        </w:rPr>
      </w:pPr>
      <w:r>
        <w:rPr>
          <w:rFonts w:hint="eastAsia" w:ascii="宋体" w:hAnsi="宋体" w:cs="宋体"/>
          <w:b/>
        </w:rPr>
        <w:t>注：投标人应确保上述证明文件的真实性、有效性及合法性，否则，由此引起的任何责任都由投标人自行承担。</w:t>
      </w:r>
    </w:p>
    <w:p>
      <w:pPr>
        <w:numPr>
          <w:ilvl w:val="0"/>
          <w:numId w:val="32"/>
        </w:numPr>
        <w:spacing w:line="432" w:lineRule="auto"/>
        <w:rPr>
          <w:rFonts w:ascii="宋体" w:hAnsi="宋体" w:cs="宋体"/>
          <w:b/>
          <w:bCs/>
          <w:kern w:val="1"/>
          <w:sz w:val="32"/>
          <w:szCs w:val="32"/>
        </w:rPr>
      </w:pPr>
      <w:r>
        <w:rPr>
          <w:rFonts w:hint="eastAsia" w:ascii="宋体" w:hAnsi="宋体" w:cs="宋体"/>
          <w:b/>
        </w:rPr>
        <w:br w:type="page"/>
      </w:r>
      <w:r>
        <w:rPr>
          <w:rFonts w:hint="eastAsia" w:ascii="宋体" w:hAnsi="宋体" w:cs="宋体"/>
          <w:b/>
          <w:bCs/>
          <w:kern w:val="1"/>
          <w:sz w:val="32"/>
          <w:szCs w:val="32"/>
        </w:rPr>
        <w:t>投标货物技术文件</w:t>
      </w:r>
    </w:p>
    <w:p>
      <w:pPr>
        <w:spacing w:line="432" w:lineRule="auto"/>
        <w:rPr>
          <w:rFonts w:ascii="宋体" w:hAnsi="宋体" w:cs="宋体"/>
          <w:sz w:val="24"/>
          <w:szCs w:val="24"/>
        </w:rPr>
      </w:pPr>
      <w:r>
        <w:rPr>
          <w:rFonts w:hint="eastAsia" w:ascii="宋体" w:hAnsi="宋体" w:cs="宋体"/>
          <w:sz w:val="24"/>
          <w:szCs w:val="24"/>
        </w:rPr>
        <w:t>内容包括：</w:t>
      </w:r>
    </w:p>
    <w:p>
      <w:pPr>
        <w:spacing w:line="432" w:lineRule="auto"/>
        <w:rPr>
          <w:rFonts w:ascii="宋体" w:hAnsi="宋体" w:cs="宋体"/>
          <w:color w:val="000000"/>
          <w:sz w:val="24"/>
          <w:szCs w:val="24"/>
        </w:rPr>
      </w:pPr>
      <w:r>
        <w:rPr>
          <w:rFonts w:hint="eastAsia" w:ascii="宋体" w:hAnsi="宋体" w:cs="宋体"/>
          <w:color w:val="000000"/>
          <w:sz w:val="24"/>
          <w:szCs w:val="24"/>
        </w:rPr>
        <w:t>1、货物的技术规格与功能的详细说明</w:t>
      </w:r>
    </w:p>
    <w:p>
      <w:pPr>
        <w:spacing w:line="432" w:lineRule="auto"/>
        <w:rPr>
          <w:rFonts w:ascii="宋体" w:hAnsi="宋体" w:cs="宋体"/>
          <w:color w:val="000000"/>
          <w:sz w:val="24"/>
          <w:szCs w:val="24"/>
        </w:rPr>
      </w:pPr>
      <w:r>
        <w:rPr>
          <w:rFonts w:hint="eastAsia" w:ascii="宋体" w:hAnsi="宋体" w:cs="宋体"/>
          <w:color w:val="000000"/>
          <w:sz w:val="24"/>
          <w:szCs w:val="24"/>
        </w:rPr>
        <w:t>2、主要外购件、配套件的型号规格和制造商明细表</w:t>
      </w:r>
    </w:p>
    <w:p>
      <w:pPr>
        <w:spacing w:line="432" w:lineRule="auto"/>
        <w:rPr>
          <w:rFonts w:ascii="宋体" w:hAnsi="宋体" w:cs="宋体"/>
          <w:color w:val="000000"/>
          <w:sz w:val="24"/>
          <w:szCs w:val="24"/>
        </w:rPr>
      </w:pPr>
      <w:r>
        <w:rPr>
          <w:rFonts w:hint="eastAsia" w:ascii="宋体" w:hAnsi="宋体" w:cs="宋体"/>
          <w:color w:val="000000"/>
          <w:sz w:val="24"/>
          <w:szCs w:val="24"/>
        </w:rPr>
        <w:t>3、标准附件、备品备件和专用工具等</w:t>
      </w:r>
    </w:p>
    <w:p>
      <w:pPr>
        <w:rPr>
          <w:rFonts w:ascii="宋体" w:hAnsi="宋体" w:cs="宋体"/>
          <w:color w:val="000000"/>
          <w:sz w:val="24"/>
          <w:szCs w:val="24"/>
        </w:rPr>
      </w:pPr>
      <w:r>
        <w:rPr>
          <w:rFonts w:hint="eastAsia" w:ascii="宋体" w:hAnsi="宋体" w:cs="宋体"/>
          <w:color w:val="000000"/>
          <w:sz w:val="24"/>
          <w:szCs w:val="24"/>
        </w:rPr>
        <w:t>4、投标人认为需要说明的其他内容（投标人视需要自行编写）</w:t>
      </w:r>
    </w:p>
    <w:p>
      <w:pPr>
        <w:pStyle w:val="6"/>
        <w:rPr>
          <w:rFonts w:hAnsi="宋体" w:cs="宋体"/>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pStyle w:val="2"/>
        <w:rPr>
          <w:rFonts w:ascii="宋体" w:hAnsi="宋体" w:cs="宋体"/>
        </w:rPr>
      </w:pPr>
    </w:p>
    <w:p>
      <w:pPr>
        <w:rPr>
          <w:rFonts w:ascii="宋体" w:hAnsi="宋体" w:cs="宋体"/>
          <w:sz w:val="24"/>
        </w:rPr>
      </w:pPr>
    </w:p>
    <w:p>
      <w:pPr>
        <w:rPr>
          <w:rFonts w:ascii="宋体" w:hAnsi="宋体" w:cs="宋体"/>
          <w:sz w:val="24"/>
        </w:rPr>
      </w:pPr>
    </w:p>
    <w:p>
      <w:pPr>
        <w:pStyle w:val="6"/>
        <w:rPr>
          <w:rFonts w:hAnsi="宋体" w:cs="宋体"/>
        </w:rPr>
      </w:pPr>
      <w:r>
        <w:rPr>
          <w:rFonts w:hint="eastAsia" w:hAnsi="宋体" w:cs="宋体"/>
        </w:rPr>
        <w:t>9. 为落实政府采购政策供应商须提供的证明材料</w:t>
      </w:r>
    </w:p>
    <w:p>
      <w:pPr>
        <w:pStyle w:val="6"/>
        <w:rPr>
          <w:rFonts w:hAnsi="宋体" w:cs="宋体"/>
          <w:sz w:val="24"/>
          <w:szCs w:val="24"/>
        </w:rPr>
      </w:pPr>
      <w:r>
        <w:rPr>
          <w:rFonts w:hint="eastAsia" w:hAnsi="宋体" w:cs="宋体"/>
          <w:sz w:val="24"/>
          <w:szCs w:val="24"/>
        </w:rPr>
        <w:t xml:space="preserve">                               中小企业声明函(货物）</w:t>
      </w:r>
    </w:p>
    <w:p>
      <w:pPr>
        <w:ind w:firstLine="560" w:firstLineChars="200"/>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本公司郑重声明，根据《政府采购促进中小 企业发展管理办法》（财库﹝2020﹞46 号）的规定，本公司 （联合体）参加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 供的货物全部由符合政策要求的中小企业制造。相关企业 （含联合体中的中小企业、签订分包意向协议的中小企业） 的具体情况如下：</w:t>
      </w:r>
    </w:p>
    <w:p>
      <w:pPr>
        <w:pStyle w:val="40"/>
        <w:rPr>
          <w:rFonts w:ascii="宋体" w:hAnsi="宋体" w:cs="宋体"/>
        </w:rPr>
      </w:pPr>
    </w:p>
    <w:p>
      <w:pPr>
        <w:ind w:left="480" w:hanging="480" w:hanging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 xml:space="preserve"> 行业；制造商为（企业名称），从业人员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 ，属于（中型企业、小型企业、微型企业）；</w:t>
      </w:r>
    </w:p>
    <w:p>
      <w:pPr>
        <w:pStyle w:val="40"/>
        <w:rPr>
          <w:rFonts w:ascii="宋体" w:hAnsi="宋体" w:cs="宋体"/>
        </w:rPr>
      </w:pPr>
    </w:p>
    <w:p>
      <w:pPr>
        <w:rPr>
          <w:rFonts w:ascii="宋体" w:hAnsi="宋体" w:cs="宋体"/>
          <w:sz w:val="24"/>
          <w:szCs w:val="24"/>
        </w:rPr>
      </w:pPr>
      <w:r>
        <w:rPr>
          <w:rFonts w:hint="eastAsia" w:ascii="宋体" w:hAnsi="宋体" w:cs="宋体"/>
          <w:sz w:val="24"/>
          <w:szCs w:val="24"/>
        </w:rPr>
        <w:t xml:space="preserve"> 2.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 xml:space="preserve"> 行业；</w:t>
      </w:r>
      <w:r>
        <w:rPr>
          <w:rFonts w:hint="eastAsia" w:ascii="宋体" w:hAnsi="宋体" w:cs="宋体"/>
          <w:sz w:val="24"/>
          <w:szCs w:val="24"/>
          <w:u w:val="single"/>
        </w:rPr>
        <w:t>制造商为（企业名称）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 企业、微型企业）</w:t>
      </w:r>
      <w:r>
        <w:rPr>
          <w:rFonts w:hint="eastAsia" w:ascii="宋体" w:hAnsi="宋体" w:cs="宋体"/>
          <w:sz w:val="24"/>
          <w:szCs w:val="24"/>
        </w:rPr>
        <w:t xml:space="preserve">； </w:t>
      </w:r>
    </w:p>
    <w:p>
      <w:pPr>
        <w:pStyle w:val="40"/>
        <w:rPr>
          <w:rFonts w:ascii="宋体" w:hAnsi="宋体" w:cs="宋体"/>
        </w:rPr>
      </w:pPr>
    </w:p>
    <w:p>
      <w:pPr>
        <w:ind w:firstLine="360" w:firstLineChars="150"/>
        <w:rPr>
          <w:rFonts w:ascii="宋体" w:hAnsi="宋体" w:cs="宋体"/>
          <w:sz w:val="24"/>
          <w:szCs w:val="24"/>
        </w:rPr>
      </w:pPr>
      <w:r>
        <w:rPr>
          <w:rFonts w:hint="eastAsia" w:ascii="宋体" w:hAnsi="宋体" w:cs="宋体"/>
          <w:sz w:val="24"/>
          <w:szCs w:val="24"/>
        </w:rPr>
        <w:t xml:space="preserve">…… </w:t>
      </w:r>
    </w:p>
    <w:p>
      <w:pPr>
        <w:ind w:firstLine="240" w:firstLineChars="100"/>
        <w:rPr>
          <w:rFonts w:ascii="宋体" w:hAnsi="宋体" w:cs="宋体"/>
          <w:sz w:val="24"/>
          <w:szCs w:val="24"/>
        </w:rPr>
      </w:pPr>
      <w:r>
        <w:rPr>
          <w:rFonts w:hint="eastAsia" w:ascii="宋体" w:hAnsi="宋体" w:cs="宋体"/>
          <w:sz w:val="24"/>
          <w:szCs w:val="24"/>
        </w:rPr>
        <w:t xml:space="preserve">以上企业，不属于大企业的分支机构，不存在控股股东 为大企业的情形，也不存在与大企业的负责人为同一人的情 形。 本企业对上述声明内容的真实性负责。如有虚假，将依 法承担相应责任。 </w:t>
      </w:r>
    </w:p>
    <w:p>
      <w:pPr>
        <w:pStyle w:val="40"/>
        <w:rPr>
          <w:rFonts w:ascii="宋体" w:hAnsi="宋体" w:cs="宋体"/>
        </w:rPr>
      </w:pPr>
    </w:p>
    <w:p>
      <w:pPr>
        <w:rPr>
          <w:rFonts w:ascii="宋体" w:hAnsi="宋体" w:cs="宋体"/>
          <w:sz w:val="24"/>
          <w:szCs w:val="24"/>
        </w:rPr>
      </w:pPr>
      <w:r>
        <w:rPr>
          <w:rFonts w:hint="eastAsia" w:ascii="宋体" w:hAnsi="宋体" w:cs="宋体"/>
          <w:sz w:val="24"/>
          <w:szCs w:val="24"/>
        </w:rPr>
        <w:t>企业名称（盖章）：</w:t>
      </w:r>
    </w:p>
    <w:p>
      <w:pPr>
        <w:rPr>
          <w:rFonts w:ascii="宋体" w:hAnsi="宋体" w:cs="宋体"/>
          <w:sz w:val="24"/>
          <w:szCs w:val="24"/>
        </w:rPr>
      </w:pPr>
      <w:r>
        <w:rPr>
          <w:rFonts w:hint="eastAsia" w:ascii="宋体" w:hAnsi="宋体" w:cs="宋体"/>
          <w:sz w:val="24"/>
          <w:szCs w:val="24"/>
        </w:rPr>
        <w:t xml:space="preserve"> 日 期：</w:t>
      </w:r>
    </w:p>
    <w:p>
      <w:pPr>
        <w:pStyle w:val="40"/>
        <w:rPr>
          <w:rFonts w:ascii="宋体" w:hAnsi="宋体" w:cs="宋体"/>
        </w:rPr>
      </w:pPr>
    </w:p>
    <w:p>
      <w:pPr>
        <w:rPr>
          <w:rFonts w:ascii="宋体" w:hAnsi="宋体" w:cs="宋体"/>
          <w:b/>
          <w:bCs/>
          <w:sz w:val="24"/>
          <w:szCs w:val="24"/>
        </w:rPr>
      </w:pPr>
      <w:r>
        <w:rPr>
          <w:rFonts w:hint="eastAsia" w:ascii="宋体" w:hAnsi="宋体" w:cs="宋体"/>
          <w:b/>
          <w:bCs/>
          <w:sz w:val="24"/>
          <w:szCs w:val="24"/>
        </w:rPr>
        <w:t xml:space="preserve"> 注：从业人员、营业收入、资产总额填报上一年度数据，无上一年度数据的新成立企业可不填报。</w:t>
      </w:r>
    </w:p>
    <w:p>
      <w:pPr>
        <w:widowControl/>
        <w:spacing w:before="100" w:beforeAutospacing="1" w:line="500" w:lineRule="exact"/>
        <w:jc w:val="left"/>
        <w:rPr>
          <w:rFonts w:ascii="宋体" w:hAnsi="宋体" w:cs="宋体"/>
          <w:kern w:val="0"/>
          <w:sz w:val="28"/>
          <w:szCs w:val="28"/>
        </w:rPr>
      </w:pPr>
      <w:r>
        <w:rPr>
          <w:rFonts w:hint="eastAsia" w:ascii="宋体" w:hAnsi="宋体" w:cs="宋体"/>
          <w:kern w:val="0"/>
          <w:sz w:val="28"/>
          <w:szCs w:val="28"/>
        </w:rPr>
        <w:t>　</w:t>
      </w: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jc w:val="center"/>
        <w:rPr>
          <w:rFonts w:ascii="宋体" w:hAnsi="宋体" w:cs="宋体"/>
          <w:b/>
          <w:spacing w:val="2"/>
          <w:sz w:val="22"/>
        </w:rPr>
      </w:pPr>
    </w:p>
    <w:p>
      <w:pPr>
        <w:jc w:val="center"/>
        <w:rPr>
          <w:rFonts w:ascii="宋体" w:hAnsi="宋体" w:cs="宋体"/>
          <w:b/>
          <w:spacing w:val="2"/>
          <w:sz w:val="22"/>
        </w:rPr>
      </w:pPr>
    </w:p>
    <w:p>
      <w:pPr>
        <w:autoSpaceDE w:val="0"/>
        <w:autoSpaceDN w:val="0"/>
        <w:adjustRightInd w:val="0"/>
        <w:snapToGrid w:val="0"/>
        <w:spacing w:line="360" w:lineRule="auto"/>
        <w:jc w:val="left"/>
        <w:rPr>
          <w:rFonts w:ascii="宋体" w:hAnsi="宋体" w:cs="宋体"/>
          <w:kern w:val="0"/>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r>
        <w:rPr>
          <w:rFonts w:hint="eastAsia" w:ascii="宋体" w:hAnsi="宋体" w:cs="宋体"/>
          <w:b/>
          <w:bCs/>
          <w:sz w:val="24"/>
          <w:szCs w:val="24"/>
        </w:rPr>
        <w:t>残疾人福利性单位声明函</w:t>
      </w:r>
    </w:p>
    <w:p>
      <w:pPr>
        <w:autoSpaceDE w:val="0"/>
        <w:autoSpaceDN w:val="0"/>
        <w:adjustRightInd w:val="0"/>
        <w:snapToGrid w:val="0"/>
        <w:spacing w:line="360" w:lineRule="auto"/>
        <w:ind w:left="118" w:right="35" w:firstLine="504"/>
        <w:rPr>
          <w:rFonts w:ascii="宋体" w:hAnsi="宋体" w:cs="宋体"/>
          <w:kern w:val="0"/>
          <w:sz w:val="24"/>
          <w:szCs w:val="24"/>
        </w:rPr>
      </w:pPr>
      <w:r>
        <w:rPr>
          <w:rFonts w:hint="eastAsia" w:ascii="宋体" w:hAnsi="宋体" w:cs="宋体"/>
          <w:spacing w:val="12"/>
          <w:kern w:val="0"/>
          <w:sz w:val="24"/>
          <w:szCs w:val="24"/>
        </w:rPr>
        <w:t>本单位郑重声明</w:t>
      </w:r>
      <w:r>
        <w:rPr>
          <w:rFonts w:hint="eastAsia" w:ascii="宋体" w:hAnsi="宋体" w:cs="宋体"/>
          <w:spacing w:val="5"/>
          <w:kern w:val="0"/>
          <w:sz w:val="24"/>
          <w:szCs w:val="24"/>
        </w:rPr>
        <w:t>，</w:t>
      </w:r>
      <w:r>
        <w:rPr>
          <w:rFonts w:hint="eastAsia" w:ascii="宋体" w:hAnsi="宋体" w:cs="宋体"/>
          <w:spacing w:val="12"/>
          <w:kern w:val="0"/>
          <w:sz w:val="24"/>
          <w:szCs w:val="24"/>
        </w:rPr>
        <w:t>根</w:t>
      </w:r>
      <w:r>
        <w:rPr>
          <w:rFonts w:hint="eastAsia" w:ascii="宋体" w:hAnsi="宋体" w:cs="宋体"/>
          <w:spacing w:val="5"/>
          <w:kern w:val="0"/>
          <w:sz w:val="24"/>
          <w:szCs w:val="24"/>
        </w:rPr>
        <w:t>据</w:t>
      </w:r>
      <w:r>
        <w:rPr>
          <w:rFonts w:hint="eastAsia" w:ascii="宋体" w:hAnsi="宋体" w:cs="宋体"/>
          <w:spacing w:val="12"/>
          <w:kern w:val="0"/>
          <w:sz w:val="24"/>
          <w:szCs w:val="24"/>
        </w:rPr>
        <w:t>《财政</w:t>
      </w:r>
      <w:r>
        <w:rPr>
          <w:rFonts w:hint="eastAsia" w:ascii="宋体" w:hAnsi="宋体" w:cs="宋体"/>
          <w:kern w:val="0"/>
          <w:sz w:val="24"/>
          <w:szCs w:val="24"/>
        </w:rPr>
        <w:t xml:space="preserve">部 </w:t>
      </w:r>
      <w:r>
        <w:rPr>
          <w:rFonts w:hint="eastAsia" w:ascii="宋体" w:hAnsi="宋体" w:cs="宋体"/>
          <w:spacing w:val="12"/>
          <w:kern w:val="0"/>
          <w:sz w:val="24"/>
          <w:szCs w:val="24"/>
        </w:rPr>
        <w:t>民政</w:t>
      </w:r>
      <w:r>
        <w:rPr>
          <w:rFonts w:hint="eastAsia" w:ascii="宋体" w:hAnsi="宋体" w:cs="宋体"/>
          <w:kern w:val="0"/>
          <w:sz w:val="24"/>
          <w:szCs w:val="24"/>
        </w:rPr>
        <w:t xml:space="preserve">部 </w:t>
      </w:r>
      <w:r>
        <w:rPr>
          <w:rFonts w:hint="eastAsia" w:ascii="宋体" w:hAnsi="宋体" w:cs="宋体"/>
          <w:spacing w:val="12"/>
          <w:kern w:val="0"/>
          <w:sz w:val="24"/>
          <w:szCs w:val="24"/>
        </w:rPr>
        <w:t>中国残疾人联合会关于促进残疾人</w:t>
      </w:r>
      <w:r>
        <w:rPr>
          <w:rFonts w:hint="eastAsia" w:ascii="宋体" w:hAnsi="宋体" w:cs="宋体"/>
          <w:kern w:val="0"/>
          <w:sz w:val="24"/>
          <w:szCs w:val="24"/>
        </w:rPr>
        <w:t xml:space="preserve">就 </w:t>
      </w:r>
      <w:r>
        <w:rPr>
          <w:rFonts w:hint="eastAsia" w:ascii="宋体" w:hAnsi="宋体" w:cs="宋体"/>
          <w:spacing w:val="12"/>
          <w:kern w:val="0"/>
          <w:sz w:val="24"/>
          <w:szCs w:val="24"/>
        </w:rPr>
        <w:t>业政府采购政策的通知》（财</w:t>
      </w:r>
      <w:r>
        <w:rPr>
          <w:rFonts w:hint="eastAsia" w:ascii="宋体" w:hAnsi="宋体" w:cs="宋体"/>
          <w:spacing w:val="14"/>
          <w:kern w:val="0"/>
          <w:sz w:val="24"/>
          <w:szCs w:val="24"/>
        </w:rPr>
        <w:t>库</w:t>
      </w:r>
      <w:r>
        <w:rPr>
          <w:rFonts w:hint="eastAsia" w:ascii="宋体" w:hAnsi="宋体" w:cs="宋体"/>
          <w:kern w:val="0"/>
          <w:sz w:val="24"/>
          <w:szCs w:val="24"/>
        </w:rPr>
        <w:t>〔2017〕</w:t>
      </w:r>
      <w:r>
        <w:rPr>
          <w:rFonts w:hint="eastAsia" w:ascii="宋体" w:hAnsi="宋体" w:cs="宋体"/>
          <w:spacing w:val="7"/>
          <w:kern w:val="0"/>
          <w:sz w:val="24"/>
          <w:szCs w:val="24"/>
        </w:rPr>
        <w:t xml:space="preserve"> </w:t>
      </w:r>
      <w:r>
        <w:rPr>
          <w:rFonts w:hint="eastAsia" w:ascii="宋体" w:hAnsi="宋体" w:cs="宋体"/>
          <w:kern w:val="0"/>
          <w:sz w:val="24"/>
          <w:szCs w:val="24"/>
        </w:rPr>
        <w:t>141</w:t>
      </w:r>
      <w:r>
        <w:rPr>
          <w:rFonts w:hint="eastAsia" w:ascii="宋体" w:hAnsi="宋体" w:cs="宋体"/>
          <w:spacing w:val="-60"/>
          <w:kern w:val="0"/>
          <w:sz w:val="24"/>
          <w:szCs w:val="24"/>
        </w:rPr>
        <w:t xml:space="preserve"> </w:t>
      </w:r>
      <w:r>
        <w:rPr>
          <w:rFonts w:hint="eastAsia" w:ascii="宋体" w:hAnsi="宋体" w:cs="宋体"/>
          <w:spacing w:val="12"/>
          <w:kern w:val="0"/>
          <w:sz w:val="24"/>
          <w:szCs w:val="24"/>
        </w:rPr>
        <w:t>号）的规定，本单位为符合条件的</w:t>
      </w:r>
      <w:r>
        <w:rPr>
          <w:rFonts w:hint="eastAsia" w:ascii="宋体" w:hAnsi="宋体" w:cs="宋体"/>
          <w:kern w:val="0"/>
          <w:sz w:val="24"/>
          <w:szCs w:val="24"/>
        </w:rPr>
        <w:t xml:space="preserve">残 </w:t>
      </w:r>
      <w:r>
        <w:rPr>
          <w:rFonts w:hint="eastAsia" w:ascii="宋体" w:hAnsi="宋体" w:cs="宋体"/>
          <w:spacing w:val="12"/>
          <w:kern w:val="0"/>
          <w:sz w:val="24"/>
          <w:szCs w:val="24"/>
        </w:rPr>
        <w:t>疾人福利性单位</w:t>
      </w:r>
      <w:r>
        <w:rPr>
          <w:rFonts w:hint="eastAsia" w:ascii="宋体" w:hAnsi="宋体" w:cs="宋体"/>
          <w:spacing w:val="10"/>
          <w:kern w:val="0"/>
          <w:sz w:val="24"/>
          <w:szCs w:val="24"/>
        </w:rPr>
        <w:t>，</w:t>
      </w:r>
      <w:r>
        <w:rPr>
          <w:rFonts w:hint="eastAsia" w:ascii="宋体" w:hAnsi="宋体" w:cs="宋体"/>
          <w:spacing w:val="12"/>
          <w:kern w:val="0"/>
          <w:sz w:val="24"/>
          <w:szCs w:val="24"/>
        </w:rPr>
        <w:t>且本单位参</w:t>
      </w:r>
      <w:r>
        <w:rPr>
          <w:rFonts w:hint="eastAsia" w:ascii="宋体" w:hAnsi="宋体" w:cs="宋体"/>
          <w:spacing w:val="14"/>
          <w:kern w:val="0"/>
          <w:sz w:val="24"/>
          <w:szCs w:val="24"/>
        </w:rPr>
        <w:t>加</w:t>
      </w:r>
      <w:r>
        <w:rPr>
          <w:rFonts w:hint="eastAsia" w:ascii="宋体" w:hAnsi="宋体" w:cs="宋体"/>
          <w:spacing w:val="5"/>
          <w:kern w:val="0"/>
          <w:sz w:val="24"/>
          <w:szCs w:val="24"/>
        </w:rPr>
        <w:t>_</w:t>
      </w:r>
      <w:r>
        <w:rPr>
          <w:rFonts w:hint="eastAsia" w:ascii="宋体" w:hAnsi="宋体" w:cs="宋体"/>
          <w:spacing w:val="7"/>
          <w:kern w:val="0"/>
          <w:sz w:val="24"/>
          <w:szCs w:val="24"/>
        </w:rPr>
        <w:t>_</w:t>
      </w:r>
      <w:r>
        <w:rPr>
          <w:rFonts w:hint="eastAsia" w:ascii="宋体" w:hAnsi="宋体" w:cs="宋体"/>
          <w:spacing w:val="5"/>
          <w:kern w:val="0"/>
          <w:sz w:val="24"/>
          <w:szCs w:val="24"/>
        </w:rPr>
        <w:t>_</w:t>
      </w:r>
      <w:r>
        <w:rPr>
          <w:rFonts w:hint="eastAsia" w:ascii="宋体" w:hAnsi="宋体" w:cs="宋体"/>
          <w:spacing w:val="7"/>
          <w:kern w:val="0"/>
          <w:sz w:val="24"/>
          <w:szCs w:val="24"/>
        </w:rPr>
        <w:t>_</w:t>
      </w:r>
      <w:r>
        <w:rPr>
          <w:rFonts w:hint="eastAsia" w:ascii="宋体" w:hAnsi="宋体" w:cs="宋体"/>
          <w:spacing w:val="5"/>
          <w:kern w:val="0"/>
          <w:sz w:val="24"/>
          <w:szCs w:val="24"/>
        </w:rPr>
        <w:t>__</w:t>
      </w:r>
      <w:r>
        <w:rPr>
          <w:rFonts w:hint="eastAsia" w:ascii="宋体" w:hAnsi="宋体" w:cs="宋体"/>
          <w:spacing w:val="12"/>
          <w:kern w:val="0"/>
          <w:sz w:val="24"/>
          <w:szCs w:val="24"/>
        </w:rPr>
        <w:t>单位</w:t>
      </w:r>
      <w:r>
        <w:rPr>
          <w:rFonts w:hint="eastAsia" w:ascii="宋体" w:hAnsi="宋体" w:cs="宋体"/>
          <w:spacing w:val="14"/>
          <w:kern w:val="0"/>
          <w:sz w:val="24"/>
          <w:szCs w:val="24"/>
        </w:rPr>
        <w:t>的</w:t>
      </w:r>
      <w:r>
        <w:rPr>
          <w:rFonts w:hint="eastAsia" w:ascii="宋体" w:hAnsi="宋体" w:cs="宋体"/>
          <w:spacing w:val="5"/>
          <w:kern w:val="0"/>
          <w:sz w:val="24"/>
          <w:szCs w:val="24"/>
        </w:rPr>
        <w:t>_</w:t>
      </w:r>
      <w:r>
        <w:rPr>
          <w:rFonts w:hint="eastAsia" w:ascii="宋体" w:hAnsi="宋体" w:cs="宋体"/>
          <w:spacing w:val="7"/>
          <w:kern w:val="0"/>
          <w:sz w:val="24"/>
          <w:szCs w:val="24"/>
        </w:rPr>
        <w:t>_</w:t>
      </w:r>
      <w:r>
        <w:rPr>
          <w:rFonts w:hint="eastAsia" w:ascii="宋体" w:hAnsi="宋体" w:cs="宋体"/>
          <w:spacing w:val="5"/>
          <w:kern w:val="0"/>
          <w:sz w:val="24"/>
          <w:szCs w:val="24"/>
        </w:rPr>
        <w:t>_</w:t>
      </w:r>
      <w:r>
        <w:rPr>
          <w:rFonts w:hint="eastAsia" w:ascii="宋体" w:hAnsi="宋体" w:cs="宋体"/>
          <w:spacing w:val="7"/>
          <w:kern w:val="0"/>
          <w:sz w:val="24"/>
          <w:szCs w:val="24"/>
        </w:rPr>
        <w:t>_</w:t>
      </w:r>
      <w:r>
        <w:rPr>
          <w:rFonts w:hint="eastAsia" w:ascii="宋体" w:hAnsi="宋体" w:cs="宋体"/>
          <w:spacing w:val="5"/>
          <w:kern w:val="0"/>
          <w:sz w:val="24"/>
          <w:szCs w:val="24"/>
        </w:rPr>
        <w:t>__</w:t>
      </w:r>
      <w:r>
        <w:rPr>
          <w:rFonts w:hint="eastAsia" w:ascii="宋体" w:hAnsi="宋体" w:cs="宋体"/>
          <w:spacing w:val="12"/>
          <w:kern w:val="0"/>
          <w:sz w:val="24"/>
          <w:szCs w:val="24"/>
        </w:rPr>
        <w:t>项目采购活动提供本单位的</w:t>
      </w:r>
      <w:r>
        <w:rPr>
          <w:rFonts w:hint="eastAsia" w:ascii="宋体" w:hAnsi="宋体" w:cs="宋体"/>
          <w:kern w:val="0"/>
          <w:sz w:val="24"/>
          <w:szCs w:val="24"/>
        </w:rPr>
        <w:t xml:space="preserve">服 </w:t>
      </w:r>
      <w:r>
        <w:rPr>
          <w:rFonts w:hint="eastAsia" w:ascii="宋体" w:hAnsi="宋体" w:cs="宋体"/>
          <w:spacing w:val="12"/>
          <w:kern w:val="0"/>
          <w:sz w:val="24"/>
          <w:szCs w:val="24"/>
        </w:rPr>
        <w:t>务，或者提供其他残疾人福利性单位的服务（不包括使用非残疾人福利性单位注</w:t>
      </w:r>
      <w:r>
        <w:rPr>
          <w:rFonts w:hint="eastAsia" w:ascii="宋体" w:hAnsi="宋体" w:cs="宋体"/>
          <w:kern w:val="0"/>
          <w:sz w:val="24"/>
          <w:szCs w:val="24"/>
        </w:rPr>
        <w:t xml:space="preserve">册 </w:t>
      </w:r>
      <w:r>
        <w:rPr>
          <w:rFonts w:hint="eastAsia" w:ascii="宋体" w:hAnsi="宋体" w:cs="宋体"/>
          <w:spacing w:val="12"/>
          <w:kern w:val="0"/>
          <w:sz w:val="24"/>
          <w:szCs w:val="24"/>
        </w:rPr>
        <w:t>商标的货物）</w:t>
      </w:r>
      <w:r>
        <w:rPr>
          <w:rFonts w:hint="eastAsia" w:ascii="宋体" w:hAnsi="宋体" w:cs="宋体"/>
          <w:kern w:val="0"/>
          <w:sz w:val="24"/>
          <w:szCs w:val="24"/>
        </w:rPr>
        <w:t>。</w:t>
      </w:r>
    </w:p>
    <w:p>
      <w:pPr>
        <w:autoSpaceDE w:val="0"/>
        <w:autoSpaceDN w:val="0"/>
        <w:adjustRightInd w:val="0"/>
        <w:snapToGrid w:val="0"/>
        <w:spacing w:line="360" w:lineRule="auto"/>
        <w:ind w:left="622" w:right="-20"/>
        <w:jc w:val="left"/>
        <w:rPr>
          <w:rFonts w:ascii="宋体" w:hAnsi="宋体" w:cs="宋体"/>
          <w:kern w:val="0"/>
          <w:sz w:val="24"/>
          <w:szCs w:val="24"/>
        </w:rPr>
      </w:pPr>
      <w:r>
        <w:rPr>
          <w:rFonts w:hint="eastAsia" w:ascii="宋体" w:hAnsi="宋体" w:cs="宋体"/>
          <w:spacing w:val="12"/>
          <w:kern w:val="0"/>
          <w:sz w:val="24"/>
          <w:szCs w:val="24"/>
        </w:rPr>
        <w:t>本单位对上述声明的真实性负责。如有虚假，将依法承担相应责任</w:t>
      </w:r>
      <w:r>
        <w:rPr>
          <w:rFonts w:hint="eastAsia" w:ascii="宋体" w:hAnsi="宋体" w:cs="宋体"/>
          <w:kern w:val="0"/>
          <w:sz w:val="24"/>
          <w:szCs w:val="24"/>
        </w:rPr>
        <w:t>。</w:t>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tabs>
          <w:tab w:val="left" w:pos="4640"/>
        </w:tabs>
        <w:autoSpaceDE w:val="0"/>
        <w:autoSpaceDN w:val="0"/>
        <w:adjustRightInd w:val="0"/>
        <w:snapToGrid w:val="0"/>
        <w:spacing w:line="360" w:lineRule="auto"/>
        <w:ind w:left="4143" w:right="3966" w:hanging="1152"/>
        <w:jc w:val="left"/>
        <w:rPr>
          <w:rFonts w:ascii="宋体" w:hAnsi="宋体" w:cs="宋体"/>
          <w:kern w:val="0"/>
          <w:sz w:val="24"/>
          <w:szCs w:val="24"/>
        </w:rPr>
      </w:pPr>
      <w:r>
        <w:rPr>
          <w:rFonts w:hint="eastAsia" w:ascii="宋体" w:hAnsi="宋体" w:cs="宋体"/>
          <w:spacing w:val="12"/>
          <w:kern w:val="0"/>
          <w:sz w:val="24"/>
          <w:szCs w:val="24"/>
        </w:rPr>
        <w:t>单位名称（盖章）</w:t>
      </w:r>
      <w:r>
        <w:rPr>
          <w:rFonts w:hint="eastAsia" w:ascii="宋体" w:hAnsi="宋体" w:cs="宋体"/>
          <w:kern w:val="0"/>
          <w:sz w:val="24"/>
          <w:szCs w:val="24"/>
        </w:rPr>
        <w:t>： 日</w:t>
      </w:r>
      <w:r>
        <w:rPr>
          <w:rFonts w:hint="eastAsia" w:ascii="宋体" w:hAnsi="宋体" w:cs="宋体"/>
          <w:kern w:val="0"/>
          <w:sz w:val="24"/>
          <w:szCs w:val="24"/>
        </w:rPr>
        <w:tab/>
      </w:r>
      <w:r>
        <w:rPr>
          <w:rFonts w:hint="eastAsia" w:ascii="宋体" w:hAnsi="宋体" w:cs="宋体"/>
          <w:spacing w:val="12"/>
          <w:kern w:val="0"/>
          <w:sz w:val="24"/>
          <w:szCs w:val="24"/>
        </w:rPr>
        <w:t>期</w:t>
      </w:r>
      <w:r>
        <w:rPr>
          <w:rFonts w:hint="eastAsia" w:ascii="宋体" w:hAnsi="宋体" w:cs="宋体"/>
          <w:kern w:val="0"/>
          <w:sz w:val="24"/>
          <w:szCs w:val="24"/>
        </w:rPr>
        <w:t>：</w:t>
      </w: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ind w:firstLine="0"/>
        <w:rPr>
          <w:rFonts w:ascii="宋体" w:hAnsi="宋体" w:cs="宋体"/>
        </w:rPr>
      </w:pPr>
    </w:p>
    <w:p>
      <w:pPr>
        <w:spacing w:line="360" w:lineRule="auto"/>
        <w:ind w:left="210" w:leftChars="100" w:firstLine="1050" w:firstLineChars="350"/>
        <w:jc w:val="center"/>
        <w:rPr>
          <w:rFonts w:ascii="宋体" w:hAnsi="宋体" w:cs="宋体"/>
          <w:sz w:val="30"/>
          <w:szCs w:val="30"/>
        </w:rPr>
      </w:pPr>
    </w:p>
    <w:p>
      <w:pPr>
        <w:spacing w:line="360" w:lineRule="auto"/>
        <w:ind w:left="210" w:leftChars="100" w:firstLine="1050" w:firstLineChars="350"/>
        <w:jc w:val="center"/>
        <w:rPr>
          <w:rFonts w:ascii="宋体" w:hAnsi="宋体" w:cs="宋体"/>
          <w:sz w:val="30"/>
          <w:szCs w:val="30"/>
        </w:rPr>
      </w:pPr>
    </w:p>
    <w:p>
      <w:pPr>
        <w:spacing w:line="360" w:lineRule="auto"/>
        <w:ind w:left="210" w:leftChars="100" w:firstLine="1050" w:firstLineChars="350"/>
        <w:jc w:val="center"/>
        <w:rPr>
          <w:rFonts w:ascii="宋体" w:hAnsi="宋体" w:cs="宋体"/>
          <w:sz w:val="30"/>
          <w:szCs w:val="30"/>
        </w:rPr>
      </w:pPr>
    </w:p>
    <w:p>
      <w:pPr>
        <w:spacing w:line="360" w:lineRule="auto"/>
        <w:rPr>
          <w:rFonts w:ascii="宋体" w:hAnsi="宋体" w:cs="宋体"/>
          <w:b/>
          <w:bCs/>
          <w:sz w:val="24"/>
          <w:szCs w:val="24"/>
        </w:rPr>
      </w:pPr>
    </w:p>
    <w:p>
      <w:pPr>
        <w:pStyle w:val="2"/>
      </w:pPr>
    </w:p>
    <w:p>
      <w:pPr>
        <w:spacing w:line="360" w:lineRule="auto"/>
        <w:rPr>
          <w:rFonts w:ascii="宋体" w:hAnsi="宋体" w:cs="宋体"/>
          <w:b/>
          <w:sz w:val="24"/>
          <w:szCs w:val="24"/>
        </w:rPr>
      </w:pPr>
      <w:r>
        <w:rPr>
          <w:rFonts w:hint="eastAsia" w:ascii="宋体" w:hAnsi="宋体" w:cs="宋体"/>
          <w:b/>
          <w:bCs/>
          <w:sz w:val="24"/>
          <w:szCs w:val="24"/>
        </w:rPr>
        <w:t xml:space="preserve">格式1      </w:t>
      </w:r>
      <w:r>
        <w:rPr>
          <w:rFonts w:hint="eastAsia" w:ascii="宋体" w:hAnsi="宋体" w:cs="宋体"/>
          <w:sz w:val="24"/>
          <w:szCs w:val="24"/>
        </w:rPr>
        <w:t xml:space="preserve">             </w:t>
      </w:r>
      <w:r>
        <w:rPr>
          <w:rFonts w:hint="eastAsia" w:ascii="宋体" w:hAnsi="宋体" w:cs="宋体"/>
          <w:b/>
          <w:sz w:val="24"/>
          <w:szCs w:val="24"/>
        </w:rPr>
        <w:t>法定代表人授权书（格式）</w:t>
      </w:r>
    </w:p>
    <w:p>
      <w:pPr>
        <w:rPr>
          <w:rFonts w:ascii="宋体" w:hAnsi="宋体" w:cs="宋体"/>
          <w:sz w:val="24"/>
          <w:szCs w:val="24"/>
        </w:rPr>
      </w:pPr>
    </w:p>
    <w:p>
      <w:pPr>
        <w:spacing w:line="360" w:lineRule="auto"/>
        <w:ind w:firstLine="645"/>
        <w:rPr>
          <w:rFonts w:ascii="宋体" w:hAnsi="宋体" w:cs="宋体"/>
          <w:sz w:val="24"/>
          <w:szCs w:val="24"/>
        </w:rPr>
      </w:pPr>
      <w:r>
        <w:rPr>
          <w:rFonts w:hint="eastAsia" w:ascii="宋体" w:hAnsi="宋体" w:cs="宋体"/>
          <w:sz w:val="24"/>
          <w:szCs w:val="24"/>
        </w:rPr>
        <w:t>本授权书声明：公司（工厂）的（法定代表人姓名、职务）代表本公司（工厂）授权（被授权人的姓名、职务）为本公司（工厂）的合法代理人，参加（采购代理机构）采购项目（招标编号：）的投标、合同签订，以及合同执行等活动，其可以本公司名义处理一切与之有关的事务。</w:t>
      </w:r>
    </w:p>
    <w:p>
      <w:pPr>
        <w:spacing w:line="360" w:lineRule="auto"/>
        <w:ind w:firstLine="645"/>
        <w:rPr>
          <w:rFonts w:ascii="宋体" w:hAnsi="宋体" w:cs="宋体"/>
          <w:sz w:val="24"/>
          <w:szCs w:val="24"/>
        </w:rPr>
      </w:pPr>
      <w:r>
        <w:rPr>
          <w:rFonts w:hint="eastAsia" w:ascii="宋体" w:hAnsi="宋体" w:cs="宋体"/>
          <w:sz w:val="24"/>
          <w:szCs w:val="24"/>
        </w:rPr>
        <w:t>特此声明。</w:t>
      </w:r>
    </w:p>
    <w:p>
      <w:pPr>
        <w:spacing w:line="360" w:lineRule="auto"/>
        <w:ind w:firstLine="645"/>
        <w:rPr>
          <w:rFonts w:ascii="宋体" w:hAnsi="宋体" w:cs="宋体"/>
          <w:sz w:val="24"/>
          <w:szCs w:val="24"/>
        </w:rPr>
      </w:pPr>
    </w:p>
    <w:p>
      <w:pPr>
        <w:spacing w:line="360" w:lineRule="auto"/>
        <w:ind w:firstLine="645"/>
        <w:rPr>
          <w:rFonts w:ascii="宋体" w:hAnsi="宋体" w:cs="宋体"/>
          <w:sz w:val="24"/>
          <w:szCs w:val="24"/>
          <w:u w:val="single"/>
        </w:rPr>
      </w:pPr>
      <w:r>
        <w:rPr>
          <w:rFonts w:hint="eastAsia" w:ascii="宋体" w:hAnsi="宋体" w:cs="宋体"/>
          <w:sz w:val="24"/>
          <w:szCs w:val="24"/>
        </w:rPr>
        <w:t>法定代表人签字：</w:t>
      </w:r>
    </w:p>
    <w:p>
      <w:pPr>
        <w:spacing w:line="360" w:lineRule="auto"/>
        <w:ind w:firstLine="645"/>
        <w:rPr>
          <w:rFonts w:ascii="宋体" w:hAnsi="宋体" w:cs="宋体"/>
          <w:sz w:val="24"/>
          <w:szCs w:val="24"/>
          <w:u w:val="single"/>
        </w:rPr>
      </w:pPr>
      <w:r>
        <w:rPr>
          <w:rFonts w:hint="eastAsia" w:ascii="宋体" w:hAnsi="宋体" w:cs="宋体"/>
          <w:sz w:val="24"/>
          <w:szCs w:val="24"/>
        </w:rPr>
        <w:t>职务：</w:t>
      </w:r>
    </w:p>
    <w:p>
      <w:pPr>
        <w:spacing w:line="360" w:lineRule="auto"/>
        <w:ind w:firstLine="645"/>
        <w:rPr>
          <w:rFonts w:ascii="宋体" w:hAnsi="宋体" w:cs="宋体"/>
          <w:sz w:val="24"/>
          <w:szCs w:val="24"/>
        </w:rPr>
      </w:pPr>
      <w:r>
        <w:rPr>
          <w:rFonts w:hint="eastAsia" w:ascii="宋体" w:hAnsi="宋体" w:cs="宋体"/>
          <w:sz w:val="24"/>
          <w:szCs w:val="24"/>
        </w:rPr>
        <w:t>代理人（被授权人）签字：</w:t>
      </w:r>
    </w:p>
    <w:p>
      <w:pPr>
        <w:spacing w:line="360" w:lineRule="auto"/>
        <w:ind w:firstLine="645"/>
        <w:rPr>
          <w:rFonts w:ascii="宋体" w:hAnsi="宋体" w:cs="宋体"/>
          <w:sz w:val="24"/>
          <w:szCs w:val="24"/>
        </w:rPr>
      </w:pPr>
      <w:r>
        <w:rPr>
          <w:rFonts w:hint="eastAsia" w:ascii="宋体" w:hAnsi="宋体" w:cs="宋体"/>
          <w:sz w:val="24"/>
          <w:szCs w:val="24"/>
        </w:rPr>
        <w:t>职务：</w:t>
      </w:r>
    </w:p>
    <w:p>
      <w:pPr>
        <w:spacing w:line="360" w:lineRule="auto"/>
        <w:ind w:firstLine="645"/>
        <w:rPr>
          <w:rFonts w:ascii="宋体" w:hAnsi="宋体" w:cs="宋体"/>
          <w:sz w:val="24"/>
          <w:szCs w:val="24"/>
        </w:rPr>
      </w:pPr>
      <w:r>
        <w:rPr>
          <w:rFonts w:hint="eastAsia" w:ascii="宋体" w:hAnsi="宋体" w:cs="宋体"/>
          <w:sz w:val="24"/>
          <w:szCs w:val="24"/>
        </w:rPr>
        <w:t>投标人名称(加盖公章)：</w:t>
      </w:r>
    </w:p>
    <w:p>
      <w:pPr>
        <w:pStyle w:val="2"/>
        <w:rPr>
          <w:rFonts w:ascii="宋体" w:hAnsi="宋体" w:cs="宋体"/>
          <w:szCs w:val="24"/>
        </w:rPr>
      </w:pPr>
    </w:p>
    <w:p>
      <w:pPr>
        <w:rPr>
          <w:rFonts w:ascii="宋体" w:hAnsi="宋体" w:cs="宋体"/>
          <w:sz w:val="24"/>
          <w:szCs w:val="24"/>
        </w:rPr>
      </w:pPr>
    </w:p>
    <w:tbl>
      <w:tblPr>
        <w:tblStyle w:val="41"/>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8972" w:type="dxa"/>
            <w:vAlign w:val="center"/>
          </w:tcPr>
          <w:p>
            <w:pPr>
              <w:spacing w:line="360" w:lineRule="auto"/>
              <w:jc w:val="center"/>
              <w:rPr>
                <w:rFonts w:ascii="宋体" w:hAnsi="宋体" w:cs="宋体"/>
                <w:sz w:val="24"/>
                <w:szCs w:val="24"/>
              </w:rPr>
            </w:pPr>
            <w:r>
              <w:rPr>
                <w:rFonts w:hint="eastAsia" w:ascii="宋体" w:hAnsi="宋体" w:cs="宋体"/>
                <w:sz w:val="24"/>
                <w:szCs w:val="24"/>
              </w:rPr>
              <w:t>法定代表人及被授权人身份证（正、反面）</w:t>
            </w:r>
          </w:p>
        </w:tc>
      </w:tr>
    </w:tbl>
    <w:p>
      <w:pPr>
        <w:rPr>
          <w:rFonts w:ascii="宋体" w:hAnsi="宋体" w:cs="宋体"/>
        </w:rPr>
      </w:pPr>
    </w:p>
    <w:p>
      <w:pPr>
        <w:rPr>
          <w:rFonts w:ascii="宋体" w:hAnsi="宋体" w:cs="宋体"/>
        </w:rPr>
      </w:pPr>
    </w:p>
    <w:p>
      <w:pPr>
        <w:pStyle w:val="6"/>
        <w:spacing w:line="360" w:lineRule="auto"/>
        <w:rPr>
          <w:rFonts w:hAnsi="宋体" w:cs="宋体"/>
          <w:sz w:val="30"/>
          <w:szCs w:val="30"/>
        </w:rPr>
      </w:pPr>
      <w:r>
        <w:rPr>
          <w:rFonts w:hint="eastAsia" w:hAnsi="宋体" w:cs="宋体"/>
          <w:sz w:val="30"/>
          <w:szCs w:val="30"/>
        </w:rPr>
        <w:br w:type="page"/>
      </w:r>
    </w:p>
    <w:p>
      <w:pPr>
        <w:pStyle w:val="6"/>
        <w:spacing w:line="360" w:lineRule="auto"/>
        <w:rPr>
          <w:rFonts w:hAnsi="宋体" w:cs="宋体"/>
          <w:sz w:val="30"/>
          <w:szCs w:val="30"/>
        </w:rPr>
      </w:pPr>
    </w:p>
    <w:p>
      <w:pPr>
        <w:pStyle w:val="6"/>
        <w:spacing w:line="360" w:lineRule="auto"/>
        <w:rPr>
          <w:rFonts w:hAnsi="宋体" w:cs="宋体"/>
          <w:sz w:val="24"/>
          <w:szCs w:val="24"/>
        </w:rPr>
      </w:pPr>
      <w:r>
        <w:rPr>
          <w:rFonts w:hint="eastAsia" w:hAnsi="宋体" w:cs="宋体"/>
          <w:sz w:val="24"/>
          <w:szCs w:val="24"/>
        </w:rPr>
        <w:t>格式2                    近三年无重大违法记录承诺函(格式)</w:t>
      </w:r>
    </w:p>
    <w:p>
      <w:pPr>
        <w:autoSpaceDE w:val="0"/>
        <w:autoSpaceDN w:val="0"/>
        <w:adjustRightInd w:val="0"/>
        <w:snapToGrid w:val="0"/>
        <w:spacing w:line="360" w:lineRule="auto"/>
        <w:ind w:left="134" w:right="-20"/>
        <w:jc w:val="left"/>
        <w:rPr>
          <w:rFonts w:ascii="宋体" w:hAnsi="宋体" w:cs="宋体"/>
          <w:kern w:val="0"/>
          <w:sz w:val="24"/>
          <w:szCs w:val="24"/>
        </w:rPr>
      </w:pPr>
      <w:r>
        <w:rPr>
          <w:rFonts w:hint="eastAsia" w:ascii="宋体" w:hAnsi="宋体" w:cs="宋体"/>
          <w:kern w:val="0"/>
          <w:sz w:val="24"/>
          <w:szCs w:val="24"/>
        </w:rPr>
        <w:t>致：江西博采招标咨询有限公司</w:t>
      </w:r>
    </w:p>
    <w:p>
      <w:pPr>
        <w:tabs>
          <w:tab w:val="left" w:pos="2640"/>
        </w:tabs>
        <w:autoSpaceDE w:val="0"/>
        <w:autoSpaceDN w:val="0"/>
        <w:adjustRightInd w:val="0"/>
        <w:snapToGrid w:val="0"/>
        <w:spacing w:line="360" w:lineRule="auto"/>
        <w:ind w:left="134" w:right="35" w:firstLine="480"/>
        <w:jc w:val="lef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（供应商全称</w:t>
      </w:r>
      <w:r>
        <w:rPr>
          <w:rFonts w:hint="eastAsia" w:ascii="宋体" w:hAnsi="宋体" w:cs="宋体"/>
          <w:spacing w:val="-53"/>
          <w:kern w:val="0"/>
          <w:sz w:val="24"/>
          <w:szCs w:val="24"/>
        </w:rPr>
        <w:t>）</w:t>
      </w:r>
      <w:r>
        <w:rPr>
          <w:rFonts w:hint="eastAsia" w:ascii="宋体" w:hAnsi="宋体" w:cs="宋体"/>
          <w:kern w:val="0"/>
          <w:sz w:val="24"/>
          <w:szCs w:val="24"/>
        </w:rPr>
        <w:t>参加</w:t>
      </w:r>
      <w:r>
        <w:rPr>
          <w:rFonts w:hint="eastAsia" w:ascii="宋体" w:hAnsi="宋体" w:cs="宋体"/>
          <w:spacing w:val="-2"/>
          <w:kern w:val="0"/>
          <w:sz w:val="24"/>
          <w:szCs w:val="24"/>
        </w:rPr>
        <w:t>政</w:t>
      </w:r>
      <w:r>
        <w:rPr>
          <w:rFonts w:hint="eastAsia" w:ascii="宋体" w:hAnsi="宋体" w:cs="宋体"/>
          <w:kern w:val="0"/>
          <w:sz w:val="24"/>
          <w:szCs w:val="24"/>
        </w:rPr>
        <w:t>府 采购前三年内,在经营活动中没有重大违法记录。</w:t>
      </w:r>
    </w:p>
    <w:p>
      <w:pPr>
        <w:autoSpaceDE w:val="0"/>
        <w:autoSpaceDN w:val="0"/>
        <w:adjustRightInd w:val="0"/>
        <w:snapToGrid w:val="0"/>
        <w:spacing w:line="360" w:lineRule="auto"/>
        <w:ind w:left="134" w:right="32" w:firstLine="480"/>
        <w:jc w:val="left"/>
        <w:rPr>
          <w:rFonts w:ascii="宋体" w:hAnsi="宋体" w:cs="宋体"/>
          <w:kern w:val="0"/>
          <w:sz w:val="24"/>
          <w:szCs w:val="24"/>
        </w:rPr>
      </w:pPr>
      <w:r>
        <w:rPr>
          <w:rFonts w:hint="eastAsia" w:ascii="宋体" w:hAnsi="宋体" w:cs="宋体"/>
          <w:kern w:val="0"/>
          <w:sz w:val="24"/>
          <w:szCs w:val="24"/>
        </w:rPr>
        <w:t>重大违法记录</w:t>
      </w:r>
      <w:r>
        <w:rPr>
          <w:rFonts w:hint="eastAsia" w:ascii="宋体" w:hAnsi="宋体" w:cs="宋体"/>
          <w:spacing w:val="-17"/>
          <w:kern w:val="0"/>
          <w:sz w:val="24"/>
          <w:szCs w:val="24"/>
        </w:rPr>
        <w:t>，</w:t>
      </w:r>
      <w:r>
        <w:rPr>
          <w:rFonts w:hint="eastAsia" w:ascii="宋体" w:hAnsi="宋体" w:cs="宋体"/>
          <w:kern w:val="0"/>
          <w:sz w:val="24"/>
          <w:szCs w:val="24"/>
        </w:rPr>
        <w:t>是指供应商因违法经营受到刑事处罚或者责令停产停业</w:t>
      </w:r>
      <w:r>
        <w:rPr>
          <w:rFonts w:hint="eastAsia" w:ascii="宋体" w:hAnsi="宋体" w:cs="宋体"/>
          <w:spacing w:val="-17"/>
          <w:kern w:val="0"/>
          <w:sz w:val="24"/>
          <w:szCs w:val="24"/>
        </w:rPr>
        <w:t>、</w:t>
      </w:r>
      <w:r>
        <w:rPr>
          <w:rFonts w:hint="eastAsia" w:ascii="宋体" w:hAnsi="宋体" w:cs="宋体"/>
          <w:kern w:val="0"/>
          <w:sz w:val="24"/>
          <w:szCs w:val="24"/>
        </w:rPr>
        <w:t>吊销许 可证或者执照、较大罚款等行政处罚。</w:t>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ind w:left="2895" w:right="119"/>
        <w:jc w:val="left"/>
        <w:rPr>
          <w:rFonts w:ascii="宋体" w:hAnsi="宋体" w:cs="宋体"/>
          <w:kern w:val="0"/>
          <w:sz w:val="24"/>
          <w:szCs w:val="24"/>
        </w:rPr>
      </w:pPr>
      <w:r>
        <w:rPr>
          <w:rFonts w:hint="eastAsia" w:ascii="宋体" w:hAnsi="宋体" w:cs="宋体"/>
          <w:kern w:val="0"/>
          <w:sz w:val="24"/>
          <w:szCs w:val="24"/>
        </w:rPr>
        <w:t xml:space="preserve">法定代表人签字或签章： </w:t>
      </w:r>
    </w:p>
    <w:p>
      <w:pPr>
        <w:autoSpaceDE w:val="0"/>
        <w:autoSpaceDN w:val="0"/>
        <w:adjustRightInd w:val="0"/>
        <w:snapToGrid w:val="0"/>
        <w:spacing w:line="360" w:lineRule="auto"/>
        <w:ind w:left="2895" w:right="119"/>
        <w:jc w:val="left"/>
        <w:rPr>
          <w:rFonts w:ascii="宋体" w:hAnsi="宋体" w:cs="宋体"/>
          <w:kern w:val="0"/>
          <w:sz w:val="24"/>
          <w:szCs w:val="24"/>
        </w:rPr>
      </w:pPr>
      <w:r>
        <w:rPr>
          <w:rFonts w:hint="eastAsia" w:ascii="宋体" w:hAnsi="宋体" w:cs="宋体"/>
          <w:kern w:val="0"/>
          <w:sz w:val="24"/>
          <w:szCs w:val="24"/>
        </w:rPr>
        <w:t>供应商签章：</w:t>
      </w:r>
    </w:p>
    <w:p>
      <w:pPr>
        <w:autoSpaceDE w:val="0"/>
        <w:autoSpaceDN w:val="0"/>
        <w:adjustRightInd w:val="0"/>
        <w:snapToGrid w:val="0"/>
        <w:spacing w:line="360" w:lineRule="auto"/>
        <w:ind w:left="2895" w:right="119"/>
        <w:jc w:val="left"/>
        <w:rPr>
          <w:rFonts w:ascii="宋体" w:hAnsi="宋体" w:cs="宋体"/>
          <w:kern w:val="0"/>
          <w:sz w:val="24"/>
          <w:szCs w:val="24"/>
        </w:rPr>
      </w:pPr>
      <w:r>
        <w:rPr>
          <w:rFonts w:hint="eastAsia" w:ascii="宋体" w:hAnsi="宋体" w:cs="宋体"/>
          <w:kern w:val="0"/>
          <w:sz w:val="24"/>
          <w:szCs w:val="24"/>
        </w:rPr>
        <w:t>日</w:t>
      </w:r>
      <w:r>
        <w:rPr>
          <w:rFonts w:hint="eastAsia" w:ascii="宋体" w:hAnsi="宋体" w:cs="宋体"/>
          <w:kern w:val="0"/>
          <w:sz w:val="24"/>
          <w:szCs w:val="24"/>
        </w:rPr>
        <w:tab/>
      </w:r>
      <w:r>
        <w:rPr>
          <w:rFonts w:hint="eastAsia" w:ascii="宋体" w:hAnsi="宋体" w:cs="宋体"/>
          <w:kern w:val="0"/>
          <w:sz w:val="24"/>
          <w:szCs w:val="24"/>
        </w:rPr>
        <w:t>期：</w:t>
      </w:r>
    </w:p>
    <w:p>
      <w:pPr>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40"/>
        <w:rPr>
          <w:rFonts w:ascii="宋体" w:hAnsi="宋体" w:cs="宋体"/>
        </w:rPr>
      </w:pPr>
    </w:p>
    <w:p>
      <w:pPr>
        <w:pStyle w:val="6"/>
        <w:spacing w:line="360" w:lineRule="auto"/>
        <w:rPr>
          <w:rFonts w:hAnsi="宋体" w:cs="宋体"/>
          <w:sz w:val="24"/>
          <w:szCs w:val="24"/>
        </w:rPr>
      </w:pPr>
    </w:p>
    <w:p>
      <w:pPr>
        <w:pStyle w:val="6"/>
        <w:spacing w:line="360" w:lineRule="auto"/>
        <w:rPr>
          <w:rFonts w:hAnsi="宋体" w:cs="宋体"/>
          <w:sz w:val="24"/>
          <w:szCs w:val="24"/>
        </w:rPr>
      </w:pPr>
    </w:p>
    <w:p>
      <w:pPr>
        <w:rPr>
          <w:rFonts w:ascii="宋体" w:hAnsi="宋体" w:cs="宋体"/>
          <w:sz w:val="24"/>
          <w:szCs w:val="24"/>
        </w:rPr>
      </w:pPr>
    </w:p>
    <w:p>
      <w:pPr>
        <w:pStyle w:val="2"/>
      </w:pPr>
    </w:p>
    <w:p>
      <w:pPr>
        <w:pStyle w:val="6"/>
        <w:spacing w:line="360" w:lineRule="auto"/>
        <w:rPr>
          <w:rFonts w:hAnsi="宋体" w:cs="宋体"/>
          <w:sz w:val="24"/>
          <w:szCs w:val="24"/>
        </w:rPr>
      </w:pPr>
      <w:r>
        <w:rPr>
          <w:rFonts w:hint="eastAsia" w:hAnsi="宋体" w:cs="宋体"/>
          <w:sz w:val="24"/>
          <w:szCs w:val="24"/>
        </w:rPr>
        <w:t>格式3         履行合同所必需的设备和专业技术能力声明函(格式)</w:t>
      </w:r>
    </w:p>
    <w:p>
      <w:pPr>
        <w:autoSpaceDE w:val="0"/>
        <w:autoSpaceDN w:val="0"/>
        <w:adjustRightInd w:val="0"/>
        <w:snapToGrid w:val="0"/>
        <w:spacing w:line="360" w:lineRule="auto"/>
        <w:ind w:left="134" w:right="-20"/>
        <w:jc w:val="left"/>
        <w:rPr>
          <w:rFonts w:ascii="宋体" w:hAnsi="宋体" w:cs="宋体"/>
          <w:kern w:val="0"/>
          <w:sz w:val="24"/>
          <w:szCs w:val="24"/>
        </w:rPr>
      </w:pPr>
      <w:r>
        <w:rPr>
          <w:rFonts w:hint="eastAsia" w:ascii="宋体" w:hAnsi="宋体" w:cs="宋体"/>
          <w:kern w:val="0"/>
          <w:sz w:val="24"/>
          <w:szCs w:val="24"/>
        </w:rPr>
        <w:t>致：江西博采招标咨询有限公司</w:t>
      </w:r>
    </w:p>
    <w:p>
      <w:pPr>
        <w:tabs>
          <w:tab w:val="left" w:pos="2640"/>
        </w:tabs>
        <w:autoSpaceDE w:val="0"/>
        <w:autoSpaceDN w:val="0"/>
        <w:adjustRightInd w:val="0"/>
        <w:snapToGrid w:val="0"/>
        <w:spacing w:line="360" w:lineRule="auto"/>
        <w:ind w:left="134" w:right="35" w:firstLine="480"/>
        <w:jc w:val="lef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（供应商全称</w:t>
      </w:r>
      <w:r>
        <w:rPr>
          <w:rFonts w:hint="eastAsia" w:ascii="宋体" w:hAnsi="宋体" w:cs="宋体"/>
          <w:spacing w:val="-53"/>
          <w:kern w:val="0"/>
          <w:sz w:val="24"/>
          <w:szCs w:val="24"/>
        </w:rPr>
        <w:t>）</w:t>
      </w:r>
      <w:r>
        <w:rPr>
          <w:rFonts w:hint="eastAsia" w:ascii="宋体" w:hAnsi="宋体" w:cs="宋体"/>
          <w:kern w:val="0"/>
          <w:sz w:val="24"/>
          <w:szCs w:val="24"/>
        </w:rPr>
        <w:t>承诺</w:t>
      </w:r>
      <w:r>
        <w:rPr>
          <w:rFonts w:hint="eastAsia" w:ascii="宋体" w:hAnsi="宋体" w:cs="宋体"/>
          <w:spacing w:val="-2"/>
          <w:kern w:val="0"/>
          <w:sz w:val="24"/>
          <w:szCs w:val="24"/>
        </w:rPr>
        <w:t>具</w:t>
      </w:r>
      <w:r>
        <w:rPr>
          <w:rFonts w:hint="eastAsia" w:ascii="宋体" w:hAnsi="宋体" w:cs="宋体"/>
          <w:kern w:val="0"/>
          <w:sz w:val="24"/>
          <w:szCs w:val="24"/>
        </w:rPr>
        <w:t>有 履行合同所必须的设备和专业技术能力。</w:t>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480" w:lineRule="auto"/>
        <w:ind w:left="2895" w:right="1079"/>
        <w:jc w:val="right"/>
        <w:rPr>
          <w:rFonts w:ascii="宋体" w:hAnsi="宋体" w:cs="宋体"/>
          <w:kern w:val="0"/>
          <w:sz w:val="24"/>
          <w:szCs w:val="24"/>
        </w:rPr>
      </w:pPr>
      <w:r>
        <w:rPr>
          <w:rFonts w:hint="eastAsia" w:ascii="宋体" w:hAnsi="宋体" w:cs="宋体"/>
          <w:kern w:val="0"/>
          <w:sz w:val="24"/>
          <w:szCs w:val="24"/>
        </w:rPr>
        <w:t xml:space="preserve">法定代表人签字或签章： </w:t>
      </w:r>
    </w:p>
    <w:p>
      <w:pPr>
        <w:autoSpaceDE w:val="0"/>
        <w:autoSpaceDN w:val="0"/>
        <w:adjustRightInd w:val="0"/>
        <w:snapToGrid w:val="0"/>
        <w:spacing w:line="480" w:lineRule="auto"/>
        <w:ind w:left="2895" w:right="1559"/>
        <w:jc w:val="center"/>
        <w:rPr>
          <w:rFonts w:ascii="宋体" w:hAnsi="宋体" w:cs="宋体"/>
          <w:kern w:val="0"/>
          <w:sz w:val="24"/>
          <w:szCs w:val="24"/>
        </w:rPr>
      </w:pPr>
      <w:r>
        <w:rPr>
          <w:rFonts w:hint="eastAsia" w:ascii="宋体" w:hAnsi="宋体" w:cs="宋体"/>
          <w:kern w:val="0"/>
          <w:sz w:val="24"/>
          <w:szCs w:val="24"/>
        </w:rPr>
        <w:t xml:space="preserve">                   供应商签章：</w:t>
      </w:r>
    </w:p>
    <w:p>
      <w:pPr>
        <w:autoSpaceDE w:val="0"/>
        <w:autoSpaceDN w:val="0"/>
        <w:adjustRightInd w:val="0"/>
        <w:snapToGrid w:val="0"/>
        <w:spacing w:line="480" w:lineRule="auto"/>
        <w:ind w:left="2895" w:right="1079"/>
        <w:jc w:val="center"/>
        <w:rPr>
          <w:rFonts w:ascii="宋体" w:hAnsi="宋体" w:cs="宋体"/>
          <w:kern w:val="0"/>
          <w:sz w:val="24"/>
          <w:szCs w:val="24"/>
        </w:rPr>
      </w:pPr>
      <w:r>
        <w:rPr>
          <w:rFonts w:hint="eastAsia" w:ascii="宋体" w:hAnsi="宋体" w:cs="宋体"/>
          <w:kern w:val="0"/>
          <w:sz w:val="24"/>
          <w:szCs w:val="24"/>
        </w:rPr>
        <w:t xml:space="preserve">             日</w:t>
      </w:r>
      <w:r>
        <w:rPr>
          <w:rFonts w:hint="eastAsia" w:ascii="宋体" w:hAnsi="宋体" w:cs="宋体"/>
          <w:kern w:val="0"/>
          <w:sz w:val="24"/>
          <w:szCs w:val="24"/>
        </w:rPr>
        <w:tab/>
      </w:r>
      <w:r>
        <w:rPr>
          <w:rFonts w:hint="eastAsia" w:ascii="宋体" w:hAnsi="宋体" w:cs="宋体"/>
          <w:kern w:val="0"/>
          <w:sz w:val="24"/>
          <w:szCs w:val="24"/>
        </w:rPr>
        <w:t>期：</w:t>
      </w: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rPr>
          <w:rStyle w:val="89"/>
          <w:rFonts w:ascii="宋体" w:hAnsi="宋体" w:eastAsia="宋体" w:cs="宋体"/>
        </w:rPr>
      </w:pPr>
    </w:p>
    <w:p>
      <w:pPr>
        <w:tabs>
          <w:tab w:val="left" w:pos="5580"/>
        </w:tabs>
        <w:spacing w:before="120" w:line="22" w:lineRule="atLeast"/>
        <w:rPr>
          <w:rFonts w:ascii="宋体" w:hAnsi="宋体" w:cs="宋体"/>
          <w:sz w:val="24"/>
        </w:rPr>
      </w:pPr>
    </w:p>
    <w:p>
      <w:pPr>
        <w:pStyle w:val="5"/>
        <w:rPr>
          <w:rFonts w:ascii="宋体" w:hAnsi="宋体" w:eastAsia="宋体" w:cs="宋体"/>
        </w:rPr>
      </w:pPr>
    </w:p>
    <w:p>
      <w:pPr>
        <w:tabs>
          <w:tab w:val="left" w:pos="5580"/>
        </w:tabs>
        <w:spacing w:before="120" w:line="22" w:lineRule="atLeast"/>
        <w:rPr>
          <w:rFonts w:ascii="宋体" w:hAnsi="宋体" w:cs="宋体"/>
          <w:sz w:val="24"/>
        </w:rPr>
      </w:pPr>
    </w:p>
    <w:p>
      <w:pPr>
        <w:pStyle w:val="17"/>
        <w:rPr>
          <w:rFonts w:ascii="宋体" w:hAnsi="宋体" w:cs="宋体"/>
        </w:rPr>
      </w:pPr>
    </w:p>
    <w:p>
      <w:pPr>
        <w:pStyle w:val="214"/>
        <w:ind w:firstLine="723"/>
        <w:rPr>
          <w:rFonts w:cs="宋体"/>
          <w:kern w:val="1"/>
          <w:sz w:val="36"/>
          <w:szCs w:val="36"/>
        </w:rPr>
      </w:pPr>
    </w:p>
    <w:p>
      <w:pPr>
        <w:pStyle w:val="6"/>
        <w:spacing w:line="360" w:lineRule="auto"/>
        <w:jc w:val="left"/>
        <w:rPr>
          <w:rFonts w:hAnsi="宋体" w:cs="宋体"/>
          <w:sz w:val="30"/>
          <w:szCs w:val="30"/>
        </w:rPr>
      </w:pPr>
      <w:r>
        <w:rPr>
          <w:rFonts w:hint="eastAsia" w:hAnsi="宋体" w:cs="宋体"/>
          <w:sz w:val="30"/>
          <w:szCs w:val="30"/>
        </w:rPr>
        <w:t>格式4                    保证金缴纳声明函</w:t>
      </w:r>
    </w:p>
    <w:p>
      <w:pPr>
        <w:rPr>
          <w:rFonts w:ascii="宋体" w:hAnsi="宋体" w:cs="宋体"/>
          <w:kern w:val="0"/>
          <w:sz w:val="24"/>
          <w:szCs w:val="27"/>
        </w:rPr>
      </w:pPr>
      <w:r>
        <w:rPr>
          <w:rFonts w:hint="eastAsia" w:ascii="宋体" w:hAnsi="宋体" w:cs="宋体"/>
          <w:kern w:val="0"/>
          <w:sz w:val="24"/>
          <w:szCs w:val="27"/>
        </w:rPr>
        <w:t>致：江西博采招标咨询有限公司</w:t>
      </w:r>
    </w:p>
    <w:p>
      <w:pPr>
        <w:spacing w:line="460" w:lineRule="exact"/>
        <w:ind w:firstLine="560"/>
        <w:rPr>
          <w:rFonts w:ascii="宋体" w:hAnsi="宋体" w:cs="宋体"/>
          <w:kern w:val="0"/>
          <w:sz w:val="24"/>
          <w:szCs w:val="27"/>
        </w:rPr>
      </w:pPr>
      <w:r>
        <w:rPr>
          <w:rFonts w:hint="eastAsia" w:ascii="宋体" w:hAnsi="宋体" w:cs="宋体"/>
          <w:kern w:val="0"/>
          <w:sz w:val="24"/>
          <w:szCs w:val="27"/>
        </w:rPr>
        <w:t>我方为             项目（招标编号为：     )递交保证金人民币    元(大写：人民币     元)已于    年  月  日以     方式汇入你方帐户。</w:t>
      </w:r>
    </w:p>
    <w:p>
      <w:pPr>
        <w:spacing w:line="460" w:lineRule="exact"/>
        <w:ind w:firstLine="562"/>
        <w:rPr>
          <w:rFonts w:ascii="宋体" w:hAnsi="宋体" w:cs="宋体"/>
          <w:kern w:val="0"/>
          <w:sz w:val="24"/>
          <w:szCs w:val="27"/>
        </w:rPr>
      </w:pPr>
      <w:r>
        <w:rPr>
          <w:rFonts w:hint="eastAsia" w:ascii="宋体" w:hAnsi="宋体" w:cs="宋体"/>
          <w:kern w:val="0"/>
          <w:sz w:val="24"/>
          <w:szCs w:val="27"/>
        </w:rPr>
        <w:t xml:space="preserve">详见附件：保证金缴纳凭证复印件（或扫描件）。 </w:t>
      </w:r>
    </w:p>
    <w:p>
      <w:pPr>
        <w:spacing w:line="460" w:lineRule="exact"/>
        <w:ind w:firstLine="560"/>
        <w:rPr>
          <w:rFonts w:ascii="宋体" w:hAnsi="宋体" w:cs="宋体"/>
          <w:kern w:val="0"/>
          <w:sz w:val="24"/>
          <w:szCs w:val="27"/>
        </w:rPr>
      </w:pPr>
      <w:r>
        <w:rPr>
          <w:rFonts w:hint="eastAsia" w:ascii="宋体" w:hAnsi="宋体" w:cs="宋体"/>
          <w:kern w:val="0"/>
          <w:sz w:val="24"/>
          <w:szCs w:val="27"/>
        </w:rPr>
        <w:t>退还保证金时请按以下内容汇入至我方帐户。若因内容不全、错误、字迹潦草模糊导致该项目保证金未能及时退还或退还过程中发生错误，我方将承担全部责任和损失。</w:t>
      </w:r>
    </w:p>
    <w:p>
      <w:pPr>
        <w:spacing w:line="460" w:lineRule="exact"/>
        <w:ind w:firstLine="560"/>
        <w:rPr>
          <w:rFonts w:ascii="宋体" w:hAnsi="宋体" w:cs="宋体"/>
          <w:kern w:val="0"/>
          <w:sz w:val="24"/>
          <w:szCs w:val="27"/>
        </w:rPr>
      </w:pPr>
      <w:r>
        <w:rPr>
          <w:rFonts w:hint="eastAsia" w:ascii="宋体" w:hAnsi="宋体" w:cs="宋体"/>
          <w:kern w:val="0"/>
          <w:sz w:val="24"/>
          <w:szCs w:val="27"/>
        </w:rPr>
        <w:t>单位全称：</w:t>
      </w:r>
    </w:p>
    <w:p>
      <w:pPr>
        <w:spacing w:line="460" w:lineRule="exact"/>
        <w:ind w:firstLine="560"/>
        <w:rPr>
          <w:rFonts w:ascii="宋体" w:hAnsi="宋体" w:cs="宋体"/>
          <w:kern w:val="0"/>
          <w:sz w:val="24"/>
          <w:szCs w:val="27"/>
        </w:rPr>
      </w:pPr>
      <w:r>
        <w:rPr>
          <w:rFonts w:hint="eastAsia" w:ascii="宋体" w:hAnsi="宋体" w:cs="宋体"/>
          <w:kern w:val="0"/>
          <w:sz w:val="24"/>
          <w:szCs w:val="27"/>
        </w:rPr>
        <w:t>开户银行：</w:t>
      </w:r>
    </w:p>
    <w:p>
      <w:pPr>
        <w:spacing w:line="460" w:lineRule="exact"/>
        <w:ind w:firstLine="560"/>
        <w:rPr>
          <w:rFonts w:ascii="宋体" w:hAnsi="宋体" w:cs="宋体"/>
          <w:kern w:val="0"/>
          <w:sz w:val="24"/>
          <w:szCs w:val="27"/>
        </w:rPr>
      </w:pPr>
      <w:r>
        <w:rPr>
          <w:rFonts w:hint="eastAsia" w:ascii="宋体" w:hAnsi="宋体" w:cs="宋体"/>
          <w:kern w:val="0"/>
          <w:sz w:val="24"/>
          <w:szCs w:val="27"/>
        </w:rPr>
        <w:t xml:space="preserve">开户帐号： </w:t>
      </w:r>
    </w:p>
    <w:p>
      <w:pPr>
        <w:tabs>
          <w:tab w:val="left" w:pos="5245"/>
        </w:tabs>
        <w:spacing w:line="460" w:lineRule="exact"/>
        <w:ind w:firstLine="5102" w:firstLineChars="2126"/>
        <w:rPr>
          <w:rFonts w:ascii="宋体" w:hAnsi="宋体" w:cs="宋体"/>
          <w:kern w:val="0"/>
          <w:sz w:val="24"/>
          <w:szCs w:val="27"/>
        </w:rPr>
      </w:pPr>
      <w:r>
        <w:rPr>
          <w:rFonts w:hint="eastAsia" w:ascii="宋体" w:hAnsi="宋体" w:cs="宋体"/>
          <w:kern w:val="0"/>
          <w:sz w:val="24"/>
          <w:szCs w:val="27"/>
        </w:rPr>
        <w:t>(公司公章)：</w:t>
      </w:r>
    </w:p>
    <w:p>
      <w:pPr>
        <w:tabs>
          <w:tab w:val="left" w:pos="5245"/>
        </w:tabs>
        <w:spacing w:line="460" w:lineRule="exact"/>
        <w:ind w:firstLine="5102" w:firstLineChars="2126"/>
        <w:rPr>
          <w:rFonts w:ascii="宋体" w:hAnsi="宋体" w:cs="宋体"/>
          <w:kern w:val="0"/>
          <w:sz w:val="24"/>
          <w:szCs w:val="27"/>
        </w:rPr>
      </w:pPr>
      <w:r>
        <w:rPr>
          <w:rFonts w:hint="eastAsia" w:ascii="宋体" w:hAnsi="宋体" w:cs="宋体"/>
          <w:kern w:val="0"/>
          <w:sz w:val="24"/>
          <w:szCs w:val="27"/>
        </w:rPr>
        <w:t>地址：</w:t>
      </w:r>
    </w:p>
    <w:p>
      <w:pPr>
        <w:tabs>
          <w:tab w:val="left" w:pos="5245"/>
        </w:tabs>
        <w:spacing w:line="460" w:lineRule="exact"/>
        <w:ind w:firstLine="5102" w:firstLineChars="2126"/>
        <w:rPr>
          <w:rFonts w:ascii="宋体" w:hAnsi="宋体" w:cs="宋体"/>
          <w:kern w:val="0"/>
          <w:sz w:val="24"/>
          <w:szCs w:val="27"/>
        </w:rPr>
      </w:pPr>
      <w:r>
        <w:rPr>
          <w:rFonts w:hint="eastAsia" w:ascii="宋体" w:hAnsi="宋体" w:cs="宋体"/>
          <w:kern w:val="0"/>
          <w:sz w:val="24"/>
          <w:szCs w:val="27"/>
        </w:rPr>
        <w:t>项目联系人：</w:t>
      </w:r>
    </w:p>
    <w:p>
      <w:pPr>
        <w:tabs>
          <w:tab w:val="left" w:pos="5245"/>
        </w:tabs>
        <w:spacing w:line="460" w:lineRule="exact"/>
        <w:ind w:firstLine="5102" w:firstLineChars="2126"/>
        <w:rPr>
          <w:rFonts w:ascii="宋体" w:hAnsi="宋体" w:cs="宋体"/>
          <w:kern w:val="0"/>
          <w:sz w:val="24"/>
          <w:szCs w:val="27"/>
        </w:rPr>
      </w:pPr>
      <w:r>
        <w:rPr>
          <w:rFonts w:hint="eastAsia" w:ascii="宋体" w:hAnsi="宋体" w:cs="宋体"/>
          <w:kern w:val="0"/>
          <w:sz w:val="24"/>
          <w:szCs w:val="27"/>
        </w:rPr>
        <w:t>电话(手机)：</w:t>
      </w:r>
    </w:p>
    <w:p>
      <w:pPr>
        <w:tabs>
          <w:tab w:val="left" w:pos="5245"/>
        </w:tabs>
        <w:spacing w:line="520" w:lineRule="exact"/>
        <w:ind w:firstLine="4464" w:firstLineChars="2126"/>
        <w:rPr>
          <w:rFonts w:ascii="宋体" w:hAnsi="宋体" w:cs="宋体"/>
        </w:rPr>
      </w:pPr>
    </w:p>
    <w:tbl>
      <w:tblPr>
        <w:tblStyle w:val="41"/>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8798" w:type="dxa"/>
            <w:vAlign w:val="center"/>
          </w:tcPr>
          <w:p>
            <w:pPr>
              <w:ind w:firstLine="560"/>
              <w:jc w:val="center"/>
              <w:rPr>
                <w:rFonts w:ascii="宋体" w:hAnsi="宋体" w:cs="宋体"/>
              </w:rPr>
            </w:pPr>
            <w:r>
              <w:rPr>
                <w:rFonts w:hint="eastAsia" w:ascii="宋体" w:hAnsi="宋体" w:cs="宋体"/>
              </w:rPr>
              <w:t>(保证金缴纳凭证粘贴处)</w:t>
            </w:r>
          </w:p>
        </w:tc>
      </w:tr>
    </w:tbl>
    <w:p>
      <w:pPr>
        <w:pBdr>
          <w:bottom w:val="none" w:color="000000" w:sz="0" w:space="1"/>
        </w:pBdr>
        <w:rPr>
          <w:rFonts w:ascii="宋体" w:hAnsi="宋体" w:cs="宋体"/>
          <w:sz w:val="24"/>
        </w:rPr>
        <w:sectPr>
          <w:endnotePr>
            <w:numFmt w:val="decimal"/>
          </w:endnotePr>
          <w:pgSz w:w="11906" w:h="16838"/>
          <w:pgMar w:top="1418" w:right="1134" w:bottom="1247" w:left="1134" w:header="737" w:footer="680" w:gutter="0"/>
          <w:cols w:space="720" w:num="1"/>
          <w:titlePg/>
          <w:docGrid w:linePitch="286" w:charSpace="0"/>
        </w:sectPr>
      </w:pPr>
    </w:p>
    <w:p>
      <w:pPr>
        <w:rPr>
          <w:rFonts w:ascii="宋体" w:hAnsi="宋体" w:cs="宋体"/>
          <w:b/>
          <w:sz w:val="24"/>
        </w:rPr>
      </w:pPr>
    </w:p>
    <w:p>
      <w:pPr>
        <w:tabs>
          <w:tab w:val="left" w:pos="0"/>
          <w:tab w:val="left" w:pos="765"/>
        </w:tabs>
        <w:spacing w:line="540" w:lineRule="exact"/>
        <w:rPr>
          <w:rFonts w:ascii="宋体" w:hAnsi="宋体" w:cs="宋体"/>
          <w:b/>
          <w:bCs/>
          <w:kern w:val="1"/>
          <w:sz w:val="30"/>
          <w:szCs w:val="30"/>
        </w:rPr>
      </w:pPr>
      <w:r>
        <w:rPr>
          <w:rFonts w:hint="eastAsia" w:ascii="宋体" w:hAnsi="宋体" w:cs="宋体"/>
          <w:b/>
          <w:bCs/>
          <w:kern w:val="1"/>
          <w:sz w:val="30"/>
          <w:szCs w:val="30"/>
        </w:rPr>
        <w:t>格式5                                   文件袋封面</w:t>
      </w:r>
    </w:p>
    <w:p>
      <w:pPr>
        <w:spacing w:line="800" w:lineRule="exact"/>
        <w:jc w:val="left"/>
        <w:rPr>
          <w:rFonts w:ascii="宋体" w:hAnsi="宋体" w:cs="宋体"/>
          <w:sz w:val="36"/>
          <w:szCs w:val="36"/>
        </w:rPr>
      </w:pPr>
    </w:p>
    <w:p>
      <w:pPr>
        <w:spacing w:line="800" w:lineRule="exact"/>
        <w:ind w:firstLine="720" w:firstLineChars="200"/>
        <w:jc w:val="left"/>
        <w:rPr>
          <w:rFonts w:ascii="宋体" w:hAnsi="宋体" w:cs="宋体"/>
          <w:sz w:val="36"/>
          <w:szCs w:val="36"/>
        </w:rPr>
      </w:pPr>
      <w:r>
        <w:rPr>
          <w:rFonts w:hint="eastAsia" w:ascii="宋体" w:hAnsi="宋体" w:cs="宋体"/>
          <w:sz w:val="36"/>
          <w:szCs w:val="36"/>
        </w:rPr>
        <w:t>项目名称：</w:t>
      </w:r>
    </w:p>
    <w:p>
      <w:pPr>
        <w:spacing w:line="800" w:lineRule="exact"/>
        <w:ind w:firstLine="720" w:firstLineChars="200"/>
        <w:jc w:val="left"/>
        <w:rPr>
          <w:rFonts w:ascii="宋体" w:hAnsi="宋体" w:cs="宋体"/>
          <w:sz w:val="36"/>
          <w:szCs w:val="36"/>
        </w:rPr>
      </w:pPr>
      <w:r>
        <w:rPr>
          <w:rFonts w:hint="eastAsia" w:ascii="宋体" w:hAnsi="宋体" w:cs="宋体"/>
          <w:sz w:val="36"/>
          <w:szCs w:val="36"/>
        </w:rPr>
        <w:t>招标编号：</w:t>
      </w:r>
    </w:p>
    <w:p>
      <w:pPr>
        <w:rPr>
          <w:rFonts w:ascii="宋体" w:hAnsi="宋体" w:cs="宋体"/>
          <w:b/>
          <w:sz w:val="40"/>
          <w:szCs w:val="40"/>
        </w:rPr>
      </w:pPr>
    </w:p>
    <w:p>
      <w:pPr>
        <w:jc w:val="center"/>
        <w:rPr>
          <w:rFonts w:ascii="宋体" w:hAnsi="宋体" w:cs="宋体"/>
          <w:b/>
          <w:sz w:val="84"/>
          <w:szCs w:val="84"/>
        </w:rPr>
      </w:pPr>
      <w:r>
        <w:rPr>
          <w:rFonts w:hint="eastAsia" w:ascii="宋体" w:hAnsi="宋体" w:cs="宋体"/>
          <w:b/>
          <w:sz w:val="84"/>
          <w:szCs w:val="84"/>
        </w:rPr>
        <w:t>投标文件</w:t>
      </w:r>
    </w:p>
    <w:p>
      <w:pPr>
        <w:rPr>
          <w:rFonts w:ascii="宋体" w:hAnsi="宋体" w:cs="宋体"/>
          <w:b/>
          <w:sz w:val="40"/>
          <w:szCs w:val="40"/>
        </w:rPr>
      </w:pPr>
    </w:p>
    <w:p>
      <w:pPr>
        <w:spacing w:line="800" w:lineRule="exact"/>
        <w:jc w:val="center"/>
        <w:rPr>
          <w:rFonts w:ascii="宋体" w:hAnsi="宋体" w:cs="宋体"/>
          <w:sz w:val="36"/>
          <w:szCs w:val="36"/>
        </w:rPr>
      </w:pPr>
      <w:r>
        <w:rPr>
          <w:rFonts w:hint="eastAsia" w:ascii="宋体" w:hAnsi="宋体" w:cs="宋体"/>
          <w:bCs/>
          <w:sz w:val="36"/>
          <w:szCs w:val="36"/>
        </w:rPr>
        <w:t>（内装正本XX份、副本）</w:t>
      </w:r>
    </w:p>
    <w:p>
      <w:pPr>
        <w:rPr>
          <w:rFonts w:ascii="宋体" w:hAnsi="宋体" w:cs="宋体"/>
          <w:b/>
          <w:sz w:val="40"/>
          <w:szCs w:val="40"/>
        </w:rPr>
      </w:pPr>
    </w:p>
    <w:p>
      <w:pPr>
        <w:spacing w:line="480" w:lineRule="auto"/>
        <w:ind w:firstLine="558" w:firstLineChars="155"/>
        <w:rPr>
          <w:rFonts w:ascii="宋体" w:hAnsi="宋体" w:cs="宋体"/>
          <w:sz w:val="36"/>
          <w:szCs w:val="36"/>
        </w:rPr>
      </w:pPr>
      <w:r>
        <w:rPr>
          <w:rFonts w:hint="eastAsia" w:ascii="宋体" w:hAnsi="宋体" w:cs="宋体"/>
          <w:sz w:val="36"/>
          <w:szCs w:val="36"/>
        </w:rPr>
        <w:t>投标供应商（加盖公章）：</w:t>
      </w:r>
    </w:p>
    <w:p>
      <w:pPr>
        <w:spacing w:line="480" w:lineRule="auto"/>
        <w:ind w:firstLine="558" w:firstLineChars="155"/>
        <w:rPr>
          <w:rFonts w:ascii="宋体" w:hAnsi="宋体" w:cs="宋体"/>
          <w:sz w:val="36"/>
          <w:szCs w:val="36"/>
          <w:u w:val="single"/>
        </w:rPr>
      </w:pPr>
      <w:r>
        <w:rPr>
          <w:rFonts w:hint="eastAsia" w:ascii="宋体" w:hAnsi="宋体" w:cs="宋体"/>
          <w:sz w:val="36"/>
          <w:szCs w:val="36"/>
        </w:rPr>
        <w:t>授权代表：</w:t>
      </w:r>
    </w:p>
    <w:p>
      <w:pPr>
        <w:spacing w:line="480" w:lineRule="auto"/>
        <w:ind w:firstLine="558" w:firstLineChars="155"/>
        <w:rPr>
          <w:rFonts w:ascii="宋体" w:hAnsi="宋体" w:cs="宋体"/>
          <w:sz w:val="36"/>
          <w:szCs w:val="36"/>
        </w:rPr>
      </w:pPr>
      <w:r>
        <w:rPr>
          <w:rFonts w:hint="eastAsia" w:ascii="宋体" w:hAnsi="宋体" w:cs="宋体"/>
          <w:sz w:val="36"/>
          <w:szCs w:val="36"/>
        </w:rPr>
        <w:t>联系电话：</w:t>
      </w:r>
    </w:p>
    <w:p>
      <w:pPr>
        <w:spacing w:line="480" w:lineRule="auto"/>
        <w:ind w:firstLine="558" w:firstLineChars="155"/>
        <w:rPr>
          <w:rFonts w:ascii="宋体" w:hAnsi="宋体" w:cs="宋体"/>
          <w:sz w:val="36"/>
          <w:szCs w:val="36"/>
          <w:u w:val="single"/>
        </w:rPr>
      </w:pPr>
      <w:r>
        <w:rPr>
          <w:rFonts w:hint="eastAsia" w:ascii="宋体" w:hAnsi="宋体" w:cs="宋体"/>
          <w:sz w:val="36"/>
          <w:szCs w:val="36"/>
        </w:rPr>
        <w:t>日期：</w:t>
      </w:r>
    </w:p>
    <w:p>
      <w:pPr>
        <w:spacing w:line="480" w:lineRule="auto"/>
        <w:rPr>
          <w:rFonts w:ascii="宋体" w:hAnsi="宋体" w:cs="宋体"/>
          <w:sz w:val="36"/>
          <w:szCs w:val="36"/>
          <w:u w:val="single"/>
        </w:rPr>
      </w:pPr>
    </w:p>
    <w:p>
      <w:pPr>
        <w:tabs>
          <w:tab w:val="left" w:pos="0"/>
          <w:tab w:val="left" w:pos="765"/>
        </w:tabs>
        <w:spacing w:line="540" w:lineRule="exact"/>
        <w:ind w:firstLine="360" w:firstLineChars="100"/>
        <w:rPr>
          <w:rFonts w:ascii="宋体" w:hAnsi="宋体" w:cs="宋体"/>
          <w:sz w:val="36"/>
          <w:szCs w:val="36"/>
        </w:rPr>
      </w:pPr>
      <w:r>
        <w:rPr>
          <w:rFonts w:hint="eastAsia" w:ascii="宋体" w:hAnsi="宋体" w:cs="宋体"/>
          <w:sz w:val="36"/>
          <w:szCs w:val="36"/>
        </w:rPr>
        <w:t>在年月日上午、下午（北京时间）之前不得启封！</w:t>
      </w:r>
    </w:p>
    <w:p>
      <w:pPr>
        <w:tabs>
          <w:tab w:val="left" w:pos="0"/>
          <w:tab w:val="left" w:pos="765"/>
        </w:tabs>
        <w:spacing w:line="540" w:lineRule="exact"/>
        <w:ind w:firstLine="360" w:firstLineChars="100"/>
        <w:rPr>
          <w:rFonts w:ascii="宋体" w:hAnsi="宋体" w:cs="宋体"/>
          <w:sz w:val="36"/>
          <w:szCs w:val="36"/>
        </w:rPr>
      </w:pPr>
      <w:r>
        <w:rPr>
          <w:rFonts w:hint="eastAsia" w:ascii="宋体" w:hAnsi="宋体" w:cs="宋体"/>
          <w:sz w:val="36"/>
          <w:szCs w:val="36"/>
        </w:rPr>
        <w:t>开标地点：</w:t>
      </w:r>
    </w:p>
    <w:p>
      <w:pPr>
        <w:tabs>
          <w:tab w:val="left" w:pos="0"/>
          <w:tab w:val="left" w:pos="765"/>
        </w:tabs>
        <w:spacing w:line="540" w:lineRule="exact"/>
        <w:rPr>
          <w:rFonts w:ascii="宋体" w:hAnsi="宋体" w:cs="宋体"/>
          <w:sz w:val="36"/>
          <w:szCs w:val="36"/>
        </w:rPr>
      </w:pPr>
    </w:p>
    <w:p>
      <w:pPr>
        <w:tabs>
          <w:tab w:val="left" w:pos="0"/>
          <w:tab w:val="left" w:pos="765"/>
        </w:tabs>
        <w:spacing w:line="540" w:lineRule="exact"/>
        <w:rPr>
          <w:rFonts w:ascii="宋体" w:hAnsi="宋体" w:cs="宋体"/>
          <w:sz w:val="24"/>
        </w:rPr>
      </w:pPr>
      <w:r>
        <w:rPr>
          <w:rFonts w:hint="eastAsia" w:ascii="宋体" w:hAnsi="宋体" w:cs="宋体"/>
          <w:sz w:val="24"/>
        </w:rPr>
        <w:t>注：投标人修改或撤回投标文件的书面材料，须密封送达采购代理机构，同时应在封皮上标明“投标文件修改”或“投标文件撤回通知”字样。</w:t>
      </w:r>
    </w:p>
    <w:p>
      <w:pPr>
        <w:spacing w:line="440" w:lineRule="exact"/>
        <w:rPr>
          <w:rFonts w:ascii="宋体" w:hAnsi="宋体" w:cs="宋体"/>
          <w:b/>
          <w:sz w:val="24"/>
        </w:rPr>
        <w:sectPr>
          <w:footerReference r:id="rId20" w:type="default"/>
          <w:pgSz w:w="11907" w:h="16840"/>
          <w:pgMar w:top="1358" w:right="850" w:bottom="1440" w:left="1418" w:header="851" w:footer="992" w:gutter="0"/>
          <w:paperSrc w:first="260" w:other="260"/>
          <w:cols w:space="720" w:num="1"/>
          <w:docGrid w:type="lines" w:linePitch="323" w:charSpace="-2"/>
        </w:sectPr>
      </w:pPr>
    </w:p>
    <w:p>
      <w:pPr>
        <w:jc w:val="center"/>
        <w:rPr>
          <w:rFonts w:ascii="宋体" w:hAnsi="宋体" w:cs="宋体"/>
          <w:b/>
          <w:sz w:val="24"/>
        </w:rPr>
      </w:pPr>
    </w:p>
    <w:p>
      <w:pPr>
        <w:pStyle w:val="5"/>
        <w:rPr>
          <w:rFonts w:ascii="宋体" w:hAnsi="宋体" w:eastAsia="宋体" w:cs="宋体"/>
          <w:kern w:val="1"/>
          <w:sz w:val="30"/>
          <w:szCs w:val="30"/>
        </w:rPr>
      </w:pPr>
      <w:r>
        <w:rPr>
          <w:rFonts w:hint="eastAsia" w:ascii="宋体" w:hAnsi="宋体" w:eastAsia="宋体" w:cs="宋体"/>
          <w:kern w:val="1"/>
          <w:sz w:val="30"/>
          <w:szCs w:val="30"/>
        </w:rPr>
        <w:t>10、与技术、商务等评审计分有关的资料</w:t>
      </w:r>
    </w:p>
    <w:p>
      <w:pPr>
        <w:tabs>
          <w:tab w:val="left" w:pos="0"/>
          <w:tab w:val="left" w:pos="765"/>
        </w:tabs>
        <w:spacing w:line="540" w:lineRule="exact"/>
        <w:ind w:firstLine="4337" w:firstLineChars="1200"/>
        <w:rPr>
          <w:rFonts w:ascii="宋体" w:hAnsi="宋体" w:cs="宋体"/>
          <w:b/>
          <w:sz w:val="36"/>
          <w:szCs w:val="36"/>
        </w:rPr>
      </w:pPr>
    </w:p>
    <w:p>
      <w:pPr>
        <w:spacing w:line="360" w:lineRule="auto"/>
        <w:jc w:val="center"/>
        <w:rPr>
          <w:rFonts w:ascii="宋体" w:hAnsi="宋体" w:cs="宋体"/>
          <w:b/>
          <w:sz w:val="36"/>
          <w:szCs w:val="36"/>
        </w:rPr>
      </w:pPr>
    </w:p>
    <w:p>
      <w:pPr>
        <w:pStyle w:val="40"/>
      </w:pPr>
    </w:p>
    <w:sectPr>
      <w:pgSz w:w="11906" w:h="16838"/>
      <w:pgMar w:top="1134" w:right="1134" w:bottom="1134" w:left="1134"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swiss"/>
    <w:pitch w:val="default"/>
    <w:sig w:usb0="00000000" w:usb1="00000000" w:usb2="00000000" w:usb3="00000000" w:csb0="000001B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10"/>
      </w:tabs>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9752381"/>
                          </w:sdtPr>
                          <w:sdtContent>
                            <w:p>
                              <w:pPr>
                                <w:pStyle w:val="27"/>
                                <w:jc w:val="center"/>
                              </w:pPr>
                              <w:r>
                                <w:fldChar w:fldCharType="begin"/>
                              </w:r>
                              <w:r>
                                <w:instrText xml:space="preserve">PAGE   \* MERGEFORMAT</w:instrText>
                              </w:r>
                              <w:r>
                                <w:fldChar w:fldCharType="separate"/>
                              </w:r>
                              <w:r>
                                <w:rPr>
                                  <w:lang w:val="zh-CN"/>
                                </w:rPr>
                                <w:t>45</w:t>
                              </w:r>
                              <w:r>
                                <w:rPr>
                                  <w:lang w:val="zh-CN"/>
                                </w:rP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939752381"/>
                    </w:sdtPr>
                    <w:sdtContent>
                      <w:p>
                        <w:pPr>
                          <w:pStyle w:val="27"/>
                          <w:jc w:val="center"/>
                        </w:pPr>
                        <w:r>
                          <w:fldChar w:fldCharType="begin"/>
                        </w:r>
                        <w:r>
                          <w:instrText xml:space="preserve">PAGE   \* MERGEFORMAT</w:instrText>
                        </w:r>
                        <w:r>
                          <w:fldChar w:fldCharType="separate"/>
                        </w:r>
                        <w:r>
                          <w:rPr>
                            <w:lang w:val="zh-CN"/>
                          </w:rPr>
                          <w:t>45</w:t>
                        </w:r>
                        <w:r>
                          <w:rPr>
                            <w:lang w:val="zh-CN"/>
                          </w:rPr>
                          <w:fldChar w:fldCharType="end"/>
                        </w:r>
                      </w:p>
                    </w:sdtContent>
                  </w:sd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asciiTheme="minorEastAsia" w:hAnsiTheme="minorEastAsia" w:eastAsia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p>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6"/>
        <w:rFonts w:ascii="Arial Black" w:hAnsi="Arial Black"/>
        <w:bCs/>
        <w:sz w:val="21"/>
        <w:szCs w:val="21"/>
        <w:bdr w:val="single" w:color="auto" w:sz="4" w:space="0"/>
        <w14:shadow w14:blurRad="50800" w14:dist="38100" w14:dir="2700000" w14:sx="100000" w14:sy="100000" w14:kx="0" w14:ky="0" w14:algn="tl">
          <w14:srgbClr w14:val="000000">
            <w14:alpha w14:val="60000"/>
          </w14:srgbClr>
        </w14:shadow>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Style w:val="46"/>
        <w:rFonts w:hint="eastAsia" w:ascii="Arial Black" w:hAnsi="Arial Black"/>
        <w:bCs/>
        <w:sz w:val="21"/>
        <w:szCs w:val="21"/>
        <w14:shadow w14:blurRad="50800" w14:dist="38100" w14:dir="2700000" w14:sx="100000" w14:sy="100000" w14:kx="0" w14:ky="0" w14:algn="tl">
          <w14:srgbClr w14:val="000000">
            <w14:alpha w14:val="60000"/>
          </w14:srgbClr>
        </w14:shadow>
      </w:rPr>
      <w:t xml:space="preserve"> </w:t>
    </w:r>
    <w:r>
      <w:rPr>
        <w:rStyle w:val="46"/>
        <w:rFonts w:hint="eastAsia" w:ascii="Arial Black" w:hAnsi="Arial Black"/>
        <w:bCs/>
        <w:sz w:val="21"/>
        <w:szCs w:val="21"/>
        <w:bdr w:val="single" w:color="auto" w:sz="4" w:space="0"/>
        <w14:shadow w14:blurRad="50800" w14:dist="38100" w14:dir="2700000" w14:sx="100000" w14:sy="100000" w14:kx="0" w14:ky="0" w14:algn="tl">
          <w14:srgbClr w14:val="000000">
            <w14:alpha w14:val="60000"/>
          </w14:srgbClr>
        </w14:shadow>
      </w:rPr>
      <w:t xml:space="preserve"> </w:t>
    </w:r>
  </w:p>
  <w:p>
    <w:pPr>
      <w:pStyle w:val="27"/>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p>
    <w:pPr>
      <w:pStyle w:val="2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rFonts w:ascii="黑体" w:hAnsi="黑体" w:eastAsia="黑体"/>
        <w:shd w:val="pct10" w:color="auto" w:fill="FFFFFF"/>
      </w:rPr>
    </w:pPr>
  </w:p>
  <w:p>
    <w:pPr>
      <w:pStyle w:val="28"/>
      <w:pBdr>
        <w:bottom w:val="none" w:color="auto" w:sz="0" w:space="0"/>
      </w:pBdr>
      <w:jc w:val="right"/>
      <w:rPr>
        <w:rFonts w:ascii="黑体" w:hAnsi="黑体" w:eastAsia="黑体"/>
        <w:shd w:val="pct10" w:color="auto" w:fill="FFFFFF"/>
      </w:rPr>
    </w:pPr>
  </w:p>
  <w:p>
    <w:pPr>
      <w:pStyle w:val="28"/>
      <w:pBdr>
        <w:bottom w:val="none" w:color="auto" w:sz="0" w:space="0"/>
      </w:pBdr>
      <w:jc w:val="right"/>
      <w:rPr>
        <w:rFonts w:ascii="黑体" w:hAnsi="黑体" w:eastAsia="黑体"/>
        <w:shd w:val="pct10" w:color="auto" w:fill="FFFFFF"/>
      </w:rPr>
    </w:pPr>
  </w:p>
  <w:p>
    <w:pPr>
      <w:pStyle w:val="28"/>
      <w:pBdr>
        <w:bottom w:val="none" w:color="auto" w:sz="0" w:space="0"/>
      </w:pBdr>
      <w:jc w:val="right"/>
      <w:rPr>
        <w:rFonts w:ascii="黑体" w:hAnsi="黑体" w:eastAsia="黑体"/>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center"/>
      <w:pPr>
        <w:tabs>
          <w:tab w:val="left" w:pos="4020"/>
        </w:tabs>
        <w:ind w:left="4020" w:hanging="420"/>
      </w:pPr>
      <w:rPr>
        <w:rFonts w:hint="eastAsia"/>
      </w:rPr>
    </w:lvl>
    <w:lvl w:ilvl="1" w:tentative="0">
      <w:start w:val="1"/>
      <w:numFmt w:val="lowerLetter"/>
      <w:lvlText w:val="%2)"/>
      <w:lvlJc w:val="left"/>
      <w:pPr>
        <w:tabs>
          <w:tab w:val="left" w:pos="4152"/>
        </w:tabs>
        <w:ind w:left="4152" w:hanging="420"/>
      </w:pPr>
    </w:lvl>
    <w:lvl w:ilvl="2" w:tentative="0">
      <w:start w:val="1"/>
      <w:numFmt w:val="lowerRoman"/>
      <w:lvlText w:val="%3."/>
      <w:lvlJc w:val="right"/>
      <w:pPr>
        <w:tabs>
          <w:tab w:val="left" w:pos="4572"/>
        </w:tabs>
        <w:ind w:left="4572" w:hanging="420"/>
      </w:pPr>
    </w:lvl>
    <w:lvl w:ilvl="3" w:tentative="0">
      <w:start w:val="1"/>
      <w:numFmt w:val="decimal"/>
      <w:lvlText w:val="%4."/>
      <w:lvlJc w:val="left"/>
      <w:pPr>
        <w:tabs>
          <w:tab w:val="left" w:pos="4992"/>
        </w:tabs>
        <w:ind w:left="4992" w:hanging="420"/>
      </w:pPr>
    </w:lvl>
    <w:lvl w:ilvl="4" w:tentative="0">
      <w:start w:val="1"/>
      <w:numFmt w:val="lowerLetter"/>
      <w:lvlText w:val="%5)"/>
      <w:lvlJc w:val="left"/>
      <w:pPr>
        <w:tabs>
          <w:tab w:val="left" w:pos="5412"/>
        </w:tabs>
        <w:ind w:left="5412" w:hanging="420"/>
      </w:pPr>
    </w:lvl>
    <w:lvl w:ilvl="5" w:tentative="0">
      <w:start w:val="1"/>
      <w:numFmt w:val="lowerRoman"/>
      <w:lvlText w:val="%6."/>
      <w:lvlJc w:val="right"/>
      <w:pPr>
        <w:tabs>
          <w:tab w:val="left" w:pos="5832"/>
        </w:tabs>
        <w:ind w:left="5832" w:hanging="420"/>
      </w:pPr>
    </w:lvl>
    <w:lvl w:ilvl="6" w:tentative="0">
      <w:start w:val="1"/>
      <w:numFmt w:val="decimal"/>
      <w:lvlText w:val="%7."/>
      <w:lvlJc w:val="left"/>
      <w:pPr>
        <w:tabs>
          <w:tab w:val="left" w:pos="6252"/>
        </w:tabs>
        <w:ind w:left="6252" w:hanging="420"/>
      </w:pPr>
    </w:lvl>
    <w:lvl w:ilvl="7" w:tentative="0">
      <w:start w:val="1"/>
      <w:numFmt w:val="lowerLetter"/>
      <w:lvlText w:val="%8)"/>
      <w:lvlJc w:val="left"/>
      <w:pPr>
        <w:tabs>
          <w:tab w:val="left" w:pos="6672"/>
        </w:tabs>
        <w:ind w:left="6672" w:hanging="420"/>
      </w:pPr>
    </w:lvl>
    <w:lvl w:ilvl="8" w:tentative="0">
      <w:start w:val="1"/>
      <w:numFmt w:val="lowerRoman"/>
      <w:lvlText w:val="%9."/>
      <w:lvlJc w:val="right"/>
      <w:pPr>
        <w:tabs>
          <w:tab w:val="left" w:pos="7092"/>
        </w:tabs>
        <w:ind w:left="7092" w:hanging="420"/>
      </w:pPr>
    </w:lvl>
  </w:abstractNum>
  <w:abstractNum w:abstractNumId="1">
    <w:nsid w:val="00000004"/>
    <w:multiLevelType w:val="multilevel"/>
    <w:tmpl w:val="00000004"/>
    <w:lvl w:ilvl="0" w:tentative="0">
      <w:start w:val="1"/>
      <w:numFmt w:val="chineseCountingThousand"/>
      <w:lvlText w:val="第%1章"/>
      <w:lvlJc w:val="left"/>
      <w:pPr>
        <w:tabs>
          <w:tab w:val="left" w:pos="1440"/>
        </w:tabs>
        <w:ind w:left="2280" w:hanging="1440"/>
      </w:pPr>
      <w:rPr>
        <w:rFonts w:hint="eastAsia"/>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191742"/>
    <w:multiLevelType w:val="multilevel"/>
    <w:tmpl w:val="03191742"/>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5B529BB"/>
    <w:multiLevelType w:val="multilevel"/>
    <w:tmpl w:val="05B529BB"/>
    <w:lvl w:ilvl="0" w:tentative="0">
      <w:start w:val="1"/>
      <w:numFmt w:val="decimal"/>
      <w:lvlText w:val="（%1）"/>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8EA2CC0"/>
    <w:multiLevelType w:val="singleLevel"/>
    <w:tmpl w:val="08EA2CC0"/>
    <w:lvl w:ilvl="0" w:tentative="0">
      <w:start w:val="2"/>
      <w:numFmt w:val="chineseCounting"/>
      <w:suff w:val="nothing"/>
      <w:lvlText w:val="（%1）"/>
      <w:lvlJc w:val="left"/>
      <w:rPr>
        <w:rFonts w:hint="eastAsia"/>
      </w:rPr>
    </w:lvl>
  </w:abstractNum>
  <w:abstractNum w:abstractNumId="5">
    <w:nsid w:val="0B6A24DC"/>
    <w:multiLevelType w:val="multilevel"/>
    <w:tmpl w:val="0B6A24DC"/>
    <w:lvl w:ilvl="0" w:tentative="0">
      <w:start w:val="1"/>
      <w:numFmt w:val="decimal"/>
      <w:lvlText w:val="（%1）"/>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A916CC"/>
    <w:multiLevelType w:val="multilevel"/>
    <w:tmpl w:val="0BA916CC"/>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F59020F"/>
    <w:multiLevelType w:val="multilevel"/>
    <w:tmpl w:val="0F59020F"/>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D630A87"/>
    <w:multiLevelType w:val="multilevel"/>
    <w:tmpl w:val="1D630A87"/>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02C6050"/>
    <w:multiLevelType w:val="multilevel"/>
    <w:tmpl w:val="202C6050"/>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08244BE"/>
    <w:multiLevelType w:val="multilevel"/>
    <w:tmpl w:val="208244BE"/>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237A2E1D"/>
    <w:multiLevelType w:val="multilevel"/>
    <w:tmpl w:val="237A2E1D"/>
    <w:lvl w:ilvl="0" w:tentative="0">
      <w:start w:val="1"/>
      <w:numFmt w:val="decimal"/>
      <w:lvlText w:val="（%1）"/>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5696388"/>
    <w:multiLevelType w:val="multilevel"/>
    <w:tmpl w:val="25696388"/>
    <w:lvl w:ilvl="0" w:tentative="0">
      <w:start w:val="1"/>
      <w:numFmt w:val="decimal"/>
      <w:lvlText w:val="（%1）"/>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C85C50B"/>
    <w:multiLevelType w:val="singleLevel"/>
    <w:tmpl w:val="2C85C50B"/>
    <w:lvl w:ilvl="0" w:tentative="0">
      <w:start w:val="8"/>
      <w:numFmt w:val="decimal"/>
      <w:suff w:val="nothing"/>
      <w:lvlText w:val="%1．"/>
      <w:lvlJc w:val="left"/>
    </w:lvl>
  </w:abstractNum>
  <w:abstractNum w:abstractNumId="14">
    <w:nsid w:val="2D583277"/>
    <w:multiLevelType w:val="multilevel"/>
    <w:tmpl w:val="2D583277"/>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DD5CE5"/>
    <w:multiLevelType w:val="multilevel"/>
    <w:tmpl w:val="2FDD5CE5"/>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30770733"/>
    <w:multiLevelType w:val="singleLevel"/>
    <w:tmpl w:val="30770733"/>
    <w:lvl w:ilvl="0" w:tentative="0">
      <w:start w:val="1"/>
      <w:numFmt w:val="decimal"/>
      <w:suff w:val="nothing"/>
      <w:lvlText w:val="%1、"/>
      <w:lvlJc w:val="left"/>
    </w:lvl>
  </w:abstractNum>
  <w:abstractNum w:abstractNumId="17">
    <w:nsid w:val="343465F5"/>
    <w:multiLevelType w:val="multilevel"/>
    <w:tmpl w:val="343465F5"/>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4A6022B"/>
    <w:multiLevelType w:val="multilevel"/>
    <w:tmpl w:val="34A6022B"/>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090072F"/>
    <w:multiLevelType w:val="multilevel"/>
    <w:tmpl w:val="4090072F"/>
    <w:lvl w:ilvl="0" w:tentative="0">
      <w:start w:val="1"/>
      <w:numFmt w:val="decimal"/>
      <w:lvlText w:val="（%1）"/>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11330B1"/>
    <w:multiLevelType w:val="multilevel"/>
    <w:tmpl w:val="411330B1"/>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49690AE6"/>
    <w:multiLevelType w:val="multilevel"/>
    <w:tmpl w:val="49690AE6"/>
    <w:lvl w:ilvl="0" w:tentative="0">
      <w:start w:val="1"/>
      <w:numFmt w:val="decimal"/>
      <w:lvlText w:val="（%1）"/>
      <w:lvlJc w:val="left"/>
      <w:pPr>
        <w:tabs>
          <w:tab w:val="left" w:pos="1191"/>
        </w:tabs>
        <w:ind w:left="907" w:firstLine="284"/>
      </w:pPr>
      <w:rPr>
        <w:b w:val="0"/>
        <w:i w:val="0"/>
        <w:sz w:val="21"/>
        <w:szCs w:val="21"/>
      </w:rPr>
    </w:lvl>
    <w:lvl w:ilvl="1" w:tentative="0">
      <w:start w:val="1"/>
      <w:numFmt w:val="decimal"/>
      <w:lvlText w:val="（%2）"/>
      <w:lvlJc w:val="left"/>
      <w:pPr>
        <w:tabs>
          <w:tab w:val="left" w:pos="987"/>
        </w:tabs>
        <w:ind w:left="250" w:firstLine="170"/>
      </w:pPr>
      <w:rPr>
        <w:b w:val="0"/>
        <w:i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2EA2247"/>
    <w:multiLevelType w:val="multilevel"/>
    <w:tmpl w:val="52EA2247"/>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55C93A89"/>
    <w:multiLevelType w:val="multilevel"/>
    <w:tmpl w:val="55C93A89"/>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CBB791"/>
    <w:multiLevelType w:val="singleLevel"/>
    <w:tmpl w:val="59CBB791"/>
    <w:lvl w:ilvl="0" w:tentative="0">
      <w:start w:val="1"/>
      <w:numFmt w:val="decimal"/>
      <w:suff w:val="nothing"/>
      <w:lvlText w:val="%1、"/>
      <w:lvlJc w:val="left"/>
    </w:lvl>
  </w:abstractNum>
  <w:abstractNum w:abstractNumId="25">
    <w:nsid w:val="5C1D139F"/>
    <w:multiLevelType w:val="multilevel"/>
    <w:tmpl w:val="5C1D139F"/>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554E5B"/>
    <w:multiLevelType w:val="multilevel"/>
    <w:tmpl w:val="64554E5B"/>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651C2EAC"/>
    <w:multiLevelType w:val="multilevel"/>
    <w:tmpl w:val="651C2EAC"/>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87B74EC"/>
    <w:multiLevelType w:val="multilevel"/>
    <w:tmpl w:val="687B74EC"/>
    <w:lvl w:ilvl="0" w:tentative="0">
      <w:start w:val="1"/>
      <w:numFmt w:val="japaneseCounting"/>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D9B1F86"/>
    <w:multiLevelType w:val="multilevel"/>
    <w:tmpl w:val="6D9B1F86"/>
    <w:lvl w:ilvl="0" w:tentative="0">
      <w:start w:val="1"/>
      <w:numFmt w:val="none"/>
      <w:lvlText w:val="（4）"/>
      <w:lvlJc w:val="left"/>
      <w:pPr>
        <w:tabs>
          <w:tab w:val="left" w:pos="1588"/>
        </w:tabs>
        <w:ind w:left="1135" w:firstLine="56"/>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77D2170E"/>
    <w:multiLevelType w:val="multilevel"/>
    <w:tmpl w:val="77D2170E"/>
    <w:lvl w:ilvl="0" w:tentative="0">
      <w:start w:val="1"/>
      <w:numFmt w:val="decimal"/>
      <w:lvlText w:val="（%1）"/>
      <w:lvlJc w:val="left"/>
      <w:pPr>
        <w:tabs>
          <w:tab w:val="left" w:pos="1911"/>
        </w:tabs>
        <w:ind w:left="1911" w:hanging="720"/>
      </w:pPr>
      <w:rPr>
        <w:rFonts w:hint="default" w:ascii="Arial" w:hAnsi="Arial" w:cs="Times New Roman"/>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9F61949"/>
    <w:multiLevelType w:val="multilevel"/>
    <w:tmpl w:val="79F61949"/>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16"/>
  </w:num>
  <w:num w:numId="3">
    <w:abstractNumId w:val="0"/>
  </w:num>
  <w:num w:numId="4">
    <w:abstractNumId w:val="24"/>
  </w:num>
  <w:num w:numId="5">
    <w:abstractNumId w:val="4"/>
  </w:num>
  <w:num w:numId="6">
    <w:abstractNumId w:val="28"/>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2"/>
  </w:num>
  <w:num w:numId="11">
    <w:abstractNumId w:val="25"/>
  </w:num>
  <w:num w:numId="12">
    <w:abstractNumId w:val="23"/>
  </w:num>
  <w:num w:numId="13">
    <w:abstractNumId w:val="20"/>
  </w:num>
  <w:num w:numId="14">
    <w:abstractNumId w:val="27"/>
  </w:num>
  <w:num w:numId="15">
    <w:abstractNumId w:val="18"/>
  </w:num>
  <w:num w:numId="16">
    <w:abstractNumId w:val="7"/>
  </w:num>
  <w:num w:numId="17">
    <w:abstractNumId w:val="6"/>
  </w:num>
  <w:num w:numId="18">
    <w:abstractNumId w:val="8"/>
  </w:num>
  <w:num w:numId="19">
    <w:abstractNumId w:val="17"/>
  </w:num>
  <w:num w:numId="20">
    <w:abstractNumId w:val="26"/>
  </w:num>
  <w:num w:numId="21">
    <w:abstractNumId w:val="14"/>
  </w:num>
  <w:num w:numId="22">
    <w:abstractNumId w:val="30"/>
  </w:num>
  <w:num w:numId="23">
    <w:abstractNumId w:val="15"/>
  </w:num>
  <w:num w:numId="24">
    <w:abstractNumId w:val="10"/>
  </w:num>
  <w:num w:numId="25">
    <w:abstractNumId w:val="11"/>
  </w:num>
  <w:num w:numId="26">
    <w:abstractNumId w:val="5"/>
  </w:num>
  <w:num w:numId="27">
    <w:abstractNumId w:val="19"/>
  </w:num>
  <w:num w:numId="28">
    <w:abstractNumId w:val="29"/>
  </w:num>
  <w:num w:numId="29">
    <w:abstractNumId w:val="21"/>
  </w:num>
  <w:num w:numId="30">
    <w:abstractNumId w:val="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M2MwN2FmZjk4MWU2MDRiNzYxNzI5YTlkOTM0NjgifQ=="/>
  </w:docVars>
  <w:rsids>
    <w:rsidRoot w:val="00172A27"/>
    <w:rsid w:val="00000F93"/>
    <w:rsid w:val="00001C72"/>
    <w:rsid w:val="000026FF"/>
    <w:rsid w:val="000042EE"/>
    <w:rsid w:val="00006B21"/>
    <w:rsid w:val="00011775"/>
    <w:rsid w:val="0002456F"/>
    <w:rsid w:val="000254F9"/>
    <w:rsid w:val="00027B22"/>
    <w:rsid w:val="0003370F"/>
    <w:rsid w:val="00034CE9"/>
    <w:rsid w:val="00035564"/>
    <w:rsid w:val="00035871"/>
    <w:rsid w:val="00035F76"/>
    <w:rsid w:val="000408A2"/>
    <w:rsid w:val="00040C96"/>
    <w:rsid w:val="0004242E"/>
    <w:rsid w:val="0004260D"/>
    <w:rsid w:val="00044857"/>
    <w:rsid w:val="00045E39"/>
    <w:rsid w:val="00046397"/>
    <w:rsid w:val="00050840"/>
    <w:rsid w:val="000516B6"/>
    <w:rsid w:val="000528C4"/>
    <w:rsid w:val="00056F37"/>
    <w:rsid w:val="000623D2"/>
    <w:rsid w:val="0006352E"/>
    <w:rsid w:val="000670F8"/>
    <w:rsid w:val="0006756C"/>
    <w:rsid w:val="00067AE7"/>
    <w:rsid w:val="00067F85"/>
    <w:rsid w:val="00070001"/>
    <w:rsid w:val="000715CB"/>
    <w:rsid w:val="00071E82"/>
    <w:rsid w:val="00071F90"/>
    <w:rsid w:val="00072443"/>
    <w:rsid w:val="000728A4"/>
    <w:rsid w:val="00074C4B"/>
    <w:rsid w:val="00075496"/>
    <w:rsid w:val="00076618"/>
    <w:rsid w:val="00087974"/>
    <w:rsid w:val="00090979"/>
    <w:rsid w:val="00093142"/>
    <w:rsid w:val="00094E07"/>
    <w:rsid w:val="000975F4"/>
    <w:rsid w:val="000A0FBE"/>
    <w:rsid w:val="000A2262"/>
    <w:rsid w:val="000A268C"/>
    <w:rsid w:val="000A2BA0"/>
    <w:rsid w:val="000A3E4C"/>
    <w:rsid w:val="000A5892"/>
    <w:rsid w:val="000A649B"/>
    <w:rsid w:val="000B0315"/>
    <w:rsid w:val="000B0920"/>
    <w:rsid w:val="000B1014"/>
    <w:rsid w:val="000B36FD"/>
    <w:rsid w:val="000B7747"/>
    <w:rsid w:val="000D010D"/>
    <w:rsid w:val="000D01E4"/>
    <w:rsid w:val="000D12A0"/>
    <w:rsid w:val="000D2426"/>
    <w:rsid w:val="000D2EA8"/>
    <w:rsid w:val="000D4142"/>
    <w:rsid w:val="000D4978"/>
    <w:rsid w:val="000D660E"/>
    <w:rsid w:val="000D7220"/>
    <w:rsid w:val="000D7676"/>
    <w:rsid w:val="000E1385"/>
    <w:rsid w:val="000E2EF1"/>
    <w:rsid w:val="000E3435"/>
    <w:rsid w:val="000E644C"/>
    <w:rsid w:val="000E6F48"/>
    <w:rsid w:val="000F0039"/>
    <w:rsid w:val="000F0F45"/>
    <w:rsid w:val="000F6277"/>
    <w:rsid w:val="000F6D4E"/>
    <w:rsid w:val="000F7F95"/>
    <w:rsid w:val="000F7FC2"/>
    <w:rsid w:val="00100BE4"/>
    <w:rsid w:val="00101D7B"/>
    <w:rsid w:val="00102D4E"/>
    <w:rsid w:val="00105106"/>
    <w:rsid w:val="0011044B"/>
    <w:rsid w:val="0011143D"/>
    <w:rsid w:val="00111760"/>
    <w:rsid w:val="0011324E"/>
    <w:rsid w:val="00120604"/>
    <w:rsid w:val="00122BF1"/>
    <w:rsid w:val="00123A65"/>
    <w:rsid w:val="00124B1D"/>
    <w:rsid w:val="00125C8C"/>
    <w:rsid w:val="00125DBC"/>
    <w:rsid w:val="00126D4D"/>
    <w:rsid w:val="0013160D"/>
    <w:rsid w:val="00131F31"/>
    <w:rsid w:val="00132B01"/>
    <w:rsid w:val="0013398F"/>
    <w:rsid w:val="0013688B"/>
    <w:rsid w:val="0014112C"/>
    <w:rsid w:val="001428B6"/>
    <w:rsid w:val="001506B3"/>
    <w:rsid w:val="00156EE5"/>
    <w:rsid w:val="0016015B"/>
    <w:rsid w:val="00160D99"/>
    <w:rsid w:val="00161573"/>
    <w:rsid w:val="00164F4B"/>
    <w:rsid w:val="00172A27"/>
    <w:rsid w:val="001761E7"/>
    <w:rsid w:val="0017662D"/>
    <w:rsid w:val="00176B9F"/>
    <w:rsid w:val="001818AF"/>
    <w:rsid w:val="00181CA9"/>
    <w:rsid w:val="00185089"/>
    <w:rsid w:val="00185E32"/>
    <w:rsid w:val="00187555"/>
    <w:rsid w:val="00190B3E"/>
    <w:rsid w:val="001939B8"/>
    <w:rsid w:val="00193BF1"/>
    <w:rsid w:val="001949AE"/>
    <w:rsid w:val="00194ABF"/>
    <w:rsid w:val="00195FFD"/>
    <w:rsid w:val="001974C7"/>
    <w:rsid w:val="001A26BB"/>
    <w:rsid w:val="001A3549"/>
    <w:rsid w:val="001A4A5F"/>
    <w:rsid w:val="001A4CC1"/>
    <w:rsid w:val="001C11B7"/>
    <w:rsid w:val="001C3048"/>
    <w:rsid w:val="001C4428"/>
    <w:rsid w:val="001C6089"/>
    <w:rsid w:val="001C65E4"/>
    <w:rsid w:val="001C6E0B"/>
    <w:rsid w:val="001C73DD"/>
    <w:rsid w:val="001D19DC"/>
    <w:rsid w:val="001D1C78"/>
    <w:rsid w:val="001D64E9"/>
    <w:rsid w:val="001D7AF5"/>
    <w:rsid w:val="001E1569"/>
    <w:rsid w:val="001E17FB"/>
    <w:rsid w:val="001F3EA0"/>
    <w:rsid w:val="001F3FB3"/>
    <w:rsid w:val="001F598E"/>
    <w:rsid w:val="001F6442"/>
    <w:rsid w:val="002006DC"/>
    <w:rsid w:val="002014B5"/>
    <w:rsid w:val="002018F3"/>
    <w:rsid w:val="00201ED3"/>
    <w:rsid w:val="00202222"/>
    <w:rsid w:val="0020386B"/>
    <w:rsid w:val="00203CD0"/>
    <w:rsid w:val="00210A2F"/>
    <w:rsid w:val="00211BE4"/>
    <w:rsid w:val="00212CC3"/>
    <w:rsid w:val="00216230"/>
    <w:rsid w:val="0022175D"/>
    <w:rsid w:val="00221FA1"/>
    <w:rsid w:val="002221E3"/>
    <w:rsid w:val="002231DD"/>
    <w:rsid w:val="00226696"/>
    <w:rsid w:val="00227CC4"/>
    <w:rsid w:val="00230652"/>
    <w:rsid w:val="00230F5D"/>
    <w:rsid w:val="00232302"/>
    <w:rsid w:val="00235B04"/>
    <w:rsid w:val="00236C19"/>
    <w:rsid w:val="00237247"/>
    <w:rsid w:val="00242A89"/>
    <w:rsid w:val="00243A5F"/>
    <w:rsid w:val="0025233B"/>
    <w:rsid w:val="00256F5D"/>
    <w:rsid w:val="00257360"/>
    <w:rsid w:val="00263DEB"/>
    <w:rsid w:val="00267359"/>
    <w:rsid w:val="002714F9"/>
    <w:rsid w:val="0028149F"/>
    <w:rsid w:val="00282EBF"/>
    <w:rsid w:val="00283245"/>
    <w:rsid w:val="002862A9"/>
    <w:rsid w:val="00292205"/>
    <w:rsid w:val="002955E4"/>
    <w:rsid w:val="00295E63"/>
    <w:rsid w:val="00296FCB"/>
    <w:rsid w:val="00297664"/>
    <w:rsid w:val="002A0845"/>
    <w:rsid w:val="002A277F"/>
    <w:rsid w:val="002A5430"/>
    <w:rsid w:val="002A7F12"/>
    <w:rsid w:val="002B0305"/>
    <w:rsid w:val="002B3580"/>
    <w:rsid w:val="002B64B7"/>
    <w:rsid w:val="002C09A8"/>
    <w:rsid w:val="002C5292"/>
    <w:rsid w:val="002C74F3"/>
    <w:rsid w:val="002C76F3"/>
    <w:rsid w:val="002C7A46"/>
    <w:rsid w:val="002D0847"/>
    <w:rsid w:val="002D0F2C"/>
    <w:rsid w:val="002D19AF"/>
    <w:rsid w:val="002D25FB"/>
    <w:rsid w:val="002D2BA0"/>
    <w:rsid w:val="002D56F0"/>
    <w:rsid w:val="002D6B03"/>
    <w:rsid w:val="002D71B7"/>
    <w:rsid w:val="002E071C"/>
    <w:rsid w:val="002E09B2"/>
    <w:rsid w:val="002E3360"/>
    <w:rsid w:val="002E3D66"/>
    <w:rsid w:val="002E43B0"/>
    <w:rsid w:val="002E7155"/>
    <w:rsid w:val="002E7F74"/>
    <w:rsid w:val="002F4AEF"/>
    <w:rsid w:val="002F5BFC"/>
    <w:rsid w:val="002F7854"/>
    <w:rsid w:val="00303BB4"/>
    <w:rsid w:val="00305DA7"/>
    <w:rsid w:val="003066F5"/>
    <w:rsid w:val="00306D52"/>
    <w:rsid w:val="0031764B"/>
    <w:rsid w:val="003223D8"/>
    <w:rsid w:val="00322D3F"/>
    <w:rsid w:val="00324EEB"/>
    <w:rsid w:val="00330D00"/>
    <w:rsid w:val="003338BD"/>
    <w:rsid w:val="00334ECD"/>
    <w:rsid w:val="0033579E"/>
    <w:rsid w:val="00336C83"/>
    <w:rsid w:val="00342405"/>
    <w:rsid w:val="003504AD"/>
    <w:rsid w:val="00351934"/>
    <w:rsid w:val="00352369"/>
    <w:rsid w:val="003534C3"/>
    <w:rsid w:val="0035615E"/>
    <w:rsid w:val="003567E6"/>
    <w:rsid w:val="00356B74"/>
    <w:rsid w:val="003661CD"/>
    <w:rsid w:val="00366C5E"/>
    <w:rsid w:val="00367AC9"/>
    <w:rsid w:val="003704B5"/>
    <w:rsid w:val="00371070"/>
    <w:rsid w:val="00372F21"/>
    <w:rsid w:val="003731D1"/>
    <w:rsid w:val="00373AB8"/>
    <w:rsid w:val="00373B01"/>
    <w:rsid w:val="00375751"/>
    <w:rsid w:val="00375892"/>
    <w:rsid w:val="003812B4"/>
    <w:rsid w:val="00382A44"/>
    <w:rsid w:val="00383406"/>
    <w:rsid w:val="0038645B"/>
    <w:rsid w:val="00390273"/>
    <w:rsid w:val="003A0856"/>
    <w:rsid w:val="003A2425"/>
    <w:rsid w:val="003A51D3"/>
    <w:rsid w:val="003B1122"/>
    <w:rsid w:val="003B3370"/>
    <w:rsid w:val="003B71C7"/>
    <w:rsid w:val="003B7D8E"/>
    <w:rsid w:val="003C185F"/>
    <w:rsid w:val="003C475A"/>
    <w:rsid w:val="003D42C0"/>
    <w:rsid w:val="003D7895"/>
    <w:rsid w:val="003E3446"/>
    <w:rsid w:val="003E4E96"/>
    <w:rsid w:val="003E7EC8"/>
    <w:rsid w:val="003F46F6"/>
    <w:rsid w:val="003F785D"/>
    <w:rsid w:val="004022AA"/>
    <w:rsid w:val="00403576"/>
    <w:rsid w:val="00403CE5"/>
    <w:rsid w:val="00405365"/>
    <w:rsid w:val="00406051"/>
    <w:rsid w:val="004071BD"/>
    <w:rsid w:val="00410AC4"/>
    <w:rsid w:val="00417D8A"/>
    <w:rsid w:val="00420208"/>
    <w:rsid w:val="0042405F"/>
    <w:rsid w:val="00424684"/>
    <w:rsid w:val="0042646E"/>
    <w:rsid w:val="004306F5"/>
    <w:rsid w:val="004334DC"/>
    <w:rsid w:val="00433F67"/>
    <w:rsid w:val="00434771"/>
    <w:rsid w:val="0043769C"/>
    <w:rsid w:val="004379D4"/>
    <w:rsid w:val="00437D45"/>
    <w:rsid w:val="00440E1E"/>
    <w:rsid w:val="0044410B"/>
    <w:rsid w:val="004468AE"/>
    <w:rsid w:val="00446D16"/>
    <w:rsid w:val="0045003B"/>
    <w:rsid w:val="0045081E"/>
    <w:rsid w:val="00451AAB"/>
    <w:rsid w:val="0045206E"/>
    <w:rsid w:val="004523E1"/>
    <w:rsid w:val="0046198E"/>
    <w:rsid w:val="00461DF5"/>
    <w:rsid w:val="00462526"/>
    <w:rsid w:val="004649E4"/>
    <w:rsid w:val="004653A2"/>
    <w:rsid w:val="00467D1A"/>
    <w:rsid w:val="004721B0"/>
    <w:rsid w:val="004739E8"/>
    <w:rsid w:val="00474411"/>
    <w:rsid w:val="00474A2A"/>
    <w:rsid w:val="0048314F"/>
    <w:rsid w:val="00484244"/>
    <w:rsid w:val="00485823"/>
    <w:rsid w:val="00491FD4"/>
    <w:rsid w:val="00492113"/>
    <w:rsid w:val="00492356"/>
    <w:rsid w:val="00494650"/>
    <w:rsid w:val="00494FD8"/>
    <w:rsid w:val="004970F5"/>
    <w:rsid w:val="004A13F2"/>
    <w:rsid w:val="004A1F5A"/>
    <w:rsid w:val="004A3086"/>
    <w:rsid w:val="004A31BB"/>
    <w:rsid w:val="004A3A24"/>
    <w:rsid w:val="004A3E3C"/>
    <w:rsid w:val="004B1F3A"/>
    <w:rsid w:val="004B3367"/>
    <w:rsid w:val="004B505F"/>
    <w:rsid w:val="004B52BC"/>
    <w:rsid w:val="004B63CD"/>
    <w:rsid w:val="004B7615"/>
    <w:rsid w:val="004C1150"/>
    <w:rsid w:val="004C1543"/>
    <w:rsid w:val="004C3F3B"/>
    <w:rsid w:val="004C6B1C"/>
    <w:rsid w:val="004D0174"/>
    <w:rsid w:val="004D0186"/>
    <w:rsid w:val="004D1FF0"/>
    <w:rsid w:val="004D6D8A"/>
    <w:rsid w:val="004D7326"/>
    <w:rsid w:val="004D7F11"/>
    <w:rsid w:val="004E3FDF"/>
    <w:rsid w:val="004E45E5"/>
    <w:rsid w:val="004E4C0A"/>
    <w:rsid w:val="004E4D34"/>
    <w:rsid w:val="004E6520"/>
    <w:rsid w:val="004F13C4"/>
    <w:rsid w:val="004F66B1"/>
    <w:rsid w:val="00504DDF"/>
    <w:rsid w:val="00512A0C"/>
    <w:rsid w:val="0051354E"/>
    <w:rsid w:val="00513B97"/>
    <w:rsid w:val="005151BD"/>
    <w:rsid w:val="0051522B"/>
    <w:rsid w:val="00516C9D"/>
    <w:rsid w:val="00521863"/>
    <w:rsid w:val="00522E05"/>
    <w:rsid w:val="0052330E"/>
    <w:rsid w:val="00523DA5"/>
    <w:rsid w:val="00524767"/>
    <w:rsid w:val="00525B46"/>
    <w:rsid w:val="0052781C"/>
    <w:rsid w:val="00540641"/>
    <w:rsid w:val="0054225C"/>
    <w:rsid w:val="00544508"/>
    <w:rsid w:val="005459B0"/>
    <w:rsid w:val="00551D74"/>
    <w:rsid w:val="005536C5"/>
    <w:rsid w:val="0055701E"/>
    <w:rsid w:val="005607FA"/>
    <w:rsid w:val="00560A48"/>
    <w:rsid w:val="00561AE5"/>
    <w:rsid w:val="005626D6"/>
    <w:rsid w:val="00562EC5"/>
    <w:rsid w:val="005646A8"/>
    <w:rsid w:val="005748CF"/>
    <w:rsid w:val="005754F7"/>
    <w:rsid w:val="005776A4"/>
    <w:rsid w:val="00581501"/>
    <w:rsid w:val="00582C02"/>
    <w:rsid w:val="0058426A"/>
    <w:rsid w:val="00584B38"/>
    <w:rsid w:val="00586228"/>
    <w:rsid w:val="005863FB"/>
    <w:rsid w:val="00590F0F"/>
    <w:rsid w:val="00591840"/>
    <w:rsid w:val="005928B3"/>
    <w:rsid w:val="00594742"/>
    <w:rsid w:val="0059529C"/>
    <w:rsid w:val="00596FC7"/>
    <w:rsid w:val="00597874"/>
    <w:rsid w:val="005A5A35"/>
    <w:rsid w:val="005A62B3"/>
    <w:rsid w:val="005A7067"/>
    <w:rsid w:val="005A7877"/>
    <w:rsid w:val="005B0A8D"/>
    <w:rsid w:val="005B0F1F"/>
    <w:rsid w:val="005B1279"/>
    <w:rsid w:val="005B4DDF"/>
    <w:rsid w:val="005B6FE0"/>
    <w:rsid w:val="005C12AF"/>
    <w:rsid w:val="005C2DFD"/>
    <w:rsid w:val="005C4758"/>
    <w:rsid w:val="005C564E"/>
    <w:rsid w:val="005D6B21"/>
    <w:rsid w:val="005D7B2E"/>
    <w:rsid w:val="005E6869"/>
    <w:rsid w:val="005F2F3F"/>
    <w:rsid w:val="005F4A06"/>
    <w:rsid w:val="005F5C6B"/>
    <w:rsid w:val="005F6490"/>
    <w:rsid w:val="00601F92"/>
    <w:rsid w:val="006027AF"/>
    <w:rsid w:val="0060300D"/>
    <w:rsid w:val="00605D7A"/>
    <w:rsid w:val="00606CFD"/>
    <w:rsid w:val="00610828"/>
    <w:rsid w:val="00614636"/>
    <w:rsid w:val="00616A06"/>
    <w:rsid w:val="00617453"/>
    <w:rsid w:val="006234A8"/>
    <w:rsid w:val="0062498C"/>
    <w:rsid w:val="00624FD6"/>
    <w:rsid w:val="00625199"/>
    <w:rsid w:val="0062556D"/>
    <w:rsid w:val="0062724B"/>
    <w:rsid w:val="00627DC3"/>
    <w:rsid w:val="0063240D"/>
    <w:rsid w:val="00632594"/>
    <w:rsid w:val="0063313A"/>
    <w:rsid w:val="0063373A"/>
    <w:rsid w:val="006378BB"/>
    <w:rsid w:val="006404FA"/>
    <w:rsid w:val="006415E7"/>
    <w:rsid w:val="006419CB"/>
    <w:rsid w:val="00641F10"/>
    <w:rsid w:val="00645A0A"/>
    <w:rsid w:val="0064744D"/>
    <w:rsid w:val="00650287"/>
    <w:rsid w:val="006505B9"/>
    <w:rsid w:val="0065111A"/>
    <w:rsid w:val="006529FC"/>
    <w:rsid w:val="00652BC4"/>
    <w:rsid w:val="00656A2A"/>
    <w:rsid w:val="00656C5F"/>
    <w:rsid w:val="00664434"/>
    <w:rsid w:val="00666416"/>
    <w:rsid w:val="0067025F"/>
    <w:rsid w:val="00670F86"/>
    <w:rsid w:val="0067259A"/>
    <w:rsid w:val="006771A4"/>
    <w:rsid w:val="00682E69"/>
    <w:rsid w:val="0069200F"/>
    <w:rsid w:val="0069308F"/>
    <w:rsid w:val="00694C90"/>
    <w:rsid w:val="0069532F"/>
    <w:rsid w:val="00695C1F"/>
    <w:rsid w:val="006A089C"/>
    <w:rsid w:val="006A0E18"/>
    <w:rsid w:val="006A1F58"/>
    <w:rsid w:val="006A38FF"/>
    <w:rsid w:val="006A435E"/>
    <w:rsid w:val="006A4F1E"/>
    <w:rsid w:val="006A54E2"/>
    <w:rsid w:val="006A7111"/>
    <w:rsid w:val="006B15CB"/>
    <w:rsid w:val="006B23A7"/>
    <w:rsid w:val="006B4AE7"/>
    <w:rsid w:val="006C0ECC"/>
    <w:rsid w:val="006C0EF8"/>
    <w:rsid w:val="006C62D9"/>
    <w:rsid w:val="006C68CE"/>
    <w:rsid w:val="006D1346"/>
    <w:rsid w:val="006D1A45"/>
    <w:rsid w:val="006D237F"/>
    <w:rsid w:val="006D6974"/>
    <w:rsid w:val="006D6B1F"/>
    <w:rsid w:val="006E0978"/>
    <w:rsid w:val="006E2D1D"/>
    <w:rsid w:val="006E4587"/>
    <w:rsid w:val="006E66FD"/>
    <w:rsid w:val="006F2813"/>
    <w:rsid w:val="006F32C7"/>
    <w:rsid w:val="006F3EFB"/>
    <w:rsid w:val="006F557F"/>
    <w:rsid w:val="006F5F07"/>
    <w:rsid w:val="006F655D"/>
    <w:rsid w:val="006F71C3"/>
    <w:rsid w:val="007039B0"/>
    <w:rsid w:val="007059CA"/>
    <w:rsid w:val="00715470"/>
    <w:rsid w:val="0071635D"/>
    <w:rsid w:val="00716C40"/>
    <w:rsid w:val="0071720D"/>
    <w:rsid w:val="00717724"/>
    <w:rsid w:val="00721C2C"/>
    <w:rsid w:val="0072266F"/>
    <w:rsid w:val="0073113D"/>
    <w:rsid w:val="00731D2C"/>
    <w:rsid w:val="00733218"/>
    <w:rsid w:val="00733D02"/>
    <w:rsid w:val="007349DC"/>
    <w:rsid w:val="00734FC7"/>
    <w:rsid w:val="007351E2"/>
    <w:rsid w:val="007358BC"/>
    <w:rsid w:val="00740126"/>
    <w:rsid w:val="00740AFA"/>
    <w:rsid w:val="007415C3"/>
    <w:rsid w:val="007418F2"/>
    <w:rsid w:val="00741B83"/>
    <w:rsid w:val="00742494"/>
    <w:rsid w:val="00742F02"/>
    <w:rsid w:val="00743A37"/>
    <w:rsid w:val="00744337"/>
    <w:rsid w:val="00745B0F"/>
    <w:rsid w:val="007500E6"/>
    <w:rsid w:val="00761602"/>
    <w:rsid w:val="00764439"/>
    <w:rsid w:val="00766F06"/>
    <w:rsid w:val="00766F83"/>
    <w:rsid w:val="007677B6"/>
    <w:rsid w:val="0078403D"/>
    <w:rsid w:val="00785E5A"/>
    <w:rsid w:val="00786F91"/>
    <w:rsid w:val="00787115"/>
    <w:rsid w:val="00792377"/>
    <w:rsid w:val="00792C14"/>
    <w:rsid w:val="0079317A"/>
    <w:rsid w:val="00794CBD"/>
    <w:rsid w:val="0079599A"/>
    <w:rsid w:val="0079648C"/>
    <w:rsid w:val="00796EF7"/>
    <w:rsid w:val="00797FA0"/>
    <w:rsid w:val="007A309F"/>
    <w:rsid w:val="007A4765"/>
    <w:rsid w:val="007A554B"/>
    <w:rsid w:val="007A73CE"/>
    <w:rsid w:val="007B0B76"/>
    <w:rsid w:val="007B0F3D"/>
    <w:rsid w:val="007B1F6E"/>
    <w:rsid w:val="007B22BF"/>
    <w:rsid w:val="007B2D63"/>
    <w:rsid w:val="007B3DD9"/>
    <w:rsid w:val="007B4B1A"/>
    <w:rsid w:val="007B60D0"/>
    <w:rsid w:val="007B716F"/>
    <w:rsid w:val="007C2182"/>
    <w:rsid w:val="007C39A7"/>
    <w:rsid w:val="007C5324"/>
    <w:rsid w:val="007C5566"/>
    <w:rsid w:val="007C65F5"/>
    <w:rsid w:val="007D27F7"/>
    <w:rsid w:val="007D39E2"/>
    <w:rsid w:val="007D3E27"/>
    <w:rsid w:val="007D4DCD"/>
    <w:rsid w:val="007D70B0"/>
    <w:rsid w:val="007D7A76"/>
    <w:rsid w:val="007E4441"/>
    <w:rsid w:val="007E5BA6"/>
    <w:rsid w:val="007E6379"/>
    <w:rsid w:val="007E6EAE"/>
    <w:rsid w:val="007F038E"/>
    <w:rsid w:val="007F18A6"/>
    <w:rsid w:val="007F3B9E"/>
    <w:rsid w:val="007F5F7F"/>
    <w:rsid w:val="0080226E"/>
    <w:rsid w:val="00804E60"/>
    <w:rsid w:val="00806757"/>
    <w:rsid w:val="008119B9"/>
    <w:rsid w:val="00813D8B"/>
    <w:rsid w:val="00813FD1"/>
    <w:rsid w:val="00815DDD"/>
    <w:rsid w:val="00816E6D"/>
    <w:rsid w:val="00817441"/>
    <w:rsid w:val="00817513"/>
    <w:rsid w:val="008221C0"/>
    <w:rsid w:val="0082274A"/>
    <w:rsid w:val="00822A9B"/>
    <w:rsid w:val="00823716"/>
    <w:rsid w:val="0082541F"/>
    <w:rsid w:val="00825671"/>
    <w:rsid w:val="00825830"/>
    <w:rsid w:val="00831A01"/>
    <w:rsid w:val="00832753"/>
    <w:rsid w:val="00832AD3"/>
    <w:rsid w:val="0083333B"/>
    <w:rsid w:val="00833AD3"/>
    <w:rsid w:val="00841426"/>
    <w:rsid w:val="00843BBD"/>
    <w:rsid w:val="00844EA6"/>
    <w:rsid w:val="00845BB1"/>
    <w:rsid w:val="00846B98"/>
    <w:rsid w:val="00850273"/>
    <w:rsid w:val="00851790"/>
    <w:rsid w:val="00851C8F"/>
    <w:rsid w:val="00854CBD"/>
    <w:rsid w:val="00856873"/>
    <w:rsid w:val="00857024"/>
    <w:rsid w:val="00862C4D"/>
    <w:rsid w:val="0087182C"/>
    <w:rsid w:val="008738AB"/>
    <w:rsid w:val="00874D3D"/>
    <w:rsid w:val="00874E7C"/>
    <w:rsid w:val="00880692"/>
    <w:rsid w:val="008812DB"/>
    <w:rsid w:val="00885CE0"/>
    <w:rsid w:val="00886069"/>
    <w:rsid w:val="008865B6"/>
    <w:rsid w:val="00894DE8"/>
    <w:rsid w:val="008954B4"/>
    <w:rsid w:val="00897579"/>
    <w:rsid w:val="008A352B"/>
    <w:rsid w:val="008A5989"/>
    <w:rsid w:val="008B0311"/>
    <w:rsid w:val="008B1334"/>
    <w:rsid w:val="008B4554"/>
    <w:rsid w:val="008B64DE"/>
    <w:rsid w:val="008C11E3"/>
    <w:rsid w:val="008C2B88"/>
    <w:rsid w:val="008C4CBB"/>
    <w:rsid w:val="008C69C9"/>
    <w:rsid w:val="008C69F0"/>
    <w:rsid w:val="008C7EFA"/>
    <w:rsid w:val="008D1C18"/>
    <w:rsid w:val="008D21D5"/>
    <w:rsid w:val="008D2505"/>
    <w:rsid w:val="008D2E72"/>
    <w:rsid w:val="008D36BD"/>
    <w:rsid w:val="008D7274"/>
    <w:rsid w:val="008D7993"/>
    <w:rsid w:val="008E2784"/>
    <w:rsid w:val="008E2CDE"/>
    <w:rsid w:val="008E39BB"/>
    <w:rsid w:val="008E5155"/>
    <w:rsid w:val="008E60BB"/>
    <w:rsid w:val="008E753D"/>
    <w:rsid w:val="008F3065"/>
    <w:rsid w:val="008F5C7E"/>
    <w:rsid w:val="008F5DA1"/>
    <w:rsid w:val="008F6517"/>
    <w:rsid w:val="008F7751"/>
    <w:rsid w:val="009000C7"/>
    <w:rsid w:val="0090150E"/>
    <w:rsid w:val="00902E8A"/>
    <w:rsid w:val="00902EE2"/>
    <w:rsid w:val="009046F3"/>
    <w:rsid w:val="0090768D"/>
    <w:rsid w:val="00910B9D"/>
    <w:rsid w:val="00912A7B"/>
    <w:rsid w:val="0091502E"/>
    <w:rsid w:val="009170F7"/>
    <w:rsid w:val="00920E74"/>
    <w:rsid w:val="009214DC"/>
    <w:rsid w:val="009254B7"/>
    <w:rsid w:val="0092617B"/>
    <w:rsid w:val="00927F0B"/>
    <w:rsid w:val="00930B22"/>
    <w:rsid w:val="00930E50"/>
    <w:rsid w:val="009317ED"/>
    <w:rsid w:val="00932278"/>
    <w:rsid w:val="00935050"/>
    <w:rsid w:val="00935462"/>
    <w:rsid w:val="009370FE"/>
    <w:rsid w:val="00940DBA"/>
    <w:rsid w:val="00941732"/>
    <w:rsid w:val="00943126"/>
    <w:rsid w:val="00944B14"/>
    <w:rsid w:val="00945A8D"/>
    <w:rsid w:val="00953D87"/>
    <w:rsid w:val="00953FB9"/>
    <w:rsid w:val="0095650B"/>
    <w:rsid w:val="00964867"/>
    <w:rsid w:val="00964AF8"/>
    <w:rsid w:val="0096701D"/>
    <w:rsid w:val="0097061F"/>
    <w:rsid w:val="00972606"/>
    <w:rsid w:val="00973AB3"/>
    <w:rsid w:val="00973D4B"/>
    <w:rsid w:val="009847DD"/>
    <w:rsid w:val="00986D6F"/>
    <w:rsid w:val="00987039"/>
    <w:rsid w:val="0099392C"/>
    <w:rsid w:val="00995233"/>
    <w:rsid w:val="0099594A"/>
    <w:rsid w:val="00996FD8"/>
    <w:rsid w:val="009970CD"/>
    <w:rsid w:val="00997A69"/>
    <w:rsid w:val="009A02B8"/>
    <w:rsid w:val="009A0CE0"/>
    <w:rsid w:val="009A3355"/>
    <w:rsid w:val="009A48C5"/>
    <w:rsid w:val="009A5432"/>
    <w:rsid w:val="009A6532"/>
    <w:rsid w:val="009B0CEA"/>
    <w:rsid w:val="009B4152"/>
    <w:rsid w:val="009B5D94"/>
    <w:rsid w:val="009C0340"/>
    <w:rsid w:val="009C0476"/>
    <w:rsid w:val="009C229B"/>
    <w:rsid w:val="009C245D"/>
    <w:rsid w:val="009C3427"/>
    <w:rsid w:val="009C5F67"/>
    <w:rsid w:val="009C6A6A"/>
    <w:rsid w:val="009C6FC1"/>
    <w:rsid w:val="009D2ADE"/>
    <w:rsid w:val="009D3254"/>
    <w:rsid w:val="009D592D"/>
    <w:rsid w:val="009E0966"/>
    <w:rsid w:val="009E2622"/>
    <w:rsid w:val="009E2CA1"/>
    <w:rsid w:val="009F0A35"/>
    <w:rsid w:val="009F514C"/>
    <w:rsid w:val="009F62B5"/>
    <w:rsid w:val="00A00EF4"/>
    <w:rsid w:val="00A033E6"/>
    <w:rsid w:val="00A046EA"/>
    <w:rsid w:val="00A10363"/>
    <w:rsid w:val="00A122C7"/>
    <w:rsid w:val="00A14C93"/>
    <w:rsid w:val="00A15933"/>
    <w:rsid w:val="00A17568"/>
    <w:rsid w:val="00A1767D"/>
    <w:rsid w:val="00A25066"/>
    <w:rsid w:val="00A25C1E"/>
    <w:rsid w:val="00A26177"/>
    <w:rsid w:val="00A26CD8"/>
    <w:rsid w:val="00A2723A"/>
    <w:rsid w:val="00A30099"/>
    <w:rsid w:val="00A305E8"/>
    <w:rsid w:val="00A30697"/>
    <w:rsid w:val="00A3083A"/>
    <w:rsid w:val="00A30B9A"/>
    <w:rsid w:val="00A31083"/>
    <w:rsid w:val="00A3173D"/>
    <w:rsid w:val="00A32291"/>
    <w:rsid w:val="00A33DDE"/>
    <w:rsid w:val="00A36916"/>
    <w:rsid w:val="00A3736A"/>
    <w:rsid w:val="00A4740C"/>
    <w:rsid w:val="00A47E20"/>
    <w:rsid w:val="00A47F24"/>
    <w:rsid w:val="00A5432E"/>
    <w:rsid w:val="00A55528"/>
    <w:rsid w:val="00A61BCE"/>
    <w:rsid w:val="00A625F7"/>
    <w:rsid w:val="00A63E5A"/>
    <w:rsid w:val="00A74A40"/>
    <w:rsid w:val="00A82B93"/>
    <w:rsid w:val="00A82F80"/>
    <w:rsid w:val="00A835EC"/>
    <w:rsid w:val="00A8571A"/>
    <w:rsid w:val="00A87D8D"/>
    <w:rsid w:val="00A909C3"/>
    <w:rsid w:val="00A948A2"/>
    <w:rsid w:val="00A94EC0"/>
    <w:rsid w:val="00AA0651"/>
    <w:rsid w:val="00AA0E85"/>
    <w:rsid w:val="00AA3472"/>
    <w:rsid w:val="00AA633C"/>
    <w:rsid w:val="00AA6E10"/>
    <w:rsid w:val="00AA7F50"/>
    <w:rsid w:val="00AB164C"/>
    <w:rsid w:val="00AB7610"/>
    <w:rsid w:val="00AB7B39"/>
    <w:rsid w:val="00AC0232"/>
    <w:rsid w:val="00AC0862"/>
    <w:rsid w:val="00AC4D84"/>
    <w:rsid w:val="00AD1DF9"/>
    <w:rsid w:val="00AD5BF4"/>
    <w:rsid w:val="00AE0C77"/>
    <w:rsid w:val="00AE48DF"/>
    <w:rsid w:val="00AE6A3F"/>
    <w:rsid w:val="00AE6D40"/>
    <w:rsid w:val="00AE6E98"/>
    <w:rsid w:val="00AF0B60"/>
    <w:rsid w:val="00AF0E2B"/>
    <w:rsid w:val="00AF21EA"/>
    <w:rsid w:val="00AF2CB2"/>
    <w:rsid w:val="00B03205"/>
    <w:rsid w:val="00B051FE"/>
    <w:rsid w:val="00B07224"/>
    <w:rsid w:val="00B074CA"/>
    <w:rsid w:val="00B16F1D"/>
    <w:rsid w:val="00B2111F"/>
    <w:rsid w:val="00B218BC"/>
    <w:rsid w:val="00B21ACA"/>
    <w:rsid w:val="00B23D72"/>
    <w:rsid w:val="00B2416E"/>
    <w:rsid w:val="00B25716"/>
    <w:rsid w:val="00B25B28"/>
    <w:rsid w:val="00B27CF0"/>
    <w:rsid w:val="00B27F41"/>
    <w:rsid w:val="00B30482"/>
    <w:rsid w:val="00B31353"/>
    <w:rsid w:val="00B32134"/>
    <w:rsid w:val="00B33CDA"/>
    <w:rsid w:val="00B359FB"/>
    <w:rsid w:val="00B36250"/>
    <w:rsid w:val="00B379AD"/>
    <w:rsid w:val="00B37F7A"/>
    <w:rsid w:val="00B40EAA"/>
    <w:rsid w:val="00B418D5"/>
    <w:rsid w:val="00B43A26"/>
    <w:rsid w:val="00B43E84"/>
    <w:rsid w:val="00B464C9"/>
    <w:rsid w:val="00B464F0"/>
    <w:rsid w:val="00B47880"/>
    <w:rsid w:val="00B5393B"/>
    <w:rsid w:val="00B56CB6"/>
    <w:rsid w:val="00B603EF"/>
    <w:rsid w:val="00B65613"/>
    <w:rsid w:val="00B715C7"/>
    <w:rsid w:val="00B72E5B"/>
    <w:rsid w:val="00B74F8F"/>
    <w:rsid w:val="00B761EC"/>
    <w:rsid w:val="00B7747B"/>
    <w:rsid w:val="00B820B2"/>
    <w:rsid w:val="00B83314"/>
    <w:rsid w:val="00B83857"/>
    <w:rsid w:val="00B83DC2"/>
    <w:rsid w:val="00B85101"/>
    <w:rsid w:val="00B87968"/>
    <w:rsid w:val="00B87BB5"/>
    <w:rsid w:val="00B90E92"/>
    <w:rsid w:val="00B91F94"/>
    <w:rsid w:val="00B92980"/>
    <w:rsid w:val="00B9370D"/>
    <w:rsid w:val="00B939FF"/>
    <w:rsid w:val="00B951CE"/>
    <w:rsid w:val="00B95C22"/>
    <w:rsid w:val="00B97B15"/>
    <w:rsid w:val="00BA1AAE"/>
    <w:rsid w:val="00BA1DF2"/>
    <w:rsid w:val="00BA2BA8"/>
    <w:rsid w:val="00BA44C1"/>
    <w:rsid w:val="00BA4720"/>
    <w:rsid w:val="00BA7A8F"/>
    <w:rsid w:val="00BB1A29"/>
    <w:rsid w:val="00BB5B6C"/>
    <w:rsid w:val="00BB64FE"/>
    <w:rsid w:val="00BB66D1"/>
    <w:rsid w:val="00BB7FA2"/>
    <w:rsid w:val="00BC07AF"/>
    <w:rsid w:val="00BC3856"/>
    <w:rsid w:val="00BD0B77"/>
    <w:rsid w:val="00BD1CA4"/>
    <w:rsid w:val="00BD35F8"/>
    <w:rsid w:val="00BD41D9"/>
    <w:rsid w:val="00BD583E"/>
    <w:rsid w:val="00BD75C3"/>
    <w:rsid w:val="00BE77D8"/>
    <w:rsid w:val="00BF021C"/>
    <w:rsid w:val="00BF1273"/>
    <w:rsid w:val="00BF2BA6"/>
    <w:rsid w:val="00BF6E62"/>
    <w:rsid w:val="00C02D51"/>
    <w:rsid w:val="00C03B2B"/>
    <w:rsid w:val="00C13A1C"/>
    <w:rsid w:val="00C165FC"/>
    <w:rsid w:val="00C219E4"/>
    <w:rsid w:val="00C22D8D"/>
    <w:rsid w:val="00C22EB1"/>
    <w:rsid w:val="00C22EF5"/>
    <w:rsid w:val="00C230D1"/>
    <w:rsid w:val="00C313C9"/>
    <w:rsid w:val="00C32517"/>
    <w:rsid w:val="00C35AAD"/>
    <w:rsid w:val="00C3678F"/>
    <w:rsid w:val="00C376E4"/>
    <w:rsid w:val="00C3779B"/>
    <w:rsid w:val="00C37B6A"/>
    <w:rsid w:val="00C4067B"/>
    <w:rsid w:val="00C446E6"/>
    <w:rsid w:val="00C44758"/>
    <w:rsid w:val="00C44C96"/>
    <w:rsid w:val="00C47F66"/>
    <w:rsid w:val="00C50525"/>
    <w:rsid w:val="00C5375E"/>
    <w:rsid w:val="00C54468"/>
    <w:rsid w:val="00C55054"/>
    <w:rsid w:val="00C57626"/>
    <w:rsid w:val="00C60502"/>
    <w:rsid w:val="00C61EE5"/>
    <w:rsid w:val="00C64F2E"/>
    <w:rsid w:val="00C67AE7"/>
    <w:rsid w:val="00C709FD"/>
    <w:rsid w:val="00C76A64"/>
    <w:rsid w:val="00C8173E"/>
    <w:rsid w:val="00C83316"/>
    <w:rsid w:val="00C83E33"/>
    <w:rsid w:val="00C94DF6"/>
    <w:rsid w:val="00CA3454"/>
    <w:rsid w:val="00CA4D8A"/>
    <w:rsid w:val="00CA569A"/>
    <w:rsid w:val="00CA612D"/>
    <w:rsid w:val="00CA6A55"/>
    <w:rsid w:val="00CA6ACB"/>
    <w:rsid w:val="00CB32F1"/>
    <w:rsid w:val="00CB5C23"/>
    <w:rsid w:val="00CC092B"/>
    <w:rsid w:val="00CC17B5"/>
    <w:rsid w:val="00CC180E"/>
    <w:rsid w:val="00CC2648"/>
    <w:rsid w:val="00CC371A"/>
    <w:rsid w:val="00CC6B26"/>
    <w:rsid w:val="00CC7684"/>
    <w:rsid w:val="00CC794E"/>
    <w:rsid w:val="00CD3584"/>
    <w:rsid w:val="00CD3906"/>
    <w:rsid w:val="00CD4BAC"/>
    <w:rsid w:val="00CD5164"/>
    <w:rsid w:val="00CE2499"/>
    <w:rsid w:val="00CE424A"/>
    <w:rsid w:val="00CE643D"/>
    <w:rsid w:val="00CE7076"/>
    <w:rsid w:val="00CF170F"/>
    <w:rsid w:val="00CF232A"/>
    <w:rsid w:val="00CF421B"/>
    <w:rsid w:val="00CF555A"/>
    <w:rsid w:val="00CF6AF7"/>
    <w:rsid w:val="00CF7B74"/>
    <w:rsid w:val="00D00B00"/>
    <w:rsid w:val="00D02717"/>
    <w:rsid w:val="00D02A15"/>
    <w:rsid w:val="00D07C02"/>
    <w:rsid w:val="00D106AE"/>
    <w:rsid w:val="00D140A2"/>
    <w:rsid w:val="00D15F3C"/>
    <w:rsid w:val="00D1721A"/>
    <w:rsid w:val="00D21D15"/>
    <w:rsid w:val="00D24E37"/>
    <w:rsid w:val="00D309D5"/>
    <w:rsid w:val="00D319A9"/>
    <w:rsid w:val="00D32FC5"/>
    <w:rsid w:val="00D35F3C"/>
    <w:rsid w:val="00D376AA"/>
    <w:rsid w:val="00D41AB7"/>
    <w:rsid w:val="00D41B40"/>
    <w:rsid w:val="00D444CB"/>
    <w:rsid w:val="00D47895"/>
    <w:rsid w:val="00D50E44"/>
    <w:rsid w:val="00D5180A"/>
    <w:rsid w:val="00D56380"/>
    <w:rsid w:val="00D5734D"/>
    <w:rsid w:val="00D62141"/>
    <w:rsid w:val="00D6404D"/>
    <w:rsid w:val="00D66457"/>
    <w:rsid w:val="00D700C3"/>
    <w:rsid w:val="00D72D75"/>
    <w:rsid w:val="00D756B9"/>
    <w:rsid w:val="00D77D3C"/>
    <w:rsid w:val="00D802D6"/>
    <w:rsid w:val="00D84B20"/>
    <w:rsid w:val="00D91533"/>
    <w:rsid w:val="00D92A46"/>
    <w:rsid w:val="00D92DE5"/>
    <w:rsid w:val="00D92E35"/>
    <w:rsid w:val="00D92F0B"/>
    <w:rsid w:val="00D93551"/>
    <w:rsid w:val="00DA1007"/>
    <w:rsid w:val="00DA1657"/>
    <w:rsid w:val="00DA1DCC"/>
    <w:rsid w:val="00DB21D5"/>
    <w:rsid w:val="00DB46BE"/>
    <w:rsid w:val="00DB5192"/>
    <w:rsid w:val="00DB5257"/>
    <w:rsid w:val="00DC05BA"/>
    <w:rsid w:val="00DC05D8"/>
    <w:rsid w:val="00DC156D"/>
    <w:rsid w:val="00DC17B7"/>
    <w:rsid w:val="00DC2025"/>
    <w:rsid w:val="00DC66B3"/>
    <w:rsid w:val="00DC7159"/>
    <w:rsid w:val="00DC7A44"/>
    <w:rsid w:val="00DD0F8F"/>
    <w:rsid w:val="00DD1FA9"/>
    <w:rsid w:val="00DD2E5A"/>
    <w:rsid w:val="00DD5DF9"/>
    <w:rsid w:val="00DD6EE5"/>
    <w:rsid w:val="00DD7E0C"/>
    <w:rsid w:val="00DE1018"/>
    <w:rsid w:val="00DE2CB8"/>
    <w:rsid w:val="00DE2EE5"/>
    <w:rsid w:val="00DE59C9"/>
    <w:rsid w:val="00DE756C"/>
    <w:rsid w:val="00DF363A"/>
    <w:rsid w:val="00DF4A91"/>
    <w:rsid w:val="00DF5A88"/>
    <w:rsid w:val="00DF708D"/>
    <w:rsid w:val="00E00546"/>
    <w:rsid w:val="00E02027"/>
    <w:rsid w:val="00E02ED0"/>
    <w:rsid w:val="00E03C78"/>
    <w:rsid w:val="00E045E7"/>
    <w:rsid w:val="00E10097"/>
    <w:rsid w:val="00E1029F"/>
    <w:rsid w:val="00E10FD9"/>
    <w:rsid w:val="00E13A12"/>
    <w:rsid w:val="00E164A1"/>
    <w:rsid w:val="00E17764"/>
    <w:rsid w:val="00E2528C"/>
    <w:rsid w:val="00E26C11"/>
    <w:rsid w:val="00E3168D"/>
    <w:rsid w:val="00E32A56"/>
    <w:rsid w:val="00E40488"/>
    <w:rsid w:val="00E427E3"/>
    <w:rsid w:val="00E42DB3"/>
    <w:rsid w:val="00E4467F"/>
    <w:rsid w:val="00E45B5F"/>
    <w:rsid w:val="00E46A40"/>
    <w:rsid w:val="00E51FAE"/>
    <w:rsid w:val="00E54238"/>
    <w:rsid w:val="00E54270"/>
    <w:rsid w:val="00E5564C"/>
    <w:rsid w:val="00E56E31"/>
    <w:rsid w:val="00E61D05"/>
    <w:rsid w:val="00E6234D"/>
    <w:rsid w:val="00E63DCC"/>
    <w:rsid w:val="00E66770"/>
    <w:rsid w:val="00E70DBA"/>
    <w:rsid w:val="00E74FB9"/>
    <w:rsid w:val="00E753FF"/>
    <w:rsid w:val="00E75657"/>
    <w:rsid w:val="00E7757C"/>
    <w:rsid w:val="00E818F4"/>
    <w:rsid w:val="00E82DBC"/>
    <w:rsid w:val="00E918D2"/>
    <w:rsid w:val="00E9353A"/>
    <w:rsid w:val="00E93BEC"/>
    <w:rsid w:val="00E93CC9"/>
    <w:rsid w:val="00E9450B"/>
    <w:rsid w:val="00EA12AF"/>
    <w:rsid w:val="00EA1468"/>
    <w:rsid w:val="00EA28B4"/>
    <w:rsid w:val="00EA56AF"/>
    <w:rsid w:val="00EA61BA"/>
    <w:rsid w:val="00EA6871"/>
    <w:rsid w:val="00EB203A"/>
    <w:rsid w:val="00EB61CF"/>
    <w:rsid w:val="00EC26C8"/>
    <w:rsid w:val="00EC5369"/>
    <w:rsid w:val="00EC6F3B"/>
    <w:rsid w:val="00EC721B"/>
    <w:rsid w:val="00ED58FA"/>
    <w:rsid w:val="00ED715A"/>
    <w:rsid w:val="00EE140D"/>
    <w:rsid w:val="00EE43D8"/>
    <w:rsid w:val="00EE783D"/>
    <w:rsid w:val="00EE7B0C"/>
    <w:rsid w:val="00EE7F6D"/>
    <w:rsid w:val="00EF2336"/>
    <w:rsid w:val="00EF3B84"/>
    <w:rsid w:val="00EF3F3B"/>
    <w:rsid w:val="00EF55E8"/>
    <w:rsid w:val="00EF7453"/>
    <w:rsid w:val="00EF79F8"/>
    <w:rsid w:val="00EF7D46"/>
    <w:rsid w:val="00F000C4"/>
    <w:rsid w:val="00F01195"/>
    <w:rsid w:val="00F018F0"/>
    <w:rsid w:val="00F02FD0"/>
    <w:rsid w:val="00F03C13"/>
    <w:rsid w:val="00F04244"/>
    <w:rsid w:val="00F05B4E"/>
    <w:rsid w:val="00F111B9"/>
    <w:rsid w:val="00F130BC"/>
    <w:rsid w:val="00F131CA"/>
    <w:rsid w:val="00F13941"/>
    <w:rsid w:val="00F14E04"/>
    <w:rsid w:val="00F17628"/>
    <w:rsid w:val="00F204F8"/>
    <w:rsid w:val="00F21BB7"/>
    <w:rsid w:val="00F238C4"/>
    <w:rsid w:val="00F269C6"/>
    <w:rsid w:val="00F3034A"/>
    <w:rsid w:val="00F34A6F"/>
    <w:rsid w:val="00F34AE3"/>
    <w:rsid w:val="00F41921"/>
    <w:rsid w:val="00F425C7"/>
    <w:rsid w:val="00F50A0D"/>
    <w:rsid w:val="00F5109A"/>
    <w:rsid w:val="00F516F1"/>
    <w:rsid w:val="00F55035"/>
    <w:rsid w:val="00F561D3"/>
    <w:rsid w:val="00F578DE"/>
    <w:rsid w:val="00F61BF4"/>
    <w:rsid w:val="00F6516F"/>
    <w:rsid w:val="00F65FB7"/>
    <w:rsid w:val="00F71564"/>
    <w:rsid w:val="00F73768"/>
    <w:rsid w:val="00F7555D"/>
    <w:rsid w:val="00F80801"/>
    <w:rsid w:val="00F85D1E"/>
    <w:rsid w:val="00F90B6D"/>
    <w:rsid w:val="00F91FFE"/>
    <w:rsid w:val="00F938E3"/>
    <w:rsid w:val="00F93A29"/>
    <w:rsid w:val="00F94C2B"/>
    <w:rsid w:val="00F96EED"/>
    <w:rsid w:val="00F9745C"/>
    <w:rsid w:val="00FA0EAD"/>
    <w:rsid w:val="00FA720C"/>
    <w:rsid w:val="00FB184E"/>
    <w:rsid w:val="00FB627D"/>
    <w:rsid w:val="00FB6778"/>
    <w:rsid w:val="00FB7785"/>
    <w:rsid w:val="00FC15B1"/>
    <w:rsid w:val="00FC1CB7"/>
    <w:rsid w:val="00FC3133"/>
    <w:rsid w:val="00FC362D"/>
    <w:rsid w:val="00FC5E9E"/>
    <w:rsid w:val="00FC68B6"/>
    <w:rsid w:val="00FC7CC7"/>
    <w:rsid w:val="00FD0266"/>
    <w:rsid w:val="00FD15B1"/>
    <w:rsid w:val="00FD24AF"/>
    <w:rsid w:val="00FD64F9"/>
    <w:rsid w:val="00FD7369"/>
    <w:rsid w:val="00FE06A8"/>
    <w:rsid w:val="00FE2E44"/>
    <w:rsid w:val="00FE7707"/>
    <w:rsid w:val="00FF1470"/>
    <w:rsid w:val="00FF49F0"/>
    <w:rsid w:val="00FF4BE9"/>
    <w:rsid w:val="00FF5475"/>
    <w:rsid w:val="00FF67AD"/>
    <w:rsid w:val="00FF6B80"/>
    <w:rsid w:val="00FF7214"/>
    <w:rsid w:val="00FF7F67"/>
    <w:rsid w:val="010B71F7"/>
    <w:rsid w:val="01CA20BD"/>
    <w:rsid w:val="01ED7795"/>
    <w:rsid w:val="02136BD1"/>
    <w:rsid w:val="023976BA"/>
    <w:rsid w:val="02543D77"/>
    <w:rsid w:val="02685711"/>
    <w:rsid w:val="0269596F"/>
    <w:rsid w:val="02CA553E"/>
    <w:rsid w:val="02D61F99"/>
    <w:rsid w:val="02EA68B7"/>
    <w:rsid w:val="03250BB4"/>
    <w:rsid w:val="036B16F4"/>
    <w:rsid w:val="0376720C"/>
    <w:rsid w:val="0436225B"/>
    <w:rsid w:val="0448697A"/>
    <w:rsid w:val="04620A28"/>
    <w:rsid w:val="04DD2DC3"/>
    <w:rsid w:val="050615D3"/>
    <w:rsid w:val="05115FF2"/>
    <w:rsid w:val="051764D3"/>
    <w:rsid w:val="059F7B2C"/>
    <w:rsid w:val="05DB03F4"/>
    <w:rsid w:val="061868A2"/>
    <w:rsid w:val="0624427A"/>
    <w:rsid w:val="063D3E2C"/>
    <w:rsid w:val="064F0402"/>
    <w:rsid w:val="06605381"/>
    <w:rsid w:val="068D41FF"/>
    <w:rsid w:val="069E3FFF"/>
    <w:rsid w:val="06B97AF0"/>
    <w:rsid w:val="06C84D92"/>
    <w:rsid w:val="0720055E"/>
    <w:rsid w:val="0751702D"/>
    <w:rsid w:val="07757822"/>
    <w:rsid w:val="07773B13"/>
    <w:rsid w:val="07B14E58"/>
    <w:rsid w:val="07B750CB"/>
    <w:rsid w:val="07E77DA0"/>
    <w:rsid w:val="07F16E24"/>
    <w:rsid w:val="08236B7F"/>
    <w:rsid w:val="08813DA6"/>
    <w:rsid w:val="08824884"/>
    <w:rsid w:val="08B478F1"/>
    <w:rsid w:val="08D318A8"/>
    <w:rsid w:val="08FB74AC"/>
    <w:rsid w:val="09013DD1"/>
    <w:rsid w:val="096D61DE"/>
    <w:rsid w:val="099A32BF"/>
    <w:rsid w:val="0A1A36A0"/>
    <w:rsid w:val="0A2574B3"/>
    <w:rsid w:val="0A354310"/>
    <w:rsid w:val="0A5661A2"/>
    <w:rsid w:val="0AA43604"/>
    <w:rsid w:val="0AF52DD6"/>
    <w:rsid w:val="0B0C0861"/>
    <w:rsid w:val="0B1B4FBF"/>
    <w:rsid w:val="0B21518D"/>
    <w:rsid w:val="0B510340"/>
    <w:rsid w:val="0B5C292A"/>
    <w:rsid w:val="0B836D49"/>
    <w:rsid w:val="0B8410EC"/>
    <w:rsid w:val="0B8421B2"/>
    <w:rsid w:val="0B98469C"/>
    <w:rsid w:val="0BF43892"/>
    <w:rsid w:val="0C1B122A"/>
    <w:rsid w:val="0C2E0703"/>
    <w:rsid w:val="0C514475"/>
    <w:rsid w:val="0C583315"/>
    <w:rsid w:val="0C626603"/>
    <w:rsid w:val="0C6346CB"/>
    <w:rsid w:val="0C8879C0"/>
    <w:rsid w:val="0C955B5D"/>
    <w:rsid w:val="0CAA6E21"/>
    <w:rsid w:val="0CB1373B"/>
    <w:rsid w:val="0CBE1B20"/>
    <w:rsid w:val="0CD94E74"/>
    <w:rsid w:val="0CE831EF"/>
    <w:rsid w:val="0CFA0496"/>
    <w:rsid w:val="0D256EAC"/>
    <w:rsid w:val="0D335EDB"/>
    <w:rsid w:val="0D4F126F"/>
    <w:rsid w:val="0D654877"/>
    <w:rsid w:val="0D6A353C"/>
    <w:rsid w:val="0D796B14"/>
    <w:rsid w:val="0D7F0FF2"/>
    <w:rsid w:val="0D8A1A6F"/>
    <w:rsid w:val="0D8C619B"/>
    <w:rsid w:val="0DC10C36"/>
    <w:rsid w:val="0DC936A4"/>
    <w:rsid w:val="0DF447E2"/>
    <w:rsid w:val="0DFF3192"/>
    <w:rsid w:val="0E3C4985"/>
    <w:rsid w:val="0E851E3D"/>
    <w:rsid w:val="0E907FBC"/>
    <w:rsid w:val="0F0B76AF"/>
    <w:rsid w:val="0F4028C2"/>
    <w:rsid w:val="0F6D7767"/>
    <w:rsid w:val="0F715BAE"/>
    <w:rsid w:val="0F893876"/>
    <w:rsid w:val="0F92444F"/>
    <w:rsid w:val="0F99775E"/>
    <w:rsid w:val="0FC06D6E"/>
    <w:rsid w:val="0FF16EB0"/>
    <w:rsid w:val="101F2C7E"/>
    <w:rsid w:val="1040419F"/>
    <w:rsid w:val="107957A1"/>
    <w:rsid w:val="107A3290"/>
    <w:rsid w:val="10831897"/>
    <w:rsid w:val="10886FE4"/>
    <w:rsid w:val="10D25943"/>
    <w:rsid w:val="10DB3C68"/>
    <w:rsid w:val="10E35D46"/>
    <w:rsid w:val="1114783A"/>
    <w:rsid w:val="111B1D23"/>
    <w:rsid w:val="112B7DD6"/>
    <w:rsid w:val="115F3246"/>
    <w:rsid w:val="118273C5"/>
    <w:rsid w:val="12036838"/>
    <w:rsid w:val="121A5767"/>
    <w:rsid w:val="1239434A"/>
    <w:rsid w:val="12A72FCD"/>
    <w:rsid w:val="12E758BE"/>
    <w:rsid w:val="13064A27"/>
    <w:rsid w:val="130A1EB1"/>
    <w:rsid w:val="132210B9"/>
    <w:rsid w:val="13265396"/>
    <w:rsid w:val="132B7F70"/>
    <w:rsid w:val="134D7034"/>
    <w:rsid w:val="13965158"/>
    <w:rsid w:val="13B12DC9"/>
    <w:rsid w:val="1424172F"/>
    <w:rsid w:val="147035EC"/>
    <w:rsid w:val="14F831F4"/>
    <w:rsid w:val="15164F38"/>
    <w:rsid w:val="153506F5"/>
    <w:rsid w:val="154E08CB"/>
    <w:rsid w:val="15955B38"/>
    <w:rsid w:val="15C65B67"/>
    <w:rsid w:val="15CD5F48"/>
    <w:rsid w:val="15DE46C0"/>
    <w:rsid w:val="15EF2341"/>
    <w:rsid w:val="15FA5A73"/>
    <w:rsid w:val="1618536C"/>
    <w:rsid w:val="16192D71"/>
    <w:rsid w:val="162C3397"/>
    <w:rsid w:val="16661C7B"/>
    <w:rsid w:val="16904974"/>
    <w:rsid w:val="16A40532"/>
    <w:rsid w:val="16EE6E08"/>
    <w:rsid w:val="16FC4BAE"/>
    <w:rsid w:val="17436D39"/>
    <w:rsid w:val="175A1C4C"/>
    <w:rsid w:val="17874081"/>
    <w:rsid w:val="17B4292D"/>
    <w:rsid w:val="17C77B0F"/>
    <w:rsid w:val="17EF05C9"/>
    <w:rsid w:val="180114D2"/>
    <w:rsid w:val="18261533"/>
    <w:rsid w:val="183F3181"/>
    <w:rsid w:val="1841309A"/>
    <w:rsid w:val="18644063"/>
    <w:rsid w:val="18722BCC"/>
    <w:rsid w:val="189F4F0F"/>
    <w:rsid w:val="18A62B93"/>
    <w:rsid w:val="18F279CD"/>
    <w:rsid w:val="190848A5"/>
    <w:rsid w:val="19365EE1"/>
    <w:rsid w:val="19541C55"/>
    <w:rsid w:val="196F565B"/>
    <w:rsid w:val="198309A1"/>
    <w:rsid w:val="19B04DDD"/>
    <w:rsid w:val="19D94548"/>
    <w:rsid w:val="19FE5133"/>
    <w:rsid w:val="1A320C5F"/>
    <w:rsid w:val="1A455A34"/>
    <w:rsid w:val="1A4C5919"/>
    <w:rsid w:val="1A560995"/>
    <w:rsid w:val="1A892B95"/>
    <w:rsid w:val="1A9275C9"/>
    <w:rsid w:val="1AA154AC"/>
    <w:rsid w:val="1B061FDF"/>
    <w:rsid w:val="1B6B4CAE"/>
    <w:rsid w:val="1B85633C"/>
    <w:rsid w:val="1B8F46BD"/>
    <w:rsid w:val="1BD8664B"/>
    <w:rsid w:val="1C176AD3"/>
    <w:rsid w:val="1C227BD8"/>
    <w:rsid w:val="1C6929EA"/>
    <w:rsid w:val="1CB112A1"/>
    <w:rsid w:val="1CC005BC"/>
    <w:rsid w:val="1CF100C4"/>
    <w:rsid w:val="1CF205BD"/>
    <w:rsid w:val="1CF77DB8"/>
    <w:rsid w:val="1D183A31"/>
    <w:rsid w:val="1D276D1D"/>
    <w:rsid w:val="1D6D0870"/>
    <w:rsid w:val="1D7C040D"/>
    <w:rsid w:val="1D8C17E3"/>
    <w:rsid w:val="1D9638C8"/>
    <w:rsid w:val="1DC9108A"/>
    <w:rsid w:val="1DE632B6"/>
    <w:rsid w:val="1DE95837"/>
    <w:rsid w:val="1DEC6F1E"/>
    <w:rsid w:val="1DF36DBB"/>
    <w:rsid w:val="1E1F2CF9"/>
    <w:rsid w:val="1E2E3C90"/>
    <w:rsid w:val="1E431DF5"/>
    <w:rsid w:val="1E4A403B"/>
    <w:rsid w:val="1EAF1304"/>
    <w:rsid w:val="1EBC60C4"/>
    <w:rsid w:val="1EC36BC2"/>
    <w:rsid w:val="1ED66E58"/>
    <w:rsid w:val="1EEB2D5E"/>
    <w:rsid w:val="1F213B23"/>
    <w:rsid w:val="1F423F50"/>
    <w:rsid w:val="1F4E6C94"/>
    <w:rsid w:val="1F686AAB"/>
    <w:rsid w:val="200955F2"/>
    <w:rsid w:val="201164C9"/>
    <w:rsid w:val="2033471A"/>
    <w:rsid w:val="203411F2"/>
    <w:rsid w:val="203740A9"/>
    <w:rsid w:val="205604A2"/>
    <w:rsid w:val="206C0EAA"/>
    <w:rsid w:val="208809DD"/>
    <w:rsid w:val="20916006"/>
    <w:rsid w:val="20941BDE"/>
    <w:rsid w:val="209B6B1F"/>
    <w:rsid w:val="20C036D1"/>
    <w:rsid w:val="21085346"/>
    <w:rsid w:val="21101272"/>
    <w:rsid w:val="2122426E"/>
    <w:rsid w:val="216610A7"/>
    <w:rsid w:val="216F73EF"/>
    <w:rsid w:val="218220E3"/>
    <w:rsid w:val="21A53098"/>
    <w:rsid w:val="21CD7553"/>
    <w:rsid w:val="220B5F8A"/>
    <w:rsid w:val="22131B6D"/>
    <w:rsid w:val="22353DC9"/>
    <w:rsid w:val="225360C9"/>
    <w:rsid w:val="22781BEC"/>
    <w:rsid w:val="228B4FDA"/>
    <w:rsid w:val="2290496C"/>
    <w:rsid w:val="232234F9"/>
    <w:rsid w:val="23522340"/>
    <w:rsid w:val="23694B6F"/>
    <w:rsid w:val="23A574CD"/>
    <w:rsid w:val="23C44B7F"/>
    <w:rsid w:val="23CF66D4"/>
    <w:rsid w:val="23D214B0"/>
    <w:rsid w:val="23E33956"/>
    <w:rsid w:val="23F86CA4"/>
    <w:rsid w:val="244F55B3"/>
    <w:rsid w:val="247713B6"/>
    <w:rsid w:val="248E054E"/>
    <w:rsid w:val="24A15F12"/>
    <w:rsid w:val="24C66340"/>
    <w:rsid w:val="25044571"/>
    <w:rsid w:val="25456C40"/>
    <w:rsid w:val="259222E2"/>
    <w:rsid w:val="25BB0F6E"/>
    <w:rsid w:val="25BC7A6E"/>
    <w:rsid w:val="25C9795F"/>
    <w:rsid w:val="260602F6"/>
    <w:rsid w:val="265D776A"/>
    <w:rsid w:val="2692516A"/>
    <w:rsid w:val="2699757E"/>
    <w:rsid w:val="26A104C8"/>
    <w:rsid w:val="26DC3539"/>
    <w:rsid w:val="275F7C5A"/>
    <w:rsid w:val="276F1D02"/>
    <w:rsid w:val="278A17E6"/>
    <w:rsid w:val="27BD3150"/>
    <w:rsid w:val="27D21073"/>
    <w:rsid w:val="27EE3C0E"/>
    <w:rsid w:val="28311A91"/>
    <w:rsid w:val="288F6462"/>
    <w:rsid w:val="28917DBE"/>
    <w:rsid w:val="289E129B"/>
    <w:rsid w:val="28A23818"/>
    <w:rsid w:val="28B0185D"/>
    <w:rsid w:val="28B33621"/>
    <w:rsid w:val="295908B0"/>
    <w:rsid w:val="295F130E"/>
    <w:rsid w:val="297B2585"/>
    <w:rsid w:val="298E3317"/>
    <w:rsid w:val="29AA0D88"/>
    <w:rsid w:val="29BC2062"/>
    <w:rsid w:val="29C63954"/>
    <w:rsid w:val="29CC5951"/>
    <w:rsid w:val="29E305A6"/>
    <w:rsid w:val="2A4C41D9"/>
    <w:rsid w:val="2A514F82"/>
    <w:rsid w:val="2A5E7B7C"/>
    <w:rsid w:val="2A642231"/>
    <w:rsid w:val="2A6E7B8A"/>
    <w:rsid w:val="2ACB1EE8"/>
    <w:rsid w:val="2AEC357C"/>
    <w:rsid w:val="2AFF0A76"/>
    <w:rsid w:val="2B1461B2"/>
    <w:rsid w:val="2B2A1247"/>
    <w:rsid w:val="2B71069D"/>
    <w:rsid w:val="2B9633B9"/>
    <w:rsid w:val="2BBA0249"/>
    <w:rsid w:val="2BD605A0"/>
    <w:rsid w:val="2BDF0573"/>
    <w:rsid w:val="2BE32344"/>
    <w:rsid w:val="2C037B9D"/>
    <w:rsid w:val="2C7560F4"/>
    <w:rsid w:val="2CC562FF"/>
    <w:rsid w:val="2CEB3AA0"/>
    <w:rsid w:val="2CFB3312"/>
    <w:rsid w:val="2D142ED1"/>
    <w:rsid w:val="2D1B416C"/>
    <w:rsid w:val="2D48030B"/>
    <w:rsid w:val="2D840598"/>
    <w:rsid w:val="2D8679E5"/>
    <w:rsid w:val="2DB70D73"/>
    <w:rsid w:val="2DCB6616"/>
    <w:rsid w:val="2DE27BF2"/>
    <w:rsid w:val="2E3A5755"/>
    <w:rsid w:val="2E5544E5"/>
    <w:rsid w:val="2E616B9F"/>
    <w:rsid w:val="2E815885"/>
    <w:rsid w:val="2EC17799"/>
    <w:rsid w:val="2EE727E1"/>
    <w:rsid w:val="2F0F5F77"/>
    <w:rsid w:val="2F33497E"/>
    <w:rsid w:val="2F3A6152"/>
    <w:rsid w:val="2F8542AE"/>
    <w:rsid w:val="2F8C1C99"/>
    <w:rsid w:val="2FA43A0B"/>
    <w:rsid w:val="2FBE6D03"/>
    <w:rsid w:val="2FC732B8"/>
    <w:rsid w:val="2FD65478"/>
    <w:rsid w:val="2FEB441B"/>
    <w:rsid w:val="2FF53DC9"/>
    <w:rsid w:val="3004523C"/>
    <w:rsid w:val="300D3EA1"/>
    <w:rsid w:val="3038758B"/>
    <w:rsid w:val="306E6D58"/>
    <w:rsid w:val="30B129D3"/>
    <w:rsid w:val="30BC7BAA"/>
    <w:rsid w:val="30C31FE4"/>
    <w:rsid w:val="30CA561C"/>
    <w:rsid w:val="30CB3ACD"/>
    <w:rsid w:val="30FE46DE"/>
    <w:rsid w:val="3125410B"/>
    <w:rsid w:val="31A46D37"/>
    <w:rsid w:val="31A64D32"/>
    <w:rsid w:val="31A90C93"/>
    <w:rsid w:val="31B937A8"/>
    <w:rsid w:val="31BC1B30"/>
    <w:rsid w:val="31BC644E"/>
    <w:rsid w:val="31C1697F"/>
    <w:rsid w:val="31E24902"/>
    <w:rsid w:val="31F72349"/>
    <w:rsid w:val="324463E8"/>
    <w:rsid w:val="327E6A01"/>
    <w:rsid w:val="328C1563"/>
    <w:rsid w:val="32A374B2"/>
    <w:rsid w:val="32A53637"/>
    <w:rsid w:val="32A77BAF"/>
    <w:rsid w:val="32EF6C06"/>
    <w:rsid w:val="33387FF4"/>
    <w:rsid w:val="333E5BD8"/>
    <w:rsid w:val="33576A8B"/>
    <w:rsid w:val="33694882"/>
    <w:rsid w:val="337C4B5D"/>
    <w:rsid w:val="33825736"/>
    <w:rsid w:val="33BE6487"/>
    <w:rsid w:val="33CD3D89"/>
    <w:rsid w:val="33DC7360"/>
    <w:rsid w:val="33FB6D5E"/>
    <w:rsid w:val="343B4F29"/>
    <w:rsid w:val="345055DC"/>
    <w:rsid w:val="345E2B0A"/>
    <w:rsid w:val="34B3067C"/>
    <w:rsid w:val="34C53170"/>
    <w:rsid w:val="34E54825"/>
    <w:rsid w:val="3549219C"/>
    <w:rsid w:val="356916BC"/>
    <w:rsid w:val="357E372F"/>
    <w:rsid w:val="35D15E1D"/>
    <w:rsid w:val="35F250A3"/>
    <w:rsid w:val="361E56AF"/>
    <w:rsid w:val="362634A9"/>
    <w:rsid w:val="363B4958"/>
    <w:rsid w:val="364D3DF2"/>
    <w:rsid w:val="364E62B6"/>
    <w:rsid w:val="365B4B93"/>
    <w:rsid w:val="36C150AB"/>
    <w:rsid w:val="36D9022D"/>
    <w:rsid w:val="36DD37CF"/>
    <w:rsid w:val="37283861"/>
    <w:rsid w:val="378E3238"/>
    <w:rsid w:val="378E5FA8"/>
    <w:rsid w:val="379506E3"/>
    <w:rsid w:val="37BE28B2"/>
    <w:rsid w:val="37CA5191"/>
    <w:rsid w:val="38727401"/>
    <w:rsid w:val="38856400"/>
    <w:rsid w:val="388D415E"/>
    <w:rsid w:val="389E133C"/>
    <w:rsid w:val="38DC66F8"/>
    <w:rsid w:val="38E24E0C"/>
    <w:rsid w:val="38FF710B"/>
    <w:rsid w:val="3902035E"/>
    <w:rsid w:val="3922727C"/>
    <w:rsid w:val="395709EE"/>
    <w:rsid w:val="39980282"/>
    <w:rsid w:val="39CB1B60"/>
    <w:rsid w:val="3A246B5F"/>
    <w:rsid w:val="3A2B276A"/>
    <w:rsid w:val="3A434E4F"/>
    <w:rsid w:val="3A477196"/>
    <w:rsid w:val="3A551BDD"/>
    <w:rsid w:val="3A762605"/>
    <w:rsid w:val="3A7D0359"/>
    <w:rsid w:val="3A8D2520"/>
    <w:rsid w:val="3AA40F4E"/>
    <w:rsid w:val="3B39011E"/>
    <w:rsid w:val="3B3D61BD"/>
    <w:rsid w:val="3BA27922"/>
    <w:rsid w:val="3BE60B59"/>
    <w:rsid w:val="3BE826D8"/>
    <w:rsid w:val="3BED7457"/>
    <w:rsid w:val="3C1F381A"/>
    <w:rsid w:val="3C3948B2"/>
    <w:rsid w:val="3C6B227A"/>
    <w:rsid w:val="3C874EDB"/>
    <w:rsid w:val="3CB5539E"/>
    <w:rsid w:val="3CCD072C"/>
    <w:rsid w:val="3CE31F32"/>
    <w:rsid w:val="3D4B0790"/>
    <w:rsid w:val="3D59039D"/>
    <w:rsid w:val="3D693BEA"/>
    <w:rsid w:val="3D910912"/>
    <w:rsid w:val="3DAC096F"/>
    <w:rsid w:val="3DB261B7"/>
    <w:rsid w:val="3DBC1C7A"/>
    <w:rsid w:val="3DBE5C73"/>
    <w:rsid w:val="3DBF1D53"/>
    <w:rsid w:val="3DE964E4"/>
    <w:rsid w:val="3DF941C3"/>
    <w:rsid w:val="3DFB29BB"/>
    <w:rsid w:val="3E0F5FE6"/>
    <w:rsid w:val="3E4D26C7"/>
    <w:rsid w:val="3E5443B7"/>
    <w:rsid w:val="3E643312"/>
    <w:rsid w:val="3E8B7999"/>
    <w:rsid w:val="3EA00712"/>
    <w:rsid w:val="3EA73DBC"/>
    <w:rsid w:val="3EA85841"/>
    <w:rsid w:val="3EC724B0"/>
    <w:rsid w:val="3ECD484A"/>
    <w:rsid w:val="3F14439A"/>
    <w:rsid w:val="3F302454"/>
    <w:rsid w:val="3F46246B"/>
    <w:rsid w:val="3F6522C0"/>
    <w:rsid w:val="3F787410"/>
    <w:rsid w:val="3FD41E41"/>
    <w:rsid w:val="40066C21"/>
    <w:rsid w:val="4008382A"/>
    <w:rsid w:val="400A2C7C"/>
    <w:rsid w:val="4014224B"/>
    <w:rsid w:val="403641B9"/>
    <w:rsid w:val="404E6C75"/>
    <w:rsid w:val="404F243A"/>
    <w:rsid w:val="40C90233"/>
    <w:rsid w:val="40F773DB"/>
    <w:rsid w:val="410471F3"/>
    <w:rsid w:val="41CB645F"/>
    <w:rsid w:val="41E224BF"/>
    <w:rsid w:val="41F2534B"/>
    <w:rsid w:val="42330CA9"/>
    <w:rsid w:val="42907C2B"/>
    <w:rsid w:val="42914B4F"/>
    <w:rsid w:val="42D015F3"/>
    <w:rsid w:val="432A7771"/>
    <w:rsid w:val="43313D4E"/>
    <w:rsid w:val="433649C5"/>
    <w:rsid w:val="434F0300"/>
    <w:rsid w:val="436E073B"/>
    <w:rsid w:val="43D2696B"/>
    <w:rsid w:val="43DA5E2F"/>
    <w:rsid w:val="440934A3"/>
    <w:rsid w:val="44184095"/>
    <w:rsid w:val="444309B6"/>
    <w:rsid w:val="44783D3E"/>
    <w:rsid w:val="44874C94"/>
    <w:rsid w:val="44951D4D"/>
    <w:rsid w:val="44AC3E6C"/>
    <w:rsid w:val="44B336DD"/>
    <w:rsid w:val="44E53D1B"/>
    <w:rsid w:val="44F73B48"/>
    <w:rsid w:val="44FD749E"/>
    <w:rsid w:val="454101A0"/>
    <w:rsid w:val="45490EA5"/>
    <w:rsid w:val="4560393E"/>
    <w:rsid w:val="459361BC"/>
    <w:rsid w:val="45997F74"/>
    <w:rsid w:val="45B15E88"/>
    <w:rsid w:val="45EB5664"/>
    <w:rsid w:val="45F5641E"/>
    <w:rsid w:val="46306A2A"/>
    <w:rsid w:val="46537011"/>
    <w:rsid w:val="46743415"/>
    <w:rsid w:val="46BE0AFD"/>
    <w:rsid w:val="46E07AEB"/>
    <w:rsid w:val="46EF57D8"/>
    <w:rsid w:val="47062EF5"/>
    <w:rsid w:val="47143315"/>
    <w:rsid w:val="471A6B82"/>
    <w:rsid w:val="473D5620"/>
    <w:rsid w:val="474A7B5B"/>
    <w:rsid w:val="477E29A5"/>
    <w:rsid w:val="47A277F5"/>
    <w:rsid w:val="47BB7D12"/>
    <w:rsid w:val="47CB4B6A"/>
    <w:rsid w:val="47D95C34"/>
    <w:rsid w:val="47FE5D3C"/>
    <w:rsid w:val="48344612"/>
    <w:rsid w:val="488418E1"/>
    <w:rsid w:val="48B87CB4"/>
    <w:rsid w:val="48C032CE"/>
    <w:rsid w:val="49093ED6"/>
    <w:rsid w:val="490A5EB3"/>
    <w:rsid w:val="496A160B"/>
    <w:rsid w:val="498C2C82"/>
    <w:rsid w:val="49DB6108"/>
    <w:rsid w:val="4A1F5DBE"/>
    <w:rsid w:val="4A3944B2"/>
    <w:rsid w:val="4A4040DE"/>
    <w:rsid w:val="4A4E5F26"/>
    <w:rsid w:val="4A66523E"/>
    <w:rsid w:val="4A812C23"/>
    <w:rsid w:val="4AA57A40"/>
    <w:rsid w:val="4AAA43D8"/>
    <w:rsid w:val="4AAC51D3"/>
    <w:rsid w:val="4AFF1365"/>
    <w:rsid w:val="4B0D42A3"/>
    <w:rsid w:val="4B183039"/>
    <w:rsid w:val="4B26592B"/>
    <w:rsid w:val="4B3301FF"/>
    <w:rsid w:val="4B4D5F7E"/>
    <w:rsid w:val="4B7377E4"/>
    <w:rsid w:val="4BE20EA6"/>
    <w:rsid w:val="4BFA5B10"/>
    <w:rsid w:val="4C0D2254"/>
    <w:rsid w:val="4C8A3B59"/>
    <w:rsid w:val="4C951D35"/>
    <w:rsid w:val="4CB0389E"/>
    <w:rsid w:val="4CB64040"/>
    <w:rsid w:val="4CC52164"/>
    <w:rsid w:val="4CEE1A97"/>
    <w:rsid w:val="4D08189F"/>
    <w:rsid w:val="4D1751FB"/>
    <w:rsid w:val="4D266169"/>
    <w:rsid w:val="4D436497"/>
    <w:rsid w:val="4D59187D"/>
    <w:rsid w:val="4D861CA9"/>
    <w:rsid w:val="4D8E03D7"/>
    <w:rsid w:val="4D967CFA"/>
    <w:rsid w:val="4DC11CF8"/>
    <w:rsid w:val="4DD06775"/>
    <w:rsid w:val="4E192E7C"/>
    <w:rsid w:val="4E28346E"/>
    <w:rsid w:val="4E475F3E"/>
    <w:rsid w:val="4E4F0ACE"/>
    <w:rsid w:val="4E89253D"/>
    <w:rsid w:val="4E8A17E8"/>
    <w:rsid w:val="4EA931C3"/>
    <w:rsid w:val="4EF77FB4"/>
    <w:rsid w:val="4F1B739B"/>
    <w:rsid w:val="4F2B01A4"/>
    <w:rsid w:val="4F2E6D64"/>
    <w:rsid w:val="4F396CB9"/>
    <w:rsid w:val="4F4F2815"/>
    <w:rsid w:val="4F5F7768"/>
    <w:rsid w:val="4F7C3C6B"/>
    <w:rsid w:val="50080F01"/>
    <w:rsid w:val="50B25B84"/>
    <w:rsid w:val="50BA0948"/>
    <w:rsid w:val="51482D3F"/>
    <w:rsid w:val="514D0F80"/>
    <w:rsid w:val="514F0D47"/>
    <w:rsid w:val="51620E80"/>
    <w:rsid w:val="516C697F"/>
    <w:rsid w:val="51881C59"/>
    <w:rsid w:val="520566D7"/>
    <w:rsid w:val="520C3CF8"/>
    <w:rsid w:val="524D4662"/>
    <w:rsid w:val="526128FF"/>
    <w:rsid w:val="527C57C0"/>
    <w:rsid w:val="527F7826"/>
    <w:rsid w:val="52972D61"/>
    <w:rsid w:val="52BF3B49"/>
    <w:rsid w:val="52CE443C"/>
    <w:rsid w:val="52D0227A"/>
    <w:rsid w:val="52D72D42"/>
    <w:rsid w:val="52EC5873"/>
    <w:rsid w:val="53055F32"/>
    <w:rsid w:val="53311F5F"/>
    <w:rsid w:val="53616C1C"/>
    <w:rsid w:val="53700FF5"/>
    <w:rsid w:val="539A1012"/>
    <w:rsid w:val="53B56722"/>
    <w:rsid w:val="53CD12D6"/>
    <w:rsid w:val="541008E5"/>
    <w:rsid w:val="544279DB"/>
    <w:rsid w:val="54497757"/>
    <w:rsid w:val="54530666"/>
    <w:rsid w:val="545B1D55"/>
    <w:rsid w:val="54A72CBA"/>
    <w:rsid w:val="54AF7FB9"/>
    <w:rsid w:val="54BB15F3"/>
    <w:rsid w:val="54C4540E"/>
    <w:rsid w:val="54CA3C07"/>
    <w:rsid w:val="54F011D4"/>
    <w:rsid w:val="55114B7E"/>
    <w:rsid w:val="551E0B42"/>
    <w:rsid w:val="5529023F"/>
    <w:rsid w:val="55577E2E"/>
    <w:rsid w:val="55BD04CC"/>
    <w:rsid w:val="55BF4681"/>
    <w:rsid w:val="55CD1F8F"/>
    <w:rsid w:val="55EE66CA"/>
    <w:rsid w:val="55F23BFC"/>
    <w:rsid w:val="56735000"/>
    <w:rsid w:val="567B7D89"/>
    <w:rsid w:val="56BB130D"/>
    <w:rsid w:val="56BC7FA7"/>
    <w:rsid w:val="56EC22AB"/>
    <w:rsid w:val="57043AE1"/>
    <w:rsid w:val="572501AB"/>
    <w:rsid w:val="57382999"/>
    <w:rsid w:val="57426588"/>
    <w:rsid w:val="5751062C"/>
    <w:rsid w:val="57600A2A"/>
    <w:rsid w:val="57D63B9D"/>
    <w:rsid w:val="58193A05"/>
    <w:rsid w:val="58330747"/>
    <w:rsid w:val="58504E7C"/>
    <w:rsid w:val="585816D4"/>
    <w:rsid w:val="591B27B3"/>
    <w:rsid w:val="592B2751"/>
    <w:rsid w:val="59E027F0"/>
    <w:rsid w:val="59F603DC"/>
    <w:rsid w:val="5A14254F"/>
    <w:rsid w:val="5A5D2E98"/>
    <w:rsid w:val="5AB82623"/>
    <w:rsid w:val="5ABF3124"/>
    <w:rsid w:val="5B041687"/>
    <w:rsid w:val="5B0A45E9"/>
    <w:rsid w:val="5B10186E"/>
    <w:rsid w:val="5B353E84"/>
    <w:rsid w:val="5B6A7336"/>
    <w:rsid w:val="5B6B3A90"/>
    <w:rsid w:val="5BA201F2"/>
    <w:rsid w:val="5BA53146"/>
    <w:rsid w:val="5BF41A41"/>
    <w:rsid w:val="5C341EB3"/>
    <w:rsid w:val="5C8B6CFB"/>
    <w:rsid w:val="5CAE7396"/>
    <w:rsid w:val="5CB65C4D"/>
    <w:rsid w:val="5D9172FA"/>
    <w:rsid w:val="5D9D5852"/>
    <w:rsid w:val="5DB01964"/>
    <w:rsid w:val="5DBB112D"/>
    <w:rsid w:val="5DBD0BE0"/>
    <w:rsid w:val="5DEA7BE2"/>
    <w:rsid w:val="5DEB0E67"/>
    <w:rsid w:val="5DFB3896"/>
    <w:rsid w:val="5E0C2C85"/>
    <w:rsid w:val="5E143F36"/>
    <w:rsid w:val="5E1C58A5"/>
    <w:rsid w:val="5E227C28"/>
    <w:rsid w:val="5E417DB0"/>
    <w:rsid w:val="5E895BBD"/>
    <w:rsid w:val="5E8962DE"/>
    <w:rsid w:val="5EA6718F"/>
    <w:rsid w:val="5EB13FA2"/>
    <w:rsid w:val="5ED5765E"/>
    <w:rsid w:val="5EE61F48"/>
    <w:rsid w:val="5F4742FA"/>
    <w:rsid w:val="5F487C15"/>
    <w:rsid w:val="5F5F4638"/>
    <w:rsid w:val="5F7C066C"/>
    <w:rsid w:val="5FBB39EC"/>
    <w:rsid w:val="5FD43EBD"/>
    <w:rsid w:val="5FE83BEC"/>
    <w:rsid w:val="601B111F"/>
    <w:rsid w:val="6022775D"/>
    <w:rsid w:val="6049181A"/>
    <w:rsid w:val="60821715"/>
    <w:rsid w:val="60F57277"/>
    <w:rsid w:val="611559E8"/>
    <w:rsid w:val="613E7EB5"/>
    <w:rsid w:val="61485C96"/>
    <w:rsid w:val="61614C32"/>
    <w:rsid w:val="61B424A9"/>
    <w:rsid w:val="61BB5B4B"/>
    <w:rsid w:val="61C06A1A"/>
    <w:rsid w:val="61CA294F"/>
    <w:rsid w:val="62190DEE"/>
    <w:rsid w:val="62382502"/>
    <w:rsid w:val="62565D87"/>
    <w:rsid w:val="62706E69"/>
    <w:rsid w:val="6299384C"/>
    <w:rsid w:val="62AA2731"/>
    <w:rsid w:val="62EF7068"/>
    <w:rsid w:val="63173D0C"/>
    <w:rsid w:val="637A69DC"/>
    <w:rsid w:val="637D67C5"/>
    <w:rsid w:val="63B74A1B"/>
    <w:rsid w:val="63CC65B8"/>
    <w:rsid w:val="641F71B9"/>
    <w:rsid w:val="64772AFF"/>
    <w:rsid w:val="6479249F"/>
    <w:rsid w:val="649C3A85"/>
    <w:rsid w:val="649C7F73"/>
    <w:rsid w:val="64C862C3"/>
    <w:rsid w:val="654246EC"/>
    <w:rsid w:val="65577938"/>
    <w:rsid w:val="65840541"/>
    <w:rsid w:val="658448A0"/>
    <w:rsid w:val="65DB44C8"/>
    <w:rsid w:val="65DC0259"/>
    <w:rsid w:val="65E848BE"/>
    <w:rsid w:val="660C5D4F"/>
    <w:rsid w:val="660E2FA9"/>
    <w:rsid w:val="662C36E2"/>
    <w:rsid w:val="66366DEE"/>
    <w:rsid w:val="66687561"/>
    <w:rsid w:val="66C005DF"/>
    <w:rsid w:val="66DF0DB0"/>
    <w:rsid w:val="674461C1"/>
    <w:rsid w:val="674C326A"/>
    <w:rsid w:val="67574430"/>
    <w:rsid w:val="675A6D1E"/>
    <w:rsid w:val="67897660"/>
    <w:rsid w:val="68103B89"/>
    <w:rsid w:val="683C48D0"/>
    <w:rsid w:val="687A4289"/>
    <w:rsid w:val="68863ED9"/>
    <w:rsid w:val="68D3681C"/>
    <w:rsid w:val="68DF5836"/>
    <w:rsid w:val="692854F9"/>
    <w:rsid w:val="693E4797"/>
    <w:rsid w:val="695239D7"/>
    <w:rsid w:val="69533EE2"/>
    <w:rsid w:val="69A71F28"/>
    <w:rsid w:val="69D5262F"/>
    <w:rsid w:val="69E561FE"/>
    <w:rsid w:val="69EF1E6C"/>
    <w:rsid w:val="69FE1BC0"/>
    <w:rsid w:val="6A0729F2"/>
    <w:rsid w:val="6A5B2258"/>
    <w:rsid w:val="6A686882"/>
    <w:rsid w:val="6AB544DB"/>
    <w:rsid w:val="6AD32C6A"/>
    <w:rsid w:val="6AF12AAA"/>
    <w:rsid w:val="6B1C57B1"/>
    <w:rsid w:val="6B1E54FA"/>
    <w:rsid w:val="6B2264FB"/>
    <w:rsid w:val="6B3A1688"/>
    <w:rsid w:val="6B476562"/>
    <w:rsid w:val="6B7C68AF"/>
    <w:rsid w:val="6BBE4D23"/>
    <w:rsid w:val="6BE55641"/>
    <w:rsid w:val="6C177B29"/>
    <w:rsid w:val="6C4703AE"/>
    <w:rsid w:val="6CE332FB"/>
    <w:rsid w:val="6CF4556F"/>
    <w:rsid w:val="6CF65C68"/>
    <w:rsid w:val="6CF87FDC"/>
    <w:rsid w:val="6CFE7E94"/>
    <w:rsid w:val="6D5E584B"/>
    <w:rsid w:val="6D8E7122"/>
    <w:rsid w:val="6D8F3249"/>
    <w:rsid w:val="6E1904B5"/>
    <w:rsid w:val="6E20604A"/>
    <w:rsid w:val="6E2F3850"/>
    <w:rsid w:val="6E3220CC"/>
    <w:rsid w:val="6E650337"/>
    <w:rsid w:val="6E650DAE"/>
    <w:rsid w:val="6E87578E"/>
    <w:rsid w:val="6EB15384"/>
    <w:rsid w:val="6EDC10E4"/>
    <w:rsid w:val="6EE94413"/>
    <w:rsid w:val="6EF24B9C"/>
    <w:rsid w:val="6F015F04"/>
    <w:rsid w:val="6F4B29A1"/>
    <w:rsid w:val="6F5D350F"/>
    <w:rsid w:val="6F944B87"/>
    <w:rsid w:val="6FBA32BE"/>
    <w:rsid w:val="6FC12819"/>
    <w:rsid w:val="6FC174C2"/>
    <w:rsid w:val="6FC76B7E"/>
    <w:rsid w:val="6FC830ED"/>
    <w:rsid w:val="702D457D"/>
    <w:rsid w:val="705A7D73"/>
    <w:rsid w:val="707A0E03"/>
    <w:rsid w:val="709D0508"/>
    <w:rsid w:val="70E418A0"/>
    <w:rsid w:val="710E48FC"/>
    <w:rsid w:val="714A75BC"/>
    <w:rsid w:val="71597917"/>
    <w:rsid w:val="715E135B"/>
    <w:rsid w:val="71A27420"/>
    <w:rsid w:val="71BF26D1"/>
    <w:rsid w:val="71F0284C"/>
    <w:rsid w:val="72494A3B"/>
    <w:rsid w:val="72556B04"/>
    <w:rsid w:val="72901502"/>
    <w:rsid w:val="72CE7E91"/>
    <w:rsid w:val="730C4FEC"/>
    <w:rsid w:val="7331134B"/>
    <w:rsid w:val="736901F3"/>
    <w:rsid w:val="738A1D63"/>
    <w:rsid w:val="73930A05"/>
    <w:rsid w:val="73AB13FA"/>
    <w:rsid w:val="740323CB"/>
    <w:rsid w:val="740931F4"/>
    <w:rsid w:val="74141968"/>
    <w:rsid w:val="741A213D"/>
    <w:rsid w:val="74363A20"/>
    <w:rsid w:val="74A10908"/>
    <w:rsid w:val="75015849"/>
    <w:rsid w:val="750B45A3"/>
    <w:rsid w:val="7520455B"/>
    <w:rsid w:val="75242646"/>
    <w:rsid w:val="753D311C"/>
    <w:rsid w:val="758D7D3F"/>
    <w:rsid w:val="75B4227E"/>
    <w:rsid w:val="75D57107"/>
    <w:rsid w:val="75D6764E"/>
    <w:rsid w:val="75E53FA8"/>
    <w:rsid w:val="761E3B0E"/>
    <w:rsid w:val="765C1D99"/>
    <w:rsid w:val="7661356D"/>
    <w:rsid w:val="766D3E14"/>
    <w:rsid w:val="766D6F41"/>
    <w:rsid w:val="76937F17"/>
    <w:rsid w:val="7698334F"/>
    <w:rsid w:val="76A95A7E"/>
    <w:rsid w:val="76B56DDE"/>
    <w:rsid w:val="771E5A03"/>
    <w:rsid w:val="776813CA"/>
    <w:rsid w:val="77812EB7"/>
    <w:rsid w:val="779E57E8"/>
    <w:rsid w:val="77A00D45"/>
    <w:rsid w:val="77AA638D"/>
    <w:rsid w:val="77DA1B61"/>
    <w:rsid w:val="784111FE"/>
    <w:rsid w:val="786446F5"/>
    <w:rsid w:val="7878566F"/>
    <w:rsid w:val="78935D51"/>
    <w:rsid w:val="7898580C"/>
    <w:rsid w:val="78D21BAA"/>
    <w:rsid w:val="78D519D1"/>
    <w:rsid w:val="78E96B59"/>
    <w:rsid w:val="78EE4D5C"/>
    <w:rsid w:val="79030FC9"/>
    <w:rsid w:val="791D0A69"/>
    <w:rsid w:val="792C7805"/>
    <w:rsid w:val="79373B35"/>
    <w:rsid w:val="793A143F"/>
    <w:rsid w:val="79610E66"/>
    <w:rsid w:val="796D2703"/>
    <w:rsid w:val="79713A3D"/>
    <w:rsid w:val="797F6EB1"/>
    <w:rsid w:val="798B0E36"/>
    <w:rsid w:val="799A18B8"/>
    <w:rsid w:val="79BD2AD9"/>
    <w:rsid w:val="79DF3F1C"/>
    <w:rsid w:val="79DF7E3F"/>
    <w:rsid w:val="79ED6765"/>
    <w:rsid w:val="79F72AE5"/>
    <w:rsid w:val="7A246751"/>
    <w:rsid w:val="7A5E705F"/>
    <w:rsid w:val="7A8303D5"/>
    <w:rsid w:val="7A977336"/>
    <w:rsid w:val="7B6E48BB"/>
    <w:rsid w:val="7B784D0C"/>
    <w:rsid w:val="7B8422D4"/>
    <w:rsid w:val="7B88232E"/>
    <w:rsid w:val="7B947D91"/>
    <w:rsid w:val="7B9C5617"/>
    <w:rsid w:val="7BA56FB5"/>
    <w:rsid w:val="7BBD148B"/>
    <w:rsid w:val="7BC62206"/>
    <w:rsid w:val="7BEF70B8"/>
    <w:rsid w:val="7C1D67B7"/>
    <w:rsid w:val="7C1E1CC3"/>
    <w:rsid w:val="7C427F0E"/>
    <w:rsid w:val="7C541868"/>
    <w:rsid w:val="7C5C350D"/>
    <w:rsid w:val="7C770BD2"/>
    <w:rsid w:val="7C7A61B1"/>
    <w:rsid w:val="7CB91E1F"/>
    <w:rsid w:val="7CC0038C"/>
    <w:rsid w:val="7CE9670C"/>
    <w:rsid w:val="7D0A2BCE"/>
    <w:rsid w:val="7D121753"/>
    <w:rsid w:val="7D18519D"/>
    <w:rsid w:val="7D275DF6"/>
    <w:rsid w:val="7D4D6E65"/>
    <w:rsid w:val="7D6406C0"/>
    <w:rsid w:val="7D787D77"/>
    <w:rsid w:val="7DB64586"/>
    <w:rsid w:val="7DD9467F"/>
    <w:rsid w:val="7E5B3B33"/>
    <w:rsid w:val="7E9B1029"/>
    <w:rsid w:val="7EC92F6F"/>
    <w:rsid w:val="7ECF54E6"/>
    <w:rsid w:val="7ED94987"/>
    <w:rsid w:val="7EDB2AE3"/>
    <w:rsid w:val="7F39678C"/>
    <w:rsid w:val="7F69754B"/>
    <w:rsid w:val="7F9122EE"/>
    <w:rsid w:val="7F9D43E8"/>
    <w:rsid w:val="7FB13A96"/>
    <w:rsid w:val="7FC15195"/>
    <w:rsid w:val="7FE54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2"/>
    <w:qFormat/>
    <w:uiPriority w:val="0"/>
    <w:pPr>
      <w:keepNext/>
      <w:keepLines/>
      <w:spacing w:before="340" w:after="330" w:line="576" w:lineRule="auto"/>
      <w:ind w:firstLine="964"/>
      <w:outlineLvl w:val="0"/>
    </w:pPr>
    <w:rPr>
      <w:b/>
      <w:bCs/>
      <w:kern w:val="44"/>
      <w:sz w:val="30"/>
      <w:szCs w:val="30"/>
    </w:rPr>
  </w:style>
  <w:style w:type="paragraph" w:styleId="5">
    <w:name w:val="heading 2"/>
    <w:basedOn w:val="1"/>
    <w:next w:val="1"/>
    <w:link w:val="89"/>
    <w:qFormat/>
    <w:uiPriority w:val="0"/>
    <w:pPr>
      <w:keepNext/>
      <w:keepLines/>
      <w:spacing w:before="260" w:after="260" w:line="413" w:lineRule="auto"/>
      <w:jc w:val="center"/>
      <w:outlineLvl w:val="1"/>
    </w:pPr>
    <w:rPr>
      <w:rFonts w:ascii="Arial" w:hAnsi="Arial" w:eastAsia="黑体"/>
      <w:b/>
      <w:bCs/>
      <w:kern w:val="0"/>
      <w:sz w:val="32"/>
      <w:szCs w:val="32"/>
    </w:rPr>
  </w:style>
  <w:style w:type="paragraph" w:styleId="6">
    <w:name w:val="heading 3"/>
    <w:basedOn w:val="1"/>
    <w:next w:val="1"/>
    <w:link w:val="64"/>
    <w:qFormat/>
    <w:uiPriority w:val="0"/>
    <w:pPr>
      <w:keepNext/>
      <w:keepLines/>
      <w:spacing w:before="260" w:after="260" w:line="413" w:lineRule="auto"/>
      <w:jc w:val="center"/>
      <w:outlineLvl w:val="2"/>
    </w:pPr>
    <w:rPr>
      <w:rFonts w:ascii="宋体"/>
      <w:b/>
      <w:bCs/>
      <w:kern w:val="0"/>
      <w:sz w:val="32"/>
      <w:szCs w:val="32"/>
    </w:rPr>
  </w:style>
  <w:style w:type="paragraph" w:styleId="7">
    <w:name w:val="heading 4"/>
    <w:basedOn w:val="1"/>
    <w:next w:val="1"/>
    <w:link w:val="7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outlineLvl w:val="4"/>
    </w:pPr>
    <w:rPr>
      <w:rFonts w:ascii="宋体" w:hAnsi="Arial"/>
      <w:kern w:val="0"/>
      <w:sz w:val="28"/>
      <w:szCs w:val="28"/>
    </w:rPr>
  </w:style>
  <w:style w:type="paragraph" w:styleId="9">
    <w:name w:val="heading 6"/>
    <w:basedOn w:val="1"/>
    <w:next w:val="1"/>
    <w:link w:val="117"/>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87"/>
    <w:qFormat/>
    <w:uiPriority w:val="0"/>
    <w:pPr>
      <w:keepNext/>
      <w:keepLines/>
      <w:spacing w:before="240" w:after="64" w:line="320" w:lineRule="auto"/>
      <w:outlineLvl w:val="6"/>
    </w:pPr>
    <w:rPr>
      <w:b/>
      <w:bCs/>
      <w:kern w:val="0"/>
      <w:sz w:val="24"/>
      <w:szCs w:val="24"/>
    </w:rPr>
  </w:style>
  <w:style w:type="paragraph" w:styleId="11">
    <w:name w:val="heading 8"/>
    <w:basedOn w:val="1"/>
    <w:next w:val="1"/>
    <w:link w:val="72"/>
    <w:qFormat/>
    <w:uiPriority w:val="0"/>
    <w:pPr>
      <w:keepNext/>
      <w:keepLines/>
      <w:spacing w:before="240" w:after="64" w:line="320" w:lineRule="auto"/>
      <w:outlineLvl w:val="7"/>
    </w:pPr>
    <w:rPr>
      <w:rFonts w:ascii="Arial" w:hAnsi="Arial" w:eastAsia="黑体"/>
      <w:kern w:val="0"/>
      <w:sz w:val="24"/>
      <w:szCs w:val="24"/>
    </w:rPr>
  </w:style>
  <w:style w:type="paragraph" w:styleId="12">
    <w:name w:val="heading 9"/>
    <w:basedOn w:val="1"/>
    <w:next w:val="1"/>
    <w:link w:val="73"/>
    <w:qFormat/>
    <w:uiPriority w:val="0"/>
    <w:pPr>
      <w:keepNext/>
      <w:keepLines/>
      <w:spacing w:before="240" w:after="64" w:line="320" w:lineRule="auto"/>
      <w:outlineLvl w:val="8"/>
    </w:pPr>
    <w:rPr>
      <w:rFonts w:ascii="Arial" w:hAnsi="Arial" w:eastAsia="黑体"/>
      <w:kern w:val="0"/>
      <w:sz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460" w:lineRule="exact"/>
    </w:pPr>
    <w:rPr>
      <w:sz w:val="24"/>
    </w:rPr>
  </w:style>
  <w:style w:type="paragraph" w:styleId="3">
    <w:name w:val="Body Text Indent"/>
    <w:basedOn w:val="1"/>
    <w:link w:val="107"/>
    <w:qFormat/>
    <w:uiPriority w:val="0"/>
    <w:pPr>
      <w:spacing w:after="120"/>
      <w:ind w:left="420"/>
    </w:pPr>
    <w:rPr>
      <w:kern w:val="0"/>
      <w:sz w:val="20"/>
    </w:rPr>
  </w:style>
  <w:style w:type="paragraph" w:styleId="13">
    <w:name w:val="toc 7"/>
    <w:basedOn w:val="1"/>
    <w:next w:val="1"/>
    <w:qFormat/>
    <w:uiPriority w:val="0"/>
    <w:pPr>
      <w:ind w:left="1260"/>
      <w:jc w:val="left"/>
    </w:pPr>
    <w:rPr>
      <w:sz w:val="20"/>
      <w:szCs w:val="20"/>
    </w:rPr>
  </w:style>
  <w:style w:type="paragraph" w:styleId="14">
    <w:name w:val="Normal Indent"/>
    <w:basedOn w:val="1"/>
    <w:link w:val="85"/>
    <w:qFormat/>
    <w:uiPriority w:val="0"/>
    <w:pPr>
      <w:ind w:firstLine="420"/>
    </w:pPr>
    <w:rPr>
      <w:kern w:val="0"/>
      <w:sz w:val="20"/>
    </w:rPr>
  </w:style>
  <w:style w:type="paragraph" w:styleId="15">
    <w:name w:val="Document Map"/>
    <w:basedOn w:val="1"/>
    <w:link w:val="95"/>
    <w:qFormat/>
    <w:uiPriority w:val="0"/>
    <w:pPr>
      <w:shd w:val="clear" w:color="auto" w:fill="000080"/>
    </w:pPr>
    <w:rPr>
      <w:kern w:val="0"/>
      <w:sz w:val="20"/>
      <w:shd w:val="clear" w:color="auto" w:fill="000080"/>
    </w:rPr>
  </w:style>
  <w:style w:type="paragraph" w:styleId="16">
    <w:name w:val="annotation text"/>
    <w:basedOn w:val="1"/>
    <w:link w:val="86"/>
    <w:qFormat/>
    <w:uiPriority w:val="0"/>
    <w:pPr>
      <w:jc w:val="left"/>
    </w:pPr>
    <w:rPr>
      <w:kern w:val="0"/>
      <w:sz w:val="20"/>
    </w:rPr>
  </w:style>
  <w:style w:type="paragraph" w:styleId="17">
    <w:name w:val="Body Text"/>
    <w:basedOn w:val="1"/>
    <w:link w:val="104"/>
    <w:qFormat/>
    <w:uiPriority w:val="0"/>
    <w:pPr>
      <w:spacing w:after="120"/>
    </w:pPr>
    <w:rPr>
      <w:kern w:val="0"/>
      <w:sz w:val="20"/>
    </w:rPr>
  </w:style>
  <w:style w:type="paragraph" w:styleId="18">
    <w:name w:val="List 2"/>
    <w:basedOn w:val="1"/>
    <w:qFormat/>
    <w:uiPriority w:val="0"/>
    <w:pPr>
      <w:ind w:left="100" w:hanging="200"/>
    </w:pPr>
    <w:rPr>
      <w:szCs w:val="24"/>
    </w:rPr>
  </w:style>
  <w:style w:type="paragraph" w:styleId="19">
    <w:name w:val="toc 5"/>
    <w:basedOn w:val="1"/>
    <w:next w:val="1"/>
    <w:qFormat/>
    <w:uiPriority w:val="0"/>
    <w:pPr>
      <w:ind w:left="840"/>
      <w:jc w:val="left"/>
    </w:pPr>
    <w:rPr>
      <w:sz w:val="20"/>
      <w:szCs w:val="20"/>
    </w:rPr>
  </w:style>
  <w:style w:type="paragraph" w:styleId="20">
    <w:name w:val="toc 3"/>
    <w:basedOn w:val="1"/>
    <w:next w:val="1"/>
    <w:qFormat/>
    <w:uiPriority w:val="39"/>
    <w:pPr>
      <w:tabs>
        <w:tab w:val="right" w:leader="middleDot" w:pos="8820"/>
      </w:tabs>
      <w:spacing w:line="340" w:lineRule="exact"/>
      <w:ind w:left="420"/>
      <w:jc w:val="left"/>
    </w:pPr>
    <w:rPr>
      <w:sz w:val="20"/>
      <w:szCs w:val="20"/>
    </w:rPr>
  </w:style>
  <w:style w:type="paragraph" w:styleId="21">
    <w:name w:val="Plain Text"/>
    <w:basedOn w:val="1"/>
    <w:link w:val="63"/>
    <w:qFormat/>
    <w:uiPriority w:val="0"/>
    <w:rPr>
      <w:rFonts w:ascii="宋体" w:hAnsi="Courier New"/>
      <w:kern w:val="0"/>
      <w:sz w:val="20"/>
      <w:szCs w:val="20"/>
    </w:rPr>
  </w:style>
  <w:style w:type="paragraph" w:styleId="22">
    <w:name w:val="toc 8"/>
    <w:basedOn w:val="1"/>
    <w:next w:val="1"/>
    <w:qFormat/>
    <w:uiPriority w:val="0"/>
    <w:pPr>
      <w:ind w:left="1470"/>
      <w:jc w:val="left"/>
    </w:pPr>
    <w:rPr>
      <w:sz w:val="20"/>
      <w:szCs w:val="20"/>
    </w:rPr>
  </w:style>
  <w:style w:type="paragraph" w:styleId="23">
    <w:name w:val="Date"/>
    <w:basedOn w:val="1"/>
    <w:next w:val="1"/>
    <w:link w:val="101"/>
    <w:qFormat/>
    <w:uiPriority w:val="0"/>
    <w:rPr>
      <w:b/>
      <w:kern w:val="0"/>
      <w:sz w:val="28"/>
      <w:szCs w:val="20"/>
    </w:rPr>
  </w:style>
  <w:style w:type="paragraph" w:styleId="24">
    <w:name w:val="Body Text Indent 2"/>
    <w:basedOn w:val="1"/>
    <w:link w:val="118"/>
    <w:qFormat/>
    <w:uiPriority w:val="0"/>
    <w:pPr>
      <w:spacing w:after="120" w:line="480" w:lineRule="auto"/>
      <w:ind w:left="420"/>
    </w:pPr>
    <w:rPr>
      <w:kern w:val="0"/>
      <w:sz w:val="20"/>
    </w:rPr>
  </w:style>
  <w:style w:type="paragraph" w:styleId="25">
    <w:name w:val="endnote text"/>
    <w:basedOn w:val="1"/>
    <w:link w:val="116"/>
    <w:qFormat/>
    <w:uiPriority w:val="0"/>
    <w:pPr>
      <w:snapToGrid w:val="0"/>
      <w:jc w:val="left"/>
    </w:pPr>
    <w:rPr>
      <w:rFonts w:ascii="Calibri" w:hAnsi="Calibri"/>
      <w:color w:val="000000"/>
      <w:kern w:val="0"/>
      <w:sz w:val="20"/>
      <w:szCs w:val="20"/>
    </w:rPr>
  </w:style>
  <w:style w:type="paragraph" w:styleId="26">
    <w:name w:val="Balloon Text"/>
    <w:basedOn w:val="1"/>
    <w:link w:val="91"/>
    <w:qFormat/>
    <w:uiPriority w:val="0"/>
    <w:rPr>
      <w:kern w:val="0"/>
      <w:sz w:val="18"/>
      <w:szCs w:val="18"/>
    </w:rPr>
  </w:style>
  <w:style w:type="paragraph" w:styleId="27">
    <w:name w:val="footer"/>
    <w:basedOn w:val="1"/>
    <w:link w:val="60"/>
    <w:qFormat/>
    <w:uiPriority w:val="0"/>
    <w:pPr>
      <w:tabs>
        <w:tab w:val="center" w:pos="4153"/>
        <w:tab w:val="right" w:pos="8306"/>
      </w:tabs>
      <w:snapToGrid w:val="0"/>
      <w:jc w:val="left"/>
    </w:pPr>
    <w:rPr>
      <w:kern w:val="0"/>
      <w:sz w:val="18"/>
      <w:szCs w:val="18"/>
    </w:rPr>
  </w:style>
  <w:style w:type="paragraph" w:styleId="28">
    <w:name w:val="header"/>
    <w:basedOn w:val="1"/>
    <w:link w:val="7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jc w:val="left"/>
    </w:pPr>
    <w:rPr>
      <w:b/>
      <w:bCs/>
      <w:iCs/>
      <w:sz w:val="24"/>
      <w:szCs w:val="24"/>
    </w:rPr>
  </w:style>
  <w:style w:type="paragraph" w:styleId="30">
    <w:name w:val="toc 4"/>
    <w:basedOn w:val="1"/>
    <w:next w:val="1"/>
    <w:qFormat/>
    <w:uiPriority w:val="39"/>
    <w:pPr>
      <w:ind w:left="630"/>
      <w:jc w:val="left"/>
    </w:pPr>
    <w:rPr>
      <w:sz w:val="20"/>
      <w:szCs w:val="20"/>
    </w:rPr>
  </w:style>
  <w:style w:type="paragraph" w:styleId="31">
    <w:name w:val="toc 6"/>
    <w:basedOn w:val="1"/>
    <w:next w:val="1"/>
    <w:qFormat/>
    <w:uiPriority w:val="0"/>
    <w:pPr>
      <w:ind w:left="1050"/>
      <w:jc w:val="left"/>
    </w:pPr>
    <w:rPr>
      <w:sz w:val="20"/>
      <w:szCs w:val="20"/>
    </w:rPr>
  </w:style>
  <w:style w:type="paragraph" w:styleId="32">
    <w:name w:val="Body Text Indent 3"/>
    <w:basedOn w:val="1"/>
    <w:link w:val="75"/>
    <w:qFormat/>
    <w:uiPriority w:val="0"/>
    <w:pPr>
      <w:spacing w:after="120"/>
      <w:ind w:left="420"/>
    </w:pPr>
    <w:rPr>
      <w:kern w:val="0"/>
      <w:sz w:val="16"/>
      <w:szCs w:val="16"/>
    </w:rPr>
  </w:style>
  <w:style w:type="paragraph" w:styleId="33">
    <w:name w:val="toc 2"/>
    <w:basedOn w:val="1"/>
    <w:next w:val="1"/>
    <w:qFormat/>
    <w:uiPriority w:val="0"/>
    <w:pPr>
      <w:tabs>
        <w:tab w:val="left" w:pos="720"/>
        <w:tab w:val="right" w:leader="dot" w:pos="8820"/>
      </w:tabs>
      <w:spacing w:before="120"/>
      <w:ind w:left="210"/>
      <w:jc w:val="left"/>
    </w:pPr>
    <w:rPr>
      <w:b/>
      <w:bCs/>
      <w:sz w:val="22"/>
      <w:szCs w:val="22"/>
    </w:rPr>
  </w:style>
  <w:style w:type="paragraph" w:styleId="34">
    <w:name w:val="toc 9"/>
    <w:basedOn w:val="1"/>
    <w:next w:val="1"/>
    <w:qFormat/>
    <w:uiPriority w:val="0"/>
    <w:pPr>
      <w:ind w:left="1680"/>
      <w:jc w:val="left"/>
    </w:pPr>
    <w:rPr>
      <w:sz w:val="20"/>
      <w:szCs w:val="20"/>
    </w:rPr>
  </w:style>
  <w:style w:type="paragraph" w:styleId="35">
    <w:name w:val="Body Text 2"/>
    <w:basedOn w:val="1"/>
    <w:link w:val="88"/>
    <w:qFormat/>
    <w:uiPriority w:val="0"/>
    <w:pPr>
      <w:spacing w:after="120" w:line="480" w:lineRule="auto"/>
    </w:pPr>
    <w:rPr>
      <w:kern w:val="0"/>
      <w:sz w:val="20"/>
    </w:rPr>
  </w:style>
  <w:style w:type="paragraph" w:styleId="36">
    <w:name w:val="Normal (Web)"/>
    <w:basedOn w:val="1"/>
    <w:qFormat/>
    <w:uiPriority w:val="99"/>
    <w:pPr>
      <w:widowControl/>
      <w:spacing w:before="100" w:beforeAutospacing="1" w:after="100" w:afterAutospacing="1"/>
      <w:jc w:val="left"/>
    </w:pPr>
    <w:rPr>
      <w:rFonts w:ascii="Arial" w:hAnsi="Arial" w:cs="Arial"/>
      <w:color w:val="000000"/>
      <w:kern w:val="0"/>
      <w:sz w:val="22"/>
      <w:szCs w:val="22"/>
    </w:rPr>
  </w:style>
  <w:style w:type="paragraph" w:styleId="37">
    <w:name w:val="index 1"/>
    <w:basedOn w:val="1"/>
    <w:next w:val="1"/>
    <w:qFormat/>
    <w:uiPriority w:val="0"/>
  </w:style>
  <w:style w:type="paragraph" w:styleId="38">
    <w:name w:val="Title"/>
    <w:basedOn w:val="1"/>
    <w:next w:val="1"/>
    <w:qFormat/>
    <w:uiPriority w:val="0"/>
    <w:pPr>
      <w:spacing w:line="360" w:lineRule="auto"/>
      <w:ind w:firstLine="200" w:firstLineChars="200"/>
      <w:jc w:val="center"/>
      <w:outlineLvl w:val="0"/>
    </w:pPr>
    <w:rPr>
      <w:rFonts w:ascii="Arial" w:hAnsi="Arial"/>
      <w:b/>
      <w:bCs/>
      <w:kern w:val="0"/>
      <w:sz w:val="36"/>
      <w:szCs w:val="32"/>
    </w:rPr>
  </w:style>
  <w:style w:type="paragraph" w:styleId="39">
    <w:name w:val="annotation subject"/>
    <w:basedOn w:val="16"/>
    <w:next w:val="16"/>
    <w:link w:val="105"/>
    <w:qFormat/>
    <w:uiPriority w:val="0"/>
    <w:rPr>
      <w:b/>
      <w:bCs/>
    </w:rPr>
  </w:style>
  <w:style w:type="paragraph" w:styleId="40">
    <w:name w:val="Body Text First Indent"/>
    <w:basedOn w:val="1"/>
    <w:link w:val="112"/>
    <w:qFormat/>
    <w:uiPriority w:val="0"/>
    <w:pPr>
      <w:ind w:firstLine="420"/>
    </w:p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endnote reference"/>
    <w:qFormat/>
    <w:uiPriority w:val="0"/>
    <w:rPr>
      <w:rFonts w:cs="Times New Roman"/>
      <w:vertAlign w:val="superscript"/>
    </w:rPr>
  </w:style>
  <w:style w:type="character" w:styleId="46">
    <w:name w:val="page number"/>
    <w:basedOn w:val="43"/>
    <w:qFormat/>
    <w:uiPriority w:val="0"/>
  </w:style>
  <w:style w:type="character" w:styleId="47">
    <w:name w:val="FollowedHyperlink"/>
    <w:qFormat/>
    <w:uiPriority w:val="0"/>
    <w:rPr>
      <w:color w:val="800080"/>
      <w:u w:val="single"/>
    </w:rPr>
  </w:style>
  <w:style w:type="character" w:styleId="48">
    <w:name w:val="Emphasis"/>
    <w:qFormat/>
    <w:uiPriority w:val="0"/>
  </w:style>
  <w:style w:type="character" w:styleId="49">
    <w:name w:val="HTML Definition"/>
    <w:basedOn w:val="43"/>
    <w:semiHidden/>
    <w:unhideWhenUsed/>
    <w:qFormat/>
    <w:uiPriority w:val="99"/>
  </w:style>
  <w:style w:type="character" w:styleId="50">
    <w:name w:val="HTML Typewriter"/>
    <w:basedOn w:val="43"/>
    <w:semiHidden/>
    <w:unhideWhenUsed/>
    <w:qFormat/>
    <w:uiPriority w:val="99"/>
    <w:rPr>
      <w:rFonts w:hint="default" w:ascii="monospace" w:hAnsi="monospace" w:eastAsia="monospace" w:cs="monospace"/>
      <w:sz w:val="20"/>
    </w:rPr>
  </w:style>
  <w:style w:type="character" w:styleId="51">
    <w:name w:val="HTML Acronym"/>
    <w:basedOn w:val="43"/>
    <w:semiHidden/>
    <w:unhideWhenUsed/>
    <w:qFormat/>
    <w:uiPriority w:val="99"/>
  </w:style>
  <w:style w:type="character" w:styleId="52">
    <w:name w:val="HTML Variable"/>
    <w:basedOn w:val="43"/>
    <w:semiHidden/>
    <w:unhideWhenUsed/>
    <w:qFormat/>
    <w:uiPriority w:val="99"/>
  </w:style>
  <w:style w:type="character" w:styleId="53">
    <w:name w:val="Hyperlink"/>
    <w:qFormat/>
    <w:uiPriority w:val="99"/>
    <w:rPr>
      <w:color w:val="0000FF"/>
      <w:u w:val="single"/>
    </w:rPr>
  </w:style>
  <w:style w:type="character" w:styleId="54">
    <w:name w:val="HTML Code"/>
    <w:basedOn w:val="43"/>
    <w:semiHidden/>
    <w:unhideWhenUsed/>
    <w:qFormat/>
    <w:uiPriority w:val="99"/>
    <w:rPr>
      <w:rFonts w:hint="default"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3"/>
    <w:semiHidden/>
    <w:unhideWhenUsed/>
    <w:qFormat/>
    <w:uiPriority w:val="99"/>
  </w:style>
  <w:style w:type="character" w:styleId="57">
    <w:name w:val="HTML Keyboard"/>
    <w:basedOn w:val="43"/>
    <w:semiHidden/>
    <w:unhideWhenUsed/>
    <w:qFormat/>
    <w:uiPriority w:val="99"/>
    <w:rPr>
      <w:rFonts w:hint="default" w:ascii="monospace" w:hAnsi="monospace" w:eastAsia="monospace" w:cs="monospace"/>
      <w:sz w:val="20"/>
    </w:rPr>
  </w:style>
  <w:style w:type="character" w:styleId="58">
    <w:name w:val="HTML Sample"/>
    <w:basedOn w:val="43"/>
    <w:semiHidden/>
    <w:unhideWhenUsed/>
    <w:qFormat/>
    <w:uiPriority w:val="99"/>
    <w:rPr>
      <w:rFonts w:ascii="monospace" w:hAnsi="monospace" w:eastAsia="monospace" w:cs="monospace"/>
    </w:rPr>
  </w:style>
  <w:style w:type="paragraph" w:customStyle="1" w:styleId="59">
    <w:name w:val="正文文本1"/>
    <w:basedOn w:val="1"/>
    <w:link w:val="67"/>
    <w:qFormat/>
    <w:uiPriority w:val="0"/>
    <w:rPr>
      <w:rFonts w:ascii="宋体" w:hAnsi="Arial"/>
      <w:kern w:val="0"/>
      <w:sz w:val="28"/>
      <w:szCs w:val="28"/>
    </w:rPr>
  </w:style>
  <w:style w:type="character" w:customStyle="1" w:styleId="60">
    <w:name w:val="页脚 字符"/>
    <w:link w:val="27"/>
    <w:qFormat/>
    <w:uiPriority w:val="0"/>
    <w:rPr>
      <w:sz w:val="18"/>
      <w:szCs w:val="18"/>
    </w:rPr>
  </w:style>
  <w:style w:type="character" w:customStyle="1" w:styleId="61">
    <w:name w:val="Char Char5"/>
    <w:qFormat/>
    <w:uiPriority w:val="0"/>
    <w:rPr>
      <w:kern w:val="2"/>
      <w:sz w:val="16"/>
      <w:szCs w:val="16"/>
    </w:rPr>
  </w:style>
  <w:style w:type="character" w:customStyle="1" w:styleId="62">
    <w:name w:val="强调1"/>
    <w:qFormat/>
    <w:uiPriority w:val="0"/>
  </w:style>
  <w:style w:type="character" w:customStyle="1" w:styleId="63">
    <w:name w:val="纯文本 字符1"/>
    <w:link w:val="21"/>
    <w:qFormat/>
    <w:uiPriority w:val="0"/>
    <w:rPr>
      <w:rFonts w:ascii="宋体" w:hAnsi="Courier New" w:eastAsia="宋体" w:cs="Times New Roman"/>
      <w:szCs w:val="20"/>
    </w:rPr>
  </w:style>
  <w:style w:type="character" w:customStyle="1" w:styleId="64">
    <w:name w:val="标题 3 字符"/>
    <w:link w:val="6"/>
    <w:qFormat/>
    <w:uiPriority w:val="0"/>
    <w:rPr>
      <w:rFonts w:ascii="宋体" w:hAnsi="Times New Roman" w:eastAsia="宋体" w:cs="宋体"/>
      <w:b/>
      <w:bCs/>
      <w:sz w:val="32"/>
      <w:szCs w:val="32"/>
    </w:rPr>
  </w:style>
  <w:style w:type="character" w:customStyle="1" w:styleId="65">
    <w:name w:val="Char Char8"/>
    <w:basedOn w:val="66"/>
    <w:qFormat/>
    <w:uiPriority w:val="0"/>
    <w:rPr>
      <w:rFonts w:ascii="宋体" w:hAnsi="Arial" w:cs="宋体"/>
      <w:sz w:val="28"/>
      <w:szCs w:val="28"/>
    </w:rPr>
  </w:style>
  <w:style w:type="character" w:customStyle="1" w:styleId="66">
    <w:name w:val="正文首行缩进 Char"/>
    <w:basedOn w:val="67"/>
    <w:qFormat/>
    <w:uiPriority w:val="0"/>
    <w:rPr>
      <w:rFonts w:ascii="宋体" w:hAnsi="Arial" w:cs="宋体"/>
      <w:sz w:val="28"/>
      <w:szCs w:val="28"/>
    </w:rPr>
  </w:style>
  <w:style w:type="character" w:customStyle="1" w:styleId="67">
    <w:name w:val="Char Char4"/>
    <w:link w:val="59"/>
    <w:qFormat/>
    <w:uiPriority w:val="0"/>
    <w:rPr>
      <w:rFonts w:ascii="宋体" w:hAnsi="Arial" w:cs="宋体"/>
      <w:sz w:val="28"/>
      <w:szCs w:val="28"/>
    </w:rPr>
  </w:style>
  <w:style w:type="character" w:customStyle="1" w:styleId="68">
    <w:name w:val="Char Char7"/>
    <w:qFormat/>
    <w:uiPriority w:val="0"/>
    <w:rPr>
      <w:kern w:val="2"/>
      <w:sz w:val="18"/>
      <w:szCs w:val="18"/>
    </w:rPr>
  </w:style>
  <w:style w:type="character" w:customStyle="1" w:styleId="69">
    <w:name w:val="正文文本缩进 2 Char1"/>
    <w:qFormat/>
    <w:uiPriority w:val="0"/>
    <w:rPr>
      <w:rFonts w:ascii="Times New Roman" w:hAnsi="Times New Roman" w:eastAsia="宋体" w:cs="Times New Roman"/>
      <w:szCs w:val="20"/>
    </w:rPr>
  </w:style>
  <w:style w:type="character" w:customStyle="1" w:styleId="70">
    <w:name w:val="标题 4 字符"/>
    <w:link w:val="7"/>
    <w:qFormat/>
    <w:uiPriority w:val="0"/>
    <w:rPr>
      <w:rFonts w:ascii="Arial" w:hAnsi="Arial" w:eastAsia="黑体" w:cs="Times New Roman"/>
      <w:b/>
      <w:bCs/>
      <w:sz w:val="28"/>
      <w:szCs w:val="28"/>
    </w:rPr>
  </w:style>
  <w:style w:type="character" w:customStyle="1" w:styleId="71">
    <w:name w:val="标题 5 字符"/>
    <w:link w:val="8"/>
    <w:qFormat/>
    <w:uiPriority w:val="0"/>
    <w:rPr>
      <w:rFonts w:ascii="宋体" w:hAnsi="Arial" w:eastAsia="宋体" w:cs="宋体"/>
      <w:sz w:val="28"/>
      <w:szCs w:val="28"/>
    </w:rPr>
  </w:style>
  <w:style w:type="character" w:customStyle="1" w:styleId="72">
    <w:name w:val="标题 8 字符"/>
    <w:link w:val="11"/>
    <w:qFormat/>
    <w:uiPriority w:val="0"/>
    <w:rPr>
      <w:rFonts w:ascii="Arial" w:hAnsi="Arial" w:eastAsia="黑体" w:cs="Times New Roman"/>
      <w:sz w:val="24"/>
      <w:szCs w:val="24"/>
    </w:rPr>
  </w:style>
  <w:style w:type="character" w:customStyle="1" w:styleId="73">
    <w:name w:val="标题 9 字符"/>
    <w:link w:val="12"/>
    <w:qFormat/>
    <w:uiPriority w:val="0"/>
    <w:rPr>
      <w:rFonts w:ascii="Arial" w:hAnsi="Arial" w:eastAsia="黑体" w:cs="Times New Roman"/>
      <w:szCs w:val="21"/>
    </w:rPr>
  </w:style>
  <w:style w:type="character" w:customStyle="1" w:styleId="74">
    <w:name w:val="纯文本 Char1"/>
    <w:qFormat/>
    <w:uiPriority w:val="0"/>
    <w:rPr>
      <w:rFonts w:ascii="宋体" w:hAnsi="Courier New" w:eastAsia="宋体" w:cs="Courier New"/>
      <w:szCs w:val="21"/>
    </w:rPr>
  </w:style>
  <w:style w:type="character" w:customStyle="1" w:styleId="75">
    <w:name w:val="正文文本缩进 3 字符"/>
    <w:link w:val="32"/>
    <w:qFormat/>
    <w:uiPriority w:val="0"/>
    <w:rPr>
      <w:sz w:val="16"/>
      <w:szCs w:val="16"/>
    </w:rPr>
  </w:style>
  <w:style w:type="character" w:customStyle="1" w:styleId="76">
    <w:name w:val="Char Char Char"/>
    <w:link w:val="77"/>
    <w:qFormat/>
    <w:uiPriority w:val="0"/>
    <w:rPr>
      <w:rFonts w:ascii="宋体" w:hAnsi="Courier New" w:cs="宋体"/>
      <w:szCs w:val="21"/>
    </w:rPr>
  </w:style>
  <w:style w:type="paragraph" w:customStyle="1" w:styleId="77">
    <w:name w:val="纯文本1"/>
    <w:basedOn w:val="1"/>
    <w:link w:val="76"/>
    <w:qFormat/>
    <w:uiPriority w:val="0"/>
    <w:rPr>
      <w:rFonts w:ascii="宋体" w:hAnsi="Courier New"/>
      <w:kern w:val="0"/>
      <w:sz w:val="20"/>
    </w:rPr>
  </w:style>
  <w:style w:type="character" w:customStyle="1" w:styleId="78">
    <w:name w:val="页眉 字符"/>
    <w:link w:val="28"/>
    <w:qFormat/>
    <w:uiPriority w:val="0"/>
    <w:rPr>
      <w:sz w:val="18"/>
      <w:szCs w:val="18"/>
    </w:rPr>
  </w:style>
  <w:style w:type="character" w:customStyle="1" w:styleId="79">
    <w:name w:val="页脚 Char1"/>
    <w:qFormat/>
    <w:uiPriority w:val="0"/>
    <w:rPr>
      <w:rFonts w:ascii="Times New Roman" w:hAnsi="Times New Roman" w:eastAsia="宋体" w:cs="Times New Roman"/>
      <w:sz w:val="18"/>
      <w:szCs w:val="18"/>
    </w:rPr>
  </w:style>
  <w:style w:type="character" w:customStyle="1" w:styleId="80">
    <w:name w:val="Char Char Char Char Char Char"/>
    <w:qFormat/>
    <w:uiPriority w:val="0"/>
    <w:rPr>
      <w:rFonts w:ascii="Arial" w:hAnsi="Arial" w:eastAsia="黑体"/>
      <w:b/>
      <w:color w:val="000000"/>
      <w:kern w:val="2"/>
      <w:sz w:val="30"/>
      <w:lang w:val="en-US" w:eastAsia="zh-CN"/>
    </w:rPr>
  </w:style>
  <w:style w:type="character" w:customStyle="1" w:styleId="81">
    <w:name w:val="Body Text Indent 3 Char"/>
    <w:qFormat/>
    <w:uiPriority w:val="0"/>
    <w:rPr>
      <w:rFonts w:ascii="宋体" w:hAnsi="Times New Roman" w:eastAsia="宋体" w:cs="Times New Roman"/>
      <w:color w:val="000000"/>
      <w:kern w:val="0"/>
      <w:sz w:val="20"/>
      <w:szCs w:val="20"/>
    </w:rPr>
  </w:style>
  <w:style w:type="character" w:customStyle="1" w:styleId="82">
    <w:name w:val="标题 1 字符"/>
    <w:link w:val="4"/>
    <w:qFormat/>
    <w:uiPriority w:val="0"/>
    <w:rPr>
      <w:rFonts w:ascii="Times New Roman" w:hAnsi="Times New Roman" w:eastAsia="宋体" w:cs="Times New Roman"/>
      <w:b/>
      <w:bCs/>
      <w:kern w:val="44"/>
      <w:sz w:val="30"/>
      <w:szCs w:val="30"/>
    </w:rPr>
  </w:style>
  <w:style w:type="character" w:customStyle="1" w:styleId="83">
    <w:name w:val="批注框文本 Char1"/>
    <w:qFormat/>
    <w:uiPriority w:val="0"/>
    <w:rPr>
      <w:rFonts w:ascii="Times New Roman" w:hAnsi="Times New Roman" w:eastAsia="宋体" w:cs="Times New Roman"/>
      <w:sz w:val="18"/>
      <w:szCs w:val="18"/>
    </w:rPr>
  </w:style>
  <w:style w:type="character" w:customStyle="1" w:styleId="84">
    <w:name w:val="unnamed11"/>
    <w:qFormat/>
    <w:uiPriority w:val="0"/>
    <w:rPr>
      <w:color w:val="000000"/>
      <w:sz w:val="20"/>
      <w:szCs w:val="20"/>
    </w:rPr>
  </w:style>
  <w:style w:type="character" w:customStyle="1" w:styleId="85">
    <w:name w:val="正文缩进 字符"/>
    <w:link w:val="14"/>
    <w:qFormat/>
    <w:uiPriority w:val="0"/>
    <w:rPr>
      <w:szCs w:val="21"/>
    </w:rPr>
  </w:style>
  <w:style w:type="character" w:customStyle="1" w:styleId="86">
    <w:name w:val="批注文字 字符"/>
    <w:link w:val="16"/>
    <w:qFormat/>
    <w:uiPriority w:val="0"/>
    <w:rPr>
      <w:rFonts w:ascii="Times New Roman" w:hAnsi="Times New Roman" w:eastAsia="宋体" w:cs="Times New Roman"/>
      <w:szCs w:val="21"/>
    </w:rPr>
  </w:style>
  <w:style w:type="character" w:customStyle="1" w:styleId="87">
    <w:name w:val="标题 7 字符"/>
    <w:link w:val="10"/>
    <w:qFormat/>
    <w:uiPriority w:val="0"/>
    <w:rPr>
      <w:rFonts w:ascii="Times New Roman" w:hAnsi="Times New Roman" w:eastAsia="宋体" w:cs="Times New Roman"/>
      <w:b/>
      <w:bCs/>
      <w:sz w:val="24"/>
      <w:szCs w:val="24"/>
    </w:rPr>
  </w:style>
  <w:style w:type="character" w:customStyle="1" w:styleId="88">
    <w:name w:val="正文文本 2 字符"/>
    <w:link w:val="35"/>
    <w:qFormat/>
    <w:uiPriority w:val="0"/>
    <w:rPr>
      <w:rFonts w:ascii="Times New Roman" w:hAnsi="Times New Roman" w:eastAsia="宋体" w:cs="Times New Roman"/>
      <w:szCs w:val="21"/>
    </w:rPr>
  </w:style>
  <w:style w:type="character" w:customStyle="1" w:styleId="89">
    <w:name w:val="标题 2 字符"/>
    <w:link w:val="5"/>
    <w:qFormat/>
    <w:uiPriority w:val="0"/>
    <w:rPr>
      <w:rFonts w:ascii="Arial" w:hAnsi="Arial" w:eastAsia="黑体" w:cs="Arial"/>
      <w:b/>
      <w:bCs/>
      <w:sz w:val="32"/>
      <w:szCs w:val="32"/>
    </w:rPr>
  </w:style>
  <w:style w:type="character" w:customStyle="1" w:styleId="90">
    <w:name w:val="正文文本缩进 3 Char1"/>
    <w:qFormat/>
    <w:uiPriority w:val="0"/>
    <w:rPr>
      <w:rFonts w:ascii="Times New Roman" w:hAnsi="Times New Roman" w:eastAsia="宋体" w:cs="Times New Roman"/>
      <w:sz w:val="16"/>
      <w:szCs w:val="16"/>
    </w:rPr>
  </w:style>
  <w:style w:type="character" w:customStyle="1" w:styleId="91">
    <w:name w:val="批注框文本 字符"/>
    <w:link w:val="26"/>
    <w:qFormat/>
    <w:uiPriority w:val="0"/>
    <w:rPr>
      <w:sz w:val="18"/>
      <w:szCs w:val="18"/>
    </w:rPr>
  </w:style>
  <w:style w:type="character" w:customStyle="1" w:styleId="92">
    <w:name w:val="日期 Char1"/>
    <w:qFormat/>
    <w:uiPriority w:val="0"/>
    <w:rPr>
      <w:rFonts w:ascii="Times New Roman" w:hAnsi="Times New Roman" w:eastAsia="宋体" w:cs="Times New Roman"/>
      <w:szCs w:val="21"/>
    </w:rPr>
  </w:style>
  <w:style w:type="character" w:customStyle="1" w:styleId="93">
    <w:name w:val="Char Char61"/>
    <w:qFormat/>
    <w:uiPriority w:val="0"/>
    <w:rPr>
      <w:kern w:val="2"/>
      <w:sz w:val="18"/>
    </w:rPr>
  </w:style>
  <w:style w:type="character" w:customStyle="1" w:styleId="94">
    <w:name w:val="Plain Text Char"/>
    <w:qFormat/>
    <w:uiPriority w:val="0"/>
    <w:rPr>
      <w:rFonts w:ascii="Courier New" w:hAnsi="Courier New" w:eastAsia="宋体" w:cs="Times New Roman"/>
      <w:color w:val="000000"/>
      <w:kern w:val="0"/>
      <w:sz w:val="20"/>
      <w:szCs w:val="20"/>
      <w:lang w:eastAsia="en-US"/>
    </w:rPr>
  </w:style>
  <w:style w:type="character" w:customStyle="1" w:styleId="95">
    <w:name w:val="文档结构图 字符"/>
    <w:link w:val="15"/>
    <w:qFormat/>
    <w:uiPriority w:val="0"/>
    <w:rPr>
      <w:rFonts w:ascii="Times New Roman" w:hAnsi="Times New Roman" w:eastAsia="宋体" w:cs="Times New Roman"/>
      <w:szCs w:val="21"/>
      <w:shd w:val="clear" w:color="auto" w:fill="000080"/>
    </w:rPr>
  </w:style>
  <w:style w:type="character" w:customStyle="1" w:styleId="96">
    <w:name w:val="文档结构图 Char1"/>
    <w:qFormat/>
    <w:uiPriority w:val="0"/>
    <w:rPr>
      <w:rFonts w:ascii="宋体" w:hAnsi="Times New Roman" w:eastAsia="宋体" w:cs="Times New Roman"/>
      <w:sz w:val="18"/>
      <w:szCs w:val="18"/>
    </w:rPr>
  </w:style>
  <w:style w:type="character" w:customStyle="1" w:styleId="97">
    <w:name w:val="页眉 Char1"/>
    <w:qFormat/>
    <w:uiPriority w:val="0"/>
    <w:rPr>
      <w:rFonts w:ascii="Times New Roman" w:hAnsi="Times New Roman" w:eastAsia="宋体" w:cs="Times New Roman"/>
      <w:sz w:val="18"/>
      <w:szCs w:val="18"/>
    </w:rPr>
  </w:style>
  <w:style w:type="character" w:customStyle="1" w:styleId="98">
    <w:name w:val="Char Char6"/>
    <w:qFormat/>
    <w:uiPriority w:val="0"/>
    <w:rPr>
      <w:kern w:val="2"/>
      <w:sz w:val="18"/>
      <w:szCs w:val="18"/>
    </w:rPr>
  </w:style>
  <w:style w:type="character" w:customStyle="1" w:styleId="99">
    <w:name w:val="样式 (符号) 宋体 三号"/>
    <w:qFormat/>
    <w:uiPriority w:val="0"/>
  </w:style>
  <w:style w:type="character" w:customStyle="1" w:styleId="100">
    <w:name w:val="Char Char21"/>
    <w:qFormat/>
    <w:uiPriority w:val="0"/>
    <w:rPr>
      <w:rFonts w:ascii="Arial" w:hAnsi="Arial" w:eastAsia="黑体"/>
      <w:b/>
      <w:kern w:val="2"/>
      <w:sz w:val="32"/>
      <w:lang w:val="en-US" w:eastAsia="zh-CN"/>
    </w:rPr>
  </w:style>
  <w:style w:type="character" w:customStyle="1" w:styleId="101">
    <w:name w:val="日期 字符"/>
    <w:link w:val="23"/>
    <w:qFormat/>
    <w:uiPriority w:val="0"/>
    <w:rPr>
      <w:b/>
      <w:sz w:val="28"/>
    </w:rPr>
  </w:style>
  <w:style w:type="character" w:customStyle="1" w:styleId="102">
    <w:name w:val="批注主题 Char1"/>
    <w:qFormat/>
    <w:uiPriority w:val="0"/>
    <w:rPr>
      <w:rFonts w:ascii="Times New Roman" w:hAnsi="Times New Roman" w:eastAsia="宋体" w:cs="Times New Roman"/>
      <w:b/>
      <w:bCs/>
      <w:szCs w:val="20"/>
    </w:rPr>
  </w:style>
  <w:style w:type="character" w:customStyle="1" w:styleId="103">
    <w:name w:val="要点1"/>
    <w:qFormat/>
    <w:uiPriority w:val="0"/>
    <w:rPr>
      <w:b/>
      <w:bCs/>
    </w:rPr>
  </w:style>
  <w:style w:type="character" w:customStyle="1" w:styleId="104">
    <w:name w:val="正文文本 字符"/>
    <w:link w:val="17"/>
    <w:qFormat/>
    <w:uiPriority w:val="0"/>
    <w:rPr>
      <w:rFonts w:ascii="Times New Roman" w:hAnsi="Times New Roman" w:eastAsia="宋体" w:cs="Times New Roman"/>
      <w:szCs w:val="21"/>
    </w:rPr>
  </w:style>
  <w:style w:type="character" w:customStyle="1" w:styleId="105">
    <w:name w:val="批注主题 字符"/>
    <w:link w:val="39"/>
    <w:qFormat/>
    <w:uiPriority w:val="0"/>
    <w:rPr>
      <w:rFonts w:ascii="Times New Roman" w:hAnsi="Times New Roman" w:eastAsia="宋体" w:cs="Times New Roman"/>
      <w:b/>
      <w:bCs/>
      <w:szCs w:val="21"/>
    </w:rPr>
  </w:style>
  <w:style w:type="character" w:customStyle="1" w:styleId="106">
    <w:name w:val="Footer Char1"/>
    <w:qFormat/>
    <w:uiPriority w:val="0"/>
    <w:rPr>
      <w:rFonts w:ascii="Calibri" w:hAnsi="Calibri" w:eastAsia="宋体" w:cs="黑体"/>
      <w:sz w:val="18"/>
      <w:szCs w:val="18"/>
    </w:rPr>
  </w:style>
  <w:style w:type="character" w:customStyle="1" w:styleId="107">
    <w:name w:val="正文文本缩进 字符"/>
    <w:link w:val="3"/>
    <w:qFormat/>
    <w:uiPriority w:val="0"/>
    <w:rPr>
      <w:rFonts w:ascii="Times New Roman" w:hAnsi="Times New Roman" w:eastAsia="宋体" w:cs="Times New Roman"/>
      <w:szCs w:val="21"/>
    </w:rPr>
  </w:style>
  <w:style w:type="character" w:customStyle="1" w:styleId="108">
    <w:name w:val="apple-converted-space"/>
    <w:qFormat/>
    <w:uiPriority w:val="0"/>
  </w:style>
  <w:style w:type="character" w:customStyle="1" w:styleId="109">
    <w:name w:val="Char Char2"/>
    <w:qFormat/>
    <w:uiPriority w:val="0"/>
    <w:rPr>
      <w:rFonts w:ascii="Arial" w:hAnsi="Arial" w:eastAsia="黑体"/>
      <w:b/>
      <w:kern w:val="2"/>
      <w:sz w:val="32"/>
      <w:lang w:val="en-US" w:eastAsia="zh-CN"/>
    </w:rPr>
  </w:style>
  <w:style w:type="character" w:customStyle="1" w:styleId="110">
    <w:name w:val="Header Char1"/>
    <w:qFormat/>
    <w:uiPriority w:val="0"/>
    <w:rPr>
      <w:rFonts w:ascii="Calibri" w:hAnsi="Calibri" w:eastAsia="宋体" w:cs="黑体"/>
      <w:sz w:val="18"/>
      <w:szCs w:val="18"/>
    </w:rPr>
  </w:style>
  <w:style w:type="character" w:customStyle="1" w:styleId="111">
    <w:name w:val="批注文字 Char1"/>
    <w:qFormat/>
    <w:uiPriority w:val="0"/>
    <w:rPr>
      <w:rFonts w:ascii="Times New Roman" w:hAnsi="Times New Roman" w:eastAsia="宋体" w:cs="Times New Roman"/>
      <w:szCs w:val="20"/>
    </w:rPr>
  </w:style>
  <w:style w:type="character" w:customStyle="1" w:styleId="112">
    <w:name w:val="正文文本首行缩进 字符"/>
    <w:basedOn w:val="104"/>
    <w:link w:val="40"/>
    <w:qFormat/>
    <w:uiPriority w:val="0"/>
    <w:rPr>
      <w:rFonts w:ascii="Times New Roman" w:hAnsi="Times New Roman" w:eastAsia="宋体" w:cs="Times New Roman"/>
      <w:szCs w:val="21"/>
    </w:rPr>
  </w:style>
  <w:style w:type="character" w:customStyle="1" w:styleId="113">
    <w:name w:val="Balloon Text Char"/>
    <w:qFormat/>
    <w:uiPriority w:val="0"/>
    <w:rPr>
      <w:rFonts w:ascii="Calibri" w:hAnsi="Calibri" w:eastAsia="宋体" w:cs="黑体"/>
      <w:sz w:val="18"/>
      <w:szCs w:val="18"/>
    </w:rPr>
  </w:style>
  <w:style w:type="character" w:customStyle="1" w:styleId="114">
    <w:name w:val="Char Char9"/>
    <w:qFormat/>
    <w:uiPriority w:val="0"/>
    <w:rPr>
      <w:kern w:val="2"/>
      <w:sz w:val="16"/>
      <w:szCs w:val="16"/>
    </w:rPr>
  </w:style>
  <w:style w:type="character" w:customStyle="1" w:styleId="115">
    <w:name w:val="Date Char"/>
    <w:qFormat/>
    <w:uiPriority w:val="0"/>
    <w:rPr>
      <w:rFonts w:ascii="宋体" w:hAnsi="Times New Roman" w:eastAsia="宋体" w:cs="Times New Roman"/>
      <w:kern w:val="0"/>
      <w:sz w:val="20"/>
      <w:szCs w:val="20"/>
    </w:rPr>
  </w:style>
  <w:style w:type="character" w:customStyle="1" w:styleId="116">
    <w:name w:val="尾注文本 字符"/>
    <w:link w:val="25"/>
    <w:qFormat/>
    <w:uiPriority w:val="0"/>
    <w:rPr>
      <w:rFonts w:ascii="Calibri" w:hAnsi="Calibri" w:eastAsia="宋体" w:cs="Times New Roman"/>
      <w:color w:val="000000"/>
      <w:kern w:val="0"/>
      <w:sz w:val="20"/>
      <w:szCs w:val="20"/>
    </w:rPr>
  </w:style>
  <w:style w:type="character" w:customStyle="1" w:styleId="117">
    <w:name w:val="标题 6 字符"/>
    <w:link w:val="9"/>
    <w:qFormat/>
    <w:uiPriority w:val="0"/>
    <w:rPr>
      <w:rFonts w:ascii="Arial" w:hAnsi="Arial" w:eastAsia="黑体" w:cs="Times New Roman"/>
      <w:b/>
      <w:bCs/>
      <w:sz w:val="24"/>
      <w:szCs w:val="24"/>
    </w:rPr>
  </w:style>
  <w:style w:type="character" w:customStyle="1" w:styleId="118">
    <w:name w:val="正文文本缩进 2 字符"/>
    <w:link w:val="24"/>
    <w:qFormat/>
    <w:uiPriority w:val="0"/>
    <w:rPr>
      <w:rFonts w:ascii="Times New Roman" w:hAnsi="Times New Roman" w:eastAsia="宋体" w:cs="Times New Roman"/>
      <w:szCs w:val="21"/>
    </w:rPr>
  </w:style>
  <w:style w:type="character" w:customStyle="1" w:styleId="119">
    <w:name w:val="标题 2 Char1"/>
    <w:qFormat/>
    <w:uiPriority w:val="0"/>
    <w:rPr>
      <w:rFonts w:ascii="Arial" w:hAnsi="Arial" w:eastAsia="黑体" w:cs="Times New Roman"/>
      <w:b/>
      <w:bCs/>
      <w:sz w:val="30"/>
      <w:szCs w:val="32"/>
    </w:rPr>
  </w:style>
  <w:style w:type="paragraph" w:customStyle="1" w:styleId="120">
    <w:name w:val="p16"/>
    <w:basedOn w:val="1"/>
    <w:qFormat/>
    <w:uiPriority w:val="0"/>
    <w:pPr>
      <w:widowControl/>
      <w:ind w:left="720"/>
    </w:pPr>
    <w:rPr>
      <w:color w:val="000000"/>
      <w:kern w:val="0"/>
    </w:rPr>
  </w:style>
  <w:style w:type="paragraph" w:customStyle="1" w:styleId="121">
    <w:name w:val="p0"/>
    <w:basedOn w:val="1"/>
    <w:qFormat/>
    <w:uiPriority w:val="0"/>
    <w:pPr>
      <w:widowControl/>
    </w:pPr>
    <w:rPr>
      <w:kern w:val="0"/>
    </w:rPr>
  </w:style>
  <w:style w:type="paragraph" w:customStyle="1" w:styleId="122">
    <w:name w:val="Char Char Char Char Char Char Char Char Char Char"/>
    <w:basedOn w:val="1"/>
    <w:qFormat/>
    <w:uiPriority w:val="0"/>
    <w:pPr>
      <w:adjustRightInd w:val="0"/>
      <w:spacing w:line="360" w:lineRule="auto"/>
    </w:pPr>
    <w:rPr>
      <w:kern w:val="0"/>
      <w:sz w:val="24"/>
      <w:szCs w:val="24"/>
    </w:rPr>
  </w:style>
  <w:style w:type="paragraph" w:customStyle="1" w:styleId="123">
    <w:name w:val="样式 小四 段前: 5 磅 段后: 5 磅 首行缩进:  2 字符"/>
    <w:basedOn w:val="1"/>
    <w:qFormat/>
    <w:uiPriority w:val="0"/>
    <w:pPr>
      <w:tabs>
        <w:tab w:val="left" w:pos="0"/>
        <w:tab w:val="left" w:pos="1560"/>
      </w:tabs>
      <w:spacing w:before="93" w:after="93"/>
      <w:jc w:val="center"/>
    </w:pPr>
    <w:rPr>
      <w:rFonts w:ascii="宋体" w:hAnsi="宋体" w:cs="宋体"/>
      <w:color w:val="000000"/>
    </w:rPr>
  </w:style>
  <w:style w:type="paragraph" w:customStyle="1" w:styleId="124">
    <w:name w:val="Char Char Char Char"/>
    <w:basedOn w:val="1"/>
    <w:qFormat/>
    <w:uiPriority w:val="0"/>
    <w:rPr>
      <w:rFonts w:ascii="Tahoma" w:hAnsi="Tahoma"/>
      <w:sz w:val="24"/>
      <w:szCs w:val="20"/>
    </w:rPr>
  </w:style>
  <w:style w:type="paragraph" w:customStyle="1" w:styleId="125">
    <w:name w:val="Char Char Char Char Char Char Char"/>
    <w:basedOn w:val="1"/>
    <w:qFormat/>
    <w:uiPriority w:val="0"/>
  </w:style>
  <w:style w:type="paragraph" w:customStyle="1" w:styleId="126">
    <w:name w:val="列出段落3"/>
    <w:basedOn w:val="1"/>
    <w:qFormat/>
    <w:uiPriority w:val="0"/>
    <w:pPr>
      <w:ind w:firstLine="420"/>
    </w:pPr>
    <w:rPr>
      <w:rFonts w:ascii="Calibri" w:hAnsi="Calibri"/>
      <w:szCs w:val="22"/>
    </w:rPr>
  </w:style>
  <w:style w:type="paragraph" w:customStyle="1" w:styleId="127">
    <w:name w:val="列出段落2"/>
    <w:basedOn w:val="1"/>
    <w:qFormat/>
    <w:uiPriority w:val="34"/>
    <w:pPr>
      <w:ind w:firstLine="420"/>
    </w:pPr>
  </w:style>
  <w:style w:type="paragraph" w:customStyle="1" w:styleId="12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Times New Roman" w:cs="Arial"/>
      <w:kern w:val="0"/>
    </w:rPr>
  </w:style>
  <w:style w:type="paragraph" w:customStyle="1" w:styleId="129">
    <w:name w:val="列表 21"/>
    <w:basedOn w:val="1"/>
    <w:qFormat/>
    <w:uiPriority w:val="0"/>
    <w:pPr>
      <w:ind w:left="100" w:hanging="200"/>
    </w:pPr>
  </w:style>
  <w:style w:type="paragraph" w:customStyle="1" w:styleId="130">
    <w:name w:val="修订1"/>
    <w:qFormat/>
    <w:uiPriority w:val="0"/>
    <w:rPr>
      <w:rFonts w:ascii="Times New Roman" w:hAnsi="Times New Roman" w:eastAsia="宋体" w:cs="Times New Roman"/>
      <w:kern w:val="2"/>
      <w:sz w:val="21"/>
      <w:szCs w:val="21"/>
      <w:lang w:val="en-US" w:eastAsia="zh-CN" w:bidi="ar-SA"/>
    </w:rPr>
  </w:style>
  <w:style w:type="paragraph" w:customStyle="1" w:styleId="131">
    <w:name w:val="样式1"/>
    <w:basedOn w:val="1"/>
    <w:qFormat/>
    <w:uiPriority w:val="0"/>
    <w:rPr>
      <w:rFonts w:ascii="ˎ̥" w:cs="ˎ̥"/>
      <w:color w:val="000000"/>
      <w:kern w:val="0"/>
      <w:sz w:val="18"/>
      <w:szCs w:val="18"/>
    </w:rPr>
  </w:style>
  <w:style w:type="paragraph" w:customStyle="1" w:styleId="132">
    <w:name w:val="段"/>
    <w:qFormat/>
    <w:uiPriority w:val="0"/>
    <w:pPr>
      <w:autoSpaceDE w:val="0"/>
      <w:autoSpaceDN w:val="0"/>
      <w:ind w:firstLine="200"/>
      <w:jc w:val="both"/>
    </w:pPr>
    <w:rPr>
      <w:rFonts w:ascii="宋体" w:hAnsi="Times New Roman" w:eastAsia="宋体" w:cs="宋体"/>
      <w:sz w:val="21"/>
      <w:szCs w:val="21"/>
      <w:lang w:val="en-US" w:eastAsia="zh-CN" w:bidi="ar-SA"/>
    </w:rPr>
  </w:style>
  <w:style w:type="paragraph" w:customStyle="1" w:styleId="133">
    <w:name w:val="Char Char Char Char Char Char Char Char Char Char1"/>
    <w:basedOn w:val="1"/>
    <w:qFormat/>
    <w:uiPriority w:val="0"/>
    <w:pPr>
      <w:adjustRightInd w:val="0"/>
      <w:spacing w:line="360" w:lineRule="auto"/>
    </w:pPr>
    <w:rPr>
      <w:kern w:val="0"/>
      <w:sz w:val="24"/>
      <w:szCs w:val="20"/>
    </w:rPr>
  </w:style>
  <w:style w:type="paragraph" w:customStyle="1" w:styleId="134">
    <w:name w:val="Char Char Char Char11"/>
    <w:basedOn w:val="1"/>
    <w:qFormat/>
    <w:uiPriority w:val="0"/>
    <w:pPr>
      <w:tabs>
        <w:tab w:val="left" w:pos="432"/>
      </w:tabs>
      <w:spacing w:before="156" w:after="156"/>
      <w:ind w:left="432" w:hanging="432"/>
    </w:pPr>
    <w:rPr>
      <w:sz w:val="24"/>
      <w:szCs w:val="24"/>
    </w:rPr>
  </w:style>
  <w:style w:type="paragraph" w:customStyle="1" w:styleId="135">
    <w:name w:val="Char Char Char11"/>
    <w:basedOn w:val="1"/>
    <w:qFormat/>
    <w:uiPriority w:val="0"/>
    <w:pPr>
      <w:widowControl/>
      <w:spacing w:after="160" w:line="240" w:lineRule="exact"/>
      <w:jc w:val="left"/>
    </w:pPr>
    <w:rPr>
      <w:rFonts w:ascii="Arial" w:hAnsi="Arial" w:cs="Verdana"/>
      <w:b/>
      <w:kern w:val="0"/>
      <w:sz w:val="24"/>
      <w:szCs w:val="24"/>
      <w:lang w:eastAsia="en-US"/>
    </w:rPr>
  </w:style>
  <w:style w:type="paragraph" w:customStyle="1" w:styleId="136">
    <w:name w:val="Char1"/>
    <w:basedOn w:val="1"/>
    <w:qFormat/>
    <w:uiPriority w:val="0"/>
    <w:pPr>
      <w:tabs>
        <w:tab w:val="left" w:pos="432"/>
      </w:tabs>
      <w:spacing w:before="156" w:after="156"/>
      <w:ind w:left="432" w:hanging="432"/>
    </w:pPr>
    <w:rPr>
      <w:sz w:val="24"/>
      <w:szCs w:val="24"/>
    </w:rPr>
  </w:style>
  <w:style w:type="paragraph" w:customStyle="1" w:styleId="137">
    <w:name w:val="56D88B822C3F4197905AEFF6ED9B456B"/>
    <w:qFormat/>
    <w:uiPriority w:val="0"/>
    <w:pPr>
      <w:spacing w:after="200" w:line="276" w:lineRule="auto"/>
    </w:pPr>
    <w:rPr>
      <w:rFonts w:ascii="Times New Roman" w:hAnsi="Times New Roman" w:eastAsia="宋体" w:cs="Times New Roman"/>
      <w:sz w:val="22"/>
      <w:lang w:val="en-US" w:eastAsia="zh-CN" w:bidi="ar-SA"/>
    </w:rPr>
  </w:style>
  <w:style w:type="paragraph" w:customStyle="1" w:styleId="138">
    <w:name w:val="无间隔1"/>
    <w:qFormat/>
    <w:uiPriority w:val="0"/>
    <w:pPr>
      <w:widowControl w:val="0"/>
      <w:jc w:val="both"/>
    </w:pPr>
    <w:rPr>
      <w:rFonts w:ascii="Times New Roman" w:hAnsi="Times New Roman" w:eastAsia="宋体" w:cs="Times New Roman"/>
      <w:szCs w:val="24"/>
      <w:lang w:val="en-US" w:eastAsia="zh-CN" w:bidi="ar-SA"/>
    </w:rPr>
  </w:style>
  <w:style w:type="paragraph" w:customStyle="1" w:styleId="139">
    <w:name w:val="Char11"/>
    <w:basedOn w:val="1"/>
    <w:qFormat/>
    <w:uiPriority w:val="0"/>
    <w:pPr>
      <w:tabs>
        <w:tab w:val="left" w:pos="432"/>
      </w:tabs>
      <w:spacing w:before="156" w:after="156"/>
      <w:ind w:left="432" w:hanging="432"/>
    </w:pPr>
    <w:rPr>
      <w:sz w:val="24"/>
      <w:szCs w:val="24"/>
    </w:rPr>
  </w:style>
  <w:style w:type="paragraph" w:customStyle="1" w:styleId="140">
    <w:name w:val="Char Char Char1 Char Char Char Char1"/>
    <w:basedOn w:val="1"/>
    <w:qFormat/>
    <w:uiPriority w:val="0"/>
    <w:pPr>
      <w:widowControl/>
      <w:spacing w:after="160" w:line="240" w:lineRule="exact"/>
      <w:jc w:val="left"/>
    </w:pPr>
    <w:rPr>
      <w:szCs w:val="24"/>
    </w:rPr>
  </w:style>
  <w:style w:type="paragraph" w:customStyle="1" w:styleId="141">
    <w:name w:val="样式3"/>
    <w:basedOn w:val="77"/>
    <w:qFormat/>
    <w:uiPriority w:val="0"/>
    <w:pPr>
      <w:spacing w:line="240" w:lineRule="atLeast"/>
      <w:outlineLvl w:val="0"/>
    </w:pPr>
    <w:rPr>
      <w:sz w:val="28"/>
      <w:szCs w:val="28"/>
    </w:rPr>
  </w:style>
  <w:style w:type="paragraph" w:customStyle="1" w:styleId="142">
    <w:name w:val="2"/>
    <w:basedOn w:val="1"/>
    <w:qFormat/>
    <w:uiPriority w:val="0"/>
    <w:rPr>
      <w:szCs w:val="24"/>
    </w:rPr>
  </w:style>
  <w:style w:type="paragraph" w:customStyle="1" w:styleId="143">
    <w:name w:val="Char Char Char Char2"/>
    <w:basedOn w:val="1"/>
    <w:qFormat/>
    <w:uiPriority w:val="0"/>
    <w:rPr>
      <w:rFonts w:ascii="Tahoma" w:hAnsi="Tahoma" w:cs="Tahoma"/>
      <w:sz w:val="24"/>
      <w:szCs w:val="24"/>
    </w:rPr>
  </w:style>
  <w:style w:type="paragraph" w:customStyle="1" w:styleId="1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5">
    <w:name w:val="Char Char Char Char Char Char Char1"/>
    <w:basedOn w:val="1"/>
    <w:qFormat/>
    <w:uiPriority w:val="0"/>
    <w:rPr>
      <w:szCs w:val="20"/>
    </w:rPr>
  </w:style>
  <w:style w:type="paragraph" w:customStyle="1" w:styleId="146">
    <w:name w:val="Char Char111"/>
    <w:basedOn w:val="1"/>
    <w:qFormat/>
    <w:uiPriority w:val="0"/>
    <w:rPr>
      <w:szCs w:val="20"/>
    </w:rPr>
  </w:style>
  <w:style w:type="paragraph" w:customStyle="1" w:styleId="147">
    <w:name w:val="Char2"/>
    <w:basedOn w:val="1"/>
    <w:qFormat/>
    <w:uiPriority w:val="0"/>
    <w:pPr>
      <w:tabs>
        <w:tab w:val="left" w:pos="360"/>
      </w:tabs>
    </w:pPr>
    <w:rPr>
      <w:sz w:val="24"/>
      <w:szCs w:val="24"/>
    </w:rPr>
  </w:style>
  <w:style w:type="paragraph" w:customStyle="1" w:styleId="148">
    <w:name w:val="正文 A"/>
    <w:qFormat/>
    <w:uiPriority w:val="0"/>
    <w:pPr>
      <w:pBdr>
        <w:top w:val="single" w:color="auto" w:sz="50" w:space="31"/>
        <w:left w:val="single" w:color="auto" w:sz="50" w:space="31"/>
        <w:bottom w:val="single" w:color="auto" w:sz="50" w:space="31"/>
        <w:right w:val="single" w:color="auto" w:sz="50" w:space="31"/>
        <w:between w:val="single" w:color="auto" w:sz="50" w:space="31"/>
      </w:pBdr>
    </w:pPr>
    <w:rPr>
      <w:rFonts w:hint="eastAsia" w:ascii="Arial Unicode MS" w:hAnsi="Arial Unicode MS" w:eastAsia="Times New Roman" w:cs="Arial Unicode MS"/>
      <w:color w:val="000000"/>
      <w:u w:color="000000"/>
      <w:bdr w:val="single" w:color="auto" w:sz="50" w:space="0"/>
      <w:lang w:val="en-US" w:eastAsia="zh-CN" w:bidi="ar-SA"/>
    </w:rPr>
  </w:style>
  <w:style w:type="paragraph" w:customStyle="1" w:styleId="149">
    <w:name w:val="日期1"/>
    <w:basedOn w:val="1"/>
    <w:next w:val="1"/>
    <w:qFormat/>
    <w:uiPriority w:val="0"/>
    <w:rPr>
      <w:b/>
      <w:bCs/>
      <w:sz w:val="28"/>
      <w:szCs w:val="28"/>
    </w:rPr>
  </w:style>
  <w:style w:type="paragraph" w:customStyle="1" w:styleId="150">
    <w:name w:val="_Style 4"/>
    <w:basedOn w:val="1"/>
    <w:qFormat/>
    <w:uiPriority w:val="0"/>
  </w:style>
  <w:style w:type="paragraph" w:customStyle="1" w:styleId="151">
    <w:name w:val="Char31"/>
    <w:basedOn w:val="1"/>
    <w:qFormat/>
    <w:uiPriority w:val="0"/>
  </w:style>
  <w:style w:type="paragraph" w:customStyle="1" w:styleId="152">
    <w:name w:val="列出段落11"/>
    <w:basedOn w:val="1"/>
    <w:qFormat/>
    <w:uiPriority w:val="0"/>
    <w:pPr>
      <w:ind w:firstLine="420"/>
    </w:pPr>
  </w:style>
  <w:style w:type="paragraph" w:customStyle="1" w:styleId="153">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54">
    <w:name w:val="图"/>
    <w:basedOn w:val="1"/>
    <w:qFormat/>
    <w:uiPriority w:val="0"/>
    <w:pPr>
      <w:keepNext/>
      <w:adjustRightInd w:val="0"/>
      <w:spacing w:before="60" w:after="60" w:line="300" w:lineRule="auto"/>
      <w:jc w:val="center"/>
      <w:textAlignment w:val="center"/>
    </w:pPr>
    <w:rPr>
      <w:color w:val="000000"/>
      <w:spacing w:val="20"/>
      <w:kern w:val="0"/>
      <w:sz w:val="24"/>
      <w:szCs w:val="20"/>
    </w:rPr>
  </w:style>
  <w:style w:type="paragraph" w:customStyle="1" w:styleId="155">
    <w:name w:val="默认段落字体 Para Char Char Char Char Char Char Char"/>
    <w:basedOn w:val="1"/>
    <w:qFormat/>
    <w:uiPriority w:val="0"/>
    <w:pPr>
      <w:spacing w:line="360" w:lineRule="auto"/>
    </w:pPr>
    <w:rPr>
      <w:color w:val="000000"/>
      <w:szCs w:val="20"/>
    </w:rPr>
  </w:style>
  <w:style w:type="paragraph" w:customStyle="1" w:styleId="156">
    <w:name w:val="列出段落4"/>
    <w:basedOn w:val="1"/>
    <w:qFormat/>
    <w:uiPriority w:val="0"/>
    <w:pPr>
      <w:ind w:firstLine="420"/>
    </w:pPr>
    <w:rPr>
      <w:rFonts w:ascii="Calibri" w:hAnsi="Calibri" w:cs="Calibri"/>
    </w:rPr>
  </w:style>
  <w:style w:type="paragraph" w:customStyle="1" w:styleId="157">
    <w:name w:val="xl38"/>
    <w:basedOn w:val="1"/>
    <w:qFormat/>
    <w:uiPriority w:val="0"/>
    <w:pPr>
      <w:widowControl/>
      <w:spacing w:before="100" w:beforeAutospacing="1" w:after="100" w:afterAutospacing="1"/>
      <w:jc w:val="center"/>
    </w:pPr>
    <w:rPr>
      <w:rFonts w:hAnsi="宋体"/>
      <w:kern w:val="0"/>
      <w:sz w:val="20"/>
      <w:szCs w:val="20"/>
    </w:rPr>
  </w:style>
  <w:style w:type="paragraph" w:customStyle="1" w:styleId="158">
    <w:name w:val="_Style 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Char3"/>
    <w:basedOn w:val="1"/>
    <w:qFormat/>
    <w:uiPriority w:val="0"/>
    <w:rPr>
      <w:rFonts w:ascii="Tahoma" w:hAnsi="Tahoma" w:cs="仿宋_GB2312"/>
      <w:sz w:val="24"/>
      <w:szCs w:val="20"/>
    </w:rPr>
  </w:style>
  <w:style w:type="paragraph" w:customStyle="1" w:styleId="160">
    <w:name w:val="列出段落1"/>
    <w:basedOn w:val="1"/>
    <w:link w:val="174"/>
    <w:qFormat/>
    <w:uiPriority w:val="0"/>
    <w:pPr>
      <w:ind w:firstLine="420"/>
    </w:pPr>
    <w:rPr>
      <w:rFonts w:ascii="Calibri" w:hAnsi="Calibri"/>
      <w:szCs w:val="22"/>
    </w:rPr>
  </w:style>
  <w:style w:type="paragraph" w:customStyle="1" w:styleId="161">
    <w:name w:val="Char Char Char1"/>
    <w:basedOn w:val="1"/>
    <w:qFormat/>
    <w:uiPriority w:val="0"/>
    <w:pPr>
      <w:widowControl/>
      <w:spacing w:after="160" w:line="240" w:lineRule="exact"/>
      <w:jc w:val="left"/>
    </w:pPr>
    <w:rPr>
      <w:rFonts w:ascii="Arial" w:hAnsi="Arial" w:cs="Verdana"/>
      <w:b/>
      <w:kern w:val="0"/>
      <w:sz w:val="24"/>
      <w:szCs w:val="24"/>
      <w:lang w:eastAsia="en-US"/>
    </w:rPr>
  </w:style>
  <w:style w:type="paragraph" w:customStyle="1" w:styleId="162">
    <w:name w:val="普通(Web)4"/>
    <w:basedOn w:val="1"/>
    <w:qFormat/>
    <w:uiPriority w:val="0"/>
    <w:pPr>
      <w:widowControl/>
      <w:spacing w:before="240" w:after="240"/>
      <w:jc w:val="left"/>
    </w:pPr>
    <w:rPr>
      <w:rFonts w:ascii="宋体" w:hAnsi="宋体" w:cs="宋体"/>
      <w:kern w:val="0"/>
      <w:sz w:val="24"/>
      <w:szCs w:val="24"/>
    </w:rPr>
  </w:style>
  <w:style w:type="paragraph" w:customStyle="1" w:styleId="163">
    <w:name w:val="Char"/>
    <w:basedOn w:val="1"/>
    <w:qFormat/>
    <w:uiPriority w:val="0"/>
    <w:rPr>
      <w:szCs w:val="24"/>
    </w:rPr>
  </w:style>
  <w:style w:type="paragraph" w:customStyle="1" w:styleId="164">
    <w:name w:val="Char Char Char Char1"/>
    <w:basedOn w:val="1"/>
    <w:qFormat/>
    <w:uiPriority w:val="0"/>
    <w:pPr>
      <w:tabs>
        <w:tab w:val="left" w:pos="432"/>
      </w:tabs>
      <w:spacing w:before="156" w:after="156"/>
      <w:ind w:left="432" w:hanging="432"/>
    </w:pPr>
    <w:rPr>
      <w:sz w:val="24"/>
      <w:szCs w:val="24"/>
    </w:rPr>
  </w:style>
  <w:style w:type="paragraph" w:customStyle="1" w:styleId="165">
    <w:name w:val="xl2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Char Char11"/>
    <w:basedOn w:val="1"/>
    <w:qFormat/>
    <w:uiPriority w:val="0"/>
  </w:style>
  <w:style w:type="paragraph" w:customStyle="1" w:styleId="167">
    <w:name w:val="Char Char Char1 Char Char Char Char"/>
    <w:basedOn w:val="1"/>
    <w:qFormat/>
    <w:uiPriority w:val="0"/>
    <w:pPr>
      <w:widowControl/>
      <w:spacing w:after="160" w:line="240" w:lineRule="exact"/>
      <w:jc w:val="left"/>
    </w:pPr>
  </w:style>
  <w:style w:type="paragraph" w:customStyle="1" w:styleId="168">
    <w:name w:val="p15"/>
    <w:basedOn w:val="1"/>
    <w:qFormat/>
    <w:uiPriority w:val="0"/>
    <w:pPr>
      <w:widowControl/>
      <w:snapToGrid w:val="0"/>
      <w:ind w:firstLine="420"/>
      <w:jc w:val="left"/>
    </w:pPr>
    <w:rPr>
      <w:rFonts w:ascii="宋体" w:hAnsi="宋体" w:cs="宋体"/>
      <w:color w:val="000000"/>
      <w:kern w:val="0"/>
      <w:sz w:val="24"/>
      <w:szCs w:val="24"/>
    </w:rPr>
  </w:style>
  <w:style w:type="paragraph" w:customStyle="1" w:styleId="169">
    <w:name w:val="方案正文"/>
    <w:basedOn w:val="1"/>
    <w:qFormat/>
    <w:uiPriority w:val="0"/>
    <w:pPr>
      <w:tabs>
        <w:tab w:val="center" w:pos="4258"/>
      </w:tabs>
      <w:spacing w:line="480" w:lineRule="auto"/>
      <w:ind w:right="210" w:firstLine="420"/>
    </w:pPr>
    <w:rPr>
      <w:rFonts w:ascii="宋体" w:hAnsi="宋体" w:cs="宋体"/>
      <w:sz w:val="24"/>
      <w:szCs w:val="24"/>
    </w:rPr>
  </w:style>
  <w:style w:type="paragraph" w:customStyle="1" w:styleId="170">
    <w:name w:val="默认段落字体 Para Char"/>
    <w:basedOn w:val="1"/>
    <w:qFormat/>
    <w:uiPriority w:val="0"/>
    <w:rPr>
      <w:szCs w:val="20"/>
    </w:rPr>
  </w:style>
  <w:style w:type="character" w:customStyle="1" w:styleId="171">
    <w:name w:val="纯文本 字符"/>
    <w:qFormat/>
    <w:locked/>
    <w:uiPriority w:val="0"/>
    <w:rPr>
      <w:rFonts w:hAnsi="Courier New" w:eastAsia="宋体"/>
      <w:kern w:val="2"/>
      <w:sz w:val="21"/>
      <w:szCs w:val="21"/>
      <w:lang w:val="en-US" w:eastAsia="zh-CN" w:bidi="ar-SA"/>
    </w:rPr>
  </w:style>
  <w:style w:type="character" w:customStyle="1" w:styleId="172">
    <w:name w:val="明显强调1"/>
    <w:qFormat/>
    <w:uiPriority w:val="0"/>
    <w:rPr>
      <w:i/>
      <w:color w:val="5B9BD5"/>
    </w:rPr>
  </w:style>
  <w:style w:type="paragraph" w:styleId="173">
    <w:name w:val="List Paragraph"/>
    <w:basedOn w:val="1"/>
    <w:link w:val="177"/>
    <w:qFormat/>
    <w:uiPriority w:val="34"/>
    <w:pPr>
      <w:ind w:firstLine="420" w:firstLineChars="200"/>
    </w:pPr>
    <w:rPr>
      <w:rFonts w:ascii="Calibri" w:hAnsi="Calibri"/>
      <w:szCs w:val="22"/>
    </w:rPr>
  </w:style>
  <w:style w:type="character" w:customStyle="1" w:styleId="174">
    <w:name w:val="列出段落 Char1"/>
    <w:link w:val="160"/>
    <w:qFormat/>
    <w:uiPriority w:val="0"/>
    <w:rPr>
      <w:rFonts w:ascii="Calibri" w:hAnsi="Calibri"/>
      <w:kern w:val="2"/>
      <w:sz w:val="21"/>
      <w:szCs w:val="22"/>
    </w:rPr>
  </w:style>
  <w:style w:type="paragraph" w:customStyle="1" w:styleId="175">
    <w:name w:val="表格文字"/>
    <w:basedOn w:val="1"/>
    <w:link w:val="176"/>
    <w:qFormat/>
    <w:uiPriority w:val="0"/>
    <w:pPr>
      <w:spacing w:before="25" w:after="25"/>
      <w:jc w:val="left"/>
    </w:pPr>
    <w:rPr>
      <w:rFonts w:ascii="Calibri" w:hAnsi="Calibri"/>
      <w:bCs/>
      <w:spacing w:val="10"/>
      <w:kern w:val="0"/>
      <w:sz w:val="24"/>
      <w:szCs w:val="22"/>
    </w:rPr>
  </w:style>
  <w:style w:type="character" w:customStyle="1" w:styleId="176">
    <w:name w:val="表格文字 Char"/>
    <w:link w:val="175"/>
    <w:qFormat/>
    <w:uiPriority w:val="0"/>
    <w:rPr>
      <w:rFonts w:ascii="Calibri" w:hAnsi="Calibri"/>
      <w:bCs/>
      <w:spacing w:val="10"/>
      <w:sz w:val="24"/>
      <w:szCs w:val="22"/>
    </w:rPr>
  </w:style>
  <w:style w:type="character" w:customStyle="1" w:styleId="177">
    <w:name w:val="列表段落 字符"/>
    <w:basedOn w:val="43"/>
    <w:link w:val="173"/>
    <w:qFormat/>
    <w:uiPriority w:val="34"/>
    <w:rPr>
      <w:rFonts w:ascii="Calibri" w:hAnsi="Calibri"/>
      <w:kern w:val="2"/>
      <w:sz w:val="21"/>
      <w:szCs w:val="22"/>
    </w:rPr>
  </w:style>
  <w:style w:type="paragraph" w:customStyle="1" w:styleId="178">
    <w:name w:val="Table Paragraph"/>
    <w:basedOn w:val="1"/>
    <w:qFormat/>
    <w:uiPriority w:val="0"/>
    <w:pPr>
      <w:jc w:val="left"/>
    </w:pPr>
    <w:rPr>
      <w:kern w:val="0"/>
      <w:sz w:val="22"/>
      <w:szCs w:val="22"/>
      <w:lang w:eastAsia="en-US"/>
    </w:rPr>
  </w:style>
  <w:style w:type="paragraph" w:styleId="179">
    <w:name w:val="No Spacing"/>
    <w:qFormat/>
    <w:uiPriority w:val="1"/>
    <w:pPr>
      <w:widowControl w:val="0"/>
      <w:jc w:val="both"/>
    </w:pPr>
    <w:rPr>
      <w:rFonts w:ascii="Calibri" w:hAnsi="Calibri" w:eastAsia="宋体" w:cs="Times New Roman"/>
      <w:kern w:val="2"/>
      <w:sz w:val="24"/>
      <w:szCs w:val="24"/>
      <w:lang w:val="en-US" w:eastAsia="zh-CN" w:bidi="ar-SA"/>
    </w:rPr>
  </w:style>
  <w:style w:type="character" w:customStyle="1" w:styleId="180">
    <w:name w:val="font121"/>
    <w:qFormat/>
    <w:uiPriority w:val="0"/>
    <w:rPr>
      <w:rFonts w:hint="eastAsia" w:ascii="宋体" w:hAnsi="宋体" w:eastAsia="宋体" w:cs="宋体"/>
      <w:color w:val="000000"/>
      <w:sz w:val="18"/>
      <w:szCs w:val="18"/>
      <w:u w:val="none"/>
    </w:rPr>
  </w:style>
  <w:style w:type="character" w:customStyle="1" w:styleId="181">
    <w:name w:val="font71"/>
    <w:basedOn w:val="43"/>
    <w:qFormat/>
    <w:uiPriority w:val="0"/>
    <w:rPr>
      <w:rFonts w:ascii="华文中宋" w:hAnsi="华文中宋" w:eastAsia="华文中宋" w:cs="华文中宋"/>
      <w:color w:val="000000"/>
      <w:sz w:val="20"/>
      <w:szCs w:val="20"/>
      <w:u w:val="none"/>
    </w:rPr>
  </w:style>
  <w:style w:type="character" w:customStyle="1" w:styleId="182">
    <w:name w:val="font251"/>
    <w:qFormat/>
    <w:uiPriority w:val="0"/>
    <w:rPr>
      <w:rFonts w:hint="eastAsia" w:ascii="宋体" w:hAnsi="宋体" w:eastAsia="宋体" w:cs="宋体"/>
      <w:color w:val="000000"/>
      <w:sz w:val="18"/>
      <w:szCs w:val="18"/>
      <w:u w:val="none"/>
    </w:rPr>
  </w:style>
  <w:style w:type="character" w:customStyle="1" w:styleId="183">
    <w:name w:val="font61"/>
    <w:qFormat/>
    <w:uiPriority w:val="0"/>
    <w:rPr>
      <w:rFonts w:ascii="宋体" w:hAnsi="宋体" w:eastAsia="宋体" w:cs="宋体"/>
      <w:color w:val="000000"/>
      <w:sz w:val="20"/>
      <w:szCs w:val="20"/>
      <w:u w:val="none"/>
    </w:rPr>
  </w:style>
  <w:style w:type="character" w:customStyle="1" w:styleId="184">
    <w:name w:val="font181"/>
    <w:qFormat/>
    <w:uiPriority w:val="0"/>
    <w:rPr>
      <w:rFonts w:hint="eastAsia" w:ascii="宋体" w:hAnsi="宋体" w:eastAsia="宋体" w:cs="宋体"/>
      <w:b/>
      <w:color w:val="000000"/>
      <w:sz w:val="18"/>
      <w:szCs w:val="18"/>
      <w:u w:val="none"/>
    </w:rPr>
  </w:style>
  <w:style w:type="character" w:customStyle="1" w:styleId="185">
    <w:name w:val="font271"/>
    <w:qFormat/>
    <w:uiPriority w:val="0"/>
    <w:rPr>
      <w:rFonts w:hint="eastAsia" w:ascii="华文中宋" w:hAnsi="华文中宋" w:eastAsia="华文中宋" w:cs="华文中宋"/>
      <w:color w:val="000000"/>
      <w:sz w:val="18"/>
      <w:szCs w:val="18"/>
      <w:u w:val="none"/>
    </w:rPr>
  </w:style>
  <w:style w:type="character" w:customStyle="1" w:styleId="186">
    <w:name w:val="font231"/>
    <w:qFormat/>
    <w:uiPriority w:val="0"/>
    <w:rPr>
      <w:rFonts w:hint="default" w:ascii="Times New Roman" w:hAnsi="Times New Roman" w:cs="Times New Roman"/>
      <w:color w:val="000000"/>
      <w:sz w:val="18"/>
      <w:szCs w:val="18"/>
      <w:u w:val="none"/>
    </w:rPr>
  </w:style>
  <w:style w:type="character" w:customStyle="1" w:styleId="187">
    <w:name w:val="font11"/>
    <w:basedOn w:val="43"/>
    <w:qFormat/>
    <w:uiPriority w:val="0"/>
    <w:rPr>
      <w:rFonts w:hint="eastAsia" w:ascii="宋体" w:hAnsi="宋体" w:eastAsia="宋体" w:cs="宋体"/>
      <w:color w:val="000000"/>
      <w:sz w:val="20"/>
      <w:szCs w:val="20"/>
      <w:u w:val="none"/>
    </w:rPr>
  </w:style>
  <w:style w:type="character" w:customStyle="1" w:styleId="188">
    <w:name w:val="font131"/>
    <w:qFormat/>
    <w:uiPriority w:val="0"/>
    <w:rPr>
      <w:rFonts w:hint="default" w:ascii="Times New Roman" w:hAnsi="Times New Roman" w:cs="Times New Roman"/>
      <w:b/>
      <w:color w:val="000000"/>
      <w:sz w:val="18"/>
      <w:szCs w:val="18"/>
      <w:u w:val="none"/>
    </w:rPr>
  </w:style>
  <w:style w:type="character" w:customStyle="1" w:styleId="189">
    <w:name w:val="font01"/>
    <w:qFormat/>
    <w:uiPriority w:val="0"/>
    <w:rPr>
      <w:rFonts w:hint="eastAsia" w:ascii="宋体" w:hAnsi="宋体" w:eastAsia="宋体"/>
      <w:color w:val="000000"/>
      <w:sz w:val="18"/>
      <w:szCs w:val="18"/>
      <w:u w:val="none"/>
    </w:rPr>
  </w:style>
  <w:style w:type="character" w:customStyle="1" w:styleId="190">
    <w:name w:val="font112"/>
    <w:qFormat/>
    <w:uiPriority w:val="0"/>
    <w:rPr>
      <w:rFonts w:hint="default" w:ascii="Times New Roman" w:hAnsi="Times New Roman" w:cs="Times New Roman"/>
      <w:color w:val="000000"/>
      <w:sz w:val="18"/>
      <w:szCs w:val="18"/>
      <w:u w:val="none"/>
    </w:rPr>
  </w:style>
  <w:style w:type="character" w:customStyle="1" w:styleId="191">
    <w:name w:val="font81"/>
    <w:qFormat/>
    <w:uiPriority w:val="0"/>
    <w:rPr>
      <w:rFonts w:ascii="宋体" w:hAnsi="宋体" w:eastAsia="宋体" w:cs="宋体"/>
      <w:color w:val="000000"/>
      <w:sz w:val="20"/>
      <w:szCs w:val="20"/>
      <w:u w:val="none"/>
    </w:rPr>
  </w:style>
  <w:style w:type="character" w:customStyle="1" w:styleId="192">
    <w:name w:val="font101"/>
    <w:basedOn w:val="43"/>
    <w:qFormat/>
    <w:uiPriority w:val="0"/>
    <w:rPr>
      <w:rFonts w:hint="default" w:ascii="Times New Roman" w:hAnsi="Times New Roman" w:cs="Times New Roman"/>
      <w:b/>
      <w:color w:val="000000"/>
      <w:sz w:val="18"/>
      <w:szCs w:val="18"/>
      <w:u w:val="none"/>
    </w:rPr>
  </w:style>
  <w:style w:type="character" w:customStyle="1" w:styleId="193">
    <w:name w:val="font261"/>
    <w:qFormat/>
    <w:uiPriority w:val="0"/>
    <w:rPr>
      <w:rFonts w:ascii="华文中宋" w:hAnsi="华文中宋" w:eastAsia="华文中宋" w:cs="华文中宋"/>
      <w:color w:val="000000"/>
      <w:sz w:val="18"/>
      <w:szCs w:val="18"/>
      <w:u w:val="none"/>
    </w:rPr>
  </w:style>
  <w:style w:type="character" w:customStyle="1" w:styleId="194">
    <w:name w:val="font41"/>
    <w:basedOn w:val="43"/>
    <w:qFormat/>
    <w:uiPriority w:val="0"/>
    <w:rPr>
      <w:rFonts w:hint="eastAsia" w:ascii="宋体" w:hAnsi="宋体" w:eastAsia="宋体" w:cs="宋体"/>
      <w:color w:val="000000"/>
      <w:sz w:val="18"/>
      <w:szCs w:val="18"/>
      <w:u w:val="none"/>
    </w:rPr>
  </w:style>
  <w:style w:type="character" w:customStyle="1" w:styleId="195">
    <w:name w:val="font211"/>
    <w:qFormat/>
    <w:uiPriority w:val="0"/>
    <w:rPr>
      <w:rFonts w:hint="default" w:ascii="Times New Roman" w:hAnsi="Times New Roman" w:cs="Times New Roman"/>
      <w:b/>
      <w:color w:val="000000"/>
      <w:sz w:val="18"/>
      <w:szCs w:val="18"/>
      <w:u w:val="none"/>
    </w:rPr>
  </w:style>
  <w:style w:type="character" w:customStyle="1" w:styleId="196">
    <w:name w:val="font51"/>
    <w:qFormat/>
    <w:uiPriority w:val="0"/>
    <w:rPr>
      <w:rFonts w:hint="eastAsia" w:ascii="宋体" w:hAnsi="宋体" w:eastAsia="宋体"/>
      <w:color w:val="000000"/>
      <w:sz w:val="21"/>
      <w:szCs w:val="21"/>
      <w:u w:val="none"/>
    </w:rPr>
  </w:style>
  <w:style w:type="character" w:customStyle="1" w:styleId="197">
    <w:name w:val="font91"/>
    <w:basedOn w:val="43"/>
    <w:qFormat/>
    <w:uiPriority w:val="0"/>
    <w:rPr>
      <w:rFonts w:ascii="华文中宋" w:hAnsi="华文中宋" w:eastAsia="华文中宋" w:cs="华文中宋"/>
      <w:color w:val="000000"/>
      <w:sz w:val="20"/>
      <w:szCs w:val="20"/>
      <w:u w:val="none"/>
    </w:rPr>
  </w:style>
  <w:style w:type="character" w:customStyle="1" w:styleId="198">
    <w:name w:val="font31"/>
    <w:basedOn w:val="43"/>
    <w:qFormat/>
    <w:uiPriority w:val="0"/>
    <w:rPr>
      <w:rFonts w:hint="eastAsia" w:ascii="宋体" w:hAnsi="宋体" w:eastAsia="宋体" w:cs="宋体"/>
      <w:color w:val="000000"/>
      <w:sz w:val="18"/>
      <w:szCs w:val="18"/>
      <w:u w:val="none"/>
    </w:rPr>
  </w:style>
  <w:style w:type="character" w:customStyle="1" w:styleId="199">
    <w:name w:val="font141"/>
    <w:qFormat/>
    <w:uiPriority w:val="0"/>
    <w:rPr>
      <w:rFonts w:hint="eastAsia" w:ascii="宋体" w:hAnsi="宋体" w:eastAsia="宋体" w:cs="宋体"/>
      <w:b/>
      <w:color w:val="000000"/>
      <w:sz w:val="18"/>
      <w:szCs w:val="18"/>
      <w:u w:val="none"/>
    </w:rPr>
  </w:style>
  <w:style w:type="character" w:customStyle="1" w:styleId="200">
    <w:name w:val="font281"/>
    <w:qFormat/>
    <w:uiPriority w:val="0"/>
    <w:rPr>
      <w:rFonts w:hint="eastAsia" w:ascii="华文中宋" w:hAnsi="华文中宋" w:eastAsia="华文中宋" w:cs="华文中宋"/>
      <w:color w:val="000000"/>
      <w:sz w:val="20"/>
      <w:szCs w:val="20"/>
      <w:u w:val="none"/>
    </w:rPr>
  </w:style>
  <w:style w:type="paragraph" w:customStyle="1" w:styleId="201">
    <w:name w:val="*正文"/>
    <w:basedOn w:val="1"/>
    <w:qFormat/>
    <w:uiPriority w:val="0"/>
    <w:pPr>
      <w:spacing w:line="360" w:lineRule="auto"/>
      <w:ind w:firstLine="200" w:firstLineChars="200"/>
    </w:pPr>
    <w:rPr>
      <w:rFonts w:ascii="宋体" w:hAnsi="宋体"/>
      <w:sz w:val="22"/>
      <w:szCs w:val="24"/>
    </w:rPr>
  </w:style>
  <w:style w:type="paragraph" w:customStyle="1" w:styleId="202">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_Style 2"/>
    <w:basedOn w:val="1"/>
    <w:qFormat/>
    <w:uiPriority w:val="34"/>
    <w:pPr>
      <w:ind w:firstLine="420" w:firstLineChars="200"/>
    </w:pPr>
    <w:rPr>
      <w:rFonts w:ascii="Calibri" w:hAnsi="Calibri"/>
      <w:szCs w:val="22"/>
    </w:rPr>
  </w:style>
  <w:style w:type="character" w:customStyle="1" w:styleId="204">
    <w:name w:val="font21"/>
    <w:basedOn w:val="43"/>
    <w:qFormat/>
    <w:uiPriority w:val="0"/>
    <w:rPr>
      <w:rFonts w:hint="eastAsia" w:ascii="宋体" w:hAnsi="宋体" w:eastAsia="宋体" w:cs="宋体"/>
      <w:color w:val="000000"/>
      <w:sz w:val="20"/>
      <w:szCs w:val="20"/>
      <w:u w:val="none"/>
    </w:rPr>
  </w:style>
  <w:style w:type="character" w:customStyle="1" w:styleId="205">
    <w:name w:val="font12"/>
    <w:basedOn w:val="43"/>
    <w:qFormat/>
    <w:uiPriority w:val="0"/>
    <w:rPr>
      <w:rFonts w:hint="eastAsia" w:ascii="宋体" w:hAnsi="宋体" w:eastAsia="宋体" w:cs="宋体"/>
      <w:color w:val="000000"/>
      <w:sz w:val="20"/>
      <w:szCs w:val="20"/>
      <w:u w:val="none"/>
    </w:rPr>
  </w:style>
  <w:style w:type="character" w:customStyle="1" w:styleId="206">
    <w:name w:val="font111"/>
    <w:basedOn w:val="43"/>
    <w:qFormat/>
    <w:uiPriority w:val="0"/>
    <w:rPr>
      <w:rFonts w:hint="default" w:ascii="Calibri" w:hAnsi="Calibri" w:cs="Calibri"/>
      <w:color w:val="000000"/>
      <w:sz w:val="20"/>
      <w:szCs w:val="20"/>
      <w:u w:val="none"/>
    </w:rPr>
  </w:style>
  <w:style w:type="paragraph" w:customStyle="1" w:styleId="207">
    <w:name w:val="_Style 198"/>
    <w:basedOn w:val="1"/>
    <w:next w:val="173"/>
    <w:qFormat/>
    <w:uiPriority w:val="34"/>
    <w:pPr>
      <w:ind w:firstLine="420" w:firstLineChars="200"/>
    </w:pPr>
    <w:rPr>
      <w:rFonts w:ascii="等线" w:hAnsi="等线" w:eastAsia="等线"/>
      <w:szCs w:val="22"/>
    </w:rPr>
  </w:style>
  <w:style w:type="paragraph" w:customStyle="1" w:styleId="208">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09">
    <w:name w:val="Normal_52"/>
    <w:qFormat/>
    <w:uiPriority w:val="0"/>
    <w:pPr>
      <w:spacing w:before="120" w:after="240"/>
      <w:jc w:val="both"/>
    </w:pPr>
    <w:rPr>
      <w:rFonts w:ascii="Calibri" w:hAnsi="Calibri" w:eastAsia="Calibri" w:cs="Times New Roman"/>
      <w:sz w:val="22"/>
      <w:szCs w:val="22"/>
      <w:lang w:val="ru-RU" w:eastAsia="en-US" w:bidi="ar-SA"/>
    </w:rPr>
  </w:style>
  <w:style w:type="paragraph" w:customStyle="1" w:styleId="210">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11">
    <w:name w:val="标准段落正文"/>
    <w:basedOn w:val="212"/>
    <w:qFormat/>
    <w:uiPriority w:val="0"/>
    <w:pPr>
      <w:ind w:firstLine="480"/>
    </w:pPr>
  </w:style>
  <w:style w:type="paragraph" w:customStyle="1" w:styleId="212">
    <w:name w:val="单括号小标题"/>
    <w:basedOn w:val="1"/>
    <w:qFormat/>
    <w:uiPriority w:val="0"/>
    <w:pPr>
      <w:spacing w:line="360" w:lineRule="auto"/>
      <w:ind w:left="567"/>
      <w:jc w:val="left"/>
    </w:pPr>
    <w:rPr>
      <w:rFonts w:eastAsia="黑体"/>
      <w:sz w:val="24"/>
    </w:rPr>
  </w:style>
  <w:style w:type="paragraph" w:customStyle="1" w:styleId="213">
    <w:name w:val="正文缩进1"/>
    <w:basedOn w:val="1"/>
    <w:qFormat/>
    <w:uiPriority w:val="0"/>
    <w:pPr>
      <w:ind w:firstLine="200" w:firstLineChars="200"/>
    </w:pPr>
    <w:rPr>
      <w:rFonts w:ascii="Calibri" w:hAnsi="Calibri"/>
      <w:szCs w:val="24"/>
    </w:rPr>
  </w:style>
  <w:style w:type="paragraph" w:customStyle="1" w:styleId="214">
    <w:name w:val="样式2"/>
    <w:basedOn w:val="1"/>
    <w:qFormat/>
    <w:uiPriority w:val="0"/>
    <w:pPr>
      <w:spacing w:line="360" w:lineRule="auto"/>
      <w:ind w:firstLine="422" w:firstLineChars="200"/>
    </w:pPr>
    <w:rPr>
      <w:rFonts w:ascii="宋体" w:hAnsi="宋体"/>
      <w:b/>
    </w:rPr>
  </w:style>
  <w:style w:type="paragraph" w:customStyle="1" w:styleId="215">
    <w:name w:val="text"/>
    <w:basedOn w:val="1"/>
    <w:qFormat/>
    <w:uiPriority w:val="0"/>
    <w:pPr>
      <w:widowControl/>
      <w:tabs>
        <w:tab w:val="left" w:pos="1050"/>
      </w:tabs>
      <w:overflowPunct w:val="0"/>
      <w:autoSpaceDE w:val="0"/>
      <w:autoSpaceDN w:val="0"/>
      <w:adjustRightInd w:val="0"/>
      <w:spacing w:before="240"/>
      <w:ind w:left="1049"/>
      <w:textAlignment w:val="baseline"/>
    </w:pPr>
    <w:rPr>
      <w:kern w:val="0"/>
      <w:szCs w:val="20"/>
    </w:rPr>
  </w:style>
  <w:style w:type="paragraph" w:customStyle="1" w:styleId="216">
    <w:name w:val="正文[858D7CFB-ED40-4347-BF05-701D383B685F][858D7CFB-ED40-4347-BF05-701D383B685F]"/>
    <w:qFormat/>
    <w:uiPriority w:val="0"/>
    <w:pPr>
      <w:widowControl w:val="0"/>
      <w:spacing w:line="360" w:lineRule="auto"/>
      <w:ind w:firstLine="200"/>
      <w:jc w:val="both"/>
    </w:pPr>
    <w:rPr>
      <w:rFonts w:ascii="Lucida Grande" w:hAnsi="Lucida Grande" w:eastAsia="ヒラギノ角ゴ Pro W3" w:cs="Times New Roman"/>
      <w:color w:val="000000"/>
      <w:kern w:val="2"/>
      <w:sz w:val="24"/>
      <w:lang w:val="en-US" w:eastAsia="zh-CN" w:bidi="ar-SA"/>
    </w:rPr>
  </w:style>
  <w:style w:type="paragraph" w:customStyle="1" w:styleId="217">
    <w:name w:val="-正文"/>
    <w:basedOn w:val="1"/>
    <w:qFormat/>
    <w:uiPriority w:val="0"/>
    <w:pPr>
      <w:spacing w:line="360" w:lineRule="auto"/>
      <w:ind w:firstLine="200" w:firstLineChars="200"/>
      <w:jc w:val="left"/>
    </w:pPr>
    <w:rPr>
      <w:sz w:val="24"/>
    </w:rPr>
  </w:style>
  <w:style w:type="character" w:customStyle="1" w:styleId="218">
    <w:name w:val="标题 2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42487-F69A-4168-994A-8AE11BA7984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7919</Words>
  <Characters>45141</Characters>
  <Lines>376</Lines>
  <Paragraphs>105</Paragraphs>
  <TotalTime>14</TotalTime>
  <ScaleCrop>false</ScaleCrop>
  <LinksUpToDate>false</LinksUpToDate>
  <CharactersWithSpaces>52955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2022-06-24T07:22:00Z</dcterms:created>
  <dc:creator>Sky123.Org</dc:creator>
  <cp:lastModifiedBy>WPS_1471777803</cp:lastModifiedBy>
  <cp:lastPrinted>2022-01-05T12:20:00Z</cp:lastPrinted>
  <dcterms:modified xsi:type="dcterms:W3CDTF">2022-06-30T08:46:57Z</dcterms:modified>
  <dc:title>电子化政府采购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D8D357CDA2BD463FAA6DB7B0101282B2</vt:lpwstr>
  </property>
</Properties>
</file>